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 research Analysis – Detailed PR and Issue Summaries</w:t>
      </w:r>
    </w:p>
    <w:p>
      <w:r>
        <w:t xml:space="preserve">This document summarizes the open pull requests and issues for the </w:t>
      </w:r>
      <w:r>
        <w:rPr>
          <w:i/>
        </w:rPr>
        <w:t>karpathy/autoresearch</w:t>
      </w:r>
      <w:r>
        <w:t xml:space="preserve"> project. Each entry lists the number, title, author and a concise description of the main changes or concerns in the pull request or issue. The summaries are based on the latest available information as of 13 March 2026.</w:t>
      </w:r>
    </w:p>
    <w:tbl>
      <w:tblPr>
        <w:tblW w:type="auto" w:w="0"/>
        <w:tblLook w:firstColumn="1" w:firstRow="1" w:lastColumn="0" w:lastRow="0" w:noHBand="0" w:noVBand="1" w:val="04A0"/>
      </w:tblPr>
      <w:tblGrid>
        <w:gridCol w:w="2160"/>
        <w:gridCol w:w="2160"/>
        <w:gridCol w:w="2160"/>
        <w:gridCol w:w="2160"/>
      </w:tblGrid>
      <w:tr>
        <w:tc>
          <w:tcPr>
            <w:tcW w:type="dxa" w:w="2160"/>
          </w:tcPr>
          <w:p>
            <w:r>
              <w:rPr>
                <w:b/>
              </w:rPr>
              <w:t>Number</w:t>
            </w:r>
          </w:p>
        </w:tc>
        <w:tc>
          <w:tcPr>
            <w:tcW w:type="dxa" w:w="2160"/>
          </w:tcPr>
          <w:p>
            <w:r>
              <w:rPr>
                <w:b/>
              </w:rPr>
              <w:t>Title</w:t>
            </w:r>
          </w:p>
        </w:tc>
        <w:tc>
          <w:tcPr>
            <w:tcW w:type="dxa" w:w="2160"/>
          </w:tcPr>
          <w:p>
            <w:r>
              <w:rPr>
                <w:b/>
              </w:rPr>
              <w:t>Author</w:t>
            </w:r>
          </w:p>
        </w:tc>
        <w:tc>
          <w:tcPr>
            <w:tcW w:type="dxa" w:w="2160"/>
          </w:tcPr>
          <w:p>
            <w:r>
              <w:rPr>
                <w:b/>
              </w:rPr>
              <w:t>Summary</w:t>
            </w:r>
          </w:p>
        </w:tc>
      </w:tr>
      <w:tr>
        <w:tc>
          <w:tcPr>
            <w:tcW w:type="dxa" w:w="2160"/>
          </w:tcPr>
          <w:p>
            <w:r>
              <w:t>#239</w:t>
            </w:r>
          </w:p>
        </w:tc>
        <w:tc>
          <w:tcPr>
            <w:tcW w:type="dxa" w:w="2160"/>
          </w:tcPr>
          <w:p>
            <w:r>
              <w:t>Guidance agent before working agent</w:t>
            </w:r>
          </w:p>
        </w:tc>
        <w:tc>
          <w:tcPr>
            <w:tcW w:type="dxa" w:w="2160"/>
          </w:tcPr>
          <w:p>
            <w:r>
              <w:t>open issue?</w:t>
            </w:r>
          </w:p>
        </w:tc>
        <w:tc>
          <w:tcPr>
            <w:tcW w:type="dxa" w:w="2160"/>
          </w:tcPr>
          <w:p>
            <w:r>
              <w:t>Introduces a guidance agent that reads program files, extracts success/failure patterns and summarises them for the working agent. The guidance agent loops with the working agent, providing a pattern-based plan and highlighting promising directions, making experiments more human interpretable【810636603362044†L67-L80】.</w:t>
            </w:r>
          </w:p>
        </w:tc>
      </w:tr>
      <w:tr>
        <w:tc>
          <w:tcPr>
            <w:tcW w:type="dxa" w:w="2160"/>
          </w:tcPr>
          <w:p>
            <w:r>
              <w:t>#238</w:t>
            </w:r>
          </w:p>
        </w:tc>
        <w:tc>
          <w:tcPr>
            <w:tcW w:type="dxa" w:w="2160"/>
          </w:tcPr>
          <w:p>
            <w:r>
              <w:t>Phase2 results</w:t>
            </w:r>
          </w:p>
        </w:tc>
        <w:tc>
          <w:tcPr>
            <w:tcW w:type="dxa" w:w="2160"/>
          </w:tcPr>
          <w:p>
            <w:r>
              <w:t>lejinvarghese</w:t>
            </w:r>
          </w:p>
        </w:tc>
        <w:tc>
          <w:tcPr>
            <w:tcW w:type="dxa" w:w="2160"/>
          </w:tcPr>
          <w:p>
            <w:r>
              <w:t>Pull request with no detailed body – likely placeholder for phase 2 results. Created March 13, 2026【304568620472529†L51-L65】.</w:t>
            </w:r>
          </w:p>
        </w:tc>
      </w:tr>
      <w:tr>
        <w:tc>
          <w:tcPr>
            <w:tcW w:type="dxa" w:w="2160"/>
          </w:tcPr>
          <w:p>
            <w:r>
              <w:t>#237</w:t>
            </w:r>
          </w:p>
        </w:tc>
        <w:tc>
          <w:tcPr>
            <w:tcW w:type="dxa" w:w="2160"/>
          </w:tcPr>
          <w:p>
            <w:r>
              <w:t>Harden tokenizer deserialization to prevent cache poisoning RCE</w:t>
            </w:r>
          </w:p>
        </w:tc>
        <w:tc>
          <w:tcPr>
            <w:tcW w:type="dxa" w:w="2160"/>
          </w:tcPr>
          <w:p>
            <w:r>
              <w:t>Mirza‑Samad‑Ahmed‑Baig</w:t>
            </w:r>
          </w:p>
        </w:tc>
        <w:tc>
          <w:tcPr>
            <w:tcW w:type="dxa" w:w="2160"/>
          </w:tcPr>
          <w:p>
            <w:r>
              <w:t>Replaces pickle-based tokenizer serialization with JSON to prevent remote code execution. Uses base64 encoding for byte tokens, rejects legacy tokenizer.pkl caches and uses torch.load(weights_only=True) to avoid executing arbitrary code【595567399038003†L69-L77】.</w:t>
            </w:r>
          </w:p>
        </w:tc>
      </w:tr>
      <w:tr>
        <w:tc>
          <w:tcPr>
            <w:tcW w:type="dxa" w:w="2160"/>
          </w:tcPr>
          <w:p>
            <w:r>
              <w:t>#231</w:t>
            </w:r>
          </w:p>
        </w:tc>
        <w:tc>
          <w:tcPr>
            <w:tcW w:type="dxa" w:w="2160"/>
          </w:tcPr>
          <w:p>
            <w:r>
              <w:t>Add Rust/CUDA H100 fork to Notable forks</w:t>
            </w:r>
          </w:p>
        </w:tc>
        <w:tc>
          <w:tcPr>
            <w:tcW w:type="dxa" w:w="2160"/>
          </w:tcPr>
          <w:p>
            <w:r>
              <w:t>m0at</w:t>
            </w:r>
          </w:p>
        </w:tc>
        <w:tc>
          <w:tcPr>
            <w:tcW w:type="dxa" w:w="2160"/>
          </w:tcPr>
          <w:p>
            <w:r>
              <w:t>Adds the m0at/autoresearch-rustbrain fork, a Rust + CUDA reimplementation targeting H100 GPUs with Flash Attention 3, to the Notable forks section【547468451191267†L62-L65】.</w:t>
            </w:r>
          </w:p>
        </w:tc>
      </w:tr>
      <w:tr>
        <w:tc>
          <w:tcPr>
            <w:tcW w:type="dxa" w:w="2160"/>
          </w:tcPr>
          <w:p>
            <w:r>
              <w:t>#230</w:t>
            </w:r>
          </w:p>
        </w:tc>
        <w:tc>
          <w:tcPr>
            <w:tcW w:type="dxa" w:w="2160"/>
          </w:tcPr>
          <w:p>
            <w:r>
              <w:t>feat(stdio_bus): unified CUDA/MPS GPU backend support</w:t>
            </w:r>
          </w:p>
        </w:tc>
        <w:tc>
          <w:tcPr>
            <w:tcW w:type="dxa" w:w="2160"/>
          </w:tcPr>
          <w:p>
            <w:r>
              <w:t>morozow</w:t>
            </w:r>
          </w:p>
        </w:tc>
        <w:tc>
          <w:tcPr>
            <w:tcW w:type="dxa" w:w="2160"/>
          </w:tcPr>
          <w:p>
            <w:r>
              <w:t>Extends the stdio_bus integration for cross‑platform GPU support so autoresearch can run on NVIDIA CUDA and Apple MPS using a single train.py. It introduces runtime backend detection (CUDA vs MPS vs CPU), conditional dtype and torch.compile settings, Flash‑Attention/SDPA fallbacks, and updates prepare.py and dispatcher to allocate buffers appropriately【1158887784048†L63-L98】.</w:t>
            </w:r>
          </w:p>
        </w:tc>
      </w:tr>
      <w:tr>
        <w:tc>
          <w:tcPr>
            <w:tcW w:type="dxa" w:w="2160"/>
          </w:tcPr>
          <w:p>
            <w:r>
              <w:t>#227</w:t>
            </w:r>
          </w:p>
        </w:tc>
        <w:tc>
          <w:tcPr>
            <w:tcW w:type="dxa" w:w="2160"/>
          </w:tcPr>
          <w:p>
            <w:r>
              <w:t>Add MLX port for MacOS (optimized for 16GB RAM) to notable forks</w:t>
            </w:r>
          </w:p>
        </w:tc>
        <w:tc>
          <w:tcPr>
            <w:tcW w:type="dxa" w:w="2160"/>
          </w:tcPr>
          <w:p>
            <w:r>
              <w:t>matt‑k‑wong</w:t>
            </w:r>
          </w:p>
        </w:tc>
        <w:tc>
          <w:tcPr>
            <w:tcW w:type="dxa" w:w="2160"/>
          </w:tcPr>
          <w:p>
            <w:r>
              <w:t>Adds a native MLX port engineered for Apple Silicon edge hardware. The fork implements O(N) chunkwise linear attention, memory‑safe gradient accumulation and a pure MLX Muon optimizer, making it stable on 16GB MacBook Airs【859644938212643†L65-L68】.</w:t>
            </w:r>
          </w:p>
        </w:tc>
      </w:tr>
      <w:tr>
        <w:tc>
          <w:tcPr>
            <w:tcW w:type="dxa" w:w="2160"/>
          </w:tcPr>
          <w:p>
            <w:r>
              <w:t>#223</w:t>
            </w:r>
          </w:p>
        </w:tc>
        <w:tc>
          <w:tcPr>
            <w:tcW w:type="dxa" w:w="2160"/>
          </w:tcPr>
          <w:p>
            <w:r>
              <w:t>feat(stdio_bus): Add stdio_bus Integration for Distributed GPU Training</w:t>
            </w:r>
          </w:p>
        </w:tc>
        <w:tc>
          <w:tcPr>
            <w:tcW w:type="dxa" w:w="2160"/>
          </w:tcPr>
          <w:p>
            <w:r>
              <w:t>morozow</w:t>
            </w:r>
          </w:p>
        </w:tc>
        <w:tc>
          <w:tcPr>
            <w:tcW w:type="dxa" w:w="2160"/>
          </w:tcPr>
          <w:p>
            <w:r>
              <w:t>Introduces stdio_bus as the transport layer for distributed experiments, replacing HTTP‑based agenthub. stdio_bus routes messages locally via JSON‑RPC over NDJSON, reducing latency and external dependencies. The PR adds a dispatcher, config files, mermaid diagram of the architecture, and documents advantages such as lower latency, deterministic routing and backpressure management【475534209428384†L64-L103】.</w:t>
            </w:r>
          </w:p>
        </w:tc>
      </w:tr>
      <w:tr>
        <w:tc>
          <w:tcPr>
            <w:tcW w:type="dxa" w:w="2160"/>
          </w:tcPr>
          <w:p>
            <w:r>
              <w:t>#218</w:t>
            </w:r>
          </w:p>
        </w:tc>
        <w:tc>
          <w:tcPr>
            <w:tcW w:type="dxa" w:w="2160"/>
          </w:tcPr>
          <w:p>
            <w:r>
              <w:t>Add anti-overfitting policy and ideas scratchpad</w:t>
            </w:r>
          </w:p>
        </w:tc>
        <w:tc>
          <w:tcPr>
            <w:tcW w:type="dxa" w:w="2160"/>
          </w:tcPr>
          <w:p>
            <w:r>
              <w:t>tahatalib85</w:t>
            </w:r>
          </w:p>
        </w:tc>
        <w:tc>
          <w:tcPr>
            <w:tcW w:type="dxa" w:w="2160"/>
          </w:tcPr>
          <w:p>
            <w:r>
              <w:t>Adds overfit.md with guidelines to rerun promising changes and avoid benchmark‑specific tricks and ideas.md as a lightweight local memory for failed directions and observations. program.md tells the agent to consult these files, providing policies against fake progress and memory for research reasoning【816684541690811†L64-L78】.</w:t>
            </w:r>
          </w:p>
        </w:tc>
      </w:tr>
      <w:tr>
        <w:tc>
          <w:tcPr>
            <w:tcW w:type="dxa" w:w="2160"/>
          </w:tcPr>
          <w:p>
            <w:r>
              <w:t>#217</w:t>
            </w:r>
          </w:p>
        </w:tc>
        <w:tc>
          <w:tcPr>
            <w:tcW w:type="dxa" w:w="2160"/>
          </w:tcPr>
          <w:p>
            <w:r>
              <w:t>docs: add SECURITY.md</w:t>
            </w:r>
          </w:p>
        </w:tc>
        <w:tc>
          <w:tcPr>
            <w:tcW w:type="dxa" w:w="2160"/>
          </w:tcPr>
          <w:p>
            <w:r>
              <w:t>vincentayorinde</w:t>
            </w:r>
          </w:p>
        </w:tc>
        <w:tc>
          <w:tcPr>
            <w:tcW w:type="dxa" w:w="2160"/>
          </w:tcPr>
          <w:p>
            <w:r>
              <w:t>Adds a minimal SECURITY.md file outlining responsible disclosure so the repository has a clear security reporting policy. No runtime changes【94673910360750†L67-L71】.</w:t>
            </w:r>
          </w:p>
        </w:tc>
      </w:tr>
      <w:tr>
        <w:tc>
          <w:tcPr>
            <w:tcW w:type="dxa" w:w="2160"/>
          </w:tcPr>
          <w:p>
            <w:r>
              <w:t>#216</w:t>
            </w:r>
          </w:p>
        </w:tc>
        <w:tc>
          <w:tcPr>
            <w:tcW w:type="dxa" w:w="2160"/>
          </w:tcPr>
          <w:p>
            <w:r>
              <w:t>prepare: verify cached dataset shards before reuse</w:t>
            </w:r>
          </w:p>
        </w:tc>
        <w:tc>
          <w:tcPr>
            <w:tcW w:type="dxa" w:w="2160"/>
          </w:tcPr>
          <w:p>
            <w:r>
              <w:t>vincentayorinde</w:t>
            </w:r>
          </w:p>
        </w:tc>
        <w:tc>
          <w:tcPr>
            <w:tcW w:type="dxa" w:w="2160"/>
          </w:tcPr>
          <w:p>
            <w:r>
              <w:t>Hardens the dataset shard cache by writing SHA‑256 sidecar hashes when shards are downloaded and verifying them before reuse. Corrupted or missing shards are redownloaded, preventing silent data corruption【63371928559754†L67-L74】.</w:t>
            </w:r>
          </w:p>
        </w:tc>
      </w:tr>
      <w:tr>
        <w:tc>
          <w:tcPr>
            <w:tcW w:type="dxa" w:w="2160"/>
          </w:tcPr>
          <w:p>
            <w:r>
              <w:t>#214</w:t>
            </w:r>
          </w:p>
        </w:tc>
        <w:tc>
          <w:tcPr>
            <w:tcW w:type="dxa" w:w="2160"/>
          </w:tcPr>
          <w:p>
            <w:r>
              <w:t>[RFC] Multi-Modal Navigation: Integrating the P2PCLAW "Chess-Grid" Architecture</w:t>
            </w:r>
          </w:p>
        </w:tc>
        <w:tc>
          <w:tcPr>
            <w:tcW w:type="dxa" w:w="2160"/>
          </w:tcPr>
          <w:p>
            <w:r>
              <w:t>Agnuxo1</w:t>
            </w:r>
          </w:p>
        </w:tc>
        <w:tc>
          <w:tcPr>
            <w:tcW w:type="dxa" w:w="2160"/>
          </w:tcPr>
          <w:p>
            <w:r>
              <w:t>Proposes a structured multi‑modal navigation layer (the P2PCLAW Chess‑Grid) to guide the LLM’s ideation. Adds grid_generator.py to build a 16×16 grid of cross‑domain concepts, universal_agent_protocol.md defining the agent’s ‘SOUL’, and updates program.md to step through the grid. Aims to foster cross‑domain hypotheses and structured ideation【832398540605877†L64-L82】.</w:t>
            </w:r>
          </w:p>
        </w:tc>
      </w:tr>
      <w:tr>
        <w:tc>
          <w:tcPr>
            <w:tcW w:type="dxa" w:w="2160"/>
          </w:tcPr>
          <w:p>
            <w:r>
              <w:t>#211</w:t>
            </w:r>
          </w:p>
        </w:tc>
        <w:tc>
          <w:tcPr>
            <w:tcW w:type="dxa" w:w="2160"/>
          </w:tcPr>
          <w:p>
            <w:r>
              <w:t>Add MIT LICENSE file</w:t>
            </w:r>
          </w:p>
        </w:tc>
        <w:tc>
          <w:tcPr>
            <w:tcW w:type="dxa" w:w="2160"/>
          </w:tcPr>
          <w:p>
            <w:r>
              <w:t>rohitg00</w:t>
            </w:r>
          </w:p>
        </w:tc>
        <w:tc>
          <w:tcPr>
            <w:tcW w:type="dxa" w:w="2160"/>
          </w:tcPr>
          <w:p>
            <w:r>
              <w:t>Adds the standard MIT LICENSE file to the repository and updates README to link to it, making the license grant explicit【974615339805392†L63-L66】.</w:t>
            </w:r>
          </w:p>
        </w:tc>
      </w:tr>
      <w:tr>
        <w:tc>
          <w:tcPr>
            <w:tcW w:type="dxa" w:w="2160"/>
          </w:tcPr>
          <w:p>
            <w:r>
              <w:t>#207</w:t>
            </w:r>
          </w:p>
        </w:tc>
        <w:tc>
          <w:tcPr>
            <w:tcW w:type="dxa" w:w="2160"/>
          </w:tcPr>
          <w:p>
            <w:r>
              <w:t>Add DGX Spark / GB10 fork to notable forks</w:t>
            </w:r>
          </w:p>
        </w:tc>
        <w:tc>
          <w:tcPr>
            <w:tcW w:type="dxa" w:w="2160"/>
          </w:tcPr>
          <w:p>
            <w:r>
              <w:t>laudney</w:t>
            </w:r>
          </w:p>
        </w:tc>
        <w:tc>
          <w:tcPr>
            <w:tcW w:type="dxa" w:w="2160"/>
          </w:tcPr>
          <w:p>
            <w:r>
              <w:t>Adds a fork targeting NVIDIA’s GB10 (DGX Spark) hardware. The fork replaces FA3 with flex_attention kernels that support Blackwell SM121a, switches PyTorch wheels from cu128 to cu130, updates Python to 3.13, fixes MFU calculation for GB10’s 125 TFLOPS peak and drops the kernels dependency, yielding a 2.86× throughput improvement【114808049658689†L63-L79】.</w:t>
            </w:r>
          </w:p>
        </w:tc>
      </w:tr>
      <w:tr>
        <w:tc>
          <w:tcPr>
            <w:tcW w:type="dxa" w:w="2160"/>
          </w:tcPr>
          <w:p>
            <w:r>
              <w:t>#205</w:t>
            </w:r>
          </w:p>
        </w:tc>
        <w:tc>
          <w:tcPr>
            <w:tcW w:type="dxa" w:w="2160"/>
          </w:tcPr>
          <w:p>
            <w:r>
              <w:t>Add Apple Silicon MLX backend (self-contained, GPU‑accelerated Muon)</w:t>
            </w:r>
          </w:p>
        </w:tc>
        <w:tc>
          <w:tcPr>
            <w:tcW w:type="dxa" w:w="2160"/>
          </w:tcPr>
          <w:p>
            <w:r>
              <w:t>elementalcollision</w:t>
            </w:r>
          </w:p>
        </w:tc>
        <w:tc>
          <w:tcPr>
            <w:tcW w:type="dxa" w:w="2160"/>
          </w:tcPr>
          <w:p>
            <w:r>
              <w:t>Adds a self‑contained train_mlx.py for Apple Silicon using MLX. It ports the Muon+AdamW optimizer with Newton‑Schulz orthogonalization (float32 for stability), implements an MLX‑native dataloader and BPB evaluation, and adds optional mlx dependency. Includes test results and contrasts with alternative MLX PR #202【430248644438896†L69-L100】.</w:t>
            </w:r>
          </w:p>
        </w:tc>
      </w:tr>
      <w:tr>
        <w:tc>
          <w:tcPr>
            <w:tcW w:type="dxa" w:w="2160"/>
          </w:tcPr>
          <w:p>
            <w:r>
              <w:t>#204</w:t>
            </w:r>
          </w:p>
        </w:tc>
        <w:tc>
          <w:tcPr>
            <w:tcW w:type="dxa" w:w="2160"/>
          </w:tcPr>
          <w:p>
            <w:r>
              <w:t>Add early structural triage to kill degenerate experiments at 60s</w:t>
            </w:r>
          </w:p>
        </w:tc>
        <w:tc>
          <w:tcPr>
            <w:tcW w:type="dxa" w:w="2160"/>
          </w:tcPr>
          <w:p>
            <w:r>
              <w:t>a‑nom‑ali</w:t>
            </w:r>
          </w:p>
        </w:tc>
        <w:tc>
          <w:tcPr>
            <w:tcW w:type="dxa" w:w="2160"/>
          </w:tcPr>
          <w:p>
            <w:r>
              <w:t>Adds a structural health check that runs at ~60s to compute effective rank and gradient coherence; kills experiments early if rank retention drops below a threshold. Reports initial and final effective rank and rank retention, saving time on doomed configurations【417175801954133†L64-L87】.</w:t>
            </w:r>
          </w:p>
        </w:tc>
      </w:tr>
      <w:tr>
        <w:tc>
          <w:tcPr>
            <w:tcW w:type="dxa" w:w="2160"/>
          </w:tcPr>
          <w:p>
            <w:r>
              <w:t>#202</w:t>
            </w:r>
          </w:p>
        </w:tc>
        <w:tc>
          <w:tcPr>
            <w:tcW w:type="dxa" w:w="2160"/>
          </w:tcPr>
          <w:p>
            <w:r>
              <w:t>Add Apple Silicon / MLX training support (train_mlx.py)</w:t>
            </w:r>
          </w:p>
        </w:tc>
        <w:tc>
          <w:tcPr>
            <w:tcW w:type="dxa" w:w="2160"/>
          </w:tcPr>
          <w:p>
            <w:r>
              <w:t>AKHegde22</w:t>
            </w:r>
          </w:p>
        </w:tc>
        <w:tc>
          <w:tcPr>
            <w:tcW w:type="dxa" w:w="2160"/>
          </w:tcPr>
          <w:p>
            <w:r>
              <w:t>Provides native Apple Silicon support via MLX. Adds train_mlx.py replicating the architecture (GQA attention with RoPE, ResFormer MLP, sliding window, Muon+AdamW), modifies prepare.py with numpy-based dataloader and adds mlx dependency, leaving existing CUDA path unchanged【950069156630001†L63-L80】.</w:t>
            </w:r>
          </w:p>
        </w:tc>
      </w:tr>
      <w:tr>
        <w:tc>
          <w:tcPr>
            <w:tcW w:type="dxa" w:w="2160"/>
          </w:tcPr>
          <w:p>
            <w:r>
              <w:t>#201</w:t>
            </w:r>
          </w:p>
        </w:tc>
        <w:tc>
          <w:tcPr>
            <w:tcW w:type="dxa" w:w="2160"/>
          </w:tcPr>
          <w:p>
            <w:r>
              <w:t>[BUG] fix: notebook miss value 'best'</w:t>
            </w:r>
          </w:p>
        </w:tc>
        <w:tc>
          <w:tcPr>
            <w:tcW w:type="dxa" w:w="2160"/>
          </w:tcPr>
          <w:p>
            <w:r>
              <w:t>yuyu5333</w:t>
            </w:r>
          </w:p>
        </w:tc>
        <w:tc>
          <w:tcPr>
            <w:tcW w:type="dxa" w:w="2160"/>
          </w:tcPr>
          <w:p>
            <w:r>
              <w:t>Fixes an error in analysis notebook where the variable ‘best’ was undefined when generating progress plots. Adds definition of ‘best’ before plotting to prevent NameError【603699895854964†L63-L66】.</w:t>
            </w:r>
          </w:p>
        </w:tc>
      </w:tr>
      <w:tr>
        <w:tc>
          <w:tcPr>
            <w:tcW w:type="dxa" w:w="2160"/>
          </w:tcPr>
          <w:p>
            <w:r>
              <w:t>#199</w:t>
            </w:r>
          </w:p>
        </w:tc>
        <w:tc>
          <w:tcPr>
            <w:tcW w:type="dxa" w:w="2160"/>
          </w:tcPr>
          <w:p>
            <w:r>
              <w:t>Autonomous Fine-Tuning: An extension of Karpathy's autoresearch concept</w:t>
            </w:r>
          </w:p>
        </w:tc>
        <w:tc>
          <w:tcPr>
            <w:tcW w:type="dxa" w:w="2160"/>
          </w:tcPr>
          <w:p>
            <w:r>
              <w:t>lazyw0lf</w:t>
            </w:r>
          </w:p>
        </w:tc>
        <w:tc>
          <w:tcPr>
            <w:tcW w:type="dxa" w:w="2160"/>
          </w:tcPr>
          <w:p>
            <w:r>
              <w:t>Extends autoresearch to fine‑tune existing models instead of training from scratch. Adds multi‑GPU DDP support, LoRA adaptation and anti‑forgetting safeguards via experience replay【505337578254838†L64-L67】.</w:t>
            </w:r>
          </w:p>
        </w:tc>
      </w:tr>
      <w:tr>
        <w:tc>
          <w:tcPr>
            <w:tcW w:type="dxa" w:w="2160"/>
          </w:tcPr>
          <w:p>
            <w:r>
              <w:t>#193</w:t>
            </w:r>
          </w:p>
        </w:tc>
        <w:tc>
          <w:tcPr>
            <w:tcW w:type="dxa" w:w="2160"/>
          </w:tcPr>
          <w:p>
            <w:r>
              <w:t>Enhance experiment runner with deterministic controls</w:t>
            </w:r>
          </w:p>
        </w:tc>
        <w:tc>
          <w:tcPr>
            <w:tcW w:type="dxa" w:w="2160"/>
          </w:tcPr>
          <w:p>
            <w:r>
              <w:t>buzypi</w:t>
            </w:r>
          </w:p>
        </w:tc>
        <w:tc>
          <w:tcPr>
            <w:tcW w:type="dxa" w:w="2160"/>
          </w:tcPr>
          <w:p>
            <w:r>
              <w:t>Introduces run_experiment.py to orchestrate experiments with start/resume/status commands, stage controls (setup, baseline, loop with propose/apply/commit/train/triage/record/decide), resumable checkpoints under workflows/runs, and AGENTS.md runbook mapping natural‑language to commands. It improves repeatability, resume capability and human steering【486037871240061†L63-L88】.</w:t>
            </w:r>
          </w:p>
        </w:tc>
      </w:tr>
      <w:tr>
        <w:tc>
          <w:tcPr>
            <w:tcW w:type="dxa" w:w="2160"/>
          </w:tcPr>
          <w:p>
            <w:r>
              <w:t>#191</w:t>
            </w:r>
          </w:p>
        </w:tc>
        <w:tc>
          <w:tcPr>
            <w:tcW w:type="dxa" w:w="2160"/>
          </w:tcPr>
          <w:p>
            <w:r>
              <w:t>docs: add CONTRIBUTING.md</w:t>
            </w:r>
          </w:p>
        </w:tc>
        <w:tc>
          <w:tcPr>
            <w:tcW w:type="dxa" w:w="2160"/>
          </w:tcPr>
          <w:p>
            <w:r>
              <w:t>tykoo‑chen</w:t>
            </w:r>
          </w:p>
        </w:tc>
        <w:tc>
          <w:tcPr>
            <w:tcW w:type="dxa" w:w="2160"/>
          </w:tcPr>
          <w:p>
            <w:r>
              <w:t>Adds CONTRIBUTING.md with guidelines on how to contribute, expected code style, PR process and where to ask questions【724189699670021†L64-L70】.</w:t>
            </w:r>
          </w:p>
        </w:tc>
      </w:tr>
      <w:tr>
        <w:tc>
          <w:tcPr>
            <w:tcW w:type="dxa" w:w="2160"/>
          </w:tcPr>
          <w:p>
            <w:r>
              <w:t>#190</w:t>
            </w:r>
          </w:p>
        </w:tc>
        <w:tc>
          <w:tcPr>
            <w:tcW w:type="dxa" w:w="2160"/>
          </w:tcPr>
          <w:p>
            <w:r>
              <w:t>docs: add TSV validation tip to program.md</w:t>
            </w:r>
          </w:p>
        </w:tc>
        <w:tc>
          <w:tcPr>
            <w:tcW w:type="dxa" w:w="2160"/>
          </w:tcPr>
          <w:p>
            <w:r>
              <w:t>tykoo‑chen</w:t>
            </w:r>
          </w:p>
        </w:tc>
        <w:tc>
          <w:tcPr>
            <w:tcW w:type="dxa" w:w="2160"/>
          </w:tcPr>
          <w:p>
            <w:r>
              <w:t>Adds a tip to program.md advising users to validate results.tsv by checking the header and counting rows with `head -1` and `wc -l`, helping catch malformed TSV entries【6260090909684†L64-L69】.</w:t>
            </w:r>
          </w:p>
        </w:tc>
      </w:tr>
      <w:tr>
        <w:tc>
          <w:tcPr>
            <w:tcW w:type="dxa" w:w="2160"/>
          </w:tcPr>
          <w:p>
            <w:r>
              <w:t>#189</w:t>
            </w:r>
          </w:p>
        </w:tc>
        <w:tc>
          <w:tcPr>
            <w:tcW w:type="dxa" w:w="2160"/>
          </w:tcPr>
          <w:p>
            <w:r>
              <w:t>chore: add .editorconfig for consistent formatting</w:t>
            </w:r>
          </w:p>
        </w:tc>
        <w:tc>
          <w:tcPr>
            <w:tcW w:type="dxa" w:w="2160"/>
          </w:tcPr>
          <w:p>
            <w:r>
              <w:t>tykoo‑chen</w:t>
            </w:r>
          </w:p>
        </w:tc>
        <w:tc>
          <w:tcPr>
            <w:tcW w:type="dxa" w:w="2160"/>
          </w:tcPr>
          <w:p>
            <w:r>
              <w:t>Adds a .editorconfig file specifying 4‑space indentation, LF line endings, UTF‑8 encoding, no trailing whitespace and newline at EOF to ensure consistent formatting across editors【605959027667770†L64-L71】.</w:t>
            </w:r>
          </w:p>
        </w:tc>
      </w:tr>
      <w:tr>
        <w:tc>
          <w:tcPr>
            <w:tcW w:type="dxa" w:w="2160"/>
          </w:tcPr>
          <w:p>
            <w:r>
              <w:t>#188</w:t>
            </w:r>
          </w:p>
        </w:tc>
        <w:tc>
          <w:tcPr>
            <w:tcW w:type="dxa" w:w="2160"/>
          </w:tcPr>
          <w:p>
            <w:r>
              <w:t>fix: add helpful error messages to asserts</w:t>
            </w:r>
          </w:p>
        </w:tc>
        <w:tc>
          <w:tcPr>
            <w:tcW w:type="dxa" w:w="2160"/>
          </w:tcPr>
          <w:p>
            <w:r>
              <w:t>tykoo‑chen</w:t>
            </w:r>
          </w:p>
        </w:tc>
        <w:tc>
          <w:tcPr>
            <w:tcW w:type="dxa" w:w="2160"/>
          </w:tcPr>
          <w:p>
            <w:r>
              <w:t>Adds descriptive messages to assertion checks in train.py so users see meaningful errors when TOTAL_BATCH_SIZE isn’t divisible by tokens_per_fwdbwd or when invalid window patterns are specified【672154894455382†L64-L72】.</w:t>
            </w:r>
          </w:p>
        </w:tc>
      </w:tr>
      <w:tr>
        <w:tc>
          <w:tcPr>
            <w:tcW w:type="dxa" w:w="2160"/>
          </w:tcPr>
          <w:p>
            <w:r>
              <w:t>#187</w:t>
            </w:r>
          </w:p>
        </w:tc>
        <w:tc>
          <w:tcPr>
            <w:tcW w:type="dxa" w:w="2160"/>
          </w:tcPr>
          <w:p>
            <w:r>
              <w:t>docs: add experiment strategy tips to program.md</w:t>
            </w:r>
          </w:p>
        </w:tc>
        <w:tc>
          <w:tcPr>
            <w:tcW w:type="dxa" w:w="2160"/>
          </w:tcPr>
          <w:p>
            <w:r>
              <w:t>tykoo‑chen</w:t>
            </w:r>
          </w:p>
        </w:tc>
        <w:tc>
          <w:tcPr>
            <w:tcW w:type="dxa" w:w="2160"/>
          </w:tcPr>
          <w:p>
            <w:r>
              <w:t>Adds an Experiment Strategy Tips section advising agents to prioritize high‑impact changes (LR, model size, batch size), avoid changing too many things at once, revert or combine ideas when stuck and recognize signs of good experiments【726405316307518†L64-L72】.</w:t>
            </w:r>
          </w:p>
        </w:tc>
      </w:tr>
      <w:tr>
        <w:tc>
          <w:tcPr>
            <w:tcW w:type="dxa" w:w="2160"/>
          </w:tcPr>
          <w:p>
            <w:r>
              <w:t>#186</w:t>
            </w:r>
          </w:p>
        </w:tc>
        <w:tc>
          <w:tcPr>
            <w:tcW w:type="dxa" w:w="2160"/>
          </w:tcPr>
          <w:p>
            <w:r>
              <w:t>docs: add Troubleshooting section to README</w:t>
            </w:r>
          </w:p>
        </w:tc>
        <w:tc>
          <w:tcPr>
            <w:tcW w:type="dxa" w:w="2160"/>
          </w:tcPr>
          <w:p>
            <w:r>
              <w:t>tykoo‑chen</w:t>
            </w:r>
          </w:p>
        </w:tc>
        <w:tc>
          <w:tcPr>
            <w:tcW w:type="dxa" w:w="2160"/>
          </w:tcPr>
          <w:p>
            <w:r>
              <w:t>Adds a Troubleshooting section covering common issues such as no CUDA GPU (points users to MLX forks or drivers), CUDA out‑of‑memory (reduce batch size and depth), kernels/Flash Attention errors (uv sync --reinstall), loss not decreasing (explain warmup), and script hangs (torch.compile overhead)【356885810769921†L64-L70】.</w:t>
            </w:r>
          </w:p>
        </w:tc>
      </w:tr>
      <w:tr>
        <w:tc>
          <w:tcPr>
            <w:tcW w:type="dxa" w:w="2160"/>
          </w:tcPr>
          <w:p>
            <w:r>
              <w:t>#185</w:t>
            </w:r>
          </w:p>
        </w:tc>
        <w:tc>
          <w:tcPr>
            <w:tcW w:type="dxa" w:w="2160"/>
          </w:tcPr>
          <w:p>
            <w:r>
              <w:t>feat: print startup_time in final summary</w:t>
            </w:r>
          </w:p>
        </w:tc>
        <w:tc>
          <w:tcPr>
            <w:tcW w:type="dxa" w:w="2160"/>
          </w:tcPr>
          <w:p>
            <w:r>
              <w:t>tykoo‑chen</w:t>
            </w:r>
          </w:p>
        </w:tc>
        <w:tc>
          <w:tcPr>
            <w:tcW w:type="dxa" w:w="2160"/>
          </w:tcPr>
          <w:p>
            <w:r>
              <w:t>Prints startup_seconds in the final summary to help users understand compile overhead and debug slow startup【158745466766710†L64-L70】.</w:t>
            </w:r>
          </w:p>
        </w:tc>
      </w:tr>
      <w:tr>
        <w:tc>
          <w:tcPr>
            <w:tcW w:type="dxa" w:w="2160"/>
          </w:tcPr>
          <w:p>
            <w:r>
              <w:t>#182</w:t>
            </w:r>
          </w:p>
        </w:tc>
        <w:tc>
          <w:tcPr>
            <w:tcW w:type="dxa" w:w="2160"/>
          </w:tcPr>
          <w:p>
            <w:r>
              <w:t>Add SKILL.md for context learning between agents</w:t>
            </w:r>
          </w:p>
        </w:tc>
        <w:tc>
          <w:tcPr>
            <w:tcW w:type="dxa" w:w="2160"/>
          </w:tcPr>
          <w:p>
            <w:r>
              <w:t>heidiEC</w:t>
            </w:r>
          </w:p>
        </w:tc>
        <w:tc>
          <w:tcPr>
            <w:tcW w:type="dxa" w:w="2160"/>
          </w:tcPr>
          <w:p>
            <w:r>
              <w:t>Adds SKILL.md describing a skill that connects the agent to a shared world model. Agents read community knowledge and write back their findings, with certainty scores increasing as multiple agents confirm results【418091805771637†L63-L72】.</w:t>
            </w:r>
          </w:p>
        </w:tc>
      </w:tr>
      <w:tr>
        <w:tc>
          <w:tcPr>
            <w:tcW w:type="dxa" w:w="2160"/>
          </w:tcPr>
          <w:p>
            <w:r>
              <w:t>#177</w:t>
            </w:r>
          </w:p>
        </w:tc>
        <w:tc>
          <w:tcPr>
            <w:tcW w:type="dxa" w:w="2160"/>
          </w:tcPr>
          <w:p>
            <w:r>
              <w:t>feat: print GPU name and VRAM at startup</w:t>
            </w:r>
          </w:p>
        </w:tc>
        <w:tc>
          <w:tcPr>
            <w:tcW w:type="dxa" w:w="2160"/>
          </w:tcPr>
          <w:p>
            <w:r>
              <w:t>tykoo‑chen</w:t>
            </w:r>
          </w:p>
        </w:tc>
        <w:tc>
          <w:tcPr>
            <w:tcW w:type="dxa" w:w="2160"/>
          </w:tcPr>
          <w:p>
            <w:r>
              <w:t>Adds code to print the GPU name and total VRAM at startup, aiding debugging and ensuring the correct GPU is used【149322861934962†L64-L73】.</w:t>
            </w:r>
          </w:p>
        </w:tc>
      </w:tr>
      <w:tr>
        <w:tc>
          <w:tcPr>
            <w:tcW w:type="dxa" w:w="2160"/>
          </w:tcPr>
          <w:p>
            <w:r>
              <w:t>#176</w:t>
            </w:r>
          </w:p>
        </w:tc>
        <w:tc>
          <w:tcPr>
            <w:tcW w:type="dxa" w:w="2160"/>
          </w:tcPr>
          <w:p>
            <w:r>
              <w:t>feat: add CUDA availability check with helpful error message</w:t>
            </w:r>
          </w:p>
        </w:tc>
        <w:tc>
          <w:tcPr>
            <w:tcW w:type="dxa" w:w="2160"/>
          </w:tcPr>
          <w:p>
            <w:r>
              <w:t>tykoo‑chen</w:t>
            </w:r>
          </w:p>
        </w:tc>
        <w:tc>
          <w:tcPr>
            <w:tcW w:type="dxa" w:w="2160"/>
          </w:tcPr>
          <w:p>
            <w:r>
              <w:t>Adds a check at the start of train.py to verify CUDA is available. If not, prints a clear message that an NVIDIA GPU is required and points Mac users to MLX forks or suggests installing drivers【862312837756190†L64-L77】.</w:t>
            </w:r>
          </w:p>
        </w:tc>
      </w:tr>
      <w:tr>
        <w:tc>
          <w:tcPr>
            <w:tcW w:type="dxa" w:w="2160"/>
          </w:tcPr>
          <w:p>
            <w:r>
              <w:t>#175</w:t>
            </w:r>
          </w:p>
        </w:tc>
        <w:tc>
          <w:tcPr>
            <w:tcW w:type="dxa" w:w="2160"/>
          </w:tcPr>
          <w:p>
            <w:r>
              <w:t>fix(notebook): define 'best' before use in plotting cell</w:t>
            </w:r>
          </w:p>
        </w:tc>
        <w:tc>
          <w:tcPr>
            <w:tcW w:type="dxa" w:w="2160"/>
          </w:tcPr>
          <w:p>
            <w:r>
              <w:t>tykoo‑chen</w:t>
            </w:r>
          </w:p>
        </w:tc>
        <w:tc>
          <w:tcPr>
            <w:tcW w:type="dxa" w:w="2160"/>
          </w:tcPr>
          <w:p>
            <w:r>
              <w:t>Defines the variable ‘best’ before it is used in analysis.ipynb plotting code, falling back to baseline_bpb when no experiments have been kept【703547797706635†L64-L71】.</w:t>
            </w:r>
          </w:p>
        </w:tc>
      </w:tr>
      <w:tr>
        <w:tc>
          <w:tcPr>
            <w:tcW w:type="dxa" w:w="2160"/>
          </w:tcPr>
          <w:p>
            <w:r>
              <w:t>#161</w:t>
            </w:r>
          </w:p>
        </w:tc>
        <w:tc>
          <w:tcPr>
            <w:tcW w:type="dxa" w:w="2160"/>
          </w:tcPr>
          <w:p>
            <w:r>
              <w:t>Add SDPA fallback for sliding-window attention</w:t>
            </w:r>
          </w:p>
        </w:tc>
        <w:tc>
          <w:tcPr>
            <w:tcW w:type="dxa" w:w="2160"/>
          </w:tcPr>
          <w:p>
            <w:r>
              <w:t>fayerman-source</w:t>
            </w:r>
          </w:p>
        </w:tc>
        <w:tc>
          <w:tcPr>
            <w:tcW w:type="dxa" w:w="2160"/>
          </w:tcPr>
          <w:p>
            <w:r>
              <w:t>Uses Flash Attention 3 only on Hopper GPUs and falls back to PyTorch’s scaled dot‑product attention (SDPA) on other GPUs. Precomputes sliding‑window masks to avoid repeated computation. Allows the same model to run on non‑Hopper GPUs and includes microbenchmark results【934727981187003†L67-L79】.</w:t>
            </w:r>
          </w:p>
        </w:tc>
      </w:tr>
      <w:tr>
        <w:tc>
          <w:tcPr>
            <w:tcW w:type="dxa" w:w="2160"/>
          </w:tcPr>
          <w:p>
            <w:r>
              <w:t>#160</w:t>
            </w:r>
          </w:p>
        </w:tc>
        <w:tc>
          <w:tcPr>
            <w:tcW w:type="dxa" w:w="2160"/>
          </w:tcPr>
          <w:p>
            <w:r>
              <w:t>Fix small issues (draft)</w:t>
            </w:r>
          </w:p>
        </w:tc>
        <w:tc>
          <w:tcPr>
            <w:tcW w:type="dxa" w:w="2160"/>
          </w:tcPr>
          <w:p>
            <w:r>
              <w:t>svlandeg</w:t>
            </w:r>
          </w:p>
        </w:tc>
        <w:tc>
          <w:tcPr>
            <w:tcW w:type="dxa" w:w="2160"/>
          </w:tcPr>
          <w:p>
            <w:r>
              <w:t>Draft PR opened to accumulate several small fixes; details TBD【821623807572633†L63-L65】.</w:t>
            </w:r>
          </w:p>
        </w:tc>
      </w:tr>
      <w:tr>
        <w:tc>
          <w:tcPr>
            <w:tcW w:type="dxa" w:w="2160"/>
          </w:tcPr>
          <w:p>
            <w:r>
              <w:t>#154</w:t>
            </w:r>
          </w:p>
        </w:tc>
        <w:tc>
          <w:tcPr>
            <w:tcW w:type="dxa" w:w="2160"/>
          </w:tcPr>
          <w:p>
            <w:r>
              <w:t>feat: confine agent to project directory via Claude Code hooks</w:t>
            </w:r>
          </w:p>
        </w:tc>
        <w:tc>
          <w:tcPr>
            <w:tcW w:type="dxa" w:w="2160"/>
          </w:tcPr>
          <w:p>
            <w:r>
              <w:t>ArmanJR</w:t>
            </w:r>
          </w:p>
        </w:tc>
        <w:tc>
          <w:tcPr>
            <w:tcW w:type="dxa" w:w="2160"/>
          </w:tcPr>
          <w:p>
            <w:r>
              <w:t>Adds a .claude/ configuration that registers PreToolUse hooks for Bash, Read, Write, Edit, Glob and Grep to prevent the agent from accessing files outside the project directory. The hook script blocks cd/pushd/popd commands, denies file access outside CLAUDE_PROJECT_DIR, and protects the hooks themselves【289903107752959†L63-L77】.</w:t>
            </w:r>
          </w:p>
        </w:tc>
      </w:tr>
      <w:tr>
        <w:tc>
          <w:tcPr>
            <w:tcW w:type="dxa" w:w="2160"/>
          </w:tcPr>
          <w:p>
            <w:r>
              <w:t>#153</w:t>
            </w:r>
          </w:p>
        </w:tc>
        <w:tc>
          <w:tcPr>
            <w:tcW w:type="dxa" w:w="2160"/>
          </w:tcPr>
          <w:p>
            <w:r>
              <w:t>feat(autoresearch): add checkpoint, config, and queue management system</w:t>
            </w:r>
          </w:p>
        </w:tc>
        <w:tc>
          <w:tcPr>
            <w:tcW w:type="dxa" w:w="2160"/>
          </w:tcPr>
          <w:p>
            <w:r>
              <w:t>BenBreaksIn</w:t>
            </w:r>
          </w:p>
        </w:tc>
        <w:tc>
          <w:tcPr>
            <w:tcW w:type="dxa" w:w="2160"/>
          </w:tcPr>
          <w:p>
            <w:r>
              <w:t>Introduces multiple modules: checkpoint.py for saving and resuming models; config.py for centralized configuration with environment variable overrides; gpu_queue.py for file‑based job queueing and GPU time‑sharing; knowledge.py for agent knowledge base; launch.py for orchestration; run_experiment.py; and programs/ directory defining roles (analyst, director, explorer, optimizer, reviewer). It updates analysis, prepare and train scripts and program.md, enabling multi‑agent research with GPU sharing and structured experiments【457409997024436†L65-L77】.</w:t>
            </w:r>
          </w:p>
        </w:tc>
      </w:tr>
      <w:tr>
        <w:tc>
          <w:tcPr>
            <w:tcW w:type="dxa" w:w="2160"/>
          </w:tcPr>
          <w:p>
            <w:r>
              <w:t>#151</w:t>
            </w:r>
          </w:p>
        </w:tc>
        <w:tc>
          <w:tcPr>
            <w:tcW w:type="dxa" w:w="2160"/>
          </w:tcPr>
          <w:p>
            <w:r>
              <w:t>Add optional checkpoint import/export hooks</w:t>
            </w:r>
          </w:p>
        </w:tc>
        <w:tc>
          <w:tcPr>
            <w:tcW w:type="dxa" w:w="2160"/>
          </w:tcPr>
          <w:p>
            <w:r>
              <w:t>corysmart</w:t>
            </w:r>
          </w:p>
        </w:tc>
        <w:tc>
          <w:tcPr>
            <w:tcW w:type="dxa" w:w="2160"/>
          </w:tcPr>
          <w:p>
            <w:r>
              <w:t>Adds maybe_load_checkpoint() and maybe_save_checkpoint() functions controlled by AUTORESEARCH_LOAD_CHECKPOINT and AUTORESEARCH_SAVE_CHECKPOINT environment variables. Allows loading partial state dicts and saving model state and run metadata without altering default training logic【692271681433773†L63-L76】.</w:t>
            </w:r>
          </w:p>
        </w:tc>
      </w:tr>
      <w:tr>
        <w:tc>
          <w:tcPr>
            <w:tcW w:type="dxa" w:w="2160"/>
          </w:tcPr>
          <w:p>
            <w:r>
              <w:t>#145</w:t>
            </w:r>
          </w:p>
        </w:tc>
        <w:tc>
          <w:tcPr>
            <w:tcW w:type="dxa" w:w="2160"/>
          </w:tcPr>
          <w:p>
            <w:r>
              <w:t>Harden cache artifact trust boundary in prepare.py</w:t>
            </w:r>
          </w:p>
        </w:tc>
        <w:tc>
          <w:tcPr>
            <w:tcW w:type="dxa" w:w="2160"/>
          </w:tcPr>
          <w:p>
            <w:r>
              <w:t>Xingkai98</w:t>
            </w:r>
          </w:p>
        </w:tc>
        <w:tc>
          <w:tcPr>
            <w:tcW w:type="dxa" w:w="2160"/>
          </w:tcPr>
          <w:p>
            <w:r>
              <w:t>Adds SHA‑256 hash verification for tokenizer.pkl and token_bytes.pt, stores hashes in metadata.json, uses torch.load(weights_only=True) for safer deserialization, and raises clear errors suggesting re‑running prepare.py when integrity checks fail【772708686327930†L220-L231】.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