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69B6D3A9"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r>
              <w:t>VERBALE DI RIUNIONE:</w:t>
              <w:br/>
              <w:t>Verbale SAL – Reingegnerizzazione UI/UX ASI – 07/07/2026</w:t>
            </w:r>
          </w:p>
        </w:tc>
      </w:tr>
    </w:tbl>
    <w:p w14:paraId="71E8A2ED" w14:textId="59EED799" w:rsidR="00D47C1D" w:rsidRPr="000C40B9" w:rsidRDefault="00D47C1D" w:rsidP="000C40B9">
      <w:pPr>
        <w:pStyle w:val="DocumentInformation"/>
        <w:spacing w:line="360" w:lineRule="auto"/>
        <w:divId w:val="1672484618"/>
        <w:rPr>
          <w:noProof w:val="0"/>
          <w:lang w:val="it-IT"/>
        </w:rPr>
      </w:pPr>
      <w:r w:rsidRPr="000C40B9">
        <w:rPr>
          <w:noProof w:val="0"/>
          <w:lang w:val="it-IT"/>
        </w:rPr>
        <w:lastRenderedPageBreak/>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4901AD09" w14:textId="77777777" w:rsidTr="004F3D7A">
        <w:trPr>
          <w:divId w:val="1672484618"/>
          <w:trHeight w:val="288"/>
        </w:trPr>
        <w:tc>
          <w:tcPr>
            <w:tcW w:w="3114" w:type="dxa"/>
            <w:vAlign w:val="center"/>
          </w:tcPr>
          <w:p w14:paraId="34074191" w14:textId="77777777" w:rsidR="004F3D7A" w:rsidRPr="000C40B9" w:rsidRDefault="004F3D7A" w:rsidP="000C40B9">
            <w:pPr>
              <w:widowControl/>
              <w:spacing w:before="0" w:after="120" w:line="360" w:lineRule="auto"/>
              <w:ind w:left="0"/>
              <w:jc w:val="left"/>
              <w:rPr>
                <w:rFonts w:cs="Arial"/>
                <w:b/>
                <w:color w:val="000000"/>
                <w:lang w:eastAsia="en-US"/>
              </w:rPr>
            </w:pPr>
            <w:bookmarkStart w:id="1" w:name="_Hlk26437519"/>
            <w:bookmarkStart w:id="2" w:name="_Hlk24463236"/>
            <w:r w:rsidRPr="000C40B9">
              <w:rPr>
                <w:rFonts w:cs="Arial"/>
                <w:b/>
                <w:color w:val="000000"/>
                <w:lang w:eastAsia="en-US"/>
              </w:rPr>
              <w:t>Nome documento</w:t>
            </w:r>
          </w:p>
        </w:tc>
        <w:tc>
          <w:tcPr>
            <w:tcW w:w="6125" w:type="dxa"/>
            <w:vAlign w:val="center"/>
          </w:tcPr>
          <w:p>
            <w:r>
              <w:t>Verbale SAL – Reingegnerizzazione UI/UX ASI – 07/07/2026</w:t>
            </w:r>
          </w:p>
        </w:tc>
      </w:tr>
      <w:tr w:rsidR="004F3D7A" w:rsidRPr="000C40B9" w14:paraId="5FA9FADF" w14:textId="77777777" w:rsidTr="004F3D7A">
        <w:trPr>
          <w:divId w:val="1672484618"/>
          <w:trHeight w:val="288"/>
        </w:trPr>
        <w:tc>
          <w:tcPr>
            <w:tcW w:w="3114" w:type="dxa"/>
            <w:vAlign w:val="center"/>
          </w:tcPr>
          <w:p w14:paraId="605807F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SSU</w:t>
            </w:r>
          </w:p>
        </w:tc>
        <w:tc>
          <w:tcPr>
            <w:tcW w:w="6125" w:type="dxa"/>
            <w:vAlign w:val="center"/>
          </w:tcPr>
          <w:p>
            <w:r>
              <w:t>-</w:t>
            </w:r>
          </w:p>
        </w:tc>
      </w:tr>
      <w:tr w:rsidR="004F3D7A" w:rsidRPr="000C40B9" w14:paraId="00D35B14" w14:textId="77777777" w:rsidTr="004F3D7A">
        <w:trPr>
          <w:divId w:val="1672484618"/>
          <w:trHeight w:val="288"/>
        </w:trPr>
        <w:tc>
          <w:tcPr>
            <w:tcW w:w="3114" w:type="dxa"/>
            <w:vAlign w:val="center"/>
          </w:tcPr>
          <w:p w14:paraId="170A1CF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r>
              <w:t>Michele Friscia, Capobianco Paolo</w:t>
            </w:r>
          </w:p>
        </w:tc>
      </w:tr>
      <w:tr w:rsidR="004F3D7A" w:rsidRPr="000C40B9" w14:paraId="1BAF1883" w14:textId="77777777" w:rsidTr="004F3D7A">
        <w:trPr>
          <w:divId w:val="1672484618"/>
          <w:trHeight w:val="288"/>
        </w:trPr>
        <w:tc>
          <w:tcPr>
            <w:tcW w:w="3114" w:type="dxa"/>
            <w:vAlign w:val="center"/>
          </w:tcPr>
          <w:p w14:paraId="4759AE8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r>
              <w:t>Santina Niglio</w:t>
            </w:r>
          </w:p>
        </w:tc>
      </w:tr>
      <w:tr w:rsidR="004F3D7A" w:rsidRPr="000C40B9" w14:paraId="5538E0E0" w14:textId="77777777" w:rsidTr="004F3D7A">
        <w:trPr>
          <w:divId w:val="1672484618"/>
          <w:trHeight w:val="288"/>
        </w:trPr>
        <w:tc>
          <w:tcPr>
            <w:tcW w:w="3114" w:type="dxa"/>
            <w:vAlign w:val="center"/>
          </w:tcPr>
          <w:p w14:paraId="274C0C9E"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r>
              <w:t>-</w:t>
            </w:r>
          </w:p>
        </w:tc>
      </w:tr>
      <w:tr w:rsidR="004F3D7A" w:rsidRPr="000C40B9" w14:paraId="1884F84F" w14:textId="77777777" w:rsidTr="004F3D7A">
        <w:trPr>
          <w:divId w:val="1672484618"/>
          <w:trHeight w:val="288"/>
        </w:trPr>
        <w:tc>
          <w:tcPr>
            <w:tcW w:w="3114" w:type="dxa"/>
            <w:vAlign w:val="center"/>
          </w:tcPr>
          <w:p w14:paraId="0217E3B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r>
              <w:t>«Sviluppo Applicativo INPS» Lotto 2 CIG: 96497845AB</w:t>
            </w:r>
          </w:p>
        </w:tc>
      </w:tr>
      <w:tr w:rsidR="004F3D7A" w:rsidRPr="00CA18D2" w14:paraId="1611EDC4" w14:textId="77777777" w:rsidTr="004F3D7A">
        <w:trPr>
          <w:divId w:val="1672484618"/>
          <w:trHeight w:val="288"/>
        </w:trPr>
        <w:tc>
          <w:tcPr>
            <w:tcW w:w="3114" w:type="dxa"/>
            <w:vAlign w:val="center"/>
          </w:tcPr>
          <w:p w14:paraId="4036B4FB"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r>
              <w:t>Almaviva S.p.A.</w:t>
            </w:r>
          </w:p>
        </w:tc>
      </w:tr>
      <w:bookmarkEnd w:id="1"/>
    </w:tbl>
    <w:p w14:paraId="2CD0A34D" w14:textId="29470DB8"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8CE48D9" w14:textId="77777777" w:rsidTr="00D47C1D">
        <w:trPr>
          <w:divId w:val="1672484618"/>
          <w:trHeight w:val="317"/>
          <w:tblHeader/>
        </w:trPr>
        <w:tc>
          <w:tcPr>
            <w:tcW w:w="1224" w:type="dxa"/>
            <w:shd w:val="clear" w:color="auto" w:fill="169CD8"/>
            <w:vAlign w:val="center"/>
          </w:tcPr>
          <w:p w14:paraId="5B15824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6334F98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025567F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21814F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A3F2378" w14:textId="77777777" w:rsidTr="00D47C1D">
        <w:trPr>
          <w:divId w:val="1672484618"/>
        </w:trPr>
        <w:tc>
          <w:tcPr>
            <w:tcW w:w="1224" w:type="dxa"/>
          </w:tcPr>
          <w:p>
            <w:r>
              <w:t>1.0</w:t>
            </w:r>
          </w:p>
        </w:tc>
        <w:tc>
          <w:tcPr>
            <w:tcW w:w="1890" w:type="dxa"/>
          </w:tcPr>
          <w:p>
            <w:r>
              <w:t>07/07/2026</w:t>
            </w:r>
          </w:p>
        </w:tc>
        <w:tc>
          <w:tcPr>
            <w:tcW w:w="3420" w:type="dxa"/>
          </w:tcPr>
          <w:p>
            <w:r>
              <w:t>Versione iniziale</w:t>
            </w:r>
          </w:p>
        </w:tc>
        <w:tc>
          <w:tcPr>
            <w:tcW w:w="2662" w:type="dxa"/>
          </w:tcPr>
          <w:p>
            <w:r>
              <w:t>-</w:t>
            </w:r>
          </w:p>
        </w:tc>
      </w:tr>
    </w:tbl>
    <w:p w14:paraId="471A46F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1F989B6D" w14:textId="77777777" w:rsidTr="00D47C1D">
        <w:trPr>
          <w:divId w:val="1672484618"/>
          <w:cantSplit/>
          <w:trHeight w:val="367"/>
          <w:tblHeader/>
        </w:trPr>
        <w:tc>
          <w:tcPr>
            <w:tcW w:w="1269" w:type="dxa"/>
            <w:shd w:val="clear" w:color="auto" w:fill="169CD8"/>
          </w:tcPr>
          <w:p w14:paraId="56216B5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5B1FBA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6B510E2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DF3D5C8" w14:textId="77777777" w:rsidTr="00D47C1D">
        <w:trPr>
          <w:divId w:val="1672484618"/>
        </w:trPr>
        <w:tc>
          <w:tcPr>
            <w:tcW w:w="1269" w:type="dxa"/>
          </w:tcPr>
          <w:p>
            <w:r>
              <w:t>1.0</w:t>
            </w:r>
          </w:p>
        </w:tc>
        <w:tc>
          <w:tcPr>
            <w:tcW w:w="3995" w:type="dxa"/>
          </w:tcPr>
          <w:p>
            <w:r>
              <w:t>Mercuri Flavio</w:t>
            </w:r>
          </w:p>
        </w:tc>
        <w:tc>
          <w:tcPr>
            <w:tcW w:w="3943" w:type="dxa"/>
          </w:tcPr>
          <w:p>
            <w:r>
              <w:t>Almaviva S.p.A.</w:t>
            </w:r>
          </w:p>
        </w:tc>
      </w:tr>
    </w:tbl>
    <w:p w14:paraId="719DBB2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44894F15" w14:textId="77777777" w:rsidTr="00D47C1D">
        <w:trPr>
          <w:divId w:val="1672484618"/>
          <w:cantSplit/>
          <w:trHeight w:val="367"/>
          <w:tblHeader/>
        </w:trPr>
        <w:tc>
          <w:tcPr>
            <w:tcW w:w="3827" w:type="dxa"/>
            <w:shd w:val="clear" w:color="auto" w:fill="169CD8"/>
            <w:vAlign w:val="center"/>
          </w:tcPr>
          <w:p w14:paraId="4B21846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5FE08C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0D207CF8" w14:textId="77777777" w:rsidTr="00D47C1D">
        <w:trPr>
          <w:divId w:val="1672484618"/>
        </w:trPr>
        <w:tc>
          <w:tcPr>
            <w:tcW w:w="3827" w:type="dxa"/>
          </w:tcPr>
          <w:p>
            <w:r>
              <w:t>Capobianco Paolo</w:t>
            </w:r>
          </w:p>
        </w:tc>
        <w:tc>
          <w:tcPr>
            <w:tcW w:w="5380" w:type="dxa"/>
          </w:tcPr>
          <w:p>
            <w:r>
              <w:t>INPS</w:t>
            </w:r>
          </w:p>
        </w:tc>
      </w:tr>
      <w:tr w:rsidR="00D47C1D" w:rsidRPr="000C40B9" w14:paraId="0D207CF8" w14:textId="77777777" w:rsidTr="00D47C1D">
        <w:trPr>
          <w:divId w:val="1672484618"/>
        </w:trPr>
        <w:tc>
          <w:tcPr>
            <w:tcW w:w="3827" w:type="dxa"/>
          </w:tcPr>
          <w:p>
            <w:r>
              <w:t>Laferla Gianluca</w:t>
            </w:r>
          </w:p>
        </w:tc>
        <w:tc>
          <w:tcPr>
            <w:tcW w:w="5380" w:type="dxa"/>
          </w:tcPr>
          <w:p>
            <w:r>
              <w:t>Almaviva S.p.A.</w:t>
            </w:r>
          </w:p>
        </w:tc>
      </w:tr>
      <w:tr w:rsidR="00D47C1D" w:rsidRPr="000C40B9" w14:paraId="0D207CF8" w14:textId="77777777" w:rsidTr="00D47C1D">
        <w:trPr>
          <w:divId w:val="1672484618"/>
        </w:trPr>
        <w:tc>
          <w:tcPr>
            <w:tcW w:w="3827" w:type="dxa"/>
          </w:tcPr>
          <w:p>
            <w:r>
              <w:t>Mercuri Flavio</w:t>
            </w:r>
          </w:p>
        </w:tc>
        <w:tc>
          <w:tcPr>
            <w:tcW w:w="5380" w:type="dxa"/>
          </w:tcPr>
          <w:p>
            <w:r>
              <w:t>Almaviva S.p.A.</w:t>
            </w:r>
          </w:p>
        </w:tc>
      </w:tr>
      <w:tr w:rsidR="00D47C1D" w:rsidRPr="000C40B9" w14:paraId="0D207CF8" w14:textId="77777777" w:rsidTr="00D47C1D">
        <w:trPr>
          <w:divId w:val="1672484618"/>
        </w:trPr>
        <w:tc>
          <w:tcPr>
            <w:tcW w:w="3827" w:type="dxa"/>
          </w:tcPr>
          <w:p>
            <w:r>
              <w:t>Michele Friscia</w:t>
            </w:r>
          </w:p>
        </w:tc>
        <w:tc>
          <w:tcPr>
            <w:tcW w:w="5380" w:type="dxa"/>
          </w:tcPr>
          <w:p>
            <w:r>
              <w:t>INPS</w:t>
            </w:r>
          </w:p>
        </w:tc>
      </w:tr>
      <w:tr w:rsidR="00D47C1D" w:rsidRPr="000C40B9" w14:paraId="0D207CF8" w14:textId="77777777" w:rsidTr="00D47C1D">
        <w:trPr>
          <w:divId w:val="1672484618"/>
        </w:trPr>
        <w:tc>
          <w:tcPr>
            <w:tcW w:w="3827" w:type="dxa"/>
          </w:tcPr>
          <w:p>
            <w:r>
              <w:t>Tantar Ana Maria</w:t>
            </w:r>
          </w:p>
        </w:tc>
        <w:tc>
          <w:tcPr>
            <w:tcW w:w="5380" w:type="dxa"/>
          </w:tcPr>
          <w:p>
            <w:r>
              <w:t>Almaviva S.p.A.</w:t>
            </w:r>
          </w:p>
        </w:tc>
      </w:tr>
    </w:tbl>
    <w:p w14:paraId="4C510E2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562137C1" w14:textId="77777777" w:rsidTr="00D47C1D">
        <w:trPr>
          <w:divId w:val="1672484618"/>
          <w:cantSplit/>
          <w:trHeight w:val="367"/>
          <w:tblHeader/>
        </w:trPr>
        <w:tc>
          <w:tcPr>
            <w:tcW w:w="1411" w:type="dxa"/>
            <w:shd w:val="clear" w:color="auto" w:fill="169CD8"/>
          </w:tcPr>
          <w:bookmarkEnd w:id="2"/>
          <w:p w14:paraId="5C98E35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7056F73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53560A8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26DF0DC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D9B37A3" w14:textId="77777777" w:rsidTr="00D47C1D">
        <w:trPr>
          <w:divId w:val="1672484618"/>
        </w:trPr>
        <w:tc>
          <w:tcPr>
            <w:tcW w:w="1411" w:type="dxa"/>
          </w:tcPr>
          <w:p>
            <w:r>
              <w:t>1.0</w:t>
            </w:r>
          </w:p>
        </w:tc>
        <w:tc>
          <w:tcPr>
            <w:tcW w:w="1647" w:type="dxa"/>
          </w:tcPr>
          <w:p>
            <w:r>
              <w:t>-</w:t>
            </w:r>
          </w:p>
        </w:tc>
        <w:tc>
          <w:tcPr>
            <w:tcW w:w="2693" w:type="dxa"/>
          </w:tcPr>
          <w:p>
            <w:r>
              <w:t>-</w:t>
            </w:r>
          </w:p>
        </w:tc>
        <w:tc>
          <w:tcPr>
            <w:tcW w:w="3456" w:type="dxa"/>
          </w:tcPr>
          <w:p>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38287E12" w14:textId="75A25CE3" w:rsidR="000C40B9" w:rsidRPr="000C40B9" w:rsidRDefault="000C40B9" w:rsidP="00AD23C0">
          <w:pPr>
            <w:pStyle w:val="Titolosommario"/>
            <w:spacing w:line="360" w:lineRule="auto"/>
          </w:pPr>
          <w:r w:rsidRPr="000C40B9">
            <w:t>Sommario</w:t>
          </w:r>
        </w:p>
        <w:p w14:paraId="682E9E42" w14:textId="01BADC06"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5F7A326D" w14:textId="65B6294F"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6DED6160" w14:textId="117567E8"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46BDA1A7" w14:textId="40B2D083"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73EF4E38" w14:textId="4985BC99"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3E98B048" w14:textId="7E8A3DE3"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02AF9067" w14:textId="63D5BA50"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24437585" w14:textId="18843BCA"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4B002857" w14:textId="3E5D1BB5"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601864D9" w14:textId="400FE7B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22E1D178" w14:textId="024F4BD4"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4C2DAD01" w14:textId="60D56FA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04793DB4" w14:textId="0F52D2FD" w:rsidR="000C40B9" w:rsidRPr="000C40B9" w:rsidRDefault="000C40B9" w:rsidP="00AD23C0">
          <w:pPr>
            <w:spacing w:line="360" w:lineRule="auto"/>
            <w:rPr>
              <w:rFonts w:cs="Arial"/>
            </w:rPr>
          </w:pPr>
          <w:r w:rsidRPr="000C40B9">
            <w:rPr>
              <w:rFonts w:cs="Arial"/>
              <w:b/>
              <w:bCs/>
            </w:rPr>
            <w:fldChar w:fldCharType="end"/>
          </w:r>
        </w:p>
      </w:sdtContent>
    </w:sdt>
    <w:p w14:paraId="18EA8F38" w14:textId="58398398" w:rsidR="004E6E33" w:rsidRPr="000C40B9" w:rsidRDefault="004E6E33" w:rsidP="00B80D44">
      <w:pPr>
        <w:pStyle w:val="Titolo1"/>
      </w:pPr>
      <w:bookmarkStart w:id="3" w:name="_Toc25331262"/>
      <w:bookmarkStart w:id="4" w:name="_Toc104893322"/>
      <w:bookmarkStart w:id="5" w:name="_Toc132692492"/>
      <w:bookmarkStart w:id="6" w:name="_Toc224909976"/>
      <w:r w:rsidRPr="000C40B9">
        <w:lastRenderedPageBreak/>
        <w:t xml:space="preserve">1. </w:t>
      </w:r>
      <w:r w:rsidR="0052029D" w:rsidRPr="000C40B9">
        <w:t>Scopo del documento</w:t>
      </w:r>
      <w:bookmarkEnd w:id="3"/>
      <w:bookmarkEnd w:id="4"/>
      <w:bookmarkEnd w:id="6"/>
    </w:p>
    <w:p w14:paraId="15616D0E" w14:textId="31A5309F"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6F7EE1EB" w14:textId="536B5A20" w:rsidR="00811349" w:rsidRPr="000C40B9" w:rsidRDefault="00811349" w:rsidP="000C40B9">
      <w:pPr>
        <w:pStyle w:val="Titolo2"/>
        <w:spacing w:line="360" w:lineRule="auto"/>
        <w:rPr>
          <w:rFonts w:ascii="Arial" w:hAnsi="Arial" w:cs="Arial"/>
          <w:i/>
        </w:rPr>
      </w:pPr>
      <w:bookmarkStart w:id="7" w:name="_Toc104893323"/>
      <w:bookmarkStart w:id="8" w:name="_Toc224909977"/>
      <w:r w:rsidRPr="000C40B9">
        <w:rPr>
          <w:rFonts w:ascii="Arial" w:hAnsi="Arial" w:cs="Arial"/>
        </w:rPr>
        <w:t>Dati di sintesi</w:t>
      </w:r>
      <w:bookmarkEnd w:id="7"/>
      <w:bookmarkEnd w:id="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811349" w:rsidRPr="000C40B9" w14:paraId="239FCA26" w14:textId="77777777" w:rsidTr="00811349">
        <w:tc>
          <w:tcPr>
            <w:tcW w:w="2193" w:type="dxa"/>
            <w:shd w:val="clear" w:color="auto" w:fill="1F4E79"/>
          </w:tcPr>
          <w:p w14:paraId="317E27D2" w14:textId="76C93D25"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tcPr>
          <w:p>
            <w:r>
              <w:t>07/07/2026</w:t>
            </w:r>
          </w:p>
        </w:tc>
      </w:tr>
      <w:tr w:rsidR="00875472" w:rsidRPr="000C40B9" w14:paraId="73E8A3C1" w14:textId="77777777" w:rsidTr="00811349">
        <w:tc>
          <w:tcPr>
            <w:tcW w:w="2193" w:type="dxa"/>
            <w:shd w:val="clear" w:color="auto" w:fill="1F4E79"/>
          </w:tcPr>
          <w:p w14:paraId="7D1AE8F1" w14:textId="5EE183AA"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tcPr>
          <w:p>
            <w:r>
              <w:t>Inizio 15:03 – Fine 15:59</w:t>
            </w:r>
          </w:p>
        </w:tc>
      </w:tr>
      <w:tr w:rsidR="00811349" w:rsidRPr="000C40B9" w14:paraId="225CED83" w14:textId="77777777" w:rsidTr="00811349">
        <w:tc>
          <w:tcPr>
            <w:tcW w:w="2193" w:type="dxa"/>
            <w:shd w:val="clear" w:color="auto" w:fill="1F4E79"/>
          </w:tcPr>
          <w:p w14:paraId="441AD9B6" w14:textId="4ABCF108"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tcPr>
          <w:p>
            <w:r>
              <w:t>Videoconferenza</w:t>
            </w:r>
          </w:p>
        </w:tc>
      </w:tr>
      <w:tr w:rsidR="00811349" w:rsidRPr="000C40B9" w14:paraId="61B39DA5" w14:textId="77777777" w:rsidTr="00811349">
        <w:tc>
          <w:tcPr>
            <w:tcW w:w="2193" w:type="dxa"/>
            <w:shd w:val="clear" w:color="auto" w:fill="1F4E79"/>
          </w:tcPr>
          <w:p w14:paraId="621071E3" w14:textId="481642DB"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tcPr>
          <w:p>
            <w:r>
              <w:t>SAL Reingegnerizzazione UI/UX ASI – Revisione modifiche implementate, flusso Calcolo Pensione, Dati Cessazione e contestualizzazione viste lista</w:t>
            </w:r>
          </w:p>
        </w:tc>
      </w:tr>
    </w:tbl>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5"/>
      </w:tblGrid>
      <w:tr w:rsidR="00875472" w:rsidRPr="000C40B9" w14:paraId="4F1BFD74" w14:textId="77777777" w:rsidTr="00C45D66">
        <w:tc>
          <w:tcPr>
            <w:tcW w:w="9645" w:type="dxa"/>
            <w:gridSpan w:val="3"/>
            <w:shd w:val="clear" w:color="auto" w:fill="1F4E79"/>
          </w:tcPr>
          <w:p w14:paraId="12407D84" w14:textId="21639B78"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6869458C" w14:textId="77777777" w:rsidTr="00875472">
        <w:tc>
          <w:tcPr>
            <w:tcW w:w="3215" w:type="dxa"/>
            <w:shd w:val="clear" w:color="auto" w:fill="1F4E79"/>
          </w:tcPr>
          <w:p w14:paraId="7FD7366F"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267AD671" w14:textId="3F08CFC3"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shd w:val="clear" w:color="auto" w:fill="1F4E79"/>
          </w:tcPr>
          <w:p w14:paraId="7E5044B8" w14:textId="6B8D4AC8"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6AF124AB" w14:textId="77777777" w:rsidTr="00875472">
        <w:tc>
          <w:tcPr>
            <w:tcW w:w="3215" w:type="dxa"/>
          </w:tcPr>
          <w:p>
            <w:r>
              <w:t>Capobianco Paolo</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Laferla Gianluca</w:t>
            </w:r>
          </w:p>
        </w:tc>
        <w:tc>
          <w:tcPr>
            <w:tcW w:w="3215" w:type="dxa"/>
          </w:tcPr>
          <w:p>
            <w:r>
              <w:t>Sviluppatore FE</w:t>
            </w:r>
          </w:p>
        </w:tc>
        <w:tc>
          <w:tcPr>
            <w:tcW w:w="3215" w:type="dxa"/>
          </w:tcPr>
          <w:p>
            <w:r>
              <w:t>Almaviva S.p.A.</w:t>
            </w:r>
          </w:p>
        </w:tc>
      </w:tr>
      <w:tr w:rsidR="00875472" w:rsidRPr="000C40B9" w14:paraId="6AF124AB" w14:textId="77777777" w:rsidTr="00875472">
        <w:tc>
          <w:tcPr>
            <w:tcW w:w="3215" w:type="dxa"/>
          </w:tcPr>
          <w:p>
            <w:r>
              <w:t>Mercuri Flavio</w:t>
            </w:r>
          </w:p>
        </w:tc>
        <w:tc>
          <w:tcPr>
            <w:tcW w:w="3215" w:type="dxa"/>
          </w:tcPr>
          <w:p>
            <w:r>
              <w:t>Sviluppatore Lead UI/UX FE</w:t>
            </w:r>
          </w:p>
        </w:tc>
        <w:tc>
          <w:tcPr>
            <w:tcW w:w="3215" w:type="dxa"/>
          </w:tcPr>
          <w:p>
            <w:r>
              <w:t>Almaviva S.p.A.</w:t>
            </w:r>
          </w:p>
        </w:tc>
      </w:tr>
      <w:tr w:rsidR="00875472" w:rsidRPr="000C40B9" w14:paraId="6AF124AB" w14:textId="77777777" w:rsidTr="00875472">
        <w:tc>
          <w:tcPr>
            <w:tcW w:w="3215" w:type="dxa"/>
          </w:tcPr>
          <w:p>
            <w:r>
              <w:t>Michele Friscia</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Tantar Ana Maria</w:t>
            </w:r>
          </w:p>
        </w:tc>
        <w:tc>
          <w:tcPr>
            <w:tcW w:w="3215" w:type="dxa"/>
          </w:tcPr>
          <w:p>
            <w:r>
              <w:t>Sviluppatore FE</w:t>
            </w:r>
          </w:p>
        </w:tc>
        <w:tc>
          <w:tcPr>
            <w:tcW w:w="3215" w:type="dxa"/>
          </w:tcPr>
          <w:p>
            <w:r>
              <w:t>Almaviva S.p.A.</w:t>
            </w:r>
          </w:p>
        </w:tc>
      </w:tr>
    </w:tbl>
    <w:p w14:paraId="523847FC" w14:textId="77777777" w:rsidR="0052029D" w:rsidRPr="000C40B9" w:rsidRDefault="0052029D" w:rsidP="000C40B9">
      <w:pPr>
        <w:pStyle w:val="Titolo2"/>
        <w:spacing w:line="360" w:lineRule="auto"/>
        <w:rPr>
          <w:rFonts w:ascii="Arial" w:hAnsi="Arial" w:cs="Arial"/>
          <w:i/>
        </w:rPr>
      </w:pPr>
      <w:bookmarkStart w:id="10" w:name="_Toc25916240"/>
      <w:bookmarkStart w:id="11" w:name="_Toc25923029"/>
      <w:bookmarkStart w:id="12" w:name="_Toc104893324"/>
      <w:bookmarkStart w:id="13" w:name="_Hlk25917965"/>
      <w:bookmarkStart w:id="14" w:name="_Toc224909978"/>
      <w:r w:rsidRPr="000C40B9">
        <w:rPr>
          <w:rFonts w:ascii="Arial" w:hAnsi="Arial" w:cs="Arial"/>
        </w:rPr>
        <w:t>Riferimenti</w:t>
      </w:r>
      <w:bookmarkEnd w:id="10"/>
      <w:bookmarkEnd w:id="11"/>
      <w:bookmarkEnd w:id="12"/>
      <w:bookmarkEnd w:id="14"/>
    </w:p>
    <w:bookmarkEnd w:id="13"/>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7F956097" w14:textId="77777777" w:rsidTr="0040623E">
        <w:tc>
          <w:tcPr>
            <w:tcW w:w="6804" w:type="dxa"/>
            <w:shd w:val="clear" w:color="auto" w:fill="1F4E79"/>
            <w:vAlign w:val="center"/>
          </w:tcPr>
          <w:p w14:paraId="5C7B3200" w14:textId="77777777" w:rsidR="0052029D" w:rsidRPr="000C40B9" w:rsidRDefault="0052029D" w:rsidP="000C40B9">
            <w:pPr>
              <w:pStyle w:val="Tablehead1"/>
              <w:spacing w:line="360" w:lineRule="auto"/>
              <w:rPr>
                <w:rFonts w:ascii="Arial" w:hAnsi="Arial" w:cs="Arial"/>
                <w:color w:val="FFFFFF" w:themeColor="background1"/>
                <w:lang w:val="it-IT"/>
              </w:rPr>
            </w:pPr>
            <w:bookmarkStart w:id="15" w:name="_Hlk25917941"/>
            <w:r w:rsidRPr="000C40B9">
              <w:rPr>
                <w:rFonts w:ascii="Arial" w:hAnsi="Arial" w:cs="Arial"/>
                <w:color w:val="FFFFFF" w:themeColor="background1"/>
                <w:lang w:val="it-IT"/>
              </w:rPr>
              <w:t>Documento</w:t>
            </w:r>
          </w:p>
        </w:tc>
        <w:tc>
          <w:tcPr>
            <w:tcW w:w="1342" w:type="dxa"/>
            <w:shd w:val="clear" w:color="auto" w:fill="1F4E79"/>
            <w:vAlign w:val="center"/>
          </w:tcPr>
          <w:p w14:paraId="7D3A0E2D"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373ECEEE"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120B8157" w14:textId="77777777" w:rsidTr="0040623E">
        <w:tc>
          <w:tcPr>
            <w:tcW w:w="6804" w:type="dxa"/>
          </w:tcPr>
          <w:p>
            <w:r>
              <w:t>-</w:t>
            </w:r>
          </w:p>
        </w:tc>
        <w:tc>
          <w:tcPr>
            <w:tcW w:w="1342" w:type="dxa"/>
          </w:tcPr>
          <w:p>
            <w:r>
              <w:t>-</w:t>
            </w:r>
          </w:p>
        </w:tc>
        <w:tc>
          <w:tcPr>
            <w:tcW w:w="1493" w:type="dxa"/>
          </w:tcPr>
          <w:p>
            <w:r>
              <w:t>-</w:t>
            </w:r>
          </w:p>
        </w:tc>
      </w:tr>
      <w:bookmarkEnd w:id="15"/>
    </w:tbl>
    <w:p w14:paraId="059A489F" w14:textId="77777777" w:rsidR="0052029D" w:rsidRPr="000C40B9" w:rsidRDefault="0052029D" w:rsidP="000C40B9">
      <w:pPr>
        <w:pStyle w:val="Titolo2"/>
        <w:spacing w:line="360" w:lineRule="auto"/>
        <w:rPr>
          <w:rFonts w:ascii="Arial" w:hAnsi="Arial" w:cs="Arial"/>
          <w:i/>
        </w:rPr>
      </w:pPr>
      <w:bookmarkStart w:id="16" w:name="_Toc25916241"/>
      <w:bookmarkStart w:id="17" w:name="_Toc25923030"/>
      <w:bookmarkStart w:id="18" w:name="_Toc104893325"/>
      <w:bookmarkStart w:id="19" w:name="_Hlk25917997"/>
      <w:bookmarkStart w:id="20" w:name="_Toc224909979"/>
      <w:r w:rsidRPr="000C40B9">
        <w:rPr>
          <w:rFonts w:ascii="Arial" w:hAnsi="Arial" w:cs="Arial"/>
        </w:rPr>
        <w:t>Glossario</w:t>
      </w:r>
      <w:bookmarkEnd w:id="16"/>
      <w:bookmarkEnd w:id="17"/>
      <w:bookmarkEnd w:id="18"/>
      <w:bookmarkEnd w:id="20"/>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444AAE2B" w14:textId="77777777" w:rsidTr="0040623E">
        <w:tc>
          <w:tcPr>
            <w:tcW w:w="2193" w:type="dxa"/>
            <w:shd w:val="clear" w:color="auto" w:fill="1F4E79"/>
          </w:tcPr>
          <w:p w14:paraId="2EDCF163"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6D25200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33B9AF7" w14:textId="77777777" w:rsidTr="0040623E">
        <w:tc>
          <w:tcPr>
            <w:tcW w:w="2193" w:type="dxa"/>
          </w:tcPr>
          <w:p>
            <w:r>
              <w:t>SAL</w:t>
            </w:r>
          </w:p>
        </w:tc>
        <w:tc>
          <w:tcPr>
            <w:tcW w:w="7446" w:type="dxa"/>
          </w:tcPr>
          <w:p>
            <w:r>
              <w:t>Stato di Avanzamento Lavori: riunione periodica di monitoraggio dell’avanzamento del progetto.</w:t>
            </w:r>
          </w:p>
        </w:tc>
      </w:tr>
      <w:tr w:rsidR="0052029D" w:rsidRPr="000C40B9" w14:paraId="733B9AF7" w14:textId="77777777" w:rsidTr="0040623E">
        <w:tc>
          <w:tcPr>
            <w:tcW w:w="2193" w:type="dxa"/>
          </w:tcPr>
          <w:p>
            <w:r>
              <w:t>UI/UX</w:t>
            </w:r>
          </w:p>
        </w:tc>
        <w:tc>
          <w:tcPr>
            <w:tcW w:w="7446" w:type="dxa"/>
          </w:tcPr>
          <w:p>
            <w:r>
              <w:t>User Interface / User Experience: disciplina di progettazione delle interfacce utente e dell’esperienza d’uso.</w:t>
            </w:r>
          </w:p>
        </w:tc>
      </w:tr>
      <w:tr w:rsidR="0052029D" w:rsidRPr="000C40B9" w14:paraId="733B9AF7" w14:textId="77777777" w:rsidTr="0040623E">
        <w:tc>
          <w:tcPr>
            <w:tcW w:w="2193" w:type="dxa"/>
          </w:tcPr>
          <w:p>
            <w:r>
              <w:t>Legacy</w:t>
            </w:r>
          </w:p>
        </w:tc>
        <w:tc>
          <w:tcPr>
            <w:tcW w:w="7446" w:type="dxa"/>
          </w:tcPr>
          <w:p>
            <w:r>
              <w:t>Versione precedente del sistema informatico attualmente in produzione, oggetto del processo di reingegnerizzazione.</w:t>
            </w:r>
          </w:p>
        </w:tc>
      </w:tr>
      <w:tr w:rsidR="0052029D" w:rsidRPr="000C40B9" w14:paraId="733B9AF7" w14:textId="77777777" w:rsidTr="0040623E">
        <w:tc>
          <w:tcPr>
            <w:tcW w:w="2193" w:type="dxa"/>
          </w:tcPr>
          <w:p>
            <w:r>
              <w:t>Sirio</w:t>
            </w:r>
          </w:p>
        </w:tc>
        <w:tc>
          <w:tcPr>
            <w:tcW w:w="7446" w:type="dxa"/>
          </w:tcPr>
          <w:p>
            <w:r>
              <w:t>Design system di riferimento adottato per lo sviluppo dell’interfaccia del portale.</w:t>
            </w:r>
          </w:p>
        </w:tc>
      </w:tr>
      <w:tr w:rsidR="0052029D" w:rsidRPr="000C40B9" w14:paraId="733B9AF7" w14:textId="77777777" w:rsidTr="0040623E">
        <w:tc>
          <w:tcPr>
            <w:tcW w:w="2193" w:type="dxa"/>
          </w:tcPr>
          <w:p>
            <w:r>
              <w:t>Tooltip</w:t>
            </w:r>
          </w:p>
        </w:tc>
        <w:tc>
          <w:tcPr>
            <w:tcW w:w="7446" w:type="dxa"/>
          </w:tcPr>
          <w:p>
            <w:r>
              <w:t>Suggerimento contestuale visualizzato al passaggio del mouse su un elemento dell’interfaccia, utilizzato per descrivere le azioni disponibili.</w:t>
            </w:r>
          </w:p>
        </w:tc>
      </w:tr>
      <w:tr w:rsidR="0052029D" w:rsidRPr="000C40B9" w14:paraId="733B9AF7" w14:textId="77777777" w:rsidTr="0040623E">
        <w:tc>
          <w:tcPr>
            <w:tcW w:w="2193" w:type="dxa"/>
          </w:tcPr>
          <w:p>
            <w:r>
              <w:t>Accordion</w:t>
            </w:r>
          </w:p>
        </w:tc>
        <w:tc>
          <w:tcPr>
            <w:tcW w:w="7446" w:type="dxa"/>
          </w:tcPr>
          <w:p>
            <w:r>
              <w:t>Componente dell’interfaccia che consente di espandere o comprimere sezioni di contenuto; utilizzato per separare i totali dai dettagli dei periodi contributivi.</w:t>
            </w:r>
          </w:p>
        </w:tc>
      </w:tr>
      <w:tr w:rsidR="0052029D" w:rsidRPr="000C40B9" w14:paraId="733B9AF7" w14:textId="77777777" w:rsidTr="0040623E">
        <w:tc>
          <w:tcPr>
            <w:tcW w:w="2193" w:type="dxa"/>
          </w:tcPr>
          <w:p>
            <w:r>
              <w:t>Area operativa</w:t>
            </w:r>
          </w:p>
        </w:tc>
        <w:tc>
          <w:tcPr>
            <w:tcW w:w="7446" w:type="dxa"/>
          </w:tcPr>
          <w:p>
            <w:r>
              <w:t>Sezione del portale ASI dedicata all’operatività quotidiana degli operatori, con liste di attività, filtri e accessi rapidi.</w:t>
            </w:r>
          </w:p>
        </w:tc>
      </w:tr>
      <w:tr w:rsidR="0052029D" w:rsidRPr="000C40B9" w14:paraId="733B9AF7" w14:textId="77777777" w:rsidTr="0040623E">
        <w:tc>
          <w:tcPr>
            <w:tcW w:w="2193" w:type="dxa"/>
          </w:tcPr>
          <w:p>
            <w:r>
              <w:t>Drawer</w:t>
            </w:r>
          </w:p>
        </w:tc>
        <w:tc>
          <w:tcPr>
            <w:tcW w:w="7446" w:type="dxa"/>
          </w:tcPr>
          <w:p>
            <w:r>
              <w:t>Pannello laterale espandibile che mostra il dettaglio di un elemento selezionato nella tabella senza navigare verso una nuova pagina.</w:t>
            </w:r>
          </w:p>
        </w:tc>
      </w:tr>
      <w:tr w:rsidR="0052029D" w:rsidRPr="000C40B9" w14:paraId="733B9AF7" w14:textId="77777777" w:rsidTr="0040623E">
        <w:tc>
          <w:tcPr>
            <w:tcW w:w="2193" w:type="dxa"/>
          </w:tcPr>
          <w:p>
            <w:r>
              <w:t>Paginatore</w:t>
            </w:r>
          </w:p>
        </w:tc>
        <w:tc>
          <w:tcPr>
            <w:tcW w:w="7446" w:type="dxa"/>
          </w:tcPr>
          <w:p>
            <w:r>
              <w:t>Componente di navigazione che suddivide una lista di elementi in pagine; da rimuovere quando la cardinalità degli elementi è fissa e limitata.</w:t>
            </w:r>
          </w:p>
        </w:tc>
      </w:tr>
      <w:tr w:rsidR="0052029D" w:rsidRPr="000C40B9" w14:paraId="733B9AF7" w14:textId="77777777" w:rsidTr="0040623E">
        <w:tc>
          <w:tcPr>
            <w:tcW w:w="2193" w:type="dxa"/>
          </w:tcPr>
          <w:p>
            <w:r>
              <w:t>Badge</w:t>
            </w:r>
          </w:p>
        </w:tc>
        <w:tc>
          <w:tcPr>
            <w:tcW w:w="7446" w:type="dxa"/>
          </w:tcPr>
          <w:p>
            <w:r>
              <w:t>Etichetta grafica colorata associata a un elemento per indicarne la categoria o lo stato; nel contesto del flusso Calcolo Pensione Futura, identifica la tipologia del periodo contributivo.</w:t>
            </w:r>
          </w:p>
        </w:tc>
      </w:tr>
      <w:bookmarkEnd w:id="21"/>
    </w:tbl>
    <w:p w14:paraId="1C0776A2" w14:textId="49F5EB95" w:rsidR="00D75280" w:rsidRPr="00D75280" w:rsidRDefault="00115272" w:rsidP="00D75280">
      <w:pPr>
        <w:pStyle w:val="Titolo1"/>
      </w:pPr>
      <w:bookmarkStart w:id="22" w:name="_Toc224909980"/>
      <w:bookmarkEnd w:id="5"/>
      <w:r w:rsidRPr="000C40B9">
        <w:lastRenderedPageBreak/>
        <w:t>2. Introduzione</w:t>
      </w:r>
      <w:bookmarkEnd w:id="22"/>
    </w:p>
    <w:p w14:paraId="655EE537" w14:textId="28432A12" w:rsidR="00D75280" w:rsidRDefault="00CA18D2" w:rsidP="00D75280">
      <w:r>
        <w:t>La riunione si è svolta in videoconferenza tra i referenti INPS e il team di sviluppo Almaviva. L’incontro aveva come obiettivi principali la verifica delle modifiche implementate in risposta alle osservazioni emerse nei due SAL precedenti e la revisione di nuove segnalazioni portate da INPS. Sono stati affrontati il flusso Verifica Diritto e Misura, il Calcolo Pensione corrente e futuro, la gestione della tabella Retribuzione Media Pensionabile, la sezione Dati Cessazione del Servizio e la contestualizzazione delle viste lista nell’area operativa.</w:t>
      </w:r>
    </w:p>
    <w:p w14:paraId="048C49F3" w14:textId="51C43D6E" w:rsidR="00D75280" w:rsidRDefault="00D75280" w:rsidP="00D75280">
      <w:pPr>
        <w:pStyle w:val="Titolo1"/>
      </w:pPr>
      <w:r>
        <w:t>3. Revisione delle modifiche implementate: area operativa e flusso Verifica Diritto e Misura</w:t>
      </w:r>
    </w:p>
    <w:p w14:paraId="14FD9006" w14:textId="35AE8D6B" w:rsidR="00D75280" w:rsidRPr="00C97BD9" w:rsidRDefault="00CA18D2" w:rsidP="00D75280">
      <w:r>
        <w:t>Laferla Gianluca ha presentato le modifiche completate in risposta alle osservazioni degli ultimi due SAL, già rilasciate e testabili nell’ambiente di sviluppo. Nel tooltip dell’area operativa la nomenclatura è stata allineata al Legacy («vai all’area operativa» e «ricerca domande indirette»). Nel Drawer del dettaglio sono stati aggiunti i campi retribuzione teorica e retribuzione teorica contrattuale, precedentemente assenti nella nuova UI.</w:t>
        <w:br/>
        <w:t>Nel flusso Verifica Diritto sono state introdotte le icone per la normativa applicata e non applicata; all’apertura del dettaglio di un vincolo la visualizzazione scorre automaticamente e la riga corrispondente viene evidenziata con bordo celeste e sfondo colorato. Concordata l’estensione del background azzurrino chiaro anche alla sezione «Dati pensionistici», in aggiunta a «Riferimento domanda» già evidenziata, per uniformare la differenziazione visiva dei due blocchi informativi. È stata rilevata una regressione CSS nel centraggio ottico dell’icona normativa all’interno della select, da correggere.</w:t>
      </w:r>
    </w:p>
    <w:p w14:paraId="5E8AF81D" w14:textId="10D93BE0" w:rsidR="00D75280" w:rsidRDefault="00D75280" w:rsidP="00D75280">
      <w:pPr>
        <w:pStyle w:val="Titolo1"/>
      </w:pPr>
      <w:r>
        <w:t>4. Calcolo Pensione: coefficiente di rendimento per periodi post-1995</w:t>
      </w:r>
    </w:p>
    <w:p w14:paraId="145D6ABF" w14:textId="746B264A" w:rsidR="00D75280" w:rsidRDefault="00CA18D2" w:rsidP="00D75280">
      <w:r>
        <w:t>Nel flusso Calcolo Pensione la nuova UI visualizza un coefficiente di rendimento anche per i periodi contributivi post-1995, in analogia con il Legacy. Capobianco Paolo ha segnalato che tale coefficiente non ha rilevanza funzionale per i periodi in regime contributivo e la sua esposizione può risultare fuorviante per l’operatore. Il valore è fornito dal back-end senza elaborazioni lato front-end e il comportamento rispecchia quello del Legacy. Concordato che Almaviva approfondisce il requisito con il coordinamento di progetto per valutare un eventuale intervento.</w:t>
      </w:r>
    </w:p>
    <w:p w14:paraId="5ED4DEAD" w14:textId="3527572E" w:rsidR="00D75280" w:rsidRDefault="00D75280" w:rsidP="00D75280">
      <w:pPr>
        <w:pStyle w:val="Titolo1"/>
      </w:pPr>
      <w:r>
        <w:t>5. Retribuzione Media Pensionabile: riorganizzazione dei totali di riga</w:t>
      </w:r>
    </w:p>
    <w:p w14:paraId="276F8304" w14:textId="48AC5A79" w:rsidR="00D75280" w:rsidRDefault="001A1CE2" w:rsidP="00D75280">
      <w:r>
        <w:t>Nella tabella Retribuzione Media Pensionabile il campo «Totale retribuzione teorica» è attualmente esposto nella prima riga dei totali. Friscia ha proposto di spostarlo nella seconda riga dei totali come terzo elemento, per rendere più ordinata la lettura e coerente la rappresentazione con il foglio di calcolo di riferimento. La modifica è stata concordata.</w:t>
      </w:r>
    </w:p>
    <w:p w14:paraId="54293789" w14:textId="7EDDD09E" w:rsidR="00D75280" w:rsidRDefault="001A1CE2" w:rsidP="00D75280">
      <w:pPr>
        <w:pStyle w:val="Titolo1"/>
      </w:pPr>
      <w:r>
        <w:t>6. Calcolo Pensione Futura: miglioramenti alla visualizzazione</w:t>
      </w:r>
    </w:p>
    <w:p w14:paraId="4C446E4B" w14:textId="7573C79B" w:rsidR="00D75280" w:rsidRDefault="00425E34" w:rsidP="00D75280">
      <w:r>
        <w:t>Nel flusso Calcolo Pensione Futura sono state implementate le modifiche concordate nei SAL precedenti: allineamento alla nuova UI (interlinea e tooltip corretti), assegnazione di badge colorati ai periodi in cinque casistiche distinte (palette del design system Sirio), miglioramento della visibilità degli accordion con sfondo evidenziato e testo descrittivo per segnalare la presenza di contenuti espandibili, gestione dello stato tabella vuota nella sezione «Benefici della cessazione» con messaggio esplicito, e risoluzione del caricamento infinito nell’approdo alla sezione «Ultimo miglio».</w:t>
      </w:r>
    </w:p>
    <w:p w14:paraId="7847FFD2" w14:textId="76EB998D" w:rsidR="00D75280" w:rsidRDefault="001A1CE2" w:rsidP="00D75280">
      <w:pPr>
        <w:pStyle w:val="Titolo1"/>
      </w:pPr>
      <w:r>
        <w:t>7. Rimozione dei paginatori dalle tabelle a cardinalità fissa</w:t>
      </w:r>
    </w:p>
    <w:p w14:paraId="7D2E0D8D" w14:textId="60AD3C05" w:rsidR="00D75280" w:rsidRDefault="001A1CE2" w:rsidP="00D75280">
      <w:r>
        <w:t>Friscia ha segnalato la presenza di paginatori in tabelle che, per natura funzionale, contengono un numero fisso e limitato di elementi (al massimo tre). Concordata la rimozione dei paginatori dalle tabelle «Benefici della cessazione», «Benefici contrattuali futuri» e «Dati pensionistici» nella sezione Calcolo Pensione Futura.</w:t>
      </w:r>
    </w:p>
    <w:p>
      <w:pPr>
        <w:pStyle w:val="Titolo1"/>
      </w:pPr>
      <w:r>
        <w:t>8. Uniformazione simbolo euro e separatore migliaia</w:t>
      </w:r>
    </w:p>
    <w:p>
      <w:pPr/>
      <w:r>
        <w:t>Mercuri Flavio ha rilevato che il simbolo euro (€) e il separatore delle migliaia non sono applicati in modo uniforme su tutti gli importi dell’applicativo. Concordato il principio «sempre o mai»: Almaviva interverrà per estendere la formattazione corretta a tutti gli importi attualmente privi del simbolo euro o del separatore delle migliaia.</w:t>
      </w:r>
    </w:p>
    <w:p>
      <w:pPr>
        <w:pStyle w:val="Titolo1"/>
      </w:pPr>
      <w:r>
        <w:t>9. Dati Cessazione del Servizio: riorganizzazione del layout dei campi</w:t>
      </w:r>
    </w:p>
    <w:p>
      <w:pPr/>
      <w:r>
        <w:t>Friscia ha illustrato differenze di layout rispetto al Legacy nella sezione «Dati Cessazione del Servizio» e proposto una riorganizzazione in righe tematiche. Concordata la struttura in quattro righe: prima riga con data ultimo periodo precompilazione, data cessazione e motivo cessazione; seconda riga con contratto, qualifica e aggiornato; terza riga per l’eco-indennizzo (con i campi «È previsto recupero», «Recupero co-indennizzo» e «Ente recupero indennizzo»); quarta riga per l’indennità speciale con analoga struttura. Il campo «È previsto recupero eco-indennizzo» è posizionato come primo elemento della terza riga.</w:t>
      </w:r>
    </w:p>
    <w:p>
      <w:pPr>
        <w:pStyle w:val="Titolo1"/>
      </w:pPr>
      <w:r>
        <w:t>10. Contestualizzazione delle viste lista nell’area operativa</w:t>
      </w:r>
    </w:p>
    <w:p>
      <w:pPr/>
      <w:r>
        <w:t>Friscia ha segnalato l’assenza di una label identificativa durante la navigazione delle viste lista nell’area operativa (es. preferiti, liquidazioni, attività per tipologia), rendendo difficile all’operatore riconoscere il contesto di visualizzazione. Il Legacy non prevede tale indicazione; la nuova UI introduce tuttavia una struttura di navigazione più articolata che rende l’orientamento contestuale necessario. Concordata l’aggiunta di una label descrittiva nella barra di intestazione di ciascuna vista lista (es. «Le tue attività – Preferiti»), da implementare come nuovi item di backlog.</w:t>
      </w:r>
    </w:p>
    <w:p w14:paraId="6ACADA93" w14:textId="77777777" w:rsidR="00D75280" w:rsidRDefault="00D75280" w:rsidP="00D75280">
      <w:pPr>
        <w:pStyle w:val="Titolo1"/>
      </w:pPr>
      <w:bookmarkStart w:id="28" w:name="_Toc224909986"/>
      <w:r>
        <w:t>11. Azioni successive</w:t>
      </w:r>
      <w:bookmarkEnd w:id="28"/>
    </w:p>
    <w:p w14:paraId="7DEA931C" w14:textId="2A0FBF4A" w:rsidR="001A1CE2" w:rsidRDefault="001A1CE2" w:rsidP="001A1CE2">
      <w:r>
        <w:t>• Almaviva S.p.A.: Applicare il background azzurrino chiaro alla sezione «Dati pensionistici» nel flusso Verifica Diritto, uniformando il trattamento visivo con la sezione «Riferimento domanda».</w:t>
      </w:r>
    </w:p>
    <w:p w14:paraId="2B1A8A77" w14:textId="01D1E1A5" w:rsidR="001A1CE2" w:rsidRDefault="001A1CE2" w:rsidP="001A1CE2">
      <w:r>
        <w:t>• Almaviva S.p.A.: Correggere il centraggio ottico dell’icona normativa nella select (regressione CSS).</w:t>
      </w:r>
    </w:p>
    <w:p w14:paraId="343EC349" w14:textId="19EDBE29" w:rsidR="001A1CE2" w:rsidRDefault="001A1CE2" w:rsidP="001A1CE2">
      <w:r>
        <w:t>• Almaviva S.p.A.: Approfondire con il coordinamento di progetto il requisito funzionale relativo alla visualizzazione del coefficiente di rendimento per i periodi contributivi post-1995 nel flusso Calcolo Pensione.</w:t>
      </w:r>
    </w:p>
    <w:p w14:paraId="03301917" w14:textId="776A59C9" w:rsidR="00D75280" w:rsidRDefault="001A1CE2" w:rsidP="001A1CE2">
      <w:r>
        <w:t>• Almaviva S.p.A.: Spostare il campo «Totale retribuzione teorica» dalla prima alla seconda riga dei totali nella tabella Retribuzione Media Pensionabile.</w:t>
      </w:r>
    </w:p>
    <w:p>
      <w:pPr/>
      <w:r>
        <w:t>• Almaviva S.p.A.: Rimuovere il paginatore dalle tabelle a cardinalità fissa nella sezione Calcolo Pensione Futura (benefici della cessazione, benefici contrattuali futuri, dati pensionistici).</w:t>
      </w:r>
    </w:p>
    <w:p>
      <w:pPr/>
      <w:r>
        <w:t>• Almaviva S.p.A.: Uniformare il simbolo euro e il separatore delle migliaia su tutti gli importi dell’applicativo (principio «sempre o mai»).</w:t>
      </w:r>
    </w:p>
    <w:p>
      <w:pPr/>
      <w:r>
        <w:t>• Almaviva S.p.A.: Riorganizzare il layout dei campi nella sezione «Dati Cessazione del Servizio» secondo la struttura concordata (quattro righe tematiche: cessazione, contratto/qualifica, eco-indennizzo, indennità speciale).</w:t>
      </w:r>
    </w:p>
    <w:p>
      <w:pPr/>
      <w:r>
        <w:t>• Almaviva S.p.A.: Aggiungere una label contestuale nella barra di intestazione di ciascuna vista lista nell’area operativa (es. «Le tue attività – Preferiti»).</w:t>
      </w:r>
    </w:p>
    <w:p w14:paraId="673F392E" w14:textId="533C5816" w:rsidR="00D75280" w:rsidRDefault="00D75280" w:rsidP="00D75280">
      <w:pPr>
        <w:pStyle w:val="Titolo1"/>
      </w:pPr>
      <w:bookmarkStart w:id="29" w:name="_Toc224909987"/>
      <w:r>
        <w:t>12. Note</w:t>
      </w:r>
      <w:r w:rsidR="0051520C"/>
      <w:bookmarkEnd w:id="29"/>
    </w:p>
    <w:p w14:paraId="1D4D37F3" w14:textId="61C05B8D" w:rsidR="00425E34" w:rsidRPr="00425E34" w:rsidRDefault="0051520C" w:rsidP="00425E34">
      <w:r>
        <w:t>Il prossimo SAL è previsto per la settimana del 14 luglio 2026 ed è indicato come l’ultimo incontro prima delle ferie estive.</w:t>
      </w:r>
    </w:p>
    <w:p>
      <w:pPr/>
      <w:r>
        <w:t>Piscitelli Terenzio non era presente alla riunione; è stato lasciato un appunto affinché possa chiarire con INPS il requisito funzionale relativo al coefficiente di rendimento post-1995.</w:t>
      </w:r>
    </w:p>
    <w:sectPr w:rsidR="00425E34" w:rsidRPr="00425E34" w:rsidSect="005874BD">
      <w:headerReference w:type="even" r:id="rId13"/>
      <w:headerReference w:type="default" r:id="rId14"/>
      <w:footerReference w:type="default" r:id="rId15"/>
      <w:headerReference w:type="first" r:id="rId16"/>
      <w:footerReference w:type="first" r:id="rId17"/>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40BE" w14:textId="77777777" w:rsidR="00A36BF7" w:rsidRDefault="00A36BF7">
      <w:r>
        <w:separator/>
      </w:r>
    </w:p>
  </w:endnote>
  <w:endnote w:type="continuationSeparator" w:id="0">
    <w:p w14:paraId="74F68F2A" w14:textId="77777777" w:rsidR="00A36BF7" w:rsidRDefault="00A3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l‚r –¾’©"/>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69B6D467"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69B6D468"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6D" w14:textId="77777777" w:rsidR="003107A5" w:rsidRDefault="003107A5">
    <w:pPr>
      <w:pStyle w:val="Pidipagina"/>
      <w:jc w:val="right"/>
    </w:pPr>
  </w:p>
  <w:p w14:paraId="69B6D46E"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53B2" w14:textId="77777777" w:rsidR="00A36BF7" w:rsidRDefault="00A36BF7">
      <w:r>
        <w:separator/>
      </w:r>
    </w:p>
  </w:footnote>
  <w:footnote w:type="continuationSeparator" w:id="0">
    <w:p w14:paraId="5D8C97D9" w14:textId="77777777" w:rsidR="00A36BF7" w:rsidRDefault="00A36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5C" w14:textId="77777777" w:rsidR="003107A5" w:rsidRDefault="003107A5">
    <w:pPr>
      <w:pStyle w:val="Intestazione"/>
    </w:pPr>
  </w:p>
  <w:p w14:paraId="69B6D45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69B6D460"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9B6D45E" w14:textId="43FBE94E"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9B6D45F" w14:textId="2D2599ED"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69B6D464" w14:textId="77777777" w:rsidTr="005D33FD">
      <w:trPr>
        <w:gridAfter w:val="1"/>
        <w:wAfter w:w="99" w:type="dxa"/>
        <w:cantSplit/>
        <w:trHeight w:val="70"/>
      </w:trPr>
      <w:tc>
        <w:tcPr>
          <w:tcW w:w="1690" w:type="dxa"/>
          <w:gridSpan w:val="2"/>
          <w:vAlign w:val="center"/>
        </w:tcPr>
        <w:p w14:paraId="69B6D461" w14:textId="77777777" w:rsidR="003107A5" w:rsidRPr="009E140C" w:rsidRDefault="003107A5">
          <w:pPr>
            <w:pStyle w:val="Intestazione"/>
            <w:jc w:val="left"/>
            <w:rPr>
              <w:lang w:val="it-IT"/>
            </w:rPr>
          </w:pPr>
        </w:p>
      </w:tc>
      <w:tc>
        <w:tcPr>
          <w:tcW w:w="5580" w:type="dxa"/>
          <w:gridSpan w:val="2"/>
          <w:vAlign w:val="center"/>
        </w:tcPr>
        <w:p w14:paraId="69B6D462" w14:textId="77777777" w:rsidR="003107A5" w:rsidRPr="009E140C" w:rsidRDefault="003107A5">
          <w:pPr>
            <w:pStyle w:val="Intestazione"/>
            <w:rPr>
              <w:lang w:val="it-IT"/>
            </w:rPr>
          </w:pPr>
        </w:p>
      </w:tc>
      <w:tc>
        <w:tcPr>
          <w:tcW w:w="2340" w:type="dxa"/>
          <w:vAlign w:val="center"/>
        </w:tcPr>
        <w:p w14:paraId="69B6D463" w14:textId="77777777" w:rsidR="003107A5" w:rsidRPr="009E140C" w:rsidRDefault="003107A5" w:rsidP="005D33FD">
          <w:pPr>
            <w:pStyle w:val="Intestazione"/>
            <w:jc w:val="both"/>
            <w:rPr>
              <w:lang w:val="it-IT"/>
            </w:rPr>
          </w:pPr>
        </w:p>
      </w:tc>
    </w:tr>
  </w:tbl>
  <w:p w14:paraId="69B6D465" w14:textId="7E372AAC"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69B6D46B"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69B6D469"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69B6D46A"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69B6D46C"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6D39B"/>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ur02.safelinks.protection.outlook.com/?url=http%3A%2F%2Fintranetj.sviluppo.inps.it%2Fsrvpensint-web-sirio%2F&amp;data=05%7C02%7CF.Mercuri%40almaviva.it%7Ca7a8ef08f7514a65435908de85c40ed7%7C028226e099ea4fab9d1bdaa440c9e286%7C0%7C0%7C639095274218488374%7CUnknown%7CTWFpbGZsb3d8eyJFbXB0eU1hcGkiOnRydWUsIlYiOiIwLjAuMDAwMCIsIlAiOiJXaW4zMiIsIkFOIjoiTWFpbCIsIldUIjoyfQ%3D%3D%7C0%7C%7C%7C&amp;sdata=ivfAb8TD%2B1bGSEo8dJ0Z%2BhC%2Fc0BCv4BVsTfhWf4Og%2FE%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781</TotalTime>
  <Pages>5</Pages>
  <Words>884</Words>
  <Characters>5039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320</cp:revision>
  <cp:lastPrinted>2016-04-29T09:56:00Z</cp:lastPrinted>
  <dcterms:created xsi:type="dcterms:W3CDTF">2024-10-16T08:36:00Z</dcterms:created>
  <dcterms:modified xsi:type="dcterms:W3CDTF">2026-03-20T13:39:00Z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