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University Academic Regulations 2026</w:t>
      </w:r>
    </w:p>
    <w:p>
      <w:pPr>
        <w:pStyle w:val="Heading1"/>
      </w:pPr>
      <w:r>
        <w:t>Attendance Requirements</w:t>
      </w:r>
    </w:p>
    <w:p>
      <w:r>
        <w:t>Students are required to maintain a minimum attendance of 80% in each registered course during a semester. Students falling below this threshold will be marked ineligible to sit for the end-semester examination in that course, unless a medical exemption has been approved by the Dean of Academic Affairs at least two weeks before the examination period begins. This threshold was raised from 75% following a review by the Academic Senate.</w:t>
      </w:r>
    </w:p>
    <w:p>
      <w:pPr>
        <w:pStyle w:val="Heading1"/>
      </w:pPr>
      <w:r>
        <w:t>Examination Eligibility</w:t>
      </w:r>
    </w:p>
    <w:p>
      <w:r>
        <w:t>A student is eligible for the final examination only if they have satisfied both the minimum attendance requirement and have cleared all outstanding fee payments by the date specified in the academic calendar. Students who fail to satisfy the minimum attendance requirement will not be permitted to sit for the final examination and will be required to repeat the course in a subsequent semester.</w:t>
      </w:r>
    </w:p>
    <w:p>
      <w:pPr>
        <w:pStyle w:val="Heading1"/>
      </w:pPr>
      <w:r>
        <w:t>Grading Policy</w:t>
      </w:r>
    </w:p>
    <w:p>
      <w:r>
        <w:t>Final grades are computed using a weighted formula: 25% continuous assessment, 25% mid-semester examination, and 50% end-semester examination. A minimum aggregate score of 40% is required to pass a course.</w:t>
      </w:r>
    </w:p>
    <w:p>
      <w:pPr>
        <w:pStyle w:val="Heading1"/>
      </w:pPr>
      <w:r>
        <w:t>Grievance Procedure</w:t>
      </w:r>
    </w:p>
    <w:p>
      <w:r>
        <w:t>Students who wish to contest a grade must submit a written appeal to the Examination Cell within 15 working days of the result being published. Appeals submitted after this window will not be considered. Appeals can now be submitted through the online student portal in addition to physical submission.</w:t>
      </w:r>
    </w:p>
    <w:p>
      <w:pPr>
        <w:pStyle w:val="Heading1"/>
      </w:pPr>
      <w:r>
        <w:t>Leave of Absence</w:t>
      </w:r>
    </w:p>
    <w:p>
      <w:r>
        <w:t>Students requiring an extended leave of absence exceeding two weeks must submit a formal request to the Registrar, accompanied by supporting documentation. Approved leaves do not count against the minimum attendance requirement.</w:t>
      </w:r>
    </w:p>
    <w:p>
      <w:pPr>
        <w:pStyle w:val="Heading1"/>
      </w:pPr>
      <w:r>
        <w:t>Academic Integrity</w:t>
      </w:r>
    </w:p>
    <w:p>
      <w:r>
        <w:t>All students are expected to adhere to the university's academic integrity policy. Violations, including plagiarism and unauthorized collaboration, will be referred to the Academic Integrity Committee and may result in penalties ranging from a grade reduction to expulsion.</w:t>
      </w:r>
    </w:p>
    <w:p>
      <w:pPr>
        <w:pStyle w:val="Heading2"/>
      </w:pPr>
      <w:r>
        <w:t>Grading Weights (table form)</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Weight</w:t>
            </w:r>
          </w:p>
        </w:tc>
      </w:tr>
      <w:tr>
        <w:tc>
          <w:tcPr>
            <w:tcW w:type="dxa" w:w="4320"/>
          </w:tcPr>
          <w:p>
            <w:r>
              <w:t>Continuous assessment</w:t>
            </w:r>
          </w:p>
        </w:tc>
        <w:tc>
          <w:tcPr>
            <w:tcW w:type="dxa" w:w="4320"/>
          </w:tcPr>
          <w:p>
            <w:r>
              <w:t>25%</w:t>
            </w:r>
          </w:p>
        </w:tc>
      </w:tr>
      <w:tr>
        <w:tc>
          <w:tcPr>
            <w:tcW w:type="dxa" w:w="4320"/>
          </w:tcPr>
          <w:p>
            <w:r>
              <w:t>Mid-semester examination</w:t>
            </w:r>
          </w:p>
        </w:tc>
        <w:tc>
          <w:tcPr>
            <w:tcW w:type="dxa" w:w="4320"/>
          </w:tcPr>
          <w:p>
            <w:r>
              <w:t>25%</w:t>
            </w:r>
          </w:p>
        </w:tc>
      </w:tr>
      <w:tr>
        <w:tc>
          <w:tcPr>
            <w:tcW w:type="dxa" w:w="4320"/>
          </w:tcPr>
          <w:p>
            <w:r>
              <w:t>End-semester examination</w:t>
            </w:r>
          </w:p>
        </w:tc>
        <w:tc>
          <w:tcPr>
            <w:tcW w:type="dxa" w:w="432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