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02">
      <w:pPr>
        <w:spacing w:after="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03">
      <w:pPr>
        <w:spacing w:after="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04">
      <w:pPr>
        <w:spacing w:after="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05">
      <w:pPr>
        <w:spacing w:after="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06">
      <w:pPr>
        <w:spacing w:after="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07">
      <w:pPr>
        <w:spacing w:after="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08">
      <w:pPr>
        <w:spacing w:after="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09">
      <w:pPr>
        <w:spacing w:after="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0A">
      <w:pPr>
        <w:spacing w:after="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0B">
      <w:pPr>
        <w:spacing w:after="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0C">
      <w:pPr>
        <w:spacing w:after="240" w:lineRule="auto"/>
        <w:rPr>
          <w:b w:val="1"/>
          <w:bCs w:val="1"/>
          <w:i w:val="1"/>
          <w:iCs w:val="1"/>
          <w:sz w:val="20"/>
          <w:szCs w:val="20"/>
        </w:rPr>
      </w:pPr>
      <w:r w:rsidDel="00000000" w:rsidR="00000000" w:rsidRPr="00000000">
        <w:rPr>
          <w:rtl w:val="0"/>
        </w:rPr>
      </w:r>
    </w:p>
    <w:p w:rsidR="00000000" w:rsidDel="00000000" w:rsidP="00000000" w:rsidRDefault="00000000" w:rsidRPr="00000000" w14:paraId="0000000D">
      <w:pPr>
        <w:spacing w:after="240" w:lineRule="auto"/>
        <w:rPr>
          <w:b w:val="1"/>
          <w:bCs w:val="1"/>
          <w:sz w:val="28"/>
          <w:szCs w:val="28"/>
        </w:rPr>
      </w:pPr>
      <w:r w:rsidDel="00000000" w:rsidR="00000000" w:rsidRPr="00000000">
        <w:rPr>
          <w:rtl w:val="0"/>
        </w:rPr>
      </w:r>
    </w:p>
    <w:p w:rsidR="00000000" w:rsidDel="00000000" w:rsidP="00000000" w:rsidRDefault="00000000" w:rsidRPr="00000000" w14:paraId="0000000E">
      <w:pPr>
        <w:spacing w:after="240" w:lineRule="auto"/>
        <w:rPr>
          <w:b w:val="1"/>
          <w:bCs w:val="1"/>
          <w:sz w:val="28"/>
          <w:szCs w:val="28"/>
        </w:rPr>
      </w:pPr>
      <w:r w:rsidDel="00000000" w:rsidR="00000000" w:rsidRPr="00000000">
        <w:rPr>
          <w:b w:val="1"/>
          <w:bCs w:val="1"/>
          <w:sz w:val="28"/>
          <w:szCs w:val="28"/>
          <w:rtl w:val="0"/>
        </w:rPr>
        <w:t xml:space="preserve">Purpose of the document: </w:t>
      </w:r>
    </w:p>
    <w:p w:rsidR="00000000" w:rsidDel="00000000" w:rsidP="00000000" w:rsidRDefault="00000000" w:rsidRPr="00000000" w14:paraId="0000000F">
      <w:pPr>
        <w:numPr>
          <w:ilvl w:val="0"/>
          <w:numId w:val="3"/>
        </w:numPr>
        <w:spacing w:after="0" w:lineRule="auto"/>
        <w:ind w:left="720" w:hanging="360"/>
        <w:rPr>
          <w:sz w:val="28"/>
          <w:szCs w:val="28"/>
        </w:rPr>
      </w:pPr>
      <w:r w:rsidDel="00000000" w:rsidR="00000000" w:rsidRPr="00000000">
        <w:rPr>
          <w:sz w:val="28"/>
          <w:szCs w:val="28"/>
          <w:rtl w:val="0"/>
        </w:rPr>
        <w:t xml:space="preserve">Understand the broader idea of CREST infrastructure and within that trusted payments as the first use case</w:t>
      </w:r>
    </w:p>
    <w:p w:rsidR="00000000" w:rsidDel="00000000" w:rsidP="00000000" w:rsidRDefault="00000000" w:rsidRPr="00000000" w14:paraId="00000010">
      <w:pPr>
        <w:numPr>
          <w:ilvl w:val="0"/>
          <w:numId w:val="3"/>
        </w:numPr>
        <w:spacing w:after="240" w:lineRule="auto"/>
        <w:ind w:left="720" w:hanging="360"/>
        <w:rPr>
          <w:sz w:val="28"/>
          <w:szCs w:val="28"/>
        </w:rPr>
      </w:pPr>
      <w:r w:rsidDel="00000000" w:rsidR="00000000" w:rsidRPr="00000000">
        <w:rPr>
          <w:sz w:val="28"/>
          <w:szCs w:val="28"/>
          <w:rtl w:val="0"/>
        </w:rPr>
        <w:t xml:space="preserve">Define next steps </w:t>
      </w:r>
    </w:p>
    <w:p w:rsidR="00000000" w:rsidDel="00000000" w:rsidP="00000000" w:rsidRDefault="00000000" w:rsidRPr="00000000" w14:paraId="00000011">
      <w:pPr>
        <w:spacing w:after="240" w:lineRule="auto"/>
        <w:rPr>
          <w:i w:val="1"/>
          <w:iCs w:val="1"/>
          <w:sz w:val="20"/>
          <w:szCs w:val="20"/>
        </w:rPr>
        <w:sectPr>
          <w:headerReference r:id="rId8" w:type="default"/>
          <w:headerReference r:id="rId9" w:type="first"/>
          <w:footerReference r:id="rId10" w:type="default"/>
          <w:footerReference r:id="rId11" w:type="first"/>
          <w:pgSz w:h="15840" w:w="12240" w:orient="portrait"/>
          <w:pgMar w:bottom="1000" w:top="1000" w:left="1100" w:right="1100" w:header="708" w:footer="708"/>
          <w:pgNumType w:start="1"/>
          <w:titlePg w:val="1"/>
        </w:sectPr>
      </w:pPr>
      <w:r w:rsidDel="00000000" w:rsidR="00000000" w:rsidRPr="00000000">
        <w:rPr>
          <w:rtl w:val="0"/>
        </w:rPr>
      </w:r>
    </w:p>
    <w:p w:rsidR="00000000" w:rsidDel="00000000" w:rsidP="00000000" w:rsidRDefault="00000000" w:rsidRPr="00000000" w14:paraId="00000012">
      <w:pPr>
        <w:spacing w:after="240" w:lineRule="auto"/>
        <w:rPr>
          <w:b w:val="1"/>
          <w:bCs w:val="1"/>
          <w:sz w:val="28"/>
          <w:szCs w:val="28"/>
        </w:rPr>
      </w:pPr>
      <w:r w:rsidDel="00000000" w:rsidR="00000000" w:rsidRPr="00000000">
        <w:rPr>
          <w:b w:val="1"/>
          <w:bCs w:val="1"/>
          <w:sz w:val="28"/>
          <w:szCs w:val="28"/>
          <w:rtl w:val="0"/>
        </w:rPr>
        <w:t xml:space="preserve">PART - I</w:t>
      </w:r>
    </w:p>
    <w:p w:rsidR="00000000" w:rsidDel="00000000" w:rsidP="00000000" w:rsidRDefault="00000000" w:rsidRPr="00000000" w14:paraId="00000013">
      <w:pPr>
        <w:spacing w:after="240" w:lineRule="auto"/>
        <w:jc w:val="left"/>
        <w:rPr>
          <w:rFonts w:ascii="Georgia" w:cs="Georgia" w:eastAsia="Georgia" w:hAnsi="Georgia"/>
          <w:color w:val="666666"/>
          <w:sz w:val="40"/>
          <w:szCs w:val="40"/>
        </w:rPr>
      </w:pPr>
      <w:r w:rsidDel="00000000" w:rsidR="00000000" w:rsidRPr="00000000">
        <w:rPr>
          <w:rFonts w:ascii="Georgia" w:cs="Georgia" w:eastAsia="Georgia" w:hAnsi="Georgia"/>
          <w:color w:val="666666"/>
          <w:sz w:val="40"/>
          <w:szCs w:val="40"/>
          <w:rtl w:val="0"/>
        </w:rPr>
        <w:t xml:space="preserve">Context Setting</w:t>
      </w:r>
    </w:p>
    <w:p w:rsidR="00000000" w:rsidDel="00000000" w:rsidP="00000000" w:rsidRDefault="00000000" w:rsidRPr="00000000" w14:paraId="00000014">
      <w:pPr>
        <w:rPr/>
      </w:pPr>
      <w:r w:rsidDel="00000000" w:rsidR="00000000" w:rsidRPr="00000000">
        <w:rPr>
          <w:rtl w:val="0"/>
        </w:rPr>
        <w:t xml:space="preserve">Inception of this idea from the learnings and understanding of challenges in the context of Health and Care workers working in Health Campaigns. (A snippet from the proposal)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276" w:lineRule="auto"/>
        <w:rPr>
          <w:rFonts w:ascii="Arial" w:cs="Arial" w:eastAsia="Arial" w:hAnsi="Arial"/>
          <w:color w:val="3d85c6"/>
          <w:sz w:val="20"/>
          <w:szCs w:val="20"/>
        </w:rPr>
      </w:pPr>
      <w:r w:rsidDel="00000000" w:rsidR="00000000" w:rsidRPr="00000000">
        <w:rPr>
          <w:rFonts w:ascii="Arial" w:cs="Arial" w:eastAsia="Arial" w:hAnsi="Arial"/>
          <w:color w:val="3d85c6"/>
          <w:sz w:val="20"/>
          <w:szCs w:val="20"/>
          <w:rtl w:val="0"/>
        </w:rPr>
        <w:t xml:space="preserve">Addressing the challenge of ensuring a robust workforce for public health requires addressing immediate challenges while laying the foundations for long term transformation. </w:t>
      </w:r>
    </w:p>
    <w:p w:rsidR="00000000" w:rsidDel="00000000" w:rsidP="00000000" w:rsidRDefault="00000000" w:rsidRPr="00000000" w14:paraId="00000017">
      <w:pPr>
        <w:spacing w:line="276" w:lineRule="auto"/>
        <w:rPr>
          <w:rFonts w:ascii="Arial" w:cs="Arial" w:eastAsia="Arial" w:hAnsi="Arial"/>
          <w:color w:val="3d85c6"/>
          <w:sz w:val="20"/>
          <w:szCs w:val="20"/>
        </w:rPr>
      </w:pPr>
      <w:r w:rsidDel="00000000" w:rsidR="00000000" w:rsidRPr="00000000">
        <w:rPr>
          <w:rFonts w:ascii="Arial" w:cs="Arial" w:eastAsia="Arial" w:hAnsi="Arial"/>
          <w:color w:val="3d85c6"/>
          <w:sz w:val="20"/>
          <w:szCs w:val="20"/>
          <w:rtl w:val="0"/>
        </w:rPr>
        <w:br w:type="textWrapping"/>
        <w:t xml:space="preserve">This is especially true for LMICs, where health and care workers are often the only way to get public health services delivered to citizens. </w:t>
      </w:r>
    </w:p>
    <w:p w:rsidR="00000000" w:rsidDel="00000000" w:rsidP="00000000" w:rsidRDefault="00000000" w:rsidRPr="00000000" w14:paraId="00000018">
      <w:pPr>
        <w:spacing w:line="276" w:lineRule="auto"/>
        <w:rPr>
          <w:rFonts w:ascii="Arial" w:cs="Arial" w:eastAsia="Arial" w:hAnsi="Arial"/>
          <w:color w:val="3d85c6"/>
          <w:sz w:val="20"/>
          <w:szCs w:val="20"/>
        </w:rPr>
      </w:pPr>
      <w:r w:rsidDel="00000000" w:rsidR="00000000" w:rsidRPr="00000000">
        <w:rPr>
          <w:rtl w:val="0"/>
        </w:rPr>
      </w:r>
    </w:p>
    <w:p w:rsidR="00000000" w:rsidDel="00000000" w:rsidP="00000000" w:rsidRDefault="00000000" w:rsidRPr="00000000" w14:paraId="00000019">
      <w:pPr>
        <w:spacing w:line="276" w:lineRule="auto"/>
        <w:rPr>
          <w:rFonts w:ascii="Arial" w:cs="Arial" w:eastAsia="Arial" w:hAnsi="Arial"/>
          <w:color w:val="3d85c6"/>
          <w:sz w:val="20"/>
          <w:szCs w:val="20"/>
        </w:rPr>
      </w:pPr>
      <w:r w:rsidDel="00000000" w:rsidR="00000000" w:rsidRPr="00000000">
        <w:rPr>
          <w:rFonts w:ascii="Arial" w:cs="Arial" w:eastAsia="Arial" w:hAnsi="Arial"/>
          <w:color w:val="3d85c6"/>
          <w:sz w:val="20"/>
          <w:szCs w:val="20"/>
          <w:rtl w:val="0"/>
        </w:rPr>
        <w:t xml:space="preserve">In the Africa region alone, WHO projects a </w:t>
      </w:r>
      <w:r w:rsidDel="00000000" w:rsidR="00000000" w:rsidRPr="00000000">
        <w:rPr>
          <w:rFonts w:ascii="Arial" w:cs="Arial" w:eastAsia="Arial" w:hAnsi="Arial"/>
          <w:b w:val="1"/>
          <w:bCs w:val="1"/>
          <w:color w:val="3d85c6"/>
          <w:sz w:val="20"/>
          <w:szCs w:val="20"/>
          <w:rtl w:val="0"/>
        </w:rPr>
        <w:t xml:space="preserve">shortage of 6.1 million health and care workers by 2030. This, when one in three health and care workers are unemployed.</w:t>
      </w:r>
      <w:r w:rsidDel="00000000" w:rsidR="00000000" w:rsidRPr="00000000">
        <w:rPr>
          <w:rFonts w:ascii="Arial" w:cs="Arial" w:eastAsia="Arial" w:hAnsi="Arial"/>
          <w:color w:val="3d85c6"/>
          <w:sz w:val="20"/>
          <w:szCs w:val="20"/>
          <w:rtl w:val="0"/>
        </w:rPr>
        <w:t xml:space="preserve"> The paradox of unavailability of health and care workers coexisting with high unemployment is symptomatic of systemic challenges ranging from skilling to fair compensation. Without the right people and infrastructure, it is not possible for health systems to deliver high-quality and efficient care that is responsive to the population’s health needs</w:t>
      </w:r>
      <w:r w:rsidDel="00000000" w:rsidR="00000000" w:rsidRPr="00000000">
        <w:rPr>
          <w:rFonts w:ascii="Arial" w:cs="Arial" w:eastAsia="Arial" w:hAnsi="Arial"/>
          <w:color w:val="3d85c6"/>
          <w:sz w:val="20"/>
          <w:szCs w:val="20"/>
          <w:vertAlign w:val="superscript"/>
        </w:rPr>
        <w:footnoteReference w:customMarkFollows="0" w:id="0"/>
      </w:r>
      <w:r w:rsidDel="00000000" w:rsidR="00000000" w:rsidRPr="00000000">
        <w:rPr>
          <w:rFonts w:ascii="Arial" w:cs="Arial" w:eastAsia="Arial" w:hAnsi="Arial"/>
          <w:color w:val="3d85c6"/>
          <w:sz w:val="20"/>
          <w:szCs w:val="20"/>
          <w:rtl w:val="0"/>
        </w:rPr>
        <w:t xml:space="preserve">.  </w:t>
      </w:r>
    </w:p>
    <w:p w:rsidR="00000000" w:rsidDel="00000000" w:rsidP="00000000" w:rsidRDefault="00000000" w:rsidRPr="00000000" w14:paraId="0000001A">
      <w:pPr>
        <w:spacing w:line="276" w:lineRule="auto"/>
        <w:rPr>
          <w:rFonts w:ascii="Arial" w:cs="Arial" w:eastAsia="Arial" w:hAnsi="Arial"/>
          <w:color w:val="3d85c6"/>
          <w:sz w:val="20"/>
          <w:szCs w:val="20"/>
        </w:rPr>
      </w:pPr>
      <w:r w:rsidDel="00000000" w:rsidR="00000000" w:rsidRPr="00000000">
        <w:rPr>
          <w:rtl w:val="0"/>
        </w:rPr>
      </w:r>
    </w:p>
    <w:p w:rsidR="00000000" w:rsidDel="00000000" w:rsidP="00000000" w:rsidRDefault="00000000" w:rsidRPr="00000000" w14:paraId="0000001B">
      <w:pPr>
        <w:spacing w:line="276" w:lineRule="auto"/>
        <w:rPr>
          <w:rFonts w:ascii="Arial" w:cs="Arial" w:eastAsia="Arial" w:hAnsi="Arial"/>
          <w:color w:val="3d85c6"/>
          <w:sz w:val="20"/>
          <w:szCs w:val="20"/>
        </w:rPr>
      </w:pPr>
      <w:r w:rsidDel="00000000" w:rsidR="00000000" w:rsidRPr="00000000">
        <w:rPr>
          <w:rFonts w:ascii="Arial" w:cs="Arial" w:eastAsia="Arial" w:hAnsi="Arial"/>
          <w:color w:val="3d85c6"/>
          <w:sz w:val="20"/>
          <w:szCs w:val="20"/>
          <w:rtl w:val="0"/>
        </w:rPr>
        <w:t xml:space="preserve">Given its pivotal role in workforce morale, retention, generating employment and the efficient use of substantial program budgets, ensuring timely and adequate payments to health and care workers stands out as an immediate, practical and high leverage starting point. </w:t>
      </w:r>
    </w:p>
    <w:p w:rsidR="00000000" w:rsidDel="00000000" w:rsidP="00000000" w:rsidRDefault="00000000" w:rsidRPr="00000000" w14:paraId="0000001C">
      <w:pPr>
        <w:spacing w:line="276" w:lineRule="auto"/>
        <w:rPr>
          <w:rFonts w:ascii="Arial" w:cs="Arial" w:eastAsia="Arial" w:hAnsi="Arial"/>
          <w:color w:val="3d85c6"/>
          <w:sz w:val="20"/>
          <w:szCs w:val="20"/>
        </w:rPr>
      </w:pPr>
      <w:r w:rsidDel="00000000" w:rsidR="00000000" w:rsidRPr="00000000">
        <w:rPr>
          <w:rtl w:val="0"/>
        </w:rPr>
      </w:r>
    </w:p>
    <w:p w:rsidR="00000000" w:rsidDel="00000000" w:rsidP="00000000" w:rsidRDefault="00000000" w:rsidRPr="00000000" w14:paraId="0000001D">
      <w:pPr>
        <w:spacing w:line="276" w:lineRule="auto"/>
        <w:rPr>
          <w:rFonts w:ascii="Arial" w:cs="Arial" w:eastAsia="Arial" w:hAnsi="Arial"/>
          <w:color w:val="3d85c6"/>
          <w:sz w:val="20"/>
          <w:szCs w:val="20"/>
        </w:rPr>
      </w:pPr>
      <w:r w:rsidDel="00000000" w:rsidR="00000000" w:rsidRPr="00000000">
        <w:rPr>
          <w:rFonts w:ascii="Arial" w:cs="Arial" w:eastAsia="Arial" w:hAnsi="Arial"/>
          <w:b w:val="1"/>
          <w:bCs w:val="1"/>
          <w:color w:val="3d85c6"/>
          <w:sz w:val="20"/>
          <w:szCs w:val="20"/>
          <w:rtl w:val="0"/>
        </w:rPr>
        <w:t xml:space="preserve">Digitization of payments has improved transparency and speed at the transaction level, without fixing the underlying root causes like verification delays and burden on workers to prove work done.</w:t>
      </w:r>
      <w:r w:rsidDel="00000000" w:rsidR="00000000" w:rsidRPr="00000000">
        <w:rPr>
          <w:rFonts w:ascii="Arial" w:cs="Arial" w:eastAsia="Arial" w:hAnsi="Arial"/>
          <w:color w:val="3d85c6"/>
          <w:sz w:val="20"/>
          <w:szCs w:val="20"/>
          <w:rtl w:val="0"/>
        </w:rPr>
        <w:t xml:space="preserve"> These interventions risk being a quick and partial fix without building towards an empowered and reliable workforce. </w:t>
      </w:r>
    </w:p>
    <w:p w:rsidR="00000000" w:rsidDel="00000000" w:rsidP="00000000" w:rsidRDefault="00000000" w:rsidRPr="00000000" w14:paraId="0000001E">
      <w:pPr>
        <w:spacing w:line="276" w:lineRule="auto"/>
        <w:rPr>
          <w:rFonts w:ascii="Arial" w:cs="Arial" w:eastAsia="Arial" w:hAnsi="Arial"/>
          <w:color w:val="3d85c6"/>
          <w:sz w:val="20"/>
          <w:szCs w:val="20"/>
        </w:rPr>
      </w:pPr>
      <w:r w:rsidDel="00000000" w:rsidR="00000000" w:rsidRPr="00000000">
        <w:rPr>
          <w:rtl w:val="0"/>
        </w:rPr>
      </w:r>
    </w:p>
    <w:p w:rsidR="00000000" w:rsidDel="00000000" w:rsidP="00000000" w:rsidRDefault="00000000" w:rsidRPr="00000000" w14:paraId="0000001F">
      <w:pPr>
        <w:spacing w:line="276" w:lineRule="auto"/>
        <w:rPr>
          <w:rFonts w:ascii="Arial" w:cs="Arial" w:eastAsia="Arial" w:hAnsi="Arial"/>
          <w:color w:val="3d85c6"/>
          <w:sz w:val="20"/>
          <w:szCs w:val="20"/>
        </w:rPr>
      </w:pPr>
      <w:r w:rsidDel="00000000" w:rsidR="00000000" w:rsidRPr="00000000">
        <w:rPr>
          <w:rFonts w:ascii="Arial" w:cs="Arial" w:eastAsia="Arial" w:hAnsi="Arial"/>
          <w:i w:val="1"/>
          <w:iCs w:val="1"/>
          <w:color w:val="3d85c6"/>
          <w:sz w:val="20"/>
          <w:szCs w:val="20"/>
          <w:rtl w:val="0"/>
        </w:rPr>
        <w:t xml:space="preserve">So digitising the payment transaction, while necessary, only partially addresses the root causes of the challenge. In fact, by focusing on “digital payments” as the goal as opposed to </w:t>
      </w:r>
      <w:r w:rsidDel="00000000" w:rsidR="00000000" w:rsidRPr="00000000">
        <w:rPr>
          <w:rFonts w:ascii="Arial" w:cs="Arial" w:eastAsia="Arial" w:hAnsi="Arial"/>
          <w:b w:val="1"/>
          <w:bCs w:val="1"/>
          <w:i w:val="1"/>
          <w:iCs w:val="1"/>
          <w:color w:val="3d85c6"/>
          <w:sz w:val="20"/>
          <w:szCs w:val="20"/>
          <w:rtl w:val="0"/>
        </w:rPr>
        <w:t xml:space="preserve">“meaningful employment for health and care workers by ensuring they receive what is due to them in a timely and convenient manner”, </w:t>
      </w:r>
      <w:r w:rsidDel="00000000" w:rsidR="00000000" w:rsidRPr="00000000">
        <w:rPr>
          <w:rFonts w:ascii="Arial" w:cs="Arial" w:eastAsia="Arial" w:hAnsi="Arial"/>
          <w:i w:val="1"/>
          <w:iCs w:val="1"/>
          <w:color w:val="3d85c6"/>
          <w:sz w:val="20"/>
          <w:szCs w:val="20"/>
          <w:rtl w:val="0"/>
        </w:rPr>
        <w:t xml:space="preserve">the focus inadvertently moves away from the long term transformation objective of building a reliable health and care workforce by reimagining worker recruitment, process workflows, process approvals, verification of proof of work and fund flows, towards merely digitising part of an existing process that is broken. </w:t>
        <w:br w:type="textWrapping"/>
        <w:br w:type="textWrapping"/>
        <w:t xml:space="preserve">Further, this process of digitising the payment transaction is repeated in each program, collecting duplicative data and repeating common tasks. Though this approach of digitising payments discreetly within each program aligns with existing accountability structures, it is more expensive, it yields suboptimal results and perpetuates the fragmentation in an already fragmented landscape</w:t>
      </w:r>
      <w:r w:rsidDel="00000000" w:rsidR="00000000" w:rsidRPr="00000000">
        <w:rPr>
          <w:rFonts w:ascii="Arial" w:cs="Arial" w:eastAsia="Arial" w:hAnsi="Arial"/>
          <w:i w:val="1"/>
          <w:iCs w:val="1"/>
          <w:color w:val="3d85c6"/>
          <w:sz w:val="20"/>
          <w:szCs w:val="20"/>
          <w:vertAlign w:val="superscript"/>
        </w:rPr>
        <w:footnoteReference w:customMarkFollows="0" w:id="1"/>
      </w:r>
      <w:r w:rsidDel="00000000" w:rsidR="00000000" w:rsidRPr="00000000">
        <w:rPr>
          <w:rFonts w:ascii="Arial" w:cs="Arial" w:eastAsia="Arial" w:hAnsi="Arial"/>
          <w:i w:val="1"/>
          <w:iCs w:val="1"/>
          <w:color w:val="3d85c6"/>
          <w:sz w:val="20"/>
          <w:szCs w:val="20"/>
          <w:rtl w:val="0"/>
        </w:rPr>
        <w:t xml:space="preserve"> </w:t>
      </w:r>
      <w:r w:rsidDel="00000000" w:rsidR="00000000" w:rsidRPr="00000000">
        <w:rPr>
          <w:rFonts w:ascii="Arial" w:cs="Arial" w:eastAsia="Arial" w:hAnsi="Arial"/>
          <w:i w:val="1"/>
          <w:iCs w:val="1"/>
          <w:color w:val="3d85c6"/>
          <w:sz w:val="20"/>
          <w:szCs w:val="20"/>
          <w:vertAlign w:val="superscript"/>
        </w:rPr>
        <w:footnoteReference w:customMarkFollows="0" w:id="2"/>
      </w:r>
      <w:r w:rsidDel="00000000" w:rsidR="00000000" w:rsidRPr="00000000">
        <w:rPr>
          <w:rFonts w:ascii="Arial" w:cs="Arial" w:eastAsia="Arial" w:hAnsi="Arial"/>
          <w:i w:val="1"/>
          <w:iCs w:val="1"/>
          <w:color w:val="3d85c6"/>
          <w:sz w:val="20"/>
          <w:szCs w:val="20"/>
          <w:rtl w:val="0"/>
        </w:rPr>
        <w:t xml:space="preserve">.</w:t>
      </w:r>
      <w:r w:rsidDel="00000000" w:rsidR="00000000" w:rsidRPr="00000000">
        <w:rPr>
          <w:rFonts w:ascii="Arial" w:cs="Arial" w:eastAsia="Arial" w:hAnsi="Arial"/>
          <w:color w:val="3d85c6"/>
          <w:sz w:val="20"/>
          <w:szCs w:val="20"/>
          <w:rtl w:val="0"/>
        </w:rPr>
        <w:t xml:space="preserve"> </w:t>
      </w:r>
    </w:p>
    <w:p w:rsidR="00000000" w:rsidDel="00000000" w:rsidP="00000000" w:rsidRDefault="00000000" w:rsidRPr="00000000" w14:paraId="00000020">
      <w:pPr>
        <w:spacing w:line="276" w:lineRule="auto"/>
        <w:rPr>
          <w:rFonts w:ascii="Arial" w:cs="Arial" w:eastAsia="Arial" w:hAnsi="Arial"/>
          <w:color w:val="3d85c6"/>
          <w:sz w:val="20"/>
          <w:szCs w:val="20"/>
        </w:rPr>
      </w:pPr>
      <w:r w:rsidDel="00000000" w:rsidR="00000000" w:rsidRPr="00000000">
        <w:rPr>
          <w:rtl w:val="0"/>
        </w:rPr>
      </w:r>
    </w:p>
    <w:p w:rsidR="00000000" w:rsidDel="00000000" w:rsidP="00000000" w:rsidRDefault="00000000" w:rsidRPr="00000000" w14:paraId="00000021">
      <w:pPr>
        <w:spacing w:line="276" w:lineRule="auto"/>
        <w:rPr>
          <w:rFonts w:ascii="Arial" w:cs="Arial" w:eastAsia="Arial" w:hAnsi="Arial"/>
          <w:color w:val="3d85c6"/>
          <w:sz w:val="20"/>
          <w:szCs w:val="20"/>
        </w:rPr>
      </w:pPr>
      <w:r w:rsidDel="00000000" w:rsidR="00000000" w:rsidRPr="00000000">
        <w:rPr>
          <w:rFonts w:ascii="Arial" w:cs="Arial" w:eastAsia="Arial" w:hAnsi="Arial"/>
          <w:color w:val="3d85c6"/>
          <w:sz w:val="20"/>
          <w:szCs w:val="20"/>
          <w:rtl w:val="0"/>
        </w:rPr>
        <w:t xml:space="preserve">Timely and adequate payments is as much a public finance challenge as it is a workforce one. Given the salaries and payments to health and care workers consume a large share of health budgets, Finance departments often spend significant time and resources in verifying and auditing the program level information shared with them. This further slows down payments to the workers. </w:t>
      </w:r>
    </w:p>
    <w:p w:rsidR="00000000" w:rsidDel="00000000" w:rsidP="00000000" w:rsidRDefault="00000000" w:rsidRPr="00000000" w14:paraId="00000022">
      <w:pPr>
        <w:spacing w:line="276" w:lineRule="auto"/>
        <w:rPr>
          <w:rFonts w:ascii="Arial" w:cs="Arial" w:eastAsia="Arial" w:hAnsi="Arial"/>
          <w:color w:val="3d85c6"/>
          <w:sz w:val="20"/>
          <w:szCs w:val="20"/>
        </w:rPr>
      </w:pPr>
      <w:r w:rsidDel="00000000" w:rsidR="00000000" w:rsidRPr="00000000">
        <w:rPr>
          <w:rtl w:val="0"/>
        </w:rPr>
      </w:r>
    </w:p>
    <w:p w:rsidR="00000000" w:rsidDel="00000000" w:rsidP="00000000" w:rsidRDefault="00000000" w:rsidRPr="00000000" w14:paraId="00000023">
      <w:pPr>
        <w:spacing w:line="276" w:lineRule="auto"/>
        <w:rPr>
          <w:sz w:val="28"/>
          <w:szCs w:val="28"/>
        </w:rPr>
      </w:pPr>
      <w:r w:rsidDel="00000000" w:rsidR="00000000" w:rsidRPr="00000000">
        <w:rPr>
          <w:rFonts w:ascii="Arial" w:cs="Arial" w:eastAsia="Arial" w:hAnsi="Arial"/>
          <w:color w:val="3d85c6"/>
          <w:sz w:val="20"/>
          <w:szCs w:val="20"/>
          <w:rtl w:val="0"/>
        </w:rPr>
        <w:t xml:space="preserve">Shifting to a digital public infrastructure approach might help rethink how some of these foundational challenges can be addressed. It solves for ensuring timely, frictionless payments in full measure to health and care workers and does it in a manner that creates the foundational conditions for a larger systemic transformation in the health and care workforce.  </w:t>
      </w:r>
      <w:r w:rsidDel="00000000" w:rsidR="00000000" w:rsidRPr="00000000">
        <w:rPr>
          <w:rtl w:val="0"/>
        </w:rPr>
      </w:r>
    </w:p>
    <w:p w:rsidR="00000000" w:rsidDel="00000000" w:rsidP="00000000" w:rsidRDefault="00000000" w:rsidRPr="00000000" w14:paraId="00000024">
      <w:pPr>
        <w:spacing w:after="240" w:lineRule="auto"/>
        <w:rPr>
          <w:b w:val="1"/>
          <w:bCs w:val="1"/>
          <w:sz w:val="28"/>
          <w:szCs w:val="28"/>
        </w:rPr>
      </w:pPr>
      <w:r w:rsidDel="00000000" w:rsidR="00000000" w:rsidRPr="00000000">
        <w:rPr>
          <w:b w:val="1"/>
          <w:bCs w:val="1"/>
          <w:sz w:val="28"/>
          <w:szCs w:val="28"/>
          <w:rtl w:val="0"/>
        </w:rPr>
        <w:t xml:space="preserve">PART - II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Title"/>
        <w:spacing w:after="200" w:lineRule="auto"/>
        <w:jc w:val="center"/>
        <w:rPr>
          <w:rFonts w:ascii="Arial" w:cs="Arial" w:eastAsia="Arial" w:hAnsi="Arial"/>
          <w:b w:val="1"/>
          <w:bCs w:val="1"/>
          <w:color w:val="1b4f72"/>
        </w:rPr>
      </w:pPr>
      <w:bookmarkStart w:colFirst="0" w:colLast="0" w:name="_heading=h.34f06hcr0gv" w:id="0"/>
      <w:bookmarkEnd w:id="0"/>
      <w:r w:rsidDel="00000000" w:rsidR="00000000" w:rsidRPr="00000000">
        <w:rPr>
          <w:rFonts w:ascii="Arial" w:cs="Arial" w:eastAsia="Arial" w:hAnsi="Arial"/>
          <w:b w:val="1"/>
          <w:bCs w:val="1"/>
          <w:color w:val="1b4f72"/>
          <w:rtl w:val="0"/>
        </w:rPr>
        <w:t xml:space="preserve">CREST </w:t>
      </w:r>
    </w:p>
    <w:p w:rsidR="00000000" w:rsidDel="00000000" w:rsidP="00000000" w:rsidRDefault="00000000" w:rsidRPr="00000000" w14:paraId="00000027">
      <w:pPr>
        <w:pStyle w:val="Subtitle"/>
        <w:rPr>
          <w:rFonts w:ascii="Arial" w:cs="Arial" w:eastAsia="Arial" w:hAnsi="Arial"/>
          <w:b w:val="1"/>
          <w:bCs w:val="1"/>
          <w:color w:val="1b4f72"/>
        </w:rPr>
      </w:pPr>
      <w:bookmarkStart w:colFirst="0" w:colLast="0" w:name="_heading=h.czu0shrjm12h" w:id="1"/>
      <w:bookmarkEnd w:id="1"/>
      <w:r w:rsidDel="00000000" w:rsidR="00000000" w:rsidRPr="00000000">
        <w:rPr>
          <w:i w:val="0"/>
          <w:iCs w:val="0"/>
          <w:sz w:val="40"/>
          <w:szCs w:val="40"/>
          <w:rtl w:val="0"/>
        </w:rPr>
        <w:t xml:space="preserve">Certified Record of Employment, Skilling and Training</w:t>
      </w:r>
      <w:r w:rsidDel="00000000" w:rsidR="00000000" w:rsidRPr="00000000">
        <w:rPr>
          <w:rtl w:val="0"/>
        </w:rPr>
      </w:r>
    </w:p>
    <w:p w:rsidR="00000000" w:rsidDel="00000000" w:rsidP="00000000" w:rsidRDefault="00000000" w:rsidRPr="00000000" w14:paraId="00000028">
      <w:pPr>
        <w:pStyle w:val="Heading2"/>
        <w:spacing w:after="120" w:before="320" w:lineRule="auto"/>
        <w:rPr/>
      </w:pPr>
      <w:bookmarkStart w:colFirst="0" w:colLast="0" w:name="_heading=h.bnaxoo4335zl" w:id="2"/>
      <w:bookmarkEnd w:id="2"/>
      <w:r w:rsidDel="00000000" w:rsidR="00000000" w:rsidRPr="00000000">
        <w:rPr>
          <w:rtl w:val="0"/>
        </w:rPr>
      </w:r>
    </w:p>
    <w:p w:rsidR="00000000" w:rsidDel="00000000" w:rsidP="00000000" w:rsidRDefault="00000000" w:rsidRPr="00000000" w14:paraId="00000029">
      <w:pPr>
        <w:pStyle w:val="Heading2"/>
        <w:spacing w:after="120" w:before="320" w:lineRule="auto"/>
        <w:rPr/>
      </w:pPr>
      <w:bookmarkStart w:colFirst="0" w:colLast="0" w:name="_heading=h.z4letnrxpodw" w:id="3"/>
      <w:bookmarkEnd w:id="3"/>
      <w:r w:rsidDel="00000000" w:rsidR="00000000" w:rsidRPr="00000000">
        <w:rPr>
          <w:rtl w:val="0"/>
        </w:rPr>
        <w:t xml:space="preserve">A. Concept Note</w:t>
      </w:r>
    </w:p>
    <w:p w:rsidR="00000000" w:rsidDel="00000000" w:rsidP="00000000" w:rsidRDefault="00000000" w:rsidRPr="00000000" w14:paraId="0000002A">
      <w:pPr>
        <w:spacing w:after="140" w:line="276" w:lineRule="auto"/>
        <w:rPr/>
      </w:pPr>
      <w:r w:rsidDel="00000000" w:rsidR="00000000" w:rsidRPr="00000000">
        <w:rPr>
          <w:rtl w:val="0"/>
        </w:rPr>
        <w:t xml:space="preserve">CREST </w:t>
      </w:r>
      <w:r w:rsidDel="00000000" w:rsidR="00000000" w:rsidRPr="00000000">
        <w:rPr>
          <w:rFonts w:ascii="Calibri" w:cs="Calibri" w:eastAsia="Calibri" w:hAnsi="Calibri"/>
          <w:color w:val="000000"/>
          <w:sz w:val="21"/>
          <w:szCs w:val="21"/>
          <w:rtl w:val="0"/>
        </w:rPr>
        <w:t xml:space="preserve"> is digital public infrastructure for verifiable work history. It gives an informal worker </w:t>
      </w:r>
      <w:r w:rsidDel="00000000" w:rsidR="00000000" w:rsidRPr="00000000">
        <w:rPr>
          <w:rtl w:val="0"/>
        </w:rPr>
        <w:t xml:space="preserve">-</w:t>
      </w:r>
      <w:r w:rsidDel="00000000" w:rsidR="00000000" w:rsidRPr="00000000">
        <w:rPr>
          <w:rFonts w:ascii="Calibri" w:cs="Calibri" w:eastAsia="Calibri" w:hAnsi="Calibri"/>
          <w:color w:val="000000"/>
          <w:sz w:val="21"/>
          <w:szCs w:val="21"/>
          <w:rtl w:val="0"/>
        </w:rPr>
        <w:t xml:space="preserve"> a community health worker, a daily-wage labourer, a campaign-based contractor </w:t>
      </w:r>
      <w:r w:rsidDel="00000000" w:rsidR="00000000" w:rsidRPr="00000000">
        <w:rPr>
          <w:rtl w:val="0"/>
        </w:rPr>
        <w:t xml:space="preserve">-</w:t>
      </w:r>
      <w:r w:rsidDel="00000000" w:rsidR="00000000" w:rsidRPr="00000000">
        <w:rPr>
          <w:rFonts w:ascii="Calibri" w:cs="Calibri" w:eastAsia="Calibri" w:hAnsi="Calibri"/>
          <w:color w:val="000000"/>
          <w:sz w:val="21"/>
          <w:szCs w:val="21"/>
          <w:rtl w:val="0"/>
        </w:rPr>
        <w:t xml:space="preserve"> a portable, cryptographically verifiable record of what they have done, who they worked for, and what they are capable of. The record belongs to the worker and travels with them across employers, campaigns, geographies, and time.</w:t>
      </w:r>
      <w:r w:rsidDel="00000000" w:rsidR="00000000" w:rsidRPr="00000000">
        <w:rPr>
          <w:rtl w:val="0"/>
        </w:rPr>
      </w:r>
    </w:p>
    <w:p w:rsidR="00000000" w:rsidDel="00000000" w:rsidP="00000000" w:rsidRDefault="00000000" w:rsidRPr="00000000" w14:paraId="0000002B">
      <w:pPr>
        <w:spacing w:after="140" w:line="27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The atomic unit is the work event: a verifiable record of a discrete piece of work, attested by an issuer under a work definition published by a specifier, owned by the worker, and presentable to any verifier.</w:t>
      </w:r>
    </w:p>
    <w:p w:rsidR="00000000" w:rsidDel="00000000" w:rsidP="00000000" w:rsidRDefault="00000000" w:rsidRPr="00000000" w14:paraId="0000002C">
      <w:pPr>
        <w:pStyle w:val="Heading3"/>
        <w:spacing w:after="140" w:before="240" w:lineRule="auto"/>
        <w:rPr/>
      </w:pPr>
      <w:bookmarkStart w:colFirst="0" w:colLast="0" w:name="_heading=h.4ma7qls1l8us" w:id="4"/>
      <w:bookmarkEnd w:id="4"/>
      <w:r w:rsidDel="00000000" w:rsidR="00000000" w:rsidRPr="00000000">
        <w:rPr>
          <w:rtl w:val="0"/>
        </w:rPr>
        <w:t xml:space="preserve">What CREST Is Not</w:t>
      </w:r>
    </w:p>
    <w:tbl>
      <w:tblPr>
        <w:tblStyle w:val="Table1"/>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7110"/>
        <w:tblGridChange w:id="0">
          <w:tblGrid>
            <w:gridCol w:w="2760"/>
            <w:gridCol w:w="71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80.0" w:type="dxa"/>
              <w:left w:w="120.0" w:type="dxa"/>
              <w:bottom w:w="80.0" w:type="dxa"/>
              <w:right w:w="120.0" w:type="dxa"/>
            </w:tcMar>
          </w:tcPr>
          <w:p w:rsidR="00000000" w:rsidDel="00000000" w:rsidP="00000000" w:rsidRDefault="00000000" w:rsidRPr="00000000" w14:paraId="0000002D">
            <w:pPr>
              <w:spacing w:after="40" w:lineRule="auto"/>
              <w:rPr/>
            </w:pPr>
            <w:r w:rsidDel="00000000" w:rsidR="00000000" w:rsidRPr="00000000">
              <w:rPr>
                <w:b w:val="1"/>
                <w:bCs w:val="1"/>
                <w:rtl w:val="0"/>
              </w:rPr>
              <w:t xml:space="preserve">CREST is 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80.0" w:type="dxa"/>
              <w:left w:w="120.0" w:type="dxa"/>
              <w:bottom w:w="80.0" w:type="dxa"/>
              <w:right w:w="120.0" w:type="dxa"/>
            </w:tcMar>
          </w:tcPr>
          <w:p w:rsidR="00000000" w:rsidDel="00000000" w:rsidP="00000000" w:rsidRDefault="00000000" w:rsidRPr="00000000" w14:paraId="0000002E">
            <w:pPr>
              <w:spacing w:after="40" w:lineRule="auto"/>
              <w:rPr/>
            </w:pPr>
            <w:r w:rsidDel="00000000" w:rsidR="00000000" w:rsidRPr="00000000">
              <w:rPr>
                <w:b w:val="1"/>
                <w:bCs w:val="1"/>
                <w:rtl w:val="0"/>
              </w:rPr>
              <w:t xml:space="preserve">Because…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spacing w:after="40" w:lineRule="auto"/>
              <w:rPr/>
            </w:pPr>
            <w:r w:rsidDel="00000000" w:rsidR="00000000" w:rsidRPr="00000000">
              <w:rPr>
                <w:rtl w:val="0"/>
              </w:rPr>
              <w:t xml:space="preserve">A payments system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spacing w:after="40" w:lineRule="auto"/>
              <w:rPr/>
            </w:pPr>
            <w:r w:rsidDel="00000000" w:rsidR="00000000" w:rsidRPr="00000000">
              <w:rPr>
                <w:rtl w:val="0"/>
              </w:rPr>
              <w:t xml:space="preserve">Crest issues credentials. Payment is the first use case where those credentials create immediate value — not the purpose of the system.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spacing w:after="40" w:lineRule="auto"/>
              <w:rPr/>
            </w:pPr>
            <w:r w:rsidDel="00000000" w:rsidR="00000000" w:rsidRPr="00000000">
              <w:rPr>
                <w:rtl w:val="0"/>
              </w:rPr>
              <w:t xml:space="preserve">An employment platform or matching engine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spacing w:after="40" w:lineRule="auto"/>
              <w:rPr/>
            </w:pPr>
            <w:r w:rsidDel="00000000" w:rsidR="00000000" w:rsidRPr="00000000">
              <w:rPr>
                <w:rtl w:val="0"/>
              </w:rPr>
              <w:t xml:space="preserve">Crest provides the verified inputs that matching systems need. It does not operate a marketplace.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spacing w:after="40" w:lineRule="auto"/>
              <w:rPr/>
            </w:pPr>
            <w:r w:rsidDel="00000000" w:rsidR="00000000" w:rsidRPr="00000000">
              <w:rPr>
                <w:rtl w:val="0"/>
              </w:rPr>
              <w:t xml:space="preserve">A financial services provider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spacing w:after="40" w:lineRule="auto"/>
              <w:rPr/>
            </w:pPr>
            <w:r w:rsidDel="00000000" w:rsidR="00000000" w:rsidRPr="00000000">
              <w:rPr>
                <w:rtl w:val="0"/>
              </w:rPr>
              <w:t xml:space="preserve">Crest provides verified work history that lenders, insurers, and microfinance institutions can use. It does not score workers or issue financial products.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spacing w:after="40" w:lineRule="auto"/>
              <w:rPr/>
            </w:pPr>
            <w:r w:rsidDel="00000000" w:rsidR="00000000" w:rsidRPr="00000000">
              <w:rPr>
                <w:rtl w:val="0"/>
              </w:rPr>
              <w:t xml:space="preserve">A labour compliance or regulatory system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spacing w:after="40" w:lineRule="auto"/>
              <w:rPr/>
            </w:pPr>
            <w:r w:rsidDel="00000000" w:rsidR="00000000" w:rsidRPr="00000000">
              <w:rPr>
                <w:rtl w:val="0"/>
              </w:rPr>
              <w:t xml:space="preserve">Crest does not enforce labour law or report to regulatory bodies. Credentials may be useful evidence in compliance contexts — that is incidental, not designed.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spacing w:after="40" w:lineRule="auto"/>
              <w:rPr/>
            </w:pPr>
            <w:r w:rsidDel="00000000" w:rsidR="00000000" w:rsidRPr="00000000">
              <w:rPr>
                <w:rtl w:val="0"/>
              </w:rPr>
              <w:t xml:space="preserve">A surveillance infrastructure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spacing w:after="40" w:lineRule="auto"/>
              <w:rPr/>
            </w:pPr>
            <w:r w:rsidDel="00000000" w:rsidR="00000000" w:rsidRPr="00000000">
              <w:rPr>
                <w:rtl w:val="0"/>
              </w:rPr>
              <w:t xml:space="preserve">Credentials are worker-owned. Verifiers see only what workers consent to share. Raw location data is not stored. The system is designed against profiling.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spacing w:after="40" w:lineRule="auto"/>
              <w:rPr/>
            </w:pPr>
            <w:r w:rsidDel="00000000" w:rsidR="00000000" w:rsidRPr="00000000">
              <w:rPr>
                <w:rtl w:val="0"/>
              </w:rPr>
              <w:t xml:space="preserve">A replacement for national identity systems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spacing w:after="40" w:lineRule="auto"/>
              <w:rPr/>
            </w:pPr>
            <w:r w:rsidDel="00000000" w:rsidR="00000000" w:rsidRPr="00000000">
              <w:rPr>
                <w:rtl w:val="0"/>
              </w:rPr>
              <w:t xml:space="preserve">Crest binds to existing identity infrastructure — national ID, mobile OTP, MOSIP. It never re-creates identity.</w:t>
            </w:r>
          </w:p>
        </w:tc>
      </w:tr>
    </w:tbl>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pStyle w:val="Heading2"/>
        <w:spacing w:after="100" w:before="220" w:lineRule="auto"/>
        <w:rPr/>
      </w:pPr>
      <w:r w:rsidDel="00000000" w:rsidR="00000000" w:rsidRPr="00000000">
        <w:rPr>
          <w:rtl w:val="0"/>
        </w:rPr>
      </w:r>
    </w:p>
    <w:p w:rsidR="00000000" w:rsidDel="00000000" w:rsidP="00000000" w:rsidRDefault="00000000" w:rsidRPr="00000000" w14:paraId="0000003D">
      <w:pPr>
        <w:pStyle w:val="Heading3"/>
        <w:spacing w:after="140" w:before="240" w:lineRule="auto"/>
        <w:rPr/>
      </w:pPr>
      <w:bookmarkStart w:colFirst="0" w:colLast="0" w:name="_heading=h.tan2jjt2mduy" w:id="5"/>
      <w:bookmarkEnd w:id="5"/>
      <w:r w:rsidDel="00000000" w:rsidR="00000000" w:rsidRPr="00000000">
        <w:rPr>
          <w:rtl w:val="0"/>
        </w:rPr>
        <w:t xml:space="preserve">The First Use Case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CREST’s first deployment is with community health workers (CHWs) on public health campaigns in Africa. CHWs are paid late or not at all, their work history does not follow them between campaigns, and there is no portable record of their skills or experience. Health departments struggle to recruit workers with verified experience. Donors want accountability for last-mile workforce delivery.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CREST addresses all of these simultaneously — not by building a new payments or HR system, but by making the worker's record of work verifiable and portable for the first time.</w:t>
      </w:r>
    </w:p>
    <w:p w:rsidR="00000000" w:rsidDel="00000000" w:rsidP="00000000" w:rsidRDefault="00000000" w:rsidRPr="00000000" w14:paraId="00000040">
      <w:pPr>
        <w:pStyle w:val="Heading1"/>
        <w:spacing w:after="120" w:before="320" w:lineRule="auto"/>
        <w:rPr>
          <w:sz w:val="26"/>
          <w:szCs w:val="26"/>
        </w:rPr>
      </w:pPr>
      <w:r w:rsidDel="00000000" w:rsidR="00000000" w:rsidRPr="00000000">
        <w:rPr>
          <w:sz w:val="26"/>
          <w:szCs w:val="26"/>
          <w:rtl w:val="0"/>
        </w:rPr>
        <w:t xml:space="preserve">B. Strategy Note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CREST is infrastructure, not a product. A product optimises for one use case and one user segment. Infrastructure creates the conditions for many use cases across many segments — including ones not yet imagined. Aadhaar did not anticipate Jan Dhan Yojana. UPI did not anticipate the merchant QR ecosystem. Crest should not constrain its architecture to the first use case.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The strategic goal is to become the global trust layer for informal work — the system that any employer, platform, lender, or institution can query to verify that a worker is who they claim to be and has done what they claim to have done.</w:t>
      </w:r>
    </w:p>
    <w:p w:rsidR="00000000" w:rsidDel="00000000" w:rsidP="00000000" w:rsidRDefault="00000000" w:rsidRPr="00000000" w14:paraId="00000043">
      <w:pPr>
        <w:spacing w:after="140" w:line="276" w:lineRule="auto"/>
        <w:rPr/>
      </w:pPr>
      <w:r w:rsidDel="00000000" w:rsidR="00000000" w:rsidRPr="00000000">
        <w:rPr>
          <w:rFonts w:ascii="Calibri" w:cs="Calibri" w:eastAsia="Calibri" w:hAnsi="Calibri"/>
          <w:color w:val="000000"/>
          <w:sz w:val="21"/>
          <w:szCs w:val="21"/>
          <w:rtl w:val="0"/>
        </w:rPr>
        <w:t xml:space="preserve">The cold-start strategy is to enter where issuer, worker, and verifier already co-exist in one system: the public health campaign. The Ministry of Health is the issuer, the CHW is the worker, and the next campaign coordinator is the verifier. Payment is the moment the credential creates immediate value to a</w:t>
      </w:r>
      <w:r w:rsidDel="00000000" w:rsidR="00000000" w:rsidRPr="00000000">
        <w:rPr>
          <w:rtl w:val="0"/>
        </w:rPr>
        <w:t xml:space="preserve"> </w:t>
      </w:r>
      <w:r w:rsidDel="00000000" w:rsidR="00000000" w:rsidRPr="00000000">
        <w:rPr>
          <w:rFonts w:ascii="Calibri" w:cs="Calibri" w:eastAsia="Calibri" w:hAnsi="Calibri"/>
          <w:color w:val="000000"/>
          <w:sz w:val="21"/>
          <w:szCs w:val="21"/>
          <w:rtl w:val="0"/>
        </w:rPr>
        <w:t xml:space="preserve">worker, but it is not the system's reason for existing.</w:t>
      </w:r>
      <w:r w:rsidDel="00000000" w:rsidR="00000000" w:rsidRPr="00000000">
        <w:rPr>
          <w:rtl w:val="0"/>
        </w:rPr>
      </w:r>
    </w:p>
    <w:p w:rsidR="00000000" w:rsidDel="00000000" w:rsidP="00000000" w:rsidRDefault="00000000" w:rsidRPr="00000000" w14:paraId="00000044">
      <w:pPr>
        <w:spacing w:after="140" w:line="276" w:lineRule="auto"/>
        <w:rPr/>
      </w:pPr>
      <w:r w:rsidDel="00000000" w:rsidR="00000000" w:rsidRPr="00000000">
        <w:rPr>
          <w:rFonts w:ascii="Calibri" w:cs="Calibri" w:eastAsia="Calibri" w:hAnsi="Calibri"/>
          <w:color w:val="000000"/>
          <w:sz w:val="21"/>
          <w:szCs w:val="21"/>
          <w:rtl w:val="0"/>
        </w:rPr>
        <w:t xml:space="preserve">Governance strategy: </w:t>
      </w:r>
      <w:r w:rsidDel="00000000" w:rsidR="00000000" w:rsidRPr="00000000">
        <w:rPr>
          <w:rtl w:val="0"/>
        </w:rPr>
        <w:t xml:space="preserve">CREST </w:t>
      </w:r>
      <w:r w:rsidDel="00000000" w:rsidR="00000000" w:rsidRPr="00000000">
        <w:rPr>
          <w:rFonts w:ascii="Calibri" w:cs="Calibri" w:eastAsia="Calibri" w:hAnsi="Calibri"/>
          <w:color w:val="000000"/>
          <w:sz w:val="21"/>
          <w:szCs w:val="21"/>
          <w:rtl w:val="0"/>
        </w:rPr>
        <w:t xml:space="preserve"> starts centralised (to move fast) and becomes federated by design </w:t>
      </w:r>
      <w:r w:rsidDel="00000000" w:rsidR="00000000" w:rsidRPr="00000000">
        <w:rPr>
          <w:rtl w:val="0"/>
        </w:rPr>
        <w:t xml:space="preserve">-</w:t>
      </w:r>
      <w:r w:rsidDel="00000000" w:rsidR="00000000" w:rsidRPr="00000000">
        <w:rPr>
          <w:rFonts w:ascii="Calibri" w:cs="Calibri" w:eastAsia="Calibri" w:hAnsi="Calibri"/>
          <w:color w:val="000000"/>
          <w:sz w:val="21"/>
          <w:szCs w:val="21"/>
          <w:rtl w:val="0"/>
        </w:rPr>
        <w:t xml:space="preserve"> national instances (worker registry, consent ledger, campaign data, work definitions) are sovereign from Day 1 and stay in-country; the global layer holds only public keys, schemas, and a taxonomy, transitioning eventually to a neutral multilateral steward (candidates named: ITU, WHO, or a purpose-built DPI body).</w:t>
      </w:r>
      <w:r w:rsidDel="00000000" w:rsidR="00000000" w:rsidRPr="00000000">
        <w:rPr>
          <w:rtl w:val="0"/>
        </w:rPr>
      </w:r>
    </w:p>
    <w:p w:rsidR="00000000" w:rsidDel="00000000" w:rsidP="00000000" w:rsidRDefault="00000000" w:rsidRPr="00000000" w14:paraId="00000045">
      <w:pPr>
        <w:pStyle w:val="Heading1"/>
        <w:spacing w:after="120" w:before="320" w:lineRule="auto"/>
        <w:rPr/>
      </w:pPr>
      <w:r w:rsidDel="00000000" w:rsidR="00000000" w:rsidRPr="00000000">
        <w:rPr>
          <w:sz w:val="26"/>
          <w:szCs w:val="26"/>
          <w:rtl w:val="0"/>
        </w:rPr>
        <w:t xml:space="preserve">C. Core Architectural Concepts</w:t>
      </w:r>
      <w:r w:rsidDel="00000000" w:rsidR="00000000" w:rsidRPr="00000000">
        <w:rPr>
          <w:rtl w:val="0"/>
        </w:rPr>
      </w:r>
    </w:p>
    <w:p w:rsidR="00000000" w:rsidDel="00000000" w:rsidP="00000000" w:rsidRDefault="00000000" w:rsidRPr="00000000" w14:paraId="00000046">
      <w:pPr>
        <w:pStyle w:val="Heading3"/>
        <w:spacing w:after="100" w:before="220" w:lineRule="auto"/>
        <w:rPr/>
      </w:pPr>
      <w:bookmarkStart w:colFirst="0" w:colLast="0" w:name="_heading=h.drhokgvdq744" w:id="6"/>
      <w:bookmarkEnd w:id="6"/>
      <w:r w:rsidDel="00000000" w:rsidR="00000000" w:rsidRPr="00000000">
        <w:rPr>
          <w:rtl w:val="0"/>
        </w:rPr>
        <w:t xml:space="preserve">C.1 Atomic Unit </w:t>
      </w:r>
    </w:p>
    <w:p w:rsidR="00000000" w:rsidDel="00000000" w:rsidP="00000000" w:rsidRDefault="00000000" w:rsidRPr="00000000" w14:paraId="00000047">
      <w:pPr>
        <w:spacing w:after="140" w:lineRule="auto"/>
        <w:rPr/>
      </w:pPr>
      <w:r w:rsidDel="00000000" w:rsidR="00000000" w:rsidRPr="00000000">
        <w:rPr>
          <w:rtl w:val="0"/>
        </w:rPr>
        <w:t xml:space="preserve">Every credentialing system has a foundational atomic unit - the smallest thing it can assert as true. GPS has a coordinate. Aadhaar has a biometric-bound identity.</w:t>
      </w:r>
    </w:p>
    <w:p w:rsidR="00000000" w:rsidDel="00000000" w:rsidP="00000000" w:rsidRDefault="00000000" w:rsidRPr="00000000" w14:paraId="00000048">
      <w:pPr>
        <w:spacing w:after="140" w:lineRule="auto"/>
        <w:rPr/>
      </w:pPr>
      <w:r w:rsidDel="00000000" w:rsidR="00000000" w:rsidRPr="00000000">
        <w:rPr>
          <w:b w:val="1"/>
          <w:bCs w:val="1"/>
          <w:rtl w:val="0"/>
        </w:rPr>
        <w:t xml:space="preserve">For CREST, the atomic unit of truth is a work event.</w:t>
      </w:r>
      <w:r w:rsidDel="00000000" w:rsidR="00000000" w:rsidRPr="00000000">
        <w:rPr>
          <w:rtl w:val="0"/>
        </w:rPr>
      </w:r>
    </w:p>
    <w:p w:rsidR="00000000" w:rsidDel="00000000" w:rsidP="00000000" w:rsidRDefault="00000000" w:rsidRPr="00000000" w14:paraId="00000049">
      <w:pPr>
        <w:spacing w:after="140" w:lineRule="auto"/>
        <w:rPr/>
      </w:pPr>
      <w:r w:rsidDel="00000000" w:rsidR="00000000" w:rsidRPr="00000000">
        <w:rPr>
          <w:rtl w:val="0"/>
        </w:rPr>
        <w:t xml:space="preserve">At minimum, a work event must answer following questions:</w:t>
      </w:r>
    </w:p>
    <w:p w:rsidR="00000000" w:rsidDel="00000000" w:rsidP="00000000" w:rsidRDefault="00000000" w:rsidRPr="00000000" w14:paraId="0000004A">
      <w:pPr>
        <w:numPr>
          <w:ilvl w:val="0"/>
          <w:numId w:val="2"/>
        </w:numPr>
        <w:spacing w:after="80" w:lineRule="auto"/>
        <w:ind w:left="720" w:hanging="360"/>
        <w:rPr/>
      </w:pPr>
      <w:r w:rsidDel="00000000" w:rsidR="00000000" w:rsidRPr="00000000">
        <w:rPr>
          <w:rtl w:val="0"/>
        </w:rPr>
        <w:t xml:space="preserve">Who worked</w:t>
      </w:r>
    </w:p>
    <w:p w:rsidR="00000000" w:rsidDel="00000000" w:rsidP="00000000" w:rsidRDefault="00000000" w:rsidRPr="00000000" w14:paraId="0000004B">
      <w:pPr>
        <w:numPr>
          <w:ilvl w:val="0"/>
          <w:numId w:val="2"/>
        </w:numPr>
        <w:spacing w:after="80" w:lineRule="auto"/>
        <w:ind w:left="720" w:hanging="360"/>
        <w:rPr/>
      </w:pPr>
      <w:r w:rsidDel="00000000" w:rsidR="00000000" w:rsidRPr="00000000">
        <w:rPr>
          <w:rtl w:val="0"/>
        </w:rPr>
        <w:t xml:space="preserve">For whom they worked</w:t>
      </w:r>
    </w:p>
    <w:p w:rsidR="00000000" w:rsidDel="00000000" w:rsidP="00000000" w:rsidRDefault="00000000" w:rsidRPr="00000000" w14:paraId="0000004C">
      <w:pPr>
        <w:numPr>
          <w:ilvl w:val="0"/>
          <w:numId w:val="2"/>
        </w:numPr>
        <w:spacing w:after="80" w:lineRule="auto"/>
        <w:ind w:left="720" w:hanging="360"/>
        <w:rPr/>
      </w:pPr>
      <w:r w:rsidDel="00000000" w:rsidR="00000000" w:rsidRPr="00000000">
        <w:rPr>
          <w:rtl w:val="0"/>
        </w:rPr>
        <w:t xml:space="preserve">What they did - captured as a skill code</w:t>
      </w:r>
    </w:p>
    <w:p w:rsidR="00000000" w:rsidDel="00000000" w:rsidP="00000000" w:rsidRDefault="00000000" w:rsidRPr="00000000" w14:paraId="0000004D">
      <w:pPr>
        <w:numPr>
          <w:ilvl w:val="0"/>
          <w:numId w:val="2"/>
        </w:numPr>
        <w:spacing w:after="80" w:lineRule="auto"/>
        <w:ind w:left="720" w:hanging="360"/>
        <w:rPr/>
      </w:pPr>
      <w:r w:rsidDel="00000000" w:rsidR="00000000" w:rsidRPr="00000000">
        <w:rPr>
          <w:rtl w:val="0"/>
        </w:rPr>
        <w:t xml:space="preserve">When and for how long</w:t>
      </w:r>
    </w:p>
    <w:p w:rsidR="00000000" w:rsidDel="00000000" w:rsidP="00000000" w:rsidRDefault="00000000" w:rsidRPr="00000000" w14:paraId="0000004E">
      <w:pPr>
        <w:numPr>
          <w:ilvl w:val="0"/>
          <w:numId w:val="2"/>
        </w:numPr>
        <w:spacing w:after="80" w:lineRule="auto"/>
        <w:ind w:left="720" w:hanging="360"/>
        <w:rPr/>
      </w:pPr>
      <w:r w:rsidDel="00000000" w:rsidR="00000000" w:rsidRPr="00000000">
        <w:rPr>
          <w:rtl w:val="0"/>
        </w:rPr>
        <w:t xml:space="preserve">That it actually happened — the trust signal</w:t>
      </w:r>
    </w:p>
    <w:p w:rsidR="00000000" w:rsidDel="00000000" w:rsidP="00000000" w:rsidRDefault="00000000" w:rsidRPr="00000000" w14:paraId="0000004F">
      <w:pPr>
        <w:numPr>
          <w:ilvl w:val="0"/>
          <w:numId w:val="2"/>
        </w:numPr>
        <w:spacing w:after="80" w:lineRule="auto"/>
        <w:ind w:left="720" w:hanging="360"/>
        <w:rPr>
          <w:rFonts w:ascii="Arial" w:cs="Arial" w:eastAsia="Arial" w:hAnsi="Arial"/>
        </w:rPr>
      </w:pPr>
      <w:r w:rsidDel="00000000" w:rsidR="00000000" w:rsidRPr="00000000">
        <w:rPr>
          <w:rtl w:val="0"/>
        </w:rPr>
        <w:t xml:space="preserve">Under which </w:t>
      </w:r>
      <w:r w:rsidDel="00000000" w:rsidR="00000000" w:rsidRPr="00000000">
        <w:rPr>
          <w:b w:val="1"/>
          <w:bCs w:val="1"/>
          <w:rtl w:val="0"/>
        </w:rPr>
        <w:t xml:space="preserve">work definition</w:t>
      </w:r>
      <w:r w:rsidDel="00000000" w:rsidR="00000000" w:rsidRPr="00000000">
        <w:rPr>
          <w:rtl w:val="0"/>
        </w:rPr>
        <w:t xml:space="preserve"> it was attested, and who specified it</w:t>
      </w:r>
      <w:r w:rsidDel="00000000" w:rsidR="00000000" w:rsidRPr="00000000">
        <w:rPr>
          <w:rtl w:val="0"/>
        </w:rPr>
      </w:r>
    </w:p>
    <w:p w:rsidR="00000000" w:rsidDel="00000000" w:rsidP="00000000" w:rsidRDefault="00000000" w:rsidRPr="00000000" w14:paraId="00000050">
      <w:pPr>
        <w:spacing w:after="140" w:lineRule="auto"/>
        <w:rPr/>
      </w:pPr>
      <w:r w:rsidDel="00000000" w:rsidR="00000000" w:rsidRPr="00000000">
        <w:rPr>
          <w:rtl w:val="0"/>
        </w:rPr>
        <w:t xml:space="preserve">The fifth element , proof that the event occurred is the hard part. The first four are data. The fifth is trust. A work event with no attestation signal is just a diary entry. The sixth element is what turns “proof that it happened” into “proof that what happened counts as the work it claims to be.” An attestation is only as meaningful as the definition it was issued against: someone with legitimate authority must have declared what this work is and what evidence is acceptable for it.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1">
      <w:pPr>
        <w:pStyle w:val="Heading3"/>
        <w:spacing w:after="100" w:before="220" w:lineRule="auto"/>
        <w:rPr/>
      </w:pPr>
      <w:bookmarkStart w:colFirst="0" w:colLast="0" w:name="_heading=h.rksw8z1qzjwd" w:id="7"/>
      <w:bookmarkEnd w:id="7"/>
      <w:r w:rsidDel="00000000" w:rsidR="00000000" w:rsidRPr="00000000">
        <w:rPr>
          <w:rtl w:val="0"/>
        </w:rPr>
        <w:t xml:space="preserve">C.2 Trust tiers </w:t>
      </w:r>
    </w:p>
    <w:p w:rsidR="00000000" w:rsidDel="00000000" w:rsidP="00000000" w:rsidRDefault="00000000" w:rsidRPr="00000000" w14:paraId="00000052">
      <w:pPr>
        <w:spacing w:after="140" w:line="276" w:lineRule="auto"/>
        <w:rPr/>
      </w:pPr>
      <w:r w:rsidDel="00000000" w:rsidR="00000000" w:rsidRPr="00000000">
        <w:rPr>
          <w:rFonts w:ascii="Calibri" w:cs="Calibri" w:eastAsia="Calibri" w:hAnsi="Calibri"/>
          <w:color w:val="000000"/>
          <w:sz w:val="21"/>
          <w:szCs w:val="21"/>
          <w:rtl w:val="0"/>
        </w:rPr>
        <w:t xml:space="preserve">Not all work events carry equal evidentiary weight. Three tiers are defined, and the tier is a first-class, visible property of every credential </w:t>
      </w:r>
      <w:r w:rsidDel="00000000" w:rsidR="00000000" w:rsidRPr="00000000">
        <w:rPr>
          <w:rtl w:val="0"/>
        </w:rPr>
        <w:t xml:space="preserve">-</w:t>
      </w:r>
      <w:r w:rsidDel="00000000" w:rsidR="00000000" w:rsidRPr="00000000">
        <w:rPr>
          <w:rFonts w:ascii="Calibri" w:cs="Calibri" w:eastAsia="Calibri" w:hAnsi="Calibri"/>
          <w:color w:val="000000"/>
          <w:sz w:val="21"/>
          <w:szCs w:val="21"/>
          <w:rtl w:val="0"/>
        </w:rPr>
        <w:t xml:space="preserve">never a hidden metadata field: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Tier 1 — Outcome-linked (service delivery system). Strongest: outcome independently recorded by a third-party system. Primary risk: identity mapping errors, source data quality.</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Tier 2 — Supervisor-entered. Medium: issuer has authority but also bias. Primary risk: supervisor–worker collusion or coercion.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Tier 3 — Worker-asserted. Weakest: no independent corroboration, essential for inclusion. Primary risk: inflation of work history.</w:t>
      </w:r>
      <w:r w:rsidDel="00000000" w:rsidR="00000000" w:rsidRPr="00000000">
        <w:rPr>
          <w:rtl w:val="0"/>
        </w:rPr>
      </w:r>
    </w:p>
    <w:p w:rsidR="00000000" w:rsidDel="00000000" w:rsidP="00000000" w:rsidRDefault="00000000" w:rsidRPr="00000000" w14:paraId="00000056">
      <w:pPr>
        <w:pStyle w:val="Heading2"/>
        <w:spacing w:after="100" w:before="220" w:lineRule="auto"/>
        <w:rPr/>
      </w:pPr>
      <w:r w:rsidDel="00000000" w:rsidR="00000000" w:rsidRPr="00000000">
        <w:rPr>
          <w:color w:val="1f4d78"/>
          <w:sz w:val="24"/>
          <w:szCs w:val="24"/>
          <w:rtl w:val="0"/>
        </w:rPr>
        <w:t xml:space="preserve">C.3 The Specifier / Issuer split </w:t>
      </w:r>
      <w:r w:rsidDel="00000000" w:rsidR="00000000" w:rsidRPr="00000000">
        <w:rPr>
          <w:rtl w:val="0"/>
        </w:rPr>
      </w:r>
    </w:p>
    <w:p w:rsidR="00000000" w:rsidDel="00000000" w:rsidP="00000000" w:rsidRDefault="00000000" w:rsidRPr="00000000" w14:paraId="00000057">
      <w:pPr>
        <w:spacing w:after="140" w:line="276" w:lineRule="auto"/>
        <w:rPr/>
      </w:pPr>
      <w:r w:rsidDel="00000000" w:rsidR="00000000" w:rsidRPr="00000000">
        <w:rPr>
          <w:rtl w:val="0"/>
        </w:rPr>
        <w:t xml:space="preserve">A</w:t>
      </w:r>
      <w:r w:rsidDel="00000000" w:rsidR="00000000" w:rsidRPr="00000000">
        <w:rPr>
          <w:rFonts w:ascii="Calibri" w:cs="Calibri" w:eastAsia="Calibri" w:hAnsi="Calibri"/>
          <w:color w:val="000000"/>
          <w:sz w:val="21"/>
          <w:szCs w:val="21"/>
          <w:rtl w:val="0"/>
        </w:rPr>
        <w:t xml:space="preserve">ttestation is two distinct acts</w:t>
      </w:r>
      <w:r w:rsidDel="00000000" w:rsidR="00000000" w:rsidRPr="00000000">
        <w:rPr>
          <w:rtl w:val="0"/>
        </w:rPr>
        <w:t xml:space="preserve">: </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Specifier — answers what counts as work for this work type, what evidence is acceptable, at which tiers, and who is authorised to issue against this definition.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Issuer — answers whether this specific worker performed work that meets the definition, supported by the declared evidence.</w:t>
      </w:r>
      <w:r w:rsidDel="00000000" w:rsidR="00000000" w:rsidRPr="00000000">
        <w:rPr>
          <w:rtl w:val="0"/>
        </w:rPr>
      </w:r>
    </w:p>
    <w:p w:rsidR="00000000" w:rsidDel="00000000" w:rsidP="00000000" w:rsidRDefault="00000000" w:rsidRPr="00000000" w14:paraId="0000005A">
      <w:pPr>
        <w:spacing w:after="140" w:lineRule="auto"/>
        <w:rPr/>
      </w:pPr>
      <w:r w:rsidDel="00000000" w:rsidR="00000000" w:rsidRPr="00000000">
        <w:rPr>
          <w:rtl w:val="0"/>
        </w:rPr>
        <w:t xml:space="preserve">These are separable responsibilities. The Ministry of Health may specify what counts as bednet distribution work — Tier 1: an outcome record from the designated service delivery system; Tier 2: supervisor confirmation; Tier 3: worker assertion — while the actual attestation is performed by a district health office or NGO coordinator. Trust in the credential traces through both: a verifier trusts the attestation because they trust the issuer, and trusts that the issuer's attestation means something because a credible specifier defined what was being attested to.</w:t>
      </w:r>
    </w:p>
    <w:p w:rsidR="00000000" w:rsidDel="00000000" w:rsidP="00000000" w:rsidRDefault="00000000" w:rsidRPr="00000000" w14:paraId="0000005B">
      <w:pPr>
        <w:spacing w:after="140" w:line="276" w:lineRule="auto"/>
        <w:rPr>
          <w:rFonts w:ascii="Arial" w:cs="Arial" w:eastAsia="Arial" w:hAnsi="Arial"/>
        </w:rPr>
      </w:pPr>
      <w:r w:rsidDel="00000000" w:rsidR="00000000" w:rsidRPr="00000000">
        <w:rPr>
          <w:rFonts w:ascii="Calibri" w:cs="Calibri" w:eastAsia="Calibri" w:hAnsi="Calibri"/>
          <w:color w:val="000000"/>
          <w:sz w:val="21"/>
          <w:szCs w:val="21"/>
          <w:rtl w:val="0"/>
        </w:rPr>
        <w:t xml:space="preserve">In the first deployment, the national Ministry of Health holds both root-of-trust roles </w:t>
      </w:r>
      <w:r w:rsidDel="00000000" w:rsidR="00000000" w:rsidRPr="00000000">
        <w:rPr>
          <w:rtl w:val="0"/>
        </w:rPr>
        <w:t xml:space="preserve">-</w:t>
      </w:r>
      <w:r w:rsidDel="00000000" w:rsidR="00000000" w:rsidRPr="00000000">
        <w:rPr>
          <w:rFonts w:ascii="Calibri" w:cs="Calibri" w:eastAsia="Calibri" w:hAnsi="Calibri"/>
          <w:color w:val="000000"/>
          <w:sz w:val="21"/>
          <w:szCs w:val="21"/>
          <w:rtl w:val="0"/>
        </w:rPr>
        <w:t xml:space="preserve"> issuer and specifier </w:t>
      </w:r>
      <w:r w:rsidDel="00000000" w:rsidR="00000000" w:rsidRPr="00000000">
        <w:rPr>
          <w:rtl w:val="0"/>
        </w:rPr>
        <w:t xml:space="preserve">-</w:t>
      </w:r>
      <w:r w:rsidDel="00000000" w:rsidR="00000000" w:rsidRPr="00000000">
        <w:rPr>
          <w:rFonts w:ascii="Calibri" w:cs="Calibri" w:eastAsia="Calibri" w:hAnsi="Calibri"/>
          <w:color w:val="000000"/>
          <w:sz w:val="21"/>
          <w:szCs w:val="21"/>
          <w:rtl w:val="0"/>
        </w:rPr>
        <w:t xml:space="preserve"> but the registry keeps them structurally distinct even when held by one institution, because an MoH may delegate issuing authority to district offices while retaining specification centrally.</w:t>
      </w:r>
      <w:r w:rsidDel="00000000" w:rsidR="00000000" w:rsidRPr="00000000">
        <w:rPr>
          <w:rtl w:val="0"/>
        </w:rPr>
      </w:r>
    </w:p>
    <w:sdt>
      <w:sdtPr>
        <w:lock w:val="contentLocked"/>
        <w:id w:val="1682053365"/>
        <w:tag w:val="goog_rdk_0"/>
      </w:sdtPr>
      <w:sdtContent>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80.0" w:type="dxa"/>
                  <w:left w:w="120.0" w:type="dxa"/>
                  <w:bottom w:w="80.0" w:type="dxa"/>
                  <w:right w:w="120.0" w:type="dxa"/>
                </w:tcMar>
              </w:tcPr>
              <w:p w:rsidR="00000000" w:rsidDel="00000000" w:rsidP="00000000" w:rsidRDefault="00000000" w:rsidRPr="00000000" w14:paraId="0000005C">
                <w:pPr>
                  <w:spacing w:after="40" w:lineRule="auto"/>
                  <w:rPr/>
                </w:pPr>
                <w:r w:rsidDel="00000000" w:rsidR="00000000" w:rsidRPr="00000000">
                  <w:rPr>
                    <w:b w:val="1"/>
                    <w:bCs w:val="1"/>
                    <w:rtl w:val="0"/>
                  </w:rPr>
                  <w:t xml:space="preserve">Issuer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80.0" w:type="dxa"/>
                  <w:left w:w="120.0" w:type="dxa"/>
                  <w:bottom w:w="80.0" w:type="dxa"/>
                  <w:right w:w="120.0" w:type="dxa"/>
                </w:tcMar>
              </w:tcPr>
              <w:p w:rsidR="00000000" w:rsidDel="00000000" w:rsidP="00000000" w:rsidRDefault="00000000" w:rsidRPr="00000000" w14:paraId="0000005D">
                <w:pPr>
                  <w:spacing w:after="40" w:lineRule="auto"/>
                  <w:rPr/>
                </w:pPr>
                <w:r w:rsidDel="00000000" w:rsidR="00000000" w:rsidRPr="00000000">
                  <w:rPr>
                    <w:b w:val="1"/>
                    <w:bCs w:val="1"/>
                    <w:rtl w:val="0"/>
                  </w:rPr>
                  <w:t xml:space="preserve">Role in the 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spacing w:after="40" w:lineRule="auto"/>
                  <w:rPr/>
                </w:pPr>
                <w:r w:rsidDel="00000000" w:rsidR="00000000" w:rsidRPr="00000000">
                  <w:rPr>
                    <w:rtl w:val="0"/>
                  </w:rPr>
                  <w:t xml:space="preserve">National Ministry of Health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spacing w:after="40" w:lineRule="auto"/>
                  <w:rPr/>
                </w:pPr>
                <w:r w:rsidDel="00000000" w:rsidR="00000000" w:rsidRPr="00000000">
                  <w:rPr>
                    <w:rtl w:val="0"/>
                  </w:rPr>
                  <w:t xml:space="preserve">Root of trust — sovereign authority over health programs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spacing w:after="40" w:lineRule="auto"/>
                  <w:rPr/>
                </w:pPr>
                <w:r w:rsidDel="00000000" w:rsidR="00000000" w:rsidRPr="00000000">
                  <w:rPr>
                    <w:rtl w:val="0"/>
                  </w:rPr>
                  <w:t xml:space="preserve">Provincial Health Department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spacing w:after="40" w:lineRule="auto"/>
                  <w:rPr/>
                </w:pPr>
                <w:r w:rsidDel="00000000" w:rsidR="00000000" w:rsidRPr="00000000">
                  <w:rPr>
                    <w:rtl w:val="0"/>
                  </w:rPr>
                  <w:t xml:space="preserve">Delegates campaign authority to districts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spacing w:after="40" w:lineRule="auto"/>
                  <w:rPr/>
                </w:pPr>
                <w:r w:rsidDel="00000000" w:rsidR="00000000" w:rsidRPr="00000000">
                  <w:rPr>
                    <w:rtl w:val="0"/>
                  </w:rPr>
                  <w:t xml:space="preserve">District Health Office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spacing w:after="40" w:lineRule="auto"/>
                  <w:rPr/>
                </w:pPr>
                <w:r w:rsidDel="00000000" w:rsidR="00000000" w:rsidRPr="00000000">
                  <w:rPr>
                    <w:rtl w:val="0"/>
                  </w:rPr>
                  <w:t xml:space="preserve">Manages campaign rosters and supervisors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spacing w:after="40" w:lineRule="auto"/>
                  <w:rPr/>
                </w:pPr>
                <w:r w:rsidDel="00000000" w:rsidR="00000000" w:rsidRPr="00000000">
                  <w:rPr>
                    <w:rtl w:val="0"/>
                  </w:rPr>
                  <w:t xml:space="preserve">Facility / Clinic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spacing w:after="40" w:lineRule="auto"/>
                  <w:rPr/>
                </w:pPr>
                <w:r w:rsidDel="00000000" w:rsidR="00000000" w:rsidRPr="00000000">
                  <w:rPr>
                    <w:rtl w:val="0"/>
                  </w:rPr>
                  <w:t xml:space="preserve">Operational base for CHW deployment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spacing w:after="40" w:lineRule="auto"/>
                  <w:rPr/>
                </w:pPr>
                <w:r w:rsidDel="00000000" w:rsidR="00000000" w:rsidRPr="00000000">
                  <w:rPr>
                    <w:rtl w:val="0"/>
                  </w:rPr>
                  <w:t xml:space="preserve">Campaign Coordinator (NGO)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spacing w:after="40" w:lineRule="auto"/>
                  <w:rPr/>
                </w:pPr>
                <w:r w:rsidDel="00000000" w:rsidR="00000000" w:rsidRPr="00000000">
                  <w:rPr>
                    <w:rtl w:val="0"/>
                  </w:rPr>
                  <w:t xml:space="preserve">Day-to-day management of workers in the field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spacing w:after="40" w:lineRule="auto"/>
                  <w:rPr/>
                </w:pPr>
                <w:r w:rsidDel="00000000" w:rsidR="00000000" w:rsidRPr="00000000">
                  <w:rPr>
                    <w:rtl w:val="0"/>
                  </w:rPr>
                  <w:t xml:space="preserve">Community Health Worker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spacing w:after="40" w:lineRule="auto"/>
                  <w:rPr/>
                </w:pPr>
                <w:r w:rsidDel="00000000" w:rsidR="00000000" w:rsidRPr="00000000">
                  <w:rPr>
                    <w:rtl w:val="0"/>
                  </w:rPr>
                  <w:t xml:space="preserve">The worker — asserting their own events at Tier 3</w:t>
                </w:r>
              </w:p>
            </w:tc>
          </w:tr>
        </w:tbl>
      </w:sdtContent>
    </w:sdt>
    <w:p w:rsidR="00000000" w:rsidDel="00000000" w:rsidP="00000000" w:rsidRDefault="00000000" w:rsidRPr="00000000" w14:paraId="0000006A">
      <w:pPr>
        <w:pStyle w:val="Heading2"/>
        <w:spacing w:after="100" w:before="220" w:lineRule="auto"/>
        <w:rPr>
          <w:color w:val="1f4d78"/>
          <w:sz w:val="24"/>
          <w:szCs w:val="24"/>
        </w:rPr>
      </w:pPr>
      <w:r w:rsidDel="00000000" w:rsidR="00000000" w:rsidRPr="00000000">
        <w:rPr>
          <w:color w:val="1f4d78"/>
          <w:sz w:val="24"/>
          <w:szCs w:val="24"/>
          <w:rtl w:val="0"/>
        </w:rPr>
        <w:t xml:space="preserve">C.4 The Work Definition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work definition is the specifier's output: a signed, versioned, machine-readable record held in the Work Definition Registry (Layer 1). It is not only a registry artifact for verifiers. The specifier's signed, versioned output, held in the Work Definition Registry,is read differently by three audiences from one signed record:</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 transparency face — plain-language evidence requirements and tier ceiling, rendered via app/USSD/supervisor briefing before work starts.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integration face — authorised source systems, required fields, outcome unit, tier-mapping rules, schema pointer. This is what a service delivery platform (e.g. HCM) reads to know what to collect and transmit.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Verifier trust face — authorised issuer DIDs, evidence-to-tier mapping, specifier's signature, publish timestamp.</w:t>
      </w:r>
      <w:r w:rsidDel="00000000" w:rsidR="00000000" w:rsidRPr="00000000">
        <w:rPr>
          <w:rtl w:val="0"/>
        </w:rPr>
      </w:r>
    </w:p>
    <w:p w:rsidR="00000000" w:rsidDel="00000000" w:rsidP="00000000" w:rsidRDefault="00000000" w:rsidRPr="00000000" w14:paraId="00000070">
      <w:pPr>
        <w:spacing w:after="140" w:line="276" w:lineRule="auto"/>
        <w:rPr/>
      </w:pPr>
      <w:r w:rsidDel="00000000" w:rsidR="00000000" w:rsidRPr="00000000">
        <w:rPr>
          <w:rFonts w:ascii="Calibri" w:cs="Calibri" w:eastAsia="Calibri" w:hAnsi="Calibri"/>
          <w:color w:val="000000"/>
          <w:sz w:val="21"/>
          <w:szCs w:val="21"/>
          <w:rtl w:val="0"/>
        </w:rPr>
        <w:t xml:space="preserve">Definitions are immutable once ACTIVE — changes are new versions, and credentials remain valid against the version they were issued under, permanently resolvable. This is schema-versioning logic applied to the definition of work itself.</w:t>
      </w:r>
      <w:r w:rsidDel="00000000" w:rsidR="00000000" w:rsidRPr="00000000">
        <w:rPr>
          <w:rtl w:val="0"/>
        </w:rPr>
      </w:r>
    </w:p>
    <w:p w:rsidR="00000000" w:rsidDel="00000000" w:rsidP="00000000" w:rsidRDefault="00000000" w:rsidRPr="00000000" w14:paraId="00000071">
      <w:pPr>
        <w:pStyle w:val="Heading1"/>
        <w:spacing w:after="120" w:before="320" w:lineRule="auto"/>
        <w:rPr/>
      </w:pPr>
      <w:r w:rsidDel="00000000" w:rsidR="00000000" w:rsidRPr="00000000">
        <w:rPr>
          <w:sz w:val="26"/>
          <w:szCs w:val="26"/>
          <w:rtl w:val="0"/>
        </w:rPr>
        <w:t xml:space="preserve">D. System Architecture — The Five Layers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Layer 0 — Identity Anchor: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 owned by </w:t>
      </w:r>
      <w:r w:rsidDel="00000000" w:rsidR="00000000" w:rsidRPr="00000000">
        <w:rPr>
          <w:rtl w:val="0"/>
        </w:rPr>
        <w:t xml:space="preserve">CREST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binds to national ID, mobile OTP, or MOSIP.</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Layer 1 — Registry: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employer/issuer registry, Work Definition Registry, skill taxonomy registry, schema registry.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Layer 2 — Attestation: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issuance API, dispute/correction protocol, implicit attestation engine, evidence intake / class adapters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Layer 3 — Wallet: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worker-owned, on-device encrypted credential store; selective disclosure; offline-verifiable QR/NFC format.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Layer 4 — Verification: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verification API; trust-chain resolution through the work definition; trust score computed at query time; consent layer.</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Layer 5 — Experience: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 (WhatsApp/app/USSD), employer portal/API, verifier API/widget, specifier authoring interface </w:t>
      </w:r>
      <w:r w:rsidDel="00000000" w:rsidR="00000000" w:rsidRPr="00000000">
        <w:rPr>
          <w:rtl w:val="0"/>
        </w:rPr>
      </w:r>
    </w:p>
    <w:p w:rsidR="00000000" w:rsidDel="00000000" w:rsidP="00000000" w:rsidRDefault="00000000" w:rsidRPr="00000000" w14:paraId="00000078">
      <w:pPr>
        <w:pStyle w:val="Heading1"/>
        <w:spacing w:after="120" w:before="320" w:lineRule="auto"/>
        <w:rPr/>
      </w:pPr>
      <w:r w:rsidDel="00000000" w:rsidR="00000000" w:rsidRPr="00000000">
        <w:rPr>
          <w:sz w:val="26"/>
          <w:szCs w:val="26"/>
          <w:rtl w:val="0"/>
        </w:rPr>
        <w:t xml:space="preserve">E. Interoperability - Consuming Definitions, Producing Evidence</w:t>
      </w:r>
      <w:r w:rsidDel="00000000" w:rsidR="00000000" w:rsidRPr="00000000">
        <w:rPr>
          <w:rtl w:val="0"/>
        </w:rPr>
      </w:r>
    </w:p>
    <w:p w:rsidR="00000000" w:rsidDel="00000000" w:rsidP="00000000" w:rsidRDefault="00000000" w:rsidRPr="00000000" w14:paraId="00000079">
      <w:pPr>
        <w:pStyle w:val="Heading2"/>
        <w:spacing w:after="100" w:before="220" w:lineRule="auto"/>
        <w:rPr/>
      </w:pPr>
      <w:r w:rsidDel="00000000" w:rsidR="00000000" w:rsidRPr="00000000">
        <w:rPr>
          <w:color w:val="1f4d78"/>
          <w:sz w:val="24"/>
          <w:szCs w:val="24"/>
          <w:rtl w:val="0"/>
        </w:rPr>
        <w:t xml:space="preserve">E.1 Design stance</w:t>
      </w:r>
      <w:r w:rsidDel="00000000" w:rsidR="00000000" w:rsidRPr="00000000">
        <w:rPr>
          <w:rtl w:val="0"/>
        </w:rPr>
      </w:r>
    </w:p>
    <w:p w:rsidR="00000000" w:rsidDel="00000000" w:rsidP="00000000" w:rsidRDefault="00000000" w:rsidRPr="00000000" w14:paraId="0000007A">
      <w:pPr>
        <w:spacing w:after="140" w:line="276" w:lineRule="auto"/>
        <w:rPr/>
      </w:pPr>
      <w:r w:rsidDel="00000000" w:rsidR="00000000" w:rsidRPr="00000000">
        <w:rPr>
          <w:rtl w:val="0"/>
        </w:rPr>
        <w:t xml:space="preserve">CREST </w:t>
      </w:r>
      <w:r w:rsidDel="00000000" w:rsidR="00000000" w:rsidRPr="00000000">
        <w:rPr>
          <w:rFonts w:ascii="Calibri" w:cs="Calibri" w:eastAsia="Calibri" w:hAnsi="Calibri"/>
          <w:color w:val="000000"/>
          <w:sz w:val="21"/>
          <w:szCs w:val="21"/>
          <w:rtl w:val="0"/>
        </w:rPr>
        <w:t xml:space="preserve"> absorbs heterogeneity rather than asking source systems to change. A brutally small mandatory core (roughly: activity counted, outcome unit, worker-joining identifier, campaign period, and where data is exposed) is the only hard requirement; everything else is optional enrichment. A platform that provides only the core still produces valid Tier 1 evidence.</w:t>
      </w:r>
      <w:r w:rsidDel="00000000" w:rsidR="00000000" w:rsidRPr="00000000">
        <w:rPr>
          <w:rtl w:val="0"/>
        </w:rPr>
      </w:r>
    </w:p>
    <w:p w:rsidR="00000000" w:rsidDel="00000000" w:rsidP="00000000" w:rsidRDefault="00000000" w:rsidRPr="00000000" w14:paraId="0000007B">
      <w:pPr>
        <w:pStyle w:val="Heading2"/>
        <w:spacing w:after="100" w:before="220" w:lineRule="auto"/>
        <w:rPr/>
      </w:pPr>
      <w:r w:rsidDel="00000000" w:rsidR="00000000" w:rsidRPr="00000000">
        <w:rPr>
          <w:color w:val="1f4d78"/>
          <w:sz w:val="24"/>
          <w:szCs w:val="24"/>
          <w:rtl w:val="0"/>
        </w:rPr>
        <w:t xml:space="preserve">E.2 Class adapters, not deployment adapters</w:t>
      </w:r>
      <w:r w:rsidDel="00000000" w:rsidR="00000000" w:rsidRPr="00000000">
        <w:rPr>
          <w:rtl w:val="0"/>
        </w:rPr>
      </w:r>
    </w:p>
    <w:p w:rsidR="00000000" w:rsidDel="00000000" w:rsidP="00000000" w:rsidRDefault="00000000" w:rsidRPr="00000000" w14:paraId="0000007C">
      <w:pPr>
        <w:spacing w:after="140" w:line="276" w:lineRule="auto"/>
        <w:rPr/>
      </w:pPr>
      <w:r w:rsidDel="00000000" w:rsidR="00000000" w:rsidRPr="00000000">
        <w:rPr>
          <w:rFonts w:ascii="Calibri" w:cs="Calibri" w:eastAsia="Calibri" w:hAnsi="Calibri"/>
          <w:color w:val="000000"/>
          <w:sz w:val="21"/>
          <w:szCs w:val="21"/>
          <w:rtl w:val="0"/>
        </w:rPr>
        <w:t xml:space="preserve">Adapters are written once per system class — one DHIS2 adapter, one CommCare adapter, one DIGIT HCM adapter, one generic batch-file adapter </w:t>
      </w:r>
      <w:r w:rsidDel="00000000" w:rsidR="00000000" w:rsidRPr="00000000">
        <w:rPr>
          <w:rtl w:val="0"/>
        </w:rPr>
        <w:t xml:space="preserve">-</w:t>
      </w:r>
      <w:r w:rsidDel="00000000" w:rsidR="00000000" w:rsidRPr="00000000">
        <w:rPr>
          <w:rFonts w:ascii="Calibri" w:cs="Calibri" w:eastAsia="Calibri" w:hAnsi="Calibri"/>
          <w:color w:val="000000"/>
          <w:sz w:val="21"/>
          <w:szCs w:val="21"/>
          <w:rtl w:val="0"/>
        </w:rPr>
        <w:t xml:space="preserve"> not once per country deployment. The adapter translates native platform output into a canonical work evidence record, attaches provenance, and validates against the schema referenced in the work definition. Once a class adapter exists, a new deployment of that class connects through configuration, not engineering.</w:t>
      </w:r>
      <w:r w:rsidDel="00000000" w:rsidR="00000000" w:rsidRPr="00000000">
        <w:rPr>
          <w:rtl w:val="0"/>
        </w:rPr>
      </w:r>
    </w:p>
    <w:p w:rsidR="00000000" w:rsidDel="00000000" w:rsidP="00000000" w:rsidRDefault="00000000" w:rsidRPr="00000000" w14:paraId="0000007D">
      <w:pPr>
        <w:pStyle w:val="Heading2"/>
        <w:spacing w:after="100" w:before="220" w:lineRule="auto"/>
        <w:rPr/>
      </w:pPr>
      <w:r w:rsidDel="00000000" w:rsidR="00000000" w:rsidRPr="00000000">
        <w:rPr>
          <w:color w:val="1f4d78"/>
          <w:sz w:val="24"/>
          <w:szCs w:val="24"/>
          <w:rtl w:val="0"/>
        </w:rPr>
        <w:t xml:space="preserve">E.3 How information gets consumed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API (real-time) — platforms that can integrate directly: DIGIT HCM, modern DHIS2 deployments.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Consent-triggered pull — platforms that prefer </w:t>
      </w:r>
      <w:r w:rsidDel="00000000" w:rsidR="00000000" w:rsidRPr="00000000">
        <w:rPr>
          <w:rtl w:val="0"/>
        </w:rPr>
        <w:t xml:space="preserve">CREST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to fetch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Scheduled batch exchange — signed CSV / JSON-lines files deposited periodically.</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Supervised manual upload — coordinator uploads an export via the supervisor app; validated against schema.</w:t>
      </w:r>
      <w:r w:rsidDel="00000000" w:rsidR="00000000" w:rsidRPr="00000000">
        <w:rPr>
          <w:rtl w:val="0"/>
        </w:rPr>
      </w:r>
    </w:p>
    <w:p w:rsidR="00000000" w:rsidDel="00000000" w:rsidP="00000000" w:rsidRDefault="00000000" w:rsidRPr="00000000" w14:paraId="00000082">
      <w:pPr>
        <w:spacing w:after="140" w:line="276" w:lineRule="auto"/>
        <w:rPr/>
      </w:pPr>
      <w:r w:rsidDel="00000000" w:rsidR="00000000" w:rsidRPr="00000000">
        <w:rPr>
          <w:rFonts w:ascii="Calibri" w:cs="Calibri" w:eastAsia="Calibri" w:hAnsi="Calibri"/>
          <w:color w:val="000000"/>
          <w:sz w:val="21"/>
          <w:szCs w:val="21"/>
          <w:rtl w:val="0"/>
        </w:rPr>
        <w:t xml:space="preserve">Transport never determines the trust tier</w:t>
      </w:r>
      <w:r w:rsidDel="00000000" w:rsidR="00000000" w:rsidRPr="00000000">
        <w:rPr>
          <w:rtl w:val="0"/>
        </w:rPr>
        <w:t xml:space="preserve">. </w:t>
      </w:r>
    </w:p>
    <w:p w:rsidR="00000000" w:rsidDel="00000000" w:rsidP="00000000" w:rsidRDefault="00000000" w:rsidRPr="00000000" w14:paraId="00000083">
      <w:pPr>
        <w:pStyle w:val="Heading1"/>
        <w:spacing w:after="120" w:before="320" w:lineRule="auto"/>
        <w:rPr/>
      </w:pPr>
      <w:r w:rsidDel="00000000" w:rsidR="00000000" w:rsidRPr="00000000">
        <w:rPr>
          <w:sz w:val="26"/>
          <w:szCs w:val="26"/>
          <w:rtl w:val="0"/>
        </w:rPr>
        <w:t xml:space="preserve">F. Payments-Specific Design </w:t>
      </w:r>
      <w:r w:rsidDel="00000000" w:rsidR="00000000" w:rsidRPr="00000000">
        <w:rPr>
          <w:rtl w:val="0"/>
        </w:rPr>
      </w:r>
    </w:p>
    <w:p w:rsidR="00000000" w:rsidDel="00000000" w:rsidP="00000000" w:rsidRDefault="00000000" w:rsidRPr="00000000" w14:paraId="00000084">
      <w:pPr>
        <w:pStyle w:val="Heading2"/>
        <w:spacing w:after="100" w:before="220" w:lineRule="auto"/>
        <w:rPr/>
      </w:pPr>
      <w:r w:rsidDel="00000000" w:rsidR="00000000" w:rsidRPr="00000000">
        <w:rPr>
          <w:color w:val="1f4d78"/>
          <w:sz w:val="24"/>
          <w:szCs w:val="24"/>
          <w:rtl w:val="0"/>
        </w:rPr>
        <w:t xml:space="preserve">F.1 Compensation is a separate, linked record - by design</w:t>
      </w:r>
      <w:r w:rsidDel="00000000" w:rsidR="00000000" w:rsidRPr="00000000">
        <w:rPr>
          <w:rtl w:val="0"/>
        </w:rPr>
      </w:r>
    </w:p>
    <w:p w:rsidR="00000000" w:rsidDel="00000000" w:rsidP="00000000" w:rsidRDefault="00000000" w:rsidRPr="00000000" w14:paraId="00000085">
      <w:pPr>
        <w:spacing w:after="140" w:line="276" w:lineRule="auto"/>
        <w:rPr/>
      </w:pPr>
      <w:r w:rsidDel="00000000" w:rsidR="00000000" w:rsidRPr="00000000">
        <w:rPr>
          <w:rFonts w:ascii="Calibri" w:cs="Calibri" w:eastAsia="Calibri" w:hAnsi="Calibri"/>
          <w:color w:val="000000"/>
          <w:sz w:val="21"/>
          <w:szCs w:val="21"/>
          <w:rtl w:val="0"/>
        </w:rPr>
        <w:t xml:space="preserve">Compensation details are explicitly not part of the core work event credential. They live in a separate record, linked only by event_id</w:t>
      </w:r>
      <w:r w:rsidDel="00000000" w:rsidR="00000000" w:rsidRPr="00000000">
        <w:rPr>
          <w:rtl w:val="0"/>
        </w:rPr>
        <w:t xml:space="preserve">. </w:t>
      </w:r>
      <w:r w:rsidDel="00000000" w:rsidR="00000000" w:rsidRPr="00000000">
        <w:rPr>
          <w:rFonts w:ascii="Calibri" w:cs="Calibri" w:eastAsia="Calibri" w:hAnsi="Calibri"/>
          <w:color w:val="000000"/>
          <w:sz w:val="21"/>
          <w:szCs w:val="21"/>
          <w:rtl w:val="0"/>
        </w:rPr>
        <w:t xml:space="preserve">The work credential must not be hostage to the payment system. A worker deserves a verifiable record of their work whether they were paid in cash, paid late, or have a payment dispute.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event_id — foreign key linking to the core work event.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amount / currency — expected or confirmed amount; ISO 4217 code.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mode — MOBILE_MONEY, BANK, CASH, or KIND.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payment_ref — transaction ID where available.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payment_status — PENDING, PAID, or DISPUTED.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payment_date — date of confirmed payment, where recorded.</w:t>
      </w:r>
      <w:r w:rsidDel="00000000" w:rsidR="00000000" w:rsidRPr="00000000">
        <w:rPr>
          <w:rtl w:val="0"/>
        </w:rPr>
      </w:r>
    </w:p>
    <w:p w:rsidR="00000000" w:rsidDel="00000000" w:rsidP="00000000" w:rsidRDefault="00000000" w:rsidRPr="00000000" w14:paraId="0000008C">
      <w:pPr>
        <w:pStyle w:val="Heading2"/>
        <w:spacing w:after="100" w:before="220" w:lineRule="auto"/>
        <w:rPr/>
      </w:pPr>
      <w:r w:rsidDel="00000000" w:rsidR="00000000" w:rsidRPr="00000000">
        <w:rPr>
          <w:color w:val="1f4d78"/>
          <w:sz w:val="24"/>
          <w:szCs w:val="24"/>
          <w:rtl w:val="0"/>
        </w:rPr>
        <w:t xml:space="preserve">F.2 The review window and payment release (Section 13)</w:t>
      </w:r>
      <w:r w:rsidDel="00000000" w:rsidR="00000000" w:rsidRPr="00000000">
        <w:rPr>
          <w:rtl w:val="0"/>
        </w:rPr>
      </w:r>
    </w:p>
    <w:p w:rsidR="00000000" w:rsidDel="00000000" w:rsidP="00000000" w:rsidRDefault="00000000" w:rsidRPr="00000000" w14:paraId="0000008D">
      <w:pPr>
        <w:spacing w:after="140" w:line="276" w:lineRule="auto"/>
        <w:rPr/>
      </w:pPr>
      <w:r w:rsidDel="00000000" w:rsidR="00000000" w:rsidRPr="00000000">
        <w:rPr>
          <w:rFonts w:ascii="Calibri" w:cs="Calibri" w:eastAsia="Calibri" w:hAnsi="Calibri"/>
          <w:color w:val="000000"/>
          <w:sz w:val="21"/>
          <w:szCs w:val="21"/>
          <w:rtl w:val="0"/>
        </w:rPr>
        <w:t xml:space="preserve">Recommended T = 7 days. Campaign ends, draft credential created from source-system data, worker notified via SMS/USSD, worker can confirm or dispute for 6 days, no dispute means auto-confirmed and signed on Day 7, then the payment trigger fires.</w:t>
      </w:r>
      <w:r w:rsidDel="00000000" w:rsidR="00000000" w:rsidRPr="00000000">
        <w:rPr>
          <w:rtl w:val="0"/>
        </w:rPr>
      </w:r>
    </w:p>
    <w:p w:rsidR="00000000" w:rsidDel="00000000" w:rsidP="00000000" w:rsidRDefault="00000000" w:rsidRPr="00000000" w14:paraId="0000008E">
      <w:pPr>
        <w:spacing w:after="140" w:line="276" w:lineRule="auto"/>
        <w:rPr/>
      </w:pPr>
      <w:r w:rsidDel="00000000" w:rsidR="00000000" w:rsidRPr="00000000">
        <w:rPr>
          <w:rFonts w:ascii="Calibri" w:cs="Calibri" w:eastAsia="Calibri" w:hAnsi="Calibri"/>
          <w:b w:val="1"/>
          <w:bCs w:val="1"/>
          <w:color w:val="000000"/>
          <w:sz w:val="21"/>
          <w:szCs w:val="21"/>
          <w:rtl w:val="0"/>
        </w:rPr>
        <w:t xml:space="preserve">Explicit design constraint: </w:t>
      </w:r>
      <w:r w:rsidDel="00000000" w:rsidR="00000000" w:rsidRPr="00000000">
        <w:rPr>
          <w:rFonts w:ascii="Calibri" w:cs="Calibri" w:eastAsia="Calibri" w:hAnsi="Calibri"/>
          <w:color w:val="000000"/>
          <w:sz w:val="21"/>
          <w:szCs w:val="21"/>
          <w:rtl w:val="0"/>
        </w:rPr>
        <w:t xml:space="preserve">Payment must never be blocked indefinitely by the credential flow.</w:t>
      </w:r>
      <w:r w:rsidDel="00000000" w:rsidR="00000000" w:rsidRPr="00000000">
        <w:rPr>
          <w:rtl w:val="0"/>
        </w:rPr>
        <w:t xml:space="preserve"> </w:t>
      </w:r>
      <w:r w:rsidDel="00000000" w:rsidR="00000000" w:rsidRPr="00000000">
        <w:rPr>
          <w:rFonts w:ascii="Calibri" w:cs="Calibri" w:eastAsia="Calibri" w:hAnsi="Calibri"/>
          <w:color w:val="000000"/>
          <w:sz w:val="21"/>
          <w:szCs w:val="21"/>
          <w:rtl w:val="0"/>
        </w:rPr>
        <w:t xml:space="preserve">Confirmation, auto-confirmation after T days, and supervisor-assisted confirmation are three parallel routes that all release payment — a CHW without a phone cannot be excluded from payment by the credential mechanism.</w:t>
      </w:r>
      <w:r w:rsidDel="00000000" w:rsidR="00000000" w:rsidRPr="00000000">
        <w:rPr>
          <w:rtl w:val="0"/>
        </w:rPr>
      </w:r>
    </w:p>
    <w:p w:rsidR="00000000" w:rsidDel="00000000" w:rsidP="00000000" w:rsidRDefault="00000000" w:rsidRPr="00000000" w14:paraId="0000008F">
      <w:pPr>
        <w:pStyle w:val="Heading2"/>
        <w:spacing w:after="100" w:before="220" w:lineRule="auto"/>
        <w:rPr/>
      </w:pPr>
      <w:r w:rsidDel="00000000" w:rsidR="00000000" w:rsidRPr="00000000">
        <w:rPr>
          <w:color w:val="1f4d78"/>
          <w:sz w:val="24"/>
          <w:szCs w:val="24"/>
          <w:rtl w:val="0"/>
        </w:rPr>
        <w:t xml:space="preserve">F.3 Where this leaves the payments boundary</w:t>
      </w:r>
      <w:r w:rsidDel="00000000" w:rsidR="00000000" w:rsidRPr="00000000">
        <w:rPr>
          <w:rtl w:val="0"/>
        </w:rPr>
      </w:r>
    </w:p>
    <w:p w:rsidR="00000000" w:rsidDel="00000000" w:rsidP="00000000" w:rsidRDefault="00000000" w:rsidRPr="00000000" w14:paraId="00000090">
      <w:pPr>
        <w:spacing w:after="140" w:line="276" w:lineRule="auto"/>
        <w:rPr/>
      </w:pPr>
      <w:r w:rsidDel="00000000" w:rsidR="00000000" w:rsidRPr="00000000">
        <w:rPr>
          <w:rtl w:val="0"/>
        </w:rPr>
        <w:t xml:space="preserve">CREST </w:t>
      </w:r>
      <w:r w:rsidDel="00000000" w:rsidR="00000000" w:rsidRPr="00000000">
        <w:rPr>
          <w:rFonts w:ascii="Calibri" w:cs="Calibri" w:eastAsia="Calibri" w:hAnsi="Calibri"/>
          <w:color w:val="000000"/>
          <w:sz w:val="21"/>
          <w:szCs w:val="21"/>
          <w:rtl w:val="0"/>
        </w:rPr>
        <w:t xml:space="preserve"> produces the signal that a payment trigger downstream can act on (a confirmed or auto-confirmed work event, linked to a compensation record) — but </w:t>
      </w:r>
      <w:r w:rsidDel="00000000" w:rsidR="00000000" w:rsidRPr="00000000">
        <w:rPr>
          <w:rtl w:val="0"/>
        </w:rPr>
        <w:t xml:space="preserve">CREST </w:t>
      </w:r>
      <w:r w:rsidDel="00000000" w:rsidR="00000000" w:rsidRPr="00000000">
        <w:rPr>
          <w:rFonts w:ascii="Calibri" w:cs="Calibri" w:eastAsia="Calibri" w:hAnsi="Calibri"/>
          <w:color w:val="000000"/>
          <w:sz w:val="21"/>
          <w:szCs w:val="21"/>
          <w:rtl w:val="0"/>
        </w:rPr>
        <w:t xml:space="preserve"> itself does not process, hold, or move money. That is left to “separate systems.” The document does not specify what those separate systems are, which is precisely the open surface a convergence discussion with HCM's payments capability would need to fill in.</w:t>
      </w:r>
      <w:r w:rsidDel="00000000" w:rsidR="00000000" w:rsidRPr="00000000">
        <w:rPr>
          <w:rtl w:val="0"/>
        </w:rPr>
      </w:r>
    </w:p>
    <w:p w:rsidR="00000000" w:rsidDel="00000000" w:rsidP="00000000" w:rsidRDefault="00000000" w:rsidRPr="00000000" w14:paraId="00000091">
      <w:pPr>
        <w:spacing w:after="140" w:line="276" w:lineRule="auto"/>
        <w:rPr/>
      </w:pPr>
      <w:r w:rsidDel="00000000" w:rsidR="00000000" w:rsidRPr="00000000">
        <w:rPr>
          <w:rtl w:val="0"/>
        </w:rPr>
      </w:r>
    </w:p>
    <w:p w:rsidR="00000000" w:rsidDel="00000000" w:rsidP="00000000" w:rsidRDefault="00000000" w:rsidRPr="00000000" w14:paraId="00000092">
      <w:pPr>
        <w:spacing w:after="140" w:line="276" w:lineRule="auto"/>
        <w:rPr/>
      </w:pPr>
      <w:r w:rsidDel="00000000" w:rsidR="00000000" w:rsidRPr="00000000">
        <w:rPr>
          <w:rtl w:val="0"/>
        </w:rPr>
      </w:r>
    </w:p>
    <w:p w:rsidR="00000000" w:rsidDel="00000000" w:rsidP="00000000" w:rsidRDefault="00000000" w:rsidRPr="00000000" w14:paraId="00000093">
      <w:pPr>
        <w:spacing w:after="1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240" w:lineRule="auto"/>
        <w:rPr>
          <w:sz w:val="28"/>
          <w:szCs w:val="28"/>
        </w:rPr>
      </w:pPr>
      <w:r w:rsidDel="00000000" w:rsidR="00000000" w:rsidRPr="00000000">
        <w:rPr>
          <w:b w:val="1"/>
          <w:bCs w:val="1"/>
          <w:sz w:val="28"/>
          <w:szCs w:val="28"/>
          <w:rtl w:val="0"/>
        </w:rPr>
        <w:t xml:space="preserve">PART - III</w:t>
      </w:r>
      <w:r w:rsidDel="00000000" w:rsidR="00000000" w:rsidRPr="00000000">
        <w:rPr>
          <w:rtl w:val="0"/>
        </w:rPr>
      </w:r>
    </w:p>
    <w:p w:rsidR="00000000" w:rsidDel="00000000" w:rsidP="00000000" w:rsidRDefault="00000000" w:rsidRPr="00000000" w14:paraId="00000095">
      <w:pPr>
        <w:spacing w:after="200" w:lineRule="auto"/>
        <w:rPr>
          <w:rFonts w:ascii="Times New Roman" w:cs="Times New Roman" w:eastAsia="Times New Roman" w:hAnsi="Times New Roman"/>
          <w:sz w:val="20"/>
          <w:szCs w:val="20"/>
        </w:rPr>
      </w:pPr>
      <w:r w:rsidDel="00000000" w:rsidR="00000000" w:rsidRPr="00000000">
        <w:rPr>
          <w:i w:val="1"/>
          <w:iCs w:val="1"/>
          <w:color w:val="444441"/>
          <w:sz w:val="20"/>
          <w:szCs w:val="20"/>
          <w:rtl w:val="0"/>
        </w:rPr>
        <w:t xml:space="preserve">Next Steps - Imagining HCM Payments capability as a horizontal </w:t>
      </w:r>
      <w:r w:rsidDel="00000000" w:rsidR="00000000" w:rsidRPr="00000000">
        <w:rPr>
          <w:rtl w:val="0"/>
        </w:rPr>
      </w:r>
    </w:p>
    <w:p w:rsidR="00000000" w:rsidDel="00000000" w:rsidP="00000000" w:rsidRDefault="00000000" w:rsidRPr="00000000" w14:paraId="00000096">
      <w:pPr>
        <w:spacing w:after="220" w:lineRule="auto"/>
        <w:rPr>
          <w:rFonts w:ascii="Times New Roman" w:cs="Times New Roman" w:eastAsia="Times New Roman" w:hAnsi="Times New Roman"/>
          <w:sz w:val="20"/>
          <w:szCs w:val="20"/>
        </w:rPr>
      </w:pPr>
      <w:r w:rsidDel="00000000" w:rsidR="00000000" w:rsidRPr="00000000">
        <w:rPr>
          <w:sz w:val="20"/>
          <w:szCs w:val="20"/>
          <w:rtl w:val="0"/>
        </w:rPr>
        <w:t xml:space="preserve">HCM Payments already implements, in concrete form, most of what Crest aims to create as generic capability. Thinking about payments as a horizontal capability that can work independently of the service delivery platform in use, will require the following to be true, which is also the foundation for payments use case on Crest. </w:t>
      </w:r>
      <w:r w:rsidDel="00000000" w:rsidR="00000000" w:rsidRPr="00000000">
        <w:rPr>
          <w:rtl w:val="0"/>
        </w:rPr>
      </w:r>
    </w:p>
    <w:sdt>
      <w:sdtPr>
        <w:lock w:val="contentLocked"/>
        <w:id w:val="97778956"/>
        <w:tag w:val="goog_rdk_1"/>
      </w:sdtPr>
      <w:sdtContent>
        <w:tbl>
          <w:tblPr>
            <w:tblStyle w:val="Table3"/>
            <w:tblW w:w="10575.0" w:type="dxa"/>
            <w:jc w:val="left"/>
            <w:tblBorders>
              <w:top w:color="0f6e56" w:space="0" w:sz="4" w:val="single"/>
              <w:left w:color="0f6e56" w:space="0" w:sz="4" w:val="single"/>
              <w:bottom w:color="0f6e56" w:space="0" w:sz="4" w:val="single"/>
              <w:right w:color="0f6e56" w:space="0" w:sz="4" w:val="single"/>
              <w:insideH w:color="000000" w:space="0" w:sz="0" w:val="nil"/>
              <w:insideV w:color="000000" w:space="0" w:sz="0" w:val="nil"/>
            </w:tblBorders>
            <w:tblLayout w:type="fixed"/>
            <w:tblLook w:val="0000"/>
          </w:tblPr>
          <w:tblGrid>
            <w:gridCol w:w="10575"/>
            <w:tblGridChange w:id="0">
              <w:tblGrid>
                <w:gridCol w:w="10575"/>
              </w:tblGrid>
            </w:tblGridChange>
          </w:tblGrid>
          <w:tr>
            <w:trPr>
              <w:cantSplit w:val="0"/>
              <w:tblHeader w:val="0"/>
            </w:trPr>
            <w:tc>
              <w:tcPr>
                <w:shd w:fill="f5f5f0" w:val="clear"/>
                <w:tcMar>
                  <w:top w:w="120.0" w:type="dxa"/>
                  <w:left w:w="160.0" w:type="dxa"/>
                  <w:bottom w:w="120.0" w:type="dxa"/>
                  <w:right w:w="160.0" w:type="dxa"/>
                </w:tcMar>
              </w:tcPr>
              <w:p w:rsidR="00000000" w:rsidDel="00000000" w:rsidP="00000000" w:rsidRDefault="00000000" w:rsidRPr="00000000" w14:paraId="00000097">
                <w:pPr>
                  <w:spacing w:after="60" w:lineRule="auto"/>
                  <w:rPr>
                    <w:rFonts w:ascii="Times New Roman" w:cs="Times New Roman" w:eastAsia="Times New Roman" w:hAnsi="Times New Roman"/>
                    <w:sz w:val="20"/>
                    <w:szCs w:val="20"/>
                  </w:rPr>
                </w:pPr>
                <w:r w:rsidDel="00000000" w:rsidR="00000000" w:rsidRPr="00000000">
                  <w:rPr>
                    <w:b w:val="1"/>
                    <w:bCs w:val="1"/>
                    <w:color w:val="0f6e56"/>
                    <w:sz w:val="22"/>
                    <w:szCs w:val="22"/>
                    <w:rtl w:val="0"/>
                  </w:rPr>
                  <w:t xml:space="preserve">A verifiable proof of work can be generated that can be linked to the workers identity, irrespective of service delivery platform in use</w:t>
                </w:r>
                <w:r w:rsidDel="00000000" w:rsidR="00000000" w:rsidRPr="00000000">
                  <w:rPr>
                    <w:rtl w:val="0"/>
                  </w:rPr>
                </w:r>
              </w:p>
            </w:tc>
          </w:tr>
        </w:tbl>
      </w:sdtContent>
    </w:sdt>
    <w:p w:rsidR="00000000" w:rsidDel="00000000" w:rsidP="00000000" w:rsidRDefault="00000000" w:rsidRPr="00000000" w14:paraId="00000098">
      <w:pPr>
        <w:spacing w:after="100" w:lineRule="auto"/>
        <w:rPr>
          <w:b w:val="1"/>
          <w:bCs w:val="1"/>
          <w:sz w:val="20"/>
          <w:szCs w:val="20"/>
        </w:rPr>
      </w:pPr>
      <w:r w:rsidDel="00000000" w:rsidR="00000000" w:rsidRPr="00000000">
        <w:rPr>
          <w:rtl w:val="0"/>
        </w:rPr>
      </w:r>
    </w:p>
    <w:p w:rsidR="00000000" w:rsidDel="00000000" w:rsidP="00000000" w:rsidRDefault="00000000" w:rsidRPr="00000000" w14:paraId="00000099">
      <w:pPr>
        <w:spacing w:after="220" w:lineRule="auto"/>
        <w:ind w:left="0" w:firstLine="0"/>
        <w:rPr>
          <w:sz w:val="20"/>
          <w:szCs w:val="20"/>
        </w:rPr>
      </w:pPr>
      <w:r w:rsidDel="00000000" w:rsidR="00000000" w:rsidRPr="00000000">
        <w:rPr>
          <w:sz w:val="20"/>
          <w:szCs w:val="20"/>
          <w:rtl w:val="0"/>
        </w:rPr>
        <w:t xml:space="preserve">The other implications of such an approach are:</w:t>
      </w:r>
    </w:p>
    <w:p w:rsidR="00000000" w:rsidDel="00000000" w:rsidP="00000000" w:rsidRDefault="00000000" w:rsidRPr="00000000" w14:paraId="0000009A">
      <w:pPr>
        <w:numPr>
          <w:ilvl w:val="0"/>
          <w:numId w:val="1"/>
        </w:numPr>
        <w:spacing w:after="0" w:lineRule="auto"/>
        <w:ind w:left="720" w:hanging="360"/>
        <w:rPr>
          <w:sz w:val="20"/>
          <w:szCs w:val="20"/>
        </w:rPr>
      </w:pPr>
      <w:r w:rsidDel="00000000" w:rsidR="00000000" w:rsidRPr="00000000">
        <w:rPr>
          <w:b w:val="1"/>
          <w:bCs w:val="1"/>
          <w:sz w:val="20"/>
          <w:szCs w:val="20"/>
          <w:rtl w:val="0"/>
        </w:rPr>
        <w:t xml:space="preserve">For the programs and funders -  </w:t>
      </w:r>
      <w:r w:rsidDel="00000000" w:rsidR="00000000" w:rsidRPr="00000000">
        <w:rPr>
          <w:sz w:val="20"/>
          <w:szCs w:val="20"/>
          <w:rtl w:val="0"/>
        </w:rPr>
        <w:t xml:space="preserve">Creates higher accountability in the ecosystem </w:t>
      </w:r>
      <w:r w:rsidDel="00000000" w:rsidR="00000000" w:rsidRPr="00000000">
        <w:rPr>
          <w:rtl w:val="0"/>
        </w:rPr>
      </w:r>
    </w:p>
    <w:p w:rsidR="00000000" w:rsidDel="00000000" w:rsidP="00000000" w:rsidRDefault="00000000" w:rsidRPr="00000000" w14:paraId="0000009B">
      <w:pPr>
        <w:numPr>
          <w:ilvl w:val="0"/>
          <w:numId w:val="1"/>
        </w:numPr>
        <w:spacing w:after="220" w:lineRule="auto"/>
        <w:ind w:left="720" w:hanging="360"/>
        <w:rPr>
          <w:b w:val="1"/>
          <w:bCs w:val="1"/>
          <w:sz w:val="20"/>
          <w:szCs w:val="20"/>
        </w:rPr>
      </w:pPr>
      <w:r w:rsidDel="00000000" w:rsidR="00000000" w:rsidRPr="00000000">
        <w:rPr>
          <w:b w:val="1"/>
          <w:bCs w:val="1"/>
          <w:sz w:val="20"/>
          <w:szCs w:val="20"/>
          <w:rtl w:val="0"/>
        </w:rPr>
        <w:t xml:space="preserve">For the Frontline workers - </w:t>
      </w:r>
      <w:r w:rsidDel="00000000" w:rsidR="00000000" w:rsidRPr="00000000">
        <w:rPr>
          <w:sz w:val="20"/>
          <w:szCs w:val="20"/>
          <w:rtl w:val="0"/>
        </w:rPr>
        <w:t xml:space="preserve">Gradually creates a verifiable work record that belongs to the worker, long after a program has ended. </w:t>
      </w:r>
      <w:r w:rsidDel="00000000" w:rsidR="00000000" w:rsidRPr="00000000">
        <w:rPr>
          <w:rtl w:val="0"/>
        </w:rPr>
      </w:r>
    </w:p>
    <w:p w:rsidR="00000000" w:rsidDel="00000000" w:rsidP="00000000" w:rsidRDefault="00000000" w:rsidRPr="00000000" w14:paraId="0000009C">
      <w:pPr>
        <w:spacing w:after="220" w:lineRule="auto"/>
        <w:rPr>
          <w:sz w:val="20"/>
          <w:szCs w:val="20"/>
        </w:rPr>
      </w:pPr>
      <w:r w:rsidDel="00000000" w:rsidR="00000000" w:rsidRPr="00000000">
        <w:rPr>
          <w:rtl w:val="0"/>
        </w:rPr>
      </w:r>
    </w:p>
    <w:p w:rsidR="00000000" w:rsidDel="00000000" w:rsidP="00000000" w:rsidRDefault="00000000" w:rsidRPr="00000000" w14:paraId="0000009D">
      <w:pPr>
        <w:spacing w:after="140" w:lineRule="auto"/>
        <w:rPr/>
      </w:pPr>
      <w:r w:rsidDel="00000000" w:rsidR="00000000" w:rsidRPr="00000000">
        <w:rPr>
          <w:rtl w:val="0"/>
        </w:rPr>
      </w:r>
    </w:p>
    <w:sectPr>
      <w:type w:val="nextPage"/>
      <w:pgSz w:h="15840" w:w="12240" w:orient="portrait"/>
      <w:pgMar w:bottom="1000" w:top="1000" w:left="1100" w:right="11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E">
      <w:pPr>
        <w:rPr>
          <w:rFonts w:ascii="Arial" w:cs="Arial" w:eastAsia="Arial" w:hAnsi="Arial"/>
          <w:sz w:val="16"/>
          <w:szCs w:val="16"/>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16"/>
          <w:szCs w:val="16"/>
          <w:rtl w:val="0"/>
        </w:rPr>
        <w:t xml:space="preserve">https://cdn.who.int/media/docs/default-source/health-workforce/5gf/5gf-policy/5gf-pb3.pdf?sfvrsn=ea90c383_3&amp;download=true</w:t>
      </w:r>
    </w:p>
  </w:footnote>
  <w:footnote w:id="1">
    <w:p w:rsidR="00000000" w:rsidDel="00000000" w:rsidP="00000000" w:rsidRDefault="00000000" w:rsidRPr="00000000" w14:paraId="0000009F">
      <w:pPr>
        <w:rPr>
          <w:rFonts w:ascii="Arial" w:cs="Arial" w:eastAsia="Arial" w:hAnsi="Arial"/>
          <w:sz w:val="16"/>
          <w:szCs w:val="16"/>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16"/>
          <w:szCs w:val="16"/>
          <w:rtl w:val="0"/>
        </w:rPr>
        <w:t xml:space="preserve">https://www.bennettschool.cam.ac.uk/wp-content/uploads/2025/04/the-economics-of-shared-digital-infrastructures-1.pdf</w:t>
      </w:r>
    </w:p>
  </w:footnote>
  <w:footnote w:id="2">
    <w:p w:rsidR="00000000" w:rsidDel="00000000" w:rsidP="00000000" w:rsidRDefault="00000000" w:rsidRPr="00000000" w14:paraId="000000A0">
      <w:pPr>
        <w:rPr>
          <w:rFonts w:ascii="Arial" w:cs="Arial" w:eastAsia="Arial" w:hAnsi="Arial"/>
          <w:sz w:val="16"/>
          <w:szCs w:val="16"/>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16"/>
          <w:szCs w:val="16"/>
          <w:rtl w:val="0"/>
        </w:rPr>
        <w:t xml:space="preserve">https://www.bennettschool.cam.ac.uk/wp-content/uploads/2025/04/the-economics-of-shared-digital-infrastructures-1.pdf</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cJN+eas+qoyEKpGqOqMOmdOG7Q==">CgMxLjAaHwoBMBIaChgICVIUChJ0YWJsZS52dWh0Zjdsang0aTkaHwoBMRIaChgICVIUChJ0YWJsZS5uNXp0eHJ6Y2kxM3YyDWguMzRmMDZoY3IwZ3YyDmguY3p1MHNocmptMTJoMg5oLmJuYXhvbzQzMzV6bDIOaC56NGxldG5yeHBvZHcyDmguNG1hN3FsczFsOHVzMg5oLnRhbjJqanQybWR1eTIOaC5kcmhva2d2ZHE3NDQyDmgucmtzdzh6MXF6andkOABqJQoUc3VnZ2VzdC5yNnNtMXdneHVlcXESDUFhcnVzaGkgYmFzZXJyITF2ampOb3hadTFDck05LUE0U0JtUkdMVllpNmdoc3hD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