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Auditoría preliminar de certificación</w:t>
      </w:r>
    </w:p>
    <w:p>
      <w:pPr>
        <w:pStyle w:val="Subtitle"/>
      </w:pPr>
      <w:r>
        <w:t>Aura Player | Microsoft Store | MSIX x64 | 26 de octubre de 2026</w:t>
      </w:r>
    </w:p>
    <w:p>
      <w:r>
        <w:t>Estado: diagnóstico documental, sin acceso aún al código fuente ni al contenido interno del MSIX. No constituye un dictamen de cumplimiento final.</w:t>
      </w:r>
    </w:p>
    <w:p>
      <w:pPr>
        <w:pStyle w:val="Heading1"/>
      </w:pPr>
      <w:r>
        <w:t>1. Resumen ejecutivo</w:t>
      </w:r>
    </w:p>
    <w:p>
      <w:r>
        <w:t>La política aplicable es Microsoft Store Policies versión 7.20, publicada el 15-09-2026 y vigente desde el 22-10-2026. No se identifica una prohibición del lenguaje Go ni la obligación de usar tecnologías .NET. La certificación de un MSIX comprueba seguridad, cumplimiento técnico, funcionamiento y contenido de la ficha de Store.</w:t>
      </w:r>
    </w:p>
    <w:p>
      <w:r>
        <w:t>Evidencia aportada: el primer intento mostró “certificación con errores” sin generar informe; posteriormente el producto fue reenviado y la captura más reciente muestra “Preprocesando”. El paquete Aura-Player-Store-1.2.1.0-x64.msix había aparecido como “Validated” en la pantalla del envío anterior. La causa de rechazo sigue indeterminada.</w:t>
      </w:r>
    </w:p>
    <w:p>
      <w:pPr>
        <w:pStyle w:val="Heading1"/>
      </w:pPr>
      <w:r>
        <w:t>2. Requisitos aplicables y matriz de auditoría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Norma</w:t>
            </w:r>
          </w:p>
        </w:tc>
        <w:tc>
          <w:tcPr>
            <w:tcW w:type="dxa" w:w="2160"/>
          </w:tcPr>
          <w:p>
            <w:r>
              <w:t>Área</w:t>
            </w:r>
          </w:p>
        </w:tc>
        <w:tc>
          <w:tcPr>
            <w:tcW w:type="dxa" w:w="2160"/>
          </w:tcPr>
          <w:p>
            <w:r>
              <w:t>Prueba propuesta</w:t>
            </w:r>
          </w:p>
        </w:tc>
        <w:tc>
          <w:tcPr>
            <w:tcW w:type="dxa" w:w="2160"/>
          </w:tcPr>
          <w:p>
            <w:r>
              <w:t>Estado</w:t>
            </w:r>
          </w:p>
        </w:tc>
      </w:tr>
      <w:tr>
        <w:tc>
          <w:tcPr>
            <w:tcW w:type="dxa" w:w="2160"/>
          </w:tcPr>
          <w:p>
            <w:r>
              <w:t>10.1</w:t>
            </w:r>
          </w:p>
        </w:tc>
        <w:tc>
          <w:tcPr>
            <w:tcW w:type="dxa" w:w="2160"/>
          </w:tcPr>
          <w:p>
            <w:r>
              <w:t>Identidad, descripción y funciones</w:t>
            </w:r>
          </w:p>
        </w:tc>
        <w:tc>
          <w:tcPr>
            <w:tcW w:type="dxa" w:w="2160"/>
          </w:tcPr>
          <w:p>
            <w:r>
              <w:t>Comprobar que ficha, capturas, categoría y funciones coincidan con el software real.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</w:tr>
      <w:tr>
        <w:tc>
          <w:tcPr>
            <w:tcW w:type="dxa" w:w="2160"/>
          </w:tcPr>
          <w:p>
            <w:r>
              <w:t>10.2</w:t>
            </w:r>
          </w:p>
        </w:tc>
        <w:tc>
          <w:tcPr>
            <w:tcW w:type="dxa" w:w="2160"/>
          </w:tcPr>
          <w:p>
            <w:r>
              <w:t>Seguridad</w:t>
            </w:r>
          </w:p>
        </w:tc>
        <w:tc>
          <w:tcPr>
            <w:tcW w:type="dxa" w:w="2160"/>
          </w:tcPr>
          <w:p>
            <w:r>
              <w:t>Verificar antimalware, ejecución de código remoto, comportamiento sospechoso, permisos y desinstalación.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</w:tr>
      <w:tr>
        <w:tc>
          <w:tcPr>
            <w:tcW w:type="dxa" w:w="2160"/>
          </w:tcPr>
          <w:p>
            <w:r>
              <w:t>10.3</w:t>
            </w:r>
          </w:p>
        </w:tc>
        <w:tc>
          <w:tcPr>
            <w:tcW w:type="dxa" w:w="2160"/>
          </w:tcPr>
          <w:p>
            <w:r>
              <w:t>Aplicación comprobable</w:t>
            </w:r>
          </w:p>
        </w:tc>
        <w:tc>
          <w:tcPr>
            <w:tcW w:type="dxa" w:w="2160"/>
          </w:tcPr>
          <w:p>
            <w:r>
              <w:t>Abrir, reproducir música y recorrer funciones sin credenciales no documentadas ni servicios inaccesibles.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</w:tr>
      <w:tr>
        <w:tc>
          <w:tcPr>
            <w:tcW w:type="dxa" w:w="2160"/>
          </w:tcPr>
          <w:p>
            <w:r>
              <w:t>10.4</w:t>
            </w:r>
          </w:p>
        </w:tc>
        <w:tc>
          <w:tcPr>
            <w:tcW w:type="dxa" w:w="2160"/>
          </w:tcPr>
          <w:p>
            <w:r>
              <w:t>Estabilidad y usabilidad</w:t>
            </w:r>
          </w:p>
        </w:tc>
        <w:tc>
          <w:tcPr>
            <w:tcW w:type="dxa" w:w="2160"/>
          </w:tcPr>
          <w:p>
            <w:r>
              <w:t>Arranque, respuesta, errores, cierre, equipos compatibles y funcionamiento sin Internet.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</w:tr>
      <w:tr>
        <w:tc>
          <w:tcPr>
            <w:tcW w:type="dxa" w:w="2160"/>
          </w:tcPr>
          <w:p>
            <w:r>
              <w:t>10.5</w:t>
            </w:r>
          </w:p>
        </w:tc>
        <w:tc>
          <w:tcPr>
            <w:tcW w:type="dxa" w:w="2160"/>
          </w:tcPr>
          <w:p>
            <w:r>
              <w:t>Datos personales</w:t>
            </w:r>
          </w:p>
        </w:tc>
        <w:tc>
          <w:tcPr>
            <w:tcW w:type="dxa" w:w="2160"/>
          </w:tcPr>
          <w:p>
            <w:r>
              <w:t>Examinar telemetría, archivos del usuario, red, consentimiento y política de privacidad si procede.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</w:tr>
      <w:tr>
        <w:tc>
          <w:tcPr>
            <w:tcW w:type="dxa" w:w="2160"/>
          </w:tcPr>
          <w:p>
            <w:r>
              <w:t>10.6</w:t>
            </w:r>
          </w:p>
        </w:tc>
        <w:tc>
          <w:tcPr>
            <w:tcW w:type="dxa" w:w="2160"/>
          </w:tcPr>
          <w:p>
            <w:r>
              <w:t>Capacidades</w:t>
            </w:r>
          </w:p>
        </w:tc>
        <w:tc>
          <w:tcPr>
            <w:tcW w:type="dxa" w:w="2160"/>
          </w:tcPr>
          <w:p>
            <w:r>
              <w:t>Contrastar permisos del manifiesto con los utilizados efectivamente.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</w:tr>
      <w:tr>
        <w:tc>
          <w:tcPr>
            <w:tcW w:type="dxa" w:w="2160"/>
          </w:tcPr>
          <w:p>
            <w:r>
              <w:t>10.7</w:t>
            </w:r>
          </w:p>
        </w:tc>
        <w:tc>
          <w:tcPr>
            <w:tcW w:type="dxa" w:w="2160"/>
          </w:tcPr>
          <w:p>
            <w:r>
              <w:t>Localización</w:t>
            </w:r>
          </w:p>
        </w:tc>
        <w:tc>
          <w:tcPr>
            <w:tcW w:type="dxa" w:w="2160"/>
          </w:tcPr>
          <w:p>
            <w:r>
              <w:t>Coherencia entre idiomas anunciados, interfaz y paquete.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</w:tr>
      <w:tr>
        <w:tc>
          <w:tcPr>
            <w:tcW w:type="dxa" w:w="2160"/>
          </w:tcPr>
          <w:p>
            <w:r>
              <w:t>10.8</w:t>
            </w:r>
          </w:p>
        </w:tc>
        <w:tc>
          <w:tcPr>
            <w:tcW w:type="dxa" w:w="2160"/>
          </w:tcPr>
          <w:p>
            <w:r>
              <w:t>Pagos</w:t>
            </w:r>
          </w:p>
        </w:tc>
        <w:tc>
          <w:tcPr>
            <w:tcW w:type="dxa" w:w="2160"/>
          </w:tcPr>
          <w:p>
            <w:r>
              <w:t>Verificar que la comercialización y cualquier pago dentro de la app respeten las reglas aplicables.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</w:tr>
      <w:tr>
        <w:tc>
          <w:tcPr>
            <w:tcW w:type="dxa" w:w="2160"/>
          </w:tcPr>
          <w:p>
            <w:r>
              <w:t>11.2</w:t>
            </w:r>
          </w:p>
        </w:tc>
        <w:tc>
          <w:tcPr>
            <w:tcW w:type="dxa" w:w="2160"/>
          </w:tcPr>
          <w:p>
            <w:r>
              <w:t>Licencias y propiedad intelectual</w:t>
            </w:r>
          </w:p>
        </w:tc>
        <w:tc>
          <w:tcPr>
            <w:tcW w:type="dxa" w:w="2160"/>
          </w:tcPr>
          <w:p>
            <w:r>
              <w:t>Acreditar derecho de uso de logos, carátulas, material multimedia, codecs y bibliotecas.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</w:tr>
      <w:tr>
        <w:tc>
          <w:tcPr>
            <w:tcW w:type="dxa" w:w="2160"/>
          </w:tcPr>
          <w:p>
            <w:r>
              <w:t>MSIX</w:t>
            </w:r>
          </w:p>
        </w:tc>
        <w:tc>
          <w:tcPr>
            <w:tcW w:type="dxa" w:w="2160"/>
          </w:tcPr>
          <w:p>
            <w:r>
              <w:t>Manifiesto e identidad</w:t>
            </w:r>
          </w:p>
        </w:tc>
        <w:tc>
          <w:tcPr>
            <w:tcW w:type="dxa" w:w="2160"/>
          </w:tcPr>
          <w:p>
            <w:r>
              <w:t>Comprobar Name, Publisher, Version, arquitectura, punto de entrada y coincidencia con Partner Center.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</w:tr>
      <w:tr>
        <w:tc>
          <w:tcPr>
            <w:tcW w:type="dxa" w:w="2160"/>
          </w:tcPr>
          <w:p>
            <w:r>
              <w:t>WACK</w:t>
            </w:r>
          </w:p>
        </w:tc>
        <w:tc>
          <w:tcPr>
            <w:tcW w:type="dxa" w:w="2160"/>
          </w:tcPr>
          <w:p>
            <w:r>
              <w:t>Pruebas técnicas locales</w:t>
            </w:r>
          </w:p>
        </w:tc>
        <w:tc>
          <w:tcPr>
            <w:tcW w:type="dxa" w:w="2160"/>
          </w:tcPr>
          <w:p>
            <w:r>
              <w:t>Ejecutar Windows App Certification Kit y guardar reporte detallado.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</w:tr>
    </w:tbl>
    <w:p>
      <w:pPr>
        <w:pStyle w:val="Heading1"/>
      </w:pPr>
      <w:r>
        <w:t>3. Riesgos específicos de un reproductor multimedia en Go</w:t>
      </w:r>
    </w:p>
    <w:p>
      <w:pPr>
        <w:pStyle w:val="Heading2"/>
      </w:pPr>
      <w:r>
        <w:t>Código nativo</w:t>
      </w:r>
    </w:p>
    <w:p>
      <w:r>
        <w:t>No hay veto a Go. Revisar, no obstante, bibliotecas nativas, DLL incluidas, llamadas Win32 y falsos positivos de herramientas antimalware. Es hipótesis, no hallazgo.</w:t>
      </w:r>
    </w:p>
    <w:p>
      <w:pPr>
        <w:pStyle w:val="Heading2"/>
      </w:pPr>
      <w:r>
        <w:t>Interacción con biblioteca musical</w:t>
      </w:r>
    </w:p>
    <w:p>
      <w:r>
        <w:t>Analizar lectura/escritura de archivos, cambios de etiquetas, borrado, caché y tratamiento de rutas ajenas a la carpeta de instalación.</w:t>
      </w:r>
    </w:p>
    <w:p>
      <w:pPr>
        <w:pStyle w:val="Heading2"/>
      </w:pPr>
      <w:r>
        <w:t>Conexiones y actualizaciones</w:t>
      </w:r>
    </w:p>
    <w:p>
      <w:r>
        <w:t>Comprobar que conexiones opcionales estén descritas, tengan errores controlados y no descarguen/ejecuten código que altere la función declarada.</w:t>
      </w:r>
    </w:p>
    <w:p>
      <w:pPr>
        <w:pStyle w:val="Heading2"/>
      </w:pPr>
      <w:r>
        <w:t>Códecs y recursos de terceros</w:t>
      </w:r>
    </w:p>
    <w:p>
      <w:r>
        <w:t>Comprobar dependencias, licencias y distribución de recursos multimedia. No confundir compatibilidad técnica con derecho de redistribución.</w:t>
      </w:r>
    </w:p>
    <w:p>
      <w:pPr>
        <w:pStyle w:val="Heading2"/>
      </w:pPr>
      <w:r>
        <w:t>Empaquetado MSIX</w:t>
      </w:r>
    </w:p>
    <w:p>
      <w:r>
        <w:t>Identidad exacta del paquete, permisos restringidos, ruta de ejecutable, bibliotecas y ejecución tras instalación limpia; “Validated” no implica aprobación final.</w:t>
      </w:r>
    </w:p>
    <w:p>
      <w:pPr>
        <w:pStyle w:val="Heading2"/>
      </w:pPr>
      <w:r>
        <w:t>Precio y modelo comercial</w:t>
      </w:r>
    </w:p>
    <w:p>
      <w:r>
        <w:t>La modalidad de pago único no es una causa de rechazo por sí misma; cotejar promesas de la ficha, uso de comercio y acceso a las funciones pagadas.</w:t>
      </w:r>
    </w:p>
    <w:p>
      <w:pPr>
        <w:pStyle w:val="Heading1"/>
      </w:pPr>
      <w:r>
        <w:t>4. Diagnóstico del rechazo sin informe</w:t>
      </w:r>
    </w:p>
    <w:p>
      <w:r>
        <w:t>No hay evidencia suficiente para atribuirlo a Go, a un antivirus, a la firma o a un fallo interno de Microsoft. La ausencia de informe impide distinguir entre un rechazo por política y un incidente de certificación. El reenvío actual debe observarse hasta obtener resultado; ante un segundo fallo sin informe corresponde escalar al soporte indicado en Partner Center (reportapp@microsoft.com), incluyendo identificador de producto, identificador del envío, fechas y capturas.</w:t>
      </w:r>
    </w:p>
    <w:p>
      <w:pPr>
        <w:pStyle w:val="Heading1"/>
      </w:pPr>
      <w:r>
        <w:t>5. Verificaciones a ejecutar cuando se disponga del proyecto</w:t>
      </w:r>
    </w:p>
    <w:p>
      <w:pPr>
        <w:pStyle w:val="ListBullet"/>
      </w:pPr>
      <w:r>
        <w:t>Inspección estática del repositorio: go.mod/go.sum, licencias, llamadas a sistema, red, actualizador y persistencia.</w:t>
      </w:r>
    </w:p>
    <w:p>
      <w:pPr>
        <w:pStyle w:val="ListBullet"/>
      </w:pPr>
      <w:r>
        <w:t>Inspección de AppxManifest.xml y lista de archivos del paquete MSIX; contrastar Identity/Publisher con Partner Center.</w:t>
      </w:r>
    </w:p>
    <w:p>
      <w:pPr>
        <w:pStyle w:val="ListBullet"/>
      </w:pPr>
      <w:r>
        <w:t>Análisis de binarios: arquitectura, DLL, firma cuando corresponda, huellas SHA-256 y antivirus local.</w:t>
      </w:r>
    </w:p>
    <w:p>
      <w:pPr>
        <w:pStyle w:val="ListBullet"/>
      </w:pPr>
      <w:r>
        <w:t>Instalación limpia y prueba funcional con y sin Internet, con perfil de Windows sin privilegios de administrador.</w:t>
      </w:r>
    </w:p>
    <w:p>
      <w:pPr>
        <w:pStyle w:val="ListBullet"/>
      </w:pPr>
      <w:r>
        <w:t>Windows App Certification Kit; archivar resultados y corregir solo los hallazgos reproducibles.</w:t>
      </w:r>
    </w:p>
    <w:p>
      <w:pPr>
        <w:pStyle w:val="ListBullet"/>
      </w:pPr>
      <w:r>
        <w:t>Revisión de ficha comercial, descripción, declaraciones de privacidad, capturas y permisos.</w:t>
      </w:r>
    </w:p>
    <w:p>
      <w:pPr>
        <w:pStyle w:val="Heading1"/>
      </w:pPr>
      <w:r>
        <w:t>6. Criterios de decisión</w:t>
      </w:r>
    </w:p>
    <w:p>
      <w:r>
        <w:t>APTO: controles documentados y pruebas locales sin fallos relevantes. NO APTO: incumplimiento concreto reproducible. INDETERMINADO: cuando falta paquete, código, logs o informe oficial. Estado actual: INDETERMINADO. No se recomienda migrar de Go a .NET sin evidencia de un defecto imposible o inviable de corregir en el stack actual.</w:t>
      </w:r>
    </w:p>
    <w:p>
      <w:pPr>
        <w:pStyle w:val="Heading1"/>
      </w:pPr>
      <w:r>
        <w:t>7. Fuentes oficiales (consultadas 26-10-2026)</w:t>
      </w:r>
    </w:p>
    <w:p>
      <w:pPr>
        <w:pStyle w:val="ListBullet"/>
      </w:pPr>
      <w:r>
        <w:t>Microsoft Store Policies v7.20: https://learn.microsoft.com/en-us/windows/apps/publish/store-policies-and-code-of-conduct</w:t>
      </w:r>
    </w:p>
    <w:p>
      <w:pPr>
        <w:pStyle w:val="ListBullet"/>
      </w:pPr>
      <w:r>
        <w:t>Proceso de certificación de MSIX: https://learn.microsoft.com/es-es/windows/apps/publish/publish-your-app/msix/app-certification-process</w:t>
      </w:r>
    </w:p>
    <w:p>
      <w:pPr>
        <w:pStyle w:val="ListBullet"/>
      </w:pPr>
      <w:r>
        <w:t>Requisitos de paquete MSIX: https://learn.microsoft.com/es-es/windows/apps/publish/publish-your-app/msix/app-package-requirements</w:t>
      </w:r>
    </w:p>
    <w:p>
      <w:pPr>
        <w:pStyle w:val="ListBullet"/>
      </w:pPr>
      <w:r>
        <w:t>Resolución de errores MSIX: https://learn.microsoft.com/es-es/windows/apps/publish/publish-your-app/msix/resolve-submission-errors</w:t>
      </w:r>
    </w:p>
    <w:p>
      <w:pPr>
        <w:pStyle w:val="ListBullet"/>
      </w:pPr>
      <w:r>
        <w:t>Distribución Win32 mediante Store: https://learn.microsoft.com/en-us/windows/apps/distribute-through-store/how-to-distribute-your-win32-app-through-microsoft-store</w:t>
      </w:r>
    </w:p>
    <w:sectPr w:rsidR="00FC693F" w:rsidRPr="0006063C" w:rsidSect="00034616">
      <w:footerReference w:type="default" r:id="rId9"/>
      <w:pgSz w:w="12240" w:h="15840"/>
      <w:pgMar w:top="893" w:right="1800" w:bottom="835" w:left="180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Auditoría preliminar | Aura Player | Evidencia parcial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395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94A6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