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4F46E5"/>
          <w:sz w:val="48"/>
          <w:szCs w:val="48"/>
        </w:rPr>
        <w:t xml:space="preserve">PulseGrid AI</w:t>
      </w:r>
    </w:p>
    <w:p>
      <w:pPr>
        <w:spacing w:after="240" w:before="0"/>
      </w:pPr>
      <w:r>
        <w:rPr>
          <w:rFonts w:ascii="Arial" w:cs="Arial" w:eastAsia="Arial" w:hAnsi="Arial"/>
          <w:color w:val="6B7280"/>
          <w:sz w:val="24"/>
          <w:szCs w:val="24"/>
        </w:rPr>
        <w:t xml:space="preserve">Simulation and Benchmark Credibility — HackUSF 2026</w:t>
      </w:r>
    </w:p>
    <w:p>
      <w:pPr>
        <w:pBdr>
          <w:bottom w:val="single" w:color="E2E8F0" w:sz="4"/>
        </w:pBdr>
        <w:spacing w:after="120" w:before="120"/>
      </w:pPr>
    </w:p>
    <w:p>
      <w:pPr>
        <w:pStyle w:val="Heading1"/>
        <w:spacing w:after="120" w:before="240"/>
      </w:pPr>
      <w:r>
        <w:rPr>
          <w:rFonts w:ascii="Arial" w:cs="Arial" w:eastAsia="Arial" w:hAnsi="Arial"/>
          <w:b/>
          <w:bCs/>
          <w:sz w:val="32"/>
          <w:szCs w:val="32"/>
        </w:rPr>
        <w:t xml:space="preserve">What This Document Is</w:t>
      </w:r>
    </w:p>
    <w:p>
      <w:pPr>
        <w:spacing w:after="120" w:before="60"/>
      </w:pPr>
      <w:r>
        <w:rPr>
          <w:rFonts w:ascii="Arial" w:cs="Arial" w:eastAsia="Arial" w:hAnsi="Arial"/>
          <w:sz w:val="22"/>
          <w:szCs w:val="22"/>
        </w:rPr>
        <w:t xml:space="preserve">This document explains </w:t>
      </w:r>
      <w:r>
        <w:rPr>
          <w:rFonts w:ascii="Arial" w:cs="Arial" w:eastAsia="Arial" w:hAnsi="Arial"/>
          <w:b/>
          <w:bCs/>
          <w:sz w:val="22"/>
          <w:szCs w:val="22"/>
        </w:rPr>
        <w:t xml:space="preserve">how and why PulseGrid's simulations are credible</w:t>
      </w:r>
      <w:r>
        <w:rPr>
          <w:rFonts w:ascii="Arial" w:cs="Arial" w:eastAsia="Arial" w:hAnsi="Arial"/>
          <w:sz w:val="22"/>
          <w:szCs w:val="22"/>
        </w:rPr>
        <w:t xml:space="preserve"> — what they are based on, where the numbers come from, how to defend them if a judge asks, and where the honest limitations are.</w:t>
      </w:r>
    </w:p>
    <w:p>
      <w:pPr>
        <w:spacing w:after="120" w:before="60"/>
      </w:pPr>
      <w:r>
        <w:rPr>
          <w:rFonts w:ascii="Arial" w:cs="Arial" w:eastAsia="Arial" w:hAnsi="Arial"/>
          <w:sz w:val="22"/>
          <w:szCs w:val="22"/>
        </w:rPr>
        <w:t xml:space="preserve">PulseGrid is not a trained machine learning model. It is a </w:t>
      </w:r>
      <w:r>
        <w:rPr>
          <w:rFonts w:ascii="Arial" w:cs="Arial" w:eastAsia="Arial" w:hAnsi="Arial"/>
          <w:b/>
          <w:bCs/>
          <w:sz w:val="22"/>
          <w:szCs w:val="22"/>
        </w:rPr>
        <w:t xml:space="preserve">structured expert system</w:t>
      </w:r>
      <w:r>
        <w:rPr>
          <w:rFonts w:ascii="Arial" w:cs="Arial" w:eastAsia="Arial" w:hAnsi="Arial"/>
          <w:sz w:val="22"/>
          <w:szCs w:val="22"/>
        </w:rPr>
        <w:t xml:space="preserve"> built on a validated incident causality framework, benchmarked against real industry incident data, and augmented with GPT-powered analysis for novel incidents. That is a completely defensible and legitimate claim for a hackathon. This document explains why.</w:t>
      </w:r>
    </w:p>
    <w:p>
      <w:pPr>
        <w:spacing w:after="80" w:before="80"/>
      </w:pPr>
    </w:p>
    <w:p>
      <w:pPr>
        <w:pBdr>
          <w:bottom w:val="single" w:color="E2E8F0" w:sz="4"/>
        </w:pBdr>
        <w:spacing w:after="120" w:before="120"/>
      </w:pPr>
    </w:p>
    <w:p>
      <w:pPr>
        <w:pStyle w:val="Heading1"/>
        <w:spacing w:after="120" w:before="240"/>
      </w:pPr>
      <w:r>
        <w:rPr>
          <w:rFonts w:ascii="Arial" w:cs="Arial" w:eastAsia="Arial" w:hAnsi="Arial"/>
          <w:b/>
          <w:bCs/>
          <w:sz w:val="32"/>
          <w:szCs w:val="32"/>
        </w:rPr>
        <w:t xml:space="preserve">Layer 1: The Framework Is Real</w:t>
      </w:r>
    </w:p>
    <w:p>
      <w:pPr>
        <w:spacing w:after="120" w:before="60"/>
      </w:pPr>
      <w:r>
        <w:rPr>
          <w:rFonts w:ascii="Arial" w:cs="Arial" w:eastAsia="Arial" w:hAnsi="Arial"/>
          <w:sz w:val="22"/>
          <w:szCs w:val="22"/>
        </w:rPr>
        <w:t xml:space="preserve">The 7-layer Failure Propagation Chain is not something invented for this project. It is a structured methodology grounded in incident causality research — the same conceptual lineage as Google's SRE Book, NIST's incident taxonomy, and academic work on complex system failure (Perrow's Normal Accidents, Hollnagel's Functional Resonance Analysis).</w:t>
      </w:r>
    </w:p>
    <w:p>
      <w:pPr>
        <w:spacing w:after="120" w:before="60"/>
      </w:pPr>
      <w:r>
        <w:rPr>
          <w:rFonts w:ascii="Arial" w:cs="Arial" w:eastAsia="Arial" w:hAnsi="Arial"/>
          <w:sz w:val="22"/>
          <w:szCs w:val="22"/>
        </w:rPr>
        <w:t xml:space="preserve">When PulseGrid traces a retry storm from L0 (budget pressure created an understaffed ops team) through L3 (retry amplification saturated the thread pool) to L6 (SLA breach and churn risk), that causal chain is documented in real postmortem literature. </w:t>
      </w:r>
      <w:r>
        <w:rPr>
          <w:rFonts w:ascii="Arial" w:cs="Arial" w:eastAsia="Arial" w:hAnsi="Arial"/>
          <w:b/>
          <w:bCs/>
          <w:sz w:val="22"/>
          <w:szCs w:val="22"/>
        </w:rPr>
        <w:t xml:space="preserve">The chain is credible because real incidents follow it</w:t>
      </w:r>
      <w:r>
        <w:rPr>
          <w:rFonts w:ascii="Arial" w:cs="Arial" w:eastAsia="Arial" w:hAnsi="Arial"/>
          <w:sz w:val="22"/>
          <w:szCs w:val="22"/>
        </w:rPr>
        <w:t xml:space="preserve">, not because we invented it.</w:t>
      </w:r>
    </w:p>
    <w:p>
      <w:pPr>
        <w:spacing w:after="120" w:before="60"/>
      </w:pPr>
      <w:r>
        <w:rPr>
          <w:rFonts w:ascii="Arial" w:cs="Arial" w:eastAsia="Arial" w:hAnsi="Arial"/>
          <w:sz w:val="22"/>
          <w:szCs w:val="22"/>
        </w:rPr>
        <w:t xml:space="preserve">The 7 layers and what they represent:</w:t>
      </w:r>
    </w:p>
    <w:p>
      <w:pPr>
        <w:pStyle w:val="ListParagraph"/>
        <w:numPr>
          <w:ilvl w:val="0"/>
          <w:numId w:val="2"/>
        </w:numPr>
        <w:spacing w:after="40" w:before="40"/>
      </w:pPr>
      <w:r>
        <w:rPr>
          <w:rFonts w:ascii="Arial" w:cs="Arial" w:eastAsia="Arial" w:hAnsi="Arial"/>
          <w:sz w:val="22"/>
          <w:szCs w:val="22"/>
        </w:rPr>
        <w:t xml:space="preserve">L0 External Drivers — upstream organizational pressure: budget cuts, understaffing, launch deadlines, regulatory changes</w:t>
      </w:r>
    </w:p>
    <w:p>
      <w:pPr>
        <w:pStyle w:val="ListParagraph"/>
        <w:numPr>
          <w:ilvl w:val="0"/>
          <w:numId w:val="2"/>
        </w:numPr>
        <w:spacing w:after="40" w:before="40"/>
      </w:pPr>
      <w:r>
        <w:rPr>
          <w:rFonts w:ascii="Arial" w:cs="Arial" w:eastAsia="Arial" w:hAnsi="Arial"/>
          <w:sz w:val="22"/>
          <w:szCs w:val="22"/>
        </w:rPr>
        <w:t xml:space="preserve">L1 Structural Conditions — architectural fragility: single points of failure, no failover, aggressive retry behavior</w:t>
      </w:r>
    </w:p>
    <w:p>
      <w:pPr>
        <w:pStyle w:val="ListParagraph"/>
        <w:numPr>
          <w:ilvl w:val="0"/>
          <w:numId w:val="2"/>
        </w:numPr>
        <w:spacing w:after="40" w:before="40"/>
      </w:pPr>
      <w:r>
        <w:rPr>
          <w:rFonts w:ascii="Arial" w:cs="Arial" w:eastAsia="Arial" w:hAnsi="Arial"/>
          <w:sz w:val="22"/>
          <w:szCs w:val="22"/>
        </w:rPr>
        <w:t xml:space="preserve">L2 Triggering Events — the event that started the chain: bad deploy, traffic spike, dependency failure</w:t>
      </w:r>
    </w:p>
    <w:p>
      <w:pPr>
        <w:pStyle w:val="ListParagraph"/>
        <w:numPr>
          <w:ilvl w:val="0"/>
          <w:numId w:val="2"/>
        </w:numPr>
        <w:spacing w:after="40" w:before="40"/>
      </w:pPr>
      <w:r>
        <w:rPr>
          <w:rFonts w:ascii="Arial" w:cs="Arial" w:eastAsia="Arial" w:hAnsi="Arial"/>
          <w:sz w:val="22"/>
          <w:szCs w:val="22"/>
        </w:rPr>
        <w:t xml:space="preserve">L3 Internal Stress Mechanics — amplification: retry storms, queue overflow, connection pool exhaustion</w:t>
      </w:r>
    </w:p>
    <w:p>
      <w:pPr>
        <w:pStyle w:val="ListParagraph"/>
        <w:numPr>
          <w:ilvl w:val="0"/>
          <w:numId w:val="2"/>
        </w:numPr>
        <w:spacing w:after="40" w:before="40"/>
      </w:pPr>
      <w:r>
        <w:rPr>
          <w:rFonts w:ascii="Arial" w:cs="Arial" w:eastAsia="Arial" w:hAnsi="Arial"/>
          <w:sz w:val="22"/>
          <w:szCs w:val="22"/>
        </w:rPr>
        <w:t xml:space="preserve">L4 Telemetry Warning Signs — what the metrics showed: latency climbing, error rate rising, cache hit rate dropping</w:t>
      </w:r>
    </w:p>
    <w:p>
      <w:pPr>
        <w:pStyle w:val="ListParagraph"/>
        <w:numPr>
          <w:ilvl w:val="0"/>
          <w:numId w:val="2"/>
        </w:numPr>
        <w:spacing w:after="40" w:before="40"/>
      </w:pPr>
      <w:r>
        <w:rPr>
          <w:rFonts w:ascii="Arial" w:cs="Arial" w:eastAsia="Arial" w:hAnsi="Arial"/>
          <w:sz w:val="22"/>
          <w:szCs w:val="22"/>
        </w:rPr>
        <w:t xml:space="preserve">L5 User-Visible Degradation — what users experienced: slow pages, errors, delayed notifications</w:t>
      </w:r>
    </w:p>
    <w:p>
      <w:pPr>
        <w:pStyle w:val="ListParagraph"/>
        <w:numPr>
          <w:ilvl w:val="0"/>
          <w:numId w:val="2"/>
        </w:numPr>
        <w:spacing w:after="40" w:before="40"/>
      </w:pPr>
      <w:r>
        <w:rPr>
          <w:rFonts w:ascii="Arial" w:cs="Arial" w:eastAsia="Arial" w:hAnsi="Arial"/>
          <w:sz w:val="22"/>
          <w:szCs w:val="22"/>
        </w:rPr>
        <w:t xml:space="preserve">L6 Business / Mission Impact — organizational consequence: revenue loss, SLA breach, churn risk</w:t>
      </w:r>
    </w:p>
    <w:p>
      <w:pPr>
        <w:spacing w:after="80" w:before="80"/>
      </w:pPr>
    </w:p>
    <w:p>
      <w:pPr>
        <w:pBdr>
          <w:bottom w:val="single" w:color="E2E8F0" w:sz="4"/>
        </w:pBdr>
        <w:spacing w:after="120" w:before="120"/>
      </w:pPr>
    </w:p>
    <w:p>
      <w:pPr>
        <w:pStyle w:val="Heading1"/>
        <w:spacing w:after="120" w:before="240"/>
      </w:pPr>
      <w:r>
        <w:rPr>
          <w:rFonts w:ascii="Arial" w:cs="Arial" w:eastAsia="Arial" w:hAnsi="Arial"/>
          <w:b/>
          <w:bCs/>
          <w:sz w:val="32"/>
          <w:szCs w:val="32"/>
        </w:rPr>
        <w:t xml:space="preserve">Layer 2: The Scenario Templates Are Based on Real Failure Classes</w:t>
      </w:r>
    </w:p>
    <w:p>
      <w:pPr>
        <w:spacing w:after="120" w:before="60"/>
      </w:pPr>
      <w:r>
        <w:rPr>
          <w:rFonts w:ascii="Arial" w:cs="Arial" w:eastAsia="Arial" w:hAnsi="Arial"/>
          <w:sz w:val="22"/>
          <w:szCs w:val="22"/>
        </w:rPr>
        <w:t xml:space="preserve">Every one of the 13 pre-built scenarios corresponds to a documented failure class with a public postmortem record. These are not hypothetical:</w:t>
      </w:r>
    </w:p>
    <w:p>
      <w:pPr>
        <w:pStyle w:val="ListParagraph"/>
        <w:numPr>
          <w:ilvl w:val="0"/>
          <w:numId w:val="2"/>
        </w:numPr>
        <w:spacing w:after="40" w:before="40"/>
      </w:pPr>
      <w:r>
        <w:rPr>
          <w:rFonts w:ascii="Arial" w:cs="Arial" w:eastAsia="Arial" w:hAnsi="Arial"/>
          <w:sz w:val="22"/>
          <w:szCs w:val="22"/>
        </w:rPr>
        <w:t xml:space="preserve">Retry storms: Documented in AWS Kinesis 2020 cascade postmortem, Netflix Chaos Engineering reports, and the original Amazon Dynamo paper on retry amplification</w:t>
      </w:r>
    </w:p>
    <w:p>
      <w:pPr>
        <w:pStyle w:val="ListParagraph"/>
        <w:numPr>
          <w:ilvl w:val="0"/>
          <w:numId w:val="2"/>
        </w:numPr>
        <w:spacing w:after="40" w:before="40"/>
      </w:pPr>
      <w:r>
        <w:rPr>
          <w:rFonts w:ascii="Arial" w:cs="Arial" w:eastAsia="Arial" w:hAnsi="Arial"/>
          <w:sz w:val="22"/>
          <w:szCs w:val="22"/>
        </w:rPr>
        <w:t xml:space="preserve">BGP route leaks: RIPE NCC publishes BGP anomaly data publicly. The 2010 China Telecom incident and 2021 Vodafone leak are textbook cases with published technical analysis</w:t>
      </w:r>
    </w:p>
    <w:p>
      <w:pPr>
        <w:pStyle w:val="ListParagraph"/>
        <w:numPr>
          <w:ilvl w:val="0"/>
          <w:numId w:val="2"/>
        </w:numPr>
        <w:spacing w:after="40" w:before="40"/>
      </w:pPr>
      <w:r>
        <w:rPr>
          <w:rFonts w:ascii="Arial" w:cs="Arial" w:eastAsia="Arial" w:hAnsi="Arial"/>
          <w:sz w:val="22"/>
          <w:szCs w:val="22"/>
        </w:rPr>
        <w:t xml:space="preserve">Vendor capacity crunch: AWS EC2 InsufficientCapacityException is a documented failure mode, with notable occurrences during GPU compute surges in 2023–2024</w:t>
      </w:r>
    </w:p>
    <w:p>
      <w:pPr>
        <w:pStyle w:val="ListParagraph"/>
        <w:numPr>
          <w:ilvl w:val="0"/>
          <w:numId w:val="2"/>
        </w:numPr>
        <w:spacing w:after="40" w:before="40"/>
      </w:pPr>
      <w:r>
        <w:rPr>
          <w:rFonts w:ascii="Arial" w:cs="Arial" w:eastAsia="Arial" w:hAnsi="Arial"/>
          <w:sz w:val="22"/>
          <w:szCs w:val="22"/>
        </w:rPr>
        <w:t xml:space="preserve">Hurricane datacenter: Multiple Gulf Coast facility outage records from 2005 (Katrina), 2017 (Harvey), 2021 (Ida) are published in facility resilience literature</w:t>
      </w:r>
    </w:p>
    <w:p>
      <w:pPr>
        <w:pStyle w:val="ListParagraph"/>
        <w:numPr>
          <w:ilvl w:val="0"/>
          <w:numId w:val="2"/>
        </w:numPr>
        <w:spacing w:after="40" w:before="40"/>
      </w:pPr>
      <w:r>
        <w:rPr>
          <w:rFonts w:ascii="Arial" w:cs="Arial" w:eastAsia="Arial" w:hAnsi="Arial"/>
          <w:sz w:val="22"/>
          <w:szCs w:val="22"/>
        </w:rPr>
        <w:t xml:space="preserve">DNS degradation: Fastly 2021 and Cloudflare 2020 outage postmortems both trace to DNS resolver degradation paths</w:t>
      </w:r>
    </w:p>
    <w:p>
      <w:pPr>
        <w:pStyle w:val="ListParagraph"/>
        <w:numPr>
          <w:ilvl w:val="0"/>
          <w:numId w:val="2"/>
        </w:numPr>
        <w:spacing w:after="40" w:before="40"/>
      </w:pPr>
      <w:r>
        <w:rPr>
          <w:rFonts w:ascii="Arial" w:cs="Arial" w:eastAsia="Arial" w:hAnsi="Arial"/>
          <w:sz w:val="22"/>
          <w:szCs w:val="22"/>
        </w:rPr>
        <w:t xml:space="preserve">Cost-cut redundancy failure: Documented extensively in post-incident reviews where standby nodes or secondary AZs were removed for cost savings before the primary failed</w:t>
      </w:r>
    </w:p>
    <w:p>
      <w:pPr>
        <w:spacing w:after="120" w:before="60"/>
      </w:pPr>
      <w:r>
        <w:rPr>
          <w:rFonts w:ascii="Arial" w:cs="Arial" w:eastAsia="Arial" w:hAnsi="Arial"/>
          <w:b/>
          <w:bCs/>
          <w:sz w:val="22"/>
          <w:szCs w:val="22"/>
        </w:rPr>
        <w:t xml:space="preserve">The scenarios are credible because they map to real events</w:t>
      </w:r>
      <w:r>
        <w:rPr>
          <w:rFonts w:ascii="Arial" w:cs="Arial" w:eastAsia="Arial" w:hAnsi="Arial"/>
          <w:sz w:val="22"/>
          <w:szCs w:val="22"/>
        </w:rPr>
        <w:t xml:space="preserve">, not because we synthesized them from scratch.</w:t>
      </w:r>
    </w:p>
    <w:p>
      <w:pPr>
        <w:spacing w:after="80" w:before="80"/>
      </w:pPr>
    </w:p>
    <w:p>
      <w:pPr>
        <w:pBdr>
          <w:bottom w:val="single" w:color="E2E8F0" w:sz="4"/>
        </w:pBdr>
        <w:spacing w:after="120" w:before="120"/>
      </w:pPr>
    </w:p>
    <w:p>
      <w:pPr>
        <w:pStyle w:val="Heading1"/>
        <w:spacing w:after="120" w:before="240"/>
      </w:pPr>
      <w:r>
        <w:rPr>
          <w:rFonts w:ascii="Arial" w:cs="Arial" w:eastAsia="Arial" w:hAnsi="Arial"/>
          <w:b/>
          <w:bCs/>
          <w:sz w:val="32"/>
          <w:szCs w:val="32"/>
        </w:rPr>
        <w:t xml:space="preserve">Layer 3: The Statistics Are Industry Benchmarks — Cited Correctly</w:t>
      </w:r>
    </w:p>
    <w:p>
      <w:pPr>
        <w:spacing w:after="120" w:before="60"/>
      </w:pPr>
      <w:r>
        <w:rPr>
          <w:rFonts w:ascii="Arial" w:cs="Arial" w:eastAsia="Arial" w:hAnsi="Arial"/>
          <w:sz w:val="22"/>
          <w:szCs w:val="22"/>
        </w:rPr>
        <w:t xml:space="preserve">All numerical benchmarks shown in the PulseGrid UI are labeled as </w:t>
      </w:r>
      <w:r>
        <w:rPr>
          <w:rFonts w:ascii="Arial" w:cs="Arial" w:eastAsia="Arial" w:hAnsi="Arial"/>
          <w:b/>
          <w:bCs/>
          <w:sz w:val="22"/>
          <w:szCs w:val="22"/>
        </w:rPr>
        <w:t xml:space="preserve">"Illustrative benchmark range"</w:t>
      </w:r>
      <w:r>
        <w:rPr>
          <w:rFonts w:ascii="Arial" w:cs="Arial" w:eastAsia="Arial" w:hAnsi="Arial"/>
          <w:sz w:val="22"/>
          <w:szCs w:val="22"/>
        </w:rPr>
        <w:t xml:space="preserve"> or </w:t>
      </w:r>
      <w:r>
        <w:rPr>
          <w:rFonts w:ascii="Arial" w:cs="Arial" w:eastAsia="Arial" w:hAnsi="Arial"/>
          <w:b/>
          <w:bCs/>
          <w:sz w:val="22"/>
          <w:szCs w:val="22"/>
        </w:rPr>
        <w:t xml:space="preserve">"Scenario-aligned reference estimate"</w:t>
      </w:r>
      <w:r>
        <w:rPr>
          <w:rFonts w:ascii="Arial" w:cs="Arial" w:eastAsia="Arial" w:hAnsi="Arial"/>
          <w:sz w:val="22"/>
          <w:szCs w:val="22"/>
        </w:rPr>
        <w:t xml:space="preserve">. They are derived from credible industry sources, applied to failure classes we have mapped to those sources. They are not claimed as precisely measured operational values.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6366F1" w:sz="4"/>
              <w:left w:val="single" w:color="6366F1" w:sz="4"/>
              <w:bottom w:val="single" w:color="6366F1" w:sz="4"/>
              <w:right w:val="single" w:color="6366F1"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Statistic</w:t>
            </w:r>
          </w:p>
        </w:tc>
        <w:tc>
          <w:tcPr>
            <w:tcW w:type="dxa" w:w="3180"/>
            <w:tcBorders>
              <w:top w:val="single" w:color="6366F1" w:sz="4"/>
              <w:left w:val="single" w:color="6366F1" w:sz="4"/>
              <w:bottom w:val="single" w:color="6366F1" w:sz="4"/>
              <w:right w:val="single" w:color="6366F1"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80"/>
            <w:tcBorders>
              <w:top w:val="single" w:color="6366F1" w:sz="4"/>
              <w:left w:val="single" w:color="6366F1" w:sz="4"/>
              <w:bottom w:val="single" w:color="6366F1" w:sz="4"/>
              <w:right w:val="single" w:color="6366F1" w:sz="4"/>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Honest Framing</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sz w:val="20"/>
                <w:szCs w:val="20"/>
              </w:rPr>
              <w:t xml:space="preserve">MTTD ~14 min (median)</w:t>
            </w:r>
          </w:p>
        </w:tc>
        <w:tc>
          <w:tcPr>
            <w:tcW w:type="dxa" w:w="31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sz w:val="20"/>
                <w:szCs w:val="20"/>
              </w:rPr>
              <w:t xml:space="preserve">PagerDuty State of Digital Operations, n=15,000+ incidents</w:t>
            </w:r>
          </w:p>
        </w:tc>
        <w:tc>
          <w:tcPr>
            <w:tcW w:type="dxa" w:w="31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i/>
                <w:iCs/>
                <w:color w:val="6B7280"/>
                <w:sz w:val="20"/>
                <w:szCs w:val="20"/>
              </w:rPr>
              <w:t xml:space="preserve">Population median for software-triggered incidents — not specific to retry class</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MTTR ~4 hr (P1)</w:t>
            </w:r>
          </w:p>
        </w:tc>
        <w:tc>
          <w:tcPr>
            <w:tcW w:type="dxa" w:w="31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Same report, incident resolution benchmarks</w:t>
            </w:r>
          </w:p>
        </w:tc>
        <w:tc>
          <w:tcPr>
            <w:tcW w:type="dxa" w:w="31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B7280"/>
                <w:sz w:val="20"/>
                <w:szCs w:val="20"/>
              </w:rPr>
              <w:t xml:space="preserve">p50 across all software P1 incidents; scenario-specific ranges are estimates within this band</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sz w:val="20"/>
                <w:szCs w:val="20"/>
              </w:rPr>
              <w:t xml:space="preserve">Retry storms: ~23% of cascades</w:t>
            </w:r>
          </w:p>
        </w:tc>
        <w:tc>
          <w:tcPr>
            <w:tcW w:type="dxa" w:w="31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sz w:val="20"/>
                <w:szCs w:val="20"/>
              </w:rPr>
              <w:t xml:space="preserve">Google SRE Book, Chapter on Managing Incidents</w:t>
            </w:r>
          </w:p>
        </w:tc>
        <w:tc>
          <w:tcPr>
            <w:tcW w:type="dxa" w:w="31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i/>
                <w:iCs/>
                <w:color w:val="6B7280"/>
                <w:sz w:val="20"/>
                <w:szCs w:val="20"/>
              </w:rPr>
              <w:t xml:space="preserve">Google's internal corpus; broadly cited but not independently replicated</w:t>
            </w:r>
          </w:p>
        </w:tc>
      </w:tr>
      <w:tr>
        <w:tc>
          <w:tcPr>
            <w:tcW w:type="dxa" w:w="3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bCs/>
                <w:sz w:val="20"/>
                <w:szCs w:val="20"/>
              </w:rPr>
              <w:t xml:space="preserve">Blast radius: 60–80% direct, 20–40% second-hop</w:t>
            </w:r>
          </w:p>
        </w:tc>
        <w:tc>
          <w:tcPr>
            <w:tcW w:type="dxa" w:w="31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sz w:val="20"/>
                <w:szCs w:val="20"/>
              </w:rPr>
              <w:t xml:space="preserve">CNCF Survey 2023, infrastructure dependency patterns</w:t>
            </w:r>
          </w:p>
        </w:tc>
        <w:tc>
          <w:tcPr>
            <w:tcW w:type="dxa" w:w="31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i/>
                <w:iCs/>
                <w:color w:val="6B7280"/>
                <w:sz w:val="20"/>
                <w:szCs w:val="20"/>
              </w:rPr>
              <w:t xml:space="preserve">Pattern estimate from survey data, not a controlled measurement</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b/>
                <w:bCs/>
                <w:sz w:val="20"/>
                <w:szCs w:val="20"/>
              </w:rPr>
              <w:t xml:space="preserve">BGP leak: +50–400ms added latency</w:t>
            </w:r>
          </w:p>
        </w:tc>
        <w:tc>
          <w:tcPr>
            <w:tcW w:type="dxa" w:w="31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sz w:val="20"/>
                <w:szCs w:val="20"/>
              </w:rPr>
              <w:t xml:space="preserve">RIPE NCC published BGP anomaly reports</w:t>
            </w:r>
          </w:p>
        </w:tc>
        <w:tc>
          <w:tcPr>
            <w:tcW w:type="dxa" w:w="31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rFonts w:ascii="Arial" w:cs="Arial" w:eastAsia="Arial" w:hAnsi="Arial"/>
                <w:i/>
                <w:iCs/>
                <w:color w:val="6B7280"/>
                <w:sz w:val="20"/>
                <w:szCs w:val="20"/>
              </w:rPr>
              <w:t xml:space="preserve">Range from measured routing incidents; scenario value is mid-range estimate</w:t>
            </w:r>
          </w:p>
        </w:tc>
      </w:tr>
    </w:tbl>
    <w:p>
      <w:pPr>
        <w:spacing w:after="80" w:before="80"/>
      </w:pPr>
    </w:p>
    <w:p>
      <w:pPr>
        <w:spacing w:after="120" w:before="60"/>
      </w:pPr>
      <w:r>
        <w:rPr>
          <w:rFonts w:ascii="Arial" w:cs="Arial" w:eastAsia="Arial" w:hAnsi="Arial"/>
          <w:b/>
          <w:bCs/>
          <w:sz w:val="22"/>
          <w:szCs w:val="22"/>
        </w:rPr>
        <w:t xml:space="preserve">The honest framing: </w:t>
      </w:r>
      <w:r>
        <w:rPr>
          <w:rFonts w:ascii="Arial" w:cs="Arial" w:eastAsia="Arial" w:hAnsi="Arial"/>
          <w:sz w:val="22"/>
          <w:szCs w:val="22"/>
        </w:rPr>
        <w:t xml:space="preserve">these are population benchmarks from credible industry surveys, applied to failure classes we have mapped to those surveys. The range is correct. The specific scenario values are estimates within credible bounds.</w:t>
      </w:r>
    </w:p>
    <w:p>
      <w:pPr>
        <w:spacing w:after="80" w:before="80"/>
      </w:pPr>
    </w:p>
    <w:p>
      <w:pPr>
        <w:pBdr>
          <w:bottom w:val="single" w:color="E2E8F0" w:sz="4"/>
        </w:pBdr>
        <w:spacing w:after="120" w:before="120"/>
      </w:pPr>
    </w:p>
    <w:p>
      <w:pPr>
        <w:pStyle w:val="Heading1"/>
        <w:spacing w:after="120" w:before="240"/>
      </w:pPr>
      <w:r>
        <w:rPr>
          <w:rFonts w:ascii="Arial" w:cs="Arial" w:eastAsia="Arial" w:hAnsi="Arial"/>
          <w:b/>
          <w:bCs/>
          <w:sz w:val="32"/>
          <w:szCs w:val="32"/>
        </w:rPr>
        <w:t xml:space="preserve">Layer 4: How the Diagnostic Engine Works</w:t>
      </w:r>
    </w:p>
    <w:p>
      <w:pPr>
        <w:spacing w:after="120" w:before="60"/>
      </w:pPr>
      <w:r>
        <w:rPr>
          <w:rFonts w:ascii="Arial" w:cs="Arial" w:eastAsia="Arial" w:hAnsi="Arial"/>
          <w:sz w:val="22"/>
          <w:szCs w:val="22"/>
        </w:rPr>
        <w:t xml:space="preserve">The scenario matching engine in chain.py operates as a structured expert system:</w:t>
      </w:r>
    </w:p>
    <w:p>
      <w:pPr>
        <w:pStyle w:val="ListParagraph"/>
        <w:numPr>
          <w:ilvl w:val="0"/>
          <w:numId w:val="2"/>
        </w:numPr>
        <w:spacing w:after="40" w:before="40"/>
      </w:pPr>
      <w:r>
        <w:rPr>
          <w:rFonts w:ascii="Arial" w:cs="Arial" w:eastAsia="Arial" w:hAnsi="Arial"/>
          <w:sz w:val="22"/>
          <w:szCs w:val="22"/>
        </w:rPr>
        <w:t xml:space="preserve">User provides incident signals via free-text or the 5-question wizard</w:t>
      </w:r>
    </w:p>
    <w:p>
      <w:pPr>
        <w:pStyle w:val="ListParagraph"/>
        <w:numPr>
          <w:ilvl w:val="0"/>
          <w:numId w:val="2"/>
        </w:numPr>
        <w:spacing w:after="40" w:before="40"/>
      </w:pPr>
      <w:r>
        <w:rPr>
          <w:rFonts w:ascii="Arial" w:cs="Arial" w:eastAsia="Arial" w:hAnsi="Arial"/>
          <w:sz w:val="22"/>
          <w:szCs w:val="22"/>
        </w:rPr>
        <w:t xml:space="preserve">Signals are mapped to structured dimensions using a keyword extraction matrix (domain-specific regex patterns covering ~35 signal types)</w:t>
      </w:r>
    </w:p>
    <w:p>
      <w:pPr>
        <w:pStyle w:val="ListParagraph"/>
        <w:numPr>
          <w:ilvl w:val="0"/>
          <w:numId w:val="2"/>
        </w:numPr>
        <w:spacing w:after="40" w:before="40"/>
      </w:pPr>
      <w:r>
        <w:rPr>
          <w:rFonts w:ascii="Arial" w:cs="Arial" w:eastAsia="Arial" w:hAnsi="Arial"/>
          <w:sz w:val="22"/>
          <w:szCs w:val="22"/>
        </w:rPr>
        <w:t xml:space="preserve">Each signal set is scored against 13 scenario signal weight matrices using a weighted dot product</w:t>
      </w:r>
    </w:p>
    <w:p>
      <w:pPr>
        <w:pStyle w:val="ListParagraph"/>
        <w:numPr>
          <w:ilvl w:val="0"/>
          <w:numId w:val="2"/>
        </w:numPr>
        <w:spacing w:after="40" w:before="40"/>
      </w:pPr>
      <w:r>
        <w:rPr>
          <w:rFonts w:ascii="Arial" w:cs="Arial" w:eastAsia="Arial" w:hAnsi="Arial"/>
          <w:sz w:val="22"/>
          <w:szCs w:val="22"/>
        </w:rPr>
        <w:t xml:space="preserve">The highest-scoring scenario is selected as the matched pattern</w:t>
      </w:r>
    </w:p>
    <w:p>
      <w:pPr>
        <w:pStyle w:val="ListParagraph"/>
        <w:numPr>
          <w:ilvl w:val="0"/>
          <w:numId w:val="2"/>
        </w:numPr>
        <w:spacing w:after="40" w:before="40"/>
      </w:pPr>
      <w:r>
        <w:rPr>
          <w:rFonts w:ascii="Arial" w:cs="Arial" w:eastAsia="Arial" w:hAnsi="Arial"/>
          <w:sz w:val="22"/>
          <w:szCs w:val="22"/>
        </w:rPr>
        <w:t xml:space="preserve">If match confidence is below threshold, GPT generates a full 7-layer analysis for the novel incident</w:t>
      </w:r>
    </w:p>
    <w:p>
      <w:pPr>
        <w:spacing w:after="80" w:before="80"/>
      </w:pPr>
    </w:p>
    <w:p>
      <w:pPr>
        <w:spacing w:after="120" w:before="60"/>
      </w:pPr>
      <w:r>
        <w:rPr>
          <w:rFonts w:ascii="Arial" w:cs="Arial" w:eastAsia="Arial" w:hAnsi="Arial"/>
          <w:sz w:val="22"/>
          <w:szCs w:val="22"/>
        </w:rPr>
        <w:t xml:space="preserve">This is </w:t>
      </w:r>
      <w:r>
        <w:rPr>
          <w:rFonts w:ascii="Arial" w:cs="Arial" w:eastAsia="Arial" w:hAnsi="Arial"/>
          <w:b/>
          <w:bCs/>
          <w:sz w:val="22"/>
          <w:szCs w:val="22"/>
        </w:rPr>
        <w:t xml:space="preserve">expert system logic</w:t>
      </w:r>
      <w:r>
        <w:rPr>
          <w:rFonts w:ascii="Arial" w:cs="Arial" w:eastAsia="Arial" w:hAnsi="Arial"/>
          <w:sz w:val="22"/>
          <w:szCs w:val="22"/>
        </w:rPr>
        <w:t xml:space="preserve"> — structured rules written by someone with domain knowledge of incident patterns — not a model trained on labeled incident data. It is credible as an expert system. It is not claimed as a trained predictive model. </w:t>
      </w:r>
      <w:r>
        <w:rPr>
          <w:rFonts w:ascii="Arial" w:cs="Arial" w:eastAsia="Arial" w:hAnsi="Arial"/>
          <w:i/>
          <w:iCs/>
          <w:color w:val="4B5563"/>
          <w:sz w:val="22"/>
          <w:szCs w:val="22"/>
        </w:rPr>
        <w:t xml:space="preserve">This distinction is important to be clear about if a judge asks.</w:t>
      </w:r>
    </w:p>
    <w:p>
      <w:pPr>
        <w:spacing w:after="80" w:before="80"/>
      </w:pPr>
    </w:p>
    <w:p>
      <w:pPr>
        <w:pStyle w:val="Heading2"/>
        <w:spacing w:after="120" w:before="240"/>
      </w:pPr>
      <w:r>
        <w:rPr>
          <w:rFonts w:ascii="Arial" w:cs="Arial" w:eastAsia="Arial" w:hAnsi="Arial"/>
          <w:b/>
          <w:bCs/>
          <w:sz w:val="28"/>
          <w:szCs w:val="28"/>
        </w:rPr>
        <w:t xml:space="preserve">Layer 5: The AI Analysis Layer (GPT)</w:t>
      </w:r>
    </w:p>
    <w:p>
      <w:pPr>
        <w:spacing w:after="120" w:before="60"/>
      </w:pPr>
      <w:r>
        <w:rPr>
          <w:rFonts w:ascii="Arial" w:cs="Arial" w:eastAsia="Arial" w:hAnsi="Arial"/>
          <w:sz w:val="22"/>
          <w:szCs w:val="22"/>
        </w:rPr>
        <w:t xml:space="preserve">For novel incidents that do not match any of the 13 pre-built patterns at sufficient confidence, PulseGrid uses GPT (gpt-4.1-mini by default) to generate a full 7-layer chain analysis from scratch. The prompt instructs the model to populate every layer with specific factors from the incident description and return structured JSON — identical format to the hardcoded scenario engine.</w:t>
      </w:r>
    </w:p>
    <w:p>
      <w:pPr>
        <w:spacing w:after="120" w:before="60"/>
      </w:pPr>
      <w:r>
        <w:rPr>
          <w:rFonts w:ascii="Arial" w:cs="Arial" w:eastAsia="Arial" w:hAnsi="Arial"/>
          <w:sz w:val="22"/>
          <w:szCs w:val="22"/>
        </w:rPr>
        <w:t xml:space="preserve">This means PulseGrid can analyze </w:t>
      </w:r>
      <w:r>
        <w:rPr>
          <w:rFonts w:ascii="Arial" w:cs="Arial" w:eastAsia="Arial" w:hAnsi="Arial"/>
          <w:b/>
          <w:bCs/>
          <w:sz w:val="22"/>
          <w:szCs w:val="22"/>
        </w:rPr>
        <w:t xml:space="preserve">any incident</w:t>
      </w:r>
      <w:r>
        <w:rPr>
          <w:rFonts w:ascii="Arial" w:cs="Arial" w:eastAsia="Arial" w:hAnsi="Arial"/>
          <w:sz w:val="22"/>
          <w:szCs w:val="22"/>
        </w:rPr>
        <w:t xml:space="preserve">, not just the 13 pre-built templates. The GPT layer is where AI integration is genuine and defensible as an "AI hack" — it produces structured causal reasoning from unstructured incident descriptions.</w:t>
      </w:r>
    </w:p>
    <w:p>
      <w:pPr>
        <w:spacing w:after="80" w:before="80"/>
      </w:pPr>
    </w:p>
    <w:p>
      <w:pPr>
        <w:pBdr>
          <w:bottom w:val="single" w:color="E2E8F0" w:sz="4"/>
        </w:pBdr>
        <w:spacing w:after="120" w:before="120"/>
      </w:pPr>
    </w:p>
    <w:p>
      <w:pPr>
        <w:pStyle w:val="Heading1"/>
        <w:spacing w:after="120" w:before="240"/>
      </w:pPr>
      <w:r>
        <w:rPr>
          <w:rFonts w:ascii="Arial" w:cs="Arial" w:eastAsia="Arial" w:hAnsi="Arial"/>
          <w:b/>
          <w:bCs/>
          <w:sz w:val="32"/>
          <w:szCs w:val="32"/>
        </w:rPr>
        <w:t xml:space="preserve">What to Say If a Judge Asks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bottom w:val="none"/>
              <w:right w:val="none"/>
            </w:tcBorders>
            <w:shd w:fill="F8FAFC" w:val="clear"/>
            <w:tcMar>
              <w:top w:type="dxa" w:w="120"/>
              <w:left w:type="dxa" w:w="160"/>
              <w:bottom w:type="dxa" w:w="80"/>
              <w:right w:type="dxa" w:w="160"/>
            </w:tcMar>
          </w:tcPr>
          <w:p>
            <w:pPr>
              <w:spacing w:after="0" w:before="0"/>
            </w:pPr>
            <w:r>
              <w:rPr>
                <w:rFonts w:ascii="Arial" w:cs="Arial" w:eastAsia="Arial" w:hAnsi="Arial"/>
                <w:b/>
                <w:bCs/>
                <w:color w:val="4F46E5"/>
                <w:sz w:val="20"/>
                <w:szCs w:val="20"/>
              </w:rPr>
              <w:t xml:space="preserve">If asked: "Where do your numbers come from?"</w:t>
            </w:r>
          </w:p>
        </w:tc>
      </w:tr>
    </w:tbl>
    <w:p>
      <w:pPr>
        <w:spacing w:after="80" w:before="80"/>
      </w:pPr>
    </w:p>
    <w:p>
      <w:pPr>
        <w:spacing w:after="120" w:before="60"/>
      </w:pPr>
      <w:r>
        <w:rPr>
          <w:rFonts w:ascii="Arial" w:cs="Arial" w:eastAsia="Arial" w:hAnsi="Arial"/>
          <w:sz w:val="22"/>
          <w:szCs w:val="22"/>
        </w:rPr>
        <w:t xml:space="preserve">"All statistics displayed are labeled as illustrative benchmark ranges derived from PagerDuty, Atlassian, Google SRE, and CNCF industry reports. They are scenario-aligned estimates — not values computed from a dataset we own. The ranges are defensible; the precision is approximate within those ranges."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bottom w:val="none"/>
              <w:right w:val="none"/>
            </w:tcBorders>
            <w:shd w:fill="F8FAFC" w:val="clear"/>
            <w:tcMar>
              <w:top w:type="dxa" w:w="120"/>
              <w:left w:type="dxa" w:w="160"/>
              <w:bottom w:type="dxa" w:w="80"/>
              <w:right w:type="dxa" w:w="160"/>
            </w:tcMar>
          </w:tcPr>
          <w:p>
            <w:pPr>
              <w:spacing w:after="0" w:before="0"/>
            </w:pPr>
            <w:r>
              <w:rPr>
                <w:rFonts w:ascii="Arial" w:cs="Arial" w:eastAsia="Arial" w:hAnsi="Arial"/>
                <w:b/>
                <w:bCs/>
                <w:color w:val="4F46E5"/>
                <w:sz w:val="20"/>
                <w:szCs w:val="20"/>
              </w:rPr>
              <w:t xml:space="preserve">If asked: "Is this a trained ML model?"</w:t>
            </w:r>
          </w:p>
        </w:tc>
      </w:tr>
    </w:tbl>
    <w:p>
      <w:pPr>
        <w:spacing w:after="80" w:before="80"/>
      </w:pPr>
    </w:p>
    <w:p>
      <w:pPr>
        <w:spacing w:after="120" w:before="60"/>
      </w:pPr>
      <w:r>
        <w:rPr>
          <w:rFonts w:ascii="Arial" w:cs="Arial" w:eastAsia="Arial" w:hAnsi="Arial"/>
          <w:sz w:val="22"/>
          <w:szCs w:val="22"/>
        </w:rPr>
        <w:t xml:space="preserve">"No. The scenario matching is a structured expert system — rule-based signal weighting built on documented incident patterns. For novel incidents outside those patterns, we use GPT to generate the chain analysis. The expert system is transparent, auditable logic. The next evolution would be training a classifier on datasets like the Verica Open Incident Database (VOID) to replace rule-based matching with probability-weighted scenario scoring."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6"/>
              <w:left w:val="none"/>
              <w:bottom w:val="none"/>
              <w:right w:val="none"/>
            </w:tcBorders>
            <w:shd w:fill="F8FAFC" w:val="clear"/>
            <w:tcMar>
              <w:top w:type="dxa" w:w="120"/>
              <w:left w:type="dxa" w:w="160"/>
              <w:bottom w:type="dxa" w:w="80"/>
              <w:right w:type="dxa" w:w="160"/>
            </w:tcMar>
          </w:tcPr>
          <w:p>
            <w:pPr>
              <w:spacing w:after="0" w:before="0"/>
            </w:pPr>
            <w:r>
              <w:rPr>
                <w:rFonts w:ascii="Arial" w:cs="Arial" w:eastAsia="Arial" w:hAnsi="Arial"/>
                <w:b/>
                <w:bCs/>
                <w:color w:val="4F46E5"/>
                <w:sz w:val="20"/>
                <w:szCs w:val="20"/>
              </w:rPr>
              <w:t xml:space="preserve">If asked: "Why should I trust the causal chains?"</w:t>
            </w:r>
          </w:p>
        </w:tc>
      </w:tr>
    </w:tbl>
    <w:p>
      <w:pPr>
        <w:spacing w:after="80" w:before="80"/>
      </w:pPr>
    </w:p>
    <w:p>
      <w:pPr>
        <w:spacing w:after="120" w:before="60"/>
      </w:pPr>
      <w:r>
        <w:rPr>
          <w:rFonts w:ascii="Arial" w:cs="Arial" w:eastAsia="Arial" w:hAnsi="Arial"/>
          <w:sz w:val="22"/>
          <w:szCs w:val="22"/>
        </w:rPr>
        <w:t xml:space="preserve">"The 7-layer chain is grounded in incident causality research — the same conceptual basis as Google's SRE Book and Hollnagel's FRAM methodology. Each layer in the chain asks a question that real incident responders actually ask during a postmortem. The scenario templates map to documented real-world failure events with published postmortem records."</w:t>
      </w:r>
    </w:p>
    <w:p>
      <w:pPr>
        <w:spacing w:after="80" w:before="80"/>
      </w:pPr>
    </w:p>
    <w:p>
      <w:pPr>
        <w:pBdr>
          <w:bottom w:val="single" w:color="E2E8F0" w:sz="4"/>
        </w:pBdr>
        <w:spacing w:after="120" w:before="120"/>
      </w:pPr>
    </w:p>
    <w:p>
      <w:pPr>
        <w:pStyle w:val="Heading1"/>
        <w:spacing w:after="120" w:before="240"/>
      </w:pPr>
      <w:r>
        <w:rPr>
          <w:rFonts w:ascii="Arial" w:cs="Arial" w:eastAsia="Arial" w:hAnsi="Arial"/>
          <w:b/>
          <w:bCs/>
          <w:sz w:val="32"/>
          <w:szCs w:val="32"/>
        </w:rPr>
        <w:t xml:space="preserve">What Datasets Would Make This a Trained Model</w:t>
      </w:r>
    </w:p>
    <w:p>
      <w:pPr>
        <w:spacing w:after="120" w:before="60"/>
      </w:pPr>
      <w:r>
        <w:rPr>
          <w:rFonts w:ascii="Arial" w:cs="Arial" w:eastAsia="Arial" w:hAnsi="Arial"/>
          <w:sz w:val="22"/>
          <w:szCs w:val="22"/>
        </w:rPr>
        <w:t xml:space="preserve">These sources exist and are accessible for future model development:</w:t>
      </w:r>
    </w:p>
    <w:p>
      <w:pPr>
        <w:pStyle w:val="ListParagraph"/>
        <w:numPr>
          <w:ilvl w:val="0"/>
          <w:numId w:val="2"/>
        </w:numPr>
        <w:spacing w:after="40" w:before="40"/>
      </w:pPr>
      <w:r>
        <w:rPr>
          <w:rFonts w:ascii="Arial" w:cs="Arial" w:eastAsia="Arial" w:hAnsi="Arial"/>
          <w:sz w:val="22"/>
          <w:szCs w:val="22"/>
        </w:rPr>
        <w:t xml:space="preserve">Verica Open Incident Database (VOID) — verica.io/blog/void — structured postmortem data purpose-built for incident research</w:t>
      </w:r>
    </w:p>
    <w:p>
      <w:pPr>
        <w:pStyle w:val="ListParagraph"/>
        <w:numPr>
          <w:ilvl w:val="0"/>
          <w:numId w:val="2"/>
        </w:numPr>
        <w:spacing w:after="40" w:before="40"/>
      </w:pPr>
      <w:r>
        <w:rPr>
          <w:rFonts w:ascii="Arial" w:cs="Arial" w:eastAsia="Arial" w:hAnsi="Arial"/>
          <w:sz w:val="22"/>
          <w:szCs w:val="22"/>
        </w:rPr>
        <w:t xml:space="preserve">PagerDuty public incident data — anonymized incident metadata from their State of Digital Operations reports</w:t>
      </w:r>
    </w:p>
    <w:p>
      <w:pPr>
        <w:pStyle w:val="ListParagraph"/>
        <w:numPr>
          <w:ilvl w:val="0"/>
          <w:numId w:val="2"/>
        </w:numPr>
        <w:spacing w:after="40" w:before="40"/>
      </w:pPr>
      <w:r>
        <w:rPr>
          <w:rFonts w:ascii="Arial" w:cs="Arial" w:eastAsia="Arial" w:hAnsi="Arial"/>
          <w:sz w:val="22"/>
          <w:szCs w:val="22"/>
        </w:rPr>
        <w:t xml:space="preserve">CNCF SRE Survey raw data — available on GitHub, includes infrastructure configuration and incident frequency</w:t>
      </w:r>
    </w:p>
    <w:p>
      <w:pPr>
        <w:pStyle w:val="ListParagraph"/>
        <w:numPr>
          <w:ilvl w:val="0"/>
          <w:numId w:val="2"/>
        </w:numPr>
        <w:spacing w:after="40" w:before="40"/>
      </w:pPr>
      <w:r>
        <w:rPr>
          <w:rFonts w:ascii="Arial" w:cs="Arial" w:eastAsia="Arial" w:hAnsi="Arial"/>
          <w:sz w:val="22"/>
          <w:szCs w:val="22"/>
        </w:rPr>
        <w:t xml:space="preserve">RIPE NCC BGP anomaly dataset — publicly available routing anomaly data at ripe.net</w:t>
      </w:r>
    </w:p>
    <w:p>
      <w:pPr>
        <w:pStyle w:val="ListParagraph"/>
        <w:numPr>
          <w:ilvl w:val="0"/>
          <w:numId w:val="2"/>
        </w:numPr>
        <w:spacing w:after="40" w:before="40"/>
      </w:pPr>
      <w:r>
        <w:rPr>
          <w:rFonts w:ascii="Arial" w:cs="Arial" w:eastAsia="Arial" w:hAnsi="Arial"/>
          <w:sz w:val="22"/>
          <w:szCs w:val="22"/>
        </w:rPr>
        <w:t xml:space="preserve">AWS and Google Cloud public postmortems — both publish detailed incident retrospectives with MTTD, root cause, and contributing factors</w:t>
      </w:r>
    </w:p>
    <w:p>
      <w:pPr>
        <w:spacing w:after="80" w:before="80"/>
      </w:pPr>
    </w:p>
    <w:p>
      <w:pPr>
        <w:spacing w:after="120" w:before="60"/>
      </w:pPr>
      <w:r>
        <w:rPr>
          <w:rFonts w:ascii="Arial" w:cs="Arial" w:eastAsia="Arial" w:hAnsi="Arial"/>
          <w:b/>
          <w:bCs/>
          <w:sz w:val="22"/>
          <w:szCs w:val="22"/>
        </w:rPr>
        <w:t xml:space="preserve">Bottom line: </w:t>
      </w:r>
      <w:r>
        <w:rPr>
          <w:rFonts w:ascii="Arial" w:cs="Arial" w:eastAsia="Arial" w:hAnsi="Arial"/>
          <w:sz w:val="22"/>
          <w:szCs w:val="22"/>
        </w:rPr>
        <w:t xml:space="preserve">PulseGrid is a credible expert system backed by real industry incident data and augmented by GPT-powered analysis for novel cases. The framework is valid. The benchmarks are cited correctly. The scope of what it claims to be is honest. For a hackathon, that is a fully defensible position.</w:t>
      </w:r>
    </w:p>
    <w:p>
      <w:pPr>
        <w:spacing w:after="80" w:before="80"/>
      </w:pPr>
    </w:p>
    <w:p>
      <w:pPr>
        <w:spacing w:after="0" w:before="240"/>
        <w:jc w:val="right"/>
      </w:pPr>
      <w:r>
        <w:rPr>
          <w:rFonts w:ascii="Arial" w:cs="Arial" w:eastAsia="Arial" w:hAnsi="Arial"/>
          <w:color w:val="9CA3AF"/>
          <w:sz w:val="18"/>
          <w:szCs w:val="18"/>
        </w:rPr>
        <w:t xml:space="preserve">HackUSF 2026 · PulseGrid AI · Built by Dontavious Ellis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12E8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2026-03-29T13:03:03.050Z</dcterms:created>
  <dcterms:modified xsi:type="dcterms:W3CDTF">2026-03-29T13:03:03.050Z</dcterms:modified>
</cp:coreProperties>
</file>

<file path=docProps/custom.xml><?xml version="1.0" encoding="utf-8"?>
<Properties xmlns="http://schemas.openxmlformats.org/officeDocument/2006/custom-properties" xmlns:vt="http://schemas.openxmlformats.org/officeDocument/2006/docPropsVTypes"/>
</file>