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合同管理</w:t>
      </w: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合同管理</w:t>
      </w:r>
      <w:bookmarkEnd w:id="0"/>
    </w:p>
    <w:p>
      <w:pPr>
        <w:numPr>
          <w:numId w:val="1"/>
        </w:numPr>
        <w:spacing w:before="120" w:after="120" w:line="288" w:lineRule="auto"/>
        <w:ind w:left="0"/>
        <w:jc w:val="left"/>
      </w:pPr>
      <w:r>
        <w:rPr>
          <w:rFonts w:eastAsia="等线" w:ascii="Arial" w:cs="Arial" w:hAnsi="Arial"/>
          <w:sz w:val="22"/>
        </w:rPr>
        <w:t>CRM需要有合同管理菜单，支持业务进行合同发起，合同审批，合同存档等管理事项</w:t>
      </w:r>
    </w:p>
    <w:p>
      <w:pPr>
        <w:numPr>
          <w:numId w:val="2"/>
        </w:numPr>
        <w:spacing w:before="120" w:after="120" w:line="288" w:lineRule="auto"/>
        <w:ind w:left="0"/>
        <w:jc w:val="left"/>
      </w:pPr>
      <w:r>
        <w:rPr>
          <w:rFonts w:eastAsia="等线" w:ascii="Arial" w:cs="Arial" w:hAnsi="Arial"/>
          <w:sz w:val="22"/>
        </w:rPr>
        <w:t>每个合同需要有合同的负责人，发起人默认是合同负责人，合同需要行级权限控制</w:t>
      </w:r>
    </w:p>
    <w:p>
      <w:pPr>
        <w:numPr>
          <w:numId w:val="3"/>
        </w:numPr>
        <w:spacing w:before="120" w:after="120" w:line="288" w:lineRule="auto"/>
        <w:ind w:left="0"/>
        <w:jc w:val="left"/>
      </w:pPr>
      <w:r>
        <w:rPr>
          <w:rFonts w:eastAsia="等线" w:ascii="Arial" w:cs="Arial" w:hAnsi="Arial"/>
          <w:sz w:val="22"/>
        </w:rPr>
        <w:t>合同发起时需要基于以下参数选择后，命中一个契约锁的业务分类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50"/>
        <w:gridCol w:w="1920"/>
        <w:gridCol w:w="1725"/>
        <w:gridCol w:w="1050"/>
        <w:gridCol w:w="1050"/>
        <w:gridCol w:w="1485"/>
      </w:tblGrid>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方案类型</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合同分类</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业务类型</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政策类型</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方案等级</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契约锁业务分类</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市场部合同</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b2b</w:t>
            </w:r>
          </w:p>
        </w:tc>
        <w:tc>
          <w:tcPr>
            <w:tcW w:w="1050"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2026年市场活动-小微B2B</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市场部合同</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b2C</w:t>
            </w:r>
          </w:p>
        </w:tc>
        <w:tc>
          <w:tcPr>
            <w:tcW w:w="1050"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2026年市场活动-小微B2C</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渠道政策合同</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b2b</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底价模式</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2026年新合同-底价S</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渠道政策合同</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b2b</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底价模式</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2026年新合同-底价A</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渠道政策合同</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b2b</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底价模式</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2026年新合同-底价B</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渠道政策合同</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b2b</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底价模式</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2026年新合同-底价C</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渠道政策合同</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b2b</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分佣模式</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2026年新合同-分佣S</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渠道政策合同</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b2b</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分佣模式</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2026年新合同-分佣A</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渠道政策合同</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b2b</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分佣模式</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2026年新合同-分佣B</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渠道政策合同</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b2b</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分佣模式</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2026年新合同-分佣C</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渠道政策合同</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b2b</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分佣模式</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2026年新合同-分佣D</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自定义</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渠道政策合同</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b2b</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底价模式</w:t>
            </w:r>
          </w:p>
        </w:tc>
        <w:tc>
          <w:tcPr>
            <w:tcW w:w="1050" w:type="dxa"/>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2026年新合同-底价自定义</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自定义</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渠道政策合同</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b2b</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分佣模式</w:t>
            </w:r>
          </w:p>
        </w:tc>
        <w:tc>
          <w:tcPr>
            <w:tcW w:w="1050" w:type="dxa"/>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2026年新合同-分佣自定义</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渠道政策合同</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b2C</w:t>
            </w:r>
          </w:p>
        </w:tc>
        <w:tc>
          <w:tcPr>
            <w:tcW w:w="1050"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2026年新合同- B2C</w:t>
            </w:r>
          </w:p>
        </w:tc>
      </w:tr>
    </w:tbl>
    <w:p>
      <w:pPr>
        <w:spacing w:before="120" w:after="120" w:line="288" w:lineRule="auto"/>
        <w:ind w:left="0" w:firstLine="0"/>
        <w:jc w:val="left"/>
      </w:pPr>
      <w:r>
        <w:rPr>
          <w:rFonts w:eastAsia="等线" w:ascii="Arial" w:cs="Arial" w:hAnsi="Arial"/>
          <w:sz w:val="22"/>
        </w:rPr>
        <w:t>4、选中业务分类后，根据契约锁中该业务分类合同模版内需要填写参数，系统渲染界面填写信息</w:t>
      </w:r>
    </w:p>
    <w:p>
      <w:pPr>
        <w:spacing w:before="120" w:after="120" w:line="288" w:lineRule="auto"/>
        <w:ind w:left="0" w:firstLine="0"/>
        <w:jc w:val="left"/>
      </w:pPr>
      <w:r>
        <w:rPr>
          <w:rFonts w:eastAsia="等线" w:ascii="Arial" w:cs="Arial" w:hAnsi="Arial"/>
          <w:sz w:val="22"/>
        </w:rPr>
        <w:t>5、对于标准合同，其参数和CRM渠道系统中信息的对应逻辑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955"/>
        <w:gridCol w:w="5325"/>
      </w:tblGrid>
      <w:tr>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w:t>
            </w:r>
          </w:p>
        </w:tc>
        <w:tc>
          <w:tcPr>
            <w:tcW w:w="5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CRM系统对应信息</w:t>
            </w:r>
          </w:p>
        </w:tc>
      </w:tr>
      <w:tr>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甲方授权代表</w:t>
            </w:r>
          </w:p>
        </w:tc>
        <w:tc>
          <w:tcPr>
            <w:tcW w:w="5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渠道负责人（发起人）</w:t>
            </w:r>
          </w:p>
        </w:tc>
      </w:tr>
      <w:tr>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甲方联系人</w:t>
            </w:r>
          </w:p>
        </w:tc>
        <w:tc>
          <w:tcPr>
            <w:tcW w:w="5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渠道负责人</w:t>
            </w:r>
          </w:p>
        </w:tc>
      </w:tr>
      <w:tr>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甲方联系电话</w:t>
            </w:r>
          </w:p>
        </w:tc>
        <w:tc>
          <w:tcPr>
            <w:tcW w:w="5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渠道负责人手机号码（都是内部用户，需要拉取飞书手机号码）</w:t>
            </w:r>
          </w:p>
        </w:tc>
      </w:tr>
      <w:tr>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乙方（公司名/个人）</w:t>
            </w:r>
          </w:p>
        </w:tc>
        <w:tc>
          <w:tcPr>
            <w:tcW w:w="5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渠道商名称</w:t>
            </w:r>
          </w:p>
        </w:tc>
      </w:tr>
      <w:tr>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乙方法定代表人/负责人</w:t>
            </w:r>
          </w:p>
        </w:tc>
        <w:tc>
          <w:tcPr>
            <w:tcW w:w="5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个人：渠道商名称</w:t>
            </w:r>
          </w:p>
        </w:tc>
      </w:tr>
      <w:tr>
        <w:tc>
          <w:tcPr>
            <w:tcW w:w="2955" w:type="dxa"/>
            <w:tcMar>
              <w:top w:type="dxa" w:w="60"/>
              <w:left w:type="dxa" w:w="120"/>
              <w:bottom w:type="dxa" w:w="30"/>
              <w:right w:type="dxa" w:w="120"/>
            </w:tcMar>
          </w:tcPr>
          <w:p>
            <w:pPr>
              <w:spacing w:before="120" w:after="120" w:line="288" w:lineRule="auto"/>
              <w:ind w:left="0"/>
              <w:jc w:val="left"/>
            </w:pPr>
          </w:p>
        </w:tc>
        <w:tc>
          <w:tcPr>
            <w:tcW w:w="5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公司：联系人姓名</w:t>
            </w:r>
          </w:p>
        </w:tc>
      </w:tr>
      <w:tr>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乙方授权代表</w:t>
            </w:r>
          </w:p>
        </w:tc>
        <w:tc>
          <w:tcPr>
            <w:tcW w:w="5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个人：渠道商名称</w:t>
            </w:r>
          </w:p>
        </w:tc>
      </w:tr>
      <w:tr>
        <w:tc>
          <w:tcPr>
            <w:tcW w:w="2955" w:type="dxa"/>
            <w:tcMar>
              <w:top w:type="dxa" w:w="60"/>
              <w:left w:type="dxa" w:w="120"/>
              <w:bottom w:type="dxa" w:w="30"/>
              <w:right w:type="dxa" w:w="120"/>
            </w:tcMar>
          </w:tcPr>
          <w:p>
            <w:pPr>
              <w:spacing w:before="120" w:after="120" w:line="288" w:lineRule="auto"/>
              <w:ind w:left="0"/>
              <w:jc w:val="left"/>
            </w:pPr>
          </w:p>
        </w:tc>
        <w:tc>
          <w:tcPr>
            <w:tcW w:w="5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公司：联系人姓名</w:t>
            </w:r>
          </w:p>
        </w:tc>
      </w:tr>
      <w:tr>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乙方统一社会信用代码/身份证号码</w:t>
            </w:r>
          </w:p>
        </w:tc>
        <w:tc>
          <w:tcPr>
            <w:tcW w:w="5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个人：身份证号码</w:t>
            </w:r>
          </w:p>
        </w:tc>
      </w:tr>
      <w:tr>
        <w:tc>
          <w:tcPr>
            <w:tcW w:w="2955" w:type="dxa"/>
            <w:tcMar>
              <w:top w:type="dxa" w:w="60"/>
              <w:left w:type="dxa" w:w="120"/>
              <w:bottom w:type="dxa" w:w="30"/>
              <w:right w:type="dxa" w:w="120"/>
            </w:tcMar>
          </w:tcPr>
          <w:p>
            <w:pPr>
              <w:spacing w:before="120" w:after="120" w:line="288" w:lineRule="auto"/>
              <w:ind w:left="0"/>
              <w:jc w:val="left"/>
            </w:pPr>
          </w:p>
        </w:tc>
        <w:tc>
          <w:tcPr>
            <w:tcW w:w="5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公司：社会信用代码</w:t>
            </w:r>
          </w:p>
        </w:tc>
      </w:tr>
      <w:tr>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乙方地址</w:t>
            </w:r>
          </w:p>
        </w:tc>
        <w:tc>
          <w:tcPr>
            <w:tcW w:w="5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地址：新增的时候增加，需要用省市区的地址库组建。</w:t>
            </w:r>
          </w:p>
        </w:tc>
      </w:tr>
      <w:tr>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乙方联系电话</w:t>
            </w:r>
          </w:p>
        </w:tc>
        <w:tc>
          <w:tcPr>
            <w:tcW w:w="5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取手机号码</w:t>
            </w:r>
          </w:p>
        </w:tc>
      </w:tr>
      <w:tr>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乙方邮箱</w:t>
            </w:r>
          </w:p>
        </w:tc>
        <w:tc>
          <w:tcPr>
            <w:tcW w:w="5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取注册时的邮箱</w:t>
            </w:r>
          </w:p>
        </w:tc>
      </w:tr>
      <w:tr>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乙方结算账户名称</w:t>
            </w:r>
          </w:p>
        </w:tc>
        <w:tc>
          <w:tcPr>
            <w:tcW w:w="5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手填</w:t>
            </w:r>
          </w:p>
        </w:tc>
      </w:tr>
      <w:tr>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乙方结算账户名称</w:t>
            </w:r>
          </w:p>
        </w:tc>
        <w:tc>
          <w:tcPr>
            <w:tcW w:w="5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手填</w:t>
            </w:r>
          </w:p>
        </w:tc>
      </w:tr>
      <w:tr>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乙方结算账户名称</w:t>
            </w:r>
          </w:p>
        </w:tc>
        <w:tc>
          <w:tcPr>
            <w:tcW w:w="5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手填</w:t>
            </w:r>
          </w:p>
        </w:tc>
      </w:tr>
      <w:tr>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乙方结算账户名称</w:t>
            </w:r>
          </w:p>
        </w:tc>
        <w:tc>
          <w:tcPr>
            <w:tcW w:w="5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手填</w:t>
            </w:r>
          </w:p>
        </w:tc>
      </w:tr>
      <w:tr>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签署日期1</w:t>
            </w:r>
          </w:p>
        </w:tc>
        <w:tc>
          <w:tcPr>
            <w:tcW w:w="5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手填</w:t>
            </w:r>
          </w:p>
        </w:tc>
      </w:tr>
      <w:tr>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生效日期</w:t>
            </w:r>
          </w:p>
        </w:tc>
        <w:tc>
          <w:tcPr>
            <w:tcW w:w="5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同签署日期</w:t>
            </w:r>
          </w:p>
        </w:tc>
      </w:tr>
      <w:tr>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到期日期</w:t>
            </w:r>
          </w:p>
        </w:tc>
        <w:tc>
          <w:tcPr>
            <w:tcW w:w="5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生效日期365默认，可往后调整</w:t>
            </w:r>
          </w:p>
        </w:tc>
      </w:tr>
      <w:tr>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签署日期2</w:t>
            </w:r>
          </w:p>
        </w:tc>
        <w:tc>
          <w:tcPr>
            <w:tcW w:w="5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同签署日期</w:t>
            </w:r>
          </w:p>
        </w:tc>
      </w:tr>
    </w:tbl>
    <w:p>
      <w:pPr>
        <w:spacing w:before="120" w:after="120" w:line="288" w:lineRule="auto"/>
        <w:ind w:left="0" w:firstLine="0"/>
        <w:jc w:val="left"/>
      </w:pPr>
      <w:r>
        <w:rPr>
          <w:rFonts w:eastAsia="等线" w:ascii="Arial" w:cs="Arial" w:hAnsi="Arial"/>
          <w:sz w:val="22"/>
        </w:rPr>
        <w:t>对于自定义底价合同， 还需要提供如下表中的14个参数：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30"/>
        <w:gridCol w:w="2430"/>
        <w:gridCol w:w="1830"/>
      </w:tblGrid>
      <w:tr>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适用国家地区</w:t>
            </w:r>
          </w:p>
        </w:tc>
        <w:tc>
          <w:tcPr>
            <w:tcW w:w="24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出账手续费基准价</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汇率分佣比例</w:t>
            </w:r>
          </w:p>
        </w:tc>
      </w:tr>
      <w:tr>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印度尼西亚</w:t>
            </w:r>
          </w:p>
        </w:tc>
        <w:tc>
          <w:tcPr>
            <w:tcW w:w="24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id-base</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id-fx</w:t>
            </w:r>
          </w:p>
        </w:tc>
      </w:tr>
      <w:tr>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泰国</w:t>
            </w:r>
          </w:p>
        </w:tc>
        <w:tc>
          <w:tcPr>
            <w:tcW w:w="24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th-base</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th-fx</w:t>
            </w:r>
          </w:p>
        </w:tc>
      </w:tr>
      <w:tr>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马来西亚</w:t>
            </w:r>
          </w:p>
        </w:tc>
        <w:tc>
          <w:tcPr>
            <w:tcW w:w="24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my-base</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my-fx</w:t>
            </w:r>
          </w:p>
        </w:tc>
      </w:tr>
      <w:tr>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菲律宾</w:t>
            </w:r>
          </w:p>
        </w:tc>
        <w:tc>
          <w:tcPr>
            <w:tcW w:w="24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ph-base</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ph-fx</w:t>
            </w:r>
          </w:p>
        </w:tc>
      </w:tr>
      <w:tr>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离岸人民币</w:t>
            </w:r>
          </w:p>
        </w:tc>
        <w:tc>
          <w:tcPr>
            <w:tcW w:w="24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cnh-base</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cnh-fx</w:t>
            </w:r>
          </w:p>
        </w:tc>
      </w:tr>
      <w:tr>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香港全球收</w:t>
            </w:r>
          </w:p>
        </w:tc>
        <w:tc>
          <w:tcPr>
            <w:tcW w:w="24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hk-base</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hk-fx</w:t>
            </w:r>
          </w:p>
        </w:tc>
      </w:tr>
      <w:tr>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越南</w:t>
            </w:r>
          </w:p>
        </w:tc>
        <w:tc>
          <w:tcPr>
            <w:tcW w:w="24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vn-base</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vn-fx</w:t>
            </w:r>
          </w:p>
        </w:tc>
      </w:tr>
    </w:tbl>
    <w:p>
      <w:pPr>
        <w:spacing w:before="120" w:after="120" w:line="288" w:lineRule="auto"/>
        <w:ind w:left="0" w:firstLine="0"/>
        <w:jc w:val="left"/>
      </w:pPr>
      <w:r>
        <w:rPr>
          <w:rFonts w:eastAsia="等线" w:ascii="Arial" w:cs="Arial" w:hAnsi="Arial"/>
          <w:sz w:val="22"/>
        </w:rPr>
        <w:t>对于自定义分佣合同， 还需要提供如下表中的14个参数：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30"/>
        <w:gridCol w:w="2730"/>
        <w:gridCol w:w="1830"/>
      </w:tblGrid>
      <w:tr>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适用国家地区</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出账手续费分佣比例</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汇率分佣比例</w:t>
            </w:r>
          </w:p>
        </w:tc>
      </w:tr>
      <w:tr>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印度尼西亚</w:t>
            </w:r>
          </w:p>
        </w:tc>
        <w:tc>
          <w:tcPr>
            <w:tcW w:w="27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id-rate</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id-fx</w:t>
            </w:r>
          </w:p>
        </w:tc>
      </w:tr>
      <w:tr>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泰国</w:t>
            </w:r>
          </w:p>
        </w:tc>
        <w:tc>
          <w:tcPr>
            <w:tcW w:w="27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th-rate</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th-fx</w:t>
            </w:r>
          </w:p>
        </w:tc>
      </w:tr>
      <w:tr>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马来西亚</w:t>
            </w:r>
          </w:p>
        </w:tc>
        <w:tc>
          <w:tcPr>
            <w:tcW w:w="27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my-rate</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my-fx</w:t>
            </w:r>
          </w:p>
        </w:tc>
      </w:tr>
      <w:tr>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菲律宾</w:t>
            </w:r>
          </w:p>
        </w:tc>
        <w:tc>
          <w:tcPr>
            <w:tcW w:w="27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ph-rate</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ph-fx</w:t>
            </w:r>
          </w:p>
        </w:tc>
      </w:tr>
      <w:tr>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离岸人民币</w:t>
            </w:r>
          </w:p>
        </w:tc>
        <w:tc>
          <w:tcPr>
            <w:tcW w:w="27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cnh-rate</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cnh-fx</w:t>
            </w:r>
          </w:p>
        </w:tc>
      </w:tr>
      <w:tr>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香港全球收</w:t>
            </w:r>
          </w:p>
        </w:tc>
        <w:tc>
          <w:tcPr>
            <w:tcW w:w="27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hk-rate</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hk-fx</w:t>
            </w:r>
          </w:p>
        </w:tc>
      </w:tr>
      <w:tr>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越南</w:t>
            </w:r>
          </w:p>
        </w:tc>
        <w:tc>
          <w:tcPr>
            <w:tcW w:w="27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vn-rate</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vn-fx</w:t>
            </w:r>
          </w:p>
        </w:tc>
      </w:tr>
    </w:tbl>
    <w:p>
      <w:pPr>
        <w:numPr>
          <w:numId w:val="4"/>
        </w:numPr>
        <w:spacing w:before="120" w:after="120" w:line="288" w:lineRule="auto"/>
        <w:ind w:left="0"/>
        <w:jc w:val="left"/>
      </w:pPr>
      <w:r>
        <w:rPr>
          <w:rFonts w:eastAsia="等线" w:ascii="Arial" w:cs="Arial" w:hAnsi="Arial"/>
          <w:sz w:val="22"/>
        </w:rPr>
        <w:t xml:space="preserve"> 根据所填写的信息可预览生成合同，确认后发起审批，审批目前采用契约所配置的审批流</w:t>
      </w:r>
    </w:p>
    <w:p>
      <w:pPr>
        <w:spacing w:before="120" w:after="120" w:line="288" w:lineRule="auto"/>
        <w:ind w:left="0" w:firstLine="0"/>
        <w:jc w:val="left"/>
      </w:pPr>
      <w:r>
        <w:rPr>
          <w:rFonts w:eastAsia="等线" w:ascii="Arial" w:cs="Arial" w:hAnsi="Arial"/>
          <w:sz w:val="22"/>
        </w:rPr>
        <w:t>7、合同需要有详情页面，将之前收集以及填写的信息都记录，合同发起后，参数信息都不允许修改</w:t>
      </w:r>
    </w:p>
    <w:p>
      <w:pPr>
        <w:spacing w:before="120" w:after="120" w:line="288" w:lineRule="auto"/>
        <w:ind w:left="0" w:firstLine="0"/>
        <w:jc w:val="left"/>
      </w:pPr>
      <w:r>
        <w:rPr>
          <w:rFonts w:eastAsia="等线" w:ascii="Arial" w:cs="Arial" w:hAnsi="Arial"/>
          <w:sz w:val="22"/>
        </w:rPr>
        <w:t>8、合同列表时需要展现合同状态(状态通过契约锁更新）</w:t>
      </w:r>
    </w:p>
    <w:p>
      <w:pPr>
        <w:spacing w:before="120" w:after="120" w:line="288" w:lineRule="auto"/>
        <w:ind w:left="0"/>
        <w:jc w:val="left"/>
      </w:pPr>
      <w:r>
        <w:rPr>
          <w:rFonts w:eastAsia="等线" w:ascii="Arial" w:cs="Arial" w:hAnsi="Arial"/>
          <w:sz w:val="22"/>
        </w:rPr>
        <w:t>9、方案类型为标准的合同，在合同模版中会有以下信息，这些信息写死在模版中，不需要参数传递，但是这些信息需要保存在合同记录中，合同详情需要展示</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pPr>
      <w:r>
        <w:object>
          <v:shape id="_x0000_i1026" style="width:414pt;height:19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王旭 4105"/>
          <v:fill opacity="0.3"/>
        </v:shape>
      </w:pict>
    </w:r>
  </w:p>
</w:hdr>
</file>

<file path=word/numbering.xml><?xml version="1.0" encoding="utf-8"?>
<w:numbering xmlns:w="http://schemas.openxmlformats.org/wordprocessingml/2006/main">
  <w:abstractNum w:abstractNumId="331084">
    <w:lvl>
      <w:start w:val="1"/>
      <w:numFmt w:val="decimal"/>
      <w:suff w:val="tab"/>
      <w:lvlText w:val="%1."/>
      <w:rPr>
        <w:color w:val="3370ff"/>
      </w:rPr>
    </w:lvl>
  </w:abstractNum>
  <w:abstractNum w:abstractNumId="331085">
    <w:lvl>
      <w:start w:val="2"/>
      <w:numFmt w:val="decimal"/>
      <w:suff w:val="tab"/>
      <w:lvlText w:val="%1."/>
      <w:rPr>
        <w:color w:val="3370ff"/>
      </w:rPr>
    </w:lvl>
  </w:abstractNum>
  <w:abstractNum w:abstractNumId="331086">
    <w:lvl>
      <w:start w:val="3"/>
      <w:numFmt w:val="decimal"/>
      <w:suff w:val="tab"/>
      <w:lvlText w:val="%1."/>
      <w:rPr>
        <w:color w:val="3370ff"/>
      </w:rPr>
    </w:lvl>
  </w:abstractNum>
  <w:abstractNum w:abstractNumId="331087">
    <w:lvl>
      <w:start w:val="6"/>
      <w:numFmt w:val="decimal"/>
      <w:suff w:val="tab"/>
      <w:lvlText w:val="%1."/>
      <w:rPr>
        <w:color w:val="3370ff"/>
      </w:rPr>
    </w:lvl>
  </w:abstractNum>
  <w:num w:numId="1">
    <w:abstractNumId w:val="331084"/>
  </w:num>
  <w:num w:numId="2">
    <w:abstractNumId w:val="331085"/>
  </w:num>
  <w:num w:numId="3">
    <w:abstractNumId w:val="331086"/>
  </w:num>
  <w:num w:numId="4">
    <w:abstractNumId w:val="33108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2026-03-26T08:38:35Z</dcterms:created>
  <dc:creator>Apache POI</dc:creator>
</cp:coreProperties>
</file>