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240" w:lineRule="auto"/>
        <w:jc w:val="center"/>
        <w:rPr/>
      </w:pPr>
      <w:r w:rsidDel="00000000" w:rsidR="00000000" w:rsidRPr="00000000">
        <w:rPr>
          <w:rFonts w:ascii="Times New Roman" w:cs="Times New Roman" w:eastAsia="Times New Roman" w:hAnsi="Times New Roman"/>
          <w:b w:val="1"/>
          <w:bCs w:val="1"/>
          <w:sz w:val="32"/>
          <w:szCs w:val="32"/>
          <w:rtl w:val="0"/>
        </w:rPr>
        <w:t xml:space="preserve">UICPI: A Method for Collecting Chain and Independent Restaurant Prices at Scale, with Evidence from the United States</w:t>
      </w:r>
      <w:r w:rsidDel="00000000" w:rsidR="00000000" w:rsidRPr="00000000">
        <w:rPr>
          <w:rtl w:val="0"/>
        </w:rPr>
      </w:r>
    </w:p>
    <w:p w:rsidR="00000000" w:rsidDel="00000000" w:rsidP="00000000" w:rsidRDefault="00000000" w:rsidRPr="00000000" w14:paraId="00000002">
      <w:pPr>
        <w:spacing w:after="320" w:before="0" w:line="240" w:lineRule="auto"/>
        <w:jc w:val="center"/>
        <w:rPr/>
      </w:pPr>
      <w:r w:rsidDel="00000000" w:rsidR="00000000" w:rsidRPr="00000000">
        <w:rPr>
          <w:rFonts w:ascii="Times New Roman" w:cs="Times New Roman" w:eastAsia="Times New Roman" w:hAnsi="Times New Roman"/>
          <w:sz w:val="22"/>
          <w:szCs w:val="22"/>
          <w:rtl w:val="0"/>
        </w:rPr>
        <w:t xml:space="preserve">Wen Chen 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3">
      <w:pPr>
        <w:spacing w:after="0" w:before="20" w:line="240" w:lineRule="auto"/>
        <w:ind w:firstLine="202"/>
        <w:jc w:val="both"/>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—Consumer price indices in developing economies rely on infrequent collection, and algorithmic alternatives like the MIT Billion Prices Project exclude food-service prices entirely. We present a method for collecting restaurant menu prices from Wayback Machine archives and live delivery platforms, and use them to construct a Unified Independent-Chain Price Index (UICPI) across eight countries (48,730 observations, 2018–June 2026). Applied to the United States (n=31), UICPI Granger-leads headline CPI at an exact one-month calendar lag (F(1,28)=4.20, analytic p=0.0499; permutation p=0.052–0.069) — the most numerically interesting result in the panel, not a validated finding, given the narrow margin and an unadjusted ~14% multiple-testing rate across three clean country tests. India (n=47) and Malaysia (n=30), the panel's other genuine tests on real monthly CPI, return clean nulls (p=0.474, p=0.742), arguing against generalizing the US result. The contribution is chiefly methodological: a publicly available, auditable pipeline for chain and independent-vendor food-price collection at scale.</w:t>
      </w:r>
      <w:r w:rsidDel="00000000" w:rsidR="00000000" w:rsidRPr="00000000">
        <w:rPr>
          <w:rtl w:val="0"/>
        </w:rPr>
      </w:r>
    </w:p>
    <w:p w:rsidR="00000000" w:rsidDel="00000000" w:rsidP="00000000" w:rsidRDefault="00000000" w:rsidRPr="00000000" w14:paraId="00000004">
      <w:pPr>
        <w:keepNext w:val="1"/>
        <w:spacing w:after="80" w:before="240" w:line="240" w:lineRule="auto"/>
        <w:jc w:val="center"/>
        <w:rPr/>
      </w:pPr>
      <w:r w:rsidDel="00000000" w:rsidR="00000000" w:rsidRPr="00000000">
        <w:rPr>
          <w:rFonts w:ascii="Times New Roman" w:cs="Times New Roman" w:eastAsia="Times New Roman" w:hAnsi="Times New Roman"/>
          <w:smallCaps w:val="1"/>
          <w:sz w:val="20"/>
          <w:szCs w:val="20"/>
          <w:rtl w:val="0"/>
        </w:rPr>
        <w:t xml:space="preserve">I. Methods</w:t>
      </w:r>
      <w:r w:rsidDel="00000000" w:rsidR="00000000" w:rsidRPr="00000000">
        <w:rPr>
          <w:rtl w:val="0"/>
        </w:rPr>
      </w:r>
    </w:p>
    <w:p w:rsidR="00000000" w:rsidDel="00000000" w:rsidP="00000000" w:rsidRDefault="00000000" w:rsidRPr="00000000" w14:paraId="00000005">
      <w:pPr>
        <w:keepNext w:val="1"/>
        <w:spacing w:after="60" w:before="120" w:line="240" w:lineRule="auto"/>
        <w:ind w:left="144" w:firstLine="0"/>
        <w:rPr/>
      </w:pPr>
      <w:r w:rsidDel="00000000" w:rsidR="00000000" w:rsidRPr="00000000">
        <w:rPr>
          <w:rFonts w:ascii="Times New Roman" w:cs="Times New Roman" w:eastAsia="Times New Roman" w:hAnsi="Times New Roman"/>
          <w:i w:val="1"/>
          <w:iCs w:val="1"/>
          <w:sz w:val="20"/>
          <w:szCs w:val="20"/>
          <w:rtl w:val="0"/>
        </w:rPr>
        <w:t xml:space="preserve">Data Collection</w:t>
      </w:r>
      <w:r w:rsidDel="00000000" w:rsidR="00000000" w:rsidRPr="00000000">
        <w:rPr>
          <w:rtl w:val="0"/>
        </w:rPr>
      </w:r>
    </w:p>
    <w:p w:rsidR="00000000" w:rsidDel="00000000" w:rsidP="00000000" w:rsidRDefault="00000000" w:rsidRPr="00000000" w14:paraId="00000006">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We assembled an eight-country panel (United States, United Kingdom, Malaysia, Singapore, India, Indonesia, Australia, Thailand) of restaurant menu prices from two sources: (1) a Wayback Machine historical sweep, querying the Internet Archive's CDX index for archived menu pages on delivery and restaurant-listing platforms (GrabFood, Deliveroo, Menulog, Zomato) and the MenuPages US menu directory, with prices extracted via platform-specific parsers matched to each site's HTML structure (Schema.org JSON-LD, Next.js embedded state, DOM markers, or embedded JSON, depending on platform vintage); and (2) live forward collection via a scheduled, Playwright-driven scraper. Before any Wayback sweep, a Phase 0 probe of the CDX index checks each candidate (source, country) pair for archive coverage, price-token density, and bot-blocking; pairs that fail (e.g., iFood Brazil, ShopeeFood Indonesia) are logged and excluded rather than swept. A common failure is a page archived as an empty application shell, with menu prices loaded afterwards by API calls that the archive does not capture. The panel totals 48,730 price observations (snapshot of 2026-06-19) spanning 2018 to June 2026, unevenly distributed across countries.</w:t>
      </w:r>
      <w:r w:rsidDel="00000000" w:rsidR="00000000" w:rsidRPr="00000000">
        <w:rPr>
          <w:rtl w:val="0"/>
        </w:rPr>
      </w:r>
    </w:p>
    <w:p w:rsidR="00000000" w:rsidDel="00000000" w:rsidP="00000000" w:rsidRDefault="00000000" w:rsidRPr="00000000" w14:paraId="00000007">
      <w:pPr>
        <w:keepNext w:val="1"/>
        <w:spacing w:after="60" w:before="120" w:line="240" w:lineRule="auto"/>
        <w:ind w:left="144" w:firstLine="0"/>
        <w:rPr/>
      </w:pPr>
      <w:r w:rsidDel="00000000" w:rsidR="00000000" w:rsidRPr="00000000">
        <w:rPr>
          <w:rFonts w:ascii="Times New Roman" w:cs="Times New Roman" w:eastAsia="Times New Roman" w:hAnsi="Times New Roman"/>
          <w:i w:val="1"/>
          <w:iCs w:val="1"/>
          <w:sz w:val="20"/>
          <w:szCs w:val="20"/>
          <w:rtl w:val="0"/>
        </w:rPr>
        <w:t xml:space="preserve">Index Construction</w:t>
      </w:r>
      <w:r w:rsidDel="00000000" w:rsidR="00000000" w:rsidRPr="00000000">
        <w:rPr>
          <w:rtl w:val="0"/>
        </w:rPr>
      </w:r>
    </w:p>
    <w:p w:rsidR="00000000" w:rsidDel="00000000" w:rsidP="00000000" w:rsidRDefault="00000000" w:rsidRPr="00000000" w14:paraId="00000008">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For each country-month, prices are converted to USD, capped at 300 rows per (country, year_month) to prevent dense months from dominating the aggregate, and combined by taking the median price per restaurant, then the median of restaurant medians. The index level is the geometric mean of category relatives, based at 100 in the first month with adequate coverage. Chain and independent-vendor sub-indices are computed separately and combined into a headline series. Delivery-platform data from DoorDash is collected but excluded from index construction, on the premise that platform-specific pricing (surge, promotions, fees) differs from menu pricing. In a source-stratified contrast under the earlier (pre-respec) AIC-selected VAR specification, pooling DoorDash data (which also lengthens the overlap window) removed the US signal; this has not been re-verified under the calendar-true specification, and the premise is not tested here.</w:t>
      </w:r>
      <w:r w:rsidDel="00000000" w:rsidR="00000000" w:rsidRPr="00000000">
        <w:rPr>
          <w:rtl w:val="0"/>
        </w:rPr>
      </w:r>
    </w:p>
    <w:p w:rsidR="00000000" w:rsidDel="00000000" w:rsidP="00000000" w:rsidRDefault="00000000" w:rsidRPr="00000000" w14:paraId="00000009">
      <w:pPr>
        <w:keepNext w:val="1"/>
        <w:spacing w:after="60" w:before="120" w:line="240" w:lineRule="auto"/>
        <w:ind w:left="144" w:firstLine="0"/>
        <w:rPr/>
      </w:pPr>
      <w:r w:rsidDel="00000000" w:rsidR="00000000" w:rsidRPr="00000000">
        <w:rPr>
          <w:rFonts w:ascii="Times New Roman" w:cs="Times New Roman" w:eastAsia="Times New Roman" w:hAnsi="Times New Roman"/>
          <w:i w:val="1"/>
          <w:iCs w:val="1"/>
          <w:sz w:val="20"/>
          <w:szCs w:val="20"/>
          <w:rtl w:val="0"/>
        </w:rPr>
        <w:t xml:space="preserve">Analysis</w:t>
      </w:r>
      <w:r w:rsidDel="00000000" w:rsidR="00000000" w:rsidRPr="00000000">
        <w:rPr>
          <w:rtl w:val="0"/>
        </w:rPr>
      </w:r>
    </w:p>
    <w:p w:rsidR="00000000" w:rsidDel="00000000" w:rsidP="00000000" w:rsidRDefault="00000000" w:rsidRPr="00000000" w14:paraId="0000000A">
      <w:pPr>
        <w:spacing w:after="120" w:before="0" w:line="228" w:lineRule="auto"/>
        <w:ind w:firstLine="288"/>
        <w:jc w:val="both"/>
        <w:rPr/>
      </w:pPr>
      <w:sdt>
        <w:sdtPr>
          <w:id w:val="1511135675"/>
          <w:tag w:val="goog_rdk_0"/>
        </w:sdtPr>
        <w:sdtContent>
          <w:r w:rsidDel="00000000" w:rsidR="00000000" w:rsidRPr="00000000">
            <w:rPr>
              <w:rFonts w:ascii="Gungsuh" w:cs="Gungsuh" w:eastAsia="Gungsuh" w:hAnsi="Gungsuh"/>
              <w:sz w:val="20"/>
              <w:szCs w:val="20"/>
              <w:rtl w:val="0"/>
            </w:rPr>
            <w:t xml:space="preserve">For each country with at least 24 overlapping monthly observations against national CPI, we test whether UICPI Granger-leads CPI, following Cavallo and Rigobon [1]. For the United States we use a calendar-true, fixed one-month-lag specification — CPI_chg(t) ~ CPI_chg(t−1) + UICPI(t−1) — rather than AIC-based lag selection, so the theoretically motivated one-month lag is tested directly; significance is assessed via an analytic F-test and two permutation designs (naive shuffle and circular block, the latter preserving the serial dependence a Granger test on monthly data relies on). UICPI enters in levels because an augmented Dickey–Fuller test rejects a unit root in the US series; CPI enters as its month-over-month change. India and Malaysia, like the US and UK, have monthly-published CPI (Singapore, Indonesia and Thailand rely on annually-interpolated World Bank CPI, and Australia on quarterly-interpolated CPI), and receive standard Granger tests. The remaining countries are not yet tested because they fall below the 24-month threshold (United Kingdom 18, Australia 23, Indonesia 20, Singapore 8, Thailand 0), a sample-size limit rather than an exclusion by CPI type.</w:t>
          </w:r>
        </w:sdtContent>
      </w:sdt>
      <w:r w:rsidDel="00000000" w:rsidR="00000000" w:rsidRPr="00000000">
        <w:rPr>
          <w:rtl w:val="0"/>
        </w:rPr>
      </w:r>
    </w:p>
    <w:p w:rsidR="00000000" w:rsidDel="00000000" w:rsidP="00000000" w:rsidRDefault="00000000" w:rsidRPr="00000000" w14:paraId="0000000B">
      <w:pPr>
        <w:keepNext w:val="1"/>
        <w:spacing w:after="80" w:before="240" w:line="240" w:lineRule="auto"/>
        <w:jc w:val="center"/>
        <w:rPr/>
      </w:pPr>
      <w:r w:rsidDel="00000000" w:rsidR="00000000" w:rsidRPr="00000000">
        <w:rPr>
          <w:rFonts w:ascii="Times New Roman" w:cs="Times New Roman" w:eastAsia="Times New Roman" w:hAnsi="Times New Roman"/>
          <w:smallCaps w:val="1"/>
          <w:sz w:val="20"/>
          <w:szCs w:val="20"/>
          <w:rtl w:val="0"/>
        </w:rPr>
        <w:t xml:space="preserve">II. Results &amp; Discussion</w:t>
      </w:r>
      <w:r w:rsidDel="00000000" w:rsidR="00000000" w:rsidRPr="00000000">
        <w:rPr>
          <w:rtl w:val="0"/>
        </w:rPr>
      </w:r>
    </w:p>
    <w:p w:rsidR="00000000" w:rsidDel="00000000" w:rsidP="00000000" w:rsidRDefault="00000000" w:rsidRPr="00000000" w14:paraId="0000000C">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The headline result is the United States: over 31 overlapping months between 2018-04 and 2024-10, UICPI Granger-leads CPI at exactly one month (F(1,28)=4.20, analytic p=0.0499; Fig. 1). Both permutation checks land in the same narrow band (shuffle p=0.052; circular block p=0.069, the more appropriate check given monthly serial dependence), so none of the three tests is a clean rejection of independence, and the result should be read as suggestive rather than confirmatory. It strengthens under a causal forward-fill robustness check that uses only past information to fill single-month gaps (F(1,35)=9.05, p=0.0048, n=38). The finding is a timing signal only — UICPI changes precede CPI changes by one month — with no claim made about the magnitude of the eventual CPI movement.</w:t>
      </w:r>
      <w:r w:rsidDel="00000000" w:rsidR="00000000" w:rsidRPr="00000000">
        <w:rPr>
          <w:rtl w:val="0"/>
        </w:rPr>
      </w:r>
    </w:p>
    <w:p w:rsidR="00000000" w:rsidDel="00000000" w:rsidP="00000000" w:rsidRDefault="00000000" w:rsidRPr="00000000" w14:paraId="0000000D">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India (n=47) and Malaysia (n=30), the panel's other two countries with real monthly CPI and sufficient overlap, return clean nulls (F=0.521, p=0.474; F=0.111, p=0.742). The India null is especially informative given its sample size and stationarity: it suggests the menu-to-CPI channel is not universal, plausibly because Indian CPI weighting emphasizes staples subject to monsoon and procurement-policy pricing rather than restaurant repricing, and because the Indian series is restaurant-aggregate (Zomato “cost for two”), not item-level, which may smooth the high-frequency variation the US result depends on.</w:t>
      </w:r>
      <w:r w:rsidDel="00000000" w:rsidR="00000000" w:rsidRPr="00000000">
        <w:rPr>
          <w:rtl w:val="0"/>
        </w:rPr>
      </w:r>
    </w:p>
    <w:p w:rsidR="00000000" w:rsidDel="00000000" w:rsidP="00000000" w:rsidRDefault="00000000" w:rsidRPr="00000000" w14:paraId="0000000E">
      <w:pPr>
        <w:spacing w:after="120" w:before="0" w:line="228" w:lineRule="auto"/>
        <w:ind w:firstLine="288"/>
        <w:jc w:val="both"/>
        <w:rPr/>
      </w:pPr>
      <w:sdt>
        <w:sdtPr>
          <w:id w:val="2008035152"/>
          <w:tag w:val="goog_rdk_1"/>
        </w:sdtPr>
        <w:sdtContent>
          <w:r w:rsidDel="00000000" w:rsidR="00000000" w:rsidRPr="00000000">
            <w:rPr>
              <w:rFonts w:ascii="Gungsuh" w:cs="Gungsuh" w:eastAsia="Gungsuh" w:hAnsi="Gungsuh"/>
              <w:sz w:val="20"/>
              <w:szCs w:val="20"/>
              <w:rtl w:val="0"/>
            </w:rPr>
            <w:t xml:space="preserve">Three tests meet every condition this paper requires of a clean test: real monthly CPI, ≥24 overlapping months, reproducible statistics. Under a global null, the chance of observing at least one p≤0.05 among three independent tests is 1−0.95³≈14.3%; no multiplicity correction is applied, the US test was not pre-registered as the primary hypothesis, and 14.3% is the most favourable defensible accounting rather than a conservative one (counting the untested or withdrawn countries would raise it). The US result should therefore be read as the most numerically interesting result in the panel, not as one demonstrated to be distinguishable from chance. Table I summarizes the three tests.</w:t>
          </w:r>
        </w:sdtContent>
      </w:sdt>
      <w:r w:rsidDel="00000000" w:rsidR="00000000" w:rsidRPr="00000000">
        <w:rPr>
          <w:rtl w:val="0"/>
        </w:rPr>
      </w:r>
    </w:p>
    <w:p w:rsidR="00000000" w:rsidDel="00000000" w:rsidP="00000000" w:rsidRDefault="00000000" w:rsidRPr="00000000" w14:paraId="0000000F">
      <w:pPr>
        <w:spacing w:after="40" w:before="120" w:line="240" w:lineRule="auto"/>
        <w:jc w:val="center"/>
        <w:rPr/>
      </w:pPr>
      <w:r w:rsidDel="00000000" w:rsidR="00000000" w:rsidRPr="00000000">
        <w:rPr>
          <w:rFonts w:ascii="Times New Roman" w:cs="Times New Roman" w:eastAsia="Times New Roman" w:hAnsi="Times New Roman"/>
          <w:smallCaps w:val="1"/>
          <w:sz w:val="16"/>
          <w:szCs w:val="16"/>
          <w:rtl w:val="0"/>
        </w:rPr>
        <w:t xml:space="preserve">TABLE I. Summary of the Three Qualifying Granger Tests</w:t>
      </w:r>
      <w:r w:rsidDel="00000000" w:rsidR="00000000" w:rsidRPr="00000000">
        <w:rPr>
          <w:rtl w:val="0"/>
        </w:rPr>
      </w:r>
    </w:p>
    <w:tbl>
      <w:tblPr>
        <w:tblStyle w:val="Table1"/>
        <w:tblW w:w="4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0"/>
        <w:gridCol w:w="500"/>
        <w:gridCol w:w="700"/>
        <w:gridCol w:w="900"/>
        <w:gridCol w:w="1550"/>
        <w:tblGridChange w:id="0">
          <w:tblGrid>
            <w:gridCol w:w="1050"/>
            <w:gridCol w:w="500"/>
            <w:gridCol w:w="700"/>
            <w:gridCol w:w="900"/>
            <w:gridCol w:w="155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10">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Country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11">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12">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13">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14">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5">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United States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Monthly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0.474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40.0" w:type="dxa"/>
              <w:bottom w:w="20.0" w:type="dxa"/>
              <w:right w:w="40.0" w:type="dxa"/>
            </w:tcMar>
          </w:tcPr>
          <w:p w:rsidR="00000000" w:rsidDel="00000000" w:rsidP="00000000" w:rsidRDefault="00000000" w:rsidRPr="00000000" w14:paraId="0000001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Monthly</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1F">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Malaysia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2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2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0.111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2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0.742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40.0" w:type="dxa"/>
              <w:bottom w:w="20.0" w:type="dxa"/>
              <w:right w:w="40.0" w:type="dxa"/>
            </w:tcMar>
          </w:tcPr>
          <w:p w:rsidR="00000000" w:rsidDel="00000000" w:rsidP="00000000" w:rsidRDefault="00000000" w:rsidRPr="00000000" w14:paraId="0000002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Monthly</w:t>
            </w:r>
            <w:r w:rsidDel="00000000" w:rsidR="00000000" w:rsidRPr="00000000">
              <w:rPr>
                <w:rtl w:val="0"/>
              </w:rPr>
            </w:r>
          </w:p>
        </w:tc>
      </w:tr>
    </w:tbl>
    <w:p w:rsidR="00000000" w:rsidDel="00000000" w:rsidP="00000000" w:rsidRDefault="00000000" w:rsidRPr="00000000" w14:paraId="00000024">
      <w:pPr>
        <w:spacing w:after="120" w:before="100" w:line="228" w:lineRule="auto"/>
        <w:ind w:firstLine="288"/>
        <w:jc w:val="both"/>
        <w:rPr/>
      </w:pPr>
      <w:r w:rsidDel="00000000" w:rsidR="00000000" w:rsidRPr="00000000">
        <w:rPr>
          <w:rFonts w:ascii="Times New Roman" w:cs="Times New Roman" w:eastAsia="Times New Roman" w:hAnsi="Times New Roman"/>
          <w:sz w:val="20"/>
          <w:szCs w:val="20"/>
          <w:rtl w:val="0"/>
        </w:rPr>
        <w:t xml:space="preserve">Three further caveats bound the interpretation. The Vietnam and UAE Wayback slices were found to be systematically mispriced (UAE: digit-fusion in archived price objects; Vietnam: an unconditional ÷100 of GrabFood’s priceInMinorUnit, which for VND already carries the raw amount) and were quarantined from the index; no statistic is reported for either country here. And the causal mechanism behind the US lead is ambiguous — labor-cost pass-through and shared exposure to energy-price shocks could each generate the observed sequencing without restaurant repricing being the causal driver of CPI, and the present design cannot separate these from a genuine food-price channel. Third, UICPI is tested here against headline CPI, but policymakers also monitor core measures that exclude food and energy as guides to underlying inflation, because those components are volatile. Detmeister [2] finds that the food-and-energy exclusion often performs worse out-of-sample than other underlying-inflation measures, while still defending it as a reasonable ex-ante convention. That a food-service index falls inside the excluded category is therefore not itself evidence that it carries no policy-relevant signal; testing UICPI against core CPI is left to future work.</w:t>
      </w:r>
      <w:r w:rsidDel="00000000" w:rsidR="00000000" w:rsidRPr="00000000">
        <w:rPr>
          <w:rtl w:val="0"/>
        </w:rPr>
      </w:r>
    </w:p>
    <w:p w:rsidR="00000000" w:rsidDel="00000000" w:rsidP="00000000" w:rsidRDefault="00000000" w:rsidRPr="00000000" w14:paraId="00000025">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Several measurement limitations also apply. Every price comes from an online source (an archive, a delivery platform, or a chain’s own website), so vendors that are not listed online are not observed, and platform listing skews toward chains and larger independents; the independent-vendor side of the index is therefore the less completely observed one. Coverage is also uneven partly because some platforms load menus after page render or block automated access, which archives cannot recover. Finally, the ±15% hedonic adjustment is a round-number placeholder chosen in the absence of a fitted hedonic regression, and its sensitivity has not been tested.</w:t>
      </w:r>
      <w:r w:rsidDel="00000000" w:rsidR="00000000" w:rsidRPr="00000000">
        <w:rPr>
          <w:rtl w:val="0"/>
        </w:rPr>
      </w:r>
    </w:p>
    <w:p w:rsidR="00000000" w:rsidDel="00000000" w:rsidP="00000000" w:rsidRDefault="00000000" w:rsidRPr="00000000" w14:paraId="00000026">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The panel's chief contribution is methodological — a reproducible, publicly available pipeline for chain and independent-vendor food-price collection — rather than the US result itself, which is a proof of concept awaiting replication as the United Kingdom — the only country on real monthly CPI still below the 24-month threshold — crosses it. Hand-collected price data from Singapore hawker centres, intended to observe independent vendors directly rather than through delivery-platform intermediaries, is being gathered in parallel but is not analysed here.</w:t>
      </w:r>
      <w:r w:rsidDel="00000000" w:rsidR="00000000" w:rsidRPr="00000000">
        <w:rPr>
          <w:rtl w:val="0"/>
        </w:rPr>
      </w:r>
    </w:p>
    <w:p w:rsidR="00000000" w:rsidDel="00000000" w:rsidP="00000000" w:rsidRDefault="00000000" w:rsidRPr="00000000" w14:paraId="00000027">
      <w:pPr>
        <w:spacing w:after="40" w:before="120" w:line="240" w:lineRule="auto"/>
        <w:jc w:val="center"/>
        <w:rPr/>
      </w:pPr>
      <w:r w:rsidDel="00000000" w:rsidR="00000000" w:rsidRPr="00000000">
        <w:rPr/>
        <w:drawing>
          <wp:inline distB="0" distT="0" distL="0" distR="0">
            <wp:extent cx="3000375" cy="2247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003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40" w:lineRule="auto"/>
        <w:jc w:val="center"/>
        <w:rPr/>
      </w:pPr>
      <w:r w:rsidDel="00000000" w:rsidR="00000000" w:rsidRPr="00000000">
        <w:rPr>
          <w:rFonts w:ascii="Times New Roman" w:cs="Times New Roman" w:eastAsia="Times New Roman" w:hAnsi="Times New Roman"/>
          <w:sz w:val="16"/>
          <w:szCs w:val="16"/>
          <w:rtl w:val="0"/>
        </w:rPr>
        <w:t xml:space="preserve">Figure 1. Granger causality by country — UICPI leading official CPI (calendar-true specification for the United States). The US bar is hatched: the analytic p-value clears 0.05 but neither permutation check does.</w:t>
      </w:r>
      <w:r w:rsidDel="00000000" w:rsidR="00000000" w:rsidRPr="00000000">
        <w:rPr>
          <w:rtl w:val="0"/>
        </w:rPr>
      </w:r>
    </w:p>
    <w:p w:rsidR="00000000" w:rsidDel="00000000" w:rsidP="00000000" w:rsidRDefault="00000000" w:rsidRPr="00000000" w14:paraId="00000029">
      <w:pPr>
        <w:keepNext w:val="1"/>
        <w:spacing w:after="80" w:before="240" w:line="240" w:lineRule="auto"/>
        <w:jc w:val="center"/>
        <w:rPr/>
      </w:pPr>
      <w:r w:rsidDel="00000000" w:rsidR="00000000" w:rsidRPr="00000000">
        <w:rPr>
          <w:rFonts w:ascii="Times New Roman" w:cs="Times New Roman" w:eastAsia="Times New Roman" w:hAnsi="Times New Roman"/>
          <w:smallCaps w:val="1"/>
          <w:sz w:val="20"/>
          <w:szCs w:val="20"/>
          <w:rtl w:val="0"/>
        </w:rPr>
        <w:t xml:space="preserve">Acknowledgements</w:t>
      </w:r>
      <w:r w:rsidDel="00000000" w:rsidR="00000000" w:rsidRPr="00000000">
        <w:rPr>
          <w:rtl w:val="0"/>
        </w:rPr>
      </w:r>
    </w:p>
    <w:p w:rsidR="00000000" w:rsidDel="00000000" w:rsidP="00000000" w:rsidRDefault="00000000" w:rsidRPr="00000000" w14:paraId="0000002A">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The UICPI codebase and pipeline are publicly available at github.com/thefrogfacedfoot/Inflation-menu for independent audit and reproduction. This work relies on the Internet Archive's Wayback Machine, the UK Office for National Statistics, Malaysia DOSM, and OECD CPI data, and the schema.org Menu specification. The author thanks R. Verbrugge (Federal Reserve Bank of Cleveland) for correspondence on the treatment of food-away-from-home in core-inflation measures.</w:t>
      </w:r>
      <w:r w:rsidDel="00000000" w:rsidR="00000000" w:rsidRPr="00000000">
        <w:rPr>
          <w:rtl w:val="0"/>
        </w:rPr>
      </w:r>
    </w:p>
    <w:p w:rsidR="00000000" w:rsidDel="00000000" w:rsidP="00000000" w:rsidRDefault="00000000" w:rsidRPr="00000000" w14:paraId="0000002B">
      <w:pPr>
        <w:spacing w:after="120" w:before="0" w:line="228" w:lineRule="auto"/>
        <w:ind w:firstLine="288"/>
        <w:jc w:val="both"/>
        <w:rPr/>
      </w:pPr>
      <w:r w:rsidDel="00000000" w:rsidR="00000000" w:rsidRPr="00000000">
        <w:rPr>
          <w:rFonts w:ascii="Times New Roman" w:cs="Times New Roman" w:eastAsia="Times New Roman" w:hAnsi="Times New Roman"/>
          <w:sz w:val="20"/>
          <w:szCs w:val="20"/>
          <w:rtl w:val="0"/>
        </w:rPr>
        <w:t xml:space="preserve">Claude and Claude Code (Anthropic) were used extensively throughout this project: for</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debugging the data-collection and analysis pipeline (scrapers, parsers, the index-construction and Granger-testing code), for exploratory data analysis</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rtl w:val="0"/>
        </w:rPr>
        <w:t xml:space="preserve"> All analytic decisions, experimental design choices, interpretation of results, and conclusions are the author's own; AI assistance was a writing and coding aid, not an independent contributor to the research design or findings.</w:t>
      </w:r>
      <w:r w:rsidDel="00000000" w:rsidR="00000000" w:rsidRPr="00000000">
        <w:rPr>
          <w:rtl w:val="0"/>
        </w:rPr>
      </w:r>
    </w:p>
    <w:p w:rsidR="00000000" w:rsidDel="00000000" w:rsidP="00000000" w:rsidRDefault="00000000" w:rsidRPr="00000000" w14:paraId="0000002C">
      <w:pPr>
        <w:keepNext w:val="1"/>
        <w:spacing w:after="80" w:before="240" w:line="240" w:lineRule="auto"/>
        <w:jc w:val="center"/>
        <w:rPr/>
      </w:pPr>
      <w:r w:rsidDel="00000000" w:rsidR="00000000" w:rsidRPr="00000000">
        <w:rPr>
          <w:rFonts w:ascii="Times New Roman" w:cs="Times New Roman" w:eastAsia="Times New Roman" w:hAnsi="Times New Roman"/>
          <w:smallCaps w:val="1"/>
          <w:sz w:val="20"/>
          <w:szCs w:val="20"/>
          <w:rtl w:val="0"/>
        </w:rPr>
        <w:t xml:space="preserve">References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Cavallo and R. Rigobon, “The Billion Prices Project: Using Online Prices for Measurement and Research,” J. Econ. Perspect., vol. 30, no. 2, pp. 151–178, 2016.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K. Detmeister, “What Should Core Inflation Exclude?”, Finance and Economics Discussion Series 2012-43, Board of Governors of the Federal Reserve System, 2012.</w:t>
      </w:r>
      <w:r w:rsidDel="00000000" w:rsidR="00000000" w:rsidRPr="00000000">
        <w:rPr>
          <w:rtl w:val="0"/>
        </w:rPr>
      </w:r>
    </w:p>
    <w:sectPr>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F">
      <w:pPr>
        <w:spacing w:line="240" w:lineRule="auto"/>
        <w:ind w:firstLine="202"/>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W. C. Er is with Raffles Institution, Singapore (corresponding author, e-mail: wcerbiz@gmail.com).</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lcHqKdeeZvVggfnLf2Oup5q+g==">CgMxLjAaJQoBMBIgCh4IB0IaCg9UaW1lcyBOZXcgUm9tYW4SB0d1bmdzdWgaJQoBMRIgCh4IB0IaCg9UaW1lcyBOZXcgUm9tYW4SB0d1bmdzdWg4AHIhMWN3TS1sbnRzRHJDUXBlU2hyYlk2TzlILXVkb3JzaHVk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2026-09-29T09:51:13.336Z</dcterms:created>
  <dc:creator>Un-named</dc:creator>
</cp:coreProperties>
</file>

<file path=docProps/custom.xml><?xml version="1.0" encoding="utf-8"?>
<Properties xmlns="http://schemas.openxmlformats.org/officeDocument/2006/custom-properties" xmlns:vt="http://schemas.openxmlformats.org/officeDocument/2006/docPropsVTypes"/>
</file>