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rtl w:val="0"/>
        </w:rPr>
      </w:pPr>
      <w:r>
        <w:rPr>
          <w:b w:val="1"/>
          <w:bCs w:val="1"/>
          <w:sz w:val="40"/>
          <w:szCs w:val="40"/>
          <w:rtl w:val="0"/>
          <w:lang w:val="en-US"/>
        </w:rPr>
        <w:t>Advanced Machine Learning Techniques for High-Frequency Time Series Analysis in the European Bond Futures Market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rtl w:val="0"/>
        </w:rPr>
      </w:pPr>
      <w:r>
        <w:rPr>
          <w:b w:val="1"/>
          <w:bCs w:val="1"/>
          <w:sz w:val="32"/>
          <w:szCs w:val="32"/>
          <w:rtl w:val="0"/>
          <w:lang w:val="en-US"/>
        </w:rPr>
        <w:t>Executive Summary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sz w:val="26"/>
          <w:szCs w:val="26"/>
          <w:rtl w:val="0"/>
          <w:lang w:val="en-US"/>
        </w:rPr>
        <w:t>This project explores advanced machine learning (ML) and statistical methods to analyze high-frequency data in the European Government Bond (EGB) futures market. By integrating granular order data with level data, it seeks to predict not just point forecasts but also full paths with confidence intervals, enabling better quoting, hedging, and inventory management strategies. Combining econometric models with state-of-the-art architectures like Transformers and Mamba, we aim to uncover latent patterns in market microstructure and enhance predictive accuracy, contributing to both academic literature and practical financial strategies for market making and hedging.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6"/>
          <w:szCs w:val="26"/>
          <w:rtl w:val="0"/>
        </w:rPr>
      </w:pPr>
      <w:r>
        <w:rPr>
          <w:b w:val="1"/>
          <w:bCs w:val="1"/>
          <w:sz w:val="26"/>
          <w:szCs w:val="26"/>
          <w:rtl w:val="0"/>
          <w:lang w:val="en-US"/>
        </w:rPr>
        <w:t>Selected Literature: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0"/>
          <w:bCs w:val="0"/>
          <w:sz w:val="26"/>
          <w:szCs w:val="26"/>
          <w:rtl w:val="0"/>
        </w:rPr>
      </w:pPr>
    </w:p>
    <w:p>
      <w:pPr>
        <w:pStyle w:val="Default"/>
        <w:numPr>
          <w:ilvl w:val="0"/>
          <w:numId w:val="2"/>
        </w:numPr>
        <w:bidi w:val="0"/>
        <w:spacing w:before="0"/>
        <w:ind w:right="0"/>
        <w:jc w:val="left"/>
        <w:rPr>
          <w:sz w:val="26"/>
          <w:szCs w:val="26"/>
          <w:rtl w:val="0"/>
          <w:lang w:val="en-US"/>
        </w:rPr>
      </w:pPr>
      <w:r>
        <w:rPr>
          <w:sz w:val="26"/>
          <w:szCs w:val="26"/>
          <w:rtl w:val="0"/>
          <w:lang w:val="en-US"/>
        </w:rPr>
        <w:t xml:space="preserve">Avellaneda, M., &amp; Stoikov, S. (2008). "High-frequency trading in a limit order book." </w:t>
      </w:r>
      <w:r>
        <w:rPr>
          <w:i w:val="1"/>
          <w:iCs w:val="1"/>
          <w:sz w:val="26"/>
          <w:szCs w:val="26"/>
          <w:rtl w:val="0"/>
          <w:lang w:val="fr-FR"/>
        </w:rPr>
        <w:t>Quantitative Finance, 8(3)</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Zhang, Z., &amp; Zohren, S. (2021). "Multi-Horizon Forecasting for Limit Order Books: Novel Deep Learning Approaches and Hardware Acceleration Using Intelligent Processing Units." </w:t>
      </w:r>
      <w:r>
        <w:rPr>
          <w:i w:val="1"/>
          <w:iCs w:val="1"/>
          <w:sz w:val="26"/>
          <w:szCs w:val="26"/>
          <w:rtl w:val="0"/>
        </w:rPr>
        <w:t>arXiv:2108.05518</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Zhang, Z., Lima, B., &amp; Zohren, S. (2021). "Deep Learning for Market by Order Data." </w:t>
      </w:r>
      <w:r>
        <w:rPr>
          <w:i w:val="1"/>
          <w:iCs w:val="1"/>
          <w:sz w:val="26"/>
          <w:szCs w:val="26"/>
          <w:rtl w:val="0"/>
        </w:rPr>
        <w:t>arXiv:2110.13767</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Cohen, J. (1960). "A coefficient of agreement for nominal scales." </w:t>
      </w:r>
      <w:r>
        <w:rPr>
          <w:i w:val="1"/>
          <w:iCs w:val="1"/>
          <w:sz w:val="26"/>
          <w:szCs w:val="26"/>
          <w:rtl w:val="0"/>
          <w:lang w:val="en-US"/>
        </w:rPr>
        <w:t>Educational and Psychological Measurement, 20(1)</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Lo, A. (2002). "The statistics of Sharpe ratios." </w:t>
      </w:r>
      <w:r>
        <w:rPr>
          <w:i w:val="1"/>
          <w:iCs w:val="1"/>
          <w:sz w:val="26"/>
          <w:szCs w:val="26"/>
          <w:rtl w:val="0"/>
          <w:lang w:val="en-US"/>
        </w:rPr>
        <w:t>Financial Analysts Journal, 58(4)</w:t>
      </w:r>
      <w:r>
        <w:rPr>
          <w:sz w:val="26"/>
          <w:szCs w:val="26"/>
          <w:rtl w:val="0"/>
        </w:rPr>
        <w:t>.</w:t>
      </w:r>
    </w:p>
    <w:p>
      <w:pPr>
        <w:pStyle w:val="Default"/>
        <w:numPr>
          <w:ilvl w:val="0"/>
          <w:numId w:val="2"/>
        </w:numPr>
        <w:bidi w:val="0"/>
        <w:spacing w:before="0"/>
        <w:ind w:right="0"/>
        <w:jc w:val="left"/>
        <w:rPr>
          <w:i w:val="1"/>
          <w:iCs w:val="1"/>
          <w:sz w:val="26"/>
          <w:szCs w:val="26"/>
          <w:rtl w:val="0"/>
          <w:lang w:val="en-US"/>
        </w:rPr>
      </w:pPr>
      <w:r>
        <w:rPr>
          <w:i w:val="0"/>
          <w:iCs w:val="0"/>
          <w:sz w:val="26"/>
          <w:szCs w:val="26"/>
          <w:rtl w:val="0"/>
          <w:lang w:val="en-US"/>
        </w:rPr>
        <w:t xml:space="preserve">Shumway, R., &amp; Stoffer, D. (2017). </w:t>
      </w:r>
      <w:r>
        <w:rPr>
          <w:i w:val="1"/>
          <w:iCs w:val="1"/>
          <w:sz w:val="26"/>
          <w:szCs w:val="26"/>
          <w:rtl w:val="0"/>
          <w:lang w:val="en-US"/>
        </w:rPr>
        <w:t>Time Series Analysis and Its Applications.</w:t>
      </w:r>
      <w:r>
        <w:rPr>
          <w:i w:val="0"/>
          <w:iCs w:val="0"/>
          <w:sz w:val="26"/>
          <w:szCs w:val="26"/>
          <w:rtl w:val="0"/>
        </w:rPr>
        <w:t xml:space="preserve"> Springer.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tl w:val="0"/>
        </w:rPr>
      </w:pPr>
      <w:r>
        <w:rPr>
          <w:rFonts w:ascii="Arial Unicode MS" w:cs="Arial Unicode MS" w:hAnsi="Arial Unicode MS" w:eastAsia="Arial Unicode MS"/>
          <w:b w:val="0"/>
          <w:bCs w:val="0"/>
          <w:i w:val="0"/>
          <w:iCs w:val="0"/>
          <w:sz w:val="32"/>
          <w:szCs w:val="32"/>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ind w:left="0" w:right="0" w:firstLine="0"/>
        <w:jc w:val="left"/>
        <w:rPr>
          <w:b w:val="1"/>
          <w:bCs w:val="1"/>
          <w:sz w:val="32"/>
          <w:szCs w:val="32"/>
          <w:rtl w:val="0"/>
        </w:rPr>
      </w:pPr>
      <w:r>
        <w:rPr>
          <w:b w:val="1"/>
          <w:bCs w:val="1"/>
          <w:sz w:val="32"/>
          <w:szCs w:val="32"/>
          <w:rtl w:val="0"/>
          <w:lang w:val="en-US"/>
        </w:rPr>
        <w:t>Data Description and Preprocessing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ind w:left="0" w:right="0" w:firstLine="0"/>
        <w:jc w:val="left"/>
        <w:rPr>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6"/>
          <w:szCs w:val="26"/>
          <w:rtl w:val="0"/>
        </w:rPr>
      </w:pPr>
      <w:r>
        <w:rPr>
          <w:b w:val="1"/>
          <w:bCs w:val="1"/>
          <w:sz w:val="26"/>
          <w:szCs w:val="26"/>
          <w:rtl w:val="0"/>
          <w:lang w:val="en-US"/>
        </w:rPr>
        <w:t>Instruments and Period: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sz w:val="26"/>
          <w:szCs w:val="26"/>
          <w:rtl w:val="0"/>
        </w:rPr>
        <w:br w:type="textWrapping"/>
      </w:r>
      <w:r>
        <w:rPr>
          <w:sz w:val="26"/>
          <w:szCs w:val="26"/>
          <w:rtl w:val="0"/>
          <w:lang w:val="en-US"/>
        </w:rPr>
        <w:t>The dataset encompasses 10 days of limit order book (LOB) and transaction-level data for seven highly liquid EGB futures contracts. The EGB futures market, with its high frequency and granularity, provides a fertile environment for modeling intraday price formation, volatility clustering, and inventory dynamics. While a 10-day window is relatively short, it reflects typical research horizons in HFT contexts and may be extended as needed based on initial results.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b w:val="1"/>
          <w:bCs w:val="1"/>
          <w:sz w:val="26"/>
          <w:szCs w:val="26"/>
          <w:rtl w:val="0"/>
          <w:lang w:val="en-US"/>
        </w:rPr>
        <w:t>Order and Level Data Integration:</w:t>
      </w:r>
      <w:r>
        <w:rPr>
          <w:sz w:val="26"/>
          <w:szCs w:val="26"/>
          <w:rtl w:val="0"/>
        </w:rPr>
        <w:br w:type="textWrapping"/>
      </w:r>
      <w:r>
        <w:rPr>
          <w:sz w:val="26"/>
          <w:szCs w:val="26"/>
          <w:rtl w:val="0"/>
          <w:lang w:val="en-US"/>
        </w:rPr>
        <w:t>Integrating granular order and level data is central to this project. Order messages (add, modify, delete) are synchronized with LOB snapshots to analyze short-term volatility, price discovery, and market reactions. Key steps include:</w:t>
      </w:r>
    </w:p>
    <w:p>
      <w:pPr>
        <w:pStyle w:val="Default"/>
        <w:numPr>
          <w:ilvl w:val="0"/>
          <w:numId w:val="2"/>
        </w:numPr>
        <w:bidi w:val="0"/>
        <w:spacing w:before="0"/>
        <w:ind w:right="0"/>
        <w:jc w:val="left"/>
        <w:rPr>
          <w:sz w:val="26"/>
          <w:szCs w:val="26"/>
          <w:rtl w:val="0"/>
          <w:lang w:val="en-US"/>
        </w:rPr>
      </w:pPr>
      <w:r>
        <w:rPr>
          <w:b w:val="1"/>
          <w:bCs w:val="1"/>
          <w:sz w:val="26"/>
          <w:szCs w:val="26"/>
          <w:rtl w:val="0"/>
          <w:lang w:val="en-US"/>
        </w:rPr>
        <w:t>Timestamp Alignment:</w:t>
      </w:r>
      <w:r>
        <w:rPr>
          <w:sz w:val="26"/>
          <w:szCs w:val="26"/>
          <w:rtl w:val="0"/>
          <w:lang w:val="en-US"/>
        </w:rPr>
        <w:t xml:space="preserve"> Synchronizing event arrival times across instruments to handle latency distortions.</w:t>
      </w:r>
    </w:p>
    <w:p>
      <w:pPr>
        <w:pStyle w:val="Default"/>
        <w:numPr>
          <w:ilvl w:val="0"/>
          <w:numId w:val="2"/>
        </w:numPr>
        <w:bidi w:val="0"/>
        <w:spacing w:before="0"/>
        <w:ind w:right="0"/>
        <w:jc w:val="left"/>
        <w:rPr>
          <w:sz w:val="26"/>
          <w:szCs w:val="26"/>
          <w:rtl w:val="0"/>
          <w:lang w:val="en-US"/>
        </w:rPr>
      </w:pPr>
      <w:r>
        <w:rPr>
          <w:b w:val="1"/>
          <w:bCs w:val="1"/>
          <w:sz w:val="26"/>
          <w:szCs w:val="26"/>
          <w:rtl w:val="0"/>
          <w:lang w:val="en-US"/>
        </w:rPr>
        <w:t>Data Cleaning &amp; Robust Statistics:</w:t>
      </w:r>
      <w:r>
        <w:rPr>
          <w:sz w:val="26"/>
          <w:szCs w:val="26"/>
          <w:rtl w:val="0"/>
          <w:lang w:val="en-US"/>
        </w:rPr>
        <w:t xml:space="preserve"> Employing outlier detection and filtering rules to remove erroneous points.</w:t>
      </w:r>
    </w:p>
    <w:p>
      <w:pPr>
        <w:pStyle w:val="Default"/>
        <w:numPr>
          <w:ilvl w:val="0"/>
          <w:numId w:val="2"/>
        </w:numPr>
        <w:bidi w:val="0"/>
        <w:spacing w:before="0"/>
        <w:ind w:right="0"/>
        <w:jc w:val="left"/>
        <w:rPr>
          <w:sz w:val="26"/>
          <w:szCs w:val="26"/>
          <w:rtl w:val="0"/>
          <w:lang w:val="en-US"/>
        </w:rPr>
      </w:pPr>
      <w:r>
        <w:rPr>
          <w:b w:val="1"/>
          <w:bCs w:val="1"/>
          <w:sz w:val="26"/>
          <w:szCs w:val="26"/>
          <w:rtl w:val="0"/>
          <w:lang w:val="en-US"/>
        </w:rPr>
        <w:t>Ensuring Stationarity &amp; Structural Consistency:</w:t>
      </w:r>
      <w:r>
        <w:rPr>
          <w:sz w:val="26"/>
          <w:szCs w:val="26"/>
          <w:rtl w:val="0"/>
          <w:lang w:val="en-US"/>
        </w:rPr>
        <w:t xml:space="preserve"> Carefully segmenting data into intervals that reflect stable trading environments, reducing the confounding effects of structural breaks.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b w:val="1"/>
          <w:bCs w:val="1"/>
          <w:sz w:val="26"/>
          <w:szCs w:val="26"/>
          <w:rtl w:val="0"/>
          <w:lang w:val="en-US"/>
        </w:rPr>
        <w:t>Trade Data and Market Microstructure Signals:</w:t>
      </w:r>
      <w:r>
        <w:rPr>
          <w:sz w:val="26"/>
          <w:szCs w:val="26"/>
          <w:rtl w:val="0"/>
        </w:rPr>
        <w:br w:type="textWrapping"/>
      </w:r>
      <w:r>
        <w:rPr>
          <w:sz w:val="26"/>
          <w:szCs w:val="26"/>
          <w:rtl w:val="0"/>
          <w:lang w:val="en-US"/>
        </w:rPr>
        <w:t>Integrating trades classified by aggressiveness and liquidity provision status helps distinguish informed from uninformed flow. Such enrichment grounds the analysis in established microstructure theory, aligning predictive modeling with economically meaningful patterns</w:t>
      </w:r>
      <w:r>
        <w:rPr>
          <w:sz w:val="26"/>
          <w:szCs w:val="26"/>
          <w:rtl w:val="0"/>
          <w:lang w:val="en-US"/>
        </w:rPr>
        <w:t>—</w:t>
      </w:r>
      <w:r>
        <w:rPr>
          <w:sz w:val="26"/>
          <w:szCs w:val="26"/>
          <w:rtl w:val="0"/>
          <w:lang w:val="en-US"/>
        </w:rPr>
        <w:t>such as inventory adjustments and the reaction to significant trades.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b w:val="1"/>
          <w:bCs w:val="1"/>
          <w:sz w:val="26"/>
          <w:szCs w:val="26"/>
          <w:rtl w:val="0"/>
          <w:lang w:val="en-US"/>
        </w:rPr>
        <w:t>Addressing Data Imbalance:</w:t>
      </w:r>
      <w:r>
        <w:rPr>
          <w:sz w:val="26"/>
          <w:szCs w:val="26"/>
          <w:rtl w:val="0"/>
        </w:rPr>
        <w:br w:type="textWrapping"/>
      </w:r>
      <w:r>
        <w:rPr>
          <w:sz w:val="26"/>
          <w:szCs w:val="26"/>
          <w:rtl w:val="0"/>
          <w:lang w:val="en-US"/>
        </w:rPr>
        <w:t>The data imbalance for classification can be addressed via the measure or data rebalancing. SMOTE (Synthetic Minority Over-sampling Technique) will be considered to mitigate class imbalance by creating synthetic samples of the minority class. This and other strategies (e.g., cost-sensitive learning) help ensure robust model performance across different market regimes.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0"/>
          <w:bCs w:val="0"/>
          <w:sz w:val="26"/>
          <w:szCs w:val="26"/>
          <w:rtl w:val="0"/>
        </w:rPr>
      </w:pPr>
      <w:r>
        <w:rPr>
          <w:b w:val="1"/>
          <w:bCs w:val="1"/>
          <w:sz w:val="26"/>
          <w:szCs w:val="26"/>
          <w:rtl w:val="0"/>
          <w:lang w:val="en-US"/>
        </w:rPr>
        <w:t>Selected Literature:</w:t>
      </w:r>
    </w:p>
    <w:p>
      <w:pPr>
        <w:pStyle w:val="Default"/>
        <w:numPr>
          <w:ilvl w:val="0"/>
          <w:numId w:val="2"/>
        </w:numPr>
        <w:bidi w:val="0"/>
        <w:spacing w:before="0"/>
        <w:ind w:right="0"/>
        <w:jc w:val="left"/>
        <w:rPr>
          <w:i w:val="1"/>
          <w:iCs w:val="1"/>
          <w:sz w:val="26"/>
          <w:szCs w:val="26"/>
          <w:rtl w:val="0"/>
        </w:rPr>
      </w:pPr>
      <w:r>
        <w:rPr>
          <w:i w:val="0"/>
          <w:iCs w:val="0"/>
          <w:sz w:val="26"/>
          <w:szCs w:val="26"/>
          <w:rtl w:val="0"/>
        </w:rPr>
        <w:t xml:space="preserve">Hasbrouck, J. (2007). </w:t>
      </w:r>
      <w:r>
        <w:rPr>
          <w:i w:val="1"/>
          <w:iCs w:val="1"/>
          <w:sz w:val="26"/>
          <w:szCs w:val="26"/>
          <w:rtl w:val="0"/>
          <w:lang w:val="en-US"/>
        </w:rPr>
        <w:t>Empirical Market Microstructure.</w:t>
      </w:r>
      <w:r>
        <w:rPr>
          <w:i w:val="0"/>
          <w:iCs w:val="0"/>
          <w:sz w:val="26"/>
          <w:szCs w:val="26"/>
          <w:rtl w:val="0"/>
          <w:lang w:val="en-US"/>
        </w:rPr>
        <w:t xml:space="preserve"> Oxford University Press.</w:t>
      </w:r>
    </w:p>
    <w:p>
      <w:pPr>
        <w:pStyle w:val="Default"/>
        <w:numPr>
          <w:ilvl w:val="0"/>
          <w:numId w:val="2"/>
        </w:numPr>
        <w:bidi w:val="0"/>
        <w:spacing w:before="0"/>
        <w:ind w:right="0"/>
        <w:jc w:val="left"/>
        <w:rPr>
          <w:sz w:val="26"/>
          <w:szCs w:val="26"/>
          <w:rtl w:val="0"/>
          <w:lang w:val="en-US"/>
        </w:rPr>
      </w:pPr>
      <w:r>
        <w:rPr>
          <w:sz w:val="26"/>
          <w:szCs w:val="26"/>
          <w:rtl w:val="0"/>
          <w:lang w:val="en-US"/>
        </w:rPr>
        <w:t xml:space="preserve">Johansen, S. (1988). "Statistical analysis of cointegration vectors." </w:t>
      </w:r>
      <w:r>
        <w:rPr>
          <w:i w:val="1"/>
          <w:iCs w:val="1"/>
          <w:sz w:val="26"/>
          <w:szCs w:val="26"/>
          <w:rtl w:val="0"/>
          <w:lang w:val="en-US"/>
        </w:rPr>
        <w:t>Journal of Economic Dynamics and Control, 12(2</w:t>
      </w:r>
      <w:r>
        <w:rPr>
          <w:i w:val="1"/>
          <w:iCs w:val="1"/>
          <w:sz w:val="26"/>
          <w:szCs w:val="26"/>
          <w:rtl w:val="0"/>
        </w:rPr>
        <w:t>–</w:t>
      </w:r>
      <w:r>
        <w:rPr>
          <w:i w:val="1"/>
          <w:iCs w:val="1"/>
          <w:sz w:val="26"/>
          <w:szCs w:val="26"/>
          <w:rtl w:val="0"/>
        </w:rPr>
        <w:t>3)</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Cont, R. (2001). "Empirical properties of asset returns: Stylized facts and statistical issues." </w:t>
      </w:r>
      <w:r>
        <w:rPr>
          <w:i w:val="1"/>
          <w:iCs w:val="1"/>
          <w:sz w:val="26"/>
          <w:szCs w:val="26"/>
          <w:rtl w:val="0"/>
          <w:lang w:val="fr-FR"/>
        </w:rPr>
        <w:t>Quantitative Finance, 1(2)</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Stoikov S., Decrem P. (2021) The Microstructure of Cointegrated Assets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tl w:val="0"/>
        </w:rPr>
      </w:pPr>
      <w:r>
        <w:rPr>
          <w:rFonts w:ascii="Arial Unicode MS" w:cs="Arial Unicode MS" w:hAnsi="Arial Unicode MS" w:eastAsia="Arial Unicode MS"/>
          <w:b w:val="0"/>
          <w:bCs w:val="0"/>
          <w:i w:val="0"/>
          <w:iCs w:val="0"/>
          <w:sz w:val="32"/>
          <w:szCs w:val="32"/>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ind w:left="0" w:right="0" w:firstLine="0"/>
        <w:jc w:val="left"/>
        <w:rPr>
          <w:b w:val="1"/>
          <w:bCs w:val="1"/>
          <w:sz w:val="32"/>
          <w:szCs w:val="32"/>
          <w:rtl w:val="0"/>
        </w:rPr>
      </w:pPr>
      <w:r>
        <w:rPr>
          <w:b w:val="1"/>
          <w:bCs w:val="1"/>
          <w:sz w:val="32"/>
          <w:szCs w:val="32"/>
          <w:rtl w:val="0"/>
          <w:lang w:val="en-US"/>
        </w:rPr>
        <w:t>Advanced Feature Extraction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sz w:val="26"/>
          <w:szCs w:val="26"/>
          <w:rtl w:val="0"/>
        </w:rPr>
        <w:br w:type="textWrapping"/>
      </w:r>
      <w:r>
        <w:rPr>
          <w:sz w:val="26"/>
          <w:szCs w:val="26"/>
          <w:rtl w:val="0"/>
          <w:lang w:val="en-US"/>
        </w:rPr>
        <w:t>Time can be defined at microsecond resolution, event-based intervals, or equilibrium-driven chunks. Each representation has implications for model complexity and interpretability. Event-based segmentation may better capture relevant state changes, while ultra-high-frequency timestamps offer fine detail at the risk of modeling noise.</w:t>
      </w:r>
      <w:r>
        <w:rPr>
          <w:sz w:val="26"/>
          <w:szCs w:val="26"/>
          <w:rtl w:val="0"/>
        </w:rPr>
        <w:t xml:space="preserve">  </w:t>
      </w:r>
      <w:r>
        <w:rPr>
          <w:sz w:val="26"/>
          <w:szCs w:val="26"/>
          <w:rtl w:val="0"/>
          <w:lang w:val="en-US"/>
        </w:rPr>
        <w:t>Below are a number of methods that are relevant.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b w:val="1"/>
          <w:bCs w:val="1"/>
          <w:sz w:val="26"/>
          <w:szCs w:val="26"/>
          <w:rtl w:val="0"/>
          <w:lang w:val="en-US"/>
        </w:rPr>
        <w:t>Path Signatures:</w:t>
      </w:r>
      <w:r>
        <w:rPr>
          <w:sz w:val="26"/>
          <w:szCs w:val="26"/>
          <w:rtl w:val="0"/>
        </w:rPr>
        <w:br w:type="textWrapping"/>
      </w:r>
      <w:r>
        <w:rPr>
          <w:sz w:val="26"/>
          <w:szCs w:val="26"/>
          <w:rtl w:val="0"/>
          <w:lang w:val="en-US"/>
        </w:rPr>
        <w:t>Path signatures (Lyons, 2014) capture higher-order correlations and non-linear dependencies in streams of order flow. Applying them to LOB data may uncover intricate structural patterns otherwise missed by simpler aggregates.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b w:val="1"/>
          <w:bCs w:val="1"/>
          <w:sz w:val="26"/>
          <w:szCs w:val="26"/>
          <w:rtl w:val="0"/>
          <w:lang w:val="fr-FR"/>
        </w:rPr>
        <w:t>Matrix Motifs &amp; Dynamic Time Warping (DTW):</w:t>
      </w:r>
      <w:r>
        <w:rPr>
          <w:sz w:val="26"/>
          <w:szCs w:val="26"/>
          <w:rtl w:val="0"/>
        </w:rPr>
        <w:br w:type="textWrapping"/>
      </w:r>
      <w:r>
        <w:rPr>
          <w:sz w:val="26"/>
          <w:szCs w:val="26"/>
          <w:rtl w:val="0"/>
          <w:lang w:val="en-US"/>
        </w:rPr>
        <w:t>By identifying recurring local patterns (motifs) and aligning comparable time series segments via DTW, we can detect structural regimes and shifts in liquidity or order 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b w:val="1"/>
          <w:bCs w:val="1"/>
          <w:sz w:val="26"/>
          <w:szCs w:val="26"/>
          <w:rtl w:val="0"/>
          <w:lang w:val="en-US"/>
        </w:rPr>
        <w:t>Dimensionality Reduction &amp; Representation Learning:</w:t>
      </w:r>
      <w:r>
        <w:rPr>
          <w:sz w:val="26"/>
          <w:szCs w:val="26"/>
          <w:rtl w:val="0"/>
        </w:rPr>
        <w:br w:type="textWrapping"/>
      </w:r>
      <w:r>
        <w:rPr>
          <w:sz w:val="26"/>
          <w:szCs w:val="26"/>
          <w:rtl w:val="0"/>
          <w:lang w:val="en-US"/>
        </w:rPr>
        <w:t>UMAP and tensor trains, alongside classical PCA, help reduce the complexity of large data, revealing latent factors that drive market dynamics. For researchers with a physics background, tensor trains offer unexplored opportunities to apply techniques from quantum physics to time series analysis. Time2Vec encodes time more naturally, allowing models to learn temporal patterns without arbitrary binning.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b w:val="1"/>
          <w:bCs w:val="1"/>
          <w:sz w:val="26"/>
          <w:szCs w:val="26"/>
          <w:rtl w:val="0"/>
          <w:lang w:val="en-US"/>
        </w:rPr>
        <w:t>Feature Selection &amp; Interpretability:</w:t>
      </w:r>
      <w:r>
        <w:rPr>
          <w:sz w:val="26"/>
          <w:szCs w:val="26"/>
          <w:rtl w:val="0"/>
        </w:rPr>
        <w:br w:type="textWrapping"/>
      </w:r>
      <w:r>
        <w:rPr>
          <w:sz w:val="26"/>
          <w:szCs w:val="26"/>
          <w:rtl w:val="0"/>
          <w:lang w:val="en-US"/>
        </w:rPr>
        <w:t>SHAP values or permutation importance will reveal which features contribute most to predictive performance, ensuring that modeling choices translate into economically interpretable insights.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Fonts w:ascii="Arial Unicode MS" w:cs="Arial Unicode MS" w:hAnsi="Arial Unicode MS" w:eastAsia="Arial Unicode MS"/>
          <w:b w:val="0"/>
          <w:bCs w:val="0"/>
          <w:i w:val="0"/>
          <w:iCs w:val="0"/>
          <w:sz w:val="26"/>
          <w:szCs w:val="26"/>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0"/>
          <w:bCs w:val="0"/>
          <w:sz w:val="26"/>
          <w:szCs w:val="26"/>
          <w:rtl w:val="0"/>
        </w:rPr>
      </w:pPr>
      <w:r>
        <w:rPr>
          <w:b w:val="1"/>
          <w:bCs w:val="1"/>
          <w:sz w:val="26"/>
          <w:szCs w:val="26"/>
          <w:rtl w:val="0"/>
          <w:lang w:val="en-US"/>
        </w:rPr>
        <w:t>Selected Literature:</w:t>
      </w:r>
    </w:p>
    <w:p>
      <w:pPr>
        <w:pStyle w:val="Default"/>
        <w:numPr>
          <w:ilvl w:val="0"/>
          <w:numId w:val="2"/>
        </w:numPr>
        <w:bidi w:val="0"/>
        <w:spacing w:before="0"/>
        <w:ind w:right="0"/>
        <w:jc w:val="left"/>
        <w:rPr>
          <w:sz w:val="26"/>
          <w:szCs w:val="26"/>
          <w:rtl w:val="0"/>
          <w:lang w:val="en-US"/>
        </w:rPr>
      </w:pPr>
      <w:r>
        <w:rPr>
          <w:sz w:val="26"/>
          <w:szCs w:val="26"/>
          <w:rtl w:val="0"/>
          <w:lang w:val="en-US"/>
        </w:rPr>
        <w:t xml:space="preserve">Fulcher, B. D., &amp; Jones, N. S. (2017). "hctsa: A Computational Framework for Automated Time-Series Phenotype Characterization." </w:t>
      </w:r>
      <w:r>
        <w:rPr>
          <w:i w:val="1"/>
          <w:iCs w:val="1"/>
          <w:sz w:val="26"/>
          <w:szCs w:val="26"/>
          <w:rtl w:val="0"/>
          <w:lang w:val="en-US"/>
        </w:rPr>
        <w:t>Journal of Open Research Software</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Wu, Y., et al. (2021). "Graph Neural Networks: A Review of Methods and Applications." </w:t>
      </w:r>
      <w:r>
        <w:rPr>
          <w:i w:val="1"/>
          <w:iCs w:val="1"/>
          <w:sz w:val="26"/>
          <w:szCs w:val="26"/>
          <w:rtl w:val="0"/>
          <w:lang w:val="en-US"/>
        </w:rPr>
        <w:t>AI Open</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Cichocki, A., &amp; Zdunek, R. (2016). "Tensor decomposition methods for signal processing applications." </w:t>
      </w:r>
      <w:r>
        <w:rPr>
          <w:i w:val="1"/>
          <w:iCs w:val="1"/>
          <w:sz w:val="26"/>
          <w:szCs w:val="26"/>
          <w:rtl w:val="0"/>
          <w:lang w:val="en-US"/>
        </w:rPr>
        <w:t>IEEE Transactions on Signal Processing, 64(10)</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Lyons, T. (2014). "Rough paths: Theory and applications." Cambridge University Press.</w:t>
      </w:r>
    </w:p>
    <w:p>
      <w:pPr>
        <w:pStyle w:val="Default"/>
        <w:numPr>
          <w:ilvl w:val="0"/>
          <w:numId w:val="2"/>
        </w:numPr>
        <w:bidi w:val="0"/>
        <w:spacing w:before="0"/>
        <w:ind w:right="0"/>
        <w:jc w:val="left"/>
        <w:rPr>
          <w:sz w:val="26"/>
          <w:szCs w:val="26"/>
          <w:rtl w:val="0"/>
          <w:lang w:val="en-US"/>
        </w:rPr>
      </w:pPr>
      <w:r>
        <w:rPr>
          <w:sz w:val="26"/>
          <w:szCs w:val="26"/>
          <w:rtl w:val="0"/>
          <w:lang w:val="en-US"/>
        </w:rPr>
        <w:t>Stoikov S., Decrem P. (2020) High Frequency Trading Strategy for the 30 Year Treasury Bond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tl w:val="0"/>
        </w:rPr>
      </w:pPr>
      <w:r>
        <w:rPr>
          <w:rFonts w:ascii="Arial Unicode MS" w:cs="Arial Unicode MS" w:hAnsi="Arial Unicode MS" w:eastAsia="Arial Unicode MS"/>
          <w:b w:val="0"/>
          <w:bCs w:val="0"/>
          <w:i w:val="0"/>
          <w:iCs w:val="0"/>
          <w:sz w:val="32"/>
          <w:szCs w:val="32"/>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ind w:left="0" w:right="0" w:firstLine="0"/>
        <w:jc w:val="left"/>
        <w:rPr>
          <w:b w:val="1"/>
          <w:bCs w:val="1"/>
          <w:sz w:val="32"/>
          <w:szCs w:val="32"/>
          <w:rtl w:val="0"/>
        </w:rPr>
      </w:pPr>
      <w:r>
        <w:rPr>
          <w:b w:val="1"/>
          <w:bCs w:val="1"/>
          <w:sz w:val="32"/>
          <w:szCs w:val="32"/>
          <w:rtl w:val="0"/>
          <w:lang w:val="en-US"/>
        </w:rPr>
        <w:t>Modeling Approaches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ind w:left="0" w:right="0" w:firstLine="0"/>
        <w:jc w:val="left"/>
        <w:rPr>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sz w:val="26"/>
          <w:szCs w:val="26"/>
          <w:rtl w:val="0"/>
          <w:lang w:val="en-US"/>
        </w:rPr>
        <w:t>This methods below explore the integration of classical econometric methods and cutting-edge machine learning architectures to tackle challenges in time series forecasting, volatility modeling, and high-frequency financial data analysis. From GARCH models and dimensionality reduction techniques like PCA and UMAP to foundational Markov chain approaches, traditional methods serve as robust baselines for understanding market dynamics. Modern statistical toolkits such as TSA, PyTorch Forecasting, and Darts enhance rapid prototyping and model experimentation. Advanced architectures, including transformers integrated with Mamba, liquid neural networks, and graph-based foundation models like TimeGPT, extend these foundations by capturing long-range dependencies, adaptive dynamics, and emergent patterns. This synthesis of classical and modern methodologies enables the development of predictive models that not only generate point forecasts but also provide comprehensive insights into expected paths, signal persistence, and confidence levels, paving the way for more informed and scalable trading strategies. TSPP offers a comprehensive framework for benchmarking and comparing various time series methods, incorporating a selection of the advanced techniques discussed in this proposal.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0"/>
          <w:bCs w:val="0"/>
          <w:sz w:val="26"/>
          <w:szCs w:val="26"/>
          <w:rtl w:val="0"/>
        </w:rPr>
      </w:pPr>
      <w:r>
        <w:rPr>
          <w:b w:val="1"/>
          <w:bCs w:val="1"/>
          <w:sz w:val="26"/>
          <w:szCs w:val="26"/>
          <w:rtl w:val="0"/>
          <w:lang w:val="en-US"/>
        </w:rPr>
        <w:t>Classical Econometric Methods:</w:t>
      </w:r>
    </w:p>
    <w:p>
      <w:pPr>
        <w:pStyle w:val="Default"/>
        <w:numPr>
          <w:ilvl w:val="0"/>
          <w:numId w:val="2"/>
        </w:numPr>
        <w:bidi w:val="0"/>
        <w:spacing w:before="0"/>
        <w:ind w:right="0"/>
        <w:jc w:val="left"/>
        <w:rPr>
          <w:sz w:val="26"/>
          <w:szCs w:val="26"/>
          <w:rtl w:val="0"/>
          <w:lang w:val="de-DE"/>
        </w:rPr>
      </w:pPr>
      <w:r>
        <w:rPr>
          <w:b w:val="1"/>
          <w:bCs w:val="1"/>
          <w:sz w:val="26"/>
          <w:szCs w:val="26"/>
          <w:rtl w:val="0"/>
          <w:lang w:val="de-DE"/>
        </w:rPr>
        <w:t>GARCH Models:</w:t>
      </w:r>
      <w:r>
        <w:rPr>
          <w:sz w:val="26"/>
          <w:szCs w:val="26"/>
          <w:rtl w:val="0"/>
          <w:lang w:val="en-US"/>
        </w:rPr>
        <w:t xml:space="preserve"> Provide volatility forecasts and inform hedge ratios.</w:t>
      </w:r>
    </w:p>
    <w:p>
      <w:pPr>
        <w:pStyle w:val="Default"/>
        <w:numPr>
          <w:ilvl w:val="0"/>
          <w:numId w:val="2"/>
        </w:numPr>
        <w:bidi w:val="0"/>
        <w:spacing w:before="0"/>
        <w:ind w:right="0"/>
        <w:jc w:val="left"/>
        <w:rPr>
          <w:sz w:val="26"/>
          <w:szCs w:val="26"/>
          <w:rtl w:val="0"/>
          <w:lang w:val="en-US"/>
        </w:rPr>
      </w:pPr>
      <w:r>
        <w:rPr>
          <w:b w:val="1"/>
          <w:bCs w:val="1"/>
          <w:sz w:val="26"/>
          <w:szCs w:val="26"/>
          <w:rtl w:val="0"/>
          <w:lang w:val="en-US"/>
        </w:rPr>
        <w:t>Dimensionality Reduction (PCA, UMAP, Tensor Trains):</w:t>
      </w:r>
      <w:r>
        <w:rPr>
          <w:sz w:val="26"/>
          <w:szCs w:val="26"/>
          <w:rtl w:val="0"/>
          <w:lang w:val="en-US"/>
        </w:rPr>
        <w:t xml:space="preserve"> Extract dominant factors underlying price movements, serving as strong baselines for comparison with more complex models.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b w:val="1"/>
          <w:bCs w:val="1"/>
          <w:sz w:val="26"/>
          <w:szCs w:val="26"/>
          <w:rtl w:val="0"/>
          <w:lang w:val="en-US"/>
        </w:rPr>
        <w:t>Markov Chains as Baselines:</w:t>
      </w:r>
      <w:r>
        <w:rPr>
          <w:sz w:val="26"/>
          <w:szCs w:val="26"/>
          <w:rtl w:val="0"/>
        </w:rPr>
        <w:br w:type="textWrapping"/>
      </w:r>
      <w:r>
        <w:rPr>
          <w:sz w:val="26"/>
          <w:szCs w:val="26"/>
          <w:rtl w:val="0"/>
          <w:lang w:val="en-US"/>
        </w:rPr>
        <w:t>Previously, Markov chains were shown to be effective for modeling order arrival distributions, providing a strong explanatory baseline. Their success motivates our push toward more sophisticated, context-aware approaches.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b w:val="1"/>
          <w:bCs w:val="1"/>
          <w:sz w:val="26"/>
          <w:szCs w:val="26"/>
          <w:rtl w:val="0"/>
          <w:lang w:val="en-US"/>
        </w:rPr>
        <w:t>Modern Statistical &amp; ML Toolkits:</w:t>
      </w:r>
      <w:r>
        <w:rPr>
          <w:sz w:val="26"/>
          <w:szCs w:val="26"/>
          <w:rtl w:val="0"/>
        </w:rPr>
        <w:br w:type="textWrapping"/>
      </w:r>
      <w:r>
        <w:rPr>
          <w:sz w:val="26"/>
          <w:szCs w:val="26"/>
          <w:rtl w:val="0"/>
          <w:lang w:val="en-US"/>
        </w:rPr>
        <w:t>Frameworks such as TSA, Aeon, sktime, Nixtla, PyTorch Forecasting, Darts, and Merlion enable rapid prototyping of forecasting and anomaly detection models. Tools like uniTs support multi-task time series modeling across multiple instruments.</w:t>
      </w:r>
      <w:r>
        <w:rPr>
          <w:sz w:val="26"/>
          <w:szCs w:val="26"/>
          <w:rtl w:val="0"/>
          <w:lang w:val="en-US"/>
        </w:rPr>
        <w:t xml:space="preserve"> TSPP provides a good overview of some of the methods.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6"/>
          <w:szCs w:val="26"/>
          <w:rtl w:val="0"/>
        </w:rPr>
      </w:pPr>
      <w:r>
        <w:rPr>
          <w:b w:val="1"/>
          <w:bCs w:val="1"/>
          <w:sz w:val="26"/>
          <w:szCs w:val="26"/>
          <w:rtl w:val="0"/>
          <w:lang w:val="en-US"/>
        </w:rPr>
        <w:t>Cutting-Edge Architectures: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0"/>
          <w:bCs w:val="0"/>
          <w:sz w:val="26"/>
          <w:szCs w:val="26"/>
          <w:rtl w:val="0"/>
        </w:rPr>
      </w:pPr>
    </w:p>
    <w:p>
      <w:pPr>
        <w:pStyle w:val="Default"/>
        <w:numPr>
          <w:ilvl w:val="0"/>
          <w:numId w:val="2"/>
        </w:numPr>
        <w:bidi w:val="0"/>
        <w:spacing w:before="0"/>
        <w:ind w:right="0"/>
        <w:jc w:val="left"/>
        <w:rPr>
          <w:sz w:val="26"/>
          <w:szCs w:val="26"/>
          <w:rtl w:val="0"/>
          <w:lang w:val="en-US"/>
        </w:rPr>
      </w:pPr>
      <w:r>
        <w:rPr>
          <w:b w:val="1"/>
          <w:bCs w:val="1"/>
          <w:sz w:val="26"/>
          <w:szCs w:val="26"/>
          <w:rtl w:val="0"/>
          <w:lang w:val="en-US"/>
        </w:rPr>
        <w:t>Transformers &amp; Mamba Integration:</w:t>
      </w:r>
      <w:r>
        <w:rPr>
          <w:sz w:val="26"/>
          <w:szCs w:val="26"/>
          <w:rtl w:val="0"/>
          <w:lang w:val="en-US"/>
        </w:rPr>
        <w:t xml:space="preserve"> Transformers (including Informer, Autoformer and hybrids like Hymba) handle long-range dependencies efficiently, and integrating them with Mamba can capture complex multi-agent interactions in the LOB. This combination extends beyond what Markov chains can achieve, modeling more nuanced structure and longer contextual horizons.</w:t>
      </w:r>
    </w:p>
    <w:p>
      <w:pPr>
        <w:pStyle w:val="Default"/>
        <w:numPr>
          <w:ilvl w:val="0"/>
          <w:numId w:val="2"/>
        </w:numPr>
        <w:bidi w:val="0"/>
        <w:spacing w:before="0"/>
        <w:ind w:right="0"/>
        <w:jc w:val="left"/>
        <w:rPr>
          <w:sz w:val="26"/>
          <w:szCs w:val="26"/>
          <w:rtl w:val="0"/>
          <w:lang w:val="en-US"/>
        </w:rPr>
      </w:pPr>
      <w:r>
        <w:rPr>
          <w:b w:val="1"/>
          <w:bCs w:val="1"/>
          <w:sz w:val="26"/>
          <w:szCs w:val="26"/>
          <w:rtl w:val="0"/>
          <w:lang w:val="en-US"/>
        </w:rPr>
        <w:t>Foundation Models &amp; Graph Neural Networks (TimeGPT):</w:t>
      </w:r>
      <w:r>
        <w:rPr>
          <w:sz w:val="26"/>
          <w:szCs w:val="26"/>
          <w:rtl w:val="0"/>
          <w:lang w:val="en-US"/>
        </w:rPr>
        <w:t xml:space="preserve"> Exploit relational structures and large-scale pretraining to discover emergent patterns. Such architectures can handle increasingly complex datasets and diverse state representations.</w:t>
      </w:r>
    </w:p>
    <w:p>
      <w:pPr>
        <w:pStyle w:val="Default"/>
        <w:numPr>
          <w:ilvl w:val="0"/>
          <w:numId w:val="2"/>
        </w:numPr>
        <w:bidi w:val="0"/>
        <w:spacing w:before="0"/>
        <w:ind w:right="0"/>
        <w:jc w:val="left"/>
        <w:rPr>
          <w:sz w:val="26"/>
          <w:szCs w:val="26"/>
          <w:rtl w:val="0"/>
          <w:lang w:val="fr-FR"/>
        </w:rPr>
      </w:pPr>
      <w:r>
        <w:rPr>
          <w:b w:val="1"/>
          <w:bCs w:val="1"/>
          <w:sz w:val="26"/>
          <w:szCs w:val="26"/>
          <w:rtl w:val="0"/>
          <w:lang w:val="fr-FR"/>
        </w:rPr>
        <w:t>Liquid Nets:</w:t>
      </w:r>
      <w:r>
        <w:rPr>
          <w:sz w:val="26"/>
          <w:szCs w:val="26"/>
          <w:rtl w:val="0"/>
          <w:lang w:val="en-US"/>
        </w:rPr>
        <w:t xml:space="preserve"> Liquid neural networks (Liquid Nets) are a class of adaptive neural architectures capable of continuous learning and dynamic adjustment based on incoming data. Unlike traditional static neural networks, Liquid Nets update their internal parameters fluidly, allowing them to model complex, time-evolving patterns efficiently. In time series analysis, Liquid Nets have been utilized to capture non-linear dependencies and provide real-time insights into dynamic systems, making them particularly suitable for high-frequency financial data modeling and prediction tasks.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6"/>
          <w:szCs w:val="26"/>
          <w:rtl w:val="0"/>
        </w:rPr>
      </w:pPr>
      <w:r>
        <w:rPr>
          <w:b w:val="1"/>
          <w:bCs w:val="1"/>
          <w:sz w:val="26"/>
          <w:szCs w:val="26"/>
          <w:rtl w:val="0"/>
          <w:lang w:val="en-US"/>
        </w:rPr>
        <w:t>Capturing the Expected Path and Confidence Levels: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sz w:val="26"/>
          <w:szCs w:val="26"/>
          <w:rtl w:val="0"/>
        </w:rPr>
        <w:br w:type="textWrapping"/>
      </w:r>
      <w:r>
        <w:rPr>
          <w:sz w:val="26"/>
          <w:szCs w:val="26"/>
          <w:rtl w:val="0"/>
          <w:lang w:val="en-US"/>
        </w:rPr>
        <w:t>Building on models like those presented by Zhang and Zohren (2021) and Zhang, Lima, and Zohren (2021), we aim to generate forecasts that provide not only point predictions but also an expected path over time horizons (e.g., identifying signal half-lives). In addition, confidence intervals or predictive distributions can inform a trade scaling model, where position sizes are adjusted based on predicted signal persistence and certainty.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6"/>
          <w:szCs w:val="26"/>
          <w:rtl w:val="0"/>
        </w:rPr>
      </w:pPr>
      <w:r>
        <w:rPr>
          <w:b w:val="1"/>
          <w:bCs w:val="1"/>
          <w:sz w:val="26"/>
          <w:szCs w:val="26"/>
          <w:rtl w:val="0"/>
          <w:lang w:val="en-US"/>
        </w:rPr>
        <w:t>Hyperparameter Optimization &amp; Model Selection: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sz w:val="26"/>
          <w:szCs w:val="26"/>
          <w:rtl w:val="0"/>
        </w:rPr>
        <w:br w:type="textWrapping"/>
      </w:r>
      <w:r>
        <w:rPr>
          <w:sz w:val="26"/>
          <w:szCs w:val="26"/>
          <w:rtl w:val="0"/>
          <w:lang w:val="en-US"/>
        </w:rPr>
        <w:t>Bayesian optimization and evolutionary strategies will be used to fine-tune models, ensuring that final solutions respect non-stationarity and domain constraints.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6"/>
          <w:szCs w:val="26"/>
          <w:rtl w:val="0"/>
        </w:rPr>
      </w:pPr>
      <w:r>
        <w:rPr>
          <w:b w:val="1"/>
          <w:bCs w:val="1"/>
          <w:sz w:val="26"/>
          <w:szCs w:val="26"/>
          <w:rtl w:val="0"/>
          <w:lang w:val="en-US"/>
        </w:rPr>
        <w:t>Selected Literature: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0"/>
          <w:bCs w:val="0"/>
          <w:sz w:val="26"/>
          <w:szCs w:val="26"/>
          <w:rtl w:val="0"/>
        </w:rPr>
      </w:pPr>
    </w:p>
    <w:p>
      <w:pPr>
        <w:pStyle w:val="Default"/>
        <w:numPr>
          <w:ilvl w:val="0"/>
          <w:numId w:val="2"/>
        </w:numPr>
        <w:bidi w:val="0"/>
        <w:spacing w:before="0"/>
        <w:ind w:right="0"/>
        <w:jc w:val="left"/>
        <w:rPr>
          <w:sz w:val="26"/>
          <w:szCs w:val="26"/>
          <w:rtl w:val="0"/>
          <w:lang w:val="en-US"/>
        </w:rPr>
      </w:pPr>
      <w:r>
        <w:rPr>
          <w:sz w:val="26"/>
          <w:szCs w:val="26"/>
          <w:rtl w:val="0"/>
          <w:lang w:val="en-US"/>
        </w:rPr>
        <w:t xml:space="preserve">Zhang, Z., &amp; Zohren, S. (2021). "Multi-Horizon Forecasting for Limit Order Books: Novel Deep Learning Approaches and Hardware Acceleration Using Intelligent Processing Units." </w:t>
      </w:r>
      <w:r>
        <w:rPr>
          <w:i w:val="1"/>
          <w:iCs w:val="1"/>
          <w:sz w:val="26"/>
          <w:szCs w:val="26"/>
          <w:rtl w:val="0"/>
        </w:rPr>
        <w:t>arXiv:2108.05518</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Zhou, H., et al. (2021). "Autoformer: Decomposition Transformers with Auto-Correlation for Long-Term Series Forecasting." </w:t>
      </w:r>
      <w:r>
        <w:rPr>
          <w:i w:val="1"/>
          <w:iCs w:val="1"/>
          <w:sz w:val="26"/>
          <w:szCs w:val="26"/>
          <w:rtl w:val="0"/>
          <w:lang w:val="de-DE"/>
        </w:rPr>
        <w:t>NeurIPS</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Wooldridge, M. (2009). "An Introduction to MultiAgent Systems." </w:t>
      </w:r>
      <w:r>
        <w:rPr>
          <w:i w:val="1"/>
          <w:iCs w:val="1"/>
          <w:sz w:val="26"/>
          <w:szCs w:val="26"/>
          <w:rtl w:val="0"/>
          <w:lang w:val="en-US"/>
        </w:rPr>
        <w:t>John Wiley &amp; Sons</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Hasani, R., et al. (2020). "Liquid Time-Constant Networks." </w:t>
      </w:r>
      <w:r>
        <w:rPr>
          <w:i w:val="1"/>
          <w:iCs w:val="1"/>
          <w:sz w:val="26"/>
          <w:szCs w:val="26"/>
          <w:rtl w:val="0"/>
        </w:rPr>
        <w:t>arXiv:2006.04439</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Tiny Time Mixers (TTMs): Fast Pre-trained Models for</w:t>
      </w:r>
      <w:r>
        <w:rPr>
          <w:sz w:val="26"/>
          <w:szCs w:val="26"/>
          <w:rtl w:val="0"/>
        </w:rPr>
        <w:t> </w:t>
      </w:r>
      <w:r>
        <w:rPr>
          <w:sz w:val="26"/>
          <w:szCs w:val="26"/>
          <w:rtl w:val="0"/>
          <w:lang w:val="en-US"/>
        </w:rPr>
        <w:t>Enhanced Zero/Few-Shot Forecasting of Multivariate Time</w:t>
      </w:r>
      <w:r>
        <w:rPr>
          <w:sz w:val="26"/>
          <w:szCs w:val="26"/>
          <w:rtl w:val="0"/>
        </w:rPr>
        <w:t> </w:t>
      </w:r>
      <w:r>
        <w:rPr>
          <w:sz w:val="26"/>
          <w:szCs w:val="26"/>
          <w:rtl w:val="0"/>
          <w:lang w:val="en-US"/>
        </w:rPr>
        <w:t>Series, 2024,</w:t>
      </w:r>
      <w:r>
        <w:rPr>
          <w:sz w:val="26"/>
          <w:szCs w:val="26"/>
          <w:rtl w:val="0"/>
        </w:rPr>
        <w:t> </w:t>
      </w:r>
      <w:r>
        <w:rPr>
          <w:sz w:val="26"/>
          <w:szCs w:val="26"/>
          <w:rtl w:val="0"/>
        </w:rPr>
        <w:t>Vijay Ekambaram Arindam Jati Pankaj Dayama Sumanta Mukherjee</w:t>
      </w:r>
      <w:r>
        <w:rPr>
          <w:sz w:val="26"/>
          <w:szCs w:val="26"/>
          <w:rtl w:val="0"/>
        </w:rPr>
        <w:br w:type="textWrapping"/>
      </w:r>
      <w:r>
        <w:rPr>
          <w:sz w:val="26"/>
          <w:szCs w:val="26"/>
          <w:rtl w:val="0"/>
        </w:rPr>
        <w:t>Nam H. Nguyen Wesley M. Gifford Chandra Reddy Jayant Kalagnanam</w:t>
      </w:r>
    </w:p>
    <w:p>
      <w:pPr>
        <w:pStyle w:val="Default"/>
        <w:numPr>
          <w:ilvl w:val="0"/>
          <w:numId w:val="2"/>
        </w:numPr>
        <w:bidi w:val="0"/>
        <w:spacing w:before="0"/>
        <w:ind w:right="0"/>
        <w:jc w:val="left"/>
        <w:rPr>
          <w:sz w:val="26"/>
          <w:szCs w:val="26"/>
          <w:rtl w:val="0"/>
          <w:lang w:val="en-US"/>
        </w:rPr>
      </w:pPr>
      <w:r>
        <w:rPr>
          <w:sz w:val="26"/>
          <w:szCs w:val="26"/>
          <w:rtl w:val="0"/>
          <w:lang w:val="en-US"/>
        </w:rPr>
        <w:t>TSPP: A Unified Benchmarking Tool for Time-series</w:t>
      </w:r>
      <w:r>
        <w:rPr>
          <w:sz w:val="26"/>
          <w:szCs w:val="26"/>
          <w:rtl w:val="0"/>
        </w:rPr>
        <w:t> </w:t>
      </w:r>
      <w:r>
        <w:rPr>
          <w:sz w:val="26"/>
          <w:szCs w:val="26"/>
          <w:rtl w:val="0"/>
          <w:lang w:val="en-US"/>
        </w:rPr>
        <w:t>Forecasting, 2024,</w:t>
      </w:r>
      <w:r>
        <w:rPr>
          <w:sz w:val="26"/>
          <w:szCs w:val="26"/>
          <w:rtl w:val="0"/>
        </w:rPr>
        <w:t> </w:t>
      </w:r>
      <w:r>
        <w:rPr>
          <w:sz w:val="26"/>
          <w:szCs w:val="26"/>
          <w:rtl w:val="0"/>
        </w:rPr>
        <w:t>Jan Baczek, Dmytro Zhylko Gilberto Titericz, Sajad Darabi, Jean-Francois Puget,</w:t>
      </w:r>
      <w:r>
        <w:rPr>
          <w:sz w:val="26"/>
          <w:szCs w:val="26"/>
          <w:rtl w:val="0"/>
        </w:rPr>
        <w:t> </w:t>
      </w:r>
      <w:r>
        <w:rPr>
          <w:sz w:val="26"/>
          <w:szCs w:val="26"/>
          <w:rtl w:val="0"/>
        </w:rPr>
        <w:t>Izzy Putterman, Dawid Majchrowski, Anmol Gupta, Kyle Kranen, Pawel Morkisz,</w:t>
      </w:r>
      <w:r>
        <w:rPr>
          <w:sz w:val="26"/>
          <w:szCs w:val="26"/>
          <w:rtl w:val="0"/>
        </w:rPr>
        <w:t> </w:t>
      </w:r>
      <w:r>
        <w:rPr>
          <w:sz w:val="26"/>
          <w:szCs w:val="26"/>
          <w:rtl w:val="0"/>
          <w:lang w:val="nl-NL"/>
        </w:rPr>
        <w:t>NVIDIA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rtl w:val="0"/>
        </w:rPr>
      </w:pPr>
      <w:r>
        <w:rPr>
          <w:rFonts w:ascii="Arial Unicode MS" w:cs="Arial Unicode MS" w:hAnsi="Arial Unicode MS" w:eastAsia="Arial Unicode MS"/>
          <w:b w:val="0"/>
          <w:bCs w:val="0"/>
          <w:i w:val="0"/>
          <w:iCs w:val="0"/>
          <w:sz w:val="26"/>
          <w:szCs w:val="26"/>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ind w:left="0" w:right="0" w:firstLine="0"/>
        <w:jc w:val="left"/>
        <w:rPr>
          <w:b w:val="1"/>
          <w:bCs w:val="1"/>
          <w:sz w:val="32"/>
          <w:szCs w:val="32"/>
          <w:rtl w:val="0"/>
        </w:rPr>
      </w:pPr>
      <w:r>
        <w:rPr>
          <w:b w:val="1"/>
          <w:bCs w:val="1"/>
          <w:sz w:val="32"/>
          <w:szCs w:val="32"/>
          <w:rtl w:val="0"/>
          <w:lang w:val="en-US"/>
        </w:rPr>
        <w:t>Evaluation Metrics, Validation, and Statistical Rigor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ind w:left="0" w:right="0" w:firstLine="0"/>
        <w:jc w:val="left"/>
        <w:rPr>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sz w:val="26"/>
          <w:szCs w:val="26"/>
          <w:rtl w:val="0"/>
          <w:lang w:val="en-US"/>
        </w:rPr>
        <w:t>Metrics and methods provide a critical foundation for evaluating the robustness, accuracy, and practical impact of predictive models in time series analysis. By employing rigorous statistical metrics, walk-forward validation techniques, and economic performance indicators, this framework ensures that models not only perform well on historical data but also translate into actionable insights in real-world financial scenarios. The integration of statistical reliability measures and domain-specific economic evaluations underscores the importance of bridging theoretical rigor with practical utility in the high-frequency trading domain.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0"/>
          <w:bCs w:val="0"/>
          <w:sz w:val="26"/>
          <w:szCs w:val="26"/>
          <w:rtl w:val="0"/>
        </w:rPr>
      </w:pPr>
      <w:r>
        <w:rPr>
          <w:b w:val="1"/>
          <w:bCs w:val="1"/>
          <w:sz w:val="26"/>
          <w:szCs w:val="26"/>
          <w:rtl w:val="0"/>
          <w:lang w:val="en-US"/>
        </w:rPr>
        <w:t>Metrics and Methods:</w:t>
      </w:r>
    </w:p>
    <w:p>
      <w:pPr>
        <w:pStyle w:val="Default"/>
        <w:numPr>
          <w:ilvl w:val="0"/>
          <w:numId w:val="2"/>
        </w:numPr>
        <w:bidi w:val="0"/>
        <w:spacing w:before="0"/>
        <w:ind w:right="0"/>
        <w:jc w:val="left"/>
        <w:rPr>
          <w:sz w:val="26"/>
          <w:szCs w:val="26"/>
          <w:rtl w:val="0"/>
          <w:lang w:val="en-US"/>
        </w:rPr>
      </w:pPr>
      <w:r>
        <w:rPr>
          <w:b w:val="1"/>
          <w:bCs w:val="1"/>
          <w:sz w:val="26"/>
          <w:szCs w:val="26"/>
          <w:rtl w:val="0"/>
          <w:lang w:val="en-US"/>
        </w:rPr>
        <w:t>Predictive Accuracy &amp; Reliability:</w:t>
      </w:r>
      <w:r>
        <w:rPr>
          <w:sz w:val="26"/>
          <w:szCs w:val="26"/>
          <w:rtl w:val="0"/>
          <w:lang w:val="en-US"/>
        </w:rPr>
        <w:t xml:space="preserve"> Metrics like Cohen</w:t>
      </w:r>
      <w:r>
        <w:rPr>
          <w:sz w:val="26"/>
          <w:szCs w:val="26"/>
          <w:rtl w:val="1"/>
        </w:rPr>
        <w:t>’</w:t>
      </w:r>
      <w:r>
        <w:rPr>
          <w:sz w:val="26"/>
          <w:szCs w:val="26"/>
          <w:rtl w:val="0"/>
          <w:lang w:val="en-US"/>
        </w:rPr>
        <w:t>s Kappa and proper scoring rules will be used. Confidence intervals and prediction intervals assess statistical significance.</w:t>
      </w:r>
      <w:r>
        <w:rPr>
          <w:sz w:val="26"/>
          <w:szCs w:val="26"/>
          <w:rtl w:val="0"/>
          <w:lang w:val="en-US"/>
        </w:rPr>
        <w:t xml:space="preserve">  For portfolio allocation sharpe ratio will be used.</w:t>
      </w:r>
    </w:p>
    <w:p>
      <w:pPr>
        <w:pStyle w:val="Default"/>
        <w:numPr>
          <w:ilvl w:val="0"/>
          <w:numId w:val="2"/>
        </w:numPr>
        <w:bidi w:val="0"/>
        <w:spacing w:before="0"/>
        <w:ind w:right="0"/>
        <w:jc w:val="left"/>
        <w:rPr>
          <w:sz w:val="26"/>
          <w:szCs w:val="26"/>
          <w:rtl w:val="0"/>
          <w:lang w:val="en-US"/>
        </w:rPr>
      </w:pPr>
      <w:r>
        <w:rPr>
          <w:b w:val="1"/>
          <w:bCs w:val="1"/>
          <w:sz w:val="26"/>
          <w:szCs w:val="26"/>
          <w:rtl w:val="0"/>
          <w:lang w:val="en-US"/>
        </w:rPr>
        <w:t>Walk-Forward Validation:</w:t>
      </w:r>
      <w:r>
        <w:rPr>
          <w:sz w:val="26"/>
          <w:szCs w:val="26"/>
          <w:rtl w:val="0"/>
          <w:lang w:val="en-US"/>
        </w:rPr>
        <w:t xml:space="preserve"> Time-series splitting and walk-forward testing prevent look-ahead bias.</w:t>
      </w:r>
    </w:p>
    <w:p>
      <w:pPr>
        <w:pStyle w:val="Default"/>
        <w:numPr>
          <w:ilvl w:val="0"/>
          <w:numId w:val="2"/>
        </w:numPr>
        <w:bidi w:val="0"/>
        <w:spacing w:before="0"/>
        <w:ind w:right="0"/>
        <w:jc w:val="left"/>
        <w:rPr>
          <w:sz w:val="26"/>
          <w:szCs w:val="26"/>
          <w:rtl w:val="0"/>
          <w:lang w:val="en-US"/>
        </w:rPr>
      </w:pPr>
      <w:r>
        <w:rPr>
          <w:b w:val="1"/>
          <w:bCs w:val="1"/>
          <w:sz w:val="26"/>
          <w:szCs w:val="26"/>
          <w:rtl w:val="0"/>
          <w:lang w:val="en-US"/>
        </w:rPr>
        <w:t>Economic Metrics:</w:t>
      </w:r>
      <w:r>
        <w:rPr>
          <w:sz w:val="26"/>
          <w:szCs w:val="26"/>
          <w:rtl w:val="0"/>
          <w:lang w:val="en-US"/>
        </w:rPr>
        <w:t xml:space="preserve"> We will assess Sharpe ratios, turnover, and market impact to ensure that predictive gains translate into concrete financial improvements.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0"/>
          <w:bCs w:val="0"/>
          <w:sz w:val="26"/>
          <w:szCs w:val="26"/>
          <w:rtl w:val="0"/>
        </w:rPr>
      </w:pPr>
      <w:r>
        <w:rPr>
          <w:b w:val="1"/>
          <w:bCs w:val="1"/>
          <w:sz w:val="26"/>
          <w:szCs w:val="26"/>
          <w:rtl w:val="0"/>
          <w:lang w:val="en-US"/>
        </w:rPr>
        <w:t>Selected Literature:</w:t>
      </w:r>
    </w:p>
    <w:p>
      <w:pPr>
        <w:pStyle w:val="Default"/>
        <w:numPr>
          <w:ilvl w:val="0"/>
          <w:numId w:val="2"/>
        </w:numPr>
        <w:bidi w:val="0"/>
        <w:spacing w:before="0"/>
        <w:ind w:right="0"/>
        <w:jc w:val="left"/>
        <w:rPr>
          <w:sz w:val="26"/>
          <w:szCs w:val="26"/>
          <w:rtl w:val="0"/>
          <w:lang w:val="es-ES_tradnl"/>
        </w:rPr>
      </w:pPr>
      <w:r>
        <w:rPr>
          <w:sz w:val="26"/>
          <w:szCs w:val="26"/>
          <w:rtl w:val="0"/>
          <w:lang w:val="es-ES_tradnl"/>
        </w:rPr>
        <w:t xml:space="preserve">Hyndman, R. J., &amp; Athanasopoulos, G. (2018). </w:t>
      </w:r>
      <w:r>
        <w:rPr>
          <w:i w:val="1"/>
          <w:iCs w:val="1"/>
          <w:sz w:val="26"/>
          <w:szCs w:val="26"/>
          <w:rtl w:val="0"/>
          <w:lang w:val="en-US"/>
        </w:rPr>
        <w:t>Forecasting: Principles and Practice.</w:t>
      </w:r>
      <w:r>
        <w:rPr>
          <w:sz w:val="26"/>
          <w:szCs w:val="26"/>
          <w:rtl w:val="0"/>
          <w:lang w:val="de-DE"/>
        </w:rPr>
        <w:t xml:space="preserve"> OTexts.</w:t>
      </w:r>
    </w:p>
    <w:p>
      <w:pPr>
        <w:pStyle w:val="Default"/>
        <w:numPr>
          <w:ilvl w:val="0"/>
          <w:numId w:val="2"/>
        </w:numPr>
        <w:bidi w:val="0"/>
        <w:spacing w:before="0"/>
        <w:ind w:right="0"/>
        <w:jc w:val="left"/>
        <w:rPr>
          <w:sz w:val="26"/>
          <w:szCs w:val="26"/>
          <w:rtl w:val="0"/>
          <w:lang w:val="en-US"/>
        </w:rPr>
      </w:pPr>
      <w:r>
        <w:rPr>
          <w:sz w:val="26"/>
          <w:szCs w:val="26"/>
          <w:rtl w:val="0"/>
          <w:lang w:val="en-US"/>
        </w:rPr>
        <w:t xml:space="preserve">Lo, A. (2002). "The statistics of Sharpe ratios." </w:t>
      </w:r>
      <w:r>
        <w:rPr>
          <w:i w:val="1"/>
          <w:iCs w:val="1"/>
          <w:sz w:val="26"/>
          <w:szCs w:val="26"/>
          <w:rtl w:val="0"/>
          <w:lang w:val="en-US"/>
        </w:rPr>
        <w:t>Financial Analysts Journal, 58(4)</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Bergmeir, C., Hyndman, R. J., &amp; Koo, B. (2018). "A note on the validity of cross-validation for evaluating time series prediction." </w:t>
      </w:r>
      <w:r>
        <w:rPr>
          <w:i w:val="1"/>
          <w:iCs w:val="1"/>
          <w:sz w:val="26"/>
          <w:szCs w:val="26"/>
          <w:rtl w:val="0"/>
          <w:lang w:val="en-US"/>
        </w:rPr>
        <w:t>Computational Statistics &amp; Data Analysis, 120</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Damian Kisiel and Denise Gorse</w:t>
      </w:r>
      <w:r>
        <w:rPr>
          <w:sz w:val="26"/>
          <w:szCs w:val="26"/>
          <w:rtl w:val="0"/>
          <w:lang w:val="en-US"/>
        </w:rPr>
        <w:t xml:space="preserve"> (2022), </w:t>
      </w:r>
      <w:r>
        <w:rPr>
          <w:sz w:val="26"/>
          <w:szCs w:val="26"/>
          <w:rtl w:val="0"/>
          <w:lang w:val="en-US"/>
        </w:rPr>
        <w:t>Portfolio Transformer for Attention-Based</w:t>
      </w:r>
      <w:r>
        <w:rPr>
          <w:sz w:val="26"/>
          <w:szCs w:val="26"/>
          <w:rtl w:val="0"/>
          <w:lang w:val="en-US"/>
        </w:rPr>
        <w:t xml:space="preserve"> </w:t>
      </w:r>
      <w:r>
        <w:rPr>
          <w:sz w:val="26"/>
          <w:szCs w:val="26"/>
          <w:rtl w:val="0"/>
          <w:lang w:val="it-IT"/>
        </w:rPr>
        <w:t>Asset Allocation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Fonts w:ascii="Arial Unicode MS" w:cs="Arial Unicode MS" w:hAnsi="Arial Unicode MS" w:eastAsia="Arial Unicode MS"/>
          <w:b w:val="0"/>
          <w:bCs w:val="0"/>
          <w:i w:val="0"/>
          <w:iCs w:val="0"/>
          <w:sz w:val="26"/>
          <w:szCs w:val="26"/>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ind w:left="0" w:right="0" w:firstLine="0"/>
        <w:jc w:val="left"/>
        <w:rPr>
          <w:b w:val="1"/>
          <w:bCs w:val="1"/>
          <w:sz w:val="32"/>
          <w:szCs w:val="32"/>
          <w:rtl w:val="0"/>
        </w:rPr>
      </w:pPr>
      <w:r>
        <w:rPr>
          <w:b w:val="1"/>
          <w:bCs w:val="1"/>
          <w:sz w:val="32"/>
          <w:szCs w:val="32"/>
          <w:rtl w:val="0"/>
          <w:lang w:val="en-US"/>
        </w:rPr>
        <w:t>Conclusion and Broader Implications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ind w:left="0" w:right="0" w:firstLine="0"/>
        <w:jc w:val="left"/>
        <w:rPr>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sz w:val="26"/>
          <w:szCs w:val="26"/>
          <w:rtl w:val="0"/>
          <w:lang w:val="en-US"/>
        </w:rPr>
        <w:t>This project integrates theory-driven econometrics with cutting-edge ML to understand and predict microstructure dynamics in the EGB futures market. By moving from Markov chains to advanced architectures like Mamba and Transformers, and by incorporating deep learning techniques shown effective in previous research on LOB and market-by-order data, we expand the complexity and nuance of our predictive models. The resulting forecasts include expected paths and confidence levels, providing practical inputs for market making, hedging strategies and inventory scaling decisions.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r>
        <w:rPr>
          <w:sz w:val="26"/>
          <w:szCs w:val="26"/>
          <w:rtl w:val="0"/>
          <w:lang w:val="en-US"/>
        </w:rPr>
        <w:t>Our rigorous evaluation framework, transparent research pipeline, and integration of advanced feature extraction techniques (UMAP, Time2Vec, path signatures) position this research as both academically and practically valuable. Over time, this framework can be extended to new asset classes, longer horizons, or cross-market generalization. Ultimately, the project contributes to a more efficient, informed, and adaptive approach to high-frequency financial research and trading strategy design.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0"/>
          <w:bCs w:val="0"/>
          <w:sz w:val="26"/>
          <w:szCs w:val="26"/>
          <w:rtl w:val="0"/>
        </w:rPr>
      </w:pPr>
      <w:r>
        <w:rPr>
          <w:b w:val="1"/>
          <w:bCs w:val="1"/>
          <w:sz w:val="26"/>
          <w:szCs w:val="26"/>
          <w:rtl w:val="0"/>
          <w:lang w:val="en-US"/>
        </w:rPr>
        <w:t>Additional Selected Literature:</w:t>
      </w:r>
    </w:p>
    <w:p>
      <w:pPr>
        <w:pStyle w:val="Default"/>
        <w:numPr>
          <w:ilvl w:val="0"/>
          <w:numId w:val="2"/>
        </w:numPr>
        <w:bidi w:val="0"/>
        <w:spacing w:before="0"/>
        <w:ind w:right="0"/>
        <w:jc w:val="left"/>
        <w:rPr>
          <w:sz w:val="26"/>
          <w:szCs w:val="26"/>
          <w:rtl w:val="0"/>
          <w:lang w:val="en-US"/>
        </w:rPr>
      </w:pPr>
      <w:r>
        <w:rPr>
          <w:sz w:val="26"/>
          <w:szCs w:val="26"/>
          <w:rtl w:val="0"/>
          <w:lang w:val="en-US"/>
        </w:rPr>
        <w:t xml:space="preserve">Li, S., et al. (2019). "Enhancing the Locality and Breaking the Memory Bottleneck of Transformer on Time Series Forecasting." </w:t>
      </w:r>
      <w:r>
        <w:rPr>
          <w:i w:val="1"/>
          <w:iCs w:val="1"/>
          <w:sz w:val="26"/>
          <w:szCs w:val="26"/>
          <w:rtl w:val="0"/>
          <w:lang w:val="de-DE"/>
        </w:rPr>
        <w:t>NeurIPS</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 xml:space="preserve">Zhou, H., et al. (2021). "Autoformer: Decomposition Transformers with Auto-Correlation for Long-Term Series Forecasting." </w:t>
      </w:r>
      <w:r>
        <w:rPr>
          <w:i w:val="1"/>
          <w:iCs w:val="1"/>
          <w:sz w:val="26"/>
          <w:szCs w:val="26"/>
          <w:rtl w:val="0"/>
          <w:lang w:val="de-DE"/>
        </w:rPr>
        <w:t>NeurIPS</w:t>
      </w:r>
      <w:r>
        <w:rPr>
          <w:sz w:val="26"/>
          <w:szCs w:val="26"/>
          <w:rtl w:val="0"/>
        </w:rPr>
        <w:t>.</w:t>
      </w:r>
    </w:p>
    <w:p>
      <w:pPr>
        <w:pStyle w:val="Default"/>
        <w:numPr>
          <w:ilvl w:val="0"/>
          <w:numId w:val="2"/>
        </w:numPr>
        <w:bidi w:val="0"/>
        <w:spacing w:before="0"/>
        <w:ind w:right="0"/>
        <w:jc w:val="left"/>
        <w:rPr>
          <w:sz w:val="26"/>
          <w:szCs w:val="26"/>
          <w:rtl w:val="0"/>
          <w:lang w:val="en-US"/>
        </w:rPr>
      </w:pPr>
      <w:r>
        <w:rPr>
          <w:sz w:val="26"/>
          <w:szCs w:val="26"/>
          <w:rtl w:val="0"/>
          <w:lang w:val="en-US"/>
        </w:rPr>
        <w:t>J</w:t>
      </w:r>
      <w:r>
        <w:rPr>
          <w:sz w:val="26"/>
          <w:szCs w:val="26"/>
          <w:rtl w:val="0"/>
        </w:rPr>
        <w:t>acek Cyranka,</w:t>
      </w:r>
      <w:r>
        <w:rPr>
          <w:sz w:val="26"/>
          <w:szCs w:val="26"/>
          <w:rtl w:val="0"/>
        </w:rPr>
        <w:t> </w:t>
      </w:r>
      <w:r>
        <w:rPr>
          <w:sz w:val="26"/>
          <w:szCs w:val="26"/>
          <w:rtl w:val="0"/>
        </w:rPr>
        <w:t>Szymon Haponiuk, 2024</w:t>
      </w:r>
      <w:r>
        <w:rPr>
          <w:sz w:val="26"/>
          <w:szCs w:val="26"/>
          <w:rtl w:val="0"/>
          <w:lang w:val="en-US"/>
        </w:rPr>
        <w:t xml:space="preserve">, </w:t>
      </w:r>
      <w:r>
        <w:rPr>
          <w:sz w:val="26"/>
          <w:szCs w:val="26"/>
          <w:rtl w:val="0"/>
          <w:lang w:val="en-US"/>
        </w:rPr>
        <w:t>Unified Long-Term Time-Series</w:t>
      </w:r>
      <w:r>
        <w:rPr>
          <w:sz w:val="26"/>
          <w:szCs w:val="26"/>
          <w:rtl w:val="0"/>
        </w:rPr>
        <w:t> </w:t>
      </w:r>
      <w:r>
        <w:rPr>
          <w:sz w:val="26"/>
          <w:szCs w:val="26"/>
          <w:rtl w:val="0"/>
          <w:lang w:val="en-US"/>
        </w:rPr>
        <w:t>Forecasting Benchmark,</w:t>
      </w:r>
    </w:p>
    <w:p>
      <w:pPr>
        <w:pStyle w:val="Default"/>
        <w:numPr>
          <w:ilvl w:val="0"/>
          <w:numId w:val="2"/>
        </w:numPr>
        <w:bidi w:val="0"/>
        <w:spacing w:before="0"/>
        <w:ind w:right="0"/>
        <w:jc w:val="left"/>
        <w:rPr>
          <w:sz w:val="26"/>
          <w:szCs w:val="26"/>
          <w:rtl w:val="0"/>
        </w:rPr>
      </w:pPr>
      <w:r>
        <w:rPr>
          <w:sz w:val="26"/>
          <w:szCs w:val="26"/>
          <w:rtl w:val="0"/>
        </w:rPr>
        <w:t>Antony Krymski, Paul Bilokon,</w:t>
      </w:r>
      <w:r>
        <w:rPr>
          <w:sz w:val="26"/>
          <w:szCs w:val="26"/>
          <w:rtl w:val="0"/>
        </w:rPr>
        <w:t> </w:t>
      </w:r>
      <w:r>
        <w:rPr>
          <w:sz w:val="26"/>
          <w:szCs w:val="26"/>
          <w:rtl w:val="0"/>
          <w:lang w:val="pt-PT"/>
        </w:rPr>
        <w:t xml:space="preserve">Tom Davison </w:t>
      </w:r>
      <w:r>
        <w:rPr>
          <w:sz w:val="26"/>
          <w:szCs w:val="26"/>
          <w:rtl w:val="0"/>
          <w:lang w:val="en-US"/>
        </w:rPr>
        <w:t xml:space="preserve">(2024) </w:t>
      </w:r>
      <w:r>
        <w:rPr>
          <w:sz w:val="26"/>
          <w:szCs w:val="26"/>
          <w:rtl w:val="0"/>
          <w:lang w:val="en-US"/>
        </w:rPr>
        <w:t>Representation Learning for Financial Time Series</w:t>
      </w:r>
      <w:r>
        <w:rPr>
          <w:sz w:val="26"/>
          <w:szCs w:val="26"/>
          <w:rtl w:val="0"/>
          <w:lang w:val="en-US"/>
        </w:rPr>
        <w:t xml:space="preserve"> </w:t>
      </w:r>
      <w:r>
        <w:rPr>
          <w:sz w:val="26"/>
          <w:szCs w:val="26"/>
          <w:rtl w:val="0"/>
          <w:lang w:val="en-US"/>
        </w:rPr>
        <w:t>Forecasting,</w:t>
      </w:r>
      <w:r>
        <w:rPr>
          <w:sz w:val="26"/>
          <w:szCs w:val="26"/>
          <w:rtl w:val="0"/>
        </w:rPr>
        <w:t> </w:t>
      </w:r>
    </w:p>
    <w:p>
      <w:pPr>
        <w:pStyle w:val="Default"/>
        <w:numPr>
          <w:ilvl w:val="0"/>
          <w:numId w:val="2"/>
        </w:numPr>
        <w:bidi w:val="0"/>
        <w:spacing w:before="0"/>
        <w:ind w:right="0"/>
        <w:jc w:val="left"/>
        <w:rPr>
          <w:sz w:val="26"/>
          <w:szCs w:val="26"/>
          <w:rtl w:val="0"/>
        </w:rPr>
      </w:pPr>
      <w:r>
        <w:rPr>
          <w:sz w:val="26"/>
          <w:szCs w:val="26"/>
          <w:rtl w:val="0"/>
        </w:rPr>
        <w:t xml:space="preserve">Qianli Ma, Zhen Liu, Zhenjing Zheng, Ziyang Huang, Siying Zhu, Zhongzhong Yu,and James T. Kwok, </w:t>
      </w:r>
      <w:r>
        <w:rPr>
          <w:sz w:val="26"/>
          <w:szCs w:val="26"/>
          <w:rtl w:val="0"/>
          <w:lang w:val="en-US"/>
        </w:rPr>
        <w:t>(</w:t>
      </w:r>
      <w:r>
        <w:rPr>
          <w:sz w:val="26"/>
          <w:szCs w:val="26"/>
          <w:rtl w:val="0"/>
          <w:lang w:val="en-US"/>
        </w:rPr>
        <w:t>2024</w:t>
      </w:r>
      <w:r>
        <w:rPr>
          <w:sz w:val="26"/>
          <w:szCs w:val="26"/>
          <w:rtl w:val="0"/>
          <w:lang w:val="en-US"/>
        </w:rPr>
        <w:t>)</w:t>
      </w:r>
      <w:r>
        <w:rPr>
          <w:sz w:val="26"/>
          <w:szCs w:val="26"/>
          <w:rtl w:val="0"/>
          <w:lang w:val="en-US"/>
        </w:rPr>
        <w:t xml:space="preserve"> A Survey on Time-Series Pre-Trained Models,</w:t>
      </w:r>
      <w:r>
        <w:rPr>
          <w:sz w:val="26"/>
          <w:szCs w:val="26"/>
          <w:rtl w:val="0"/>
        </w:rPr>
        <w: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8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6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4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2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7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8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6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24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