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Times New Roman" w:hAnsi="Times New Roman"/>
          <w:b/>
          <w:color w:val="000000"/>
          <w:sz w:val="34"/>
        </w:rPr>
        <w:t>AI Meeting Communication Coach: A Speaker-Aware Desktop Assistant</w:t>
      </w:r>
    </w:p>
    <w:p>
      <w:pPr>
        <w:spacing w:before="0" w:after="240"/>
        <w:jc w:val="center"/>
      </w:pPr>
      <w:r>
        <w:rPr>
          <w:rFonts w:ascii="Times New Roman" w:hAnsi="Times New Roman"/>
          <w:i/>
          <w:color w:val="000000"/>
          <w:sz w:val="24"/>
        </w:rPr>
        <w:t>Literature Review on Real-Time Conversational Co-Pilots, Streaming Diarisation, Sociometrics, and Cognitive Ergonomics</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680"/>
        <w:gridCol w:w="4680"/>
      </w:tblGrid>
      <w:tr>
        <w:tc>
          <w:tcPr>
            <w:tcW w:type="dxa" w:w="2880"/>
            <w:shd w:fill="F3F4F6"/>
            <w:tcMar>
              <w:top w:w="45" w:type="dxa"/>
              <w:bottom w:w="45" w:type="dxa"/>
              <w:left w:w="80" w:type="dxa"/>
              <w:right w:w="80" w:type="dxa"/>
            </w:tcMar>
          </w:tcPr>
          <w:p>
            <w:pPr>
              <w:spacing w:before="40" w:after="40" w:line="252" w:lineRule="auto"/>
            </w:pPr>
            <w:r>
              <w:rPr>
                <w:rFonts w:ascii="Times New Roman" w:hAnsi="Times New Roman"/>
                <w:b/>
                <w:color w:val="000000"/>
                <w:sz w:val="20"/>
              </w:rPr>
              <w:t>Candidate:</w:t>
            </w:r>
          </w:p>
        </w:tc>
        <w:tc>
          <w:tcPr>
            <w:tcW w:type="dxa" w:w="6480"/>
            <w:shd w:fill="FFFFFF"/>
            <w:tcMar>
              <w:top w:w="45" w:type="dxa"/>
              <w:bottom w:w="45" w:type="dxa"/>
              <w:left w:w="80" w:type="dxa"/>
              <w:right w:w="80" w:type="dxa"/>
            </w:tcMar>
          </w:tcPr>
          <w:p>
            <w:pPr>
              <w:spacing w:before="40" w:after="40" w:line="252" w:lineRule="auto"/>
            </w:pPr>
            <w:r>
              <w:rPr>
                <w:rFonts w:ascii="Times New Roman" w:hAnsi="Times New Roman"/>
                <w:color w:val="000000"/>
                <w:sz w:val="20"/>
              </w:rPr>
              <w:t>Sneha Neupane (Student ID: 900008705)</w:t>
            </w:r>
          </w:p>
        </w:tc>
      </w:tr>
      <w:tr>
        <w:tc>
          <w:tcPr>
            <w:tcW w:type="dxa" w:w="2880"/>
            <w:shd w:fill="F3F4F6"/>
            <w:tcMar>
              <w:top w:w="45" w:type="dxa"/>
              <w:bottom w:w="45" w:type="dxa"/>
              <w:left w:w="80" w:type="dxa"/>
              <w:right w:w="80" w:type="dxa"/>
            </w:tcMar>
          </w:tcPr>
          <w:p>
            <w:pPr>
              <w:spacing w:before="40" w:after="40" w:line="252" w:lineRule="auto"/>
            </w:pPr>
            <w:r>
              <w:rPr>
                <w:rFonts w:ascii="Times New Roman" w:hAnsi="Times New Roman"/>
                <w:b/>
                <w:color w:val="000000"/>
                <w:sz w:val="20"/>
              </w:rPr>
              <w:t>Unit of Study:</w:t>
            </w:r>
          </w:p>
        </w:tc>
        <w:tc>
          <w:tcPr>
            <w:tcW w:type="dxa" w:w="6480"/>
            <w:shd w:fill="FFFFFF"/>
            <w:tcMar>
              <w:top w:w="45" w:type="dxa"/>
              <w:bottom w:w="45" w:type="dxa"/>
              <w:left w:w="80" w:type="dxa"/>
              <w:right w:w="80" w:type="dxa"/>
            </w:tcMar>
          </w:tcPr>
          <w:p>
            <w:pPr>
              <w:spacing w:before="40" w:after="40" w:line="252" w:lineRule="auto"/>
            </w:pPr>
            <w:r>
              <w:rPr>
                <w:rFonts w:ascii="Times New Roman" w:hAnsi="Times New Roman"/>
                <w:color w:val="000000"/>
                <w:sz w:val="20"/>
              </w:rPr>
              <w:t>ITNET312A Major Individual Project</w:t>
            </w:r>
          </w:p>
        </w:tc>
      </w:tr>
      <w:tr>
        <w:tc>
          <w:tcPr>
            <w:tcW w:type="dxa" w:w="2880"/>
            <w:shd w:fill="F3F4F6"/>
            <w:tcMar>
              <w:top w:w="45" w:type="dxa"/>
              <w:bottom w:w="45" w:type="dxa"/>
              <w:left w:w="80" w:type="dxa"/>
              <w:right w:w="80" w:type="dxa"/>
            </w:tcMar>
          </w:tcPr>
          <w:p>
            <w:pPr>
              <w:spacing w:before="40" w:after="40" w:line="252" w:lineRule="auto"/>
            </w:pPr>
            <w:r>
              <w:rPr>
                <w:rFonts w:ascii="Times New Roman" w:hAnsi="Times New Roman"/>
                <w:b/>
                <w:color w:val="000000"/>
                <w:sz w:val="20"/>
              </w:rPr>
              <w:t>Assessment:</w:t>
            </w:r>
          </w:p>
        </w:tc>
        <w:tc>
          <w:tcPr>
            <w:tcW w:type="dxa" w:w="6480"/>
            <w:shd w:fill="FFFFFF"/>
            <w:tcMar>
              <w:top w:w="45" w:type="dxa"/>
              <w:bottom w:w="45" w:type="dxa"/>
              <w:left w:w="80" w:type="dxa"/>
              <w:right w:w="80" w:type="dxa"/>
            </w:tcMar>
          </w:tcPr>
          <w:p>
            <w:pPr>
              <w:spacing w:before="40" w:after="40" w:line="252" w:lineRule="auto"/>
            </w:pPr>
            <w:r>
              <w:rPr>
                <w:rFonts w:ascii="Times New Roman" w:hAnsi="Times New Roman"/>
                <w:color w:val="000000"/>
                <w:sz w:val="20"/>
              </w:rPr>
              <w:t>Assessment 2: Literature Review (Weighting: 20%)</w:t>
            </w:r>
          </w:p>
        </w:tc>
      </w:tr>
      <w:tr>
        <w:tc>
          <w:tcPr>
            <w:tcW w:type="dxa" w:w="2880"/>
            <w:shd w:fill="F3F4F6"/>
            <w:tcMar>
              <w:top w:w="45" w:type="dxa"/>
              <w:bottom w:w="45" w:type="dxa"/>
              <w:left w:w="80" w:type="dxa"/>
              <w:right w:w="80" w:type="dxa"/>
            </w:tcMar>
          </w:tcPr>
          <w:p>
            <w:pPr>
              <w:spacing w:before="40" w:after="40" w:line="252" w:lineRule="auto"/>
            </w:pPr>
            <w:r>
              <w:rPr>
                <w:rFonts w:ascii="Times New Roman" w:hAnsi="Times New Roman"/>
                <w:b/>
                <w:color w:val="000000"/>
                <w:sz w:val="20"/>
              </w:rPr>
              <w:t>Institution:</w:t>
            </w:r>
          </w:p>
        </w:tc>
        <w:tc>
          <w:tcPr>
            <w:tcW w:type="dxa" w:w="6480"/>
            <w:shd w:fill="FFFFFF"/>
            <w:tcMar>
              <w:top w:w="45" w:type="dxa"/>
              <w:bottom w:w="45" w:type="dxa"/>
              <w:left w:w="80" w:type="dxa"/>
              <w:right w:w="80" w:type="dxa"/>
            </w:tcMar>
          </w:tcPr>
          <w:p>
            <w:pPr>
              <w:spacing w:before="40" w:after="40" w:line="252" w:lineRule="auto"/>
            </w:pPr>
            <w:r>
              <w:rPr>
                <w:rFonts w:ascii="Times New Roman" w:hAnsi="Times New Roman"/>
                <w:color w:val="000000"/>
                <w:sz w:val="20"/>
              </w:rPr>
              <w:t>TAFE NSW Higher Education</w:t>
            </w:r>
          </w:p>
        </w:tc>
      </w:tr>
      <w:tr>
        <w:tc>
          <w:tcPr>
            <w:tcW w:type="dxa" w:w="2880"/>
            <w:shd w:fill="F3F4F6"/>
            <w:tcMar>
              <w:top w:w="45" w:type="dxa"/>
              <w:bottom w:w="45" w:type="dxa"/>
              <w:left w:w="80" w:type="dxa"/>
              <w:right w:w="80" w:type="dxa"/>
            </w:tcMar>
          </w:tcPr>
          <w:p>
            <w:pPr>
              <w:spacing w:before="40" w:after="40" w:line="252" w:lineRule="auto"/>
            </w:pPr>
            <w:r>
              <w:rPr>
                <w:rFonts w:ascii="Times New Roman" w:hAnsi="Times New Roman"/>
                <w:b/>
                <w:color w:val="000000"/>
                <w:sz w:val="20"/>
              </w:rPr>
              <w:t>Submission Target:</w:t>
            </w:r>
          </w:p>
        </w:tc>
        <w:tc>
          <w:tcPr>
            <w:tcW w:type="dxa" w:w="6480"/>
            <w:shd w:fill="FFFFFF"/>
            <w:tcMar>
              <w:top w:w="45" w:type="dxa"/>
              <w:bottom w:w="45" w:type="dxa"/>
              <w:left w:w="80" w:type="dxa"/>
              <w:right w:w="80" w:type="dxa"/>
            </w:tcMar>
          </w:tcPr>
          <w:p>
            <w:pPr>
              <w:spacing w:before="40" w:after="40" w:line="252" w:lineRule="auto"/>
            </w:pPr>
            <w:r>
              <w:rPr>
                <w:rFonts w:ascii="Times New Roman" w:hAnsi="Times New Roman"/>
                <w:color w:val="000000"/>
                <w:sz w:val="20"/>
              </w:rPr>
              <w:t>Week 6 via Moodle Turnitin</w:t>
            </w:r>
          </w:p>
        </w:tc>
      </w:tr>
      <w:tr>
        <w:tc>
          <w:tcPr>
            <w:tcW w:type="dxa" w:w="2880"/>
            <w:shd w:fill="F3F4F6"/>
            <w:tcMar>
              <w:top w:w="45" w:type="dxa"/>
              <w:bottom w:w="45" w:type="dxa"/>
              <w:left w:w="80" w:type="dxa"/>
              <w:right w:w="80" w:type="dxa"/>
            </w:tcMar>
          </w:tcPr>
          <w:p>
            <w:pPr>
              <w:spacing w:before="40" w:after="40" w:line="252" w:lineRule="auto"/>
            </w:pPr>
            <w:r>
              <w:rPr>
                <w:rFonts w:ascii="Times New Roman" w:hAnsi="Times New Roman"/>
                <w:b/>
                <w:color w:val="000000"/>
                <w:sz w:val="20"/>
              </w:rPr>
              <w:t>Referencing Style:</w:t>
            </w:r>
          </w:p>
        </w:tc>
        <w:tc>
          <w:tcPr>
            <w:tcW w:type="dxa" w:w="6480"/>
            <w:shd w:fill="FFFFFF"/>
            <w:tcMar>
              <w:top w:w="45" w:type="dxa"/>
              <w:bottom w:w="45" w:type="dxa"/>
              <w:left w:w="80" w:type="dxa"/>
              <w:right w:w="80" w:type="dxa"/>
            </w:tcMar>
          </w:tcPr>
          <w:p>
            <w:pPr>
              <w:spacing w:before="40" w:after="40" w:line="252" w:lineRule="auto"/>
            </w:pPr>
            <w:r>
              <w:rPr>
                <w:rFonts w:ascii="Times New Roman" w:hAnsi="Times New Roman"/>
                <w:color w:val="000000"/>
                <w:sz w:val="20"/>
              </w:rPr>
              <w:t>APA 7th Edition</w:t>
            </w:r>
          </w:p>
        </w:tc>
      </w:tr>
    </w:tbl>
    <w:p>
      <w:pPr>
        <w:spacing w:before="0" w:after="200"/>
      </w:pPr>
    </w:p>
    <w:p>
      <w:pPr>
        <w:keepNext/>
        <w:spacing w:before="280" w:after="80"/>
      </w:pPr>
      <w:r>
        <w:rPr>
          <w:rFonts w:ascii="Times New Roman" w:hAnsi="Times New Roman"/>
          <w:b/>
          <w:color w:val="000000"/>
          <w:sz w:val="28"/>
        </w:rPr>
        <w:t>1. Introduction</w:t>
      </w:r>
    </w:p>
    <w:p>
      <w:pPr>
        <w:spacing w:line="276" w:lineRule="auto" w:after="100"/>
        <w:jc w:val="both"/>
      </w:pPr>
      <w:r>
        <w:rPr>
          <w:rFonts w:ascii="Times New Roman" w:hAnsi="Times New Roman"/>
          <w:color w:val="000000"/>
        </w:rPr>
        <w:t>Virtual meetings through Zoom, Microsoft Teams, and Google Meet have become central to modern workplace and educational collaboration. However, participants face two persistent challenges during live video calls.</w:t>
      </w:r>
    </w:p>
    <w:p>
      <w:pPr>
        <w:spacing w:line="276" w:lineRule="auto" w:after="100"/>
        <w:jc w:val="both"/>
      </w:pPr>
      <w:r>
        <w:rPr>
          <w:rFonts w:ascii="Times New Roman" w:hAnsi="Times New Roman"/>
          <w:color w:val="000000"/>
        </w:rPr>
        <w:t>First, attendees experience heavy cognitive load. In a fast-paced meeting, one must simultaneously listen to speakers, process technical arguments, take notes, track action items, and plan responses. Under this strain, critical points are frequently missed, action items are forgotten, and questions are left unanswered when conversation shifts quickly (Bailenson, 2021; Sweller, 1988).</w:t>
      </w:r>
    </w:p>
    <w:p>
      <w:pPr>
        <w:spacing w:line="276" w:lineRule="auto" w:after="100"/>
        <w:jc w:val="both"/>
      </w:pPr>
      <w:r>
        <w:rPr>
          <w:rFonts w:ascii="Times New Roman" w:hAnsi="Times New Roman"/>
          <w:color w:val="000000"/>
        </w:rPr>
        <w:t>Second, participants receive no feedback on their interpersonal communication habits. Meetings routinely suffer from speaking imbalances where dominant participants monopolize time or interrupt others, while quieter individuals struggle to contribute (Kim et al., 2008; Samrose et al., 2021; Zimmerman &amp; West, 1975). Because there is no objective record of conversational dynamics, attendees rarely develop awareness of their communication tendencies.</w:t>
      </w:r>
    </w:p>
    <w:p>
      <w:pPr>
        <w:spacing w:line="276" w:lineRule="auto" w:after="100"/>
        <w:jc w:val="both"/>
      </w:pPr>
      <w:r>
        <w:rPr>
          <w:rFonts w:ascii="Times New Roman" w:hAnsi="Times New Roman"/>
          <w:color w:val="000000"/>
        </w:rPr>
        <w:t>Commercial meeting tools like Otter.ai, Read.ai, and Fathom do not resolve these issues. They rely on automated bots that join meeting rosters to record calls and produce post-meeting transcripts. These post-hoc summaries arrive long after the call has concluded, providing no assistance during live discussions. Furthermore, they do not assess individual speaking habits, and sending external recording bots into private meetings creates social unease and breaches enterprise data privacy guidelines.</w:t>
      </w:r>
    </w:p>
    <w:p>
      <w:pPr>
        <w:spacing w:line="276" w:lineRule="auto" w:after="100"/>
        <w:jc w:val="both"/>
      </w:pPr>
      <w:r>
        <w:rPr>
          <w:rFonts w:ascii="Times New Roman" w:hAnsi="Times New Roman"/>
          <w:color w:val="000000"/>
        </w:rPr>
        <w:t>The proposed major project develops an AI Meeting Communication Coach, a lightweight desktop application built with Flutter for macOS and Windows. The assistant captures user microphone audio and incoming system audio locally at the operating system level, eliminating the need for meeting bots. Audio is streamed to Deepgram Nova-2 for sub-400 millisecond speech recognition and speaker diarisation, while Google Gemini generates structured, glanceable insight cards every 12 to 15 seconds.</w:t>
      </w:r>
    </w:p>
    <w:p>
      <w:pPr>
        <w:spacing w:line="276" w:lineRule="auto" w:after="100"/>
        <w:jc w:val="both"/>
      </w:pPr>
      <w:r>
        <w:rPr>
          <w:rFonts w:ascii="Times New Roman" w:hAnsi="Times New Roman"/>
          <w:color w:val="000000"/>
        </w:rPr>
        <w:t>During the call, a compact heads-up display presents real-time key points, action items, suggested follow-ups, and alerts for unanswered questions. Following the session, the assistant calculates objective conversational sociometrics (participation share, turn-taking cadence, and interruptions) and provides constructive feedback, stored longitudinally in a Graphify knowledge graph. Figure 1 outlines the end-to-end dataflow pipeline of the proposed desktop assistant.</w:t>
      </w:r>
    </w:p>
    <w:p>
      <w:pPr>
        <w:spacing w:before="200" w:after="80"/>
        <w:jc w:val="center"/>
      </w:pPr>
      <w:r>
        <w:drawing>
          <wp:inline xmlns:a="http://schemas.openxmlformats.org/drawingml/2006/main" xmlns:pic="http://schemas.openxmlformats.org/drawingml/2006/picture">
            <wp:extent cx="5486400" cy="3092335"/>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11"/>
                    <a:stretch>
                      <a:fillRect/>
                    </a:stretch>
                  </pic:blipFill>
                  <pic:spPr>
                    <a:xfrm>
                      <a:off x="0" y="0"/>
                      <a:ext cx="5486400" cy="3092335"/>
                    </a:xfrm>
                    <a:prstGeom prst="rect"/>
                  </pic:spPr>
                </pic:pic>
              </a:graphicData>
            </a:graphic>
          </wp:inline>
        </w:drawing>
      </w:r>
    </w:p>
    <w:p>
      <w:pPr>
        <w:spacing w:before="40" w:after="240"/>
        <w:jc w:val="center"/>
      </w:pPr>
      <w:r>
        <w:rPr>
          <w:rFonts w:ascii="Times New Roman" w:hAnsi="Times New Roman"/>
          <w:i/>
          <w:color w:val="000000"/>
          <w:sz w:val="20"/>
        </w:rPr>
        <w:t>Figure 1. End-to-end system pipeline and dataflow architecture of the proposed desktop assistant.</w:t>
      </w:r>
    </w:p>
    <w:p>
      <w:pPr>
        <w:keepNext/>
        <w:spacing w:before="280" w:after="80"/>
      </w:pPr>
      <w:r>
        <w:rPr>
          <w:rFonts w:ascii="Times New Roman" w:hAnsi="Times New Roman"/>
          <w:b/>
          <w:color w:val="000000"/>
          <w:sz w:val="28"/>
        </w:rPr>
        <w:t>2. Theoretical Background</w:t>
      </w:r>
    </w:p>
    <w:p>
      <w:pPr>
        <w:spacing w:line="276" w:lineRule="auto" w:after="100"/>
        <w:jc w:val="both"/>
      </w:pPr>
      <w:r>
        <w:rPr>
          <w:rFonts w:ascii="Times New Roman" w:hAnsi="Times New Roman"/>
          <w:color w:val="000000"/>
        </w:rPr>
        <w:t>The design of the proposed assistant synthesizes four foundational domains: speech recognition, speaker diarisation, large language models, and conversational dynamics.</w:t>
      </w:r>
    </w:p>
    <w:p>
      <w:pPr>
        <w:keepNext/>
        <w:spacing w:before="200" w:after="60"/>
      </w:pPr>
      <w:r>
        <w:rPr>
          <w:rFonts w:ascii="Times New Roman" w:hAnsi="Times New Roman"/>
          <w:b/>
          <w:color w:val="000000"/>
          <w:sz w:val="24"/>
        </w:rPr>
        <w:t>2.1 Automatic Speech Recognition and Streaming Audio</w:t>
      </w:r>
    </w:p>
    <w:p>
      <w:pPr>
        <w:spacing w:line="276" w:lineRule="auto" w:after="100"/>
        <w:jc w:val="both"/>
      </w:pPr>
      <w:r>
        <w:rPr>
          <w:rFonts w:ascii="Times New Roman" w:hAnsi="Times New Roman"/>
          <w:color w:val="000000"/>
        </w:rPr>
        <w:t>Automatic Speech Recognition (ASR) converts spoken acoustic signals into written text. Early systems relied on Hidden Markov Models with separate acoustic, pronunciation, and language components, which suffered from compounding errors and high latency (Park et al., 2022). Modern systems use end-to-end deep neural networks mapping spectrograms directly to word tokens via Connectionist Temporal Classification and Transformer attention (Gulati et al., 2020; Radford et al., 2023).</w:t>
      </w:r>
    </w:p>
    <w:p>
      <w:pPr>
        <w:spacing w:line="276" w:lineRule="auto" w:after="100"/>
        <w:jc w:val="both"/>
      </w:pPr>
      <w:r>
        <w:rPr>
          <w:rFonts w:ascii="Times New Roman" w:hAnsi="Times New Roman"/>
          <w:color w:val="000000"/>
        </w:rPr>
        <w:t>A vital architectural distinction exists between batch and streaming models. Offline models like OpenAI's Whisper process audio in 30-second windows using bidirectional attention (Radford et al., 2023). While accurate on static recordings, this introduces latency exceeding 30 seconds, rendering it unusable for real-time meeting support. In contrast, streaming models based on the Conformer architecture (Gulati et al., 2020) combine depthwise separable convolutions with causal self-attention, processing audio frames over WebSockets with transcription latency below 400 milliseconds.</w:t>
      </w:r>
    </w:p>
    <w:p>
      <w:pPr>
        <w:keepNext/>
        <w:spacing w:before="200" w:after="60"/>
      </w:pPr>
      <w:r>
        <w:rPr>
          <w:rFonts w:ascii="Times New Roman" w:hAnsi="Times New Roman"/>
          <w:b/>
          <w:color w:val="000000"/>
          <w:sz w:val="24"/>
        </w:rPr>
        <w:t>2.2 Speaker Diarisation and Acoustic Separation</w:t>
      </w:r>
    </w:p>
    <w:p>
      <w:pPr>
        <w:spacing w:line="276" w:lineRule="auto" w:after="100"/>
        <w:jc w:val="both"/>
      </w:pPr>
      <w:r>
        <w:rPr>
          <w:rFonts w:ascii="Times New Roman" w:hAnsi="Times New Roman"/>
          <w:color w:val="000000"/>
        </w:rPr>
        <w:t>While ASR transcribes spoken words, speaker diarisation determines "who spoke when" (Park et al., 2022). In multi-speaker meetings, attributing speech to specific individuals is necessary to compute participation balance, track interruptions, and assign action items.</w:t>
      </w:r>
    </w:p>
    <w:p>
      <w:pPr>
        <w:spacing w:line="276" w:lineRule="auto" w:after="100"/>
        <w:jc w:val="both"/>
      </w:pPr>
      <w:r>
        <w:rPr>
          <w:rFonts w:ascii="Times New Roman" w:hAnsi="Times New Roman"/>
          <w:color w:val="000000"/>
        </w:rPr>
        <w:t>A standard diarisation pipeline comprises voice activity detection, temporal segmentation, acoustic embedding extraction via neural networks, and clustering (Bredin et al., 2020). Offline diarisation clusters embeddings globally across an entire recording. Streaming diarisation, however, must incrementally assign speaker identities by maintaining running cluster centroids in memory without retroactively revising past labels (Park et al., 2022).</w:t>
      </w:r>
    </w:p>
    <w:p>
      <w:pPr>
        <w:keepNext/>
        <w:spacing w:before="200" w:after="60"/>
      </w:pPr>
      <w:r>
        <w:rPr>
          <w:rFonts w:ascii="Times New Roman" w:hAnsi="Times New Roman"/>
          <w:b/>
          <w:color w:val="000000"/>
          <w:sz w:val="24"/>
        </w:rPr>
        <w:t>2.3 Large Language Models and Dialogue Engineering</w:t>
      </w:r>
    </w:p>
    <w:p>
      <w:pPr>
        <w:spacing w:line="276" w:lineRule="auto" w:after="100"/>
        <w:jc w:val="both"/>
      </w:pPr>
      <w:r>
        <w:rPr>
          <w:rFonts w:ascii="Times New Roman" w:hAnsi="Times New Roman"/>
          <w:color w:val="000000"/>
        </w:rPr>
        <w:t>Large Language Models (LLMs) based on Transformer architectures have demonstrated remarkable semantic reasoning capabilities (Vaswani et al., 2017; Gemini Team, 2024). In meeting co-pilots, LLMs function as semantic interpreters converting raw transcript streams into structured insights.</w:t>
      </w:r>
    </w:p>
    <w:p>
      <w:pPr>
        <w:spacing w:line="276" w:lineRule="auto" w:after="100"/>
        <w:jc w:val="both"/>
      </w:pPr>
      <w:r>
        <w:rPr>
          <w:rFonts w:ascii="Times New Roman" w:hAnsi="Times New Roman"/>
          <w:color w:val="000000"/>
        </w:rPr>
        <w:t>Effective dialogue engineering relies on three key mechanisms:</w:t>
      </w:r>
    </w:p>
    <w:p>
      <w:pPr>
        <w:pStyle w:val="ListBullet"/>
        <w:spacing w:line="276" w:lineRule="auto" w:after="50"/>
        <w:ind w:left="360"/>
      </w:pPr>
      <w:r>
        <w:rPr>
          <w:rFonts w:ascii="Times New Roman" w:hAnsi="Times New Roman"/>
          <w:color w:val="000000"/>
        </w:rPr>
        <w:t>Dialogue Act Classification: Categorizing utterance intentions, such as information requests, commitments, and agreements, to reliably separate explicit questions from rhetorical remarks (Stolcke et al., 2000).</w:t>
      </w:r>
    </w:p>
    <w:p>
      <w:pPr>
        <w:pStyle w:val="ListBullet"/>
        <w:spacing w:line="276" w:lineRule="auto" w:after="50"/>
        <w:ind w:left="360"/>
      </w:pPr>
      <w:r>
        <w:rPr>
          <w:rFonts w:ascii="Times New Roman" w:hAnsi="Times New Roman"/>
          <w:color w:val="000000"/>
        </w:rPr>
        <w:t>Context Summarization: Distilling decisions from continuous dialogue while preserving operational specifics (Zhong et al., 2021; Hu et al., 2023).</w:t>
      </w:r>
    </w:p>
    <w:p>
      <w:pPr>
        <w:pStyle w:val="ListBullet"/>
        <w:spacing w:line="276" w:lineRule="auto" w:after="50"/>
        <w:ind w:left="360"/>
      </w:pPr>
      <w:r>
        <w:rPr>
          <w:rFonts w:ascii="Times New Roman" w:hAnsi="Times New Roman"/>
          <w:color w:val="000000"/>
        </w:rPr>
        <w:t>Strict JSON Schema Constraints: Enforcing schema constraints so models return structured cards (category, title, description) without unparseable conversational filler.</w:t>
      </w:r>
    </w:p>
    <w:p>
      <w:pPr>
        <w:keepNext/>
        <w:spacing w:before="200" w:after="60"/>
      </w:pPr>
      <w:r>
        <w:rPr>
          <w:rFonts w:ascii="Times New Roman" w:hAnsi="Times New Roman"/>
          <w:b/>
          <w:color w:val="000000"/>
          <w:sz w:val="24"/>
        </w:rPr>
        <w:t>2.4 Conversational Dynamics, Turn-Taking, and Sociometrics</w:t>
      </w:r>
    </w:p>
    <w:p>
      <w:pPr>
        <w:spacing w:line="276" w:lineRule="auto" w:after="100"/>
        <w:jc w:val="both"/>
      </w:pPr>
      <w:r>
        <w:rPr>
          <w:rFonts w:ascii="Times New Roman" w:hAnsi="Times New Roman"/>
          <w:color w:val="000000"/>
        </w:rPr>
        <w:t>Human conversation follows structured turn-taking conventions. Sacks, Schegloff, and Jefferson (1974) demonstrated that dialogue is organized to minimize both silence and simultaneous speech. Turns transition at Transition Relevance Places (TRPs), marked by syntactic, intonational, and pragmatic completions. Across languages, turn-transition gaps average between 200 and 300 milliseconds (Stivers et al., 2009).</w:t>
      </w:r>
    </w:p>
    <w:p>
      <w:pPr>
        <w:spacing w:line="276" w:lineRule="auto" w:after="100"/>
        <w:jc w:val="both"/>
      </w:pPr>
      <w:r>
        <w:rPr>
          <w:rFonts w:ascii="Times New Roman" w:hAnsi="Times New Roman"/>
          <w:color w:val="000000"/>
        </w:rPr>
        <w:t>When speech overlaps, sociolinguistic theory distinguishes two phenomena (Zimmerman &amp; West, 1975):</w:t>
      </w:r>
    </w:p>
    <w:p>
      <w:pPr>
        <w:pStyle w:val="ListBullet"/>
        <w:spacing w:line="276" w:lineRule="auto" w:after="50"/>
        <w:ind w:left="360"/>
      </w:pPr>
      <w:r>
        <w:rPr>
          <w:rFonts w:ascii="Times New Roman" w:hAnsi="Times New Roman"/>
          <w:color w:val="000000"/>
        </w:rPr>
        <w:t>Supportive Backchannels: Brief affirmative vocalizations ("yeah", "okay") that signal active listening without claiming the floor.</w:t>
      </w:r>
    </w:p>
    <w:p>
      <w:pPr>
        <w:pStyle w:val="ListBullet"/>
        <w:spacing w:line="276" w:lineRule="auto" w:after="50"/>
        <w:ind w:left="360"/>
      </w:pPr>
      <w:r>
        <w:rPr>
          <w:rFonts w:ascii="Times New Roman" w:hAnsi="Times New Roman"/>
          <w:color w:val="000000"/>
        </w:rPr>
        <w:t>Intrusive Interruptions: Overlaps that cut off a speaker prior to a TRP to seize the floor.</w:t>
      </w:r>
    </w:p>
    <w:p>
      <w:pPr>
        <w:spacing w:line="276" w:lineRule="auto" w:after="100"/>
        <w:jc w:val="both"/>
      </w:pPr>
      <w:r>
        <w:rPr>
          <w:rFonts w:ascii="Times New Roman" w:hAnsi="Times New Roman"/>
          <w:color w:val="000000"/>
        </w:rPr>
        <w:t>Pentland (2008) showed that non-linguistic conversational cues, such as speaking equity and turn pacing, strongly predict team performance. Visualizing participation balance allows groups to self-regulate effectively (Kim et al., 2008).</w:t>
      </w:r>
    </w:p>
    <w:p>
      <w:pPr>
        <w:spacing w:line="276" w:lineRule="auto" w:after="100"/>
        <w:jc w:val="both"/>
      </w:pPr>
      <w:r>
        <w:rPr>
          <w:rFonts w:ascii="Times New Roman" w:hAnsi="Times New Roman"/>
          <w:color w:val="000000"/>
        </w:rPr>
        <w:t>To prevent split-attention and cognitive overload (Sweller, 1988; Bailenson, 2021), assistive interfaces must present peripheral, glanceable cues rather than dense text (Matthews et al., 2007). Therefore, assistive interfaces must remain compact, peripheral, and easily glanceable.</w:t>
      </w:r>
    </w:p>
    <w:p>
      <w:pPr>
        <w:spacing w:before="200" w:after="80"/>
        <w:jc w:val="center"/>
      </w:pPr>
      <w:r>
        <w:drawing>
          <wp:inline xmlns:a="http://schemas.openxmlformats.org/drawingml/2006/main" xmlns:pic="http://schemas.openxmlformats.org/drawingml/2006/picture">
            <wp:extent cx="5486400" cy="2094807"/>
            <wp:docPr id="2" name="Picture 2"/>
            <wp:cNvGraphicFramePr>
              <a:graphicFrameLocks noChangeAspect="1"/>
            </wp:cNvGraphicFramePr>
            <a:graphic>
              <a:graphicData uri="http://schemas.openxmlformats.org/drawingml/2006/picture">
                <pic:pic>
                  <pic:nvPicPr>
                    <pic:cNvPr id="0" name="figure3_turn_taking.png"/>
                    <pic:cNvPicPr/>
                  </pic:nvPicPr>
                  <pic:blipFill>
                    <a:blip r:embed="rId12"/>
                    <a:stretch>
                      <a:fillRect/>
                    </a:stretch>
                  </pic:blipFill>
                  <pic:spPr>
                    <a:xfrm>
                      <a:off x="0" y="0"/>
                      <a:ext cx="5486400" cy="2094807"/>
                    </a:xfrm>
                    <a:prstGeom prst="rect"/>
                  </pic:spPr>
                </pic:pic>
              </a:graphicData>
            </a:graphic>
          </wp:inline>
        </w:drawing>
      </w:r>
    </w:p>
    <w:p>
      <w:pPr>
        <w:spacing w:before="40" w:after="240"/>
        <w:jc w:val="center"/>
      </w:pPr>
      <w:r>
        <w:rPr>
          <w:rFonts w:ascii="Times New Roman" w:hAnsi="Times New Roman"/>
          <w:i/>
          <w:color w:val="000000"/>
          <w:sz w:val="20"/>
        </w:rPr>
        <w:t>Figure 2. Conversational dynamics, turn-taking transitions, and interruption detection model (adapting Sacks et al., 1974; Zimmerman &amp; West, 1975; Stivers et al., 2009).</w:t>
      </w:r>
    </w:p>
    <w:p>
      <w:pPr>
        <w:keepNext/>
        <w:spacing w:before="280" w:after="80"/>
      </w:pPr>
      <w:r>
        <w:rPr>
          <w:rFonts w:ascii="Times New Roman" w:hAnsi="Times New Roman"/>
          <w:b/>
          <w:color w:val="000000"/>
          <w:sz w:val="28"/>
        </w:rPr>
        <w:t>3. Critical Analysis and Synthesis</w:t>
      </w:r>
    </w:p>
    <w:p>
      <w:pPr>
        <w:spacing w:line="276" w:lineRule="auto" w:after="100"/>
        <w:jc w:val="both"/>
      </w:pPr>
      <w:r>
        <w:rPr>
          <w:rFonts w:ascii="Times New Roman" w:hAnsi="Times New Roman"/>
          <w:color w:val="000000"/>
        </w:rPr>
        <w:t>Evaluating existing commercial products and academic research highlights clear architectural gaps that justify the proposed desktop assistant.</w:t>
      </w:r>
    </w:p>
    <w:p>
      <w:pPr>
        <w:keepNext/>
        <w:spacing w:before="200" w:after="60"/>
      </w:pPr>
      <w:r>
        <w:rPr>
          <w:rFonts w:ascii="Times New Roman" w:hAnsi="Times New Roman"/>
          <w:b/>
          <w:color w:val="000000"/>
          <w:sz w:val="24"/>
        </w:rPr>
        <w:t>3.1 Commercial Meeting Tools vs. Research Prototypes</w:t>
      </w:r>
    </w:p>
    <w:p>
      <w:pPr>
        <w:spacing w:line="276" w:lineRule="auto" w:after="100"/>
        <w:jc w:val="both"/>
      </w:pPr>
      <w:r>
        <w:rPr>
          <w:rFonts w:ascii="Times New Roman" w:hAnsi="Times New Roman"/>
          <w:color w:val="000000"/>
        </w:rPr>
        <w:t>Commercial products such as Otter.ai, Read.ai, and Zoom AI Companion operate as retrospective note-takers. They deploy bots into meetings and deliver summaries after adjournment. However, retrospective summaries cannot assist participants during active discussions. Missing a critical decision or failing to answer a direct question cannot be rectified thirty minutes after a call ends. Furthermore, invasive recording bots provoke privacy concerns and are often banned under enterprise security policies.</w:t>
      </w:r>
    </w:p>
    <w:p>
      <w:pPr>
        <w:spacing w:line="276" w:lineRule="auto" w:after="100"/>
        <w:jc w:val="both"/>
      </w:pPr>
      <w:r>
        <w:rPr>
          <w:rFonts w:ascii="Times New Roman" w:hAnsi="Times New Roman"/>
          <w:color w:val="000000"/>
        </w:rPr>
        <w:t>Academic research has demonstrated the effectiveness of communication dashboards. Samrose et al. (2021) developed MeetingCoach, showing that post-meeting metrics on speaking time, turn-taking, and sentiment foster participant self-awareness and encourage inclusive habits. However, MeetingCoach provided only post-hoc analysis without live in-meeting guidance.</w:t>
      </w:r>
    </w:p>
    <w:p>
      <w:pPr>
        <w:spacing w:line="276" w:lineRule="auto" w:after="100"/>
        <w:jc w:val="both"/>
      </w:pPr>
      <w:r>
        <w:rPr>
          <w:rFonts w:ascii="Times New Roman" w:hAnsi="Times New Roman"/>
          <w:color w:val="000000"/>
        </w:rPr>
        <w:t>The proposed system bridges this divide by delivering both real-time in-flight support and longitudinal coaching, packaged inside a native desktop overlay that requires no bot attendance.</w:t>
      </w:r>
    </w:p>
    <w:p>
      <w:pPr>
        <w:spacing w:before="200" w:after="80"/>
        <w:jc w:val="center"/>
      </w:pPr>
      <w:r>
        <w:drawing>
          <wp:inline xmlns:a="http://schemas.openxmlformats.org/drawingml/2006/main" xmlns:pic="http://schemas.openxmlformats.org/drawingml/2006/picture">
            <wp:extent cx="5486400" cy="2593571"/>
            <wp:docPr id="3" name="Picture 3"/>
            <wp:cNvGraphicFramePr>
              <a:graphicFrameLocks noChangeAspect="1"/>
            </wp:cNvGraphicFramePr>
            <a:graphic>
              <a:graphicData uri="http://schemas.openxmlformats.org/drawingml/2006/picture">
                <pic:pic>
                  <pic:nvPicPr>
                    <pic:cNvPr id="0" name="figure2_comparison.png"/>
                    <pic:cNvPicPr/>
                  </pic:nvPicPr>
                  <pic:blipFill>
                    <a:blip r:embed="rId13"/>
                    <a:stretch>
                      <a:fillRect/>
                    </a:stretch>
                  </pic:blipFill>
                  <pic:spPr>
                    <a:xfrm>
                      <a:off x="0" y="0"/>
                      <a:ext cx="5486400" cy="2593571"/>
                    </a:xfrm>
                    <a:prstGeom prst="rect"/>
                  </pic:spPr>
                </pic:pic>
              </a:graphicData>
            </a:graphic>
          </wp:inline>
        </w:drawing>
      </w:r>
    </w:p>
    <w:p>
      <w:pPr>
        <w:spacing w:before="40" w:after="240"/>
        <w:jc w:val="center"/>
      </w:pPr>
      <w:r>
        <w:rPr>
          <w:rFonts w:ascii="Times New Roman" w:hAnsi="Times New Roman"/>
          <w:i/>
          <w:color w:val="000000"/>
          <w:sz w:val="20"/>
        </w:rPr>
        <w:t>Figure 3. Architectural comparison: traditional cloud meeting bots vs. proposed desktop assistant overlay.</w:t>
      </w:r>
    </w:p>
    <w:p>
      <w:pPr>
        <w:keepNext/>
        <w:spacing w:before="200" w:after="60"/>
      </w:pPr>
      <w:r>
        <w:rPr>
          <w:rFonts w:ascii="Times New Roman" w:hAnsi="Times New Roman"/>
          <w:b/>
          <w:color w:val="000000"/>
          <w:sz w:val="24"/>
        </w:rPr>
        <w:t>3.2 Streaming vs. Batch Latency Trade-offs</w:t>
      </w:r>
    </w:p>
    <w:p>
      <w:pPr>
        <w:spacing w:line="276" w:lineRule="auto" w:after="100"/>
        <w:jc w:val="both"/>
      </w:pPr>
      <w:r>
        <w:rPr>
          <w:rFonts w:ascii="Times New Roman" w:hAnsi="Times New Roman"/>
          <w:color w:val="000000"/>
        </w:rPr>
        <w:t>A central technical trade-off lies between batch and streaming architectures. Batch models such as Whisper (Radford et al., 2023) achieve high accuracy but require 30-second audio windows, introducing delays that miss rapid 200 to 300 millisecond conversational turns (Stivers et al., 2009).</w:t>
      </w:r>
    </w:p>
    <w:p>
      <w:pPr>
        <w:spacing w:line="276" w:lineRule="auto" w:after="100"/>
        <w:jc w:val="both"/>
      </w:pPr>
      <w:r>
        <w:rPr>
          <w:rFonts w:ascii="Times New Roman" w:hAnsi="Times New Roman"/>
          <w:color w:val="000000"/>
        </w:rPr>
        <w:t>Streaming WebSocket ASR using Deepgram Nova-2 achieves transcription latency under 400 milliseconds. To prevent user distraction and control API costs, the client buffers transcripts locally and queries Gemini every 12 to 15 seconds. This window provides sufficient context for meaningful inference while adhering to the 15-second response target specified in the Project Charter.</w:t>
      </w:r>
    </w:p>
    <w:p>
      <w:pPr>
        <w:keepNext/>
        <w:spacing w:before="200" w:after="60"/>
      </w:pPr>
      <w:r>
        <w:rPr>
          <w:rFonts w:ascii="Times New Roman" w:hAnsi="Times New Roman"/>
          <w:b/>
          <w:color w:val="000000"/>
          <w:sz w:val="24"/>
        </w:rPr>
        <w:t>3.3 Diarisation Bottlenecks in Overlapping Speech</w:t>
      </w:r>
    </w:p>
    <w:p>
      <w:pPr>
        <w:spacing w:line="276" w:lineRule="auto" w:after="100"/>
        <w:jc w:val="both"/>
      </w:pPr>
      <w:r>
        <w:rPr>
          <w:rFonts w:ascii="Times New Roman" w:hAnsi="Times New Roman"/>
          <w:color w:val="000000"/>
        </w:rPr>
        <w:t>In multi-party meetings, 10% to 20% of conversation consists of overlapping speech (Janin et al., 2003; Carletta et al., 2006). When multiple voices blend onto a single audio channel, acoustic embeddings degrade, causing diarisation errors.</w:t>
      </w:r>
    </w:p>
    <w:p>
      <w:pPr>
        <w:spacing w:line="276" w:lineRule="auto" w:after="100"/>
        <w:jc w:val="both"/>
      </w:pPr>
      <w:r>
        <w:rPr>
          <w:rFonts w:ascii="Times New Roman" w:hAnsi="Times New Roman"/>
          <w:color w:val="000000"/>
        </w:rPr>
        <w:t>The proposed desktop assistant mitigates this via hardware-level channel isolation:</w:t>
      </w:r>
    </w:p>
    <w:p>
      <w:pPr>
        <w:pStyle w:val="ListBullet"/>
        <w:spacing w:line="276" w:lineRule="auto" w:after="50"/>
        <w:ind w:left="360"/>
      </w:pPr>
      <w:r>
        <w:rPr>
          <w:rFonts w:ascii="Times New Roman" w:hAnsi="Times New Roman"/>
          <w:color w:val="000000"/>
        </w:rPr>
        <w:t>Dual-Channel Separation: Microphone audio is captured on Channel 0, while remote call audio is captured on Channel 1 via operating system loopback (macOS ScreenCaptureKit or Windows WASAPI). This guarantees the local user's speech is never confused with remote participants.</w:t>
      </w:r>
    </w:p>
    <w:p>
      <w:pPr>
        <w:pStyle w:val="ListBullet"/>
        <w:spacing w:line="276" w:lineRule="auto" w:after="50"/>
        <w:ind w:left="360"/>
      </w:pPr>
      <w:r>
        <w:rPr>
          <w:rFonts w:ascii="Times New Roman" w:hAnsi="Times New Roman"/>
          <w:color w:val="000000"/>
        </w:rPr>
        <w:t>Single-Speaker Fallback: If network compression degrades remote diarisation quality, remote turns are aggregated into a combined profile while local statistics remain fully accurate.</w:t>
      </w:r>
    </w:p>
    <w:p>
      <w:pPr>
        <w:keepNext/>
        <w:spacing w:before="200" w:after="60"/>
      </w:pPr>
      <w:r>
        <w:rPr>
          <w:rFonts w:ascii="Times New Roman" w:hAnsi="Times New Roman"/>
          <w:b/>
          <w:color w:val="000000"/>
          <w:sz w:val="24"/>
        </w:rPr>
        <w:t>3.4 Cognitive Ergonomics and Glanceable HUD Design</w:t>
      </w:r>
    </w:p>
    <w:p>
      <w:pPr>
        <w:spacing w:line="276" w:lineRule="auto" w:after="100"/>
        <w:jc w:val="both"/>
      </w:pPr>
      <w:r>
        <w:rPr>
          <w:rFonts w:ascii="Times New Roman" w:hAnsi="Times New Roman"/>
          <w:color w:val="000000"/>
        </w:rPr>
        <w:t>Displaying information during a live call risks inducing extraneous cognitive load (Sweller, 1988). Following peripheral display principles (Matthews et al., 2007), the user interface is structured as a glanceable heads-up display (HUD):</w:t>
      </w:r>
    </w:p>
    <w:p>
      <w:pPr>
        <w:pStyle w:val="ListBullet"/>
        <w:spacing w:line="276" w:lineRule="auto" w:after="50"/>
        <w:ind w:left="360"/>
      </w:pPr>
      <w:r>
        <w:rPr>
          <w:rFonts w:ascii="Times New Roman" w:hAnsi="Times New Roman"/>
          <w:color w:val="000000"/>
        </w:rPr>
        <w:t>Compact Mode: A small floating pill displaying audio activity, active speaker, and status.</w:t>
      </w:r>
    </w:p>
    <w:p>
      <w:pPr>
        <w:pStyle w:val="ListBullet"/>
        <w:spacing w:line="276" w:lineRule="auto" w:after="50"/>
        <w:ind w:left="360"/>
      </w:pPr>
      <w:r>
        <w:rPr>
          <w:rFonts w:ascii="Times New Roman" w:hAnsi="Times New Roman"/>
          <w:color w:val="000000"/>
        </w:rPr>
        <w:t>Expanded Mode: Categorized cards with distinct colors: Suggestions (Purple), Key Points (Blue), Questions (Emerald), and Action Items (Amber). Each card is restricted to a concise title and one-sentence description.</w:t>
      </w:r>
    </w:p>
    <w:p>
      <w:pPr>
        <w:pStyle w:val="ListBullet"/>
        <w:spacing w:line="276" w:lineRule="auto" w:after="50"/>
        <w:ind w:left="360"/>
      </w:pPr>
      <w:r>
        <w:rPr>
          <w:rFonts w:ascii="Times New Roman" w:hAnsi="Times New Roman"/>
          <w:color w:val="000000"/>
        </w:rPr>
        <w:t>Hotkey Navigation: Users can toggle and position the overlay using global shortcuts without taking focus away from their meeting app.</w:t>
      </w:r>
    </w:p>
    <w:p>
      <w:pPr>
        <w:spacing w:before="200" w:after="80"/>
        <w:jc w:val="center"/>
      </w:pPr>
      <w:r>
        <w:drawing>
          <wp:inline xmlns:a="http://schemas.openxmlformats.org/drawingml/2006/main" xmlns:pic="http://schemas.openxmlformats.org/drawingml/2006/picture">
            <wp:extent cx="5486400" cy="2394065"/>
            <wp:docPr id="4" name="Picture 4"/>
            <wp:cNvGraphicFramePr>
              <a:graphicFrameLocks noChangeAspect="1"/>
            </wp:cNvGraphicFramePr>
            <a:graphic>
              <a:graphicData uri="http://schemas.openxmlformats.org/drawingml/2006/picture">
                <pic:pic>
                  <pic:nvPicPr>
                    <pic:cNvPr id="0" name="figure4_glanceable_hud.png"/>
                    <pic:cNvPicPr/>
                  </pic:nvPicPr>
                  <pic:blipFill>
                    <a:blip r:embed="rId14"/>
                    <a:stretch>
                      <a:fillRect/>
                    </a:stretch>
                  </pic:blipFill>
                  <pic:spPr>
                    <a:xfrm>
                      <a:off x="0" y="0"/>
                      <a:ext cx="5486400" cy="2394065"/>
                    </a:xfrm>
                    <a:prstGeom prst="rect"/>
                  </pic:spPr>
                </pic:pic>
              </a:graphicData>
            </a:graphic>
          </wp:inline>
        </w:drawing>
      </w:r>
    </w:p>
    <w:p>
      <w:pPr>
        <w:spacing w:before="40" w:after="240"/>
        <w:jc w:val="center"/>
      </w:pPr>
      <w:r>
        <w:rPr>
          <w:rFonts w:ascii="Times New Roman" w:hAnsi="Times New Roman"/>
          <w:i/>
          <w:color w:val="000000"/>
          <w:sz w:val="20"/>
        </w:rPr>
        <w:t>Figure 4. Glanceable HUD interaction model: compact ambient badge vs. expanded categorized insight cards.</w:t>
      </w:r>
    </w:p>
    <w:p>
      <w:pPr>
        <w:keepNext/>
        <w:spacing w:before="200" w:after="60"/>
      </w:pPr>
      <w:r>
        <w:rPr>
          <w:rFonts w:ascii="Times New Roman" w:hAnsi="Times New Roman"/>
          <w:b/>
          <w:color w:val="000000"/>
          <w:sz w:val="24"/>
        </w:rPr>
        <w:t>3.5 Dialogue Acts and Unanswered Question Alerts</w:t>
      </w:r>
    </w:p>
    <w:p>
      <w:pPr>
        <w:spacing w:line="276" w:lineRule="auto" w:after="100"/>
        <w:jc w:val="both"/>
      </w:pPr>
      <w:r>
        <w:rPr>
          <w:rFonts w:ascii="Times New Roman" w:hAnsi="Times New Roman"/>
          <w:color w:val="000000"/>
        </w:rPr>
        <w:t>Questions in virtual meetings are frequently neglected when another participant speaks or changes topics. Detecting unaddressed questions requires tracking dialogue acts across sequential turns (Stolcke et al., 2000). Every 12 to 15 seconds, Gemini evaluates the rolling transcript buffer. If an explicit information request is identified without a corresponding response in subsequent turns, the system raises an alert badge, allowing the user to address the topic before the discussion moves on.</w:t>
      </w:r>
    </w:p>
    <w:p>
      <w:pPr>
        <w:keepNext/>
        <w:spacing w:before="200" w:after="60"/>
      </w:pPr>
      <w:r>
        <w:rPr>
          <w:rFonts w:ascii="Times New Roman" w:hAnsi="Times New Roman"/>
          <w:b/>
          <w:color w:val="000000"/>
          <w:sz w:val="24"/>
        </w:rPr>
        <w:t>3.6 Privacy, Consent, and System-Level Screen Share Masking</w:t>
      </w:r>
    </w:p>
    <w:p>
      <w:pPr>
        <w:spacing w:line="276" w:lineRule="auto" w:after="100"/>
        <w:jc w:val="both"/>
      </w:pPr>
      <w:r>
        <w:rPr>
          <w:rFonts w:ascii="Times New Roman" w:hAnsi="Times New Roman"/>
          <w:color w:val="000000"/>
        </w:rPr>
        <w:t>Third-party meeting bots present significant corporate privacy and intellectual property risks. The proposed assistant operates entirely on the host machine without joining meeting rosters. API credentials are stored securely in OS keychains.</w:t>
      </w:r>
    </w:p>
    <w:p>
      <w:pPr>
        <w:spacing w:line="276" w:lineRule="auto" w:after="100"/>
        <w:jc w:val="both"/>
      </w:pPr>
      <w:r>
        <w:rPr>
          <w:rFonts w:ascii="Times New Roman" w:hAnsi="Times New Roman"/>
          <w:color w:val="000000"/>
        </w:rPr>
        <w:t xml:space="preserve">To protect confidentiality during screen sharing, the window is masked at the OS compositor level. On macOS, the window sets </w:t>
      </w:r>
      <w:r>
        <w:rPr>
          <w:rFonts w:ascii="Courier New" w:hAnsi="Courier New"/>
          <w:color w:val="000000"/>
          <w:sz w:val="20"/>
        </w:rPr>
        <w:t>NSWindow.sharingType = .none</w:t>
      </w:r>
      <w:r>
        <w:rPr>
          <w:rFonts w:ascii="Times New Roman" w:hAnsi="Times New Roman"/>
          <w:color w:val="000000"/>
        </w:rPr>
        <w:t xml:space="preserve">. On Windows, it invokes </w:t>
      </w:r>
      <w:r>
        <w:rPr>
          <w:rFonts w:ascii="Courier New" w:hAnsi="Courier New"/>
          <w:color w:val="000000"/>
          <w:sz w:val="20"/>
        </w:rPr>
        <w:t>SetWindowDisplayAffinity(hwnd, WDA_EXCLUDEFROMCAPTURE)</w:t>
      </w:r>
      <w:r>
        <w:rPr>
          <w:rFonts w:ascii="Times New Roman" w:hAnsi="Times New Roman"/>
          <w:color w:val="000000"/>
        </w:rPr>
        <w:t>. Consequently, the coaching overlay remains visible to the user but completely invisible to other participants during screen shares.</w:t>
      </w:r>
    </w:p>
    <w:p>
      <w:pPr>
        <w:keepNext/>
        <w:spacing w:before="280" w:after="80"/>
      </w:pPr>
      <w:r>
        <w:rPr>
          <w:rFonts w:ascii="Times New Roman" w:hAnsi="Times New Roman"/>
          <w:b/>
          <w:color w:val="000000"/>
          <w:sz w:val="28"/>
        </w:rPr>
        <w:t>4. Advancements in Meeting Communication and Assistive AI</w:t>
      </w:r>
    </w:p>
    <w:p>
      <w:pPr>
        <w:spacing w:line="276" w:lineRule="auto" w:after="100"/>
        <w:jc w:val="both"/>
      </w:pPr>
      <w:r>
        <w:rPr>
          <w:rFonts w:ascii="Times New Roman" w:hAnsi="Times New Roman"/>
          <w:color w:val="000000"/>
        </w:rPr>
        <w:t>Recent breakthroughs in streaming neural models, overhearing agents, and graph representations make a lightweight desktop assistant practical.</w:t>
      </w:r>
    </w:p>
    <w:p>
      <w:pPr>
        <w:keepNext/>
        <w:spacing w:before="200" w:after="60"/>
      </w:pPr>
      <w:r>
        <w:rPr>
          <w:rFonts w:ascii="Times New Roman" w:hAnsi="Times New Roman"/>
          <w:b/>
          <w:color w:val="000000"/>
          <w:sz w:val="24"/>
        </w:rPr>
        <w:t>4.1 End-to-End Streaming Neural ASR (Conformer and Nova-2)</w:t>
      </w:r>
    </w:p>
    <w:p>
      <w:pPr>
        <w:spacing w:line="276" w:lineRule="auto" w:after="100"/>
        <w:jc w:val="both"/>
      </w:pPr>
      <w:r>
        <w:rPr>
          <w:rFonts w:ascii="Times New Roman" w:hAnsi="Times New Roman"/>
          <w:color w:val="000000"/>
        </w:rPr>
        <w:t>The Conformer architecture (Gulati et al., 2020) combines convolutions for local feature extraction with self-attention for global context. Deepgram Nova-2 operationalizes this architecture to provide sub-400ms streaming ASR and online diarisation over WebSockets, eliminating the need for expensive local GPU hardware.</w:t>
      </w:r>
    </w:p>
    <w:p>
      <w:pPr>
        <w:keepNext/>
        <w:spacing w:before="200" w:after="60"/>
      </w:pPr>
      <w:r>
        <w:rPr>
          <w:rFonts w:ascii="Times New Roman" w:hAnsi="Times New Roman"/>
          <w:b/>
          <w:color w:val="000000"/>
          <w:sz w:val="24"/>
        </w:rPr>
        <w:t>4.2 The Ambient Overhearing Agent Paradigm</w:t>
      </w:r>
    </w:p>
    <w:p>
      <w:pPr>
        <w:spacing w:line="276" w:lineRule="auto" w:after="100"/>
        <w:jc w:val="both"/>
      </w:pPr>
      <w:r>
        <w:rPr>
          <w:rFonts w:ascii="Times New Roman" w:hAnsi="Times New Roman"/>
          <w:color w:val="000000"/>
        </w:rPr>
        <w:t>Traditional conversational agents require explicit user prompts, which is impractical while speaking in a live meeting. Zhu and Callison-Burch (2025) formulated the concept of "overhearing LLM agents," which passively monitor multi-party dialogue and surface contextual insights into a side channel. To prevent repetitive suggestions and token bloat, the proposed assistant maintains a 2-to-3 minute rolling buffer and applies prompt-level deduplication. If no new actionable items arise, the model outputs an empty array, keeping the display clutter-free.</w:t>
      </w:r>
    </w:p>
    <w:p>
      <w:pPr>
        <w:keepNext/>
        <w:spacing w:before="200" w:after="60"/>
      </w:pPr>
      <w:r>
        <w:rPr>
          <w:rFonts w:ascii="Times New Roman" w:hAnsi="Times New Roman"/>
          <w:b/>
          <w:color w:val="000000"/>
          <w:sz w:val="24"/>
        </w:rPr>
        <w:t>4.3 Zero-Token Local Document Grounding</w:t>
      </w:r>
    </w:p>
    <w:p>
      <w:pPr>
        <w:spacing w:line="276" w:lineRule="auto" w:after="100"/>
        <w:jc w:val="both"/>
      </w:pPr>
      <w:r>
        <w:rPr>
          <w:rFonts w:ascii="Times New Roman" w:hAnsi="Times New Roman"/>
          <w:color w:val="000000"/>
        </w:rPr>
        <w:t>Traditional Retrieval-Augmented Generation (RAG) pipelines upload documents to cloud vector databases, incurring API costs and retrieval latency. The proposed system employs a local, zero-token alternative:</w:t>
      </w:r>
    </w:p>
    <w:p>
      <w:pPr>
        <w:spacing w:line="276" w:lineRule="auto" w:after="60"/>
        <w:ind w:left="432" w:hanging="432"/>
      </w:pPr>
      <w:r>
        <w:rPr>
          <w:rFonts w:ascii="Times New Roman" w:hAnsi="Times New Roman"/>
          <w:b/>
          <w:color w:val="000000"/>
        </w:rPr>
        <w:t xml:space="preserve">1. </w:t>
      </w:r>
      <w:r>
        <w:rPr>
          <w:rFonts w:ascii="Times New Roman" w:hAnsi="Times New Roman"/>
          <w:color w:val="000000"/>
        </w:rPr>
        <w:t>Reference documents (PDF, DOCX, TXT) are parsed locally upon upload using Dart libraries.</w:t>
      </w:r>
    </w:p>
    <w:p>
      <w:pPr>
        <w:spacing w:line="276" w:lineRule="auto" w:after="60"/>
        <w:ind w:left="432" w:hanging="432"/>
      </w:pPr>
      <w:r>
        <w:rPr>
          <w:rFonts w:ascii="Times New Roman" w:hAnsi="Times New Roman"/>
          <w:b/>
          <w:color w:val="000000"/>
        </w:rPr>
        <w:t xml:space="preserve">2. </w:t>
      </w:r>
      <w:r>
        <w:rPr>
          <w:rFonts w:ascii="Times New Roman" w:hAnsi="Times New Roman"/>
          <w:color w:val="000000"/>
        </w:rPr>
        <w:t>Text is segmented and indexed by keywords in local memory, while a single initial Gemini call generates a concise summary.</w:t>
      </w:r>
    </w:p>
    <w:p>
      <w:pPr>
        <w:spacing w:line="276" w:lineRule="auto" w:after="60"/>
        <w:ind w:left="432" w:hanging="432"/>
      </w:pPr>
      <w:r>
        <w:rPr>
          <w:rFonts w:ascii="Times New Roman" w:hAnsi="Times New Roman"/>
          <w:b/>
          <w:color w:val="000000"/>
        </w:rPr>
        <w:t xml:space="preserve">3. </w:t>
      </w:r>
      <w:r>
        <w:rPr>
          <w:rFonts w:ascii="Times New Roman" w:hAnsi="Times New Roman"/>
          <w:color w:val="000000"/>
        </w:rPr>
        <w:t>During meetings, live transcripts are matched against indexed keywords using local Jaccard similarity.</w:t>
      </w:r>
    </w:p>
    <w:p>
      <w:pPr>
        <w:spacing w:line="276" w:lineRule="auto" w:after="60"/>
        <w:ind w:left="432" w:hanging="432"/>
      </w:pPr>
      <w:r>
        <w:rPr>
          <w:rFonts w:ascii="Times New Roman" w:hAnsi="Times New Roman"/>
          <w:b/>
          <w:color w:val="000000"/>
        </w:rPr>
        <w:t xml:space="preserve">4. </w:t>
      </w:r>
      <w:r>
        <w:rPr>
          <w:rFonts w:ascii="Times New Roman" w:hAnsi="Times New Roman"/>
          <w:color w:val="000000"/>
        </w:rPr>
        <w:t>When discussion is off-topic, zero document tokens are transmitted to the cloud. When relevant keywords are detected, matching excerpts (capped at 1,500 characters) are included in the prompt, grounding the insights locally without cloud vector overhead.</w:t>
      </w:r>
    </w:p>
    <w:p>
      <w:pPr>
        <w:keepNext/>
        <w:spacing w:before="200" w:after="60"/>
      </w:pPr>
      <w:r>
        <w:rPr>
          <w:rFonts w:ascii="Times New Roman" w:hAnsi="Times New Roman"/>
          <w:b/>
          <w:color w:val="000000"/>
          <w:sz w:val="24"/>
        </w:rPr>
        <w:t>4.4 Quantitative Sociometrics and Interruption Modeling</w:t>
      </w:r>
    </w:p>
    <w:p>
      <w:pPr>
        <w:spacing w:line="276" w:lineRule="auto" w:after="100"/>
        <w:jc w:val="both"/>
      </w:pPr>
      <w:r>
        <w:rPr>
          <w:rFonts w:ascii="Times New Roman" w:hAnsi="Times New Roman"/>
          <w:color w:val="000000"/>
        </w:rPr>
        <w:t>Drawing from conversational turn-taking (Sacks et al., 1974), interruption dynamics (Zimmerman &amp; West, 1975), and sociometrics (Pentland, 2008), the system calculates three metrics post-meeting:</w:t>
      </w:r>
    </w:p>
    <w:p>
      <w:pPr>
        <w:spacing w:line="276" w:lineRule="auto" w:after="60"/>
        <w:ind w:left="432" w:hanging="432"/>
      </w:pPr>
      <w:r>
        <w:rPr>
          <w:rFonts w:ascii="Times New Roman" w:hAnsi="Times New Roman"/>
          <w:b/>
          <w:color w:val="000000"/>
        </w:rPr>
        <w:t xml:space="preserve">1. </w:t>
      </w:r>
      <w:r>
        <w:rPr>
          <w:rFonts w:ascii="Times New Roman" w:hAnsi="Times New Roman"/>
          <w:color w:val="000000"/>
        </w:rPr>
        <w:t>Participation Share: The percentage of total active talk time consumed by each participant:</w:t>
      </w:r>
    </w:p>
    <w:p>
      <w:pPr>
        <w:spacing w:before="160" w:after="160"/>
        <w:jc w:val="center"/>
      </w:pPr>
      <m:oMathPara>
        <m:oMath>
          <m:r>
            <m:rPr>
              <m:scr m:val="roman"/>
              <m:sty m:val="p"/>
            </m:rPr>
            <m:t>Participation Share</m:t>
          </m:r>
          <m:r>
            <m:rPr>
              <m:scr m:val="roman"/>
              <m:sty m:val="p"/>
            </m:rPr>
            <m:t> (%) = </m:t>
          </m:r>
          <m:f>
            <m:fPr>
              <m:type m:val="bar"/>
            </m:fPr>
            <m:num>
              <m:r>
                <m:rPr>
                  <m:scr m:val="roman"/>
                  <m:sty m:val="p"/>
                </m:rPr>
                <m:t>Total Speaking Time of Speaker i</m:t>
              </m:r>
            </m:num>
            <m:den>
              <m:r>
                <m:rPr>
                  <m:scr m:val="roman"/>
                  <m:sty m:val="p"/>
                </m:rPr>
                <m:t>Total Active Meeting Speaking Time</m:t>
              </m:r>
            </m:den>
          </m:f>
          <m:r>
            <m:rPr>
              <m:scr m:val="roman"/>
              <m:sty m:val="p"/>
            </m:rPr>
            <m:t> × 100</m:t>
          </m:r>
        </m:oMath>
      </m:oMathPara>
    </w:p>
    <w:p>
      <w:pPr>
        <w:spacing w:line="276" w:lineRule="auto" w:after="100"/>
        <w:jc w:val="both"/>
      </w:pPr>
      <w:r>
        <w:rPr>
          <w:rFonts w:ascii="Times New Roman" w:hAnsi="Times New Roman"/>
          <w:color w:val="000000"/>
        </w:rPr>
        <w:t>Attendees taking over 60% of speaking time receive feedback on dominance, while those under 10% are encouraged to participate more actively.</w:t>
      </w:r>
    </w:p>
    <w:p>
      <w:pPr>
        <w:spacing w:line="276" w:lineRule="auto" w:after="60"/>
        <w:ind w:left="432" w:hanging="432"/>
      </w:pPr>
      <w:r>
        <w:rPr>
          <w:rFonts w:ascii="Times New Roman" w:hAnsi="Times New Roman"/>
          <w:b/>
          <w:color w:val="000000"/>
        </w:rPr>
        <w:t xml:space="preserve">2. </w:t>
      </w:r>
      <w:r>
        <w:rPr>
          <w:rFonts w:ascii="Times New Roman" w:hAnsi="Times New Roman"/>
          <w:color w:val="000000"/>
        </w:rPr>
        <w:t>Turn-Taking Cadence: Floor transitions per minute, evaluating conversational interactivity.</w:t>
      </w:r>
    </w:p>
    <w:p>
      <w:pPr>
        <w:spacing w:line="276" w:lineRule="auto" w:after="60"/>
        <w:ind w:left="432" w:hanging="432"/>
      </w:pPr>
      <w:r>
        <w:rPr>
          <w:rFonts w:ascii="Times New Roman" w:hAnsi="Times New Roman"/>
          <w:b/>
          <w:color w:val="000000"/>
        </w:rPr>
        <w:t xml:space="preserve">3. </w:t>
      </w:r>
      <w:r>
        <w:rPr>
          <w:rFonts w:ascii="Times New Roman" w:hAnsi="Times New Roman"/>
          <w:color w:val="000000"/>
        </w:rPr>
        <w:t>Interruption vs. Backchannel: Overlaps under 1.5 seconds where the primary speaker continues are classified as supportive backchannels. Overlaps causing the primary speaker to stop talking are flagged as intrusive interruptions.</w:t>
      </w:r>
    </w:p>
    <w:p>
      <w:pPr>
        <w:keepNext/>
        <w:spacing w:before="200" w:after="60"/>
      </w:pPr>
      <w:r>
        <w:rPr>
          <w:rFonts w:ascii="Times New Roman" w:hAnsi="Times New Roman"/>
          <w:b/>
          <w:color w:val="000000"/>
          <w:sz w:val="24"/>
        </w:rPr>
        <w:t>4.5 Longitudinal Memory via Knowledge Graphs (Graphify)</w:t>
      </w:r>
    </w:p>
    <w:p>
      <w:pPr>
        <w:spacing w:line="276" w:lineRule="auto" w:after="100"/>
        <w:jc w:val="both"/>
      </w:pPr>
      <w:r>
        <w:rPr>
          <w:rFonts w:ascii="Times New Roman" w:hAnsi="Times New Roman"/>
          <w:color w:val="000000"/>
        </w:rPr>
        <w:t>Standard meeting tools operate ephemerally, clearing all context once a session ends. Meaningful coaching, however, requires tracking habits over time. Pan et al. (2024) demonstrated that integrating LLMs with structured knowledge graphs enables durable memory and prevents hallucinations.</w:t>
      </w:r>
    </w:p>
    <w:p>
      <w:pPr>
        <w:spacing w:line="276" w:lineRule="auto" w:after="100"/>
        <w:jc w:val="both"/>
      </w:pPr>
      <w:r>
        <w:rPr>
          <w:rFonts w:ascii="Times New Roman" w:hAnsi="Times New Roman"/>
          <w:color w:val="000000"/>
        </w:rPr>
        <w:t>The proposed assistant integrates Graphify, an on-device graph database. Following each call, meeting metrics, action items, and coaching suggestions are linked across entities (Speaker, MeetingSession, Review, ActionItem). This allows the system to compare sessions over weeks and months, tracking whether speaking equity and interruption habits improve over time.</w:t>
      </w:r>
    </w:p>
    <w:p>
      <w:pPr>
        <w:keepNext/>
        <w:spacing w:before="280" w:after="80"/>
      </w:pPr>
      <w:r>
        <w:rPr>
          <w:rFonts w:ascii="Times New Roman" w:hAnsi="Times New Roman"/>
          <w:b/>
          <w:color w:val="000000"/>
          <w:sz w:val="28"/>
        </w:rPr>
        <w:t>5. System Architecture of the Proposed Desktop Assistant</w:t>
      </w:r>
    </w:p>
    <w:p>
      <w:pPr>
        <w:spacing w:line="276" w:lineRule="auto" w:after="100"/>
        <w:jc w:val="both"/>
      </w:pPr>
      <w:r>
        <w:rPr>
          <w:rFonts w:ascii="Times New Roman" w:hAnsi="Times New Roman"/>
          <w:color w:val="000000"/>
        </w:rPr>
        <w:t>The architecture coordinates five functional stages:</w:t>
      </w:r>
    </w:p>
    <w:p>
      <w:pPr>
        <w:spacing w:line="276" w:lineRule="auto" w:after="60"/>
        <w:ind w:left="432" w:hanging="432"/>
      </w:pPr>
      <w:r>
        <w:rPr>
          <w:rFonts w:ascii="Times New Roman" w:hAnsi="Times New Roman"/>
          <w:b/>
          <w:color w:val="000000"/>
        </w:rPr>
        <w:t xml:space="preserve">1. </w:t>
      </w:r>
      <w:r>
        <w:rPr>
          <w:rFonts w:ascii="Times New Roman" w:hAnsi="Times New Roman"/>
          <w:color w:val="000000"/>
        </w:rPr>
        <w:t>Native Audio Capture: Records local microphone input (Channel 0) and remote meeting audio (Channel 1) via OS loopback APIs (macOS ScreenCaptureKit or Windows WASAPI) as 16kHz linear PCM.</w:t>
      </w:r>
    </w:p>
    <w:p>
      <w:pPr>
        <w:spacing w:line="276" w:lineRule="auto" w:after="60"/>
        <w:ind w:left="432" w:hanging="432"/>
      </w:pPr>
      <w:r>
        <w:rPr>
          <w:rFonts w:ascii="Times New Roman" w:hAnsi="Times New Roman"/>
          <w:b/>
          <w:color w:val="000000"/>
        </w:rPr>
        <w:t xml:space="preserve">2. </w:t>
      </w:r>
      <w:r>
        <w:rPr>
          <w:rFonts w:ascii="Times New Roman" w:hAnsi="Times New Roman"/>
          <w:color w:val="000000"/>
        </w:rPr>
        <w:t>Streaming ASR and Diarisation: Transmits audio frames over WebSockets to Deepgram Nova-2, returning timestamped words and speaker labels with sub-400ms latency.</w:t>
      </w:r>
    </w:p>
    <w:p>
      <w:pPr>
        <w:spacing w:line="276" w:lineRule="auto" w:after="60"/>
        <w:ind w:left="432" w:hanging="432"/>
      </w:pPr>
      <w:r>
        <w:rPr>
          <w:rFonts w:ascii="Times New Roman" w:hAnsi="Times New Roman"/>
          <w:b/>
          <w:color w:val="000000"/>
        </w:rPr>
        <w:t xml:space="preserve">3. </w:t>
      </w:r>
      <w:r>
        <w:rPr>
          <w:rFonts w:ascii="Times New Roman" w:hAnsi="Times New Roman"/>
          <w:color w:val="000000"/>
        </w:rPr>
        <w:t>Context Buffering and Relevance Matching: Buffers transcript turns client-side and performs local Jaccard similarity matching against reference documents.</w:t>
      </w:r>
    </w:p>
    <w:p>
      <w:pPr>
        <w:spacing w:line="276" w:lineRule="auto" w:after="60"/>
        <w:ind w:left="432" w:hanging="432"/>
      </w:pPr>
      <w:r>
        <w:rPr>
          <w:rFonts w:ascii="Times New Roman" w:hAnsi="Times New Roman"/>
          <w:b/>
          <w:color w:val="000000"/>
        </w:rPr>
        <w:t xml:space="preserve">4. </w:t>
      </w:r>
      <w:r>
        <w:rPr>
          <w:rFonts w:ascii="Times New Roman" w:hAnsi="Times New Roman"/>
          <w:color w:val="000000"/>
        </w:rPr>
        <w:t>LLM Cognitive Reasoning: Sends buffered transcripts and matched document chunks to Google Gemini every 12 to 15 seconds to detect dialogue acts, unanswered questions, and structured insight cards.</w:t>
      </w:r>
    </w:p>
    <w:p>
      <w:pPr>
        <w:spacing w:line="276" w:lineRule="auto" w:after="60"/>
        <w:ind w:left="432" w:hanging="432"/>
      </w:pPr>
      <w:r>
        <w:rPr>
          <w:rFonts w:ascii="Times New Roman" w:hAnsi="Times New Roman"/>
          <w:b/>
          <w:color w:val="000000"/>
        </w:rPr>
        <w:t xml:space="preserve">5. </w:t>
      </w:r>
      <w:r>
        <w:rPr>
          <w:rFonts w:ascii="Times New Roman" w:hAnsi="Times New Roman"/>
          <w:color w:val="000000"/>
        </w:rPr>
        <w:t>Glanceable HUD Presentation and Longitudinal Storage: Displays insights on the floating overlay during calls. Post-meeting, sociometrics are computed, exported to CSV, and stored in the Graphify knowledge graph.</w:t>
      </w:r>
    </w:p>
    <w:p>
      <w:pPr>
        <w:keepNext/>
        <w:spacing w:before="280" w:after="80"/>
      </w:pPr>
      <w:r>
        <w:rPr>
          <w:rFonts w:ascii="Times New Roman" w:hAnsi="Times New Roman"/>
          <w:b/>
          <w:color w:val="000000"/>
          <w:sz w:val="28"/>
        </w:rPr>
        <w:t>6. Synthesis, Discussion, and Feasibility</w:t>
      </w:r>
    </w:p>
    <w:p>
      <w:pPr>
        <w:keepNext/>
        <w:spacing w:before="200" w:after="60"/>
      </w:pPr>
      <w:r>
        <w:rPr>
          <w:rFonts w:ascii="Times New Roman" w:hAnsi="Times New Roman"/>
          <w:b/>
          <w:color w:val="000000"/>
          <w:sz w:val="24"/>
        </w:rPr>
        <w:t>6.1 State-of-the-Art Comparative Synthesis Matrix</w:t>
      </w:r>
    </w:p>
    <w:p>
      <w:pPr>
        <w:spacing w:line="276" w:lineRule="auto" w:after="100"/>
        <w:jc w:val="both"/>
      </w:pPr>
      <w:r>
        <w:rPr>
          <w:rFonts w:ascii="Times New Roman" w:hAnsi="Times New Roman"/>
          <w:color w:val="000000"/>
        </w:rPr>
        <w:t>Table 1 synthesizes the technical differences between existing commercial cloud tools, academic research prototypes, enterprise suites, and the proposed desktop assistant.</w:t>
      </w:r>
    </w:p>
    <w:p>
      <w:pPr>
        <w:keepNext/>
        <w:spacing w:before="200" w:after="60"/>
      </w:pPr>
      <w:r>
        <w:rPr>
          <w:rFonts w:ascii="Times New Roman" w:hAnsi="Times New Roman"/>
          <w:b/>
          <w:color w:val="000000"/>
          <w:sz w:val="24"/>
        </w:rPr>
        <w:t>6.2 Capstone Feasibility, Budget, and Risk Analysis</w:t>
      </w:r>
    </w:p>
    <w:tbl>
      <w:tblPr>
        <w:tblW w:type="auto" w:w="0"/>
        <w:jc w:val="center"/>
        <w:tblLayout w:type="fixed"/>
        <w:tblLook w:firstColumn="1" w:firstRow="1" w:lastColumn="0" w:lastRow="0" w:noHBand="0" w:noVBand="1" w:val="04A0"/>
        <w:tblBorders>
          <w:top w:val="single" w:sz="4" w:space="0" w:color="9CA3AF"/>
          <w:bottom w:val="single" w:sz="4" w:space="0" w:color="9CA3AF"/>
          <w:left w:val="none"/>
          <w:right w:val="none"/>
          <w:insideH w:val="single" w:sz="4" w:space="0" w:color="9CA3AF"/>
          <w:insideV w:val="none"/>
        </w:tblBorders>
      </w:tblPr>
      <w:tblGrid>
        <w:gridCol w:w="1872"/>
        <w:gridCol w:w="1872"/>
        <w:gridCol w:w="1872"/>
        <w:gridCol w:w="1872"/>
        <w:gridCol w:w="1872"/>
      </w:tblGrid>
      <w:tr>
        <w:tc>
          <w:tcPr>
            <w:tcW w:type="dxa" w:w="1872"/>
            <w:shd w:fill="E5E7EB"/>
            <w:tcMar>
              <w:top w:w="50" w:type="dxa"/>
              <w:bottom w:w="50" w:type="dxa"/>
              <w:left w:w="60" w:type="dxa"/>
              <w:right w:w="60" w:type="dxa"/>
            </w:tcMar>
          </w:tcPr>
          <w:p>
            <w:pPr>
              <w:spacing w:before="80" w:after="80" w:line="252" w:lineRule="auto"/>
            </w:pPr>
            <w:r>
              <w:rPr>
                <w:rFonts w:ascii="Times New Roman" w:hAnsi="Times New Roman"/>
                <w:b/>
                <w:color w:val="000000"/>
                <w:sz w:val="18"/>
              </w:rPr>
              <w:t>Feature / Dimension</w:t>
            </w:r>
          </w:p>
        </w:tc>
        <w:tc>
          <w:tcPr>
            <w:tcW w:type="dxa" w:w="1872"/>
            <w:shd w:fill="E5E7EB"/>
            <w:tcMar>
              <w:top w:w="50" w:type="dxa"/>
              <w:bottom w:w="50" w:type="dxa"/>
              <w:left w:w="60" w:type="dxa"/>
              <w:right w:w="60" w:type="dxa"/>
            </w:tcMar>
          </w:tcPr>
          <w:p>
            <w:pPr>
              <w:spacing w:before="80" w:after="80" w:line="252" w:lineRule="auto"/>
            </w:pPr>
            <w:r>
              <w:rPr>
                <w:rFonts w:ascii="Times New Roman" w:hAnsi="Times New Roman"/>
                <w:b/>
                <w:color w:val="000000"/>
                <w:sz w:val="18"/>
              </w:rPr>
              <w:t>Commercial Cloud Bots (Otter, Read.ai)</w:t>
            </w:r>
          </w:p>
        </w:tc>
        <w:tc>
          <w:tcPr>
            <w:tcW w:type="dxa" w:w="1872"/>
            <w:shd w:fill="E5E7EB"/>
            <w:tcMar>
              <w:top w:w="50" w:type="dxa"/>
              <w:bottom w:w="50" w:type="dxa"/>
              <w:left w:w="60" w:type="dxa"/>
              <w:right w:w="60" w:type="dxa"/>
            </w:tcMar>
          </w:tcPr>
          <w:p>
            <w:pPr>
              <w:spacing w:before="80" w:after="80" w:line="252" w:lineRule="auto"/>
            </w:pPr>
            <w:r>
              <w:rPr>
                <w:rFonts w:ascii="Times New Roman" w:hAnsi="Times New Roman"/>
                <w:b/>
                <w:color w:val="000000"/>
                <w:sz w:val="18"/>
              </w:rPr>
              <w:t>Academic Systems (MeetingCoach)</w:t>
            </w:r>
          </w:p>
        </w:tc>
        <w:tc>
          <w:tcPr>
            <w:tcW w:type="dxa" w:w="1872"/>
            <w:shd w:fill="E5E7EB"/>
            <w:tcMar>
              <w:top w:w="50" w:type="dxa"/>
              <w:bottom w:w="50" w:type="dxa"/>
              <w:left w:w="60" w:type="dxa"/>
              <w:right w:w="60" w:type="dxa"/>
            </w:tcMar>
          </w:tcPr>
          <w:p>
            <w:pPr>
              <w:spacing w:before="80" w:after="80" w:line="252" w:lineRule="auto"/>
            </w:pPr>
            <w:r>
              <w:rPr>
                <w:rFonts w:ascii="Times New Roman" w:hAnsi="Times New Roman"/>
                <w:b/>
                <w:color w:val="000000"/>
                <w:sz w:val="18"/>
              </w:rPr>
              <w:t>Enterprise Tools (Teams Copilot)</w:t>
            </w:r>
          </w:p>
        </w:tc>
        <w:tc>
          <w:tcPr>
            <w:tcW w:type="dxa" w:w="1872"/>
            <w:shd w:fill="E5E7EB"/>
            <w:tcMar>
              <w:top w:w="50" w:type="dxa"/>
              <w:bottom w:w="50" w:type="dxa"/>
              <w:left w:w="60" w:type="dxa"/>
              <w:right w:w="60" w:type="dxa"/>
            </w:tcMar>
          </w:tcPr>
          <w:p>
            <w:pPr>
              <w:spacing w:before="80" w:after="80" w:line="252" w:lineRule="auto"/>
            </w:pPr>
            <w:r>
              <w:rPr>
                <w:rFonts w:ascii="Times New Roman" w:hAnsi="Times New Roman"/>
                <w:b/>
                <w:color w:val="000000"/>
                <w:sz w:val="18"/>
              </w:rPr>
              <w:t>Proposed Desktop Assistant</w:t>
            </w:r>
          </w:p>
        </w:tc>
      </w:tr>
      <w:tr>
        <w:tc>
          <w:tcPr>
            <w:tcW w:type="dxa" w:w="1872"/>
            <w:shd w:fill="F9FAFB"/>
            <w:tcMar>
              <w:top w:w="35" w:type="dxa"/>
              <w:bottom w:w="35" w:type="dxa"/>
              <w:left w:w="60" w:type="dxa"/>
              <w:right w:w="60" w:type="dxa"/>
            </w:tcMar>
          </w:tcPr>
          <w:p>
            <w:pPr>
              <w:spacing w:before="60" w:after="60" w:line="252" w:lineRule="auto"/>
            </w:pPr>
            <w:r>
              <w:rPr>
                <w:rFonts w:ascii="Times New Roman" w:hAnsi="Times New Roman"/>
                <w:color w:val="000000"/>
                <w:sz w:val="17"/>
              </w:rPr>
            </w:r>
            <w:r>
              <w:rPr>
                <w:rFonts w:ascii="Times New Roman" w:hAnsi="Times New Roman"/>
                <w:b/>
                <w:color w:val="000000"/>
                <w:sz w:val="17"/>
              </w:rPr>
              <w:t>Delivery Timing</w:t>
            </w:r>
            <w:r>
              <w:rPr>
                <w:rFonts w:ascii="Times New Roman" w:hAnsi="Times New Roman"/>
                <w:color w:val="000000"/>
                <w:sz w:val="17"/>
              </w:rPr>
            </w:r>
          </w:p>
        </w:tc>
        <w:tc>
          <w:tcPr>
            <w:tcW w:type="dxa" w:w="1872"/>
            <w:shd w:fill="F9FAFB"/>
            <w:tcMar>
              <w:top w:w="35" w:type="dxa"/>
              <w:bottom w:w="35" w:type="dxa"/>
              <w:left w:w="60" w:type="dxa"/>
              <w:right w:w="60" w:type="dxa"/>
            </w:tcMar>
          </w:tcPr>
          <w:p>
            <w:pPr>
              <w:spacing w:before="60" w:after="60" w:line="252" w:lineRule="auto"/>
            </w:pPr>
            <w:r>
              <w:rPr>
                <w:rFonts w:ascii="Times New Roman" w:hAnsi="Times New Roman"/>
                <w:color w:val="000000"/>
                <w:sz w:val="17"/>
              </w:rPr>
              <w:t>Post-meeting batch (30-60 min delay)</w:t>
            </w:r>
          </w:p>
        </w:tc>
        <w:tc>
          <w:tcPr>
            <w:tcW w:type="dxa" w:w="1872"/>
            <w:shd w:fill="F9FAFB"/>
            <w:tcMar>
              <w:top w:w="35" w:type="dxa"/>
              <w:bottom w:w="35" w:type="dxa"/>
              <w:left w:w="60" w:type="dxa"/>
              <w:right w:w="60" w:type="dxa"/>
            </w:tcMar>
          </w:tcPr>
          <w:p>
            <w:pPr>
              <w:spacing w:before="60" w:after="60" w:line="252" w:lineRule="auto"/>
            </w:pPr>
            <w:r>
              <w:rPr>
                <w:rFonts w:ascii="Times New Roman" w:hAnsi="Times New Roman"/>
                <w:color w:val="000000"/>
                <w:sz w:val="17"/>
              </w:rPr>
              <w:t>Post-meeting dashboard only</w:t>
            </w:r>
          </w:p>
        </w:tc>
        <w:tc>
          <w:tcPr>
            <w:tcW w:type="dxa" w:w="1872"/>
            <w:shd w:fill="F9FAFB"/>
            <w:tcMar>
              <w:top w:w="35" w:type="dxa"/>
              <w:bottom w:w="35" w:type="dxa"/>
              <w:left w:w="60" w:type="dxa"/>
              <w:right w:w="60" w:type="dxa"/>
            </w:tcMar>
          </w:tcPr>
          <w:p>
            <w:pPr>
              <w:spacing w:before="60" w:after="60" w:line="252" w:lineRule="auto"/>
            </w:pPr>
            <w:r>
              <w:rPr>
                <w:rFonts w:ascii="Times New Roman" w:hAnsi="Times New Roman"/>
                <w:color w:val="000000"/>
                <w:sz w:val="17"/>
              </w:rPr>
              <w:t>Post-meeting and in-app chat</w:t>
            </w:r>
          </w:p>
        </w:tc>
        <w:tc>
          <w:tcPr>
            <w:tcW w:type="dxa" w:w="1872"/>
            <w:shd w:fill="F9FAFB"/>
            <w:tcMar>
              <w:top w:w="35" w:type="dxa"/>
              <w:bottom w:w="35" w:type="dxa"/>
              <w:left w:w="60" w:type="dxa"/>
              <w:right w:w="60" w:type="dxa"/>
            </w:tcMar>
          </w:tcPr>
          <w:p>
            <w:pPr>
              <w:spacing w:before="60" w:after="60" w:line="252" w:lineRule="auto"/>
            </w:pPr>
            <w:r>
              <w:rPr>
                <w:rFonts w:ascii="Times New Roman" w:hAnsi="Times New Roman"/>
                <w:color w:val="000000"/>
                <w:sz w:val="17"/>
              </w:rPr>
              <w:t>Live in-flight HUD and post-meeting coach</w:t>
            </w:r>
          </w:p>
        </w:tc>
      </w:tr>
      <w:tr>
        <w:tc>
          <w:tcPr>
            <w:tcW w:type="dxa" w:w="1872"/>
            <w:shd w:fill="FFFFFF"/>
            <w:tcMar>
              <w:top w:w="35" w:type="dxa"/>
              <w:bottom w:w="35" w:type="dxa"/>
              <w:left w:w="60" w:type="dxa"/>
              <w:right w:w="60" w:type="dxa"/>
            </w:tcMar>
          </w:tcPr>
          <w:p>
            <w:pPr>
              <w:spacing w:before="60" w:after="60" w:line="252" w:lineRule="auto"/>
            </w:pPr>
            <w:r>
              <w:rPr>
                <w:rFonts w:ascii="Times New Roman" w:hAnsi="Times New Roman"/>
                <w:color w:val="000000"/>
                <w:sz w:val="17"/>
              </w:rPr>
            </w:r>
            <w:r>
              <w:rPr>
                <w:rFonts w:ascii="Times New Roman" w:hAnsi="Times New Roman"/>
                <w:b/>
                <w:color w:val="000000"/>
                <w:sz w:val="17"/>
              </w:rPr>
              <w:t>Meeting Ingress</w:t>
            </w:r>
            <w:r>
              <w:rPr>
                <w:rFonts w:ascii="Times New Roman" w:hAnsi="Times New Roman"/>
                <w:color w:val="000000"/>
                <w:sz w:val="17"/>
              </w:rPr>
            </w:r>
          </w:p>
        </w:tc>
        <w:tc>
          <w:tcPr>
            <w:tcW w:type="dxa" w:w="1872"/>
            <w:shd w:fill="FFFFFF"/>
            <w:tcMar>
              <w:top w:w="35" w:type="dxa"/>
              <w:bottom w:w="35" w:type="dxa"/>
              <w:left w:w="60" w:type="dxa"/>
              <w:right w:w="60" w:type="dxa"/>
            </w:tcMar>
          </w:tcPr>
          <w:p>
            <w:pPr>
              <w:spacing w:before="60" w:after="60" w:line="252" w:lineRule="auto"/>
            </w:pPr>
            <w:r>
              <w:rPr>
                <w:rFonts w:ascii="Times New Roman" w:hAnsi="Times New Roman"/>
                <w:color w:val="000000"/>
                <w:sz w:val="17"/>
              </w:rPr>
              <w:t>Invasive bot in call roster</w:t>
            </w:r>
          </w:p>
        </w:tc>
        <w:tc>
          <w:tcPr>
            <w:tcW w:type="dxa" w:w="1872"/>
            <w:shd w:fill="FFFFFF"/>
            <w:tcMar>
              <w:top w:w="35" w:type="dxa"/>
              <w:bottom w:w="35" w:type="dxa"/>
              <w:left w:w="60" w:type="dxa"/>
              <w:right w:w="60" w:type="dxa"/>
            </w:tcMar>
          </w:tcPr>
          <w:p>
            <w:pPr>
              <w:spacing w:before="60" w:after="60" w:line="252" w:lineRule="auto"/>
            </w:pPr>
            <w:r>
              <w:rPr>
                <w:rFonts w:ascii="Times New Roman" w:hAnsi="Times New Roman"/>
                <w:color w:val="000000"/>
                <w:sz w:val="17"/>
              </w:rPr>
              <w:t>Custom lab hardware</w:t>
            </w:r>
          </w:p>
        </w:tc>
        <w:tc>
          <w:tcPr>
            <w:tcW w:type="dxa" w:w="1872"/>
            <w:shd w:fill="FFFFFF"/>
            <w:tcMar>
              <w:top w:w="35" w:type="dxa"/>
              <w:bottom w:w="35" w:type="dxa"/>
              <w:left w:w="60" w:type="dxa"/>
              <w:right w:w="60" w:type="dxa"/>
            </w:tcMar>
          </w:tcPr>
          <w:p>
            <w:pPr>
              <w:spacing w:before="60" w:after="60" w:line="252" w:lineRule="auto"/>
            </w:pPr>
            <w:r>
              <w:rPr>
                <w:rFonts w:ascii="Times New Roman" w:hAnsi="Times New Roman"/>
                <w:color w:val="000000"/>
                <w:sz w:val="17"/>
              </w:rPr>
              <w:t>Built-in platform license</w:t>
            </w:r>
          </w:p>
        </w:tc>
        <w:tc>
          <w:tcPr>
            <w:tcW w:type="dxa" w:w="1872"/>
            <w:shd w:fill="FFFFFF"/>
            <w:tcMar>
              <w:top w:w="35" w:type="dxa"/>
              <w:bottom w:w="35" w:type="dxa"/>
              <w:left w:w="60" w:type="dxa"/>
              <w:right w:w="60" w:type="dxa"/>
            </w:tcMar>
          </w:tcPr>
          <w:p>
            <w:pPr>
              <w:spacing w:before="60" w:after="60" w:line="252" w:lineRule="auto"/>
            </w:pPr>
            <w:r>
              <w:rPr>
                <w:rFonts w:ascii="Times New Roman" w:hAnsi="Times New Roman"/>
                <w:color w:val="000000"/>
                <w:sz w:val="17"/>
              </w:rPr>
              <w:t>Host OS audio loopback (No bot needed)</w:t>
            </w:r>
          </w:p>
        </w:tc>
      </w:tr>
      <w:tr>
        <w:tc>
          <w:tcPr>
            <w:tcW w:type="dxa" w:w="1872"/>
            <w:shd w:fill="F9FAFB"/>
            <w:tcMar>
              <w:top w:w="35" w:type="dxa"/>
              <w:bottom w:w="35" w:type="dxa"/>
              <w:left w:w="60" w:type="dxa"/>
              <w:right w:w="60" w:type="dxa"/>
            </w:tcMar>
          </w:tcPr>
          <w:p>
            <w:pPr>
              <w:spacing w:before="60" w:after="60" w:line="252" w:lineRule="auto"/>
            </w:pPr>
            <w:r>
              <w:rPr>
                <w:rFonts w:ascii="Times New Roman" w:hAnsi="Times New Roman"/>
                <w:color w:val="000000"/>
                <w:sz w:val="17"/>
              </w:rPr>
            </w:r>
            <w:r>
              <w:rPr>
                <w:rFonts w:ascii="Times New Roman" w:hAnsi="Times New Roman"/>
                <w:b/>
                <w:color w:val="000000"/>
                <w:sz w:val="17"/>
              </w:rPr>
              <w:t>Live Latency</w:t>
            </w:r>
            <w:r>
              <w:rPr>
                <w:rFonts w:ascii="Times New Roman" w:hAnsi="Times New Roman"/>
                <w:color w:val="000000"/>
                <w:sz w:val="17"/>
              </w:rPr>
            </w:r>
          </w:p>
        </w:tc>
        <w:tc>
          <w:tcPr>
            <w:tcW w:type="dxa" w:w="1872"/>
            <w:shd w:fill="F9FAFB"/>
            <w:tcMar>
              <w:top w:w="35" w:type="dxa"/>
              <w:bottom w:w="35" w:type="dxa"/>
              <w:left w:w="60" w:type="dxa"/>
              <w:right w:w="60" w:type="dxa"/>
            </w:tcMar>
          </w:tcPr>
          <w:p>
            <w:pPr>
              <w:spacing w:before="60" w:after="60" w:line="252" w:lineRule="auto"/>
            </w:pPr>
            <w:r>
              <w:rPr>
                <w:rFonts w:ascii="Times New Roman" w:hAnsi="Times New Roman"/>
                <w:color w:val="000000"/>
                <w:sz w:val="17"/>
              </w:rPr>
              <w:t>High or none (&gt;30s)</w:t>
            </w:r>
          </w:p>
        </w:tc>
        <w:tc>
          <w:tcPr>
            <w:tcW w:type="dxa" w:w="1872"/>
            <w:shd w:fill="F9FAFB"/>
            <w:tcMar>
              <w:top w:w="35" w:type="dxa"/>
              <w:bottom w:w="35" w:type="dxa"/>
              <w:left w:w="60" w:type="dxa"/>
              <w:right w:w="60" w:type="dxa"/>
            </w:tcMar>
          </w:tcPr>
          <w:p>
            <w:pPr>
              <w:spacing w:before="60" w:after="60" w:line="252" w:lineRule="auto"/>
            </w:pPr>
            <w:r>
              <w:rPr>
                <w:rFonts w:ascii="Times New Roman" w:hAnsi="Times New Roman"/>
                <w:color w:val="000000"/>
                <w:sz w:val="17"/>
              </w:rPr>
              <w:t>Offline post-hoc</w:t>
            </w:r>
          </w:p>
        </w:tc>
        <w:tc>
          <w:tcPr>
            <w:tcW w:type="dxa" w:w="1872"/>
            <w:shd w:fill="F9FAFB"/>
            <w:tcMar>
              <w:top w:w="35" w:type="dxa"/>
              <w:bottom w:w="35" w:type="dxa"/>
              <w:left w:w="60" w:type="dxa"/>
              <w:right w:w="60" w:type="dxa"/>
            </w:tcMar>
          </w:tcPr>
          <w:p>
            <w:pPr>
              <w:spacing w:before="60" w:after="60" w:line="252" w:lineRule="auto"/>
            </w:pPr>
            <w:r>
              <w:rPr>
                <w:rFonts w:ascii="Times New Roman" w:hAnsi="Times New Roman"/>
                <w:color w:val="000000"/>
                <w:sz w:val="17"/>
              </w:rPr>
              <w:t>Moderate (Cloud pipeline)</w:t>
            </w:r>
          </w:p>
        </w:tc>
        <w:tc>
          <w:tcPr>
            <w:tcW w:type="dxa" w:w="1872"/>
            <w:shd w:fill="F9FAFB"/>
            <w:tcMar>
              <w:top w:w="35" w:type="dxa"/>
              <w:bottom w:w="35" w:type="dxa"/>
              <w:left w:w="60" w:type="dxa"/>
              <w:right w:w="60" w:type="dxa"/>
            </w:tcMar>
          </w:tcPr>
          <w:p>
            <w:pPr>
              <w:spacing w:before="60" w:after="60" w:line="252" w:lineRule="auto"/>
            </w:pPr>
            <w:r>
              <w:rPr>
                <w:rFonts w:ascii="Times New Roman" w:hAnsi="Times New Roman"/>
                <w:color w:val="000000"/>
                <w:sz w:val="17"/>
              </w:rPr>
              <w:t>Sub-second ASR, 12-15s LLM insights</w:t>
            </w:r>
          </w:p>
        </w:tc>
      </w:tr>
      <w:tr>
        <w:tc>
          <w:tcPr>
            <w:tcW w:type="dxa" w:w="1872"/>
            <w:shd w:fill="FFFFFF"/>
            <w:tcMar>
              <w:top w:w="35" w:type="dxa"/>
              <w:bottom w:w="35" w:type="dxa"/>
              <w:left w:w="60" w:type="dxa"/>
              <w:right w:w="60" w:type="dxa"/>
            </w:tcMar>
          </w:tcPr>
          <w:p>
            <w:pPr>
              <w:spacing w:before="60" w:after="60" w:line="252" w:lineRule="auto"/>
            </w:pPr>
            <w:r>
              <w:rPr>
                <w:rFonts w:ascii="Times New Roman" w:hAnsi="Times New Roman"/>
                <w:color w:val="000000"/>
                <w:sz w:val="17"/>
              </w:rPr>
            </w:r>
            <w:r>
              <w:rPr>
                <w:rFonts w:ascii="Times New Roman" w:hAnsi="Times New Roman"/>
                <w:b/>
                <w:color w:val="000000"/>
                <w:sz w:val="17"/>
              </w:rPr>
              <w:t>Speaker Diarisation</w:t>
            </w:r>
            <w:r>
              <w:rPr>
                <w:rFonts w:ascii="Times New Roman" w:hAnsi="Times New Roman"/>
                <w:color w:val="000000"/>
                <w:sz w:val="17"/>
              </w:rPr>
            </w:r>
          </w:p>
        </w:tc>
        <w:tc>
          <w:tcPr>
            <w:tcW w:type="dxa" w:w="1872"/>
            <w:shd w:fill="FFFFFF"/>
            <w:tcMar>
              <w:top w:w="35" w:type="dxa"/>
              <w:bottom w:w="35" w:type="dxa"/>
              <w:left w:w="60" w:type="dxa"/>
              <w:right w:w="60" w:type="dxa"/>
            </w:tcMar>
          </w:tcPr>
          <w:p>
            <w:pPr>
              <w:spacing w:before="60" w:after="60" w:line="252" w:lineRule="auto"/>
            </w:pPr>
            <w:r>
              <w:rPr>
                <w:rFonts w:ascii="Times New Roman" w:hAnsi="Times New Roman"/>
                <w:color w:val="000000"/>
                <w:sz w:val="17"/>
              </w:rPr>
              <w:t>Server-side single channel</w:t>
            </w:r>
          </w:p>
        </w:tc>
        <w:tc>
          <w:tcPr>
            <w:tcW w:type="dxa" w:w="1872"/>
            <w:shd w:fill="FFFFFF"/>
            <w:tcMar>
              <w:top w:w="35" w:type="dxa"/>
              <w:bottom w:w="35" w:type="dxa"/>
              <w:left w:w="60" w:type="dxa"/>
              <w:right w:w="60" w:type="dxa"/>
            </w:tcMar>
          </w:tcPr>
          <w:p>
            <w:pPr>
              <w:spacing w:before="60" w:after="60" w:line="252" w:lineRule="auto"/>
            </w:pPr>
            <w:r>
              <w:rPr>
                <w:rFonts w:ascii="Times New Roman" w:hAnsi="Times New Roman"/>
                <w:color w:val="000000"/>
                <w:sz w:val="17"/>
              </w:rPr>
              <w:t>Multi-sensor array</w:t>
            </w:r>
          </w:p>
        </w:tc>
        <w:tc>
          <w:tcPr>
            <w:tcW w:type="dxa" w:w="1872"/>
            <w:shd w:fill="FFFFFF"/>
            <w:tcMar>
              <w:top w:w="35" w:type="dxa"/>
              <w:bottom w:w="35" w:type="dxa"/>
              <w:left w:w="60" w:type="dxa"/>
              <w:right w:w="60" w:type="dxa"/>
            </w:tcMar>
          </w:tcPr>
          <w:p>
            <w:pPr>
              <w:spacing w:before="60" w:after="60" w:line="252" w:lineRule="auto"/>
            </w:pPr>
            <w:r>
              <w:rPr>
                <w:rFonts w:ascii="Times New Roman" w:hAnsi="Times New Roman"/>
                <w:color w:val="000000"/>
                <w:sz w:val="17"/>
              </w:rPr>
              <w:t>Platform user accounts</w:t>
            </w:r>
          </w:p>
        </w:tc>
        <w:tc>
          <w:tcPr>
            <w:tcW w:type="dxa" w:w="1872"/>
            <w:shd w:fill="FFFFFF"/>
            <w:tcMar>
              <w:top w:w="35" w:type="dxa"/>
              <w:bottom w:w="35" w:type="dxa"/>
              <w:left w:w="60" w:type="dxa"/>
              <w:right w:w="60" w:type="dxa"/>
            </w:tcMar>
          </w:tcPr>
          <w:p>
            <w:pPr>
              <w:spacing w:before="60" w:after="60" w:line="252" w:lineRule="auto"/>
            </w:pPr>
            <w:r>
              <w:rPr>
                <w:rFonts w:ascii="Times New Roman" w:hAnsi="Times New Roman"/>
                <w:color w:val="000000"/>
                <w:sz w:val="17"/>
              </w:rPr>
              <w:t>Dual-channel native loopback and Nova-2</w:t>
            </w:r>
          </w:p>
        </w:tc>
      </w:tr>
      <w:tr>
        <w:tc>
          <w:tcPr>
            <w:tcW w:type="dxa" w:w="1872"/>
            <w:shd w:fill="F9FAFB"/>
            <w:tcMar>
              <w:top w:w="35" w:type="dxa"/>
              <w:bottom w:w="35" w:type="dxa"/>
              <w:left w:w="60" w:type="dxa"/>
              <w:right w:w="60" w:type="dxa"/>
            </w:tcMar>
          </w:tcPr>
          <w:p>
            <w:pPr>
              <w:spacing w:before="60" w:after="60" w:line="252" w:lineRule="auto"/>
            </w:pPr>
            <w:r>
              <w:rPr>
                <w:rFonts w:ascii="Times New Roman" w:hAnsi="Times New Roman"/>
                <w:color w:val="000000"/>
                <w:sz w:val="17"/>
              </w:rPr>
            </w:r>
            <w:r>
              <w:rPr>
                <w:rFonts w:ascii="Times New Roman" w:hAnsi="Times New Roman"/>
                <w:b/>
                <w:color w:val="000000"/>
                <w:sz w:val="17"/>
              </w:rPr>
              <w:t>Unanswered Questions</w:t>
            </w:r>
            <w:r>
              <w:rPr>
                <w:rFonts w:ascii="Times New Roman" w:hAnsi="Times New Roman"/>
                <w:color w:val="000000"/>
                <w:sz w:val="17"/>
              </w:rPr>
            </w:r>
          </w:p>
        </w:tc>
        <w:tc>
          <w:tcPr>
            <w:tcW w:type="dxa" w:w="1872"/>
            <w:shd w:fill="F9FAFB"/>
            <w:tcMar>
              <w:top w:w="35" w:type="dxa"/>
              <w:bottom w:w="35" w:type="dxa"/>
              <w:left w:w="60" w:type="dxa"/>
              <w:right w:w="60" w:type="dxa"/>
            </w:tcMar>
          </w:tcPr>
          <w:p>
            <w:pPr>
              <w:spacing w:before="60" w:after="60" w:line="252" w:lineRule="auto"/>
            </w:pPr>
            <w:r>
              <w:rPr>
                <w:rFonts w:ascii="Times New Roman" w:hAnsi="Times New Roman"/>
                <w:color w:val="000000"/>
                <w:sz w:val="17"/>
              </w:rPr>
              <w:t>Not supported</w:t>
            </w:r>
          </w:p>
        </w:tc>
        <w:tc>
          <w:tcPr>
            <w:tcW w:type="dxa" w:w="1872"/>
            <w:shd w:fill="F9FAFB"/>
            <w:tcMar>
              <w:top w:w="35" w:type="dxa"/>
              <w:bottom w:w="35" w:type="dxa"/>
              <w:left w:w="60" w:type="dxa"/>
              <w:right w:w="60" w:type="dxa"/>
            </w:tcMar>
          </w:tcPr>
          <w:p>
            <w:pPr>
              <w:spacing w:before="60" w:after="60" w:line="252" w:lineRule="auto"/>
            </w:pPr>
            <w:r>
              <w:rPr>
                <w:rFonts w:ascii="Times New Roman" w:hAnsi="Times New Roman"/>
                <w:color w:val="000000"/>
                <w:sz w:val="17"/>
              </w:rPr>
              <w:t>Not supported</w:t>
            </w:r>
          </w:p>
        </w:tc>
        <w:tc>
          <w:tcPr>
            <w:tcW w:type="dxa" w:w="1872"/>
            <w:shd w:fill="F9FAFB"/>
            <w:tcMar>
              <w:top w:w="35" w:type="dxa"/>
              <w:bottom w:w="35" w:type="dxa"/>
              <w:left w:w="60" w:type="dxa"/>
              <w:right w:w="60" w:type="dxa"/>
            </w:tcMar>
          </w:tcPr>
          <w:p>
            <w:pPr>
              <w:spacing w:before="60" w:after="60" w:line="252" w:lineRule="auto"/>
            </w:pPr>
            <w:r>
              <w:rPr>
                <w:rFonts w:ascii="Times New Roman" w:hAnsi="Times New Roman"/>
                <w:color w:val="000000"/>
                <w:sz w:val="17"/>
              </w:rPr>
              <w:t>Basic text search query</w:t>
            </w:r>
          </w:p>
        </w:tc>
        <w:tc>
          <w:tcPr>
            <w:tcW w:type="dxa" w:w="1872"/>
            <w:shd w:fill="F9FAFB"/>
            <w:tcMar>
              <w:top w:w="35" w:type="dxa"/>
              <w:bottom w:w="35" w:type="dxa"/>
              <w:left w:w="60" w:type="dxa"/>
              <w:right w:w="60" w:type="dxa"/>
            </w:tcMar>
          </w:tcPr>
          <w:p>
            <w:pPr>
              <w:spacing w:before="60" w:after="60" w:line="252" w:lineRule="auto"/>
            </w:pPr>
            <w:r>
              <w:rPr>
                <w:rFonts w:ascii="Times New Roman" w:hAnsi="Times New Roman"/>
                <w:color w:val="000000"/>
                <w:sz w:val="17"/>
              </w:rPr>
              <w:t>Automatic dialogue act detection and alert</w:t>
            </w:r>
          </w:p>
        </w:tc>
      </w:tr>
      <w:tr>
        <w:tc>
          <w:tcPr>
            <w:tcW w:type="dxa" w:w="1872"/>
            <w:shd w:fill="FFFFFF"/>
            <w:tcMar>
              <w:top w:w="35" w:type="dxa"/>
              <w:bottom w:w="35" w:type="dxa"/>
              <w:left w:w="60" w:type="dxa"/>
              <w:right w:w="60" w:type="dxa"/>
            </w:tcMar>
          </w:tcPr>
          <w:p>
            <w:pPr>
              <w:spacing w:before="60" w:after="60" w:line="252" w:lineRule="auto"/>
            </w:pPr>
            <w:r>
              <w:rPr>
                <w:rFonts w:ascii="Times New Roman" w:hAnsi="Times New Roman"/>
                <w:color w:val="000000"/>
                <w:sz w:val="17"/>
              </w:rPr>
            </w:r>
            <w:r>
              <w:rPr>
                <w:rFonts w:ascii="Times New Roman" w:hAnsi="Times New Roman"/>
                <w:b/>
                <w:color w:val="000000"/>
                <w:sz w:val="17"/>
              </w:rPr>
              <w:t>Document Grounding</w:t>
            </w:r>
            <w:r>
              <w:rPr>
                <w:rFonts w:ascii="Times New Roman" w:hAnsi="Times New Roman"/>
                <w:color w:val="000000"/>
                <w:sz w:val="17"/>
              </w:rPr>
            </w:r>
          </w:p>
        </w:tc>
        <w:tc>
          <w:tcPr>
            <w:tcW w:type="dxa" w:w="1872"/>
            <w:shd w:fill="FFFFFF"/>
            <w:tcMar>
              <w:top w:w="35" w:type="dxa"/>
              <w:bottom w:w="35" w:type="dxa"/>
              <w:left w:w="60" w:type="dxa"/>
              <w:right w:w="60" w:type="dxa"/>
            </w:tcMar>
          </w:tcPr>
          <w:p>
            <w:pPr>
              <w:spacing w:before="60" w:after="60" w:line="252" w:lineRule="auto"/>
            </w:pPr>
            <w:r>
              <w:rPr>
                <w:rFonts w:ascii="Times New Roman" w:hAnsi="Times New Roman"/>
                <w:color w:val="000000"/>
                <w:sz w:val="17"/>
              </w:rPr>
              <w:t>Full cloud file upload</w:t>
            </w:r>
          </w:p>
        </w:tc>
        <w:tc>
          <w:tcPr>
            <w:tcW w:type="dxa" w:w="1872"/>
            <w:shd w:fill="FFFFFF"/>
            <w:tcMar>
              <w:top w:w="35" w:type="dxa"/>
              <w:bottom w:w="35" w:type="dxa"/>
              <w:left w:w="60" w:type="dxa"/>
              <w:right w:w="60" w:type="dxa"/>
            </w:tcMar>
          </w:tcPr>
          <w:p>
            <w:pPr>
              <w:spacing w:before="60" w:after="60" w:line="252" w:lineRule="auto"/>
            </w:pPr>
            <w:r>
              <w:rPr>
                <w:rFonts w:ascii="Times New Roman" w:hAnsi="Times New Roman"/>
                <w:color w:val="000000"/>
                <w:sz w:val="17"/>
              </w:rPr>
              <w:t>Not supported</w:t>
            </w:r>
          </w:p>
        </w:tc>
        <w:tc>
          <w:tcPr>
            <w:tcW w:type="dxa" w:w="1872"/>
            <w:shd w:fill="FFFFFF"/>
            <w:tcMar>
              <w:top w:w="35" w:type="dxa"/>
              <w:bottom w:w="35" w:type="dxa"/>
              <w:left w:w="60" w:type="dxa"/>
              <w:right w:w="60" w:type="dxa"/>
            </w:tcMar>
          </w:tcPr>
          <w:p>
            <w:pPr>
              <w:spacing w:before="60" w:after="60" w:line="252" w:lineRule="auto"/>
            </w:pPr>
            <w:r>
              <w:rPr>
                <w:rFonts w:ascii="Times New Roman" w:hAnsi="Times New Roman"/>
                <w:color w:val="000000"/>
                <w:sz w:val="17"/>
              </w:rPr>
              <w:t>OneDrive cloud sync</w:t>
            </w:r>
          </w:p>
        </w:tc>
        <w:tc>
          <w:tcPr>
            <w:tcW w:type="dxa" w:w="1872"/>
            <w:shd w:fill="FFFFFF"/>
            <w:tcMar>
              <w:top w:w="35" w:type="dxa"/>
              <w:bottom w:w="35" w:type="dxa"/>
              <w:left w:w="60" w:type="dxa"/>
              <w:right w:w="60" w:type="dxa"/>
            </w:tcMar>
          </w:tcPr>
          <w:p>
            <w:pPr>
              <w:spacing w:before="60" w:after="60" w:line="252" w:lineRule="auto"/>
            </w:pPr>
            <w:r>
              <w:rPr>
                <w:rFonts w:ascii="Times New Roman" w:hAnsi="Times New Roman"/>
                <w:color w:val="000000"/>
                <w:sz w:val="17"/>
              </w:rPr>
              <w:t>Zero-token local keyword matching</w:t>
            </w:r>
          </w:p>
        </w:tc>
      </w:tr>
      <w:tr>
        <w:tc>
          <w:tcPr>
            <w:tcW w:type="dxa" w:w="1872"/>
            <w:shd w:fill="F9FAFB"/>
            <w:tcMar>
              <w:top w:w="35" w:type="dxa"/>
              <w:bottom w:w="35" w:type="dxa"/>
              <w:left w:w="60" w:type="dxa"/>
              <w:right w:w="60" w:type="dxa"/>
            </w:tcMar>
          </w:tcPr>
          <w:p>
            <w:pPr>
              <w:spacing w:before="60" w:after="60" w:line="252" w:lineRule="auto"/>
            </w:pPr>
            <w:r>
              <w:rPr>
                <w:rFonts w:ascii="Times New Roman" w:hAnsi="Times New Roman"/>
                <w:color w:val="000000"/>
                <w:sz w:val="17"/>
              </w:rPr>
            </w:r>
            <w:r>
              <w:rPr>
                <w:rFonts w:ascii="Times New Roman" w:hAnsi="Times New Roman"/>
                <w:b/>
                <w:color w:val="000000"/>
                <w:sz w:val="17"/>
              </w:rPr>
              <w:t>Screen Share Privacy</w:t>
            </w:r>
            <w:r>
              <w:rPr>
                <w:rFonts w:ascii="Times New Roman" w:hAnsi="Times New Roman"/>
                <w:color w:val="000000"/>
                <w:sz w:val="17"/>
              </w:rPr>
            </w:r>
          </w:p>
        </w:tc>
        <w:tc>
          <w:tcPr>
            <w:tcW w:type="dxa" w:w="1872"/>
            <w:shd w:fill="F9FAFB"/>
            <w:tcMar>
              <w:top w:w="35" w:type="dxa"/>
              <w:bottom w:w="35" w:type="dxa"/>
              <w:left w:w="60" w:type="dxa"/>
              <w:right w:w="60" w:type="dxa"/>
            </w:tcMar>
          </w:tcPr>
          <w:p>
            <w:pPr>
              <w:spacing w:before="60" w:after="60" w:line="252" w:lineRule="auto"/>
            </w:pPr>
            <w:r>
              <w:rPr>
                <w:rFonts w:ascii="Times New Roman" w:hAnsi="Times New Roman"/>
                <w:color w:val="000000"/>
                <w:sz w:val="17"/>
              </w:rPr>
              <w:t>In-browser visible</w:t>
            </w:r>
          </w:p>
        </w:tc>
        <w:tc>
          <w:tcPr>
            <w:tcW w:type="dxa" w:w="1872"/>
            <w:shd w:fill="F9FAFB"/>
            <w:tcMar>
              <w:top w:w="35" w:type="dxa"/>
              <w:bottom w:w="35" w:type="dxa"/>
              <w:left w:w="60" w:type="dxa"/>
              <w:right w:w="60" w:type="dxa"/>
            </w:tcMar>
          </w:tcPr>
          <w:p>
            <w:pPr>
              <w:spacing w:before="60" w:after="60" w:line="252" w:lineRule="auto"/>
            </w:pPr>
            <w:r>
              <w:rPr>
                <w:rFonts w:ascii="Times New Roman" w:hAnsi="Times New Roman"/>
                <w:color w:val="000000"/>
                <w:sz w:val="17"/>
              </w:rPr>
              <w:t>Not applicable</w:t>
            </w:r>
          </w:p>
        </w:tc>
        <w:tc>
          <w:tcPr>
            <w:tcW w:type="dxa" w:w="1872"/>
            <w:shd w:fill="F9FAFB"/>
            <w:tcMar>
              <w:top w:w="35" w:type="dxa"/>
              <w:bottom w:w="35" w:type="dxa"/>
              <w:left w:w="60" w:type="dxa"/>
              <w:right w:w="60" w:type="dxa"/>
            </w:tcMar>
          </w:tcPr>
          <w:p>
            <w:pPr>
              <w:spacing w:before="60" w:after="60" w:line="252" w:lineRule="auto"/>
            </w:pPr>
            <w:r>
              <w:rPr>
                <w:rFonts w:ascii="Times New Roman" w:hAnsi="Times New Roman"/>
                <w:color w:val="000000"/>
                <w:sz w:val="17"/>
              </w:rPr>
              <w:t>Standard app window</w:t>
            </w:r>
          </w:p>
        </w:tc>
        <w:tc>
          <w:tcPr>
            <w:tcW w:type="dxa" w:w="1872"/>
            <w:shd w:fill="F9FAFB"/>
            <w:tcMar>
              <w:top w:w="35" w:type="dxa"/>
              <w:bottom w:w="35" w:type="dxa"/>
              <w:left w:w="60" w:type="dxa"/>
              <w:right w:w="60" w:type="dxa"/>
            </w:tcMar>
          </w:tcPr>
          <w:p>
            <w:pPr>
              <w:spacing w:before="60" w:after="60" w:line="252" w:lineRule="auto"/>
            </w:pPr>
            <w:r>
              <w:rPr>
                <w:rFonts w:ascii="Times New Roman" w:hAnsi="Times New Roman"/>
                <w:color w:val="000000"/>
                <w:sz w:val="17"/>
              </w:rPr>
              <w:t>Native OS window masking (sharingType/WDA)</w:t>
            </w:r>
          </w:p>
        </w:tc>
      </w:tr>
      <w:tr>
        <w:tc>
          <w:tcPr>
            <w:tcW w:type="dxa" w:w="1872"/>
            <w:shd w:fill="FFFFFF"/>
            <w:tcMar>
              <w:top w:w="35" w:type="dxa"/>
              <w:bottom w:w="35" w:type="dxa"/>
              <w:left w:w="60" w:type="dxa"/>
              <w:right w:w="60" w:type="dxa"/>
            </w:tcMar>
          </w:tcPr>
          <w:p>
            <w:pPr>
              <w:spacing w:before="60" w:after="60" w:line="252" w:lineRule="auto"/>
            </w:pPr>
            <w:r>
              <w:rPr>
                <w:rFonts w:ascii="Times New Roman" w:hAnsi="Times New Roman"/>
                <w:color w:val="000000"/>
                <w:sz w:val="17"/>
              </w:rPr>
            </w:r>
            <w:r>
              <w:rPr>
                <w:rFonts w:ascii="Times New Roman" w:hAnsi="Times New Roman"/>
                <w:b/>
                <w:color w:val="000000"/>
                <w:sz w:val="17"/>
              </w:rPr>
              <w:t>Longitudinal Tracking</w:t>
            </w:r>
            <w:r>
              <w:rPr>
                <w:rFonts w:ascii="Times New Roman" w:hAnsi="Times New Roman"/>
                <w:color w:val="000000"/>
                <w:sz w:val="17"/>
              </w:rPr>
            </w:r>
          </w:p>
        </w:tc>
        <w:tc>
          <w:tcPr>
            <w:tcW w:type="dxa" w:w="1872"/>
            <w:shd w:fill="FFFFFF"/>
            <w:tcMar>
              <w:top w:w="35" w:type="dxa"/>
              <w:bottom w:w="35" w:type="dxa"/>
              <w:left w:w="60" w:type="dxa"/>
              <w:right w:w="60" w:type="dxa"/>
            </w:tcMar>
          </w:tcPr>
          <w:p>
            <w:pPr>
              <w:spacing w:before="60" w:after="60" w:line="252" w:lineRule="auto"/>
            </w:pPr>
            <w:r>
              <w:rPr>
                <w:rFonts w:ascii="Times New Roman" w:hAnsi="Times New Roman"/>
                <w:color w:val="000000"/>
                <w:sz w:val="17"/>
              </w:rPr>
              <w:t>Flat search list</w:t>
            </w:r>
          </w:p>
        </w:tc>
        <w:tc>
          <w:tcPr>
            <w:tcW w:type="dxa" w:w="1872"/>
            <w:shd w:fill="FFFFFF"/>
            <w:tcMar>
              <w:top w:w="35" w:type="dxa"/>
              <w:bottom w:w="35" w:type="dxa"/>
              <w:left w:w="60" w:type="dxa"/>
              <w:right w:w="60" w:type="dxa"/>
            </w:tcMar>
          </w:tcPr>
          <w:p>
            <w:pPr>
              <w:spacing w:before="60" w:after="60" w:line="252" w:lineRule="auto"/>
            </w:pPr>
            <w:r>
              <w:rPr>
                <w:rFonts w:ascii="Times New Roman" w:hAnsi="Times New Roman"/>
                <w:color w:val="000000"/>
                <w:sz w:val="17"/>
              </w:rPr>
              <w:t>Static study logs</w:t>
            </w:r>
          </w:p>
        </w:tc>
        <w:tc>
          <w:tcPr>
            <w:tcW w:type="dxa" w:w="1872"/>
            <w:shd w:fill="FFFFFF"/>
            <w:tcMar>
              <w:top w:w="35" w:type="dxa"/>
              <w:bottom w:w="35" w:type="dxa"/>
              <w:left w:w="60" w:type="dxa"/>
              <w:right w:w="60" w:type="dxa"/>
            </w:tcMar>
          </w:tcPr>
          <w:p>
            <w:pPr>
              <w:spacing w:before="60" w:after="60" w:line="252" w:lineRule="auto"/>
            </w:pPr>
            <w:r>
              <w:rPr>
                <w:rFonts w:ascii="Times New Roman" w:hAnsi="Times New Roman"/>
                <w:color w:val="000000"/>
                <w:sz w:val="17"/>
              </w:rPr>
              <w:t>Basic cross-meeting search</w:t>
            </w:r>
          </w:p>
        </w:tc>
        <w:tc>
          <w:tcPr>
            <w:tcW w:type="dxa" w:w="1872"/>
            <w:shd w:fill="FFFFFF"/>
            <w:tcMar>
              <w:top w:w="35" w:type="dxa"/>
              <w:bottom w:w="35" w:type="dxa"/>
              <w:left w:w="60" w:type="dxa"/>
              <w:right w:w="60" w:type="dxa"/>
            </w:tcMar>
          </w:tcPr>
          <w:p>
            <w:pPr>
              <w:spacing w:before="60" w:after="60" w:line="252" w:lineRule="auto"/>
            </w:pPr>
            <w:r>
              <w:rPr>
                <w:rFonts w:ascii="Times New Roman" w:hAnsi="Times New Roman"/>
                <w:color w:val="000000"/>
                <w:sz w:val="17"/>
              </w:rPr>
              <w:t>Graphify knowledge graph memory</w:t>
            </w:r>
          </w:p>
        </w:tc>
      </w:tr>
    </w:tbl>
    <w:p>
      <w:pPr>
        <w:spacing w:before="60" w:after="200"/>
        <w:jc w:val="center"/>
      </w:pPr>
      <w:r>
        <w:rPr>
          <w:rFonts w:ascii="Times New Roman" w:hAnsi="Times New Roman"/>
          <w:i/>
          <w:color w:val="000000"/>
          <w:sz w:val="19"/>
        </w:rPr>
        <w:t>Table 1. State-of-the-Art Comparative Synthesis Matrix Across Meeting Assistant Paradigms.</w:t>
      </w:r>
    </w:p>
    <w:p>
      <w:pPr>
        <w:spacing w:line="276" w:lineRule="auto" w:after="100"/>
        <w:jc w:val="both"/>
      </w:pPr>
      <w:r>
        <w:rPr>
          <w:rFonts w:ascii="Times New Roman" w:hAnsi="Times New Roman"/>
          <w:color w:val="000000"/>
        </w:rPr>
        <w:t>The proposed system is engineered for complete individual execution across a 12-week capstone timeline:</w:t>
      </w:r>
    </w:p>
    <w:p>
      <w:pPr>
        <w:pStyle w:val="ListBullet"/>
        <w:spacing w:line="276" w:lineRule="auto" w:after="50"/>
        <w:ind w:left="360"/>
      </w:pPr>
      <w:r>
        <w:rPr>
          <w:rFonts w:ascii="Times New Roman" w:hAnsi="Times New Roman"/>
          <w:color w:val="000000"/>
        </w:rPr>
        <w:t>Tooling and Budget: Development leverages existing personal computers and free tooling. Operating expenses are confined to cloud APIs:</w:t>
      </w:r>
    </w:p>
    <w:p>
      <w:pPr>
        <w:pStyle w:val="ListBullet"/>
        <w:spacing w:line="276" w:lineRule="auto" w:after="50"/>
        <w:ind w:left="360"/>
      </w:pPr>
      <w:r>
        <w:rPr>
          <w:rFonts w:ascii="Times New Roman" w:hAnsi="Times New Roman"/>
          <w:color w:val="000000"/>
        </w:rPr>
        <w:t>Deepgram streaming ASR and diarisation: AUD 60 to AUD 120</w:t>
      </w:r>
    </w:p>
    <w:p>
      <w:pPr>
        <w:pStyle w:val="ListBullet"/>
        <w:spacing w:line="276" w:lineRule="auto" w:after="50"/>
        <w:ind w:left="360"/>
      </w:pPr>
      <w:r>
        <w:rPr>
          <w:rFonts w:ascii="Times New Roman" w:hAnsi="Times New Roman"/>
          <w:color w:val="000000"/>
        </w:rPr>
        <w:t>Google Gemini language analysis: AUD 40 to AUD 80</w:t>
      </w:r>
    </w:p>
    <w:p>
      <w:pPr>
        <w:pStyle w:val="ListBullet"/>
        <w:spacing w:line="276" w:lineRule="auto" w:after="50"/>
        <w:ind w:left="360"/>
      </w:pPr>
      <w:r>
        <w:rPr>
          <w:rFonts w:ascii="Times New Roman" w:hAnsi="Times New Roman"/>
          <w:color w:val="000000"/>
        </w:rPr>
        <w:t>Total expenditure: AUD 100 to AUD 200, strictly within the AUD 200 project budget.</w:t>
      </w:r>
    </w:p>
    <w:p>
      <w:pPr>
        <w:pStyle w:val="ListBullet"/>
        <w:spacing w:line="276" w:lineRule="auto" w:after="50"/>
        <w:ind w:left="360"/>
      </w:pPr>
      <w:r>
        <w:rPr>
          <w:rFonts w:ascii="Times New Roman" w:hAnsi="Times New Roman"/>
          <w:color w:val="000000"/>
        </w:rPr>
        <w:t>Development Scope: Leveraging established cloud APIs for transcription and reasoning allows development to concentrate on client architecture, audio loopback capture, prompt engineering, and sociometric algorithms without training custom deep learning models.</w:t>
      </w:r>
    </w:p>
    <w:p>
      <w:pPr>
        <w:pStyle w:val="ListBullet"/>
        <w:spacing w:line="276" w:lineRule="auto" w:after="50"/>
        <w:ind w:left="360"/>
      </w:pPr>
      <w:r>
        <w:rPr>
          <w:rFonts w:ascii="Times New Roman" w:hAnsi="Times New Roman"/>
          <w:color w:val="000000"/>
        </w:rPr>
        <w:t>Phased Timeline: Development progresses across six two-week iterations, completing audio capture by Week 5, live HUD cards by Week 7, post-meeting coaching by Week 9, and empirical evaluation by Week 11.</w:t>
      </w:r>
    </w:p>
    <w:p>
      <w:pPr>
        <w:keepNext/>
        <w:spacing w:before="280" w:after="80"/>
      </w:pPr>
      <w:r>
        <w:rPr>
          <w:rFonts w:ascii="Times New Roman" w:hAnsi="Times New Roman"/>
          <w:b/>
          <w:color w:val="000000"/>
          <w:sz w:val="28"/>
        </w:rPr>
        <w:t>7. Conclusion</w:t>
      </w:r>
    </w:p>
    <w:p>
      <w:pPr>
        <w:spacing w:line="276" w:lineRule="auto" w:after="100"/>
        <w:jc w:val="both"/>
      </w:pPr>
      <w:r>
        <w:rPr>
          <w:rFonts w:ascii="Times New Roman" w:hAnsi="Times New Roman"/>
          <w:color w:val="000000"/>
        </w:rPr>
        <w:t>Virtual meetings frequently suffer from cognitive overload, lost action items, unanswered questions, and a lack of objective speaking feedback. Commercial platforms remain focused on retrospective summaries produced by intrusive bots, while academic prototypes have largely omitted real-time in-flight support.</w:t>
      </w:r>
    </w:p>
    <w:p>
      <w:pPr>
        <w:spacing w:line="276" w:lineRule="auto" w:after="100"/>
        <w:jc w:val="both"/>
      </w:pPr>
      <w:r>
        <w:rPr>
          <w:rFonts w:ascii="Times New Roman" w:hAnsi="Times New Roman"/>
          <w:color w:val="000000"/>
        </w:rPr>
        <w:t>This literature review provides the conceptual and technical foundation for an AI Meeting Communication Coach. By combining Conformer streaming ASR, dual-channel audio loopback, throttled Gemini reasoning, zero-token local document grounding, peripheral HUD ergonomics, and Graphify knowledge graphs, the proposed desktop assistant delivers both live cognitive assistance and longitudinal behavioral coaching. The architecture respects user privacy, requires no meeting bots, and is fully achievable within the 12-week capstone schedule.</w:t>
      </w:r>
    </w:p>
    <w:p>
      <w:pPr>
        <w:keepNext/>
        <w:spacing w:before="280" w:after="80"/>
      </w:pPr>
      <w:r>
        <w:rPr>
          <w:rFonts w:ascii="Times New Roman" w:hAnsi="Times New Roman"/>
          <w:b/>
          <w:color w:val="000000"/>
          <w:sz w:val="28"/>
        </w:rPr>
        <w:t>8. References</w:t>
      </w:r>
    </w:p>
    <w:p>
      <w:pPr>
        <w:spacing w:line="276" w:lineRule="auto" w:after="100"/>
        <w:ind w:left="720" w:hanging="720"/>
        <w:jc w:val="both"/>
      </w:pPr>
      <w:r>
        <w:rPr>
          <w:rFonts w:ascii="Times New Roman" w:hAnsi="Times New Roman"/>
          <w:color w:val="000000"/>
          <w:sz w:val="22"/>
        </w:rPr>
        <w:t xml:space="preserve">Bailenson, J. N. (2021). Nonverbal overload: A theoretical argument for the causes of Zoom fatigue. </w:t>
      </w:r>
      <w:r>
        <w:rPr>
          <w:rFonts w:ascii="Times New Roman" w:hAnsi="Times New Roman"/>
          <w:i/>
          <w:color w:val="000000"/>
          <w:sz w:val="22"/>
        </w:rPr>
        <w:t>Technology, Mind, and Behavior</w:t>
      </w:r>
      <w:r>
        <w:rPr>
          <w:rFonts w:ascii="Times New Roman" w:hAnsi="Times New Roman"/>
          <w:color w:val="000000"/>
          <w:sz w:val="22"/>
        </w:rPr>
        <w:t xml:space="preserve">, 2(1). </w:t>
      </w:r>
      <w:r>
        <w:rPr>
          <w:rFonts w:ascii="Times New Roman" w:hAnsi="Times New Roman"/>
          <w:color w:val="000000"/>
          <w:sz w:val="20"/>
          <w:u w:val="single"/>
        </w:rPr>
        <w:t>https://doi.org/10.1037/tmb0000030</w:t>
      </w:r>
      <w:r>
        <w:rPr>
          <w:rFonts w:ascii="Times New Roman" w:hAnsi="Times New Roman"/>
          <w:color w:val="000000"/>
          <w:sz w:val="22"/>
        </w:rPr>
      </w:r>
    </w:p>
    <w:p>
      <w:pPr>
        <w:spacing w:line="276" w:lineRule="auto" w:after="100"/>
        <w:ind w:left="720" w:hanging="720"/>
        <w:jc w:val="both"/>
      </w:pPr>
      <w:r>
        <w:rPr>
          <w:rFonts w:ascii="Times New Roman" w:hAnsi="Times New Roman"/>
          <w:color w:val="000000"/>
          <w:sz w:val="22"/>
        </w:rPr>
        <w:t xml:space="preserve">Bredin, H., Yin, R., Coria, J. M., Broux, G., Bousbih, M., Barsim, M. N., ... &amp; Zhang, Z. (2020). pyannote.audio: Neural building blocks for speaker diarization. In </w:t>
      </w:r>
      <w:r>
        <w:rPr>
          <w:rFonts w:ascii="Times New Roman" w:hAnsi="Times New Roman"/>
          <w:i/>
          <w:color w:val="000000"/>
          <w:sz w:val="22"/>
        </w:rPr>
        <w:t>ICASSP 2020 - 2020 IEEE International Conference on Acoustics, Speech and Signal Processing (ICASSP)</w:t>
      </w:r>
      <w:r>
        <w:rPr>
          <w:rFonts w:ascii="Times New Roman" w:hAnsi="Times New Roman"/>
          <w:color w:val="000000"/>
          <w:sz w:val="22"/>
        </w:rPr>
        <w:t xml:space="preserve"> (pp. 7124-7128). IEEE. </w:t>
      </w:r>
      <w:r>
        <w:rPr>
          <w:rFonts w:ascii="Times New Roman" w:hAnsi="Times New Roman"/>
          <w:color w:val="000000"/>
          <w:sz w:val="20"/>
          <w:u w:val="single"/>
        </w:rPr>
        <w:t>https://doi.org/10.1109/ICASSP40776.2020.9052974</w:t>
      </w:r>
      <w:r>
        <w:rPr>
          <w:rFonts w:ascii="Times New Roman" w:hAnsi="Times New Roman"/>
          <w:color w:val="000000"/>
          <w:sz w:val="22"/>
        </w:rPr>
      </w:r>
    </w:p>
    <w:p>
      <w:pPr>
        <w:spacing w:line="276" w:lineRule="auto" w:after="100"/>
        <w:ind w:left="720" w:hanging="720"/>
        <w:jc w:val="both"/>
      </w:pPr>
      <w:r>
        <w:rPr>
          <w:rFonts w:ascii="Times New Roman" w:hAnsi="Times New Roman"/>
          <w:color w:val="000000"/>
          <w:sz w:val="22"/>
        </w:rPr>
        <w:t xml:space="preserve">Carletta, J., Ashby, S., Bourban, S., Flynn, M., Guillemot, M., Hain, T., Ehlers, M., Post, W., &amp; Wellner, P. (2006). The AMI meeting corpus: A pre-announcement. In S. Renals &amp; S. Bengio (Eds.), </w:t>
      </w:r>
      <w:r>
        <w:rPr>
          <w:rFonts w:ascii="Times New Roman" w:hAnsi="Times New Roman"/>
          <w:i/>
          <w:color w:val="000000"/>
          <w:sz w:val="22"/>
        </w:rPr>
        <w:t>Machine Learning for Multimodal Interaction: Second International Workshop, MLMI 2005, Revised Selected Papers</w:t>
      </w:r>
      <w:r>
        <w:rPr>
          <w:rFonts w:ascii="Times New Roman" w:hAnsi="Times New Roman"/>
          <w:color w:val="000000"/>
          <w:sz w:val="22"/>
        </w:rPr>
        <w:t xml:space="preserve"> (Lecture Notes in Computer Science, Vol. 3869, pp. 28-39). Springer, Berlin, Heidelberg. </w:t>
      </w:r>
      <w:r>
        <w:rPr>
          <w:rFonts w:ascii="Times New Roman" w:hAnsi="Times New Roman"/>
          <w:color w:val="000000"/>
          <w:sz w:val="20"/>
          <w:u w:val="single"/>
        </w:rPr>
        <w:t>https://doi.org/10.1007/11677482_3</w:t>
      </w:r>
      <w:r>
        <w:rPr>
          <w:rFonts w:ascii="Times New Roman" w:hAnsi="Times New Roman"/>
          <w:color w:val="000000"/>
          <w:sz w:val="22"/>
        </w:rPr>
        <w:t xml:space="preserve"> (Note: MLMI workshop presented in 2005; official Springer volume published in 2006).</w:t>
      </w:r>
    </w:p>
    <w:p>
      <w:pPr>
        <w:spacing w:line="276" w:lineRule="auto" w:after="100"/>
        <w:ind w:left="720" w:hanging="720"/>
        <w:jc w:val="both"/>
      </w:pPr>
      <w:r>
        <w:rPr>
          <w:rFonts w:ascii="Times New Roman" w:hAnsi="Times New Roman"/>
          <w:color w:val="000000"/>
          <w:sz w:val="22"/>
        </w:rPr>
        <w:t xml:space="preserve">Gemini Team, Google. (2024). Gemini: A family of highly capable multimodal models. </w:t>
      </w:r>
      <w:r>
        <w:rPr>
          <w:rFonts w:ascii="Times New Roman" w:hAnsi="Times New Roman"/>
          <w:i/>
          <w:color w:val="000000"/>
          <w:sz w:val="22"/>
        </w:rPr>
        <w:t>arXiv preprint arXiv:2312.11805</w:t>
      </w:r>
      <w:r>
        <w:rPr>
          <w:rFonts w:ascii="Times New Roman" w:hAnsi="Times New Roman"/>
          <w:color w:val="000000"/>
          <w:sz w:val="22"/>
        </w:rPr>
        <w:t xml:space="preserve">. </w:t>
      </w:r>
      <w:r>
        <w:rPr>
          <w:rFonts w:ascii="Times New Roman" w:hAnsi="Times New Roman"/>
          <w:color w:val="000000"/>
          <w:sz w:val="20"/>
          <w:u w:val="single"/>
        </w:rPr>
        <w:t>https://doi.org/10.48550/arXiv.2312.11805</w:t>
      </w:r>
      <w:r>
        <w:rPr>
          <w:rFonts w:ascii="Times New Roman" w:hAnsi="Times New Roman"/>
          <w:color w:val="000000"/>
          <w:sz w:val="22"/>
        </w:rPr>
      </w:r>
    </w:p>
    <w:p>
      <w:pPr>
        <w:spacing w:line="276" w:lineRule="auto" w:after="100"/>
        <w:ind w:left="720" w:hanging="720"/>
        <w:jc w:val="both"/>
      </w:pPr>
      <w:r>
        <w:rPr>
          <w:rFonts w:ascii="Times New Roman" w:hAnsi="Times New Roman"/>
          <w:color w:val="000000"/>
          <w:sz w:val="22"/>
        </w:rPr>
        <w:t xml:space="preserve">Gulati, A., Qin, J., Chiu, C. C., Parmar, N., Zhang, Y., Yu, J., ... &amp; Pang, R. (2020). Conformer: Convolution-augmented transformer for speech recognition. In </w:t>
      </w:r>
      <w:r>
        <w:rPr>
          <w:rFonts w:ascii="Times New Roman" w:hAnsi="Times New Roman"/>
          <w:i/>
          <w:color w:val="000000"/>
          <w:sz w:val="22"/>
        </w:rPr>
        <w:t>Interspeech 2020</w:t>
      </w:r>
      <w:r>
        <w:rPr>
          <w:rFonts w:ascii="Times New Roman" w:hAnsi="Times New Roman"/>
          <w:color w:val="000000"/>
          <w:sz w:val="22"/>
        </w:rPr>
        <w:t xml:space="preserve"> (pp. 5036-5040). </w:t>
      </w:r>
      <w:r>
        <w:rPr>
          <w:rFonts w:ascii="Times New Roman" w:hAnsi="Times New Roman"/>
          <w:color w:val="000000"/>
          <w:sz w:val="20"/>
          <w:u w:val="single"/>
        </w:rPr>
        <w:t>https://doi.org/10.21437/Interspeech.2020-3015</w:t>
      </w:r>
      <w:r>
        <w:rPr>
          <w:rFonts w:ascii="Times New Roman" w:hAnsi="Times New Roman"/>
          <w:color w:val="000000"/>
          <w:sz w:val="22"/>
        </w:rPr>
      </w:r>
    </w:p>
    <w:p>
      <w:pPr>
        <w:spacing w:line="276" w:lineRule="auto" w:after="100"/>
        <w:ind w:left="720" w:hanging="720"/>
        <w:jc w:val="both"/>
      </w:pPr>
      <w:r>
        <w:rPr>
          <w:rFonts w:ascii="Times New Roman" w:hAnsi="Times New Roman"/>
          <w:color w:val="000000"/>
          <w:sz w:val="22"/>
        </w:rPr>
        <w:t xml:space="preserve">Hu, Y., Ganter, T., Deilamsalehy, H., Dernoncourt, F., Foroosh, H., &amp; Liu, F. (2023). MeetingBank: A benchmark dataset for meeting summarization. In </w:t>
      </w:r>
      <w:r>
        <w:rPr>
          <w:rFonts w:ascii="Times New Roman" w:hAnsi="Times New Roman"/>
          <w:i/>
          <w:color w:val="000000"/>
          <w:sz w:val="22"/>
        </w:rPr>
        <w:t>Proceedings of the 61st Annual Meeting of the Association for Computational Linguistics (Volume 1: Long Papers)</w:t>
      </w:r>
      <w:r>
        <w:rPr>
          <w:rFonts w:ascii="Times New Roman" w:hAnsi="Times New Roman"/>
          <w:color w:val="000000"/>
          <w:sz w:val="22"/>
        </w:rPr>
        <w:t xml:space="preserve"> (pp. 16409-16423). Association for Computational Linguistics. </w:t>
      </w:r>
      <w:r>
        <w:rPr>
          <w:rFonts w:ascii="Times New Roman" w:hAnsi="Times New Roman"/>
          <w:color w:val="000000"/>
          <w:sz w:val="20"/>
          <w:u w:val="single"/>
        </w:rPr>
        <w:t>https://doi.org/10.18653/v1/2023.acl-long.906</w:t>
      </w:r>
      <w:r>
        <w:rPr>
          <w:rFonts w:ascii="Times New Roman" w:hAnsi="Times New Roman"/>
          <w:color w:val="000000"/>
          <w:sz w:val="22"/>
        </w:rPr>
      </w:r>
    </w:p>
    <w:p>
      <w:pPr>
        <w:spacing w:line="276" w:lineRule="auto" w:after="100"/>
        <w:ind w:left="720" w:hanging="720"/>
        <w:jc w:val="both"/>
      </w:pPr>
      <w:r>
        <w:rPr>
          <w:rFonts w:ascii="Times New Roman" w:hAnsi="Times New Roman"/>
          <w:color w:val="000000"/>
          <w:sz w:val="22"/>
        </w:rPr>
        <w:t xml:space="preserve">Janin, A., Baron, D., Edwards, J., Ellis, D., Gelbart, D., Morgan, N., ... &amp; Shriberg, E. (2003). The ICSI meeting corpus. In </w:t>
      </w:r>
      <w:r>
        <w:rPr>
          <w:rFonts w:ascii="Times New Roman" w:hAnsi="Times New Roman"/>
          <w:i/>
          <w:color w:val="000000"/>
          <w:sz w:val="22"/>
        </w:rPr>
        <w:t>2003 IEEE International Conference on Acoustics, Speech, and Signal Processing (ICASSP '03)</w:t>
      </w:r>
      <w:r>
        <w:rPr>
          <w:rFonts w:ascii="Times New Roman" w:hAnsi="Times New Roman"/>
          <w:color w:val="000000"/>
          <w:sz w:val="22"/>
        </w:rPr>
        <w:t xml:space="preserve"> (Vol. 1, pp. I-364). IEEE. </w:t>
      </w:r>
      <w:r>
        <w:rPr>
          <w:rFonts w:ascii="Times New Roman" w:hAnsi="Times New Roman"/>
          <w:color w:val="000000"/>
          <w:sz w:val="20"/>
          <w:u w:val="single"/>
        </w:rPr>
        <w:t>https://doi.org/10.1109/ICASSP.2003.1198793</w:t>
      </w:r>
      <w:r>
        <w:rPr>
          <w:rFonts w:ascii="Times New Roman" w:hAnsi="Times New Roman"/>
          <w:color w:val="000000"/>
          <w:sz w:val="22"/>
        </w:rPr>
      </w:r>
    </w:p>
    <w:p>
      <w:pPr>
        <w:spacing w:line="276" w:lineRule="auto" w:after="100"/>
        <w:ind w:left="720" w:hanging="720"/>
        <w:jc w:val="both"/>
      </w:pPr>
      <w:r>
        <w:rPr>
          <w:rFonts w:ascii="Times New Roman" w:hAnsi="Times New Roman"/>
          <w:color w:val="000000"/>
          <w:sz w:val="22"/>
        </w:rPr>
        <w:t xml:space="preserve">Kim, T., Chang, A., Holland, L., &amp; Pentland, A. (2008). Meeting mediator: Enhancing group collaboration using sociometric feedback. In </w:t>
      </w:r>
      <w:r>
        <w:rPr>
          <w:rFonts w:ascii="Times New Roman" w:hAnsi="Times New Roman"/>
          <w:i/>
          <w:color w:val="000000"/>
          <w:sz w:val="22"/>
        </w:rPr>
        <w:t>Proceedings of the 2008 ACM Conference on Computer Supported Cooperative Work (CSCW '08)</w:t>
      </w:r>
      <w:r>
        <w:rPr>
          <w:rFonts w:ascii="Times New Roman" w:hAnsi="Times New Roman"/>
          <w:color w:val="000000"/>
          <w:sz w:val="22"/>
        </w:rPr>
        <w:t xml:space="preserve"> (pp. 457-466). Association for Computing Machinery. </w:t>
      </w:r>
      <w:r>
        <w:rPr>
          <w:rFonts w:ascii="Times New Roman" w:hAnsi="Times New Roman"/>
          <w:color w:val="000000"/>
          <w:sz w:val="20"/>
          <w:u w:val="single"/>
        </w:rPr>
        <w:t>https://doi.org/10.1145/1460563.1460636</w:t>
      </w:r>
      <w:r>
        <w:rPr>
          <w:rFonts w:ascii="Times New Roman" w:hAnsi="Times New Roman"/>
          <w:color w:val="000000"/>
          <w:sz w:val="22"/>
        </w:rPr>
      </w:r>
    </w:p>
    <w:p>
      <w:pPr>
        <w:spacing w:line="276" w:lineRule="auto" w:after="100"/>
        <w:ind w:left="720" w:hanging="720"/>
        <w:jc w:val="both"/>
      </w:pPr>
      <w:r>
        <w:rPr>
          <w:rFonts w:ascii="Times New Roman" w:hAnsi="Times New Roman"/>
          <w:color w:val="000000"/>
          <w:sz w:val="22"/>
        </w:rPr>
        <w:t xml:space="preserve">Matthews, T., Rattenbury, T., &amp; Carter, S. (2007). Defining, designing, and evaluating peripheral displays: An analysis using activity theory. </w:t>
      </w:r>
      <w:r>
        <w:rPr>
          <w:rFonts w:ascii="Times New Roman" w:hAnsi="Times New Roman"/>
          <w:i/>
          <w:color w:val="000000"/>
          <w:sz w:val="22"/>
        </w:rPr>
        <w:t>Human-Computer Interaction</w:t>
      </w:r>
      <w:r>
        <w:rPr>
          <w:rFonts w:ascii="Times New Roman" w:hAnsi="Times New Roman"/>
          <w:color w:val="000000"/>
          <w:sz w:val="22"/>
        </w:rPr>
        <w:t xml:space="preserve">, 22(1-2), 221-261. </w:t>
      </w:r>
      <w:r>
        <w:rPr>
          <w:rFonts w:ascii="Times New Roman" w:hAnsi="Times New Roman"/>
          <w:color w:val="000000"/>
          <w:sz w:val="20"/>
          <w:u w:val="single"/>
        </w:rPr>
        <w:t>https://doi.org/10.1080/07370020701307997</w:t>
      </w:r>
      <w:r>
        <w:rPr>
          <w:rFonts w:ascii="Times New Roman" w:hAnsi="Times New Roman"/>
          <w:color w:val="000000"/>
          <w:sz w:val="22"/>
        </w:rPr>
      </w:r>
    </w:p>
    <w:p>
      <w:pPr>
        <w:spacing w:line="276" w:lineRule="auto" w:after="100"/>
        <w:ind w:left="720" w:hanging="720"/>
        <w:jc w:val="both"/>
      </w:pPr>
      <w:r>
        <w:rPr>
          <w:rFonts w:ascii="Times New Roman" w:hAnsi="Times New Roman"/>
          <w:color w:val="000000"/>
          <w:sz w:val="22"/>
        </w:rPr>
        <w:t xml:space="preserve">Pan, S., Luo, L., Wang, Y., Chen, C., Wang, J., &amp; Wu, X. (2024). Unifying large language models and knowledge graphs: A roadmap. </w:t>
      </w:r>
      <w:r>
        <w:rPr>
          <w:rFonts w:ascii="Times New Roman" w:hAnsi="Times New Roman"/>
          <w:i/>
          <w:color w:val="000000"/>
          <w:sz w:val="22"/>
        </w:rPr>
        <w:t>IEEE Transactions on Knowledge and Data Engineering</w:t>
      </w:r>
      <w:r>
        <w:rPr>
          <w:rFonts w:ascii="Times New Roman" w:hAnsi="Times New Roman"/>
          <w:color w:val="000000"/>
          <w:sz w:val="22"/>
        </w:rPr>
        <w:t xml:space="preserve">, 36(7), 3580-3599. </w:t>
      </w:r>
      <w:r>
        <w:rPr>
          <w:rFonts w:ascii="Times New Roman" w:hAnsi="Times New Roman"/>
          <w:color w:val="000000"/>
          <w:sz w:val="20"/>
          <w:u w:val="single"/>
        </w:rPr>
        <w:t>https://doi.org/10.1109/TKDE.2024.3352100</w:t>
      </w:r>
      <w:r>
        <w:rPr>
          <w:rFonts w:ascii="Times New Roman" w:hAnsi="Times New Roman"/>
          <w:color w:val="000000"/>
          <w:sz w:val="22"/>
        </w:rPr>
      </w:r>
    </w:p>
    <w:p>
      <w:pPr>
        <w:spacing w:line="276" w:lineRule="auto" w:after="100"/>
        <w:ind w:left="720" w:hanging="720"/>
        <w:jc w:val="both"/>
      </w:pPr>
      <w:r>
        <w:rPr>
          <w:rFonts w:ascii="Times New Roman" w:hAnsi="Times New Roman"/>
          <w:color w:val="000000"/>
          <w:sz w:val="22"/>
        </w:rPr>
        <w:t xml:space="preserve">Park, T. J., Kanda, N., Dimitriadis, D., Han, K. J., Watanabe, S., &amp; Narayanan, S. (2022). A review of speaker diarization: Recent advances with deep learning. </w:t>
      </w:r>
      <w:r>
        <w:rPr>
          <w:rFonts w:ascii="Times New Roman" w:hAnsi="Times New Roman"/>
          <w:i/>
          <w:color w:val="000000"/>
          <w:sz w:val="22"/>
        </w:rPr>
        <w:t>Computer Speech &amp; Language</w:t>
      </w:r>
      <w:r>
        <w:rPr>
          <w:rFonts w:ascii="Times New Roman" w:hAnsi="Times New Roman"/>
          <w:color w:val="000000"/>
          <w:sz w:val="22"/>
        </w:rPr>
        <w:t xml:space="preserve">, 72, 101317. </w:t>
      </w:r>
      <w:r>
        <w:rPr>
          <w:rFonts w:ascii="Times New Roman" w:hAnsi="Times New Roman"/>
          <w:color w:val="000000"/>
          <w:sz w:val="20"/>
          <w:u w:val="single"/>
        </w:rPr>
        <w:t>https://doi.org/10.1016/j.csl.2021.101317</w:t>
      </w:r>
      <w:r>
        <w:rPr>
          <w:rFonts w:ascii="Times New Roman" w:hAnsi="Times New Roman"/>
          <w:color w:val="000000"/>
          <w:sz w:val="22"/>
        </w:rPr>
      </w:r>
    </w:p>
    <w:p>
      <w:pPr>
        <w:spacing w:line="276" w:lineRule="auto" w:after="100"/>
        <w:ind w:left="720" w:hanging="720"/>
        <w:jc w:val="both"/>
      </w:pPr>
      <w:r>
        <w:rPr>
          <w:rFonts w:ascii="Times New Roman" w:hAnsi="Times New Roman"/>
          <w:color w:val="000000"/>
          <w:sz w:val="22"/>
        </w:rPr>
        <w:t xml:space="preserve">Pentland, A. (2008). </w:t>
      </w:r>
      <w:r>
        <w:rPr>
          <w:rFonts w:ascii="Times New Roman" w:hAnsi="Times New Roman"/>
          <w:i/>
          <w:color w:val="000000"/>
          <w:sz w:val="22"/>
        </w:rPr>
        <w:t>Honest signals: How they shape our world</w:t>
      </w:r>
      <w:r>
        <w:rPr>
          <w:rFonts w:ascii="Times New Roman" w:hAnsi="Times New Roman"/>
          <w:color w:val="000000"/>
          <w:sz w:val="22"/>
        </w:rPr>
        <w:t xml:space="preserve">. The MIT Press. </w:t>
      </w:r>
      <w:r>
        <w:rPr>
          <w:rFonts w:ascii="Times New Roman" w:hAnsi="Times New Roman"/>
          <w:color w:val="000000"/>
          <w:sz w:val="20"/>
          <w:u w:val="single"/>
        </w:rPr>
        <w:t>https://doi.org/10.7551/mitpress/8022.001.0001</w:t>
      </w:r>
      <w:r>
        <w:rPr>
          <w:rFonts w:ascii="Times New Roman" w:hAnsi="Times New Roman"/>
          <w:color w:val="000000"/>
          <w:sz w:val="22"/>
        </w:rPr>
      </w:r>
    </w:p>
    <w:p>
      <w:pPr>
        <w:spacing w:line="276" w:lineRule="auto" w:after="100"/>
        <w:ind w:left="720" w:hanging="720"/>
        <w:jc w:val="both"/>
      </w:pPr>
      <w:r>
        <w:rPr>
          <w:rFonts w:ascii="Times New Roman" w:hAnsi="Times New Roman"/>
          <w:color w:val="000000"/>
          <w:sz w:val="22"/>
        </w:rPr>
        <w:t xml:space="preserve">Radford, A., Kim, J. W., Xu, T., Brockman, G., McLeavey, C., &amp; Sutskever, I. (2023). Robust speech recognition via large-scale weak supervision. In </w:t>
      </w:r>
      <w:r>
        <w:rPr>
          <w:rFonts w:ascii="Times New Roman" w:hAnsi="Times New Roman"/>
          <w:i/>
          <w:color w:val="000000"/>
          <w:sz w:val="22"/>
        </w:rPr>
        <w:t>Proceedings of the 40th International Conference on Machine Learning (ICML 2023)</w:t>
      </w:r>
      <w:r>
        <w:rPr>
          <w:rFonts w:ascii="Times New Roman" w:hAnsi="Times New Roman"/>
          <w:color w:val="000000"/>
          <w:sz w:val="22"/>
        </w:rPr>
        <w:t xml:space="preserve"> (Vol. 202, pp. 28492-28518). PMLR.</w:t>
      </w:r>
    </w:p>
    <w:p>
      <w:pPr>
        <w:spacing w:line="276" w:lineRule="auto" w:after="100"/>
        <w:ind w:left="720" w:hanging="720"/>
        <w:jc w:val="both"/>
      </w:pPr>
      <w:r>
        <w:rPr>
          <w:rFonts w:ascii="Times New Roman" w:hAnsi="Times New Roman"/>
          <w:color w:val="000000"/>
          <w:sz w:val="22"/>
        </w:rPr>
        <w:t xml:space="preserve">Sacks, H., Schegloff, E. A., &amp; Jefferson, G. (1974). A simplest systematics for the organization of turn-taking for conversation. </w:t>
      </w:r>
      <w:r>
        <w:rPr>
          <w:rFonts w:ascii="Times New Roman" w:hAnsi="Times New Roman"/>
          <w:i/>
          <w:color w:val="000000"/>
          <w:sz w:val="22"/>
        </w:rPr>
        <w:t>Language</w:t>
      </w:r>
      <w:r>
        <w:rPr>
          <w:rFonts w:ascii="Times New Roman" w:hAnsi="Times New Roman"/>
          <w:color w:val="000000"/>
          <w:sz w:val="22"/>
        </w:rPr>
        <w:t xml:space="preserve">, 50(4), 696-735. </w:t>
      </w:r>
      <w:r>
        <w:rPr>
          <w:rFonts w:ascii="Times New Roman" w:hAnsi="Times New Roman"/>
          <w:color w:val="000000"/>
          <w:sz w:val="20"/>
          <w:u w:val="single"/>
        </w:rPr>
        <w:t>https://doi.org/10.2307/412243</w:t>
      </w:r>
      <w:r>
        <w:rPr>
          <w:rFonts w:ascii="Times New Roman" w:hAnsi="Times New Roman"/>
          <w:color w:val="000000"/>
          <w:sz w:val="22"/>
        </w:rPr>
      </w:r>
    </w:p>
    <w:p>
      <w:pPr>
        <w:spacing w:line="276" w:lineRule="auto" w:after="100"/>
        <w:ind w:left="720" w:hanging="720"/>
        <w:jc w:val="both"/>
      </w:pPr>
      <w:r>
        <w:rPr>
          <w:rFonts w:ascii="Times New Roman" w:hAnsi="Times New Roman"/>
          <w:color w:val="000000"/>
          <w:sz w:val="22"/>
        </w:rPr>
        <w:t xml:space="preserve">Samrose, S., McDuff, D., Sim, R., Suh, J., Rowan, K., Hernandez, J., Rintel, S., Moynihan, K., &amp; Czerwinski, M. (2021). MeetingCoach: An intelligent dashboard for supporting effective and inclusive meetings. In </w:t>
      </w:r>
      <w:r>
        <w:rPr>
          <w:rFonts w:ascii="Times New Roman" w:hAnsi="Times New Roman"/>
          <w:i/>
          <w:color w:val="000000"/>
          <w:sz w:val="22"/>
        </w:rPr>
        <w:t>Proceedings of the 2021 CHI Conference on Human Factors in Computing Systems</w:t>
      </w:r>
      <w:r>
        <w:rPr>
          <w:rFonts w:ascii="Times New Roman" w:hAnsi="Times New Roman"/>
          <w:color w:val="000000"/>
          <w:sz w:val="22"/>
        </w:rPr>
        <w:t xml:space="preserve"> (pp. 1-13). Association for Computing Machinery. </w:t>
      </w:r>
      <w:r>
        <w:rPr>
          <w:rFonts w:ascii="Times New Roman" w:hAnsi="Times New Roman"/>
          <w:color w:val="000000"/>
          <w:sz w:val="20"/>
          <w:u w:val="single"/>
        </w:rPr>
        <w:t>https://doi.org/10.1145/3411764.3445615</w:t>
      </w:r>
      <w:r>
        <w:rPr>
          <w:rFonts w:ascii="Times New Roman" w:hAnsi="Times New Roman"/>
          <w:color w:val="000000"/>
          <w:sz w:val="22"/>
        </w:rPr>
      </w:r>
    </w:p>
    <w:p>
      <w:pPr>
        <w:spacing w:line="276" w:lineRule="auto" w:after="100"/>
        <w:ind w:left="720" w:hanging="720"/>
        <w:jc w:val="both"/>
      </w:pPr>
      <w:r>
        <w:rPr>
          <w:rFonts w:ascii="Times New Roman" w:hAnsi="Times New Roman"/>
          <w:color w:val="000000"/>
          <w:sz w:val="22"/>
        </w:rPr>
        <w:t xml:space="preserve">Stivers, T., Enfield, N. J., Brown, P., Englert, C., Hayashi, M., Heinemann, T., ... &amp; Levinson, S. C. (2009). Universals and cultural variation in turn-taking in conversation. </w:t>
      </w:r>
      <w:r>
        <w:rPr>
          <w:rFonts w:ascii="Times New Roman" w:hAnsi="Times New Roman"/>
          <w:i/>
          <w:color w:val="000000"/>
          <w:sz w:val="22"/>
        </w:rPr>
        <w:t>Proceedings of the National Academy of Sciences</w:t>
      </w:r>
      <w:r>
        <w:rPr>
          <w:rFonts w:ascii="Times New Roman" w:hAnsi="Times New Roman"/>
          <w:color w:val="000000"/>
          <w:sz w:val="22"/>
        </w:rPr>
        <w:t xml:space="preserve">, 106(26), 10587-10592. </w:t>
      </w:r>
      <w:r>
        <w:rPr>
          <w:rFonts w:ascii="Times New Roman" w:hAnsi="Times New Roman"/>
          <w:color w:val="000000"/>
          <w:sz w:val="20"/>
          <w:u w:val="single"/>
        </w:rPr>
        <w:t>https://doi.org/10.1073/pnas.0903616106</w:t>
      </w:r>
      <w:r>
        <w:rPr>
          <w:rFonts w:ascii="Times New Roman" w:hAnsi="Times New Roman"/>
          <w:color w:val="000000"/>
          <w:sz w:val="22"/>
        </w:rPr>
      </w:r>
    </w:p>
    <w:p>
      <w:pPr>
        <w:spacing w:line="276" w:lineRule="auto" w:after="100"/>
        <w:ind w:left="720" w:hanging="720"/>
        <w:jc w:val="both"/>
      </w:pPr>
      <w:r>
        <w:rPr>
          <w:rFonts w:ascii="Times New Roman" w:hAnsi="Times New Roman"/>
          <w:color w:val="000000"/>
          <w:sz w:val="22"/>
        </w:rPr>
        <w:t xml:space="preserve">Stolcke, A., Ries, K., Coccaro, N., Shriberg, E., Bates, R., Jurafsky, D., ... &amp; Meteer, M. (2000). Dialogue act modeling for automatic tagging and recognition of conversational speech. </w:t>
      </w:r>
      <w:r>
        <w:rPr>
          <w:rFonts w:ascii="Times New Roman" w:hAnsi="Times New Roman"/>
          <w:i/>
          <w:color w:val="000000"/>
          <w:sz w:val="22"/>
        </w:rPr>
        <w:t>Computational Linguistics</w:t>
      </w:r>
      <w:r>
        <w:rPr>
          <w:rFonts w:ascii="Times New Roman" w:hAnsi="Times New Roman"/>
          <w:color w:val="000000"/>
          <w:sz w:val="22"/>
        </w:rPr>
        <w:t xml:space="preserve">, 26(3), 339-373. </w:t>
      </w:r>
      <w:r>
        <w:rPr>
          <w:rFonts w:ascii="Times New Roman" w:hAnsi="Times New Roman"/>
          <w:color w:val="000000"/>
          <w:sz w:val="20"/>
          <w:u w:val="single"/>
        </w:rPr>
        <w:t>https://doi.org/10.1162/089120100561737</w:t>
      </w:r>
      <w:r>
        <w:rPr>
          <w:rFonts w:ascii="Times New Roman" w:hAnsi="Times New Roman"/>
          <w:color w:val="000000"/>
          <w:sz w:val="22"/>
        </w:rPr>
      </w:r>
    </w:p>
    <w:p>
      <w:pPr>
        <w:spacing w:line="276" w:lineRule="auto" w:after="100"/>
        <w:ind w:left="720" w:hanging="720"/>
        <w:jc w:val="both"/>
      </w:pPr>
      <w:r>
        <w:rPr>
          <w:rFonts w:ascii="Times New Roman" w:hAnsi="Times New Roman"/>
          <w:color w:val="000000"/>
          <w:sz w:val="22"/>
        </w:rPr>
        <w:t xml:space="preserve">Sweller, J. (1988). Cognitive load during problem solving: Effects on learning. </w:t>
      </w:r>
      <w:r>
        <w:rPr>
          <w:rFonts w:ascii="Times New Roman" w:hAnsi="Times New Roman"/>
          <w:i/>
          <w:color w:val="000000"/>
          <w:sz w:val="22"/>
        </w:rPr>
        <w:t>Cognitive Science</w:t>
      </w:r>
      <w:r>
        <w:rPr>
          <w:rFonts w:ascii="Times New Roman" w:hAnsi="Times New Roman"/>
          <w:color w:val="000000"/>
          <w:sz w:val="22"/>
        </w:rPr>
        <w:t xml:space="preserve">, 12(2), 257-285. </w:t>
      </w:r>
      <w:r>
        <w:rPr>
          <w:rFonts w:ascii="Times New Roman" w:hAnsi="Times New Roman"/>
          <w:color w:val="000000"/>
          <w:sz w:val="20"/>
          <w:u w:val="single"/>
        </w:rPr>
        <w:t>https://doi.org/10.1207/s15516709cog1202_4</w:t>
      </w:r>
      <w:r>
        <w:rPr>
          <w:rFonts w:ascii="Times New Roman" w:hAnsi="Times New Roman"/>
          <w:color w:val="000000"/>
          <w:sz w:val="22"/>
        </w:rPr>
      </w:r>
    </w:p>
    <w:p>
      <w:pPr>
        <w:spacing w:line="276" w:lineRule="auto" w:after="100"/>
        <w:ind w:left="720" w:hanging="720"/>
        <w:jc w:val="both"/>
      </w:pPr>
      <w:r>
        <w:rPr>
          <w:rFonts w:ascii="Times New Roman" w:hAnsi="Times New Roman"/>
          <w:color w:val="000000"/>
          <w:sz w:val="22"/>
        </w:rPr>
        <w:t xml:space="preserve">Vaswani, A., Shazeer, N., Parmar, N., Uszkoreit, J., Jones, L., Gomez, A. N., Kaiser, Ł., &amp; Polosukhin, I. (2017). Attention is all you need. In </w:t>
      </w:r>
      <w:r>
        <w:rPr>
          <w:rFonts w:ascii="Times New Roman" w:hAnsi="Times New Roman"/>
          <w:i/>
          <w:color w:val="000000"/>
          <w:sz w:val="22"/>
        </w:rPr>
        <w:t>Advances in Neural Information Processing Systems 30 (NeurIPS 2017)</w:t>
      </w:r>
      <w:r>
        <w:rPr>
          <w:rFonts w:ascii="Times New Roman" w:hAnsi="Times New Roman"/>
          <w:color w:val="000000"/>
          <w:sz w:val="22"/>
        </w:rPr>
        <w:t xml:space="preserve"> (pp. 6000-6010).</w:t>
      </w:r>
    </w:p>
    <w:p>
      <w:pPr>
        <w:spacing w:line="276" w:lineRule="auto" w:after="100"/>
        <w:ind w:left="720" w:hanging="720"/>
        <w:jc w:val="both"/>
      </w:pPr>
      <w:r>
        <w:rPr>
          <w:rFonts w:ascii="Times New Roman" w:hAnsi="Times New Roman"/>
          <w:color w:val="000000"/>
          <w:sz w:val="22"/>
        </w:rPr>
        <w:t xml:space="preserve">Zhong, M., Yin, D., Yu, T., Zaidi, A., Mutuma, M., Jha, R., Hassan Awadallah, A., Celikyilmaz, A., Liu, Y., Qiu, X., &amp; Radev, D. (2021). QMSum: A new benchmark for query-based multi-domain meeting summarization. In </w:t>
      </w:r>
      <w:r>
        <w:rPr>
          <w:rFonts w:ascii="Times New Roman" w:hAnsi="Times New Roman"/>
          <w:i/>
          <w:color w:val="000000"/>
          <w:sz w:val="22"/>
        </w:rPr>
        <w:t>Proceedings of the 2021 Conference of the North American Chapter of the Association for Computational Linguistics: Human Language Technologies</w:t>
      </w:r>
      <w:r>
        <w:rPr>
          <w:rFonts w:ascii="Times New Roman" w:hAnsi="Times New Roman"/>
          <w:color w:val="000000"/>
          <w:sz w:val="22"/>
        </w:rPr>
        <w:t xml:space="preserve"> (pp. 5905-5921). Association for Computational Linguistics. </w:t>
      </w:r>
      <w:r>
        <w:rPr>
          <w:rFonts w:ascii="Times New Roman" w:hAnsi="Times New Roman"/>
          <w:color w:val="000000"/>
          <w:sz w:val="20"/>
          <w:u w:val="single"/>
        </w:rPr>
        <w:t>https://doi.org/10.18653/v1/2021.naacl-main.472</w:t>
      </w:r>
      <w:r>
        <w:rPr>
          <w:rFonts w:ascii="Times New Roman" w:hAnsi="Times New Roman"/>
          <w:color w:val="000000"/>
          <w:sz w:val="22"/>
        </w:rPr>
      </w:r>
    </w:p>
    <w:p>
      <w:pPr>
        <w:spacing w:line="276" w:lineRule="auto" w:after="100"/>
        <w:ind w:left="720" w:hanging="720"/>
        <w:jc w:val="both"/>
      </w:pPr>
      <w:r>
        <w:rPr>
          <w:rFonts w:ascii="Times New Roman" w:hAnsi="Times New Roman"/>
          <w:color w:val="000000"/>
          <w:sz w:val="22"/>
        </w:rPr>
        <w:t xml:space="preserve">Zhu, A., &amp; Callison-Burch, C. (2025). Overhearing LLM agents: A survey, taxonomy, and roadmap. </w:t>
      </w:r>
      <w:r>
        <w:rPr>
          <w:rFonts w:ascii="Times New Roman" w:hAnsi="Times New Roman"/>
          <w:i/>
          <w:color w:val="000000"/>
          <w:sz w:val="22"/>
        </w:rPr>
        <w:t>arXiv preprint arXiv:2509.16325</w:t>
      </w:r>
      <w:r>
        <w:rPr>
          <w:rFonts w:ascii="Times New Roman" w:hAnsi="Times New Roman"/>
          <w:color w:val="000000"/>
          <w:sz w:val="22"/>
        </w:rPr>
        <w:t xml:space="preserve">. </w:t>
      </w:r>
      <w:r>
        <w:rPr>
          <w:rFonts w:ascii="Times New Roman" w:hAnsi="Times New Roman"/>
          <w:color w:val="000000"/>
          <w:sz w:val="20"/>
          <w:u w:val="single"/>
        </w:rPr>
        <w:t>https://doi.org/10.48550/arXiv.2509.16325</w:t>
      </w:r>
      <w:r>
        <w:rPr>
          <w:rFonts w:ascii="Times New Roman" w:hAnsi="Times New Roman"/>
          <w:color w:val="000000"/>
          <w:sz w:val="22"/>
        </w:rPr>
      </w:r>
    </w:p>
    <w:p>
      <w:pPr>
        <w:spacing w:line="276" w:lineRule="auto" w:after="100"/>
        <w:ind w:left="720" w:hanging="720"/>
        <w:jc w:val="both"/>
      </w:pPr>
      <w:r>
        <w:rPr>
          <w:rFonts w:ascii="Times New Roman" w:hAnsi="Times New Roman"/>
          <w:color w:val="000000"/>
          <w:sz w:val="22"/>
        </w:rPr>
        <w:t xml:space="preserve">Zimmerman, D. H., &amp; West, C. (1975). Sex roles, interruptions and silences in conversation. In B. Thorne &amp; N. Henley (Eds.), </w:t>
      </w:r>
      <w:r>
        <w:rPr>
          <w:rFonts w:ascii="Times New Roman" w:hAnsi="Times New Roman"/>
          <w:i/>
          <w:color w:val="000000"/>
          <w:sz w:val="22"/>
        </w:rPr>
        <w:t>Language and sex: Difference and dominance</w:t>
      </w:r>
      <w:r>
        <w:rPr>
          <w:rFonts w:ascii="Times New Roman" w:hAnsi="Times New Roman"/>
          <w:color w:val="000000"/>
          <w:sz w:val="22"/>
        </w:rPr>
        <w:t xml:space="preserve"> (pp. 105-129). Newbury House Publishers.</w:t>
      </w:r>
    </w:p>
    <w:p>
      <w:pPr>
        <w:keepNext/>
        <w:spacing w:before="280" w:after="80"/>
      </w:pPr>
      <w:r>
        <w:rPr>
          <w:rFonts w:ascii="Times New Roman" w:hAnsi="Times New Roman"/>
          <w:b/>
          <w:color w:val="000000"/>
          <w:sz w:val="28"/>
        </w:rPr>
        <w:t>9. Appendix: Generative AI Declaration</w:t>
      </w:r>
    </w:p>
    <w:p>
      <w:pPr>
        <w:spacing w:line="276" w:lineRule="auto" w:after="100"/>
        <w:jc w:val="both"/>
      </w:pPr>
      <w:r>
        <w:rPr>
          <w:rFonts w:ascii="Times New Roman" w:hAnsi="Times New Roman"/>
          <w:i/>
          <w:color w:val="000000"/>
        </w:rPr>
        <w:t>In accordance with TAFE NSW Higher Education Academic Integrity Policy (Level 2: AI-Assisted Editing).</w:t>
      </w:r>
    </w:p>
    <w:p>
      <w:pPr>
        <w:keepNext/>
        <w:spacing w:before="200" w:after="60"/>
      </w:pPr>
      <w:r>
        <w:rPr>
          <w:rFonts w:ascii="Times New Roman" w:hAnsi="Times New Roman"/>
          <w:b/>
          <w:color w:val="000000"/>
          <w:sz w:val="24"/>
        </w:rPr>
        <w:t>Generative AI Usage Statement</w:t>
      </w:r>
    </w:p>
    <w:p>
      <w:pPr>
        <w:pStyle w:val="ListBullet"/>
        <w:spacing w:line="276" w:lineRule="auto" w:after="50"/>
        <w:ind w:left="360"/>
      </w:pPr>
      <w:r>
        <w:rPr>
          <w:rFonts w:ascii="Times New Roman" w:hAnsi="Times New Roman"/>
          <w:b/>
          <w:color w:val="000000"/>
        </w:rPr>
        <w:t>Permitted Level:</w:t>
      </w:r>
      <w:r>
        <w:rPr>
          <w:rFonts w:ascii="Times New Roman" w:hAnsi="Times New Roman"/>
          <w:color w:val="000000"/>
        </w:rPr>
        <w:t xml:space="preserve"> Level 2: AI-Assisted Editing.</w:t>
      </w:r>
    </w:p>
    <w:p>
      <w:pPr>
        <w:pStyle w:val="ListBullet"/>
        <w:spacing w:line="276" w:lineRule="auto" w:after="50"/>
        <w:ind w:left="360"/>
      </w:pPr>
      <w:r>
        <w:rPr>
          <w:rFonts w:ascii="Times New Roman" w:hAnsi="Times New Roman"/>
          <w:b/>
          <w:color w:val="000000"/>
        </w:rPr>
        <w:t>Tool Name and Version:</w:t>
      </w:r>
      <w:r>
        <w:rPr>
          <w:rFonts w:ascii="Times New Roman" w:hAnsi="Times New Roman"/>
          <w:color w:val="000000"/>
        </w:rPr>
        <w:t xml:space="preserve"> Google Gemini (Gemini 2.5 Flash / 3.8 Flash).</w:t>
      </w:r>
    </w:p>
    <w:p>
      <w:pPr>
        <w:pStyle w:val="ListBullet"/>
        <w:spacing w:line="276" w:lineRule="auto" w:after="50"/>
        <w:ind w:left="360"/>
      </w:pPr>
      <w:r>
        <w:rPr>
          <w:rFonts w:ascii="Times New Roman" w:hAnsi="Times New Roman"/>
          <w:b/>
          <w:color w:val="000000"/>
        </w:rPr>
        <w:t>Purpose of Use:</w:t>
      </w:r>
      <w:r>
        <w:rPr>
          <w:rFonts w:ascii="Times New Roman" w:hAnsi="Times New Roman"/>
          <w:color w:val="000000"/>
        </w:rPr>
        <w:t xml:space="preserve"> Generative AI was utilized solely as an editorial tool for proofreading, checking grammatical structure, verifying citation syntax according to APA 7th edition, and improving the conciseness and clarity of the student's text.</w:t>
      </w:r>
    </w:p>
    <w:p>
      <w:pPr>
        <w:pStyle w:val="ListBullet"/>
        <w:spacing w:line="276" w:lineRule="auto" w:after="50"/>
        <w:ind w:left="360"/>
      </w:pPr>
      <w:r>
        <w:rPr>
          <w:rFonts w:ascii="Times New Roman" w:hAnsi="Times New Roman"/>
          <w:b/>
          <w:color w:val="000000"/>
        </w:rPr>
        <w:t>Student Ownership and Verification:</w:t>
      </w:r>
      <w:r>
        <w:rPr>
          <w:rFonts w:ascii="Times New Roman" w:hAnsi="Times New Roman"/>
          <w:color w:val="000000"/>
        </w:rPr>
        <w:t xml:space="preserve"> All research topics, literature discovery, comparative analysis, architectural formulations, and technical decisions were conceptualized and evaluated by the student. No content or ideas were generated by artificial intelligence. The student verified all cited references and DOIs directly against published conference and journal databases.</w:t>
      </w:r>
    </w:p>
    <w:p>
      <w:pPr>
        <w:pStyle w:val="ListBullet"/>
        <w:spacing w:line="276" w:lineRule="auto" w:after="50"/>
        <w:ind w:left="360"/>
      </w:pPr>
      <w:r>
        <w:rPr>
          <w:rFonts w:ascii="Times New Roman" w:hAnsi="Times New Roman"/>
          <w:b/>
          <w:color w:val="000000"/>
        </w:rPr>
        <w:t>Example Prompts Used:</w:t>
      </w:r>
    </w:p>
    <w:p>
      <w:pPr>
        <w:spacing w:line="276" w:lineRule="auto" w:after="60"/>
        <w:ind w:left="432" w:hanging="432"/>
      </w:pPr>
      <w:r>
        <w:rPr>
          <w:rFonts w:ascii="Times New Roman" w:hAnsi="Times New Roman"/>
          <w:b/>
          <w:color w:val="000000"/>
        </w:rPr>
        <w:t xml:space="preserve">1. </w:t>
      </w:r>
      <w:r>
        <w:rPr>
          <w:rFonts w:ascii="Times New Roman" w:hAnsi="Times New Roman"/>
          <w:i/>
          <w:color w:val="000000"/>
        </w:rPr>
        <w:t>"Review this literature review draft for grammar, clarity, and conciseness, removing repetitive phrasing."</w:t>
      </w:r>
    </w:p>
    <w:p>
      <w:pPr>
        <w:spacing w:line="276" w:lineRule="auto" w:after="60"/>
        <w:ind w:left="432" w:hanging="432"/>
      </w:pPr>
      <w:r>
        <w:rPr>
          <w:rFonts w:ascii="Times New Roman" w:hAnsi="Times New Roman"/>
          <w:b/>
          <w:color w:val="000000"/>
        </w:rPr>
        <w:t xml:space="preserve">2. </w:t>
      </w:r>
      <w:r>
        <w:rPr>
          <w:rFonts w:ascii="Times New Roman" w:hAnsi="Times New Roman"/>
          <w:i/>
          <w:color w:val="000000"/>
        </w:rPr>
        <w:t>"Check these references for compliance with APA 7th edition citation conventions."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05050"/>
        <w:sz w:val="18"/>
      </w:rPr>
      <w:t>Sneha Neupane (900008705) • TAFE NSW Higher Education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505050"/>
        <w:sz w:val="18"/>
      </w:rPr>
      <w:t>ITNET312A Major Individual Project | Literature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