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FF3F6C"/>
          <w:sz w:val="48"/>
        </w:rPr>
        <w:t>Part 7: Risks &amp; Mitigation Steps</w:t>
      </w:r>
    </w:p>
    <w:p>
      <w:r>
        <w:rPr>
          <w:rFonts w:ascii="Arial" w:hAnsi="Arial"/>
          <w:color w:val="535766"/>
          <w:sz w:val="26"/>
        </w:rPr>
        <w:t>Myntra Wishlist Conversion Suite — Why the Solution Might Fail &amp; Comprehensive Mitigation Plans</w:t>
      </w:r>
    </w:p>
    <w:p>
      <w:r>
        <w:rPr>
          <w:sz w:val="20"/>
        </w:rPr>
        <w:t>Company: Myntra (Fashion E-Commerce) | Role: Product Manager (Growth)</w:t>
        <w:br/>
        <w:t>Document Scope: Failure Modes, Risk Analysis &amp; Engineering/UX Mitigations</w:t>
      </w:r>
    </w:p>
    <w:p>
      <w:r>
        <w:rPr>
          <w:color w:val="D4D5D9"/>
        </w:rPr>
        <w:t>---------------------------------------------------------------------------</w:t>
      </w:r>
    </w:p>
    <w:p>
      <w:pPr>
        <w:pStyle w:val="Heading1"/>
      </w:pPr>
      <w:r>
        <w:rPr>
          <w:rFonts w:ascii="Arial" w:hAnsi="Arial"/>
          <w:color w:val="282C3F"/>
        </w:rPr>
        <w:t>1. Executive Overview &amp; Risk Framework</w:t>
      </w:r>
    </w:p>
    <w:p>
      <w:r>
        <w:t>Every product-led growth intervention carries inherent failure risks. For the Myntra Wishlist Conversion Engine, which operates under a strict 100% Zero-Discount Constraint, failure can occur at the technical, behavioral, analytical, or data trust level.</w:t>
        <w:br/>
        <w:br/>
        <w:t>This document systematically identifies the 5 primary failure modes of our MVP solution and outlines concrete engineering, UX, and algorithmic mitigation plans to guarantee conversion lift without degrading user experience.</w:t>
      </w:r>
    </w:p>
    <w:p>
      <w:pPr>
        <w:pStyle w:val="Heading1"/>
      </w:pPr>
      <w:r>
        <w:rPr>
          <w:rFonts w:ascii="Arial" w:hAnsi="Arial"/>
          <w:color w:val="282C3F"/>
        </w:rPr>
        <w:t>2. Detailed Failure Modes &amp; Mitigation Plans</w:t>
      </w:r>
    </w:p>
    <w:p>
      <w:r>
        <w:rPr>
          <w:b/>
          <w:color w:val="FF3F6C"/>
          <w:sz w:val="24"/>
        </w:rPr>
        <w:t>⚠️ Risk 1: Technical &amp; Latency Drag (Real-Time API Slowdown) [Severity: High (During Peak Sale Events like EORS)]</w:t>
        <w:br/>
      </w:r>
    </w:p>
    <w:p>
      <w:r>
        <w:rPr>
          <w:b/>
        </w:rPr>
        <w:t xml:space="preserve">• Failure Mechanism: </w:t>
      </w:r>
      <w:r>
        <w:t>Real-time LLM rescoring calls or fetching body-matched buyer photos on every wishlist/cart change could exceed latency budgets (&gt;1.5s), causing app lag, wishlist drawer freeze, and checkout drop-offs.</w:t>
      </w:r>
    </w:p>
    <w:p>
      <w:r>
        <w:rPr>
          <w:b/>
          <w:color w:val="03A685"/>
        </w:rPr>
        <w:t xml:space="preserve">• Mitigation Strategy: </w:t>
      </w:r>
      <w:r>
        <w:t>Instant Heuristic Fallback &amp; CDN Edge Caching. Pre-compute 60-day price floor sparklines and pre-cache buyer photo reels at CDN edge. If an API rescoring call exceeds 1.5 seconds, immediately fall back to cached static brand fit ratings — checkout never waits on the AI model.</w:t>
      </w:r>
    </w:p>
    <w:p/>
    <w:p>
      <w:r>
        <w:rPr>
          <w:b/>
          <w:color w:val="FF3F6C"/>
          <w:sz w:val="24"/>
        </w:rPr>
        <w:t>⚠️ Risk 2: Engagement Risk &amp; Nudge Fatigue (Over-Prompting) [Severity: Medium-High]</w:t>
        <w:br/>
      </w:r>
    </w:p>
    <w:p>
      <w:r>
        <w:rPr>
          <w:b/>
        </w:rPr>
        <w:t xml:space="preserve">• Failure Mechanism: </w:t>
      </w:r>
      <w:r>
        <w:t>Repeatedly surfacing FitConfidence popups or buyer photo reels every time a user opens their wishlist leads to prompt fatigue, causing users to dismiss overlays without reading or mute notifications altogether.</w:t>
      </w:r>
    </w:p>
    <w:p>
      <w:r>
        <w:rPr>
          <w:b/>
          <w:color w:val="03A685"/>
        </w:rPr>
        <w:t xml:space="preserve">• Mitigation Strategy: </w:t>
      </w:r>
      <w:r>
        <w:t>Threshold-Gated Relevance (50% Bar) + Frequency Capping. Only surface FitConfidence nudges if relevance clears 50% and fit confidence is &gt;=85%. Cap overlay nudges to maximum 1 per category per week, and provide a 1-tap 'Mute Category Nudges' control.</w:t>
      </w:r>
    </w:p>
    <w:p/>
    <w:p>
      <w:r>
        <w:rPr>
          <w:b/>
          <w:color w:val="FF3F6C"/>
          <w:sz w:val="24"/>
        </w:rPr>
        <w:t>⚠️ Risk 3: Data Quality &amp; Trust Risk (Biased / Low-Quality Buyer Photos) [Severity: High Impact on Return Rates]</w:t>
        <w:br/>
      </w:r>
    </w:p>
    <w:p>
      <w:r>
        <w:rPr>
          <w:b/>
        </w:rPr>
        <w:t xml:space="preserve">• Failure Mechanism: </w:t>
      </w:r>
      <w:r>
        <w:t>User-uploaded buyer photos contain poor lighting, incorrect height/weight tags, or unverified returns, giving inaccurate fit expectations and increasing post-purchase return/exchange rates (&gt;0.5% guardrail rise).</w:t>
      </w:r>
    </w:p>
    <w:p>
      <w:r>
        <w:rPr>
          <w:b/>
          <w:color w:val="03A685"/>
        </w:rPr>
        <w:t xml:space="preserve">• Mitigation Strategy: </w:t>
      </w:r>
      <w:r>
        <w:t>Automated AI Vision Moderation + Verified Purchase Filter. Require a verified purchase badge before photos enter candidate pool. Use computer vision moderation to filter low-quality/NSFW images, and automatically purge photos from buyers who subsequently returned the item for sizing issues.</w:t>
      </w:r>
    </w:p>
    <w:p/>
    <w:p>
      <w:r>
        <w:rPr>
          <w:b/>
          <w:color w:val="FF3F6C"/>
          <w:sz w:val="24"/>
        </w:rPr>
        <w:t>⚠️ Risk 4: Analytical Risk &amp; Stale Negative Feedback (Conflicting Signals) [Severity: Medium]</w:t>
        <w:br/>
      </w:r>
    </w:p>
    <w:p>
      <w:r>
        <w:rPr>
          <w:b/>
        </w:rPr>
        <w:t xml:space="preserve">• Failure Mechanism: </w:t>
      </w:r>
      <w:r>
        <w:t>A user dismisses an occasion folder suggestion or marks a Kurti recommendation 'Irrelevant', but later their wardrobe needs change. A rigid suppression rule permanently blocks future suggestions for that active category.</w:t>
      </w:r>
    </w:p>
    <w:p>
      <w:r>
        <w:rPr>
          <w:b/>
          <w:color w:val="03A685"/>
        </w:rPr>
        <w:t xml:space="preserve">• Mitigation Strategy: </w:t>
      </w:r>
      <w:r>
        <w:t>Exponential Signal Decay Model. Decay negative feedback weights exponentially over a 14-day window. If the user's wishlist contents shift toward that occasion (e.g., adding 3 new festive items), recalculate relevance and re-enable suggestions.</w:t>
      </w:r>
    </w:p>
    <w:p/>
    <w:p>
      <w:r>
        <w:rPr>
          <w:b/>
          <w:color w:val="FF3F6C"/>
          <w:sz w:val="24"/>
        </w:rPr>
        <w:t>⚠️ Risk 5: Behavioral Resistance to Zero-Discount Constraint [Severity: High]</w:t>
        <w:br/>
      </w:r>
    </w:p>
    <w:p>
      <w:r>
        <w:rPr>
          <w:b/>
        </w:rPr>
        <w:t xml:space="preserve">• Failure Mechanism: </w:t>
      </w:r>
      <w:r>
        <w:t>Deeply entrenched 'discount-seeking' shoppers ignore non-monetary trust levers (FitConfidence ratings, 60-day price sparklines) and continue waiting for unannounced promo codes or price drops.</w:t>
      </w:r>
    </w:p>
    <w:p>
      <w:r>
        <w:rPr>
          <w:b/>
          <w:color w:val="03A685"/>
        </w:rPr>
        <w:t xml:space="preserve">• Mitigation Strategy: </w:t>
      </w:r>
      <w:r>
        <w:t>Zero-Discount Price Transparency &amp; Free Shipping Threshold Bundling. Reframe value from monetary price cuts to price floor proof (confirming current price is at 60-day historical low) and threshold bundling (showing how adding a ₹199 wishlisted item saves a ₹99 delivery fee), proving immediate monetary value without discounting brand margins.</w:t>
      </w:r>
    </w:p>
    <w:p/>
    <w:p>
      <w:pPr>
        <w:pStyle w:val="Heading2"/>
      </w:pPr>
      <w:r>
        <w:t>Part 7 Risk &amp; Mitigation Summary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F3F6C"/>
          </w:tcPr>
          <w:p>
            <w:r>
              <w:rPr>
                <w:b/>
                <w:color w:val="FFFFFF"/>
              </w:rPr>
              <w:t>Risk Dimension</w:t>
            </w:r>
          </w:p>
        </w:tc>
        <w:tc>
          <w:tcPr>
            <w:tcW w:type="dxa" w:w="2340"/>
            <w:shd w:val="clear" w:color="auto" w:fill="FF3F6C"/>
          </w:tcPr>
          <w:p>
            <w:r>
              <w:rPr>
                <w:b/>
                <w:color w:val="FFFFFF"/>
              </w:rPr>
              <w:t>Failure Trigger</w:t>
            </w:r>
          </w:p>
        </w:tc>
        <w:tc>
          <w:tcPr>
            <w:tcW w:type="dxa" w:w="2340"/>
            <w:shd w:val="clear" w:color="auto" w:fill="FF3F6C"/>
          </w:tcPr>
          <w:p>
            <w:r>
              <w:rPr>
                <w:b/>
                <w:color w:val="FFFFFF"/>
              </w:rPr>
              <w:t>Root Cause</w:t>
            </w:r>
          </w:p>
        </w:tc>
        <w:tc>
          <w:tcPr>
            <w:tcW w:type="dxa" w:w="2340"/>
            <w:shd w:val="clear" w:color="auto" w:fill="FF3F6C"/>
          </w:tcPr>
          <w:p>
            <w:r>
              <w:rPr>
                <w:b/>
                <w:color w:val="FFFFFF"/>
              </w:rPr>
              <w:t>Actionable Mitigation</w:t>
            </w:r>
          </w:p>
        </w:tc>
      </w:tr>
      <w:tr>
        <w:tc>
          <w:tcPr>
            <w:tcW w:type="dxa" w:w="2340"/>
          </w:tcPr>
          <w:p>
            <w:r>
              <w:t>Technical Latency</w:t>
            </w:r>
          </w:p>
        </w:tc>
        <w:tc>
          <w:tcPr>
            <w:tcW w:type="dxa" w:w="2340"/>
          </w:tcPr>
          <w:p>
            <w:r>
              <w:t>AI Rescoring &gt;1.5s during EORS sale</w:t>
            </w:r>
          </w:p>
        </w:tc>
        <w:tc>
          <w:tcPr>
            <w:tcW w:type="dxa" w:w="2340"/>
          </w:tcPr>
          <w:p>
            <w:r>
              <w:t>Heavy LLM load under 50k req/sec</w:t>
            </w:r>
          </w:p>
        </w:tc>
        <w:tc>
          <w:tcPr>
            <w:tcW w:type="dxa" w:w="2340"/>
          </w:tcPr>
          <w:p>
            <w:r>
              <w:t>Instant Heuristic Fallback &amp; CDN Edge Caching</w:t>
            </w:r>
          </w:p>
        </w:tc>
      </w:tr>
      <w:tr>
        <w:tc>
          <w:tcPr>
            <w:tcW w:type="dxa" w:w="2340"/>
          </w:tcPr>
          <w:p>
            <w:r>
              <w:t>Nudge Fatigue</w:t>
            </w:r>
          </w:p>
        </w:tc>
        <w:tc>
          <w:tcPr>
            <w:tcW w:type="dxa" w:w="2340"/>
          </w:tcPr>
          <w:p>
            <w:r>
              <w:t>Users dismissing popups repeatedly</w:t>
            </w:r>
          </w:p>
        </w:tc>
        <w:tc>
          <w:tcPr>
            <w:tcW w:type="dxa" w:w="2340"/>
          </w:tcPr>
          <w:p>
            <w:r>
              <w:t>Over-prompting on wishlist open</w:t>
            </w:r>
          </w:p>
        </w:tc>
        <w:tc>
          <w:tcPr>
            <w:tcW w:type="dxa" w:w="2340"/>
          </w:tcPr>
          <w:p>
            <w:r>
              <w:t>50% Relevance Threshold &amp; 1 nudge/week Cap</w:t>
            </w:r>
          </w:p>
        </w:tc>
      </w:tr>
      <w:tr>
        <w:tc>
          <w:tcPr>
            <w:tcW w:type="dxa" w:w="2340"/>
          </w:tcPr>
          <w:p>
            <w:r>
              <w:t>Buyer Photo Bias</w:t>
            </w:r>
          </w:p>
        </w:tc>
        <w:tc>
          <w:tcPr>
            <w:tcW w:type="dxa" w:w="2340"/>
          </w:tcPr>
          <w:p>
            <w:r>
              <w:t>Return rate rising &gt;0.5%</w:t>
            </w:r>
          </w:p>
        </w:tc>
        <w:tc>
          <w:tcPr>
            <w:tcW w:type="dxa" w:w="2340"/>
          </w:tcPr>
          <w:p>
            <w:r>
              <w:t>Inaccurate height/weight buyer photos</w:t>
            </w:r>
          </w:p>
        </w:tc>
        <w:tc>
          <w:tcPr>
            <w:tcW w:type="dxa" w:w="2340"/>
          </w:tcPr>
          <w:p>
            <w:r>
              <w:t>Verified Purchase Filter &amp; Return Purge</w:t>
            </w:r>
          </w:p>
        </w:tc>
      </w:tr>
      <w:tr>
        <w:tc>
          <w:tcPr>
            <w:tcW w:type="dxa" w:w="2340"/>
          </w:tcPr>
          <w:p>
            <w:r>
              <w:t>Conflicting Signals</w:t>
            </w:r>
          </w:p>
        </w:tc>
        <w:tc>
          <w:tcPr>
            <w:tcW w:type="dxa" w:w="2340"/>
          </w:tcPr>
          <w:p>
            <w:r>
              <w:t>Stale 'Irrelevant' tag blocking recommendations</w:t>
            </w:r>
          </w:p>
        </w:tc>
        <w:tc>
          <w:tcPr>
            <w:tcW w:type="dxa" w:w="2340"/>
          </w:tcPr>
          <w:p>
            <w:r>
              <w:t>Rigid permanent suppression rules</w:t>
            </w:r>
          </w:p>
        </w:tc>
        <w:tc>
          <w:tcPr>
            <w:tcW w:type="dxa" w:w="2340"/>
          </w:tcPr>
          <w:p>
            <w:r>
              <w:t>14-Day Exponential Signal Decay Model</w:t>
            </w:r>
          </w:p>
        </w:tc>
      </w:tr>
      <w:tr>
        <w:tc>
          <w:tcPr>
            <w:tcW w:type="dxa" w:w="2340"/>
          </w:tcPr>
          <w:p>
            <w:r>
              <w:t>Discount Resistance</w:t>
            </w:r>
          </w:p>
        </w:tc>
        <w:tc>
          <w:tcPr>
            <w:tcW w:type="dxa" w:w="2340"/>
          </w:tcPr>
          <w:p>
            <w:r>
              <w:t>Users waiting for price drops endlessly</w:t>
            </w:r>
          </w:p>
        </w:tc>
        <w:tc>
          <w:tcPr>
            <w:tcW w:type="dxa" w:w="2340"/>
          </w:tcPr>
          <w:p>
            <w:r>
              <w:t>Discount-seeking shopping habits</w:t>
            </w:r>
          </w:p>
        </w:tc>
        <w:tc>
          <w:tcPr>
            <w:tcW w:type="dxa" w:w="2340"/>
          </w:tcPr>
          <w:p>
            <w:r>
              <w:t>60-Day Price Floor Sparkline &amp; Shipping Bundler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