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FF3F6C"/>
          <w:sz w:val="48"/>
        </w:rPr>
        <w:t>Myntra Wishlist Conversion Engine</w:t>
      </w:r>
    </w:p>
    <w:p>
      <w:r>
        <w:rPr>
          <w:rFonts w:ascii="Arial" w:hAnsi="Arial"/>
          <w:color w:val="535766"/>
          <w:sz w:val="26"/>
        </w:rPr>
        <w:t>Part 2: Business Metric Decomposition Flow Diagram &amp; Analysis Document</w:t>
      </w:r>
    </w:p>
    <w:p>
      <w:r>
        <w:rPr>
          <w:sz w:val="20"/>
        </w:rPr>
        <w:t>Target Metric: 30-Day Wishlist Conversion Rate (+350 bps lift / 12% -&gt; 15.5%)</w:t>
        <w:br/>
        <w:t>Strategic Constraint: 100% Zero Monetary Incentives (No discounts, coupons, or cashback)</w:t>
      </w:r>
    </w:p>
    <w:p>
      <w:r>
        <w:rPr>
          <w:color w:val="D4D5D9"/>
        </w:rPr>
        <w:t>---------------------------------------------------------------------------</w:t>
      </w:r>
    </w:p>
    <w:p>
      <w:pPr>
        <w:pStyle w:val="Heading1"/>
      </w:pPr>
      <w:r>
        <w:rPr>
          <w:rFonts w:ascii="Arial" w:hAnsi="Arial"/>
          <w:color w:val="282C3F"/>
        </w:rPr>
        <w:t>1. Part 2: Visual Metric Decomposition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ntra_part2_flow_diag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717A"/>
          <w:sz w:val="19"/>
        </w:rPr>
        <w:t>Figure 1: Business Metric Decomposition Flow Diagram linking Funnel Stages, User Behaviors, Customer Friction Signals, and Target Product Outcomes.</w:t>
      </w:r>
    </w:p>
    <w:p>
      <w:r>
        <w:rPr>
          <w:color w:val="D4D5D9"/>
        </w:rPr>
        <w:t>---------------------------------------------------------------------------</w:t>
      </w:r>
    </w:p>
    <w:p>
      <w:pPr>
        <w:pStyle w:val="Heading1"/>
      </w:pPr>
      <w:r>
        <w:rPr>
          <w:rFonts w:ascii="Arial" w:hAnsi="Arial"/>
          <w:color w:val="282C3F"/>
        </w:rPr>
        <w:t>2. Mathematical Funnel Breakdown &amp; User Behaviors</w:t>
      </w:r>
    </w:p>
    <w:p>
      <w:r>
        <w:rPr>
          <w:b/>
          <w:color w:val="03A685"/>
        </w:rPr>
        <w:t>30-Day Conversion = P(Stage 1: Revisit) × P(Stage 2: Wishlist -&gt; Bag | Revisit) × P(Stage 3: Checkout | Bag)</w:t>
      </w:r>
    </w:p>
    <w:p>
      <w:r>
        <w:t>To improve the North Star Metric, we must understand what needs to change across user behaviors at each stage:</w:t>
        <w:br/>
        <w:br/>
        <w:t>1. STAGE 1: Wishlist Revisit Rate - P(Stage 1)</w:t>
        <w:br/>
        <w:t xml:space="preserve">   • User Behavior: Shoppers save 35–120+ items over time, causing flat list scroll fatigue. High-intent items get buried and forgotten.</w:t>
        <w:br/>
        <w:t xml:space="preserve">   • Customer Friction: 181 Signals (7.2% of friction) under Wishlist Clutter &amp; Organization.</w:t>
        <w:br/>
        <w:t xml:space="preserve">   • Product Outcome: Smart Occasion Folders ('Workwear', 'Festive', 'College') reducing retrieval time from 45s to &lt;5s.</w:t>
        <w:br/>
        <w:br/>
        <w:t>2. STAGE 2: Wishlist-to-Bag Transfer Rate - P(Stage 2 | Stage 1) [⭐ HIGHEST LEVERAGE - 89.8%]</w:t>
        <w:br/>
        <w:t xml:space="preserve">   • User Behavior: Shoppers reopen their wishlist, love an item, but freeze because sizing charts are flat and fabric quality is uncertain.</w:t>
        <w:br/>
        <w:t xml:space="preserve">   • Customer Friction: 2,252 Signals (89.8% of all friction!) under Fit &amp; Fabric Anxiety.</w:t>
        <w:br/>
        <w:t xml:space="preserve">   • Product Outcome: FitConfidence 88% Overlay Card &amp; Height (5'4") / Weight (52kg) Buyer Photos.</w:t>
        <w:br/>
        <w:br/>
        <w:t>3. STAGE 3: Bag-to-Checkout Completion Rate - P(Stage 3 | Stage 2)</w:t>
        <w:br/>
        <w:t xml:space="preserve">   • User Behavior: Shoppers move a single ₹599 wishlisted item to cart, but abandon when hit by an added ₹99 delivery fee below ₹799.</w:t>
        <w:br/>
        <w:t xml:space="preserve">   • Customer Friction: 91 Signals (3.6% of friction) under Delivery Fee Friction.</w:t>
        <w:br/>
        <w:t xml:space="preserve">   • Product Outcome: Free Delivery Threshold Bundler &amp; 1-Click Move-to-Bag.</w:t>
      </w:r>
    </w:p>
    <w:p>
      <w:pPr>
        <w:pStyle w:val="Heading1"/>
      </w:pPr>
      <w:r>
        <w:rPr>
          <w:rFonts w:ascii="Arial" w:hAnsi="Arial"/>
          <w:color w:val="282C3F"/>
        </w:rPr>
        <w:t>3. Opportunity Sizing &amp; PM Leverage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Customer Signals &amp; Friction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Target Product Solution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Conversion Leverage &amp; PM Priority</w:t>
            </w:r>
          </w:p>
        </w:tc>
      </w:tr>
      <w:tr>
        <w:tc>
          <w:tcPr>
            <w:tcW w:type="dxa" w:w="2340"/>
          </w:tcPr>
          <w:p>
            <w:r>
              <w:t>Stage 1: Revisit Rate</w:t>
            </w:r>
          </w:p>
        </w:tc>
        <w:tc>
          <w:tcPr>
            <w:tcW w:type="dxa" w:w="2340"/>
          </w:tcPr>
          <w:p>
            <w:r>
              <w:t>181 Signals (7.2%)</w:t>
              <w:br/>
              <w:t>Wishlist Clutter</w:t>
            </w:r>
          </w:p>
        </w:tc>
        <w:tc>
          <w:tcPr>
            <w:tcW w:type="dxa" w:w="2340"/>
          </w:tcPr>
          <w:p>
            <w:r>
              <w:t>Smart Occasion Folders</w:t>
              <w:br/>
              <w:t>('Workwear', 'Festive')</w:t>
            </w:r>
          </w:p>
        </w:tc>
        <w:tc>
          <w:tcPr>
            <w:tcW w:type="dxa" w:w="2340"/>
          </w:tcPr>
          <w:p>
            <w:r>
              <w:t>Moderate Leverage</w:t>
              <w:br/>
              <w:t>Brings users back, but fit doubt still halts buying.</w:t>
            </w:r>
          </w:p>
        </w:tc>
      </w:tr>
      <w:tr>
        <w:tc>
          <w:tcPr>
            <w:tcW w:type="dxa" w:w="2340"/>
            <w:shd w:val="clear" w:color="auto" w:fill="FEF08A"/>
          </w:tcPr>
          <w:p>
            <w:r>
              <w:t>Stage 2: Wishlist-to-Bag Transfer</w:t>
            </w:r>
          </w:p>
        </w:tc>
        <w:tc>
          <w:tcPr>
            <w:tcW w:type="dxa" w:w="2340"/>
            <w:shd w:val="clear" w:color="auto" w:fill="FEF08A"/>
          </w:tcPr>
          <w:p>
            <w:r>
              <w:t>2,252 Signals (89.8%)</w:t>
              <w:br/>
              <w:t>Fit &amp; Fabric Anxiety</w:t>
            </w:r>
          </w:p>
        </w:tc>
        <w:tc>
          <w:tcPr>
            <w:tcW w:type="dxa" w:w="2340"/>
            <w:shd w:val="clear" w:color="auto" w:fill="FEF08A"/>
          </w:tcPr>
          <w:p>
            <w:r>
              <w:t>FitConfidence 88% Overlay &amp;</w:t>
              <w:br/>
              <w:t>Height/Weight Buyer Photos</w:t>
            </w:r>
          </w:p>
        </w:tc>
        <w:tc>
          <w:tcPr>
            <w:tcW w:type="dxa" w:w="2340"/>
            <w:shd w:val="clear" w:color="auto" w:fill="FEF08A"/>
          </w:tcPr>
          <w:p>
            <w:r>
              <w:t>HIGHEST LEVERAGE ⭐</w:t>
              <w:br/>
              <w:t>Core lever that unblocks checkout without discounts.</w:t>
            </w:r>
          </w:p>
        </w:tc>
      </w:tr>
      <w:tr>
        <w:tc>
          <w:tcPr>
            <w:tcW w:type="dxa" w:w="2340"/>
          </w:tcPr>
          <w:p>
            <w:r>
              <w:t>Stage 3: Checkout Completion</w:t>
            </w:r>
          </w:p>
        </w:tc>
        <w:tc>
          <w:tcPr>
            <w:tcW w:type="dxa" w:w="2340"/>
          </w:tcPr>
          <w:p>
            <w:r>
              <w:t>91 Signals (3.6%)</w:t>
              <w:br/>
              <w:t>Delivery Fee Friction</w:t>
            </w:r>
          </w:p>
        </w:tc>
        <w:tc>
          <w:tcPr>
            <w:tcW w:type="dxa" w:w="2340"/>
          </w:tcPr>
          <w:p>
            <w:r>
              <w:t>Free Shipping Bundler &amp;</w:t>
              <w:br/>
              <w:t>1-Click Size Bag Transfer</w:t>
            </w:r>
          </w:p>
        </w:tc>
        <w:tc>
          <w:tcPr>
            <w:tcW w:type="dxa" w:w="2340"/>
          </w:tcPr>
          <w:p>
            <w:r>
              <w:t>High Secondary Leverage</w:t>
              <w:br/>
              <w:t>Unlocks single-item checkout abandoners below threshold.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