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A0971">
      <w:pPr>
        <w:spacing w:after="80"/>
        <w:jc w:val="center"/>
      </w:pPr>
      <w:r>
        <w:rPr>
          <w:b/>
          <w:sz w:val="28"/>
        </w:rPr>
        <w:t>2026 World Vocational College Skills Competition</w:t>
      </w:r>
    </w:p>
    <w:p w14:paraId="4B9921AC">
      <w:pPr>
        <w:jc w:val="center"/>
      </w:pPr>
      <w:r>
        <w:rPr>
          <w:b/>
          <w:sz w:val="26"/>
        </w:rPr>
        <w:t>Finals Scoring Criteria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1412"/>
        <w:gridCol w:w="2638"/>
        <w:gridCol w:w="4112"/>
      </w:tblGrid>
      <w:tr w14:paraId="454F1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</w:tcPr>
          <w:p w14:paraId="4CAD936F">
            <w:pPr>
              <w:spacing w:before="40" w:after="4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Scoring Indicator</w:t>
            </w:r>
          </w:p>
        </w:tc>
        <w:tc>
          <w:tcPr>
            <w:tcW w:w="1412" w:type="dxa"/>
          </w:tcPr>
          <w:p w14:paraId="39FDDBE5">
            <w:pPr>
              <w:spacing w:before="40" w:after="4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Weight</w:t>
            </w:r>
          </w:p>
        </w:tc>
        <w:tc>
          <w:tcPr>
            <w:tcW w:w="2638" w:type="dxa"/>
          </w:tcPr>
          <w:p w14:paraId="5AE9C079">
            <w:pPr>
              <w:spacing w:before="40" w:after="4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Observation Point</w:t>
            </w:r>
          </w:p>
        </w:tc>
        <w:tc>
          <w:tcPr>
            <w:tcW w:w="4112" w:type="dxa"/>
          </w:tcPr>
          <w:p w14:paraId="5489CB75">
            <w:pPr>
              <w:spacing w:before="40" w:after="4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Description</w:t>
            </w:r>
          </w:p>
        </w:tc>
      </w:tr>
      <w:tr w14:paraId="07EC0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restart"/>
          </w:tcPr>
          <w:p w14:paraId="064F0F33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I. Technical Proficiency</w:t>
            </w:r>
          </w:p>
          <w:p w14:paraId="2206C0F7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825885D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2ED404F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2C8FF85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restart"/>
          </w:tcPr>
          <w:p w14:paraId="23FF95F1">
            <w:pPr>
              <w:spacing w:before="40" w:after="40" w:line="240" w:lineRule="auto"/>
              <w:jc w:val="center"/>
              <w:rPr>
                <w:color w:val="000000" w:themeColor="text1"/>
                <w:highlight w:val="gre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:highlight w:val="green"/>
                <w14:textFill>
                  <w14:solidFill>
                    <w14:schemeClr w14:val="tx1"/>
                  </w14:solidFill>
                </w14:textFill>
              </w:rPr>
              <w:t>60% / 60 pts</w:t>
            </w:r>
          </w:p>
          <w:p w14:paraId="1F28055C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D6266D9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2310772A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9B8420D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  <w:tc>
          <w:tcPr>
            <w:tcW w:w="2638" w:type="dxa"/>
          </w:tcPr>
          <w:p w14:paraId="3CCAC49D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 Operational Standardization (10 pts)</w:t>
            </w:r>
          </w:p>
        </w:tc>
        <w:tc>
          <w:tcPr>
            <w:tcW w:w="4112" w:type="dxa"/>
          </w:tcPr>
          <w:p w14:paraId="49E59759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Operations comply with industry standards and job requirements.</w:t>
            </w:r>
          </w:p>
        </w:tc>
      </w:tr>
      <w:tr w14:paraId="22415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continue"/>
          </w:tcPr>
          <w:p w14:paraId="04337725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continue"/>
          </w:tcPr>
          <w:p w14:paraId="456E7AA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38" w:type="dxa"/>
          </w:tcPr>
          <w:p w14:paraId="3A64BCC0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 Skill Proficiency (15 pts)</w:t>
            </w:r>
          </w:p>
        </w:tc>
        <w:tc>
          <w:tcPr>
            <w:tcW w:w="4112" w:type="dxa"/>
          </w:tcPr>
          <w:p w14:paraId="45A9E84B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Skilled use of knowledge, technology, and software/hardware tools; smooth and precise operations; reasonable time and progress management.</w:t>
            </w:r>
          </w:p>
        </w:tc>
      </w:tr>
      <w:tr w14:paraId="1AB7B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continue"/>
          </w:tcPr>
          <w:p w14:paraId="3FBBCE3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continue"/>
          </w:tcPr>
          <w:p w14:paraId="22E404A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38" w:type="dxa"/>
          </w:tcPr>
          <w:p w14:paraId="209261BE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 Task Difficulty (15 pts)</w:t>
            </w:r>
          </w:p>
        </w:tc>
        <w:tc>
          <w:tcPr>
            <w:tcW w:w="4112" w:type="dxa"/>
          </w:tcPr>
          <w:p w14:paraId="2ABC73EA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Complete tasks with highlighted key technologies; sufficiently challenging; requiring advanced skills and comprehensive problem-solving ability.</w:t>
            </w:r>
          </w:p>
        </w:tc>
      </w:tr>
      <w:tr w14:paraId="11B5A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continue"/>
          </w:tcPr>
          <w:p w14:paraId="1462612E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continue"/>
          </w:tcPr>
          <w:p w14:paraId="1D36D74A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38" w:type="dxa"/>
          </w:tcPr>
          <w:p w14:paraId="5BEDE07D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4. Technological Advancement (15 pts)</w:t>
            </w:r>
          </w:p>
        </w:tc>
        <w:tc>
          <w:tcPr>
            <w:tcW w:w="4112" w:type="dxa"/>
          </w:tcPr>
          <w:p w14:paraId="4FC9F480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Reflects new industry standards, technologies and scenarios; proactive use of cutting-edge and digital technologies; appropriate technology selection.</w:t>
            </w:r>
          </w:p>
        </w:tc>
      </w:tr>
      <w:tr w14:paraId="2AF9B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continue"/>
          </w:tcPr>
          <w:p w14:paraId="01763939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continue"/>
          </w:tcPr>
          <w:p w14:paraId="2F7DE3D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38" w:type="dxa"/>
          </w:tcPr>
          <w:p w14:paraId="0B99DE43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5. On-site Presentation (5 pts)</w:t>
            </w:r>
          </w:p>
        </w:tc>
        <w:tc>
          <w:tcPr>
            <w:tcW w:w="4112" w:type="dxa"/>
          </w:tcPr>
          <w:p w14:paraId="28F06FB2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Clear logic, highlighted key points, accurate expression.</w:t>
            </w:r>
          </w:p>
        </w:tc>
      </w:tr>
      <w:tr w14:paraId="03E89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restart"/>
          </w:tcPr>
          <w:p w14:paraId="48CBC8A4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II. Professional Conduct</w:t>
            </w:r>
          </w:p>
          <w:p w14:paraId="4CDD1ED2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9F43B59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restart"/>
          </w:tcPr>
          <w:p w14:paraId="0995B61A">
            <w:pPr>
              <w:spacing w:before="40" w:after="40" w:line="240" w:lineRule="auto"/>
              <w:jc w:val="center"/>
              <w:rPr>
                <w:color w:val="000000" w:themeColor="text1"/>
                <w:highlight w:val="gre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:highlight w:val="green"/>
                <w14:textFill>
                  <w14:solidFill>
                    <w14:schemeClr w14:val="tx1"/>
                  </w14:solidFill>
                </w14:textFill>
              </w:rPr>
              <w:t>10% / 10 pts</w:t>
            </w:r>
          </w:p>
          <w:p w14:paraId="4F77C515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40D094F7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38" w:type="dxa"/>
          </w:tcPr>
          <w:p w14:paraId="1CEF9582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 Professional Ethics &amp; Norms (4 pts)</w:t>
            </w:r>
          </w:p>
        </w:tc>
        <w:tc>
          <w:tcPr>
            <w:tcW w:w="4112" w:type="dxa"/>
          </w:tcPr>
          <w:p w14:paraId="2E476489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Integrity and law-abiding; respect for IP; adherence to professional ethics; good professional demeanor.</w:t>
            </w:r>
          </w:p>
        </w:tc>
      </w:tr>
      <w:tr w14:paraId="2298B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continue"/>
          </w:tcPr>
          <w:p w14:paraId="0D6D02C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continue"/>
          </w:tcPr>
          <w:p w14:paraId="2A11827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38" w:type="dxa"/>
          </w:tcPr>
          <w:p w14:paraId="7CC7AD3A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 Craftsmanship (3 pts)</w:t>
            </w:r>
          </w:p>
        </w:tc>
        <w:tc>
          <w:tcPr>
            <w:tcW w:w="4112" w:type="dxa"/>
          </w:tcPr>
          <w:p w14:paraId="134D96A4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Attention to detail; pursuit of excellence; strong management and quality awareness.</w:t>
            </w:r>
          </w:p>
        </w:tc>
      </w:tr>
      <w:tr w14:paraId="017C4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continue"/>
          </w:tcPr>
          <w:p w14:paraId="58680BCB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continue"/>
          </w:tcPr>
          <w:p w14:paraId="2A99506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38" w:type="dxa"/>
          </w:tcPr>
          <w:p w14:paraId="56AF2BBB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 Safety Awareness (3 pts)</w:t>
            </w:r>
          </w:p>
        </w:tc>
        <w:tc>
          <w:tcPr>
            <w:tcW w:w="4112" w:type="dxa"/>
          </w:tcPr>
          <w:p w14:paraId="192D7F60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Strict compliance with safety rules; labor protection and risk prevention awareness.</w:t>
            </w:r>
          </w:p>
        </w:tc>
      </w:tr>
      <w:tr w14:paraId="59F15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restart"/>
          </w:tcPr>
          <w:p w14:paraId="17129377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III. Application Value</w:t>
            </w:r>
          </w:p>
          <w:p w14:paraId="3EAFE717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7D413ECC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restart"/>
          </w:tcPr>
          <w:p w14:paraId="4B130DBF">
            <w:pPr>
              <w:spacing w:before="40" w:after="40" w:line="240" w:lineRule="auto"/>
              <w:jc w:val="center"/>
              <w:rPr>
                <w:color w:val="000000" w:themeColor="text1"/>
                <w:highlight w:val="gre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:highlight w:val="green"/>
                <w14:textFill>
                  <w14:solidFill>
                    <w14:schemeClr w14:val="tx1"/>
                  </w14:solidFill>
                </w14:textFill>
              </w:rPr>
              <w:t>10% / 10 pts</w:t>
            </w:r>
          </w:p>
          <w:p w14:paraId="350338F8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  <w:p w14:paraId="57AD611A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38" w:type="dxa"/>
          </w:tcPr>
          <w:p w14:paraId="31730893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 Practicality (4 pts)</w:t>
            </w:r>
          </w:p>
        </w:tc>
        <w:tc>
          <w:tcPr>
            <w:tcW w:w="4112" w:type="dxa"/>
          </w:tcPr>
          <w:p w14:paraId="251CB8FC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Solutions directly applicable to practice; effectively solving real production/life problems; aligned with national strategies (industrial upgrading, regional development, rural revitalization, quality employment).</w:t>
            </w:r>
          </w:p>
        </w:tc>
      </w:tr>
      <w:tr w14:paraId="4FC42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continue"/>
          </w:tcPr>
          <w:p w14:paraId="1B939248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continue"/>
          </w:tcPr>
          <w:p w14:paraId="075F9DD1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38" w:type="dxa"/>
          </w:tcPr>
          <w:p w14:paraId="7A35FD3D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 Cost-Effectiveness (3 pts)</w:t>
            </w:r>
          </w:p>
        </w:tc>
        <w:tc>
          <w:tcPr>
            <w:tcW w:w="4112" w:type="dxa"/>
          </w:tcPr>
          <w:p w14:paraId="044114B6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Rational resource use; high efficiency and quality.</w:t>
            </w:r>
          </w:p>
        </w:tc>
      </w:tr>
      <w:tr w14:paraId="64B1B8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continue"/>
          </w:tcPr>
          <w:p w14:paraId="34201D0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continue"/>
          </w:tcPr>
          <w:p w14:paraId="4F07442D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38" w:type="dxa"/>
          </w:tcPr>
          <w:p w14:paraId="64CF64FC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 Sustainability (3 pts)</w:t>
            </w:r>
          </w:p>
        </w:tc>
        <w:tc>
          <w:tcPr>
            <w:tcW w:w="4112" w:type="dxa"/>
          </w:tcPr>
          <w:p w14:paraId="0362144E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Environmental awareness; green and low-carbon; aligned with future industry trends.</w:t>
            </w:r>
          </w:p>
        </w:tc>
      </w:tr>
      <w:tr w14:paraId="7746E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restart"/>
          </w:tcPr>
          <w:p w14:paraId="10FAEBA8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IV. Teamwork</w:t>
            </w:r>
          </w:p>
          <w:p w14:paraId="052F4907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restart"/>
          </w:tcPr>
          <w:p w14:paraId="02113F7A">
            <w:pPr>
              <w:spacing w:before="40" w:after="40" w:line="24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:highlight w:val="green"/>
                <w14:textFill>
                  <w14:solidFill>
                    <w14:schemeClr w14:val="tx1"/>
                  </w14:solidFill>
                </w14:textFill>
              </w:rPr>
              <w:t>10% / 10 pts</w:t>
            </w:r>
          </w:p>
          <w:p w14:paraId="6ABCEC0E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38" w:type="dxa"/>
          </w:tcPr>
          <w:p w14:paraId="6CB8D2E4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 Team Spirit (5 pts)</w:t>
            </w:r>
          </w:p>
        </w:tc>
        <w:tc>
          <w:tcPr>
            <w:tcW w:w="4112" w:type="dxa"/>
          </w:tcPr>
          <w:p w14:paraId="097F64B3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Members understand shared goals and roles; mutual respect, trust and support; positive team atmosphere.</w:t>
            </w:r>
          </w:p>
        </w:tc>
      </w:tr>
      <w:tr w14:paraId="3C85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continue"/>
          </w:tcPr>
          <w:p w14:paraId="75530BDC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continue"/>
          </w:tcPr>
          <w:p w14:paraId="0DFAE273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38" w:type="dxa"/>
          </w:tcPr>
          <w:p w14:paraId="6CCDFC10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 Communication &amp; Collaboration (5 pts)</w:t>
            </w:r>
          </w:p>
        </w:tc>
        <w:tc>
          <w:tcPr>
            <w:tcW w:w="4112" w:type="dxa"/>
          </w:tcPr>
          <w:p w14:paraId="354BEB0C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Effective communication and close collaboration; mutual support; joint handling of emergencies.</w:t>
            </w:r>
          </w:p>
        </w:tc>
      </w:tr>
      <w:tr w14:paraId="3AEC4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restart"/>
          </w:tcPr>
          <w:p w14:paraId="558A0E2F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V. Innovation &amp; Creativity</w:t>
            </w:r>
          </w:p>
          <w:p w14:paraId="2C4EF2D3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restart"/>
          </w:tcPr>
          <w:p w14:paraId="6BC642A5">
            <w:pPr>
              <w:spacing w:before="40" w:after="40" w:line="240" w:lineRule="auto"/>
              <w:jc w:val="center"/>
              <w:rPr>
                <w:color w:val="000000" w:themeColor="text1"/>
                <w:highlight w:val="gree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b/>
                <w:color w:val="000000" w:themeColor="text1"/>
                <w:sz w:val="20"/>
                <w:highlight w:val="green"/>
                <w14:textFill>
                  <w14:solidFill>
                    <w14:schemeClr w14:val="tx1"/>
                  </w14:solidFill>
                </w14:textFill>
              </w:rPr>
              <w:t>10% / 10 pts</w:t>
            </w:r>
          </w:p>
          <w:p w14:paraId="2FF7A469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38" w:type="dxa"/>
          </w:tcPr>
          <w:p w14:paraId="4A6B1C59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 Innovation Awareness (4 pts)</w:t>
            </w:r>
          </w:p>
        </w:tc>
        <w:tc>
          <w:tcPr>
            <w:tcW w:w="4112" w:type="dxa"/>
          </w:tcPr>
          <w:p w14:paraId="0A2B51C2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Original creativity and innovative spirit/capability demonstrated by team members.</w:t>
            </w:r>
          </w:p>
        </w:tc>
      </w:tr>
      <w:tr w14:paraId="038A7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26" w:type="dxa"/>
            <w:vMerge w:val="continue"/>
          </w:tcPr>
          <w:p w14:paraId="1584E89F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2" w:type="dxa"/>
            <w:vMerge w:val="continue"/>
          </w:tcPr>
          <w:p w14:paraId="26DCDC47">
            <w:pPr>
              <w:spacing w:after="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638" w:type="dxa"/>
          </w:tcPr>
          <w:p w14:paraId="01FB5255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 Innovation Outcomes (6 pts)</w:t>
            </w:r>
          </w:p>
        </w:tc>
        <w:tc>
          <w:tcPr>
            <w:tcW w:w="4112" w:type="dxa"/>
          </w:tcPr>
          <w:p w14:paraId="219245BF">
            <w:pPr>
              <w:spacing w:before="40" w:after="40" w:line="240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Originality in factor integration, new tech application, process improvement, and service model optimization; focusing on process innovation, practical tech innovation, digital product improvement, application optimization, and livelihood-oriented creativity.</w:t>
            </w:r>
          </w:p>
        </w:tc>
      </w:tr>
    </w:tbl>
    <w:p w14:paraId="716D83B4"/>
    <w:p w14:paraId="11628E80">
      <w:pPr>
        <w:spacing w:after="80"/>
      </w:pPr>
      <w:r>
        <w:rPr>
          <w:b/>
          <w:sz w:val="22"/>
        </w:rPr>
        <w:t>Notes</w:t>
      </w:r>
    </w:p>
    <w:p w14:paraId="0D016C97">
      <w:pPr>
        <w:spacing w:after="40"/>
        <w:ind w:left="283"/>
      </w:pPr>
      <w:r>
        <w:rPr>
          <w:sz w:val="20"/>
        </w:rPr>
        <w:t>1. Scoring principles: competence-oriented, problem-solving, innovation-reflecting, fair and comparable.</w:t>
      </w:r>
    </w:p>
    <w:p w14:paraId="0AAF9727">
      <w:pPr>
        <w:spacing w:after="40"/>
        <w:ind w:left="283"/>
      </w:pPr>
      <w:r>
        <w:rPr>
          <w:sz w:val="20"/>
        </w:rPr>
        <w:t>2. Five scoring indicators, totaling 100 points; elements reflect comprehensive education function and educational reform innovation.</w:t>
      </w:r>
    </w:p>
    <w:p w14:paraId="0D4672C9">
      <w:pPr>
        <w:spacing w:after="40"/>
        <w:ind w:left="283"/>
      </w:pPr>
      <w:r>
        <w:rPr>
          <w:sz w:val="20"/>
        </w:rPr>
        <w:t>3. Each indicator contains several observation points with assigned point values.</w:t>
      </w:r>
    </w:p>
    <w:p w14:paraId="62AE44A9">
      <w:pPr>
        <w:spacing w:after="40"/>
        <w:ind w:left="283"/>
      </w:pPr>
      <w:r>
        <w:rPr>
          <w:sz w:val="20"/>
        </w:rPr>
        <w:t>4. Judges score based on observation points and descriptions, referencing the team's operations and on-site presentation; subjective impressions should be avoided.</w:t>
      </w:r>
    </w:p>
    <w:sectPr>
      <w:pgSz w:w="12240" w:h="15840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ONOR Sans TC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ONOR Sans TC Light">
    <w:panose1 w:val="02000400000000000000"/>
    <w:charset w:val="88"/>
    <w:family w:val="auto"/>
    <w:pitch w:val="default"/>
    <w:sig w:usb0="800002BF" w:usb1="3ACF7C7A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21B8"/>
    <w:rsid w:val="00CB0664"/>
    <w:rsid w:val="00DC42E3"/>
    <w:rsid w:val="00F807FD"/>
    <w:rsid w:val="00FC693F"/>
    <w:rsid w:val="122332E4"/>
    <w:rsid w:val="619D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页眉 字符"/>
    <w:basedOn w:val="11"/>
    <w:link w:val="19"/>
    <w:uiPriority w:val="99"/>
  </w:style>
  <w:style w:type="character" w:customStyle="1" w:styleId="136">
    <w:name w:val="页脚 字符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1"/>
    <w:link w:val="13"/>
    <w:uiPriority w:val="99"/>
  </w:style>
  <w:style w:type="character" w:customStyle="1" w:styleId="145">
    <w:name w:val="正文文本 2 字符"/>
    <w:basedOn w:val="11"/>
    <w:link w:val="14"/>
    <w:uiPriority w:val="99"/>
  </w:style>
  <w:style w:type="character" w:customStyle="1" w:styleId="146">
    <w:name w:val="正文文本 3 字符"/>
    <w:basedOn w:val="11"/>
    <w:link w:val="15"/>
    <w:uiPriority w:val="99"/>
    <w:rPr>
      <w:sz w:val="16"/>
      <w:szCs w:val="16"/>
    </w:rPr>
  </w:style>
  <w:style w:type="character" w:customStyle="1" w:styleId="147">
    <w:name w:val="宏文本 字符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382</Words>
  <Characters>2608</Characters>
  <Lines>21</Lines>
  <Paragraphs>6</Paragraphs>
  <TotalTime>1</TotalTime>
  <ScaleCrop>false</ScaleCrop>
  <LinksUpToDate>false</LinksUpToDate>
  <CharactersWithSpaces>2939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Hak Sideth</cp:lastModifiedBy>
  <dcterms:modified xsi:type="dcterms:W3CDTF">2026-09-09T09:46:31Z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620444E509A048B0AED11A3F7D2FD294_13</vt:lpwstr>
  </property>
  <property fmtid="{D5CDD505-2E9C-101B-9397-08002B2CF9AE}" pid="4" name="KSOTemplateDocerSaveRecord">
    <vt:lpwstr>eyJoZGlkIjoiZjcxOTU5OGRjYjdlZWYxZDE2OGUyYzQ5YzRhOGMyNmEiLCJ1c2VySWQiOiI4ODEzNzc2ODc5NDAyIn0=</vt:lpwstr>
  </property>
</Properties>
</file>