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805C" w14:textId="28ECA32B" w:rsidR="0069577C" w:rsidRPr="00C332CB" w:rsidRDefault="0069577C" w:rsidP="00C332CB">
      <w:pPr>
        <w:pStyle w:val="ListParagraph"/>
        <w:ind w:left="0"/>
        <w:rPr>
          <w:rFonts w:ascii="Times New Roman" w:hAnsi="Times New Roman" w:cs="Times New Roman"/>
          <w:sz w:val="24"/>
          <w:szCs w:val="24"/>
        </w:rPr>
      </w:pPr>
      <w:r w:rsidRPr="00C332CB">
        <w:rPr>
          <w:rFonts w:ascii="Times New Roman" w:hAnsi="Times New Roman" w:cs="Times New Roman"/>
          <w:sz w:val="24"/>
          <w:szCs w:val="24"/>
        </w:rPr>
        <w:t>label: "Introduction"</w:t>
      </w:r>
    </w:p>
    <w:p w14:paraId="190D316D" w14:textId="70B36910" w:rsidR="0069577C" w:rsidRPr="00C332CB" w:rsidRDefault="0069577C" w:rsidP="00C332CB">
      <w:pPr>
        <w:pStyle w:val="ListParagraph"/>
        <w:ind w:left="0"/>
        <w:rPr>
          <w:rFonts w:ascii="Times New Roman" w:hAnsi="Times New Roman" w:cs="Times New Roman"/>
          <w:sz w:val="24"/>
          <w:szCs w:val="24"/>
        </w:rPr>
      </w:pPr>
      <w:r w:rsidRPr="00C332CB">
        <w:rPr>
          <w:rFonts w:ascii="Times New Roman" w:hAnsi="Times New Roman" w:cs="Times New Roman"/>
          <w:sz w:val="24"/>
          <w:szCs w:val="24"/>
        </w:rPr>
        <w:t>title: Introduction</w:t>
      </w:r>
    </w:p>
    <w:p w14:paraId="2A2DF193" w14:textId="58973FD3" w:rsidR="0069577C" w:rsidRPr="00C332CB" w:rsidRDefault="0069577C" w:rsidP="00C332CB">
      <w:pPr>
        <w:pStyle w:val="ListParagraph"/>
        <w:ind w:left="0"/>
        <w:rPr>
          <w:rFonts w:ascii="Times New Roman" w:hAnsi="Times New Roman" w:cs="Times New Roman"/>
          <w:sz w:val="24"/>
          <w:szCs w:val="24"/>
        </w:rPr>
      </w:pPr>
      <w:r w:rsidRPr="00C332CB">
        <w:rPr>
          <w:rFonts w:ascii="Times New Roman" w:hAnsi="Times New Roman" w:cs="Times New Roman"/>
          <w:sz w:val="24"/>
          <w:szCs w:val="24"/>
        </w:rPr>
        <w:t xml:space="preserve">subtitle: </w:t>
      </w:r>
    </w:p>
    <w:p w14:paraId="3F99591D" w14:textId="77777777" w:rsidR="0069577C" w:rsidRPr="00C332CB" w:rsidRDefault="0069577C" w:rsidP="00C332CB">
      <w:pPr>
        <w:pStyle w:val="ListParagraph"/>
        <w:ind w:left="0"/>
        <w:rPr>
          <w:rFonts w:ascii="Times New Roman" w:hAnsi="Times New Roman" w:cs="Times New Roman"/>
          <w:sz w:val="24"/>
          <w:szCs w:val="24"/>
        </w:rPr>
      </w:pPr>
      <w:r w:rsidRPr="00C332CB">
        <w:rPr>
          <w:rFonts w:ascii="Times New Roman" w:hAnsi="Times New Roman" w:cs="Times New Roman"/>
          <w:sz w:val="24"/>
          <w:szCs w:val="24"/>
        </w:rPr>
        <w:t>contributor:</w:t>
      </w:r>
    </w:p>
    <w:p w14:paraId="78FC76A9" w14:textId="7FD20CCF" w:rsidR="0069577C" w:rsidRPr="00C332CB" w:rsidRDefault="0069577C" w:rsidP="00C332CB">
      <w:pPr>
        <w:pStyle w:val="ListParagraph"/>
        <w:numPr>
          <w:ilvl w:val="0"/>
          <w:numId w:val="1"/>
        </w:numPr>
        <w:ind w:left="360"/>
        <w:contextualSpacing/>
        <w:rPr>
          <w:rFonts w:ascii="Times New Roman" w:hAnsi="Times New Roman" w:cs="Times New Roman"/>
          <w:sz w:val="24"/>
          <w:szCs w:val="24"/>
        </w:rPr>
      </w:pPr>
      <w:proofErr w:type="spellStart"/>
      <w:r w:rsidRPr="00C332CB">
        <w:rPr>
          <w:rFonts w:ascii="Times New Roman" w:hAnsi="Times New Roman" w:cs="Times New Roman"/>
          <w:sz w:val="24"/>
          <w:szCs w:val="24"/>
        </w:rPr>
        <w:t>first_name</w:t>
      </w:r>
      <w:proofErr w:type="spellEnd"/>
      <w:r w:rsidRPr="00C332CB">
        <w:rPr>
          <w:rFonts w:ascii="Times New Roman" w:hAnsi="Times New Roman" w:cs="Times New Roman"/>
          <w:sz w:val="24"/>
          <w:szCs w:val="24"/>
        </w:rPr>
        <w:t>: Ian</w:t>
      </w:r>
    </w:p>
    <w:p w14:paraId="0171FEC3" w14:textId="587114C2" w:rsidR="002A217C" w:rsidRPr="00C332CB" w:rsidRDefault="0069577C" w:rsidP="00C332CB">
      <w:pPr>
        <w:pStyle w:val="ListParagraph"/>
        <w:ind w:left="360"/>
        <w:rPr>
          <w:rFonts w:ascii="Times New Roman" w:hAnsi="Times New Roman" w:cs="Times New Roman"/>
          <w:sz w:val="24"/>
          <w:szCs w:val="24"/>
        </w:rPr>
      </w:pPr>
      <w:proofErr w:type="spellStart"/>
      <w:r w:rsidRPr="00C332CB">
        <w:rPr>
          <w:rFonts w:ascii="Times New Roman" w:hAnsi="Times New Roman" w:cs="Times New Roman"/>
          <w:sz w:val="24"/>
          <w:szCs w:val="24"/>
        </w:rPr>
        <w:t>last_name</w:t>
      </w:r>
      <w:proofErr w:type="spellEnd"/>
      <w:r w:rsidRPr="00C332CB">
        <w:rPr>
          <w:rFonts w:ascii="Times New Roman" w:hAnsi="Times New Roman" w:cs="Times New Roman"/>
          <w:sz w:val="24"/>
          <w:szCs w:val="24"/>
        </w:rPr>
        <w:t>: McClure</w:t>
      </w:r>
    </w:p>
    <w:p w14:paraId="05362B13" w14:textId="77777777" w:rsidR="0069577C" w:rsidRPr="00C332CB" w:rsidRDefault="0069577C" w:rsidP="00C332CB">
      <w:pPr>
        <w:pStyle w:val="ListParagraph"/>
        <w:spacing w:line="480" w:lineRule="auto"/>
        <w:ind w:left="360"/>
        <w:rPr>
          <w:rFonts w:ascii="Times New Roman" w:hAnsi="Times New Roman" w:cs="Times New Roman"/>
          <w:sz w:val="24"/>
          <w:szCs w:val="24"/>
        </w:rPr>
      </w:pPr>
    </w:p>
    <w:p w14:paraId="63F7E01F" w14:textId="017F41D8" w:rsidR="007610CB" w:rsidRPr="00C332CB" w:rsidRDefault="003B4A9F"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 xml:space="preserve">The </w:t>
      </w:r>
      <w:r w:rsidR="0042301F" w:rsidRPr="00C332CB">
        <w:rPr>
          <w:rFonts w:ascii="Times New Roman" w:hAnsi="Times New Roman" w:cs="Times New Roman"/>
          <w:sz w:val="24"/>
          <w:szCs w:val="24"/>
        </w:rPr>
        <w:t>s</w:t>
      </w:r>
      <w:r w:rsidRPr="00C332CB">
        <w:rPr>
          <w:rFonts w:ascii="Times New Roman" w:hAnsi="Times New Roman" w:cs="Times New Roman"/>
          <w:sz w:val="24"/>
          <w:szCs w:val="24"/>
        </w:rPr>
        <w:t xml:space="preserve">ymposium held at Yale in October 2019 </w:t>
      </w:r>
      <w:r w:rsidR="00F84405" w:rsidRPr="00C332CB">
        <w:rPr>
          <w:rFonts w:ascii="Times New Roman" w:hAnsi="Times New Roman" w:cs="Times New Roman"/>
          <w:sz w:val="24"/>
          <w:szCs w:val="24"/>
        </w:rPr>
        <w:t>grew out</w:t>
      </w:r>
      <w:r w:rsidRPr="00C332CB">
        <w:rPr>
          <w:rFonts w:ascii="Times New Roman" w:hAnsi="Times New Roman" w:cs="Times New Roman"/>
          <w:sz w:val="24"/>
          <w:szCs w:val="24"/>
        </w:rPr>
        <w:t xml:space="preserve"> of the Getty Foundation’s Conserving Canvas </w:t>
      </w:r>
      <w:r w:rsidR="00E56FFF" w:rsidRPr="00C332CB">
        <w:rPr>
          <w:rFonts w:ascii="Times New Roman" w:hAnsi="Times New Roman" w:cs="Times New Roman"/>
          <w:sz w:val="24"/>
          <w:szCs w:val="24"/>
        </w:rPr>
        <w:t>initiative</w:t>
      </w:r>
      <w:r w:rsidRPr="00C332CB">
        <w:rPr>
          <w:rFonts w:ascii="Times New Roman" w:hAnsi="Times New Roman" w:cs="Times New Roman"/>
          <w:sz w:val="24"/>
          <w:szCs w:val="24"/>
        </w:rPr>
        <w:t>, which</w:t>
      </w:r>
      <w:r w:rsidR="002A217C" w:rsidRPr="00C332CB">
        <w:rPr>
          <w:rFonts w:ascii="Times New Roman" w:hAnsi="Times New Roman" w:cs="Times New Roman"/>
          <w:sz w:val="24"/>
          <w:szCs w:val="24"/>
        </w:rPr>
        <w:t>,</w:t>
      </w:r>
      <w:r w:rsidRPr="00C332CB">
        <w:rPr>
          <w:rFonts w:ascii="Times New Roman" w:hAnsi="Times New Roman" w:cs="Times New Roman"/>
          <w:sz w:val="24"/>
          <w:szCs w:val="24"/>
        </w:rPr>
        <w:t xml:space="preserve"> through a combinat</w:t>
      </w:r>
      <w:r w:rsidR="008E779D" w:rsidRPr="00C332CB">
        <w:rPr>
          <w:rFonts w:ascii="Times New Roman" w:hAnsi="Times New Roman" w:cs="Times New Roman"/>
          <w:sz w:val="24"/>
          <w:szCs w:val="24"/>
        </w:rPr>
        <w:t>i</w:t>
      </w:r>
      <w:r w:rsidRPr="00C332CB">
        <w:rPr>
          <w:rFonts w:ascii="Times New Roman" w:hAnsi="Times New Roman" w:cs="Times New Roman"/>
          <w:sz w:val="24"/>
          <w:szCs w:val="24"/>
        </w:rPr>
        <w:t xml:space="preserve">on of </w:t>
      </w:r>
      <w:r w:rsidR="008E779D" w:rsidRPr="00C332CB">
        <w:rPr>
          <w:rFonts w:ascii="Times New Roman" w:hAnsi="Times New Roman" w:cs="Times New Roman"/>
          <w:sz w:val="24"/>
          <w:szCs w:val="24"/>
        </w:rPr>
        <w:t>practical workshops</w:t>
      </w:r>
      <w:r w:rsidR="00885FD4" w:rsidRPr="00C332CB">
        <w:rPr>
          <w:rFonts w:ascii="Times New Roman" w:hAnsi="Times New Roman" w:cs="Times New Roman"/>
          <w:sz w:val="24"/>
          <w:szCs w:val="24"/>
        </w:rPr>
        <w:t>, publications and</w:t>
      </w:r>
      <w:r w:rsidR="008E779D" w:rsidRPr="00C332CB">
        <w:rPr>
          <w:rFonts w:ascii="Times New Roman" w:hAnsi="Times New Roman" w:cs="Times New Roman"/>
          <w:sz w:val="24"/>
          <w:szCs w:val="24"/>
        </w:rPr>
        <w:t xml:space="preserve"> research support</w:t>
      </w:r>
      <w:r w:rsidR="00E56FFF" w:rsidRPr="00C332CB">
        <w:rPr>
          <w:rFonts w:ascii="Times New Roman" w:hAnsi="Times New Roman" w:cs="Times New Roman"/>
          <w:sz w:val="24"/>
          <w:szCs w:val="24"/>
        </w:rPr>
        <w:t xml:space="preserve">, </w:t>
      </w:r>
      <w:r w:rsidR="002C0E6F" w:rsidRPr="00C332CB">
        <w:rPr>
          <w:rFonts w:ascii="Times New Roman" w:hAnsi="Times New Roman" w:cs="Times New Roman"/>
          <w:sz w:val="24"/>
          <w:szCs w:val="24"/>
        </w:rPr>
        <w:t>and expert meetings</w:t>
      </w:r>
      <w:r w:rsidR="00E56FFF" w:rsidRPr="00C332CB">
        <w:rPr>
          <w:rFonts w:ascii="Times New Roman" w:hAnsi="Times New Roman" w:cs="Times New Roman"/>
          <w:sz w:val="24"/>
          <w:szCs w:val="24"/>
        </w:rPr>
        <w:t>, aims to evaluate and foster the structural treatment of paintings on canvas</w:t>
      </w:r>
      <w:r w:rsidR="00556553" w:rsidRPr="00C332CB">
        <w:rPr>
          <w:rFonts w:ascii="Times New Roman" w:hAnsi="Times New Roman" w:cs="Times New Roman"/>
          <w:sz w:val="24"/>
          <w:szCs w:val="24"/>
        </w:rPr>
        <w:t xml:space="preserve"> (</w:t>
      </w:r>
      <w:hyperlink r:id="rId8" w:history="1">
        <w:r w:rsidR="00556553" w:rsidRPr="00C332CB">
          <w:rPr>
            <w:rStyle w:val="Hyperlink"/>
            <w:rFonts w:ascii="Times New Roman" w:hAnsi="Times New Roman" w:cs="Times New Roman"/>
            <w:b/>
            <w:bCs/>
            <w:sz w:val="24"/>
            <w:szCs w:val="24"/>
            <w:highlight w:val="yellow"/>
          </w:rPr>
          <w:t>fig. 0.1</w:t>
        </w:r>
      </w:hyperlink>
      <w:r w:rsidR="00556553" w:rsidRPr="00C332CB">
        <w:rPr>
          <w:rFonts w:ascii="Times New Roman" w:hAnsi="Times New Roman" w:cs="Times New Roman"/>
          <w:sz w:val="24"/>
          <w:szCs w:val="24"/>
        </w:rPr>
        <w:t>).</w:t>
      </w:r>
      <w:r w:rsidR="0076565E" w:rsidRPr="00C332CB">
        <w:rPr>
          <w:rFonts w:ascii="Times New Roman" w:hAnsi="Times New Roman" w:cs="Times New Roman"/>
          <w:sz w:val="24"/>
          <w:szCs w:val="24"/>
        </w:rPr>
        <w:t xml:space="preserve"> </w:t>
      </w:r>
      <w:r w:rsidR="00E56FFF" w:rsidRPr="00C332CB">
        <w:rPr>
          <w:rFonts w:ascii="Times New Roman" w:hAnsi="Times New Roman" w:cs="Times New Roman"/>
          <w:sz w:val="24"/>
          <w:szCs w:val="24"/>
        </w:rPr>
        <w:t xml:space="preserve">The </w:t>
      </w:r>
      <w:r w:rsidR="00AA1850" w:rsidRPr="00C332CB">
        <w:rPr>
          <w:rFonts w:ascii="Times New Roman" w:hAnsi="Times New Roman" w:cs="Times New Roman"/>
          <w:sz w:val="24"/>
          <w:szCs w:val="24"/>
        </w:rPr>
        <w:t>s</w:t>
      </w:r>
      <w:r w:rsidR="00E56FFF" w:rsidRPr="00C332CB">
        <w:rPr>
          <w:rFonts w:ascii="Times New Roman" w:hAnsi="Times New Roman" w:cs="Times New Roman"/>
          <w:sz w:val="24"/>
          <w:szCs w:val="24"/>
        </w:rPr>
        <w:t xml:space="preserve">ymposium was planned with the </w:t>
      </w:r>
      <w:r w:rsidR="002C0E6F" w:rsidRPr="00C332CB">
        <w:rPr>
          <w:rFonts w:ascii="Times New Roman" w:hAnsi="Times New Roman" w:cs="Times New Roman"/>
          <w:sz w:val="24"/>
          <w:szCs w:val="24"/>
        </w:rPr>
        <w:t>1</w:t>
      </w:r>
      <w:r w:rsidR="00E56FFF" w:rsidRPr="00C332CB">
        <w:rPr>
          <w:rFonts w:ascii="Times New Roman" w:hAnsi="Times New Roman" w:cs="Times New Roman"/>
          <w:sz w:val="24"/>
          <w:szCs w:val="24"/>
        </w:rPr>
        <w:t>974 Greenwich Conference</w:t>
      </w:r>
      <w:r w:rsidR="00775961" w:rsidRPr="00C332CB">
        <w:rPr>
          <w:rFonts w:ascii="Times New Roman" w:hAnsi="Times New Roman" w:cs="Times New Roman"/>
          <w:sz w:val="24"/>
          <w:szCs w:val="24"/>
        </w:rPr>
        <w:t xml:space="preserve"> on Comparative Lining Techniques</w:t>
      </w:r>
      <w:r w:rsidR="00F84405" w:rsidRPr="00C332CB">
        <w:rPr>
          <w:rFonts w:ascii="Times New Roman" w:hAnsi="Times New Roman" w:cs="Times New Roman"/>
          <w:sz w:val="24"/>
          <w:szCs w:val="24"/>
        </w:rPr>
        <w:t>,</w:t>
      </w:r>
      <w:r w:rsidR="007610CB" w:rsidRPr="00C332CB">
        <w:rPr>
          <w:rStyle w:val="EndnoteReference"/>
          <w:rFonts w:ascii="Times New Roman" w:hAnsi="Times New Roman" w:cs="Times New Roman"/>
          <w:sz w:val="24"/>
          <w:szCs w:val="24"/>
        </w:rPr>
        <w:endnoteReference w:id="2"/>
      </w:r>
      <w:r w:rsidR="007610CB" w:rsidRPr="00C332CB">
        <w:rPr>
          <w:rFonts w:ascii="Times New Roman" w:hAnsi="Times New Roman" w:cs="Times New Roman"/>
          <w:sz w:val="24"/>
          <w:szCs w:val="24"/>
        </w:rPr>
        <w:t xml:space="preserve"> the last international conference to be held on this subject, very much in mind. In 1974, conservators from institutions and in private practice demonstrated a wide range of techniques, both innovative and traditional, and in doing so raised some fundamental questions that are still central to our thinking and decision-making process in planning structural treatments. In the forty-five years since, however, the options for lining and alternatives to lining have expanded. The new options are drawn from a variety of sources: advances in the materials industry, with the production of synthetic adhesives and textiles and the introduction of nanotechnology; new research into the mechanical behavior of laminate structures; and the resourcefulness of conservators who approach their work with innovation. Concerns at the forefront of the field in 2019 also included environmental sustainability and a heightened awareness of the benefits of a global perspective on painting conservation.</w:t>
      </w:r>
    </w:p>
    <w:p w14:paraId="37539702" w14:textId="4B33501A" w:rsidR="007610CB" w:rsidRPr="00C332CB" w:rsidRDefault="007610CB"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t xml:space="preserve">The timeliness of the Conserving Canvas initiative and the conference is clear. In the planning stages, it was thought the sessions would be held on Yale’s West Campus, where the conservation studios and Institute for Preservation of Cultural Heritage are located. High demand quickly dictated a move to the more spacious auditorium at the Yale Art Gallery, which filled to </w:t>
      </w:r>
      <w:r w:rsidRPr="00C332CB">
        <w:rPr>
          <w:rFonts w:ascii="Times New Roman" w:hAnsi="Times New Roman" w:cs="Times New Roman"/>
          <w:sz w:val="24"/>
          <w:szCs w:val="24"/>
        </w:rPr>
        <w:lastRenderedPageBreak/>
        <w:t>capacity. The auditorium was filled with over 370 attendees from more than twenty-five countries, likely the largest gathering of painting conservators ever convened (</w:t>
      </w:r>
      <w:hyperlink r:id="rId9" w:history="1">
        <w:r w:rsidRPr="00C332CB">
          <w:rPr>
            <w:rStyle w:val="Hyperlink"/>
            <w:rFonts w:ascii="Times New Roman" w:hAnsi="Times New Roman" w:cs="Times New Roman"/>
            <w:b/>
            <w:bCs/>
            <w:sz w:val="24"/>
            <w:szCs w:val="24"/>
            <w:highlight w:val="yellow"/>
          </w:rPr>
          <w:t>fig. 0.2</w:t>
        </w:r>
      </w:hyperlink>
      <w:r w:rsidRPr="00C332CB">
        <w:rPr>
          <w:rFonts w:ascii="Times New Roman" w:hAnsi="Times New Roman" w:cs="Times New Roman"/>
          <w:sz w:val="24"/>
          <w:szCs w:val="24"/>
        </w:rPr>
        <w:t>). This interest in the topic was also mirrored in the international response in papers presented by conservators who represented more than twenty countries.</w:t>
      </w:r>
    </w:p>
    <w:p w14:paraId="758A7F6B" w14:textId="0FB35E62" w:rsidR="007610CB" w:rsidRPr="00C332CB" w:rsidRDefault="007610CB"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t xml:space="preserve">The impact of the </w:t>
      </w:r>
      <w:proofErr w:type="spellStart"/>
      <w:r w:rsidRPr="00C332CB">
        <w:rPr>
          <w:rFonts w:ascii="Times New Roman" w:hAnsi="Times New Roman" w:cs="Times New Roman"/>
          <w:sz w:val="24"/>
          <w:szCs w:val="24"/>
        </w:rPr>
        <w:t>postprints</w:t>
      </w:r>
      <w:proofErr w:type="spellEnd"/>
      <w:r w:rsidRPr="00C332CB">
        <w:rPr>
          <w:rFonts w:ascii="Times New Roman" w:hAnsi="Times New Roman" w:cs="Times New Roman"/>
          <w:sz w:val="24"/>
          <w:szCs w:val="24"/>
        </w:rPr>
        <w:t xml:space="preserve"> of the 1974 conference was even greater than the conference itself, as they not only presented to a much wider audience the different approaches introduced there, but also questioned previously held assumptions. While the conference provided the opportunity for conservators to compare lining techniques, with a focus on practical workshops, the necessity of lining as a preservation measure was ultimately called into question. For many, the most perceptive and significant paper was the opening presentation by Westby Percival-Prescott, “The Lining Cycle,” in which he demonstrated how artists’ techniques of a certain period would affect the response of those paintings to particular lining practices at the time, usually evident many years later when those paintings were deemed to require lining.</w:t>
      </w:r>
      <w:r w:rsidRPr="00C332CB">
        <w:rPr>
          <w:rStyle w:val="EndnoteReference"/>
          <w:rFonts w:ascii="Times New Roman" w:hAnsi="Times New Roman" w:cs="Times New Roman"/>
          <w:sz w:val="24"/>
          <w:szCs w:val="24"/>
        </w:rPr>
        <w:endnoteReference w:id="3"/>
      </w:r>
      <w:r w:rsidRPr="00C332CB">
        <w:rPr>
          <w:rFonts w:ascii="Times New Roman" w:hAnsi="Times New Roman" w:cs="Times New Roman"/>
          <w:sz w:val="24"/>
          <w:szCs w:val="24"/>
        </w:rPr>
        <w:t xml:space="preserve"> </w:t>
      </w:r>
      <w:r w:rsidR="003A7F16" w:rsidRPr="00C332CB">
        <w:rPr>
          <w:rFonts w:ascii="Times New Roman" w:hAnsi="Times New Roman" w:cs="Times New Roman"/>
          <w:sz w:val="24"/>
          <w:szCs w:val="24"/>
        </w:rPr>
        <w:t>Percival-Prescott’s</w:t>
      </w:r>
      <w:r w:rsidRPr="00C332CB">
        <w:rPr>
          <w:rFonts w:ascii="Times New Roman" w:hAnsi="Times New Roman" w:cs="Times New Roman"/>
          <w:sz w:val="24"/>
          <w:szCs w:val="24"/>
        </w:rPr>
        <w:t xml:space="preserve"> paper, after reviewing different lining techniques, called for research into methods that might prevent the necessity of lining (see </w:t>
      </w:r>
      <w:hyperlink r:id="rId10" w:history="1">
        <w:r w:rsidRPr="00C332CB">
          <w:rPr>
            <w:rStyle w:val="Hyperlink"/>
            <w:rFonts w:ascii="Times New Roman" w:hAnsi="Times New Roman" w:cs="Times New Roman"/>
            <w:sz w:val="24"/>
            <w:szCs w:val="24"/>
          </w:rPr>
          <w:t>Stoner</w:t>
        </w:r>
      </w:hyperlink>
      <w:r w:rsidRPr="00C332CB">
        <w:rPr>
          <w:rFonts w:ascii="Times New Roman" w:hAnsi="Times New Roman" w:cs="Times New Roman"/>
          <w:sz w:val="24"/>
          <w:szCs w:val="24"/>
        </w:rPr>
        <w:t xml:space="preserve"> in this publication). In effect, a call for historical research and a minimalist approach were made.</w:t>
      </w:r>
    </w:p>
    <w:p w14:paraId="0F46D958" w14:textId="5F7A8A96" w:rsidR="002E4894" w:rsidRPr="00C332CB" w:rsidRDefault="007610CB"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t>With this context in mind, the call for papers for this symposium made in September 2018 announced, “The symposium will address historical approaches to and theories of the structural conservation of canvas paintings; current methods, materials and research, both practical and scientific; and the challenges facing the structural conservation of modern and contemporary works.”</w:t>
      </w:r>
      <w:r w:rsidR="003A7F16" w:rsidRPr="00C332CB">
        <w:rPr>
          <w:rFonts w:ascii="Times New Roman" w:hAnsi="Times New Roman" w:cs="Times New Roman"/>
          <w:sz w:val="24"/>
          <w:szCs w:val="24"/>
        </w:rPr>
        <w:t xml:space="preserve"> </w:t>
      </w:r>
      <w:r w:rsidRPr="00C332CB">
        <w:rPr>
          <w:rFonts w:ascii="Times New Roman" w:hAnsi="Times New Roman" w:cs="Times New Roman"/>
          <w:sz w:val="24"/>
          <w:szCs w:val="24"/>
        </w:rPr>
        <w:t>This reflected, in the view of the Advisory Committee,</w:t>
      </w:r>
      <w:r w:rsidRPr="00C332CB">
        <w:rPr>
          <w:rStyle w:val="EndnoteReference"/>
          <w:rFonts w:ascii="Times New Roman" w:hAnsi="Times New Roman" w:cs="Times New Roman"/>
          <w:sz w:val="24"/>
          <w:szCs w:val="24"/>
        </w:rPr>
        <w:endnoteReference w:id="4"/>
      </w:r>
      <w:r w:rsidRPr="00C332CB">
        <w:rPr>
          <w:rFonts w:ascii="Times New Roman" w:hAnsi="Times New Roman" w:cs="Times New Roman"/>
          <w:sz w:val="24"/>
          <w:szCs w:val="24"/>
        </w:rPr>
        <w:t xml:space="preserve"> </w:t>
      </w:r>
      <w:r w:rsidR="002E4894" w:rsidRPr="00C332CB">
        <w:rPr>
          <w:rFonts w:ascii="Times New Roman" w:hAnsi="Times New Roman" w:cs="Times New Roman"/>
          <w:sz w:val="24"/>
          <w:szCs w:val="24"/>
        </w:rPr>
        <w:t xml:space="preserve">developments </w:t>
      </w:r>
      <w:r w:rsidR="001844D0" w:rsidRPr="00C332CB">
        <w:rPr>
          <w:rFonts w:ascii="Times New Roman" w:hAnsi="Times New Roman" w:cs="Times New Roman"/>
          <w:sz w:val="24"/>
          <w:szCs w:val="24"/>
        </w:rPr>
        <w:t xml:space="preserve">and concerns in the structural treatment of works </w:t>
      </w:r>
      <w:r w:rsidR="00BD3AAD" w:rsidRPr="00C332CB">
        <w:rPr>
          <w:rFonts w:ascii="Times New Roman" w:hAnsi="Times New Roman" w:cs="Times New Roman"/>
          <w:sz w:val="24"/>
          <w:szCs w:val="24"/>
        </w:rPr>
        <w:t xml:space="preserve">on canvas </w:t>
      </w:r>
      <w:r w:rsidR="001844D0" w:rsidRPr="00C332CB">
        <w:rPr>
          <w:rFonts w:ascii="Times New Roman" w:hAnsi="Times New Roman" w:cs="Times New Roman"/>
          <w:sz w:val="24"/>
          <w:szCs w:val="24"/>
        </w:rPr>
        <w:t>today.</w:t>
      </w:r>
      <w:r w:rsidR="002E4894" w:rsidRPr="00C332CB">
        <w:rPr>
          <w:rFonts w:ascii="Times New Roman" w:hAnsi="Times New Roman" w:cs="Times New Roman"/>
          <w:sz w:val="24"/>
          <w:szCs w:val="24"/>
        </w:rPr>
        <w:t xml:space="preserve"> </w:t>
      </w:r>
      <w:r w:rsidR="006410CA" w:rsidRPr="00C332CB">
        <w:rPr>
          <w:rFonts w:ascii="Times New Roman" w:hAnsi="Times New Roman" w:cs="Times New Roman"/>
          <w:sz w:val="24"/>
          <w:szCs w:val="24"/>
        </w:rPr>
        <w:t>T</w:t>
      </w:r>
      <w:r w:rsidR="001844D0" w:rsidRPr="00C332CB">
        <w:rPr>
          <w:rFonts w:ascii="Times New Roman" w:hAnsi="Times New Roman" w:cs="Times New Roman"/>
          <w:sz w:val="24"/>
          <w:szCs w:val="24"/>
        </w:rPr>
        <w:t xml:space="preserve">he response to the call for papers </w:t>
      </w:r>
      <w:r w:rsidR="001844D0" w:rsidRPr="00C332CB">
        <w:rPr>
          <w:rFonts w:ascii="Times New Roman" w:hAnsi="Times New Roman" w:cs="Times New Roman"/>
          <w:sz w:val="24"/>
          <w:szCs w:val="24"/>
        </w:rPr>
        <w:lastRenderedPageBreak/>
        <w:t xml:space="preserve">was </w:t>
      </w:r>
      <w:r w:rsidR="006410CA" w:rsidRPr="00C332CB">
        <w:rPr>
          <w:rFonts w:ascii="Times New Roman" w:hAnsi="Times New Roman" w:cs="Times New Roman"/>
          <w:sz w:val="24"/>
          <w:szCs w:val="24"/>
        </w:rPr>
        <w:t xml:space="preserve">much </w:t>
      </w:r>
      <w:r w:rsidR="00340E4D" w:rsidRPr="00C332CB">
        <w:rPr>
          <w:rFonts w:ascii="Times New Roman" w:hAnsi="Times New Roman" w:cs="Times New Roman"/>
          <w:sz w:val="24"/>
          <w:szCs w:val="24"/>
        </w:rPr>
        <w:t>larger</w:t>
      </w:r>
      <w:r w:rsidR="006410CA" w:rsidRPr="00C332CB">
        <w:rPr>
          <w:rFonts w:ascii="Times New Roman" w:hAnsi="Times New Roman" w:cs="Times New Roman"/>
          <w:sz w:val="24"/>
          <w:szCs w:val="24"/>
        </w:rPr>
        <w:t xml:space="preserve"> than expected and the proposals submitted</w:t>
      </w:r>
      <w:r w:rsidR="00B2129B" w:rsidRPr="00C332CB">
        <w:rPr>
          <w:rFonts w:ascii="Times New Roman" w:hAnsi="Times New Roman" w:cs="Times New Roman"/>
          <w:sz w:val="24"/>
          <w:szCs w:val="24"/>
        </w:rPr>
        <w:t xml:space="preserve"> </w:t>
      </w:r>
      <w:r w:rsidR="006410CA" w:rsidRPr="00C332CB">
        <w:rPr>
          <w:rFonts w:ascii="Times New Roman" w:hAnsi="Times New Roman" w:cs="Times New Roman"/>
          <w:sz w:val="24"/>
          <w:szCs w:val="24"/>
        </w:rPr>
        <w:t xml:space="preserve">guided </w:t>
      </w:r>
      <w:r w:rsidR="00340E4D" w:rsidRPr="00C332CB">
        <w:rPr>
          <w:rFonts w:ascii="Times New Roman" w:hAnsi="Times New Roman" w:cs="Times New Roman"/>
          <w:sz w:val="24"/>
          <w:szCs w:val="24"/>
        </w:rPr>
        <w:t>t</w:t>
      </w:r>
      <w:r w:rsidR="00B2129B" w:rsidRPr="00C332CB">
        <w:rPr>
          <w:rFonts w:ascii="Times New Roman" w:hAnsi="Times New Roman" w:cs="Times New Roman"/>
          <w:sz w:val="24"/>
          <w:szCs w:val="24"/>
        </w:rPr>
        <w:t xml:space="preserve">he committee </w:t>
      </w:r>
      <w:r w:rsidR="006410CA" w:rsidRPr="00C332CB">
        <w:rPr>
          <w:rFonts w:ascii="Times New Roman" w:hAnsi="Times New Roman" w:cs="Times New Roman"/>
          <w:sz w:val="24"/>
          <w:szCs w:val="24"/>
        </w:rPr>
        <w:t xml:space="preserve">to choose </w:t>
      </w:r>
      <w:r w:rsidR="003A7F16" w:rsidRPr="00C332CB">
        <w:rPr>
          <w:rFonts w:ascii="Times New Roman" w:hAnsi="Times New Roman" w:cs="Times New Roman"/>
          <w:sz w:val="24"/>
          <w:szCs w:val="24"/>
        </w:rPr>
        <w:t xml:space="preserve">the </w:t>
      </w:r>
      <w:r w:rsidR="006410CA" w:rsidRPr="00C332CB">
        <w:rPr>
          <w:rFonts w:ascii="Times New Roman" w:hAnsi="Times New Roman" w:cs="Times New Roman"/>
          <w:sz w:val="24"/>
          <w:szCs w:val="24"/>
        </w:rPr>
        <w:t>sections</w:t>
      </w:r>
      <w:r w:rsidR="00B2129B" w:rsidRPr="00C332CB">
        <w:rPr>
          <w:rFonts w:ascii="Times New Roman" w:hAnsi="Times New Roman" w:cs="Times New Roman"/>
          <w:sz w:val="24"/>
          <w:szCs w:val="24"/>
        </w:rPr>
        <w:t xml:space="preserve"> </w:t>
      </w:r>
      <w:r w:rsidR="001844D0" w:rsidRPr="00C332CB">
        <w:rPr>
          <w:rFonts w:ascii="Times New Roman" w:hAnsi="Times New Roman" w:cs="Times New Roman"/>
          <w:sz w:val="24"/>
          <w:szCs w:val="24"/>
        </w:rPr>
        <w:t>laid</w:t>
      </w:r>
      <w:r w:rsidR="0015553D" w:rsidRPr="00C332CB">
        <w:rPr>
          <w:rFonts w:ascii="Times New Roman" w:hAnsi="Times New Roman" w:cs="Times New Roman"/>
          <w:sz w:val="24"/>
          <w:szCs w:val="24"/>
        </w:rPr>
        <w:t xml:space="preserve"> out</w:t>
      </w:r>
      <w:r w:rsidR="001844D0" w:rsidRPr="00C332CB">
        <w:rPr>
          <w:rFonts w:ascii="Times New Roman" w:hAnsi="Times New Roman" w:cs="Times New Roman"/>
          <w:sz w:val="24"/>
          <w:szCs w:val="24"/>
        </w:rPr>
        <w:t xml:space="preserve"> in these </w:t>
      </w:r>
      <w:proofErr w:type="spellStart"/>
      <w:r w:rsidR="006B3C23" w:rsidRPr="00C332CB">
        <w:rPr>
          <w:rFonts w:ascii="Times New Roman" w:hAnsi="Times New Roman" w:cs="Times New Roman"/>
          <w:sz w:val="24"/>
          <w:szCs w:val="24"/>
        </w:rPr>
        <w:t>postprints</w:t>
      </w:r>
      <w:proofErr w:type="spellEnd"/>
      <w:r w:rsidR="00D0629C" w:rsidRPr="00C332CB">
        <w:rPr>
          <w:rFonts w:ascii="Times New Roman" w:hAnsi="Times New Roman" w:cs="Times New Roman"/>
          <w:sz w:val="24"/>
          <w:szCs w:val="24"/>
        </w:rPr>
        <w:t>.</w:t>
      </w:r>
    </w:p>
    <w:p w14:paraId="5391F39D" w14:textId="03223277" w:rsidR="001844D0" w:rsidRPr="00C332CB" w:rsidRDefault="001844D0" w:rsidP="00C332CB">
      <w:pPr>
        <w:spacing w:after="0" w:line="480" w:lineRule="auto"/>
        <w:ind w:firstLine="720"/>
        <w:rPr>
          <w:rFonts w:ascii="Times New Roman" w:hAnsi="Times New Roman" w:cs="Times New Roman"/>
          <w:sz w:val="24"/>
          <w:szCs w:val="24"/>
        </w:rPr>
      </w:pPr>
      <w:r w:rsidRPr="00C332CB">
        <w:rPr>
          <w:rFonts w:ascii="Times New Roman" w:hAnsi="Times New Roman" w:cs="Times New Roman"/>
          <w:sz w:val="24"/>
          <w:szCs w:val="24"/>
        </w:rPr>
        <w:t xml:space="preserve">While </w:t>
      </w:r>
      <w:r w:rsidR="00FF4083" w:rsidRPr="00C332CB">
        <w:rPr>
          <w:rFonts w:ascii="Times New Roman" w:hAnsi="Times New Roman" w:cs="Times New Roman"/>
          <w:sz w:val="24"/>
          <w:szCs w:val="24"/>
        </w:rPr>
        <w:t>Percival-</w:t>
      </w:r>
      <w:r w:rsidRPr="00C332CB">
        <w:rPr>
          <w:rFonts w:ascii="Times New Roman" w:hAnsi="Times New Roman" w:cs="Times New Roman"/>
          <w:sz w:val="24"/>
          <w:szCs w:val="24"/>
        </w:rPr>
        <w:t>Prescott’s paper was unique in providing an historical review</w:t>
      </w:r>
      <w:r w:rsidR="00BD3AAD" w:rsidRPr="00C332CB">
        <w:rPr>
          <w:rFonts w:ascii="Times New Roman" w:hAnsi="Times New Roman" w:cs="Times New Roman"/>
          <w:sz w:val="24"/>
          <w:szCs w:val="24"/>
        </w:rPr>
        <w:t xml:space="preserve"> in 1974</w:t>
      </w:r>
      <w:r w:rsidRPr="00C332CB">
        <w:rPr>
          <w:rFonts w:ascii="Times New Roman" w:hAnsi="Times New Roman" w:cs="Times New Roman"/>
          <w:sz w:val="24"/>
          <w:szCs w:val="24"/>
        </w:rPr>
        <w:t xml:space="preserve">, </w:t>
      </w:r>
      <w:r w:rsidR="00975848" w:rsidRPr="00C332CB">
        <w:rPr>
          <w:rFonts w:ascii="Times New Roman" w:hAnsi="Times New Roman" w:cs="Times New Roman"/>
          <w:sz w:val="24"/>
          <w:szCs w:val="24"/>
        </w:rPr>
        <w:t xml:space="preserve">in </w:t>
      </w:r>
      <w:r w:rsidRPr="00C332CB">
        <w:rPr>
          <w:rFonts w:ascii="Times New Roman" w:hAnsi="Times New Roman" w:cs="Times New Roman"/>
          <w:sz w:val="24"/>
          <w:szCs w:val="24"/>
        </w:rPr>
        <w:t>th</w:t>
      </w:r>
      <w:r w:rsidR="00BD3AAD" w:rsidRPr="00C332CB">
        <w:rPr>
          <w:rFonts w:ascii="Times New Roman" w:hAnsi="Times New Roman" w:cs="Times New Roman"/>
          <w:sz w:val="24"/>
          <w:szCs w:val="24"/>
        </w:rPr>
        <w:t>e</w:t>
      </w:r>
      <w:r w:rsidRPr="00C332CB">
        <w:rPr>
          <w:rFonts w:ascii="Times New Roman" w:hAnsi="Times New Roman" w:cs="Times New Roman"/>
          <w:sz w:val="24"/>
          <w:szCs w:val="24"/>
        </w:rPr>
        <w:t xml:space="preserve"> </w:t>
      </w:r>
      <w:r w:rsidR="00BD3AAD" w:rsidRPr="00C332CB">
        <w:rPr>
          <w:rFonts w:ascii="Times New Roman" w:hAnsi="Times New Roman" w:cs="Times New Roman"/>
          <w:sz w:val="24"/>
          <w:szCs w:val="24"/>
        </w:rPr>
        <w:t xml:space="preserve">2019 </w:t>
      </w:r>
      <w:r w:rsidR="00FF4083" w:rsidRPr="00C332CB">
        <w:rPr>
          <w:rFonts w:ascii="Times New Roman" w:hAnsi="Times New Roman" w:cs="Times New Roman"/>
          <w:sz w:val="24"/>
          <w:szCs w:val="24"/>
        </w:rPr>
        <w:t>s</w:t>
      </w:r>
      <w:r w:rsidRPr="00C332CB">
        <w:rPr>
          <w:rFonts w:ascii="Times New Roman" w:hAnsi="Times New Roman" w:cs="Times New Roman"/>
          <w:sz w:val="24"/>
          <w:szCs w:val="24"/>
        </w:rPr>
        <w:t xml:space="preserve">ymposium historical research played a very significant role. </w:t>
      </w:r>
      <w:r w:rsidR="004439E1" w:rsidRPr="00C332CB">
        <w:rPr>
          <w:rFonts w:ascii="Times New Roman" w:hAnsi="Times New Roman" w:cs="Times New Roman"/>
          <w:sz w:val="24"/>
          <w:szCs w:val="24"/>
        </w:rPr>
        <w:t>The recent research into contemporary d</w:t>
      </w:r>
      <w:r w:rsidRPr="00C332CB">
        <w:rPr>
          <w:rFonts w:ascii="Times New Roman" w:hAnsi="Times New Roman" w:cs="Times New Roman"/>
          <w:sz w:val="24"/>
          <w:szCs w:val="24"/>
        </w:rPr>
        <w:t>ocumentary sources</w:t>
      </w:r>
      <w:r w:rsidR="00C30DF9" w:rsidRPr="00C332CB">
        <w:rPr>
          <w:rFonts w:ascii="Times New Roman" w:hAnsi="Times New Roman" w:cs="Times New Roman"/>
          <w:sz w:val="24"/>
          <w:szCs w:val="24"/>
        </w:rPr>
        <w:t xml:space="preserve">, </w:t>
      </w:r>
      <w:r w:rsidR="00750305" w:rsidRPr="00C332CB">
        <w:rPr>
          <w:rFonts w:ascii="Times New Roman" w:hAnsi="Times New Roman" w:cs="Times New Roman"/>
          <w:sz w:val="24"/>
          <w:szCs w:val="24"/>
        </w:rPr>
        <w:t>discussed</w:t>
      </w:r>
      <w:r w:rsidR="00C30DF9" w:rsidRPr="00C332CB">
        <w:rPr>
          <w:rFonts w:ascii="Times New Roman" w:hAnsi="Times New Roman" w:cs="Times New Roman"/>
          <w:sz w:val="24"/>
          <w:szCs w:val="24"/>
        </w:rPr>
        <w:t xml:space="preserve"> in contributions by </w:t>
      </w:r>
      <w:hyperlink r:id="rId11" w:history="1">
        <w:r w:rsidR="00C30DF9" w:rsidRPr="00C332CB">
          <w:rPr>
            <w:rStyle w:val="Hyperlink"/>
            <w:rFonts w:ascii="Times New Roman" w:hAnsi="Times New Roman" w:cs="Times New Roman"/>
            <w:sz w:val="24"/>
            <w:szCs w:val="24"/>
          </w:rPr>
          <w:t xml:space="preserve">Angela </w:t>
        </w:r>
        <w:proofErr w:type="spellStart"/>
        <w:r w:rsidR="00C30DF9" w:rsidRPr="00C332CB">
          <w:rPr>
            <w:rStyle w:val="Hyperlink"/>
            <w:rFonts w:ascii="Times New Roman" w:hAnsi="Times New Roman" w:cs="Times New Roman"/>
            <w:sz w:val="24"/>
            <w:szCs w:val="24"/>
          </w:rPr>
          <w:t>Cerasuolo</w:t>
        </w:r>
        <w:proofErr w:type="spellEnd"/>
      </w:hyperlink>
      <w:r w:rsidR="00C30DF9" w:rsidRPr="00C332CB">
        <w:rPr>
          <w:rFonts w:ascii="Times New Roman" w:hAnsi="Times New Roman" w:cs="Times New Roman"/>
          <w:sz w:val="24"/>
          <w:szCs w:val="24"/>
        </w:rPr>
        <w:t xml:space="preserve">, </w:t>
      </w:r>
      <w:hyperlink r:id="rId12" w:history="1">
        <w:r w:rsidR="00C30DF9" w:rsidRPr="00C332CB">
          <w:rPr>
            <w:rStyle w:val="Hyperlink"/>
            <w:rFonts w:ascii="Times New Roman" w:hAnsi="Times New Roman" w:cs="Times New Roman"/>
            <w:sz w:val="24"/>
            <w:szCs w:val="24"/>
          </w:rPr>
          <w:t>Matteo Rossi</w:t>
        </w:r>
        <w:r w:rsidR="00750305" w:rsidRPr="00C332CB">
          <w:rPr>
            <w:rStyle w:val="Hyperlink"/>
            <w:rFonts w:ascii="Times New Roman" w:hAnsi="Times New Roman" w:cs="Times New Roman"/>
            <w:sz w:val="24"/>
            <w:szCs w:val="24"/>
          </w:rPr>
          <w:t>-</w:t>
        </w:r>
        <w:proofErr w:type="spellStart"/>
        <w:r w:rsidR="00C30DF9" w:rsidRPr="00C332CB">
          <w:rPr>
            <w:rStyle w:val="Hyperlink"/>
            <w:rFonts w:ascii="Times New Roman" w:hAnsi="Times New Roman" w:cs="Times New Roman"/>
            <w:sz w:val="24"/>
            <w:szCs w:val="24"/>
          </w:rPr>
          <w:t>Doria</w:t>
        </w:r>
        <w:proofErr w:type="spellEnd"/>
      </w:hyperlink>
      <w:r w:rsidR="00C30DF9" w:rsidRPr="00C332CB">
        <w:rPr>
          <w:rFonts w:ascii="Times New Roman" w:hAnsi="Times New Roman" w:cs="Times New Roman"/>
          <w:sz w:val="24"/>
          <w:szCs w:val="24"/>
        </w:rPr>
        <w:t xml:space="preserve">, and </w:t>
      </w:r>
      <w:hyperlink r:id="rId13" w:history="1">
        <w:r w:rsidR="00C30DF9" w:rsidRPr="00C332CB">
          <w:rPr>
            <w:rStyle w:val="Hyperlink"/>
            <w:rFonts w:ascii="Times New Roman" w:hAnsi="Times New Roman" w:cs="Times New Roman"/>
            <w:sz w:val="24"/>
            <w:szCs w:val="24"/>
          </w:rPr>
          <w:t>Ana Calvo et al.</w:t>
        </w:r>
      </w:hyperlink>
      <w:r w:rsidR="00750305" w:rsidRPr="00C332CB">
        <w:rPr>
          <w:rFonts w:ascii="Times New Roman" w:hAnsi="Times New Roman" w:cs="Times New Roman"/>
          <w:sz w:val="24"/>
          <w:szCs w:val="24"/>
        </w:rPr>
        <w:t>,</w:t>
      </w:r>
      <w:r w:rsidR="00C30DF9" w:rsidRPr="00C332CB">
        <w:rPr>
          <w:rFonts w:ascii="Times New Roman" w:hAnsi="Times New Roman" w:cs="Times New Roman"/>
          <w:sz w:val="24"/>
          <w:szCs w:val="24"/>
        </w:rPr>
        <w:t xml:space="preserve"> </w:t>
      </w:r>
      <w:r w:rsidRPr="00C332CB">
        <w:rPr>
          <w:rFonts w:ascii="Times New Roman" w:hAnsi="Times New Roman" w:cs="Times New Roman"/>
          <w:sz w:val="24"/>
          <w:szCs w:val="24"/>
        </w:rPr>
        <w:t xml:space="preserve">attest to considered practices dating back to the </w:t>
      </w:r>
      <w:r w:rsidR="002A217C" w:rsidRPr="00C332CB">
        <w:rPr>
          <w:rFonts w:ascii="Times New Roman" w:hAnsi="Times New Roman" w:cs="Times New Roman"/>
          <w:sz w:val="24"/>
          <w:szCs w:val="24"/>
        </w:rPr>
        <w:t xml:space="preserve">eighteenth </w:t>
      </w:r>
      <w:r w:rsidRPr="00C332CB">
        <w:rPr>
          <w:rFonts w:ascii="Times New Roman" w:hAnsi="Times New Roman" w:cs="Times New Roman"/>
          <w:sz w:val="24"/>
          <w:szCs w:val="24"/>
        </w:rPr>
        <w:t>century and befor</w:t>
      </w:r>
      <w:r w:rsidR="00C30DF9" w:rsidRPr="00C332CB">
        <w:rPr>
          <w:rFonts w:ascii="Times New Roman" w:hAnsi="Times New Roman" w:cs="Times New Roman"/>
          <w:sz w:val="24"/>
          <w:szCs w:val="24"/>
        </w:rPr>
        <w:t>e. I</w:t>
      </w:r>
      <w:r w:rsidRPr="00C332CB">
        <w:rPr>
          <w:rFonts w:ascii="Times New Roman" w:hAnsi="Times New Roman" w:cs="Times New Roman"/>
          <w:sz w:val="24"/>
          <w:szCs w:val="24"/>
        </w:rPr>
        <w:t xml:space="preserve">n many cases written sources can be linked to surviving treatments, often </w:t>
      </w:r>
      <w:r w:rsidR="004439E1" w:rsidRPr="00C332CB">
        <w:rPr>
          <w:rFonts w:ascii="Times New Roman" w:hAnsi="Times New Roman" w:cs="Times New Roman"/>
          <w:sz w:val="24"/>
          <w:szCs w:val="24"/>
        </w:rPr>
        <w:t>demonstrating</w:t>
      </w:r>
      <w:r w:rsidRPr="00C332CB">
        <w:rPr>
          <w:rFonts w:ascii="Times New Roman" w:hAnsi="Times New Roman" w:cs="Times New Roman"/>
          <w:sz w:val="24"/>
          <w:szCs w:val="24"/>
        </w:rPr>
        <w:t xml:space="preserve"> the unexpected longevity of linings carried out with natural materials. A strong case is made for the use of natural materials</w:t>
      </w:r>
      <w:r w:rsidR="00254365" w:rsidRPr="00C332CB">
        <w:rPr>
          <w:rFonts w:ascii="Times New Roman" w:hAnsi="Times New Roman" w:cs="Times New Roman"/>
          <w:sz w:val="24"/>
          <w:szCs w:val="24"/>
        </w:rPr>
        <w:t>—</w:t>
      </w:r>
      <w:r w:rsidR="003A7F16" w:rsidRPr="00C332CB">
        <w:rPr>
          <w:rFonts w:ascii="Times New Roman" w:hAnsi="Times New Roman" w:cs="Times New Roman"/>
          <w:sz w:val="24"/>
          <w:szCs w:val="24"/>
        </w:rPr>
        <w:t xml:space="preserve">both </w:t>
      </w:r>
      <w:r w:rsidRPr="00C332CB">
        <w:rPr>
          <w:rFonts w:ascii="Times New Roman" w:hAnsi="Times New Roman" w:cs="Times New Roman"/>
          <w:sz w:val="24"/>
          <w:szCs w:val="24"/>
        </w:rPr>
        <w:t>for their low toxicity</w:t>
      </w:r>
      <w:r w:rsidR="003A7F16" w:rsidRPr="00C332CB">
        <w:rPr>
          <w:rFonts w:ascii="Times New Roman" w:hAnsi="Times New Roman" w:cs="Times New Roman"/>
          <w:sz w:val="24"/>
          <w:szCs w:val="24"/>
        </w:rPr>
        <w:t xml:space="preserve"> and </w:t>
      </w:r>
      <w:r w:rsidR="00254365" w:rsidRPr="00C332CB">
        <w:rPr>
          <w:rFonts w:ascii="Times New Roman" w:hAnsi="Times New Roman" w:cs="Times New Roman"/>
          <w:sz w:val="24"/>
          <w:szCs w:val="24"/>
        </w:rPr>
        <w:t>their</w:t>
      </w:r>
      <w:r w:rsidRPr="00C332CB">
        <w:rPr>
          <w:rFonts w:ascii="Times New Roman" w:hAnsi="Times New Roman" w:cs="Times New Roman"/>
          <w:sz w:val="24"/>
          <w:szCs w:val="24"/>
        </w:rPr>
        <w:t xml:space="preserve"> performance over time. </w:t>
      </w:r>
      <w:r w:rsidR="00D0629C" w:rsidRPr="00C332CB">
        <w:rPr>
          <w:rFonts w:ascii="Times New Roman" w:hAnsi="Times New Roman" w:cs="Times New Roman"/>
          <w:sz w:val="24"/>
          <w:szCs w:val="24"/>
        </w:rPr>
        <w:t>On the other hand, assumptions about the stabilizing hy</w:t>
      </w:r>
      <w:r w:rsidR="0031545A" w:rsidRPr="00C332CB">
        <w:rPr>
          <w:rFonts w:ascii="Times New Roman" w:hAnsi="Times New Roman" w:cs="Times New Roman"/>
          <w:sz w:val="24"/>
          <w:szCs w:val="24"/>
        </w:rPr>
        <w:t>d</w:t>
      </w:r>
      <w:r w:rsidR="00D0629C" w:rsidRPr="00C332CB">
        <w:rPr>
          <w:rFonts w:ascii="Times New Roman" w:hAnsi="Times New Roman" w:cs="Times New Roman"/>
          <w:sz w:val="24"/>
          <w:szCs w:val="24"/>
        </w:rPr>
        <w:t>rophobic attributes of wax-resin treatments w</w:t>
      </w:r>
      <w:r w:rsidR="00D5459C" w:rsidRPr="00C332CB">
        <w:rPr>
          <w:rFonts w:ascii="Times New Roman" w:hAnsi="Times New Roman" w:cs="Times New Roman"/>
          <w:sz w:val="24"/>
          <w:szCs w:val="24"/>
        </w:rPr>
        <w:t>ere</w:t>
      </w:r>
      <w:r w:rsidR="00D0629C" w:rsidRPr="00C332CB">
        <w:rPr>
          <w:rFonts w:ascii="Times New Roman" w:hAnsi="Times New Roman" w:cs="Times New Roman"/>
          <w:sz w:val="24"/>
          <w:szCs w:val="24"/>
        </w:rPr>
        <w:t xml:space="preserve"> called into question by new research</w:t>
      </w:r>
      <w:r w:rsidR="00C30DF9" w:rsidRPr="00C332CB">
        <w:rPr>
          <w:rFonts w:ascii="Times New Roman" w:hAnsi="Times New Roman" w:cs="Times New Roman"/>
          <w:sz w:val="24"/>
          <w:szCs w:val="24"/>
        </w:rPr>
        <w:t xml:space="preserve">, </w:t>
      </w:r>
      <w:r w:rsidR="00750305" w:rsidRPr="00C332CB">
        <w:rPr>
          <w:rFonts w:ascii="Times New Roman" w:hAnsi="Times New Roman" w:cs="Times New Roman"/>
          <w:sz w:val="24"/>
          <w:szCs w:val="24"/>
        </w:rPr>
        <w:t xml:space="preserve">as can be seen, </w:t>
      </w:r>
      <w:r w:rsidR="00C30DF9" w:rsidRPr="00C332CB">
        <w:rPr>
          <w:rFonts w:ascii="Times New Roman" w:hAnsi="Times New Roman" w:cs="Times New Roman"/>
          <w:sz w:val="24"/>
          <w:szCs w:val="24"/>
        </w:rPr>
        <w:t>for example</w:t>
      </w:r>
      <w:r w:rsidR="00750305" w:rsidRPr="00C332CB">
        <w:rPr>
          <w:rFonts w:ascii="Times New Roman" w:hAnsi="Times New Roman" w:cs="Times New Roman"/>
          <w:sz w:val="24"/>
          <w:szCs w:val="24"/>
        </w:rPr>
        <w:t>, in the work</w:t>
      </w:r>
      <w:r w:rsidR="00C30DF9" w:rsidRPr="00C332CB">
        <w:rPr>
          <w:rFonts w:ascii="Times New Roman" w:hAnsi="Times New Roman" w:cs="Times New Roman"/>
          <w:sz w:val="24"/>
          <w:szCs w:val="24"/>
        </w:rPr>
        <w:t xml:space="preserve"> by </w:t>
      </w:r>
      <w:hyperlink r:id="rId14" w:history="1">
        <w:r w:rsidR="00C30DF9" w:rsidRPr="00C332CB">
          <w:rPr>
            <w:rStyle w:val="Hyperlink"/>
            <w:rFonts w:ascii="Times New Roman" w:hAnsi="Times New Roman" w:cs="Times New Roman"/>
            <w:sz w:val="24"/>
            <w:szCs w:val="24"/>
          </w:rPr>
          <w:t xml:space="preserve">Emilie </w:t>
        </w:r>
        <w:proofErr w:type="spellStart"/>
        <w:r w:rsidR="00C30DF9" w:rsidRPr="00C332CB">
          <w:rPr>
            <w:rStyle w:val="Hyperlink"/>
            <w:rFonts w:ascii="Times New Roman" w:hAnsi="Times New Roman" w:cs="Times New Roman"/>
            <w:sz w:val="24"/>
            <w:szCs w:val="24"/>
          </w:rPr>
          <w:t>Froment</w:t>
        </w:r>
        <w:proofErr w:type="spellEnd"/>
      </w:hyperlink>
      <w:r w:rsidR="00D0629C" w:rsidRPr="00C332CB">
        <w:rPr>
          <w:rFonts w:ascii="Times New Roman" w:hAnsi="Times New Roman" w:cs="Times New Roman"/>
          <w:sz w:val="24"/>
          <w:szCs w:val="24"/>
        </w:rPr>
        <w:t xml:space="preserve">. </w:t>
      </w:r>
      <w:r w:rsidRPr="00C332CB">
        <w:rPr>
          <w:rFonts w:ascii="Times New Roman" w:hAnsi="Times New Roman" w:cs="Times New Roman"/>
          <w:sz w:val="24"/>
          <w:szCs w:val="24"/>
        </w:rPr>
        <w:t>A divide on seeking flexibility</w:t>
      </w:r>
      <w:r w:rsidR="00C30DF9" w:rsidRPr="00C332CB">
        <w:rPr>
          <w:rFonts w:ascii="Times New Roman" w:hAnsi="Times New Roman" w:cs="Times New Roman"/>
          <w:sz w:val="24"/>
          <w:szCs w:val="24"/>
        </w:rPr>
        <w:t xml:space="preserve"> </w:t>
      </w:r>
      <w:r w:rsidR="005D1C23" w:rsidRPr="00C332CB">
        <w:rPr>
          <w:rFonts w:ascii="Times New Roman" w:hAnsi="Times New Roman" w:cs="Times New Roman"/>
          <w:sz w:val="24"/>
          <w:szCs w:val="24"/>
        </w:rPr>
        <w:t>(</w:t>
      </w:r>
      <w:r w:rsidR="00C30DF9" w:rsidRPr="00C332CB">
        <w:rPr>
          <w:rFonts w:ascii="Times New Roman" w:hAnsi="Times New Roman" w:cs="Times New Roman"/>
          <w:sz w:val="24"/>
          <w:szCs w:val="24"/>
        </w:rPr>
        <w:t>as in mist lining</w:t>
      </w:r>
      <w:r w:rsidR="005D1C23" w:rsidRPr="00C332CB">
        <w:rPr>
          <w:rFonts w:ascii="Times New Roman" w:hAnsi="Times New Roman" w:cs="Times New Roman"/>
          <w:sz w:val="24"/>
          <w:szCs w:val="24"/>
        </w:rPr>
        <w:t>)</w:t>
      </w:r>
      <w:r w:rsidRPr="00C332CB">
        <w:rPr>
          <w:rFonts w:ascii="Times New Roman" w:hAnsi="Times New Roman" w:cs="Times New Roman"/>
          <w:sz w:val="24"/>
          <w:szCs w:val="24"/>
        </w:rPr>
        <w:t xml:space="preserve"> or rigidity</w:t>
      </w:r>
      <w:r w:rsidR="00C30DF9" w:rsidRPr="00C332CB">
        <w:rPr>
          <w:rFonts w:ascii="Times New Roman" w:hAnsi="Times New Roman" w:cs="Times New Roman"/>
          <w:sz w:val="24"/>
          <w:szCs w:val="24"/>
        </w:rPr>
        <w:t xml:space="preserve"> </w:t>
      </w:r>
      <w:r w:rsidR="005D1C23" w:rsidRPr="00C332CB">
        <w:rPr>
          <w:rFonts w:ascii="Times New Roman" w:hAnsi="Times New Roman" w:cs="Times New Roman"/>
          <w:sz w:val="24"/>
          <w:szCs w:val="24"/>
        </w:rPr>
        <w:t>(</w:t>
      </w:r>
      <w:r w:rsidR="00750305" w:rsidRPr="00C332CB">
        <w:rPr>
          <w:rFonts w:ascii="Times New Roman" w:hAnsi="Times New Roman" w:cs="Times New Roman"/>
          <w:sz w:val="24"/>
          <w:szCs w:val="24"/>
        </w:rPr>
        <w:t xml:space="preserve">as </w:t>
      </w:r>
      <w:r w:rsidR="00C30DF9" w:rsidRPr="00C332CB">
        <w:rPr>
          <w:rFonts w:ascii="Times New Roman" w:hAnsi="Times New Roman" w:cs="Times New Roman"/>
          <w:sz w:val="24"/>
          <w:szCs w:val="24"/>
        </w:rPr>
        <w:t>demonstrated in</w:t>
      </w:r>
      <w:r w:rsidR="00556553" w:rsidRPr="00C332CB">
        <w:rPr>
          <w:rFonts w:ascii="Times New Roman" w:hAnsi="Times New Roman" w:cs="Times New Roman"/>
          <w:sz w:val="24"/>
          <w:szCs w:val="24"/>
        </w:rPr>
        <w:t xml:space="preserve"> </w:t>
      </w:r>
      <w:hyperlink r:id="rId15" w:history="1">
        <w:r w:rsidR="00556553" w:rsidRPr="00C332CB">
          <w:rPr>
            <w:rStyle w:val="Hyperlink"/>
            <w:rFonts w:ascii="Times New Roman" w:hAnsi="Times New Roman" w:cs="Times New Roman"/>
            <w:sz w:val="24"/>
            <w:szCs w:val="24"/>
          </w:rPr>
          <w:t xml:space="preserve">Lynne Harrison’s </w:t>
        </w:r>
        <w:r w:rsidR="003A7F16" w:rsidRPr="00C332CB">
          <w:rPr>
            <w:rStyle w:val="Hyperlink"/>
            <w:rFonts w:ascii="Times New Roman" w:hAnsi="Times New Roman" w:cs="Times New Roman"/>
            <w:sz w:val="24"/>
            <w:szCs w:val="24"/>
          </w:rPr>
          <w:t>paper</w:t>
        </w:r>
      </w:hyperlink>
      <w:r w:rsidR="00556553" w:rsidRPr="00C332CB">
        <w:rPr>
          <w:rFonts w:ascii="Times New Roman" w:hAnsi="Times New Roman" w:cs="Times New Roman"/>
          <w:sz w:val="24"/>
          <w:szCs w:val="24"/>
        </w:rPr>
        <w:t>)</w:t>
      </w:r>
      <w:r w:rsidR="00C30DF9" w:rsidRPr="00C332CB">
        <w:rPr>
          <w:rFonts w:ascii="Times New Roman" w:hAnsi="Times New Roman" w:cs="Times New Roman"/>
          <w:sz w:val="24"/>
          <w:szCs w:val="24"/>
        </w:rPr>
        <w:t xml:space="preserve"> </w:t>
      </w:r>
      <w:r w:rsidRPr="00C332CB">
        <w:rPr>
          <w:rFonts w:ascii="Times New Roman" w:hAnsi="Times New Roman" w:cs="Times New Roman"/>
          <w:sz w:val="24"/>
          <w:szCs w:val="24"/>
        </w:rPr>
        <w:t>in a lining or lining system emerged, which also represented the trends of research on lining procedures</w:t>
      </w:r>
      <w:r w:rsidR="0031545A" w:rsidRPr="00C332CB">
        <w:rPr>
          <w:rFonts w:ascii="Times New Roman" w:hAnsi="Times New Roman" w:cs="Times New Roman"/>
          <w:sz w:val="24"/>
          <w:szCs w:val="24"/>
        </w:rPr>
        <w:t>,</w:t>
      </w:r>
      <w:r w:rsidRPr="00C332CB">
        <w:rPr>
          <w:rFonts w:ascii="Times New Roman" w:hAnsi="Times New Roman" w:cs="Times New Roman"/>
          <w:sz w:val="24"/>
          <w:szCs w:val="24"/>
        </w:rPr>
        <w:t xml:space="preserve"> and the mechanical behavior of the composite structure of paintings since the Greenwich Lining Conference.</w:t>
      </w:r>
      <w:r w:rsidR="00D0629C" w:rsidRPr="00C332CB">
        <w:rPr>
          <w:rFonts w:ascii="Times New Roman" w:hAnsi="Times New Roman" w:cs="Times New Roman"/>
          <w:sz w:val="24"/>
          <w:szCs w:val="24"/>
        </w:rPr>
        <w:t xml:space="preserve"> The fact that many of the practical and philosophical divides in structural practices </w:t>
      </w:r>
      <w:r w:rsidR="0031545A" w:rsidRPr="00C332CB">
        <w:rPr>
          <w:rFonts w:ascii="Times New Roman" w:hAnsi="Times New Roman" w:cs="Times New Roman"/>
          <w:sz w:val="24"/>
          <w:szCs w:val="24"/>
        </w:rPr>
        <w:t xml:space="preserve">still fall </w:t>
      </w:r>
      <w:r w:rsidR="006A7058" w:rsidRPr="00C332CB">
        <w:rPr>
          <w:rFonts w:ascii="Times New Roman" w:hAnsi="Times New Roman" w:cs="Times New Roman"/>
          <w:sz w:val="24"/>
          <w:szCs w:val="24"/>
        </w:rPr>
        <w:t>along geographic lines speaks to the sustained</w:t>
      </w:r>
      <w:r w:rsidR="00E9565A" w:rsidRPr="00C332CB">
        <w:rPr>
          <w:rFonts w:ascii="Times New Roman" w:hAnsi="Times New Roman" w:cs="Times New Roman"/>
          <w:sz w:val="24"/>
          <w:szCs w:val="24"/>
        </w:rPr>
        <w:t>,</w:t>
      </w:r>
      <w:r w:rsidR="006A7058" w:rsidRPr="00C332CB">
        <w:rPr>
          <w:rFonts w:ascii="Times New Roman" w:hAnsi="Times New Roman" w:cs="Times New Roman"/>
          <w:sz w:val="24"/>
          <w:szCs w:val="24"/>
        </w:rPr>
        <w:t xml:space="preserve"> deep roots in historic treatment practices.</w:t>
      </w:r>
    </w:p>
    <w:p w14:paraId="213BAB19" w14:textId="582689B2" w:rsidR="001844D0" w:rsidRPr="00C332CB" w:rsidRDefault="00FA6A83"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r>
      <w:r w:rsidR="00DE0F95" w:rsidRPr="00C332CB">
        <w:rPr>
          <w:rFonts w:ascii="Times New Roman" w:hAnsi="Times New Roman" w:cs="Times New Roman"/>
          <w:sz w:val="24"/>
          <w:szCs w:val="24"/>
        </w:rPr>
        <w:t xml:space="preserve">Another theme that emerged at the conference </w:t>
      </w:r>
      <w:r w:rsidR="001844D0" w:rsidRPr="00C332CB">
        <w:rPr>
          <w:rFonts w:ascii="Times New Roman" w:hAnsi="Times New Roman" w:cs="Times New Roman"/>
          <w:sz w:val="24"/>
          <w:szCs w:val="24"/>
        </w:rPr>
        <w:t>was an emphasis on the history and treatment of collections as a whole</w:t>
      </w:r>
      <w:r w:rsidR="0031545A"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w:t>
      </w:r>
      <w:r w:rsidR="00D4185C" w:rsidRPr="00C332CB">
        <w:rPr>
          <w:rFonts w:ascii="Times New Roman" w:hAnsi="Times New Roman" w:cs="Times New Roman"/>
          <w:sz w:val="24"/>
          <w:szCs w:val="24"/>
        </w:rPr>
        <w:t xml:space="preserve">as </w:t>
      </w:r>
      <w:r w:rsidR="001844D0" w:rsidRPr="00C332CB">
        <w:rPr>
          <w:rFonts w:ascii="Times New Roman" w:hAnsi="Times New Roman" w:cs="Times New Roman"/>
          <w:sz w:val="24"/>
          <w:szCs w:val="24"/>
        </w:rPr>
        <w:t>well as forward</w:t>
      </w:r>
      <w:r w:rsidR="0031545A" w:rsidRPr="00C332CB">
        <w:rPr>
          <w:rFonts w:ascii="Times New Roman" w:hAnsi="Times New Roman" w:cs="Times New Roman"/>
          <w:sz w:val="24"/>
          <w:szCs w:val="24"/>
        </w:rPr>
        <w:t>-</w:t>
      </w:r>
      <w:r w:rsidR="001844D0" w:rsidRPr="00C332CB">
        <w:rPr>
          <w:rFonts w:ascii="Times New Roman" w:hAnsi="Times New Roman" w:cs="Times New Roman"/>
          <w:sz w:val="24"/>
          <w:szCs w:val="24"/>
        </w:rPr>
        <w:t>looking preventive care of collections. Here</w:t>
      </w:r>
      <w:r w:rsidR="00D0629C"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too</w:t>
      </w:r>
      <w:r w:rsidR="00D0629C"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the role of past and ongoing research was evident</w:t>
      </w:r>
      <w:r w:rsidR="0031545A"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although perhaps not</w:t>
      </w:r>
      <w:r w:rsidR="005E6AA6" w:rsidRPr="00C332CB">
        <w:rPr>
          <w:rFonts w:ascii="Times New Roman" w:hAnsi="Times New Roman" w:cs="Times New Roman"/>
          <w:sz w:val="24"/>
          <w:szCs w:val="24"/>
        </w:rPr>
        <w:t xml:space="preserve"> </w:t>
      </w:r>
      <w:r w:rsidR="001844D0" w:rsidRPr="00C332CB">
        <w:rPr>
          <w:rFonts w:ascii="Times New Roman" w:hAnsi="Times New Roman" w:cs="Times New Roman"/>
          <w:sz w:val="24"/>
          <w:szCs w:val="24"/>
        </w:rPr>
        <w:t xml:space="preserve">always </w:t>
      </w:r>
      <w:r w:rsidR="005E6AA6" w:rsidRPr="00C332CB">
        <w:rPr>
          <w:rFonts w:ascii="Times New Roman" w:hAnsi="Times New Roman" w:cs="Times New Roman"/>
          <w:sz w:val="24"/>
          <w:szCs w:val="24"/>
        </w:rPr>
        <w:t xml:space="preserve">carried over </w:t>
      </w:r>
      <w:r w:rsidR="001844D0" w:rsidRPr="00C332CB">
        <w:rPr>
          <w:rFonts w:ascii="Times New Roman" w:hAnsi="Times New Roman" w:cs="Times New Roman"/>
          <w:sz w:val="24"/>
          <w:szCs w:val="24"/>
        </w:rPr>
        <w:t>in</w:t>
      </w:r>
      <w:r w:rsidR="005E6AA6" w:rsidRPr="00C332CB">
        <w:rPr>
          <w:rFonts w:ascii="Times New Roman" w:hAnsi="Times New Roman" w:cs="Times New Roman"/>
          <w:sz w:val="24"/>
          <w:szCs w:val="24"/>
        </w:rPr>
        <w:t>to</w:t>
      </w:r>
      <w:r w:rsidR="001844D0" w:rsidRPr="00C332CB">
        <w:rPr>
          <w:rFonts w:ascii="Times New Roman" w:hAnsi="Times New Roman" w:cs="Times New Roman"/>
          <w:sz w:val="24"/>
          <w:szCs w:val="24"/>
        </w:rPr>
        <w:t xml:space="preserve"> practice.</w:t>
      </w:r>
      <w:r w:rsidR="00D4185C" w:rsidRPr="00C332CB">
        <w:rPr>
          <w:rFonts w:ascii="Times New Roman" w:hAnsi="Times New Roman" w:cs="Times New Roman"/>
          <w:sz w:val="24"/>
          <w:szCs w:val="24"/>
        </w:rPr>
        <w:t xml:space="preserve"> Increased levels of documentation also allow </w:t>
      </w:r>
      <w:r w:rsidR="0031545A" w:rsidRPr="00C332CB">
        <w:rPr>
          <w:rFonts w:ascii="Times New Roman" w:hAnsi="Times New Roman" w:cs="Times New Roman"/>
          <w:sz w:val="24"/>
          <w:szCs w:val="24"/>
        </w:rPr>
        <w:t xml:space="preserve">for </w:t>
      </w:r>
      <w:r w:rsidR="00D4185C" w:rsidRPr="00C332CB">
        <w:rPr>
          <w:rFonts w:ascii="Times New Roman" w:hAnsi="Times New Roman" w:cs="Times New Roman"/>
          <w:sz w:val="24"/>
          <w:szCs w:val="24"/>
        </w:rPr>
        <w:t xml:space="preserve">the </w:t>
      </w:r>
      <w:r w:rsidR="005B32DA" w:rsidRPr="00C332CB">
        <w:rPr>
          <w:rFonts w:ascii="Times New Roman" w:hAnsi="Times New Roman" w:cs="Times New Roman"/>
          <w:sz w:val="24"/>
          <w:szCs w:val="24"/>
        </w:rPr>
        <w:t>examination and analysis of more data, mostly focused on collections</w:t>
      </w:r>
      <w:r w:rsidR="00507644" w:rsidRPr="00C332CB">
        <w:rPr>
          <w:rFonts w:ascii="Times New Roman" w:hAnsi="Times New Roman" w:cs="Times New Roman"/>
          <w:sz w:val="24"/>
          <w:szCs w:val="24"/>
        </w:rPr>
        <w:t xml:space="preserve"> and their treatment histories</w:t>
      </w:r>
      <w:r w:rsidR="00D4185C" w:rsidRPr="00C332CB">
        <w:rPr>
          <w:rFonts w:ascii="Times New Roman" w:hAnsi="Times New Roman" w:cs="Times New Roman"/>
          <w:sz w:val="24"/>
          <w:szCs w:val="24"/>
        </w:rPr>
        <w:t xml:space="preserve">. </w:t>
      </w:r>
      <w:r w:rsidR="005136D1" w:rsidRPr="00C332CB">
        <w:rPr>
          <w:rFonts w:ascii="Times New Roman" w:hAnsi="Times New Roman" w:cs="Times New Roman"/>
          <w:sz w:val="24"/>
          <w:szCs w:val="24"/>
        </w:rPr>
        <w:t>The greater attention to documentation has enabled reviews of institutional practice</w:t>
      </w:r>
      <w:r w:rsidR="0031545A" w:rsidRPr="00C332CB">
        <w:rPr>
          <w:rFonts w:ascii="Times New Roman" w:hAnsi="Times New Roman" w:cs="Times New Roman"/>
          <w:sz w:val="24"/>
          <w:szCs w:val="24"/>
        </w:rPr>
        <w:t>—</w:t>
      </w:r>
      <w:r w:rsidR="005136D1" w:rsidRPr="00C332CB">
        <w:rPr>
          <w:rFonts w:ascii="Times New Roman" w:hAnsi="Times New Roman" w:cs="Times New Roman"/>
          <w:sz w:val="24"/>
          <w:szCs w:val="24"/>
        </w:rPr>
        <w:t>which</w:t>
      </w:r>
      <w:r w:rsidR="0031545A" w:rsidRPr="00C332CB">
        <w:rPr>
          <w:rFonts w:ascii="Times New Roman" w:hAnsi="Times New Roman" w:cs="Times New Roman"/>
          <w:sz w:val="24"/>
          <w:szCs w:val="24"/>
        </w:rPr>
        <w:t>,</w:t>
      </w:r>
      <w:r w:rsidR="005136D1" w:rsidRPr="00C332CB">
        <w:rPr>
          <w:rFonts w:ascii="Times New Roman" w:hAnsi="Times New Roman" w:cs="Times New Roman"/>
          <w:sz w:val="24"/>
          <w:szCs w:val="24"/>
        </w:rPr>
        <w:t xml:space="preserve"> when the data is extensive </w:t>
      </w:r>
      <w:r w:rsidR="005136D1" w:rsidRPr="00C332CB">
        <w:rPr>
          <w:rFonts w:ascii="Times New Roman" w:hAnsi="Times New Roman" w:cs="Times New Roman"/>
          <w:sz w:val="24"/>
          <w:szCs w:val="24"/>
        </w:rPr>
        <w:lastRenderedPageBreak/>
        <w:t>enough</w:t>
      </w:r>
      <w:r w:rsidR="0031545A" w:rsidRPr="00C332CB">
        <w:rPr>
          <w:rFonts w:ascii="Times New Roman" w:hAnsi="Times New Roman" w:cs="Times New Roman"/>
          <w:sz w:val="24"/>
          <w:szCs w:val="24"/>
        </w:rPr>
        <w:t>,</w:t>
      </w:r>
      <w:r w:rsidR="005136D1" w:rsidRPr="00C332CB">
        <w:rPr>
          <w:rFonts w:ascii="Times New Roman" w:hAnsi="Times New Roman" w:cs="Times New Roman"/>
          <w:sz w:val="24"/>
          <w:szCs w:val="24"/>
        </w:rPr>
        <w:t xml:space="preserve"> reveals trends</w:t>
      </w:r>
      <w:r w:rsidR="00C30DF9" w:rsidRPr="00C332CB">
        <w:rPr>
          <w:rFonts w:ascii="Times New Roman" w:hAnsi="Times New Roman" w:cs="Times New Roman"/>
          <w:sz w:val="24"/>
          <w:szCs w:val="24"/>
        </w:rPr>
        <w:t xml:space="preserve">, </w:t>
      </w:r>
      <w:r w:rsidR="00B3794B" w:rsidRPr="00C332CB">
        <w:rPr>
          <w:rFonts w:ascii="Times New Roman" w:hAnsi="Times New Roman" w:cs="Times New Roman"/>
          <w:sz w:val="24"/>
          <w:szCs w:val="24"/>
        </w:rPr>
        <w:t>as evidenced in the</w:t>
      </w:r>
      <w:r w:rsidR="00C30DF9" w:rsidRPr="00C332CB">
        <w:rPr>
          <w:rFonts w:ascii="Times New Roman" w:hAnsi="Times New Roman" w:cs="Times New Roman"/>
          <w:sz w:val="24"/>
          <w:szCs w:val="24"/>
        </w:rPr>
        <w:t xml:space="preserve"> contributions by</w:t>
      </w:r>
      <w:r w:rsidR="007610CB" w:rsidRPr="00C332CB">
        <w:rPr>
          <w:rFonts w:ascii="Times New Roman" w:hAnsi="Times New Roman" w:cs="Times New Roman"/>
          <w:sz w:val="24"/>
          <w:szCs w:val="24"/>
        </w:rPr>
        <w:t xml:space="preserve"> </w:t>
      </w:r>
      <w:hyperlink r:id="rId16" w:history="1">
        <w:r w:rsidR="007610CB" w:rsidRPr="00C332CB">
          <w:rPr>
            <w:rStyle w:val="Hyperlink"/>
            <w:rFonts w:ascii="Times New Roman" w:hAnsi="Times New Roman" w:cs="Times New Roman"/>
            <w:sz w:val="24"/>
            <w:szCs w:val="24"/>
          </w:rPr>
          <w:t xml:space="preserve">Nicola </w:t>
        </w:r>
        <w:proofErr w:type="spellStart"/>
        <w:r w:rsidR="007610CB" w:rsidRPr="00C332CB">
          <w:rPr>
            <w:rStyle w:val="Hyperlink"/>
            <w:rFonts w:ascii="Times New Roman" w:hAnsi="Times New Roman" w:cs="Times New Roman"/>
            <w:sz w:val="24"/>
            <w:szCs w:val="24"/>
          </w:rPr>
          <w:t>Costaras</w:t>
        </w:r>
        <w:proofErr w:type="spellEnd"/>
      </w:hyperlink>
      <w:r w:rsidR="00C30DF9" w:rsidRPr="00C332CB">
        <w:rPr>
          <w:rFonts w:ascii="Times New Roman" w:hAnsi="Times New Roman" w:cs="Times New Roman"/>
          <w:sz w:val="24"/>
          <w:szCs w:val="24"/>
        </w:rPr>
        <w:t xml:space="preserve"> and </w:t>
      </w:r>
      <w:hyperlink r:id="rId17" w:history="1">
        <w:r w:rsidR="005D1C23" w:rsidRPr="00C332CB">
          <w:rPr>
            <w:rStyle w:val="Hyperlink"/>
            <w:rFonts w:ascii="Times New Roman" w:hAnsi="Times New Roman" w:cs="Times New Roman"/>
            <w:sz w:val="24"/>
            <w:szCs w:val="24"/>
          </w:rPr>
          <w:t xml:space="preserve">Lauren </w:t>
        </w:r>
        <w:r w:rsidR="00C30DF9" w:rsidRPr="00C332CB">
          <w:rPr>
            <w:rStyle w:val="Hyperlink"/>
            <w:rFonts w:ascii="Times New Roman" w:hAnsi="Times New Roman" w:cs="Times New Roman"/>
            <w:sz w:val="24"/>
            <w:szCs w:val="24"/>
          </w:rPr>
          <w:t xml:space="preserve">Bradley </w:t>
        </w:r>
        <w:r w:rsidR="005D1C23" w:rsidRPr="00C332CB">
          <w:rPr>
            <w:rStyle w:val="Hyperlink"/>
            <w:rFonts w:ascii="Times New Roman" w:hAnsi="Times New Roman" w:cs="Times New Roman"/>
            <w:sz w:val="24"/>
            <w:szCs w:val="24"/>
          </w:rPr>
          <w:t>and Josh Summer</w:t>
        </w:r>
      </w:hyperlink>
      <w:r w:rsidR="005D1C23" w:rsidRPr="00C332CB">
        <w:rPr>
          <w:rFonts w:ascii="Times New Roman" w:hAnsi="Times New Roman" w:cs="Times New Roman"/>
          <w:sz w:val="24"/>
          <w:szCs w:val="24"/>
        </w:rPr>
        <w:t>.</w:t>
      </w:r>
      <w:r w:rsidR="005136D1" w:rsidRPr="00C332CB">
        <w:rPr>
          <w:rFonts w:ascii="Times New Roman" w:hAnsi="Times New Roman" w:cs="Times New Roman"/>
          <w:sz w:val="24"/>
          <w:szCs w:val="24"/>
        </w:rPr>
        <w:t xml:space="preserve"> </w:t>
      </w:r>
      <w:r w:rsidR="00D4185C" w:rsidRPr="00C332CB">
        <w:rPr>
          <w:rFonts w:ascii="Times New Roman" w:hAnsi="Times New Roman" w:cs="Times New Roman"/>
          <w:sz w:val="24"/>
          <w:szCs w:val="24"/>
        </w:rPr>
        <w:t>A series of case studies covered the treatment of works large and small and highlighted the significant attention paid to local interventions</w:t>
      </w:r>
      <w:r w:rsidR="0031545A" w:rsidRPr="00C332CB">
        <w:rPr>
          <w:rFonts w:ascii="Times New Roman" w:hAnsi="Times New Roman" w:cs="Times New Roman"/>
          <w:sz w:val="24"/>
          <w:szCs w:val="24"/>
        </w:rPr>
        <w:t xml:space="preserve">, </w:t>
      </w:r>
      <w:r w:rsidR="00DE0F95" w:rsidRPr="00C332CB">
        <w:rPr>
          <w:rFonts w:ascii="Times New Roman" w:hAnsi="Times New Roman" w:cs="Times New Roman"/>
          <w:sz w:val="24"/>
          <w:szCs w:val="24"/>
        </w:rPr>
        <w:t>which</w:t>
      </w:r>
      <w:r w:rsidR="00D4185C" w:rsidRPr="00C332CB">
        <w:rPr>
          <w:rFonts w:ascii="Times New Roman" w:hAnsi="Times New Roman" w:cs="Times New Roman"/>
          <w:sz w:val="24"/>
          <w:szCs w:val="24"/>
        </w:rPr>
        <w:t xml:space="preserve"> demonstrate conservation’s continuing ability to </w:t>
      </w:r>
      <w:r w:rsidR="00DB532F" w:rsidRPr="00C332CB">
        <w:rPr>
          <w:rFonts w:ascii="Times New Roman" w:hAnsi="Times New Roman" w:cs="Times New Roman"/>
          <w:sz w:val="24"/>
          <w:szCs w:val="24"/>
        </w:rPr>
        <w:t xml:space="preserve">adopt </w:t>
      </w:r>
      <w:r w:rsidR="00D4185C" w:rsidRPr="00C332CB">
        <w:rPr>
          <w:rFonts w:ascii="Times New Roman" w:hAnsi="Times New Roman" w:cs="Times New Roman"/>
          <w:sz w:val="24"/>
          <w:szCs w:val="24"/>
        </w:rPr>
        <w:t>and adapt existing techniques and equipment f</w:t>
      </w:r>
      <w:r w:rsidR="00507644" w:rsidRPr="00C332CB">
        <w:rPr>
          <w:rFonts w:ascii="Times New Roman" w:hAnsi="Times New Roman" w:cs="Times New Roman"/>
          <w:sz w:val="24"/>
          <w:szCs w:val="24"/>
        </w:rPr>
        <w:t>rom</w:t>
      </w:r>
      <w:r w:rsidR="00D4185C" w:rsidRPr="00C332CB">
        <w:rPr>
          <w:rFonts w:ascii="Times New Roman" w:hAnsi="Times New Roman" w:cs="Times New Roman"/>
          <w:sz w:val="24"/>
          <w:szCs w:val="24"/>
        </w:rPr>
        <w:t xml:space="preserve"> other </w:t>
      </w:r>
      <w:r w:rsidR="006A7058" w:rsidRPr="00C332CB">
        <w:rPr>
          <w:rFonts w:ascii="Times New Roman" w:hAnsi="Times New Roman" w:cs="Times New Roman"/>
          <w:sz w:val="24"/>
          <w:szCs w:val="24"/>
        </w:rPr>
        <w:t>fields</w:t>
      </w:r>
      <w:r w:rsidR="00FF1947" w:rsidRPr="00C332CB">
        <w:rPr>
          <w:rFonts w:ascii="Times New Roman" w:hAnsi="Times New Roman" w:cs="Times New Roman"/>
          <w:sz w:val="24"/>
          <w:szCs w:val="24"/>
        </w:rPr>
        <w:t>, such as textile conservation, imaging technology, and mechanical engineering</w:t>
      </w:r>
      <w:r w:rsidR="00D4185C" w:rsidRPr="00C332CB">
        <w:rPr>
          <w:rFonts w:ascii="Times New Roman" w:hAnsi="Times New Roman" w:cs="Times New Roman"/>
          <w:sz w:val="24"/>
          <w:szCs w:val="24"/>
        </w:rPr>
        <w:t xml:space="preserve">. Papers </w:t>
      </w:r>
      <w:r w:rsidR="00F93187" w:rsidRPr="00C332CB">
        <w:rPr>
          <w:rFonts w:ascii="Times New Roman" w:hAnsi="Times New Roman" w:cs="Times New Roman"/>
          <w:sz w:val="24"/>
          <w:szCs w:val="24"/>
        </w:rPr>
        <w:t>included</w:t>
      </w:r>
      <w:r w:rsidR="00D4185C" w:rsidRPr="00C332CB">
        <w:rPr>
          <w:rFonts w:ascii="Times New Roman" w:hAnsi="Times New Roman" w:cs="Times New Roman"/>
          <w:sz w:val="24"/>
          <w:szCs w:val="24"/>
        </w:rPr>
        <w:t xml:space="preserve"> research </w:t>
      </w:r>
      <w:r w:rsidR="00702061" w:rsidRPr="00C332CB">
        <w:rPr>
          <w:rFonts w:ascii="Times New Roman" w:hAnsi="Times New Roman" w:cs="Times New Roman"/>
          <w:sz w:val="24"/>
          <w:szCs w:val="24"/>
        </w:rPr>
        <w:t xml:space="preserve">using </w:t>
      </w:r>
      <w:r w:rsidR="00D4185C" w:rsidRPr="00C332CB">
        <w:rPr>
          <w:rFonts w:ascii="Times New Roman" w:hAnsi="Times New Roman" w:cs="Times New Roman"/>
          <w:sz w:val="24"/>
          <w:szCs w:val="24"/>
        </w:rPr>
        <w:t xml:space="preserve">samples of significant natural aging and </w:t>
      </w:r>
      <w:r w:rsidR="00FF1947" w:rsidRPr="00C332CB">
        <w:rPr>
          <w:rFonts w:ascii="Times New Roman" w:hAnsi="Times New Roman" w:cs="Times New Roman"/>
          <w:sz w:val="24"/>
          <w:szCs w:val="24"/>
        </w:rPr>
        <w:t>showed</w:t>
      </w:r>
      <w:r w:rsidR="00D4185C" w:rsidRPr="00C332CB">
        <w:rPr>
          <w:rFonts w:ascii="Times New Roman" w:hAnsi="Times New Roman" w:cs="Times New Roman"/>
          <w:sz w:val="24"/>
          <w:szCs w:val="24"/>
        </w:rPr>
        <w:t xml:space="preserve"> the</w:t>
      </w:r>
      <w:r w:rsidR="00702061" w:rsidRPr="00C332CB">
        <w:rPr>
          <w:rFonts w:ascii="Times New Roman" w:hAnsi="Times New Roman" w:cs="Times New Roman"/>
          <w:sz w:val="24"/>
          <w:szCs w:val="24"/>
        </w:rPr>
        <w:t xml:space="preserve"> ongoing</w:t>
      </w:r>
      <w:r w:rsidR="00D4185C" w:rsidRPr="00C332CB">
        <w:rPr>
          <w:rFonts w:ascii="Times New Roman" w:hAnsi="Times New Roman" w:cs="Times New Roman"/>
          <w:sz w:val="24"/>
          <w:szCs w:val="24"/>
        </w:rPr>
        <w:t xml:space="preserve"> </w:t>
      </w:r>
      <w:r w:rsidR="00DB532F" w:rsidRPr="00C332CB">
        <w:rPr>
          <w:rFonts w:ascii="Times New Roman" w:hAnsi="Times New Roman" w:cs="Times New Roman"/>
          <w:sz w:val="24"/>
          <w:szCs w:val="24"/>
        </w:rPr>
        <w:t xml:space="preserve">embrace </w:t>
      </w:r>
      <w:r w:rsidR="00D4185C" w:rsidRPr="00C332CB">
        <w:rPr>
          <w:rFonts w:ascii="Times New Roman" w:hAnsi="Times New Roman" w:cs="Times New Roman"/>
          <w:sz w:val="24"/>
          <w:szCs w:val="24"/>
        </w:rPr>
        <w:t xml:space="preserve">of new </w:t>
      </w:r>
      <w:r w:rsidR="005136D1" w:rsidRPr="00C332CB">
        <w:rPr>
          <w:rFonts w:ascii="Times New Roman" w:hAnsi="Times New Roman" w:cs="Times New Roman"/>
          <w:sz w:val="24"/>
          <w:szCs w:val="24"/>
        </w:rPr>
        <w:t>materials</w:t>
      </w:r>
      <w:r w:rsidR="009047F5" w:rsidRPr="00C332CB">
        <w:rPr>
          <w:rFonts w:ascii="Times New Roman" w:hAnsi="Times New Roman" w:cs="Times New Roman"/>
          <w:sz w:val="24"/>
          <w:szCs w:val="24"/>
        </w:rPr>
        <w:t>—</w:t>
      </w:r>
      <w:r w:rsidR="005136D1" w:rsidRPr="00C332CB">
        <w:rPr>
          <w:rFonts w:ascii="Times New Roman" w:hAnsi="Times New Roman" w:cs="Times New Roman"/>
          <w:sz w:val="24"/>
          <w:szCs w:val="24"/>
        </w:rPr>
        <w:t xml:space="preserve">both from other fields and </w:t>
      </w:r>
      <w:r w:rsidR="009047F5" w:rsidRPr="00C332CB">
        <w:rPr>
          <w:rFonts w:ascii="Times New Roman" w:hAnsi="Times New Roman" w:cs="Times New Roman"/>
          <w:sz w:val="24"/>
          <w:szCs w:val="24"/>
        </w:rPr>
        <w:t xml:space="preserve">those </w:t>
      </w:r>
      <w:r w:rsidR="005136D1" w:rsidRPr="00C332CB">
        <w:rPr>
          <w:rFonts w:ascii="Times New Roman" w:hAnsi="Times New Roman" w:cs="Times New Roman"/>
          <w:sz w:val="24"/>
          <w:szCs w:val="24"/>
        </w:rPr>
        <w:t>specifically developed for conservation</w:t>
      </w:r>
      <w:r w:rsidR="001C6E45" w:rsidRPr="00C332CB">
        <w:rPr>
          <w:rFonts w:ascii="Times New Roman" w:hAnsi="Times New Roman" w:cs="Times New Roman"/>
          <w:sz w:val="24"/>
          <w:szCs w:val="24"/>
        </w:rPr>
        <w:t>.</w:t>
      </w:r>
      <w:r w:rsidR="00975848" w:rsidRPr="00C332CB">
        <w:rPr>
          <w:rFonts w:ascii="Times New Roman" w:hAnsi="Times New Roman" w:cs="Times New Roman"/>
          <w:sz w:val="24"/>
          <w:szCs w:val="24"/>
        </w:rPr>
        <w:t xml:space="preserve"> </w:t>
      </w:r>
      <w:r w:rsidR="00B3794B" w:rsidRPr="00C332CB">
        <w:rPr>
          <w:rFonts w:ascii="Times New Roman" w:hAnsi="Times New Roman" w:cs="Times New Roman"/>
          <w:sz w:val="24"/>
          <w:szCs w:val="24"/>
        </w:rPr>
        <w:t>T</w:t>
      </w:r>
      <w:r w:rsidR="00C30DF9" w:rsidRPr="00C332CB">
        <w:rPr>
          <w:rFonts w:ascii="Times New Roman" w:hAnsi="Times New Roman" w:cs="Times New Roman"/>
          <w:sz w:val="24"/>
          <w:szCs w:val="24"/>
        </w:rPr>
        <w:t>he audience was introduced to</w:t>
      </w:r>
      <w:r w:rsidR="007610CB" w:rsidRPr="00C332CB">
        <w:rPr>
          <w:rFonts w:ascii="Times New Roman" w:hAnsi="Times New Roman" w:cs="Times New Roman"/>
          <w:sz w:val="24"/>
          <w:szCs w:val="24"/>
        </w:rPr>
        <w:t xml:space="preserve"> </w:t>
      </w:r>
      <w:hyperlink r:id="rId18" w:history="1">
        <w:r w:rsidR="007610CB" w:rsidRPr="00C332CB">
          <w:rPr>
            <w:rStyle w:val="Hyperlink"/>
            <w:rFonts w:ascii="Times New Roman" w:hAnsi="Times New Roman" w:cs="Times New Roman"/>
            <w:sz w:val="24"/>
            <w:szCs w:val="24"/>
          </w:rPr>
          <w:t>Flock and Demuth’s “Winnie”</w:t>
        </w:r>
      </w:hyperlink>
      <w:r w:rsidR="007610CB" w:rsidRPr="00C332CB">
        <w:rPr>
          <w:rFonts w:ascii="Times New Roman" w:hAnsi="Times New Roman" w:cs="Times New Roman"/>
          <w:sz w:val="24"/>
          <w:szCs w:val="24"/>
        </w:rPr>
        <w:t xml:space="preserve"> </w:t>
      </w:r>
      <w:r w:rsidR="00C30DF9" w:rsidRPr="00C332CB">
        <w:rPr>
          <w:rFonts w:ascii="Times New Roman" w:hAnsi="Times New Roman" w:cs="Times New Roman"/>
          <w:sz w:val="24"/>
          <w:szCs w:val="24"/>
        </w:rPr>
        <w:t>for the application of glue in tear mends</w:t>
      </w:r>
      <w:r w:rsidR="00B3794B" w:rsidRPr="00C332CB">
        <w:rPr>
          <w:rFonts w:ascii="Times New Roman" w:hAnsi="Times New Roman" w:cs="Times New Roman"/>
          <w:sz w:val="24"/>
          <w:szCs w:val="24"/>
        </w:rPr>
        <w:t>, for example,</w:t>
      </w:r>
      <w:r w:rsidR="00C30DF9" w:rsidRPr="00C332CB">
        <w:rPr>
          <w:rFonts w:ascii="Times New Roman" w:hAnsi="Times New Roman" w:cs="Times New Roman"/>
          <w:sz w:val="24"/>
          <w:szCs w:val="24"/>
        </w:rPr>
        <w:t xml:space="preserve"> as well as the adhesive meshes developed by </w:t>
      </w:r>
      <w:hyperlink r:id="rId19" w:history="1">
        <w:r w:rsidR="00B3794B" w:rsidRPr="00C332CB">
          <w:rPr>
            <w:rStyle w:val="Hyperlink"/>
            <w:rFonts w:ascii="Times New Roman" w:hAnsi="Times New Roman" w:cs="Times New Roman"/>
            <w:sz w:val="24"/>
            <w:szCs w:val="24"/>
          </w:rPr>
          <w:t xml:space="preserve">Mona </w:t>
        </w:r>
        <w:proofErr w:type="spellStart"/>
        <w:r w:rsidR="00C30DF9" w:rsidRPr="00C332CB">
          <w:rPr>
            <w:rStyle w:val="Hyperlink"/>
            <w:rFonts w:ascii="Times New Roman" w:hAnsi="Times New Roman" w:cs="Times New Roman"/>
            <w:sz w:val="24"/>
            <w:szCs w:val="24"/>
          </w:rPr>
          <w:t>Konietzny</w:t>
        </w:r>
        <w:proofErr w:type="spellEnd"/>
        <w:r w:rsidR="00C30DF9" w:rsidRPr="00C332CB">
          <w:rPr>
            <w:rStyle w:val="Hyperlink"/>
            <w:rFonts w:ascii="Times New Roman" w:hAnsi="Times New Roman" w:cs="Times New Roman"/>
            <w:sz w:val="24"/>
            <w:szCs w:val="24"/>
          </w:rPr>
          <w:t xml:space="preserve"> et al.</w:t>
        </w:r>
      </w:hyperlink>
    </w:p>
    <w:p w14:paraId="1E8F850D" w14:textId="6F18B829" w:rsidR="001844D0" w:rsidRPr="00C332CB" w:rsidRDefault="00077E5B"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r>
      <w:r w:rsidR="001844D0" w:rsidRPr="00C332CB">
        <w:rPr>
          <w:rFonts w:ascii="Times New Roman" w:hAnsi="Times New Roman" w:cs="Times New Roman"/>
          <w:sz w:val="24"/>
          <w:szCs w:val="24"/>
        </w:rPr>
        <w:t xml:space="preserve">Threaded through all of these topics </w:t>
      </w:r>
      <w:r w:rsidR="003D7D5F" w:rsidRPr="00C332CB">
        <w:rPr>
          <w:rFonts w:ascii="Times New Roman" w:hAnsi="Times New Roman" w:cs="Times New Roman"/>
          <w:sz w:val="24"/>
          <w:szCs w:val="24"/>
        </w:rPr>
        <w:t xml:space="preserve">at the conference </w:t>
      </w:r>
      <w:r w:rsidR="001844D0" w:rsidRPr="00C332CB">
        <w:rPr>
          <w:rFonts w:ascii="Times New Roman" w:hAnsi="Times New Roman" w:cs="Times New Roman"/>
          <w:sz w:val="24"/>
          <w:szCs w:val="24"/>
        </w:rPr>
        <w:t>was the ongoing question of definitions, of finding a common vocabulary to describe</w:t>
      </w:r>
      <w:r w:rsidR="00FD77A7" w:rsidRPr="00C332CB">
        <w:rPr>
          <w:rFonts w:ascii="Times New Roman" w:hAnsi="Times New Roman" w:cs="Times New Roman"/>
          <w:sz w:val="24"/>
          <w:szCs w:val="24"/>
        </w:rPr>
        <w:t>—</w:t>
      </w:r>
      <w:r w:rsidR="001844D0" w:rsidRPr="00C332CB">
        <w:rPr>
          <w:rFonts w:ascii="Times New Roman" w:hAnsi="Times New Roman" w:cs="Times New Roman"/>
          <w:sz w:val="24"/>
          <w:szCs w:val="24"/>
        </w:rPr>
        <w:t>with as much precision and accuracy as possible</w:t>
      </w:r>
      <w:r w:rsidR="00FD77A7" w:rsidRPr="00C332CB">
        <w:rPr>
          <w:rFonts w:ascii="Times New Roman" w:hAnsi="Times New Roman" w:cs="Times New Roman"/>
          <w:sz w:val="24"/>
          <w:szCs w:val="24"/>
        </w:rPr>
        <w:t>—</w:t>
      </w:r>
      <w:r w:rsidR="001844D0" w:rsidRPr="00C332CB">
        <w:rPr>
          <w:rFonts w:ascii="Times New Roman" w:hAnsi="Times New Roman" w:cs="Times New Roman"/>
          <w:sz w:val="24"/>
          <w:szCs w:val="24"/>
        </w:rPr>
        <w:t>what conservators see and do.</w:t>
      </w:r>
      <w:r w:rsidR="00D0629C" w:rsidRPr="00C332CB">
        <w:rPr>
          <w:rFonts w:ascii="Times New Roman" w:hAnsi="Times New Roman" w:cs="Times New Roman"/>
          <w:sz w:val="24"/>
          <w:szCs w:val="24"/>
        </w:rPr>
        <w:t xml:space="preserve"> </w:t>
      </w:r>
      <w:r w:rsidR="006A7058" w:rsidRPr="00C332CB">
        <w:rPr>
          <w:rFonts w:ascii="Times New Roman" w:hAnsi="Times New Roman" w:cs="Times New Roman"/>
          <w:sz w:val="24"/>
          <w:szCs w:val="24"/>
        </w:rPr>
        <w:t xml:space="preserve">This is especially critical in order to exchange philosophies, methodologies, and techniques with an international community that </w:t>
      </w:r>
      <w:r w:rsidR="009047F5" w:rsidRPr="00C332CB">
        <w:rPr>
          <w:rFonts w:ascii="Times New Roman" w:hAnsi="Times New Roman" w:cs="Times New Roman"/>
          <w:sz w:val="24"/>
          <w:szCs w:val="24"/>
        </w:rPr>
        <w:t xml:space="preserve">has </w:t>
      </w:r>
      <w:r w:rsidR="006A7058" w:rsidRPr="00C332CB">
        <w:rPr>
          <w:rFonts w:ascii="Times New Roman" w:hAnsi="Times New Roman" w:cs="Times New Roman"/>
          <w:sz w:val="24"/>
          <w:szCs w:val="24"/>
        </w:rPr>
        <w:t xml:space="preserve">grown </w:t>
      </w:r>
      <w:r w:rsidR="009047F5" w:rsidRPr="00C332CB">
        <w:rPr>
          <w:rFonts w:ascii="Times New Roman" w:hAnsi="Times New Roman" w:cs="Times New Roman"/>
          <w:sz w:val="24"/>
          <w:szCs w:val="24"/>
        </w:rPr>
        <w:t xml:space="preserve">out of </w:t>
      </w:r>
      <w:r w:rsidR="006A7058" w:rsidRPr="00C332CB">
        <w:rPr>
          <w:rFonts w:ascii="Times New Roman" w:hAnsi="Times New Roman" w:cs="Times New Roman"/>
          <w:sz w:val="24"/>
          <w:szCs w:val="24"/>
        </w:rPr>
        <w:t xml:space="preserve">a variety of historic traditions and practice in vastly different climates. </w:t>
      </w:r>
      <w:r w:rsidR="003D7D5F" w:rsidRPr="00C332CB">
        <w:rPr>
          <w:rFonts w:ascii="Times New Roman" w:hAnsi="Times New Roman" w:cs="Times New Roman"/>
          <w:sz w:val="24"/>
          <w:szCs w:val="24"/>
        </w:rPr>
        <w:t xml:space="preserve">To that end, we have included a </w:t>
      </w:r>
      <w:hyperlink r:id="rId20" w:history="1">
        <w:r w:rsidR="003D7D5F" w:rsidRPr="00C332CB">
          <w:rPr>
            <w:rStyle w:val="Hyperlink"/>
            <w:rFonts w:ascii="Times New Roman" w:hAnsi="Times New Roman" w:cs="Times New Roman"/>
            <w:sz w:val="24"/>
            <w:szCs w:val="24"/>
          </w:rPr>
          <w:t>glossary</w:t>
        </w:r>
      </w:hyperlink>
      <w:r w:rsidR="003D7D5F" w:rsidRPr="00C332CB">
        <w:rPr>
          <w:rFonts w:ascii="Times New Roman" w:hAnsi="Times New Roman" w:cs="Times New Roman"/>
          <w:sz w:val="24"/>
          <w:szCs w:val="24"/>
        </w:rPr>
        <w:t xml:space="preserve"> </w:t>
      </w:r>
      <w:r w:rsidR="00693F41" w:rsidRPr="00C332CB">
        <w:rPr>
          <w:rFonts w:ascii="Times New Roman" w:hAnsi="Times New Roman" w:cs="Times New Roman"/>
          <w:sz w:val="24"/>
          <w:szCs w:val="24"/>
        </w:rPr>
        <w:t xml:space="preserve">based on </w:t>
      </w:r>
      <w:r w:rsidR="003D7D5F" w:rsidRPr="00C332CB">
        <w:rPr>
          <w:rFonts w:ascii="Times New Roman" w:hAnsi="Times New Roman" w:cs="Times New Roman"/>
          <w:sz w:val="24"/>
          <w:szCs w:val="24"/>
        </w:rPr>
        <w:t>the one published in the 1974 p</w:t>
      </w:r>
      <w:r w:rsidR="00693F41" w:rsidRPr="00C332CB">
        <w:rPr>
          <w:rFonts w:ascii="Times New Roman" w:hAnsi="Times New Roman" w:cs="Times New Roman"/>
          <w:sz w:val="24"/>
          <w:szCs w:val="24"/>
        </w:rPr>
        <w:t>re</w:t>
      </w:r>
      <w:r w:rsidR="003D7D5F" w:rsidRPr="00C332CB">
        <w:rPr>
          <w:rFonts w:ascii="Times New Roman" w:hAnsi="Times New Roman" w:cs="Times New Roman"/>
          <w:sz w:val="24"/>
          <w:szCs w:val="24"/>
        </w:rPr>
        <w:t>prints.</w:t>
      </w:r>
      <w:r w:rsidR="00693F41" w:rsidRPr="00C332CB">
        <w:rPr>
          <w:rFonts w:ascii="Times New Roman" w:hAnsi="Times New Roman" w:cs="Times New Roman"/>
          <w:sz w:val="24"/>
          <w:szCs w:val="24"/>
        </w:rPr>
        <w:t xml:space="preserve"> Terms no longer in use have been deleted and terms that have become current have been added. It is </w:t>
      </w:r>
      <w:r w:rsidR="0028022B" w:rsidRPr="00C332CB">
        <w:rPr>
          <w:rFonts w:ascii="Times New Roman" w:hAnsi="Times New Roman" w:cs="Times New Roman"/>
          <w:sz w:val="24"/>
          <w:szCs w:val="24"/>
        </w:rPr>
        <w:t xml:space="preserve">our </w:t>
      </w:r>
      <w:r w:rsidR="00693F41" w:rsidRPr="00C332CB">
        <w:rPr>
          <w:rFonts w:ascii="Times New Roman" w:hAnsi="Times New Roman" w:cs="Times New Roman"/>
          <w:sz w:val="24"/>
          <w:szCs w:val="24"/>
        </w:rPr>
        <w:t xml:space="preserve">hope that this revised glossary reflects developments since 1974 while </w:t>
      </w:r>
      <w:r w:rsidR="00FD61BE" w:rsidRPr="00C332CB">
        <w:rPr>
          <w:rFonts w:ascii="Times New Roman" w:hAnsi="Times New Roman" w:cs="Times New Roman"/>
          <w:sz w:val="24"/>
          <w:szCs w:val="24"/>
        </w:rPr>
        <w:t xml:space="preserve">also </w:t>
      </w:r>
      <w:r w:rsidR="00693F41" w:rsidRPr="00C332CB">
        <w:rPr>
          <w:rFonts w:ascii="Times New Roman" w:hAnsi="Times New Roman" w:cs="Times New Roman"/>
          <w:sz w:val="24"/>
          <w:szCs w:val="24"/>
        </w:rPr>
        <w:t xml:space="preserve">attempting </w:t>
      </w:r>
      <w:r w:rsidR="00FD61BE" w:rsidRPr="00C332CB">
        <w:rPr>
          <w:rFonts w:ascii="Times New Roman" w:hAnsi="Times New Roman" w:cs="Times New Roman"/>
          <w:sz w:val="24"/>
          <w:szCs w:val="24"/>
        </w:rPr>
        <w:t xml:space="preserve">to define </w:t>
      </w:r>
      <w:r w:rsidR="006B537F" w:rsidRPr="00C332CB">
        <w:rPr>
          <w:rFonts w:ascii="Times New Roman" w:hAnsi="Times New Roman" w:cs="Times New Roman"/>
          <w:sz w:val="24"/>
          <w:szCs w:val="24"/>
        </w:rPr>
        <w:t>terms that can be used universally</w:t>
      </w:r>
      <w:r w:rsidR="0028022B" w:rsidRPr="00C332CB">
        <w:rPr>
          <w:rFonts w:ascii="Times New Roman" w:hAnsi="Times New Roman" w:cs="Times New Roman"/>
          <w:sz w:val="24"/>
          <w:szCs w:val="24"/>
        </w:rPr>
        <w:t xml:space="preserve">. </w:t>
      </w:r>
      <w:r w:rsidR="001844D0" w:rsidRPr="00C332CB">
        <w:rPr>
          <w:rFonts w:ascii="Times New Roman" w:hAnsi="Times New Roman" w:cs="Times New Roman"/>
          <w:sz w:val="24"/>
          <w:szCs w:val="24"/>
        </w:rPr>
        <w:t>Finally</w:t>
      </w:r>
      <w:r w:rsidR="00172506"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around the margins, but clearly moving to a central position, is the question of sustainability, in all its various forms. Indeed here is a term in need of definition and common understanding.</w:t>
      </w:r>
    </w:p>
    <w:p w14:paraId="02EFFBB3" w14:textId="0294C1A6" w:rsidR="001844D0" w:rsidRPr="00C332CB" w:rsidRDefault="00077E5B"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r>
      <w:r w:rsidR="001844D0" w:rsidRPr="00C332CB">
        <w:rPr>
          <w:rFonts w:ascii="Times New Roman" w:hAnsi="Times New Roman" w:cs="Times New Roman"/>
          <w:sz w:val="24"/>
          <w:szCs w:val="24"/>
        </w:rPr>
        <w:t>One part of the conference that is not available to the reader of these proceedings is the day devoted to practical demonstrations</w:t>
      </w:r>
      <w:r w:rsidR="003D7D5F" w:rsidRPr="00C332CB">
        <w:rPr>
          <w:rFonts w:ascii="Times New Roman" w:hAnsi="Times New Roman" w:cs="Times New Roman"/>
          <w:sz w:val="24"/>
          <w:szCs w:val="24"/>
        </w:rPr>
        <w:t>—</w:t>
      </w:r>
      <w:r w:rsidR="0028022B" w:rsidRPr="00C332CB">
        <w:rPr>
          <w:rFonts w:ascii="Times New Roman" w:hAnsi="Times New Roman" w:cs="Times New Roman"/>
          <w:sz w:val="24"/>
          <w:szCs w:val="24"/>
        </w:rPr>
        <w:t>“</w:t>
      </w:r>
      <w:r w:rsidR="006A7058" w:rsidRPr="00C332CB">
        <w:rPr>
          <w:rFonts w:ascii="Times New Roman" w:hAnsi="Times New Roman" w:cs="Times New Roman"/>
          <w:sz w:val="24"/>
          <w:szCs w:val="24"/>
        </w:rPr>
        <w:t>sandbox sessions</w:t>
      </w:r>
      <w:r w:rsidR="0028022B" w:rsidRPr="00C332CB">
        <w:rPr>
          <w:rFonts w:ascii="Times New Roman" w:hAnsi="Times New Roman" w:cs="Times New Roman"/>
          <w:sz w:val="24"/>
          <w:szCs w:val="24"/>
        </w:rPr>
        <w:t>”</w:t>
      </w:r>
      <w:r w:rsidR="006A7058" w:rsidRPr="00C332CB">
        <w:rPr>
          <w:rFonts w:ascii="Times New Roman" w:hAnsi="Times New Roman" w:cs="Times New Roman"/>
          <w:sz w:val="24"/>
          <w:szCs w:val="24"/>
        </w:rPr>
        <w:t xml:space="preserve"> </w:t>
      </w:r>
      <w:r w:rsidR="003D7D5F" w:rsidRPr="00C332CB">
        <w:rPr>
          <w:rFonts w:ascii="Times New Roman" w:hAnsi="Times New Roman" w:cs="Times New Roman"/>
          <w:sz w:val="24"/>
          <w:szCs w:val="24"/>
        </w:rPr>
        <w:t xml:space="preserve">that provided </w:t>
      </w:r>
      <w:r w:rsidR="006A7058" w:rsidRPr="00C332CB">
        <w:rPr>
          <w:rFonts w:ascii="Times New Roman" w:hAnsi="Times New Roman" w:cs="Times New Roman"/>
          <w:sz w:val="24"/>
          <w:szCs w:val="24"/>
        </w:rPr>
        <w:t xml:space="preserve">the opportunity for </w:t>
      </w:r>
      <w:r w:rsidR="00371D3C" w:rsidRPr="00C332CB">
        <w:rPr>
          <w:rFonts w:ascii="Times New Roman" w:hAnsi="Times New Roman" w:cs="Times New Roman"/>
          <w:sz w:val="24"/>
          <w:szCs w:val="24"/>
        </w:rPr>
        <w:lastRenderedPageBreak/>
        <w:t>experiential</w:t>
      </w:r>
      <w:r w:rsidR="001B3DE3" w:rsidRPr="00C332CB">
        <w:rPr>
          <w:rFonts w:ascii="Times New Roman" w:hAnsi="Times New Roman" w:cs="Times New Roman"/>
          <w:sz w:val="24"/>
          <w:szCs w:val="24"/>
        </w:rPr>
        <w:t xml:space="preserve"> learning</w:t>
      </w:r>
      <w:r w:rsidR="007610CB" w:rsidRPr="00C332CB">
        <w:rPr>
          <w:rFonts w:ascii="Times New Roman" w:hAnsi="Times New Roman" w:cs="Times New Roman"/>
          <w:sz w:val="24"/>
          <w:szCs w:val="24"/>
        </w:rPr>
        <w:t xml:space="preserve"> (</w:t>
      </w:r>
      <w:hyperlink r:id="rId21" w:history="1">
        <w:r w:rsidR="007610CB" w:rsidRPr="00C332CB">
          <w:rPr>
            <w:rStyle w:val="Hyperlink"/>
            <w:rFonts w:ascii="Times New Roman" w:hAnsi="Times New Roman" w:cs="Times New Roman"/>
            <w:b/>
            <w:bCs/>
            <w:sz w:val="24"/>
            <w:szCs w:val="24"/>
            <w:highlight w:val="yellow"/>
          </w:rPr>
          <w:t>fig. 0.3</w:t>
        </w:r>
      </w:hyperlink>
      <w:r w:rsidR="007610CB" w:rsidRPr="00C332CB">
        <w:rPr>
          <w:rFonts w:ascii="Times New Roman" w:hAnsi="Times New Roman" w:cs="Times New Roman"/>
          <w:sz w:val="24"/>
          <w:szCs w:val="24"/>
        </w:rPr>
        <w:t>).</w:t>
      </w:r>
      <w:r w:rsidR="0076565E" w:rsidRPr="00C332CB">
        <w:rPr>
          <w:rFonts w:ascii="Times New Roman" w:hAnsi="Times New Roman" w:cs="Times New Roman"/>
          <w:sz w:val="24"/>
          <w:szCs w:val="24"/>
        </w:rPr>
        <w:t xml:space="preserve"> </w:t>
      </w:r>
      <w:r w:rsidR="00AB3D27" w:rsidRPr="00C332CB">
        <w:rPr>
          <w:rFonts w:ascii="Times New Roman" w:hAnsi="Times New Roman" w:cs="Times New Roman"/>
          <w:sz w:val="24"/>
          <w:szCs w:val="24"/>
        </w:rPr>
        <w:t>E</w:t>
      </w:r>
      <w:r w:rsidR="001B3DE3" w:rsidRPr="00C332CB">
        <w:rPr>
          <w:rFonts w:ascii="Times New Roman" w:hAnsi="Times New Roman" w:cs="Times New Roman"/>
          <w:sz w:val="24"/>
          <w:szCs w:val="24"/>
        </w:rPr>
        <w:t xml:space="preserve">xpert contributors led sessions on historic reconstructions, innovative tools and equipment, hands-on </w:t>
      </w:r>
      <w:r w:rsidR="0006185E" w:rsidRPr="00C332CB">
        <w:rPr>
          <w:rFonts w:ascii="Times New Roman" w:hAnsi="Times New Roman" w:cs="Times New Roman"/>
          <w:sz w:val="24"/>
          <w:szCs w:val="24"/>
        </w:rPr>
        <w:t>mechanical</w:t>
      </w:r>
      <w:r w:rsidR="001B3DE3" w:rsidRPr="00C332CB">
        <w:rPr>
          <w:rFonts w:ascii="Times New Roman" w:hAnsi="Times New Roman" w:cs="Times New Roman"/>
          <w:sz w:val="24"/>
          <w:szCs w:val="24"/>
        </w:rPr>
        <w:t xml:space="preserve"> demonstrations, and localized tear mending. </w:t>
      </w:r>
      <w:r w:rsidR="001844D0" w:rsidRPr="00C332CB">
        <w:rPr>
          <w:rFonts w:ascii="Times New Roman" w:hAnsi="Times New Roman" w:cs="Times New Roman"/>
          <w:sz w:val="24"/>
          <w:szCs w:val="24"/>
        </w:rPr>
        <w:t>It is the continued refinement of established practice</w:t>
      </w:r>
      <w:r w:rsidR="009047F5"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as well as development of new, more effective practices</w:t>
      </w:r>
      <w:r w:rsidR="009047F5"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that these sessions represent</w:t>
      </w:r>
      <w:r w:rsidR="0084541C" w:rsidRPr="00C332CB">
        <w:rPr>
          <w:rFonts w:ascii="Times New Roman" w:hAnsi="Times New Roman" w:cs="Times New Roman"/>
          <w:sz w:val="24"/>
          <w:szCs w:val="24"/>
        </w:rPr>
        <w:t>,</w:t>
      </w:r>
      <w:r w:rsidR="001844D0" w:rsidRPr="00C332CB">
        <w:rPr>
          <w:rFonts w:ascii="Times New Roman" w:hAnsi="Times New Roman" w:cs="Times New Roman"/>
          <w:sz w:val="24"/>
          <w:szCs w:val="24"/>
        </w:rPr>
        <w:t xml:space="preserve"> and </w:t>
      </w:r>
      <w:r w:rsidR="009047F5" w:rsidRPr="00C332CB">
        <w:rPr>
          <w:rFonts w:ascii="Times New Roman" w:hAnsi="Times New Roman" w:cs="Times New Roman"/>
          <w:sz w:val="24"/>
          <w:szCs w:val="24"/>
        </w:rPr>
        <w:t xml:space="preserve">to </w:t>
      </w:r>
      <w:r w:rsidR="00AA30DC" w:rsidRPr="00C332CB">
        <w:rPr>
          <w:rFonts w:ascii="Times New Roman" w:hAnsi="Times New Roman" w:cs="Times New Roman"/>
          <w:sz w:val="24"/>
          <w:szCs w:val="24"/>
        </w:rPr>
        <w:t>which</w:t>
      </w:r>
      <w:r w:rsidR="001844D0" w:rsidRPr="00C332CB">
        <w:rPr>
          <w:rFonts w:ascii="Times New Roman" w:hAnsi="Times New Roman" w:cs="Times New Roman"/>
          <w:sz w:val="24"/>
          <w:szCs w:val="24"/>
        </w:rPr>
        <w:t xml:space="preserve"> we believe these proceedings will be an ongoing </w:t>
      </w:r>
      <w:r w:rsidR="00AA30DC" w:rsidRPr="00C332CB">
        <w:rPr>
          <w:rFonts w:ascii="Times New Roman" w:hAnsi="Times New Roman" w:cs="Times New Roman"/>
          <w:sz w:val="24"/>
          <w:szCs w:val="24"/>
        </w:rPr>
        <w:t>contribution</w:t>
      </w:r>
      <w:r w:rsidR="001844D0" w:rsidRPr="00C332CB">
        <w:rPr>
          <w:rFonts w:ascii="Times New Roman" w:hAnsi="Times New Roman" w:cs="Times New Roman"/>
          <w:sz w:val="24"/>
          <w:szCs w:val="24"/>
        </w:rPr>
        <w:t>.</w:t>
      </w:r>
    </w:p>
    <w:p w14:paraId="110B2196" w14:textId="4FD81B65" w:rsidR="004220EE" w:rsidRPr="00C332CB" w:rsidRDefault="00077E5B" w:rsidP="00C332CB">
      <w:pPr>
        <w:spacing w:after="0" w:line="480" w:lineRule="auto"/>
        <w:rPr>
          <w:rFonts w:ascii="Times New Roman" w:hAnsi="Times New Roman" w:cs="Times New Roman"/>
          <w:sz w:val="24"/>
          <w:szCs w:val="24"/>
        </w:rPr>
      </w:pPr>
      <w:r w:rsidRPr="00C332CB">
        <w:rPr>
          <w:rFonts w:ascii="Times New Roman" w:hAnsi="Times New Roman" w:cs="Times New Roman"/>
          <w:sz w:val="24"/>
          <w:szCs w:val="24"/>
        </w:rPr>
        <w:tab/>
      </w:r>
      <w:r w:rsidR="001B3DE3" w:rsidRPr="00C332CB">
        <w:rPr>
          <w:rFonts w:ascii="Times New Roman" w:hAnsi="Times New Roman" w:cs="Times New Roman"/>
          <w:sz w:val="24"/>
          <w:szCs w:val="24"/>
        </w:rPr>
        <w:t>None of this would have been possible without the support of a large network of our generous</w:t>
      </w:r>
      <w:r w:rsidR="00AB3D27" w:rsidRPr="00C332CB">
        <w:rPr>
          <w:rFonts w:ascii="Times New Roman" w:hAnsi="Times New Roman" w:cs="Times New Roman"/>
          <w:sz w:val="24"/>
          <w:szCs w:val="24"/>
        </w:rPr>
        <w:t>,</w:t>
      </w:r>
      <w:r w:rsidR="001B3DE3" w:rsidRPr="00C332CB">
        <w:rPr>
          <w:rFonts w:ascii="Times New Roman" w:hAnsi="Times New Roman" w:cs="Times New Roman"/>
          <w:sz w:val="24"/>
          <w:szCs w:val="24"/>
        </w:rPr>
        <w:t xml:space="preserve"> capable colleagues.  First, thanks are owed to the rest of the </w:t>
      </w:r>
      <w:r w:rsidR="00AB3D27" w:rsidRPr="00C332CB">
        <w:rPr>
          <w:rFonts w:ascii="Times New Roman" w:hAnsi="Times New Roman" w:cs="Times New Roman"/>
          <w:sz w:val="24"/>
          <w:szCs w:val="24"/>
        </w:rPr>
        <w:t>s</w:t>
      </w:r>
      <w:r w:rsidR="001B3DE3" w:rsidRPr="00C332CB">
        <w:rPr>
          <w:rFonts w:ascii="Times New Roman" w:hAnsi="Times New Roman" w:cs="Times New Roman"/>
          <w:sz w:val="24"/>
          <w:szCs w:val="24"/>
        </w:rPr>
        <w:t>ymposium Advisory Committee: Alan Phenix, Mikkel Scharff, Anton Wilmering</w:t>
      </w:r>
      <w:r w:rsidR="0084541C" w:rsidRPr="00C332CB">
        <w:rPr>
          <w:rFonts w:ascii="Times New Roman" w:hAnsi="Times New Roman" w:cs="Times New Roman"/>
          <w:sz w:val="24"/>
          <w:szCs w:val="24"/>
        </w:rPr>
        <w:t>,</w:t>
      </w:r>
      <w:r w:rsidR="001B3DE3" w:rsidRPr="00C332CB">
        <w:rPr>
          <w:rFonts w:ascii="Times New Roman" w:hAnsi="Times New Roman" w:cs="Times New Roman"/>
          <w:sz w:val="24"/>
          <w:szCs w:val="24"/>
        </w:rPr>
        <w:t xml:space="preserve"> and Christina Young. At Getty, thanks also to </w:t>
      </w:r>
      <w:r w:rsidR="00FD61BE" w:rsidRPr="00C332CB">
        <w:rPr>
          <w:rFonts w:ascii="Times New Roman" w:hAnsi="Times New Roman" w:cs="Times New Roman"/>
          <w:sz w:val="24"/>
          <w:szCs w:val="24"/>
        </w:rPr>
        <w:t xml:space="preserve">Joan Weinstein and </w:t>
      </w:r>
      <w:r w:rsidR="001B3DE3" w:rsidRPr="00C332CB">
        <w:rPr>
          <w:rFonts w:ascii="Times New Roman" w:hAnsi="Times New Roman" w:cs="Times New Roman"/>
          <w:sz w:val="24"/>
          <w:szCs w:val="24"/>
        </w:rPr>
        <w:t>Allison Reilly. At Yale, thanks go out to Stephanie Wiles</w:t>
      </w:r>
      <w:r w:rsidR="0084541C" w:rsidRPr="00C332CB">
        <w:rPr>
          <w:rFonts w:ascii="Times New Roman" w:hAnsi="Times New Roman" w:cs="Times New Roman"/>
          <w:sz w:val="24"/>
          <w:szCs w:val="24"/>
        </w:rPr>
        <w:t>;</w:t>
      </w:r>
      <w:r w:rsidR="001B3DE3" w:rsidRPr="00C332CB">
        <w:rPr>
          <w:rFonts w:ascii="Times New Roman" w:hAnsi="Times New Roman" w:cs="Times New Roman"/>
          <w:sz w:val="24"/>
          <w:szCs w:val="24"/>
        </w:rPr>
        <w:t xml:space="preserve"> Henry J. Heinz II</w:t>
      </w:r>
      <w:r w:rsidR="0084541C" w:rsidRPr="00C332CB">
        <w:rPr>
          <w:rFonts w:ascii="Times New Roman" w:hAnsi="Times New Roman" w:cs="Times New Roman"/>
          <w:sz w:val="24"/>
          <w:szCs w:val="24"/>
        </w:rPr>
        <w:t>,</w:t>
      </w:r>
      <w:r w:rsidR="001B3DE3" w:rsidRPr="00C332CB">
        <w:rPr>
          <w:rFonts w:ascii="Times New Roman" w:hAnsi="Times New Roman" w:cs="Times New Roman"/>
          <w:sz w:val="24"/>
          <w:szCs w:val="24"/>
        </w:rPr>
        <w:t xml:space="preserve"> </w:t>
      </w:r>
      <w:r w:rsidR="002A217C" w:rsidRPr="00C332CB">
        <w:rPr>
          <w:rFonts w:ascii="Times New Roman" w:hAnsi="Times New Roman" w:cs="Times New Roman"/>
          <w:sz w:val="24"/>
          <w:szCs w:val="24"/>
        </w:rPr>
        <w:t>d</w:t>
      </w:r>
      <w:r w:rsidR="001B3DE3" w:rsidRPr="00C332CB">
        <w:rPr>
          <w:rFonts w:ascii="Times New Roman" w:hAnsi="Times New Roman" w:cs="Times New Roman"/>
          <w:sz w:val="24"/>
          <w:szCs w:val="24"/>
        </w:rPr>
        <w:t xml:space="preserve">irector of </w:t>
      </w:r>
      <w:r w:rsidR="00AA30DC" w:rsidRPr="00C332CB">
        <w:rPr>
          <w:rFonts w:ascii="Times New Roman" w:hAnsi="Times New Roman" w:cs="Times New Roman"/>
          <w:sz w:val="24"/>
          <w:szCs w:val="24"/>
        </w:rPr>
        <w:t>t</w:t>
      </w:r>
      <w:r w:rsidR="001B3DE3" w:rsidRPr="00C332CB">
        <w:rPr>
          <w:rFonts w:ascii="Times New Roman" w:hAnsi="Times New Roman" w:cs="Times New Roman"/>
          <w:sz w:val="24"/>
          <w:szCs w:val="24"/>
        </w:rPr>
        <w:t>he Yale University Art Gallery</w:t>
      </w:r>
      <w:r w:rsidR="0084541C" w:rsidRPr="00C332CB">
        <w:rPr>
          <w:rFonts w:ascii="Times New Roman" w:hAnsi="Times New Roman" w:cs="Times New Roman"/>
          <w:sz w:val="24"/>
          <w:szCs w:val="24"/>
        </w:rPr>
        <w:t>;</w:t>
      </w:r>
      <w:r w:rsidR="001B3DE3" w:rsidRPr="00C332CB">
        <w:rPr>
          <w:rFonts w:ascii="Times New Roman" w:hAnsi="Times New Roman" w:cs="Times New Roman"/>
          <w:sz w:val="24"/>
          <w:szCs w:val="24"/>
        </w:rPr>
        <w:t xml:space="preserve"> and Courtney Martin, </w:t>
      </w:r>
      <w:r w:rsidR="002A217C" w:rsidRPr="00C332CB">
        <w:rPr>
          <w:rFonts w:ascii="Times New Roman" w:hAnsi="Times New Roman" w:cs="Times New Roman"/>
          <w:sz w:val="24"/>
          <w:szCs w:val="24"/>
        </w:rPr>
        <w:t>d</w:t>
      </w:r>
      <w:r w:rsidR="001B3DE3" w:rsidRPr="00C332CB">
        <w:rPr>
          <w:rFonts w:ascii="Times New Roman" w:hAnsi="Times New Roman" w:cs="Times New Roman"/>
          <w:sz w:val="24"/>
          <w:szCs w:val="24"/>
        </w:rPr>
        <w:t>irector of the Yale Center for British Art, for their support</w:t>
      </w:r>
      <w:r w:rsidR="00A525BB" w:rsidRPr="00C332CB">
        <w:rPr>
          <w:rFonts w:ascii="Times New Roman" w:hAnsi="Times New Roman" w:cs="Times New Roman"/>
          <w:sz w:val="24"/>
          <w:szCs w:val="24"/>
        </w:rPr>
        <w:t xml:space="preserve">, </w:t>
      </w:r>
      <w:r w:rsidR="00AA30DC" w:rsidRPr="00C332CB">
        <w:rPr>
          <w:rFonts w:ascii="Times New Roman" w:hAnsi="Times New Roman" w:cs="Times New Roman"/>
          <w:sz w:val="24"/>
          <w:szCs w:val="24"/>
        </w:rPr>
        <w:t>contribution</w:t>
      </w:r>
      <w:r w:rsidR="00A525BB" w:rsidRPr="00C332CB">
        <w:rPr>
          <w:rFonts w:ascii="Times New Roman" w:hAnsi="Times New Roman" w:cs="Times New Roman"/>
          <w:sz w:val="24"/>
          <w:szCs w:val="24"/>
        </w:rPr>
        <w:t xml:space="preserve"> of space and resources to the </w:t>
      </w:r>
      <w:r w:rsidR="0084541C" w:rsidRPr="00C332CB">
        <w:rPr>
          <w:rFonts w:ascii="Times New Roman" w:hAnsi="Times New Roman" w:cs="Times New Roman"/>
          <w:sz w:val="24"/>
          <w:szCs w:val="24"/>
        </w:rPr>
        <w:t>s</w:t>
      </w:r>
      <w:r w:rsidR="00A525BB" w:rsidRPr="00C332CB">
        <w:rPr>
          <w:rFonts w:ascii="Times New Roman" w:hAnsi="Times New Roman" w:cs="Times New Roman"/>
          <w:sz w:val="24"/>
          <w:szCs w:val="24"/>
        </w:rPr>
        <w:t xml:space="preserve">ymposium, and </w:t>
      </w:r>
      <w:r w:rsidR="00FD61BE" w:rsidRPr="00C332CB">
        <w:rPr>
          <w:rFonts w:ascii="Times New Roman" w:hAnsi="Times New Roman" w:cs="Times New Roman"/>
          <w:sz w:val="24"/>
          <w:szCs w:val="24"/>
        </w:rPr>
        <w:t>hospitality shown</w:t>
      </w:r>
      <w:r w:rsidR="00A525BB" w:rsidRPr="00C332CB">
        <w:rPr>
          <w:rFonts w:ascii="Times New Roman" w:hAnsi="Times New Roman" w:cs="Times New Roman"/>
          <w:sz w:val="24"/>
          <w:szCs w:val="24"/>
        </w:rPr>
        <w:t xml:space="preserve"> to the participants. </w:t>
      </w:r>
      <w:r w:rsidR="0084541C" w:rsidRPr="00C332CB">
        <w:rPr>
          <w:rFonts w:ascii="Times New Roman" w:hAnsi="Times New Roman" w:cs="Times New Roman"/>
          <w:sz w:val="24"/>
          <w:szCs w:val="24"/>
        </w:rPr>
        <w:t>T</w:t>
      </w:r>
      <w:r w:rsidR="00A525BB" w:rsidRPr="00C332CB">
        <w:rPr>
          <w:rFonts w:ascii="Times New Roman" w:hAnsi="Times New Roman" w:cs="Times New Roman"/>
          <w:sz w:val="24"/>
          <w:szCs w:val="24"/>
        </w:rPr>
        <w:t>he conference would not have been possible without the ongoing efforts of Laurie Batza, Beth Bolen, and Elizabeth Williams</w:t>
      </w:r>
      <w:r w:rsidR="0084541C" w:rsidRPr="00C332CB">
        <w:rPr>
          <w:rFonts w:ascii="Times New Roman" w:hAnsi="Times New Roman" w:cs="Times New Roman"/>
          <w:sz w:val="24"/>
          <w:szCs w:val="24"/>
        </w:rPr>
        <w:t xml:space="preserve"> at the Yale Institute for the Preservation of Cultural Heritage</w:t>
      </w:r>
      <w:r w:rsidR="00A525BB" w:rsidRPr="00C332CB">
        <w:rPr>
          <w:rFonts w:ascii="Times New Roman" w:hAnsi="Times New Roman" w:cs="Times New Roman"/>
          <w:sz w:val="24"/>
          <w:szCs w:val="24"/>
        </w:rPr>
        <w:t xml:space="preserve">. Also thanks to the Yale Conferences and Events </w:t>
      </w:r>
      <w:r w:rsidR="0084541C" w:rsidRPr="00C332CB">
        <w:rPr>
          <w:rFonts w:ascii="Times New Roman" w:hAnsi="Times New Roman" w:cs="Times New Roman"/>
          <w:sz w:val="24"/>
          <w:szCs w:val="24"/>
        </w:rPr>
        <w:t>s</w:t>
      </w:r>
      <w:r w:rsidR="00A525BB" w:rsidRPr="00C332CB">
        <w:rPr>
          <w:rFonts w:ascii="Times New Roman" w:hAnsi="Times New Roman" w:cs="Times New Roman"/>
          <w:sz w:val="24"/>
          <w:szCs w:val="24"/>
        </w:rPr>
        <w:t>taff, especially Shannon LeGault, who arranged two meals a day and warm welcomes for our 370</w:t>
      </w:r>
      <w:r w:rsidR="00A525BB" w:rsidRPr="00C332CB">
        <w:rPr>
          <w:rFonts w:ascii="Times New Roman" w:eastAsia="Times New Roman" w:hAnsi="Times New Roman" w:cs="Times New Roman"/>
          <w:sz w:val="24"/>
          <w:szCs w:val="24"/>
        </w:rPr>
        <w:t xml:space="preserve"> participants. The Avangrid Foundation provided critical funding support for presenters and attendees from Spain</w:t>
      </w:r>
      <w:r w:rsidR="0084541C" w:rsidRPr="00C332CB">
        <w:rPr>
          <w:rFonts w:ascii="Times New Roman" w:eastAsia="Times New Roman" w:hAnsi="Times New Roman" w:cs="Times New Roman"/>
          <w:sz w:val="24"/>
          <w:szCs w:val="24"/>
        </w:rPr>
        <w:t>,</w:t>
      </w:r>
      <w:r w:rsidR="00A525BB" w:rsidRPr="00C332CB">
        <w:rPr>
          <w:rFonts w:ascii="Times New Roman" w:eastAsia="Times New Roman" w:hAnsi="Times New Roman" w:cs="Times New Roman"/>
          <w:sz w:val="24"/>
          <w:szCs w:val="24"/>
        </w:rPr>
        <w:t xml:space="preserve"> and our special thanks go to Nicole Licata</w:t>
      </w:r>
      <w:r w:rsidR="00753BA9" w:rsidRPr="00C332CB">
        <w:rPr>
          <w:rFonts w:ascii="Times New Roman" w:eastAsia="Times New Roman" w:hAnsi="Times New Roman" w:cs="Times New Roman"/>
          <w:sz w:val="24"/>
          <w:szCs w:val="24"/>
        </w:rPr>
        <w:t xml:space="preserve"> Grant</w:t>
      </w:r>
      <w:r w:rsidR="00A525BB" w:rsidRPr="00C332CB">
        <w:rPr>
          <w:rFonts w:ascii="Times New Roman" w:eastAsia="Times New Roman" w:hAnsi="Times New Roman" w:cs="Times New Roman"/>
          <w:sz w:val="24"/>
          <w:szCs w:val="24"/>
        </w:rPr>
        <w:t>. The program books were designed by Stephanie Bedoya</w:t>
      </w:r>
      <w:r w:rsidR="00A525BB" w:rsidRPr="00C332CB">
        <w:rPr>
          <w:rFonts w:ascii="Times New Roman" w:hAnsi="Times New Roman" w:cs="Times New Roman"/>
          <w:sz w:val="24"/>
          <w:szCs w:val="24"/>
        </w:rPr>
        <w:t xml:space="preserve"> with the assistance of Yale University Art Gallery designer Chris Sleboda, who also designed the tote bags for the participants. Advertising support from Willard Conservation Products, Everett Fine Art, and Getty Publications made the program books possible. At the </w:t>
      </w:r>
      <w:r w:rsidR="00AB3D27" w:rsidRPr="00C332CB">
        <w:rPr>
          <w:rFonts w:ascii="Times New Roman" w:hAnsi="Times New Roman" w:cs="Times New Roman"/>
          <w:sz w:val="24"/>
          <w:szCs w:val="24"/>
        </w:rPr>
        <w:t xml:space="preserve">Yale University </w:t>
      </w:r>
      <w:r w:rsidR="00A525BB" w:rsidRPr="00C332CB">
        <w:rPr>
          <w:rFonts w:ascii="Times New Roman" w:hAnsi="Times New Roman" w:cs="Times New Roman"/>
          <w:sz w:val="24"/>
          <w:szCs w:val="24"/>
        </w:rPr>
        <w:t>Art Gallery, thank</w:t>
      </w:r>
      <w:r w:rsidR="0084541C" w:rsidRPr="00C332CB">
        <w:rPr>
          <w:rFonts w:ascii="Times New Roman" w:hAnsi="Times New Roman" w:cs="Times New Roman"/>
          <w:sz w:val="24"/>
          <w:szCs w:val="24"/>
        </w:rPr>
        <w:t>s</w:t>
      </w:r>
      <w:r w:rsidR="00A525BB" w:rsidRPr="00C332CB">
        <w:rPr>
          <w:rFonts w:ascii="Times New Roman" w:hAnsi="Times New Roman" w:cs="Times New Roman"/>
          <w:sz w:val="24"/>
          <w:szCs w:val="24"/>
        </w:rPr>
        <w:t xml:space="preserve"> </w:t>
      </w:r>
      <w:r w:rsidR="0084541C" w:rsidRPr="00C332CB">
        <w:rPr>
          <w:rFonts w:ascii="Times New Roman" w:hAnsi="Times New Roman" w:cs="Times New Roman"/>
          <w:sz w:val="24"/>
          <w:szCs w:val="24"/>
        </w:rPr>
        <w:t xml:space="preserve">are owed </w:t>
      </w:r>
      <w:r w:rsidR="00A525BB" w:rsidRPr="00C332CB">
        <w:rPr>
          <w:rFonts w:ascii="Times New Roman" w:hAnsi="Times New Roman" w:cs="Times New Roman"/>
          <w:sz w:val="24"/>
          <w:szCs w:val="24"/>
        </w:rPr>
        <w:t xml:space="preserve">to </w:t>
      </w:r>
      <w:proofErr w:type="spellStart"/>
      <w:r w:rsidR="00A525BB" w:rsidRPr="00C332CB">
        <w:rPr>
          <w:rFonts w:ascii="Times New Roman" w:hAnsi="Times New Roman" w:cs="Times New Roman"/>
          <w:sz w:val="24"/>
          <w:szCs w:val="24"/>
        </w:rPr>
        <w:t>Molleen</w:t>
      </w:r>
      <w:proofErr w:type="spellEnd"/>
      <w:r w:rsidR="00A525BB" w:rsidRPr="00C332CB">
        <w:rPr>
          <w:rFonts w:ascii="Times New Roman" w:hAnsi="Times New Roman" w:cs="Times New Roman"/>
          <w:sz w:val="24"/>
          <w:szCs w:val="24"/>
        </w:rPr>
        <w:t xml:space="preserve"> Theodore, Liz Harnett, Mark Paturzo, and Roksana Filipowska. </w:t>
      </w:r>
      <w:r w:rsidR="00AB3D27" w:rsidRPr="00C332CB">
        <w:rPr>
          <w:rFonts w:ascii="Times New Roman" w:hAnsi="Times New Roman" w:cs="Times New Roman"/>
          <w:sz w:val="24"/>
          <w:szCs w:val="24"/>
        </w:rPr>
        <w:t xml:space="preserve">Many </w:t>
      </w:r>
      <w:r w:rsidR="00A525BB" w:rsidRPr="00C332CB">
        <w:rPr>
          <w:rFonts w:ascii="Times New Roman" w:hAnsi="Times New Roman" w:cs="Times New Roman"/>
          <w:sz w:val="24"/>
          <w:szCs w:val="24"/>
        </w:rPr>
        <w:t xml:space="preserve">Yale </w:t>
      </w:r>
      <w:r w:rsidR="00753BA9" w:rsidRPr="00C332CB">
        <w:rPr>
          <w:rFonts w:ascii="Times New Roman" w:hAnsi="Times New Roman" w:cs="Times New Roman"/>
          <w:sz w:val="24"/>
          <w:szCs w:val="24"/>
        </w:rPr>
        <w:t>University</w:t>
      </w:r>
      <w:r w:rsidR="00A525BB" w:rsidRPr="00C332CB">
        <w:rPr>
          <w:rFonts w:ascii="Times New Roman" w:hAnsi="Times New Roman" w:cs="Times New Roman"/>
          <w:sz w:val="24"/>
          <w:szCs w:val="24"/>
        </w:rPr>
        <w:t xml:space="preserve"> conservators, conservation fellows, and interns contributed to the success of the </w:t>
      </w:r>
      <w:r w:rsidR="0084541C" w:rsidRPr="00C332CB">
        <w:rPr>
          <w:rFonts w:ascii="Times New Roman" w:hAnsi="Times New Roman" w:cs="Times New Roman"/>
          <w:sz w:val="24"/>
          <w:szCs w:val="24"/>
        </w:rPr>
        <w:t>s</w:t>
      </w:r>
      <w:r w:rsidR="00A525BB" w:rsidRPr="00C332CB">
        <w:rPr>
          <w:rFonts w:ascii="Times New Roman" w:hAnsi="Times New Roman" w:cs="Times New Roman"/>
          <w:sz w:val="24"/>
          <w:szCs w:val="24"/>
        </w:rPr>
        <w:t xml:space="preserve">ymposium, </w:t>
      </w:r>
      <w:r w:rsidR="00A525BB" w:rsidRPr="00C332CB">
        <w:rPr>
          <w:rFonts w:ascii="Times New Roman" w:hAnsi="Times New Roman" w:cs="Times New Roman"/>
          <w:sz w:val="24"/>
          <w:szCs w:val="24"/>
        </w:rPr>
        <w:lastRenderedPageBreak/>
        <w:t>from hosting guests</w:t>
      </w:r>
      <w:r w:rsidR="0084541C" w:rsidRPr="00C332CB">
        <w:rPr>
          <w:rFonts w:ascii="Times New Roman" w:hAnsi="Times New Roman" w:cs="Times New Roman"/>
          <w:sz w:val="24"/>
          <w:szCs w:val="24"/>
        </w:rPr>
        <w:t xml:space="preserve"> and</w:t>
      </w:r>
      <w:r w:rsidR="00A525BB" w:rsidRPr="00C332CB">
        <w:rPr>
          <w:rFonts w:ascii="Times New Roman" w:hAnsi="Times New Roman" w:cs="Times New Roman"/>
          <w:sz w:val="24"/>
          <w:szCs w:val="24"/>
        </w:rPr>
        <w:t xml:space="preserve"> providing directions</w:t>
      </w:r>
      <w:r w:rsidR="0084541C" w:rsidRPr="00C332CB">
        <w:rPr>
          <w:rFonts w:ascii="Times New Roman" w:hAnsi="Times New Roman" w:cs="Times New Roman"/>
          <w:sz w:val="24"/>
          <w:szCs w:val="24"/>
        </w:rPr>
        <w:t xml:space="preserve"> to</w:t>
      </w:r>
      <w:r w:rsidR="00A525BB" w:rsidRPr="00C332CB">
        <w:rPr>
          <w:rFonts w:ascii="Times New Roman" w:hAnsi="Times New Roman" w:cs="Times New Roman"/>
          <w:sz w:val="24"/>
          <w:szCs w:val="24"/>
        </w:rPr>
        <w:t xml:space="preserve"> assisting in sandbox sessions</w:t>
      </w:r>
      <w:r w:rsidR="0084541C" w:rsidRPr="00C332CB">
        <w:rPr>
          <w:rFonts w:ascii="Times New Roman" w:hAnsi="Times New Roman" w:cs="Times New Roman"/>
          <w:sz w:val="24"/>
          <w:szCs w:val="24"/>
        </w:rPr>
        <w:t xml:space="preserve"> and</w:t>
      </w:r>
      <w:r w:rsidR="00A525BB" w:rsidRPr="00C332CB">
        <w:rPr>
          <w:rFonts w:ascii="Times New Roman" w:hAnsi="Times New Roman" w:cs="Times New Roman"/>
          <w:sz w:val="24"/>
          <w:szCs w:val="24"/>
        </w:rPr>
        <w:t xml:space="preserve"> </w:t>
      </w:r>
      <w:r w:rsidR="00B474B2" w:rsidRPr="00C332CB">
        <w:rPr>
          <w:rFonts w:ascii="Times New Roman" w:hAnsi="Times New Roman" w:cs="Times New Roman"/>
          <w:sz w:val="24"/>
          <w:szCs w:val="24"/>
        </w:rPr>
        <w:t>hanging posters</w:t>
      </w:r>
      <w:r w:rsidR="00DB532F" w:rsidRPr="00C332CB">
        <w:rPr>
          <w:rFonts w:ascii="Times New Roman" w:hAnsi="Times New Roman" w:cs="Times New Roman"/>
          <w:sz w:val="24"/>
          <w:szCs w:val="24"/>
        </w:rPr>
        <w:t>,</w:t>
      </w:r>
      <w:r w:rsidR="00B474B2" w:rsidRPr="00C332CB">
        <w:rPr>
          <w:rFonts w:ascii="Times New Roman" w:hAnsi="Times New Roman" w:cs="Times New Roman"/>
          <w:sz w:val="24"/>
          <w:szCs w:val="24"/>
        </w:rPr>
        <w:t xml:space="preserve"> and </w:t>
      </w:r>
      <w:r w:rsidR="0084541C" w:rsidRPr="00C332CB">
        <w:rPr>
          <w:rFonts w:ascii="Times New Roman" w:hAnsi="Times New Roman" w:cs="Times New Roman"/>
          <w:sz w:val="24"/>
          <w:szCs w:val="24"/>
        </w:rPr>
        <w:t xml:space="preserve">to </w:t>
      </w:r>
      <w:r w:rsidR="00B474B2" w:rsidRPr="00C332CB">
        <w:rPr>
          <w:rFonts w:ascii="Times New Roman" w:hAnsi="Times New Roman" w:cs="Times New Roman"/>
          <w:sz w:val="24"/>
          <w:szCs w:val="24"/>
        </w:rPr>
        <w:t>too many other supportive roles to mention</w:t>
      </w:r>
      <w:r w:rsidR="00AB3D27" w:rsidRPr="00C332CB">
        <w:rPr>
          <w:rFonts w:ascii="Times New Roman" w:hAnsi="Times New Roman" w:cs="Times New Roman"/>
          <w:sz w:val="24"/>
          <w:szCs w:val="24"/>
        </w:rPr>
        <w:t>.</w:t>
      </w:r>
      <w:r w:rsidR="00B474B2" w:rsidRPr="00C332CB">
        <w:rPr>
          <w:rFonts w:ascii="Times New Roman" w:hAnsi="Times New Roman" w:cs="Times New Roman"/>
          <w:sz w:val="24"/>
          <w:szCs w:val="24"/>
        </w:rPr>
        <w:t xml:space="preserve"> </w:t>
      </w:r>
      <w:r w:rsidR="00AB3D27" w:rsidRPr="00C332CB">
        <w:rPr>
          <w:rFonts w:ascii="Times New Roman" w:hAnsi="Times New Roman" w:cs="Times New Roman"/>
          <w:sz w:val="24"/>
          <w:szCs w:val="24"/>
        </w:rPr>
        <w:t xml:space="preserve">Our deep thanks for this to </w:t>
      </w:r>
      <w:r w:rsidR="00B474B2" w:rsidRPr="00C332CB">
        <w:rPr>
          <w:rFonts w:ascii="Times New Roman" w:hAnsi="Times New Roman" w:cs="Times New Roman"/>
          <w:sz w:val="24"/>
          <w:szCs w:val="24"/>
        </w:rPr>
        <w:t xml:space="preserve">Irma </w:t>
      </w:r>
      <w:proofErr w:type="spellStart"/>
      <w:r w:rsidR="00B474B2" w:rsidRPr="00C332CB">
        <w:rPr>
          <w:rFonts w:ascii="Times New Roman" w:hAnsi="Times New Roman" w:cs="Times New Roman"/>
          <w:sz w:val="24"/>
          <w:szCs w:val="24"/>
        </w:rPr>
        <w:t>Passeri</w:t>
      </w:r>
      <w:proofErr w:type="spellEnd"/>
      <w:r w:rsidR="00B474B2" w:rsidRPr="00C332CB">
        <w:rPr>
          <w:rFonts w:ascii="Times New Roman" w:hAnsi="Times New Roman" w:cs="Times New Roman"/>
          <w:sz w:val="24"/>
          <w:szCs w:val="24"/>
        </w:rPr>
        <w:t xml:space="preserve">, Kelsey </w:t>
      </w:r>
      <w:proofErr w:type="spellStart"/>
      <w:r w:rsidR="00B474B2" w:rsidRPr="00C332CB">
        <w:rPr>
          <w:rFonts w:ascii="Times New Roman" w:hAnsi="Times New Roman" w:cs="Times New Roman"/>
          <w:sz w:val="24"/>
          <w:szCs w:val="24"/>
        </w:rPr>
        <w:t>Wingel</w:t>
      </w:r>
      <w:proofErr w:type="spellEnd"/>
      <w:r w:rsidR="00B474B2" w:rsidRPr="00C332CB">
        <w:rPr>
          <w:rFonts w:ascii="Times New Roman" w:hAnsi="Times New Roman" w:cs="Times New Roman"/>
          <w:sz w:val="24"/>
          <w:szCs w:val="24"/>
        </w:rPr>
        <w:t xml:space="preserve">, Mark Aronson, Jessica David, Anne Gunnison, Olav Bjornerud, and Beth Godcher. </w:t>
      </w:r>
      <w:r w:rsidR="0028022B" w:rsidRPr="00C332CB">
        <w:rPr>
          <w:rFonts w:ascii="Times New Roman" w:hAnsi="Times New Roman" w:cs="Times New Roman"/>
          <w:sz w:val="24"/>
          <w:szCs w:val="24"/>
        </w:rPr>
        <w:t xml:space="preserve">We hope that this publication will be of great value to the international conservation community for years to come. </w:t>
      </w:r>
    </w:p>
    <w:p w14:paraId="634DA171" w14:textId="77777777" w:rsidR="0028022B" w:rsidRPr="00C332CB" w:rsidRDefault="0028022B" w:rsidP="00C332CB">
      <w:pPr>
        <w:spacing w:after="0" w:line="480" w:lineRule="auto"/>
        <w:rPr>
          <w:rFonts w:ascii="Times New Roman" w:hAnsi="Times New Roman" w:cs="Times New Roman"/>
          <w:sz w:val="24"/>
          <w:szCs w:val="24"/>
        </w:rPr>
      </w:pPr>
    </w:p>
    <w:sectPr w:rsidR="0028022B" w:rsidRPr="00C332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E4C1" w14:textId="77777777" w:rsidR="0002234A" w:rsidRDefault="0002234A" w:rsidP="00775961">
      <w:pPr>
        <w:spacing w:after="0" w:line="240" w:lineRule="auto"/>
      </w:pPr>
      <w:r>
        <w:separator/>
      </w:r>
    </w:p>
  </w:endnote>
  <w:endnote w:type="continuationSeparator" w:id="0">
    <w:p w14:paraId="25547EF6" w14:textId="77777777" w:rsidR="0002234A" w:rsidRDefault="0002234A" w:rsidP="00775961">
      <w:pPr>
        <w:spacing w:after="0" w:line="240" w:lineRule="auto"/>
      </w:pPr>
      <w:r>
        <w:continuationSeparator/>
      </w:r>
    </w:p>
  </w:endnote>
  <w:endnote w:type="continuationNotice" w:id="1">
    <w:p w14:paraId="0CCB4D09" w14:textId="77777777" w:rsidR="0002234A" w:rsidRDefault="0002234A">
      <w:pPr>
        <w:spacing w:after="0" w:line="240" w:lineRule="auto"/>
      </w:pPr>
    </w:p>
  </w:endnote>
  <w:endnote w:id="2">
    <w:p w14:paraId="5EFF4687" w14:textId="095BA933" w:rsidR="007610CB" w:rsidRPr="000A6E39" w:rsidRDefault="007610CB">
      <w:pPr>
        <w:pStyle w:val="EndnoteText"/>
        <w:rPr>
          <w:rFonts w:ascii="Times New Roman" w:hAnsi="Times New Roman" w:cs="Times New Roman"/>
        </w:rPr>
      </w:pPr>
      <w:r w:rsidRPr="000A6E39">
        <w:rPr>
          <w:rStyle w:val="EndnoteReference"/>
          <w:rFonts w:ascii="Times New Roman" w:hAnsi="Times New Roman" w:cs="Times New Roman"/>
        </w:rPr>
        <w:endnoteRef/>
      </w:r>
      <w:r w:rsidRPr="000A6E39">
        <w:rPr>
          <w:rFonts w:ascii="Times New Roman" w:hAnsi="Times New Roman" w:cs="Times New Roman"/>
        </w:rPr>
        <w:t xml:space="preserve"> The postprints were published as</w:t>
      </w:r>
      <w:r>
        <w:rPr>
          <w:rFonts w:ascii="Times New Roman" w:hAnsi="Times New Roman" w:cs="Times New Roman"/>
        </w:rPr>
        <w:t xml:space="preserve"> </w:t>
      </w:r>
      <w:r w:rsidR="0028022B">
        <w:rPr>
          <w:rFonts w:ascii="Times New Roman" w:hAnsi="Times New Roman" w:cs="Times New Roman"/>
        </w:rPr>
        <w:t>{{Villers 2003b}}</w:t>
      </w:r>
      <w:r w:rsidRPr="000A6E39">
        <w:rPr>
          <w:rFonts w:ascii="Times New Roman" w:hAnsi="Times New Roman" w:cs="Times New Roman"/>
        </w:rPr>
        <w:t xml:space="preserve">. </w:t>
      </w:r>
    </w:p>
    <w:p w14:paraId="45E2AB64" w14:textId="77777777" w:rsidR="007610CB" w:rsidRPr="000A6E39" w:rsidRDefault="007610CB">
      <w:pPr>
        <w:pStyle w:val="EndnoteText"/>
        <w:rPr>
          <w:rFonts w:ascii="Times New Roman" w:hAnsi="Times New Roman" w:cs="Times New Roman"/>
        </w:rPr>
      </w:pPr>
    </w:p>
  </w:endnote>
  <w:endnote w:id="3">
    <w:p w14:paraId="08BA4FF7" w14:textId="4EBAA522" w:rsidR="007610CB" w:rsidRDefault="007610CB">
      <w:pPr>
        <w:pStyle w:val="EndnoteText"/>
        <w:rPr>
          <w:rFonts w:ascii="Times New Roman" w:hAnsi="Times New Roman" w:cs="Times New Roman"/>
        </w:rPr>
      </w:pPr>
      <w:r>
        <w:rPr>
          <w:rStyle w:val="EndnoteReference"/>
        </w:rPr>
        <w:endnoteRef/>
      </w:r>
      <w:r>
        <w:t xml:space="preserve"> </w:t>
      </w:r>
      <w:r w:rsidRPr="00472D94">
        <w:rPr>
          <w:rFonts w:ascii="Times New Roman" w:hAnsi="Times New Roman" w:cs="Times New Roman"/>
        </w:rPr>
        <w:t>Many of these effects changed the appearance of the paintings. These changes to the structure, topography</w:t>
      </w:r>
      <w:r>
        <w:rPr>
          <w:rFonts w:ascii="Times New Roman" w:hAnsi="Times New Roman" w:cs="Times New Roman"/>
        </w:rPr>
        <w:t>,</w:t>
      </w:r>
      <w:r w:rsidRPr="00472D94">
        <w:rPr>
          <w:rFonts w:ascii="Times New Roman" w:hAnsi="Times New Roman" w:cs="Times New Roman"/>
        </w:rPr>
        <w:t xml:space="preserve"> and other attributes of the painting have been described in various ways in the conservation literature. Most important</w:t>
      </w:r>
      <w:r>
        <w:rPr>
          <w:rFonts w:ascii="Times New Roman" w:hAnsi="Times New Roman" w:cs="Times New Roman"/>
        </w:rPr>
        <w:t>ly,</w:t>
      </w:r>
      <w:r w:rsidRPr="00472D94">
        <w:rPr>
          <w:rFonts w:ascii="Times New Roman" w:hAnsi="Times New Roman" w:cs="Times New Roman"/>
        </w:rPr>
        <w:t xml:space="preserve"> though</w:t>
      </w:r>
      <w:r>
        <w:rPr>
          <w:rFonts w:ascii="Times New Roman" w:hAnsi="Times New Roman" w:cs="Times New Roman"/>
        </w:rPr>
        <w:t>,</w:t>
      </w:r>
      <w:r w:rsidRPr="00472D94">
        <w:rPr>
          <w:rFonts w:ascii="Times New Roman" w:hAnsi="Times New Roman" w:cs="Times New Roman"/>
        </w:rPr>
        <w:t xml:space="preserve"> a consensus emerged that these changes compromised the aesthetic integrity of the painting, bringing aesthetic discussion</w:t>
      </w:r>
      <w:r>
        <w:rPr>
          <w:rFonts w:ascii="Times New Roman" w:hAnsi="Times New Roman" w:cs="Times New Roman"/>
        </w:rPr>
        <w:t>s</w:t>
      </w:r>
      <w:r w:rsidRPr="00472D94">
        <w:rPr>
          <w:rFonts w:ascii="Times New Roman" w:hAnsi="Times New Roman" w:cs="Times New Roman"/>
        </w:rPr>
        <w:t xml:space="preserve"> of </w:t>
      </w:r>
      <w:r>
        <w:rPr>
          <w:rFonts w:ascii="Times New Roman" w:hAnsi="Times New Roman" w:cs="Times New Roman"/>
        </w:rPr>
        <w:t xml:space="preserve">the surfaces of </w:t>
      </w:r>
      <w:r w:rsidRPr="00472D94">
        <w:rPr>
          <w:rFonts w:ascii="Times New Roman" w:hAnsi="Times New Roman" w:cs="Times New Roman"/>
        </w:rPr>
        <w:t>paintings to the fore as well as discussion of technical matters.</w:t>
      </w:r>
    </w:p>
    <w:p w14:paraId="695DF060" w14:textId="77777777" w:rsidR="007610CB" w:rsidRDefault="007610CB">
      <w:pPr>
        <w:pStyle w:val="EndnoteText"/>
      </w:pPr>
    </w:p>
  </w:endnote>
  <w:endnote w:id="4">
    <w:p w14:paraId="4412FD80" w14:textId="0E455FB4" w:rsidR="007610CB" w:rsidRDefault="007610CB">
      <w:pPr>
        <w:pStyle w:val="EndnoteText"/>
      </w:pPr>
      <w:r w:rsidRPr="000A6E39">
        <w:rPr>
          <w:rStyle w:val="EndnoteReference"/>
          <w:rFonts w:ascii="Times New Roman" w:hAnsi="Times New Roman" w:cs="Times New Roman"/>
        </w:rPr>
        <w:endnoteRef/>
      </w:r>
      <w:r w:rsidRPr="000A6E39">
        <w:rPr>
          <w:rFonts w:ascii="Times New Roman" w:hAnsi="Times New Roman" w:cs="Times New Roman"/>
        </w:rPr>
        <w:t xml:space="preserve"> The Advisory Committee consisted of Jim Coddington, Ian McClure, Alan Phenix, Mikkel Scharff, Cynthia Schwarz, Anton </w:t>
      </w:r>
      <w:r w:rsidRPr="000A6E39">
        <w:rPr>
          <w:rFonts w:ascii="Times New Roman" w:hAnsi="Times New Roman" w:cs="Times New Roman"/>
        </w:rPr>
        <w:t>Wilmering</w:t>
      </w:r>
      <w:r>
        <w:rPr>
          <w:rFonts w:ascii="Times New Roman" w:hAnsi="Times New Roman" w:cs="Times New Roman"/>
        </w:rPr>
        <w:t>,</w:t>
      </w:r>
      <w:r w:rsidRPr="000A6E39">
        <w:rPr>
          <w:rFonts w:ascii="Times New Roman" w:hAnsi="Times New Roman" w:cs="Times New Roman"/>
        </w:rPr>
        <w:t xml:space="preserve"> and Christina Young.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40E9A" w14:textId="77777777" w:rsidR="0002234A" w:rsidRDefault="0002234A" w:rsidP="00775961">
      <w:pPr>
        <w:spacing w:after="0" w:line="240" w:lineRule="auto"/>
      </w:pPr>
      <w:r>
        <w:separator/>
      </w:r>
    </w:p>
  </w:footnote>
  <w:footnote w:type="continuationSeparator" w:id="0">
    <w:p w14:paraId="14EC42AB" w14:textId="77777777" w:rsidR="0002234A" w:rsidRDefault="0002234A" w:rsidP="00775961">
      <w:pPr>
        <w:spacing w:after="0" w:line="240" w:lineRule="auto"/>
      </w:pPr>
      <w:r>
        <w:continuationSeparator/>
      </w:r>
    </w:p>
  </w:footnote>
  <w:footnote w:type="continuationNotice" w:id="1">
    <w:p w14:paraId="40737A11" w14:textId="77777777" w:rsidR="0002234A" w:rsidRDefault="000223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E42FD"/>
    <w:multiLevelType w:val="hybridMultilevel"/>
    <w:tmpl w:val="6D12C8EE"/>
    <w:lvl w:ilvl="0" w:tplc="D2FC95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858543269">
    <w:abstractNumId w:val="1"/>
  </w:num>
  <w:num w:numId="2" w16cid:durableId="3153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DE8"/>
    <w:rsid w:val="00005896"/>
    <w:rsid w:val="000143FF"/>
    <w:rsid w:val="0002234A"/>
    <w:rsid w:val="00036140"/>
    <w:rsid w:val="0006185E"/>
    <w:rsid w:val="0006595F"/>
    <w:rsid w:val="00077E5B"/>
    <w:rsid w:val="000A2630"/>
    <w:rsid w:val="000A6E39"/>
    <w:rsid w:val="00104EAE"/>
    <w:rsid w:val="00124EF9"/>
    <w:rsid w:val="00135F44"/>
    <w:rsid w:val="00154382"/>
    <w:rsid w:val="0015553D"/>
    <w:rsid w:val="00172506"/>
    <w:rsid w:val="001844D0"/>
    <w:rsid w:val="001848E9"/>
    <w:rsid w:val="001909FC"/>
    <w:rsid w:val="001A3A1B"/>
    <w:rsid w:val="001B3DE3"/>
    <w:rsid w:val="001C6E45"/>
    <w:rsid w:val="001F474C"/>
    <w:rsid w:val="00254365"/>
    <w:rsid w:val="00277761"/>
    <w:rsid w:val="0028022B"/>
    <w:rsid w:val="00286442"/>
    <w:rsid w:val="002A217C"/>
    <w:rsid w:val="002A62A8"/>
    <w:rsid w:val="002C0E6F"/>
    <w:rsid w:val="002E1E40"/>
    <w:rsid w:val="002E4894"/>
    <w:rsid w:val="002F7D9D"/>
    <w:rsid w:val="0031545A"/>
    <w:rsid w:val="003405B9"/>
    <w:rsid w:val="00340E4D"/>
    <w:rsid w:val="00342A81"/>
    <w:rsid w:val="00347974"/>
    <w:rsid w:val="00350D2F"/>
    <w:rsid w:val="00371D3C"/>
    <w:rsid w:val="003A7F16"/>
    <w:rsid w:val="003B4572"/>
    <w:rsid w:val="003B4A9F"/>
    <w:rsid w:val="003D3304"/>
    <w:rsid w:val="003D7D5F"/>
    <w:rsid w:val="004051EF"/>
    <w:rsid w:val="004220EE"/>
    <w:rsid w:val="0042301F"/>
    <w:rsid w:val="004439E1"/>
    <w:rsid w:val="0045081B"/>
    <w:rsid w:val="00460DE8"/>
    <w:rsid w:val="00507644"/>
    <w:rsid w:val="005136D1"/>
    <w:rsid w:val="00526786"/>
    <w:rsid w:val="00556553"/>
    <w:rsid w:val="0056604A"/>
    <w:rsid w:val="005A2C8C"/>
    <w:rsid w:val="005B32DA"/>
    <w:rsid w:val="005C0F12"/>
    <w:rsid w:val="005D1C23"/>
    <w:rsid w:val="005D24B5"/>
    <w:rsid w:val="005D43D2"/>
    <w:rsid w:val="005E6AA6"/>
    <w:rsid w:val="006410CA"/>
    <w:rsid w:val="0068075A"/>
    <w:rsid w:val="00693F41"/>
    <w:rsid w:val="0069577C"/>
    <w:rsid w:val="006A7058"/>
    <w:rsid w:val="006B30D8"/>
    <w:rsid w:val="006B3C23"/>
    <w:rsid w:val="006B537F"/>
    <w:rsid w:val="006C768D"/>
    <w:rsid w:val="006D1782"/>
    <w:rsid w:val="00702061"/>
    <w:rsid w:val="00750305"/>
    <w:rsid w:val="007537B3"/>
    <w:rsid w:val="00753BA9"/>
    <w:rsid w:val="007610CB"/>
    <w:rsid w:val="0076565E"/>
    <w:rsid w:val="00765FEA"/>
    <w:rsid w:val="00775961"/>
    <w:rsid w:val="0077659D"/>
    <w:rsid w:val="00795335"/>
    <w:rsid w:val="007B16CF"/>
    <w:rsid w:val="00803D86"/>
    <w:rsid w:val="008043D5"/>
    <w:rsid w:val="00836BF2"/>
    <w:rsid w:val="00837009"/>
    <w:rsid w:val="00843E28"/>
    <w:rsid w:val="0084541C"/>
    <w:rsid w:val="00885FD4"/>
    <w:rsid w:val="0088717B"/>
    <w:rsid w:val="008912BB"/>
    <w:rsid w:val="008B75D8"/>
    <w:rsid w:val="008D0C59"/>
    <w:rsid w:val="008E779D"/>
    <w:rsid w:val="008F286B"/>
    <w:rsid w:val="008F28AF"/>
    <w:rsid w:val="009047F5"/>
    <w:rsid w:val="0093449B"/>
    <w:rsid w:val="00975848"/>
    <w:rsid w:val="00992F79"/>
    <w:rsid w:val="009A58C6"/>
    <w:rsid w:val="009F6A23"/>
    <w:rsid w:val="00A25839"/>
    <w:rsid w:val="00A525BB"/>
    <w:rsid w:val="00A82ABE"/>
    <w:rsid w:val="00AA1850"/>
    <w:rsid w:val="00AA30DC"/>
    <w:rsid w:val="00AB3D27"/>
    <w:rsid w:val="00AC47DF"/>
    <w:rsid w:val="00B2129B"/>
    <w:rsid w:val="00B3794B"/>
    <w:rsid w:val="00B404B3"/>
    <w:rsid w:val="00B474B2"/>
    <w:rsid w:val="00BA26BE"/>
    <w:rsid w:val="00BD3AAD"/>
    <w:rsid w:val="00BD65B5"/>
    <w:rsid w:val="00BF34EA"/>
    <w:rsid w:val="00C30DF9"/>
    <w:rsid w:val="00C332CB"/>
    <w:rsid w:val="00C51220"/>
    <w:rsid w:val="00CB393B"/>
    <w:rsid w:val="00CC3844"/>
    <w:rsid w:val="00D0629C"/>
    <w:rsid w:val="00D4185C"/>
    <w:rsid w:val="00D50523"/>
    <w:rsid w:val="00D5459C"/>
    <w:rsid w:val="00D71D04"/>
    <w:rsid w:val="00D9561B"/>
    <w:rsid w:val="00DB532F"/>
    <w:rsid w:val="00DD4DCF"/>
    <w:rsid w:val="00DE0F95"/>
    <w:rsid w:val="00E56FFF"/>
    <w:rsid w:val="00E7335A"/>
    <w:rsid w:val="00E9565A"/>
    <w:rsid w:val="00EB04EB"/>
    <w:rsid w:val="00EB3C76"/>
    <w:rsid w:val="00F410C9"/>
    <w:rsid w:val="00F841A3"/>
    <w:rsid w:val="00F84405"/>
    <w:rsid w:val="00F93187"/>
    <w:rsid w:val="00F95AC9"/>
    <w:rsid w:val="00FA6A83"/>
    <w:rsid w:val="00FD61BE"/>
    <w:rsid w:val="00FD77A7"/>
    <w:rsid w:val="00FE6AC8"/>
    <w:rsid w:val="00FF1947"/>
    <w:rsid w:val="00FF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0198"/>
  <w15:chartTrackingRefBased/>
  <w15:docId w15:val="{72915C19-4653-4879-92C4-5BD7CC16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759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5961"/>
    <w:rPr>
      <w:sz w:val="20"/>
      <w:szCs w:val="20"/>
    </w:rPr>
  </w:style>
  <w:style w:type="character" w:styleId="EndnoteReference">
    <w:name w:val="endnote reference"/>
    <w:basedOn w:val="DefaultParagraphFont"/>
    <w:uiPriority w:val="99"/>
    <w:semiHidden/>
    <w:unhideWhenUsed/>
    <w:rsid w:val="00775961"/>
    <w:rPr>
      <w:vertAlign w:val="superscript"/>
    </w:rPr>
  </w:style>
  <w:style w:type="paragraph" w:styleId="BalloonText">
    <w:name w:val="Balloon Text"/>
    <w:basedOn w:val="Normal"/>
    <w:link w:val="BalloonTextChar"/>
    <w:uiPriority w:val="99"/>
    <w:semiHidden/>
    <w:unhideWhenUsed/>
    <w:rsid w:val="003479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974"/>
    <w:rPr>
      <w:rFonts w:ascii="Times New Roman" w:hAnsi="Times New Roman" w:cs="Times New Roman"/>
      <w:sz w:val="18"/>
      <w:szCs w:val="18"/>
    </w:rPr>
  </w:style>
  <w:style w:type="paragraph" w:styleId="NormalWeb">
    <w:name w:val="Normal (Web)"/>
    <w:basedOn w:val="Normal"/>
    <w:uiPriority w:val="99"/>
    <w:semiHidden/>
    <w:unhideWhenUsed/>
    <w:rsid w:val="00D956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61B"/>
  </w:style>
  <w:style w:type="paragraph" w:styleId="Footer">
    <w:name w:val="footer"/>
    <w:basedOn w:val="Normal"/>
    <w:link w:val="FooterChar"/>
    <w:uiPriority w:val="99"/>
    <w:unhideWhenUsed/>
    <w:rsid w:val="00D95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61B"/>
  </w:style>
  <w:style w:type="paragraph" w:styleId="Revision">
    <w:name w:val="Revision"/>
    <w:hidden/>
    <w:uiPriority w:val="99"/>
    <w:semiHidden/>
    <w:rsid w:val="00843E28"/>
    <w:pPr>
      <w:spacing w:after="0" w:line="240" w:lineRule="auto"/>
    </w:pPr>
  </w:style>
  <w:style w:type="paragraph" w:styleId="ListParagraph">
    <w:name w:val="List Paragraph"/>
    <w:basedOn w:val="Normal"/>
    <w:uiPriority w:val="34"/>
    <w:qFormat/>
    <w:rsid w:val="00FA6A83"/>
    <w:pPr>
      <w:spacing w:after="0" w:line="240" w:lineRule="auto"/>
      <w:ind w:left="720"/>
    </w:pPr>
    <w:rPr>
      <w:rFonts w:ascii="Calibri" w:eastAsia="Calibri" w:hAnsi="Calibri" w:cs="Calibri"/>
    </w:rPr>
  </w:style>
  <w:style w:type="character" w:styleId="CommentReference">
    <w:name w:val="annotation reference"/>
    <w:basedOn w:val="DefaultParagraphFont"/>
    <w:uiPriority w:val="99"/>
    <w:semiHidden/>
    <w:unhideWhenUsed/>
    <w:rsid w:val="00FA6A83"/>
    <w:rPr>
      <w:sz w:val="16"/>
      <w:szCs w:val="16"/>
    </w:rPr>
  </w:style>
  <w:style w:type="paragraph" w:styleId="CommentText">
    <w:name w:val="annotation text"/>
    <w:basedOn w:val="Normal"/>
    <w:link w:val="CommentTextChar"/>
    <w:uiPriority w:val="99"/>
    <w:unhideWhenUsed/>
    <w:rsid w:val="00FA6A83"/>
    <w:pPr>
      <w:spacing w:line="240" w:lineRule="auto"/>
    </w:pPr>
    <w:rPr>
      <w:sz w:val="20"/>
      <w:szCs w:val="20"/>
    </w:rPr>
  </w:style>
  <w:style w:type="character" w:customStyle="1" w:styleId="CommentTextChar">
    <w:name w:val="Comment Text Char"/>
    <w:basedOn w:val="DefaultParagraphFont"/>
    <w:link w:val="CommentText"/>
    <w:uiPriority w:val="99"/>
    <w:rsid w:val="00FA6A83"/>
    <w:rPr>
      <w:sz w:val="20"/>
      <w:szCs w:val="20"/>
    </w:rPr>
  </w:style>
  <w:style w:type="paragraph" w:styleId="CommentSubject">
    <w:name w:val="annotation subject"/>
    <w:basedOn w:val="CommentText"/>
    <w:next w:val="CommentText"/>
    <w:link w:val="CommentSubjectChar"/>
    <w:uiPriority w:val="99"/>
    <w:semiHidden/>
    <w:unhideWhenUsed/>
    <w:rsid w:val="00FA6A83"/>
    <w:rPr>
      <w:b/>
      <w:bCs/>
    </w:rPr>
  </w:style>
  <w:style w:type="character" w:customStyle="1" w:styleId="CommentSubjectChar">
    <w:name w:val="Comment Subject Char"/>
    <w:basedOn w:val="CommentTextChar"/>
    <w:link w:val="CommentSubject"/>
    <w:uiPriority w:val="99"/>
    <w:semiHidden/>
    <w:rsid w:val="00FA6A83"/>
    <w:rPr>
      <w:b/>
      <w:bCs/>
      <w:sz w:val="20"/>
      <w:szCs w:val="20"/>
    </w:rPr>
  </w:style>
  <w:style w:type="paragraph" w:styleId="FootnoteText">
    <w:name w:val="footnote text"/>
    <w:basedOn w:val="Normal"/>
    <w:link w:val="FootnoteTextChar"/>
    <w:uiPriority w:val="99"/>
    <w:semiHidden/>
    <w:unhideWhenUsed/>
    <w:rsid w:val="00077E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7E5B"/>
    <w:rPr>
      <w:sz w:val="20"/>
      <w:szCs w:val="20"/>
    </w:rPr>
  </w:style>
  <w:style w:type="character" w:styleId="FootnoteReference">
    <w:name w:val="footnote reference"/>
    <w:basedOn w:val="DefaultParagraphFont"/>
    <w:uiPriority w:val="99"/>
    <w:semiHidden/>
    <w:unhideWhenUsed/>
    <w:rsid w:val="00077E5B"/>
    <w:rPr>
      <w:vertAlign w:val="superscript"/>
    </w:rPr>
  </w:style>
  <w:style w:type="character" w:styleId="Hyperlink">
    <w:name w:val="Hyperlink"/>
    <w:basedOn w:val="DefaultParagraphFont"/>
    <w:uiPriority w:val="99"/>
    <w:unhideWhenUsed/>
    <w:rsid w:val="0069577C"/>
    <w:rPr>
      <w:color w:val="0563C1" w:themeColor="hyperlink"/>
      <w:u w:val="single"/>
    </w:rPr>
  </w:style>
  <w:style w:type="character" w:styleId="UnresolvedMention">
    <w:name w:val="Unresolved Mention"/>
    <w:basedOn w:val="DefaultParagraphFont"/>
    <w:uiPriority w:val="99"/>
    <w:semiHidden/>
    <w:unhideWhenUsed/>
    <w:rsid w:val="00695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49508">
      <w:bodyDiv w:val="1"/>
      <w:marLeft w:val="0"/>
      <w:marRight w:val="0"/>
      <w:marTop w:val="0"/>
      <w:marBottom w:val="0"/>
      <w:divBdr>
        <w:top w:val="none" w:sz="0" w:space="0" w:color="auto"/>
        <w:left w:val="none" w:sz="0" w:space="0" w:color="auto"/>
        <w:bottom w:val="none" w:sz="0" w:space="0" w:color="auto"/>
        <w:right w:val="none" w:sz="0" w:space="0" w:color="auto"/>
      </w:divBdr>
    </w:div>
    <w:div w:id="17870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0-1" TargetMode="External"/><Relationship Id="rId13" Type="http://schemas.openxmlformats.org/officeDocument/2006/relationships/hyperlink" Target="paper-18" TargetMode="External"/><Relationship Id="rId18" Type="http://schemas.openxmlformats.org/officeDocument/2006/relationships/hyperlink" Target="paper-30" TargetMode="External"/><Relationship Id="rId3" Type="http://schemas.openxmlformats.org/officeDocument/2006/relationships/styles" Target="styles.xml"/><Relationship Id="rId21" Type="http://schemas.openxmlformats.org/officeDocument/2006/relationships/hyperlink" Target="fig-0-3" TargetMode="External"/><Relationship Id="rId7" Type="http://schemas.openxmlformats.org/officeDocument/2006/relationships/endnotes" Target="endnotes.xml"/><Relationship Id="rId12" Type="http://schemas.openxmlformats.org/officeDocument/2006/relationships/hyperlink" Target="paper-10" TargetMode="External"/><Relationship Id="rId17" Type="http://schemas.openxmlformats.org/officeDocument/2006/relationships/hyperlink" Target="file:///Users/RBarth/Desktop/Finalized%20files-Conserving-Canvas--72122-to%20prep%20for%20TR/paper-42" TargetMode="External"/><Relationship Id="rId2" Type="http://schemas.openxmlformats.org/officeDocument/2006/relationships/numbering" Target="numbering.xml"/><Relationship Id="rId16" Type="http://schemas.openxmlformats.org/officeDocument/2006/relationships/hyperlink" Target="paper-34" TargetMode="External"/><Relationship Id="rId20" Type="http://schemas.openxmlformats.org/officeDocument/2006/relationships/hyperlink" Target="gloss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aper-5" TargetMode="External"/><Relationship Id="rId5" Type="http://schemas.openxmlformats.org/officeDocument/2006/relationships/webSettings" Target="webSettings.xml"/><Relationship Id="rId15" Type="http://schemas.openxmlformats.org/officeDocument/2006/relationships/hyperlink" Target="paper-22" TargetMode="External"/><Relationship Id="rId23" Type="http://schemas.openxmlformats.org/officeDocument/2006/relationships/theme" Target="theme/theme1.xml"/><Relationship Id="rId10" Type="http://schemas.openxmlformats.org/officeDocument/2006/relationships/hyperlink" Target="paper-43" TargetMode="External"/><Relationship Id="rId19" Type="http://schemas.openxmlformats.org/officeDocument/2006/relationships/hyperlink" Target="paper-28" TargetMode="External"/><Relationship Id="rId4" Type="http://schemas.openxmlformats.org/officeDocument/2006/relationships/settings" Target="settings.xml"/><Relationship Id="rId9" Type="http://schemas.openxmlformats.org/officeDocument/2006/relationships/hyperlink" Target="fig-0-2" TargetMode="External"/><Relationship Id="rId14" Type="http://schemas.openxmlformats.org/officeDocument/2006/relationships/hyperlink" Target="file:///Users/RBarth/Desktop/Finalized%20files-Conserving-Canvas--72122-to%20prep%20for%20TR/paper-4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5041C-EBC8-CF41-BD60-B5801BAC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McClure, Ian</dc:creator>
  <cp:keywords/>
  <dc:description/>
  <cp:lastModifiedBy>Rachel Barth</cp:lastModifiedBy>
  <cp:revision>6</cp:revision>
  <dcterms:created xsi:type="dcterms:W3CDTF">2022-08-19T01:15:00Z</dcterms:created>
  <dcterms:modified xsi:type="dcterms:W3CDTF">2022-08-31T22:45:00Z</dcterms:modified>
</cp:coreProperties>
</file>