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3CC8A" w14:textId="0ADDAC5B" w:rsidR="00C54767" w:rsidRPr="009D5980" w:rsidRDefault="00C54767" w:rsidP="0035604D">
      <w:pPr>
        <w:rPr>
          <w:rFonts w:ascii="Times New Roman" w:eastAsia="Calibri" w:hAnsi="Times New Roman" w:cs="Times New Roman"/>
          <w:sz w:val="22"/>
          <w:szCs w:val="22"/>
        </w:rPr>
      </w:pPr>
      <w:r w:rsidRPr="009D5980">
        <w:rPr>
          <w:rFonts w:ascii="Times New Roman" w:eastAsia="Calibri" w:hAnsi="Times New Roman" w:cs="Times New Roman"/>
          <w:sz w:val="22"/>
          <w:szCs w:val="22"/>
        </w:rPr>
        <w:t>label: "7"</w:t>
      </w:r>
    </w:p>
    <w:p w14:paraId="7A348EF5" w14:textId="38808AB2" w:rsidR="00C54767" w:rsidRPr="009D5980" w:rsidRDefault="00C54767" w:rsidP="0035604D">
      <w:pPr>
        <w:rPr>
          <w:rFonts w:ascii="Times New Roman" w:hAnsi="Times New Roman" w:cs="Times New Roman"/>
          <w:sz w:val="22"/>
          <w:szCs w:val="22"/>
        </w:rPr>
      </w:pPr>
      <w:r w:rsidRPr="009D5980">
        <w:rPr>
          <w:rFonts w:ascii="Times New Roman" w:eastAsia="Calibri" w:hAnsi="Times New Roman" w:cs="Times New Roman"/>
          <w:sz w:val="22"/>
          <w:szCs w:val="22"/>
        </w:rPr>
        <w:t xml:space="preserve">title: </w:t>
      </w:r>
      <w:r w:rsidRPr="009D5980">
        <w:rPr>
          <w:rFonts w:ascii="Times New Roman" w:hAnsi="Times New Roman" w:cs="Times New Roman"/>
          <w:sz w:val="22"/>
          <w:szCs w:val="22"/>
        </w:rPr>
        <w:t>Sustainable Trajectories for Terminologies, Methods, and Materials in the Structural Treatment of Paintings on Fabric Supports</w:t>
      </w:r>
    </w:p>
    <w:p w14:paraId="33106CAD" w14:textId="77777777" w:rsidR="00C54767" w:rsidRPr="009D5980" w:rsidRDefault="00C54767" w:rsidP="0035604D">
      <w:pPr>
        <w:rPr>
          <w:rFonts w:ascii="Times New Roman" w:eastAsia="Calibri" w:hAnsi="Times New Roman" w:cs="Times New Roman"/>
          <w:sz w:val="22"/>
          <w:szCs w:val="22"/>
        </w:rPr>
      </w:pPr>
      <w:r w:rsidRPr="009D5980">
        <w:rPr>
          <w:rFonts w:ascii="Times New Roman" w:eastAsia="Calibri" w:hAnsi="Times New Roman" w:cs="Times New Roman"/>
          <w:sz w:val="22"/>
          <w:szCs w:val="22"/>
        </w:rPr>
        <w:t xml:space="preserve">subtitle: </w:t>
      </w:r>
    </w:p>
    <w:p w14:paraId="18260204" w14:textId="77777777" w:rsidR="00C54767" w:rsidRPr="009D5980" w:rsidRDefault="00C54767" w:rsidP="0035604D">
      <w:pPr>
        <w:rPr>
          <w:rFonts w:ascii="Times New Roman" w:eastAsia="Calibri" w:hAnsi="Times New Roman" w:cs="Times New Roman"/>
          <w:sz w:val="22"/>
          <w:szCs w:val="22"/>
        </w:rPr>
      </w:pPr>
      <w:r w:rsidRPr="009D5980">
        <w:rPr>
          <w:rFonts w:ascii="Times New Roman" w:eastAsia="Calibri" w:hAnsi="Times New Roman" w:cs="Times New Roman"/>
          <w:sz w:val="22"/>
          <w:szCs w:val="22"/>
        </w:rPr>
        <w:t>contributor:</w:t>
      </w:r>
    </w:p>
    <w:p w14:paraId="05280CC7" w14:textId="1D7355D2" w:rsidR="00C54767" w:rsidRPr="009D5980" w:rsidRDefault="00C54767" w:rsidP="0035604D">
      <w:pPr>
        <w:numPr>
          <w:ilvl w:val="0"/>
          <w:numId w:val="1"/>
        </w:numPr>
        <w:ind w:left="360"/>
        <w:contextualSpacing/>
        <w:rPr>
          <w:rFonts w:ascii="Times New Roman" w:eastAsia="Calibri" w:hAnsi="Times New Roman" w:cs="Times New Roman"/>
          <w:sz w:val="22"/>
          <w:szCs w:val="22"/>
        </w:rPr>
      </w:pPr>
      <w:r w:rsidRPr="009D5980">
        <w:rPr>
          <w:rFonts w:ascii="Times New Roman" w:eastAsia="Calibri" w:hAnsi="Times New Roman" w:cs="Times New Roman"/>
          <w:sz w:val="22"/>
          <w:szCs w:val="22"/>
        </w:rPr>
        <w:t xml:space="preserve">first_name: </w:t>
      </w:r>
      <w:r w:rsidRPr="009D5980">
        <w:rPr>
          <w:rFonts w:ascii="Times New Roman" w:hAnsi="Times New Roman" w:cs="Times New Roman"/>
          <w:sz w:val="22"/>
          <w:szCs w:val="22"/>
        </w:rPr>
        <w:t>Matthew</w:t>
      </w:r>
    </w:p>
    <w:p w14:paraId="63372FEB" w14:textId="77777777" w:rsidR="00C54767" w:rsidRPr="009D5980" w:rsidRDefault="00C54767" w:rsidP="0035604D">
      <w:pPr>
        <w:ind w:left="360"/>
        <w:rPr>
          <w:rFonts w:ascii="Times New Roman" w:hAnsi="Times New Roman" w:cs="Times New Roman"/>
          <w:sz w:val="22"/>
          <w:szCs w:val="22"/>
        </w:rPr>
      </w:pPr>
      <w:r w:rsidRPr="009D5980">
        <w:rPr>
          <w:rFonts w:ascii="Times New Roman" w:eastAsia="Calibri" w:hAnsi="Times New Roman" w:cs="Times New Roman"/>
          <w:sz w:val="22"/>
          <w:szCs w:val="22"/>
        </w:rPr>
        <w:t xml:space="preserve">last_name: </w:t>
      </w:r>
      <w:r w:rsidRPr="009D5980">
        <w:rPr>
          <w:rFonts w:ascii="Times New Roman" w:hAnsi="Times New Roman" w:cs="Times New Roman"/>
          <w:sz w:val="22"/>
          <w:szCs w:val="22"/>
        </w:rPr>
        <w:t>Cushman</w:t>
      </w:r>
    </w:p>
    <w:p w14:paraId="5A65F736" w14:textId="4351554B" w:rsidR="00C54767" w:rsidRPr="009D5980" w:rsidRDefault="00C54767" w:rsidP="0035604D">
      <w:pPr>
        <w:ind w:left="360"/>
        <w:contextualSpacing/>
        <w:rPr>
          <w:rFonts w:ascii="Times New Roman" w:eastAsia="Calibri" w:hAnsi="Times New Roman" w:cs="Times New Roman"/>
          <w:sz w:val="22"/>
          <w:szCs w:val="22"/>
        </w:rPr>
      </w:pPr>
      <w:r w:rsidRPr="009D5980">
        <w:rPr>
          <w:rFonts w:ascii="Times New Roman" w:eastAsia="Calibri" w:hAnsi="Times New Roman" w:cs="Times New Roman"/>
          <w:sz w:val="22"/>
          <w:szCs w:val="22"/>
        </w:rPr>
        <w:t>title:</w:t>
      </w:r>
      <w:r w:rsidR="00F01F6C" w:rsidRPr="009D5980">
        <w:rPr>
          <w:rFonts w:ascii="Times New Roman" w:eastAsia="Calibri" w:hAnsi="Times New Roman" w:cs="Times New Roman"/>
          <w:sz w:val="22"/>
          <w:szCs w:val="22"/>
        </w:rPr>
        <w:t xml:space="preserve"> Conservator of Paintings</w:t>
      </w:r>
      <w:r w:rsidR="009D5980">
        <w:rPr>
          <w:rFonts w:ascii="Times New Roman" w:eastAsia="Calibri" w:hAnsi="Times New Roman" w:cs="Times New Roman"/>
          <w:sz w:val="22"/>
          <w:szCs w:val="22"/>
        </w:rPr>
        <w:t xml:space="preserve"> and </w:t>
      </w:r>
      <w:r w:rsidR="00F01F6C" w:rsidRPr="009D5980">
        <w:rPr>
          <w:rFonts w:ascii="Times New Roman" w:eastAsia="Calibri" w:hAnsi="Times New Roman" w:cs="Times New Roman"/>
          <w:sz w:val="22"/>
          <w:szCs w:val="22"/>
        </w:rPr>
        <w:t>Affiliated Assistant Professor</w:t>
      </w:r>
    </w:p>
    <w:p w14:paraId="14C9BE24" w14:textId="773A7FAC" w:rsidR="00C54767" w:rsidRPr="009D5980" w:rsidRDefault="00C54767" w:rsidP="0035604D">
      <w:pPr>
        <w:ind w:left="360"/>
        <w:contextualSpacing/>
        <w:rPr>
          <w:rFonts w:ascii="Times New Roman" w:eastAsia="Calibri" w:hAnsi="Times New Roman" w:cs="Times New Roman"/>
          <w:sz w:val="22"/>
          <w:szCs w:val="22"/>
        </w:rPr>
      </w:pPr>
      <w:r w:rsidRPr="009D5980">
        <w:rPr>
          <w:rFonts w:ascii="Times New Roman" w:eastAsia="Calibri" w:hAnsi="Times New Roman" w:cs="Times New Roman"/>
          <w:sz w:val="22"/>
          <w:szCs w:val="22"/>
        </w:rPr>
        <w:t>affiliation:</w:t>
      </w:r>
      <w:r w:rsidRPr="009D5980">
        <w:rPr>
          <w:rFonts w:ascii="Times New Roman" w:hAnsi="Times New Roman" w:cs="Times New Roman"/>
          <w:sz w:val="22"/>
          <w:szCs w:val="22"/>
        </w:rPr>
        <w:t xml:space="preserve"> Winterthur Museum, Garden &amp; Library</w:t>
      </w:r>
      <w:r w:rsidR="009D5980">
        <w:rPr>
          <w:rFonts w:ascii="Times New Roman" w:hAnsi="Times New Roman" w:cs="Times New Roman"/>
          <w:sz w:val="22"/>
          <w:szCs w:val="22"/>
        </w:rPr>
        <w:t xml:space="preserve">, and the </w:t>
      </w:r>
      <w:r w:rsidRPr="009D5980">
        <w:rPr>
          <w:rFonts w:ascii="Times New Roman" w:hAnsi="Times New Roman" w:cs="Times New Roman"/>
          <w:sz w:val="22"/>
          <w:szCs w:val="22"/>
        </w:rPr>
        <w:t>University of Delaware</w:t>
      </w:r>
    </w:p>
    <w:p w14:paraId="5469D6B1" w14:textId="2036C1AF" w:rsidR="000933CF" w:rsidRPr="009D5980" w:rsidRDefault="000933CF" w:rsidP="0035604D">
      <w:pPr>
        <w:rPr>
          <w:rFonts w:ascii="Times New Roman" w:eastAsia="Calibri" w:hAnsi="Times New Roman" w:cs="Times New Roman"/>
          <w:sz w:val="22"/>
          <w:szCs w:val="22"/>
        </w:rPr>
      </w:pPr>
      <w:r w:rsidRPr="009D5980">
        <w:rPr>
          <w:rFonts w:ascii="Times New Roman" w:eastAsia="Calibri" w:hAnsi="Times New Roman" w:cs="Times New Roman"/>
          <w:sz w:val="22"/>
          <w:szCs w:val="22"/>
        </w:rPr>
        <w:t>keywords:</w:t>
      </w:r>
      <w:r w:rsidR="0035604D">
        <w:rPr>
          <w:rFonts w:ascii="Times New Roman" w:eastAsia="Calibri" w:hAnsi="Times New Roman" w:cs="Times New Roman"/>
          <w:sz w:val="22"/>
          <w:szCs w:val="22"/>
        </w:rPr>
        <w:t xml:space="preserve"> sustainability, conservation terminology </w:t>
      </w:r>
    </w:p>
    <w:p w14:paraId="1AC3B84E" w14:textId="41707425" w:rsidR="00C54767" w:rsidRPr="009D5980" w:rsidRDefault="00C54767" w:rsidP="0035604D">
      <w:pPr>
        <w:rPr>
          <w:rFonts w:ascii="Times New Roman" w:eastAsia="Calibri" w:hAnsi="Times New Roman" w:cs="Times New Roman"/>
          <w:sz w:val="22"/>
          <w:szCs w:val="22"/>
        </w:rPr>
      </w:pPr>
      <w:r w:rsidRPr="009D5980">
        <w:rPr>
          <w:rFonts w:ascii="Times New Roman" w:eastAsia="Calibri" w:hAnsi="Times New Roman" w:cs="Times New Roman"/>
          <w:sz w:val="22"/>
          <w:szCs w:val="22"/>
        </w:rPr>
        <w:t>abstract</w:t>
      </w:r>
      <w:r w:rsidR="00FF5669" w:rsidRPr="009D5980">
        <w:rPr>
          <w:rFonts w:ascii="Times New Roman" w:eastAsia="Calibri" w:hAnsi="Times New Roman" w:cs="Times New Roman"/>
          <w:sz w:val="22"/>
          <w:szCs w:val="22"/>
        </w:rPr>
        <w:t xml:space="preserve">: Emphasizing international inclusivity and valuing regional and traditional practices, </w:t>
      </w:r>
      <w:r w:rsidR="000933CF" w:rsidRPr="009D5980">
        <w:rPr>
          <w:rFonts w:ascii="Times New Roman" w:eastAsia="Calibri" w:hAnsi="Times New Roman" w:cs="Times New Roman"/>
          <w:sz w:val="22"/>
          <w:szCs w:val="22"/>
        </w:rPr>
        <w:t xml:space="preserve">this paper offers </w:t>
      </w:r>
      <w:r w:rsidR="00FF5669" w:rsidRPr="009D5980">
        <w:rPr>
          <w:rFonts w:ascii="Times New Roman" w:eastAsia="Calibri" w:hAnsi="Times New Roman" w:cs="Times New Roman"/>
          <w:sz w:val="22"/>
          <w:szCs w:val="22"/>
        </w:rPr>
        <w:t>recommendations for sustai</w:t>
      </w:r>
      <w:r w:rsidR="00680F73" w:rsidRPr="009D5980">
        <w:rPr>
          <w:rFonts w:ascii="Times New Roman" w:eastAsia="Calibri" w:hAnsi="Times New Roman" w:cs="Times New Roman"/>
          <w:sz w:val="22"/>
          <w:szCs w:val="22"/>
        </w:rPr>
        <w:t xml:space="preserve">nable practice. The development of a multilingual, collaborative lexicon is favored over a standard terminology in English. </w:t>
      </w:r>
      <w:r w:rsidR="003900EC" w:rsidRPr="009D5980">
        <w:rPr>
          <w:rFonts w:ascii="Times New Roman" w:eastAsia="Calibri" w:hAnsi="Times New Roman" w:cs="Times New Roman"/>
          <w:sz w:val="22"/>
          <w:szCs w:val="22"/>
        </w:rPr>
        <w:t>Frameworks are proposed for practical research, dissemination of treatment information, and preparing for future challenges of material availability.</w:t>
      </w:r>
    </w:p>
    <w:p w14:paraId="61823750" w14:textId="67C650BF" w:rsidR="00C54767" w:rsidRPr="009D5980" w:rsidRDefault="00C54767" w:rsidP="0035604D">
      <w:pPr>
        <w:rPr>
          <w:rFonts w:ascii="Times New Roman" w:eastAsia="Calibri" w:hAnsi="Times New Roman" w:cs="Times New Roman"/>
          <w:sz w:val="22"/>
          <w:szCs w:val="22"/>
        </w:rPr>
      </w:pPr>
      <w:r w:rsidRPr="009D5980">
        <w:rPr>
          <w:rFonts w:ascii="Times New Roman" w:eastAsia="Calibri" w:hAnsi="Times New Roman" w:cs="Times New Roman"/>
          <w:sz w:val="22"/>
          <w:szCs w:val="22"/>
        </w:rPr>
        <w:t xml:space="preserve">short_title: </w:t>
      </w:r>
      <w:r w:rsidRPr="009D5980">
        <w:rPr>
          <w:rFonts w:ascii="Times New Roman" w:hAnsi="Times New Roman" w:cs="Times New Roman"/>
          <w:sz w:val="22"/>
          <w:szCs w:val="22"/>
        </w:rPr>
        <w:t>Sustainable Trajectories</w:t>
      </w:r>
    </w:p>
    <w:p w14:paraId="4695FA0B" w14:textId="52B24822" w:rsidR="008E651F" w:rsidRPr="009D5980" w:rsidRDefault="008E651F" w:rsidP="009D5980">
      <w:pPr>
        <w:spacing w:line="480" w:lineRule="auto"/>
        <w:rPr>
          <w:rFonts w:ascii="Times New Roman" w:hAnsi="Times New Roman" w:cs="Times New Roman"/>
        </w:rPr>
      </w:pPr>
    </w:p>
    <w:p w14:paraId="7C22D52A" w14:textId="77777777" w:rsidR="0035604D" w:rsidRDefault="0035604D" w:rsidP="009D5980">
      <w:pPr>
        <w:spacing w:line="480" w:lineRule="auto"/>
        <w:rPr>
          <w:rStyle w:val="Heading1Char"/>
        </w:rPr>
      </w:pPr>
    </w:p>
    <w:p w14:paraId="1C8629B4" w14:textId="3ECEDF95" w:rsidR="008E651F" w:rsidRPr="009D5980" w:rsidRDefault="0035604D" w:rsidP="009D5980">
      <w:pPr>
        <w:spacing w:line="480" w:lineRule="auto"/>
        <w:rPr>
          <w:rFonts w:ascii="Times New Roman" w:hAnsi="Times New Roman" w:cs="Times New Roman"/>
        </w:rPr>
      </w:pPr>
      <w:r w:rsidRPr="0035604D">
        <w:rPr>
          <w:rStyle w:val="Heading1Char"/>
          <w:b w:val="0"/>
          <w:bCs w:val="0"/>
          <w:highlight w:val="yellow"/>
        </w:rPr>
        <w:t>&lt;A-head&gt;</w:t>
      </w:r>
      <w:r>
        <w:rPr>
          <w:rStyle w:val="Heading1Char"/>
        </w:rPr>
        <w:t xml:space="preserve"> </w:t>
      </w:r>
      <w:r w:rsidR="008E651F" w:rsidRPr="009D5980">
        <w:rPr>
          <w:rStyle w:val="Heading1Char"/>
        </w:rPr>
        <w:t>Introduction</w:t>
      </w:r>
    </w:p>
    <w:p w14:paraId="0DA0468D" w14:textId="473AD7B8" w:rsidR="007C1162" w:rsidRPr="009D5980" w:rsidRDefault="008E651F" w:rsidP="009D5980">
      <w:pPr>
        <w:spacing w:line="480" w:lineRule="auto"/>
        <w:rPr>
          <w:rFonts w:ascii="Times New Roman" w:hAnsi="Times New Roman" w:cs="Times New Roman"/>
        </w:rPr>
      </w:pPr>
      <w:r w:rsidRPr="009D5980">
        <w:rPr>
          <w:rFonts w:ascii="Times New Roman" w:hAnsi="Times New Roman" w:cs="Times New Roman"/>
        </w:rPr>
        <w:t>In his</w:t>
      </w:r>
      <w:r w:rsidR="00300AF8" w:rsidRPr="009D5980">
        <w:rPr>
          <w:rFonts w:ascii="Times New Roman" w:hAnsi="Times New Roman" w:cs="Times New Roman"/>
        </w:rPr>
        <w:t xml:space="preserve"> essay</w:t>
      </w:r>
      <w:r w:rsidRPr="009D5980">
        <w:rPr>
          <w:rFonts w:ascii="Times New Roman" w:hAnsi="Times New Roman" w:cs="Times New Roman"/>
        </w:rPr>
        <w:t xml:space="preserve"> “Three Days that Changed Conservation,” David Bomford reflected upon the circumstances surrounding the 1974 Conference on Comparative Lining Techniques and its status as an important inflection point in the history of paintings conservation: “It was the beginning of a new precision, a new refinement, and it heralded a new technical intelligence in targeting conservation treatments …. Greenwich was when conservation came of age”</w:t>
      </w:r>
      <w:r w:rsidR="007C1162" w:rsidRPr="009D5980">
        <w:rPr>
          <w:rFonts w:ascii="Times New Roman" w:hAnsi="Times New Roman" w:cs="Times New Roman"/>
        </w:rPr>
        <w:t xml:space="preserve"> ({</w:t>
      </w:r>
      <w:r w:rsidR="009D5980">
        <w:rPr>
          <w:rFonts w:ascii="Times New Roman" w:hAnsi="Times New Roman" w:cs="Times New Roman"/>
        </w:rPr>
        <w:t>{</w:t>
      </w:r>
      <w:r w:rsidR="007C1162" w:rsidRPr="009D5980">
        <w:rPr>
          <w:rFonts w:ascii="Times New Roman" w:hAnsi="Times New Roman" w:cs="Times New Roman"/>
        </w:rPr>
        <w:t xml:space="preserve">Bomford 2017|, </w:t>
      </w:r>
      <w:r w:rsidR="00224D32" w:rsidRPr="009D5980">
        <w:rPr>
          <w:rFonts w:ascii="Times New Roman" w:hAnsi="Times New Roman" w:cs="Times New Roman"/>
        </w:rPr>
        <w:t>1</w:t>
      </w:r>
      <w:r w:rsidR="007C1162" w:rsidRPr="009D5980">
        <w:rPr>
          <w:rFonts w:ascii="Times New Roman" w:hAnsi="Times New Roman" w:cs="Times New Roman"/>
        </w:rPr>
        <w:t>}</w:t>
      </w:r>
      <w:r w:rsidR="009D5980">
        <w:rPr>
          <w:rFonts w:ascii="Times New Roman" w:hAnsi="Times New Roman" w:cs="Times New Roman"/>
        </w:rPr>
        <w:t>}</w:t>
      </w:r>
      <w:r w:rsidR="007C1162" w:rsidRPr="009D5980">
        <w:rPr>
          <w:rFonts w:ascii="Times New Roman" w:hAnsi="Times New Roman" w:cs="Times New Roman"/>
        </w:rPr>
        <w:t>)</w:t>
      </w:r>
      <w:r w:rsidR="00300AF8" w:rsidRPr="009D5980">
        <w:rPr>
          <w:rFonts w:ascii="Times New Roman" w:hAnsi="Times New Roman" w:cs="Times New Roman"/>
        </w:rPr>
        <w:t>.</w:t>
      </w:r>
      <w:r w:rsidRPr="009D5980">
        <w:rPr>
          <w:rFonts w:ascii="Times New Roman" w:hAnsi="Times New Roman" w:cs="Times New Roman"/>
        </w:rPr>
        <w:t xml:space="preserve"> What followed was a proliferation of approaches to treatment, coincident adoption of new materials, and a need for supportive fundamental and practical research. </w:t>
      </w:r>
    </w:p>
    <w:p w14:paraId="044AF293" w14:textId="3F840356" w:rsidR="008E651F" w:rsidRPr="009D5980" w:rsidRDefault="007C1162" w:rsidP="009D5980">
      <w:pPr>
        <w:spacing w:line="480" w:lineRule="auto"/>
        <w:rPr>
          <w:rFonts w:ascii="Times New Roman" w:hAnsi="Times New Roman" w:cs="Times New Roman"/>
        </w:rPr>
      </w:pPr>
      <w:r w:rsidRPr="009D5980">
        <w:rPr>
          <w:rFonts w:ascii="Times New Roman" w:hAnsi="Times New Roman" w:cs="Times New Roman"/>
        </w:rPr>
        <w:tab/>
      </w:r>
      <w:r w:rsidR="008E651F" w:rsidRPr="009D5980">
        <w:rPr>
          <w:rFonts w:ascii="Times New Roman" w:hAnsi="Times New Roman" w:cs="Times New Roman"/>
        </w:rPr>
        <w:t xml:space="preserve">The past </w:t>
      </w:r>
      <w:r w:rsidR="009D5980">
        <w:rPr>
          <w:rFonts w:ascii="Times New Roman" w:hAnsi="Times New Roman" w:cs="Times New Roman"/>
        </w:rPr>
        <w:t>forty-five</w:t>
      </w:r>
      <w:r w:rsidR="008E651F" w:rsidRPr="009D5980">
        <w:rPr>
          <w:rFonts w:ascii="Times New Roman" w:hAnsi="Times New Roman" w:cs="Times New Roman"/>
        </w:rPr>
        <w:t xml:space="preserve"> years have seen technical refinements of traditional methods, changes in the ways that conservators communicate the nuances of structural treatment, engineering of new purpose-built equipment for lining and alternatives to lining, development of new approaches to lining, changes in material formulations, adoption of sophisticated research instrumentation, and increased international exchange of information. While the advances have been numerous, the challenges ahead are equally numerous and increasingly formidable. This </w:t>
      </w:r>
      <w:r w:rsidR="008E651F" w:rsidRPr="009D5980">
        <w:rPr>
          <w:rFonts w:ascii="Times New Roman" w:hAnsi="Times New Roman" w:cs="Times New Roman"/>
        </w:rPr>
        <w:lastRenderedPageBreak/>
        <w:t>paper attempts to anticipate some of these significant challenges and to provide a framework for sustainable collaborative efforts to address future difficulties.</w:t>
      </w:r>
    </w:p>
    <w:p w14:paraId="796DDA74" w14:textId="06629193" w:rsidR="008E651F" w:rsidRPr="009D5980" w:rsidRDefault="008E651F" w:rsidP="009D5980">
      <w:pPr>
        <w:spacing w:line="480" w:lineRule="auto"/>
        <w:rPr>
          <w:rFonts w:ascii="Times New Roman" w:hAnsi="Times New Roman" w:cs="Times New Roman"/>
        </w:rPr>
      </w:pPr>
    </w:p>
    <w:p w14:paraId="0E776A94" w14:textId="56C2C419" w:rsidR="008E651F" w:rsidRPr="009D5980" w:rsidRDefault="0035604D" w:rsidP="009D5980">
      <w:pPr>
        <w:pStyle w:val="Heading1"/>
      </w:pPr>
      <w:r w:rsidRPr="0035604D">
        <w:rPr>
          <w:b w:val="0"/>
          <w:bCs w:val="0"/>
          <w:highlight w:val="yellow"/>
        </w:rPr>
        <w:t>&lt;A-head&gt;</w:t>
      </w:r>
      <w:r>
        <w:t xml:space="preserve"> </w:t>
      </w:r>
      <w:r w:rsidR="008E651F" w:rsidRPr="009D5980">
        <w:t>The Current State of Terminology</w:t>
      </w:r>
    </w:p>
    <w:p w14:paraId="175B61D1" w14:textId="7623362C" w:rsidR="0002081D" w:rsidRPr="009D5980" w:rsidRDefault="008E651F" w:rsidP="009D5980">
      <w:pPr>
        <w:autoSpaceDE w:val="0"/>
        <w:autoSpaceDN w:val="0"/>
        <w:adjustRightInd w:val="0"/>
        <w:spacing w:line="480" w:lineRule="auto"/>
        <w:rPr>
          <w:rFonts w:ascii="Times New Roman" w:hAnsi="Times New Roman" w:cs="Times New Roman"/>
          <w:color w:val="000000"/>
        </w:rPr>
      </w:pPr>
      <w:r w:rsidRPr="009D5980">
        <w:rPr>
          <w:rFonts w:ascii="Times New Roman" w:hAnsi="Times New Roman" w:cs="Times New Roman"/>
          <w:color w:val="000000"/>
        </w:rPr>
        <w:t>One of the efforts of the Greenwich conference proceedings was the production of a handbook of terms used in the lining of paintings</w:t>
      </w:r>
      <w:r w:rsidR="003360C7" w:rsidRPr="009D5980">
        <w:rPr>
          <w:rFonts w:ascii="Times New Roman" w:hAnsi="Times New Roman" w:cs="Times New Roman"/>
          <w:color w:val="000000"/>
        </w:rPr>
        <w:t>—</w:t>
      </w:r>
      <w:r w:rsidRPr="009D5980">
        <w:rPr>
          <w:rFonts w:ascii="Times New Roman" w:hAnsi="Times New Roman" w:cs="Times New Roman"/>
          <w:color w:val="000000"/>
        </w:rPr>
        <w:t xml:space="preserve">an attempt to define about </w:t>
      </w:r>
      <w:r w:rsidR="003360C7" w:rsidRPr="009D5980">
        <w:rPr>
          <w:rFonts w:ascii="Times New Roman" w:hAnsi="Times New Roman" w:cs="Times New Roman"/>
          <w:color w:val="000000"/>
        </w:rPr>
        <w:t xml:space="preserve">three hundred </w:t>
      </w:r>
      <w:r w:rsidRPr="009D5980">
        <w:rPr>
          <w:rFonts w:ascii="Times New Roman" w:hAnsi="Times New Roman" w:cs="Times New Roman"/>
          <w:color w:val="000000"/>
        </w:rPr>
        <w:t xml:space="preserve">terms so that conservators from different countries and different lining traditions and philosophies could communicate effectively. This handbook was reproduced for subsequent conferences and seminars, and it is included as a glossary in the volume </w:t>
      </w:r>
      <w:r w:rsidR="0004712A" w:rsidRPr="009D5980">
        <w:rPr>
          <w:rFonts w:ascii="Times New Roman" w:hAnsi="Times New Roman" w:cs="Times New Roman"/>
          <w:color w:val="000000"/>
        </w:rPr>
        <w:t xml:space="preserve">republished nearly 20 years ago </w:t>
      </w:r>
      <w:r w:rsidR="007C1162" w:rsidRPr="009D5980">
        <w:rPr>
          <w:rFonts w:ascii="Times New Roman" w:hAnsi="Times New Roman" w:cs="Times New Roman"/>
          <w:color w:val="000000"/>
        </w:rPr>
        <w:t>({</w:t>
      </w:r>
      <w:r w:rsidR="00557964">
        <w:rPr>
          <w:rFonts w:ascii="Times New Roman" w:hAnsi="Times New Roman" w:cs="Times New Roman"/>
          <w:color w:val="000000"/>
        </w:rPr>
        <w:t>{</w:t>
      </w:r>
      <w:r w:rsidRPr="009D5980">
        <w:rPr>
          <w:rFonts w:ascii="Times New Roman" w:hAnsi="Times New Roman" w:cs="Times New Roman"/>
          <w:color w:val="000000"/>
        </w:rPr>
        <w:t>Villers</w:t>
      </w:r>
      <w:r w:rsidR="007C1162" w:rsidRPr="009D5980">
        <w:rPr>
          <w:rFonts w:ascii="Times New Roman" w:hAnsi="Times New Roman" w:cs="Times New Roman"/>
          <w:color w:val="000000"/>
        </w:rPr>
        <w:t xml:space="preserve"> 2003</w:t>
      </w:r>
      <w:r w:rsidR="00A84340">
        <w:rPr>
          <w:rFonts w:ascii="Times New Roman" w:hAnsi="Times New Roman" w:cs="Times New Roman"/>
          <w:color w:val="000000"/>
        </w:rPr>
        <w:t>b</w:t>
      </w:r>
      <w:r w:rsidR="007C1162" w:rsidRPr="009D5980">
        <w:rPr>
          <w:rFonts w:ascii="Times New Roman" w:hAnsi="Times New Roman" w:cs="Times New Roman"/>
          <w:color w:val="000000"/>
        </w:rPr>
        <w:t>}</w:t>
      </w:r>
      <w:r w:rsidR="00557964">
        <w:rPr>
          <w:rFonts w:ascii="Times New Roman" w:hAnsi="Times New Roman" w:cs="Times New Roman"/>
          <w:color w:val="000000"/>
        </w:rPr>
        <w:t>}</w:t>
      </w:r>
      <w:r w:rsidR="007C1162" w:rsidRPr="009D5980">
        <w:rPr>
          <w:rFonts w:ascii="Times New Roman" w:hAnsi="Times New Roman" w:cs="Times New Roman"/>
          <w:color w:val="000000"/>
        </w:rPr>
        <w:t>)</w:t>
      </w:r>
      <w:r w:rsidR="0002081D" w:rsidRPr="009D5980">
        <w:rPr>
          <w:rFonts w:ascii="Times New Roman" w:hAnsi="Times New Roman" w:cs="Times New Roman"/>
          <w:color w:val="000000"/>
        </w:rPr>
        <w:t>.</w:t>
      </w:r>
      <w:r w:rsidRPr="009D5980">
        <w:rPr>
          <w:rFonts w:ascii="Times New Roman" w:hAnsi="Times New Roman" w:cs="Times New Roman"/>
          <w:color w:val="000000"/>
        </w:rPr>
        <w:t xml:space="preserve"> </w:t>
      </w:r>
      <w:r w:rsidR="0002081D" w:rsidRPr="009D5980">
        <w:rPr>
          <w:rFonts w:ascii="Times New Roman" w:hAnsi="Times New Roman" w:cs="Times New Roman"/>
          <w:color w:val="000000"/>
        </w:rPr>
        <w:t xml:space="preserve">Despite </w:t>
      </w:r>
      <w:r w:rsidR="0004712A" w:rsidRPr="009D5980">
        <w:rPr>
          <w:rFonts w:ascii="Times New Roman" w:hAnsi="Times New Roman" w:cs="Times New Roman"/>
          <w:color w:val="000000"/>
        </w:rPr>
        <w:t xml:space="preserve">the handbook’s </w:t>
      </w:r>
      <w:r w:rsidR="0002081D" w:rsidRPr="009D5980">
        <w:rPr>
          <w:rFonts w:ascii="Times New Roman" w:hAnsi="Times New Roman" w:cs="Times New Roman"/>
          <w:color w:val="000000"/>
        </w:rPr>
        <w:t>status as a key resource in the training of paintings conservators, and despite international efforts to standardize terminology</w:t>
      </w:r>
      <w:r w:rsidR="0002081D" w:rsidRPr="009D5980">
        <w:rPr>
          <w:rStyle w:val="EndnoteReference"/>
          <w:rFonts w:ascii="Times New Roman" w:hAnsi="Times New Roman" w:cs="Times New Roman"/>
          <w:color w:val="000000"/>
        </w:rPr>
        <w:t xml:space="preserve"> </w:t>
      </w:r>
      <w:r w:rsidR="0002081D" w:rsidRPr="009D5980">
        <w:rPr>
          <w:rFonts w:ascii="Times New Roman" w:hAnsi="Times New Roman" w:cs="Times New Roman"/>
          <w:color w:val="000000"/>
        </w:rPr>
        <w:t>in the realm of conservation of cultural heritage,</w:t>
      </w:r>
      <w:r w:rsidR="0002081D" w:rsidRPr="009D5980">
        <w:rPr>
          <w:rStyle w:val="EndnoteReference"/>
          <w:rFonts w:ascii="Times New Roman" w:hAnsi="Times New Roman" w:cs="Times New Roman"/>
          <w:color w:val="000000"/>
        </w:rPr>
        <w:endnoteReference w:id="1"/>
      </w:r>
      <w:r w:rsidR="0002081D" w:rsidRPr="009D5980">
        <w:rPr>
          <w:rFonts w:ascii="Times New Roman" w:hAnsi="Times New Roman" w:cs="Times New Roman"/>
          <w:color w:val="000000"/>
        </w:rPr>
        <w:t xml:space="preserve"> Cecil Krarup Andersen found in 2012 that the frequency of deviations from terminology established in the Greenwich Handbook increased with the passage of time in English-language publications included in AATA</w:t>
      </w:r>
      <w:r w:rsidR="0004712A" w:rsidRPr="009D5980">
        <w:rPr>
          <w:rFonts w:ascii="Times New Roman" w:hAnsi="Times New Roman" w:cs="Times New Roman"/>
          <w:color w:val="000000"/>
        </w:rPr>
        <w:t xml:space="preserve"> ({</w:t>
      </w:r>
      <w:r w:rsidR="00557964">
        <w:rPr>
          <w:rFonts w:ascii="Times New Roman" w:hAnsi="Times New Roman" w:cs="Times New Roman"/>
          <w:color w:val="000000"/>
        </w:rPr>
        <w:t>{</w:t>
      </w:r>
      <w:r w:rsidR="0004712A" w:rsidRPr="009D5980">
        <w:rPr>
          <w:rFonts w:ascii="Times New Roman" w:hAnsi="Times New Roman" w:cs="Times New Roman"/>
          <w:color w:val="000000"/>
        </w:rPr>
        <w:t>Andersen 2012}</w:t>
      </w:r>
      <w:r w:rsidR="00557964">
        <w:rPr>
          <w:rFonts w:ascii="Times New Roman" w:hAnsi="Times New Roman" w:cs="Times New Roman"/>
          <w:color w:val="000000"/>
        </w:rPr>
        <w:t>}</w:t>
      </w:r>
      <w:r w:rsidR="0004712A" w:rsidRPr="009D5980">
        <w:rPr>
          <w:rFonts w:ascii="Times New Roman" w:hAnsi="Times New Roman" w:cs="Times New Roman"/>
          <w:color w:val="000000"/>
        </w:rPr>
        <w:t>)</w:t>
      </w:r>
      <w:r w:rsidR="0002081D" w:rsidRPr="009D5980">
        <w:rPr>
          <w:rFonts w:ascii="Times New Roman" w:hAnsi="Times New Roman" w:cs="Times New Roman"/>
          <w:color w:val="000000"/>
        </w:rPr>
        <w:t xml:space="preserve">. </w:t>
      </w:r>
    </w:p>
    <w:p w14:paraId="3CDF07A7" w14:textId="1C252D73" w:rsidR="00763E00" w:rsidRPr="009D5980" w:rsidRDefault="0004712A" w:rsidP="009D5980">
      <w:pPr>
        <w:autoSpaceDE w:val="0"/>
        <w:autoSpaceDN w:val="0"/>
        <w:adjustRightInd w:val="0"/>
        <w:spacing w:line="480" w:lineRule="auto"/>
        <w:rPr>
          <w:rFonts w:ascii="Times New Roman" w:hAnsi="Times New Roman" w:cs="Times New Roman"/>
          <w:color w:val="000000"/>
        </w:rPr>
      </w:pPr>
      <w:r w:rsidRPr="009D5980">
        <w:rPr>
          <w:rFonts w:ascii="Times New Roman" w:hAnsi="Times New Roman" w:cs="Times New Roman"/>
          <w:color w:val="000000"/>
        </w:rPr>
        <w:tab/>
      </w:r>
      <w:r w:rsidR="0002081D" w:rsidRPr="009D5980">
        <w:rPr>
          <w:rFonts w:ascii="Times New Roman" w:hAnsi="Times New Roman" w:cs="Times New Roman"/>
          <w:color w:val="000000"/>
        </w:rPr>
        <w:t xml:space="preserve">The reasons behind these deviations are many. Given the adoption of English as </w:t>
      </w:r>
      <w:r w:rsidR="00763E00" w:rsidRPr="009D5980">
        <w:rPr>
          <w:rFonts w:ascii="Times New Roman" w:hAnsi="Times New Roman" w:cs="Times New Roman"/>
          <w:color w:val="000000"/>
        </w:rPr>
        <w:t>a</w:t>
      </w:r>
      <w:r w:rsidR="0002081D" w:rsidRPr="009D5980">
        <w:rPr>
          <w:rFonts w:ascii="Times New Roman" w:hAnsi="Times New Roman" w:cs="Times New Roman"/>
          <w:color w:val="000000"/>
        </w:rPr>
        <w:t xml:space="preserve"> </w:t>
      </w:r>
      <w:r w:rsidR="003360C7" w:rsidRPr="009D5980">
        <w:rPr>
          <w:rFonts w:ascii="Times New Roman" w:hAnsi="Times New Roman" w:cs="Times New Roman"/>
          <w:color w:val="000000"/>
        </w:rPr>
        <w:t>l</w:t>
      </w:r>
      <w:r w:rsidR="0002081D" w:rsidRPr="009D5980">
        <w:rPr>
          <w:rFonts w:ascii="Times New Roman" w:hAnsi="Times New Roman" w:cs="Times New Roman"/>
          <w:color w:val="000000"/>
        </w:rPr>
        <w:t xml:space="preserve">ingua </w:t>
      </w:r>
      <w:r w:rsidR="003360C7" w:rsidRPr="009D5980">
        <w:rPr>
          <w:rFonts w:ascii="Times New Roman" w:hAnsi="Times New Roman" w:cs="Times New Roman"/>
          <w:color w:val="000000"/>
        </w:rPr>
        <w:t>f</w:t>
      </w:r>
      <w:r w:rsidR="0002081D" w:rsidRPr="009D5980">
        <w:rPr>
          <w:rFonts w:ascii="Times New Roman" w:hAnsi="Times New Roman" w:cs="Times New Roman"/>
          <w:color w:val="000000"/>
        </w:rPr>
        <w:t>ranca in conservation</w:t>
      </w:r>
      <w:r w:rsidR="00763E00" w:rsidRPr="009D5980">
        <w:rPr>
          <w:rFonts w:ascii="Times New Roman" w:hAnsi="Times New Roman" w:cs="Times New Roman"/>
          <w:color w:val="000000"/>
        </w:rPr>
        <w:t xml:space="preserve"> literature</w:t>
      </w:r>
      <w:r w:rsidR="0002081D" w:rsidRPr="009D5980">
        <w:rPr>
          <w:rFonts w:ascii="Times New Roman" w:hAnsi="Times New Roman" w:cs="Times New Roman"/>
          <w:color w:val="000000"/>
        </w:rPr>
        <w:t>, Andersen and others have noted the persistence of English cognates in different lining traditions, resulting in a collection of terms having essentially the same meaning</w:t>
      </w:r>
      <w:r w:rsidR="003360C7" w:rsidRPr="009D5980">
        <w:rPr>
          <w:rFonts w:ascii="Times New Roman" w:hAnsi="Times New Roman" w:cs="Times New Roman"/>
          <w:color w:val="000000"/>
        </w:rPr>
        <w:t>:</w:t>
      </w:r>
      <w:r w:rsidR="0002081D" w:rsidRPr="009D5980">
        <w:rPr>
          <w:rFonts w:ascii="Times New Roman" w:hAnsi="Times New Roman" w:cs="Times New Roman"/>
          <w:color w:val="000000"/>
        </w:rPr>
        <w:t xml:space="preserve"> lining, relining, doubling, and redoubling, for example. Additionally, the introduction of new materials and innovative approaches to treatment have given rise to adjustments to classical terminology and the creation of new terms and variants. Further confusion can result from techniques falling under umbrella terms while being fundamentally different procedures. For example, the thread-by-thread tear</w:t>
      </w:r>
      <w:r w:rsidR="00587C9A" w:rsidRPr="009D5980">
        <w:rPr>
          <w:rFonts w:ascii="Times New Roman" w:hAnsi="Times New Roman" w:cs="Times New Roman"/>
          <w:color w:val="000000"/>
        </w:rPr>
        <w:t>-</w:t>
      </w:r>
      <w:r w:rsidR="0002081D" w:rsidRPr="009D5980">
        <w:rPr>
          <w:rFonts w:ascii="Times New Roman" w:hAnsi="Times New Roman" w:cs="Times New Roman"/>
          <w:color w:val="000000"/>
        </w:rPr>
        <w:t xml:space="preserve">mending techniques first described by Winfried </w:t>
      </w:r>
      <w:proofErr w:type="spellStart"/>
      <w:r w:rsidR="0002081D" w:rsidRPr="009D5980">
        <w:rPr>
          <w:rFonts w:ascii="Times New Roman" w:hAnsi="Times New Roman" w:cs="Times New Roman"/>
          <w:color w:val="000000"/>
        </w:rPr>
        <w:t>Heiber</w:t>
      </w:r>
      <w:proofErr w:type="spellEnd"/>
      <w:r w:rsidRPr="009D5980">
        <w:rPr>
          <w:rFonts w:ascii="Times New Roman" w:hAnsi="Times New Roman" w:cs="Times New Roman"/>
          <w:color w:val="000000"/>
        </w:rPr>
        <w:t xml:space="preserve"> ({</w:t>
      </w:r>
      <w:r w:rsidR="00557964">
        <w:rPr>
          <w:rFonts w:ascii="Times New Roman" w:hAnsi="Times New Roman" w:cs="Times New Roman"/>
          <w:color w:val="000000"/>
        </w:rPr>
        <w:t>{</w:t>
      </w:r>
      <w:proofErr w:type="spellStart"/>
      <w:r w:rsidRPr="009D5980">
        <w:rPr>
          <w:rFonts w:ascii="Times New Roman" w:hAnsi="Times New Roman" w:cs="Times New Roman"/>
          <w:color w:val="000000"/>
        </w:rPr>
        <w:t>Heiber</w:t>
      </w:r>
      <w:proofErr w:type="spellEnd"/>
      <w:r w:rsidRPr="009D5980">
        <w:rPr>
          <w:rFonts w:ascii="Times New Roman" w:hAnsi="Times New Roman" w:cs="Times New Roman"/>
          <w:color w:val="000000"/>
        </w:rPr>
        <w:t xml:space="preserve"> 2003}</w:t>
      </w:r>
      <w:r w:rsidR="00557964">
        <w:rPr>
          <w:rFonts w:ascii="Times New Roman" w:hAnsi="Times New Roman" w:cs="Times New Roman"/>
          <w:color w:val="000000"/>
        </w:rPr>
        <w:t>}</w:t>
      </w:r>
      <w:r w:rsidRPr="009D5980">
        <w:rPr>
          <w:rFonts w:ascii="Times New Roman" w:hAnsi="Times New Roman" w:cs="Times New Roman"/>
          <w:color w:val="000000"/>
        </w:rPr>
        <w:t>)</w:t>
      </w:r>
      <w:r w:rsidR="00587C9A" w:rsidRPr="009D5980">
        <w:rPr>
          <w:rFonts w:ascii="Times New Roman" w:hAnsi="Times New Roman" w:cs="Times New Roman"/>
          <w:color w:val="000000"/>
        </w:rPr>
        <w:t>,</w:t>
      </w:r>
      <w:r w:rsidR="0002081D" w:rsidRPr="009D5980">
        <w:rPr>
          <w:rFonts w:ascii="Times New Roman" w:hAnsi="Times New Roman" w:cs="Times New Roman"/>
          <w:color w:val="000000"/>
        </w:rPr>
        <w:t xml:space="preserve"> and adapted by Petra Demuth and others</w:t>
      </w:r>
      <w:r w:rsidR="00587C9A" w:rsidRPr="009D5980">
        <w:rPr>
          <w:rFonts w:ascii="Times New Roman" w:hAnsi="Times New Roman" w:cs="Times New Roman"/>
          <w:color w:val="000000"/>
        </w:rPr>
        <w:t>,</w:t>
      </w:r>
      <w:r w:rsidR="0002081D" w:rsidRPr="009D5980">
        <w:rPr>
          <w:rFonts w:ascii="Times New Roman" w:hAnsi="Times New Roman" w:cs="Times New Roman"/>
          <w:color w:val="000000"/>
        </w:rPr>
        <w:t xml:space="preserve"> have </w:t>
      </w:r>
      <w:r w:rsidR="0002081D" w:rsidRPr="009D5980">
        <w:rPr>
          <w:rFonts w:ascii="Times New Roman" w:hAnsi="Times New Roman" w:cs="Times New Roman"/>
          <w:color w:val="000000"/>
        </w:rPr>
        <w:lastRenderedPageBreak/>
        <w:t xml:space="preserve">influenced the development of various bridging and reweaving techniques for the stabilization and reestablishment of tension in torn supports. Of the two, reweaving may be more consistent with Heiber’s approach, yet both approaches may be described as </w:t>
      </w:r>
      <w:bookmarkStart w:id="0" w:name="_Hlk92708924"/>
      <w:r w:rsidR="0002081D" w:rsidRPr="009D5980">
        <w:rPr>
          <w:rFonts w:ascii="Times New Roman" w:hAnsi="Times New Roman" w:cs="Times New Roman"/>
          <w:color w:val="000000"/>
        </w:rPr>
        <w:t>thread-by-thread tear mending or a modified Heiber technique</w:t>
      </w:r>
      <w:bookmarkEnd w:id="0"/>
      <w:r w:rsidRPr="009D5980">
        <w:rPr>
          <w:rFonts w:ascii="Times New Roman" w:hAnsi="Times New Roman" w:cs="Times New Roman"/>
          <w:color w:val="000000"/>
        </w:rPr>
        <w:t>.</w:t>
      </w:r>
      <w:r w:rsidR="00763E00" w:rsidRPr="009D5980">
        <w:rPr>
          <w:rFonts w:ascii="Times New Roman" w:hAnsi="Times New Roman" w:cs="Times New Roman"/>
          <w:color w:val="000000"/>
        </w:rPr>
        <w:t xml:space="preserve"> </w:t>
      </w:r>
    </w:p>
    <w:p w14:paraId="1DD34E21" w14:textId="4440F217" w:rsidR="0002081D" w:rsidRPr="009D5980" w:rsidRDefault="0004712A" w:rsidP="009D5980">
      <w:pPr>
        <w:autoSpaceDE w:val="0"/>
        <w:autoSpaceDN w:val="0"/>
        <w:adjustRightInd w:val="0"/>
        <w:spacing w:line="480" w:lineRule="auto"/>
        <w:rPr>
          <w:rFonts w:ascii="Times New Roman" w:hAnsi="Times New Roman" w:cs="Times New Roman"/>
          <w:color w:val="000000"/>
        </w:rPr>
      </w:pPr>
      <w:r w:rsidRPr="009D5980">
        <w:rPr>
          <w:rFonts w:ascii="Times New Roman" w:hAnsi="Times New Roman" w:cs="Times New Roman"/>
          <w:color w:val="000000"/>
        </w:rPr>
        <w:tab/>
      </w:r>
      <w:r w:rsidR="00763E00" w:rsidRPr="009D5980">
        <w:rPr>
          <w:rFonts w:ascii="Times New Roman" w:hAnsi="Times New Roman" w:cs="Times New Roman"/>
          <w:color w:val="000000"/>
        </w:rPr>
        <w:t>One might suggest that our terminology has sprawled</w:t>
      </w:r>
      <w:r w:rsidR="00587C9A" w:rsidRPr="009D5980">
        <w:rPr>
          <w:rFonts w:ascii="Times New Roman" w:hAnsi="Times New Roman" w:cs="Times New Roman"/>
          <w:color w:val="000000"/>
        </w:rPr>
        <w:t xml:space="preserve"> due to</w:t>
      </w:r>
      <w:r w:rsidR="00763E00" w:rsidRPr="009D5980">
        <w:rPr>
          <w:rFonts w:ascii="Times New Roman" w:hAnsi="Times New Roman" w:cs="Times New Roman"/>
          <w:color w:val="000000"/>
        </w:rPr>
        <w:t xml:space="preserve"> </w:t>
      </w:r>
      <w:r w:rsidR="00587C9A" w:rsidRPr="009D5980">
        <w:rPr>
          <w:rFonts w:ascii="Times New Roman" w:hAnsi="Times New Roman" w:cs="Times New Roman"/>
          <w:color w:val="000000"/>
        </w:rPr>
        <w:t xml:space="preserve">the </w:t>
      </w:r>
      <w:r w:rsidR="00763E00" w:rsidRPr="009D5980">
        <w:rPr>
          <w:rFonts w:ascii="Times New Roman" w:hAnsi="Times New Roman" w:cs="Times New Roman"/>
          <w:color w:val="000000"/>
        </w:rPr>
        <w:t xml:space="preserve">lack of an explicit, unified imperative for international consistency. Inconsistent terminology may be cause for alarm; however, this “problem” is a natural consequence of parallel research and practical innovation </w:t>
      </w:r>
      <w:r w:rsidR="00587C9A" w:rsidRPr="009D5980">
        <w:rPr>
          <w:rFonts w:ascii="Times New Roman" w:hAnsi="Times New Roman" w:cs="Times New Roman"/>
          <w:color w:val="000000"/>
        </w:rPr>
        <w:t xml:space="preserve">that </w:t>
      </w:r>
      <w:r w:rsidR="00763E00" w:rsidRPr="009D5980">
        <w:rPr>
          <w:rFonts w:ascii="Times New Roman" w:hAnsi="Times New Roman" w:cs="Times New Roman"/>
          <w:color w:val="000000"/>
        </w:rPr>
        <w:t>leverag</w:t>
      </w:r>
      <w:r w:rsidR="00587C9A" w:rsidRPr="009D5980">
        <w:rPr>
          <w:rFonts w:ascii="Times New Roman" w:hAnsi="Times New Roman" w:cs="Times New Roman"/>
          <w:color w:val="000000"/>
        </w:rPr>
        <w:t>es</w:t>
      </w:r>
      <w:r w:rsidR="00763E00" w:rsidRPr="009D5980">
        <w:rPr>
          <w:rFonts w:ascii="Times New Roman" w:hAnsi="Times New Roman" w:cs="Times New Roman"/>
          <w:color w:val="000000"/>
        </w:rPr>
        <w:t xml:space="preserve"> the material traditions of varied regional practice. The expansion of our shared lexicon and authors’ apparent agency to redefine accepted terminology suggests that the international community has engaged in rapid adoption of new techniques and materials to such a degree that flexibility has been valued over rigid language structures. To stifle experimental creativity by imposing specific linguistic constraints could strip some of the nuance from technical descriptions of practical applications</w:t>
      </w:r>
      <w:r w:rsidR="00587C9A" w:rsidRPr="009D5980">
        <w:rPr>
          <w:rFonts w:ascii="Times New Roman" w:hAnsi="Times New Roman" w:cs="Times New Roman"/>
          <w:color w:val="000000"/>
        </w:rPr>
        <w:t>—</w:t>
      </w:r>
      <w:r w:rsidR="00763E00" w:rsidRPr="009D5980">
        <w:rPr>
          <w:rFonts w:ascii="Times New Roman" w:hAnsi="Times New Roman" w:cs="Times New Roman"/>
          <w:color w:val="000000"/>
        </w:rPr>
        <w:t>particularly if those communications originate from outside of English-speaking traditions. If the trajectory of modern structural treatment is founded upon flexible decision-making trees</w:t>
      </w:r>
      <w:r w:rsidR="00587C9A" w:rsidRPr="009D5980">
        <w:rPr>
          <w:rFonts w:ascii="Times New Roman" w:hAnsi="Times New Roman" w:cs="Times New Roman"/>
          <w:color w:val="000000"/>
        </w:rPr>
        <w:t>—</w:t>
      </w:r>
      <w:r w:rsidR="00763E00" w:rsidRPr="009D5980">
        <w:rPr>
          <w:rFonts w:ascii="Times New Roman" w:hAnsi="Times New Roman" w:cs="Times New Roman"/>
          <w:color w:val="000000"/>
        </w:rPr>
        <w:t>an intentional move away from prescriptive treatment</w:t>
      </w:r>
      <w:r w:rsidR="00587C9A" w:rsidRPr="009D5980">
        <w:rPr>
          <w:rFonts w:ascii="Times New Roman" w:hAnsi="Times New Roman" w:cs="Times New Roman"/>
          <w:color w:val="000000"/>
        </w:rPr>
        <w:t>—</w:t>
      </w:r>
      <w:r w:rsidR="00763E00" w:rsidRPr="009D5980">
        <w:rPr>
          <w:rFonts w:ascii="Times New Roman" w:hAnsi="Times New Roman" w:cs="Times New Roman"/>
          <w:color w:val="000000"/>
        </w:rPr>
        <w:t>then it is imperative that paintings conservators aim to embrace and understand the breadth of traditions and techniques that exist internationally.</w:t>
      </w:r>
    </w:p>
    <w:p w14:paraId="1BA6278C" w14:textId="5047E313" w:rsidR="0002081D" w:rsidRPr="009D5980" w:rsidRDefault="0002081D" w:rsidP="009D5980">
      <w:pPr>
        <w:autoSpaceDE w:val="0"/>
        <w:autoSpaceDN w:val="0"/>
        <w:adjustRightInd w:val="0"/>
        <w:spacing w:line="480" w:lineRule="auto"/>
        <w:rPr>
          <w:rFonts w:ascii="Times New Roman" w:hAnsi="Times New Roman" w:cs="Times New Roman"/>
          <w:color w:val="000000"/>
        </w:rPr>
      </w:pPr>
    </w:p>
    <w:p w14:paraId="7C127723" w14:textId="0108903B" w:rsidR="00763E00" w:rsidRPr="009D5980" w:rsidRDefault="0035604D" w:rsidP="009D5980">
      <w:pPr>
        <w:pStyle w:val="Heading1"/>
      </w:pPr>
      <w:r w:rsidRPr="0035604D">
        <w:rPr>
          <w:b w:val="0"/>
          <w:bCs w:val="0"/>
          <w:highlight w:val="yellow"/>
        </w:rPr>
        <w:t>&lt;A-head&gt;</w:t>
      </w:r>
      <w:r>
        <w:t xml:space="preserve"> </w:t>
      </w:r>
      <w:r w:rsidR="00763E00" w:rsidRPr="009D5980">
        <w:t>International Collaboration as Sustainable Practice</w:t>
      </w:r>
    </w:p>
    <w:p w14:paraId="506D926D" w14:textId="0998BC46" w:rsidR="00763E00" w:rsidRPr="009D5980" w:rsidRDefault="00763E00" w:rsidP="009D5980">
      <w:pPr>
        <w:autoSpaceDE w:val="0"/>
        <w:autoSpaceDN w:val="0"/>
        <w:adjustRightInd w:val="0"/>
        <w:spacing w:line="480" w:lineRule="auto"/>
        <w:rPr>
          <w:rFonts w:ascii="Times New Roman" w:hAnsi="Times New Roman" w:cs="Times New Roman"/>
          <w:color w:val="000000"/>
        </w:rPr>
      </w:pPr>
      <w:r w:rsidRPr="009D5980">
        <w:rPr>
          <w:rFonts w:ascii="Times New Roman" w:hAnsi="Times New Roman" w:cs="Times New Roman"/>
          <w:color w:val="000000"/>
        </w:rPr>
        <w:t xml:space="preserve">In the current global environment, with its mounting uncertainties due to climate change, political unrest, and public health crises, and given the limited resources allocated to the conservation of cultural heritage, conservators must seek out opportunities to create efficient practices. </w:t>
      </w:r>
      <w:proofErr w:type="gramStart"/>
      <w:r w:rsidRPr="009D5980">
        <w:rPr>
          <w:rFonts w:ascii="Times New Roman" w:hAnsi="Times New Roman" w:cs="Times New Roman"/>
          <w:color w:val="000000"/>
        </w:rPr>
        <w:t>Shared knowledge,</w:t>
      </w:r>
      <w:proofErr w:type="gramEnd"/>
      <w:r w:rsidRPr="009D5980">
        <w:rPr>
          <w:rFonts w:ascii="Times New Roman" w:hAnsi="Times New Roman" w:cs="Times New Roman"/>
          <w:color w:val="000000"/>
        </w:rPr>
        <w:t xml:space="preserve"> sustained longitudinal research, and the ability to anticipate future </w:t>
      </w:r>
      <w:r w:rsidRPr="009D5980">
        <w:rPr>
          <w:rFonts w:ascii="Times New Roman" w:hAnsi="Times New Roman" w:cs="Times New Roman"/>
          <w:color w:val="000000"/>
        </w:rPr>
        <w:lastRenderedPageBreak/>
        <w:t>material challenges will have increased value in the decades ahead. Our best shot for rising to these demands is through international collaboration.</w:t>
      </w:r>
    </w:p>
    <w:p w14:paraId="55C2B2F9" w14:textId="77777777" w:rsidR="00763E00" w:rsidRPr="009D5980" w:rsidRDefault="00763E00" w:rsidP="009D5980">
      <w:pPr>
        <w:autoSpaceDE w:val="0"/>
        <w:autoSpaceDN w:val="0"/>
        <w:adjustRightInd w:val="0"/>
        <w:spacing w:line="480" w:lineRule="auto"/>
        <w:rPr>
          <w:rFonts w:ascii="Times New Roman" w:hAnsi="Times New Roman" w:cs="Times New Roman"/>
          <w:color w:val="000000"/>
        </w:rPr>
      </w:pPr>
    </w:p>
    <w:p w14:paraId="70DF3919" w14:textId="190896A0" w:rsidR="0002081D" w:rsidRPr="009D5980" w:rsidRDefault="0035604D" w:rsidP="009D5980">
      <w:pPr>
        <w:pStyle w:val="Heading2"/>
      </w:pPr>
      <w:r w:rsidRPr="0035604D">
        <w:rPr>
          <w:b w:val="0"/>
          <w:bCs w:val="0"/>
          <w:highlight w:val="yellow"/>
        </w:rPr>
        <w:t>&lt;B-head&gt;</w:t>
      </w:r>
      <w:r>
        <w:t xml:space="preserve"> </w:t>
      </w:r>
      <w:r w:rsidR="00763E00" w:rsidRPr="0035604D">
        <w:rPr>
          <w:i/>
          <w:iCs/>
        </w:rPr>
        <w:t xml:space="preserve">A </w:t>
      </w:r>
      <w:r w:rsidR="00557964" w:rsidRPr="0035604D">
        <w:rPr>
          <w:i/>
          <w:iCs/>
        </w:rPr>
        <w:t>Li</w:t>
      </w:r>
      <w:r w:rsidR="00324FAE" w:rsidRPr="0035604D">
        <w:rPr>
          <w:i/>
          <w:iCs/>
        </w:rPr>
        <w:t xml:space="preserve">ving, </w:t>
      </w:r>
      <w:r w:rsidR="00557964" w:rsidRPr="0035604D">
        <w:rPr>
          <w:i/>
          <w:iCs/>
        </w:rPr>
        <w:t>M</w:t>
      </w:r>
      <w:r w:rsidR="00324FAE" w:rsidRPr="0035604D">
        <w:rPr>
          <w:i/>
          <w:iCs/>
        </w:rPr>
        <w:t xml:space="preserve">ultilingual </w:t>
      </w:r>
      <w:r w:rsidRPr="0035604D">
        <w:rPr>
          <w:i/>
          <w:iCs/>
        </w:rPr>
        <w:t>T</w:t>
      </w:r>
      <w:r w:rsidR="00324FAE" w:rsidRPr="0035604D">
        <w:rPr>
          <w:i/>
          <w:iCs/>
        </w:rPr>
        <w:t>erminology</w:t>
      </w:r>
    </w:p>
    <w:p w14:paraId="036512D4" w14:textId="1FE26FA7" w:rsidR="006A13D2" w:rsidRPr="009D5980" w:rsidRDefault="00763E00" w:rsidP="009D5980">
      <w:pPr>
        <w:spacing w:line="480" w:lineRule="auto"/>
        <w:rPr>
          <w:rFonts w:ascii="Times New Roman" w:hAnsi="Times New Roman" w:cs="Times New Roman"/>
        </w:rPr>
      </w:pPr>
      <w:r w:rsidRPr="009D5980">
        <w:rPr>
          <w:rFonts w:ascii="Times New Roman" w:hAnsi="Times New Roman" w:cs="Times New Roman"/>
        </w:rPr>
        <w:t>Of course, conservators must be able to communicate the technical aspects of their work with precision and clarity, and we must be willing to make nuanced adjustments to our terminology with the accumulation of scientific</w:t>
      </w:r>
      <w:r w:rsidR="00E3242F" w:rsidRPr="009D5980">
        <w:rPr>
          <w:rFonts w:ascii="Times New Roman" w:hAnsi="Times New Roman" w:cs="Times New Roman"/>
        </w:rPr>
        <w:t>, philosophical,</w:t>
      </w:r>
      <w:r w:rsidRPr="009D5980">
        <w:rPr>
          <w:rFonts w:ascii="Times New Roman" w:hAnsi="Times New Roman" w:cs="Times New Roman"/>
        </w:rPr>
        <w:t xml:space="preserve"> and practical information</w:t>
      </w:r>
      <w:r w:rsidR="00587C9A" w:rsidRPr="009D5980">
        <w:rPr>
          <w:rFonts w:ascii="Times New Roman" w:hAnsi="Times New Roman" w:cs="Times New Roman"/>
        </w:rPr>
        <w:t>—</w:t>
      </w:r>
      <w:r w:rsidR="002158E2" w:rsidRPr="009D5980">
        <w:rPr>
          <w:rFonts w:ascii="Times New Roman" w:hAnsi="Times New Roman" w:cs="Times New Roman"/>
        </w:rPr>
        <w:t xml:space="preserve">shifting away from </w:t>
      </w:r>
      <w:r w:rsidR="00DA1FCC" w:rsidRPr="009D5980">
        <w:rPr>
          <w:rFonts w:ascii="Times New Roman" w:hAnsi="Times New Roman" w:cs="Times New Roman"/>
        </w:rPr>
        <w:t xml:space="preserve">idealistic </w:t>
      </w:r>
      <w:r w:rsidR="002158E2" w:rsidRPr="009D5980">
        <w:rPr>
          <w:rFonts w:ascii="Times New Roman" w:hAnsi="Times New Roman" w:cs="Times New Roman"/>
        </w:rPr>
        <w:t xml:space="preserve">“reversibility” in favor of the </w:t>
      </w:r>
      <w:r w:rsidR="00DA1FCC" w:rsidRPr="009D5980">
        <w:rPr>
          <w:rFonts w:ascii="Times New Roman" w:hAnsi="Times New Roman" w:cs="Times New Roman"/>
        </w:rPr>
        <w:t>practical “retreatability</w:t>
      </w:r>
      <w:r w:rsidR="00324FAE" w:rsidRPr="009D5980">
        <w:rPr>
          <w:rFonts w:ascii="Times New Roman" w:hAnsi="Times New Roman" w:cs="Times New Roman"/>
        </w:rPr>
        <w:t>,</w:t>
      </w:r>
      <w:r w:rsidR="00DA1FCC" w:rsidRPr="009D5980">
        <w:rPr>
          <w:rFonts w:ascii="Times New Roman" w:hAnsi="Times New Roman" w:cs="Times New Roman"/>
        </w:rPr>
        <w:t>”</w:t>
      </w:r>
      <w:r w:rsidR="00B467E6" w:rsidRPr="009D5980">
        <w:rPr>
          <w:rFonts w:ascii="Times New Roman" w:hAnsi="Times New Roman" w:cs="Times New Roman"/>
        </w:rPr>
        <w:t xml:space="preserve"> and gaining a more granular understanding of increased transparency of oil paint films</w:t>
      </w:r>
      <w:r w:rsidR="00324FAE" w:rsidRPr="009D5980">
        <w:rPr>
          <w:rFonts w:ascii="Times New Roman" w:hAnsi="Times New Roman" w:cs="Times New Roman"/>
        </w:rPr>
        <w:t xml:space="preserve"> ({</w:t>
      </w:r>
      <w:r w:rsidR="00557964">
        <w:rPr>
          <w:rFonts w:ascii="Times New Roman" w:hAnsi="Times New Roman" w:cs="Times New Roman"/>
        </w:rPr>
        <w:t>{</w:t>
      </w:r>
      <w:r w:rsidR="00324FAE" w:rsidRPr="009D5980">
        <w:rPr>
          <w:rFonts w:ascii="Times New Roman" w:hAnsi="Times New Roman" w:cs="Times New Roman"/>
        </w:rPr>
        <w:t>Van Loon 2008}</w:t>
      </w:r>
      <w:r w:rsidR="00557964">
        <w:rPr>
          <w:rFonts w:ascii="Times New Roman" w:hAnsi="Times New Roman" w:cs="Times New Roman"/>
        </w:rPr>
        <w:t>}</w:t>
      </w:r>
      <w:r w:rsidR="00324FAE" w:rsidRPr="009D5980">
        <w:rPr>
          <w:rFonts w:ascii="Times New Roman" w:hAnsi="Times New Roman" w:cs="Times New Roman"/>
        </w:rPr>
        <w:t>)</w:t>
      </w:r>
      <w:r w:rsidR="00B467E6" w:rsidRPr="009D5980">
        <w:rPr>
          <w:rFonts w:ascii="Times New Roman" w:hAnsi="Times New Roman" w:cs="Times New Roman"/>
        </w:rPr>
        <w:t xml:space="preserve"> due to deterioration processes and through structural intervention</w:t>
      </w:r>
      <w:r w:rsidR="00557964">
        <w:rPr>
          <w:rFonts w:ascii="Times New Roman" w:hAnsi="Times New Roman" w:cs="Times New Roman"/>
        </w:rPr>
        <w:t xml:space="preserve"> </w:t>
      </w:r>
      <w:r w:rsidR="00324FAE" w:rsidRPr="009D5980">
        <w:rPr>
          <w:rFonts w:ascii="Times New Roman" w:hAnsi="Times New Roman" w:cs="Times New Roman"/>
        </w:rPr>
        <w:t>({</w:t>
      </w:r>
      <w:r w:rsidR="00557964">
        <w:rPr>
          <w:rFonts w:ascii="Times New Roman" w:hAnsi="Times New Roman" w:cs="Times New Roman"/>
        </w:rPr>
        <w:t>{</w:t>
      </w:r>
      <w:proofErr w:type="spellStart"/>
      <w:r w:rsidR="00324FAE" w:rsidRPr="009D5980">
        <w:rPr>
          <w:rFonts w:ascii="Times New Roman" w:hAnsi="Times New Roman" w:cs="Times New Roman"/>
        </w:rPr>
        <w:t>Froment</w:t>
      </w:r>
      <w:proofErr w:type="spellEnd"/>
      <w:r w:rsidR="00324FAE" w:rsidRPr="009D5980">
        <w:rPr>
          <w:rFonts w:ascii="Times New Roman" w:hAnsi="Times New Roman" w:cs="Times New Roman"/>
        </w:rPr>
        <w:t xml:space="preserve"> 2019}</w:t>
      </w:r>
      <w:r w:rsidR="00557964">
        <w:rPr>
          <w:rFonts w:ascii="Times New Roman" w:hAnsi="Times New Roman" w:cs="Times New Roman"/>
        </w:rPr>
        <w:t>}</w:t>
      </w:r>
      <w:r w:rsidR="00324FAE" w:rsidRPr="009D5980">
        <w:rPr>
          <w:rFonts w:ascii="Times New Roman" w:hAnsi="Times New Roman" w:cs="Times New Roman"/>
        </w:rPr>
        <w:t>)</w:t>
      </w:r>
      <w:r w:rsidR="006A13D2" w:rsidRPr="009D5980">
        <w:rPr>
          <w:rFonts w:ascii="Times New Roman" w:hAnsi="Times New Roman" w:cs="Times New Roman"/>
        </w:rPr>
        <w:t>,</w:t>
      </w:r>
      <w:r w:rsidR="00B467E6" w:rsidRPr="009D5980">
        <w:rPr>
          <w:rFonts w:ascii="Times New Roman" w:hAnsi="Times New Roman" w:cs="Times New Roman"/>
        </w:rPr>
        <w:t xml:space="preserve"> for example</w:t>
      </w:r>
      <w:r w:rsidRPr="009D5980">
        <w:rPr>
          <w:rFonts w:ascii="Times New Roman" w:hAnsi="Times New Roman" w:cs="Times New Roman"/>
        </w:rPr>
        <w:t xml:space="preserve">. Although the adoption of English as the operating language imposes some structure </w:t>
      </w:r>
      <w:r w:rsidR="006A13D2" w:rsidRPr="009D5980">
        <w:rPr>
          <w:rFonts w:ascii="Times New Roman" w:hAnsi="Times New Roman" w:cs="Times New Roman"/>
        </w:rPr>
        <w:t xml:space="preserve">for </w:t>
      </w:r>
      <w:r w:rsidRPr="009D5980">
        <w:rPr>
          <w:rFonts w:ascii="Times New Roman" w:hAnsi="Times New Roman" w:cs="Times New Roman"/>
        </w:rPr>
        <w:t>a shared terminology, doing so also inhibits the participation and investment of experts globally</w:t>
      </w:r>
      <w:r w:rsidR="001E1B09" w:rsidRPr="009D5980">
        <w:rPr>
          <w:rFonts w:ascii="Times New Roman" w:hAnsi="Times New Roman" w:cs="Times New Roman"/>
        </w:rPr>
        <w:t>, and we risk the erosion of nuance with each translation</w:t>
      </w:r>
      <w:r w:rsidRPr="009D5980">
        <w:rPr>
          <w:rFonts w:ascii="Times New Roman" w:hAnsi="Times New Roman" w:cs="Times New Roman"/>
        </w:rPr>
        <w:t>. If conservators embrace international collaboration as a benchmark of sustainable practice,</w:t>
      </w:r>
      <w:r w:rsidRPr="009D5980">
        <w:rPr>
          <w:rStyle w:val="EndnoteReference"/>
          <w:rFonts w:ascii="Times New Roman" w:hAnsi="Times New Roman" w:cs="Times New Roman"/>
        </w:rPr>
        <w:endnoteReference w:id="2"/>
      </w:r>
      <w:r w:rsidRPr="009D5980">
        <w:rPr>
          <w:rFonts w:ascii="Times New Roman" w:hAnsi="Times New Roman" w:cs="Times New Roman"/>
        </w:rPr>
        <w:t xml:space="preserve"> we will increase the probability of discovering new insights and relationships </w:t>
      </w:r>
      <w:r w:rsidR="006A13D2" w:rsidRPr="009D5980">
        <w:rPr>
          <w:rFonts w:ascii="Times New Roman" w:hAnsi="Times New Roman" w:cs="Times New Roman"/>
        </w:rPr>
        <w:t xml:space="preserve">among </w:t>
      </w:r>
      <w:r w:rsidRPr="009D5980">
        <w:rPr>
          <w:rFonts w:ascii="Times New Roman" w:hAnsi="Times New Roman" w:cs="Times New Roman"/>
        </w:rPr>
        <w:t xml:space="preserve">differing international (and intergenerational) practices. </w:t>
      </w:r>
    </w:p>
    <w:p w14:paraId="2726DA42" w14:textId="53ABA8DF" w:rsidR="006A13D2" w:rsidRPr="009D5980" w:rsidRDefault="006A13D2" w:rsidP="009D5980">
      <w:pPr>
        <w:spacing w:line="480" w:lineRule="auto"/>
        <w:rPr>
          <w:rFonts w:ascii="Times New Roman" w:hAnsi="Times New Roman" w:cs="Times New Roman"/>
        </w:rPr>
      </w:pPr>
      <w:r w:rsidRPr="009D5980">
        <w:rPr>
          <w:rFonts w:ascii="Times New Roman" w:hAnsi="Times New Roman" w:cs="Times New Roman"/>
        </w:rPr>
        <w:tab/>
      </w:r>
      <w:r w:rsidR="00763E00" w:rsidRPr="009D5980">
        <w:rPr>
          <w:rFonts w:ascii="Times New Roman" w:hAnsi="Times New Roman" w:cs="Times New Roman"/>
        </w:rPr>
        <w:t>An updated terminology for the structural treatment of paintings on fabric supports</w:t>
      </w:r>
      <w:r w:rsidRPr="009D5980">
        <w:rPr>
          <w:rFonts w:ascii="Times New Roman" w:hAnsi="Times New Roman" w:cs="Times New Roman"/>
        </w:rPr>
        <w:t>—</w:t>
      </w:r>
      <w:r w:rsidR="001E1B09" w:rsidRPr="009D5980">
        <w:rPr>
          <w:rFonts w:ascii="Times New Roman" w:hAnsi="Times New Roman" w:cs="Times New Roman"/>
        </w:rPr>
        <w:t>and indeed for topics within the specialty of paintings conservation and across disciplines</w:t>
      </w:r>
      <w:r w:rsidRPr="009D5980">
        <w:rPr>
          <w:rFonts w:ascii="Times New Roman" w:hAnsi="Times New Roman" w:cs="Times New Roman"/>
        </w:rPr>
        <w:t>—</w:t>
      </w:r>
      <w:r w:rsidR="00763E00" w:rsidRPr="009D5980">
        <w:rPr>
          <w:rFonts w:ascii="Times New Roman" w:hAnsi="Times New Roman" w:cs="Times New Roman"/>
        </w:rPr>
        <w:t xml:space="preserve">could be produced in the following manner: </w:t>
      </w:r>
    </w:p>
    <w:p w14:paraId="55F6DAFC" w14:textId="20BA5826" w:rsidR="006A13D2" w:rsidRPr="009D5980" w:rsidRDefault="006A13D2" w:rsidP="009D5980">
      <w:pPr>
        <w:pStyle w:val="ListParagraph"/>
        <w:numPr>
          <w:ilvl w:val="0"/>
          <w:numId w:val="2"/>
        </w:numPr>
        <w:spacing w:line="480" w:lineRule="auto"/>
        <w:ind w:left="0" w:firstLine="0"/>
        <w:rPr>
          <w:rFonts w:ascii="Times New Roman" w:hAnsi="Times New Roman" w:cs="Times New Roman"/>
        </w:rPr>
      </w:pPr>
      <w:r w:rsidRPr="009D5980">
        <w:rPr>
          <w:rFonts w:ascii="Times New Roman" w:hAnsi="Times New Roman" w:cs="Times New Roman"/>
        </w:rPr>
        <w:t>D</w:t>
      </w:r>
      <w:r w:rsidR="00763E00" w:rsidRPr="009D5980">
        <w:rPr>
          <w:rFonts w:ascii="Times New Roman" w:hAnsi="Times New Roman" w:cs="Times New Roman"/>
        </w:rPr>
        <w:t>esignate an international working group dedicated to the project</w:t>
      </w:r>
      <w:r w:rsidRPr="009D5980">
        <w:rPr>
          <w:rFonts w:ascii="Times New Roman" w:hAnsi="Times New Roman" w:cs="Times New Roman"/>
        </w:rPr>
        <w:t>.</w:t>
      </w:r>
    </w:p>
    <w:p w14:paraId="275080BA" w14:textId="1DB72F08" w:rsidR="006A13D2" w:rsidRPr="009D5980" w:rsidRDefault="006A13D2" w:rsidP="009D5980">
      <w:pPr>
        <w:pStyle w:val="ListParagraph"/>
        <w:numPr>
          <w:ilvl w:val="0"/>
          <w:numId w:val="2"/>
        </w:numPr>
        <w:spacing w:line="480" w:lineRule="auto"/>
        <w:ind w:left="0" w:firstLine="0"/>
        <w:rPr>
          <w:rFonts w:ascii="Times New Roman" w:hAnsi="Times New Roman" w:cs="Times New Roman"/>
        </w:rPr>
      </w:pPr>
      <w:r w:rsidRPr="009D5980">
        <w:rPr>
          <w:rFonts w:ascii="Times New Roman" w:hAnsi="Times New Roman" w:cs="Times New Roman"/>
        </w:rPr>
        <w:t>W</w:t>
      </w:r>
      <w:r w:rsidR="00763E00" w:rsidRPr="009D5980">
        <w:rPr>
          <w:rFonts w:ascii="Times New Roman" w:hAnsi="Times New Roman" w:cs="Times New Roman"/>
        </w:rPr>
        <w:t>ithin each participating country and language, accumulate terminology and definitions as used natively</w:t>
      </w:r>
      <w:r w:rsidRPr="009D5980">
        <w:rPr>
          <w:rFonts w:ascii="Times New Roman" w:hAnsi="Times New Roman" w:cs="Times New Roman"/>
        </w:rPr>
        <w:t>.</w:t>
      </w:r>
    </w:p>
    <w:p w14:paraId="755B3704" w14:textId="248DA25C" w:rsidR="006A13D2" w:rsidRPr="009D5980" w:rsidRDefault="006A13D2" w:rsidP="009D5980">
      <w:pPr>
        <w:pStyle w:val="ListParagraph"/>
        <w:numPr>
          <w:ilvl w:val="0"/>
          <w:numId w:val="2"/>
        </w:numPr>
        <w:spacing w:line="480" w:lineRule="auto"/>
        <w:ind w:left="0" w:firstLine="0"/>
        <w:rPr>
          <w:rFonts w:ascii="Times New Roman" w:hAnsi="Times New Roman" w:cs="Times New Roman"/>
        </w:rPr>
      </w:pPr>
      <w:r w:rsidRPr="009D5980">
        <w:rPr>
          <w:rFonts w:ascii="Times New Roman" w:hAnsi="Times New Roman" w:cs="Times New Roman"/>
        </w:rPr>
        <w:t>G</w:t>
      </w:r>
      <w:r w:rsidR="00763E00" w:rsidRPr="009D5980">
        <w:rPr>
          <w:rFonts w:ascii="Times New Roman" w:hAnsi="Times New Roman" w:cs="Times New Roman"/>
        </w:rPr>
        <w:t>enerate thesaurus entries to describe parallel terminology across languages</w:t>
      </w:r>
      <w:r w:rsidRPr="009D5980">
        <w:rPr>
          <w:rFonts w:ascii="Times New Roman" w:hAnsi="Times New Roman" w:cs="Times New Roman"/>
        </w:rPr>
        <w:t>.</w:t>
      </w:r>
    </w:p>
    <w:p w14:paraId="7AC97CA1" w14:textId="737AE487" w:rsidR="006A13D2" w:rsidRPr="009D5980" w:rsidRDefault="006A13D2" w:rsidP="009D5980">
      <w:pPr>
        <w:pStyle w:val="ListParagraph"/>
        <w:numPr>
          <w:ilvl w:val="0"/>
          <w:numId w:val="2"/>
        </w:numPr>
        <w:spacing w:line="480" w:lineRule="auto"/>
        <w:ind w:left="0" w:firstLine="0"/>
        <w:rPr>
          <w:rFonts w:ascii="Times New Roman" w:hAnsi="Times New Roman" w:cs="Times New Roman"/>
        </w:rPr>
      </w:pPr>
      <w:r w:rsidRPr="009D5980">
        <w:rPr>
          <w:rFonts w:ascii="Times New Roman" w:hAnsi="Times New Roman" w:cs="Times New Roman"/>
        </w:rPr>
        <w:lastRenderedPageBreak/>
        <w:t>T</w:t>
      </w:r>
      <w:r w:rsidR="00763E00" w:rsidRPr="009D5980">
        <w:rPr>
          <w:rFonts w:ascii="Times New Roman" w:hAnsi="Times New Roman" w:cs="Times New Roman"/>
        </w:rPr>
        <w:t xml:space="preserve">ranslate terminology and definitions for those terms </w:t>
      </w:r>
      <w:r w:rsidRPr="009D5980">
        <w:rPr>
          <w:rFonts w:ascii="Times New Roman" w:hAnsi="Times New Roman" w:cs="Times New Roman"/>
        </w:rPr>
        <w:t xml:space="preserve">that </w:t>
      </w:r>
      <w:r w:rsidR="00763E00" w:rsidRPr="009D5980">
        <w:rPr>
          <w:rFonts w:ascii="Times New Roman" w:hAnsi="Times New Roman" w:cs="Times New Roman"/>
        </w:rPr>
        <w:t>have no apparent equivalent from language to language</w:t>
      </w:r>
      <w:r w:rsidRPr="009D5980">
        <w:rPr>
          <w:rFonts w:ascii="Times New Roman" w:hAnsi="Times New Roman" w:cs="Times New Roman"/>
        </w:rPr>
        <w:t>.</w:t>
      </w:r>
    </w:p>
    <w:p w14:paraId="584CB05C" w14:textId="664B9A9A" w:rsidR="006A13D2" w:rsidRPr="009D5980" w:rsidRDefault="006A13D2" w:rsidP="009D5980">
      <w:pPr>
        <w:pStyle w:val="ListParagraph"/>
        <w:numPr>
          <w:ilvl w:val="0"/>
          <w:numId w:val="2"/>
        </w:numPr>
        <w:spacing w:line="480" w:lineRule="auto"/>
        <w:ind w:left="0" w:firstLine="0"/>
        <w:rPr>
          <w:rFonts w:ascii="Times New Roman" w:hAnsi="Times New Roman" w:cs="Times New Roman"/>
        </w:rPr>
      </w:pPr>
      <w:r w:rsidRPr="009D5980">
        <w:rPr>
          <w:rFonts w:ascii="Times New Roman" w:hAnsi="Times New Roman" w:cs="Times New Roman"/>
        </w:rPr>
        <w:t>I</w:t>
      </w:r>
      <w:r w:rsidR="00763E00" w:rsidRPr="009D5980">
        <w:rPr>
          <w:rFonts w:ascii="Times New Roman" w:hAnsi="Times New Roman" w:cs="Times New Roman"/>
        </w:rPr>
        <w:t>dentify key literature to be translated across languages</w:t>
      </w:r>
      <w:r w:rsidRPr="009D5980">
        <w:rPr>
          <w:rFonts w:ascii="Times New Roman" w:hAnsi="Times New Roman" w:cs="Times New Roman"/>
        </w:rPr>
        <w:t>.</w:t>
      </w:r>
      <w:r w:rsidR="00763E00" w:rsidRPr="009D5980">
        <w:rPr>
          <w:rFonts w:ascii="Times New Roman" w:hAnsi="Times New Roman" w:cs="Times New Roman"/>
        </w:rPr>
        <w:t xml:space="preserve"> </w:t>
      </w:r>
    </w:p>
    <w:p w14:paraId="19BF8043" w14:textId="7D76E699" w:rsidR="006A13D2" w:rsidRPr="009D5980" w:rsidRDefault="006A13D2" w:rsidP="009D5980">
      <w:pPr>
        <w:pStyle w:val="ListParagraph"/>
        <w:numPr>
          <w:ilvl w:val="0"/>
          <w:numId w:val="2"/>
        </w:numPr>
        <w:spacing w:line="480" w:lineRule="auto"/>
        <w:ind w:left="0" w:firstLine="0"/>
        <w:rPr>
          <w:rFonts w:ascii="Times New Roman" w:hAnsi="Times New Roman" w:cs="Times New Roman"/>
        </w:rPr>
      </w:pPr>
      <w:r w:rsidRPr="009D5980">
        <w:rPr>
          <w:rFonts w:ascii="Times New Roman" w:hAnsi="Times New Roman" w:cs="Times New Roman"/>
        </w:rPr>
        <w:t>Perform</w:t>
      </w:r>
      <w:r w:rsidR="00763E00" w:rsidRPr="009D5980">
        <w:rPr>
          <w:rFonts w:ascii="Times New Roman" w:hAnsi="Times New Roman" w:cs="Times New Roman"/>
        </w:rPr>
        <w:t xml:space="preserve"> iterative editing and expansion of the resulting living document. </w:t>
      </w:r>
    </w:p>
    <w:p w14:paraId="4B9DFE01" w14:textId="557987EC" w:rsidR="00374D6F" w:rsidRPr="009D5980" w:rsidRDefault="00763E00" w:rsidP="009D5980">
      <w:pPr>
        <w:spacing w:line="480" w:lineRule="auto"/>
        <w:rPr>
          <w:rFonts w:ascii="Times New Roman" w:hAnsi="Times New Roman" w:cs="Times New Roman"/>
        </w:rPr>
      </w:pPr>
      <w:r w:rsidRPr="009D5980">
        <w:rPr>
          <w:rFonts w:ascii="Times New Roman" w:hAnsi="Times New Roman" w:cs="Times New Roman"/>
        </w:rPr>
        <w:t>This initiative would be a significant undertaking</w:t>
      </w:r>
      <w:r w:rsidR="001E1B09" w:rsidRPr="009D5980">
        <w:rPr>
          <w:rFonts w:ascii="Times New Roman" w:hAnsi="Times New Roman" w:cs="Times New Roman"/>
        </w:rPr>
        <w:t xml:space="preserve"> building upon </w:t>
      </w:r>
      <w:r w:rsidR="00156574" w:rsidRPr="009D5980">
        <w:rPr>
          <w:rFonts w:ascii="Times New Roman" w:hAnsi="Times New Roman" w:cs="Times New Roman"/>
        </w:rPr>
        <w:t xml:space="preserve">and necessarily superseding </w:t>
      </w:r>
      <w:r w:rsidR="001E1B09" w:rsidRPr="009D5980">
        <w:rPr>
          <w:rFonts w:ascii="Times New Roman" w:hAnsi="Times New Roman" w:cs="Times New Roman"/>
        </w:rPr>
        <w:t xml:space="preserve">efforts such as the Greenwich conference handbook of terms </w:t>
      </w:r>
      <w:r w:rsidR="00156574" w:rsidRPr="009D5980">
        <w:rPr>
          <w:rFonts w:ascii="Times New Roman" w:hAnsi="Times New Roman" w:cs="Times New Roman"/>
        </w:rPr>
        <w:t>and the LMCR project spearheaded by the Associazone Giovanni Secco Suardo</w:t>
      </w:r>
      <w:r w:rsidR="00324FAE" w:rsidRPr="009D5980">
        <w:rPr>
          <w:rFonts w:ascii="Times New Roman" w:hAnsi="Times New Roman" w:cs="Times New Roman"/>
        </w:rPr>
        <w:t>;</w:t>
      </w:r>
      <w:r w:rsidR="00156574" w:rsidRPr="009D5980">
        <w:rPr>
          <w:rStyle w:val="EndnoteReference"/>
          <w:rFonts w:ascii="Times New Roman" w:hAnsi="Times New Roman" w:cs="Times New Roman"/>
        </w:rPr>
        <w:endnoteReference w:id="3"/>
      </w:r>
      <w:r w:rsidRPr="009D5980">
        <w:rPr>
          <w:rFonts w:ascii="Times New Roman" w:hAnsi="Times New Roman" w:cs="Times New Roman"/>
        </w:rPr>
        <w:t xml:space="preserve"> however, the benefits and potential efficiencies should be apparent to the reader, and the greater understanding and respect for traditions and innovations outside of the English language would help to build a more inclusive international community.</w:t>
      </w:r>
      <w:r w:rsidR="00156574" w:rsidRPr="009D5980">
        <w:rPr>
          <w:rFonts w:ascii="Times New Roman" w:hAnsi="Times New Roman" w:cs="Times New Roman"/>
        </w:rPr>
        <w:t xml:space="preserve"> </w:t>
      </w:r>
    </w:p>
    <w:p w14:paraId="658E4945" w14:textId="332304D9" w:rsidR="00763E00" w:rsidRPr="009D5980" w:rsidRDefault="00374D6F" w:rsidP="009D5980">
      <w:pPr>
        <w:spacing w:line="480" w:lineRule="auto"/>
        <w:rPr>
          <w:rFonts w:ascii="Times New Roman" w:hAnsi="Times New Roman" w:cs="Times New Roman"/>
        </w:rPr>
      </w:pPr>
      <w:r w:rsidRPr="009D5980">
        <w:rPr>
          <w:rFonts w:ascii="Times New Roman" w:hAnsi="Times New Roman" w:cs="Times New Roman"/>
        </w:rPr>
        <w:tab/>
      </w:r>
      <w:r w:rsidR="00DA3034" w:rsidRPr="009D5980">
        <w:rPr>
          <w:rFonts w:ascii="Times New Roman" w:hAnsi="Times New Roman" w:cs="Times New Roman"/>
        </w:rPr>
        <w:t>While parallels to medical fields might suggest that conservators should adopt a standardized lexicon, so much of the variation in our work is influenced by geography</w:t>
      </w:r>
      <w:r w:rsidRPr="009D5980">
        <w:rPr>
          <w:rFonts w:ascii="Times New Roman" w:hAnsi="Times New Roman" w:cs="Times New Roman"/>
        </w:rPr>
        <w:t>—</w:t>
      </w:r>
      <w:r w:rsidR="008902F1" w:rsidRPr="009D5980">
        <w:rPr>
          <w:rFonts w:ascii="Times New Roman" w:hAnsi="Times New Roman" w:cs="Times New Roman"/>
        </w:rPr>
        <w:t>the</w:t>
      </w:r>
      <w:r w:rsidR="00DA3034" w:rsidRPr="009D5980">
        <w:rPr>
          <w:rFonts w:ascii="Times New Roman" w:hAnsi="Times New Roman" w:cs="Times New Roman"/>
        </w:rPr>
        <w:t xml:space="preserve"> materials and techniques employed by the artist</w:t>
      </w:r>
      <w:r w:rsidR="008902F1" w:rsidRPr="009D5980">
        <w:rPr>
          <w:rFonts w:ascii="Times New Roman" w:hAnsi="Times New Roman" w:cs="Times New Roman"/>
        </w:rPr>
        <w:t>, the environmental conditions to which the painting has been subjected, and historical regional restoration practices</w:t>
      </w:r>
      <w:r w:rsidRPr="009D5980">
        <w:rPr>
          <w:rFonts w:ascii="Times New Roman" w:hAnsi="Times New Roman" w:cs="Times New Roman"/>
        </w:rPr>
        <w:t>—</w:t>
      </w:r>
      <w:r w:rsidR="008902F1" w:rsidRPr="009D5980">
        <w:rPr>
          <w:rFonts w:ascii="Times New Roman" w:hAnsi="Times New Roman" w:cs="Times New Roman"/>
        </w:rPr>
        <w:t xml:space="preserve">that a monolithic definition of best practice is neither reasonable nor sustainable. Rather, </w:t>
      </w:r>
      <w:r w:rsidR="00BB0D9D" w:rsidRPr="009D5980">
        <w:rPr>
          <w:rFonts w:ascii="Times New Roman" w:hAnsi="Times New Roman" w:cs="Times New Roman"/>
        </w:rPr>
        <w:t xml:space="preserve">adopting a multilingual, multiregional approach to terminology would ensure that our common knowledge does not suffer an erosion of </w:t>
      </w:r>
      <w:r w:rsidR="00CA1FAC" w:rsidRPr="009D5980">
        <w:rPr>
          <w:rFonts w:ascii="Times New Roman" w:hAnsi="Times New Roman" w:cs="Times New Roman"/>
        </w:rPr>
        <w:t>empirical nuance.</w:t>
      </w:r>
    </w:p>
    <w:p w14:paraId="14E07155" w14:textId="1BAA7D50" w:rsidR="00763E00" w:rsidRPr="009D5980" w:rsidRDefault="00763E00" w:rsidP="009D5980">
      <w:pPr>
        <w:spacing w:line="480" w:lineRule="auto"/>
        <w:rPr>
          <w:rFonts w:ascii="Times New Roman" w:hAnsi="Times New Roman" w:cs="Times New Roman"/>
        </w:rPr>
      </w:pPr>
    </w:p>
    <w:p w14:paraId="7861A803" w14:textId="44C0624C" w:rsidR="00763E00" w:rsidRPr="009D5980" w:rsidRDefault="0035604D" w:rsidP="009D5980">
      <w:pPr>
        <w:pStyle w:val="Heading2"/>
      </w:pPr>
      <w:r w:rsidRPr="0035604D">
        <w:rPr>
          <w:b w:val="0"/>
          <w:bCs w:val="0"/>
          <w:highlight w:val="yellow"/>
        </w:rPr>
        <w:t>&lt;B-head&gt;</w:t>
      </w:r>
      <w:r>
        <w:t xml:space="preserve"> </w:t>
      </w:r>
      <w:r w:rsidR="00763E00" w:rsidRPr="0035604D">
        <w:rPr>
          <w:i/>
          <w:iCs/>
        </w:rPr>
        <w:t xml:space="preserve">Ensuring a </w:t>
      </w:r>
      <w:r w:rsidR="00557964" w:rsidRPr="0035604D">
        <w:rPr>
          <w:i/>
          <w:iCs/>
        </w:rPr>
        <w:t>S</w:t>
      </w:r>
      <w:r w:rsidR="00324FAE" w:rsidRPr="0035604D">
        <w:rPr>
          <w:i/>
          <w:iCs/>
        </w:rPr>
        <w:t xml:space="preserve">ustained </w:t>
      </w:r>
      <w:r w:rsidR="00557964" w:rsidRPr="0035604D">
        <w:rPr>
          <w:i/>
          <w:iCs/>
        </w:rPr>
        <w:t>P</w:t>
      </w:r>
      <w:r w:rsidR="00324FAE" w:rsidRPr="0035604D">
        <w:rPr>
          <w:i/>
          <w:iCs/>
        </w:rPr>
        <w:t xml:space="preserve">ipeline of </w:t>
      </w:r>
      <w:r w:rsidR="00557964" w:rsidRPr="0035604D">
        <w:rPr>
          <w:i/>
          <w:iCs/>
        </w:rPr>
        <w:t>A</w:t>
      </w:r>
      <w:r w:rsidR="00324FAE" w:rsidRPr="0035604D">
        <w:rPr>
          <w:i/>
          <w:iCs/>
        </w:rPr>
        <w:t xml:space="preserve">pplicable </w:t>
      </w:r>
      <w:r w:rsidR="00557964" w:rsidRPr="0035604D">
        <w:rPr>
          <w:i/>
          <w:iCs/>
        </w:rPr>
        <w:t>R</w:t>
      </w:r>
      <w:r w:rsidR="00324FAE" w:rsidRPr="0035604D">
        <w:rPr>
          <w:i/>
          <w:iCs/>
        </w:rPr>
        <w:t>esearch</w:t>
      </w:r>
    </w:p>
    <w:p w14:paraId="15CCDFE1" w14:textId="410582E0" w:rsidR="00763E00" w:rsidRPr="009D5980" w:rsidRDefault="00763E00" w:rsidP="009D5980">
      <w:pPr>
        <w:spacing w:line="480" w:lineRule="auto"/>
        <w:rPr>
          <w:rFonts w:ascii="Times New Roman" w:hAnsi="Times New Roman" w:cs="Times New Roman"/>
        </w:rPr>
      </w:pPr>
      <w:r w:rsidRPr="009D5980">
        <w:rPr>
          <w:rFonts w:ascii="Times New Roman" w:hAnsi="Times New Roman" w:cs="Times New Roman"/>
        </w:rPr>
        <w:t xml:space="preserve">Our terminology is only as good as our ability to </w:t>
      </w:r>
      <w:r w:rsidR="00CA1FAC" w:rsidRPr="009D5980">
        <w:rPr>
          <w:rFonts w:ascii="Times New Roman" w:hAnsi="Times New Roman" w:cs="Times New Roman"/>
        </w:rPr>
        <w:t xml:space="preserve">fully understand </w:t>
      </w:r>
      <w:r w:rsidRPr="009D5980">
        <w:rPr>
          <w:rFonts w:ascii="Times New Roman" w:hAnsi="Times New Roman" w:cs="Times New Roman"/>
        </w:rPr>
        <w:t>the material demands of a treatment, and our ability to execute effective treatments depends on accurate heuristics and decision</w:t>
      </w:r>
      <w:r w:rsidR="00110DFC" w:rsidRPr="009D5980">
        <w:rPr>
          <w:rFonts w:ascii="Times New Roman" w:hAnsi="Times New Roman" w:cs="Times New Roman"/>
        </w:rPr>
        <w:t>-</w:t>
      </w:r>
      <w:r w:rsidRPr="009D5980">
        <w:rPr>
          <w:rFonts w:ascii="Times New Roman" w:hAnsi="Times New Roman" w:cs="Times New Roman"/>
        </w:rPr>
        <w:t xml:space="preserve">making as well as appropriate use of purpose-built equipment. Each of these parameters </w:t>
      </w:r>
      <w:r w:rsidR="00110DFC" w:rsidRPr="009D5980">
        <w:rPr>
          <w:rFonts w:ascii="Times New Roman" w:hAnsi="Times New Roman" w:cs="Times New Roman"/>
        </w:rPr>
        <w:t xml:space="preserve">is </w:t>
      </w:r>
      <w:r w:rsidRPr="009D5980">
        <w:rPr>
          <w:rFonts w:ascii="Times New Roman" w:hAnsi="Times New Roman" w:cs="Times New Roman"/>
        </w:rPr>
        <w:t xml:space="preserve">developed and delineated through fundamental and practical research. Our understanding of </w:t>
      </w:r>
      <w:r w:rsidRPr="009D5980">
        <w:rPr>
          <w:rFonts w:ascii="Times New Roman" w:hAnsi="Times New Roman" w:cs="Times New Roman"/>
        </w:rPr>
        <w:lastRenderedPageBreak/>
        <w:t>material properties and environmental response, the development of technologies and equipment in support of treatment refinements, and the evaluation of treatment procedures all require collaboration between conservators and scientists. Scientists ensure that research methodologies are sound</w:t>
      </w:r>
      <w:r w:rsidR="00090540">
        <w:rPr>
          <w:rFonts w:ascii="Times New Roman" w:hAnsi="Times New Roman" w:cs="Times New Roman"/>
        </w:rPr>
        <w:t>,</w:t>
      </w:r>
      <w:r w:rsidRPr="009D5980">
        <w:rPr>
          <w:rFonts w:ascii="Times New Roman" w:hAnsi="Times New Roman" w:cs="Times New Roman"/>
        </w:rPr>
        <w:t xml:space="preserve"> and that the interpretation of data holds scientific merit, and conservators ultimately decide how applicable the scientific research is to their daily practice</w:t>
      </w:r>
      <w:r w:rsidR="00CA1FAC" w:rsidRPr="009D5980">
        <w:rPr>
          <w:rFonts w:ascii="Times New Roman" w:hAnsi="Times New Roman" w:cs="Times New Roman"/>
        </w:rPr>
        <w:t>, wherein conservators sort materials and techniques qualitatively (</w:t>
      </w:r>
      <w:r w:rsidR="00110DFC" w:rsidRPr="009D5980">
        <w:rPr>
          <w:rFonts w:ascii="Times New Roman" w:hAnsi="Times New Roman" w:cs="Times New Roman"/>
        </w:rPr>
        <w:t xml:space="preserve">e.g., </w:t>
      </w:r>
      <w:r w:rsidR="00CA1FAC" w:rsidRPr="009D5980">
        <w:rPr>
          <w:rFonts w:ascii="Times New Roman" w:hAnsi="Times New Roman" w:cs="Times New Roman"/>
        </w:rPr>
        <w:t xml:space="preserve">“weak” </w:t>
      </w:r>
      <w:r w:rsidR="00110DFC" w:rsidRPr="009D5980">
        <w:rPr>
          <w:rFonts w:ascii="Times New Roman" w:hAnsi="Times New Roman" w:cs="Times New Roman"/>
        </w:rPr>
        <w:t xml:space="preserve">versus </w:t>
      </w:r>
      <w:r w:rsidR="00CA1FAC" w:rsidRPr="009D5980">
        <w:rPr>
          <w:rFonts w:ascii="Times New Roman" w:hAnsi="Times New Roman" w:cs="Times New Roman"/>
        </w:rPr>
        <w:t xml:space="preserve">“strong” and “sympathetic” </w:t>
      </w:r>
      <w:r w:rsidR="00110DFC" w:rsidRPr="009D5980">
        <w:rPr>
          <w:rFonts w:ascii="Times New Roman" w:hAnsi="Times New Roman" w:cs="Times New Roman"/>
        </w:rPr>
        <w:t xml:space="preserve">versus </w:t>
      </w:r>
      <w:r w:rsidR="00CA1FAC" w:rsidRPr="009D5980">
        <w:rPr>
          <w:rFonts w:ascii="Times New Roman" w:hAnsi="Times New Roman" w:cs="Times New Roman"/>
        </w:rPr>
        <w:t>“invasive</w:t>
      </w:r>
      <w:r w:rsidR="00110DFC" w:rsidRPr="009D5980">
        <w:rPr>
          <w:rFonts w:ascii="Times New Roman" w:hAnsi="Times New Roman" w:cs="Times New Roman"/>
        </w:rPr>
        <w:t>,</w:t>
      </w:r>
      <w:r w:rsidR="00CA1FAC" w:rsidRPr="009D5980">
        <w:rPr>
          <w:rFonts w:ascii="Times New Roman" w:hAnsi="Times New Roman" w:cs="Times New Roman"/>
        </w:rPr>
        <w:t>” for example) for specific use cases</w:t>
      </w:r>
      <w:r w:rsidRPr="009D5980">
        <w:rPr>
          <w:rFonts w:ascii="Times New Roman" w:hAnsi="Times New Roman" w:cs="Times New Roman"/>
        </w:rPr>
        <w:t xml:space="preserve">. </w:t>
      </w:r>
    </w:p>
    <w:p w14:paraId="07F25AD0" w14:textId="77777777" w:rsidR="00110DFC" w:rsidRPr="009D5980" w:rsidRDefault="00324FAE" w:rsidP="009D5980">
      <w:pPr>
        <w:spacing w:line="480" w:lineRule="auto"/>
        <w:rPr>
          <w:rFonts w:ascii="Times New Roman" w:hAnsi="Times New Roman" w:cs="Times New Roman"/>
        </w:rPr>
      </w:pPr>
      <w:r w:rsidRPr="009D5980">
        <w:rPr>
          <w:rFonts w:ascii="Times New Roman" w:hAnsi="Times New Roman" w:cs="Times New Roman"/>
        </w:rPr>
        <w:tab/>
      </w:r>
      <w:r w:rsidR="00763E00" w:rsidRPr="009D5980">
        <w:rPr>
          <w:rFonts w:ascii="Times New Roman" w:hAnsi="Times New Roman" w:cs="Times New Roman"/>
        </w:rPr>
        <w:t xml:space="preserve">A sustainable research pipeline for aspects of structural treatment might include the following: </w:t>
      </w:r>
    </w:p>
    <w:p w14:paraId="4F542D9E" w14:textId="5CA8FABF" w:rsidR="00110DFC" w:rsidRPr="009D5980" w:rsidRDefault="00110DFC" w:rsidP="009D5980">
      <w:pPr>
        <w:pStyle w:val="ListParagraph"/>
        <w:numPr>
          <w:ilvl w:val="0"/>
          <w:numId w:val="3"/>
        </w:numPr>
        <w:spacing w:line="480" w:lineRule="auto"/>
        <w:ind w:left="0" w:firstLine="0"/>
        <w:rPr>
          <w:rFonts w:ascii="Times New Roman" w:hAnsi="Times New Roman" w:cs="Times New Roman"/>
        </w:rPr>
      </w:pPr>
      <w:r w:rsidRPr="009D5980">
        <w:rPr>
          <w:rFonts w:ascii="Times New Roman" w:hAnsi="Times New Roman" w:cs="Times New Roman"/>
        </w:rPr>
        <w:t xml:space="preserve">Distribution </w:t>
      </w:r>
      <w:r w:rsidR="00763E00" w:rsidRPr="009D5980">
        <w:rPr>
          <w:rFonts w:ascii="Times New Roman" w:hAnsi="Times New Roman" w:cs="Times New Roman"/>
        </w:rPr>
        <w:t>of research questions among multiple groups to accomplish as much as possible in an expedient manner</w:t>
      </w:r>
    </w:p>
    <w:p w14:paraId="6B41BFC1" w14:textId="4BFE8FEC" w:rsidR="00110DFC" w:rsidRPr="009D5980" w:rsidRDefault="00110DFC" w:rsidP="009D5980">
      <w:pPr>
        <w:pStyle w:val="ListParagraph"/>
        <w:numPr>
          <w:ilvl w:val="0"/>
          <w:numId w:val="3"/>
        </w:numPr>
        <w:spacing w:line="480" w:lineRule="auto"/>
        <w:ind w:left="0" w:firstLine="0"/>
        <w:rPr>
          <w:rFonts w:ascii="Times New Roman" w:hAnsi="Times New Roman" w:cs="Times New Roman"/>
        </w:rPr>
      </w:pPr>
      <w:r w:rsidRPr="009D5980">
        <w:rPr>
          <w:rFonts w:ascii="Times New Roman" w:hAnsi="Times New Roman" w:cs="Times New Roman"/>
        </w:rPr>
        <w:t xml:space="preserve">Embedding </w:t>
      </w:r>
      <w:r w:rsidR="00763E00" w:rsidRPr="009D5980">
        <w:rPr>
          <w:rFonts w:ascii="Times New Roman" w:hAnsi="Times New Roman" w:cs="Times New Roman"/>
        </w:rPr>
        <w:t xml:space="preserve">of early and midcareer conservators and scientists into research groups to carry on projects when </w:t>
      </w:r>
      <w:r w:rsidRPr="009D5980">
        <w:rPr>
          <w:rFonts w:ascii="Times New Roman" w:hAnsi="Times New Roman" w:cs="Times New Roman"/>
        </w:rPr>
        <w:t xml:space="preserve">principal </w:t>
      </w:r>
      <w:r w:rsidR="00763E00" w:rsidRPr="009D5980">
        <w:rPr>
          <w:rFonts w:ascii="Times New Roman" w:hAnsi="Times New Roman" w:cs="Times New Roman"/>
        </w:rPr>
        <w:t>investigators retire or are otherwise unable to continue their work</w:t>
      </w:r>
    </w:p>
    <w:p w14:paraId="7C035B8B" w14:textId="7FE43E20" w:rsidR="00110DFC" w:rsidRPr="009D5980" w:rsidRDefault="00110DFC" w:rsidP="009D5980">
      <w:pPr>
        <w:pStyle w:val="ListParagraph"/>
        <w:numPr>
          <w:ilvl w:val="0"/>
          <w:numId w:val="3"/>
        </w:numPr>
        <w:spacing w:line="480" w:lineRule="auto"/>
        <w:ind w:left="0" w:firstLine="0"/>
        <w:rPr>
          <w:rFonts w:ascii="Times New Roman" w:hAnsi="Times New Roman" w:cs="Times New Roman"/>
        </w:rPr>
      </w:pPr>
      <w:r w:rsidRPr="009D5980">
        <w:rPr>
          <w:rFonts w:ascii="Times New Roman" w:hAnsi="Times New Roman" w:cs="Times New Roman"/>
        </w:rPr>
        <w:t xml:space="preserve">For </w:t>
      </w:r>
      <w:r w:rsidR="00763E00" w:rsidRPr="009D5980">
        <w:rPr>
          <w:rFonts w:ascii="Times New Roman" w:hAnsi="Times New Roman" w:cs="Times New Roman"/>
        </w:rPr>
        <w:t>materials research, aiming to describe the use limits of the material beyond ideal museum conditions</w:t>
      </w:r>
    </w:p>
    <w:p w14:paraId="639F0941" w14:textId="43DF76D4" w:rsidR="00110DFC" w:rsidRPr="009D5980" w:rsidRDefault="00110DFC" w:rsidP="009D5980">
      <w:pPr>
        <w:pStyle w:val="ListParagraph"/>
        <w:numPr>
          <w:ilvl w:val="0"/>
          <w:numId w:val="3"/>
        </w:numPr>
        <w:spacing w:line="480" w:lineRule="auto"/>
        <w:ind w:left="0" w:firstLine="0"/>
        <w:rPr>
          <w:rFonts w:ascii="Times New Roman" w:hAnsi="Times New Roman" w:cs="Times New Roman"/>
        </w:rPr>
      </w:pPr>
      <w:r w:rsidRPr="009D5980">
        <w:rPr>
          <w:rFonts w:ascii="Times New Roman" w:hAnsi="Times New Roman" w:cs="Times New Roman"/>
        </w:rPr>
        <w:t xml:space="preserve">Ensuring </w:t>
      </w:r>
      <w:r w:rsidR="00763E00" w:rsidRPr="009D5980">
        <w:rPr>
          <w:rFonts w:ascii="Times New Roman" w:hAnsi="Times New Roman" w:cs="Times New Roman"/>
        </w:rPr>
        <w:t xml:space="preserve">that research is not limited to high-tech or high-cost instrumentation, incorporating low-tech materials </w:t>
      </w:r>
      <w:r w:rsidR="00136326" w:rsidRPr="009D5980">
        <w:rPr>
          <w:rFonts w:ascii="Times New Roman" w:hAnsi="Times New Roman" w:cs="Times New Roman"/>
        </w:rPr>
        <w:t xml:space="preserve">and qualitative, experiential observation </w:t>
      </w:r>
      <w:r w:rsidR="00763E00" w:rsidRPr="009D5980">
        <w:rPr>
          <w:rFonts w:ascii="Times New Roman" w:hAnsi="Times New Roman" w:cs="Times New Roman"/>
        </w:rPr>
        <w:t xml:space="preserve">whenever reasonable </w:t>
      </w:r>
    </w:p>
    <w:p w14:paraId="6DD9C9AB" w14:textId="6EDE8D56" w:rsidR="00763E00" w:rsidRPr="009D5980" w:rsidRDefault="00763E00" w:rsidP="009D5980">
      <w:pPr>
        <w:spacing w:line="480" w:lineRule="auto"/>
        <w:rPr>
          <w:rFonts w:ascii="Times New Roman" w:hAnsi="Times New Roman" w:cs="Times New Roman"/>
        </w:rPr>
      </w:pPr>
      <w:r w:rsidRPr="009D5980">
        <w:rPr>
          <w:rFonts w:ascii="Times New Roman" w:hAnsi="Times New Roman" w:cs="Times New Roman"/>
        </w:rPr>
        <w:t>In all cases, diversifying our pool of researchers, supporting the work of nonscientists in scientific studies, and ensuring long-term continuation of research projects will require more diverse streams of funding and coordination across projects.</w:t>
      </w:r>
    </w:p>
    <w:p w14:paraId="7768A963" w14:textId="509E0499" w:rsidR="00763E00" w:rsidRPr="009D5980" w:rsidRDefault="00763E00" w:rsidP="009D5980">
      <w:pPr>
        <w:spacing w:line="480" w:lineRule="auto"/>
        <w:rPr>
          <w:rFonts w:ascii="Times New Roman" w:hAnsi="Times New Roman" w:cs="Times New Roman"/>
        </w:rPr>
      </w:pPr>
    </w:p>
    <w:p w14:paraId="46167D2F" w14:textId="2EB616F6" w:rsidR="00763E00" w:rsidRPr="009D5980" w:rsidRDefault="0035604D" w:rsidP="009D5980">
      <w:pPr>
        <w:pStyle w:val="Heading2"/>
      </w:pPr>
      <w:r w:rsidRPr="0035604D">
        <w:rPr>
          <w:b w:val="0"/>
          <w:bCs w:val="0"/>
          <w:highlight w:val="yellow"/>
        </w:rPr>
        <w:t>&lt;B-head&gt;</w:t>
      </w:r>
      <w:r>
        <w:t xml:space="preserve"> </w:t>
      </w:r>
      <w:r w:rsidR="00763E00" w:rsidRPr="0035604D">
        <w:rPr>
          <w:i/>
          <w:iCs/>
        </w:rPr>
        <w:t xml:space="preserve">Expanding </w:t>
      </w:r>
      <w:r w:rsidR="00557964" w:rsidRPr="0035604D">
        <w:rPr>
          <w:i/>
          <w:iCs/>
        </w:rPr>
        <w:t>P</w:t>
      </w:r>
      <w:r w:rsidR="00110DFC" w:rsidRPr="0035604D">
        <w:rPr>
          <w:i/>
          <w:iCs/>
        </w:rPr>
        <w:t>ublication of “</w:t>
      </w:r>
      <w:r w:rsidR="00557964" w:rsidRPr="0035604D">
        <w:rPr>
          <w:i/>
          <w:iCs/>
        </w:rPr>
        <w:t>O</w:t>
      </w:r>
      <w:r w:rsidR="00110DFC" w:rsidRPr="0035604D">
        <w:rPr>
          <w:i/>
          <w:iCs/>
        </w:rPr>
        <w:t xml:space="preserve">rdinary” </w:t>
      </w:r>
      <w:r w:rsidR="00557964" w:rsidRPr="0035604D">
        <w:rPr>
          <w:i/>
          <w:iCs/>
        </w:rPr>
        <w:t>T</w:t>
      </w:r>
      <w:r w:rsidR="00110DFC" w:rsidRPr="0035604D">
        <w:rPr>
          <w:i/>
          <w:iCs/>
        </w:rPr>
        <w:t>reatments</w:t>
      </w:r>
    </w:p>
    <w:p w14:paraId="0DF9DDC5" w14:textId="798BB2E2" w:rsidR="00763E00" w:rsidRPr="009D5980" w:rsidRDefault="00763E00" w:rsidP="009D5980">
      <w:pPr>
        <w:spacing w:line="480" w:lineRule="auto"/>
        <w:rPr>
          <w:rFonts w:ascii="Times New Roman" w:hAnsi="Times New Roman" w:cs="Times New Roman"/>
        </w:rPr>
      </w:pPr>
      <w:r w:rsidRPr="009D5980">
        <w:rPr>
          <w:rFonts w:ascii="Times New Roman" w:hAnsi="Times New Roman" w:cs="Times New Roman"/>
        </w:rPr>
        <w:lastRenderedPageBreak/>
        <w:t>Research only gets us so far toward understanding structural treatment. Ultimately, hands-on experimentation, practical treatment, and object-level study are supported by fundamental and practical research. A conservator’s ability to recalibrate their heuristic understanding of treatment options relies upon an accumulation of data</w:t>
      </w:r>
      <w:r w:rsidR="00110DFC" w:rsidRPr="009D5980">
        <w:rPr>
          <w:rFonts w:ascii="Times New Roman" w:hAnsi="Times New Roman" w:cs="Times New Roman"/>
        </w:rPr>
        <w:t>:</w:t>
      </w:r>
      <w:r w:rsidRPr="009D5980">
        <w:rPr>
          <w:rFonts w:ascii="Times New Roman" w:hAnsi="Times New Roman" w:cs="Times New Roman"/>
        </w:rPr>
        <w:t xml:space="preserve"> experiential</w:t>
      </w:r>
      <w:r w:rsidR="00974487" w:rsidRPr="009D5980">
        <w:rPr>
          <w:rFonts w:ascii="Times New Roman" w:hAnsi="Times New Roman" w:cs="Times New Roman"/>
        </w:rPr>
        <w:t>,</w:t>
      </w:r>
      <w:r w:rsidRPr="009D5980">
        <w:rPr>
          <w:rFonts w:ascii="Times New Roman" w:hAnsi="Times New Roman" w:cs="Times New Roman"/>
        </w:rPr>
        <w:t xml:space="preserve"> anecdotal</w:t>
      </w:r>
      <w:r w:rsidR="00974487" w:rsidRPr="009D5980">
        <w:rPr>
          <w:rFonts w:ascii="Times New Roman" w:hAnsi="Times New Roman" w:cs="Times New Roman"/>
        </w:rPr>
        <w:t>, and peer</w:t>
      </w:r>
      <w:r w:rsidR="00090540">
        <w:rPr>
          <w:rFonts w:ascii="Times New Roman" w:hAnsi="Times New Roman" w:cs="Times New Roman"/>
        </w:rPr>
        <w:t xml:space="preserve"> </w:t>
      </w:r>
      <w:r w:rsidR="00974487" w:rsidRPr="009D5980">
        <w:rPr>
          <w:rFonts w:ascii="Times New Roman" w:hAnsi="Times New Roman" w:cs="Times New Roman"/>
        </w:rPr>
        <w:t>reviewed</w:t>
      </w:r>
      <w:r w:rsidRPr="009D5980">
        <w:rPr>
          <w:rFonts w:ascii="Times New Roman" w:hAnsi="Times New Roman" w:cs="Times New Roman"/>
        </w:rPr>
        <w:t xml:space="preserve">. Unfortunately for everyday practice, the conservation treatment literature is overwhelmingly geared toward the extraordinary: iconic paintings, material curiosities, and technical challenges. It can be difficult for a conservator to know when a project or observation is appropriate for or worthy of publication. Thoughts </w:t>
      </w:r>
      <w:r w:rsidR="00E37BD4" w:rsidRPr="009D5980">
        <w:rPr>
          <w:rFonts w:ascii="Times New Roman" w:hAnsi="Times New Roman" w:cs="Times New Roman"/>
        </w:rPr>
        <w:t xml:space="preserve">that </w:t>
      </w:r>
      <w:r w:rsidRPr="009D5980">
        <w:rPr>
          <w:rFonts w:ascii="Times New Roman" w:hAnsi="Times New Roman" w:cs="Times New Roman"/>
        </w:rPr>
        <w:t xml:space="preserve">this treatment is not interesting enough for publication or this painting is not important enough for publication are counterproductive in the long term, resulting in collective blind spots in the conservation literature. </w:t>
      </w:r>
    </w:p>
    <w:p w14:paraId="7F7FE37C" w14:textId="7CD850F7" w:rsidR="00E37BD4" w:rsidRPr="009D5980" w:rsidRDefault="00324FAE" w:rsidP="009D5980">
      <w:pPr>
        <w:spacing w:line="480" w:lineRule="auto"/>
        <w:rPr>
          <w:rFonts w:ascii="Times New Roman" w:hAnsi="Times New Roman" w:cs="Times New Roman"/>
        </w:rPr>
      </w:pPr>
      <w:r w:rsidRPr="009D5980">
        <w:rPr>
          <w:rFonts w:ascii="Times New Roman" w:hAnsi="Times New Roman" w:cs="Times New Roman"/>
        </w:rPr>
        <w:tab/>
      </w:r>
      <w:r w:rsidR="00763E00" w:rsidRPr="009D5980">
        <w:rPr>
          <w:rFonts w:ascii="Times New Roman" w:hAnsi="Times New Roman" w:cs="Times New Roman"/>
        </w:rPr>
        <w:t>A more sustainable and collaborative approach to this problem would be to encourage the publication of seemingly routine data about methods of manufacture and treatment procedures</w:t>
      </w:r>
      <w:r w:rsidR="00974487" w:rsidRPr="009D5980">
        <w:rPr>
          <w:rFonts w:ascii="Times New Roman" w:hAnsi="Times New Roman" w:cs="Times New Roman"/>
        </w:rPr>
        <w:t>, either making room within established scholarly spaces or supporting new publication venues devoted to communications of “routine” treatments</w:t>
      </w:r>
      <w:r w:rsidR="00763E00" w:rsidRPr="009D5980">
        <w:rPr>
          <w:rFonts w:ascii="Times New Roman" w:hAnsi="Times New Roman" w:cs="Times New Roman"/>
        </w:rPr>
        <w:t>. This is an uncomfortable thought</w:t>
      </w:r>
      <w:r w:rsidR="00652342" w:rsidRPr="009D5980">
        <w:rPr>
          <w:rFonts w:ascii="Times New Roman" w:hAnsi="Times New Roman" w:cs="Times New Roman"/>
        </w:rPr>
        <w:t>, however,</w:t>
      </w:r>
      <w:r w:rsidR="00763E00" w:rsidRPr="009D5980">
        <w:rPr>
          <w:rFonts w:ascii="Times New Roman" w:hAnsi="Times New Roman" w:cs="Times New Roman"/>
        </w:rPr>
        <w:t xml:space="preserve"> for some practitioners and institutions, especially in the realm of conservation of modern and contemporary materials, wherein confidentiality is often key to the conservator-client (and conservator-client-dealer-foundation) relationship. </w:t>
      </w:r>
      <w:r w:rsidR="00974487" w:rsidRPr="009D5980">
        <w:rPr>
          <w:rFonts w:ascii="Times New Roman" w:hAnsi="Times New Roman" w:cs="Times New Roman"/>
        </w:rPr>
        <w:t>We cannot expect colleagues to jeopardize their working relationships, but we should not feel satisfied by a discourse illustrated with redact</w:t>
      </w:r>
      <w:r w:rsidR="006306B5" w:rsidRPr="009D5980">
        <w:rPr>
          <w:rFonts w:ascii="Times New Roman" w:hAnsi="Times New Roman" w:cs="Times New Roman"/>
        </w:rPr>
        <w:t>ed images and presentation slides with do-not-</w:t>
      </w:r>
      <w:r w:rsidR="00E37BD4" w:rsidRPr="009D5980">
        <w:rPr>
          <w:rFonts w:ascii="Times New Roman" w:hAnsi="Times New Roman" w:cs="Times New Roman"/>
        </w:rPr>
        <w:t>t</w:t>
      </w:r>
      <w:r w:rsidR="006306B5" w:rsidRPr="009D5980">
        <w:rPr>
          <w:rFonts w:ascii="Times New Roman" w:hAnsi="Times New Roman" w:cs="Times New Roman"/>
        </w:rPr>
        <w:t xml:space="preserve">weet warnings. </w:t>
      </w:r>
    </w:p>
    <w:p w14:paraId="59233653" w14:textId="01FBE133" w:rsidR="00763E00" w:rsidRPr="009D5980" w:rsidRDefault="00E37BD4" w:rsidP="009D5980">
      <w:pPr>
        <w:spacing w:line="480" w:lineRule="auto"/>
        <w:rPr>
          <w:rFonts w:ascii="Times New Roman" w:hAnsi="Times New Roman" w:cs="Times New Roman"/>
        </w:rPr>
      </w:pPr>
      <w:r w:rsidRPr="009D5980">
        <w:rPr>
          <w:rFonts w:ascii="Times New Roman" w:hAnsi="Times New Roman" w:cs="Times New Roman"/>
        </w:rPr>
        <w:tab/>
        <w:t>A</w:t>
      </w:r>
      <w:r w:rsidR="00763E00" w:rsidRPr="009D5980">
        <w:rPr>
          <w:rFonts w:ascii="Times New Roman" w:hAnsi="Times New Roman" w:cs="Times New Roman"/>
        </w:rPr>
        <w:t xml:space="preserve"> reasonable compromise that would provide some degree of confidentiality while enabling the aggregation of treatment data would be to encourage periodic publication of treatments within an institution or private practice over the course of </w:t>
      </w:r>
      <w:r w:rsidR="00557964">
        <w:rPr>
          <w:rFonts w:ascii="Times New Roman" w:hAnsi="Times New Roman" w:cs="Times New Roman"/>
        </w:rPr>
        <w:t>five</w:t>
      </w:r>
      <w:r w:rsidR="00652342" w:rsidRPr="009D5980">
        <w:rPr>
          <w:rFonts w:ascii="Times New Roman" w:hAnsi="Times New Roman" w:cs="Times New Roman"/>
        </w:rPr>
        <w:t xml:space="preserve"> to </w:t>
      </w:r>
      <w:r w:rsidR="00557964">
        <w:rPr>
          <w:rFonts w:ascii="Times New Roman" w:hAnsi="Times New Roman" w:cs="Times New Roman"/>
        </w:rPr>
        <w:t>ten</w:t>
      </w:r>
      <w:r w:rsidR="00763E00" w:rsidRPr="009D5980">
        <w:rPr>
          <w:rFonts w:ascii="Times New Roman" w:hAnsi="Times New Roman" w:cs="Times New Roman"/>
        </w:rPr>
        <w:t xml:space="preserve"> years. These summaries would overcome the misconception that individual treatments may not be worthy of </w:t>
      </w:r>
      <w:r w:rsidR="00763E00" w:rsidRPr="009D5980">
        <w:rPr>
          <w:rFonts w:ascii="Times New Roman" w:hAnsi="Times New Roman" w:cs="Times New Roman"/>
        </w:rPr>
        <w:lastRenderedPageBreak/>
        <w:t>publication</w:t>
      </w:r>
      <w:r w:rsidR="00652342" w:rsidRPr="009D5980">
        <w:rPr>
          <w:rFonts w:ascii="Times New Roman" w:hAnsi="Times New Roman" w:cs="Times New Roman"/>
        </w:rPr>
        <w:t>,</w:t>
      </w:r>
      <w:r w:rsidR="00763E00" w:rsidRPr="009D5980">
        <w:rPr>
          <w:rFonts w:ascii="Times New Roman" w:hAnsi="Times New Roman" w:cs="Times New Roman"/>
        </w:rPr>
        <w:t xml:space="preserve"> while tracking adoption and use of techniques and materials</w:t>
      </w:r>
      <w:r w:rsidR="00652342" w:rsidRPr="009D5980">
        <w:rPr>
          <w:rFonts w:ascii="Times New Roman" w:hAnsi="Times New Roman" w:cs="Times New Roman"/>
        </w:rPr>
        <w:t>.</w:t>
      </w:r>
      <w:r w:rsidR="00763E00" w:rsidRPr="009D5980">
        <w:rPr>
          <w:rFonts w:ascii="Times New Roman" w:hAnsi="Times New Roman" w:cs="Times New Roman"/>
        </w:rPr>
        <w:t xml:space="preserve"> </w:t>
      </w:r>
      <w:r w:rsidR="00652342" w:rsidRPr="009D5980">
        <w:rPr>
          <w:rFonts w:ascii="Times New Roman" w:hAnsi="Times New Roman" w:cs="Times New Roman"/>
        </w:rPr>
        <w:t xml:space="preserve">Moreover, </w:t>
      </w:r>
      <w:r w:rsidR="00763E00" w:rsidRPr="009D5980">
        <w:rPr>
          <w:rFonts w:ascii="Times New Roman" w:hAnsi="Times New Roman" w:cs="Times New Roman"/>
        </w:rPr>
        <w:t xml:space="preserve">such publications would provide opportunities to discuss successes and shortcomings of treatments both ordinary and extraordinary. Lastly, this initiative would generate opportunities for conservators to think critically about their work and how their philosophies evolve over time. In sum, a critical mass of such publications would provide enough information </w:t>
      </w:r>
      <w:r w:rsidR="00652342" w:rsidRPr="009D5980">
        <w:rPr>
          <w:rFonts w:ascii="Times New Roman" w:hAnsi="Times New Roman" w:cs="Times New Roman"/>
        </w:rPr>
        <w:t xml:space="preserve">to </w:t>
      </w:r>
      <w:r w:rsidR="00763E00" w:rsidRPr="009D5980">
        <w:rPr>
          <w:rFonts w:ascii="Times New Roman" w:hAnsi="Times New Roman" w:cs="Times New Roman"/>
        </w:rPr>
        <w:t xml:space="preserve">allow the field to better describe use boundaries </w:t>
      </w:r>
      <w:r w:rsidR="00652342" w:rsidRPr="009D5980">
        <w:rPr>
          <w:rFonts w:ascii="Times New Roman" w:hAnsi="Times New Roman" w:cs="Times New Roman"/>
        </w:rPr>
        <w:t xml:space="preserve">among </w:t>
      </w:r>
      <w:r w:rsidR="00763E00" w:rsidRPr="009D5980">
        <w:rPr>
          <w:rFonts w:ascii="Times New Roman" w:hAnsi="Times New Roman" w:cs="Times New Roman"/>
        </w:rPr>
        <w:t xml:space="preserve">different structural treatment options in different exhibition and storage environments. </w:t>
      </w:r>
      <w:r w:rsidR="00652342" w:rsidRPr="009D5980">
        <w:rPr>
          <w:rFonts w:ascii="Times New Roman" w:hAnsi="Times New Roman" w:cs="Times New Roman"/>
        </w:rPr>
        <w:t>Of course, t</w:t>
      </w:r>
      <w:r w:rsidR="00763E00" w:rsidRPr="009D5980">
        <w:rPr>
          <w:rFonts w:ascii="Times New Roman" w:hAnsi="Times New Roman" w:cs="Times New Roman"/>
        </w:rPr>
        <w:t>his proposal hinges upon the support of existing editorial boards and/or the foundation of one or more new journals.</w:t>
      </w:r>
    </w:p>
    <w:p w14:paraId="3210FBF0" w14:textId="77777777" w:rsidR="00763E00" w:rsidRPr="009D5980" w:rsidRDefault="00763E00" w:rsidP="009D5980">
      <w:pPr>
        <w:spacing w:line="480" w:lineRule="auto"/>
        <w:rPr>
          <w:rFonts w:ascii="Times New Roman" w:hAnsi="Times New Roman" w:cs="Times New Roman"/>
        </w:rPr>
      </w:pPr>
    </w:p>
    <w:p w14:paraId="214A55F9" w14:textId="7F447438" w:rsidR="00763E00" w:rsidRPr="009D5980" w:rsidRDefault="0035604D" w:rsidP="009D5980">
      <w:pPr>
        <w:pStyle w:val="Heading2"/>
      </w:pPr>
      <w:r w:rsidRPr="0035604D">
        <w:rPr>
          <w:b w:val="0"/>
          <w:bCs w:val="0"/>
          <w:highlight w:val="yellow"/>
        </w:rPr>
        <w:t>&lt;B-head&gt;</w:t>
      </w:r>
      <w:r>
        <w:t xml:space="preserve"> </w:t>
      </w:r>
      <w:r w:rsidR="00763E00" w:rsidRPr="0035604D">
        <w:rPr>
          <w:i/>
          <w:iCs/>
        </w:rPr>
        <w:t xml:space="preserve">Increasing </w:t>
      </w:r>
      <w:r w:rsidR="00557964" w:rsidRPr="0035604D">
        <w:rPr>
          <w:i/>
          <w:iCs/>
        </w:rPr>
        <w:t>P</w:t>
      </w:r>
      <w:r w:rsidR="00324FAE" w:rsidRPr="0035604D">
        <w:rPr>
          <w:i/>
          <w:iCs/>
        </w:rPr>
        <w:t xml:space="preserve">ractitioners’ </w:t>
      </w:r>
      <w:r w:rsidR="00557964" w:rsidRPr="0035604D">
        <w:rPr>
          <w:i/>
          <w:iCs/>
        </w:rPr>
        <w:t>C</w:t>
      </w:r>
      <w:r w:rsidR="00324FAE" w:rsidRPr="0035604D">
        <w:rPr>
          <w:i/>
          <w:iCs/>
        </w:rPr>
        <w:t xml:space="preserve">ommand of </w:t>
      </w:r>
      <w:r w:rsidR="00557964" w:rsidRPr="0035604D">
        <w:rPr>
          <w:i/>
          <w:iCs/>
        </w:rPr>
        <w:t>D</w:t>
      </w:r>
      <w:r w:rsidR="00324FAE" w:rsidRPr="0035604D">
        <w:rPr>
          <w:i/>
          <w:iCs/>
        </w:rPr>
        <w:t xml:space="preserve">iverse </w:t>
      </w:r>
      <w:r w:rsidR="00557964" w:rsidRPr="0035604D">
        <w:rPr>
          <w:i/>
          <w:iCs/>
        </w:rPr>
        <w:t>T</w:t>
      </w:r>
      <w:r w:rsidR="00324FAE" w:rsidRPr="0035604D">
        <w:rPr>
          <w:i/>
          <w:iCs/>
        </w:rPr>
        <w:t xml:space="preserve">reatment </w:t>
      </w:r>
      <w:r w:rsidR="00557964" w:rsidRPr="0035604D">
        <w:rPr>
          <w:i/>
          <w:iCs/>
        </w:rPr>
        <w:t>M</w:t>
      </w:r>
      <w:r w:rsidR="00324FAE" w:rsidRPr="0035604D">
        <w:rPr>
          <w:i/>
          <w:iCs/>
        </w:rPr>
        <w:t>ethodologies</w:t>
      </w:r>
    </w:p>
    <w:p w14:paraId="3540D127" w14:textId="7659A1E8" w:rsidR="00763E00" w:rsidRPr="009D5980" w:rsidRDefault="00763E00" w:rsidP="009D5980">
      <w:pPr>
        <w:spacing w:line="480" w:lineRule="auto"/>
        <w:rPr>
          <w:rFonts w:ascii="Times New Roman" w:hAnsi="Times New Roman" w:cs="Times New Roman"/>
        </w:rPr>
      </w:pPr>
      <w:r w:rsidRPr="009D5980">
        <w:rPr>
          <w:rFonts w:ascii="Times New Roman" w:hAnsi="Times New Roman" w:cs="Times New Roman"/>
        </w:rPr>
        <w:t xml:space="preserve">An outgrowth of the production of a new international terminology and broader publication of practical treatment information (and indeed, of the </w:t>
      </w:r>
      <w:bookmarkStart w:id="1" w:name="_Hlk92711215"/>
      <w:r w:rsidRPr="009D5980">
        <w:rPr>
          <w:rFonts w:ascii="Times New Roman" w:hAnsi="Times New Roman" w:cs="Times New Roman"/>
        </w:rPr>
        <w:t>Conserving Canvas initiative</w:t>
      </w:r>
      <w:bookmarkEnd w:id="1"/>
      <w:r w:rsidRPr="009D5980">
        <w:rPr>
          <w:rFonts w:ascii="Times New Roman" w:hAnsi="Times New Roman" w:cs="Times New Roman"/>
        </w:rPr>
        <w:t>) should be the increase of conservators’ capacity for understanding and commanding multiple approaches for structural treatment.</w:t>
      </w:r>
      <w:r w:rsidR="00206E67" w:rsidRPr="009D5980">
        <w:rPr>
          <w:rFonts w:ascii="Times New Roman" w:hAnsi="Times New Roman" w:cs="Times New Roman"/>
        </w:rPr>
        <w:t xml:space="preserve"> The past few decades have seen a proliferation of new cleaning technologies aimed at greater specificity, efficacy</w:t>
      </w:r>
      <w:r w:rsidR="00CF4441" w:rsidRPr="009D5980">
        <w:rPr>
          <w:rFonts w:ascii="Times New Roman" w:hAnsi="Times New Roman" w:cs="Times New Roman"/>
        </w:rPr>
        <w:t xml:space="preserve"> ({</w:t>
      </w:r>
      <w:r w:rsidR="00557964">
        <w:rPr>
          <w:rFonts w:ascii="Times New Roman" w:hAnsi="Times New Roman" w:cs="Times New Roman"/>
        </w:rPr>
        <w:t>{</w:t>
      </w:r>
      <w:r w:rsidR="00CF4441" w:rsidRPr="009D5980">
        <w:rPr>
          <w:rFonts w:ascii="Times New Roman" w:hAnsi="Times New Roman" w:cs="Times New Roman"/>
        </w:rPr>
        <w:t>Ormsby et al</w:t>
      </w:r>
      <w:r w:rsidR="006B6254" w:rsidRPr="009D5980">
        <w:rPr>
          <w:rFonts w:ascii="Times New Roman" w:hAnsi="Times New Roman" w:cs="Times New Roman"/>
        </w:rPr>
        <w:t>.</w:t>
      </w:r>
      <w:r w:rsidR="00CF4441" w:rsidRPr="009D5980">
        <w:rPr>
          <w:rFonts w:ascii="Times New Roman" w:hAnsi="Times New Roman" w:cs="Times New Roman"/>
        </w:rPr>
        <w:t xml:space="preserve"> 2010}</w:t>
      </w:r>
      <w:r w:rsidR="00557964">
        <w:rPr>
          <w:rFonts w:ascii="Times New Roman" w:hAnsi="Times New Roman" w:cs="Times New Roman"/>
        </w:rPr>
        <w:t>}</w:t>
      </w:r>
      <w:r w:rsidR="00CF4441" w:rsidRPr="009D5980">
        <w:rPr>
          <w:rFonts w:ascii="Times New Roman" w:hAnsi="Times New Roman" w:cs="Times New Roman"/>
        </w:rPr>
        <w:t>)</w:t>
      </w:r>
      <w:r w:rsidR="00206E67" w:rsidRPr="009D5980">
        <w:rPr>
          <w:rFonts w:ascii="Times New Roman" w:hAnsi="Times New Roman" w:cs="Times New Roman"/>
        </w:rPr>
        <w:t>, control</w:t>
      </w:r>
      <w:r w:rsidR="00CF4441" w:rsidRPr="009D5980">
        <w:rPr>
          <w:rFonts w:ascii="Times New Roman" w:hAnsi="Times New Roman" w:cs="Times New Roman"/>
        </w:rPr>
        <w:t xml:space="preserve"> ({</w:t>
      </w:r>
      <w:r w:rsidR="00557964">
        <w:rPr>
          <w:rFonts w:ascii="Times New Roman" w:hAnsi="Times New Roman" w:cs="Times New Roman"/>
        </w:rPr>
        <w:t>{</w:t>
      </w:r>
      <w:r w:rsidR="00C62983" w:rsidRPr="009D5980">
        <w:rPr>
          <w:rFonts w:ascii="Times New Roman" w:hAnsi="Times New Roman" w:cs="Times New Roman"/>
        </w:rPr>
        <w:t>Tauber et al. 2018</w:t>
      </w:r>
      <w:r w:rsidR="00CF4441" w:rsidRPr="009D5980">
        <w:rPr>
          <w:rFonts w:ascii="Times New Roman" w:hAnsi="Times New Roman" w:cs="Times New Roman"/>
        </w:rPr>
        <w:t>}</w:t>
      </w:r>
      <w:r w:rsidR="00557964">
        <w:rPr>
          <w:rFonts w:ascii="Times New Roman" w:hAnsi="Times New Roman" w:cs="Times New Roman"/>
        </w:rPr>
        <w:t>}</w:t>
      </w:r>
      <w:r w:rsidR="00CF4441" w:rsidRPr="009D5980">
        <w:rPr>
          <w:rFonts w:ascii="Times New Roman" w:hAnsi="Times New Roman" w:cs="Times New Roman"/>
        </w:rPr>
        <w:t>)</w:t>
      </w:r>
      <w:r w:rsidR="00206E67" w:rsidRPr="009D5980">
        <w:rPr>
          <w:rFonts w:ascii="Times New Roman" w:hAnsi="Times New Roman" w:cs="Times New Roman"/>
        </w:rPr>
        <w:t>, and increased safety to the practitioner</w:t>
      </w:r>
      <w:r w:rsidR="00C62983" w:rsidRPr="009D5980">
        <w:rPr>
          <w:rFonts w:ascii="Times New Roman" w:hAnsi="Times New Roman" w:cs="Times New Roman"/>
        </w:rPr>
        <w:t>.</w:t>
      </w:r>
      <w:r w:rsidR="00023287" w:rsidRPr="009D5980">
        <w:rPr>
          <w:rStyle w:val="EndnoteReference"/>
          <w:rFonts w:ascii="Times New Roman" w:hAnsi="Times New Roman" w:cs="Times New Roman"/>
        </w:rPr>
        <w:endnoteReference w:id="4"/>
      </w:r>
      <w:r w:rsidR="00206E67" w:rsidRPr="009D5980">
        <w:rPr>
          <w:rFonts w:ascii="Times New Roman" w:hAnsi="Times New Roman" w:cs="Times New Roman"/>
        </w:rPr>
        <w:t xml:space="preserve"> Yet the same demand for specificity in structural treatment is seemingly lacking; a paintings conservator might be expected to utilize only a few structural treatment procedures each for humidification, consolidation, tear mending, and lining. One goal of modern structural treatment should be to work toward the understanding of and proficiency in multiple techniques to service different needs and to achieve differing effects. </w:t>
      </w:r>
    </w:p>
    <w:p w14:paraId="054EB188" w14:textId="744F83E1" w:rsidR="00537DC2" w:rsidRPr="009D5980" w:rsidRDefault="00324FAE" w:rsidP="009D5980">
      <w:pPr>
        <w:spacing w:line="480" w:lineRule="auto"/>
        <w:rPr>
          <w:rFonts w:ascii="Times New Roman" w:hAnsi="Times New Roman" w:cs="Times New Roman"/>
        </w:rPr>
      </w:pPr>
      <w:r w:rsidRPr="009D5980">
        <w:rPr>
          <w:rFonts w:ascii="Times New Roman" w:hAnsi="Times New Roman" w:cs="Times New Roman"/>
        </w:rPr>
        <w:tab/>
      </w:r>
      <w:r w:rsidR="00206E67" w:rsidRPr="009D5980">
        <w:rPr>
          <w:rFonts w:ascii="Times New Roman" w:hAnsi="Times New Roman" w:cs="Times New Roman"/>
        </w:rPr>
        <w:t>The ways in which we describe treatment parameters can be expanded by considering varied approaches. For instance, a more nuanced understanding of treatment possibilities makes it possible to better define one’s intent with a treatment</w:t>
      </w:r>
      <w:r w:rsidR="00BF2E79" w:rsidRPr="009D5980">
        <w:rPr>
          <w:rFonts w:ascii="Times New Roman" w:hAnsi="Times New Roman" w:cs="Times New Roman"/>
        </w:rPr>
        <w:t xml:space="preserve">: </w:t>
      </w:r>
      <w:proofErr w:type="gramStart"/>
      <w:r w:rsidR="00206E67" w:rsidRPr="009D5980">
        <w:rPr>
          <w:rFonts w:ascii="Times New Roman" w:hAnsi="Times New Roman" w:cs="Times New Roman"/>
        </w:rPr>
        <w:t>whether or not</w:t>
      </w:r>
      <w:proofErr w:type="gramEnd"/>
      <w:r w:rsidR="00206E67" w:rsidRPr="009D5980">
        <w:rPr>
          <w:rFonts w:ascii="Times New Roman" w:hAnsi="Times New Roman" w:cs="Times New Roman"/>
        </w:rPr>
        <w:t xml:space="preserve"> adhesive methods are </w:t>
      </w:r>
      <w:r w:rsidR="00206E67" w:rsidRPr="009D5980">
        <w:rPr>
          <w:rFonts w:ascii="Times New Roman" w:hAnsi="Times New Roman" w:cs="Times New Roman"/>
        </w:rPr>
        <w:lastRenderedPageBreak/>
        <w:t>required</w:t>
      </w:r>
      <w:r w:rsidR="00BF2E79" w:rsidRPr="009D5980">
        <w:rPr>
          <w:rFonts w:ascii="Times New Roman" w:hAnsi="Times New Roman" w:cs="Times New Roman"/>
        </w:rPr>
        <w:t>, and</w:t>
      </w:r>
      <w:r w:rsidR="00206E67" w:rsidRPr="009D5980">
        <w:rPr>
          <w:rFonts w:ascii="Times New Roman" w:hAnsi="Times New Roman" w:cs="Times New Roman"/>
        </w:rPr>
        <w:t xml:space="preserve"> if </w:t>
      </w:r>
      <w:r w:rsidR="00BF2E79" w:rsidRPr="009D5980">
        <w:rPr>
          <w:rFonts w:ascii="Times New Roman" w:hAnsi="Times New Roman" w:cs="Times New Roman"/>
        </w:rPr>
        <w:t>they are</w:t>
      </w:r>
      <w:r w:rsidR="00206E67" w:rsidRPr="009D5980">
        <w:rPr>
          <w:rFonts w:ascii="Times New Roman" w:hAnsi="Times New Roman" w:cs="Times New Roman"/>
        </w:rPr>
        <w:t>, where within the structure of the painting one aims to localize the adhesive bond</w:t>
      </w:r>
      <w:r w:rsidR="00BF2E79" w:rsidRPr="009D5980">
        <w:rPr>
          <w:rFonts w:ascii="Times New Roman" w:hAnsi="Times New Roman" w:cs="Times New Roman"/>
        </w:rPr>
        <w:t>,</w:t>
      </w:r>
      <w:r w:rsidR="00206E67" w:rsidRPr="009D5980">
        <w:rPr>
          <w:rFonts w:ascii="Times New Roman" w:hAnsi="Times New Roman" w:cs="Times New Roman"/>
        </w:rPr>
        <w:t xml:space="preserve"> and what is intended for the method of retreatability. From there, the choice of materials and the ability to control the conditions imposed upon the painting during treatment determines (in part) the success at realizing the intent of the treatment. </w:t>
      </w:r>
    </w:p>
    <w:p w14:paraId="02EF02CC" w14:textId="0A7665BA" w:rsidR="00206E67" w:rsidRPr="009D5980" w:rsidRDefault="00537DC2" w:rsidP="009D5980">
      <w:pPr>
        <w:spacing w:line="480" w:lineRule="auto"/>
        <w:rPr>
          <w:rFonts w:ascii="Times New Roman" w:hAnsi="Times New Roman" w:cs="Times New Roman"/>
        </w:rPr>
      </w:pPr>
      <w:r w:rsidRPr="009D5980">
        <w:rPr>
          <w:rFonts w:ascii="Times New Roman" w:hAnsi="Times New Roman" w:cs="Times New Roman"/>
        </w:rPr>
        <w:tab/>
      </w:r>
      <w:r w:rsidR="00206E67" w:rsidRPr="009D5980">
        <w:rPr>
          <w:rFonts w:ascii="Times New Roman" w:hAnsi="Times New Roman" w:cs="Times New Roman"/>
        </w:rPr>
        <w:t>An individual conservator, a training program, and a museum might have their own proficiencies when it comes to structural treatment; by relying upon each other, we are able to fill in knowledge gaps and develop formal and informal advisory groups to guide individual treatments and long-term practical advancement. An ancillary benefit of gaining proficiencies across several different types of structural treatment is an increased ability to adapt when working in nonideal conditions or when material formulations change.</w:t>
      </w:r>
    </w:p>
    <w:p w14:paraId="248CC291" w14:textId="77777777" w:rsidR="00206E67" w:rsidRPr="009D5980" w:rsidRDefault="00206E67" w:rsidP="009D5980">
      <w:pPr>
        <w:spacing w:line="480" w:lineRule="auto"/>
        <w:rPr>
          <w:rFonts w:ascii="Times New Roman" w:hAnsi="Times New Roman" w:cs="Times New Roman"/>
        </w:rPr>
      </w:pPr>
    </w:p>
    <w:p w14:paraId="6B49A099" w14:textId="4E8F7C62" w:rsidR="00763E00" w:rsidRPr="009D5980" w:rsidRDefault="0035604D" w:rsidP="009D5980">
      <w:pPr>
        <w:pStyle w:val="Heading1"/>
      </w:pPr>
      <w:r w:rsidRPr="0035604D">
        <w:rPr>
          <w:b w:val="0"/>
          <w:bCs w:val="0"/>
          <w:highlight w:val="yellow"/>
        </w:rPr>
        <w:t>&lt;B-head&gt;</w:t>
      </w:r>
      <w:r>
        <w:t xml:space="preserve"> </w:t>
      </w:r>
      <w:r w:rsidR="00763E00" w:rsidRPr="0035604D">
        <w:rPr>
          <w:i/>
          <w:iCs/>
        </w:rPr>
        <w:t xml:space="preserve">Material </w:t>
      </w:r>
      <w:r w:rsidR="00557964" w:rsidRPr="0035604D">
        <w:rPr>
          <w:i/>
          <w:iCs/>
        </w:rPr>
        <w:t>S</w:t>
      </w:r>
      <w:r w:rsidR="00C62983" w:rsidRPr="0035604D">
        <w:rPr>
          <w:i/>
          <w:iCs/>
        </w:rPr>
        <w:t xml:space="preserve">ustainability and </w:t>
      </w:r>
      <w:r w:rsidR="00557964" w:rsidRPr="0035604D">
        <w:rPr>
          <w:i/>
          <w:iCs/>
        </w:rPr>
        <w:t>P</w:t>
      </w:r>
      <w:r w:rsidR="00C62983" w:rsidRPr="0035604D">
        <w:rPr>
          <w:i/>
          <w:iCs/>
        </w:rPr>
        <w:t xml:space="preserve">robable </w:t>
      </w:r>
      <w:r w:rsidR="00557964" w:rsidRPr="0035604D">
        <w:rPr>
          <w:i/>
          <w:iCs/>
        </w:rPr>
        <w:t>I</w:t>
      </w:r>
      <w:r w:rsidR="00C62983" w:rsidRPr="0035604D">
        <w:rPr>
          <w:i/>
          <w:iCs/>
        </w:rPr>
        <w:t xml:space="preserve">mpacts on </w:t>
      </w:r>
      <w:r w:rsidR="00557964" w:rsidRPr="0035604D">
        <w:rPr>
          <w:i/>
          <w:iCs/>
        </w:rPr>
        <w:t>St</w:t>
      </w:r>
      <w:r w:rsidR="00C62983" w:rsidRPr="0035604D">
        <w:rPr>
          <w:i/>
          <w:iCs/>
        </w:rPr>
        <w:t xml:space="preserve">ructural </w:t>
      </w:r>
      <w:r w:rsidR="00557964" w:rsidRPr="0035604D">
        <w:rPr>
          <w:i/>
          <w:iCs/>
        </w:rPr>
        <w:t>T</w:t>
      </w:r>
      <w:r w:rsidR="00C62983" w:rsidRPr="0035604D">
        <w:rPr>
          <w:i/>
          <w:iCs/>
        </w:rPr>
        <w:t>reatment</w:t>
      </w:r>
    </w:p>
    <w:p w14:paraId="1AB8C5A7" w14:textId="67A52F6C" w:rsidR="00763E00" w:rsidRPr="009D5980" w:rsidRDefault="00206E67" w:rsidP="009D5980">
      <w:pPr>
        <w:spacing w:line="480" w:lineRule="auto"/>
        <w:rPr>
          <w:rFonts w:ascii="Times New Roman" w:hAnsi="Times New Roman" w:cs="Times New Roman"/>
        </w:rPr>
      </w:pPr>
      <w:r w:rsidRPr="009D5980">
        <w:rPr>
          <w:rFonts w:ascii="Times New Roman" w:hAnsi="Times New Roman" w:cs="Times New Roman"/>
        </w:rPr>
        <w:t xml:space="preserve">In recent years, sustainability has transformed from a buzzword to an urgent concern. Increased focus has been placed upon material sourcing, with specific attention paid to materials refined from petroleum and other nonrenewable resources. Other key factors in material sustainability are environmental impact </w:t>
      </w:r>
      <w:r w:rsidR="00537DC2" w:rsidRPr="009D5980">
        <w:rPr>
          <w:rFonts w:ascii="Times New Roman" w:hAnsi="Times New Roman" w:cs="Times New Roman"/>
        </w:rPr>
        <w:t>(</w:t>
      </w:r>
      <w:r w:rsidRPr="009D5980">
        <w:rPr>
          <w:rFonts w:ascii="Times New Roman" w:hAnsi="Times New Roman" w:cs="Times New Roman"/>
        </w:rPr>
        <w:t>how a material influences the stability of various biomes</w:t>
      </w:r>
      <w:r w:rsidR="00537DC2" w:rsidRPr="009D5980">
        <w:rPr>
          <w:rFonts w:ascii="Times New Roman" w:hAnsi="Times New Roman" w:cs="Times New Roman"/>
        </w:rPr>
        <w:t>)</w:t>
      </w:r>
      <w:r w:rsidRPr="009D5980">
        <w:rPr>
          <w:rFonts w:ascii="Times New Roman" w:hAnsi="Times New Roman" w:cs="Times New Roman"/>
        </w:rPr>
        <w:t xml:space="preserve"> and human health and safety </w:t>
      </w:r>
      <w:r w:rsidR="00537DC2" w:rsidRPr="009D5980">
        <w:rPr>
          <w:rFonts w:ascii="Times New Roman" w:hAnsi="Times New Roman" w:cs="Times New Roman"/>
        </w:rPr>
        <w:t>(</w:t>
      </w:r>
      <w:r w:rsidRPr="009D5980">
        <w:rPr>
          <w:rFonts w:ascii="Times New Roman" w:hAnsi="Times New Roman" w:cs="Times New Roman"/>
        </w:rPr>
        <w:t>how chronic and acute exposures affect organ function and how materials metabolize and bioaccumulate within the body</w:t>
      </w:r>
      <w:r w:rsidR="00537DC2" w:rsidRPr="009D5980">
        <w:rPr>
          <w:rFonts w:ascii="Times New Roman" w:hAnsi="Times New Roman" w:cs="Times New Roman"/>
        </w:rPr>
        <w:t>)</w:t>
      </w:r>
      <w:r w:rsidRPr="009D5980">
        <w:rPr>
          <w:rFonts w:ascii="Times New Roman" w:hAnsi="Times New Roman" w:cs="Times New Roman"/>
        </w:rPr>
        <w:t>. One consequence of pursuing sustainable materials and practices is the greening of our chemistry, either by choice or through governmental regulations.</w:t>
      </w:r>
    </w:p>
    <w:p w14:paraId="06FF53C9" w14:textId="780E2824" w:rsidR="00206E67" w:rsidRPr="009D5980" w:rsidRDefault="00C62983" w:rsidP="009D5980">
      <w:pPr>
        <w:spacing w:line="480" w:lineRule="auto"/>
        <w:rPr>
          <w:rFonts w:ascii="Times New Roman" w:hAnsi="Times New Roman" w:cs="Times New Roman"/>
        </w:rPr>
      </w:pPr>
      <w:r w:rsidRPr="009D5980">
        <w:rPr>
          <w:rFonts w:ascii="Times New Roman" w:hAnsi="Times New Roman" w:cs="Times New Roman"/>
        </w:rPr>
        <w:tab/>
      </w:r>
      <w:r w:rsidR="00206E67" w:rsidRPr="009D5980">
        <w:rPr>
          <w:rFonts w:ascii="Times New Roman" w:hAnsi="Times New Roman" w:cs="Times New Roman"/>
        </w:rPr>
        <w:t xml:space="preserve">Of the various regulatory frameworks worldwide, the European Union’s Regulation, Evaluation, Authorization and Restriction of Chemicals (REACH) is a good predictor of materials </w:t>
      </w:r>
      <w:r w:rsidR="00090540">
        <w:rPr>
          <w:rFonts w:ascii="Times New Roman" w:hAnsi="Times New Roman" w:cs="Times New Roman"/>
        </w:rPr>
        <w:t>to which</w:t>
      </w:r>
      <w:r w:rsidR="00206E67" w:rsidRPr="009D5980">
        <w:rPr>
          <w:rFonts w:ascii="Times New Roman" w:hAnsi="Times New Roman" w:cs="Times New Roman"/>
        </w:rPr>
        <w:t xml:space="preserve"> conservators might lose access </w:t>
      </w:r>
      <w:proofErr w:type="gramStart"/>
      <w:r w:rsidR="00206E67" w:rsidRPr="009D5980">
        <w:rPr>
          <w:rFonts w:ascii="Times New Roman" w:hAnsi="Times New Roman" w:cs="Times New Roman"/>
        </w:rPr>
        <w:t>in the near future</w:t>
      </w:r>
      <w:proofErr w:type="gramEnd"/>
      <w:r w:rsidRPr="009D5980">
        <w:rPr>
          <w:rFonts w:ascii="Times New Roman" w:hAnsi="Times New Roman" w:cs="Times New Roman"/>
        </w:rPr>
        <w:t>.</w:t>
      </w:r>
      <w:r w:rsidR="00206E67" w:rsidRPr="009D5980">
        <w:rPr>
          <w:rStyle w:val="EndnoteReference"/>
          <w:rFonts w:ascii="Times New Roman" w:hAnsi="Times New Roman" w:cs="Times New Roman"/>
        </w:rPr>
        <w:endnoteReference w:id="5"/>
      </w:r>
      <w:r w:rsidR="00206E67" w:rsidRPr="009D5980">
        <w:rPr>
          <w:rFonts w:ascii="Times New Roman" w:hAnsi="Times New Roman" w:cs="Times New Roman"/>
        </w:rPr>
        <w:t xml:space="preserve"> Under REACH is a list of </w:t>
      </w:r>
      <w:r w:rsidR="00206E67" w:rsidRPr="009D5980">
        <w:rPr>
          <w:rFonts w:ascii="Times New Roman" w:hAnsi="Times New Roman" w:cs="Times New Roman"/>
        </w:rPr>
        <w:lastRenderedPageBreak/>
        <w:t>substances of very high concern (SVHC): a register of chemicals that are deemed problematic and have been proposed for restricted use or other regulations. Suppliers and manufacturers can receive authorizations to formulate substances containing restricted materials; however, if a manufacturer were to find a substitute chemical that performs similarly while being unrestricted, there is a strong likelihood that the formulation of the substance will change. For the purposes of structural treatment, conservators need to be aware of the current formulations of our common materials and the chemical similarities between components of conservation materials and those on the SVHC list.</w:t>
      </w:r>
    </w:p>
    <w:p w14:paraId="338EA1E9" w14:textId="5794839D" w:rsidR="00206E67" w:rsidRPr="009D5980" w:rsidRDefault="00C62983" w:rsidP="009D5980">
      <w:pPr>
        <w:spacing w:line="480" w:lineRule="auto"/>
        <w:rPr>
          <w:rFonts w:ascii="Times New Roman" w:hAnsi="Times New Roman" w:cs="Times New Roman"/>
        </w:rPr>
      </w:pPr>
      <w:r w:rsidRPr="009D5980">
        <w:rPr>
          <w:rFonts w:ascii="Times New Roman" w:hAnsi="Times New Roman" w:cs="Times New Roman"/>
        </w:rPr>
        <w:tab/>
      </w:r>
      <w:r w:rsidR="00206E67" w:rsidRPr="009D5980">
        <w:rPr>
          <w:rFonts w:ascii="Times New Roman" w:hAnsi="Times New Roman" w:cs="Times New Roman"/>
        </w:rPr>
        <w:t xml:space="preserve">Although the number of changes to paintings conservation practice resulting from governmental regulations should be </w:t>
      </w:r>
      <w:r w:rsidR="00A44727" w:rsidRPr="009D5980">
        <w:rPr>
          <w:rFonts w:ascii="Times New Roman" w:hAnsi="Times New Roman" w:cs="Times New Roman"/>
        </w:rPr>
        <w:t>low</w:t>
      </w:r>
      <w:r w:rsidR="00206E67" w:rsidRPr="009D5980">
        <w:rPr>
          <w:rFonts w:ascii="Times New Roman" w:hAnsi="Times New Roman" w:cs="Times New Roman"/>
        </w:rPr>
        <w:t>, there are examples of anticipated changes that are of significant concern. Phthalates feature in general on the SVHC list,</w:t>
      </w:r>
      <w:r w:rsidR="00206E67" w:rsidRPr="009D5980">
        <w:rPr>
          <w:rStyle w:val="EndnoteReference"/>
          <w:rFonts w:ascii="Times New Roman" w:hAnsi="Times New Roman" w:cs="Times New Roman"/>
        </w:rPr>
        <w:endnoteReference w:id="6"/>
      </w:r>
      <w:r w:rsidR="00206E67" w:rsidRPr="009D5980">
        <w:rPr>
          <w:rFonts w:ascii="Times New Roman" w:hAnsi="Times New Roman" w:cs="Times New Roman"/>
        </w:rPr>
        <w:t xml:space="preserve"> mostly because of the risk of oral exposure due to the presence of phthalate plasticizers in children’s toys and in plastic bottles. The most common occurrence of phthalates in paintings conservation is in the formulation of </w:t>
      </w:r>
      <w:r w:rsidRPr="009D5980">
        <w:rPr>
          <w:rFonts w:ascii="Times New Roman" w:hAnsi="Times New Roman" w:cs="Times New Roman"/>
        </w:rPr>
        <w:t xml:space="preserve">Beva </w:t>
      </w:r>
      <w:r w:rsidR="00206E67" w:rsidRPr="009D5980">
        <w:rPr>
          <w:rFonts w:ascii="Times New Roman" w:hAnsi="Times New Roman" w:cs="Times New Roman"/>
        </w:rPr>
        <w:t xml:space="preserve">371 and </w:t>
      </w:r>
      <w:r w:rsidRPr="009D5980">
        <w:rPr>
          <w:rFonts w:ascii="Times New Roman" w:hAnsi="Times New Roman" w:cs="Times New Roman"/>
        </w:rPr>
        <w:t>Beva</w:t>
      </w:r>
      <w:r w:rsidR="00206E67" w:rsidRPr="009D5980">
        <w:rPr>
          <w:rFonts w:ascii="Times New Roman" w:hAnsi="Times New Roman" w:cs="Times New Roman"/>
        </w:rPr>
        <w:t xml:space="preserve"> 371b, both of which include Cellolyn 21, a phthalate ester of rosin acids.</w:t>
      </w:r>
      <w:r w:rsidR="00C86504" w:rsidRPr="009D5980">
        <w:rPr>
          <w:rStyle w:val="EndnoteReference"/>
          <w:rFonts w:ascii="Times New Roman" w:hAnsi="Times New Roman" w:cs="Times New Roman"/>
        </w:rPr>
        <w:endnoteReference w:id="7"/>
      </w:r>
      <w:r w:rsidR="00206E67" w:rsidRPr="009D5980">
        <w:rPr>
          <w:rFonts w:ascii="Times New Roman" w:hAnsi="Times New Roman" w:cs="Times New Roman"/>
        </w:rPr>
        <w:t xml:space="preserve"> Replacing Cellolyn 21 in the formulation of </w:t>
      </w:r>
      <w:r w:rsidR="00AE3CD5" w:rsidRPr="009D5980">
        <w:rPr>
          <w:rFonts w:ascii="Times New Roman" w:hAnsi="Times New Roman" w:cs="Times New Roman"/>
        </w:rPr>
        <w:t xml:space="preserve">Beva products </w:t>
      </w:r>
      <w:r w:rsidR="00206E67" w:rsidRPr="009D5980">
        <w:rPr>
          <w:rFonts w:ascii="Times New Roman" w:hAnsi="Times New Roman" w:cs="Times New Roman"/>
        </w:rPr>
        <w:t>will likely change the tacking, setting, and melting temperatures of the adhesive.</w:t>
      </w:r>
      <w:r w:rsidR="00206E67" w:rsidRPr="009D5980">
        <w:rPr>
          <w:rStyle w:val="EndnoteReference"/>
          <w:rFonts w:ascii="Times New Roman" w:hAnsi="Times New Roman" w:cs="Times New Roman"/>
        </w:rPr>
        <w:endnoteReference w:id="8"/>
      </w:r>
      <w:r w:rsidR="00206E67" w:rsidRPr="009D5980">
        <w:rPr>
          <w:rFonts w:ascii="Times New Roman" w:hAnsi="Times New Roman" w:cs="Times New Roman"/>
        </w:rPr>
        <w:t xml:space="preserve"> Phenol ethoxylates, a class of nonionic surfactants, are under increasing scrutiny.</w:t>
      </w:r>
      <w:r w:rsidR="00206E67" w:rsidRPr="009D5980">
        <w:rPr>
          <w:rStyle w:val="EndnoteReference"/>
          <w:rFonts w:ascii="Times New Roman" w:hAnsi="Times New Roman" w:cs="Times New Roman"/>
        </w:rPr>
        <w:endnoteReference w:id="9"/>
      </w:r>
      <w:r w:rsidR="00206E67" w:rsidRPr="009D5980">
        <w:rPr>
          <w:rFonts w:ascii="Times New Roman" w:hAnsi="Times New Roman" w:cs="Times New Roman"/>
        </w:rPr>
        <w:t xml:space="preserve"> Nonylphenol ethoxylates, for example, are restricted materials under REACH, but they have been used in the past in formulations of acrylic dispersions. It is likely that the surfactant components of acrylic dispersions will undergo a series of substitutions, possibly resulting in different working properties and changes to the pH of acrylic dispersion formulations. Lastly, some of our common solvents have been deemed problematic, including many aromatic solvents. Any restrictions placed upon these solvents </w:t>
      </w:r>
      <w:r w:rsidR="00206E67" w:rsidRPr="009D5980">
        <w:rPr>
          <w:rFonts w:ascii="Times New Roman" w:hAnsi="Times New Roman" w:cs="Times New Roman"/>
        </w:rPr>
        <w:lastRenderedPageBreak/>
        <w:t>could have implications for reversibility of certain treatments and for the feasibility of some adhesive formulations.</w:t>
      </w:r>
    </w:p>
    <w:p w14:paraId="32EEC046" w14:textId="5226F6CC" w:rsidR="00206E67" w:rsidRPr="009D5980" w:rsidRDefault="00C62983" w:rsidP="009D5980">
      <w:pPr>
        <w:spacing w:line="480" w:lineRule="auto"/>
        <w:rPr>
          <w:rFonts w:ascii="Times New Roman" w:hAnsi="Times New Roman" w:cs="Times New Roman"/>
        </w:rPr>
      </w:pPr>
      <w:r w:rsidRPr="009D5980">
        <w:rPr>
          <w:rFonts w:ascii="Times New Roman" w:hAnsi="Times New Roman" w:cs="Times New Roman"/>
        </w:rPr>
        <w:tab/>
      </w:r>
      <w:r w:rsidR="00206E67" w:rsidRPr="009D5980">
        <w:rPr>
          <w:rFonts w:ascii="Times New Roman" w:hAnsi="Times New Roman" w:cs="Times New Roman"/>
        </w:rPr>
        <w:t xml:space="preserve">In addition to material substitutions due to governmental regulations, conservation materials extracted from threatened or endangered species may not be available in the future. Examples of these species include many types of sturgeon, from which protein glues can be extracted, and some algae species responsible </w:t>
      </w:r>
      <w:proofErr w:type="gramStart"/>
      <w:r w:rsidR="00206E67" w:rsidRPr="009D5980">
        <w:rPr>
          <w:rFonts w:ascii="Times New Roman" w:hAnsi="Times New Roman" w:cs="Times New Roman"/>
        </w:rPr>
        <w:t>for the production of</w:t>
      </w:r>
      <w:proofErr w:type="gramEnd"/>
      <w:r w:rsidR="00206E67" w:rsidRPr="009D5980">
        <w:rPr>
          <w:rFonts w:ascii="Times New Roman" w:hAnsi="Times New Roman" w:cs="Times New Roman"/>
        </w:rPr>
        <w:t xml:space="preserve"> agar</w:t>
      </w:r>
      <w:r w:rsidR="0075478E" w:rsidRPr="009D5980">
        <w:rPr>
          <w:rFonts w:ascii="Times New Roman" w:hAnsi="Times New Roman" w:cs="Times New Roman"/>
        </w:rPr>
        <w:t>-</w:t>
      </w:r>
      <w:r w:rsidR="00206E67" w:rsidRPr="009D5980">
        <w:rPr>
          <w:rFonts w:ascii="Times New Roman" w:hAnsi="Times New Roman" w:cs="Times New Roman"/>
        </w:rPr>
        <w:t>agar and agarose. Conservators need to be aware of the possibility of formulation changes. Not only do we have a moral obligation to comply with regulations</w:t>
      </w:r>
      <w:r w:rsidR="00090540">
        <w:rPr>
          <w:rFonts w:ascii="Times New Roman" w:hAnsi="Times New Roman" w:cs="Times New Roman"/>
        </w:rPr>
        <w:t>,</w:t>
      </w:r>
      <w:r w:rsidR="00206E67" w:rsidRPr="009D5980">
        <w:rPr>
          <w:rFonts w:ascii="Times New Roman" w:hAnsi="Times New Roman" w:cs="Times New Roman"/>
        </w:rPr>
        <w:t xml:space="preserve"> but we </w:t>
      </w:r>
      <w:r w:rsidR="0075478E" w:rsidRPr="009D5980">
        <w:rPr>
          <w:rFonts w:ascii="Times New Roman" w:hAnsi="Times New Roman" w:cs="Times New Roman"/>
        </w:rPr>
        <w:t xml:space="preserve">also </w:t>
      </w:r>
      <w:r w:rsidR="00206E67" w:rsidRPr="009D5980">
        <w:rPr>
          <w:rFonts w:ascii="Times New Roman" w:hAnsi="Times New Roman" w:cs="Times New Roman"/>
        </w:rPr>
        <w:t>have an ethical obligation to anticipate material changes and the impact such changes may have on retreatability of current treatments.</w:t>
      </w:r>
      <w:r w:rsidR="008C0157" w:rsidRPr="009D5980">
        <w:rPr>
          <w:rFonts w:ascii="Times New Roman" w:hAnsi="Times New Roman" w:cs="Times New Roman"/>
        </w:rPr>
        <w:t xml:space="preserve"> Luckily, being prepared for changes in the name of sustainability can be accomplished by attempting to address </w:t>
      </w:r>
      <w:proofErr w:type="gramStart"/>
      <w:r w:rsidR="008C0157" w:rsidRPr="009D5980">
        <w:rPr>
          <w:rFonts w:ascii="Times New Roman" w:hAnsi="Times New Roman" w:cs="Times New Roman"/>
        </w:rPr>
        <w:t>all of</w:t>
      </w:r>
      <w:proofErr w:type="gramEnd"/>
      <w:r w:rsidR="008C0157" w:rsidRPr="009D5980">
        <w:rPr>
          <w:rFonts w:ascii="Times New Roman" w:hAnsi="Times New Roman" w:cs="Times New Roman"/>
        </w:rPr>
        <w:t xml:space="preserve"> the challenges highlighted above.</w:t>
      </w:r>
    </w:p>
    <w:p w14:paraId="291EA006" w14:textId="77777777" w:rsidR="00206E67" w:rsidRPr="009D5980" w:rsidRDefault="00206E67" w:rsidP="009D5980">
      <w:pPr>
        <w:spacing w:line="480" w:lineRule="auto"/>
        <w:rPr>
          <w:rFonts w:ascii="Times New Roman" w:hAnsi="Times New Roman" w:cs="Times New Roman"/>
        </w:rPr>
      </w:pPr>
    </w:p>
    <w:p w14:paraId="72E64517" w14:textId="1A6D5531" w:rsidR="00763E00" w:rsidRPr="009D5980" w:rsidRDefault="0035604D" w:rsidP="009D5980">
      <w:pPr>
        <w:pStyle w:val="Heading1"/>
      </w:pPr>
      <w:r w:rsidRPr="0035604D">
        <w:rPr>
          <w:b w:val="0"/>
          <w:bCs w:val="0"/>
          <w:highlight w:val="yellow"/>
        </w:rPr>
        <w:t>&lt;A-head&gt;</w:t>
      </w:r>
      <w:r>
        <w:t xml:space="preserve"> </w:t>
      </w:r>
      <w:r w:rsidR="00763E00" w:rsidRPr="009D5980">
        <w:t>Conclusion</w:t>
      </w:r>
    </w:p>
    <w:p w14:paraId="62A95534" w14:textId="2B674ED1" w:rsidR="008E651F" w:rsidRPr="009D5980" w:rsidRDefault="00CF513D" w:rsidP="009D5980">
      <w:pPr>
        <w:spacing w:line="480" w:lineRule="auto"/>
        <w:rPr>
          <w:rFonts w:ascii="Times New Roman" w:hAnsi="Times New Roman" w:cs="Times New Roman"/>
        </w:rPr>
      </w:pPr>
      <w:r w:rsidRPr="009D5980">
        <w:rPr>
          <w:rFonts w:ascii="Times New Roman" w:hAnsi="Times New Roman" w:cs="Times New Roman"/>
        </w:rPr>
        <w:t xml:space="preserve">Our ever-evolving understanding of the structural treatment of paintings on fabric supports is built upon nuance and experience expressed first in native tongues and shared across cultures thereafter. </w:t>
      </w:r>
      <w:r w:rsidR="00206E67" w:rsidRPr="009D5980">
        <w:rPr>
          <w:rFonts w:ascii="Times New Roman" w:hAnsi="Times New Roman" w:cs="Times New Roman"/>
        </w:rPr>
        <w:t>If conservators and scientists can work together to communicate effectively and efficiently, to explore the limits of our current techniques, to respect the expertise inherent in regional traditions, and to encourage fundamental and practical research within our international conservation framework, we will have followed sustainable</w:t>
      </w:r>
      <w:r w:rsidR="006B1AB7" w:rsidRPr="009D5980">
        <w:rPr>
          <w:rFonts w:ascii="Times New Roman" w:hAnsi="Times New Roman" w:cs="Times New Roman"/>
        </w:rPr>
        <w:t xml:space="preserve"> and</w:t>
      </w:r>
      <w:r w:rsidR="00206E67" w:rsidRPr="009D5980">
        <w:rPr>
          <w:rFonts w:ascii="Times New Roman" w:hAnsi="Times New Roman" w:cs="Times New Roman"/>
        </w:rPr>
        <w:t xml:space="preserve"> adaptable trajectories for progress.</w:t>
      </w:r>
      <w:r w:rsidR="006B1AB7" w:rsidRPr="009D5980">
        <w:rPr>
          <w:rFonts w:ascii="Times New Roman" w:hAnsi="Times New Roman" w:cs="Times New Roman"/>
        </w:rPr>
        <w:t xml:space="preserve"> These collaborative efforts </w:t>
      </w:r>
      <w:r w:rsidR="009075B2" w:rsidRPr="009D5980">
        <w:rPr>
          <w:rFonts w:ascii="Times New Roman" w:hAnsi="Times New Roman" w:cs="Times New Roman"/>
        </w:rPr>
        <w:t>will be most effective if we avoid impulses toward secrecy and proprietarianism</w:t>
      </w:r>
      <w:r w:rsidR="0075478E" w:rsidRPr="009D5980">
        <w:rPr>
          <w:rFonts w:ascii="Times New Roman" w:hAnsi="Times New Roman" w:cs="Times New Roman"/>
        </w:rPr>
        <w:t>,</w:t>
      </w:r>
      <w:r w:rsidR="009075B2" w:rsidRPr="009D5980">
        <w:rPr>
          <w:rFonts w:ascii="Times New Roman" w:hAnsi="Times New Roman" w:cs="Times New Roman"/>
        </w:rPr>
        <w:t xml:space="preserve"> embrace </w:t>
      </w:r>
      <w:r w:rsidR="009B2129" w:rsidRPr="009D5980">
        <w:rPr>
          <w:rFonts w:ascii="Times New Roman" w:hAnsi="Times New Roman" w:cs="Times New Roman"/>
        </w:rPr>
        <w:t xml:space="preserve">communications detailing </w:t>
      </w:r>
      <w:r w:rsidR="009075B2" w:rsidRPr="009D5980">
        <w:rPr>
          <w:rFonts w:ascii="Times New Roman" w:hAnsi="Times New Roman" w:cs="Times New Roman"/>
        </w:rPr>
        <w:t>treatments and studies</w:t>
      </w:r>
      <w:r w:rsidR="0075478E" w:rsidRPr="009D5980">
        <w:rPr>
          <w:rFonts w:ascii="Times New Roman" w:hAnsi="Times New Roman" w:cs="Times New Roman"/>
        </w:rPr>
        <w:t>,</w:t>
      </w:r>
      <w:r w:rsidR="009075B2" w:rsidRPr="009D5980">
        <w:rPr>
          <w:rFonts w:ascii="Times New Roman" w:hAnsi="Times New Roman" w:cs="Times New Roman"/>
        </w:rPr>
        <w:t xml:space="preserve"> both </w:t>
      </w:r>
      <w:r w:rsidR="009B2129" w:rsidRPr="009D5980">
        <w:rPr>
          <w:rFonts w:ascii="Times New Roman" w:hAnsi="Times New Roman" w:cs="Times New Roman"/>
        </w:rPr>
        <w:t>routine and extraordinary</w:t>
      </w:r>
      <w:r w:rsidR="0075478E" w:rsidRPr="009D5980">
        <w:rPr>
          <w:rFonts w:ascii="Times New Roman" w:hAnsi="Times New Roman" w:cs="Times New Roman"/>
        </w:rPr>
        <w:t>—</w:t>
      </w:r>
      <w:r w:rsidR="009B2129" w:rsidRPr="009D5980">
        <w:rPr>
          <w:rFonts w:ascii="Times New Roman" w:hAnsi="Times New Roman" w:cs="Times New Roman"/>
        </w:rPr>
        <w:t>whether they be success</w:t>
      </w:r>
      <w:r w:rsidR="0075478E" w:rsidRPr="009D5980">
        <w:rPr>
          <w:rFonts w:ascii="Times New Roman" w:hAnsi="Times New Roman" w:cs="Times New Roman"/>
        </w:rPr>
        <w:t>es</w:t>
      </w:r>
      <w:r w:rsidR="009B2129" w:rsidRPr="009D5980">
        <w:rPr>
          <w:rFonts w:ascii="Times New Roman" w:hAnsi="Times New Roman" w:cs="Times New Roman"/>
        </w:rPr>
        <w:t xml:space="preserve"> or failure</w:t>
      </w:r>
      <w:r w:rsidR="0075478E" w:rsidRPr="009D5980">
        <w:rPr>
          <w:rFonts w:ascii="Times New Roman" w:hAnsi="Times New Roman" w:cs="Times New Roman"/>
        </w:rPr>
        <w:t>s—</w:t>
      </w:r>
      <w:r w:rsidR="009B2129" w:rsidRPr="009D5980">
        <w:rPr>
          <w:rFonts w:ascii="Times New Roman" w:hAnsi="Times New Roman" w:cs="Times New Roman"/>
        </w:rPr>
        <w:t xml:space="preserve">and we </w:t>
      </w:r>
      <w:proofErr w:type="gramStart"/>
      <w:r w:rsidR="009B2129" w:rsidRPr="009D5980">
        <w:rPr>
          <w:rFonts w:ascii="Times New Roman" w:hAnsi="Times New Roman" w:cs="Times New Roman"/>
        </w:rPr>
        <w:t>plan ahead</w:t>
      </w:r>
      <w:proofErr w:type="gramEnd"/>
      <w:r w:rsidR="009B2129" w:rsidRPr="009D5980">
        <w:rPr>
          <w:rFonts w:ascii="Times New Roman" w:hAnsi="Times New Roman" w:cs="Times New Roman"/>
        </w:rPr>
        <w:t xml:space="preserve"> for conditions where problematic or scarce materials need to be replaced. </w:t>
      </w:r>
      <w:r w:rsidRPr="009D5980">
        <w:rPr>
          <w:rFonts w:ascii="Times New Roman" w:hAnsi="Times New Roman" w:cs="Times New Roman"/>
        </w:rPr>
        <w:t xml:space="preserve">Thus, </w:t>
      </w:r>
      <w:proofErr w:type="gramStart"/>
      <w:r w:rsidRPr="009D5980">
        <w:rPr>
          <w:rFonts w:ascii="Times New Roman" w:hAnsi="Times New Roman" w:cs="Times New Roman"/>
        </w:rPr>
        <w:t>multilingual</w:t>
      </w:r>
      <w:proofErr w:type="gramEnd"/>
      <w:r w:rsidRPr="009D5980">
        <w:rPr>
          <w:rFonts w:ascii="Times New Roman" w:hAnsi="Times New Roman" w:cs="Times New Roman"/>
        </w:rPr>
        <w:t xml:space="preserve"> and multiregional </w:t>
      </w:r>
      <w:r w:rsidRPr="009D5980">
        <w:rPr>
          <w:rFonts w:ascii="Times New Roman" w:hAnsi="Times New Roman" w:cs="Times New Roman"/>
        </w:rPr>
        <w:lastRenderedPageBreak/>
        <w:t>inclusiveness will provide the field with a plurality of best practices to adopt, adapt, and evolve into the future.</w:t>
      </w:r>
    </w:p>
    <w:p w14:paraId="7B314C29" w14:textId="35476CF0" w:rsidR="00D56F04" w:rsidRDefault="00D56F04" w:rsidP="008E651F">
      <w:pPr>
        <w:spacing w:line="480" w:lineRule="auto"/>
        <w:rPr>
          <w:rFonts w:ascii="Times New Roman" w:hAnsi="Times New Roman" w:cs="Times New Roman"/>
          <w:b/>
          <w:bCs/>
        </w:rPr>
      </w:pPr>
    </w:p>
    <w:p w14:paraId="102AF1D5" w14:textId="6DBCD29F" w:rsidR="00557964" w:rsidRDefault="0035604D" w:rsidP="008E651F">
      <w:pPr>
        <w:spacing w:line="480" w:lineRule="auto"/>
        <w:rPr>
          <w:rFonts w:ascii="Times New Roman" w:hAnsi="Times New Roman" w:cs="Times New Roman"/>
          <w:b/>
          <w:bCs/>
        </w:rPr>
      </w:pPr>
      <w:r w:rsidRPr="0035604D">
        <w:rPr>
          <w:rFonts w:ascii="Times New Roman" w:hAnsi="Times New Roman" w:cs="Times New Roman"/>
          <w:highlight w:val="yellow"/>
        </w:rPr>
        <w:t>&lt;A-head&gt;</w:t>
      </w:r>
      <w:r>
        <w:rPr>
          <w:rFonts w:ascii="Times New Roman" w:hAnsi="Times New Roman" w:cs="Times New Roman"/>
          <w:b/>
          <w:bCs/>
        </w:rPr>
        <w:t xml:space="preserve"> </w:t>
      </w:r>
      <w:r w:rsidR="00557964">
        <w:rPr>
          <w:rFonts w:ascii="Times New Roman" w:hAnsi="Times New Roman" w:cs="Times New Roman"/>
          <w:b/>
          <w:bCs/>
        </w:rPr>
        <w:t>Notes</w:t>
      </w:r>
    </w:p>
    <w:p w14:paraId="517FA497" w14:textId="77777777" w:rsidR="0035604D" w:rsidRPr="008E651F" w:rsidRDefault="0035604D" w:rsidP="008E651F">
      <w:pPr>
        <w:spacing w:line="480" w:lineRule="auto"/>
        <w:rPr>
          <w:rFonts w:ascii="Times New Roman" w:hAnsi="Times New Roman" w:cs="Times New Roman"/>
        </w:rPr>
      </w:pPr>
    </w:p>
    <w:sectPr w:rsidR="0035604D" w:rsidRPr="008E651F" w:rsidSect="00FB566F">
      <w:footerReference w:type="even" r:id="rId8"/>
      <w:footerReference w:type="default" r:id="rId9"/>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2AC878" w14:textId="77777777" w:rsidR="003F792A" w:rsidRDefault="003F792A" w:rsidP="008E651F">
      <w:r>
        <w:separator/>
      </w:r>
    </w:p>
  </w:endnote>
  <w:endnote w:type="continuationSeparator" w:id="0">
    <w:p w14:paraId="476F208C" w14:textId="77777777" w:rsidR="003F792A" w:rsidRDefault="003F792A" w:rsidP="008E651F">
      <w:r>
        <w:continuationSeparator/>
      </w:r>
    </w:p>
  </w:endnote>
  <w:endnote w:id="1">
    <w:p w14:paraId="5291EE03" w14:textId="0CD385DD" w:rsidR="0002081D" w:rsidRPr="0035604D" w:rsidRDefault="0002081D" w:rsidP="0035604D">
      <w:pPr>
        <w:pStyle w:val="EndnoteText"/>
        <w:rPr>
          <w:rStyle w:val="Hyperlink"/>
          <w:rFonts w:ascii="Times New Roman" w:hAnsi="Times New Roman" w:cs="Times New Roman"/>
        </w:rPr>
      </w:pPr>
      <w:r w:rsidRPr="0035604D">
        <w:rPr>
          <w:rStyle w:val="EndnoteReference"/>
          <w:rFonts w:ascii="Times New Roman" w:hAnsi="Times New Roman" w:cs="Times New Roman"/>
        </w:rPr>
        <w:endnoteRef/>
      </w:r>
      <w:r w:rsidRPr="0035604D">
        <w:rPr>
          <w:rFonts w:ascii="Times New Roman" w:hAnsi="Times New Roman" w:cs="Times New Roman"/>
        </w:rPr>
        <w:t xml:space="preserve"> </w:t>
      </w:r>
      <w:r w:rsidR="00D56F04" w:rsidRPr="0035604D">
        <w:rPr>
          <w:rFonts w:ascii="Times New Roman" w:hAnsi="Times New Roman" w:cs="Times New Roman"/>
        </w:rPr>
        <w:t xml:space="preserve">For example, </w:t>
      </w:r>
      <w:r w:rsidRPr="0035604D">
        <w:rPr>
          <w:rFonts w:ascii="Times New Roman" w:hAnsi="Times New Roman" w:cs="Times New Roman"/>
        </w:rPr>
        <w:t>European Committee for Standardization CEN/TC 346/WG 1, General methodologies and terminology</w:t>
      </w:r>
      <w:r w:rsidR="00D56F04" w:rsidRPr="0035604D">
        <w:rPr>
          <w:rFonts w:ascii="Times New Roman" w:hAnsi="Times New Roman" w:cs="Times New Roman"/>
        </w:rPr>
        <w:t>:</w:t>
      </w:r>
      <w:r w:rsidRPr="0035604D">
        <w:rPr>
          <w:rFonts w:ascii="Times New Roman" w:hAnsi="Times New Roman" w:cs="Times New Roman"/>
        </w:rPr>
        <w:t xml:space="preserve"> </w:t>
      </w:r>
      <w:hyperlink r:id="rId1" w:history="1">
        <w:r w:rsidRPr="0035604D">
          <w:rPr>
            <w:rStyle w:val="Hyperlink"/>
            <w:rFonts w:ascii="Times New Roman" w:hAnsi="Times New Roman" w:cs="Times New Roman"/>
          </w:rPr>
          <w:t>https://standards.cen.eu</w:t>
        </w:r>
      </w:hyperlink>
      <w:r w:rsidR="00B24C62" w:rsidRPr="0035604D">
        <w:rPr>
          <w:rStyle w:val="Hyperlink"/>
          <w:rFonts w:ascii="Times New Roman" w:hAnsi="Times New Roman" w:cs="Times New Roman"/>
        </w:rPr>
        <w:t>.</w:t>
      </w:r>
    </w:p>
    <w:p w14:paraId="29C3350C" w14:textId="77777777" w:rsidR="00557964" w:rsidRPr="0035604D" w:rsidRDefault="00557964" w:rsidP="0035604D">
      <w:pPr>
        <w:pStyle w:val="EndnoteText"/>
        <w:rPr>
          <w:rFonts w:ascii="Times New Roman" w:hAnsi="Times New Roman" w:cs="Times New Roman"/>
        </w:rPr>
      </w:pPr>
    </w:p>
  </w:endnote>
  <w:endnote w:id="2">
    <w:p w14:paraId="099AB2E3" w14:textId="3E52961A" w:rsidR="00557964" w:rsidRPr="0035604D" w:rsidRDefault="00763E00" w:rsidP="0035604D">
      <w:pPr>
        <w:pStyle w:val="EndnoteText"/>
        <w:rPr>
          <w:rStyle w:val="Hyperlink"/>
          <w:rFonts w:ascii="Times New Roman" w:hAnsi="Times New Roman" w:cs="Times New Roman"/>
        </w:rPr>
      </w:pPr>
      <w:r w:rsidRPr="0035604D">
        <w:rPr>
          <w:rStyle w:val="EndnoteReference"/>
          <w:rFonts w:ascii="Times New Roman" w:hAnsi="Times New Roman" w:cs="Times New Roman"/>
        </w:rPr>
        <w:endnoteRef/>
      </w:r>
      <w:r w:rsidRPr="0035604D">
        <w:rPr>
          <w:rFonts w:ascii="Times New Roman" w:hAnsi="Times New Roman" w:cs="Times New Roman"/>
        </w:rPr>
        <w:t xml:space="preserve"> </w:t>
      </w:r>
      <w:r w:rsidR="00C86504" w:rsidRPr="0035604D">
        <w:rPr>
          <w:rFonts w:ascii="Times New Roman" w:hAnsi="Times New Roman" w:cs="Times New Roman"/>
        </w:rPr>
        <w:t>International partnerships are among the United Nations</w:t>
      </w:r>
      <w:r w:rsidR="00C62983" w:rsidRPr="0035604D">
        <w:rPr>
          <w:rFonts w:ascii="Times New Roman" w:hAnsi="Times New Roman" w:cs="Times New Roman"/>
        </w:rPr>
        <w:t>’</w:t>
      </w:r>
      <w:r w:rsidR="00C86504" w:rsidRPr="0035604D">
        <w:rPr>
          <w:rFonts w:ascii="Times New Roman" w:hAnsi="Times New Roman" w:cs="Times New Roman"/>
        </w:rPr>
        <w:t xml:space="preserve"> </w:t>
      </w:r>
      <w:r w:rsidR="00557964" w:rsidRPr="0035604D">
        <w:rPr>
          <w:rFonts w:ascii="Times New Roman" w:hAnsi="Times New Roman" w:cs="Times New Roman"/>
        </w:rPr>
        <w:t>seventeen</w:t>
      </w:r>
      <w:r w:rsidR="00C86504" w:rsidRPr="0035604D">
        <w:rPr>
          <w:rFonts w:ascii="Times New Roman" w:hAnsi="Times New Roman" w:cs="Times New Roman"/>
        </w:rPr>
        <w:t xml:space="preserve"> Sustainable Development Goals: </w:t>
      </w:r>
      <w:hyperlink r:id="rId2" w:history="1">
        <w:r w:rsidR="006A13D2" w:rsidRPr="0035604D">
          <w:rPr>
            <w:rStyle w:val="Hyperlink"/>
            <w:rFonts w:ascii="Times New Roman" w:hAnsi="Times New Roman" w:cs="Times New Roman"/>
          </w:rPr>
          <w:t>https://www.un.org/sustainabledevelopment/sustainable-development-goals/</w:t>
        </w:r>
      </w:hyperlink>
      <w:r w:rsidR="00557964" w:rsidRPr="0035604D">
        <w:rPr>
          <w:rStyle w:val="Hyperlink"/>
          <w:rFonts w:ascii="Times New Roman" w:hAnsi="Times New Roman" w:cs="Times New Roman"/>
        </w:rPr>
        <w:t>.</w:t>
      </w:r>
    </w:p>
    <w:p w14:paraId="3C009ED7" w14:textId="0A4EBC4E" w:rsidR="00763E00" w:rsidRPr="0035604D" w:rsidRDefault="006A13D2" w:rsidP="0035604D">
      <w:pPr>
        <w:pStyle w:val="EndnoteText"/>
        <w:rPr>
          <w:rFonts w:ascii="Times New Roman" w:hAnsi="Times New Roman" w:cs="Times New Roman"/>
        </w:rPr>
      </w:pPr>
      <w:r w:rsidRPr="0035604D">
        <w:rPr>
          <w:rFonts w:ascii="Times New Roman" w:hAnsi="Times New Roman" w:cs="Times New Roman"/>
        </w:rPr>
        <w:t xml:space="preserve"> </w:t>
      </w:r>
    </w:p>
  </w:endnote>
  <w:endnote w:id="3">
    <w:p w14:paraId="0F3602FB" w14:textId="475CD160" w:rsidR="00557964" w:rsidRPr="0035604D" w:rsidRDefault="00156574" w:rsidP="0035604D">
      <w:pPr>
        <w:pStyle w:val="EndnoteText"/>
        <w:rPr>
          <w:rStyle w:val="Hyperlink"/>
          <w:rFonts w:ascii="Times New Roman" w:hAnsi="Times New Roman" w:cs="Times New Roman"/>
        </w:rPr>
      </w:pPr>
      <w:r w:rsidRPr="0035604D">
        <w:rPr>
          <w:rStyle w:val="EndnoteReference"/>
          <w:rFonts w:ascii="Times New Roman" w:hAnsi="Times New Roman" w:cs="Times New Roman"/>
        </w:rPr>
        <w:endnoteRef/>
      </w:r>
      <w:r w:rsidRPr="0035604D">
        <w:rPr>
          <w:rFonts w:ascii="Times New Roman" w:hAnsi="Times New Roman" w:cs="Times New Roman"/>
        </w:rPr>
        <w:t xml:space="preserve"> The Multilingual Technical Scientific Glossary in Conservation and Restoration was a multiphase project </w:t>
      </w:r>
      <w:r w:rsidR="00775624" w:rsidRPr="0035604D">
        <w:rPr>
          <w:rFonts w:ascii="Times New Roman" w:hAnsi="Times New Roman" w:cs="Times New Roman"/>
        </w:rPr>
        <w:t>(</w:t>
      </w:r>
      <w:r w:rsidRPr="0035604D">
        <w:rPr>
          <w:rFonts w:ascii="Times New Roman" w:hAnsi="Times New Roman" w:cs="Times New Roman"/>
        </w:rPr>
        <w:t>2001</w:t>
      </w:r>
      <w:r w:rsidR="00775624" w:rsidRPr="0035604D">
        <w:rPr>
          <w:rFonts w:ascii="Times New Roman" w:hAnsi="Times New Roman" w:cs="Times New Roman"/>
        </w:rPr>
        <w:t>–</w:t>
      </w:r>
      <w:r w:rsidRPr="0035604D">
        <w:rPr>
          <w:rFonts w:ascii="Times New Roman" w:hAnsi="Times New Roman" w:cs="Times New Roman"/>
        </w:rPr>
        <w:t>7</w:t>
      </w:r>
      <w:r w:rsidR="00775624" w:rsidRPr="0035604D">
        <w:rPr>
          <w:rFonts w:ascii="Times New Roman" w:hAnsi="Times New Roman" w:cs="Times New Roman"/>
        </w:rPr>
        <w:t>)</w:t>
      </w:r>
      <w:r w:rsidRPr="0035604D">
        <w:rPr>
          <w:rFonts w:ascii="Times New Roman" w:hAnsi="Times New Roman" w:cs="Times New Roman"/>
        </w:rPr>
        <w:t xml:space="preserve"> focused on the production of a common thesaurus in English, German, French, Italian, and Spanish. </w:t>
      </w:r>
      <w:r w:rsidR="00775624" w:rsidRPr="0035604D">
        <w:rPr>
          <w:rFonts w:ascii="Times New Roman" w:hAnsi="Times New Roman" w:cs="Times New Roman"/>
        </w:rPr>
        <w:t xml:space="preserve">See </w:t>
      </w:r>
      <w:hyperlink r:id="rId3" w:history="1">
        <w:r w:rsidR="00775624" w:rsidRPr="0035604D">
          <w:rPr>
            <w:rStyle w:val="Hyperlink"/>
            <w:rFonts w:ascii="Times New Roman" w:hAnsi="Times New Roman" w:cs="Times New Roman"/>
          </w:rPr>
          <w:t>http://www.associazionegiovanniseccosuardo.it/?q=en/node/163</w:t>
        </w:r>
      </w:hyperlink>
      <w:r w:rsidR="00557964" w:rsidRPr="0035604D">
        <w:rPr>
          <w:rStyle w:val="Hyperlink"/>
          <w:rFonts w:ascii="Times New Roman" w:hAnsi="Times New Roman" w:cs="Times New Roman"/>
        </w:rPr>
        <w:t>.</w:t>
      </w:r>
    </w:p>
    <w:p w14:paraId="5D020D11" w14:textId="798C1CB3" w:rsidR="00156574" w:rsidRPr="0035604D" w:rsidRDefault="00C54767" w:rsidP="0035604D">
      <w:pPr>
        <w:pStyle w:val="EndnoteText"/>
        <w:rPr>
          <w:rFonts w:ascii="Times New Roman" w:hAnsi="Times New Roman" w:cs="Times New Roman"/>
        </w:rPr>
      </w:pPr>
      <w:r w:rsidRPr="0035604D">
        <w:rPr>
          <w:rFonts w:ascii="Times New Roman" w:hAnsi="Times New Roman" w:cs="Times New Roman"/>
        </w:rPr>
        <w:t xml:space="preserve"> </w:t>
      </w:r>
    </w:p>
  </w:endnote>
  <w:endnote w:id="4">
    <w:p w14:paraId="219A5B31" w14:textId="2FA775B9" w:rsidR="00023287" w:rsidRPr="0035604D" w:rsidRDefault="00023287" w:rsidP="0035604D">
      <w:pPr>
        <w:pStyle w:val="EndnoteText"/>
        <w:rPr>
          <w:rFonts w:ascii="Times New Roman" w:hAnsi="Times New Roman" w:cs="Times New Roman"/>
        </w:rPr>
      </w:pPr>
      <w:r w:rsidRPr="0035604D">
        <w:rPr>
          <w:rStyle w:val="EndnoteReference"/>
          <w:rFonts w:ascii="Times New Roman" w:hAnsi="Times New Roman" w:cs="Times New Roman"/>
        </w:rPr>
        <w:endnoteRef/>
      </w:r>
      <w:r w:rsidRPr="0035604D">
        <w:rPr>
          <w:rFonts w:ascii="Times New Roman" w:hAnsi="Times New Roman" w:cs="Times New Roman"/>
        </w:rPr>
        <w:t xml:space="preserve"> For several examples, see </w:t>
      </w:r>
      <w:r w:rsidR="00B24C62" w:rsidRPr="0035604D">
        <w:rPr>
          <w:rFonts w:ascii="Times New Roman" w:hAnsi="Times New Roman" w:cs="Times New Roman"/>
        </w:rPr>
        <w:t>{</w:t>
      </w:r>
      <w:r w:rsidR="0035604D">
        <w:rPr>
          <w:rFonts w:ascii="Times New Roman" w:hAnsi="Times New Roman" w:cs="Times New Roman"/>
        </w:rPr>
        <w:t>{</w:t>
      </w:r>
      <w:r w:rsidR="00A63CCF" w:rsidRPr="0035604D">
        <w:rPr>
          <w:rFonts w:ascii="Times New Roman" w:hAnsi="Times New Roman" w:cs="Times New Roman"/>
        </w:rPr>
        <w:t>Angelova</w:t>
      </w:r>
      <w:r w:rsidR="00B24C62" w:rsidRPr="0035604D">
        <w:rPr>
          <w:rFonts w:ascii="Times New Roman" w:hAnsi="Times New Roman" w:cs="Times New Roman"/>
        </w:rPr>
        <w:t xml:space="preserve"> et al. </w:t>
      </w:r>
      <w:r w:rsidRPr="0035604D">
        <w:rPr>
          <w:rFonts w:ascii="Times New Roman" w:hAnsi="Times New Roman" w:cs="Times New Roman"/>
        </w:rPr>
        <w:t>2017</w:t>
      </w:r>
      <w:r w:rsidR="00B24C62" w:rsidRPr="0035604D">
        <w:rPr>
          <w:rFonts w:ascii="Times New Roman" w:hAnsi="Times New Roman" w:cs="Times New Roman"/>
        </w:rPr>
        <w:t>}</w:t>
      </w:r>
      <w:r w:rsidR="0035604D">
        <w:rPr>
          <w:rFonts w:ascii="Times New Roman" w:hAnsi="Times New Roman" w:cs="Times New Roman"/>
        </w:rPr>
        <w:t>}</w:t>
      </w:r>
      <w:r w:rsidRPr="0035604D">
        <w:rPr>
          <w:rFonts w:ascii="Times New Roman" w:hAnsi="Times New Roman" w:cs="Times New Roman"/>
        </w:rPr>
        <w:t>.</w:t>
      </w:r>
    </w:p>
  </w:endnote>
  <w:endnote w:id="5">
    <w:p w14:paraId="7C119F6A" w14:textId="77777777" w:rsidR="00557964" w:rsidRPr="0035604D" w:rsidRDefault="00206E67" w:rsidP="0035604D">
      <w:pPr>
        <w:pStyle w:val="EndnoteText"/>
        <w:rPr>
          <w:rStyle w:val="Hyperlink"/>
          <w:rFonts w:ascii="Times New Roman" w:hAnsi="Times New Roman" w:cs="Times New Roman"/>
        </w:rPr>
      </w:pPr>
      <w:r w:rsidRPr="0035604D">
        <w:rPr>
          <w:rStyle w:val="EndnoteReference"/>
          <w:rFonts w:ascii="Times New Roman" w:hAnsi="Times New Roman" w:cs="Times New Roman"/>
        </w:rPr>
        <w:endnoteRef/>
      </w:r>
      <w:r w:rsidRPr="0035604D">
        <w:rPr>
          <w:rFonts w:ascii="Times New Roman" w:hAnsi="Times New Roman" w:cs="Times New Roman"/>
        </w:rPr>
        <w:t xml:space="preserve"> </w:t>
      </w:r>
      <w:hyperlink r:id="rId4" w:history="1">
        <w:r w:rsidR="00A63CCF" w:rsidRPr="0035604D">
          <w:rPr>
            <w:rStyle w:val="Hyperlink"/>
            <w:rFonts w:ascii="Times New Roman" w:hAnsi="Times New Roman" w:cs="Times New Roman"/>
          </w:rPr>
          <w:t>https://echa.europa.eu/regulations/reach/understanding-reach</w:t>
        </w:r>
      </w:hyperlink>
      <w:r w:rsidR="00557964" w:rsidRPr="0035604D">
        <w:rPr>
          <w:rStyle w:val="Hyperlink"/>
          <w:rFonts w:ascii="Times New Roman" w:hAnsi="Times New Roman" w:cs="Times New Roman"/>
        </w:rPr>
        <w:t>.</w:t>
      </w:r>
    </w:p>
    <w:p w14:paraId="3834F7E0" w14:textId="77C5D88D" w:rsidR="00C86504" w:rsidRPr="0035604D" w:rsidRDefault="00A63CCF" w:rsidP="0035604D">
      <w:pPr>
        <w:pStyle w:val="EndnoteText"/>
        <w:rPr>
          <w:rFonts w:ascii="Times New Roman" w:hAnsi="Times New Roman" w:cs="Times New Roman"/>
        </w:rPr>
      </w:pPr>
      <w:r w:rsidRPr="0035604D">
        <w:rPr>
          <w:rFonts w:ascii="Times New Roman" w:hAnsi="Times New Roman" w:cs="Times New Roman"/>
        </w:rPr>
        <w:t xml:space="preserve"> </w:t>
      </w:r>
    </w:p>
  </w:endnote>
  <w:endnote w:id="6">
    <w:p w14:paraId="11B7390E" w14:textId="15817660" w:rsidR="00206E67" w:rsidRPr="0035604D" w:rsidRDefault="00206E67" w:rsidP="0035604D">
      <w:pPr>
        <w:pStyle w:val="EndnoteText"/>
        <w:rPr>
          <w:rFonts w:ascii="Times New Roman" w:hAnsi="Times New Roman" w:cs="Times New Roman"/>
        </w:rPr>
      </w:pPr>
      <w:r w:rsidRPr="0035604D">
        <w:rPr>
          <w:rStyle w:val="EndnoteReference"/>
          <w:rFonts w:ascii="Times New Roman" w:hAnsi="Times New Roman" w:cs="Times New Roman"/>
        </w:rPr>
        <w:endnoteRef/>
      </w:r>
      <w:r w:rsidRPr="0035604D">
        <w:rPr>
          <w:rFonts w:ascii="Times New Roman" w:hAnsi="Times New Roman" w:cs="Times New Roman"/>
        </w:rPr>
        <w:t xml:space="preserve"> </w:t>
      </w:r>
      <w:r w:rsidR="00C86504" w:rsidRPr="0035604D">
        <w:rPr>
          <w:rFonts w:ascii="Times New Roman" w:hAnsi="Times New Roman" w:cs="Times New Roman"/>
        </w:rPr>
        <w:t xml:space="preserve">At the time of this writing, </w:t>
      </w:r>
      <w:r w:rsidR="00557964" w:rsidRPr="0035604D">
        <w:rPr>
          <w:rFonts w:ascii="Times New Roman" w:hAnsi="Times New Roman" w:cs="Times New Roman"/>
        </w:rPr>
        <w:t>eighteen</w:t>
      </w:r>
      <w:r w:rsidR="00C86504" w:rsidRPr="0035604D">
        <w:rPr>
          <w:rFonts w:ascii="Times New Roman" w:hAnsi="Times New Roman" w:cs="Times New Roman"/>
        </w:rPr>
        <w:t xml:space="preserve"> different phthalate esters are included on the SVHC list.</w:t>
      </w:r>
    </w:p>
    <w:p w14:paraId="22A7086F" w14:textId="77777777" w:rsidR="00557964" w:rsidRPr="0035604D" w:rsidRDefault="00557964" w:rsidP="0035604D">
      <w:pPr>
        <w:pStyle w:val="EndnoteText"/>
        <w:rPr>
          <w:rFonts w:ascii="Times New Roman" w:hAnsi="Times New Roman" w:cs="Times New Roman"/>
        </w:rPr>
      </w:pPr>
    </w:p>
  </w:endnote>
  <w:endnote w:id="7">
    <w:p w14:paraId="740C7829" w14:textId="7CFB4FB4" w:rsidR="00C86504" w:rsidRPr="0035604D" w:rsidRDefault="00C86504" w:rsidP="0035604D">
      <w:pPr>
        <w:pStyle w:val="EndnoteText"/>
        <w:rPr>
          <w:rFonts w:ascii="Times New Roman" w:hAnsi="Times New Roman" w:cs="Times New Roman"/>
        </w:rPr>
      </w:pPr>
      <w:r w:rsidRPr="0035604D">
        <w:rPr>
          <w:rStyle w:val="EndnoteReference"/>
          <w:rFonts w:ascii="Times New Roman" w:hAnsi="Times New Roman" w:cs="Times New Roman"/>
        </w:rPr>
        <w:endnoteRef/>
      </w:r>
      <w:r w:rsidRPr="0035604D">
        <w:rPr>
          <w:rFonts w:ascii="Times New Roman" w:hAnsi="Times New Roman" w:cs="Times New Roman"/>
        </w:rPr>
        <w:t xml:space="preserve"> </w:t>
      </w:r>
      <w:r w:rsidR="00DB4B11" w:rsidRPr="0035604D">
        <w:rPr>
          <w:rFonts w:ascii="Times New Roman" w:hAnsi="Times New Roman" w:cs="Times New Roman"/>
        </w:rPr>
        <w:t xml:space="preserve">See </w:t>
      </w:r>
      <w:hyperlink r:id="rId5" w:history="1">
        <w:r w:rsidR="00DB4B11" w:rsidRPr="0035604D">
          <w:rPr>
            <w:rStyle w:val="Hyperlink"/>
            <w:rFonts w:ascii="Times New Roman" w:hAnsi="Times New Roman" w:cs="Times New Roman"/>
          </w:rPr>
          <w:t>http://cameo.mfa.org/wiki/Cellolyn</w:t>
        </w:r>
      </w:hyperlink>
      <w:r w:rsidR="00DB4B11" w:rsidRPr="0035604D">
        <w:rPr>
          <w:rFonts w:ascii="Times New Roman" w:hAnsi="Times New Roman" w:cs="Times New Roman"/>
        </w:rPr>
        <w:t>.</w:t>
      </w:r>
      <w:r w:rsidR="00A63CCF" w:rsidRPr="0035604D">
        <w:rPr>
          <w:rFonts w:ascii="Times New Roman" w:hAnsi="Times New Roman" w:cs="Times New Roman"/>
        </w:rPr>
        <w:t xml:space="preserve"> </w:t>
      </w:r>
    </w:p>
    <w:p w14:paraId="502DB43C" w14:textId="77777777" w:rsidR="00557964" w:rsidRPr="0035604D" w:rsidRDefault="00557964" w:rsidP="0035604D">
      <w:pPr>
        <w:pStyle w:val="EndnoteText"/>
        <w:rPr>
          <w:rFonts w:ascii="Times New Roman" w:hAnsi="Times New Roman" w:cs="Times New Roman"/>
        </w:rPr>
      </w:pPr>
    </w:p>
  </w:endnote>
  <w:endnote w:id="8">
    <w:p w14:paraId="225073C1" w14:textId="3A2735C0" w:rsidR="00206E67" w:rsidRPr="0035604D" w:rsidRDefault="00206E67" w:rsidP="0035604D">
      <w:pPr>
        <w:pStyle w:val="EndnoteText"/>
        <w:rPr>
          <w:rFonts w:ascii="Times New Roman" w:hAnsi="Times New Roman" w:cs="Times New Roman"/>
        </w:rPr>
      </w:pPr>
      <w:r w:rsidRPr="0035604D">
        <w:rPr>
          <w:rStyle w:val="EndnoteReference"/>
          <w:rFonts w:ascii="Times New Roman" w:hAnsi="Times New Roman" w:cs="Times New Roman"/>
        </w:rPr>
        <w:endnoteRef/>
      </w:r>
      <w:r w:rsidRPr="0035604D">
        <w:rPr>
          <w:rFonts w:ascii="Times New Roman" w:hAnsi="Times New Roman" w:cs="Times New Roman"/>
        </w:rPr>
        <w:t xml:space="preserve"> </w:t>
      </w:r>
      <w:r w:rsidR="00C86504" w:rsidRPr="0035604D">
        <w:rPr>
          <w:rFonts w:ascii="Times New Roman" w:hAnsi="Times New Roman" w:cs="Times New Roman"/>
        </w:rPr>
        <w:t xml:space="preserve">At the Conserving Canvas symposium, </w:t>
      </w:r>
      <w:r w:rsidRPr="0035604D">
        <w:rPr>
          <w:rFonts w:ascii="Times New Roman" w:hAnsi="Times New Roman" w:cs="Times New Roman"/>
        </w:rPr>
        <w:t>Michael Swicklik</w:t>
      </w:r>
      <w:r w:rsidR="00C86504" w:rsidRPr="0035604D">
        <w:rPr>
          <w:rFonts w:ascii="Times New Roman" w:hAnsi="Times New Roman" w:cs="Times New Roman"/>
        </w:rPr>
        <w:t xml:space="preserve">, </w:t>
      </w:r>
      <w:r w:rsidR="00AE3CD5" w:rsidRPr="0035604D">
        <w:rPr>
          <w:rFonts w:ascii="Times New Roman" w:hAnsi="Times New Roman" w:cs="Times New Roman"/>
        </w:rPr>
        <w:t>s</w:t>
      </w:r>
      <w:r w:rsidR="00C86504" w:rsidRPr="0035604D">
        <w:rPr>
          <w:rFonts w:ascii="Times New Roman" w:hAnsi="Times New Roman" w:cs="Times New Roman"/>
        </w:rPr>
        <w:t xml:space="preserve">enior </w:t>
      </w:r>
      <w:r w:rsidR="00AE3CD5" w:rsidRPr="0035604D">
        <w:rPr>
          <w:rFonts w:ascii="Times New Roman" w:hAnsi="Times New Roman" w:cs="Times New Roman"/>
        </w:rPr>
        <w:t>c</w:t>
      </w:r>
      <w:r w:rsidR="00C86504" w:rsidRPr="0035604D">
        <w:rPr>
          <w:rFonts w:ascii="Times New Roman" w:hAnsi="Times New Roman" w:cs="Times New Roman"/>
        </w:rPr>
        <w:t xml:space="preserve">onservator of </w:t>
      </w:r>
      <w:r w:rsidR="00AE3CD5" w:rsidRPr="0035604D">
        <w:rPr>
          <w:rFonts w:ascii="Times New Roman" w:hAnsi="Times New Roman" w:cs="Times New Roman"/>
        </w:rPr>
        <w:t>p</w:t>
      </w:r>
      <w:r w:rsidR="00C86504" w:rsidRPr="0035604D">
        <w:rPr>
          <w:rFonts w:ascii="Times New Roman" w:hAnsi="Times New Roman" w:cs="Times New Roman"/>
        </w:rPr>
        <w:t xml:space="preserve">aintings at the National Gallery of Art, </w:t>
      </w:r>
      <w:r w:rsidR="00AE3CD5" w:rsidRPr="0035604D">
        <w:rPr>
          <w:rFonts w:ascii="Times New Roman" w:hAnsi="Times New Roman" w:cs="Times New Roman"/>
        </w:rPr>
        <w:t xml:space="preserve">in </w:t>
      </w:r>
      <w:r w:rsidR="00C86504" w:rsidRPr="0035604D">
        <w:rPr>
          <w:rFonts w:ascii="Times New Roman" w:hAnsi="Times New Roman" w:cs="Times New Roman"/>
        </w:rPr>
        <w:t>Washington, D</w:t>
      </w:r>
      <w:r w:rsidR="00557964" w:rsidRPr="0035604D">
        <w:rPr>
          <w:rFonts w:ascii="Times New Roman" w:hAnsi="Times New Roman" w:cs="Times New Roman"/>
        </w:rPr>
        <w:t>C</w:t>
      </w:r>
      <w:r w:rsidR="00AE3CD5" w:rsidRPr="0035604D">
        <w:rPr>
          <w:rFonts w:ascii="Times New Roman" w:hAnsi="Times New Roman" w:cs="Times New Roman"/>
        </w:rPr>
        <w:t>,</w:t>
      </w:r>
      <w:r w:rsidR="00C86504" w:rsidRPr="0035604D">
        <w:rPr>
          <w:rFonts w:ascii="Times New Roman" w:hAnsi="Times New Roman" w:cs="Times New Roman"/>
        </w:rPr>
        <w:t xml:space="preserve"> rela</w:t>
      </w:r>
      <w:r w:rsidR="00AE3CD5" w:rsidRPr="0035604D">
        <w:rPr>
          <w:rFonts w:ascii="Times New Roman" w:hAnsi="Times New Roman" w:cs="Times New Roman"/>
        </w:rPr>
        <w:t>t</w:t>
      </w:r>
      <w:r w:rsidR="00C86504" w:rsidRPr="0035604D">
        <w:rPr>
          <w:rFonts w:ascii="Times New Roman" w:hAnsi="Times New Roman" w:cs="Times New Roman"/>
        </w:rPr>
        <w:t>ed an</w:t>
      </w:r>
      <w:r w:rsidRPr="0035604D">
        <w:rPr>
          <w:rFonts w:ascii="Times New Roman" w:hAnsi="Times New Roman" w:cs="Times New Roman"/>
        </w:rPr>
        <w:t xml:space="preserve"> anecdote</w:t>
      </w:r>
      <w:r w:rsidR="00C86504" w:rsidRPr="0035604D">
        <w:rPr>
          <w:rFonts w:ascii="Times New Roman" w:hAnsi="Times New Roman" w:cs="Times New Roman"/>
        </w:rPr>
        <w:t xml:space="preserve"> from his time working with Gustav Berger wherein Berger explained how </w:t>
      </w:r>
      <w:r w:rsidR="00AE3CD5" w:rsidRPr="0035604D">
        <w:rPr>
          <w:rFonts w:ascii="Times New Roman" w:hAnsi="Times New Roman" w:cs="Times New Roman"/>
        </w:rPr>
        <w:t xml:space="preserve">Beva </w:t>
      </w:r>
      <w:r w:rsidR="00C86504" w:rsidRPr="0035604D">
        <w:rPr>
          <w:rFonts w:ascii="Times New Roman" w:hAnsi="Times New Roman" w:cs="Times New Roman"/>
        </w:rPr>
        <w:t xml:space="preserve">371 did not function as intended without the addition of </w:t>
      </w:r>
      <w:r w:rsidR="00C86504" w:rsidRPr="0035604D">
        <w:rPr>
          <w:rFonts w:ascii="Times New Roman" w:hAnsi="Times New Roman" w:cs="Times New Roman"/>
        </w:rPr>
        <w:t>Cellolyn 21.</w:t>
      </w:r>
    </w:p>
    <w:p w14:paraId="2F9658F0" w14:textId="77777777" w:rsidR="00557964" w:rsidRPr="0035604D" w:rsidRDefault="00557964" w:rsidP="0035604D">
      <w:pPr>
        <w:pStyle w:val="EndnoteText"/>
        <w:rPr>
          <w:rFonts w:ascii="Times New Roman" w:hAnsi="Times New Roman" w:cs="Times New Roman"/>
        </w:rPr>
      </w:pPr>
    </w:p>
  </w:endnote>
  <w:endnote w:id="9">
    <w:p w14:paraId="32DFB628" w14:textId="2FC35604" w:rsidR="00206E67" w:rsidRPr="00557964" w:rsidRDefault="00206E67" w:rsidP="0035604D">
      <w:pPr>
        <w:pStyle w:val="EndnoteText"/>
        <w:rPr>
          <w:rFonts w:ascii="Times New Roman" w:hAnsi="Times New Roman" w:cs="Times New Roman"/>
        </w:rPr>
      </w:pPr>
      <w:r w:rsidRPr="0035604D">
        <w:rPr>
          <w:rStyle w:val="EndnoteReference"/>
          <w:rFonts w:ascii="Times New Roman" w:hAnsi="Times New Roman" w:cs="Times New Roman"/>
        </w:rPr>
        <w:endnoteRef/>
      </w:r>
      <w:r w:rsidRPr="0035604D">
        <w:rPr>
          <w:rFonts w:ascii="Times New Roman" w:hAnsi="Times New Roman" w:cs="Times New Roman"/>
        </w:rPr>
        <w:t xml:space="preserve"> </w:t>
      </w:r>
      <w:r w:rsidR="00C86504" w:rsidRPr="0035604D">
        <w:rPr>
          <w:rFonts w:ascii="Times New Roman" w:hAnsi="Times New Roman" w:cs="Times New Roman"/>
        </w:rPr>
        <w:t xml:space="preserve">At the time of this writing, </w:t>
      </w:r>
      <w:r w:rsidR="00557964" w:rsidRPr="0035604D">
        <w:rPr>
          <w:rFonts w:ascii="Times New Roman" w:hAnsi="Times New Roman" w:cs="Times New Roman"/>
        </w:rPr>
        <w:t xml:space="preserve">twenty-seven </w:t>
      </w:r>
      <w:r w:rsidR="00C86504" w:rsidRPr="0035604D">
        <w:rPr>
          <w:rFonts w:ascii="Times New Roman" w:hAnsi="Times New Roman" w:cs="Times New Roman"/>
        </w:rPr>
        <w:t>different phenol ethoxylates are included on the SVHC list.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55585609"/>
      <w:docPartObj>
        <w:docPartGallery w:val="Page Numbers (Bottom of Page)"/>
        <w:docPartUnique/>
      </w:docPartObj>
    </w:sdtPr>
    <w:sdtContent>
      <w:p w14:paraId="027D71CD" w14:textId="49796E55" w:rsidR="008E651F" w:rsidRDefault="008E651F" w:rsidP="004561A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5E00EB9" w14:textId="77777777" w:rsidR="008E651F" w:rsidRDefault="008E651F" w:rsidP="008E651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97450124"/>
      <w:docPartObj>
        <w:docPartGallery w:val="Page Numbers (Bottom of Page)"/>
        <w:docPartUnique/>
      </w:docPartObj>
    </w:sdtPr>
    <w:sdtContent>
      <w:p w14:paraId="6F830E4D" w14:textId="466EA850" w:rsidR="008E651F" w:rsidRDefault="008E651F" w:rsidP="004561A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9F5AAFA" w14:textId="77777777" w:rsidR="008E651F" w:rsidRDefault="008E651F" w:rsidP="008E651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3FBC37" w14:textId="77777777" w:rsidR="003F792A" w:rsidRDefault="003F792A" w:rsidP="008E651F">
      <w:r>
        <w:separator/>
      </w:r>
    </w:p>
  </w:footnote>
  <w:footnote w:type="continuationSeparator" w:id="0">
    <w:p w14:paraId="7FDA0F2F" w14:textId="77777777" w:rsidR="003F792A" w:rsidRDefault="003F792A" w:rsidP="008E65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1D1634"/>
    <w:multiLevelType w:val="hybridMultilevel"/>
    <w:tmpl w:val="0C74FA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AD74B7"/>
    <w:multiLevelType w:val="hybridMultilevel"/>
    <w:tmpl w:val="DC5C6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E17B0F"/>
    <w:multiLevelType w:val="hybridMultilevel"/>
    <w:tmpl w:val="CBE80B64"/>
    <w:lvl w:ilvl="0" w:tplc="B7781166">
      <w:start w:val="15"/>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2113360406">
    <w:abstractNumId w:val="2"/>
  </w:num>
  <w:num w:numId="2" w16cid:durableId="1274287417">
    <w:abstractNumId w:val="0"/>
  </w:num>
  <w:num w:numId="3" w16cid:durableId="18832011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removeDateAndTime/>
  <w:proofState w:spelling="clean" w:grammar="clean"/>
  <w:defaultTabStop w:val="720"/>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51F"/>
    <w:rsid w:val="0002081D"/>
    <w:rsid w:val="00023287"/>
    <w:rsid w:val="0004712A"/>
    <w:rsid w:val="000757ED"/>
    <w:rsid w:val="00090540"/>
    <w:rsid w:val="00091F68"/>
    <w:rsid w:val="000933CF"/>
    <w:rsid w:val="000942BC"/>
    <w:rsid w:val="000E23CD"/>
    <w:rsid w:val="000E26CE"/>
    <w:rsid w:val="00104C92"/>
    <w:rsid w:val="00110DFC"/>
    <w:rsid w:val="00112479"/>
    <w:rsid w:val="00136326"/>
    <w:rsid w:val="00144EC0"/>
    <w:rsid w:val="0015497C"/>
    <w:rsid w:val="00156574"/>
    <w:rsid w:val="00171C1D"/>
    <w:rsid w:val="00182B0A"/>
    <w:rsid w:val="001C078B"/>
    <w:rsid w:val="001E1B09"/>
    <w:rsid w:val="00206E67"/>
    <w:rsid w:val="002140CE"/>
    <w:rsid w:val="002158E2"/>
    <w:rsid w:val="00224D32"/>
    <w:rsid w:val="002352B1"/>
    <w:rsid w:val="00280FD8"/>
    <w:rsid w:val="002B7F98"/>
    <w:rsid w:val="00300AF8"/>
    <w:rsid w:val="00321DC8"/>
    <w:rsid w:val="00324FAE"/>
    <w:rsid w:val="00331266"/>
    <w:rsid w:val="00333BBE"/>
    <w:rsid w:val="003360C7"/>
    <w:rsid w:val="0035604D"/>
    <w:rsid w:val="00374D6F"/>
    <w:rsid w:val="003900EC"/>
    <w:rsid w:val="003F792A"/>
    <w:rsid w:val="00434888"/>
    <w:rsid w:val="00441108"/>
    <w:rsid w:val="004531C5"/>
    <w:rsid w:val="00477A5E"/>
    <w:rsid w:val="004C2910"/>
    <w:rsid w:val="00537DC2"/>
    <w:rsid w:val="005453DF"/>
    <w:rsid w:val="00557964"/>
    <w:rsid w:val="00587C9A"/>
    <w:rsid w:val="005C0BF4"/>
    <w:rsid w:val="005C0D0A"/>
    <w:rsid w:val="006306B5"/>
    <w:rsid w:val="00652342"/>
    <w:rsid w:val="00680F73"/>
    <w:rsid w:val="006A13D2"/>
    <w:rsid w:val="006B1AB7"/>
    <w:rsid w:val="006B6254"/>
    <w:rsid w:val="006C0A88"/>
    <w:rsid w:val="00703038"/>
    <w:rsid w:val="00744B2E"/>
    <w:rsid w:val="0075478E"/>
    <w:rsid w:val="00763E00"/>
    <w:rsid w:val="00775624"/>
    <w:rsid w:val="007C1162"/>
    <w:rsid w:val="007C4109"/>
    <w:rsid w:val="008045E1"/>
    <w:rsid w:val="00804C2A"/>
    <w:rsid w:val="008902F1"/>
    <w:rsid w:val="00896F86"/>
    <w:rsid w:val="008B1D6F"/>
    <w:rsid w:val="008C0157"/>
    <w:rsid w:val="008D7067"/>
    <w:rsid w:val="008E651F"/>
    <w:rsid w:val="009075B2"/>
    <w:rsid w:val="00974487"/>
    <w:rsid w:val="009B2129"/>
    <w:rsid w:val="009D5980"/>
    <w:rsid w:val="00A2323F"/>
    <w:rsid w:val="00A44727"/>
    <w:rsid w:val="00A46783"/>
    <w:rsid w:val="00A63CCF"/>
    <w:rsid w:val="00A66993"/>
    <w:rsid w:val="00A84340"/>
    <w:rsid w:val="00A866A5"/>
    <w:rsid w:val="00A86FF2"/>
    <w:rsid w:val="00AE3CD5"/>
    <w:rsid w:val="00AF3604"/>
    <w:rsid w:val="00B24C62"/>
    <w:rsid w:val="00B467E6"/>
    <w:rsid w:val="00B6087E"/>
    <w:rsid w:val="00B902B6"/>
    <w:rsid w:val="00BA4CE8"/>
    <w:rsid w:val="00BB0D9D"/>
    <w:rsid w:val="00BB46A5"/>
    <w:rsid w:val="00BF2E79"/>
    <w:rsid w:val="00C21F4C"/>
    <w:rsid w:val="00C3790D"/>
    <w:rsid w:val="00C54767"/>
    <w:rsid w:val="00C62983"/>
    <w:rsid w:val="00C855C3"/>
    <w:rsid w:val="00C86504"/>
    <w:rsid w:val="00CA1FAC"/>
    <w:rsid w:val="00CD16EE"/>
    <w:rsid w:val="00CD6AF1"/>
    <w:rsid w:val="00CF4441"/>
    <w:rsid w:val="00CF513D"/>
    <w:rsid w:val="00D275C8"/>
    <w:rsid w:val="00D56F04"/>
    <w:rsid w:val="00D629D4"/>
    <w:rsid w:val="00D6513F"/>
    <w:rsid w:val="00D863CE"/>
    <w:rsid w:val="00D95DFB"/>
    <w:rsid w:val="00DA1FCC"/>
    <w:rsid w:val="00DA3034"/>
    <w:rsid w:val="00DB4B11"/>
    <w:rsid w:val="00DF56C0"/>
    <w:rsid w:val="00E12EFB"/>
    <w:rsid w:val="00E205B6"/>
    <w:rsid w:val="00E3242F"/>
    <w:rsid w:val="00E37BD4"/>
    <w:rsid w:val="00E7091E"/>
    <w:rsid w:val="00EF2E79"/>
    <w:rsid w:val="00F01F6C"/>
    <w:rsid w:val="00F40200"/>
    <w:rsid w:val="00F72296"/>
    <w:rsid w:val="00FB566F"/>
    <w:rsid w:val="00FD6AFD"/>
    <w:rsid w:val="00FF56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DB73A4"/>
  <w15:chartTrackingRefBased/>
  <w15:docId w15:val="{8193ABB2-C0AC-4B0E-BAFF-2653217B6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1162"/>
    <w:pPr>
      <w:spacing w:line="480" w:lineRule="auto"/>
      <w:outlineLvl w:val="0"/>
    </w:pPr>
    <w:rPr>
      <w:rFonts w:ascii="Times New Roman" w:hAnsi="Times New Roman" w:cs="Times New Roman"/>
      <w:b/>
      <w:bCs/>
    </w:rPr>
  </w:style>
  <w:style w:type="paragraph" w:styleId="Heading2">
    <w:name w:val="heading 2"/>
    <w:basedOn w:val="Normal"/>
    <w:next w:val="Normal"/>
    <w:link w:val="Heading2Char"/>
    <w:uiPriority w:val="9"/>
    <w:unhideWhenUsed/>
    <w:qFormat/>
    <w:rsid w:val="00324FAE"/>
    <w:pPr>
      <w:autoSpaceDE w:val="0"/>
      <w:autoSpaceDN w:val="0"/>
      <w:adjustRightInd w:val="0"/>
      <w:spacing w:line="480" w:lineRule="auto"/>
      <w:outlineLvl w:val="1"/>
    </w:pPr>
    <w:rPr>
      <w:rFonts w:ascii="Times New Roman" w:hAnsi="Times New Roman" w:cs="Times New Roman"/>
      <w:b/>
      <w:bCs/>
      <w:color w:val="000000"/>
    </w:rPr>
  </w:style>
  <w:style w:type="paragraph" w:styleId="Heading3">
    <w:name w:val="heading 3"/>
    <w:basedOn w:val="Normal"/>
    <w:next w:val="Normal"/>
    <w:link w:val="Heading3Char"/>
    <w:uiPriority w:val="9"/>
    <w:semiHidden/>
    <w:unhideWhenUsed/>
    <w:qFormat/>
    <w:rsid w:val="00A63CC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651F"/>
    <w:pPr>
      <w:tabs>
        <w:tab w:val="center" w:pos="4680"/>
        <w:tab w:val="right" w:pos="9360"/>
      </w:tabs>
    </w:pPr>
  </w:style>
  <w:style w:type="character" w:customStyle="1" w:styleId="HeaderChar">
    <w:name w:val="Header Char"/>
    <w:basedOn w:val="DefaultParagraphFont"/>
    <w:link w:val="Header"/>
    <w:uiPriority w:val="99"/>
    <w:rsid w:val="008E651F"/>
  </w:style>
  <w:style w:type="paragraph" w:styleId="Footer">
    <w:name w:val="footer"/>
    <w:basedOn w:val="Normal"/>
    <w:link w:val="FooterChar"/>
    <w:uiPriority w:val="99"/>
    <w:unhideWhenUsed/>
    <w:rsid w:val="008E651F"/>
    <w:pPr>
      <w:tabs>
        <w:tab w:val="center" w:pos="4680"/>
        <w:tab w:val="right" w:pos="9360"/>
      </w:tabs>
    </w:pPr>
  </w:style>
  <w:style w:type="character" w:customStyle="1" w:styleId="FooterChar">
    <w:name w:val="Footer Char"/>
    <w:basedOn w:val="DefaultParagraphFont"/>
    <w:link w:val="Footer"/>
    <w:uiPriority w:val="99"/>
    <w:rsid w:val="008E651F"/>
  </w:style>
  <w:style w:type="character" w:styleId="PageNumber">
    <w:name w:val="page number"/>
    <w:basedOn w:val="DefaultParagraphFont"/>
    <w:uiPriority w:val="99"/>
    <w:semiHidden/>
    <w:unhideWhenUsed/>
    <w:rsid w:val="008E651F"/>
  </w:style>
  <w:style w:type="paragraph" w:styleId="EndnoteText">
    <w:name w:val="endnote text"/>
    <w:basedOn w:val="Normal"/>
    <w:link w:val="EndnoteTextChar"/>
    <w:uiPriority w:val="99"/>
    <w:semiHidden/>
    <w:unhideWhenUsed/>
    <w:rsid w:val="008E651F"/>
    <w:rPr>
      <w:sz w:val="20"/>
      <w:szCs w:val="20"/>
    </w:rPr>
  </w:style>
  <w:style w:type="character" w:customStyle="1" w:styleId="EndnoteTextChar">
    <w:name w:val="Endnote Text Char"/>
    <w:basedOn w:val="DefaultParagraphFont"/>
    <w:link w:val="EndnoteText"/>
    <w:uiPriority w:val="99"/>
    <w:semiHidden/>
    <w:rsid w:val="008E651F"/>
    <w:rPr>
      <w:sz w:val="20"/>
      <w:szCs w:val="20"/>
    </w:rPr>
  </w:style>
  <w:style w:type="character" w:styleId="EndnoteReference">
    <w:name w:val="endnote reference"/>
    <w:basedOn w:val="DefaultParagraphFont"/>
    <w:uiPriority w:val="99"/>
    <w:semiHidden/>
    <w:unhideWhenUsed/>
    <w:rsid w:val="008E651F"/>
    <w:rPr>
      <w:vertAlign w:val="superscript"/>
    </w:rPr>
  </w:style>
  <w:style w:type="paragraph" w:styleId="FootnoteText">
    <w:name w:val="footnote text"/>
    <w:basedOn w:val="Normal"/>
    <w:link w:val="FootnoteTextChar"/>
    <w:uiPriority w:val="99"/>
    <w:semiHidden/>
    <w:unhideWhenUsed/>
    <w:rsid w:val="0002081D"/>
    <w:rPr>
      <w:sz w:val="20"/>
      <w:szCs w:val="20"/>
    </w:rPr>
  </w:style>
  <w:style w:type="character" w:customStyle="1" w:styleId="FootnoteTextChar">
    <w:name w:val="Footnote Text Char"/>
    <w:basedOn w:val="DefaultParagraphFont"/>
    <w:link w:val="FootnoteText"/>
    <w:uiPriority w:val="99"/>
    <w:semiHidden/>
    <w:rsid w:val="0002081D"/>
    <w:rPr>
      <w:sz w:val="20"/>
      <w:szCs w:val="20"/>
    </w:rPr>
  </w:style>
  <w:style w:type="character" w:styleId="FootnoteReference">
    <w:name w:val="footnote reference"/>
    <w:basedOn w:val="DefaultParagraphFont"/>
    <w:uiPriority w:val="99"/>
    <w:semiHidden/>
    <w:unhideWhenUsed/>
    <w:rsid w:val="0002081D"/>
    <w:rPr>
      <w:vertAlign w:val="superscript"/>
    </w:rPr>
  </w:style>
  <w:style w:type="character" w:styleId="Hyperlink">
    <w:name w:val="Hyperlink"/>
    <w:basedOn w:val="DefaultParagraphFont"/>
    <w:uiPriority w:val="99"/>
    <w:unhideWhenUsed/>
    <w:rsid w:val="0002081D"/>
    <w:rPr>
      <w:color w:val="0563C1" w:themeColor="hyperlink"/>
      <w:u w:val="single"/>
    </w:rPr>
  </w:style>
  <w:style w:type="character" w:styleId="UnresolvedMention">
    <w:name w:val="Unresolved Mention"/>
    <w:basedOn w:val="DefaultParagraphFont"/>
    <w:uiPriority w:val="99"/>
    <w:semiHidden/>
    <w:unhideWhenUsed/>
    <w:rsid w:val="0002081D"/>
    <w:rPr>
      <w:color w:val="605E5C"/>
      <w:shd w:val="clear" w:color="auto" w:fill="E1DFDD"/>
    </w:rPr>
  </w:style>
  <w:style w:type="paragraph" w:styleId="ListParagraph">
    <w:name w:val="List Paragraph"/>
    <w:basedOn w:val="Normal"/>
    <w:uiPriority w:val="34"/>
    <w:qFormat/>
    <w:rsid w:val="00763E00"/>
    <w:pPr>
      <w:ind w:left="720"/>
      <w:contextualSpacing/>
    </w:pPr>
  </w:style>
  <w:style w:type="character" w:styleId="CommentReference">
    <w:name w:val="annotation reference"/>
    <w:basedOn w:val="DefaultParagraphFont"/>
    <w:uiPriority w:val="99"/>
    <w:semiHidden/>
    <w:unhideWhenUsed/>
    <w:rsid w:val="00171C1D"/>
    <w:rPr>
      <w:sz w:val="16"/>
      <w:szCs w:val="16"/>
    </w:rPr>
  </w:style>
  <w:style w:type="paragraph" w:styleId="CommentText">
    <w:name w:val="annotation text"/>
    <w:basedOn w:val="Normal"/>
    <w:link w:val="CommentTextChar"/>
    <w:uiPriority w:val="99"/>
    <w:unhideWhenUsed/>
    <w:rsid w:val="00171C1D"/>
    <w:rPr>
      <w:sz w:val="20"/>
      <w:szCs w:val="20"/>
    </w:rPr>
  </w:style>
  <w:style w:type="character" w:customStyle="1" w:styleId="CommentTextChar">
    <w:name w:val="Comment Text Char"/>
    <w:basedOn w:val="DefaultParagraphFont"/>
    <w:link w:val="CommentText"/>
    <w:uiPriority w:val="99"/>
    <w:rsid w:val="00171C1D"/>
    <w:rPr>
      <w:sz w:val="20"/>
      <w:szCs w:val="20"/>
    </w:rPr>
  </w:style>
  <w:style w:type="paragraph" w:styleId="CommentSubject">
    <w:name w:val="annotation subject"/>
    <w:basedOn w:val="CommentText"/>
    <w:next w:val="CommentText"/>
    <w:link w:val="CommentSubjectChar"/>
    <w:uiPriority w:val="99"/>
    <w:semiHidden/>
    <w:unhideWhenUsed/>
    <w:rsid w:val="00171C1D"/>
    <w:rPr>
      <w:b/>
      <w:bCs/>
    </w:rPr>
  </w:style>
  <w:style w:type="character" w:customStyle="1" w:styleId="CommentSubjectChar">
    <w:name w:val="Comment Subject Char"/>
    <w:basedOn w:val="CommentTextChar"/>
    <w:link w:val="CommentSubject"/>
    <w:uiPriority w:val="99"/>
    <w:semiHidden/>
    <w:rsid w:val="00171C1D"/>
    <w:rPr>
      <w:b/>
      <w:bCs/>
      <w:sz w:val="20"/>
      <w:szCs w:val="20"/>
    </w:rPr>
  </w:style>
  <w:style w:type="paragraph" w:styleId="BalloonText">
    <w:name w:val="Balloon Text"/>
    <w:basedOn w:val="Normal"/>
    <w:link w:val="BalloonTextChar"/>
    <w:uiPriority w:val="99"/>
    <w:semiHidden/>
    <w:unhideWhenUsed/>
    <w:rsid w:val="00171C1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1C1D"/>
    <w:rPr>
      <w:rFonts w:ascii="Segoe UI" w:hAnsi="Segoe UI" w:cs="Segoe UI"/>
      <w:sz w:val="18"/>
      <w:szCs w:val="18"/>
    </w:rPr>
  </w:style>
  <w:style w:type="paragraph" w:styleId="Revision">
    <w:name w:val="Revision"/>
    <w:hidden/>
    <w:uiPriority w:val="99"/>
    <w:semiHidden/>
    <w:rsid w:val="007C1162"/>
  </w:style>
  <w:style w:type="character" w:customStyle="1" w:styleId="Heading1Char">
    <w:name w:val="Heading 1 Char"/>
    <w:basedOn w:val="DefaultParagraphFont"/>
    <w:link w:val="Heading1"/>
    <w:uiPriority w:val="9"/>
    <w:rsid w:val="007C1162"/>
    <w:rPr>
      <w:rFonts w:ascii="Times New Roman" w:hAnsi="Times New Roman" w:cs="Times New Roman"/>
      <w:b/>
      <w:bCs/>
    </w:rPr>
  </w:style>
  <w:style w:type="character" w:customStyle="1" w:styleId="Heading2Char">
    <w:name w:val="Heading 2 Char"/>
    <w:basedOn w:val="DefaultParagraphFont"/>
    <w:link w:val="Heading2"/>
    <w:uiPriority w:val="9"/>
    <w:rsid w:val="00324FAE"/>
    <w:rPr>
      <w:rFonts w:ascii="Times New Roman" w:hAnsi="Times New Roman" w:cs="Times New Roman"/>
      <w:b/>
      <w:bCs/>
      <w:color w:val="000000"/>
    </w:rPr>
  </w:style>
  <w:style w:type="character" w:styleId="FollowedHyperlink">
    <w:name w:val="FollowedHyperlink"/>
    <w:basedOn w:val="DefaultParagraphFont"/>
    <w:uiPriority w:val="99"/>
    <w:semiHidden/>
    <w:unhideWhenUsed/>
    <w:rsid w:val="00D56F04"/>
    <w:rPr>
      <w:color w:val="954F72" w:themeColor="followedHyperlink"/>
      <w:u w:val="single"/>
    </w:rPr>
  </w:style>
  <w:style w:type="character" w:customStyle="1" w:styleId="Heading3Char">
    <w:name w:val="Heading 3 Char"/>
    <w:basedOn w:val="DefaultParagraphFont"/>
    <w:link w:val="Heading3"/>
    <w:uiPriority w:val="9"/>
    <w:semiHidden/>
    <w:rsid w:val="00A63CCF"/>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8683177">
      <w:bodyDiv w:val="1"/>
      <w:marLeft w:val="0"/>
      <w:marRight w:val="0"/>
      <w:marTop w:val="0"/>
      <w:marBottom w:val="0"/>
      <w:divBdr>
        <w:top w:val="none" w:sz="0" w:space="0" w:color="auto"/>
        <w:left w:val="none" w:sz="0" w:space="0" w:color="auto"/>
        <w:bottom w:val="none" w:sz="0" w:space="0" w:color="auto"/>
        <w:right w:val="none" w:sz="0" w:space="0" w:color="auto"/>
      </w:divBdr>
    </w:div>
    <w:div w:id="1997873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endnotes.xml.rels><?xml version="1.0" encoding="UTF-8" standalone="yes"?>
<Relationships xmlns="http://schemas.openxmlformats.org/package/2006/relationships"><Relationship Id="rId3" Type="http://schemas.openxmlformats.org/officeDocument/2006/relationships/hyperlink" Target="http://www.associazionegiovanniseccosuardo.it/?q=en/node/163" TargetMode="External"/><Relationship Id="rId2" Type="http://schemas.openxmlformats.org/officeDocument/2006/relationships/hyperlink" Target="https://www.un.org/sustainabledevelopment/sustainable-development-goals/" TargetMode="External"/><Relationship Id="rId1" Type="http://schemas.openxmlformats.org/officeDocument/2006/relationships/hyperlink" Target="https://standards.cen.eu" TargetMode="External"/><Relationship Id="rId5" Type="http://schemas.openxmlformats.org/officeDocument/2006/relationships/hyperlink" Target="http://cameo.mfa.org/wiki/Cellolyn" TargetMode="External"/><Relationship Id="rId4" Type="http://schemas.openxmlformats.org/officeDocument/2006/relationships/hyperlink" Target="https://echa.europa.eu/regulations/reach/understanding-rea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6A033681-3B89-4AA4-8A64-1FC1BB8EF1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12</Pages>
  <Words>3139</Words>
  <Characters>17897</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Barth</dc:creator>
  <cp:keywords/>
  <dc:description/>
  <cp:lastModifiedBy>Rachel Barth</cp:lastModifiedBy>
  <cp:revision>5</cp:revision>
  <dcterms:created xsi:type="dcterms:W3CDTF">2022-08-15T23:58:00Z</dcterms:created>
  <dcterms:modified xsi:type="dcterms:W3CDTF">2022-09-06T03:11:00Z</dcterms:modified>
</cp:coreProperties>
</file>