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D66B" w14:textId="55A7960F" w:rsidR="002207B6" w:rsidRPr="00A973A3" w:rsidRDefault="002207B6" w:rsidP="002207B6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A973A3">
        <w:rPr>
          <w:rFonts w:ascii="Times New Roman" w:eastAsia="Calibri" w:hAnsi="Times New Roman" w:cs="Times New Roman"/>
          <w:lang w:val="en-US"/>
        </w:rPr>
        <w:t xml:space="preserve">label: "8" </w:t>
      </w:r>
    </w:p>
    <w:p w14:paraId="1A8080F1" w14:textId="77777777" w:rsidR="002207B6" w:rsidRPr="00A973A3" w:rsidRDefault="002207B6" w:rsidP="002207B6">
      <w:pPr>
        <w:spacing w:after="0" w:line="240" w:lineRule="auto"/>
        <w:rPr>
          <w:rFonts w:ascii="Times New Roman" w:eastAsia="Calibri" w:hAnsi="Times New Roman" w:cs="Times New Roman"/>
          <w:i/>
        </w:rPr>
      </w:pPr>
      <w:r w:rsidRPr="00A973A3">
        <w:rPr>
          <w:rFonts w:ascii="Times New Roman" w:eastAsia="Calibri" w:hAnsi="Times New Roman" w:cs="Times New Roman"/>
          <w:lang w:val="en-US"/>
        </w:rPr>
        <w:t xml:space="preserve">title: </w:t>
      </w:r>
      <w:r w:rsidRPr="00A973A3">
        <w:rPr>
          <w:rFonts w:ascii="Times New Roman" w:eastAsia="Calibri" w:hAnsi="Times New Roman" w:cs="Times New Roman"/>
        </w:rPr>
        <w:t>The Relining of van Dyck’s *</w:t>
      </w:r>
      <w:r w:rsidRPr="00A973A3">
        <w:rPr>
          <w:rFonts w:ascii="Times New Roman" w:eastAsia="Calibri" w:hAnsi="Times New Roman" w:cs="Times New Roman"/>
          <w:iCs/>
        </w:rPr>
        <w:t>Equestrian Portrait of Charles I*</w:t>
      </w:r>
    </w:p>
    <w:p w14:paraId="4EDF6E9F" w14:textId="77777777" w:rsidR="002207B6" w:rsidRPr="00A973A3" w:rsidRDefault="002207B6" w:rsidP="002207B6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A973A3">
        <w:rPr>
          <w:rFonts w:ascii="Times New Roman" w:eastAsia="Calibri" w:hAnsi="Times New Roman" w:cs="Times New Roman"/>
          <w:lang w:val="en-US"/>
        </w:rPr>
        <w:t xml:space="preserve">subtitle: </w:t>
      </w:r>
    </w:p>
    <w:p w14:paraId="6CA3B821" w14:textId="77777777" w:rsidR="002207B6" w:rsidRPr="00A973A3" w:rsidRDefault="002207B6" w:rsidP="002207B6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A973A3">
        <w:rPr>
          <w:rFonts w:ascii="Times New Roman" w:eastAsia="Calibri" w:hAnsi="Times New Roman" w:cs="Times New Roman"/>
          <w:lang w:val="en-US"/>
        </w:rPr>
        <w:t>contributor:</w:t>
      </w:r>
    </w:p>
    <w:p w14:paraId="5FDBB92E" w14:textId="77777777" w:rsidR="002207B6" w:rsidRPr="00A973A3" w:rsidRDefault="002207B6" w:rsidP="002207B6">
      <w:pPr>
        <w:numPr>
          <w:ilvl w:val="0"/>
          <w:numId w:val="3"/>
        </w:numPr>
        <w:spacing w:after="160" w:line="252" w:lineRule="auto"/>
        <w:ind w:left="360"/>
        <w:contextualSpacing/>
        <w:rPr>
          <w:rFonts w:ascii="Times New Roman" w:eastAsia="Calibri" w:hAnsi="Times New Roman" w:cs="Times New Roman"/>
          <w:lang w:val="en-US"/>
        </w:rPr>
      </w:pPr>
      <w:proofErr w:type="spellStart"/>
      <w:r w:rsidRPr="00A973A3">
        <w:rPr>
          <w:rFonts w:ascii="Times New Roman" w:eastAsia="Calibri" w:hAnsi="Times New Roman" w:cs="Times New Roman"/>
          <w:lang w:val="en-US"/>
        </w:rPr>
        <w:t>first_name</w:t>
      </w:r>
      <w:proofErr w:type="spellEnd"/>
      <w:r w:rsidRPr="00A973A3">
        <w:rPr>
          <w:rFonts w:ascii="Times New Roman" w:eastAsia="Calibri" w:hAnsi="Times New Roman" w:cs="Times New Roman"/>
          <w:lang w:val="en-US"/>
        </w:rPr>
        <w:t>: Paul</w:t>
      </w:r>
    </w:p>
    <w:p w14:paraId="0B5C08D5" w14:textId="77777777" w:rsidR="002207B6" w:rsidRPr="00A973A3" w:rsidRDefault="002207B6" w:rsidP="002207B6">
      <w:pPr>
        <w:spacing w:after="160" w:line="252" w:lineRule="auto"/>
        <w:ind w:left="360"/>
        <w:contextualSpacing/>
        <w:rPr>
          <w:rFonts w:ascii="Times New Roman" w:eastAsia="Calibri" w:hAnsi="Times New Roman" w:cs="Times New Roman"/>
          <w:lang w:val="en-US"/>
        </w:rPr>
      </w:pPr>
      <w:proofErr w:type="spellStart"/>
      <w:r w:rsidRPr="00A973A3">
        <w:rPr>
          <w:rFonts w:ascii="Times New Roman" w:eastAsia="Calibri" w:hAnsi="Times New Roman" w:cs="Times New Roman"/>
          <w:lang w:val="en-US"/>
        </w:rPr>
        <w:t>last_name</w:t>
      </w:r>
      <w:proofErr w:type="spellEnd"/>
      <w:r w:rsidRPr="00A973A3">
        <w:rPr>
          <w:rFonts w:ascii="Times New Roman" w:eastAsia="Calibri" w:hAnsi="Times New Roman" w:cs="Times New Roman"/>
          <w:lang w:val="en-US"/>
        </w:rPr>
        <w:t>: Ackroyd</w:t>
      </w:r>
    </w:p>
    <w:p w14:paraId="64CB952A" w14:textId="77777777" w:rsidR="002207B6" w:rsidRPr="00A973A3" w:rsidRDefault="002207B6" w:rsidP="002207B6">
      <w:pPr>
        <w:spacing w:after="160" w:line="252" w:lineRule="auto"/>
        <w:ind w:left="360"/>
        <w:contextualSpacing/>
        <w:rPr>
          <w:rFonts w:ascii="Times New Roman" w:eastAsia="Calibri" w:hAnsi="Times New Roman" w:cs="Times New Roman"/>
          <w:lang w:val="en-US"/>
        </w:rPr>
      </w:pPr>
      <w:r w:rsidRPr="00A973A3">
        <w:rPr>
          <w:rFonts w:ascii="Times New Roman" w:eastAsia="Calibri" w:hAnsi="Times New Roman" w:cs="Times New Roman"/>
          <w:lang w:val="en-US"/>
        </w:rPr>
        <w:t>title: Conservator</w:t>
      </w:r>
    </w:p>
    <w:p w14:paraId="71265887" w14:textId="0925057C" w:rsidR="002207B6" w:rsidRPr="00A973A3" w:rsidRDefault="002207B6" w:rsidP="002207B6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A973A3">
        <w:rPr>
          <w:rFonts w:ascii="Times New Roman" w:eastAsia="Calibri" w:hAnsi="Times New Roman" w:cs="Times New Roman"/>
          <w:lang w:val="en-US"/>
        </w:rPr>
        <w:t>affiliation: National Gallery, London</w:t>
      </w:r>
    </w:p>
    <w:p w14:paraId="6CF68CE1" w14:textId="2FB7B16A" w:rsidR="002207B6" w:rsidRPr="00A973A3" w:rsidRDefault="002207B6" w:rsidP="00A973A3">
      <w:pPr>
        <w:spacing w:after="0" w:line="240" w:lineRule="auto"/>
        <w:rPr>
          <w:rFonts w:ascii="Times New Roman" w:eastAsia="Calibri" w:hAnsi="Times New Roman" w:cs="Times New Roman"/>
        </w:rPr>
      </w:pPr>
      <w:r w:rsidRPr="00A973A3">
        <w:rPr>
          <w:rFonts w:ascii="Times New Roman" w:eastAsia="Calibri" w:hAnsi="Times New Roman" w:cs="Times New Roman"/>
          <w:lang w:val="en-US"/>
        </w:rPr>
        <w:t>abstract:</w:t>
      </w:r>
      <w:r w:rsidR="00A973A3">
        <w:rPr>
          <w:rFonts w:ascii="Times New Roman" w:eastAsia="Calibri" w:hAnsi="Times New Roman" w:cs="Times New Roman"/>
          <w:lang w:val="en-US"/>
        </w:rPr>
        <w:t xml:space="preserve"> </w:t>
      </w:r>
      <w:r w:rsidR="009E2715" w:rsidRPr="00A973A3">
        <w:rPr>
          <w:rFonts w:ascii="Times New Roman" w:eastAsia="Calibri" w:hAnsi="Times New Roman" w:cs="Times New Roman"/>
          <w:lang w:val="en-US"/>
        </w:rPr>
        <w:t xml:space="preserve">The </w:t>
      </w:r>
      <w:r w:rsidR="008C53B0" w:rsidRPr="00A973A3">
        <w:rPr>
          <w:rFonts w:ascii="Times New Roman" w:eastAsia="Calibri" w:hAnsi="Times New Roman" w:cs="Times New Roman"/>
          <w:lang w:val="en-US"/>
        </w:rPr>
        <w:t xml:space="preserve">previous </w:t>
      </w:r>
      <w:r w:rsidR="00E3311A" w:rsidRPr="00A973A3">
        <w:rPr>
          <w:rFonts w:ascii="Times New Roman" w:eastAsia="Calibri" w:hAnsi="Times New Roman" w:cs="Times New Roman"/>
          <w:lang w:val="en-US"/>
        </w:rPr>
        <w:t>conservation treatments</w:t>
      </w:r>
      <w:r w:rsidR="009E2715" w:rsidRPr="00A973A3">
        <w:rPr>
          <w:rFonts w:ascii="Times New Roman" w:eastAsia="Calibri" w:hAnsi="Times New Roman" w:cs="Times New Roman"/>
          <w:lang w:val="en-US"/>
        </w:rPr>
        <w:t xml:space="preserve"> of van Dyck’s </w:t>
      </w:r>
      <w:r w:rsidR="009E2715" w:rsidRPr="00A973A3">
        <w:rPr>
          <w:rFonts w:ascii="Times New Roman" w:eastAsia="Calibri" w:hAnsi="Times New Roman" w:cs="Times New Roman"/>
          <w:i/>
          <w:iCs/>
          <w:lang w:val="en-US"/>
        </w:rPr>
        <w:t xml:space="preserve">Equestrian Portrait of Charles </w:t>
      </w:r>
      <w:r w:rsidR="00662E56" w:rsidRPr="00A973A3">
        <w:rPr>
          <w:rFonts w:ascii="Times New Roman" w:eastAsia="Calibri" w:hAnsi="Times New Roman" w:cs="Times New Roman"/>
          <w:i/>
          <w:iCs/>
          <w:lang w:val="en-US"/>
        </w:rPr>
        <w:t>I</w:t>
      </w:r>
      <w:r w:rsidR="009E2715" w:rsidRPr="00A973A3">
        <w:rPr>
          <w:rFonts w:ascii="Times New Roman" w:eastAsia="Calibri" w:hAnsi="Times New Roman" w:cs="Times New Roman"/>
          <w:i/>
          <w:iCs/>
          <w:lang w:val="en-US"/>
        </w:rPr>
        <w:t xml:space="preserve"> </w:t>
      </w:r>
      <w:r w:rsidR="009E2715" w:rsidRPr="00A973A3">
        <w:rPr>
          <w:rFonts w:ascii="Times New Roman" w:eastAsia="Calibri" w:hAnsi="Times New Roman" w:cs="Times New Roman"/>
          <w:lang w:val="en-US"/>
        </w:rPr>
        <w:t xml:space="preserve">present a history </w:t>
      </w:r>
      <w:r w:rsidR="00662E56" w:rsidRPr="00A973A3">
        <w:rPr>
          <w:rFonts w:ascii="Times New Roman" w:eastAsia="Calibri" w:hAnsi="Times New Roman" w:cs="Times New Roman"/>
          <w:lang w:val="en-US"/>
        </w:rPr>
        <w:t xml:space="preserve">of </w:t>
      </w:r>
      <w:r w:rsidR="009E2715" w:rsidRPr="00A973A3">
        <w:rPr>
          <w:rFonts w:ascii="Times New Roman" w:eastAsia="Calibri" w:hAnsi="Times New Roman" w:cs="Times New Roman"/>
          <w:lang w:val="en-US"/>
        </w:rPr>
        <w:t>lining</w:t>
      </w:r>
      <w:r w:rsidR="00662E56" w:rsidRPr="00A973A3">
        <w:rPr>
          <w:rFonts w:ascii="Times New Roman" w:eastAsia="Calibri" w:hAnsi="Times New Roman" w:cs="Times New Roman"/>
          <w:lang w:val="en-US"/>
        </w:rPr>
        <w:t>.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 </w:t>
      </w:r>
      <w:r w:rsidR="00662E56" w:rsidRPr="00A973A3">
        <w:rPr>
          <w:rFonts w:ascii="Times New Roman" w:eastAsia="Calibri" w:hAnsi="Times New Roman" w:cs="Times New Roman"/>
          <w:lang w:val="en-US"/>
        </w:rPr>
        <w:t>H</w:t>
      </w:r>
      <w:r w:rsidR="009E2715" w:rsidRPr="00A973A3">
        <w:rPr>
          <w:rFonts w:ascii="Times New Roman" w:eastAsia="Calibri" w:hAnsi="Times New Roman" w:cs="Times New Roman"/>
          <w:lang w:val="en-US"/>
        </w:rPr>
        <w:t>aving been lined with a glue</w:t>
      </w:r>
      <w:r w:rsidR="00662E56" w:rsidRPr="00A973A3">
        <w:rPr>
          <w:rFonts w:ascii="Times New Roman" w:eastAsia="Calibri" w:hAnsi="Times New Roman" w:cs="Times New Roman"/>
          <w:lang w:val="en-US"/>
        </w:rPr>
        <w:t>-</w:t>
      </w:r>
      <w:r w:rsidR="009E2715" w:rsidRPr="00A973A3">
        <w:rPr>
          <w:rFonts w:ascii="Times New Roman" w:eastAsia="Calibri" w:hAnsi="Times New Roman" w:cs="Times New Roman"/>
          <w:lang w:val="en-US"/>
        </w:rPr>
        <w:t xml:space="preserve">paste adhesive </w:t>
      </w:r>
      <w:r w:rsidR="00D86769" w:rsidRPr="00A973A3">
        <w:rPr>
          <w:rFonts w:ascii="Times New Roman" w:eastAsia="Calibri" w:hAnsi="Times New Roman" w:cs="Times New Roman"/>
          <w:lang w:val="en-US"/>
        </w:rPr>
        <w:t>twice in the late</w:t>
      </w:r>
      <w:r w:rsidR="009E2715" w:rsidRPr="00A973A3">
        <w:rPr>
          <w:rFonts w:ascii="Times New Roman" w:eastAsia="Calibri" w:hAnsi="Times New Roman" w:cs="Times New Roman"/>
          <w:lang w:val="en-US"/>
        </w:rPr>
        <w:t xml:space="preserve"> nineteenth century</w:t>
      </w:r>
      <w:r w:rsidR="00662E56" w:rsidRPr="00A973A3">
        <w:rPr>
          <w:rFonts w:ascii="Times New Roman" w:eastAsia="Calibri" w:hAnsi="Times New Roman" w:cs="Times New Roman"/>
          <w:lang w:val="en-US"/>
        </w:rPr>
        <w:t>,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 the painting was relined with a wax-resin adhesive in 1952, and in the recent treatment </w:t>
      </w:r>
      <w:r w:rsidR="00662E56" w:rsidRPr="00A973A3">
        <w:rPr>
          <w:rFonts w:ascii="Times New Roman" w:eastAsia="Calibri" w:hAnsi="Times New Roman" w:cs="Times New Roman"/>
          <w:lang w:val="en-US"/>
        </w:rPr>
        <w:t xml:space="preserve">was 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relined with Lascaux 375, an equivalent </w:t>
      </w:r>
      <w:proofErr w:type="gramStart"/>
      <w:r w:rsidR="00D86769" w:rsidRPr="00A973A3">
        <w:rPr>
          <w:rFonts w:ascii="Times New Roman" w:eastAsia="Calibri" w:hAnsi="Times New Roman" w:cs="Times New Roman"/>
          <w:lang w:val="en-US"/>
        </w:rPr>
        <w:t>heat</w:t>
      </w:r>
      <w:r w:rsidR="00662E56" w:rsidRPr="00A973A3">
        <w:rPr>
          <w:rFonts w:ascii="Times New Roman" w:eastAsia="Calibri" w:hAnsi="Times New Roman" w:cs="Times New Roman"/>
          <w:lang w:val="en-US"/>
        </w:rPr>
        <w:t>-</w:t>
      </w:r>
      <w:r w:rsidR="00D86769" w:rsidRPr="00A973A3">
        <w:rPr>
          <w:rFonts w:ascii="Times New Roman" w:eastAsia="Calibri" w:hAnsi="Times New Roman" w:cs="Times New Roman"/>
          <w:lang w:val="en-US"/>
        </w:rPr>
        <w:t>seal</w:t>
      </w:r>
      <w:proofErr w:type="gramEnd"/>
      <w:r w:rsidR="00D86769" w:rsidRPr="00A973A3">
        <w:rPr>
          <w:rFonts w:ascii="Times New Roman" w:eastAsia="Calibri" w:hAnsi="Times New Roman" w:cs="Times New Roman"/>
          <w:lang w:val="en-US"/>
        </w:rPr>
        <w:t xml:space="preserve"> adhesive to </w:t>
      </w:r>
      <w:proofErr w:type="spellStart"/>
      <w:r w:rsidR="00662E56" w:rsidRPr="00A973A3">
        <w:rPr>
          <w:rFonts w:ascii="Times New Roman" w:eastAsia="Calibri" w:hAnsi="Times New Roman" w:cs="Times New Roman"/>
          <w:lang w:val="en-US"/>
        </w:rPr>
        <w:t>Beva</w:t>
      </w:r>
      <w:proofErr w:type="spellEnd"/>
      <w:r w:rsidR="00662E56" w:rsidRPr="00A973A3">
        <w:rPr>
          <w:rFonts w:ascii="Times New Roman" w:eastAsia="Calibri" w:hAnsi="Times New Roman" w:cs="Times New Roman"/>
          <w:lang w:val="en-US"/>
        </w:rPr>
        <w:t xml:space="preserve"> </w:t>
      </w:r>
      <w:r w:rsidR="00D86769" w:rsidRPr="00A973A3">
        <w:rPr>
          <w:rFonts w:ascii="Times New Roman" w:eastAsia="Calibri" w:hAnsi="Times New Roman" w:cs="Times New Roman"/>
          <w:lang w:val="en-US"/>
        </w:rPr>
        <w:t>371. Th</w:t>
      </w:r>
      <w:r w:rsidR="00662E56" w:rsidRPr="00A973A3">
        <w:rPr>
          <w:rFonts w:ascii="Times New Roman" w:eastAsia="Calibri" w:hAnsi="Times New Roman" w:cs="Times New Roman"/>
          <w:lang w:val="en-US"/>
        </w:rPr>
        <w:t>is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 article describes the recent</w:t>
      </w:r>
      <w:r w:rsidR="003F77F0" w:rsidRPr="00A973A3">
        <w:rPr>
          <w:rFonts w:ascii="Times New Roman" w:eastAsia="Calibri" w:hAnsi="Times New Roman" w:cs="Times New Roman"/>
          <w:lang w:val="en-US"/>
        </w:rPr>
        <w:t xml:space="preserve"> </w:t>
      </w:r>
      <w:r w:rsidR="00D86769" w:rsidRPr="00A973A3">
        <w:rPr>
          <w:rFonts w:ascii="Times New Roman" w:eastAsia="Calibri" w:hAnsi="Times New Roman" w:cs="Times New Roman"/>
          <w:lang w:val="en-US"/>
        </w:rPr>
        <w:t>treatment</w:t>
      </w:r>
      <w:r w:rsidR="003F77F0" w:rsidRPr="00A973A3">
        <w:rPr>
          <w:rFonts w:ascii="Times New Roman" w:eastAsia="Calibri" w:hAnsi="Times New Roman" w:cs="Times New Roman"/>
          <w:lang w:val="en-US"/>
        </w:rPr>
        <w:t xml:space="preserve">, 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starting with the removal of the wax-resin lining, </w:t>
      </w:r>
      <w:r w:rsidR="00662E56" w:rsidRPr="00A973A3">
        <w:rPr>
          <w:rFonts w:ascii="Times New Roman" w:eastAsia="Calibri" w:hAnsi="Times New Roman" w:cs="Times New Roman"/>
          <w:lang w:val="en-US"/>
        </w:rPr>
        <w:t xml:space="preserve">and includes </w:t>
      </w:r>
      <w:r w:rsidR="00D86769" w:rsidRPr="00A973A3">
        <w:rPr>
          <w:rFonts w:ascii="Times New Roman" w:eastAsia="Calibri" w:hAnsi="Times New Roman" w:cs="Times New Roman"/>
          <w:lang w:val="en-US"/>
        </w:rPr>
        <w:t>the repairs to the original canvas and the relining</w:t>
      </w:r>
      <w:r w:rsidR="00662E56" w:rsidRPr="00A973A3">
        <w:rPr>
          <w:rFonts w:ascii="Times New Roman" w:eastAsia="Calibri" w:hAnsi="Times New Roman" w:cs="Times New Roman"/>
          <w:lang w:val="en-US"/>
        </w:rPr>
        <w:t>,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 which </w:t>
      </w:r>
      <w:r w:rsidR="003F77F0" w:rsidRPr="00A973A3">
        <w:rPr>
          <w:rFonts w:ascii="Times New Roman" w:eastAsia="Calibri" w:hAnsi="Times New Roman" w:cs="Times New Roman"/>
          <w:lang w:val="en-US"/>
        </w:rPr>
        <w:t>was carried</w:t>
      </w:r>
      <w:r w:rsidR="00D86769" w:rsidRPr="00A973A3">
        <w:rPr>
          <w:rFonts w:ascii="Times New Roman" w:eastAsia="Calibri" w:hAnsi="Times New Roman" w:cs="Times New Roman"/>
          <w:lang w:val="en-US"/>
        </w:rPr>
        <w:t xml:space="preserve"> out </w:t>
      </w:r>
      <w:r w:rsidR="003F77F0" w:rsidRPr="00A973A3">
        <w:rPr>
          <w:rFonts w:ascii="Times New Roman" w:eastAsia="Calibri" w:hAnsi="Times New Roman" w:cs="Times New Roman"/>
          <w:lang w:val="en-US"/>
        </w:rPr>
        <w:t>in two separate stages on a heated low-pressure table while the painting was held in a vacuum envelope.</w:t>
      </w:r>
    </w:p>
    <w:p w14:paraId="2100DF11" w14:textId="49878122" w:rsidR="002207B6" w:rsidRPr="00A973A3" w:rsidRDefault="002207B6" w:rsidP="002207B6">
      <w:pPr>
        <w:spacing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A973A3">
        <w:rPr>
          <w:rFonts w:ascii="Times New Roman" w:eastAsia="Calibri" w:hAnsi="Times New Roman" w:cs="Times New Roman"/>
          <w:lang w:val="en-US"/>
        </w:rPr>
        <w:t>short_title</w:t>
      </w:r>
      <w:proofErr w:type="spellEnd"/>
      <w:r w:rsidRPr="00A973A3">
        <w:rPr>
          <w:rFonts w:ascii="Times New Roman" w:eastAsia="Calibri" w:hAnsi="Times New Roman" w:cs="Times New Roman"/>
          <w:lang w:val="en-US"/>
        </w:rPr>
        <w:t xml:space="preserve">: </w:t>
      </w:r>
      <w:r w:rsidRPr="00A973A3">
        <w:rPr>
          <w:rFonts w:ascii="Times New Roman" w:eastAsia="Calibri" w:hAnsi="Times New Roman" w:cs="Times New Roman"/>
        </w:rPr>
        <w:t>The Relining of van Dyck’s *</w:t>
      </w:r>
      <w:r w:rsidRPr="00A973A3">
        <w:rPr>
          <w:rFonts w:ascii="Times New Roman" w:eastAsia="Calibri" w:hAnsi="Times New Roman" w:cs="Times New Roman"/>
          <w:iCs/>
        </w:rPr>
        <w:t>Equestrian Portrait of Charles I*</w:t>
      </w:r>
    </w:p>
    <w:p w14:paraId="446983F5" w14:textId="77777777" w:rsidR="002207B6" w:rsidRPr="009243C9" w:rsidRDefault="002207B6" w:rsidP="002C01E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21A8EB1" w14:textId="31AEC10D" w:rsidR="00CA2D84" w:rsidRPr="009243C9" w:rsidRDefault="007655F3" w:rsidP="002C01E1">
      <w:pPr>
        <w:pStyle w:val="Heading1"/>
        <w:spacing w:after="0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E85745" w:rsidRPr="009243C9">
        <w:rPr>
          <w:lang w:val="en-US"/>
        </w:rPr>
        <w:t>Introduction</w:t>
      </w:r>
    </w:p>
    <w:p w14:paraId="0FE0E489" w14:textId="4AC6461A" w:rsidR="004F1029" w:rsidRPr="009243C9" w:rsidRDefault="00CC3358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C7361" w:rsidRPr="009243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Equestrian Portrait of Charles </w:t>
      </w:r>
      <w:r w:rsidR="002207B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3CD" w:rsidRPr="009243C9">
        <w:rPr>
          <w:rFonts w:ascii="Times New Roman" w:hAnsi="Times New Roman" w:cs="Times New Roman"/>
          <w:sz w:val="24"/>
          <w:szCs w:val="24"/>
          <w:lang w:val="en-US"/>
        </w:rPr>
        <w:t>by Anthony van Dyck (NG 1172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painted around 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>1637</w:t>
      </w:r>
      <w:r w:rsidR="000549C3">
        <w:rPr>
          <w:rFonts w:ascii="Times New Roman" w:hAnsi="Times New Roman" w:cs="Times New Roman"/>
          <w:sz w:val="24"/>
          <w:szCs w:val="24"/>
          <w:lang w:val="en-US"/>
        </w:rPr>
        <w:t>–3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monumental in scale </w:t>
      </w:r>
      <w:r w:rsidR="000549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368 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49C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292.5 cm</w:t>
      </w:r>
      <w:r w:rsidR="000549C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, imposing</w:t>
      </w:r>
      <w:r w:rsidR="00A4020A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depict</w:t>
      </w:r>
      <w:r w:rsidR="00A402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king as </w:t>
      </w:r>
      <w:r w:rsidR="00A4020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divinely chosen ruler of Great Britain, celebrating the union between England and Scotland following the accession of Charles’s father, James </w:t>
      </w:r>
      <w:r w:rsidR="002207B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, to the throne in 1603</w:t>
      </w:r>
      <w:r w:rsidR="00E8574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973A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E85745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1</w:t>
        </w:r>
      </w:hyperlink>
      <w:r w:rsidR="00E85745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. Van Dyck’s choice of an equestrian portrait not only demon</w:t>
      </w:r>
      <w:r w:rsidR="003951A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strates the king’s horsemanship 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but is</w:t>
      </w:r>
      <w:r w:rsidR="00B2272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deliberately reminiscent of equestri</w:t>
      </w:r>
      <w:r w:rsidR="00A702C2" w:rsidRPr="009243C9">
        <w:rPr>
          <w:rFonts w:ascii="Times New Roman" w:hAnsi="Times New Roman" w:cs="Times New Roman"/>
          <w:sz w:val="24"/>
          <w:szCs w:val="24"/>
          <w:lang w:val="en-US"/>
        </w:rPr>
        <w:t>an statues in Ancient Rome that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 intended as assertions of temporal power. </w:t>
      </w:r>
      <w:r w:rsidR="00A4020A">
        <w:rPr>
          <w:rFonts w:ascii="Times New Roman" w:hAnsi="Times New Roman" w:cs="Times New Roman"/>
          <w:sz w:val="24"/>
          <w:szCs w:val="24"/>
          <w:lang w:val="en-US"/>
        </w:rPr>
        <w:t>It was p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ainted toward the end of a period of relative prosperity in England and set in a tranquil English landscape,</w:t>
      </w:r>
      <w:r w:rsidR="00380D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shortly</w:t>
      </w:r>
      <w:r w:rsidR="007169E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D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the country was plunged into a bloody civil war in which Charles los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his </w:t>
      </w:r>
      <w:r w:rsidR="00EF4C7F" w:rsidRPr="009243C9">
        <w:rPr>
          <w:rFonts w:ascii="Times New Roman" w:hAnsi="Times New Roman" w:cs="Times New Roman"/>
          <w:sz w:val="24"/>
          <w:szCs w:val="24"/>
          <w:lang w:val="en-US"/>
        </w:rPr>
        <w:t>throne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his head 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 xml:space="preserve">when he was 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execut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 January </w:t>
      </w:r>
      <w:r w:rsidR="002207B6">
        <w:rPr>
          <w:rFonts w:ascii="Times New Roman" w:hAnsi="Times New Roman" w:cs="Times New Roman"/>
          <w:sz w:val="24"/>
          <w:szCs w:val="24"/>
          <w:lang w:val="en-US"/>
        </w:rPr>
        <w:t xml:space="preserve">30, 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>1649.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0D79" w:rsidRPr="009243C9">
        <w:rPr>
          <w:rFonts w:ascii="Times New Roman" w:hAnsi="Times New Roman" w:cs="Times New Roman"/>
          <w:sz w:val="24"/>
          <w:szCs w:val="24"/>
          <w:lang w:val="en-US"/>
        </w:rPr>
        <w:t>The depiction of this</w:t>
      </w:r>
      <w:r w:rsidR="009850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poignant moment in English history has</w:t>
      </w:r>
      <w:r w:rsidR="00130D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ensured its popularity with visitors to the National Gallery and its importance within the collection. Only rarely has it been taken off display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30D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130D79" w:rsidRPr="009243C9">
        <w:rPr>
          <w:rFonts w:ascii="Times New Roman" w:hAnsi="Times New Roman" w:cs="Times New Roman"/>
          <w:sz w:val="24"/>
          <w:szCs w:val="24"/>
          <w:lang w:val="en-US"/>
        </w:rPr>
        <w:t>normally hangs in Room 31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30D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where it </w:t>
      </w:r>
      <w:r w:rsidR="0027199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creates an imposing 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impression</w:t>
      </w:r>
      <w:r w:rsidR="0027199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0D79" w:rsidRPr="009243C9">
        <w:rPr>
          <w:rFonts w:ascii="Times New Roman" w:hAnsi="Times New Roman" w:cs="Times New Roman"/>
          <w:sz w:val="24"/>
          <w:szCs w:val="24"/>
          <w:lang w:val="en-US"/>
        </w:rPr>
        <w:t>and forms</w:t>
      </w:r>
      <w:r w:rsidR="0027199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vista to draw the public into the Gallery as they enter through the Central Hall.</w:t>
      </w:r>
      <w:r w:rsidR="002616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AC1324" w14:textId="17CE0C9B" w:rsidR="00F87FE5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>Van Dyck painted the portrait</w:t>
      </w:r>
      <w:r w:rsidR="002616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 a twill weave canvas with a</w:t>
      </w:r>
      <w:r w:rsidR="003D6ED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black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ticking pattern, which </w:t>
      </w:r>
      <w:r w:rsidR="002616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>a central horizontal join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9ED" w:rsidRPr="009243C9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9" w:history="1">
        <w:r w:rsidR="007169ED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973A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7169ED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8.2</w:t>
        </w:r>
      </w:hyperlink>
      <w:r w:rsidR="007169ED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bears Charles </w:t>
      </w:r>
      <w:r w:rsidR="007169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’s original cipher at 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reverse</w:t>
      </w:r>
      <w:r w:rsidR="002616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This type of canvas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>, commonly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>sed for domestic upholstery, was probably chosen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61C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strength and 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toughness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 xml:space="preserve">because it 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could </w:t>
      </w:r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>be obtained in large widths</w:t>
      </w:r>
      <w:r w:rsidR="00B10D4C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051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making it an attractive choice of material for large paintings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07B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canvas was prepared with a red-brown ground followed by a thick, oil-based 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>gray</w:t>
      </w:r>
      <w:r w:rsidR="00161C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7B0" w:rsidRPr="009243C9">
        <w:rPr>
          <w:rFonts w:ascii="Times New Roman" w:hAnsi="Times New Roman" w:cs="Times New Roman"/>
          <w:sz w:val="24"/>
          <w:szCs w:val="24"/>
          <w:lang w:val="en-US"/>
        </w:rPr>
        <w:t>priming.</w:t>
      </w:r>
    </w:p>
    <w:p w14:paraId="01672ED6" w14:textId="2C219A99" w:rsidR="003D0C3B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D7CC6" w:rsidRPr="009243C9">
        <w:rPr>
          <w:rFonts w:ascii="Times New Roman" w:hAnsi="Times New Roman" w:cs="Times New Roman"/>
          <w:sz w:val="24"/>
          <w:szCs w:val="24"/>
          <w:lang w:val="en-US"/>
        </w:rPr>
        <w:t>he decision to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fully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retreat the picture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2018</w:t>
      </w:r>
      <w:r w:rsidR="005D7CC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proofErr w:type="gramStart"/>
      <w:r w:rsidR="005D7CC6" w:rsidRPr="009243C9">
        <w:rPr>
          <w:rFonts w:ascii="Times New Roman" w:hAnsi="Times New Roman" w:cs="Times New Roman"/>
          <w:sz w:val="24"/>
          <w:szCs w:val="24"/>
          <w:lang w:val="en-US"/>
        </w:rPr>
        <w:t>based on the fact that</w:t>
      </w:r>
      <w:proofErr w:type="gramEnd"/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lining canvas</w:t>
      </w:r>
      <w:r w:rsidR="00FD3C0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detaching</w:t>
      </w:r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from the original</w:t>
      </w:r>
      <w:r w:rsidR="00B10D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 previously applied varnish and </w:t>
      </w:r>
      <w:proofErr w:type="spellStart"/>
      <w:r w:rsidR="00B10D4C" w:rsidRPr="009243C9">
        <w:rPr>
          <w:rFonts w:ascii="Times New Roman" w:hAnsi="Times New Roman" w:cs="Times New Roman"/>
          <w:sz w:val="24"/>
          <w:szCs w:val="24"/>
          <w:lang w:val="en-US"/>
        </w:rPr>
        <w:t>retouchings</w:t>
      </w:r>
      <w:proofErr w:type="spellEnd"/>
      <w:r w:rsidR="00FD3C0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had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discolored</w:t>
      </w:r>
      <w:r w:rsidR="00FD3C0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significant</w:t>
      </w:r>
      <w:r w:rsidR="00B10D4C" w:rsidRPr="009243C9">
        <w:rPr>
          <w:rFonts w:ascii="Times New Roman" w:hAnsi="Times New Roman" w:cs="Times New Roman"/>
          <w:sz w:val="24"/>
          <w:szCs w:val="24"/>
          <w:lang w:val="en-US"/>
        </w:rPr>
        <w:t>ly. All lining activity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the National Gallery</w:t>
      </w:r>
      <w:r w:rsidR="00B10D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since the late 1970s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has entailed the relining of paintings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490EE4" w:rsidRPr="009243C9">
        <w:rPr>
          <w:rFonts w:ascii="Times New Roman" w:hAnsi="Times New Roman" w:cs="Times New Roman"/>
          <w:sz w:val="24"/>
          <w:szCs w:val="24"/>
          <w:lang w:val="en-US"/>
        </w:rPr>
        <w:t>that is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90EE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C0B" w:rsidRPr="009243C9">
        <w:rPr>
          <w:rFonts w:ascii="Times New Roman" w:hAnsi="Times New Roman" w:cs="Times New Roman"/>
          <w:sz w:val="24"/>
          <w:szCs w:val="24"/>
          <w:lang w:val="en-US"/>
        </w:rPr>
        <w:t>the replacement of</w:t>
      </w:r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FD3C0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old</w:t>
      </w:r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degraded lining</w:t>
      </w:r>
      <w:r w:rsidR="002616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a new one</w:t>
      </w:r>
      <w:r w:rsidR="003951A1" w:rsidRPr="009243C9">
        <w:rPr>
          <w:rFonts w:ascii="Times New Roman" w:hAnsi="Times New Roman" w:cs="Times New Roman"/>
          <w:sz w:val="24"/>
          <w:szCs w:val="24"/>
          <w:lang w:val="en-US"/>
        </w:rPr>
        <w:t>. O</w:t>
      </w:r>
      <w:r w:rsidR="006E0510" w:rsidRPr="009243C9">
        <w:rPr>
          <w:rFonts w:ascii="Times New Roman" w:hAnsi="Times New Roman" w:cs="Times New Roman"/>
          <w:sz w:val="24"/>
          <w:szCs w:val="24"/>
          <w:lang w:val="en-US"/>
        </w:rPr>
        <w:t>n the occasions when previously unlined pictures</w:t>
      </w:r>
      <w:r w:rsidR="00AD03C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have required</w:t>
      </w:r>
      <w:r w:rsidR="00FE70F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structural attention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FE70FD" w:rsidRPr="009243C9">
        <w:rPr>
          <w:rFonts w:ascii="Times New Roman" w:hAnsi="Times New Roman" w:cs="Times New Roman"/>
          <w:sz w:val="24"/>
          <w:szCs w:val="24"/>
          <w:lang w:val="en-US"/>
        </w:rPr>
        <w:t>ess invasive forms of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treatment</w:t>
      </w:r>
      <w:r w:rsidR="00FE70F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than lining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have been selected. In the case of the van Dyck</w:t>
      </w:r>
      <w:r w:rsidR="00161C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90EE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D03C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recent</w:t>
      </w:r>
      <w:r w:rsidR="00490EE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relining was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nonimpregnating</w:t>
      </w:r>
      <w:proofErr w:type="spellEnd"/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nap-bond treatment carried out with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equivalent of </w:t>
      </w:r>
      <w:proofErr w:type="spellStart"/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>371, Lascaux Heat</w:t>
      </w:r>
      <w:r w:rsidR="000963B3">
        <w:rPr>
          <w:rFonts w:ascii="Times New Roman" w:hAnsi="Times New Roman" w:cs="Times New Roman"/>
          <w:sz w:val="24"/>
          <w:szCs w:val="24"/>
          <w:lang w:val="en-US"/>
        </w:rPr>
        <w:t>-S</w:t>
      </w:r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>eal Adhe</w:t>
      </w:r>
      <w:r w:rsidR="00FD3C0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sive 375, 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using a </w:t>
      </w:r>
      <w:bookmarkStart w:id="0" w:name="_Hlk92886311"/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>vacu</w:t>
      </w:r>
      <w:r w:rsidR="00DC3939" w:rsidRPr="009243C9">
        <w:rPr>
          <w:rFonts w:ascii="Times New Roman" w:hAnsi="Times New Roman" w:cs="Times New Roman"/>
          <w:sz w:val="24"/>
          <w:szCs w:val="24"/>
          <w:lang w:val="en-US"/>
        </w:rPr>
        <w:t>um</w:t>
      </w:r>
      <w:r w:rsidR="000963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0EE4" w:rsidRPr="009243C9">
        <w:rPr>
          <w:rFonts w:ascii="Times New Roman" w:hAnsi="Times New Roman" w:cs="Times New Roman"/>
          <w:sz w:val="24"/>
          <w:szCs w:val="24"/>
          <w:lang w:val="en-US"/>
        </w:rPr>
        <w:t>envelope technique</w:t>
      </w:r>
      <w:bookmarkEnd w:id="0"/>
      <w:r w:rsidR="00490EE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7C8AA7" w14:textId="77777777" w:rsidR="001C12A2" w:rsidRPr="00B515B7" w:rsidRDefault="001C12A2" w:rsidP="002C01E1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A60" w14:textId="0BCBB541" w:rsidR="00490EE4" w:rsidRPr="009243C9" w:rsidRDefault="007655F3" w:rsidP="002C01E1">
      <w:pPr>
        <w:pStyle w:val="Heading1"/>
        <w:spacing w:after="0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7A0977" w:rsidRPr="009243C9">
        <w:rPr>
          <w:lang w:val="en-US"/>
        </w:rPr>
        <w:t xml:space="preserve">Early </w:t>
      </w:r>
      <w:r w:rsidR="002C01E1" w:rsidRPr="009243C9">
        <w:rPr>
          <w:lang w:val="en-US"/>
        </w:rPr>
        <w:t xml:space="preserve">History </w:t>
      </w:r>
      <w:r w:rsidR="007A0977" w:rsidRPr="009243C9">
        <w:rPr>
          <w:lang w:val="en-US"/>
        </w:rPr>
        <w:t>and</w:t>
      </w:r>
      <w:r w:rsidR="007B0E58" w:rsidRPr="009243C9">
        <w:rPr>
          <w:lang w:val="en-US"/>
        </w:rPr>
        <w:t xml:space="preserve"> </w:t>
      </w:r>
      <w:r w:rsidR="002C01E1" w:rsidRPr="009243C9">
        <w:rPr>
          <w:lang w:val="en-US"/>
        </w:rPr>
        <w:t>Ownership</w:t>
      </w:r>
    </w:p>
    <w:p w14:paraId="172A998D" w14:textId="030008B1" w:rsidR="008D3B29" w:rsidRPr="009243C9" w:rsidRDefault="00F63808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The painting</w:t>
      </w:r>
      <w:r w:rsidR="00F87F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1560DF" w:rsidRPr="009243C9">
        <w:rPr>
          <w:rFonts w:ascii="Times New Roman" w:hAnsi="Times New Roman" w:cs="Times New Roman"/>
          <w:sz w:val="24"/>
          <w:szCs w:val="24"/>
          <w:lang w:val="en-US"/>
        </w:rPr>
        <w:t>che</w:t>
      </w:r>
      <w:r w:rsidR="002207B6">
        <w:rPr>
          <w:rFonts w:ascii="Times New Roman" w:hAnsi="Times New Roman" w:cs="Times New Roman"/>
          <w:sz w:val="24"/>
          <w:szCs w:val="24"/>
          <w:lang w:val="en-US"/>
        </w:rPr>
        <w:t>ck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>ered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63B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early </w:t>
      </w:r>
      <w:r w:rsidR="00FC7361" w:rsidRPr="009243C9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="0004109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has aff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>ected its condition. In 1650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shortly after Charles </w:t>
      </w:r>
      <w:r w:rsidR="00125B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’s execution,</w:t>
      </w:r>
      <w:r w:rsidR="0004109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Cromwell sold the painting to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Sir Balthazar </w:t>
      </w:r>
      <w:proofErr w:type="spellStart"/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>Gerbier</w:t>
      </w:r>
      <w:proofErr w:type="spellEnd"/>
      <w:r w:rsidR="000963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who resold it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>Gisbert</w:t>
      </w:r>
      <w:proofErr w:type="spellEnd"/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van Ceulen in Antwerp, 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>from where it was sold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yet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again to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Duke Maximilian </w:t>
      </w:r>
      <w:r w:rsidR="002207B6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Emanuel, </w:t>
      </w:r>
      <w:r w:rsidR="000963B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lector of Bavaria and </w:t>
      </w:r>
      <w:r w:rsidR="000963B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overnor of the </w:t>
      </w:r>
      <w:r w:rsidR="000963B3">
        <w:rPr>
          <w:rFonts w:ascii="Times New Roman" w:hAnsi="Times New Roman" w:cs="Times New Roman"/>
          <w:sz w:val="24"/>
          <w:szCs w:val="24"/>
          <w:lang w:val="en-US"/>
        </w:rPr>
        <w:t>Spanish</w:t>
      </w:r>
      <w:r w:rsidR="000963B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>{Martin 197</w:t>
      </w:r>
      <w:r w:rsidR="00645BD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>|, 44}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27E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>In 1698</w:t>
      </w:r>
      <w:r w:rsidR="004502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painting was looted from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Munich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by Emperor Joseph </w:t>
      </w:r>
      <w:r w:rsidR="002207B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>gifted the picture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125BE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125BE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1560DF" w:rsidRPr="009243C9">
        <w:rPr>
          <w:rFonts w:ascii="Times New Roman" w:hAnsi="Times New Roman" w:cs="Times New Roman"/>
          <w:sz w:val="24"/>
          <w:szCs w:val="24"/>
          <w:lang w:val="en-US"/>
        </w:rPr>
        <w:t>ke of Marlborough in 1706. F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>rom then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it remained</w:t>
      </w:r>
      <w:r w:rsidR="001560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the UK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Blenheim Palace until the N</w:t>
      </w:r>
      <w:r w:rsidR="00DC3939" w:rsidRPr="009243C9">
        <w:rPr>
          <w:rFonts w:ascii="Times New Roman" w:hAnsi="Times New Roman" w:cs="Times New Roman"/>
          <w:sz w:val="24"/>
          <w:szCs w:val="24"/>
          <w:lang w:val="en-US"/>
        </w:rPr>
        <w:t>ational Gallery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acquired it</w:t>
      </w:r>
      <w:r w:rsidR="00A12F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1885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for the sum of £17,500</w:t>
      </w:r>
      <w:r w:rsidR="001560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>Throughout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C3939" w:rsidRPr="009243C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changes in ownership the painting woul</w:t>
      </w:r>
      <w:r w:rsidR="001560DF" w:rsidRPr="009243C9">
        <w:rPr>
          <w:rFonts w:ascii="Times New Roman" w:hAnsi="Times New Roman" w:cs="Times New Roman"/>
          <w:sz w:val="24"/>
          <w:szCs w:val="24"/>
          <w:lang w:val="en-US"/>
        </w:rPr>
        <w:t>d have been rolled up and transported b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43F0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horse and </w:t>
      </w:r>
      <w:r w:rsidR="00143F05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cart or by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ship</w:t>
      </w:r>
      <w:r w:rsidR="007352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The raised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horizontal craquelure in the picture is indicative of the painting having been rolled</w:t>
      </w:r>
      <w:r w:rsidR="004502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as are the large number of splits and losses at the sides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973A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B02171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</w:t>
        </w:r>
      </w:hyperlink>
      <w:r w:rsidR="00BB7DED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352D7" w:rsidRPr="00924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series of vertical</w:t>
      </w:r>
      <w:r w:rsidR="007352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lo</w:t>
      </w:r>
      <w:r w:rsidR="006E0F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sses </w:t>
      </w:r>
      <w:r w:rsidR="007352D7" w:rsidRPr="009243C9">
        <w:rPr>
          <w:rFonts w:ascii="Times New Roman" w:hAnsi="Times New Roman" w:cs="Times New Roman"/>
          <w:sz w:val="24"/>
          <w:szCs w:val="24"/>
          <w:lang w:val="en-US"/>
        </w:rPr>
        <w:t>at the right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 xml:space="preserve">edge 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also suggest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that the rolled canvas was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tied too tightly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, crushing the paint in these areas.</w:t>
      </w:r>
    </w:p>
    <w:p w14:paraId="58517097" w14:textId="223DC553" w:rsidR="0085240C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Since the painting entered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National Gallery’s collection it has rarely travelled. During </w:t>
      </w:r>
      <w:r w:rsidR="00125BE3">
        <w:rPr>
          <w:rFonts w:ascii="Times New Roman" w:hAnsi="Times New Roman" w:cs="Times New Roman"/>
          <w:sz w:val="24"/>
          <w:szCs w:val="24"/>
          <w:lang w:val="en-US"/>
        </w:rPr>
        <w:t>World War I</w:t>
      </w:r>
      <w:r w:rsidR="00125BE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picture was evacuated to </w:t>
      </w:r>
      <w:proofErr w:type="spellStart"/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>Overstone</w:t>
      </w:r>
      <w:proofErr w:type="spellEnd"/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Park, outside of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Northampton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BE3">
        <w:rPr>
          <w:rFonts w:ascii="Times New Roman" w:hAnsi="Times New Roman" w:cs="Times New Roman"/>
          <w:sz w:val="24"/>
          <w:szCs w:val="24"/>
          <w:lang w:val="en-US"/>
        </w:rPr>
        <w:t>the Second World War,</w:t>
      </w:r>
      <w:r w:rsidR="00125BE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it w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>ent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Penrhyn Castle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then in 1941 to</w:t>
      </w:r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>Manod</w:t>
      </w:r>
      <w:proofErr w:type="spellEnd"/>
      <w:r w:rsidR="0085240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slate mine in Wales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On </w:t>
      </w:r>
      <w:proofErr w:type="gramStart"/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these</w:t>
      </w:r>
      <w:proofErr w:type="gramEnd"/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latter 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occasions it was trans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>ported upright on its stretcher in a large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wooden</w:t>
      </w:r>
      <w:r w:rsidR="008D3B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strapped to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back of a lorry. 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On its journey to </w:t>
      </w:r>
      <w:proofErr w:type="spellStart"/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>Manod</w:t>
      </w:r>
      <w:proofErr w:type="spellEnd"/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truck had to pass through a tunnel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was not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>tall</w:t>
      </w:r>
      <w:r w:rsidR="00D379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>enough to accommodate the height of the case. This had been anticipated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 road had been dug up beforehand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make extra height</w:t>
      </w:r>
      <w:r w:rsidR="00CF0BC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51A1" w:rsidRPr="009243C9">
        <w:rPr>
          <w:rFonts w:ascii="Times New Roman" w:hAnsi="Times New Roman" w:cs="Times New Roman"/>
          <w:sz w:val="24"/>
          <w:szCs w:val="24"/>
          <w:lang w:val="en-US"/>
        </w:rPr>
        <w:t>but even so there was insufficient</w:t>
      </w:r>
      <w:r w:rsidR="00CF0BC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headroom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for the truck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pass through</w:t>
      </w:r>
      <w:r w:rsidR="00CF0BC1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34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truck’s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tires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had to be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>deflated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{Clark 1977|, 6}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>Davies and Rawlins 1946|, 13}</w:t>
      </w:r>
      <w:r w:rsidR="00A973A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766A3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51A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On its return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 xml:space="preserve">trip </w:t>
      </w:r>
      <w:r w:rsidR="00F024DD" w:rsidRPr="009243C9">
        <w:rPr>
          <w:rFonts w:ascii="Times New Roman" w:hAnsi="Times New Roman" w:cs="Times New Roman"/>
          <w:sz w:val="24"/>
          <w:szCs w:val="24"/>
          <w:lang w:val="en-US"/>
        </w:rPr>
        <w:t>to the Gallery in June 1945 the painting travelled mostly by train. M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>ore recently, in January 2018, the painting was lent to the Royal Academy’s exhibition</w:t>
      </w:r>
      <w:r w:rsidR="00CA1D9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1D9B" w:rsidRPr="00D975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Charles </w:t>
      </w:r>
      <w:r w:rsidR="00125BE3" w:rsidRPr="00D975C8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CA1D9B" w:rsidRPr="00D975C8">
        <w:rPr>
          <w:rFonts w:ascii="Times New Roman" w:hAnsi="Times New Roman" w:cs="Times New Roman"/>
          <w:i/>
          <w:iCs/>
          <w:sz w:val="24"/>
          <w:szCs w:val="24"/>
          <w:lang w:val="en-US"/>
        </w:rPr>
        <w:t>: King and Collector</w:t>
      </w:r>
      <w:r w:rsidR="00CA1D9B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03C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="00AD03C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remained on its stretcher</w:t>
      </w:r>
      <w:r w:rsidR="00CA1D9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 w:rsidR="00A933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 the 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t>short journey across London</w:t>
      </w:r>
      <w:r w:rsidR="007B0E58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76D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593DCD" w14:textId="77777777" w:rsidR="00CA2D84" w:rsidRPr="00B515B7" w:rsidRDefault="00CA2D84" w:rsidP="002C01E1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A4BF5C" w14:textId="552E2433" w:rsidR="001560DF" w:rsidRPr="009243C9" w:rsidRDefault="007655F3" w:rsidP="002C01E1">
      <w:pPr>
        <w:pStyle w:val="Heading1"/>
        <w:spacing w:after="0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7B0E58" w:rsidRPr="009243C9">
        <w:rPr>
          <w:lang w:val="en-US"/>
        </w:rPr>
        <w:t xml:space="preserve">Early </w:t>
      </w:r>
      <w:r w:rsidR="002C01E1" w:rsidRPr="009243C9">
        <w:rPr>
          <w:lang w:val="en-US"/>
        </w:rPr>
        <w:t>Relining Treatments</w:t>
      </w:r>
    </w:p>
    <w:p w14:paraId="1C644C22" w14:textId="36C7D526" w:rsidR="00D37958" w:rsidRDefault="001560DF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>efore the recent treatment</w:t>
      </w:r>
      <w:r w:rsidR="00F63808" w:rsidRPr="009243C9">
        <w:rPr>
          <w:rFonts w:ascii="Times New Roman" w:hAnsi="Times New Roman" w:cs="Times New Roman"/>
          <w:sz w:val="24"/>
          <w:szCs w:val="24"/>
          <w:lang w:val="en-US"/>
        </w:rPr>
        <w:t>, which bega</w:t>
      </w:r>
      <w:r w:rsidR="001E77D5" w:rsidRPr="009243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380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79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3808" w:rsidRPr="009243C9">
        <w:rPr>
          <w:rFonts w:ascii="Times New Roman" w:hAnsi="Times New Roman" w:cs="Times New Roman"/>
          <w:sz w:val="24"/>
          <w:szCs w:val="24"/>
          <w:lang w:val="en-US"/>
        </w:rPr>
        <w:t>cleaning</w:t>
      </w:r>
      <w:r w:rsidR="00CF0BC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June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7D5" w:rsidRPr="009243C9">
        <w:rPr>
          <w:rFonts w:ascii="Times New Roman" w:hAnsi="Times New Roman" w:cs="Times New Roman"/>
          <w:sz w:val="24"/>
          <w:szCs w:val="24"/>
          <w:lang w:val="en-US"/>
        </w:rPr>
        <w:t>2018,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painting had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already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been lined</w:t>
      </w:r>
      <w:r w:rsidR="001065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least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four times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444B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 xml:space="preserve">as a result, it </w:t>
      </w:r>
      <w:r w:rsidR="001444B6" w:rsidRPr="009243C9">
        <w:rPr>
          <w:rFonts w:ascii="Times New Roman" w:hAnsi="Times New Roman" w:cs="Times New Roman"/>
          <w:sz w:val="24"/>
          <w:szCs w:val="24"/>
          <w:lang w:val="en-US"/>
        </w:rPr>
        <w:t>presents a</w:t>
      </w:r>
      <w:r w:rsidR="001E77D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potted</w:t>
      </w:r>
      <w:r w:rsidR="001444B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history of lining at the Gallery</w:t>
      </w:r>
      <w:r w:rsidR="00A12F1F" w:rsidRPr="009243C9">
        <w:rPr>
          <w:rFonts w:ascii="Times New Roman" w:hAnsi="Times New Roman" w:cs="Times New Roman"/>
          <w:sz w:val="24"/>
          <w:szCs w:val="24"/>
          <w:lang w:val="en-US"/>
        </w:rPr>
        <w:t>. It was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acquired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already lined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t>almost certainly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glue-paste</w:t>
      </w:r>
      <w:r w:rsidR="008108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adhesive,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lined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immediately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after acquisition</w:t>
      </w:r>
      <w:r w:rsidR="008B15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glue-paste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by William Morrill, </w:t>
      </w:r>
      <w:r w:rsidR="00F6380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 private liner </w:t>
      </w:r>
      <w:r w:rsidR="00954213" w:rsidRPr="009243C9">
        <w:rPr>
          <w:rFonts w:ascii="Times New Roman" w:hAnsi="Times New Roman" w:cs="Times New Roman"/>
          <w:sz w:val="24"/>
          <w:szCs w:val="24"/>
          <w:lang w:val="en-US"/>
        </w:rPr>
        <w:t>who regularly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undertook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work for the Gallery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Morrill was the second generation of a dynasty of liners renowned for their tough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durable linings</w:t>
      </w:r>
      <w:r w:rsidR="00D37958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FE70FD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by today’s standards, often produced 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overly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flat picture su</w:t>
      </w:r>
      <w:r w:rsidR="00F451CE" w:rsidRPr="009243C9">
        <w:rPr>
          <w:rFonts w:ascii="Times New Roman" w:hAnsi="Times New Roman" w:cs="Times New Roman"/>
          <w:sz w:val="24"/>
          <w:szCs w:val="24"/>
          <w:lang w:val="en-US"/>
        </w:rPr>
        <w:t>rface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s. I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n the case of the </w:t>
      </w:r>
      <w:r w:rsidR="009A1FFE" w:rsidRPr="009243C9">
        <w:rPr>
          <w:rFonts w:ascii="Times New Roman" w:hAnsi="Times New Roman" w:cs="Times New Roman"/>
          <w:i/>
          <w:sz w:val="24"/>
          <w:szCs w:val="24"/>
          <w:lang w:val="en-US"/>
        </w:rPr>
        <w:t>Equestrian Portrait</w:t>
      </w:r>
      <w:r w:rsidR="00D37958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>was achieved at the expense of squashing the impasto in the picture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leaving moated depressions around these areas. </w:t>
      </w:r>
    </w:p>
    <w:p w14:paraId="360004C8" w14:textId="551044DC" w:rsidR="00F610A0" w:rsidRPr="009243C9" w:rsidRDefault="00D37958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It is worth emphasizing the durability 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t>of the Morrill family’s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linings</w:t>
      </w:r>
      <w:r w:rsidR="00CF0BC1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>a number of</w:t>
      </w:r>
      <w:proofErr w:type="gramEnd"/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still </w:t>
      </w:r>
      <w:r>
        <w:rPr>
          <w:rFonts w:ascii="Times New Roman" w:hAnsi="Times New Roman" w:cs="Times New Roman"/>
          <w:sz w:val="24"/>
          <w:szCs w:val="24"/>
          <w:lang w:val="en-US"/>
        </w:rPr>
        <w:t>remain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National Gallery paintings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2D7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352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stayed 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>in a stable condition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despit</w:t>
      </w:r>
      <w:r w:rsidR="00CF0BC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>around 170 years old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360A28" w:rsidRPr="009243C9">
        <w:rPr>
          <w:rFonts w:ascii="Times New Roman" w:hAnsi="Times New Roman" w:cs="Times New Roman"/>
          <w:sz w:val="24"/>
          <w:szCs w:val="24"/>
          <w:lang w:val="en-US"/>
        </w:rPr>
        <w:t>n 1889</w:t>
      </w:r>
      <w:r w:rsidR="004039CE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however, four years after his initial lining,</w:t>
      </w:r>
      <w:r w:rsidR="004039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Morrill was </w:t>
      </w:r>
      <w:r w:rsidR="00F63808" w:rsidRPr="00924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sked to reline the painting again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="001D53B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it was considered that</w:t>
      </w:r>
      <w:r w:rsidR="00360A2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central join pro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>truded too much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5FE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9CE" w:rsidRPr="009243C9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did 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4039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F1F" w:rsidRPr="009243C9">
        <w:rPr>
          <w:rFonts w:ascii="Times New Roman" w:hAnsi="Times New Roman" w:cs="Times New Roman"/>
          <w:sz w:val="24"/>
          <w:szCs w:val="24"/>
          <w:lang w:val="en-US"/>
        </w:rPr>
        <w:t>paste relining</w:t>
      </w:r>
      <w:r w:rsidR="00FE70F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360A2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two </w:t>
      </w:r>
      <w:r w:rsidR="004039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lining </w:t>
      </w:r>
      <w:r w:rsidR="00360A28" w:rsidRPr="009243C9">
        <w:rPr>
          <w:rFonts w:ascii="Times New Roman" w:hAnsi="Times New Roman" w:cs="Times New Roman"/>
          <w:sz w:val="24"/>
          <w:szCs w:val="24"/>
          <w:lang w:val="en-US"/>
        </w:rPr>
        <w:t>canvases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>his lining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cre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ated further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="00EF4C7F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Morrill cut away all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excess canvas at the back of the join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completely removed the stitching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in the central section 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>as well</w:t>
      </w:r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but left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stitching 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intact at the ends of the join. During the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>relining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two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original pieces of </w:t>
      </w:r>
      <w:r w:rsidR="009A1FFE" w:rsidRPr="009243C9">
        <w:rPr>
          <w:rFonts w:ascii="Times New Roman" w:hAnsi="Times New Roman" w:cs="Times New Roman"/>
          <w:sz w:val="24"/>
          <w:szCs w:val="24"/>
          <w:lang w:val="en-US"/>
        </w:rPr>
        <w:t>canvas shrank apart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leaving a 4</w:t>
      </w:r>
      <w:r w:rsidR="00125BE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25BE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>mm gap</w:t>
      </w:r>
      <w:r w:rsidR="00E27A9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across </w:t>
      </w:r>
      <w:r w:rsidR="00E27A9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join</w:t>
      </w:r>
      <w:r w:rsidR="003F123A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at the points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where the stitching remained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painting bulged away from the lining canvas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forming large air pockets. The bu</w:t>
      </w:r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>lge at the left was ironed flat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leaving a slight depression</w:t>
      </w:r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>, but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ironing the one at the 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created a raised crease in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original canvas</w:t>
      </w:r>
      <w:r w:rsidR="00FB361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50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>long vertical</w:t>
      </w:r>
      <w:r w:rsidR="00DB60B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line of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paint loss. 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 similar crease was made in 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bottom edge. </w:t>
      </w:r>
      <w:r w:rsidR="00F610A0" w:rsidRPr="009243C9">
        <w:rPr>
          <w:rFonts w:ascii="Times New Roman" w:hAnsi="Times New Roman" w:cs="Times New Roman"/>
          <w:sz w:val="24"/>
          <w:szCs w:val="24"/>
          <w:lang w:val="en-US"/>
        </w:rPr>
        <w:t>Additionally, during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removals that Morrill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undertook</w:t>
      </w:r>
      <w:r w:rsidR="00B6002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A9C" w:rsidRPr="009243C9">
        <w:rPr>
          <w:rFonts w:ascii="Times New Roman" w:hAnsi="Times New Roman" w:cs="Times New Roman"/>
          <w:sz w:val="24"/>
          <w:szCs w:val="24"/>
          <w:lang w:val="en-US"/>
        </w:rPr>
        <w:t>fragments of old glue became trapped underneath the picture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causing holes and indentat</w:t>
      </w:r>
      <w:r w:rsidR="004F1029" w:rsidRPr="009243C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>ons</w:t>
      </w:r>
      <w:r w:rsidR="00E27A9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the picture surfac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>e, mostly around</w:t>
      </w:r>
      <w:r w:rsidR="00E27A9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edges</w:t>
      </w:r>
      <w:r w:rsidR="00F451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C44F1D" w14:textId="57C7B8EE" w:rsidR="00684CAB" w:rsidRPr="009243C9" w:rsidRDefault="00125BE3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1952</w:t>
      </w:r>
      <w:r w:rsidR="002753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Morrill’s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canvase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>s had embrittled,</w:t>
      </w:r>
      <w:r w:rsidR="009542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>tearing at the turnover edges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surface of the 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painting had 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become 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>undulated</w:t>
      </w:r>
      <w:r w:rsidR="005542C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>this time the Gallery no longer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used private restorers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having 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>established a conservation department</w:t>
      </w:r>
      <w:r w:rsidR="003038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the late 1940s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39CE" w:rsidRPr="009243C9">
        <w:rPr>
          <w:rFonts w:ascii="Times New Roman" w:hAnsi="Times New Roman" w:cs="Times New Roman"/>
          <w:sz w:val="24"/>
          <w:szCs w:val="24"/>
          <w:lang w:val="en-US"/>
        </w:rPr>
        <w:t>Arthur Lucas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>, who later</w:t>
      </w:r>
      <w:r w:rsidR="003038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3038A3" w:rsidRPr="009243C9">
        <w:rPr>
          <w:rFonts w:ascii="Times New Roman" w:hAnsi="Times New Roman" w:cs="Times New Roman"/>
          <w:sz w:val="24"/>
          <w:szCs w:val="24"/>
          <w:lang w:val="en-US"/>
        </w:rPr>
        <w:t>me the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Gallery’s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chief restorer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>, decided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remove 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Morrill’s </w:t>
      </w:r>
      <w:r w:rsidR="00AF733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="00954213" w:rsidRPr="009243C9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E27A9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8A3" w:rsidRPr="009243C9">
        <w:rPr>
          <w:rFonts w:ascii="Times New Roman" w:hAnsi="Times New Roman" w:cs="Times New Roman"/>
          <w:sz w:val="24"/>
          <w:szCs w:val="24"/>
          <w:lang w:val="en-US"/>
        </w:rPr>
        <w:t>using a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mixture of water and ethanol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soften the glue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layers,</w:t>
      </w:r>
      <w:r w:rsidR="009542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753C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then reline the painting 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>with a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single piece of linen adhered with a wax-resin mixture</w:t>
      </w:r>
      <w:r w:rsidR="00D40BC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(58% plain beeswax, 40% dammar resin, 2% stand oil)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1EA" w:rsidRPr="009243C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heated</w:t>
      </w:r>
      <w:r w:rsidR="008E21E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hand irons. There was a vogue for wax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at the Gallery </w:t>
      </w:r>
      <w:r w:rsidR="00DC393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>shortly</w:t>
      </w:r>
      <w:r w:rsidR="008E21E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after the war until the late 1970s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21E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it was supplanted by</w:t>
      </w:r>
      <w:r w:rsidR="008E21E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3C2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2753C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1EA" w:rsidRPr="009243C9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="00DB150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Lucas’s decision 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to reline the picture 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>may hav</w:t>
      </w:r>
      <w:r w:rsidR="003038A3" w:rsidRPr="009243C9">
        <w:rPr>
          <w:rFonts w:ascii="Times New Roman" w:hAnsi="Times New Roman" w:cs="Times New Roman"/>
          <w:sz w:val="24"/>
          <w:szCs w:val="24"/>
          <w:lang w:val="en-US"/>
        </w:rPr>
        <w:t>e been considered legitimate at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time, but nowa</w:t>
      </w:r>
      <w:r w:rsidR="003038A3" w:rsidRPr="009243C9">
        <w:rPr>
          <w:rFonts w:ascii="Times New Roman" w:hAnsi="Times New Roman" w:cs="Times New Roman"/>
          <w:sz w:val="24"/>
          <w:szCs w:val="24"/>
          <w:lang w:val="en-US"/>
        </w:rPr>
        <w:t>days it might be considered more appropriate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flatt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>en the undulations and repair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edges of the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by adding</w:t>
      </w:r>
      <w:r w:rsidR="00684C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strip lining.</w:t>
      </w:r>
    </w:p>
    <w:p w14:paraId="3B1BD8F0" w14:textId="0F0C7B7D" w:rsidR="00147675" w:rsidRPr="009243C9" w:rsidRDefault="00125BE3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>Luc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>as’s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also</w:t>
      </w:r>
      <w:r w:rsidR="001065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had its problems. </w:t>
      </w:r>
      <w:r w:rsidR="000A2B00" w:rsidRPr="009243C9">
        <w:rPr>
          <w:rFonts w:ascii="Times New Roman" w:hAnsi="Times New Roman" w:cs="Times New Roman"/>
          <w:sz w:val="24"/>
          <w:szCs w:val="24"/>
          <w:lang w:val="en-US"/>
        </w:rPr>
        <w:t>The water and ethanol used to remove Morrill’s lining made the original canvas buckle and undulate</w:t>
      </w:r>
      <w:r w:rsidR="002753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2B0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these problems we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>re not addressed with any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flattening treatment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>s before relining</w:t>
      </w:r>
      <w:r w:rsidR="000A2B00" w:rsidRPr="009243C9">
        <w:rPr>
          <w:rFonts w:ascii="Times New Roman" w:hAnsi="Times New Roman" w:cs="Times New Roman"/>
          <w:sz w:val="24"/>
          <w:szCs w:val="24"/>
          <w:lang w:val="en-US"/>
        </w:rPr>
        <w:t>. The relining</w:t>
      </w:r>
      <w:r w:rsidR="001B529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initially carried out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t</w:t>
      </w:r>
      <w:r w:rsidR="001065CE" w:rsidRPr="009243C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painting face do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A2B0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canvas, stretched onto a loom and prepared with the wax-resin, 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0A2B00" w:rsidRPr="009243C9">
        <w:rPr>
          <w:rFonts w:ascii="Times New Roman" w:hAnsi="Times New Roman" w:cs="Times New Roman"/>
          <w:sz w:val="24"/>
          <w:szCs w:val="24"/>
          <w:lang w:val="en-US"/>
        </w:rPr>
        <w:t>placed on top of it</w:t>
      </w:r>
      <w:r w:rsidR="002753C2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143F0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procedure at</w:t>
      </w:r>
      <w:r w:rsidR="000A2B0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time.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lining canvas was ironed from the reverse,</w:t>
      </w:r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lightly tack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731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>he painting to the lining,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>which was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turned</w:t>
      </w:r>
      <w:r w:rsidR="001065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face up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so that the ironing could continue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over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facing tissue covering the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front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picture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>he tempe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ature of the irons was reduced, </w:t>
      </w:r>
      <w:r w:rsidR="002753C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F5381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065C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>wax adhesive did</w:t>
      </w:r>
      <w:r w:rsidR="003F538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not get </w:t>
      </w:r>
      <w:r w:rsidR="00D9050E" w:rsidRPr="009243C9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enough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form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 even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layer 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451D1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  <w:r w:rsidR="00B535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good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bond between the two canvases.</w:t>
      </w:r>
      <w:r w:rsidR="00B535A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result was that the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>rippled undulations</w:t>
      </w:r>
      <w:r w:rsidR="0084365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caus</w:t>
      </w:r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ed during the </w:t>
      </w:r>
      <w:proofErr w:type="spellStart"/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>delining</w:t>
      </w:r>
      <w:proofErr w:type="spellEnd"/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remained</w:t>
      </w:r>
      <w:r w:rsidR="003F538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due to the considerably uneven distribution of wax, </w:t>
      </w:r>
      <w:r w:rsidR="00A602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>pronounced lumps and bumps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 created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the picture surface</w:t>
      </w:r>
      <w:r w:rsidR="00D8037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1" w:history="1"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973A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D8037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4</w:t>
        </w:r>
      </w:hyperlink>
      <w:r w:rsidR="00D80373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17E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14F6" w:rsidRPr="009243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>y 2018</w:t>
      </w:r>
      <w:r w:rsidR="00C86F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painting was</w:t>
      </w:r>
      <w:r w:rsidR="00143F0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detach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143F0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from the lining</w:t>
      </w:r>
      <w:r w:rsidR="00B535AB" w:rsidRPr="009243C9">
        <w:rPr>
          <w:rFonts w:ascii="Times New Roman" w:hAnsi="Times New Roman" w:cs="Times New Roman"/>
          <w:sz w:val="24"/>
          <w:szCs w:val="24"/>
          <w:lang w:val="en-US"/>
        </w:rPr>
        <w:t>, particularly</w:t>
      </w:r>
      <w:r w:rsidR="00D40BC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the edges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5E3B04" w14:textId="77777777" w:rsidR="005801F3" w:rsidRPr="009243C9" w:rsidRDefault="005801F3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0ADB66" w14:textId="3326ADC5" w:rsidR="005801F3" w:rsidRPr="009243C9" w:rsidRDefault="007655F3" w:rsidP="002C01E1">
      <w:pPr>
        <w:pStyle w:val="Heading1"/>
        <w:spacing w:after="0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5801F3" w:rsidRPr="009243C9">
        <w:rPr>
          <w:lang w:val="en-US"/>
        </w:rPr>
        <w:t xml:space="preserve">The </w:t>
      </w:r>
      <w:r w:rsidR="002C01E1" w:rsidRPr="009243C9">
        <w:rPr>
          <w:lang w:val="en-US"/>
        </w:rPr>
        <w:t>Recent Treatment</w:t>
      </w:r>
    </w:p>
    <w:p w14:paraId="338FB4D1" w14:textId="77777777" w:rsidR="003D0C3B" w:rsidRPr="009243C9" w:rsidRDefault="003D0C3B" w:rsidP="002C01E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B188AD2" w14:textId="3F70B40F" w:rsidR="00524739" w:rsidRPr="009243C9" w:rsidRDefault="007655F3" w:rsidP="002C01E1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C24CE" w:rsidRPr="007655F3">
        <w:rPr>
          <w:i/>
          <w:iCs w:val="0"/>
          <w:lang w:val="en-US"/>
        </w:rPr>
        <w:t xml:space="preserve">Removal of </w:t>
      </w:r>
      <w:r w:rsidR="00A973A3" w:rsidRPr="007655F3">
        <w:rPr>
          <w:i/>
          <w:iCs w:val="0"/>
          <w:lang w:val="en-US"/>
        </w:rPr>
        <w:t>t</w:t>
      </w:r>
      <w:r w:rsidR="004C24CE" w:rsidRPr="007655F3">
        <w:rPr>
          <w:i/>
          <w:iCs w:val="0"/>
          <w:lang w:val="en-US"/>
        </w:rPr>
        <w:t xml:space="preserve">he </w:t>
      </w:r>
      <w:r w:rsidR="00A973A3" w:rsidRPr="007655F3">
        <w:rPr>
          <w:i/>
          <w:iCs w:val="0"/>
          <w:lang w:val="en-US"/>
        </w:rPr>
        <w:t>O</w:t>
      </w:r>
      <w:r w:rsidR="004C24CE" w:rsidRPr="007655F3">
        <w:rPr>
          <w:i/>
          <w:iCs w:val="0"/>
          <w:lang w:val="en-US"/>
        </w:rPr>
        <w:t xml:space="preserve">ld </w:t>
      </w:r>
      <w:r w:rsidR="00A973A3" w:rsidRPr="007655F3">
        <w:rPr>
          <w:i/>
          <w:iCs w:val="0"/>
          <w:lang w:val="en-US"/>
        </w:rPr>
        <w:t>L</w:t>
      </w:r>
      <w:r w:rsidR="004C24CE" w:rsidRPr="007655F3">
        <w:rPr>
          <w:i/>
          <w:iCs w:val="0"/>
          <w:lang w:val="en-US"/>
        </w:rPr>
        <w:t>ining</w:t>
      </w:r>
    </w:p>
    <w:p w14:paraId="67926C69" w14:textId="70E81A5E" w:rsidR="00CA5803" w:rsidRPr="009243C9" w:rsidRDefault="003F538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After cleaning</w:t>
      </w:r>
      <w:r w:rsidR="00852112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1D1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>a template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made</w:t>
      </w:r>
      <w:r w:rsidR="00D81F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damages a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>nd distortions at the front by marking the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D92F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areas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thick sheets of </w:t>
      </w:r>
      <w:proofErr w:type="spellStart"/>
      <w:r w:rsidR="00B645DD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220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C7F" w:rsidRPr="009243C9">
        <w:rPr>
          <w:rFonts w:ascii="Times New Roman" w:hAnsi="Times New Roman" w:cs="Times New Roman"/>
          <w:sz w:val="24"/>
          <w:szCs w:val="24"/>
          <w:lang w:val="en-US"/>
        </w:rPr>
        <w:t>(polyester film)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>so that they could be accurately located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 the back of t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>he picture during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2B2" w:rsidRPr="009243C9">
        <w:rPr>
          <w:rFonts w:ascii="Times New Roman" w:hAnsi="Times New Roman" w:cs="Times New Roman"/>
          <w:sz w:val="24"/>
          <w:szCs w:val="24"/>
          <w:lang w:val="en-US"/>
        </w:rPr>
        <w:t>later stages of the treatment</w:t>
      </w:r>
      <w:r w:rsidR="00B535AB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55D4FA" w14:textId="4130CB57" w:rsidR="0087265E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>he central join was</w:t>
      </w:r>
      <w:r w:rsidR="001922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faced with Japanese tissue adhered with</w:t>
      </w:r>
      <w:r w:rsidR="0014767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wheat starch and sturgeon glue adhesive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provide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51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extra 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reinforcement to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this area</w:t>
      </w:r>
      <w:r w:rsidR="00990CE9" w:rsidRPr="009243C9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>his was followed by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overall facing of </w:t>
      </w:r>
      <w:proofErr w:type="spellStart"/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>Eltoline</w:t>
      </w:r>
      <w:proofErr w:type="spellEnd"/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tissue and a beeswax and dammar adhesive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diluted in </w:t>
      </w:r>
      <w:bookmarkStart w:id="1" w:name="_Hlk92895020"/>
      <w:r w:rsidR="00234257">
        <w:rPr>
          <w:rFonts w:ascii="Times New Roman" w:hAnsi="Times New Roman" w:cs="Times New Roman"/>
          <w:sz w:val="24"/>
          <w:szCs w:val="24"/>
          <w:lang w:val="en-US"/>
        </w:rPr>
        <w:t>mineral</w:t>
      </w:r>
      <w:r w:rsidR="0023425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>spirit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>applied cold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17A73" w:rsidRPr="009243C9">
        <w:rPr>
          <w:rFonts w:ascii="Times New Roman" w:hAnsi="Times New Roman" w:cs="Times New Roman"/>
          <w:sz w:val="24"/>
          <w:szCs w:val="24"/>
          <w:lang w:val="en-US"/>
        </w:rPr>
        <w:t>The intention was to enable the removal of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overall facing without affecting the Japanese tissue, so that the join would remain reinforced during a future rolling operation when the painting needed to be turned face up after the removal of the wax lining from the reverse.</w:t>
      </w:r>
    </w:p>
    <w:p w14:paraId="32D87D0C" w14:textId="088169B7" w:rsidR="00A43143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>he painting was</w:t>
      </w:r>
      <w:r w:rsidR="00617A7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taken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the relining studio and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>placed face down on a large table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covered with </w:t>
      </w:r>
      <w:proofErr w:type="gramStart"/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0CE9" w:rsidRPr="009243C9">
        <w:rPr>
          <w:rFonts w:ascii="Times New Roman" w:hAnsi="Times New Roman" w:cs="Times New Roman"/>
          <w:sz w:val="24"/>
          <w:szCs w:val="24"/>
          <w:lang w:val="en-US"/>
        </w:rPr>
        <w:t>ilicon-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>coated</w:t>
      </w:r>
      <w:proofErr w:type="gramEnd"/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C7F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>he s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>tretche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 was </w:t>
      </w:r>
      <w:proofErr w:type="gramStart"/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>removed</w:t>
      </w:r>
      <w:proofErr w:type="gramEnd"/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7FC7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lining canvas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peeled away in strips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>a relatively easy task given that</w:t>
      </w:r>
      <w:r w:rsidR="00990CE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lining canvas had already become detached in parts and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adhesive had become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weak and bri</w:t>
      </w:r>
      <w:r w:rsidR="00990CE9" w:rsidRPr="009243C9">
        <w:rPr>
          <w:rFonts w:ascii="Times New Roman" w:hAnsi="Times New Roman" w:cs="Times New Roman"/>
          <w:sz w:val="24"/>
          <w:szCs w:val="24"/>
          <w:lang w:val="en-US"/>
        </w:rPr>
        <w:t>ttle</w:t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420383" w14:textId="516C48E3" w:rsidR="00524739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3143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bulk of the wax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>resin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>, particularly the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thicker areas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up to 7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>mm thick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F905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scraped from the back of the original using sharpened metal strips, lea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ving a thin film of the wax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resin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050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which was t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52112" w:rsidRPr="009243C9">
        <w:rPr>
          <w:rFonts w:ascii="Times New Roman" w:hAnsi="Times New Roman" w:cs="Times New Roman"/>
          <w:sz w:val="24"/>
          <w:szCs w:val="24"/>
          <w:lang w:val="en-US"/>
        </w:rPr>
        <w:t>en removed with scalpels</w:t>
      </w:r>
      <w:r w:rsidR="004F5B0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0217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2" w:history="1"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973A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B02171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2</w:t>
        </w:r>
      </w:hyperlink>
      <w:r w:rsidR="00D40BC4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5211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3002B" w:rsidRPr="009243C9">
        <w:rPr>
          <w:rFonts w:ascii="Times New Roman" w:hAnsi="Times New Roman" w:cs="Times New Roman"/>
          <w:sz w:val="24"/>
          <w:szCs w:val="24"/>
          <w:lang w:val="en-US"/>
        </w:rPr>
        <w:t>A certain amount of the wax-resin adhesive remained impregnate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>d within the original canvas</w:t>
      </w:r>
      <w:r w:rsidR="007E51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73002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no attempt was made to extract </w:t>
      </w:r>
      <w:proofErr w:type="gramStart"/>
      <w:r w:rsidR="0073002B" w:rsidRPr="009243C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using solvents</w:t>
      </w:r>
      <w:proofErr w:type="gramEnd"/>
      <w:r w:rsidR="0073002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as the adhesive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had not darkened the thick oil-</w:t>
      </w:r>
      <w:r w:rsidR="0073002B" w:rsidRPr="009243C9">
        <w:rPr>
          <w:rFonts w:ascii="Times New Roman" w:hAnsi="Times New Roman" w:cs="Times New Roman"/>
          <w:sz w:val="24"/>
          <w:szCs w:val="24"/>
          <w:lang w:val="en-US"/>
        </w:rPr>
        <w:t>based red ground and gr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002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y priming layers. 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Throughout 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>the treatment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painting was reached by kneeling on </w:t>
      </w:r>
      <w:proofErr w:type="gramStart"/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cushioned</w:t>
      </w:r>
      <w:proofErr w:type="gramEnd"/>
      <w:r w:rsidR="004950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pads.</w:t>
      </w:r>
      <w:r w:rsidR="0085211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7F81DD" w14:textId="77777777" w:rsidR="002C01E1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D7D60" w14:textId="238AE8B0" w:rsidR="005801F3" w:rsidRPr="009243C9" w:rsidRDefault="007655F3" w:rsidP="002C01E1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C24CE" w:rsidRPr="007655F3">
        <w:rPr>
          <w:i/>
          <w:iCs w:val="0"/>
          <w:lang w:val="en-US"/>
        </w:rPr>
        <w:t xml:space="preserve">Structural </w:t>
      </w:r>
      <w:r w:rsidR="003F1C23" w:rsidRPr="007655F3">
        <w:rPr>
          <w:i/>
          <w:iCs w:val="0"/>
          <w:lang w:val="en-US"/>
        </w:rPr>
        <w:t>R</w:t>
      </w:r>
      <w:r w:rsidR="004C24CE" w:rsidRPr="007655F3">
        <w:rPr>
          <w:i/>
          <w:iCs w:val="0"/>
          <w:lang w:val="en-US"/>
        </w:rPr>
        <w:t>epairs</w:t>
      </w:r>
    </w:p>
    <w:p w14:paraId="580F9BF9" w14:textId="0A2F7AE5" w:rsidR="00675C98" w:rsidRPr="009243C9" w:rsidRDefault="00675C98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Once the old lin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adhes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>ive had been removed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4B4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5381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repairs</w:t>
      </w:r>
      <w:r w:rsidR="003F538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the canvas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 carried out.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1595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splits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the sides of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canvas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>were repaired with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Evo</w:t>
      </w:r>
      <w:r w:rsidR="006076E0">
        <w:rPr>
          <w:rFonts w:ascii="Times New Roman" w:hAnsi="Times New Roman" w:cs="Times New Roman"/>
          <w:sz w:val="24"/>
          <w:szCs w:val="24"/>
          <w:lang w:val="en-US"/>
        </w:rPr>
        <w:t>-S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Resin </w:t>
      </w:r>
      <w:r w:rsidR="00045B2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>W,</w:t>
      </w:r>
      <w:r w:rsidR="00045B2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aqueous PVA adhesive. Many of the spl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as well as losses at the edges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small holes in 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picture</w:t>
      </w:r>
      <w:r w:rsidR="005801F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required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inserts 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>of new, oil-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primed linen canvas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>adhered with the same PVA adhesive</w:t>
      </w:r>
      <w:r w:rsidR="00045B2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 heated with a hot spatula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placed</w:t>
      </w:r>
      <w:r w:rsidR="00990CE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under weights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until dry</w:t>
      </w:r>
      <w:r w:rsidR="00BB7DE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F34A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3" w:history="1"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A973A3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4F34A1" w:rsidRPr="00A973A3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</w:t>
        </w:r>
      </w:hyperlink>
      <w:r w:rsidR="00C87C8C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444B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DF7FF6" w14:textId="42351A63" w:rsidR="008D0691" w:rsidRPr="009243C9" w:rsidRDefault="00045B2A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>The old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hard oil-based fill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ing material used across</w:t>
      </w:r>
      <w:r w:rsidR="00235A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join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generally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well adhered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>was left in place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>apart fr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om small</w:t>
      </w:r>
      <w:r w:rsidR="007E51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localized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sections </w:t>
      </w:r>
      <w:r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crack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ed and 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needed replacing with inserts of new 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canvas. The join was 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reinforced at the back with a </w:t>
      </w:r>
      <w:r>
        <w:rPr>
          <w:rFonts w:ascii="Times New Roman" w:hAnsi="Times New Roman" w:cs="Times New Roman"/>
          <w:sz w:val="24"/>
          <w:szCs w:val="24"/>
          <w:lang w:val="en-US"/>
        </w:rPr>
        <w:t>5-cm-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wide 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strip of </w:t>
      </w:r>
      <w:proofErr w:type="spellStart"/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>Stabiltex</w:t>
      </w:r>
      <w:proofErr w:type="spellEnd"/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>a thin</w:t>
      </w:r>
      <w:r w:rsidR="00AF7338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C98" w:rsidRPr="009243C9">
        <w:rPr>
          <w:rFonts w:ascii="Times New Roman" w:hAnsi="Times New Roman" w:cs="Times New Roman"/>
          <w:sz w:val="24"/>
          <w:szCs w:val="24"/>
          <w:lang w:val="en-US"/>
        </w:rPr>
        <w:t>gauze-like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polyester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was </w:t>
      </w:r>
      <w:proofErr w:type="spellStart"/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>preimpregnated</w:t>
      </w:r>
      <w:proofErr w:type="spellEnd"/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Lascaux 375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and attached using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hot </w:t>
      </w:r>
      <w:r w:rsidR="008D0691" w:rsidRPr="009243C9">
        <w:rPr>
          <w:rFonts w:ascii="Times New Roman" w:hAnsi="Times New Roman" w:cs="Times New Roman"/>
          <w:sz w:val="24"/>
          <w:szCs w:val="24"/>
          <w:lang w:val="en-US"/>
        </w:rPr>
        <w:t>spatula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3CFEC6" w14:textId="0899BFA4" w:rsidR="007F6D88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444B6" w:rsidRPr="009243C9">
        <w:rPr>
          <w:rFonts w:ascii="Times New Roman" w:hAnsi="Times New Roman" w:cs="Times New Roman"/>
          <w:sz w:val="24"/>
          <w:szCs w:val="24"/>
          <w:lang w:val="en-US"/>
        </w:rPr>
        <w:t>brasion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13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the back of the canvas</w:t>
      </w:r>
      <w:r w:rsidR="0087265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caused by the previous </w:t>
      </w:r>
      <w:proofErr w:type="spellStart"/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>delinings</w:t>
      </w:r>
      <w:proofErr w:type="spellEnd"/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>had left th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>e red ground visible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several areas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the back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C440A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were consolidated </w:t>
      </w:r>
      <w:r w:rsidR="00852112" w:rsidRPr="009243C9">
        <w:rPr>
          <w:rFonts w:ascii="Times New Roman" w:hAnsi="Times New Roman" w:cs="Times New Roman"/>
          <w:sz w:val="24"/>
          <w:szCs w:val="24"/>
          <w:lang w:val="en-US"/>
        </w:rPr>
        <w:t>with an aqueous acrylic adhesive, Primal B60A</w:t>
      </w:r>
      <w:r w:rsidR="003F5381" w:rsidRPr="009243C9">
        <w:rPr>
          <w:rFonts w:ascii="Times New Roman" w:hAnsi="Times New Roman" w:cs="Times New Roman"/>
          <w:sz w:val="24"/>
          <w:szCs w:val="24"/>
          <w:lang w:val="en-US"/>
        </w:rPr>
        <w:t>. The hollow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areas were </w:t>
      </w:r>
      <w:r w:rsidR="005C440A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filled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AA1D9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D9D" w:rsidRPr="009243C9">
        <w:rPr>
          <w:rFonts w:ascii="Times New Roman" w:hAnsi="Times New Roman" w:cs="Times New Roman"/>
          <w:sz w:val="24"/>
          <w:szCs w:val="24"/>
          <w:lang w:val="en-US"/>
        </w:rPr>
        <w:t>Mow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iol</w:t>
      </w:r>
      <w:proofErr w:type="spellEnd"/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GE 4-86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, an aqueo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us polyvinyl alcohol binder, mixed with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chalk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F6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tinted with pigments to match the 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F2BA93" w14:textId="77777777" w:rsidR="002C01E1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6B5D1" w14:textId="7A056DAC" w:rsidR="003A492D" w:rsidRPr="009243C9" w:rsidRDefault="007655F3" w:rsidP="002C01E1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CA2D84" w:rsidRPr="007655F3">
        <w:rPr>
          <w:i/>
          <w:iCs w:val="0"/>
          <w:lang w:val="en-US"/>
        </w:rPr>
        <w:t>Moisture-</w:t>
      </w:r>
      <w:r w:rsidR="003F1C23" w:rsidRPr="007655F3">
        <w:rPr>
          <w:i/>
          <w:iCs w:val="0"/>
          <w:lang w:val="en-US"/>
        </w:rPr>
        <w:t>F</w:t>
      </w:r>
      <w:r w:rsidR="00C933FA" w:rsidRPr="007655F3">
        <w:rPr>
          <w:i/>
          <w:iCs w:val="0"/>
          <w:lang w:val="en-US"/>
        </w:rPr>
        <w:t xml:space="preserve">lattening </w:t>
      </w:r>
      <w:r w:rsidR="003F1C23" w:rsidRPr="007655F3">
        <w:rPr>
          <w:i/>
          <w:iCs w:val="0"/>
          <w:lang w:val="en-US"/>
        </w:rPr>
        <w:t>T</w:t>
      </w:r>
      <w:r w:rsidR="00C933FA" w:rsidRPr="007655F3">
        <w:rPr>
          <w:i/>
          <w:iCs w:val="0"/>
          <w:lang w:val="en-US"/>
        </w:rPr>
        <w:t>reatments</w:t>
      </w:r>
    </w:p>
    <w:p w14:paraId="2D79DC22" w14:textId="58FD69CD" w:rsidR="00F9050D" w:rsidRPr="009243C9" w:rsidRDefault="007F6D88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Many of the</w:t>
      </w:r>
      <w:r w:rsidR="00F313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broader </w:t>
      </w:r>
      <w:r w:rsidR="00F313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undulations 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in the canvas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disappeared with </w:t>
      </w:r>
      <w:r w:rsidR="001F18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removal of the wax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resin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but some</w:t>
      </w:r>
      <w:r w:rsidR="00F313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remained,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3CC" w:rsidRPr="009243C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95310" w:rsidRPr="009243C9">
        <w:rPr>
          <w:rFonts w:ascii="Times New Roman" w:hAnsi="Times New Roman" w:cs="Times New Roman"/>
          <w:sz w:val="24"/>
          <w:szCs w:val="24"/>
          <w:lang w:val="en-US"/>
        </w:rPr>
        <w:t>articularly in the central area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>of the picture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>The entire painting was given a flattening treatment by</w:t>
      </w:r>
      <w:r w:rsidR="00990CE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locally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moistening the back of the c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anvas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covering 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>boards an</w:t>
      </w:r>
      <w:r w:rsidR="0018401E" w:rsidRPr="009243C9">
        <w:rPr>
          <w:rFonts w:ascii="Times New Roman" w:hAnsi="Times New Roman" w:cs="Times New Roman"/>
          <w:sz w:val="24"/>
          <w:szCs w:val="24"/>
          <w:lang w:val="en-US"/>
        </w:rPr>
        <w:t>d weights while</w:t>
      </w:r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areas dried overnight. This was done section by section, starting from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CA58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working out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toward the edges.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EF4C7F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template made a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>t the outset</w:t>
      </w:r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proved 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useful in locating </w:t>
      </w:r>
      <w:r w:rsidR="00A0534D" w:rsidRPr="009243C9">
        <w:rPr>
          <w:rFonts w:ascii="Times New Roman" w:hAnsi="Times New Roman" w:cs="Times New Roman"/>
          <w:sz w:val="24"/>
          <w:szCs w:val="24"/>
          <w:lang w:val="en-US"/>
        </w:rPr>
        <w:t>specific areas of distortion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D9050E" w:rsidRPr="009243C9">
        <w:rPr>
          <w:rFonts w:ascii="Times New Roman" w:hAnsi="Times New Roman" w:cs="Times New Roman"/>
          <w:sz w:val="24"/>
          <w:szCs w:val="24"/>
          <w:lang w:val="en-US"/>
        </w:rPr>
        <w:t>uch as t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creased areas of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canvas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050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>were also moistened and massaged flat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a hot spatula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. This proved reasonably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successful. Attempts were 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made to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flatten the numerous 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>depressions in the picture surface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0B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caused by 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the fragments of old glue pressed into the paint surface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>as well as</w:t>
      </w:r>
      <w:r w:rsidR="00C627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>the mo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>ed depressions around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areas of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impasto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hese 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>treatments</w:t>
      </w:r>
      <w:r w:rsidR="00875C9A" w:rsidRPr="009243C9">
        <w:rPr>
          <w:rFonts w:ascii="Times New Roman" w:hAnsi="Times New Roman" w:cs="Times New Roman"/>
          <w:sz w:val="24"/>
          <w:szCs w:val="24"/>
          <w:lang w:val="en-US"/>
        </w:rPr>
        <w:t>, however, had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little effect</w:t>
      </w:r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02F15A" w14:textId="77777777" w:rsidR="002C01E1" w:rsidRPr="009243C9" w:rsidRDefault="002C01E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EC996" w14:textId="117F3FE2" w:rsidR="003A492D" w:rsidRPr="009243C9" w:rsidRDefault="007655F3" w:rsidP="002C01E1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b w:val="0"/>
          <w:bCs w:val="0"/>
          <w:lang w:val="en-US"/>
        </w:rPr>
        <w:t xml:space="preserve"> </w:t>
      </w:r>
      <w:r w:rsidR="004C24CE" w:rsidRPr="007655F3">
        <w:rPr>
          <w:i/>
          <w:iCs w:val="0"/>
          <w:lang w:val="en-US"/>
        </w:rPr>
        <w:t xml:space="preserve">Turning the </w:t>
      </w:r>
      <w:r w:rsidR="003F1C23" w:rsidRPr="007655F3">
        <w:rPr>
          <w:i/>
          <w:iCs w:val="0"/>
          <w:lang w:val="en-US"/>
        </w:rPr>
        <w:t>P</w:t>
      </w:r>
      <w:r w:rsidR="004C24CE" w:rsidRPr="007655F3">
        <w:rPr>
          <w:i/>
          <w:iCs w:val="0"/>
          <w:lang w:val="en-US"/>
        </w:rPr>
        <w:t xml:space="preserve">ainting </w:t>
      </w:r>
      <w:r w:rsidR="003F1C23" w:rsidRPr="007655F3">
        <w:rPr>
          <w:i/>
          <w:iCs w:val="0"/>
          <w:lang w:val="en-US"/>
        </w:rPr>
        <w:t>F</w:t>
      </w:r>
      <w:r w:rsidR="004C24CE" w:rsidRPr="007655F3">
        <w:rPr>
          <w:i/>
          <w:iCs w:val="0"/>
          <w:lang w:val="en-US"/>
        </w:rPr>
        <w:t xml:space="preserve">ace </w:t>
      </w:r>
      <w:r w:rsidR="003F1C23" w:rsidRPr="007655F3">
        <w:rPr>
          <w:i/>
          <w:iCs w:val="0"/>
          <w:lang w:val="en-US"/>
        </w:rPr>
        <w:t>U</w:t>
      </w:r>
      <w:r w:rsidR="004C24CE" w:rsidRPr="007655F3">
        <w:rPr>
          <w:i/>
          <w:iCs w:val="0"/>
          <w:lang w:val="en-US"/>
        </w:rPr>
        <w:t>p</w:t>
      </w:r>
    </w:p>
    <w:p w14:paraId="67885309" w14:textId="64CB23C8" w:rsidR="002841A3" w:rsidRPr="009243C9" w:rsidRDefault="00C02874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>he painting was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C627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>ready to be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turned face up. I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 had been planned 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 xml:space="preserve">to do 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>this by rolling the painting onto a large wooden roller</w:t>
      </w:r>
      <w:r w:rsidR="00022A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>and then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unrolling it face up. However,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given t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C627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o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f splits and </w:t>
      </w:r>
      <w:r w:rsidR="00C627B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627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amount of 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="001E0B9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>at the sides,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there was a risk 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0B92" w:rsidRPr="009243C9">
        <w:rPr>
          <w:rFonts w:ascii="Times New Roman" w:hAnsi="Times New Roman" w:cs="Times New Roman"/>
          <w:sz w:val="24"/>
          <w:szCs w:val="24"/>
          <w:lang w:val="en-US"/>
        </w:rPr>
        <w:t>hat rolling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might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cause further </w:t>
      </w:r>
      <w:r w:rsidR="0077359D">
        <w:rPr>
          <w:rFonts w:ascii="Times New Roman" w:hAnsi="Times New Roman" w:cs="Times New Roman"/>
          <w:sz w:val="24"/>
          <w:szCs w:val="24"/>
          <w:lang w:val="en-US"/>
        </w:rPr>
        <w:t>splitting</w:t>
      </w:r>
      <w:r w:rsidR="007F2B91" w:rsidRPr="009243C9">
        <w:rPr>
          <w:rFonts w:ascii="Times New Roman" w:hAnsi="Times New Roman" w:cs="Times New Roman"/>
          <w:sz w:val="24"/>
          <w:szCs w:val="24"/>
          <w:lang w:val="en-US"/>
        </w:rPr>
        <w:t>. It was theref</w:t>
      </w:r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>ore decided to adhere</w:t>
      </w:r>
      <w:r w:rsidR="00CF1E6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temporary strip lining to the</w:t>
      </w:r>
      <w:r w:rsidR="000B19C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facing at the front of the</w:t>
      </w:r>
      <w:r w:rsidR="00CF1E6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painting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E63" w:rsidRPr="009243C9">
        <w:rPr>
          <w:rFonts w:ascii="Times New Roman" w:hAnsi="Times New Roman" w:cs="Times New Roman"/>
          <w:sz w:val="24"/>
          <w:szCs w:val="24"/>
          <w:lang w:val="en-US"/>
        </w:rPr>
        <w:t>so that it could be attached to its stret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cher and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turned over. T</w:t>
      </w:r>
      <w:r w:rsidR="0048611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strip lining consisted of </w:t>
      </w:r>
      <w:proofErr w:type="spellStart"/>
      <w:r w:rsidR="00486116" w:rsidRPr="009243C9">
        <w:rPr>
          <w:rFonts w:ascii="Times New Roman" w:hAnsi="Times New Roman" w:cs="Times New Roman"/>
          <w:sz w:val="24"/>
          <w:szCs w:val="24"/>
          <w:lang w:val="en-US"/>
        </w:rPr>
        <w:t>Saatifil</w:t>
      </w:r>
      <w:proofErr w:type="spellEnd"/>
      <w:r w:rsidR="00D40BC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PES </w:t>
      </w:r>
      <w:proofErr w:type="gramStart"/>
      <w:r w:rsidR="00D40BC4" w:rsidRPr="009243C9">
        <w:rPr>
          <w:rFonts w:ascii="Times New Roman" w:hAnsi="Times New Roman" w:cs="Times New Roman"/>
          <w:sz w:val="24"/>
          <w:szCs w:val="24"/>
          <w:lang w:val="en-US"/>
        </w:rPr>
        <w:t>120/41</w:t>
      </w:r>
      <w:r w:rsidR="00486116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48611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thin polyester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adhered with</w:t>
      </w:r>
      <w:r w:rsidR="00CF1E6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27B7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C627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E63" w:rsidRPr="009243C9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2" w:name="_Hlk92896386"/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>heat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>seal</w:t>
      </w:r>
      <w:bookmarkEnd w:id="2"/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>ed with spatulas from the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back of the canvas. 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>The stretcher, fitted with a polycarbonate panel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placed ove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>r the reverse of the picture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>the strip lining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9E5A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stapled to the stretcher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611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further polycarbonate panel was slid under the front of the painting a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nd taped 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>round the back of the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stretcher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>. The painting,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stretched onto the stretcher and sandwiched between the two polycarbonate sheets</w:t>
      </w:r>
      <w:r w:rsidR="00B04703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>lift</w:t>
      </w:r>
      <w:r w:rsidR="00645D58" w:rsidRPr="009243C9">
        <w:rPr>
          <w:rFonts w:ascii="Times New Roman" w:hAnsi="Times New Roman" w:cs="Times New Roman"/>
          <w:sz w:val="24"/>
          <w:szCs w:val="24"/>
          <w:lang w:val="en-US"/>
        </w:rPr>
        <w:t>ed off the table and turned face up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onto the table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, which was</w:t>
      </w:r>
      <w:r w:rsidR="00C551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512F" w:rsidRPr="009243C9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>ed with fresh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C551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D9D" w:rsidRPr="009243C9">
        <w:rPr>
          <w:rFonts w:ascii="Times New Roman" w:hAnsi="Times New Roman" w:cs="Times New Roman"/>
          <w:sz w:val="24"/>
          <w:szCs w:val="24"/>
          <w:lang w:val="en-US"/>
        </w:rPr>
        <w:t>siliconed</w:t>
      </w:r>
      <w:proofErr w:type="spellEnd"/>
      <w:r w:rsidR="00694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8F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5512F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E66E69" w14:textId="0AB1FEF4" w:rsidR="004C24CE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stretcher, the</w:t>
      </w:r>
      <w:r w:rsidR="00ED18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temporary strip lining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18E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facings were</w:t>
      </w:r>
      <w:r w:rsidR="00291A1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>removed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88260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loss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>es in the painting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AA1D9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filled with </w:t>
      </w:r>
      <w:proofErr w:type="spellStart"/>
      <w:r w:rsidR="00AA1D9D" w:rsidRPr="009243C9">
        <w:rPr>
          <w:rFonts w:ascii="Times New Roman" w:hAnsi="Times New Roman" w:cs="Times New Roman"/>
          <w:sz w:val="24"/>
          <w:szCs w:val="24"/>
          <w:lang w:val="en-US"/>
        </w:rPr>
        <w:t>Mow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>iol</w:t>
      </w:r>
      <w:proofErr w:type="spellEnd"/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chalk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>, tinted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match 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15338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="00EC589C" w:rsidRPr="009243C9">
        <w:rPr>
          <w:rFonts w:ascii="Times New Roman" w:hAnsi="Times New Roman" w:cs="Times New Roman"/>
          <w:sz w:val="24"/>
          <w:szCs w:val="24"/>
          <w:lang w:val="en-US"/>
        </w:rPr>
        <w:t>priming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>. Following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3B49" w:rsidRPr="009243C9">
        <w:rPr>
          <w:rFonts w:ascii="Times New Roman" w:hAnsi="Times New Roman" w:cs="Times New Roman"/>
          <w:sz w:val="24"/>
          <w:szCs w:val="24"/>
          <w:lang w:val="en-US"/>
        </w:rPr>
        <w:t>ing was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slid face up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onto 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paneled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stretcher, 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>sandwiched between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polycarbonate 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2207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948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F7784" w:rsidRPr="009243C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022A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set aside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while the</w:t>
      </w:r>
      <w:r w:rsidR="003C3C6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 canvas and vacuum envelope were</w:t>
      </w:r>
      <w:r w:rsidR="002841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prepared.</w:t>
      </w:r>
      <w:r w:rsidR="008C2DE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15C28D" w14:textId="77777777" w:rsidR="00D82B8B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6B2CB" w14:textId="08D9C340" w:rsidR="004C24CE" w:rsidRPr="007655F3" w:rsidRDefault="007655F3" w:rsidP="00D82B8B">
      <w:pPr>
        <w:pStyle w:val="Heading2"/>
        <w:rPr>
          <w:i/>
          <w:iCs w:val="0"/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C24CE" w:rsidRPr="007655F3">
        <w:rPr>
          <w:i/>
          <w:iCs w:val="0"/>
          <w:lang w:val="en-US"/>
        </w:rPr>
        <w:t xml:space="preserve">Preparation of the </w:t>
      </w:r>
      <w:r w:rsidR="001E37D4" w:rsidRPr="007655F3">
        <w:rPr>
          <w:i/>
          <w:iCs w:val="0"/>
          <w:lang w:val="en-US"/>
        </w:rPr>
        <w:t>L</w:t>
      </w:r>
      <w:r w:rsidR="004C24CE" w:rsidRPr="007655F3">
        <w:rPr>
          <w:i/>
          <w:iCs w:val="0"/>
          <w:lang w:val="en-US"/>
        </w:rPr>
        <w:t xml:space="preserve">ining </w:t>
      </w:r>
      <w:r w:rsidR="001E37D4" w:rsidRPr="007655F3">
        <w:rPr>
          <w:i/>
          <w:iCs w:val="0"/>
          <w:lang w:val="en-US"/>
        </w:rPr>
        <w:t>Ca</w:t>
      </w:r>
      <w:r w:rsidR="004C24CE" w:rsidRPr="007655F3">
        <w:rPr>
          <w:i/>
          <w:iCs w:val="0"/>
          <w:lang w:val="en-US"/>
        </w:rPr>
        <w:t>nvas</w:t>
      </w:r>
    </w:p>
    <w:p w14:paraId="69A6114D" w14:textId="5EB9D3DD" w:rsidR="00F6504C" w:rsidRPr="009243C9" w:rsidRDefault="001910AD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The lining canvas</w:t>
      </w:r>
      <w:r w:rsidR="00EC589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prepared in an upper studio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as the ceiling height</w:t>
      </w:r>
      <w:r w:rsidR="004F34A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the lining studio was too low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accommodate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wooden loom. The canvas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>a single piece of linen with double warp and weft yarns</w:t>
      </w:r>
      <w:r w:rsidR="006948F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was stretched onto an expandable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loom and wetted and </w:t>
      </w:r>
      <w:proofErr w:type="spellStart"/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>prestretched</w:t>
      </w:r>
      <w:proofErr w:type="spellEnd"/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three times 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>to reduce the canvas’s potential</w:t>
      </w:r>
      <w:r w:rsidR="00EB527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shrink. The final wetting was done using a deacidifying solution of ma</w:t>
      </w:r>
      <w:r w:rsidR="008D727D" w:rsidRPr="009243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D52A5" w:rsidRPr="009243C9">
        <w:rPr>
          <w:rFonts w:ascii="Times New Roman" w:hAnsi="Times New Roman" w:cs="Times New Roman"/>
          <w:sz w:val="24"/>
          <w:szCs w:val="24"/>
          <w:lang w:val="en-US"/>
        </w:rPr>
        <w:t>nesium bicarbonate in distilled</w:t>
      </w:r>
      <w:r w:rsidR="008D727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water</w:t>
      </w:r>
      <w:r w:rsidR="007B31B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with the intention of 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improving the longevity of the lining </w:t>
      </w:r>
      <w:r w:rsidR="004F5B0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>its future removability</w:t>
      </w:r>
      <w:r w:rsidR="002C01E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E37D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C01E1" w:rsidRPr="009243C9">
        <w:rPr>
          <w:rFonts w:ascii="Times New Roman" w:hAnsi="Times New Roman" w:cs="Times New Roman"/>
          <w:sz w:val="24"/>
          <w:szCs w:val="24"/>
          <w:lang w:val="en-US"/>
        </w:rPr>
        <w:t>{Ryder 1986}</w:t>
      </w:r>
      <w:r w:rsidR="001E37D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C01E1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D727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F2A4F8" w14:textId="2F64BAC9" w:rsidR="00BC36EC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lining canvas was sized with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120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>part Lascaux 375</w:t>
      </w:r>
      <w:r w:rsidR="00022A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parts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 xml:space="preserve">mineral 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>spirit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>applied by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brush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>. This not only provide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uniform appearance at the </w:t>
      </w:r>
      <w:r w:rsidR="00121D5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back 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lining but 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also aids</w:t>
      </w:r>
      <w:r w:rsidR="009E5A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future reversibility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by ensuring that more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adhesive 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>remains stuck to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>the lining canvas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rather than to</w:t>
      </w:r>
      <w:r w:rsidR="00F6504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back of the original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>Knots in the canvas were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more read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ily removed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scalpel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after 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both sides of 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>canvas were lightly sanded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give a smooth surf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>ace before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further six coats of Lascaux 375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diluted 1:1 in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mineral</w:t>
      </w:r>
      <w:r w:rsidR="00120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>spirit,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3A492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brushed onto one side of the canvas,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>24 hours drying time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 xml:space="preserve">allowed </w:t>
      </w:r>
      <w:r w:rsidR="00AF4B79" w:rsidRPr="009243C9">
        <w:rPr>
          <w:rFonts w:ascii="Times New Roman" w:hAnsi="Times New Roman" w:cs="Times New Roman"/>
          <w:sz w:val="24"/>
          <w:szCs w:val="24"/>
          <w:lang w:val="en-US"/>
        </w:rPr>
        <w:t>between each coat. This produced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 even adhesive layer that </w:t>
      </w:r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completely </w:t>
      </w:r>
      <w:r w:rsidR="00022A3A" w:rsidRPr="009243C9">
        <w:rPr>
          <w:rFonts w:ascii="Times New Roman" w:hAnsi="Times New Roman" w:cs="Times New Roman"/>
          <w:sz w:val="24"/>
          <w:szCs w:val="24"/>
          <w:lang w:val="en-US"/>
        </w:rPr>
        <w:t>covered</w:t>
      </w:r>
      <w:r w:rsidR="00594A5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canv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as texture. 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>he Lascaux 375 adhesive was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applied to the back of the painting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120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would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>produce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 overly strong bond between the two canvases and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 xml:space="preserve">would </w:t>
      </w:r>
      <w:r w:rsidR="007A0977" w:rsidRPr="009243C9">
        <w:rPr>
          <w:rFonts w:ascii="Times New Roman" w:hAnsi="Times New Roman" w:cs="Times New Roman"/>
          <w:sz w:val="24"/>
          <w:szCs w:val="24"/>
          <w:lang w:val="en-US"/>
        </w:rPr>
        <w:t>impair the future removal of the lining.</w:t>
      </w:r>
    </w:p>
    <w:p w14:paraId="51AF8A72" w14:textId="391D5647" w:rsidR="002B11D6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he linin</w:t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>g canvas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removed from the loom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rolle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>d onto a wooden roller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which was then</w:t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taken to the lining 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studio.</w:t>
      </w:r>
      <w:r w:rsidR="00E12B5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83A1DC" w14:textId="77777777" w:rsidR="00D82B8B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5F14C6" w14:textId="6FE6BF3A" w:rsidR="007962A8" w:rsidRPr="009243C9" w:rsidRDefault="007655F3" w:rsidP="00D82B8B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7962A8" w:rsidRPr="007655F3">
        <w:rPr>
          <w:i/>
          <w:iCs w:val="0"/>
          <w:lang w:val="en-US"/>
        </w:rPr>
        <w:t xml:space="preserve">Construction of the </w:t>
      </w:r>
      <w:r w:rsidR="001E37D4" w:rsidRPr="007655F3">
        <w:rPr>
          <w:i/>
          <w:iCs w:val="0"/>
          <w:lang w:val="en-US"/>
        </w:rPr>
        <w:t>V</w:t>
      </w:r>
      <w:r w:rsidR="007962A8" w:rsidRPr="007655F3">
        <w:rPr>
          <w:i/>
          <w:iCs w:val="0"/>
          <w:lang w:val="en-US"/>
        </w:rPr>
        <w:t xml:space="preserve">acuum </w:t>
      </w:r>
      <w:r w:rsidR="001E37D4" w:rsidRPr="007655F3">
        <w:rPr>
          <w:i/>
          <w:iCs w:val="0"/>
          <w:lang w:val="en-US"/>
        </w:rPr>
        <w:t>E</w:t>
      </w:r>
      <w:r w:rsidR="007962A8" w:rsidRPr="007655F3">
        <w:rPr>
          <w:i/>
          <w:iCs w:val="0"/>
          <w:lang w:val="en-US"/>
        </w:rPr>
        <w:t>nvelope</w:t>
      </w:r>
    </w:p>
    <w:p w14:paraId="18ACD636" w14:textId="05602207" w:rsidR="003554B7" w:rsidRPr="009243C9" w:rsidRDefault="00E6768F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he vacuum envel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consisted of three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lower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sheets of thic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taped together with 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good-qual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ity </w:t>
      </w:r>
      <w:r w:rsidR="00120D88">
        <w:rPr>
          <w:rFonts w:ascii="Times New Roman" w:hAnsi="Times New Roman" w:cs="Times New Roman"/>
          <w:sz w:val="24"/>
          <w:szCs w:val="24"/>
          <w:lang w:val="en-US"/>
        </w:rPr>
        <w:t>cellophane tape</w:t>
      </w:r>
      <w:r w:rsidR="00120D8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covered wit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h overlapping sheets of silicon-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coated </w:t>
      </w:r>
      <w:proofErr w:type="spellStart"/>
      <w:r w:rsidR="00F45C5E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120D88">
        <w:rPr>
          <w:rFonts w:ascii="Times New Roman" w:hAnsi="Times New Roman" w:cs="Times New Roman"/>
          <w:sz w:val="24"/>
          <w:szCs w:val="24"/>
          <w:lang w:val="en-US"/>
        </w:rPr>
        <w:t>, which were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taped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the edges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 the thick </w:t>
      </w:r>
      <w:proofErr w:type="spellStart"/>
      <w:r w:rsidR="00F45C5E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4F34A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4" w:history="1">
        <w:r w:rsidR="009243C9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1E37D4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4F34A1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5</w:t>
        </w:r>
      </w:hyperlink>
      <w:r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lining canvas was 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rolled on top of the </w:t>
      </w:r>
      <w:proofErr w:type="gramStart"/>
      <w:r w:rsidR="00187079" w:rsidRPr="009243C9">
        <w:rPr>
          <w:rFonts w:ascii="Times New Roman" w:hAnsi="Times New Roman" w:cs="Times New Roman"/>
          <w:sz w:val="24"/>
          <w:szCs w:val="24"/>
          <w:lang w:val="en-US"/>
        </w:rPr>
        <w:t>silicon</w:t>
      </w:r>
      <w:r w:rsidR="00F45C5E" w:rsidRPr="009243C9">
        <w:rPr>
          <w:rFonts w:ascii="Times New Roman" w:hAnsi="Times New Roman" w:cs="Times New Roman"/>
          <w:sz w:val="24"/>
          <w:szCs w:val="24"/>
          <w:lang w:val="en-US"/>
        </w:rPr>
        <w:t>-coated</w:t>
      </w:r>
      <w:proofErr w:type="gramEnd"/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5C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with the adhesive layer face up,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and t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>he painting was then positi</w:t>
      </w:r>
      <w:r w:rsidR="009E5A9A" w:rsidRPr="009243C9">
        <w:rPr>
          <w:rFonts w:ascii="Times New Roman" w:hAnsi="Times New Roman" w:cs="Times New Roman"/>
          <w:sz w:val="24"/>
          <w:szCs w:val="24"/>
          <w:lang w:val="en-US"/>
        </w:rPr>
        <w:t>oned on top of the lining adhesive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A286C5" w14:textId="761008CE" w:rsidR="0037279F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>The same loom used in the preparat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ion of the lining canvas was 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>positioned around the edges. The two long sides of the loom were reinforc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>ed with wooden strips to prevent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121D5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bowing when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materials were stretched onto it</w:t>
      </w:r>
      <w:r w:rsidR="00C02874" w:rsidRPr="009243C9">
        <w:rPr>
          <w:rFonts w:ascii="Times New Roman" w:hAnsi="Times New Roman" w:cs="Times New Roman"/>
          <w:sz w:val="24"/>
          <w:szCs w:val="24"/>
          <w:lang w:val="en-US"/>
        </w:rPr>
        <w:t>, and h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>oles were</w:t>
      </w:r>
      <w:r w:rsidR="00121D5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drilled through the short sides of the loom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accommodate the tubing</w:t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later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connected to the 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>vacuum pumps</w:t>
      </w:r>
      <w:r w:rsidR="004F5B0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2033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5" w:history="1">
        <w:r w:rsidR="009243C9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1E37D4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. </w:t>
        </w:r>
        <w:r w:rsidR="009243C9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8.</w:t>
        </w:r>
        <w:r w:rsidR="004F34A1" w:rsidRPr="001E37D4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5</w:t>
        </w:r>
      </w:hyperlink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191367" w14:textId="36E5320A" w:rsidR="0042463B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>The lining canvas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first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stretched onto the loom using</w:t>
      </w:r>
      <w:r w:rsidR="002B11D6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staples. 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thick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also stapled to the loom th</w:t>
      </w:r>
      <w:r w:rsidR="00771A5A" w:rsidRPr="009243C9">
        <w:rPr>
          <w:rFonts w:ascii="Times New Roman" w:hAnsi="Times New Roman" w:cs="Times New Roman"/>
          <w:sz w:val="24"/>
          <w:szCs w:val="24"/>
          <w:lang w:val="en-US"/>
        </w:rPr>
        <w:t>rough a layer of tape to stop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2207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from tearing</w:t>
      </w:r>
      <w:r w:rsidR="00E6768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>and t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staples were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cover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ed with more tape to prevent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air </w:t>
      </w:r>
      <w:r w:rsidR="00DA576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leakage from within the envelope.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The loom was lightly keyed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out at the corners so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that the lining canvas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 reasonably taut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0A161B" w14:textId="707B5DFA" w:rsidR="003554B7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Strips of </w:t>
      </w:r>
      <w:proofErr w:type="spellStart"/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>sil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>coned</w:t>
      </w:r>
      <w:proofErr w:type="spellEnd"/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>inex</w:t>
      </w:r>
      <w:proofErr w:type="spellEnd"/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 taped arou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nd the edges of the picture to stop the exposed areas of Lascaux 375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the edges of the painting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sticking to the top</w:t>
      </w:r>
      <w:r w:rsidR="00797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shee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 of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when the adhesive was heated</w:t>
      </w:r>
      <w:r w:rsidR="004F5B0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2033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6" w:history="1">
        <w:r w:rsidR="009243C9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F21BA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4F34A1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5</w:t>
        </w:r>
      </w:hyperlink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>. This enabled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extraction of air from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central areas of the picture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ensured that the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entire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painting could be maintained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under vacuum pressure</w:t>
      </w:r>
      <w:r w:rsidR="007962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throughout the lining process.  </w:t>
      </w:r>
    </w:p>
    <w:p w14:paraId="29FEF2C9" w14:textId="5D2479EC" w:rsidR="00854EDE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The air extraction system consisted of plastic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plumbing pipes dri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>lled with holes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regular intervals</w:t>
      </w:r>
      <w:r w:rsidR="00C933F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832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plac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ed around the edge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of the picture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F65C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positioned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on top of canvas webbing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urther aid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extraction of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air</w:t>
      </w:r>
      <w:r w:rsidR="004F5B0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2033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7" w:history="1">
        <w:r w:rsidR="009243C9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F21BA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4F34A1" w:rsidRPr="002F21BA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5</w:t>
        </w:r>
      </w:hyperlink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>he t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ubes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connecti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>ng the pipework to the pumps were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inse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rted </w:t>
      </w:r>
      <w:r w:rsidR="00D74C7E" w:rsidRPr="009243C9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hole at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752A2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end of the loom</w:t>
      </w:r>
      <w:r w:rsidR="00854ED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sealed in place with</w:t>
      </w:r>
      <w:r w:rsidR="0042463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silicon sealant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050E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B4CEEE" w14:textId="188FCD93" w:rsidR="00225C3D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2D84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top sheet of thinner </w:t>
      </w:r>
      <w:proofErr w:type="spellStart"/>
      <w:r w:rsidR="00F45C5E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71A5A" w:rsidRPr="009243C9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sheets taped together, 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was placed over the </w:t>
      </w:r>
      <w:proofErr w:type="gramStart"/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pictu</w:t>
      </w:r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gramEnd"/>
      <w:r w:rsidR="00DA2EB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taped to the top of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loom</w:t>
      </w:r>
      <w:r w:rsidR="00D75A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>Previously, t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he wooden keys in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corners had been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covered with foam, and t</w:t>
      </w:r>
      <w:r w:rsidR="00F418C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edges of the loom rounded, </w:t>
      </w:r>
      <w:proofErr w:type="gramStart"/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avoid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any sharp edges inside the envelope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might tear the thin </w:t>
      </w:r>
      <w:proofErr w:type="spellStart"/>
      <w:r w:rsidR="002207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when under vacuum. </w:t>
      </w:r>
    </w:p>
    <w:p w14:paraId="177345FF" w14:textId="7B0B1677" w:rsidR="00921529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Apart from</w:t>
      </w:r>
      <w:r w:rsidR="009E5A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its size and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air extraction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system, 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construction of the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envelope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did not differ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significantly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from th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pres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>ented by Gerry Hedley, Stephen H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ackney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Alan Cummings at the Greenw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ich lining conference in 1974</w:t>
      </w:r>
      <w:r w:rsidR="002C01E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2F2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C01E1" w:rsidRPr="009243C9">
        <w:rPr>
          <w:rFonts w:ascii="Times New Roman" w:hAnsi="Times New Roman" w:cs="Times New Roman"/>
          <w:sz w:val="24"/>
          <w:szCs w:val="24"/>
          <w:lang w:val="en-US"/>
        </w:rPr>
        <w:t>Hedley, Hackney, and Cummings 2003}</w:t>
      </w:r>
      <w:r w:rsidR="002F21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C01E1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. As they discovered, t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rigidity of the underlying thick </w:t>
      </w:r>
      <w:proofErr w:type="spellStart"/>
      <w:r w:rsidR="002207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is important in preven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ting areas of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impasto and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surface distortions</w:t>
      </w:r>
      <w:r w:rsidR="00D75A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the painting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from be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centered</w:t>
      </w:r>
      <w:r w:rsidR="00752A2E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or partially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pushed out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the back of the</w:t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lining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2C49B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under vacuum. </w:t>
      </w:r>
      <w:r w:rsidR="000D06A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5110B1" w14:textId="2306F0D1" w:rsidR="00CD2D34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pumps were not fitted with</w:t>
      </w:r>
      <w:r w:rsidR="00D75A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pressure gauges</w:t>
      </w:r>
      <w:r w:rsidR="00296B2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75AE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three holes were dril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led int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 the 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>tubing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both ends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introduce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6B2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air 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leakage and</w:t>
      </w:r>
      <w:r w:rsidR="00771A5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thereby</w:t>
      </w:r>
      <w:r w:rsidR="00F624D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reduction in pressure.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This number 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of holes was sufficient</w:t>
      </w:r>
      <w:r w:rsidR="00F624D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allow the top layer of </w:t>
      </w:r>
      <w:proofErr w:type="spellStart"/>
      <w:r w:rsidR="006240D7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24D3" w:rsidRPr="009243C9">
        <w:rPr>
          <w:rFonts w:ascii="Times New Roman" w:hAnsi="Times New Roman" w:cs="Times New Roman"/>
          <w:sz w:val="24"/>
          <w:szCs w:val="24"/>
          <w:lang w:val="en-US"/>
        </w:rPr>
        <w:t>elinex</w:t>
      </w:r>
      <w:proofErr w:type="spellEnd"/>
      <w:r w:rsidR="00F624D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be comfortably pushed away from the paint surface.</w:t>
      </w:r>
    </w:p>
    <w:p w14:paraId="4E25D845" w14:textId="77777777" w:rsidR="00D82B8B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FA33F7" w14:textId="18E216A2" w:rsidR="00CD2D34" w:rsidRPr="009243C9" w:rsidRDefault="007655F3" w:rsidP="00D82B8B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4C24CE" w:rsidRPr="009243C9">
        <w:rPr>
          <w:lang w:val="en-US"/>
        </w:rPr>
        <w:t xml:space="preserve">The </w:t>
      </w:r>
      <w:r w:rsidR="002F21BA">
        <w:rPr>
          <w:lang w:val="en-US"/>
        </w:rPr>
        <w:t>R</w:t>
      </w:r>
      <w:r w:rsidR="004C24CE" w:rsidRPr="009243C9">
        <w:rPr>
          <w:lang w:val="en-US"/>
        </w:rPr>
        <w:t>elining</w:t>
      </w:r>
    </w:p>
    <w:p w14:paraId="75A84027" w14:textId="5A1AA1F8" w:rsidR="00D72933" w:rsidRPr="009243C9" w:rsidRDefault="00F624D3" w:rsidP="002C01E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A large</w:t>
      </w:r>
      <w:r w:rsidR="006A0E5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Willard Multi-purpose Low Pressure T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a surface area of 4</w:t>
      </w:r>
      <w:r w:rsidR="006757E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632D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57E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757E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04B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was used as the heat source. 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he painting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being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larger than the table</w:t>
      </w:r>
      <w:r w:rsidR="00225C3D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had to be heated in two stages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. H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eating one half of the </w:t>
      </w:r>
      <w:r w:rsidR="003554B7" w:rsidRPr="009243C9">
        <w:rPr>
          <w:rFonts w:ascii="Times New Roman" w:hAnsi="Times New Roman" w:cs="Times New Roman"/>
          <w:sz w:val="24"/>
          <w:szCs w:val="24"/>
          <w:lang w:val="en-US"/>
        </w:rPr>
        <w:t>painting while the other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remains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cool presents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problem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, however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>: a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>s the fir</w:t>
      </w:r>
      <w:r w:rsidR="00F519CD" w:rsidRPr="009243C9">
        <w:rPr>
          <w:rFonts w:ascii="Times New Roman" w:hAnsi="Times New Roman" w:cs="Times New Roman"/>
          <w:sz w:val="24"/>
          <w:szCs w:val="24"/>
          <w:lang w:val="en-US"/>
        </w:rPr>
        <w:t>st section is heated</w:t>
      </w:r>
      <w:r w:rsidR="006757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envelope and the materials inside it expand, 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519CD" w:rsidRPr="009243C9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can c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>ause undulations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betwe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>en the heated and unheated areas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Several means were used to obviate this: </w:t>
      </w:r>
    </w:p>
    <w:p w14:paraId="52B20590" w14:textId="7FBE4FE7" w:rsidR="009855C9" w:rsidRPr="009243C9" w:rsidRDefault="00F519CD" w:rsidP="0077359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unheated section was warmed with domestic 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="009331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>blankets covered with foil to retain the heat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>This achieved a temperature of around 32°C on the picture surface.</w:t>
      </w:r>
    </w:p>
    <w:p w14:paraId="128C46A6" w14:textId="7A6E5985" w:rsidR="009855C9" w:rsidRPr="009243C9" w:rsidRDefault="00F519CD" w:rsidP="0077359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>our fan heaters were placed under the envelope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pointing upward</w:t>
      </w:r>
      <w:r w:rsidR="006757E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toward</w:t>
      </w:r>
      <w:r w:rsidR="00D7293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edge of the lining table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>This ga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ve a temperature of 38</w:t>
      </w:r>
      <w:r w:rsidR="006757E9" w:rsidRPr="009243C9">
        <w:rPr>
          <w:rFonts w:ascii="Times New Roman" w:hAnsi="Times New Roman" w:cs="Times New Roman"/>
          <w:sz w:val="24"/>
          <w:szCs w:val="24"/>
          <w:lang w:val="en-US"/>
        </w:rPr>
        <w:t>°C</w:t>
      </w:r>
      <w:r w:rsidR="006757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40°C on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the area of the painting above</w:t>
      </w:r>
      <w:r w:rsidR="009855C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edge of the table.</w:t>
      </w:r>
    </w:p>
    <w:p w14:paraId="2A7EFFE9" w14:textId="5C514177" w:rsidR="009855C9" w:rsidRPr="009243C9" w:rsidRDefault="00F519CD" w:rsidP="0077359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centimeter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-thick strip of </w:t>
      </w:r>
      <w:proofErr w:type="spellStart"/>
      <w:r w:rsidR="006757E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>lastazote</w:t>
      </w:r>
      <w:proofErr w:type="spellEnd"/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>foam was taped along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edge of the table to raise the envelope away from the tabletop</w:t>
      </w:r>
      <w:r w:rsidR="00E23C7F" w:rsidRPr="009243C9">
        <w:rPr>
          <w:rFonts w:ascii="Times New Roman" w:hAnsi="Times New Roman" w:cs="Times New Roman"/>
          <w:sz w:val="24"/>
          <w:szCs w:val="24"/>
          <w:lang w:val="en-US"/>
        </w:rPr>
        <w:t>, to create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 air gap that wou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>ld reduce the temperature at this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point.</w:t>
      </w:r>
      <w:r w:rsidR="003A61C3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2C4A8F" w14:textId="01136F57" w:rsidR="00EA2035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19CD" w:rsidRPr="009243C9">
        <w:rPr>
          <w:rFonts w:ascii="Times New Roman" w:hAnsi="Times New Roman" w:cs="Times New Roman"/>
          <w:sz w:val="24"/>
          <w:szCs w:val="24"/>
          <w:lang w:val="en-US"/>
        </w:rPr>
        <w:t>The envelope was moved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onto the</w:t>
      </w:r>
      <w:r w:rsidR="007D51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9C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Willard </w:t>
      </w:r>
      <w:r w:rsidR="007D51A8" w:rsidRPr="009243C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F519C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t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9331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half 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overhanging 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>not on the table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supported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adjustable props</w:t>
      </w:r>
      <w:r w:rsidR="004F34A1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8" w:history="1">
        <w:r w:rsidR="009243C9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632DC6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4F34A1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6</w:t>
        </w:r>
      </w:hyperlink>
      <w:r w:rsidR="004F5B01" w:rsidRPr="009243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>. For half an hour b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efore the table was heated the vacuum pumps were 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>running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>at full strength, with all the holes in the tubing</w:t>
      </w:r>
      <w:r w:rsidR="00FF65C4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covered with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5C4" w:rsidRPr="009243C9">
        <w:rPr>
          <w:rFonts w:ascii="Times New Roman" w:hAnsi="Times New Roman" w:cs="Times New Roman"/>
          <w:sz w:val="24"/>
          <w:szCs w:val="24"/>
          <w:lang w:val="en-US"/>
        </w:rPr>
        <w:t>tape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>. This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ensure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that any air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trapped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between the lining canvas and painting was extracted.</w:t>
      </w:r>
    </w:p>
    <w:p w14:paraId="6F3543A3" w14:textId="6DE42C80" w:rsidR="00903BD7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hole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 in the tubing were then </w:t>
      </w:r>
      <w:proofErr w:type="spellStart"/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>untap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 pressure reduced. The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table’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 heaters, </w:t>
      </w:r>
      <w:r w:rsidR="00D3546F" w:rsidRPr="009243C9">
        <w:rPr>
          <w:rFonts w:ascii="Times New Roman" w:hAnsi="Times New Roman" w:cs="Times New Roman"/>
          <w:sz w:val="24"/>
          <w:szCs w:val="24"/>
          <w:lang w:val="en-US"/>
        </w:rPr>
        <w:t>set at 70°C</w:t>
      </w:r>
      <w:r w:rsidR="00921529" w:rsidRPr="009243C9">
        <w:rPr>
          <w:rFonts w:ascii="Times New Roman" w:hAnsi="Times New Roman" w:cs="Times New Roman"/>
          <w:sz w:val="24"/>
          <w:szCs w:val="24"/>
          <w:lang w:val="en-US"/>
        </w:rPr>
        <w:t>, were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switched on</w:t>
      </w:r>
      <w:r w:rsidR="00FF65C4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a</w:t>
      </w:r>
      <w:r w:rsidR="00D3546F" w:rsidRPr="009243C9">
        <w:rPr>
          <w:rFonts w:ascii="Times New Roman" w:hAnsi="Times New Roman" w:cs="Times New Roman"/>
          <w:sz w:val="24"/>
          <w:szCs w:val="24"/>
          <w:lang w:val="en-US"/>
        </w:rPr>
        <w:t>t around 45°C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temperature at which the adhesive begins to soften, local</w:t>
      </w:r>
      <w:r w:rsidR="009744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areas of </w:t>
      </w:r>
      <w:r w:rsidR="00BE6AF9" w:rsidRPr="009243C9">
        <w:rPr>
          <w:rFonts w:ascii="Times New Roman" w:hAnsi="Times New Roman" w:cs="Times New Roman"/>
          <w:sz w:val="24"/>
          <w:szCs w:val="24"/>
          <w:lang w:val="en-US"/>
        </w:rPr>
        <w:t>the painting were treated</w:t>
      </w:r>
      <w:r w:rsidR="009744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h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ot spatulas to 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improve</w:t>
      </w:r>
      <w:r w:rsidR="009744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small 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remaining </w:t>
      </w:r>
      <w:r w:rsidR="0097446A" w:rsidRPr="009243C9">
        <w:rPr>
          <w:rFonts w:ascii="Times New Roman" w:hAnsi="Times New Roman" w:cs="Times New Roman"/>
          <w:sz w:val="24"/>
          <w:szCs w:val="24"/>
          <w:lang w:val="en-US"/>
        </w:rPr>
        <w:t>surface distortions.</w:t>
      </w:r>
      <w:r w:rsidR="00D3546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>The temperature at the top sur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>face was independently mo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>nitored with thermocouples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691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o</w:t>
      </w:r>
      <w:r w:rsidR="00D3546F" w:rsidRPr="009243C9">
        <w:rPr>
          <w:rFonts w:ascii="Times New Roman" w:hAnsi="Times New Roman" w:cs="Times New Roman"/>
          <w:sz w:val="24"/>
          <w:szCs w:val="24"/>
          <w:lang w:val="en-US"/>
        </w:rPr>
        <w:t>nce these had reached 68°C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A203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envelope was 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lifted off 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>the table and the second half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>hen positioned</w:t>
      </w:r>
      <w:r w:rsidR="00F95ADB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 slight overlap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between the two sections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The electric blankets were </w:t>
      </w:r>
      <w:proofErr w:type="gramStart"/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removed</w:t>
      </w:r>
      <w:proofErr w:type="gramEnd"/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 foil placed over the already heated section. </w:t>
      </w:r>
    </w:p>
    <w:p w14:paraId="6970AF6F" w14:textId="2F994CB4" w:rsidR="00944758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Despite </w:t>
      </w:r>
      <w:r w:rsidR="00BE6AF9" w:rsidRPr="009243C9">
        <w:rPr>
          <w:rFonts w:ascii="Times New Roman" w:hAnsi="Times New Roman" w:cs="Times New Roman"/>
          <w:sz w:val="24"/>
          <w:szCs w:val="24"/>
          <w:lang w:val="en-US"/>
        </w:rPr>
        <w:t>the measures used to prevent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undulations</w:t>
      </w:r>
      <w:r w:rsidR="00903BD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from occurring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these did begin to appear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BE6AF9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disappeared 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instantly </w:t>
      </w:r>
      <w:r w:rsidR="00944758" w:rsidRPr="009243C9">
        <w:rPr>
          <w:rFonts w:ascii="Times New Roman" w:hAnsi="Times New Roman" w:cs="Times New Roman"/>
          <w:sz w:val="24"/>
          <w:szCs w:val="24"/>
          <w:lang w:val="en-US"/>
        </w:rPr>
        <w:t>when the props at the unheated end were raised</w:t>
      </w:r>
      <w:r w:rsidR="00771A5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increasing the air gap between the envelope and the edge of the table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thereby reducing the temperature</w:t>
      </w:r>
      <w:r w:rsidR="008B259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at this point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0732D5" w14:textId="7D0C0D89" w:rsidR="0097446A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30DD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entire painting had been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heated</w:t>
      </w:r>
      <w:r w:rsidR="00030DD8" w:rsidRPr="009243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it was</w:t>
      </w:r>
      <w:r w:rsidR="00F936E7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carried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>, still</w:t>
      </w:r>
      <w:r w:rsidR="009E5A9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under vacuum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, to a large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A362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where it</w:t>
      </w:r>
      <w:r w:rsidR="0097446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cooled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within </w:t>
      </w:r>
      <w:r w:rsidR="00632DC6">
        <w:rPr>
          <w:rFonts w:ascii="Times New Roman" w:hAnsi="Times New Roman" w:cs="Times New Roman"/>
          <w:sz w:val="24"/>
          <w:szCs w:val="24"/>
          <w:lang w:val="en-US"/>
        </w:rPr>
        <w:t>fifteen</w:t>
      </w:r>
      <w:r w:rsidR="009331A8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36EC" w:rsidRPr="009243C9">
        <w:rPr>
          <w:rFonts w:ascii="Times New Roman" w:hAnsi="Times New Roman" w:cs="Times New Roman"/>
          <w:sz w:val="24"/>
          <w:szCs w:val="24"/>
          <w:lang w:val="en-US"/>
        </w:rPr>
        <w:t>minutes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. The envelope was dismantled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 following day the painting was </w:t>
      </w:r>
      <w:proofErr w:type="spellStart"/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>restretched</w:t>
      </w:r>
      <w:proofErr w:type="spellEnd"/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4567" w:rsidRPr="009243C9">
        <w:rPr>
          <w:rFonts w:ascii="Times New Roman" w:hAnsi="Times New Roman" w:cs="Times New Roman"/>
          <w:sz w:val="24"/>
          <w:szCs w:val="24"/>
          <w:lang w:val="en-US"/>
        </w:rPr>
        <w:t>onto its existing stretcher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using c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>opper tacks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the keys 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>secured</w:t>
      </w:r>
      <w:r w:rsidR="00B63B3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B6757F7" w14:textId="77777777" w:rsidR="00D82B8B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35D25E" w14:textId="33EAE3BF" w:rsidR="007907B0" w:rsidRPr="009243C9" w:rsidRDefault="007655F3" w:rsidP="00D82B8B">
      <w:pPr>
        <w:pStyle w:val="Heading1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7907B0" w:rsidRPr="009243C9">
        <w:rPr>
          <w:lang w:val="en-US"/>
        </w:rPr>
        <w:t>Conclusion</w:t>
      </w:r>
    </w:p>
    <w:p w14:paraId="39D45ACF" w14:textId="5670666B" w:rsidR="00197430" w:rsidRPr="009243C9" w:rsidRDefault="00FF65C4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>he treatment did much to improve the surface appearance of the painting by removing the lumps and undulations</w:t>
      </w:r>
      <w:r w:rsidR="00BD52A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created by the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1952</w:t>
      </w:r>
      <w:r w:rsidR="00BD52A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wax relining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>and also</w:t>
      </w:r>
      <w:proofErr w:type="gramEnd"/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provided a more durable support for the picture than had been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previously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achieved</w:t>
      </w:r>
      <w:r w:rsidR="00197430" w:rsidRPr="009243C9">
        <w:rPr>
          <w:rFonts w:ascii="Times New Roman" w:hAnsi="Times New Roman" w:cs="Times New Roman"/>
          <w:sz w:val="24"/>
          <w:szCs w:val="24"/>
          <w:lang w:val="en-US"/>
        </w:rPr>
        <w:t>. Although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improvements</w:t>
      </w:r>
      <w:r w:rsidR="0019743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made to the </w:t>
      </w:r>
      <w:r w:rsidR="0019743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raised 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>crease</w:t>
      </w:r>
      <w:r w:rsidR="00197430" w:rsidRPr="009243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19743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were a result of Morrill’s second relining</w:t>
      </w:r>
      <w:r w:rsidR="006A341A" w:rsidRPr="009243C9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197430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flattened and moated areas of im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pasto remained unchanged.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After the relining had been completed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the painting was retouched and revarnished before 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9331A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to display</w:t>
      </w:r>
      <w:r w:rsidR="00BD52A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in Room 31</w:t>
      </w:r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9" w:history="1">
        <w:r w:rsidR="009243C9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632DC6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9243C9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8.</w:t>
        </w:r>
        <w:r w:rsidR="00712F02" w:rsidRPr="00632DC6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7</w:t>
        </w:r>
      </w:hyperlink>
      <w:r w:rsidR="00712F02" w:rsidRPr="009243C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2AC77F0" w14:textId="77777777" w:rsidR="00712F02" w:rsidRPr="009243C9" w:rsidRDefault="00712F02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8209A1" w14:textId="0DD52723" w:rsidR="00D644A7" w:rsidRDefault="007655F3" w:rsidP="00D82B8B">
      <w:pPr>
        <w:pStyle w:val="Heading1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712F02" w:rsidRPr="009243C9">
        <w:rPr>
          <w:lang w:val="en-US"/>
        </w:rPr>
        <w:t>Acknowledgments</w:t>
      </w:r>
    </w:p>
    <w:p w14:paraId="10B83E5B" w14:textId="395B0911" w:rsidR="00E34E31" w:rsidRPr="009243C9" w:rsidRDefault="00712F02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The National Gallery is grateful to the Getty Foundation for its generous support of the relining of the van Dyck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enabled the participation of seven conservators from the UK and abroad. </w:t>
      </w:r>
      <w:proofErr w:type="gramStart"/>
      <w:r w:rsidRPr="009243C9">
        <w:rPr>
          <w:rFonts w:ascii="Times New Roman" w:hAnsi="Times New Roman" w:cs="Times New Roman"/>
          <w:sz w:val="24"/>
          <w:szCs w:val="24"/>
          <w:lang w:val="en-US"/>
        </w:rPr>
        <w:t>Thanks</w:t>
      </w:r>
      <w:proofErr w:type="gram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are also due to the participants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Gerrit Albertson (Metropolitan Museum, New York)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Francesca Bettini (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Opificio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delle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Pietre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Dure, Florence)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Eva and Lucia Martinez (Museo del Prado, Madrid)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Luigi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Orata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(private conservator, Florence)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Camille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Polkownik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(Royal Collection Trust, London)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Lisette Vos (Rijksmuseum, Amsterdam)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also </w:t>
      </w:r>
      <w:r w:rsidR="00DC39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my colleagues in the Conservation Department</w:t>
      </w:r>
      <w:r w:rsidR="00DC39E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who assisted at various times throughout the project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, particularly Lynne Harrison and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Juraj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Grac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3CECDF" w14:textId="77777777" w:rsidR="00BD52A5" w:rsidRPr="009243C9" w:rsidRDefault="00BD52A5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7E940" w14:textId="462717EA" w:rsidR="00F85B1D" w:rsidRPr="009243C9" w:rsidRDefault="007655F3" w:rsidP="00D82B8B">
      <w:pPr>
        <w:pStyle w:val="Heading1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&lt;A-head&gt;</w:t>
      </w:r>
      <w:r>
        <w:rPr>
          <w:lang w:val="en-US"/>
        </w:rPr>
        <w:t xml:space="preserve"> </w:t>
      </w:r>
      <w:r w:rsidR="00BD52A5" w:rsidRPr="009243C9">
        <w:rPr>
          <w:lang w:val="en-US"/>
        </w:rPr>
        <w:t>Appendix</w:t>
      </w:r>
      <w:r w:rsidR="0077359D">
        <w:rPr>
          <w:lang w:val="en-US"/>
        </w:rPr>
        <w:t>: Treatment Details</w:t>
      </w:r>
    </w:p>
    <w:p w14:paraId="3FD4CFF4" w14:textId="77777777" w:rsidR="00D82B8B" w:rsidRPr="007655F3" w:rsidRDefault="00D82B8B" w:rsidP="002C01E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64BFBBF" w14:textId="25AE4E60" w:rsidR="00FC772F" w:rsidRDefault="007655F3" w:rsidP="00632DC6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E34E31" w:rsidRPr="007655F3">
        <w:rPr>
          <w:i/>
          <w:iCs w:val="0"/>
          <w:lang w:val="en-US"/>
        </w:rPr>
        <w:t xml:space="preserve">Materials </w:t>
      </w:r>
    </w:p>
    <w:p w14:paraId="068FDE7C" w14:textId="1AAD52BE" w:rsidR="00E34E31" w:rsidRPr="009243C9" w:rsidRDefault="00E34E31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Eltoline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tissue</w:t>
      </w:r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>long fib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red 100% manila </w:t>
      </w:r>
      <w:r w:rsidR="002207B6" w:rsidRPr="009243C9">
        <w:rPr>
          <w:rFonts w:ascii="Times New Roman" w:hAnsi="Times New Roman" w:cs="Times New Roman"/>
          <w:sz w:val="24"/>
          <w:szCs w:val="24"/>
          <w:lang w:val="en-US"/>
        </w:rPr>
        <w:t>fibers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with good we</w:t>
      </w:r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strength</w:t>
      </w:r>
    </w:p>
    <w:p w14:paraId="5856DFFC" w14:textId="39A4E4F1" w:rsidR="00F85B1D" w:rsidRPr="009243C9" w:rsidRDefault="008D79FF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Resin 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Evo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Stik 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ood </w:t>
      </w:r>
      <w:r w:rsidR="00EB42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>dhesive, Bostik Ltd., UK</w:t>
      </w:r>
    </w:p>
    <w:p w14:paraId="17DBB572" w14:textId="77777777" w:rsidR="004F3BF6" w:rsidRPr="009243C9" w:rsidRDefault="004F3BF6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Saatifil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PES 120/41: Preservation Equipment Ltd., Diss, Norfolk IP22 4HQ, UK</w:t>
      </w:r>
    </w:p>
    <w:p w14:paraId="62CC834B" w14:textId="5877CE3C" w:rsidR="004F3BF6" w:rsidRPr="009243C9" w:rsidRDefault="004F3BF6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Lascaux Heat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-S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eal Adhesive 375: A.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P. Fitzpatrick Fine Art Materials, London E1 5QJ, UK</w:t>
      </w:r>
    </w:p>
    <w:p w14:paraId="5AD5CCE1" w14:textId="072FC47E" w:rsidR="004F3BF6" w:rsidRPr="009243C9" w:rsidRDefault="004F3BF6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Linen lining canvas with double warp and weft threads available in 4.2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m roll widths: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Claessens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Canvas, 8790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Waregem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>, Belgium</w:t>
      </w:r>
    </w:p>
    <w:p w14:paraId="5721BE83" w14:textId="31A31F5F" w:rsidR="00F85B1D" w:rsidRPr="009243C9" w:rsidRDefault="00AA1D9D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92969672"/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Mow</w:t>
      </w:r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>iol</w:t>
      </w:r>
      <w:proofErr w:type="spellEnd"/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3"/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GE 4-86: </w:t>
      </w:r>
      <w:r w:rsidR="00F85B1D" w:rsidRPr="009243C9">
        <w:rPr>
          <w:rFonts w:ascii="Times New Roman" w:hAnsi="Times New Roman" w:cs="Times New Roman"/>
          <w:sz w:val="24"/>
          <w:szCs w:val="24"/>
          <w:lang w:val="en-US"/>
        </w:rPr>
        <w:t>polyvinyl alcohol, Kuraray Europe GmbH</w:t>
      </w:r>
    </w:p>
    <w:p w14:paraId="44967B36" w14:textId="019BBE54" w:rsidR="00FC4AFA" w:rsidRPr="009243C9" w:rsidRDefault="00FC4AFA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Stabiltex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o longer commercially available</w:t>
      </w:r>
    </w:p>
    <w:p w14:paraId="66023149" w14:textId="77777777" w:rsidR="00D82B8B" w:rsidRPr="009243C9" w:rsidRDefault="00D82B8B" w:rsidP="002C01E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605E" w14:textId="317094EB" w:rsidR="00D82B8B" w:rsidRPr="009243C9" w:rsidRDefault="007655F3" w:rsidP="00632DC6">
      <w:pPr>
        <w:pStyle w:val="Heading2"/>
        <w:rPr>
          <w:lang w:val="en-US"/>
        </w:rPr>
      </w:pPr>
      <w:r w:rsidRPr="007655F3">
        <w:rPr>
          <w:b w:val="0"/>
          <w:bCs w:val="0"/>
          <w:highlight w:val="yellow"/>
          <w:lang w:val="en-US"/>
        </w:rPr>
        <w:t>&lt;B-head&gt;</w:t>
      </w:r>
      <w:r>
        <w:rPr>
          <w:lang w:val="en-US"/>
        </w:rPr>
        <w:t xml:space="preserve"> </w:t>
      </w:r>
      <w:r w:rsidR="00F85B1D" w:rsidRPr="007655F3">
        <w:rPr>
          <w:i/>
          <w:iCs w:val="0"/>
          <w:lang w:val="en-US"/>
        </w:rPr>
        <w:t>Recipes</w:t>
      </w:r>
    </w:p>
    <w:p w14:paraId="43CC0D51" w14:textId="339E8245" w:rsidR="00F85B1D" w:rsidRPr="009243C9" w:rsidRDefault="00F85B1D" w:rsidP="000C1250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Wax-resin facing adhesive made from dammar resin and beeswax: 340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g beeswax/1700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ml dammar varnish (454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g resin/280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ml white spirit)/850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ml 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 xml:space="preserve">mineral 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spirit</w:t>
      </w:r>
    </w:p>
    <w:p w14:paraId="0627B1EC" w14:textId="6B6FC2E3" w:rsidR="00226E82" w:rsidRPr="009243C9" w:rsidRDefault="00226E82" w:rsidP="000C1250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lastRenderedPageBreak/>
        <w:t>Wheat starch facing adhesive made from 25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g wheat starch/100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ml distilled water/25</w:t>
      </w:r>
      <w:r w:rsidR="001C43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ml sturgeon glue (10% solution in distilled water)</w:t>
      </w:r>
    </w:p>
    <w:p w14:paraId="3BE167E0" w14:textId="0ECC8EE4" w:rsidR="00F85B1D" w:rsidRPr="009243C9" w:rsidRDefault="00F85B1D" w:rsidP="000C1250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C9">
        <w:rPr>
          <w:rFonts w:ascii="Times New Roman" w:hAnsi="Times New Roman" w:cs="Times New Roman"/>
          <w:sz w:val="24"/>
          <w:szCs w:val="24"/>
          <w:lang w:val="en-US"/>
        </w:rPr>
        <w:t>Deacidifying solution of magnesium carbonate in distilled water: 8.8</w:t>
      </w:r>
      <w:r w:rsidR="00624A3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g magnesium carbonate/1000</w:t>
      </w:r>
      <w:r w:rsidR="00624A3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ml distilled water prepared in a domestic soda syphon in which two carbon d</w:t>
      </w:r>
      <w:r w:rsidR="00BD52A5" w:rsidRPr="009243C9">
        <w:rPr>
          <w:rFonts w:ascii="Times New Roman" w:hAnsi="Times New Roman" w:cs="Times New Roman"/>
          <w:sz w:val="24"/>
          <w:szCs w:val="24"/>
          <w:lang w:val="en-US"/>
        </w:rPr>
        <w:t>ioxide capsules were discharged to form a</w:t>
      </w:r>
      <w:r w:rsidR="00766306" w:rsidRPr="009243C9">
        <w:rPr>
          <w:rFonts w:ascii="Times New Roman" w:hAnsi="Times New Roman" w:cs="Times New Roman"/>
          <w:sz w:val="24"/>
          <w:szCs w:val="24"/>
          <w:lang w:val="en-US"/>
        </w:rPr>
        <w:t>n aqueous</w:t>
      </w:r>
      <w:r w:rsidR="00BD52A5"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solution of magnesium bicarbonate</w:t>
      </w:r>
    </w:p>
    <w:p w14:paraId="20E3EF85" w14:textId="55AEFCA1" w:rsidR="008B15CB" w:rsidRPr="009243C9" w:rsidRDefault="00F85B1D" w:rsidP="00632DC6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24A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iol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and chalk filler: 240</w:t>
      </w:r>
      <w:r w:rsidR="00624A3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9243C9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24A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43C9">
        <w:rPr>
          <w:rFonts w:ascii="Times New Roman" w:hAnsi="Times New Roman" w:cs="Times New Roman"/>
          <w:sz w:val="24"/>
          <w:szCs w:val="24"/>
          <w:lang w:val="en-US"/>
        </w:rPr>
        <w:t>iol</w:t>
      </w:r>
      <w:proofErr w:type="spellEnd"/>
      <w:r w:rsidRPr="009243C9">
        <w:rPr>
          <w:rFonts w:ascii="Times New Roman" w:hAnsi="Times New Roman" w:cs="Times New Roman"/>
          <w:sz w:val="24"/>
          <w:szCs w:val="24"/>
          <w:lang w:val="en-US"/>
        </w:rPr>
        <w:t xml:space="preserve"> GE </w:t>
      </w:r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>4-86/1000</w:t>
      </w:r>
      <w:r w:rsidR="00624A3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D79FF" w:rsidRPr="009243C9">
        <w:rPr>
          <w:rFonts w:ascii="Times New Roman" w:hAnsi="Times New Roman" w:cs="Times New Roman"/>
          <w:sz w:val="24"/>
          <w:szCs w:val="24"/>
          <w:lang w:val="en-US"/>
        </w:rPr>
        <w:t>ml water with enough chalk and pigment to produce a stiff paste</w:t>
      </w:r>
    </w:p>
    <w:sectPr w:rsidR="008B15CB" w:rsidRPr="009243C9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1AF4" w14:textId="77777777" w:rsidR="009C3F74" w:rsidRDefault="009C3F74" w:rsidP="00733D8E">
      <w:pPr>
        <w:spacing w:after="0" w:line="240" w:lineRule="auto"/>
      </w:pPr>
      <w:r>
        <w:separator/>
      </w:r>
    </w:p>
  </w:endnote>
  <w:endnote w:type="continuationSeparator" w:id="0">
    <w:p w14:paraId="38862FA6" w14:textId="77777777" w:rsidR="009C3F74" w:rsidRDefault="009C3F74" w:rsidP="0073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5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2132C" w14:textId="77777777" w:rsidR="003D42DA" w:rsidRDefault="003D4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D9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1D65C45" w14:textId="77777777" w:rsidR="003D42DA" w:rsidRDefault="003D4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67D0" w14:textId="77777777" w:rsidR="009C3F74" w:rsidRDefault="009C3F74" w:rsidP="00733D8E">
      <w:pPr>
        <w:spacing w:after="0" w:line="240" w:lineRule="auto"/>
      </w:pPr>
      <w:r>
        <w:separator/>
      </w:r>
    </w:p>
  </w:footnote>
  <w:footnote w:type="continuationSeparator" w:id="0">
    <w:p w14:paraId="54AEF51D" w14:textId="77777777" w:rsidR="009C3F74" w:rsidRDefault="009C3F74" w:rsidP="00733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6BFC"/>
    <w:multiLevelType w:val="hybridMultilevel"/>
    <w:tmpl w:val="D86C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4761"/>
    <w:multiLevelType w:val="hybridMultilevel"/>
    <w:tmpl w:val="C39E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861779"/>
    <w:multiLevelType w:val="hybridMultilevel"/>
    <w:tmpl w:val="4524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25795">
    <w:abstractNumId w:val="3"/>
  </w:num>
  <w:num w:numId="2" w16cid:durableId="344402562">
    <w:abstractNumId w:val="1"/>
  </w:num>
  <w:num w:numId="3" w16cid:durableId="1118988872">
    <w:abstractNumId w:val="2"/>
  </w:num>
  <w:num w:numId="4" w16cid:durableId="69029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A71"/>
    <w:rsid w:val="00022A3A"/>
    <w:rsid w:val="00030DD8"/>
    <w:rsid w:val="0004109B"/>
    <w:rsid w:val="00045B2A"/>
    <w:rsid w:val="000549C3"/>
    <w:rsid w:val="000959CD"/>
    <w:rsid w:val="000963B3"/>
    <w:rsid w:val="000A2B00"/>
    <w:rsid w:val="000B19C2"/>
    <w:rsid w:val="000C1250"/>
    <w:rsid w:val="000D06A3"/>
    <w:rsid w:val="000D73AA"/>
    <w:rsid w:val="000E695F"/>
    <w:rsid w:val="000F3B49"/>
    <w:rsid w:val="001065CE"/>
    <w:rsid w:val="00120D88"/>
    <w:rsid w:val="00121D59"/>
    <w:rsid w:val="00125BE3"/>
    <w:rsid w:val="00130D79"/>
    <w:rsid w:val="00143F05"/>
    <w:rsid w:val="001444B6"/>
    <w:rsid w:val="00147675"/>
    <w:rsid w:val="0015338D"/>
    <w:rsid w:val="001560DF"/>
    <w:rsid w:val="00157139"/>
    <w:rsid w:val="00161CC9"/>
    <w:rsid w:val="0018401E"/>
    <w:rsid w:val="00187079"/>
    <w:rsid w:val="001910AD"/>
    <w:rsid w:val="00192258"/>
    <w:rsid w:val="00197430"/>
    <w:rsid w:val="001B5294"/>
    <w:rsid w:val="001C12A2"/>
    <w:rsid w:val="001C23DD"/>
    <w:rsid w:val="001C4369"/>
    <w:rsid w:val="001D53B8"/>
    <w:rsid w:val="001E0B92"/>
    <w:rsid w:val="001E361E"/>
    <w:rsid w:val="001E37D4"/>
    <w:rsid w:val="001E77D5"/>
    <w:rsid w:val="001F183A"/>
    <w:rsid w:val="00220339"/>
    <w:rsid w:val="002207B6"/>
    <w:rsid w:val="00225C3D"/>
    <w:rsid w:val="00226E82"/>
    <w:rsid w:val="00234257"/>
    <w:rsid w:val="00235A49"/>
    <w:rsid w:val="00245485"/>
    <w:rsid w:val="00261633"/>
    <w:rsid w:val="0027199D"/>
    <w:rsid w:val="002753C2"/>
    <w:rsid w:val="00283202"/>
    <w:rsid w:val="002841A3"/>
    <w:rsid w:val="00291A17"/>
    <w:rsid w:val="00296B21"/>
    <w:rsid w:val="002B11D6"/>
    <w:rsid w:val="002C01E1"/>
    <w:rsid w:val="002C49B7"/>
    <w:rsid w:val="002F21BA"/>
    <w:rsid w:val="003038A3"/>
    <w:rsid w:val="003554B7"/>
    <w:rsid w:val="00360A28"/>
    <w:rsid w:val="0037279F"/>
    <w:rsid w:val="003774B1"/>
    <w:rsid w:val="00380DF6"/>
    <w:rsid w:val="00381A81"/>
    <w:rsid w:val="003951A1"/>
    <w:rsid w:val="003A0802"/>
    <w:rsid w:val="003A2752"/>
    <w:rsid w:val="003A492D"/>
    <w:rsid w:val="003A61C3"/>
    <w:rsid w:val="003C3C66"/>
    <w:rsid w:val="003D0C3B"/>
    <w:rsid w:val="003D42DA"/>
    <w:rsid w:val="003D6ED8"/>
    <w:rsid w:val="003E1184"/>
    <w:rsid w:val="003E74FC"/>
    <w:rsid w:val="003F123A"/>
    <w:rsid w:val="003F1C23"/>
    <w:rsid w:val="003F5381"/>
    <w:rsid w:val="003F77F0"/>
    <w:rsid w:val="004027EE"/>
    <w:rsid w:val="004039CE"/>
    <w:rsid w:val="00417EE8"/>
    <w:rsid w:val="00423417"/>
    <w:rsid w:val="0042463B"/>
    <w:rsid w:val="00447FC7"/>
    <w:rsid w:val="00450222"/>
    <w:rsid w:val="00450911"/>
    <w:rsid w:val="00451D1B"/>
    <w:rsid w:val="00454B48"/>
    <w:rsid w:val="004766A3"/>
    <w:rsid w:val="00486116"/>
    <w:rsid w:val="00490EE4"/>
    <w:rsid w:val="0049505E"/>
    <w:rsid w:val="004C24CE"/>
    <w:rsid w:val="004C71D6"/>
    <w:rsid w:val="004F0160"/>
    <w:rsid w:val="004F1029"/>
    <w:rsid w:val="004F34A1"/>
    <w:rsid w:val="004F3BF6"/>
    <w:rsid w:val="004F5B01"/>
    <w:rsid w:val="005152A9"/>
    <w:rsid w:val="005234E7"/>
    <w:rsid w:val="00524739"/>
    <w:rsid w:val="005430AD"/>
    <w:rsid w:val="005542CB"/>
    <w:rsid w:val="00557465"/>
    <w:rsid w:val="00573436"/>
    <w:rsid w:val="005763CE"/>
    <w:rsid w:val="005801F3"/>
    <w:rsid w:val="00594A5F"/>
    <w:rsid w:val="005B5FEB"/>
    <w:rsid w:val="005C440A"/>
    <w:rsid w:val="005D7CC6"/>
    <w:rsid w:val="006076E0"/>
    <w:rsid w:val="00617A73"/>
    <w:rsid w:val="006240D7"/>
    <w:rsid w:val="00624A3C"/>
    <w:rsid w:val="00632DC6"/>
    <w:rsid w:val="00645BDE"/>
    <w:rsid w:val="00645D58"/>
    <w:rsid w:val="00660BEB"/>
    <w:rsid w:val="00662E56"/>
    <w:rsid w:val="0066561A"/>
    <w:rsid w:val="006717A1"/>
    <w:rsid w:val="006757E9"/>
    <w:rsid w:val="00675C98"/>
    <w:rsid w:val="00684CAB"/>
    <w:rsid w:val="006904BD"/>
    <w:rsid w:val="006908F6"/>
    <w:rsid w:val="006948FA"/>
    <w:rsid w:val="006A0E53"/>
    <w:rsid w:val="006A2CB9"/>
    <w:rsid w:val="006A341A"/>
    <w:rsid w:val="006B150C"/>
    <w:rsid w:val="006D4926"/>
    <w:rsid w:val="006E0510"/>
    <w:rsid w:val="006E0F6B"/>
    <w:rsid w:val="006F6C96"/>
    <w:rsid w:val="00701E48"/>
    <w:rsid w:val="00712F02"/>
    <w:rsid w:val="007169ED"/>
    <w:rsid w:val="0073002B"/>
    <w:rsid w:val="00733D8E"/>
    <w:rsid w:val="007352D7"/>
    <w:rsid w:val="00752A2E"/>
    <w:rsid w:val="00762501"/>
    <w:rsid w:val="007655F3"/>
    <w:rsid w:val="00766306"/>
    <w:rsid w:val="00771A5A"/>
    <w:rsid w:val="0077359D"/>
    <w:rsid w:val="00777939"/>
    <w:rsid w:val="0078529C"/>
    <w:rsid w:val="007907B0"/>
    <w:rsid w:val="007962A8"/>
    <w:rsid w:val="00797B1D"/>
    <w:rsid w:val="007A0977"/>
    <w:rsid w:val="007B0E58"/>
    <w:rsid w:val="007B2076"/>
    <w:rsid w:val="007B31BE"/>
    <w:rsid w:val="007D193B"/>
    <w:rsid w:val="007D51A8"/>
    <w:rsid w:val="007E5178"/>
    <w:rsid w:val="007E56EA"/>
    <w:rsid w:val="007F2B91"/>
    <w:rsid w:val="007F6D88"/>
    <w:rsid w:val="007F7784"/>
    <w:rsid w:val="008015B8"/>
    <w:rsid w:val="008108D7"/>
    <w:rsid w:val="00834C65"/>
    <w:rsid w:val="00843657"/>
    <w:rsid w:val="00852112"/>
    <w:rsid w:val="0085240C"/>
    <w:rsid w:val="00854EDE"/>
    <w:rsid w:val="008613C9"/>
    <w:rsid w:val="0087265E"/>
    <w:rsid w:val="00875C9A"/>
    <w:rsid w:val="00882603"/>
    <w:rsid w:val="008A13F4"/>
    <w:rsid w:val="008B15CB"/>
    <w:rsid w:val="008B2597"/>
    <w:rsid w:val="008C2DE0"/>
    <w:rsid w:val="008C53B0"/>
    <w:rsid w:val="008D0691"/>
    <w:rsid w:val="008D3B29"/>
    <w:rsid w:val="008D727D"/>
    <w:rsid w:val="008D79FF"/>
    <w:rsid w:val="008E21EA"/>
    <w:rsid w:val="008E4567"/>
    <w:rsid w:val="00903BD7"/>
    <w:rsid w:val="009170BB"/>
    <w:rsid w:val="00921529"/>
    <w:rsid w:val="009243C9"/>
    <w:rsid w:val="009331A8"/>
    <w:rsid w:val="00944758"/>
    <w:rsid w:val="00954213"/>
    <w:rsid w:val="0097446A"/>
    <w:rsid w:val="00977C2D"/>
    <w:rsid w:val="00982CC4"/>
    <w:rsid w:val="00985061"/>
    <w:rsid w:val="009855C9"/>
    <w:rsid w:val="00990CE9"/>
    <w:rsid w:val="00997EEB"/>
    <w:rsid w:val="009A1FFE"/>
    <w:rsid w:val="009C3F74"/>
    <w:rsid w:val="009E2715"/>
    <w:rsid w:val="009E5A9A"/>
    <w:rsid w:val="009E7C3C"/>
    <w:rsid w:val="009F53E2"/>
    <w:rsid w:val="00A0534D"/>
    <w:rsid w:val="00A12F1F"/>
    <w:rsid w:val="00A16B7B"/>
    <w:rsid w:val="00A4020A"/>
    <w:rsid w:val="00A43143"/>
    <w:rsid w:val="00A602BE"/>
    <w:rsid w:val="00A702C2"/>
    <w:rsid w:val="00A87D01"/>
    <w:rsid w:val="00A933FE"/>
    <w:rsid w:val="00A973A3"/>
    <w:rsid w:val="00AA1D9D"/>
    <w:rsid w:val="00AA3FDE"/>
    <w:rsid w:val="00AA53A9"/>
    <w:rsid w:val="00AB4C41"/>
    <w:rsid w:val="00AB6271"/>
    <w:rsid w:val="00AD03CD"/>
    <w:rsid w:val="00AD145A"/>
    <w:rsid w:val="00AE1284"/>
    <w:rsid w:val="00AF4B79"/>
    <w:rsid w:val="00AF6E2F"/>
    <w:rsid w:val="00AF7338"/>
    <w:rsid w:val="00B02171"/>
    <w:rsid w:val="00B04703"/>
    <w:rsid w:val="00B076DF"/>
    <w:rsid w:val="00B10D4C"/>
    <w:rsid w:val="00B22724"/>
    <w:rsid w:val="00B515B7"/>
    <w:rsid w:val="00B535AB"/>
    <w:rsid w:val="00B57A7B"/>
    <w:rsid w:val="00B60026"/>
    <w:rsid w:val="00B63B3A"/>
    <w:rsid w:val="00B645DD"/>
    <w:rsid w:val="00B64F3B"/>
    <w:rsid w:val="00B7316A"/>
    <w:rsid w:val="00BB7DED"/>
    <w:rsid w:val="00BC094A"/>
    <w:rsid w:val="00BC36EC"/>
    <w:rsid w:val="00BD52A5"/>
    <w:rsid w:val="00BE6AF9"/>
    <w:rsid w:val="00C02874"/>
    <w:rsid w:val="00C1499A"/>
    <w:rsid w:val="00C156EA"/>
    <w:rsid w:val="00C15956"/>
    <w:rsid w:val="00C16A71"/>
    <w:rsid w:val="00C17595"/>
    <w:rsid w:val="00C5451C"/>
    <w:rsid w:val="00C5512F"/>
    <w:rsid w:val="00C627B7"/>
    <w:rsid w:val="00C86FDA"/>
    <w:rsid w:val="00C87C8C"/>
    <w:rsid w:val="00C933FA"/>
    <w:rsid w:val="00C95310"/>
    <w:rsid w:val="00CA1D9B"/>
    <w:rsid w:val="00CA2D84"/>
    <w:rsid w:val="00CA5803"/>
    <w:rsid w:val="00CC3358"/>
    <w:rsid w:val="00CD2D34"/>
    <w:rsid w:val="00CE5C17"/>
    <w:rsid w:val="00CF0BC1"/>
    <w:rsid w:val="00CF1E63"/>
    <w:rsid w:val="00D3546F"/>
    <w:rsid w:val="00D37958"/>
    <w:rsid w:val="00D40BC4"/>
    <w:rsid w:val="00D47D17"/>
    <w:rsid w:val="00D51513"/>
    <w:rsid w:val="00D644A7"/>
    <w:rsid w:val="00D72933"/>
    <w:rsid w:val="00D72E5C"/>
    <w:rsid w:val="00D74C7E"/>
    <w:rsid w:val="00D75AE2"/>
    <w:rsid w:val="00D80373"/>
    <w:rsid w:val="00D80F0F"/>
    <w:rsid w:val="00D81FE2"/>
    <w:rsid w:val="00D82B8B"/>
    <w:rsid w:val="00D86769"/>
    <w:rsid w:val="00D9050E"/>
    <w:rsid w:val="00D92F0D"/>
    <w:rsid w:val="00D975C8"/>
    <w:rsid w:val="00DA2EB9"/>
    <w:rsid w:val="00DA576B"/>
    <w:rsid w:val="00DB1504"/>
    <w:rsid w:val="00DB60BF"/>
    <w:rsid w:val="00DC3939"/>
    <w:rsid w:val="00DC39E5"/>
    <w:rsid w:val="00DF514E"/>
    <w:rsid w:val="00E003B9"/>
    <w:rsid w:val="00E12B5D"/>
    <w:rsid w:val="00E23C7F"/>
    <w:rsid w:val="00E27A9C"/>
    <w:rsid w:val="00E3311A"/>
    <w:rsid w:val="00E34E31"/>
    <w:rsid w:val="00E35616"/>
    <w:rsid w:val="00E44E01"/>
    <w:rsid w:val="00E5777E"/>
    <w:rsid w:val="00E6768F"/>
    <w:rsid w:val="00E85745"/>
    <w:rsid w:val="00E91E87"/>
    <w:rsid w:val="00E94DFC"/>
    <w:rsid w:val="00EA2035"/>
    <w:rsid w:val="00EA3DA8"/>
    <w:rsid w:val="00EB4255"/>
    <w:rsid w:val="00EB42BA"/>
    <w:rsid w:val="00EB527B"/>
    <w:rsid w:val="00EC589C"/>
    <w:rsid w:val="00ED18E8"/>
    <w:rsid w:val="00EF4C7F"/>
    <w:rsid w:val="00EF6D93"/>
    <w:rsid w:val="00F024DD"/>
    <w:rsid w:val="00F313CC"/>
    <w:rsid w:val="00F418CC"/>
    <w:rsid w:val="00F451CE"/>
    <w:rsid w:val="00F45C5E"/>
    <w:rsid w:val="00F514F6"/>
    <w:rsid w:val="00F519CD"/>
    <w:rsid w:val="00F610A0"/>
    <w:rsid w:val="00F624D3"/>
    <w:rsid w:val="00F63808"/>
    <w:rsid w:val="00F6504C"/>
    <w:rsid w:val="00F85B1D"/>
    <w:rsid w:val="00F87FE5"/>
    <w:rsid w:val="00F9050D"/>
    <w:rsid w:val="00F91F79"/>
    <w:rsid w:val="00F936E7"/>
    <w:rsid w:val="00F95ADB"/>
    <w:rsid w:val="00F972B2"/>
    <w:rsid w:val="00FA362F"/>
    <w:rsid w:val="00FB361F"/>
    <w:rsid w:val="00FB5C3F"/>
    <w:rsid w:val="00FC4AFA"/>
    <w:rsid w:val="00FC691C"/>
    <w:rsid w:val="00FC7361"/>
    <w:rsid w:val="00FC772F"/>
    <w:rsid w:val="00FD3C0B"/>
    <w:rsid w:val="00FE70FD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EBF2"/>
  <w15:docId w15:val="{F7DDB6D3-1F39-427B-954F-42C80AC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E1"/>
    <w:pPr>
      <w:spacing w:line="48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1E1"/>
    <w:pPr>
      <w:spacing w:after="0" w:line="480" w:lineRule="auto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8E"/>
  </w:style>
  <w:style w:type="paragraph" w:styleId="Footer">
    <w:name w:val="footer"/>
    <w:basedOn w:val="Normal"/>
    <w:link w:val="FooterChar"/>
    <w:uiPriority w:val="99"/>
    <w:unhideWhenUsed/>
    <w:rsid w:val="0073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8E"/>
  </w:style>
  <w:style w:type="paragraph" w:styleId="EndnoteText">
    <w:name w:val="endnote text"/>
    <w:basedOn w:val="Normal"/>
    <w:link w:val="EndnoteTextChar"/>
    <w:uiPriority w:val="99"/>
    <w:semiHidden/>
    <w:unhideWhenUsed/>
    <w:rsid w:val="006656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56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56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0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66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01E1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01E1"/>
    <w:rPr>
      <w:rFonts w:ascii="Times New Roman" w:hAnsi="Times New Roman" w:cs="Times New Roman"/>
      <w:b/>
      <w:bCs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82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8-Ackroyd/fig-8-1" TargetMode="External"/><Relationship Id="rId13" Type="http://schemas.openxmlformats.org/officeDocument/2006/relationships/hyperlink" Target="file:///Users/RBarth/Desktop/Finalized%20files-Conserving-Canvas--72122-to%20prep%20for%20TR/8-Ackroyd/fig-8-3" TargetMode="External"/><Relationship Id="rId18" Type="http://schemas.openxmlformats.org/officeDocument/2006/relationships/hyperlink" Target="file:///Users/RBarth/Desktop/Finalized%20files-Conserving-Canvas--72122-to%20prep%20for%20TR/8-Ackroyd/fig-8-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8-Ackroyd/fig-8-2" TargetMode="External"/><Relationship Id="rId17" Type="http://schemas.openxmlformats.org/officeDocument/2006/relationships/hyperlink" Target="file:///Users/RBarth/Desktop/Finalized%20files-Conserving-Canvas--72122-to%20prep%20for%20TR/8-Ackroyd/fig-8-5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ers/RBarth/Desktop/Finalized%20files-Conserving-Canvas--72122-to%20prep%20for%20TR/8-Ackroyd/fig-8-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nalized%20files-Conserving-Canvas--72122-to%20prep%20for%20TR/8-Ackroyd/fig-8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nalized%20files-Conserving-Canvas--72122-to%20prep%20for%20TR/8-Ackroyd/fig-8-5" TargetMode="External"/><Relationship Id="rId10" Type="http://schemas.openxmlformats.org/officeDocument/2006/relationships/hyperlink" Target="file:///Users/RBarth/Desktop/Finalized%20files-Conserving-Canvas--72122-to%20prep%20for%20TR/8-Ackroyd/fig-8-3" TargetMode="External"/><Relationship Id="rId19" Type="http://schemas.openxmlformats.org/officeDocument/2006/relationships/hyperlink" Target="file:///Users/RBarth/Desktop/Finalized%20files-Conserving-Canvas--72122-to%20prep%20for%20TR/8-Ackroyd/fig-8-7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8-Ackroyd/fig-8-2" TargetMode="External"/><Relationship Id="rId14" Type="http://schemas.openxmlformats.org/officeDocument/2006/relationships/hyperlink" Target="file:///Users/RBarth/Desktop/Finalized%20files-Conserving-Canvas--72122-to%20prep%20for%20TR/8-Ackroyd/fig-8-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7CC9C-AB93-4B45-9C91-BCA7874D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4016</Words>
  <Characters>22895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Ackroyd</dc:creator>
  <cp:lastModifiedBy>Rachel Barth</cp:lastModifiedBy>
  <cp:revision>4</cp:revision>
  <dcterms:created xsi:type="dcterms:W3CDTF">2022-08-16T19:44:00Z</dcterms:created>
  <dcterms:modified xsi:type="dcterms:W3CDTF">2022-09-05T02:36:00Z</dcterms:modified>
</cp:coreProperties>
</file>