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88F3" w14:textId="63277B5C" w:rsidR="004B17D8" w:rsidRPr="00D9427B" w:rsidRDefault="004B17D8" w:rsidP="004B17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9427B">
        <w:rPr>
          <w:rFonts w:ascii="Times New Roman" w:hAnsi="Times New Roman" w:cs="Times New Roman"/>
          <w:sz w:val="24"/>
          <w:szCs w:val="24"/>
        </w:rPr>
        <w:t>label: "3"</w:t>
      </w:r>
    </w:p>
    <w:p w14:paraId="3B6D5BA4" w14:textId="47BFD736" w:rsidR="004B17D8" w:rsidRPr="00D9427B" w:rsidRDefault="004B17D8" w:rsidP="00C60D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27B">
        <w:rPr>
          <w:rFonts w:ascii="Times New Roman" w:hAnsi="Times New Roman" w:cs="Times New Roman"/>
          <w:sz w:val="24"/>
          <w:szCs w:val="24"/>
          <w:lang w:val="en-US"/>
        </w:rPr>
        <w:t>title: To Treat or Not to Treat</w:t>
      </w:r>
      <w:r w:rsidR="00917CC2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>That Is the Question</w:t>
      </w:r>
    </w:p>
    <w:p w14:paraId="5B40AB59" w14:textId="70D0226A" w:rsidR="004B17D8" w:rsidRPr="00D9427B" w:rsidRDefault="004B17D8" w:rsidP="00C60D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27B">
        <w:rPr>
          <w:rFonts w:ascii="Times New Roman" w:hAnsi="Times New Roman" w:cs="Times New Roman"/>
          <w:sz w:val="24"/>
          <w:szCs w:val="24"/>
          <w:lang w:val="en-US"/>
        </w:rPr>
        <w:t>subtitle: Structural Treatment of Canvas Paintings from a Danish Perspective</w:t>
      </w:r>
    </w:p>
    <w:p w14:paraId="5AFA6473" w14:textId="77777777" w:rsidR="004B17D8" w:rsidRPr="00D9427B" w:rsidRDefault="004B17D8" w:rsidP="004B17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9427B">
        <w:rPr>
          <w:rFonts w:ascii="Times New Roman" w:hAnsi="Times New Roman" w:cs="Times New Roman"/>
          <w:sz w:val="24"/>
          <w:szCs w:val="24"/>
        </w:rPr>
        <w:t>contributor:</w:t>
      </w:r>
    </w:p>
    <w:p w14:paraId="52EC77ED" w14:textId="11B66C88" w:rsidR="004B17D8" w:rsidRPr="00D9427B" w:rsidRDefault="004B17D8" w:rsidP="004B17D8">
      <w:pPr>
        <w:pStyle w:val="ListParagraph"/>
        <w:numPr>
          <w:ilvl w:val="0"/>
          <w:numId w:val="1"/>
        </w:numPr>
        <w:spacing w:after="160" w:line="252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9427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427B">
        <w:rPr>
          <w:rFonts w:ascii="Times New Roman" w:hAnsi="Times New Roman" w:cs="Times New Roman"/>
          <w:sz w:val="24"/>
          <w:szCs w:val="24"/>
        </w:rPr>
        <w:t>: Mikkel</w:t>
      </w:r>
    </w:p>
    <w:p w14:paraId="54C1AB5E" w14:textId="7F2C6CEF" w:rsidR="004B17D8" w:rsidRPr="00D9427B" w:rsidRDefault="004B17D8" w:rsidP="004B17D8">
      <w:pPr>
        <w:pStyle w:val="ListParagraph"/>
        <w:spacing w:after="160" w:line="252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9427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427B">
        <w:rPr>
          <w:rFonts w:ascii="Times New Roman" w:hAnsi="Times New Roman" w:cs="Times New Roman"/>
          <w:sz w:val="24"/>
          <w:szCs w:val="24"/>
        </w:rPr>
        <w:t>: Scharff</w:t>
      </w:r>
    </w:p>
    <w:p w14:paraId="24D8210C" w14:textId="28237015" w:rsidR="004B17D8" w:rsidRPr="00D9427B" w:rsidRDefault="004B17D8" w:rsidP="004B17D8">
      <w:pPr>
        <w:pStyle w:val="ListParagraph"/>
        <w:spacing w:after="160" w:line="252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9427B">
        <w:rPr>
          <w:rFonts w:ascii="Times New Roman" w:hAnsi="Times New Roman" w:cs="Times New Roman"/>
          <w:sz w:val="24"/>
          <w:szCs w:val="24"/>
        </w:rPr>
        <w:t>title:</w:t>
      </w:r>
      <w:r w:rsidR="00EC780A" w:rsidRPr="00D9427B">
        <w:rPr>
          <w:rFonts w:ascii="Times New Roman" w:hAnsi="Times New Roman" w:cs="Times New Roman"/>
          <w:sz w:val="24"/>
          <w:szCs w:val="24"/>
        </w:rPr>
        <w:t xml:space="preserve"> Associate Professor</w:t>
      </w:r>
    </w:p>
    <w:p w14:paraId="1278926B" w14:textId="7FD3D4BE" w:rsidR="004B17D8" w:rsidRPr="00D9427B" w:rsidRDefault="004B17D8" w:rsidP="00860E93">
      <w:pPr>
        <w:pStyle w:val="ListParagraph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D9427B">
        <w:rPr>
          <w:rFonts w:ascii="Times New Roman" w:hAnsi="Times New Roman" w:cs="Times New Roman"/>
          <w:sz w:val="24"/>
          <w:szCs w:val="24"/>
        </w:rPr>
        <w:t>affiliation: Institute of Conservation, The Royal Danish Academy</w:t>
      </w:r>
    </w:p>
    <w:p w14:paraId="2CC1400A" w14:textId="0F046730" w:rsidR="004B17D8" w:rsidRPr="00D9427B" w:rsidRDefault="004B17D8" w:rsidP="00860E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27B">
        <w:rPr>
          <w:rFonts w:ascii="Times New Roman" w:eastAsia="Calibri" w:hAnsi="Times New Roman" w:cs="Times New Roman"/>
          <w:sz w:val="24"/>
          <w:szCs w:val="24"/>
          <w:lang w:val="en-US"/>
        </w:rPr>
        <w:t>abstract:</w:t>
      </w:r>
      <w:r w:rsidR="00860E93" w:rsidRPr="00D9427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paper discusses the situation in Denmark before the Greenwich conference on lining of canvas paintings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how the subsequent period of 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>fifteen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>twenty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years was filled with curiosity, eagerness to try out new ways and ideas, testing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methods and materials, contemplating failures, building 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>new and glorious equipment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longing for better understanding of treatments and the structural </w:t>
      </w:r>
      <w:r w:rsidR="007F5842" w:rsidRPr="00D9427B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of the paintings. In the 1990s</w:t>
      </w:r>
      <w:r w:rsidR="00E95D07" w:rsidRPr="00D942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the focus gradually changed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Interventions became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>more limited, techniques and material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>d changed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development of 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>treatment methods and materials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was deemphasized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better understanding of the structural </w:t>
      </w:r>
      <w:r w:rsidR="007F5842" w:rsidRPr="00D9427B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of canvas painting and its consequences</w:t>
      </w:r>
      <w:r w:rsidR="00864F00"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came to the forefront</w:t>
      </w:r>
      <w:r w:rsidRPr="00D9427B">
        <w:rPr>
          <w:rFonts w:ascii="Times New Roman" w:hAnsi="Times New Roman" w:cs="Times New Roman"/>
          <w:sz w:val="24"/>
          <w:szCs w:val="24"/>
          <w:lang w:val="en-US"/>
        </w:rPr>
        <w:t xml:space="preserve"> through increased scientific study of the subject.</w:t>
      </w:r>
    </w:p>
    <w:p w14:paraId="409D6031" w14:textId="0F57045B" w:rsidR="004B17D8" w:rsidRPr="00D9427B" w:rsidRDefault="004B17D8" w:rsidP="00C60D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9427B">
        <w:rPr>
          <w:rFonts w:ascii="Times New Roman" w:eastAsia="Calibri" w:hAnsi="Times New Roman" w:cs="Times New Roman"/>
          <w:sz w:val="24"/>
          <w:szCs w:val="24"/>
          <w:lang w:val="en-US"/>
        </w:rPr>
        <w:t>short_title</w:t>
      </w:r>
      <w:proofErr w:type="spellEnd"/>
      <w:r w:rsidRPr="00D9427B">
        <w:rPr>
          <w:rFonts w:ascii="Times New Roman" w:eastAsia="Calibri" w:hAnsi="Times New Roman" w:cs="Times New Roman"/>
          <w:sz w:val="24"/>
          <w:szCs w:val="24"/>
          <w:lang w:val="en-US"/>
        </w:rPr>
        <w:t>: To Treat or Not to Treat</w:t>
      </w:r>
    </w:p>
    <w:p w14:paraId="60D91C58" w14:textId="77777777" w:rsidR="00673AA9" w:rsidRPr="007F5842" w:rsidRDefault="00673AA9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56807B" w14:textId="1B2F4F86" w:rsidR="00981E4F" w:rsidRDefault="00D9427B" w:rsidP="00D9427B">
      <w:pPr>
        <w:pStyle w:val="Heading1"/>
      </w:pPr>
      <w:r w:rsidRPr="00D9427B">
        <w:rPr>
          <w:b w:val="0"/>
          <w:bCs/>
          <w:highlight w:val="yellow"/>
        </w:rPr>
        <w:t>&lt;A-head&gt;</w:t>
      </w:r>
      <w:r>
        <w:t xml:space="preserve"> </w:t>
      </w:r>
      <w:r w:rsidR="00981E4F" w:rsidRPr="007F5842">
        <w:t>Introduction</w:t>
      </w:r>
    </w:p>
    <w:p w14:paraId="728BC7D8" w14:textId="2CD3B9F9" w:rsidR="00981E4F" w:rsidRPr="007F5842" w:rsidRDefault="00C56F55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 paintings conservation community </w:t>
      </w:r>
      <w:r w:rsidR="00EC727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Denmark </w:t>
      </w:r>
      <w:r w:rsidR="00864F0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64F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>the mid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430B">
        <w:rPr>
          <w:rFonts w:ascii="Times New Roman" w:hAnsi="Times New Roman" w:cs="Times New Roman"/>
          <w:sz w:val="24"/>
          <w:szCs w:val="24"/>
          <w:lang w:val="en-US"/>
        </w:rPr>
        <w:t>twentieth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as in many other countries, 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>as composed of</w:t>
      </w:r>
      <w:r w:rsidR="00864F0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F00">
        <w:rPr>
          <w:rFonts w:ascii="Times New Roman" w:hAnsi="Times New Roman" w:cs="Times New Roman"/>
          <w:sz w:val="24"/>
          <w:szCs w:val="24"/>
          <w:lang w:val="en-US"/>
        </w:rPr>
        <w:t xml:space="preserve">on one hand, 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>individual practitioners working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4A42B4" w:rsidRPr="007F5842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B76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>smaller collections and museums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>and for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historic building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>, and on the other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311452" w:rsidRPr="007F5842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7D2" w:rsidRPr="007F5842">
        <w:rPr>
          <w:rFonts w:ascii="Times New Roman" w:hAnsi="Times New Roman" w:cs="Times New Roman"/>
          <w:sz w:val="24"/>
          <w:szCs w:val="24"/>
          <w:lang w:val="en-US"/>
        </w:rPr>
        <w:t>conservators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working at larger institutions, primarily museums, in permanent position</w:t>
      </w:r>
      <w:r w:rsidR="004A42B4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0D3D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7EAF83" w14:textId="1BA4ECD5" w:rsidR="00310D3D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43CF" w:rsidRPr="007F5842">
        <w:rPr>
          <w:rFonts w:ascii="Times New Roman" w:hAnsi="Times New Roman" w:cs="Times New Roman"/>
          <w:sz w:val="24"/>
          <w:szCs w:val="24"/>
          <w:lang w:val="en-US"/>
        </w:rPr>
        <w:t>Painting conservators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considered themselves craftsmen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 xml:space="preserve">Most had 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background in </w:t>
      </w:r>
      <w:r w:rsidR="003114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house painting </w:t>
      </w:r>
      <w:r w:rsidR="00311452" w:rsidRPr="007F5842">
        <w:rPr>
          <w:rFonts w:ascii="Times New Roman" w:hAnsi="Times New Roman" w:cs="Times New Roman"/>
          <w:sz w:val="24"/>
          <w:szCs w:val="24"/>
          <w:lang w:val="en-US"/>
        </w:rPr>
        <w:t>craft</w:t>
      </w:r>
      <w:r w:rsidR="007F04D0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3114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5B023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>trained artists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fr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>m the Royal Danish Academy of Fine Arts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School of 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Painting. </w:t>
      </w:r>
      <w:r w:rsidR="00B543CF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="00B543C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painting conservators </w:t>
      </w:r>
      <w:r w:rsidR="00B543C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usually </w:t>
      </w:r>
      <w:r w:rsidR="008C0F98" w:rsidRPr="007F5842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B543CF" w:rsidRPr="007F584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 apprenti</w:t>
      </w:r>
      <w:r w:rsidR="00D33106" w:rsidRPr="007F5842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AB56E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ship </w:t>
      </w:r>
      <w:r w:rsidR="008C0F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C0F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conservation studio or </w:t>
      </w:r>
      <w:r w:rsidR="00D331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8C0F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47777" w:rsidRPr="007F5842">
        <w:rPr>
          <w:rFonts w:ascii="Times New Roman" w:hAnsi="Times New Roman" w:cs="Times New Roman"/>
          <w:sz w:val="24"/>
          <w:szCs w:val="24"/>
          <w:lang w:val="en-US"/>
        </w:rPr>
        <w:t>historic</w:t>
      </w:r>
      <w:r w:rsidR="008C0F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buildings.</w:t>
      </w:r>
    </w:p>
    <w:p w14:paraId="52203325" w14:textId="24BDAF3E" w:rsidR="00E047E0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1452" w:rsidRPr="007F584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45F8C" w:rsidRPr="007F5842">
        <w:rPr>
          <w:rFonts w:ascii="Times New Roman" w:hAnsi="Times New Roman" w:cs="Times New Roman"/>
          <w:sz w:val="24"/>
          <w:szCs w:val="24"/>
          <w:lang w:val="en-US"/>
        </w:rPr>
        <w:t>ouse painting</w:t>
      </w:r>
      <w:r w:rsidR="00C4777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artistic training</w:t>
      </w:r>
      <w:r w:rsidR="00870D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DED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constituted </w:t>
      </w:r>
      <w:r w:rsidR="00870DED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45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background for the approach to treatments, choice of materials</w:t>
      </w:r>
      <w:r w:rsidR="005B02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5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D44A6" w:rsidRPr="007F5842">
        <w:rPr>
          <w:rFonts w:ascii="Times New Roman" w:hAnsi="Times New Roman" w:cs="Times New Roman"/>
          <w:sz w:val="24"/>
          <w:szCs w:val="24"/>
          <w:lang w:val="en-US"/>
        </w:rPr>
        <w:t>recipes</w:t>
      </w:r>
      <w:r w:rsidR="00C45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44A6" w:rsidRPr="007F58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45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treatment.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This produced a</w:t>
      </w:r>
      <w:r w:rsidR="002D44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somewhat conservative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approach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based on generations of experience, 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B0E1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44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sometimes 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>approaches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2D44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novel 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materials. </w:t>
      </w:r>
      <w:r w:rsidR="00E656FC" w:rsidRPr="007F5842">
        <w:rPr>
          <w:rFonts w:ascii="Times New Roman" w:hAnsi="Times New Roman" w:cs="Times New Roman"/>
          <w:sz w:val="24"/>
          <w:szCs w:val="24"/>
          <w:lang w:val="en-US"/>
        </w:rPr>
        <w:t>For example</w:t>
      </w:r>
      <w:r w:rsidR="00185FDE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56F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="003B0E1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commercial 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materials 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>wer</w:t>
      </w:r>
      <w:r w:rsidR="00BE5000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032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adopted</w:t>
      </w:r>
      <w:r w:rsidR="00E44C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B0E11" w:rsidRPr="007F5842">
        <w:rPr>
          <w:rFonts w:ascii="Times New Roman" w:hAnsi="Times New Roman" w:cs="Times New Roman"/>
          <w:sz w:val="24"/>
          <w:szCs w:val="24"/>
          <w:lang w:val="en-US"/>
        </w:rPr>
        <w:t>after the Second World War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73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internships 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visits by 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0E1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generation of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>young conservato</w:t>
      </w:r>
      <w:r w:rsidR="00987D25" w:rsidRPr="007F58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 to </w:t>
      </w:r>
      <w:r w:rsidR="00CC3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conservation studios 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>across</w:t>
      </w:r>
      <w:r w:rsidR="00CC3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Europe </w:t>
      </w:r>
      <w:r w:rsidR="003B0E11"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3B0E11" w:rsidRPr="003B0E11">
        <w:rPr>
          <w:rFonts w:ascii="Times New Roman" w:hAnsi="Times New Roman" w:cs="Times New Roman"/>
          <w:sz w:val="24"/>
          <w:szCs w:val="24"/>
          <w:lang w:val="en-US"/>
        </w:rPr>
        <w:t>inspiration</w:t>
      </w:r>
      <w:r w:rsidR="00CC32D3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38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his way, for example, </w:t>
      </w:r>
      <w:r w:rsidR="00A811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8114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1950s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114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>the idea of</w:t>
      </w:r>
      <w:r w:rsidR="001916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simple </w:t>
      </w:r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material 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>sis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709AB" w:rsidRPr="007F5842">
        <w:rPr>
          <w:rFonts w:ascii="Times New Roman" w:hAnsi="Times New Roman" w:cs="Times New Roman"/>
          <w:sz w:val="24"/>
          <w:szCs w:val="24"/>
          <w:lang w:val="en-US"/>
        </w:rPr>
        <w:t>photographic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documentation </w:t>
      </w:r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gradually </w:t>
      </w:r>
      <w:r w:rsidR="009735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found its way to Denmark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830E72" w:rsidRPr="007F5842">
        <w:rPr>
          <w:rFonts w:ascii="Times New Roman" w:hAnsi="Times New Roman" w:cs="Times New Roman"/>
          <w:sz w:val="24"/>
          <w:szCs w:val="24"/>
          <w:lang w:val="en-US"/>
        </w:rPr>
        <w:t>Belgium</w:t>
      </w:r>
      <w:r w:rsidR="00A8114B">
        <w:rPr>
          <w:rFonts w:ascii="Times New Roman" w:hAnsi="Times New Roman" w:cs="Times New Roman"/>
          <w:sz w:val="24"/>
          <w:szCs w:val="24"/>
          <w:lang w:val="en-US"/>
        </w:rPr>
        <w:t>’s Royal Institute for Cultural Heritage</w:t>
      </w:r>
      <w:r w:rsidR="00830E7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332">
        <w:rPr>
          <w:rFonts w:ascii="Times New Roman" w:hAnsi="Times New Roman" w:cs="Times New Roman"/>
          <w:sz w:val="24"/>
          <w:szCs w:val="24"/>
          <w:lang w:val="en-US"/>
        </w:rPr>
        <w:t xml:space="preserve">(KIK-IRPA) </w:t>
      </w:r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>Coreman</w:t>
      </w:r>
      <w:r w:rsidR="003F4D7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1953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64297" w:rsidRPr="007F584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1560FF" w14:textId="47000AA8" w:rsidR="008C0F98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>Conservators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general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mainly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undertook treatments</w:t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without making</w:t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note of methods and materials, although some books</w:t>
      </w:r>
      <w:r w:rsidR="00070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F769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journals about methods and materials did exist.</w:t>
      </w:r>
      <w:r w:rsidR="009F5B2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Danish </w:t>
      </w:r>
      <w:r w:rsidR="009F5B2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conservators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could draw on</w:t>
      </w:r>
      <w:r w:rsidR="00070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tradition of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apprenticeship going back to the early </w:t>
      </w:r>
      <w:r w:rsidR="0001430B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 century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>Scharff 1998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C1DDD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DD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DDD">
        <w:rPr>
          <w:rFonts w:ascii="Times New Roman" w:hAnsi="Times New Roman" w:cs="Times New Roman"/>
          <w:sz w:val="24"/>
          <w:szCs w:val="24"/>
          <w:lang w:val="en-US"/>
        </w:rPr>
        <w:t xml:space="preserve">Scharff 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C1DD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9F5B2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descriptions 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written in Danish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9F5B28" w:rsidRPr="007F5842">
        <w:rPr>
          <w:rFonts w:ascii="Times New Roman" w:hAnsi="Times New Roman" w:cs="Times New Roman"/>
          <w:sz w:val="24"/>
          <w:szCs w:val="24"/>
          <w:lang w:val="en-US"/>
        </w:rPr>
        <w:t>Greve</w:t>
      </w:r>
      <w:proofErr w:type="spellEnd"/>
      <w:r w:rsidR="0071092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1855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5B2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>ecipe</w:t>
      </w:r>
      <w:r w:rsidR="00CF01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books for house painters or </w:t>
      </w:r>
      <w:r w:rsidR="0019162E" w:rsidRPr="007F5842">
        <w:rPr>
          <w:rFonts w:ascii="Times New Roman" w:hAnsi="Times New Roman" w:cs="Times New Roman"/>
          <w:sz w:val="24"/>
          <w:szCs w:val="24"/>
          <w:lang w:val="en-US"/>
        </w:rPr>
        <w:t>artists</w:t>
      </w:r>
      <w:r w:rsidR="00CF01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62E" w:rsidRPr="007F5842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C745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available, </w:t>
      </w:r>
      <w:r w:rsidR="00CF01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well as books </w:t>
      </w:r>
      <w:r w:rsidR="00B67293" w:rsidRPr="007F584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CF01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>gilding</w:t>
      </w:r>
      <w:r w:rsidR="001916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F01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varnishing</w:t>
      </w:r>
      <w:r w:rsidR="008D52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Danish painting conservators 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3549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279E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mid-</w:t>
      </w:r>
      <w:r w:rsidR="0001430B">
        <w:rPr>
          <w:rFonts w:ascii="Times New Roman" w:hAnsi="Times New Roman" w:cs="Times New Roman"/>
          <w:sz w:val="24"/>
          <w:szCs w:val="24"/>
          <w:lang w:val="en-US"/>
        </w:rPr>
        <w:t>twentie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century 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knew about and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practiced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main trends and techniques of structural treatments from the </w:t>
      </w:r>
      <w:r w:rsidR="0001430B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0143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 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B6729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onwards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including</w:t>
      </w:r>
      <w:r w:rsidR="0023549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2354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3549C" w:rsidRPr="0023549C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glue-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>paste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3BD2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119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0F7" w:rsidRPr="007F5842">
        <w:rPr>
          <w:rFonts w:ascii="Times New Roman" w:hAnsi="Times New Roman" w:cs="Times New Roman"/>
          <w:sz w:val="24"/>
          <w:szCs w:val="24"/>
          <w:lang w:val="en-US"/>
        </w:rPr>
        <w:t>wax-resin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06D9" w:rsidRPr="003A06D9">
        <w:rPr>
          <w:rFonts w:ascii="Times New Roman" w:hAnsi="Times New Roman" w:cs="Times New Roman"/>
          <w:sz w:val="24"/>
          <w:szCs w:val="24"/>
          <w:lang w:val="en-US"/>
        </w:rPr>
        <w:t>treatments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though </w:t>
      </w:r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latter 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>not practiced</w:t>
      </w:r>
      <w:r w:rsidR="00CE3F5E">
        <w:rPr>
          <w:rFonts w:ascii="Times New Roman" w:hAnsi="Times New Roman" w:cs="Times New Roman"/>
          <w:sz w:val="24"/>
          <w:szCs w:val="24"/>
          <w:lang w:val="en-US"/>
        </w:rPr>
        <w:t xml:space="preserve"> very much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until </w:t>
      </w:r>
      <w:r w:rsidR="003A06D9" w:rsidRPr="007F5842">
        <w:rPr>
          <w:rFonts w:ascii="Times New Roman" w:hAnsi="Times New Roman" w:cs="Times New Roman"/>
          <w:sz w:val="24"/>
          <w:szCs w:val="24"/>
          <w:lang w:val="en-US"/>
        </w:rPr>
        <w:t>the 1960s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 xml:space="preserve">, when they were </w:t>
      </w:r>
      <w:r w:rsidR="00093B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regular </w:t>
      </w:r>
      <w:r w:rsidR="00471F9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8250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proofErr w:type="spellStart"/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>Statens</w:t>
      </w:r>
      <w:proofErr w:type="spellEnd"/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Museum for Kunst (</w:t>
      </w:r>
      <w:r w:rsidR="008250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Royal Danish </w:t>
      </w:r>
      <w:r w:rsidR="00471F92" w:rsidRPr="007F5842">
        <w:rPr>
          <w:rFonts w:ascii="Times New Roman" w:hAnsi="Times New Roman" w:cs="Times New Roman"/>
          <w:sz w:val="24"/>
          <w:szCs w:val="24"/>
          <w:lang w:val="en-US"/>
        </w:rPr>
        <w:t>Museum of Fine Arts</w:t>
      </w:r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71F9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Andersen 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 xml:space="preserve">et al. 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>2014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D3A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50F7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8DC" w:rsidRPr="007F5842">
        <w:rPr>
          <w:rFonts w:ascii="Times New Roman" w:hAnsi="Times New Roman" w:cs="Times New Roman"/>
          <w:sz w:val="24"/>
          <w:szCs w:val="24"/>
          <w:lang w:val="en-US"/>
        </w:rPr>
        <w:t>Structural t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>reatments were divided between primary</w:t>
      </w:r>
      <w:r w:rsidR="005818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>treatments (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A06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>linings)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2C46" w:rsidRPr="007F5842">
        <w:rPr>
          <w:rFonts w:ascii="Times New Roman" w:hAnsi="Times New Roman" w:cs="Times New Roman"/>
          <w:sz w:val="24"/>
          <w:szCs w:val="24"/>
          <w:lang w:val="en-US"/>
        </w:rPr>
        <w:t>secondary</w:t>
      </w:r>
      <w:r w:rsidR="00A91F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retreatments</w:t>
      </w:r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>relinings</w:t>
      </w:r>
      <w:proofErr w:type="spellEnd"/>
      <w:r w:rsidR="00A7497B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>much less frequently</w:t>
      </w:r>
      <w:r w:rsidR="003A06D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0B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more radical treatments such as transfers or </w:t>
      </w:r>
      <w:bookmarkStart w:id="0" w:name="_Hlk91076501"/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>marouflage</w:t>
      </w:r>
      <w:bookmarkEnd w:id="0"/>
      <w:r w:rsidR="008F59F1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E14C7" w14:textId="77777777" w:rsidR="0000462B" w:rsidRPr="007F5842" w:rsidRDefault="0000462B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ADC20" w14:textId="65BE7E9D" w:rsidR="00B809E1" w:rsidRPr="007F5842" w:rsidRDefault="00D9427B" w:rsidP="00D9427B">
      <w:pPr>
        <w:pStyle w:val="Heading1"/>
      </w:pPr>
      <w:r w:rsidRPr="00D9427B">
        <w:rPr>
          <w:b w:val="0"/>
          <w:bCs/>
          <w:highlight w:val="yellow"/>
        </w:rPr>
        <w:t>&lt;A-head&gt;</w:t>
      </w:r>
      <w:r>
        <w:t xml:space="preserve"> </w:t>
      </w:r>
      <w:r w:rsidR="00981E4F" w:rsidRPr="007F5842">
        <w:t xml:space="preserve">State of the </w:t>
      </w:r>
      <w:r w:rsidR="00C60D9D" w:rsidRPr="007F5842">
        <w:t xml:space="preserve">Art </w:t>
      </w:r>
      <w:r w:rsidR="006B767C" w:rsidRPr="007F5842">
        <w:t xml:space="preserve">in the </w:t>
      </w:r>
      <w:r w:rsidR="00981E4F" w:rsidRPr="007F5842">
        <w:t>1970s</w:t>
      </w:r>
      <w:r w:rsidR="0000462B">
        <w:t>—</w:t>
      </w:r>
      <w:r w:rsidR="00C60D9D" w:rsidRPr="007F5842">
        <w:t>Considerations, Choices, Consequences</w:t>
      </w:r>
    </w:p>
    <w:p w14:paraId="7E1D1787" w14:textId="1832B448" w:rsidR="004762FD" w:rsidRPr="007F5842" w:rsidRDefault="00356CD3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summing up his overview of structural treatments, choice of methods and materials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in his influential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00462B" w:rsidRPr="007F5842">
        <w:rPr>
          <w:rFonts w:ascii="Times New Roman" w:hAnsi="Times New Roman" w:cs="Times New Roman"/>
          <w:sz w:val="24"/>
          <w:szCs w:val="24"/>
          <w:lang w:val="en-US"/>
        </w:rPr>
        <w:t>Lining Cycle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introduction to the </w:t>
      </w:r>
      <w:r w:rsidR="001E5DE0">
        <w:rPr>
          <w:rFonts w:ascii="Times New Roman" w:hAnsi="Times New Roman" w:cs="Times New Roman"/>
          <w:sz w:val="24"/>
          <w:szCs w:val="24"/>
          <w:lang w:val="en-US"/>
        </w:rPr>
        <w:t xml:space="preserve">1974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Greenwich conference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Westby Percival-Prescott stated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“t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 purpose of this </w:t>
      </w:r>
      <w:r w:rsidR="00987D25" w:rsidRPr="007F58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onference is to see that our choice is a wise one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Percival-Prescot</w:t>
      </w:r>
      <w:r w:rsidR="001E5D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r w:rsidR="00FB5E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11EF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B2C77" w14:textId="502D153C" w:rsidR="00A0218B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356C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aim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B177B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well </w:t>
      </w:r>
      <w:r w:rsidR="00B57D2B" w:rsidRPr="007F5842">
        <w:rPr>
          <w:rFonts w:ascii="Times New Roman" w:hAnsi="Times New Roman" w:cs="Times New Roman"/>
          <w:sz w:val="24"/>
          <w:szCs w:val="24"/>
          <w:lang w:val="en-US"/>
        </w:rPr>
        <w:t>stand as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04E82" w:rsidRPr="007F5842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D3" w:rsidRPr="007F5842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the Greenwich conference on the established painting conservation field in the 1970s and onwards 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56CD3" w:rsidRPr="007F5842"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impact on</w:t>
      </w:r>
      <w:r w:rsidR="00B177B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young conservators making their way into the field. </w:t>
      </w:r>
      <w:proofErr w:type="gramStart"/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A number of</w:t>
      </w:r>
      <w:proofErr w:type="gramEnd"/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publications have dealt with the conference and its major influence, and 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often 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>discuss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historical development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s preceding and following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conference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>, for example</w:t>
      </w:r>
      <w:r w:rsidR="000046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5AF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introduction </w:t>
      </w:r>
      <w:r w:rsidR="00BE5AF9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E5AF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62B" w:rsidRPr="0000462B">
        <w:rPr>
          <w:rFonts w:ascii="Times New Roman" w:hAnsi="Times New Roman" w:cs="Times New Roman"/>
          <w:sz w:val="24"/>
          <w:szCs w:val="24"/>
          <w:lang w:val="en-US"/>
        </w:rPr>
        <w:t xml:space="preserve">2003 </w:t>
      </w:r>
      <w:proofErr w:type="spellStart"/>
      <w:r w:rsidR="00B57D2B" w:rsidRPr="007F5842">
        <w:rPr>
          <w:rFonts w:ascii="Times New Roman" w:hAnsi="Times New Roman" w:cs="Times New Roman"/>
          <w:sz w:val="24"/>
          <w:szCs w:val="24"/>
          <w:lang w:val="en-US"/>
        </w:rPr>
        <w:t>postprint</w:t>
      </w:r>
      <w:proofErr w:type="spellEnd"/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publication </w:t>
      </w:r>
      <w:r w:rsidR="0011275F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1275F" w:rsidRPr="007F5842">
        <w:rPr>
          <w:rFonts w:ascii="Times New Roman" w:hAnsi="Times New Roman" w:cs="Times New Roman"/>
          <w:sz w:val="24"/>
          <w:szCs w:val="24"/>
          <w:lang w:val="en-US"/>
        </w:rPr>
        <w:t>Villers 2003</w:t>
      </w:r>
      <w:r w:rsidR="00CB73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275F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127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F0A2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127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most recently Hackney</w:t>
      </w:r>
      <w:r w:rsidR="001D23C1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overview book </w:t>
      </w:r>
      <w:r w:rsidR="004762FD" w:rsidRPr="001A6332">
        <w:rPr>
          <w:rFonts w:ascii="Times New Roman" w:hAnsi="Times New Roman" w:cs="Times New Roman"/>
          <w:i/>
          <w:iCs/>
          <w:sz w:val="24"/>
          <w:szCs w:val="24"/>
          <w:lang w:val="en-US"/>
        </w:rPr>
        <w:t>On Canvas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Hackney 2020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127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57D2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23C1">
        <w:rPr>
          <w:rFonts w:ascii="Times New Roman" w:hAnsi="Times New Roman" w:cs="Times New Roman"/>
          <w:sz w:val="24"/>
          <w:szCs w:val="24"/>
          <w:lang w:val="en-US"/>
        </w:rPr>
        <w:t>as well as elsewhere</w:t>
      </w:r>
      <w:r w:rsidR="001D23C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>Bomford</w:t>
      </w:r>
      <w:r w:rsidR="00404E8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B767C" w:rsidRPr="007F584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404E82" w:rsidRPr="007F5842">
        <w:rPr>
          <w:rFonts w:ascii="Times New Roman" w:hAnsi="Times New Roman" w:cs="Times New Roman"/>
          <w:sz w:val="24"/>
          <w:szCs w:val="24"/>
          <w:lang w:val="en-US"/>
        </w:rPr>
        <w:t>Burnstock</w:t>
      </w:r>
      <w:proofErr w:type="spellEnd"/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53A11" w:rsidRPr="007F5842">
        <w:rPr>
          <w:rFonts w:ascii="Times New Roman" w:hAnsi="Times New Roman" w:cs="Times New Roman"/>
          <w:sz w:val="24"/>
          <w:szCs w:val="24"/>
          <w:lang w:val="en-US"/>
        </w:rPr>
        <w:t>Hackney 2012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Given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>this background</w:t>
      </w:r>
      <w:r w:rsidR="00987D25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A21">
        <w:rPr>
          <w:rFonts w:ascii="Times New Roman" w:hAnsi="Times New Roman" w:cs="Times New Roman"/>
          <w:sz w:val="24"/>
          <w:szCs w:val="24"/>
          <w:lang w:val="en-US"/>
        </w:rPr>
        <w:t xml:space="preserve">this paper focuses on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5F0A21">
        <w:rPr>
          <w:rFonts w:ascii="Times New Roman" w:hAnsi="Times New Roman" w:cs="Times New Roman"/>
          <w:sz w:val="24"/>
          <w:szCs w:val="24"/>
          <w:lang w:val="en-US"/>
        </w:rPr>
        <w:t xml:space="preserve">preceding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Greenwich conference </w:t>
      </w:r>
      <w:r w:rsidR="00A0218B">
        <w:rPr>
          <w:rFonts w:ascii="Times New Roman" w:hAnsi="Times New Roman" w:cs="Times New Roman"/>
          <w:sz w:val="24"/>
          <w:szCs w:val="24"/>
          <w:lang w:val="en-US"/>
        </w:rPr>
        <w:t xml:space="preserve">that is </w:t>
      </w:r>
      <w:r w:rsidR="004762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relevant 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>to developments in Denmark</w:t>
      </w:r>
      <w:r w:rsidR="00A021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18B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F76CB0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>he 1970s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 xml:space="preserve"> in particular</w:t>
      </w:r>
      <w:r w:rsidR="00A0218B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>a de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cade </w:t>
      </w:r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>a number of</w:t>
      </w:r>
      <w:proofErr w:type="gramEnd"/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defining events in paintings conservation</w:t>
      </w:r>
      <w:r w:rsidR="001C561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18B">
        <w:rPr>
          <w:rFonts w:ascii="Times New Roman" w:hAnsi="Times New Roman" w:cs="Times New Roman"/>
          <w:sz w:val="24"/>
          <w:szCs w:val="24"/>
          <w:lang w:val="en-US"/>
        </w:rPr>
        <w:t xml:space="preserve">that have had </w:t>
      </w:r>
      <w:r w:rsidR="00404E8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lasting </w:t>
      </w:r>
      <w:r w:rsidR="001C561C" w:rsidRPr="007F5842">
        <w:rPr>
          <w:rFonts w:ascii="Times New Roman" w:hAnsi="Times New Roman" w:cs="Times New Roman"/>
          <w:sz w:val="24"/>
          <w:szCs w:val="24"/>
          <w:lang w:val="en-US"/>
        </w:rPr>
        <w:t>impact for the f</w:t>
      </w:r>
      <w:r w:rsidR="00E17345" w:rsidRPr="007F5842">
        <w:rPr>
          <w:rFonts w:ascii="Times New Roman" w:hAnsi="Times New Roman" w:cs="Times New Roman"/>
          <w:sz w:val="24"/>
          <w:szCs w:val="24"/>
          <w:lang w:val="en-US"/>
        </w:rPr>
        <w:t>uture.</w:t>
      </w:r>
    </w:p>
    <w:p w14:paraId="33C630BA" w14:textId="723A219E" w:rsidR="00D7698F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>The e</w:t>
      </w:r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xperiences and events </w:t>
      </w:r>
      <w:r w:rsidR="009D3153" w:rsidRPr="007F584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769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1960</w:t>
      </w:r>
      <w:r w:rsidR="009D31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 formed the immediate background. </w:t>
      </w:r>
      <w:r w:rsidR="00474F56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31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 generation of </w:t>
      </w:r>
      <w:r w:rsidR="00663669" w:rsidRPr="007F5842">
        <w:rPr>
          <w:rFonts w:ascii="Times New Roman" w:hAnsi="Times New Roman" w:cs="Times New Roman"/>
          <w:sz w:val="24"/>
          <w:szCs w:val="24"/>
          <w:lang w:val="en-US"/>
        </w:rPr>
        <w:t>postwar</w:t>
      </w:r>
      <w:r w:rsidR="009D31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conservators with 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636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1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experience and ideas </w:t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gained </w:t>
      </w:r>
      <w:r w:rsidR="006636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from abroad 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proofErr w:type="gramStart"/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>a position</w:t>
      </w:r>
      <w:proofErr w:type="gramEnd"/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carry out various structural reforms </w:t>
      </w:r>
      <w:r w:rsidR="001C561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>their institutions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>—and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 xml:space="preserve">to review 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approach to 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 xml:space="preserve"> followed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7193" w:rsidRPr="007F584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C561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most 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painting conservation </w:t>
      </w:r>
      <w:r w:rsidR="001C561C" w:rsidRPr="007F5842">
        <w:rPr>
          <w:rFonts w:ascii="Times New Roman" w:hAnsi="Times New Roman" w:cs="Times New Roman"/>
          <w:sz w:val="24"/>
          <w:szCs w:val="24"/>
          <w:lang w:val="en-US"/>
        </w:rPr>
        <w:t>studios</w:t>
      </w:r>
      <w:r w:rsidR="00A0719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07193" w:rsidRPr="007F5842">
        <w:rPr>
          <w:rFonts w:ascii="Times New Roman" w:hAnsi="Times New Roman" w:cs="Times New Roman"/>
          <w:sz w:val="24"/>
          <w:szCs w:val="24"/>
          <w:lang w:val="en-US"/>
        </w:rPr>
        <w:t>Denmark</w:t>
      </w:r>
      <w:r w:rsidR="001B1B8A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D9F04E" w14:textId="467359DB" w:rsidR="00EE705E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>For a while in the 1960s</w:t>
      </w:r>
      <w:r w:rsidR="00987D25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wax-resin treatments were seen as a major</w:t>
      </w:r>
      <w:r w:rsidR="00C0066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improvement 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00663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C0066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widely used in combination with the </w:t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innovative 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bookmarkStart w:id="1" w:name="_Hlk91078029"/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>vacuum hot</w:t>
      </w:r>
      <w:r w:rsidR="00A35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6E43E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E43EF" w:rsidRPr="007F5842">
        <w:rPr>
          <w:rFonts w:ascii="Times New Roman" w:hAnsi="Times New Roman" w:cs="Times New Roman"/>
          <w:sz w:val="24"/>
          <w:szCs w:val="24"/>
          <w:lang w:val="en-US"/>
        </w:rPr>
        <w:t>Andersen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11" w:rsidRPr="00153A11">
        <w:rPr>
          <w:rFonts w:ascii="Times New Roman" w:hAnsi="Times New Roman" w:cs="Times New Roman"/>
          <w:sz w:val="24"/>
          <w:szCs w:val="24"/>
          <w:lang w:val="en-US"/>
        </w:rPr>
        <w:t xml:space="preserve">et al. </w:t>
      </w:r>
      <w:r w:rsidR="006E43EF" w:rsidRPr="007F5842">
        <w:rPr>
          <w:rFonts w:ascii="Times New Roman" w:hAnsi="Times New Roman" w:cs="Times New Roman"/>
          <w:sz w:val="24"/>
          <w:szCs w:val="24"/>
          <w:lang w:val="en-US"/>
        </w:rPr>
        <w:t>2014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53A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Another </w:t>
      </w:r>
      <w:r w:rsidR="00C00663" w:rsidRPr="007F5842">
        <w:rPr>
          <w:rFonts w:ascii="Times New Roman" w:hAnsi="Times New Roman" w:cs="Times New Roman"/>
          <w:sz w:val="24"/>
          <w:szCs w:val="24"/>
          <w:lang w:val="en-US"/>
        </w:rPr>
        <w:t>milestone</w:t>
      </w:r>
      <w:r w:rsidR="001C3C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occurred 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453F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river Arno 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inundated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major part of the medieval city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Florence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72BE9" w:rsidRPr="007F584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artwork. 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>ubsequent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963E8F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conservators from abroad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2B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including 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eighteen</w:t>
      </w:r>
      <w:r w:rsidR="00F72B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painting conservators from the Nordic countrie</w:t>
      </w:r>
      <w:r w:rsidR="00296259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962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>participate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the immediate rescue</w:t>
      </w:r>
      <w:r w:rsidR="003951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undertook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conservation and restoration treatments</w:t>
      </w:r>
      <w:r w:rsidR="008034C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812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034CE" w:rsidRPr="007F5842">
        <w:rPr>
          <w:rFonts w:ascii="Times New Roman" w:hAnsi="Times New Roman" w:cs="Times New Roman"/>
          <w:sz w:val="24"/>
          <w:szCs w:val="24"/>
          <w:lang w:val="en-US"/>
        </w:rPr>
        <w:t>Plah</w:t>
      </w:r>
      <w:r w:rsidR="009B2690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4CE" w:rsidRPr="007F5842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="006E43E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690" w:rsidRPr="007F5842">
        <w:rPr>
          <w:rFonts w:ascii="Times New Roman" w:hAnsi="Times New Roman" w:cs="Times New Roman"/>
          <w:sz w:val="24"/>
          <w:szCs w:val="24"/>
          <w:lang w:val="en-US"/>
        </w:rPr>
        <w:t>1999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D47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72A0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E22688" w:rsidRPr="007F5842">
        <w:rPr>
          <w:rFonts w:ascii="Times New Roman" w:hAnsi="Times New Roman" w:cs="Times New Roman"/>
          <w:sz w:val="24"/>
          <w:szCs w:val="24"/>
          <w:lang w:val="en-US"/>
        </w:rPr>
        <w:t>disaster</w:t>
      </w:r>
      <w:r w:rsidR="003E55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>itself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3E55A6" w:rsidRPr="007F5842">
        <w:rPr>
          <w:rFonts w:ascii="Times New Roman" w:hAnsi="Times New Roman" w:cs="Times New Roman"/>
          <w:sz w:val="24"/>
          <w:szCs w:val="24"/>
          <w:lang w:val="en-US"/>
        </w:rPr>
        <w:t>and the observation that treatment approach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3E55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E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E22688" w:rsidRPr="007F5842">
        <w:rPr>
          <w:rFonts w:ascii="Times New Roman" w:hAnsi="Times New Roman" w:cs="Times New Roman"/>
          <w:sz w:val="24"/>
          <w:szCs w:val="24"/>
          <w:lang w:val="en-US"/>
        </w:rPr>
        <w:t>conservators</w:t>
      </w:r>
      <w:r w:rsidR="00963E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5A6" w:rsidRPr="007F5842">
        <w:rPr>
          <w:rFonts w:ascii="Times New Roman" w:hAnsi="Times New Roman" w:cs="Times New Roman"/>
          <w:sz w:val="24"/>
          <w:szCs w:val="24"/>
          <w:lang w:val="en-US"/>
        </w:rPr>
        <w:t>differed vastly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555B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caused </w:t>
      </w:r>
      <w:r w:rsidR="007F5E0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many in </w:t>
      </w:r>
      <w:r w:rsidR="005555B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55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assembled </w:t>
      </w:r>
      <w:r w:rsidR="005555B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conservation community to 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963E8F" w:rsidRPr="007F5842">
        <w:rPr>
          <w:rFonts w:ascii="Times New Roman" w:hAnsi="Times New Roman" w:cs="Times New Roman"/>
          <w:sz w:val="24"/>
          <w:szCs w:val="24"/>
          <w:lang w:val="en-US"/>
        </w:rPr>
        <w:t>consider</w:t>
      </w:r>
      <w:r w:rsidR="007F5E0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materials, methods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5E0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approaches and 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7F5E0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realize that for the future of conservation it would be </w:t>
      </w:r>
      <w:r w:rsidR="00E22688" w:rsidRPr="007F5842">
        <w:rPr>
          <w:rFonts w:ascii="Times New Roman" w:hAnsi="Times New Roman" w:cs="Times New Roman"/>
          <w:sz w:val="24"/>
          <w:szCs w:val="24"/>
          <w:lang w:val="en-US"/>
        </w:rPr>
        <w:t>essential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E0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obtain a more 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consistent </w:t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="001A6A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the profession. </w:t>
      </w:r>
    </w:p>
    <w:p w14:paraId="7B6CC52C" w14:textId="79CC1FBE" w:rsidR="003951F3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>Formal educational programs could be one of the means</w:t>
      </w:r>
      <w:r w:rsidR="00116F8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E2A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>only few existed at that time in Europe and the Americas. In Denmark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government commission was formed in 196</w:t>
      </w:r>
      <w:r w:rsidR="00F65CBD" w:rsidRPr="007F584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705E" w:rsidRPr="007F5842">
        <w:rPr>
          <w:rFonts w:ascii="Times New Roman" w:hAnsi="Times New Roman" w:cs="Times New Roman"/>
          <w:sz w:val="24"/>
          <w:szCs w:val="24"/>
          <w:lang w:val="en-US"/>
        </w:rPr>
        <w:t>n 1969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705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05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D17E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produced a </w:t>
      </w:r>
      <w:r w:rsidR="005B3B91" w:rsidRPr="007F5842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415F8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="005B3B9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F83">
        <w:rPr>
          <w:rFonts w:ascii="Times New Roman" w:hAnsi="Times New Roman" w:cs="Times New Roman"/>
          <w:sz w:val="24"/>
          <w:szCs w:val="24"/>
          <w:lang w:val="en-US"/>
        </w:rPr>
        <w:t xml:space="preserve">aimed at 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>establish</w:t>
      </w:r>
      <w:r w:rsidR="00415F83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 legislation on the protection of heritage in Denmark. The report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revision of 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conservation 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strategy </w:t>
      </w:r>
      <w:r w:rsidR="00194E53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9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improved 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conservation facilities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Danish </w:t>
      </w:r>
      <w:r w:rsidR="00757620" w:rsidRPr="007F58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>useums</w:t>
      </w:r>
      <w:r w:rsidR="007E6FB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E54" w:rsidRPr="007F5842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plans to establish an educational program </w:t>
      </w:r>
      <w:r w:rsidR="007E6FB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7E6FB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supply the museums </w:t>
      </w:r>
      <w:r w:rsidR="00C27A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the private market </w:t>
      </w:r>
      <w:r w:rsidR="0054627A" w:rsidRPr="007F5842">
        <w:rPr>
          <w:rFonts w:ascii="Times New Roman" w:hAnsi="Times New Roman" w:cs="Times New Roman"/>
          <w:sz w:val="24"/>
          <w:szCs w:val="24"/>
          <w:lang w:val="en-US"/>
        </w:rPr>
        <w:t>with qualified conservation staff.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Concurrently</w:t>
      </w:r>
      <w:r w:rsidR="008F289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51F3" w:rsidRPr="007F5842">
        <w:rPr>
          <w:rFonts w:ascii="Times New Roman" w:hAnsi="Times New Roman" w:cs="Times New Roman"/>
          <w:sz w:val="24"/>
          <w:szCs w:val="24"/>
          <w:lang w:val="en-US"/>
        </w:rPr>
        <w:t>UNESCO w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3951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preparing the </w:t>
      </w:r>
      <w:r w:rsidR="009334DB">
        <w:rPr>
          <w:rFonts w:ascii="Times New Roman" w:hAnsi="Times New Roman" w:cs="Times New Roman"/>
          <w:sz w:val="24"/>
          <w:szCs w:val="24"/>
          <w:lang w:val="en-US"/>
        </w:rPr>
        <w:t xml:space="preserve">World Heritage </w:t>
      </w:r>
      <w:r w:rsidR="008F2891" w:rsidRPr="007F5842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="00F27F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34DB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="009334DB" w:rsidRPr="007F5842" w:rsidDel="00933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which was widely</w:t>
      </w:r>
      <w:r w:rsidR="008F289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adopted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F2891" w:rsidRPr="007F5842">
        <w:rPr>
          <w:rFonts w:ascii="Times New Roman" w:hAnsi="Times New Roman" w:cs="Times New Roman"/>
          <w:sz w:val="24"/>
          <w:szCs w:val="24"/>
          <w:lang w:val="en-US"/>
        </w:rPr>
        <w:t>1972</w:t>
      </w:r>
      <w:r w:rsidR="00ED7AC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7FA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7FA6" w:rsidRPr="007F5842">
        <w:rPr>
          <w:rFonts w:ascii="Times New Roman" w:hAnsi="Times New Roman" w:cs="Times New Roman"/>
          <w:sz w:val="24"/>
          <w:szCs w:val="24"/>
          <w:lang w:val="en-US"/>
        </w:rPr>
        <w:t>including by Denmark</w:t>
      </w:r>
      <w:r w:rsidR="00F27F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7FA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AC1" w:rsidRPr="007F5842">
        <w:rPr>
          <w:rFonts w:ascii="Times New Roman" w:hAnsi="Times New Roman" w:cs="Times New Roman"/>
          <w:sz w:val="24"/>
          <w:szCs w:val="24"/>
          <w:lang w:val="en-US"/>
        </w:rPr>
        <w:t>with a broad impact</w:t>
      </w:r>
      <w:r w:rsidR="00F27F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164214" w14:textId="580C4B5D" w:rsidR="00A07193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2EBA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55C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Danish</w:t>
      </w:r>
      <w:r w:rsidR="00932EB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conservation community </w:t>
      </w:r>
      <w:r w:rsidR="00194E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held </w:t>
      </w:r>
      <w:r w:rsidR="0037336F" w:rsidRPr="007F5842">
        <w:rPr>
          <w:rFonts w:ascii="Times New Roman" w:hAnsi="Times New Roman" w:cs="Times New Roman"/>
          <w:sz w:val="24"/>
          <w:szCs w:val="24"/>
          <w:lang w:val="en-US"/>
        </w:rPr>
        <w:t>seminars, lectures,</w:t>
      </w:r>
      <w:r w:rsidR="00955C8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733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courses on various subjects while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733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waiting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inauguration of </w:t>
      </w:r>
      <w:r w:rsidR="0037336F" w:rsidRPr="007F5842">
        <w:rPr>
          <w:rFonts w:ascii="Times New Roman" w:hAnsi="Times New Roman" w:cs="Times New Roman"/>
          <w:sz w:val="24"/>
          <w:szCs w:val="24"/>
          <w:lang w:val="en-US"/>
        </w:rPr>
        <w:t>the School of Conservation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3733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>ment of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 equipment and </w:t>
      </w:r>
      <w:r w:rsidR="00194E53" w:rsidRPr="007F5842">
        <w:rPr>
          <w:rFonts w:ascii="Times New Roman" w:hAnsi="Times New Roman" w:cs="Times New Roman"/>
          <w:sz w:val="24"/>
          <w:szCs w:val="24"/>
          <w:lang w:val="en-US"/>
        </w:rPr>
        <w:t>approaches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r w:rsidR="00F27FA6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alternative materials or methods</w:t>
      </w:r>
      <w:r w:rsidR="009F31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0F9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164">
        <w:rPr>
          <w:rFonts w:ascii="Times New Roman" w:hAnsi="Times New Roman" w:cs="Times New Roman"/>
          <w:sz w:val="24"/>
          <w:szCs w:val="24"/>
          <w:lang w:val="en-US"/>
        </w:rPr>
        <w:t xml:space="preserve">These were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presented and discussed in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Nordisk </w:t>
      </w:r>
      <w:proofErr w:type="spellStart"/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>Konserverings</w:t>
      </w:r>
      <w:proofErr w:type="spellEnd"/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>Forbund</w:t>
      </w:r>
      <w:proofErr w:type="spellEnd"/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NKF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>, the IIC Nordic Group</w:t>
      </w:r>
      <w:r w:rsidR="007D479F" w:rsidRPr="002A63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1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F31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B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8034CE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nternational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forums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including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IIC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ICOM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congresses</w:t>
      </w:r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27A12" w:rsidRPr="007F5842">
        <w:rPr>
          <w:rFonts w:ascii="Times New Roman" w:hAnsi="Times New Roman" w:cs="Times New Roman"/>
          <w:sz w:val="24"/>
          <w:szCs w:val="24"/>
          <w:lang w:val="en-US"/>
        </w:rPr>
        <w:t>especially</w:t>
      </w:r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F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10F94" w:rsidRPr="007F5842">
        <w:rPr>
          <w:rFonts w:ascii="Times New Roman" w:hAnsi="Times New Roman" w:cs="Times New Roman"/>
          <w:sz w:val="24"/>
          <w:szCs w:val="24"/>
          <w:lang w:val="en-US"/>
        </w:rPr>
        <w:t>ICOM</w:t>
      </w:r>
      <w:r w:rsidR="00B2177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ommitte</w:t>
      </w:r>
      <w:r w:rsidR="00B10F94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775" w:rsidRPr="007F5842">
        <w:rPr>
          <w:rFonts w:ascii="Times New Roman" w:hAnsi="Times New Roman" w:cs="Times New Roman"/>
          <w:sz w:val="24"/>
          <w:szCs w:val="24"/>
          <w:lang w:val="en-US"/>
        </w:rPr>
        <w:t>for the Care of Paintings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later to become 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part of </w:t>
      </w:r>
      <w:r w:rsidR="0097470D" w:rsidRPr="007F5842">
        <w:rPr>
          <w:rFonts w:ascii="Times New Roman" w:hAnsi="Times New Roman" w:cs="Times New Roman"/>
          <w:sz w:val="24"/>
          <w:szCs w:val="24"/>
          <w:lang w:val="en-US"/>
        </w:rPr>
        <w:t>the ICOM Committee for Conservation.</w:t>
      </w:r>
      <w:r w:rsidR="00AF461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38C" w:rsidRPr="007F5842">
        <w:rPr>
          <w:rFonts w:ascii="Times New Roman" w:hAnsi="Times New Roman" w:cs="Times New Roman"/>
          <w:sz w:val="24"/>
          <w:szCs w:val="24"/>
          <w:lang w:val="en-US"/>
        </w:rPr>
        <w:t>The propos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9073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56A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Percival-Prescott </w:t>
      </w:r>
      <w:r w:rsidR="006E759A" w:rsidRPr="007F5842">
        <w:rPr>
          <w:rFonts w:ascii="Times New Roman" w:hAnsi="Times New Roman" w:cs="Times New Roman"/>
          <w:sz w:val="24"/>
          <w:szCs w:val="24"/>
          <w:lang w:val="en-US"/>
        </w:rPr>
        <w:t>at ICOM-CC in Venice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E759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1975 to 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>halt lining treatm</w:t>
      </w:r>
      <w:r w:rsidR="006E759A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865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nts </w:t>
      </w:r>
      <w:r w:rsidR="00C25B9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pending a full review 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>{Percival-Prescott 1975}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B9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90738C" w:rsidRPr="007F5842"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073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ussed as well, but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9073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did not have a lasting 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>effect in Denmark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 xml:space="preserve">did, however, </w:t>
      </w:r>
      <w:r w:rsidR="00C25B9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encourage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consideration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test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A63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B9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alternative </w:t>
      </w:r>
      <w:r w:rsidR="00836A3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perhaps less intrusive </w:t>
      </w:r>
      <w:r w:rsidR="00FC6E6F" w:rsidRPr="007F5842">
        <w:rPr>
          <w:rFonts w:ascii="Times New Roman" w:hAnsi="Times New Roman" w:cs="Times New Roman"/>
          <w:sz w:val="24"/>
          <w:szCs w:val="24"/>
          <w:lang w:val="en-US"/>
        </w:rPr>
        <w:t>treatment methods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EAF64" w14:textId="081F76A9" w:rsidR="00563623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In 1973</w:t>
      </w:r>
      <w:r w:rsidR="002A63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Steen </w:t>
      </w:r>
      <w:proofErr w:type="spellStart"/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Bjarnhof</w:t>
      </w:r>
      <w:proofErr w:type="spellEnd"/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head of the </w:t>
      </w:r>
      <w:proofErr w:type="spellStart"/>
      <w:r w:rsidR="00256A81" w:rsidRPr="007F5842">
        <w:rPr>
          <w:rFonts w:ascii="Times New Roman" w:hAnsi="Times New Roman" w:cs="Times New Roman"/>
          <w:sz w:val="24"/>
          <w:szCs w:val="24"/>
          <w:lang w:val="en-US"/>
        </w:rPr>
        <w:t>Statens</w:t>
      </w:r>
      <w:proofErr w:type="spellEnd"/>
      <w:r w:rsidR="00256A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Museum for Kunst (Royal Danish Museum of Fine Arts)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conservation studio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, answered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questionnaire distributed by 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Stephen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Rees</w:t>
      </w:r>
      <w:r w:rsidR="00AF7F45" w:rsidRPr="007F58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Jones, 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head of the 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echnology 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epartment of </w:t>
      </w:r>
      <w:r w:rsidR="00AF7F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Courtauld</w:t>
      </w:r>
      <w:proofErr w:type="spellEnd"/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Institute of Art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>, University of London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, in advance of the</w:t>
      </w:r>
      <w:r w:rsidR="000252DD" w:rsidRPr="000252DD">
        <w:rPr>
          <w:rFonts w:ascii="Times New Roman" w:hAnsi="Times New Roman" w:cs="Times New Roman"/>
          <w:sz w:val="24"/>
          <w:szCs w:val="24"/>
          <w:lang w:val="en-US"/>
        </w:rPr>
        <w:t xml:space="preserve"> Greenwich and ICOM-CC 1975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 xml:space="preserve"> conferences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0252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252DD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>reveal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studio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’s use of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traditional materials and methods and 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ed the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deficiencies of wax-resin linings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>bec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oming</w:t>
      </w:r>
      <w:r w:rsidR="001006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slack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after wax-resin lining,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>hygroscopicity even in wax-resin linings</w:t>
      </w:r>
      <w:r w:rsidR="000252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3098" w:rsidRPr="00A03098">
        <w:rPr>
          <w:rFonts w:ascii="Times New Roman" w:hAnsi="Times New Roman" w:cs="Times New Roman"/>
          <w:sz w:val="24"/>
          <w:szCs w:val="24"/>
          <w:lang w:val="en-US"/>
        </w:rPr>
        <w:t>Bjarnhof</w:t>
      </w:r>
      <w:proofErr w:type="spellEnd"/>
      <w:r w:rsidR="00A03098" w:rsidRPr="00A03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AF7F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reported on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experiments with EVA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dispersion using 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>laminations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4BD9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r w:rsidR="00FD31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01A8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further </w:t>
      </w:r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information about </w:t>
      </w:r>
      <w:r w:rsidR="00401A8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experiments and developments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 xml:space="preserve">, such as those described </w:t>
      </w:r>
      <w:r w:rsidR="007E398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="007E398E" w:rsidRPr="007E398E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7E398E" w:rsidRPr="007E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98E">
        <w:rPr>
          <w:rFonts w:ascii="Times New Roman" w:hAnsi="Times New Roman" w:cs="Times New Roman"/>
          <w:sz w:val="24"/>
          <w:szCs w:val="24"/>
          <w:lang w:val="en-US"/>
        </w:rPr>
        <w:t>the 1960s (</w:t>
      </w:r>
      <w:r w:rsidR="00EC43DA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1963</w:t>
      </w:r>
      <w:r w:rsidR="00A74E3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9438F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E39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Bøgh</w:t>
      </w:r>
      <w:proofErr w:type="spellEnd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Ketnath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234DA9" w:rsidRPr="007F5842">
        <w:rPr>
          <w:rFonts w:ascii="Times New Roman" w:hAnsi="Times New Roman" w:cs="Times New Roman"/>
          <w:sz w:val="24"/>
          <w:szCs w:val="24"/>
          <w:lang w:val="en-US"/>
        </w:rPr>
        <w:t>EVA</w:t>
      </w:r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 adhesive </w:t>
      </w:r>
      <w:r w:rsidR="007E398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590C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>Bøgh</w:t>
      </w:r>
      <w:proofErr w:type="spellEnd"/>
      <w:r w:rsidR="00B15D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15D61" w:rsidRPr="00B15D61">
        <w:rPr>
          <w:rFonts w:ascii="Times New Roman" w:hAnsi="Times New Roman" w:cs="Times New Roman"/>
          <w:sz w:val="24"/>
          <w:szCs w:val="24"/>
          <w:lang w:val="en-US"/>
        </w:rPr>
        <w:t>Ketna</w:t>
      </w:r>
      <w:r w:rsidR="00826C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15D61" w:rsidRPr="00B15D61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B15D61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B15D61" w:rsidRPr="00B15D61">
        <w:rPr>
          <w:rFonts w:ascii="Times New Roman" w:hAnsi="Times New Roman" w:cs="Times New Roman"/>
          <w:sz w:val="24"/>
          <w:szCs w:val="24"/>
          <w:lang w:val="en-US"/>
        </w:rPr>
        <w:t>Thorvildsen</w:t>
      </w:r>
      <w:proofErr w:type="spellEnd"/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1975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15D6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0309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>Ketnath</w:t>
      </w:r>
      <w:proofErr w:type="spellEnd"/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5D6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B15D61" w:rsidRPr="00B15D61">
        <w:rPr>
          <w:rFonts w:ascii="Times New Roman" w:hAnsi="Times New Roman" w:cs="Times New Roman"/>
          <w:sz w:val="24"/>
          <w:szCs w:val="24"/>
          <w:lang w:val="en-US"/>
        </w:rPr>
        <w:t>Bøgh</w:t>
      </w:r>
      <w:proofErr w:type="spellEnd"/>
      <w:r w:rsidR="00B15D61" w:rsidRPr="00B15D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36A3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 1974, </w:t>
      </w:r>
      <w:proofErr w:type="spellStart"/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>Bjarnhof</w:t>
      </w:r>
      <w:proofErr w:type="spellEnd"/>
      <w:r w:rsidR="006134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other Danish paintings conservators attended the Greenwich conference. </w:t>
      </w:r>
    </w:p>
    <w:p w14:paraId="5EEE906C" w14:textId="77777777" w:rsidR="00401A83" w:rsidRPr="007F5842" w:rsidRDefault="00401A83" w:rsidP="00D9427B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9A357D" w14:textId="4DE72B85" w:rsidR="005B01A0" w:rsidRPr="007F5842" w:rsidRDefault="00D9427B" w:rsidP="00D9427B">
      <w:pPr>
        <w:pStyle w:val="Heading1"/>
      </w:pPr>
      <w:r w:rsidRPr="00D9427B">
        <w:rPr>
          <w:b w:val="0"/>
          <w:bCs/>
          <w:highlight w:val="yellow"/>
        </w:rPr>
        <w:t>&lt;A-head&gt;</w:t>
      </w:r>
      <w:r>
        <w:t xml:space="preserve"> </w:t>
      </w:r>
      <w:r w:rsidR="005B01A0" w:rsidRPr="007F5842">
        <w:t xml:space="preserve">Real </w:t>
      </w:r>
      <w:r w:rsidR="001B145A">
        <w:t>C</w:t>
      </w:r>
      <w:r w:rsidR="005B01A0" w:rsidRPr="007F5842">
        <w:t>ha</w:t>
      </w:r>
      <w:r w:rsidR="008241EF" w:rsidRPr="007F5842">
        <w:t>nges</w:t>
      </w:r>
      <w:r w:rsidR="00734CD0">
        <w:t>—T</w:t>
      </w:r>
      <w:r w:rsidR="001C516B" w:rsidRPr="007F5842">
        <w:t>he School of Conservation</w:t>
      </w:r>
      <w:r w:rsidR="004E6189" w:rsidRPr="007F5842">
        <w:t xml:space="preserve"> </w:t>
      </w:r>
      <w:r w:rsidR="00C60D9D">
        <w:t xml:space="preserve">Is </w:t>
      </w:r>
      <w:r w:rsidR="00C60D9D" w:rsidRPr="007F5842">
        <w:t xml:space="preserve">Established </w:t>
      </w:r>
    </w:p>
    <w:p w14:paraId="422CB409" w14:textId="28D1C438" w:rsidR="001C516B" w:rsidRPr="007F5842" w:rsidRDefault="00156D80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 the time of the </w:t>
      </w:r>
      <w:r>
        <w:rPr>
          <w:rFonts w:ascii="Times New Roman" w:hAnsi="Times New Roman" w:cs="Times New Roman"/>
          <w:sz w:val="24"/>
          <w:szCs w:val="24"/>
          <w:lang w:val="en-US"/>
        </w:rPr>
        <w:t>Greenwich c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onference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D80">
        <w:rPr>
          <w:rFonts w:ascii="Times New Roman" w:hAnsi="Times New Roman" w:cs="Times New Roman"/>
          <w:sz w:val="24"/>
          <w:szCs w:val="24"/>
          <w:lang w:val="en-US"/>
        </w:rPr>
        <w:t>Royal Danish Academy of Fine Arts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School of Conservation had been functioning for about a year.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1A83" w:rsidRPr="007F5842">
        <w:rPr>
          <w:rFonts w:ascii="Times New Roman" w:hAnsi="Times New Roman" w:cs="Times New Roman"/>
          <w:sz w:val="24"/>
          <w:szCs w:val="24"/>
          <w:lang w:val="en-US"/>
        </w:rPr>
        <w:t>founding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educational program </w:t>
      </w:r>
      <w:r w:rsidR="009C76A8" w:rsidRPr="007F5842">
        <w:rPr>
          <w:rFonts w:ascii="Times New Roman" w:hAnsi="Times New Roman" w:cs="Times New Roman"/>
          <w:sz w:val="24"/>
          <w:szCs w:val="24"/>
          <w:lang w:val="en-US"/>
        </w:rPr>
        <w:t>in 1973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resulted in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>a major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A83" w:rsidRPr="007F5842">
        <w:rPr>
          <w:rFonts w:ascii="Times New Roman" w:hAnsi="Times New Roman" w:cs="Times New Roman"/>
          <w:sz w:val="24"/>
          <w:szCs w:val="24"/>
          <w:lang w:val="en-US"/>
        </w:rPr>
        <w:t>planned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 w:rsidR="004E618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the field of paintings conservation in Denmark</w:t>
      </w:r>
      <w:r>
        <w:rPr>
          <w:rFonts w:ascii="Times New Roman" w:hAnsi="Times New Roman" w:cs="Times New Roman"/>
          <w:sz w:val="24"/>
          <w:szCs w:val="24"/>
          <w:lang w:val="en-US"/>
        </w:rPr>
        <w:t>—n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ot at first, perhaps, but gradually </w:t>
      </w:r>
      <w:r w:rsidR="009C76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>the following years</w:t>
      </w:r>
      <w:r w:rsidR="00D61964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5109A" w14:textId="5361BB08" w:rsidR="0069534D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 entered </w:t>
      </w:r>
      <w:r w:rsidR="009C76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paintings conservation program as part of the third admission of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undergraduate</w:t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students in conservation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52433" w:rsidRPr="007F5842">
        <w:rPr>
          <w:rFonts w:ascii="Times New Roman" w:hAnsi="Times New Roman" w:cs="Times New Roman"/>
          <w:sz w:val="24"/>
          <w:szCs w:val="24"/>
          <w:lang w:val="en-US"/>
        </w:rPr>
        <w:t>late August</w:t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1977. 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31116" w:rsidRPr="007F5842">
        <w:rPr>
          <w:rFonts w:ascii="Times New Roman" w:hAnsi="Times New Roman" w:cs="Times New Roman"/>
          <w:sz w:val="24"/>
          <w:szCs w:val="24"/>
          <w:lang w:val="en-US"/>
        </w:rPr>
        <w:t>here had been many challenges in setting up a training program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during the first four years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1977 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 xml:space="preserve">found 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>a three-year educational program with quite a</w:t>
      </w:r>
      <w:r w:rsidR="00A5243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structured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curriculum. We 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>attended</w:t>
      </w:r>
      <w:r w:rsidR="00156D8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>lectures</w:t>
      </w:r>
      <w:r w:rsidR="008048C0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64F6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undertook </w:t>
      </w:r>
      <w:r w:rsidR="00B7385F" w:rsidRPr="007F5842">
        <w:rPr>
          <w:rFonts w:ascii="Times New Roman" w:hAnsi="Times New Roman" w:cs="Times New Roman"/>
          <w:sz w:val="24"/>
          <w:szCs w:val="24"/>
          <w:lang w:val="en-US"/>
        </w:rPr>
        <w:t>a lot of practical work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911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exercises,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practiced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extensive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1B5" w:rsidRPr="007F5842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08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including photographic 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and X-ray </w:t>
      </w:r>
      <w:r w:rsidR="00E50845" w:rsidRPr="007F5842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="00156D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11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64F65" w:rsidRPr="007F5842">
        <w:rPr>
          <w:rFonts w:ascii="Times New Roman" w:hAnsi="Times New Roman" w:cs="Times New Roman"/>
          <w:sz w:val="24"/>
          <w:szCs w:val="24"/>
          <w:lang w:val="en-US"/>
        </w:rPr>
        <w:t>icroscopy was the main analytical technique available to study a painting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64F6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A5243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surfaces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43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64F6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layered structure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>horough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process of 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documenting observations, </w:t>
      </w:r>
      <w:r w:rsidR="00E50845" w:rsidRPr="007F5842">
        <w:rPr>
          <w:rFonts w:ascii="Times New Roman" w:hAnsi="Times New Roman" w:cs="Times New Roman"/>
          <w:sz w:val="24"/>
          <w:szCs w:val="24"/>
          <w:lang w:val="en-US"/>
        </w:rPr>
        <w:t>reflections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>, descriptions</w:t>
      </w:r>
      <w:r w:rsidR="002816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and errors 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considered a major leap forward in the professionalization of the field</w:t>
      </w:r>
      <w:r w:rsidR="002816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F3378">
        <w:rPr>
          <w:rFonts w:ascii="Times New Roman" w:hAnsi="Times New Roman" w:cs="Times New Roman"/>
          <w:sz w:val="24"/>
          <w:szCs w:val="24"/>
          <w:lang w:val="en-US"/>
        </w:rPr>
        <w:t xml:space="preserve">underscored the importance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816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compil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="00281620" w:rsidRPr="007F5842">
        <w:rPr>
          <w:rFonts w:ascii="Times New Roman" w:hAnsi="Times New Roman" w:cs="Times New Roman"/>
          <w:sz w:val="24"/>
          <w:szCs w:val="24"/>
          <w:lang w:val="en-US"/>
        </w:rPr>
        <w:t>empirical knowledge for future use</w:t>
      </w:r>
      <w:r w:rsidR="008752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oursework 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>based on established treatment techniques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, but we were also introduced 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new techniques and materials </w:t>
      </w:r>
      <w:r w:rsidR="0098439B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>directed by teachers</w:t>
      </w:r>
      <w:r w:rsidR="006B7DF7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51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D80C67" w14:textId="4178ECD2" w:rsidR="005F527B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The available literature was limited.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Descriptions of 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established techniques were 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provided by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copies of the small Greenwich offprints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816A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useful 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>Handbook of Terms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see 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>Percival-Prescott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 xml:space="preserve"> and Lewis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52433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Bent </w:t>
      </w:r>
      <w:proofErr w:type="spellStart"/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others presented new developments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discussing the outcome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Greenwich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conference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the innovations of 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Mehra and Berger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 suction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43C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table techniques 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>termed</w:t>
      </w:r>
      <w:r w:rsidR="00FA20A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AE6" w:rsidRPr="006779A1">
        <w:rPr>
          <w:rFonts w:ascii="Times New Roman" w:hAnsi="Times New Roman" w:cs="Times New Roman"/>
          <w:i/>
          <w:iCs/>
          <w:sz w:val="24"/>
          <w:szCs w:val="24"/>
          <w:lang w:val="en-US"/>
        </w:rPr>
        <w:t>low-pressure techniques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) since the 1960</w:t>
      </w:r>
      <w:r w:rsidR="00FA20AC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43DA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1963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92AE6" w:rsidRPr="007F584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A0BE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2A4C1C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1C" w:rsidRPr="007F5842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34CD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793A4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1978</w:t>
      </w:r>
      <w:r w:rsidR="001B14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1701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 1979 the School of Conservation received its first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="00F1701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built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-p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ressure 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, which he had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designed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held a </w:t>
      </w:r>
      <w:r w:rsidR="00027E98" w:rsidRPr="007F5842">
        <w:rPr>
          <w:rFonts w:ascii="Times New Roman" w:hAnsi="Times New Roman" w:cs="Times New Roman"/>
          <w:sz w:val="24"/>
          <w:szCs w:val="24"/>
          <w:lang w:val="en-US"/>
        </w:rPr>
        <w:t>seminar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September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>that year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>students on suction</w:t>
      </w:r>
      <w:r w:rsidR="00F038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01124" w:rsidRPr="007F5842">
        <w:rPr>
          <w:rFonts w:ascii="Times New Roman" w:hAnsi="Times New Roman" w:cs="Times New Roman"/>
          <w:sz w:val="24"/>
          <w:szCs w:val="24"/>
          <w:lang w:val="en-US"/>
        </w:rPr>
        <w:t>table techniques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 xml:space="preserve">in which we tried 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>out the equipment and discuss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0A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or options 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for treatments.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0262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1E6B0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similar to those proposed by </w:t>
      </w:r>
      <w:r w:rsidR="005513F7" w:rsidRPr="007F5842">
        <w:rPr>
          <w:rFonts w:ascii="Times New Roman" w:hAnsi="Times New Roman" w:cs="Times New Roman"/>
          <w:sz w:val="24"/>
          <w:szCs w:val="24"/>
          <w:lang w:val="en-US"/>
        </w:rPr>
        <w:t>Mehra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A20A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8" w:history="1">
        <w:r w:rsidR="00A9768C" w:rsidRPr="00FE48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Andersen</w:t>
        </w:r>
        <w:r w:rsidR="00305B42" w:rsidRPr="00FE48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essay 21</w:t>
        </w:r>
      </w:hyperlink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consisted of</w:t>
      </w:r>
      <w:r w:rsidR="000262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set of principles, requirements, </w:t>
      </w:r>
      <w:r w:rsidR="00FA20A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options,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methods 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 xml:space="preserve">guided by 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philosophy that had formed over the previous years and constituted the basis for the </w:t>
      </w:r>
      <w:r w:rsidR="000262ED" w:rsidRPr="007F5842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0262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>as well as the techniques</w:t>
      </w:r>
      <w:r w:rsidR="000262ED">
        <w:rPr>
          <w:rFonts w:ascii="Times New Roman" w:hAnsi="Times New Roman" w:cs="Times New Roman"/>
          <w:sz w:val="24"/>
          <w:szCs w:val="24"/>
          <w:lang w:val="en-US"/>
        </w:rPr>
        <w:t xml:space="preserve"> employed</w:t>
      </w:r>
      <w:r w:rsidR="00A9768C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7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seminar </w:t>
      </w:r>
      <w:r w:rsidR="00B05231" w:rsidRPr="007F5842">
        <w:rPr>
          <w:rFonts w:ascii="Times New Roman" w:hAnsi="Times New Roman" w:cs="Times New Roman"/>
          <w:sz w:val="24"/>
          <w:szCs w:val="24"/>
          <w:lang w:val="en-US"/>
        </w:rPr>
        <w:t>caused quite a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stir</w:t>
      </w:r>
      <w:r w:rsidR="00B05231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27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 the new equipment, the new techniques,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27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whole approach </w:t>
      </w:r>
      <w:r w:rsidR="00347BBA">
        <w:rPr>
          <w:rFonts w:ascii="Times New Roman" w:hAnsi="Times New Roman" w:cs="Times New Roman"/>
          <w:sz w:val="24"/>
          <w:szCs w:val="24"/>
          <w:lang w:val="en-US"/>
        </w:rPr>
        <w:t xml:space="preserve">offered </w:t>
      </w:r>
      <w:r w:rsidR="00027E98" w:rsidRPr="007F5842">
        <w:rPr>
          <w:rFonts w:ascii="Times New Roman" w:hAnsi="Times New Roman" w:cs="Times New Roman"/>
          <w:sz w:val="24"/>
          <w:szCs w:val="24"/>
          <w:lang w:val="en-US"/>
        </w:rPr>
        <w:t>interesting alternatives to the techniques we had tried during the previous years of coursework</w:t>
      </w:r>
      <w:r w:rsidR="00347BB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had,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231" w:rsidRPr="007F5842">
        <w:rPr>
          <w:rFonts w:ascii="Times New Roman" w:hAnsi="Times New Roman" w:cs="Times New Roman"/>
          <w:sz w:val="24"/>
          <w:szCs w:val="24"/>
          <w:lang w:val="en-US"/>
        </w:rPr>
        <w:t>we understood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been intens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ely discussed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Greenwich.</w:t>
      </w:r>
    </w:p>
    <w:p w14:paraId="787893B2" w14:textId="38908A66" w:rsidR="009D2E22" w:rsidRPr="007F5842" w:rsidRDefault="006779A1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527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5F527B">
        <w:rPr>
          <w:rFonts w:ascii="Times New Roman" w:hAnsi="Times New Roman" w:cs="Times New Roman"/>
          <w:sz w:val="24"/>
          <w:szCs w:val="24"/>
          <w:lang w:val="en-US"/>
        </w:rPr>
        <w:t xml:space="preserve">had also begun to 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follow conservators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who were 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>beginning to publish</w:t>
      </w:r>
      <w:r w:rsidR="005A21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post-Greenwich 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information on canvas painting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its response</w:t>
      </w:r>
      <w:r w:rsidR="003A42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during treatment. 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>Everything taken together though, t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 be honest, 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 xml:space="preserve">made us 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feel somewhat lost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 xml:space="preserve">We were 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trying to understand the real </w:t>
      </w:r>
      <w:r w:rsidR="005A2168" w:rsidRPr="007F5842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the more established techniques 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5A21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understand </w:t>
      </w:r>
      <w:r w:rsidR="009D2E22" w:rsidRPr="007F5842">
        <w:rPr>
          <w:rFonts w:ascii="Times New Roman" w:hAnsi="Times New Roman" w:cs="Times New Roman"/>
          <w:sz w:val="24"/>
          <w:szCs w:val="24"/>
          <w:lang w:val="en-US"/>
        </w:rPr>
        <w:t>how the new techniques worked.</w:t>
      </w:r>
      <w:r w:rsidR="005E077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It was obvious that more information or knowledge w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E077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needed, but we tried to follow the publications and the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views expressed</w:t>
      </w:r>
      <w:r w:rsidR="005E077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0198">
        <w:rPr>
          <w:rFonts w:ascii="Times New Roman" w:hAnsi="Times New Roman" w:cs="Times New Roman"/>
          <w:sz w:val="24"/>
          <w:szCs w:val="24"/>
          <w:lang w:val="en-US"/>
        </w:rPr>
        <w:t>though they</w:t>
      </w:r>
      <w:r w:rsidR="005301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777" w:rsidRPr="007F5842">
        <w:rPr>
          <w:rFonts w:ascii="Times New Roman" w:hAnsi="Times New Roman" w:cs="Times New Roman"/>
          <w:sz w:val="24"/>
          <w:szCs w:val="24"/>
          <w:lang w:val="en-US"/>
        </w:rPr>
        <w:t>at times conflict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ed somewhat with the views </w:t>
      </w:r>
      <w:r w:rsidR="00863B4C" w:rsidRPr="007F584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E077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our teachers and tutors.</w:t>
      </w:r>
      <w:r w:rsidR="0003097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There was a clear</w:t>
      </w:r>
      <w:r w:rsidR="00863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trend towards less intervention, or even no intervention, 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raising the </w:t>
      </w:r>
      <w:r w:rsidR="00863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63B4C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lastRenderedPageBreak/>
        <w:t>whether to treat or not to treat</w:t>
      </w:r>
      <w:r w:rsidR="00AF1784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 a given painting</w:t>
      </w:r>
      <w:r w:rsidR="00530198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.</w:t>
      </w:r>
      <w:r w:rsidR="00AF1784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198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A</w:t>
      </w:r>
      <w:r w:rsidR="00AF1784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nd if treatment </w:t>
      </w:r>
      <w:r w:rsidR="00530198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F1784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preferable, how </w:t>
      </w:r>
      <w:r w:rsidR="00530198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 xml:space="preserve">were we </w:t>
      </w:r>
      <w:r w:rsidR="00AF1784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to approach it?</w:t>
      </w:r>
    </w:p>
    <w:p w14:paraId="4E061D47" w14:textId="5B9E0F2C" w:rsidR="00A9768C" w:rsidRPr="007F5842" w:rsidRDefault="00A9768C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D102D7" w14:textId="74ADBFE0" w:rsidR="00D1474F" w:rsidRPr="007F5842" w:rsidRDefault="00D9427B" w:rsidP="00D9427B">
      <w:pPr>
        <w:pStyle w:val="Heading1"/>
      </w:pPr>
      <w:r w:rsidRPr="00D9427B">
        <w:rPr>
          <w:b w:val="0"/>
          <w:bCs/>
          <w:highlight w:val="yellow"/>
        </w:rPr>
        <w:t>&lt;A-head&gt;</w:t>
      </w:r>
      <w:r>
        <w:t xml:space="preserve"> </w:t>
      </w:r>
      <w:r w:rsidR="00F17013">
        <w:t>C</w:t>
      </w:r>
      <w:r w:rsidR="00A9768C" w:rsidRPr="007F5842">
        <w:t xml:space="preserve">ase </w:t>
      </w:r>
      <w:r w:rsidR="006779A1" w:rsidRPr="007F5842">
        <w:t>Study</w:t>
      </w:r>
      <w:r w:rsidR="00F17013">
        <w:t>—B</w:t>
      </w:r>
      <w:r w:rsidR="00027E98" w:rsidRPr="007F5842">
        <w:t>achelor</w:t>
      </w:r>
      <w:r w:rsidR="00F17013">
        <w:t>’s</w:t>
      </w:r>
      <w:r w:rsidR="00027E98" w:rsidRPr="007F5842">
        <w:t xml:space="preserve"> </w:t>
      </w:r>
      <w:r w:rsidR="00C60D9D" w:rsidRPr="007F5842">
        <w:t>Thesis Work</w:t>
      </w:r>
      <w:r w:rsidR="00F17013">
        <w:t>,</w:t>
      </w:r>
      <w:r w:rsidR="00027E98" w:rsidRPr="007F5842">
        <w:t xml:space="preserve"> 1979</w:t>
      </w:r>
      <w:r w:rsidR="00F17013">
        <w:t>–</w:t>
      </w:r>
      <w:r w:rsidR="00027E98" w:rsidRPr="007F5842">
        <w:t>1980</w:t>
      </w:r>
    </w:p>
    <w:p w14:paraId="46484E75" w14:textId="4E188536" w:rsidR="00AF1784" w:rsidRPr="007F5842" w:rsidRDefault="00D9427B" w:rsidP="00D9427B">
      <w:pPr>
        <w:pStyle w:val="Heading2"/>
      </w:pPr>
      <w:r w:rsidRPr="00D9427B">
        <w:rPr>
          <w:b w:val="0"/>
          <w:bCs/>
          <w:highlight w:val="yellow"/>
        </w:rPr>
        <w:t>&lt;B-head&gt;</w:t>
      </w:r>
      <w:r>
        <w:t xml:space="preserve"> </w:t>
      </w:r>
      <w:r w:rsidR="002A4C1C" w:rsidRPr="00D9427B">
        <w:rPr>
          <w:i/>
          <w:iCs/>
        </w:rPr>
        <w:t>T</w:t>
      </w:r>
      <w:r w:rsidR="00AF1784" w:rsidRPr="00D9427B">
        <w:rPr>
          <w:i/>
          <w:iCs/>
        </w:rPr>
        <w:t xml:space="preserve">he </w:t>
      </w:r>
      <w:r w:rsidR="00860E93" w:rsidRPr="00D9427B">
        <w:rPr>
          <w:i/>
          <w:iCs/>
        </w:rPr>
        <w:t>T</w:t>
      </w:r>
      <w:r w:rsidR="00AF1784" w:rsidRPr="00D9427B">
        <w:rPr>
          <w:i/>
          <w:iCs/>
        </w:rPr>
        <w:t xml:space="preserve">hesis </w:t>
      </w:r>
      <w:r w:rsidR="00860E93" w:rsidRPr="00D9427B">
        <w:rPr>
          <w:i/>
          <w:iCs/>
        </w:rPr>
        <w:t>P</w:t>
      </w:r>
      <w:r w:rsidR="00AF1784" w:rsidRPr="00D9427B">
        <w:rPr>
          <w:i/>
          <w:iCs/>
        </w:rPr>
        <w:t>roposal</w:t>
      </w:r>
    </w:p>
    <w:p w14:paraId="77F27D15" w14:textId="51C39FBA" w:rsidR="00EC4BFF" w:rsidRPr="007F5842" w:rsidRDefault="005E0777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illustrate the introduction of the new techniques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conservation community in Denmark, I have </w:t>
      </w:r>
      <w:r w:rsidR="00AF1784" w:rsidRPr="007F5842">
        <w:rPr>
          <w:rFonts w:ascii="Times New Roman" w:hAnsi="Times New Roman" w:cs="Times New Roman"/>
          <w:sz w:val="24"/>
          <w:szCs w:val="24"/>
          <w:lang w:val="en-US"/>
        </w:rPr>
        <w:t>retrieved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bachelor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="001B0D1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AF17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 xml:space="preserve">which was </w:t>
      </w:r>
      <w:r w:rsidR="00AF1784" w:rsidRPr="007F5842">
        <w:rPr>
          <w:rFonts w:ascii="Times New Roman" w:hAnsi="Times New Roman" w:cs="Times New Roman"/>
          <w:sz w:val="24"/>
          <w:szCs w:val="24"/>
          <w:lang w:val="en-US"/>
        </w:rPr>
        <w:t>based on thesis work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 xml:space="preserve">done over six months in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1979 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>1980</w:t>
      </w:r>
      <w:r w:rsidR="00283858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83858">
        <w:rPr>
          <w:rFonts w:ascii="Times New Roman" w:hAnsi="Times New Roman" w:cs="Times New Roman"/>
          <w:sz w:val="24"/>
          <w:szCs w:val="24"/>
          <w:lang w:val="en-US"/>
        </w:rPr>
        <w:t>Scharff 1980}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8385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AF17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serve as an example of 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8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 xml:space="preserve">knowledge and understanding used at the time </w:t>
      </w:r>
      <w:r w:rsidR="00A33A99" w:rsidRPr="007F5842">
        <w:rPr>
          <w:rFonts w:ascii="Times New Roman" w:hAnsi="Times New Roman" w:cs="Times New Roman"/>
          <w:sz w:val="24"/>
          <w:szCs w:val="24"/>
          <w:lang w:val="en-US"/>
        </w:rPr>
        <w:t>for making decisions</w:t>
      </w:r>
      <w:r w:rsidR="00A33A99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E3745D" w:rsidRPr="007F5842">
        <w:rPr>
          <w:rFonts w:ascii="Times New Roman" w:hAnsi="Times New Roman" w:cs="Times New Roman"/>
          <w:sz w:val="24"/>
          <w:szCs w:val="24"/>
          <w:lang w:val="en-US"/>
        </w:rPr>
        <w:t>from a student</w:t>
      </w:r>
      <w:r w:rsidR="00643B3F" w:rsidRPr="007F5842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E3745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point of view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thesis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>subject was a</w:t>
      </w:r>
      <w:r w:rsidR="00003D5F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30B">
        <w:rPr>
          <w:rFonts w:ascii="Times New Roman" w:hAnsi="Times New Roman" w:cs="Times New Roman"/>
          <w:sz w:val="24"/>
          <w:szCs w:val="24"/>
          <w:lang w:val="en-US"/>
        </w:rPr>
        <w:t>seventeen</w:t>
      </w:r>
      <w:proofErr w:type="spellStart"/>
      <w:r w:rsidR="004E4012" w:rsidRPr="006779A1">
        <w:rPr>
          <w:rFonts w:ascii="Times New Roman" w:hAnsi="Times New Roman" w:cs="Times New Roman"/>
          <w:sz w:val="24"/>
          <w:szCs w:val="24"/>
          <w:lang w:val="en-GB"/>
        </w:rPr>
        <w:t>th</w:t>
      </w:r>
      <w:proofErr w:type="spellEnd"/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>century painting in rather deteriorated condition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 xml:space="preserve"> that had been lined with </w:t>
      </w:r>
      <w:r w:rsidR="00C746D7" w:rsidRPr="00C746D7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6D7" w:rsidRPr="00C746D7">
        <w:rPr>
          <w:rFonts w:ascii="Times New Roman" w:hAnsi="Times New Roman" w:cs="Times New Roman"/>
          <w:sz w:val="24"/>
          <w:szCs w:val="24"/>
          <w:lang w:val="en-US"/>
        </w:rPr>
        <w:t>paste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Structurally, the lining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no longer served a function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C7B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paint </w:t>
      </w:r>
      <w:r w:rsidR="00FC7B53" w:rsidRPr="007F5842">
        <w:rPr>
          <w:rFonts w:ascii="Times New Roman" w:hAnsi="Times New Roman" w:cs="Times New Roman"/>
          <w:sz w:val="24"/>
          <w:szCs w:val="24"/>
          <w:lang w:val="en-US"/>
        </w:rPr>
        <w:t>layers were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45D" w:rsidRPr="007F5842">
        <w:rPr>
          <w:rFonts w:ascii="Times New Roman" w:hAnsi="Times New Roman" w:cs="Times New Roman"/>
          <w:sz w:val="24"/>
          <w:szCs w:val="24"/>
          <w:lang w:val="en-US"/>
        </w:rPr>
        <w:t>cupped</w:t>
      </w:r>
      <w:r w:rsidR="000B5E1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all over the </w:t>
      </w:r>
      <w:r w:rsidR="0003666F" w:rsidRPr="007F5842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the varnish had become</w:t>
      </w:r>
      <w:r w:rsidR="00E3745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012" w:rsidRPr="007F5842">
        <w:rPr>
          <w:rFonts w:ascii="Times New Roman" w:hAnsi="Times New Roman" w:cs="Times New Roman"/>
          <w:sz w:val="24"/>
          <w:szCs w:val="24"/>
          <w:lang w:val="en-US"/>
        </w:rPr>
        <w:t>opaque</w:t>
      </w:r>
      <w:r w:rsidR="00264CA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Having established and documented the condition and the problems, 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746D7" w:rsidRPr="00C746D7">
        <w:rPr>
          <w:rFonts w:ascii="Times New Roman" w:hAnsi="Times New Roman" w:cs="Times New Roman"/>
          <w:sz w:val="24"/>
          <w:szCs w:val="24"/>
          <w:lang w:val="en-US"/>
        </w:rPr>
        <w:t xml:space="preserve">he student 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 xml:space="preserve">was to propose </w:t>
      </w:r>
      <w:r w:rsidR="00264CAF" w:rsidRPr="007F5842">
        <w:rPr>
          <w:rFonts w:ascii="Times New Roman" w:hAnsi="Times New Roman" w:cs="Times New Roman"/>
          <w:sz w:val="24"/>
          <w:szCs w:val="24"/>
          <w:lang w:val="en-US"/>
        </w:rPr>
        <w:t>a treatment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64CA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BFC" w:rsidRPr="007F5842">
        <w:rPr>
          <w:rFonts w:ascii="Times New Roman" w:hAnsi="Times New Roman" w:cs="Times New Roman"/>
          <w:sz w:val="24"/>
          <w:szCs w:val="24"/>
          <w:lang w:val="en-US"/>
        </w:rPr>
        <w:t>either</w:t>
      </w:r>
      <w:r w:rsidR="00264CA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A45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B758B" w:rsidRPr="007F58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35A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established method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635A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58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well-known </w:t>
      </w:r>
      <w:r w:rsidR="00635A45" w:rsidRPr="007F5842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C4BF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where arguments were less necessary, as it was the normal choice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35A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CAF" w:rsidRPr="007F584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F5C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one of the new, somewhat experimental (not well</w:t>
      </w:r>
      <w:r w:rsidR="00C7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CF6" w:rsidRPr="007F5842">
        <w:rPr>
          <w:rFonts w:ascii="Times New Roman" w:hAnsi="Times New Roman" w:cs="Times New Roman"/>
          <w:sz w:val="24"/>
          <w:szCs w:val="24"/>
          <w:lang w:val="en-US"/>
        </w:rPr>
        <w:t>established) method</w:t>
      </w:r>
      <w:r w:rsidR="00FC7B53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B758B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5C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95A">
        <w:rPr>
          <w:rFonts w:ascii="Times New Roman" w:hAnsi="Times New Roman" w:cs="Times New Roman"/>
          <w:sz w:val="24"/>
          <w:szCs w:val="24"/>
          <w:lang w:val="en-US"/>
        </w:rPr>
        <w:t xml:space="preserve">which would need to be supported by arguments in its favor and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="007909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46CC7" w:rsidRPr="007F5842">
        <w:rPr>
          <w:rFonts w:ascii="Times New Roman" w:hAnsi="Times New Roman" w:cs="Times New Roman"/>
          <w:sz w:val="24"/>
          <w:szCs w:val="24"/>
          <w:lang w:val="en-US"/>
        </w:rPr>
        <w:t>publications</w:t>
      </w:r>
      <w:r w:rsidR="00EC4BF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1BE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C4BF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9A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C4BFF" w:rsidRPr="007F5842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r w:rsidR="005F4EFF">
        <w:rPr>
          <w:rFonts w:ascii="Times New Roman" w:hAnsi="Times New Roman" w:cs="Times New Roman"/>
          <w:sz w:val="24"/>
          <w:szCs w:val="24"/>
          <w:lang w:val="en-US"/>
        </w:rPr>
        <w:t xml:space="preserve"> they made</w:t>
      </w:r>
      <w:r w:rsidR="00346CC7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seriously propose </w:t>
      </w:r>
      <w:r w:rsidR="00C06B9A" w:rsidRPr="007F5842">
        <w:rPr>
          <w:rFonts w:ascii="Times New Roman" w:hAnsi="Times New Roman" w:cs="Times New Roman"/>
          <w:sz w:val="24"/>
          <w:szCs w:val="24"/>
          <w:lang w:val="en-US"/>
        </w:rPr>
        <w:t>not to treat was not yet an option</w:t>
      </w:r>
      <w:r w:rsidR="001568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a student thesis</w:t>
      </w:r>
      <w:r w:rsidR="00C06B9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My suggestion, to try 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E57C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new approach, was 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>accepted</w:t>
      </w:r>
      <w:r w:rsidR="00FC7B53" w:rsidRPr="007F5842">
        <w:rPr>
          <w:rFonts w:ascii="Times New Roman" w:hAnsi="Times New Roman" w:cs="Times New Roman"/>
          <w:sz w:val="24"/>
          <w:szCs w:val="24"/>
          <w:lang w:val="en-US"/>
        </w:rPr>
        <w:t>, and I began a quest for the literature and arguments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06B9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0FFFB2" w14:textId="70D86754" w:rsidR="009B4809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568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addition to a few 1950s publications </w:t>
      </w:r>
      <w:proofErr w:type="gramStart"/>
      <w:r w:rsidR="001568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on the subject of </w:t>
      </w:r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70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then-new </w:t>
      </w:r>
      <w:r w:rsidR="009B4809" w:rsidRPr="007F5842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809" w:rsidRPr="007F5842">
        <w:rPr>
          <w:rFonts w:ascii="Times New Roman" w:hAnsi="Times New Roman" w:cs="Times New Roman"/>
          <w:sz w:val="24"/>
          <w:szCs w:val="24"/>
          <w:lang w:val="en-US"/>
        </w:rPr>
        <w:t>tables and vacuum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809" w:rsidRPr="007F5842">
        <w:rPr>
          <w:rFonts w:ascii="Times New Roman" w:hAnsi="Times New Roman" w:cs="Times New Roman"/>
          <w:sz w:val="24"/>
          <w:szCs w:val="24"/>
          <w:lang w:val="en-US"/>
        </w:rPr>
        <w:t>hot tables</w:t>
      </w:r>
      <w:r w:rsidR="007C71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e.g.,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775949" w:rsidRPr="007F5842">
        <w:rPr>
          <w:rFonts w:ascii="Times New Roman" w:hAnsi="Times New Roman" w:cs="Times New Roman"/>
          <w:sz w:val="24"/>
          <w:szCs w:val="24"/>
          <w:lang w:val="en-US"/>
        </w:rPr>
        <w:t>Ruhemann</w:t>
      </w:r>
      <w:proofErr w:type="spellEnd"/>
      <w:r w:rsidR="007A5F69">
        <w:rPr>
          <w:rFonts w:ascii="Times New Roman" w:hAnsi="Times New Roman" w:cs="Times New Roman"/>
          <w:sz w:val="24"/>
          <w:szCs w:val="24"/>
          <w:lang w:val="en-US"/>
        </w:rPr>
        <w:t xml:space="preserve"> 1952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53762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688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>select p</w:t>
      </w:r>
      <w:r w:rsidR="00A450B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ublications from the 1960s 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>provid</w:t>
      </w:r>
      <w:r w:rsidR="00A450B8" w:rsidRPr="007F584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critical views on the</w:t>
      </w:r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lining techniques</w:t>
      </w:r>
      <w:r w:rsidR="00A450B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36F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pecific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D8D" w:rsidRPr="007F5842">
        <w:rPr>
          <w:rFonts w:ascii="Times New Roman" w:hAnsi="Times New Roman" w:cs="Times New Roman"/>
          <w:sz w:val="24"/>
          <w:szCs w:val="24"/>
          <w:lang w:val="en-US"/>
        </w:rPr>
        <w:t>issues of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vacuum hot table 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practice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>Brachert</w:t>
      </w:r>
      <w:proofErr w:type="spellEnd"/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1965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5376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5F69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7A5F69" w:rsidRPr="007F5842">
        <w:rPr>
          <w:rFonts w:ascii="Times New Roman" w:hAnsi="Times New Roman" w:cs="Times New Roman"/>
          <w:sz w:val="24"/>
          <w:szCs w:val="24"/>
          <w:lang w:val="en-US"/>
        </w:rPr>
        <w:t>Linard</w:t>
      </w:r>
      <w:proofErr w:type="spellEnd"/>
      <w:r w:rsidR="007A5F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1965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7A5F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>Straub 1965</w:t>
      </w:r>
      <w:r w:rsidR="007A5F6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50B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B54B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lternative solutions 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drawbacks 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C36F3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established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newer lining technique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76D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were published 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>Berger 1965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>Berger 1966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F32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C36F32" w:rsidRPr="004B2E50">
        <w:rPr>
          <w:rFonts w:ascii="Times New Roman" w:hAnsi="Times New Roman" w:cs="Times New Roman"/>
          <w:sz w:val="24"/>
          <w:szCs w:val="24"/>
          <w:lang w:val="en-US"/>
        </w:rPr>
        <w:t>Etchinson</w:t>
      </w:r>
      <w:proofErr w:type="spellEnd"/>
      <w:r w:rsidR="00C36F32" w:rsidRPr="004B2E50">
        <w:rPr>
          <w:rFonts w:ascii="Times New Roman" w:hAnsi="Times New Roman" w:cs="Times New Roman"/>
          <w:sz w:val="24"/>
          <w:szCs w:val="24"/>
          <w:lang w:val="en-US"/>
        </w:rPr>
        <w:t xml:space="preserve"> 1969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1C2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1BA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21BA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1C21B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1963</w:t>
      </w:r>
      <w:r w:rsidR="001C21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C21BA" w:rsidRPr="007F584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1C21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C2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B70DD" w:rsidRPr="007F5842">
        <w:rPr>
          <w:rFonts w:ascii="Times New Roman" w:hAnsi="Times New Roman" w:cs="Times New Roman"/>
          <w:sz w:val="24"/>
          <w:szCs w:val="24"/>
          <w:lang w:val="en-US"/>
        </w:rPr>
        <w:t>Wales 1968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B2E50">
        <w:rPr>
          <w:rFonts w:ascii="Times New Roman" w:hAnsi="Times New Roman" w:cs="Times New Roman"/>
          <w:sz w:val="24"/>
          <w:szCs w:val="24"/>
          <w:lang w:val="en-US"/>
        </w:rPr>
        <w:t>})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2EA3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ome publications took </w:t>
      </w:r>
      <w:r w:rsidR="00C23C29" w:rsidRPr="007F5842">
        <w:rPr>
          <w:rFonts w:ascii="Times New Roman" w:hAnsi="Times New Roman" w:cs="Times New Roman"/>
          <w:sz w:val="24"/>
          <w:szCs w:val="24"/>
          <w:lang w:val="en-US"/>
        </w:rPr>
        <w:t>a different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392EA3" w:rsidRPr="007F58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>roach</w:t>
      </w:r>
      <w:r w:rsidR="00C36F32" w:rsidRPr="00C36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that was </w:t>
      </w:r>
      <w:r w:rsidR="00C36F32" w:rsidRPr="007F5842">
        <w:rPr>
          <w:rFonts w:ascii="Times New Roman" w:hAnsi="Times New Roman" w:cs="Times New Roman"/>
          <w:sz w:val="24"/>
          <w:szCs w:val="24"/>
          <w:lang w:val="en-US"/>
        </w:rPr>
        <w:t>new to me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22B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attempting to 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>defin</w:t>
      </w:r>
      <w:r w:rsidR="001222BE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some of the deterioration mechanisms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6F32">
        <w:rPr>
          <w:rFonts w:ascii="Times New Roman" w:hAnsi="Times New Roman" w:cs="Times New Roman"/>
          <w:sz w:val="24"/>
          <w:szCs w:val="24"/>
          <w:lang w:val="en-US"/>
        </w:rPr>
        <w:t xml:space="preserve">e.g.,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650C3" w:rsidRPr="007F5842">
        <w:rPr>
          <w:rFonts w:ascii="Times New Roman" w:hAnsi="Times New Roman" w:cs="Times New Roman"/>
          <w:sz w:val="24"/>
          <w:szCs w:val="24"/>
          <w:lang w:val="en-US"/>
        </w:rPr>
        <w:t>Keck 1969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74E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C5E4A" w:rsidRPr="007F5842">
        <w:rPr>
          <w:rFonts w:ascii="Times New Roman" w:hAnsi="Times New Roman" w:cs="Times New Roman"/>
          <w:sz w:val="24"/>
          <w:szCs w:val="24"/>
          <w:lang w:val="en-US"/>
        </w:rPr>
        <w:t>, indirectly pointing toward a different or better practice in treatment</w:t>
      </w:r>
      <w:r w:rsidR="003D2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4E2ED16" w14:textId="02C82B1C" w:rsidR="002D3C65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A4A9E" w:rsidRPr="007F5842">
        <w:rPr>
          <w:rFonts w:ascii="Times New Roman" w:hAnsi="Times New Roman" w:cs="Times New Roman"/>
          <w:sz w:val="24"/>
          <w:szCs w:val="24"/>
          <w:lang w:val="en-US"/>
        </w:rPr>
        <w:t>more recent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part of the 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>literature review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>through the 1970s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 most of the literature </w:t>
      </w:r>
      <w:r w:rsidR="0025032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not least </w:t>
      </w:r>
      <w:r w:rsidR="00DC5E4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>Greenwich conference papers</w:t>
      </w:r>
      <w:r w:rsidR="002503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were relatively </w:t>
      </w:r>
      <w:r w:rsidR="000943B0" w:rsidRPr="007F5842">
        <w:rPr>
          <w:rFonts w:ascii="Times New Roman" w:hAnsi="Times New Roman" w:cs="Times New Roman"/>
          <w:sz w:val="24"/>
          <w:szCs w:val="24"/>
          <w:lang w:val="en-US"/>
        </w:rPr>
        <w:t>accessible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had been</w:t>
      </w:r>
      <w:r w:rsidR="008A4A9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recently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FB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discussed in the student group. 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lternative 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>structural treatment</w:t>
      </w:r>
      <w:r w:rsidR="00F96D25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appeared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publications from international organizations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>IIC and ICOM-CC</w:t>
      </w:r>
      <w:r w:rsidR="00D902D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in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national organizations like the</w:t>
      </w:r>
      <w:r w:rsidR="00C43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731" w:rsidRPr="007F5842">
        <w:rPr>
          <w:rFonts w:ascii="Times New Roman" w:hAnsi="Times New Roman" w:cs="Times New Roman"/>
          <w:sz w:val="24"/>
          <w:szCs w:val="24"/>
          <w:lang w:val="en-US"/>
        </w:rPr>
        <w:t>NKF</w:t>
      </w:r>
      <w:r w:rsidR="00C43731" w:rsidRPr="00C43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731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C43731" w:rsidRPr="00C43731">
        <w:rPr>
          <w:rFonts w:ascii="Times New Roman" w:hAnsi="Times New Roman" w:cs="Times New Roman"/>
          <w:sz w:val="24"/>
          <w:szCs w:val="24"/>
          <w:lang w:val="en-US"/>
        </w:rPr>
        <w:t>American Institute for Conservation</w:t>
      </w:r>
      <w:r w:rsidR="00C4373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43731" w:rsidRPr="00C43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few </w:t>
      </w:r>
      <w:r w:rsidR="00D555BA" w:rsidRPr="007F5842"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present</w:t>
      </w:r>
      <w:r w:rsidR="00C4373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ongoing work</w:t>
      </w:r>
      <w:r w:rsidR="0046277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throughout the decade</w:t>
      </w:r>
      <w:r w:rsidR="00880C0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journals or at conferences.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While some publications were based on a more scientific approach, most were still based on assumptions, </w:t>
      </w:r>
      <w:r w:rsidR="00F7415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few </w:t>
      </w:r>
      <w:r w:rsidR="006569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experiments, 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>practical experience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D41C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tacit knowledge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making it somewhat difficult </w:t>
      </w:r>
      <w:r w:rsidR="00462770" w:rsidRPr="007F58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students</w:t>
      </w:r>
      <w:r w:rsidR="00202FD0" w:rsidRPr="00202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FD0" w:rsidRPr="007F5842">
        <w:rPr>
          <w:rFonts w:ascii="Times New Roman" w:hAnsi="Times New Roman" w:cs="Times New Roman"/>
          <w:sz w:val="24"/>
          <w:szCs w:val="24"/>
          <w:lang w:val="en-US"/>
        </w:rPr>
        <w:t>to evaluate the decision making</w:t>
      </w:r>
      <w:r w:rsidR="00462770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as they 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>lack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experience and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7F5EB1" w:rsidRPr="007F5842">
        <w:rPr>
          <w:rFonts w:ascii="Times New Roman" w:hAnsi="Times New Roman" w:cs="Times New Roman"/>
          <w:sz w:val="24"/>
          <w:szCs w:val="24"/>
          <w:lang w:val="en-US"/>
        </w:rPr>
        <w:t>few examples of a more stringent approach.</w:t>
      </w:r>
    </w:p>
    <w:p w14:paraId="28EF9E42" w14:textId="3C529E77" w:rsidR="00B678EF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63898" w:rsidRPr="007F5842">
        <w:rPr>
          <w:rFonts w:ascii="Times New Roman" w:hAnsi="Times New Roman" w:cs="Times New Roman"/>
          <w:sz w:val="24"/>
          <w:szCs w:val="24"/>
          <w:lang w:val="en-US"/>
        </w:rPr>
        <w:t>xamin</w:t>
      </w:r>
      <w:r w:rsidR="009276ED" w:rsidRPr="007F5842">
        <w:rPr>
          <w:rFonts w:ascii="Times New Roman" w:hAnsi="Times New Roman" w:cs="Times New Roman"/>
          <w:sz w:val="24"/>
          <w:szCs w:val="24"/>
          <w:lang w:val="en-US"/>
        </w:rPr>
        <w:t>ation of</w:t>
      </w:r>
      <w:r w:rsidR="002D3C6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thesis painting</w:t>
      </w:r>
      <w:r w:rsidR="00063898" w:rsidRPr="007F5842">
        <w:rPr>
          <w:rFonts w:ascii="Times New Roman" w:hAnsi="Times New Roman" w:cs="Times New Roman"/>
          <w:sz w:val="24"/>
          <w:szCs w:val="24"/>
          <w:lang w:val="en-US"/>
        </w:rPr>
        <w:t>, the literature review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38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my considerations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resulted in 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>a treatment proposal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 that was primarily</w:t>
      </w:r>
      <w:r w:rsidR="009276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r w:rsidR="000638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philosophy and 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techniques related to Mehra and </w:t>
      </w:r>
      <w:proofErr w:type="spellStart"/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02FD0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their publications </w:t>
      </w:r>
      <w:r w:rsidR="00DC50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64789" w:rsidRPr="007F5842">
        <w:rPr>
          <w:rFonts w:ascii="Times New Roman" w:hAnsi="Times New Roman" w:cs="Times New Roman"/>
          <w:sz w:val="24"/>
          <w:szCs w:val="24"/>
          <w:lang w:val="en-US"/>
        </w:rPr>
        <w:t>lectures and workshops with</w:t>
      </w:r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1844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D4D611" w14:textId="4263C470" w:rsidR="00BC3E45" w:rsidRPr="007F5842" w:rsidRDefault="00C60D9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alternative </w:t>
      </w:r>
      <w:r w:rsidR="005F4EF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>ow-</w:t>
      </w:r>
      <w:r w:rsidR="00826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>ressure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5F4EF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be used</w:t>
      </w:r>
      <w:r w:rsidR="00CB2221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lamination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adhesives 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technique, </w:t>
      </w:r>
      <w:r w:rsidR="00CB2221" w:rsidRPr="007F5842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underlying</w:t>
      </w:r>
      <w:r w:rsidR="00CB222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philosophy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rested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new approach that Mehra and </w:t>
      </w:r>
      <w:proofErr w:type="spellStart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shared to </w:t>
      </w:r>
      <w:r w:rsidR="00DC50D2" w:rsidRPr="007F5842">
        <w:rPr>
          <w:rFonts w:ascii="Times New Roman" w:hAnsi="Times New Roman" w:cs="Times New Roman"/>
          <w:sz w:val="24"/>
          <w:szCs w:val="24"/>
          <w:lang w:val="en-US"/>
        </w:rPr>
        <w:t>a considerable degree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C50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not entirely. There were </w:t>
      </w:r>
      <w:r w:rsidR="00DC50D2" w:rsidRPr="007F5842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differences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 xml:space="preserve"> between the two, and</w:t>
      </w:r>
      <w:r w:rsidR="00D8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FD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 is interesting to compare </w:t>
      </w:r>
      <w:r w:rsidR="00C32F27" w:rsidRPr="007F5842">
        <w:rPr>
          <w:rFonts w:ascii="Times New Roman" w:hAnsi="Times New Roman" w:cs="Times New Roman"/>
          <w:sz w:val="24"/>
          <w:szCs w:val="24"/>
          <w:lang w:val="en-US"/>
        </w:rPr>
        <w:t>Mehra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C32F2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statements 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>treatment options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94F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1972 (see </w:t>
      </w:r>
      <w:hyperlink r:id="rId9" w:history="1">
        <w:r w:rsidR="0020667B" w:rsidRPr="00A018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Andersen in </w:t>
        </w:r>
        <w:r w:rsidR="003E0F97" w:rsidRPr="00A018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this publication</w:t>
        </w:r>
      </w:hyperlink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 and his subsequent publications in the 1970s with </w:t>
      </w:r>
      <w:proofErr w:type="spellStart"/>
      <w:r w:rsidR="00C32F27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C32F2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statements </w:t>
      </w:r>
      <w:r w:rsidR="003C0E0E">
        <w:rPr>
          <w:rFonts w:ascii="Times New Roman" w:hAnsi="Times New Roman" w:cs="Times New Roman"/>
          <w:sz w:val="24"/>
          <w:szCs w:val="24"/>
          <w:lang w:val="en-US"/>
        </w:rPr>
        <w:t xml:space="preserve">published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during the </w:t>
      </w:r>
      <w:r w:rsidR="00C32F27">
        <w:rPr>
          <w:rFonts w:ascii="Times New Roman" w:hAnsi="Times New Roman" w:cs="Times New Roman"/>
          <w:sz w:val="24"/>
          <w:szCs w:val="24"/>
          <w:lang w:val="en-US"/>
        </w:rPr>
        <w:t xml:space="preserve">same decade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E536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2E536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DF7" w:rsidRPr="007F5842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825080" w:rsidRPr="007F584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E536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222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B2221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>and compiled in 197</w:t>
      </w:r>
      <w:r w:rsidR="000D6D1E" w:rsidRPr="007F584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01871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</w:t>
        </w:r>
        <w:r w:rsidR="002E536F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5B4B49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1</w:t>
        </w:r>
      </w:hyperlink>
      <w:r w:rsidR="00FA3100" w:rsidRPr="005F4E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="005B4B49" w:rsidRPr="005F4E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hyperlink r:id="rId11" w:history="1"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table </w:t>
        </w:r>
        <w:r w:rsidR="002E536F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20667B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1</w:t>
        </w:r>
      </w:hyperlink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3C0E0E">
        <w:rPr>
          <w:rFonts w:ascii="Times New Roman" w:hAnsi="Times New Roman" w:cs="Times New Roman"/>
          <w:sz w:val="24"/>
          <w:szCs w:val="24"/>
          <w:lang w:val="en-US"/>
        </w:rPr>
        <w:t xml:space="preserve">The second column of </w:t>
      </w:r>
      <w:r w:rsidR="00481DB4" w:rsidRPr="003E0F97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="00481DB4" w:rsidRPr="007F58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536F" w:rsidRPr="003E0F97">
        <w:rPr>
          <w:rFonts w:ascii="Times New Roman" w:hAnsi="Times New Roman" w:cs="Times New Roman"/>
          <w:bCs/>
          <w:sz w:val="24"/>
          <w:szCs w:val="24"/>
          <w:lang w:val="en-US"/>
        </w:rPr>
        <w:t>3.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C0E0E">
        <w:rPr>
          <w:rFonts w:ascii="Times New Roman" w:hAnsi="Times New Roman" w:cs="Times New Roman"/>
          <w:sz w:val="24"/>
          <w:szCs w:val="24"/>
          <w:lang w:val="en-US"/>
        </w:rPr>
        <w:t xml:space="preserve"> presents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set of </w:t>
      </w:r>
      <w:r w:rsidR="00DD3154" w:rsidRPr="007F5842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proper lining </w:t>
      </w:r>
      <w:r w:rsidR="00DD31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that came out of a seminar </w:t>
      </w:r>
      <w:proofErr w:type="spellStart"/>
      <w:r w:rsidR="003C0E0E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3C0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held at the School of Conservation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0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September 1979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6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5536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536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compiled by the students based on the seminar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r w:rsidR="00ED64F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previous publications </w:t>
      </w:r>
      <w:bookmarkStart w:id="2" w:name="_Hlk91162444"/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CE0C7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154" w:rsidRPr="007F5842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E536F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="00DD31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36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2E536F" w:rsidRPr="002E536F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E536F" w:rsidRPr="002E5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154" w:rsidRPr="007F5842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A51156" w:rsidRPr="007F584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bookmarkEnd w:id="2"/>
      <w:r w:rsidR="002E536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53666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0B122" w14:textId="70730448" w:rsidR="00743051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thesis, both Mehra and </w:t>
      </w:r>
      <w:proofErr w:type="spellStart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are referred to, but only the </w:t>
      </w:r>
      <w:proofErr w:type="spellStart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352CB5" w:rsidRPr="007F5842">
        <w:rPr>
          <w:rFonts w:ascii="Times New Roman" w:hAnsi="Times New Roman" w:cs="Times New Roman"/>
          <w:sz w:val="24"/>
          <w:szCs w:val="24"/>
          <w:lang w:val="en-US"/>
        </w:rPr>
        <w:t>-inspired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CB5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>unpublished</w:t>
      </w:r>
      <w:r w:rsidR="00352CB5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statement is listed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 appendix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EE1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C3E45" w:rsidRPr="007F5842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hyperlink r:id="rId12" w:history="1">
        <w:r w:rsidR="0020667B" w:rsidRPr="00A0187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table </w:t>
        </w:r>
        <w:r w:rsidR="006F6BDB" w:rsidRPr="00A0187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3.</w:t>
        </w:r>
        <w:r w:rsidR="00992C9E" w:rsidRPr="00A0187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</w:hyperlink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Mehra and the </w:t>
      </w:r>
      <w:proofErr w:type="spellStart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statements are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shown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side by side with the original numbering. They appear mostly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agree,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some statements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appear 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in dif</w:t>
      </w:r>
      <w:r w:rsidR="00992C9E" w:rsidRPr="007F58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erent order and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not all appear in both lists</w:t>
      </w:r>
      <w:r w:rsidR="0020667B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main difference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A06A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probably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use of heat or 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raised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humidity 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liquid water in the treatments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difference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opinion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as to </w:t>
      </w:r>
      <w:r w:rsidR="00CB3E1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its consequences. 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the main thesis text, 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med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opinion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regarding</w:t>
      </w:r>
      <w:r w:rsidR="00EA06A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each of the statements, listing which 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option I </w:t>
      </w:r>
      <w:r w:rsidR="006F7EE1" w:rsidRPr="007F5842">
        <w:rPr>
          <w:rFonts w:ascii="Times New Roman" w:hAnsi="Times New Roman" w:cs="Times New Roman"/>
          <w:sz w:val="24"/>
          <w:szCs w:val="24"/>
          <w:lang w:val="en-US"/>
        </w:rPr>
        <w:t>chose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follow in a condition list </w:t>
      </w:r>
      <w:r w:rsidR="006F7EE1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3" w:history="1"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table </w:t>
        </w:r>
        <w:r w:rsidR="006F6BDB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7D24C3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2</w:t>
        </w:r>
      </w:hyperlink>
      <w:r w:rsidR="006F7EE1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. My condition list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introduced with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>acknowledgments</w:t>
      </w:r>
      <w:r w:rsidR="00EA06A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34CBD" w:rsidRPr="007F58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0706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the ideal nature of the list and the fact that it w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probably not be possible to fulfil</w:t>
      </w:r>
      <w:r w:rsidR="006F6BD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A06AD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 the options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Likewise, </w:t>
      </w:r>
      <w:r w:rsidR="00134CBD" w:rsidRPr="007F5842">
        <w:rPr>
          <w:rFonts w:ascii="Times New Roman" w:hAnsi="Times New Roman" w:cs="Times New Roman"/>
          <w:sz w:val="24"/>
          <w:szCs w:val="24"/>
          <w:lang w:val="en-US"/>
        </w:rPr>
        <w:t>I expect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134CB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6A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the treatment progressed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selection of treatment methods and materials most likely </w:t>
      </w:r>
      <w:r w:rsidR="00134CBD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B3DDF" w:rsidRPr="007F5842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="00134CB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6AD">
        <w:rPr>
          <w:rFonts w:ascii="Times New Roman" w:hAnsi="Times New Roman" w:cs="Times New Roman"/>
          <w:sz w:val="24"/>
          <w:szCs w:val="24"/>
          <w:lang w:val="en-US"/>
        </w:rPr>
        <w:t xml:space="preserve">involve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compromises compared with the ideal situation.</w:t>
      </w:r>
    </w:p>
    <w:p w14:paraId="337C30C5" w14:textId="2AB45C13" w:rsidR="00C6354D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>A closer look at the treatment options for the thesis work reveals that it</w:t>
      </w:r>
      <w:r w:rsidR="00FA3293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 1 </w:t>
      </w:r>
      <w:r w:rsidR="00FA329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(reversibility) 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E6047A" w:rsidRPr="007F5842">
        <w:rPr>
          <w:rFonts w:ascii="Times New Roman" w:hAnsi="Times New Roman" w:cs="Times New Roman"/>
          <w:sz w:val="24"/>
          <w:szCs w:val="24"/>
          <w:lang w:val="en-US"/>
        </w:rPr>
        <w:t>qualified as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>optimal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rather than 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D6D3C" w:rsidRPr="007F584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D6D3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Mehra 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>has it. A</w:t>
      </w:r>
      <w:r w:rsidR="00C6354D" w:rsidRPr="007F5842">
        <w:rPr>
          <w:rFonts w:ascii="Times New Roman" w:hAnsi="Times New Roman" w:cs="Times New Roman"/>
          <w:sz w:val="24"/>
          <w:szCs w:val="24"/>
          <w:lang w:val="en-US"/>
        </w:rPr>
        <w:t>t the student seminar the unrealistic option of full reversibility was discussed, while attempting optimal reversibility was accepted</w:t>
      </w:r>
      <w:r w:rsidR="001447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include a possible failure situation</w:t>
      </w:r>
      <w:r w:rsidR="00FA3293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FF15F" w14:textId="4903BC61" w:rsidR="00305523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46D9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tem 2 (</w:t>
      </w:r>
      <w:r w:rsidR="0083146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83146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446D9" w:rsidRPr="007F5842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 deselected </w:t>
      </w:r>
      <w:r w:rsidR="0065779F" w:rsidRPr="0065779F">
        <w:rPr>
          <w:rFonts w:ascii="Times New Roman" w:hAnsi="Times New Roman" w:cs="Times New Roman"/>
          <w:sz w:val="24"/>
          <w:szCs w:val="24"/>
          <w:lang w:val="en-US"/>
        </w:rPr>
        <w:t xml:space="preserve">as a treatment condition </w:t>
      </w:r>
      <w:r w:rsidR="0051187C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A329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avoid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  <w:r w:rsidR="005D6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identity between the natural </w:t>
      </w:r>
      <w:r w:rsidR="0065779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glue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materials in the painting </w:t>
      </w:r>
      <w:r w:rsidR="00FA3293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aqu</w:t>
      </w:r>
      <w:r w:rsidR="00313A0C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D24C3" w:rsidRPr="007F5842">
        <w:rPr>
          <w:rFonts w:ascii="Times New Roman" w:hAnsi="Times New Roman" w:cs="Times New Roman"/>
          <w:sz w:val="24"/>
          <w:szCs w:val="24"/>
          <w:lang w:val="en-US"/>
        </w:rPr>
        <w:t>ous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animal glue </w:t>
      </w:r>
      <w:r w:rsidR="0065779F">
        <w:rPr>
          <w:rFonts w:ascii="Times New Roman" w:hAnsi="Times New Roman" w:cs="Times New Roman"/>
          <w:sz w:val="24"/>
          <w:szCs w:val="24"/>
          <w:lang w:val="en-US"/>
        </w:rPr>
        <w:t xml:space="preserve">commonly used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as a treatment constituent</w:t>
      </w:r>
      <w:r w:rsidR="0051187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consolidation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The use of aqueous glue would counter the demands of items 4 and 8. It is further noted in the thesis that item 9 (minimal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increase of weight) </w:t>
      </w:r>
      <w:r w:rsidR="001447ED" w:rsidRPr="007F584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79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deselected</w:t>
      </w:r>
      <w:r w:rsidR="00003D5F">
        <w:rPr>
          <w:rFonts w:ascii="Times New Roman" w:hAnsi="Times New Roman" w:cs="Times New Roman"/>
          <w:sz w:val="24"/>
          <w:szCs w:val="24"/>
          <w:lang w:val="en-US"/>
        </w:rPr>
        <w:t xml:space="preserve"> as it was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51187C" w:rsidRPr="007F5842">
        <w:rPr>
          <w:rFonts w:ascii="Times New Roman" w:hAnsi="Times New Roman" w:cs="Times New Roman"/>
          <w:sz w:val="24"/>
          <w:szCs w:val="24"/>
          <w:lang w:val="en-US"/>
        </w:rPr>
        <w:t>sumed to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be of minor significance on </w:t>
      </w:r>
      <w:r w:rsidR="00003D5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small painting</w:t>
      </w:r>
      <w:r w:rsidR="00003D5F">
        <w:rPr>
          <w:rFonts w:ascii="Times New Roman" w:hAnsi="Times New Roman" w:cs="Times New Roman"/>
          <w:sz w:val="24"/>
          <w:szCs w:val="24"/>
          <w:lang w:val="en-US"/>
        </w:rPr>
        <w:t xml:space="preserve"> that was the designated thesis subject</w:t>
      </w:r>
      <w:r w:rsidR="0051187C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CC0C9" w14:textId="2BE3B26D" w:rsidR="000B49B6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Mehra's condition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4, flexibility, and 5, to fully avoid heat, 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>included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 xml:space="preserve">Nor was 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Mehra's term </w:t>
      </w:r>
      <w:r w:rsidR="0098616A" w:rsidRPr="0084413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compatible</w:t>
      </w:r>
      <w:r w:rsidR="0098616A" w:rsidRPr="00986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>item 8</w:t>
      </w:r>
      <w:r w:rsidR="0098616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30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used in the arguments for or against the selected materials. </w:t>
      </w:r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all, 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the Mehra and </w:t>
      </w:r>
      <w:proofErr w:type="spellStart"/>
      <w:r w:rsidR="00B33ED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 prescriptions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differed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treatment proposal had a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affinity with the </w:t>
      </w:r>
      <w:proofErr w:type="spellStart"/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statements,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>for example,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heat </w:t>
      </w:r>
      <w:r w:rsidR="00B33ED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low as possible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not fully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>ruling it out</w:t>
      </w:r>
      <w:r w:rsidR="00AD2845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757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prominent principle listed by </w:t>
      </w:r>
      <w:proofErr w:type="spellStart"/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(item </w:t>
      </w:r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hyperlink r:id="rId14" w:history="1">
        <w:r w:rsidR="00B33ED2" w:rsidRPr="00A0187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table 3.1</w:t>
        </w:r>
      </w:hyperlink>
      <w:r w:rsidR="00B33E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ED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that each treatment step be kept </w:t>
      </w:r>
      <w:r w:rsidR="00F23E44">
        <w:rPr>
          <w:rFonts w:ascii="Times New Roman" w:hAnsi="Times New Roman" w:cs="Times New Roman"/>
          <w:sz w:val="24"/>
          <w:szCs w:val="24"/>
          <w:lang w:val="en-US"/>
        </w:rPr>
        <w:t>discrete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9E5D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Mehra 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promotes the principle </w:t>
      </w:r>
      <w:r w:rsidR="008754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well 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>in his Venice ICOM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publication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>Mehra 1975</w:t>
      </w:r>
      <w:r w:rsidR="006715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F6BD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38E296" w14:textId="411C6D93" w:rsidR="0031594E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treatment proposal 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could be seen as 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trying alternate means to counter the more traditional treatment solutions and their </w:t>
      </w:r>
      <w:r w:rsidR="00FA5064" w:rsidRPr="007F5842">
        <w:rPr>
          <w:rStyle w:val="gt-card-ttl-txt"/>
          <w:rFonts w:ascii="Times New Roman" w:hAnsi="Times New Roman" w:cs="Times New Roman"/>
          <w:sz w:val="24"/>
          <w:szCs w:val="24"/>
          <w:lang w:val="en-US"/>
        </w:rPr>
        <w:t xml:space="preserve">inherent </w:t>
      </w:r>
      <w:r w:rsidR="00FA5064" w:rsidRPr="007F584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>not least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including the new </w:t>
      </w:r>
      <w:r w:rsidR="00B87800" w:rsidRPr="007F5842">
        <w:rPr>
          <w:rFonts w:ascii="Times New Roman" w:hAnsi="Times New Roman" w:cs="Times New Roman"/>
          <w:sz w:val="24"/>
          <w:szCs w:val="24"/>
          <w:lang w:val="en-US"/>
        </w:rPr>
        <w:t>treatment options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 employing a</w:t>
      </w:r>
      <w:r w:rsidR="00B87800" w:rsidRPr="007F5842" w:rsidDel="00B8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>low-pressure/suction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7F1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n this way, the proposal 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up on the many discussions that came out of the Greenwich conference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>and subsequent experiments, discussions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publications 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>the follow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ed over the next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five to six</w:t>
      </w:r>
      <w:r w:rsidR="00E549B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  <w:r w:rsidR="00954F2E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A78A49" w14:textId="77777777" w:rsidR="00A71D74" w:rsidRPr="007F5842" w:rsidRDefault="00A71D74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9B1924" w14:textId="1FDC9B2C" w:rsidR="00363710" w:rsidRPr="007F5842" w:rsidRDefault="00D9427B" w:rsidP="00D9427B">
      <w:pPr>
        <w:pStyle w:val="Heading2"/>
      </w:pPr>
      <w:r w:rsidRPr="00D9427B">
        <w:rPr>
          <w:b w:val="0"/>
          <w:bCs/>
          <w:highlight w:val="yellow"/>
        </w:rPr>
        <w:t>&lt;B-head&gt;</w:t>
      </w:r>
      <w:r>
        <w:t xml:space="preserve"> </w:t>
      </w:r>
      <w:r w:rsidR="00F674E3" w:rsidRPr="00D9427B">
        <w:rPr>
          <w:i/>
          <w:iCs/>
        </w:rPr>
        <w:t xml:space="preserve">Thesis </w:t>
      </w:r>
      <w:r w:rsidR="00A01871" w:rsidRPr="00D9427B">
        <w:rPr>
          <w:i/>
          <w:iCs/>
        </w:rPr>
        <w:t>O</w:t>
      </w:r>
      <w:r w:rsidR="00F674E3" w:rsidRPr="00D9427B">
        <w:rPr>
          <w:i/>
          <w:iCs/>
        </w:rPr>
        <w:t>utcome</w:t>
      </w:r>
      <w:r w:rsidR="00070DE6" w:rsidRPr="00D9427B">
        <w:rPr>
          <w:i/>
          <w:iCs/>
        </w:rPr>
        <w:t>—R</w:t>
      </w:r>
      <w:r w:rsidR="00F674E3" w:rsidRPr="00D9427B">
        <w:rPr>
          <w:i/>
          <w:iCs/>
        </w:rPr>
        <w:t xml:space="preserve">esults of the </w:t>
      </w:r>
      <w:r w:rsidR="00A01871" w:rsidRPr="00D9427B">
        <w:rPr>
          <w:i/>
          <w:iCs/>
        </w:rPr>
        <w:t>P</w:t>
      </w:r>
      <w:r w:rsidR="00F674E3" w:rsidRPr="00D9427B">
        <w:rPr>
          <w:i/>
          <w:iCs/>
        </w:rPr>
        <w:t xml:space="preserve">lanned </w:t>
      </w:r>
      <w:r w:rsidR="00A01871" w:rsidRPr="00D9427B">
        <w:rPr>
          <w:i/>
          <w:iCs/>
        </w:rPr>
        <w:t>T</w:t>
      </w:r>
      <w:r w:rsidR="00F674E3" w:rsidRPr="00D9427B">
        <w:rPr>
          <w:i/>
          <w:iCs/>
        </w:rPr>
        <w:t>reatment</w:t>
      </w:r>
    </w:p>
    <w:p w14:paraId="6E4297AA" w14:textId="42A16BD7" w:rsidR="00274F05" w:rsidRPr="007F5842" w:rsidRDefault="00274F05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4E3" w:rsidRPr="007F5842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74E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actual treatment as described in the 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did not turn out fully as planned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The final treatment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ended up as a selection of compromises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some extent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where some of the ideal demands had to be partly 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diluted,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deselected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dismissed.</w:t>
      </w:r>
    </w:p>
    <w:p w14:paraId="1F58EA96" w14:textId="771DF87D" w:rsidR="002C546C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For instance, t</w:t>
      </w:r>
      <w:r w:rsidR="00F674E3" w:rsidRPr="007F5842">
        <w:rPr>
          <w:rFonts w:ascii="Times New Roman" w:hAnsi="Times New Roman" w:cs="Times New Roman"/>
          <w:sz w:val="24"/>
          <w:szCs w:val="24"/>
          <w:lang w:val="en-US"/>
        </w:rPr>
        <w:t>he application of f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>acing</w:t>
      </w:r>
      <w:r w:rsidR="00F674E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paper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 an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acrylic solution</w:t>
      </w:r>
      <w:r w:rsidR="007103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that had been proposed 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>did not work as planned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03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87800" w:rsidRPr="007F5842">
        <w:rPr>
          <w:rFonts w:ascii="Times New Roman" w:hAnsi="Times New Roman" w:cs="Times New Roman"/>
          <w:sz w:val="24"/>
          <w:szCs w:val="24"/>
          <w:lang w:val="en-US"/>
        </w:rPr>
        <w:t>t the suggestion of the tutors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78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10347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replaced with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use of</w:t>
      </w:r>
      <w:r w:rsidR="00B8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thin layer of wax-resin </w:t>
      </w:r>
      <w:r w:rsidR="00584F46" w:rsidRPr="007F5842">
        <w:rPr>
          <w:rFonts w:ascii="Times New Roman" w:hAnsi="Times New Roman" w:cs="Times New Roman"/>
          <w:sz w:val="24"/>
          <w:szCs w:val="24"/>
          <w:lang w:val="en-US"/>
        </w:rPr>
        <w:t>paste applied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ABD" w:rsidRPr="007F5842">
        <w:rPr>
          <w:rFonts w:ascii="Times New Roman" w:hAnsi="Times New Roman" w:cs="Times New Roman"/>
          <w:sz w:val="24"/>
          <w:szCs w:val="24"/>
          <w:lang w:val="en-US"/>
        </w:rPr>
        <w:t>at a</w:t>
      </w:r>
      <w:r w:rsidR="0010448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temperature</w:t>
      </w:r>
      <w:r w:rsidR="008D44A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no more than 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45°C. In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the end, however (</w:t>
      </w:r>
      <w:r w:rsidR="00D10ABD" w:rsidRPr="007F5842">
        <w:rPr>
          <w:rFonts w:ascii="Times New Roman" w:hAnsi="Times New Roman" w:cs="Times New Roman"/>
          <w:sz w:val="24"/>
          <w:szCs w:val="24"/>
          <w:lang w:val="en-US"/>
        </w:rPr>
        <w:t>according to the thesis documentation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ABD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54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temperature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C54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65°C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 xml:space="preserve">had to be used 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ensure the </w:t>
      </w:r>
      <w:r w:rsidR="00710347" w:rsidRPr="007F5842">
        <w:rPr>
          <w:rFonts w:ascii="Times New Roman" w:hAnsi="Times New Roman" w:cs="Times New Roman"/>
          <w:sz w:val="24"/>
          <w:szCs w:val="24"/>
          <w:lang w:val="en-US"/>
        </w:rPr>
        <w:t>adhesion</w:t>
      </w:r>
      <w:r w:rsidR="00CC01C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CC01C8" w:rsidRPr="007F5842">
        <w:rPr>
          <w:rFonts w:ascii="Times New Roman" w:hAnsi="Times New Roman" w:cs="Times New Roman"/>
          <w:bCs/>
          <w:sz w:val="24"/>
          <w:szCs w:val="24"/>
          <w:lang w:val="en-US"/>
        </w:rPr>
        <w:t>facing paper</w:t>
      </w:r>
      <w:r w:rsidR="002C546C">
        <w:rPr>
          <w:rFonts w:ascii="Times New Roman" w:hAnsi="Times New Roman" w:cs="Times New Roman"/>
          <w:bCs/>
          <w:sz w:val="24"/>
          <w:szCs w:val="24"/>
          <w:lang w:val="en-US"/>
        </w:rPr>
        <w:t>—</w:t>
      </w:r>
      <w:r w:rsidR="0076199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thus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 xml:space="preserve">compromising </w:t>
      </w:r>
      <w:r w:rsidR="00761997" w:rsidRPr="007F5842">
        <w:rPr>
          <w:rFonts w:ascii="Times New Roman" w:hAnsi="Times New Roman" w:cs="Times New Roman"/>
          <w:sz w:val="24"/>
          <w:szCs w:val="24"/>
          <w:lang w:val="en-US"/>
        </w:rPr>
        <w:t>the idea of keeping the temperature as low as possible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CCE58E" w14:textId="07A6A236" w:rsidR="00272244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>Subsequent r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emoval of 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previous </w:t>
      </w:r>
      <w:r w:rsidR="001A6D59" w:rsidRPr="007F5842">
        <w:rPr>
          <w:rFonts w:ascii="Times New Roman" w:hAnsi="Times New Roman" w:cs="Times New Roman"/>
          <w:sz w:val="24"/>
          <w:szCs w:val="24"/>
          <w:lang w:val="en-US"/>
        </w:rPr>
        <w:t>glue-</w:t>
      </w:r>
      <w:r w:rsidR="00EB243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paste lining 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>went well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51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5" w:history="1"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070DE6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s</w:t>
        </w:r>
        <w:r w:rsidR="00A01871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481DB4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</w:t>
        </w:r>
        <w:r w:rsidR="00070DE6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237C51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2</w:t>
        </w:r>
      </w:hyperlink>
      <w:r w:rsidR="00070DE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hyperlink r:id="rId16" w:history="1">
        <w:r w:rsidR="00070DE6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237C51" w:rsidRPr="00A01871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</w:t>
        </w:r>
      </w:hyperlink>
      <w:r w:rsidR="00237C5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>and so did the f</w:t>
      </w:r>
      <w:r w:rsidR="00710347" w:rsidRPr="007F5842">
        <w:rPr>
          <w:rFonts w:ascii="Times New Roman" w:hAnsi="Times New Roman" w:cs="Times New Roman"/>
          <w:sz w:val="24"/>
          <w:szCs w:val="24"/>
          <w:lang w:val="en-US"/>
        </w:rPr>
        <w:t>lattening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procedure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483" w:rsidRPr="007F5842">
        <w:rPr>
          <w:rFonts w:ascii="Times New Roman" w:hAnsi="Times New Roman" w:cs="Times New Roman"/>
          <w:sz w:val="24"/>
          <w:szCs w:val="24"/>
          <w:lang w:val="en-US"/>
        </w:rPr>
        <w:t>humidification chamber setup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483" w:rsidRPr="007F5842">
        <w:rPr>
          <w:rFonts w:ascii="Times New Roman" w:hAnsi="Times New Roman" w:cs="Times New Roman"/>
          <w:sz w:val="24"/>
          <w:szCs w:val="24"/>
          <w:lang w:val="en-US"/>
        </w:rPr>
        <w:t>on the low-pressure table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 xml:space="preserve"> was used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D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tabletop temperature </w:t>
      </w:r>
      <w:r w:rsidR="002C546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35°C and pressure at 50 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millibars (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bar)</w:t>
      </w:r>
      <w:r w:rsidR="00A863EC" w:rsidRPr="007F5842">
        <w:rPr>
          <w:rFonts w:ascii="Times New Roman" w:hAnsi="Times New Roman" w:cs="Times New Roman"/>
          <w:sz w:val="24"/>
          <w:szCs w:val="24"/>
          <w:lang w:val="en-US"/>
        </w:rPr>
        <w:t>. To avoid liquid water in the structure, c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>onsolidation</w:t>
      </w:r>
      <w:r w:rsidR="00A1647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A79" w:rsidRPr="007F5842">
        <w:rPr>
          <w:rFonts w:ascii="Times New Roman" w:hAnsi="Times New Roman" w:cs="Times New Roman"/>
          <w:sz w:val="24"/>
          <w:szCs w:val="24"/>
          <w:lang w:val="en-US"/>
        </w:rPr>
        <w:t>was done</w:t>
      </w:r>
      <w:r w:rsidR="00A1647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C0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D549D9" w:rsidRPr="007F5842">
        <w:rPr>
          <w:rFonts w:ascii="Times New Roman" w:hAnsi="Times New Roman" w:cs="Times New Roman"/>
          <w:sz w:val="24"/>
          <w:szCs w:val="24"/>
          <w:lang w:val="en-US"/>
        </w:rPr>
        <w:t>an acrylic solution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549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46071" w:rsidRPr="007F5842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071" w:rsidRPr="007F5842">
        <w:rPr>
          <w:rFonts w:ascii="Times New Roman" w:hAnsi="Times New Roman" w:cs="Times New Roman"/>
          <w:sz w:val="24"/>
          <w:szCs w:val="24"/>
          <w:lang w:val="en-US"/>
        </w:rPr>
        <w:t>solvent evaporation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>consolidant</w:t>
      </w:r>
      <w:proofErr w:type="spellEnd"/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activated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D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by heating 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>the painting on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the low</w:t>
      </w:r>
      <w:r w:rsidR="00946071" w:rsidRPr="007F58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pressure table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100 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mbar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42°C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2B6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linen lining </w:t>
      </w:r>
      <w:r w:rsidR="002C17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coated</w:t>
      </w:r>
      <w:r w:rsidR="002C17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C178F" w:rsidRPr="007F5842">
        <w:rPr>
          <w:rFonts w:ascii="Times New Roman" w:hAnsi="Times New Roman" w:cs="Times New Roman"/>
          <w:sz w:val="24"/>
          <w:szCs w:val="24"/>
          <w:lang w:val="en-US"/>
        </w:rPr>
        <w:t>layer of</w:t>
      </w:r>
      <w:r w:rsidR="00E312F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thickened</w:t>
      </w:r>
      <w:r w:rsidR="002C178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acrylic dispersion, and after </w:t>
      </w:r>
      <w:r w:rsidR="001A6D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drying </w:t>
      </w:r>
      <w:r w:rsidR="001A6D5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period,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dry acrylic layer on </w:t>
      </w:r>
      <w:r w:rsidR="0094607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D65EB" w:rsidRPr="007F584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ining canvas 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consolidated painting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were activated at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mbar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42°C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>. After cooling the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proper 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>lamination</w:t>
      </w:r>
      <w:r w:rsidR="00CA2F4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obtained, basically following direction</w:t>
      </w:r>
      <w:r w:rsidR="003A02DA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Ketnath</w:t>
      </w:r>
      <w:proofErr w:type="spellEnd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Hacke</w:t>
      </w:r>
      <w:proofErr w:type="spellEnd"/>
      <w:r w:rsidR="003A02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1976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A02DA" w:rsidRPr="007F584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Ketnath</w:t>
      </w:r>
      <w:proofErr w:type="spellEnd"/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</w:t>
      </w:r>
      <w:r w:rsidR="003A02DA" w:rsidRPr="007F584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43265C9" w14:textId="17047578" w:rsidR="00892B69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>A final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27224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planned 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step in the structural treatment was added at the suggestion of the tutor to remedy 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>a certain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canvas structure enhancement and moating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A4252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most likely 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 xml:space="preserve">stemming 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>from the previous glue-paste lining. The prescription was a final treatment of the painting, face down on a vacuum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38694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>at 500 m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ar and 42°C. The resulting painting surface 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after this treatment </w:t>
      </w:r>
      <w:r w:rsidR="00B76E1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did not exhibit any </w:t>
      </w:r>
      <w:r w:rsidR="000D1553" w:rsidRPr="007F5842">
        <w:rPr>
          <w:rFonts w:ascii="Times New Roman" w:hAnsi="Times New Roman" w:cs="Times New Roman"/>
          <w:sz w:val="24"/>
          <w:szCs w:val="24"/>
          <w:lang w:val="en-US"/>
        </w:rPr>
        <w:t>canvas structure at all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15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72244">
        <w:rPr>
          <w:rFonts w:ascii="Times New Roman" w:hAnsi="Times New Roman" w:cs="Times New Roman"/>
          <w:sz w:val="24"/>
          <w:szCs w:val="24"/>
          <w:lang w:val="en-US"/>
        </w:rPr>
        <w:t xml:space="preserve">the painting </w:t>
      </w:r>
      <w:r w:rsidR="000D155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ready for the restoration part of the thesis project. </w:t>
      </w:r>
      <w:r w:rsidR="0076199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However, neither the facedown treatment nor </w:t>
      </w:r>
      <w:r w:rsidR="00086DA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7FA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gramEnd"/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6DA6" w:rsidRPr="00086DA6">
        <w:rPr>
          <w:rFonts w:ascii="Times New Roman" w:hAnsi="Times New Roman" w:cs="Times New Roman"/>
          <w:sz w:val="24"/>
          <w:szCs w:val="24"/>
          <w:lang w:val="en-US"/>
        </w:rPr>
        <w:t xml:space="preserve">pressure </w:t>
      </w:r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fully in line with the 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086D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086DA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35DF" w:rsidRPr="007F5842">
        <w:rPr>
          <w:rFonts w:ascii="Times New Roman" w:hAnsi="Times New Roman" w:cs="Times New Roman"/>
          <w:sz w:val="24"/>
          <w:szCs w:val="24"/>
          <w:lang w:val="en-US"/>
        </w:rPr>
        <w:t>planned treatment</w:t>
      </w:r>
      <w:r w:rsidR="005A78F3" w:rsidRPr="007F5842">
        <w:rPr>
          <w:rFonts w:ascii="Times New Roman" w:hAnsi="Times New Roman" w:cs="Times New Roman"/>
          <w:sz w:val="24"/>
          <w:szCs w:val="24"/>
          <w:lang w:val="en-US"/>
        </w:rPr>
        <w:t>. Nevertheless, t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>he restoration went well</w:t>
      </w:r>
      <w:r w:rsidR="00086D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proofErr w:type="gramStart"/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1980</w:t>
      </w:r>
      <w:proofErr w:type="gramEnd"/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 obtained my 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>achelor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degree in conservation and went on to the 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>aster</w:t>
      </w:r>
      <w:r w:rsidR="00070DE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11984" w:rsidRPr="007F5842">
        <w:rPr>
          <w:rFonts w:ascii="Times New Roman" w:hAnsi="Times New Roman" w:cs="Times New Roman"/>
          <w:sz w:val="24"/>
          <w:szCs w:val="24"/>
          <w:lang w:val="en-US"/>
        </w:rPr>
        <w:t>s program.</w:t>
      </w:r>
    </w:p>
    <w:p w14:paraId="69901C6F" w14:textId="77777777" w:rsidR="00411984" w:rsidRPr="007F5842" w:rsidRDefault="00411984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6EB10" w14:textId="4AEB80B1" w:rsidR="00363710" w:rsidRPr="007F5842" w:rsidRDefault="00D9427B" w:rsidP="00D9427B">
      <w:pPr>
        <w:pStyle w:val="Heading2"/>
      </w:pPr>
      <w:r w:rsidRPr="00D9427B">
        <w:rPr>
          <w:b w:val="0"/>
          <w:bCs/>
          <w:highlight w:val="yellow"/>
        </w:rPr>
        <w:t>&lt;B-head&gt;</w:t>
      </w:r>
      <w:r>
        <w:t xml:space="preserve"> </w:t>
      </w:r>
      <w:r w:rsidR="00363710" w:rsidRPr="00D9427B">
        <w:rPr>
          <w:i/>
          <w:iCs/>
        </w:rPr>
        <w:t>Conseque</w:t>
      </w:r>
      <w:r w:rsidR="00411984" w:rsidRPr="00D9427B">
        <w:rPr>
          <w:i/>
          <w:iCs/>
        </w:rPr>
        <w:t>n</w:t>
      </w:r>
      <w:r w:rsidR="00363710" w:rsidRPr="00D9427B">
        <w:rPr>
          <w:i/>
          <w:iCs/>
        </w:rPr>
        <w:t>ces</w:t>
      </w:r>
      <w:r w:rsidR="00070DE6" w:rsidRPr="00D9427B">
        <w:rPr>
          <w:i/>
          <w:iCs/>
        </w:rPr>
        <w:t>—E</w:t>
      </w:r>
      <w:r w:rsidR="00946071" w:rsidRPr="00D9427B">
        <w:rPr>
          <w:i/>
          <w:iCs/>
        </w:rPr>
        <w:t xml:space="preserve">valuation of a </w:t>
      </w:r>
      <w:r w:rsidR="00A01871" w:rsidRPr="00D9427B">
        <w:rPr>
          <w:i/>
          <w:iCs/>
        </w:rPr>
        <w:t>T</w:t>
      </w:r>
      <w:r w:rsidR="00946071" w:rsidRPr="00D9427B">
        <w:rPr>
          <w:i/>
          <w:iCs/>
        </w:rPr>
        <w:t xml:space="preserve">reatment and </w:t>
      </w:r>
      <w:r w:rsidR="00A01871" w:rsidRPr="00D9427B">
        <w:rPr>
          <w:i/>
          <w:iCs/>
        </w:rPr>
        <w:t>I</w:t>
      </w:r>
      <w:r w:rsidR="00946071" w:rsidRPr="00D9427B">
        <w:rPr>
          <w:i/>
          <w:iCs/>
        </w:rPr>
        <w:t xml:space="preserve">ts </w:t>
      </w:r>
      <w:r w:rsidR="00A01871" w:rsidRPr="00D9427B">
        <w:rPr>
          <w:i/>
          <w:iCs/>
        </w:rPr>
        <w:t>C</w:t>
      </w:r>
      <w:r w:rsidR="00276C51" w:rsidRPr="00D9427B">
        <w:rPr>
          <w:i/>
          <w:iCs/>
        </w:rPr>
        <w:t>onsequences</w:t>
      </w:r>
    </w:p>
    <w:p w14:paraId="757D3065" w14:textId="211B28BB" w:rsidR="000746EC" w:rsidRDefault="00F239DC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>In general, it is interesting to note how much the new treatment concepts and material choices influenced the treatment design o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thesis work</w:t>
      </w:r>
      <w:r w:rsidR="004C1BD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me</w:t>
      </w:r>
      <w:r w:rsidR="00D8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01CE">
        <w:rPr>
          <w:rFonts w:ascii="Times New Roman" w:hAnsi="Times New Roman" w:cs="Times New Roman"/>
          <w:sz w:val="24"/>
          <w:szCs w:val="24"/>
          <w:lang w:val="en-US"/>
        </w:rPr>
        <w:t>and my</w:t>
      </w:r>
      <w:r w:rsidR="004C1BD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fellow students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nd how little actual knowledge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about the impact of the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treatment </w:t>
      </w:r>
      <w:r w:rsidR="005C6686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the choice of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materials to use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available </w:t>
      </w:r>
      <w:r w:rsidR="00A801CE">
        <w:rPr>
          <w:rFonts w:ascii="Times New Roman" w:hAnsi="Times New Roman" w:cs="Times New Roman"/>
          <w:sz w:val="24"/>
          <w:szCs w:val="24"/>
          <w:lang w:val="en-US"/>
        </w:rPr>
        <w:t>to us</w:t>
      </w:r>
      <w:r w:rsidR="00A801CE" w:rsidRPr="00A801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01CE" w:rsidRPr="007F5842">
        <w:rPr>
          <w:rFonts w:ascii="Times New Roman" w:hAnsi="Times New Roman" w:cs="Times New Roman"/>
          <w:sz w:val="24"/>
          <w:szCs w:val="24"/>
          <w:lang w:val="en-US"/>
        </w:rPr>
        <w:t>at the time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. Most ch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ices were based on the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 then-current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demands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they were also 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>partly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based on the </w:t>
      </w:r>
      <w:r w:rsidR="009B1165" w:rsidRPr="007F5842">
        <w:rPr>
          <w:rFonts w:ascii="Times New Roman" w:hAnsi="Times New Roman" w:cs="Times New Roman"/>
          <w:sz w:val="24"/>
          <w:szCs w:val="24"/>
          <w:lang w:val="en-US"/>
        </w:rPr>
        <w:t>critique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bygone treatments and materials as discussed in publications during the 1970s and especially after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>Greenwich conference in 1974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>The Greenwich offprints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mostly based on assumptions, common sense,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B1165" w:rsidRPr="007F5842">
        <w:rPr>
          <w:rFonts w:ascii="Times New Roman" w:hAnsi="Times New Roman" w:cs="Times New Roman"/>
          <w:sz w:val="24"/>
          <w:szCs w:val="24"/>
          <w:lang w:val="en-US"/>
        </w:rPr>
        <w:t>empirical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1165" w:rsidRPr="007F5842">
        <w:rPr>
          <w:rFonts w:ascii="Times New Roman" w:hAnsi="Times New Roman" w:cs="Times New Roman"/>
          <w:sz w:val="24"/>
          <w:szCs w:val="24"/>
          <w:lang w:val="en-US"/>
        </w:rPr>
        <w:t>tacit</w:t>
      </w:r>
      <w:r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knowledge. </w:t>
      </w:r>
    </w:p>
    <w:p w14:paraId="61AC2B92" w14:textId="69B95735" w:rsidR="0040124F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 was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0124F" w:rsidRPr="007F5842">
        <w:rPr>
          <w:rFonts w:ascii="Times New Roman" w:hAnsi="Times New Roman" w:cs="Times New Roman"/>
          <w:sz w:val="24"/>
          <w:szCs w:val="24"/>
          <w:lang w:val="en-US"/>
        </w:rPr>
        <w:t>interesting to see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how treatment </w:t>
      </w:r>
      <w:r w:rsidR="004C1BD8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inadequac</w:t>
      </w:r>
      <w:r w:rsidR="008D52A9" w:rsidRPr="007F5842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ies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shortcomings in the congl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rate of new techniques and materials were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addressed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by reverting to better known techniques and materials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during the thesis treatments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8D52A9" w:rsidRPr="007F5842">
        <w:rPr>
          <w:rFonts w:ascii="Times New Roman" w:hAnsi="Times New Roman" w:cs="Times New Roman"/>
          <w:sz w:val="24"/>
          <w:szCs w:val="24"/>
          <w:lang w:val="en-US"/>
        </w:rPr>
        <w:t>eventually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once again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>reverting to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empirical and </w:t>
      </w:r>
      <w:r w:rsidR="009B1165" w:rsidRPr="007F5842">
        <w:rPr>
          <w:rFonts w:ascii="Times New Roman" w:hAnsi="Times New Roman" w:cs="Times New Roman"/>
          <w:sz w:val="24"/>
          <w:szCs w:val="24"/>
          <w:lang w:val="en-US"/>
        </w:rPr>
        <w:t>tacit</w:t>
      </w:r>
      <w:r w:rsidR="00351A5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knowledge</w:t>
      </w:r>
      <w:r w:rsidR="00F239DC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47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However, this was to gradually change </w:t>
      </w:r>
      <w:r w:rsidR="006821DC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6821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ensuing 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="000746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twenty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years.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46EC" w:rsidRPr="007F5842">
        <w:rPr>
          <w:rFonts w:ascii="Times New Roman" w:hAnsi="Times New Roman" w:cs="Times New Roman"/>
          <w:sz w:val="24"/>
          <w:szCs w:val="24"/>
          <w:lang w:val="en-US"/>
        </w:rPr>
        <w:t>t the time of the first thesis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46E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3F37" w:rsidRPr="007F5842">
        <w:rPr>
          <w:rFonts w:ascii="Times New Roman" w:hAnsi="Times New Roman" w:cs="Times New Roman"/>
          <w:sz w:val="24"/>
          <w:szCs w:val="24"/>
          <w:lang w:val="en-US"/>
        </w:rPr>
        <w:t>o treat or not to treat was perhaps not yet a mature question to pose</w:t>
      </w:r>
      <w:r w:rsidR="000746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3F3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but it would turn out to be a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E3F3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issue </w:t>
      </w:r>
      <w:r w:rsidR="002A20C9" w:rsidRPr="007F5842">
        <w:rPr>
          <w:rFonts w:ascii="Times New Roman" w:hAnsi="Times New Roman" w:cs="Times New Roman"/>
          <w:sz w:val="24"/>
          <w:szCs w:val="24"/>
          <w:lang w:val="en-US"/>
        </w:rPr>
        <w:t>of increasing debate in the next couple of decades</w:t>
      </w:r>
      <w:r w:rsidR="00EE3F37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5B4243" w14:textId="77777777" w:rsidR="00D1474F" w:rsidRPr="007F5842" w:rsidRDefault="00D1474F" w:rsidP="00D9427B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0CD3FA" w14:textId="5CFEECCD" w:rsidR="00363710" w:rsidRPr="007F5842" w:rsidRDefault="007B6D68" w:rsidP="00D9427B">
      <w:pPr>
        <w:pStyle w:val="Heading1"/>
      </w:pPr>
      <w:r w:rsidRPr="007B6D68">
        <w:rPr>
          <w:b w:val="0"/>
          <w:bCs/>
          <w:highlight w:val="yellow"/>
        </w:rPr>
        <w:t>&lt;B-head&gt;</w:t>
      </w:r>
      <w:r>
        <w:t xml:space="preserve"> </w:t>
      </w:r>
      <w:r w:rsidR="001E1BA1" w:rsidRPr="007B6D68">
        <w:rPr>
          <w:i/>
          <w:iCs/>
        </w:rPr>
        <w:t xml:space="preserve">Further </w:t>
      </w:r>
      <w:r w:rsidR="00A01871" w:rsidRPr="007B6D68">
        <w:rPr>
          <w:i/>
          <w:iCs/>
        </w:rPr>
        <w:t>D</w:t>
      </w:r>
      <w:r w:rsidR="001E1BA1" w:rsidRPr="007B6D68">
        <w:rPr>
          <w:i/>
          <w:iCs/>
        </w:rPr>
        <w:t>evelopment</w:t>
      </w:r>
      <w:r w:rsidR="00070DE6" w:rsidRPr="007B6D68">
        <w:rPr>
          <w:i/>
          <w:iCs/>
        </w:rPr>
        <w:t>s—T</w:t>
      </w:r>
      <w:r w:rsidR="008B61D7" w:rsidRPr="007B6D68">
        <w:rPr>
          <w:i/>
          <w:iCs/>
        </w:rPr>
        <w:t>he 1980s</w:t>
      </w:r>
      <w:r w:rsidR="00871816" w:rsidRPr="007B6D68">
        <w:rPr>
          <w:i/>
          <w:iCs/>
        </w:rPr>
        <w:t xml:space="preserve"> and </w:t>
      </w:r>
      <w:r w:rsidR="00F075ED" w:rsidRPr="007B6D68">
        <w:rPr>
          <w:i/>
          <w:iCs/>
        </w:rPr>
        <w:t>Onwards</w:t>
      </w:r>
    </w:p>
    <w:p w14:paraId="11F34FAE" w14:textId="02FE9CC9" w:rsidR="00D00126" w:rsidRDefault="006821DC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D52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1980s</w:t>
      </w:r>
      <w:r w:rsidR="001E1BA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B3E26" w:rsidRPr="007F5842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5A0F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relatively</w:t>
      </w:r>
      <w:r w:rsidR="007C19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  <w:r w:rsidR="005A0F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suction table was added as new equipment at the S</w:t>
      </w:r>
      <w:r w:rsidR="006B3E26" w:rsidRPr="007F5842">
        <w:rPr>
          <w:rFonts w:ascii="Times New Roman" w:hAnsi="Times New Roman" w:cs="Times New Roman"/>
          <w:sz w:val="24"/>
          <w:szCs w:val="24"/>
          <w:lang w:val="en-US"/>
        </w:rPr>
        <w:t>chool of Conservation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0A7" w:rsidRPr="007F5842">
        <w:rPr>
          <w:rFonts w:ascii="Times New Roman" w:hAnsi="Times New Roman" w:cs="Times New Roman"/>
          <w:sz w:val="24"/>
          <w:szCs w:val="24"/>
          <w:lang w:val="en-US"/>
        </w:rPr>
        <w:t>and other conservation studios in Denmark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19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FA8">
        <w:rPr>
          <w:rFonts w:ascii="Times New Roman" w:hAnsi="Times New Roman" w:cs="Times New Roman"/>
          <w:sz w:val="24"/>
          <w:szCs w:val="24"/>
          <w:lang w:val="en-US"/>
        </w:rPr>
        <w:t xml:space="preserve">conservators across the country </w:t>
      </w:r>
      <w:r w:rsidR="005A0F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began </w:t>
      </w:r>
      <w:r w:rsidR="004C30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5A0F52" w:rsidRPr="007F5842">
        <w:rPr>
          <w:rFonts w:ascii="Times New Roman" w:hAnsi="Times New Roman" w:cs="Times New Roman"/>
          <w:sz w:val="24"/>
          <w:szCs w:val="24"/>
          <w:lang w:val="en-US"/>
        </w:rPr>
        <w:t>further develop the equipment</w:t>
      </w:r>
      <w:r w:rsidR="00F075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A0F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 seemed a useful tool for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>many canvas paintings. The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suction table </w:t>
      </w:r>
      <w:r w:rsidR="007C19A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D001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001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rather small,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>all-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aluminum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suction frame was developed based on </w:t>
      </w:r>
      <w:r w:rsidR="007C19A2" w:rsidRPr="007F5842">
        <w:rPr>
          <w:rFonts w:ascii="Times New Roman" w:hAnsi="Times New Roman" w:cs="Times New Roman"/>
          <w:sz w:val="24"/>
          <w:szCs w:val="24"/>
          <w:lang w:val="en-US"/>
        </w:rPr>
        <w:t>the design of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larger wooden frames at the National Museum 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Denmark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the Museum of Fine Arts.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It was c</w:t>
      </w:r>
      <w:r w:rsidR="00633FAB" w:rsidRPr="007F5842">
        <w:rPr>
          <w:rFonts w:ascii="Times New Roman" w:hAnsi="Times New Roman" w:cs="Times New Roman"/>
          <w:sz w:val="24"/>
          <w:szCs w:val="24"/>
          <w:lang w:val="en-US"/>
        </w:rPr>
        <w:t>onstructed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fit the surface of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="00633F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larger </w:t>
      </w:r>
      <w:r w:rsidR="00D93619" w:rsidRPr="007F5842">
        <w:rPr>
          <w:rFonts w:ascii="Times New Roman" w:hAnsi="Times New Roman" w:cs="Times New Roman"/>
          <w:sz w:val="24"/>
          <w:szCs w:val="24"/>
          <w:lang w:val="en-US"/>
        </w:rPr>
        <w:t>vacuum hot table</w:t>
      </w:r>
      <w:r w:rsidR="006B3E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6B3E26" w:rsidRPr="007F5842">
        <w:rPr>
          <w:rFonts w:ascii="Times New Roman" w:hAnsi="Times New Roman" w:cs="Times New Roman"/>
          <w:sz w:val="24"/>
          <w:szCs w:val="24"/>
          <w:lang w:val="en-US"/>
        </w:rPr>
        <w:t>utiliz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3E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its heat capacity if need be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This made </w:t>
      </w:r>
      <w:r w:rsidR="00633F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>possible to treat large</w:t>
      </w:r>
      <w:r w:rsidR="003750B9" w:rsidRPr="007F58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paintings with suction table techniques. </w:t>
      </w:r>
    </w:p>
    <w:p w14:paraId="6146C6DB" w14:textId="105FAFE7" w:rsidR="00472D5F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50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Construction of minisuction equipment was the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D001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0B9" w:rsidRPr="007F5842">
        <w:rPr>
          <w:rFonts w:ascii="Times New Roman" w:hAnsi="Times New Roman" w:cs="Times New Roman"/>
          <w:sz w:val="24"/>
          <w:szCs w:val="24"/>
          <w:lang w:val="en-US"/>
        </w:rPr>
        <w:t>of one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student thesis </w:t>
      </w:r>
      <w:r w:rsidR="004C15D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>these years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33FAB" w:rsidRPr="007F5842">
        <w:rPr>
          <w:rFonts w:ascii="Times New Roman" w:hAnsi="Times New Roman" w:cs="Times New Roman"/>
          <w:sz w:val="24"/>
          <w:szCs w:val="24"/>
          <w:lang w:val="en-US"/>
        </w:rPr>
        <w:t>Mitka</w:t>
      </w:r>
      <w:proofErr w:type="spellEnd"/>
      <w:r w:rsidR="00633F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1C6" w:rsidRPr="007F5842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606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50B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A different</w:t>
      </w:r>
      <w:r w:rsidR="00D001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0B9" w:rsidRPr="007F584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thesis included the construction of a large suction table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>Pet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>us</w:t>
      </w:r>
      <w:proofErr w:type="spellEnd"/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1C6" w:rsidRPr="007F5842">
        <w:rPr>
          <w:rFonts w:ascii="Times New Roman" w:hAnsi="Times New Roman" w:cs="Times New Roman"/>
          <w:sz w:val="24"/>
          <w:szCs w:val="24"/>
          <w:lang w:val="en-US"/>
        </w:rPr>
        <w:t>1984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018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606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and a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nother large, </w:t>
      </w:r>
      <w:r w:rsidR="00FE30E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experimental table 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built by</w:t>
      </w:r>
      <w:r w:rsidR="0041312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>Mitka</w:t>
      </w:r>
      <w:proofErr w:type="spellEnd"/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at the School of Conservation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All these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tables 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>built-in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heating capacity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F3B52" w:rsidRPr="007F5842">
        <w:rPr>
          <w:rFonts w:ascii="Times New Roman" w:hAnsi="Times New Roman" w:cs="Times New Roman"/>
          <w:sz w:val="24"/>
          <w:szCs w:val="24"/>
          <w:lang w:val="en-US"/>
        </w:rPr>
        <w:t>he latter included</w:t>
      </w:r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conditioned air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 xml:space="preserve">which flowed in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from below or </w:t>
      </w:r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via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chamber above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0012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painting </w:t>
      </w:r>
      <w:r w:rsidR="003A71BA" w:rsidRPr="007F5842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treatment on the suction table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uilt-in sensors 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>enabl</w:t>
      </w:r>
      <w:r w:rsidR="00D0012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user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follow and record temperature and humidity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D5F" w:rsidRPr="00472D5F">
        <w:rPr>
          <w:rFonts w:ascii="Times New Roman" w:hAnsi="Times New Roman" w:cs="Times New Roman"/>
          <w:sz w:val="24"/>
          <w:szCs w:val="24"/>
          <w:lang w:val="en-US"/>
        </w:rPr>
        <w:t>on paper tape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D7EC89" w14:textId="14EBCA2C" w:rsidR="006E68DA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>Similar new</w:t>
      </w:r>
      <w:r w:rsidR="002606D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even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large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606D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low-pressure 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designed 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built ad hoc for special projects in situ in manor houses or for general use in the Danish conservation studios. 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="00472D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="007127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took place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many countries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7127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either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in-house </w:t>
      </w:r>
      <w:r w:rsidR="00712768" w:rsidRPr="007F5842">
        <w:rPr>
          <w:rFonts w:ascii="Times New Roman" w:hAnsi="Times New Roman" w:cs="Times New Roman"/>
          <w:sz w:val="24"/>
          <w:szCs w:val="24"/>
          <w:lang w:val="en-US"/>
        </w:rPr>
        <w:t>designed</w:t>
      </w:r>
      <w:r w:rsidR="00223D3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equipment or commercial </w:t>
      </w:r>
      <w:r w:rsidR="00425F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suction-tables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E701C6" w:rsidRPr="007F5842">
        <w:rPr>
          <w:rFonts w:ascii="Times New Roman" w:hAnsi="Times New Roman" w:cs="Times New Roman"/>
          <w:sz w:val="24"/>
          <w:szCs w:val="24"/>
          <w:lang w:val="en-US"/>
        </w:rPr>
        <w:t>Reeve</w:t>
      </w:r>
      <w:r w:rsidR="00425F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1C6" w:rsidRPr="007F5842">
        <w:rPr>
          <w:rFonts w:ascii="Times New Roman" w:hAnsi="Times New Roman" w:cs="Times New Roman"/>
          <w:sz w:val="24"/>
          <w:szCs w:val="24"/>
          <w:lang w:val="en-US"/>
        </w:rPr>
        <w:t>1984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5F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5FE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 interest in the techniques and equipment </w:t>
      </w:r>
      <w:r w:rsidR="00A528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hyperlink r:id="rId17" w:history="1">
        <w:r w:rsidR="00425FE6" w:rsidRPr="003928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Coddington</w:t>
        </w:r>
        <w:r w:rsidR="006E68DA" w:rsidRPr="003928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in </w:t>
        </w:r>
        <w:r w:rsidRPr="003928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this publication</w:t>
        </w:r>
      </w:hyperlink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results of the construction and use of suction tables were reported and</w:t>
      </w:r>
      <w:r w:rsidR="003843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discussed a</w:t>
      </w:r>
      <w:r w:rsidR="003843D7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D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conferences 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ICOM-CC, 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A3A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1984 </w:t>
      </w:r>
      <w:r w:rsidR="00E701C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ICOM-CC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conference in Copenhagen.</w:t>
      </w:r>
    </w:p>
    <w:p w14:paraId="7F731A0B" w14:textId="09A0525B" w:rsidR="00AF4270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In the following six years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summer schools on the subject were organized at the S</w:t>
      </w:r>
      <w:r w:rsidR="00B1641E" w:rsidRPr="007F5842">
        <w:rPr>
          <w:rFonts w:ascii="Times New Roman" w:hAnsi="Times New Roman" w:cs="Times New Roman"/>
          <w:sz w:val="24"/>
          <w:szCs w:val="24"/>
          <w:lang w:val="en-US"/>
        </w:rPr>
        <w:t>chool of Conservation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(in collaboration with ICCROM)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to introduce and discuss suction</w:t>
      </w:r>
      <w:r w:rsidR="00472D5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>table techniques</w:t>
      </w:r>
      <w:r w:rsidR="000E6E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principles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2D5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making it possible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94AC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numerous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 w:rsidR="00B94AC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over the years </w:t>
      </w:r>
      <w:r w:rsidR="006E68D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try out selected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="003C4D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8" w:history="1">
        <w:r w:rsidR="00481DB4" w:rsidRPr="00392897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392897" w:rsidRPr="00392897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481DB4" w:rsidRPr="00392897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</w:t>
        </w:r>
        <w:r w:rsidR="002A3A13" w:rsidRPr="00392897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680E03" w:rsidRPr="00392897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4</w:t>
        </w:r>
      </w:hyperlink>
      <w:r w:rsidR="003C4D16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. Discussions were lively</w:t>
      </w:r>
      <w:r w:rsidR="00680E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9" w:history="1">
        <w:r w:rsidR="00481DB4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A3A13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s</w:t>
        </w:r>
        <w:r w:rsidR="00392897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481DB4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</w:t>
        </w:r>
        <w:r w:rsidR="002A3A13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680E03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="002A3A13" w:rsidRPr="00DA39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A3A1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80E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2A3A13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3.</w:t>
        </w:r>
        <w:r w:rsidR="00680E03" w:rsidRPr="00DA399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6</w:t>
        </w:r>
      </w:hyperlink>
      <w:r w:rsidR="00680E03" w:rsidRPr="007F5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01EF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includ</w:t>
      </w:r>
      <w:r w:rsidR="003843D7" w:rsidRPr="007F584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technical and ethical </w:t>
      </w:r>
      <w:r w:rsidR="00301EF9">
        <w:rPr>
          <w:rFonts w:ascii="Times New Roman" w:hAnsi="Times New Roman" w:cs="Times New Roman"/>
          <w:sz w:val="24"/>
          <w:szCs w:val="24"/>
          <w:lang w:val="en-US"/>
        </w:rPr>
        <w:t xml:space="preserve">debates on the </w:t>
      </w:r>
      <w:r w:rsidR="00B94ACC" w:rsidRPr="007F5842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aspects of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technique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the use of new materials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 xml:space="preserve">Such topics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includ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nap-bond acrylic dispersion-adhesives,</w:t>
      </w:r>
      <w:r w:rsidR="003843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F95" w:rsidRPr="007F5842">
        <w:rPr>
          <w:rFonts w:ascii="Times New Roman" w:hAnsi="Times New Roman" w:cs="Times New Roman"/>
          <w:sz w:val="24"/>
          <w:szCs w:val="24"/>
          <w:lang w:val="en-US"/>
        </w:rPr>
        <w:t>EVA-based adhesives (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="002A3A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4F9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3A13" w:rsidRPr="007F5842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2A3A1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F9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371), 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>fiberglass cloth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limited interventions, </w:t>
      </w:r>
      <w:r w:rsidR="000E6EA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temperature, humidity, 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strip</w:t>
      </w:r>
      <w:r w:rsidR="0087002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linings, loose</w:t>
      </w:r>
      <w:r w:rsidR="0087002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>linings</w:t>
      </w:r>
      <w:r w:rsidR="002A3A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73B4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much more</w:t>
      </w:r>
      <w:r w:rsidR="00AF427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In tune with the prevailing discussions in </w:t>
      </w:r>
      <w:r w:rsidR="00AF4270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paintings conservation in general, the idea of how much treatment was </w:t>
      </w:r>
      <w:proofErr w:type="gramStart"/>
      <w:r w:rsidR="00AF4270" w:rsidRPr="007F5842">
        <w:rPr>
          <w:rFonts w:ascii="Times New Roman" w:hAnsi="Times New Roman" w:cs="Times New Roman"/>
          <w:sz w:val="24"/>
          <w:szCs w:val="24"/>
          <w:lang w:val="en-US"/>
        </w:rPr>
        <w:t>really necessary</w:t>
      </w:r>
      <w:proofErr w:type="gramEnd"/>
      <w:r w:rsidR="00D4790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AF427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718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if so, </w:t>
      </w:r>
      <w:r w:rsidR="00AF4270" w:rsidRPr="007F5842">
        <w:rPr>
          <w:rFonts w:ascii="Times New Roman" w:hAnsi="Times New Roman" w:cs="Times New Roman"/>
          <w:sz w:val="24"/>
          <w:szCs w:val="24"/>
          <w:lang w:val="en-US"/>
        </w:rPr>
        <w:t>what kind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>was discussed as well, and Percival-Prescott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1974 concept of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the l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ining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93BA8" w:rsidRPr="007F584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cle and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 xml:space="preserve">whether 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to treat or not to treat was </w:t>
      </w:r>
      <w:r w:rsidR="00B534F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regular part of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conversations</w:t>
      </w:r>
      <w:r w:rsidR="00CA622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1871DE" w14:textId="4D7E1C81" w:rsidR="009D6A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parallel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D4790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>the summer schools</w:t>
      </w:r>
      <w:r w:rsidR="000E6EA7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 xml:space="preserve">set of 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>visual teaching aid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being produced in collaboration with the G</w:t>
      </w:r>
      <w:r w:rsidR="00C93BA8" w:rsidRPr="007F5842">
        <w:rPr>
          <w:rFonts w:ascii="Times New Roman" w:hAnsi="Times New Roman" w:cs="Times New Roman"/>
          <w:sz w:val="24"/>
          <w:szCs w:val="24"/>
          <w:lang w:val="en-US"/>
        </w:rPr>
        <w:t>etty Conservation Institute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The aim was to produce </w:t>
      </w:r>
      <w:r w:rsidR="00D4790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step-by-step </w:t>
      </w:r>
      <w:r w:rsidR="00FF6DB7" w:rsidRPr="007F5842">
        <w:rPr>
          <w:rFonts w:ascii="Times New Roman" w:hAnsi="Times New Roman" w:cs="Times New Roman"/>
          <w:sz w:val="24"/>
          <w:szCs w:val="24"/>
          <w:lang w:val="en-US"/>
        </w:rPr>
        <w:t>images of the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recent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ly developed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lining techniques, 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detailed description of each step, as a didactic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9D6A4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>for teachers in canvas paintings conservation. The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 xml:space="preserve"> aids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were used at each summer school and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in regular courses at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 xml:space="preserve">chool of 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790A">
        <w:rPr>
          <w:rFonts w:ascii="Times New Roman" w:hAnsi="Times New Roman" w:cs="Times New Roman"/>
          <w:sz w:val="24"/>
          <w:szCs w:val="24"/>
          <w:lang w:val="en-US"/>
        </w:rPr>
        <w:t>onservation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before being</w:t>
      </w:r>
      <w:r w:rsidR="009D6A4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>finalized in 1990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58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Scharff 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>1995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A3A1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E0203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1B967A" w14:textId="245991FF" w:rsidR="00F57AA3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production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 xml:space="preserve">of the aids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turned out to be a </w:t>
      </w:r>
      <w:r w:rsidR="003843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real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challenge, since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steps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="009D6A4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>to be explained and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if possible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supported by recent knowledge. 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understanding of canvas painting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s’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reactions to treatments w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very limited at the beginning of the 1980s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gradually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 xml:space="preserve">became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supported 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by publications </w:t>
      </w:r>
      <w:r w:rsidR="009313D0" w:rsidRPr="007F5842">
        <w:rPr>
          <w:rFonts w:ascii="Times New Roman" w:hAnsi="Times New Roman" w:cs="Times New Roman"/>
          <w:sz w:val="24"/>
          <w:szCs w:val="24"/>
          <w:lang w:val="en-US"/>
        </w:rPr>
        <w:t>during the second half of the dec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ade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10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D6A42">
        <w:rPr>
          <w:rFonts w:ascii="Times New Roman" w:hAnsi="Times New Roman" w:cs="Times New Roman"/>
          <w:sz w:val="24"/>
          <w:szCs w:val="24"/>
          <w:lang w:val="en-US"/>
        </w:rPr>
        <w:t>beyond—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 was not always possible to present a </w:t>
      </w:r>
      <w:r w:rsidR="0057100D" w:rsidRPr="007F5842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9B4EC7" w:rsidRPr="007F58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supported argument for some of the treatment steps or material choices. However,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the process for developing the aids</w:t>
      </w:r>
      <w:r w:rsidR="00F57A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was designed to let any teacher using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a given treatment</w:t>
      </w:r>
      <w:r w:rsidR="00F57A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add new and relevant information as it became 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discuss the logic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the approaches </w:t>
      </w:r>
      <w:r w:rsidR="006450AE" w:rsidRPr="007F5842">
        <w:rPr>
          <w:rFonts w:ascii="Times New Roman" w:hAnsi="Times New Roman" w:cs="Times New Roman"/>
          <w:sz w:val="24"/>
          <w:szCs w:val="24"/>
          <w:lang w:val="en-US"/>
        </w:rPr>
        <w:t>with the students</w:t>
      </w:r>
      <w:r w:rsidR="005710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57100D" w:rsidRPr="007F5842">
        <w:rPr>
          <w:rFonts w:ascii="Times New Roman" w:hAnsi="Times New Roman" w:cs="Times New Roman"/>
          <w:sz w:val="24"/>
          <w:szCs w:val="24"/>
          <w:lang w:val="en-US"/>
        </w:rPr>
        <w:t>dismiss some treatment steps</w:t>
      </w:r>
      <w:r w:rsidR="005650F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5650F6" w:rsidRPr="007F5842">
        <w:rPr>
          <w:rFonts w:ascii="Times New Roman" w:hAnsi="Times New Roman" w:cs="Times New Roman"/>
          <w:sz w:val="24"/>
          <w:szCs w:val="24"/>
          <w:lang w:val="en-US"/>
        </w:rPr>
        <w:t>obsolete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In this way, 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7100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rationale and 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>background for the treatments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 could be updated</w:t>
      </w:r>
      <w:r w:rsidR="00D465E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7FBE7B" w14:textId="17DE3A0E" w:rsidR="008B61D7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>While some parts of the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teaching aid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appear outdated today, 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thirty</w:t>
      </w:r>
      <w:r w:rsidR="00F57AA3" w:rsidRPr="00F57AA3">
        <w:rPr>
          <w:rFonts w:ascii="Times New Roman" w:hAnsi="Times New Roman" w:cs="Times New Roman"/>
          <w:sz w:val="24"/>
          <w:szCs w:val="24"/>
          <w:lang w:val="en-US"/>
        </w:rPr>
        <w:t xml:space="preserve"> years later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57AA3" w:rsidRPr="00F57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>other parts remain useful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whole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set serves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legacy and documentation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major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evolution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philosophy and practical approach to canvas paintings conservation in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the two decades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>the Greenwich conference.</w:t>
      </w:r>
    </w:p>
    <w:p w14:paraId="470532CF" w14:textId="4BD6B677" w:rsidR="0084711F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Teaching in paintings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programs ha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changed in many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respects</w:t>
      </w:r>
      <w:r w:rsidR="00F57A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>since the 1980s</w:t>
      </w:r>
      <w:r w:rsidR="0026043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>1990s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ess emphasis </w:t>
      </w:r>
      <w:r w:rsidR="00F57AA3">
        <w:rPr>
          <w:rFonts w:ascii="Times New Roman" w:hAnsi="Times New Roman" w:cs="Times New Roman"/>
          <w:sz w:val="24"/>
          <w:szCs w:val="24"/>
          <w:lang w:val="en-US"/>
        </w:rPr>
        <w:t xml:space="preserve">is now placed 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on learning a complete set of treatment techniques 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 xml:space="preserve">in favor of 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a greater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>concentrat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 principles and a better understanding of the materials and structures that a painting is composed of,</w:t>
      </w:r>
      <w:r w:rsidR="00B76E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 xml:space="preserve">with the aim of 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>better understanding deterioration mechanisms and the</w:t>
      </w:r>
      <w:r w:rsidR="005D5B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properties and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impact of treatments</w:t>
      </w:r>
      <w:r w:rsidR="005D5B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associated materials</w:t>
      </w:r>
      <w:r w:rsidR="00D64F43" w:rsidRPr="007F5842">
        <w:rPr>
          <w:rFonts w:ascii="Times New Roman" w:hAnsi="Times New Roman" w:cs="Times New Roman"/>
          <w:sz w:val="24"/>
          <w:szCs w:val="24"/>
          <w:lang w:val="en-US"/>
        </w:rPr>
        <w:t>. Experimenta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>l work</w:t>
      </w:r>
      <w:r w:rsidR="005D5B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plays a</w:t>
      </w:r>
      <w:r w:rsidR="00DB3254" w:rsidRPr="007F5842">
        <w:rPr>
          <w:rFonts w:ascii="Times New Roman" w:hAnsi="Times New Roman" w:cs="Times New Roman"/>
          <w:sz w:val="24"/>
          <w:szCs w:val="24"/>
          <w:lang w:val="en-US"/>
        </w:rPr>
        <w:t>n increasing</w:t>
      </w:r>
      <w:r w:rsidR="005D5B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254" w:rsidRPr="007F584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25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it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>further enhances the</w:t>
      </w:r>
      <w:r w:rsidR="001400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>understanding of the concepts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>opefully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will have an impact </w:t>
      </w:r>
      <w:r w:rsidR="00C97EC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whether the future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profession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concentrates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>mainly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hands-on treatments or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2E190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 a 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2E190F" w:rsidRPr="007F5842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E148F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approach to entire collections.</w:t>
      </w:r>
    </w:p>
    <w:p w14:paraId="5FD86884" w14:textId="1246E450" w:rsidR="00A52813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D6A5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>development of</w:t>
      </w:r>
      <w:r w:rsidR="00E24B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better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scientific 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understanding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canvas painting structures themselves</w:t>
      </w:r>
      <w:r w:rsidR="007E55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treatment techniques and materials</w:t>
      </w:r>
      <w:r w:rsidR="007E55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000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took place 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parallel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B61D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practical experiments and 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experiences 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>among a limited number of researchers and conservators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>. Results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ere 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published and discussed at conferences, not least at the ICOM-CC working group on </w:t>
      </w:r>
      <w:r w:rsidR="007E55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tructural treatment of canvas paintings that was active at the second half of the 1980s and </w:t>
      </w:r>
      <w:r w:rsidR="00E24B68" w:rsidRPr="007F5842">
        <w:rPr>
          <w:rFonts w:ascii="Times New Roman" w:hAnsi="Times New Roman" w:cs="Times New Roman"/>
          <w:sz w:val="24"/>
          <w:szCs w:val="24"/>
          <w:lang w:val="en-US"/>
        </w:rPr>
        <w:t>into the 1990s</w:t>
      </w:r>
      <w:r w:rsidR="007E55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B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876FFF" w:rsidRPr="007F5842">
        <w:rPr>
          <w:rFonts w:ascii="Times New Roman" w:hAnsi="Times New Roman" w:cs="Times New Roman"/>
          <w:sz w:val="24"/>
          <w:szCs w:val="24"/>
          <w:lang w:val="en-US"/>
        </w:rPr>
        <w:t>presented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464C2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more recent accounts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>Hackney 2020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968A3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In particular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00A9" w:rsidRPr="007F5842">
        <w:rPr>
          <w:rFonts w:ascii="Times New Roman" w:hAnsi="Times New Roman" w:cs="Times New Roman"/>
          <w:sz w:val="24"/>
          <w:szCs w:val="24"/>
          <w:lang w:val="en-US"/>
        </w:rPr>
        <w:t>publications</w:t>
      </w:r>
      <w:proofErr w:type="gramEnd"/>
      <w:r w:rsidR="001400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>Hedley, Mec</w:t>
      </w:r>
      <w:r w:rsidR="0081388E" w:rsidRPr="007F584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>lenburg</w:t>
      </w:r>
      <w:r w:rsidR="00260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Michalsk</w:t>
      </w:r>
      <w:r w:rsidR="00047D09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400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provided new insights; Hedley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regularly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>publi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shed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of canvas paintings with a special interest in </w:t>
      </w:r>
      <w:r w:rsidR="0081388E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>tudying the interaction with humidity</w:t>
      </w:r>
      <w:r w:rsidR="00B81B8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81388E" w:rsidRPr="007F5842">
        <w:rPr>
          <w:rFonts w:ascii="Times New Roman" w:hAnsi="Times New Roman" w:cs="Times New Roman"/>
          <w:sz w:val="24"/>
          <w:szCs w:val="24"/>
          <w:lang w:val="en-US"/>
        </w:rPr>
        <w:t>Hedley</w:t>
      </w:r>
      <w:r w:rsidR="00B81B8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88E" w:rsidRPr="007F5842">
        <w:rPr>
          <w:rFonts w:ascii="Times New Roman" w:hAnsi="Times New Roman" w:cs="Times New Roman"/>
          <w:sz w:val="24"/>
          <w:szCs w:val="24"/>
          <w:lang w:val="en-US"/>
        </w:rPr>
        <w:t>1993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})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Mec</w:t>
      </w:r>
      <w:r w:rsidR="00047D09" w:rsidRPr="007F584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>lenburg and Michalsk</w:t>
      </w:r>
      <w:r w:rsidR="0081388E" w:rsidRPr="007F58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provided new and valuable insights in painting structure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for example </w:t>
      </w:r>
      <w:r w:rsidR="007E55F8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E55F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043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Art in Transit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conference and </w:t>
      </w:r>
      <w:r w:rsidR="0026043D">
        <w:rPr>
          <w:rFonts w:ascii="Times New Roman" w:hAnsi="Times New Roman" w:cs="Times New Roman"/>
          <w:sz w:val="24"/>
          <w:szCs w:val="24"/>
          <w:lang w:val="en-US"/>
        </w:rPr>
        <w:t xml:space="preserve">subsequent </w:t>
      </w:r>
      <w:r w:rsidR="005E55C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publication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47D09" w:rsidRPr="007F5842">
        <w:rPr>
          <w:rFonts w:ascii="Times New Roman" w:hAnsi="Times New Roman" w:cs="Times New Roman"/>
          <w:sz w:val="24"/>
          <w:szCs w:val="24"/>
          <w:lang w:val="en-US"/>
        </w:rPr>
        <w:t>Mecklenburg</w:t>
      </w:r>
      <w:r w:rsidR="00B81B8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199</w:t>
      </w:r>
      <w:r w:rsidR="00F62280" w:rsidRPr="007F584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E6588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EE6588">
        <w:rPr>
          <w:rFonts w:ascii="Times New Roman" w:hAnsi="Times New Roman" w:cs="Times New Roman"/>
          <w:sz w:val="24"/>
          <w:szCs w:val="24"/>
          <w:lang w:val="en-US"/>
        </w:rPr>
        <w:t>Michalski 1991}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E65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81B89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00A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Such advances </w:t>
      </w:r>
      <w:r w:rsidR="00E24B6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originated from or 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>gradually fed into the educational program</w:t>
      </w:r>
      <w:r w:rsidR="00E24B68" w:rsidRPr="007F5842">
        <w:rPr>
          <w:rFonts w:ascii="Times New Roman" w:hAnsi="Times New Roman" w:cs="Times New Roman"/>
          <w:sz w:val="24"/>
          <w:szCs w:val="24"/>
          <w:lang w:val="en-US"/>
        </w:rPr>
        <w:t>s in Denmark and abroad,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E3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76FF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collaboration with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76992" w:rsidRPr="007F5842">
        <w:rPr>
          <w:rFonts w:ascii="Times New Roman" w:hAnsi="Times New Roman" w:cs="Times New Roman"/>
          <w:sz w:val="24"/>
          <w:szCs w:val="24"/>
          <w:lang w:val="en-US"/>
        </w:rPr>
        <w:t>stead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="00B76992" w:rsidRPr="007F5842">
        <w:rPr>
          <w:rFonts w:ascii="Times New Roman" w:hAnsi="Times New Roman" w:cs="Times New Roman"/>
          <w:sz w:val="24"/>
          <w:szCs w:val="24"/>
          <w:lang w:val="en-US"/>
        </w:rPr>
        <w:t>y growing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group of practitioners</w:t>
      </w:r>
      <w:r w:rsidR="002D1EB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EBE" w:rsidRPr="007F5842">
        <w:rPr>
          <w:rFonts w:ascii="Times New Roman" w:hAnsi="Times New Roman" w:cs="Times New Roman"/>
          <w:sz w:val="24"/>
          <w:szCs w:val="24"/>
          <w:lang w:val="en-US"/>
        </w:rPr>
        <w:t>interest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D1EB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0F9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>Without continued research supporting and advancing the field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53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it would h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ave been im</w:t>
      </w:r>
      <w:r w:rsidR="008F4AE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possible to 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="0032672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4AE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033C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proper understanding of the structure of a painting, its mechanics,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033C1" w:rsidRPr="007F5842">
        <w:rPr>
          <w:rFonts w:ascii="Times New Roman" w:hAnsi="Times New Roman" w:cs="Times New Roman"/>
          <w:sz w:val="24"/>
          <w:szCs w:val="24"/>
          <w:lang w:val="en-US"/>
        </w:rPr>
        <w:t>the impact of environment and treatments.</w:t>
      </w:r>
    </w:p>
    <w:p w14:paraId="35CBCA15" w14:textId="7F18E479" w:rsidR="00981E4F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interest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experiments with new e</w:t>
      </w:r>
      <w:r w:rsidR="00197943" w:rsidRPr="007F584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>uipment, methods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materials in the 1980s 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32672C">
        <w:rPr>
          <w:rFonts w:ascii="Times New Roman" w:hAnsi="Times New Roman" w:cs="Times New Roman"/>
          <w:sz w:val="24"/>
          <w:szCs w:val="24"/>
          <w:lang w:val="en-US"/>
        </w:rPr>
        <w:t>ed from</w:t>
      </w:r>
      <w:r w:rsidR="00167B4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E3C" w:rsidRPr="00870027">
        <w:rPr>
          <w:rFonts w:ascii="Times New Roman" w:hAnsi="Times New Roman" w:cs="Times New Roman"/>
          <w:sz w:val="24"/>
          <w:szCs w:val="24"/>
          <w:lang w:val="en-GB"/>
        </w:rPr>
        <w:t>recognizing the need for changes</w:t>
      </w:r>
      <w:r w:rsidR="00D81E46">
        <w:rPr>
          <w:lang w:val="en-GB"/>
        </w:rPr>
        <w:t xml:space="preserve"> </w:t>
      </w:r>
      <w:r w:rsidR="00197943" w:rsidRPr="007F5842">
        <w:rPr>
          <w:rFonts w:ascii="Times New Roman" w:hAnsi="Times New Roman" w:cs="Times New Roman"/>
          <w:sz w:val="24"/>
          <w:szCs w:val="24"/>
          <w:lang w:val="en-US"/>
        </w:rPr>
        <w:t>in canvas conservation gradually faded away as a different approach to canvas painting treatments</w:t>
      </w:r>
      <w:r w:rsidR="00CF783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evolved</w:t>
      </w:r>
      <w:r w:rsidR="00421E45">
        <w:rPr>
          <w:rFonts w:ascii="Times New Roman" w:hAnsi="Times New Roman" w:cs="Times New Roman"/>
          <w:sz w:val="24"/>
          <w:szCs w:val="24"/>
          <w:lang w:val="en-US"/>
        </w:rPr>
        <w:t xml:space="preserve"> and became accepted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>. Th</w:t>
      </w:r>
      <w:r w:rsidR="00421E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new approach </w:t>
      </w:r>
      <w:r w:rsidR="00421E45">
        <w:rPr>
          <w:rFonts w:ascii="Times New Roman" w:hAnsi="Times New Roman" w:cs="Times New Roman"/>
          <w:sz w:val="24"/>
          <w:szCs w:val="24"/>
          <w:lang w:val="en-US"/>
        </w:rPr>
        <w:t>placed</w:t>
      </w:r>
      <w:r w:rsidR="00421E4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72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focus on preventive means, </w:t>
      </w:r>
      <w:r w:rsidR="00197943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perhaps 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following principles </w:t>
      </w:r>
      <w:r w:rsidR="00876FF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97943" w:rsidRPr="007F5842">
        <w:rPr>
          <w:rFonts w:ascii="Times New Roman" w:hAnsi="Times New Roman" w:cs="Times New Roman"/>
          <w:sz w:val="24"/>
          <w:szCs w:val="24"/>
          <w:lang w:val="en-US"/>
        </w:rPr>
        <w:t>more limited interventions</w:t>
      </w:r>
      <w:r w:rsidR="00421E4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21E45">
        <w:rPr>
          <w:rFonts w:ascii="Times New Roman" w:hAnsi="Times New Roman" w:cs="Times New Roman"/>
          <w:sz w:val="24"/>
          <w:szCs w:val="24"/>
          <w:lang w:val="en-US"/>
        </w:rPr>
        <w:t xml:space="preserve">coincided 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>growing popularity of EVA-base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adhesive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>s and adhesive sheets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and several proposed </w:t>
      </w:r>
      <w:bookmarkStart w:id="3" w:name="_Hlk91249062"/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nap-bond </w:t>
      </w:r>
      <w:bookmarkEnd w:id="3"/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>application technique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although still using </w:t>
      </w:r>
      <w:r w:rsidR="00A7156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relatively high temperature of </w:t>
      </w:r>
      <w:r w:rsidR="00813B6C" w:rsidRPr="007F5842">
        <w:rPr>
          <w:rFonts w:ascii="Times New Roman" w:hAnsi="Times New Roman" w:cs="Times New Roman"/>
          <w:sz w:val="24"/>
          <w:szCs w:val="24"/>
          <w:lang w:val="en-US"/>
        </w:rPr>
        <w:t>65°C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2C76D670" w14:textId="481EF42F" w:rsidR="00E81061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>Thus, gradually, as treatment methods evolved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 better understanding of the impact of structural treatments emerged,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>interest in preventive conservation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 grew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an increasing number of practitioners became more reluctant to carry out the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11C8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of treatments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been customary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 in the past. L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ittle by little practitioners began leaning toward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>more limited interventions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 collectively using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term </w:t>
      </w:r>
      <w:r w:rsidR="006A2EC7" w:rsidRPr="00946BA1">
        <w:rPr>
          <w:rFonts w:ascii="Times New Roman" w:hAnsi="Times New Roman" w:cs="Times New Roman"/>
          <w:i/>
          <w:iCs/>
          <w:sz w:val="24"/>
          <w:szCs w:val="24"/>
          <w:lang w:val="en-US"/>
        </w:rPr>
        <w:t>minimalism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see,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EE68AF" w:rsidRPr="007F5842">
        <w:rPr>
          <w:rFonts w:ascii="Times New Roman" w:hAnsi="Times New Roman" w:cs="Times New Roman"/>
          <w:sz w:val="24"/>
          <w:szCs w:val="24"/>
          <w:lang w:val="en-US"/>
        </w:rPr>
        <w:t>Ackroyd</w:t>
      </w:r>
      <w:r w:rsidR="0026043D">
        <w:rPr>
          <w:rFonts w:ascii="Times New Roman" w:hAnsi="Times New Roman" w:cs="Times New Roman"/>
          <w:sz w:val="24"/>
          <w:szCs w:val="24"/>
          <w:lang w:val="en-US"/>
        </w:rPr>
        <w:t xml:space="preserve"> and Villers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69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increasing impact of preventive conservation and risk </w:t>
      </w:r>
      <w:r w:rsidR="00871816" w:rsidRPr="007F5842">
        <w:rPr>
          <w:rFonts w:ascii="Times New Roman" w:hAnsi="Times New Roman" w:cs="Times New Roman"/>
          <w:sz w:val="24"/>
          <w:szCs w:val="24"/>
          <w:lang w:val="en-US"/>
        </w:rPr>
        <w:t>management/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assessment </w:t>
      </w:r>
      <w:r w:rsidR="007103AD" w:rsidRPr="007F5842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>Antomarchi</w:t>
      </w:r>
      <w:proofErr w:type="spellEnd"/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9F4">
        <w:rPr>
          <w:rFonts w:ascii="Times New Roman" w:hAnsi="Times New Roman" w:cs="Times New Roman"/>
          <w:sz w:val="24"/>
          <w:szCs w:val="24"/>
          <w:lang w:val="en-US"/>
        </w:rPr>
        <w:t xml:space="preserve">et al. 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>2005</w:t>
      </w:r>
      <w:r w:rsidR="00481DB4" w:rsidRPr="007F584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69F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decision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making may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influence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approach to the preservation of canvas paintings</w:t>
      </w:r>
      <w:r w:rsidR="00871816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the future</w:t>
      </w:r>
      <w:r w:rsidR="00E8106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73E865" w14:textId="05C10735" w:rsidR="005C4E98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63085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further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development of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treatment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>methods and materials seem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largely to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EC7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hold 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D53A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the past </w:t>
      </w:r>
      <w:r w:rsidR="00392897">
        <w:rPr>
          <w:rFonts w:ascii="Times New Roman" w:hAnsi="Times New Roman" w:cs="Times New Roman"/>
          <w:sz w:val="24"/>
          <w:szCs w:val="24"/>
          <w:lang w:val="en-US"/>
        </w:rPr>
        <w:t>twenty</w:t>
      </w:r>
      <w:r w:rsidR="002D69F4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research in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material structure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mechanics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="00011C88" w:rsidRPr="00011C88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011C88">
        <w:rPr>
          <w:rFonts w:ascii="Times New Roman" w:hAnsi="Times New Roman" w:cs="Times New Roman"/>
          <w:sz w:val="24"/>
          <w:szCs w:val="24"/>
          <w:lang w:val="en-US"/>
        </w:rPr>
        <w:t>d: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ow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>the st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E98" w:rsidRPr="007F5842">
        <w:rPr>
          <w:rFonts w:ascii="Times New Roman" w:hAnsi="Times New Roman" w:cs="Times New Roman"/>
          <w:sz w:val="24"/>
          <w:szCs w:val="24"/>
          <w:lang w:val="en-US"/>
        </w:rPr>
        <w:t>ucture affected by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environment 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during exhibition or storage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the impact of conservation treatments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C6A50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past and 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0B4F" w:rsidRPr="007F5842">
        <w:rPr>
          <w:rFonts w:ascii="Times New Roman" w:hAnsi="Times New Roman" w:cs="Times New Roman"/>
          <w:sz w:val="24"/>
          <w:szCs w:val="24"/>
          <w:lang w:val="en-US"/>
        </w:rPr>
        <w:t>A growing number of conservators and scientists are working together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national and international research groups, taking advantage of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ste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dily growing availability of analytical equipment and methods, including t</w:t>
      </w:r>
      <w:r w:rsidR="00D53A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D53A6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 of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computer modelin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621A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predict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 steady increase in publications in the field also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everyone in conservation studios and conservat</w:t>
      </w:r>
      <w:r w:rsidR="007A6A0A" w:rsidRPr="007F5842">
        <w:rPr>
          <w:rFonts w:ascii="Times New Roman" w:hAnsi="Times New Roman" w:cs="Times New Roman"/>
          <w:sz w:val="24"/>
          <w:szCs w:val="24"/>
          <w:lang w:val="en-US"/>
        </w:rPr>
        <w:t>ion students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educational institutions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A0A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ever-expanding trove</w:t>
      </w:r>
      <w:r w:rsidR="00741B7F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A0A" w:rsidRPr="007F584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B139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relevant information. 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opefully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the future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C15E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lead to a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lastRenderedPageBreak/>
        <w:t>better understand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ing of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material </w:t>
      </w:r>
      <w:r w:rsidR="007F5842" w:rsidRPr="007F5842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deterioration phenomena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 xml:space="preserve">be able,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ultimately</w:t>
      </w:r>
      <w:r w:rsidR="00741B7F">
        <w:rPr>
          <w:rFonts w:ascii="Times New Roman" w:hAnsi="Times New Roman" w:cs="Times New Roman"/>
          <w:sz w:val="24"/>
          <w:szCs w:val="24"/>
          <w:lang w:val="en-US"/>
        </w:rPr>
        <w:t>, to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B53CE" w:rsidRPr="007F5842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response </w:t>
      </w:r>
      <w:r w:rsidR="007369AB" w:rsidRPr="007F5842">
        <w:rPr>
          <w:rFonts w:ascii="Times New Roman" w:hAnsi="Times New Roman" w:cs="Times New Roman"/>
          <w:sz w:val="24"/>
          <w:szCs w:val="24"/>
          <w:lang w:val="en-US"/>
        </w:rPr>
        <w:t>of canvas paintings</w:t>
      </w:r>
      <w:r w:rsidR="005B53C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under given conditions and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5B53C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better means to preserve them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either by</w:t>
      </w:r>
      <w:r w:rsidR="002621A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active treatment procedures or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621A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preventive me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asures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—and thus maintain our</w:t>
      </w:r>
      <w:r w:rsidR="002621A1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3C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cultural heritage for 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="005B53CE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generations.</w:t>
      </w:r>
      <w:r w:rsidR="00E25985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5C33E2" w14:textId="3A36200F" w:rsidR="00784378" w:rsidRPr="007F5842" w:rsidRDefault="007B18AD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EE11D9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may have passed the point where 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 xml:space="preserve">there were only 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>two options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to treat or not to treat a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all.</w:t>
      </w:r>
      <w:r w:rsidR="00D83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CA8" w:rsidRPr="00D83CA8">
        <w:rPr>
          <w:rFonts w:ascii="Times New Roman" w:hAnsi="Times New Roman" w:cs="Times New Roman"/>
          <w:sz w:val="24"/>
          <w:szCs w:val="24"/>
          <w:lang w:val="en-US"/>
        </w:rPr>
        <w:t>Perhaps the question</w:t>
      </w:r>
      <w:r w:rsidR="00D83CA8">
        <w:rPr>
          <w:rFonts w:ascii="Times New Roman" w:hAnsi="Times New Roman" w:cs="Times New Roman"/>
          <w:sz w:val="24"/>
          <w:szCs w:val="24"/>
          <w:lang w:val="en-US"/>
        </w:rPr>
        <w:t xml:space="preserve"> now should be</w:t>
      </w:r>
      <w:r w:rsidR="00D83CA8" w:rsidRPr="00D83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CA8">
        <w:rPr>
          <w:rFonts w:ascii="Times New Roman" w:hAnsi="Times New Roman" w:cs="Times New Roman"/>
          <w:sz w:val="24"/>
          <w:szCs w:val="24"/>
          <w:lang w:val="en-US"/>
        </w:rPr>
        <w:t xml:space="preserve">whether </w:t>
      </w:r>
      <w:r w:rsidR="00D83CA8" w:rsidRPr="00D83CA8">
        <w:rPr>
          <w:rFonts w:ascii="Times New Roman" w:hAnsi="Times New Roman" w:cs="Times New Roman"/>
          <w:sz w:val="24"/>
          <w:szCs w:val="24"/>
          <w:lang w:val="en-US"/>
        </w:rPr>
        <w:t>to line or not to line</w:t>
      </w:r>
      <w:r w:rsidR="00D83C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Luckily, the advance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the field in practice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since the Greenwich conference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given us a 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sounder</w:t>
      </w:r>
      <w:r w:rsidR="00DB077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>basis for selecti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ng better </w:t>
      </w:r>
      <w:r w:rsidR="00784378" w:rsidRPr="007F5842">
        <w:rPr>
          <w:rFonts w:ascii="Times New Roman" w:hAnsi="Times New Roman" w:cs="Times New Roman"/>
          <w:sz w:val="24"/>
          <w:szCs w:val="24"/>
          <w:lang w:val="en-US"/>
        </w:rPr>
        <w:t>options to pre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serve canvas paintings. 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Nonetheless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, there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still much to learn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006AF0">
        <w:rPr>
          <w:rFonts w:ascii="Times New Roman" w:hAnsi="Times New Roman" w:cs="Times New Roman"/>
          <w:sz w:val="24"/>
          <w:szCs w:val="24"/>
          <w:lang w:val="en-US"/>
        </w:rPr>
        <w:t>hope</w:t>
      </w:r>
      <w:r w:rsidR="00DB077D">
        <w:rPr>
          <w:rFonts w:ascii="Times New Roman" w:hAnsi="Times New Roman" w:cs="Times New Roman"/>
          <w:sz w:val="24"/>
          <w:szCs w:val="24"/>
          <w:lang w:val="en-US"/>
        </w:rPr>
        <w:t xml:space="preserve"> that is will be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conducted 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in the spirit of the Greenwich conference,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la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ground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for nearly </w:t>
      </w:r>
      <w:r w:rsidR="000D1D20">
        <w:rPr>
          <w:rFonts w:ascii="Times New Roman" w:hAnsi="Times New Roman" w:cs="Times New Roman"/>
          <w:sz w:val="24"/>
          <w:szCs w:val="24"/>
          <w:lang w:val="en-US"/>
        </w:rPr>
        <w:t>fifty</w:t>
      </w:r>
      <w:r w:rsidR="00DB077D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years of </w:t>
      </w:r>
      <w:r w:rsidR="0041658D" w:rsidRPr="007F5842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="00601CDC" w:rsidRPr="007F5842">
        <w:rPr>
          <w:rFonts w:ascii="Times New Roman" w:hAnsi="Times New Roman" w:cs="Times New Roman"/>
          <w:sz w:val="24"/>
          <w:szCs w:val="24"/>
          <w:lang w:val="en-US"/>
        </w:rPr>
        <w:t xml:space="preserve"> in canvas paintings conservation.</w:t>
      </w:r>
    </w:p>
    <w:p w14:paraId="7F141F15" w14:textId="47F8541B" w:rsidR="00D81E46" w:rsidRPr="00750D63" w:rsidRDefault="00D81E46" w:rsidP="00D9427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E03DE0" w14:textId="40516E96" w:rsidR="00C0565F" w:rsidRDefault="007B6D68" w:rsidP="00D9427B">
      <w:pPr>
        <w:pStyle w:val="Heading1"/>
      </w:pPr>
      <w:r w:rsidRPr="007B6D68">
        <w:rPr>
          <w:b w:val="0"/>
          <w:bCs/>
          <w:highlight w:val="yellow"/>
        </w:rPr>
        <w:t>&lt;A-head&gt;</w:t>
      </w:r>
      <w:r>
        <w:t xml:space="preserve"> </w:t>
      </w:r>
      <w:r w:rsidR="0001430B">
        <w:t>N</w:t>
      </w:r>
      <w:r w:rsidR="004B2E50">
        <w:t>otes</w:t>
      </w:r>
    </w:p>
    <w:p w14:paraId="193479BF" w14:textId="77777777" w:rsidR="00D81E46" w:rsidRPr="00D81E46" w:rsidRDefault="00D81E46" w:rsidP="00D81E46">
      <w:pPr>
        <w:rPr>
          <w:lang w:val="en-US"/>
        </w:rPr>
      </w:pPr>
    </w:p>
    <w:sectPr w:rsidR="00D81E46" w:rsidRPr="00D81E46" w:rsidSect="000D7296">
      <w:footerReference w:type="default" r:id="rId21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9630" w14:textId="77777777" w:rsidR="00EC3151" w:rsidRDefault="00EC3151" w:rsidP="00DB386B">
      <w:pPr>
        <w:spacing w:after="0" w:line="240" w:lineRule="auto"/>
      </w:pPr>
      <w:r>
        <w:separator/>
      </w:r>
    </w:p>
  </w:endnote>
  <w:endnote w:type="continuationSeparator" w:id="0">
    <w:p w14:paraId="590FB1AB" w14:textId="77777777" w:rsidR="00EC3151" w:rsidRDefault="00EC3151" w:rsidP="00DB386B">
      <w:pPr>
        <w:spacing w:after="0" w:line="240" w:lineRule="auto"/>
      </w:pPr>
      <w:r>
        <w:continuationSeparator/>
      </w:r>
    </w:p>
  </w:endnote>
  <w:endnote w:id="1">
    <w:p w14:paraId="58072E85" w14:textId="7CD17F2B" w:rsidR="007F04D0" w:rsidRPr="007B6D68" w:rsidRDefault="007F04D0">
      <w:pPr>
        <w:pStyle w:val="EndnoteText"/>
        <w:rPr>
          <w:rFonts w:ascii="Times New Roman" w:hAnsi="Times New Roman" w:cs="Times New Roman"/>
          <w:lang w:val="en-US"/>
        </w:rPr>
      </w:pPr>
      <w:r w:rsidRPr="007B6D68">
        <w:rPr>
          <w:rStyle w:val="EndnoteReference"/>
          <w:rFonts w:ascii="Times New Roman" w:hAnsi="Times New Roman" w:cs="Times New Roman"/>
          <w:vertAlign w:val="baseline"/>
        </w:rPr>
        <w:endnoteRef/>
      </w:r>
      <w:r w:rsidRPr="007B6D68">
        <w:rPr>
          <w:rFonts w:ascii="Times New Roman" w:hAnsi="Times New Roman" w:cs="Times New Roman"/>
          <w:lang w:val="en-GB"/>
        </w:rPr>
        <w:t xml:space="preserve"> </w:t>
      </w:r>
      <w:r w:rsidRPr="007B6D68">
        <w:rPr>
          <w:rFonts w:ascii="Times New Roman" w:hAnsi="Times New Roman" w:cs="Times New Roman"/>
          <w:lang w:val="en-US"/>
        </w:rPr>
        <w:t>Training as house painters in Denmark up to the 1</w:t>
      </w:r>
      <w:r w:rsidR="0044147E" w:rsidRPr="007B6D68">
        <w:rPr>
          <w:rFonts w:ascii="Times New Roman" w:hAnsi="Times New Roman" w:cs="Times New Roman"/>
          <w:lang w:val="en-US"/>
        </w:rPr>
        <w:t>9</w:t>
      </w:r>
      <w:r w:rsidRPr="007B6D68">
        <w:rPr>
          <w:rFonts w:ascii="Times New Roman" w:hAnsi="Times New Roman" w:cs="Times New Roman"/>
          <w:lang w:val="en-US"/>
        </w:rPr>
        <w:t xml:space="preserve">70s included a variety of techniques, </w:t>
      </w:r>
      <w:r w:rsidR="00816128" w:rsidRPr="007B6D68">
        <w:rPr>
          <w:rFonts w:ascii="Times New Roman" w:hAnsi="Times New Roman" w:cs="Times New Roman"/>
          <w:lang w:val="en-US"/>
        </w:rPr>
        <w:t xml:space="preserve">such as </w:t>
      </w:r>
      <w:r w:rsidRPr="007B6D68">
        <w:rPr>
          <w:rFonts w:ascii="Times New Roman" w:hAnsi="Times New Roman" w:cs="Times New Roman"/>
          <w:lang w:val="en-US"/>
        </w:rPr>
        <w:t>decorative paint finishes, faux marbling,</w:t>
      </w:r>
      <w:r w:rsidR="00816128" w:rsidRPr="007B6D68">
        <w:rPr>
          <w:rFonts w:ascii="Times New Roman" w:hAnsi="Times New Roman" w:cs="Times New Roman"/>
          <w:lang w:val="en-US"/>
        </w:rPr>
        <w:t xml:space="preserve"> and graining.</w:t>
      </w:r>
    </w:p>
    <w:p w14:paraId="0C087EA7" w14:textId="77777777" w:rsidR="00860E93" w:rsidRPr="007B6D68" w:rsidRDefault="00860E9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">
    <w:p w14:paraId="3CFB3FD8" w14:textId="3CEF719C" w:rsidR="00415F83" w:rsidRPr="007B6D68" w:rsidRDefault="00415F83">
      <w:pPr>
        <w:pStyle w:val="EndnoteText"/>
        <w:rPr>
          <w:rFonts w:ascii="Times New Roman" w:hAnsi="Times New Roman" w:cs="Times New Roman"/>
          <w:lang w:val="en-US"/>
        </w:rPr>
      </w:pPr>
      <w:r w:rsidRPr="007B6D68">
        <w:rPr>
          <w:rFonts w:ascii="Times New Roman" w:hAnsi="Times New Roman" w:cs="Times New Roman"/>
          <w:lang w:val="en-US"/>
        </w:rPr>
        <w:endnoteRef/>
      </w:r>
      <w:r w:rsidR="00B739BD" w:rsidRPr="007B6D68">
        <w:rPr>
          <w:rFonts w:ascii="Times New Roman" w:hAnsi="Times New Roman" w:cs="Times New Roman"/>
          <w:lang w:val="en-US"/>
        </w:rPr>
        <w:t>.</w:t>
      </w:r>
      <w:r w:rsidRPr="007B6D68">
        <w:rPr>
          <w:rFonts w:ascii="Times New Roman" w:hAnsi="Times New Roman" w:cs="Times New Roman"/>
          <w:lang w:val="en-US"/>
        </w:rPr>
        <w:t xml:space="preserve"> Danish Ministry of Culture, </w:t>
      </w:r>
      <w:r w:rsidRPr="007B6D68">
        <w:rPr>
          <w:rFonts w:ascii="Times New Roman" w:hAnsi="Times New Roman" w:cs="Times New Roman"/>
          <w:i/>
          <w:iCs/>
          <w:lang w:val="en-US"/>
        </w:rPr>
        <w:t>Betænkning om organisation af konserveringsvirksomheden ved museer, arkiver og biblioteker samt om oprettelse af en konservatorskole</w:t>
      </w:r>
      <w:r w:rsidRPr="007B6D68">
        <w:rPr>
          <w:rFonts w:ascii="Times New Roman" w:hAnsi="Times New Roman" w:cs="Times New Roman"/>
          <w:lang w:val="en-US"/>
        </w:rPr>
        <w:t>, Parliamentary Report 525</w:t>
      </w:r>
      <w:r w:rsidR="007E6FB8" w:rsidRPr="007B6D68">
        <w:rPr>
          <w:rFonts w:ascii="Times New Roman" w:hAnsi="Times New Roman" w:cs="Times New Roman"/>
          <w:lang w:val="en-US"/>
        </w:rPr>
        <w:t>,</w:t>
      </w:r>
      <w:r w:rsidRPr="007B6D68">
        <w:rPr>
          <w:rFonts w:ascii="Times New Roman" w:hAnsi="Times New Roman" w:cs="Times New Roman"/>
          <w:lang w:val="en-US"/>
        </w:rPr>
        <w:t xml:space="preserve"> 1969. </w:t>
      </w:r>
    </w:p>
    <w:p w14:paraId="48E63634" w14:textId="77777777" w:rsidR="00860E93" w:rsidRPr="007B6D68" w:rsidRDefault="00860E9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3">
    <w:p w14:paraId="45A79A52" w14:textId="77777777" w:rsidR="00860E93" w:rsidRPr="007B6D68" w:rsidRDefault="009334DB" w:rsidP="009334DB">
      <w:pPr>
        <w:pStyle w:val="EndnoteText"/>
        <w:rPr>
          <w:rStyle w:val="Hyperlink"/>
          <w:rFonts w:ascii="Times New Roman" w:hAnsi="Times New Roman" w:cs="Times New Roman"/>
          <w:lang w:val="en-US"/>
        </w:rPr>
      </w:pPr>
      <w:r w:rsidRPr="007B6D68">
        <w:rPr>
          <w:rFonts w:ascii="Times New Roman" w:hAnsi="Times New Roman" w:cs="Times New Roman"/>
          <w:lang w:val="en-US"/>
        </w:rPr>
        <w:endnoteRef/>
      </w:r>
      <w:r w:rsidR="00B739BD" w:rsidRPr="007B6D68">
        <w:rPr>
          <w:rFonts w:ascii="Times New Roman" w:hAnsi="Times New Roman" w:cs="Times New Roman"/>
          <w:lang w:val="en-US"/>
        </w:rPr>
        <w:t>.</w:t>
      </w:r>
      <w:r w:rsidRPr="007B6D68">
        <w:rPr>
          <w:rFonts w:ascii="Times New Roman" w:hAnsi="Times New Roman" w:cs="Times New Roman"/>
          <w:lang w:val="en-US"/>
        </w:rPr>
        <w:t xml:space="preserve"> UNESCO, Convention Concerning the Protection of the World Cultural and Natural Heritage, 1972. </w:t>
      </w:r>
      <w:hyperlink r:id="rId1" w:history="1">
        <w:r w:rsidRPr="007B6D68">
          <w:rPr>
            <w:rStyle w:val="Hyperlink"/>
            <w:rFonts w:ascii="Times New Roman" w:hAnsi="Times New Roman" w:cs="Times New Roman"/>
            <w:lang w:val="en-US"/>
          </w:rPr>
          <w:t>https://whc.unesco.org/en/conventiontext/</w:t>
        </w:r>
      </w:hyperlink>
      <w:r w:rsidR="00860E93" w:rsidRPr="007B6D68">
        <w:rPr>
          <w:rStyle w:val="Hyperlink"/>
          <w:rFonts w:ascii="Times New Roman" w:hAnsi="Times New Roman" w:cs="Times New Roman"/>
          <w:lang w:val="en-US"/>
        </w:rPr>
        <w:t>.</w:t>
      </w:r>
    </w:p>
    <w:p w14:paraId="6118D236" w14:textId="7DA1DCFC" w:rsidR="009334DB" w:rsidRPr="007B6D68" w:rsidRDefault="009334DB" w:rsidP="009334DB">
      <w:pPr>
        <w:pStyle w:val="EndnoteText"/>
        <w:rPr>
          <w:rFonts w:ascii="Times New Roman" w:hAnsi="Times New Roman" w:cs="Times New Roman"/>
          <w:lang w:val="en-US"/>
        </w:rPr>
      </w:pPr>
      <w:r w:rsidRPr="007B6D68">
        <w:rPr>
          <w:rFonts w:ascii="Times New Roman" w:hAnsi="Times New Roman" w:cs="Times New Roman"/>
          <w:lang w:val="en-US"/>
        </w:rPr>
        <w:t xml:space="preserve"> </w:t>
      </w:r>
    </w:p>
  </w:endnote>
  <w:endnote w:id="4">
    <w:p w14:paraId="2CE6E87E" w14:textId="49D80F7C" w:rsidR="000252DD" w:rsidRPr="007B6D68" w:rsidRDefault="000252DD">
      <w:pPr>
        <w:pStyle w:val="EndnoteText"/>
        <w:rPr>
          <w:rFonts w:ascii="Times New Roman" w:hAnsi="Times New Roman" w:cs="Times New Roman"/>
          <w:lang w:val="en-US"/>
        </w:rPr>
      </w:pPr>
      <w:r w:rsidRPr="007B6D68">
        <w:rPr>
          <w:rFonts w:ascii="Times New Roman" w:hAnsi="Times New Roman" w:cs="Times New Roman"/>
          <w:lang w:val="en-US"/>
        </w:rPr>
        <w:endnoteRef/>
      </w:r>
      <w:r w:rsidR="00B739BD" w:rsidRPr="007B6D68">
        <w:rPr>
          <w:rFonts w:ascii="Times New Roman" w:hAnsi="Times New Roman" w:cs="Times New Roman"/>
          <w:lang w:val="en-US"/>
        </w:rPr>
        <w:t>.</w:t>
      </w:r>
      <w:r w:rsidRPr="007B6D68">
        <w:rPr>
          <w:rFonts w:ascii="Times New Roman" w:hAnsi="Times New Roman" w:cs="Times New Roman"/>
          <w:lang w:val="en-US"/>
        </w:rPr>
        <w:t xml:space="preserve"> A copy exists in the museum archives.</w:t>
      </w:r>
    </w:p>
    <w:p w14:paraId="00D6DDC5" w14:textId="77777777" w:rsidR="00860E93" w:rsidRPr="007B6D68" w:rsidRDefault="00860E9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5">
    <w:p w14:paraId="5DB6C008" w14:textId="4E067A40" w:rsidR="00F94BD9" w:rsidRPr="007B6D68" w:rsidRDefault="00F94BD9">
      <w:pPr>
        <w:pStyle w:val="EndnoteText"/>
        <w:rPr>
          <w:rFonts w:ascii="Times New Roman" w:hAnsi="Times New Roman" w:cs="Times New Roman"/>
          <w:lang w:val="en-US"/>
        </w:rPr>
      </w:pPr>
      <w:r w:rsidRPr="007B6D68">
        <w:rPr>
          <w:rStyle w:val="EndnoteReference"/>
          <w:rFonts w:ascii="Times New Roman" w:hAnsi="Times New Roman" w:cs="Times New Roman"/>
          <w:vertAlign w:val="baseline"/>
          <w:lang w:val="en-US"/>
        </w:rPr>
        <w:endnoteRef/>
      </w:r>
      <w:r w:rsidRPr="007B6D68">
        <w:rPr>
          <w:rFonts w:ascii="Times New Roman" w:hAnsi="Times New Roman" w:cs="Times New Roman"/>
          <w:lang w:val="en-US"/>
        </w:rPr>
        <w:t xml:space="preserve"> The term </w:t>
      </w:r>
      <w:r w:rsidRPr="007B6D68">
        <w:rPr>
          <w:rFonts w:ascii="Times New Roman" w:hAnsi="Times New Roman" w:cs="Times New Roman"/>
          <w:i/>
          <w:iCs/>
          <w:lang w:val="en-US"/>
        </w:rPr>
        <w:t>lamination</w:t>
      </w:r>
      <w:r w:rsidRPr="007B6D68">
        <w:rPr>
          <w:rFonts w:ascii="Times New Roman" w:hAnsi="Times New Roman" w:cs="Times New Roman"/>
          <w:lang w:val="en-US"/>
        </w:rPr>
        <w:t xml:space="preserve"> </w:t>
      </w:r>
      <w:r w:rsidR="00C36A58" w:rsidRPr="007B6D68">
        <w:rPr>
          <w:rFonts w:ascii="Times New Roman" w:hAnsi="Times New Roman" w:cs="Times New Roman"/>
          <w:lang w:val="en-US"/>
        </w:rPr>
        <w:t>used in Denmark at the time</w:t>
      </w:r>
      <w:r w:rsidRPr="007B6D68">
        <w:rPr>
          <w:rFonts w:ascii="Times New Roman" w:hAnsi="Times New Roman" w:cs="Times New Roman"/>
          <w:lang w:val="en-US"/>
        </w:rPr>
        <w:t xml:space="preserve"> was later referred to in some publications as </w:t>
      </w:r>
      <w:r w:rsidR="001B0960" w:rsidRPr="007B6D68">
        <w:rPr>
          <w:rFonts w:ascii="Times New Roman" w:hAnsi="Times New Roman" w:cs="Times New Roman"/>
          <w:lang w:val="en-US"/>
        </w:rPr>
        <w:t>“</w:t>
      </w:r>
      <w:r w:rsidRPr="007B6D68">
        <w:rPr>
          <w:rFonts w:ascii="Times New Roman" w:hAnsi="Times New Roman" w:cs="Times New Roman"/>
          <w:lang w:val="en-US"/>
        </w:rPr>
        <w:t>nap</w:t>
      </w:r>
      <w:r w:rsidR="001B0960" w:rsidRPr="007B6D68">
        <w:rPr>
          <w:rFonts w:ascii="Times New Roman" w:hAnsi="Times New Roman" w:cs="Times New Roman"/>
          <w:lang w:val="en-US"/>
        </w:rPr>
        <w:t xml:space="preserve"> </w:t>
      </w:r>
      <w:r w:rsidRPr="007B6D68">
        <w:rPr>
          <w:rFonts w:ascii="Times New Roman" w:hAnsi="Times New Roman" w:cs="Times New Roman"/>
          <w:lang w:val="en-US"/>
        </w:rPr>
        <w:t>bond</w:t>
      </w:r>
      <w:r w:rsidR="001B0960" w:rsidRPr="007B6D68">
        <w:rPr>
          <w:rFonts w:ascii="Times New Roman" w:hAnsi="Times New Roman" w:cs="Times New Roman"/>
          <w:lang w:val="en-US"/>
        </w:rPr>
        <w:t>.”</w:t>
      </w:r>
    </w:p>
    <w:p w14:paraId="698CBF1E" w14:textId="77777777" w:rsidR="00860E93" w:rsidRPr="007B6D68" w:rsidRDefault="00860E9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6">
    <w:p w14:paraId="7180E915" w14:textId="2A932451" w:rsidR="00653762" w:rsidRPr="005F3378" w:rsidRDefault="00653762">
      <w:pPr>
        <w:pStyle w:val="EndnoteText"/>
        <w:rPr>
          <w:rFonts w:ascii="Times New Roman" w:hAnsi="Times New Roman" w:cs="Times New Roman"/>
          <w:sz w:val="24"/>
          <w:szCs w:val="24"/>
          <w:lang w:val="en-US"/>
        </w:rPr>
      </w:pPr>
      <w:r w:rsidRPr="007B6D68">
        <w:rPr>
          <w:rFonts w:ascii="Times New Roman" w:hAnsi="Times New Roman" w:cs="Times New Roman"/>
          <w:lang w:val="en-US"/>
        </w:rPr>
        <w:endnoteRef/>
      </w:r>
      <w:r w:rsidR="00B739BD" w:rsidRPr="007B6D68">
        <w:rPr>
          <w:rFonts w:ascii="Times New Roman" w:hAnsi="Times New Roman" w:cs="Times New Roman"/>
          <w:lang w:val="en-US"/>
        </w:rPr>
        <w:t>.</w:t>
      </w:r>
      <w:r w:rsidRPr="007B6D68">
        <w:rPr>
          <w:rFonts w:ascii="Times New Roman" w:hAnsi="Times New Roman" w:cs="Times New Roman"/>
          <w:lang w:val="en-US"/>
        </w:rPr>
        <w:t xml:space="preserve"> </w:t>
      </w:r>
      <w:r w:rsidRPr="007B6D68">
        <w:rPr>
          <w:rFonts w:ascii="Times New Roman" w:hAnsi="Times New Roman" w:cs="Times New Roman"/>
          <w:lang w:val="en-US"/>
        </w:rPr>
        <w:t>Ruhemann suggested the design to Stephen Rees Jones, who constructed the table.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060641"/>
      <w:docPartObj>
        <w:docPartGallery w:val="Page Numbers (Bottom of Page)"/>
        <w:docPartUnique/>
      </w:docPartObj>
    </w:sdtPr>
    <w:sdtContent>
      <w:p w14:paraId="727D662A" w14:textId="77777777" w:rsidR="00412DB4" w:rsidRDefault="00412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54B39" w14:textId="77777777" w:rsidR="00412DB4" w:rsidRDefault="00412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5F8C" w14:textId="77777777" w:rsidR="00EC3151" w:rsidRDefault="00EC3151" w:rsidP="00DB386B">
      <w:pPr>
        <w:spacing w:after="0" w:line="240" w:lineRule="auto"/>
      </w:pPr>
      <w:r>
        <w:separator/>
      </w:r>
    </w:p>
  </w:footnote>
  <w:footnote w:type="continuationSeparator" w:id="0">
    <w:p w14:paraId="07A560CF" w14:textId="77777777" w:rsidR="00EC3151" w:rsidRDefault="00EC3151" w:rsidP="00DB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583"/>
    <w:multiLevelType w:val="hybridMultilevel"/>
    <w:tmpl w:val="0A222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603"/>
    <w:multiLevelType w:val="hybridMultilevel"/>
    <w:tmpl w:val="23222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2812"/>
    <w:multiLevelType w:val="hybridMultilevel"/>
    <w:tmpl w:val="B658C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729C1"/>
    <w:multiLevelType w:val="hybridMultilevel"/>
    <w:tmpl w:val="FF1A3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53486"/>
    <w:multiLevelType w:val="hybridMultilevel"/>
    <w:tmpl w:val="B0845D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9176485">
    <w:abstractNumId w:val="5"/>
  </w:num>
  <w:num w:numId="2" w16cid:durableId="427696639">
    <w:abstractNumId w:val="3"/>
  </w:num>
  <w:num w:numId="3" w16cid:durableId="860749961">
    <w:abstractNumId w:val="2"/>
  </w:num>
  <w:num w:numId="4" w16cid:durableId="580990605">
    <w:abstractNumId w:val="4"/>
  </w:num>
  <w:num w:numId="5" w16cid:durableId="1415929389">
    <w:abstractNumId w:val="1"/>
  </w:num>
  <w:num w:numId="6" w16cid:durableId="95671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F"/>
    <w:rsid w:val="00003D5F"/>
    <w:rsid w:val="0000462B"/>
    <w:rsid w:val="00006AF0"/>
    <w:rsid w:val="000076D1"/>
    <w:rsid w:val="00011C88"/>
    <w:rsid w:val="00012D31"/>
    <w:rsid w:val="0001376A"/>
    <w:rsid w:val="0001430B"/>
    <w:rsid w:val="00024204"/>
    <w:rsid w:val="000252DD"/>
    <w:rsid w:val="000262ED"/>
    <w:rsid w:val="00027306"/>
    <w:rsid w:val="00027E98"/>
    <w:rsid w:val="0003097A"/>
    <w:rsid w:val="0003666F"/>
    <w:rsid w:val="000459E5"/>
    <w:rsid w:val="00047D09"/>
    <w:rsid w:val="00055B91"/>
    <w:rsid w:val="0005614B"/>
    <w:rsid w:val="00063264"/>
    <w:rsid w:val="00063898"/>
    <w:rsid w:val="000709AB"/>
    <w:rsid w:val="00070DE6"/>
    <w:rsid w:val="00072A9C"/>
    <w:rsid w:val="00072AEB"/>
    <w:rsid w:val="000746EC"/>
    <w:rsid w:val="000754FC"/>
    <w:rsid w:val="0008068E"/>
    <w:rsid w:val="00083387"/>
    <w:rsid w:val="00084FA1"/>
    <w:rsid w:val="0008602E"/>
    <w:rsid w:val="00086DA6"/>
    <w:rsid w:val="00093BD2"/>
    <w:rsid w:val="000943B0"/>
    <w:rsid w:val="00094F92"/>
    <w:rsid w:val="000A0826"/>
    <w:rsid w:val="000A39DC"/>
    <w:rsid w:val="000A4FDE"/>
    <w:rsid w:val="000A6168"/>
    <w:rsid w:val="000B49B6"/>
    <w:rsid w:val="000B5E14"/>
    <w:rsid w:val="000B70DD"/>
    <w:rsid w:val="000B76AB"/>
    <w:rsid w:val="000C0B32"/>
    <w:rsid w:val="000C3630"/>
    <w:rsid w:val="000C3BCB"/>
    <w:rsid w:val="000D1553"/>
    <w:rsid w:val="000D1D20"/>
    <w:rsid w:val="000D27FD"/>
    <w:rsid w:val="000D3BFC"/>
    <w:rsid w:val="000D6D1E"/>
    <w:rsid w:val="000D7296"/>
    <w:rsid w:val="000E3929"/>
    <w:rsid w:val="000E6EA7"/>
    <w:rsid w:val="000F6253"/>
    <w:rsid w:val="00100652"/>
    <w:rsid w:val="00104483"/>
    <w:rsid w:val="00104CEC"/>
    <w:rsid w:val="00111975"/>
    <w:rsid w:val="0011275F"/>
    <w:rsid w:val="00116F8B"/>
    <w:rsid w:val="0011778B"/>
    <w:rsid w:val="001210FA"/>
    <w:rsid w:val="001222BE"/>
    <w:rsid w:val="001224F0"/>
    <w:rsid w:val="001272BD"/>
    <w:rsid w:val="00134CBD"/>
    <w:rsid w:val="001400A9"/>
    <w:rsid w:val="001447ED"/>
    <w:rsid w:val="00153A11"/>
    <w:rsid w:val="00155811"/>
    <w:rsid w:val="00155F57"/>
    <w:rsid w:val="00156881"/>
    <w:rsid w:val="00156D80"/>
    <w:rsid w:val="00167B4C"/>
    <w:rsid w:val="00167E90"/>
    <w:rsid w:val="00174FB5"/>
    <w:rsid w:val="00175F40"/>
    <w:rsid w:val="00180DEF"/>
    <w:rsid w:val="001844A2"/>
    <w:rsid w:val="001847B0"/>
    <w:rsid w:val="00185FDE"/>
    <w:rsid w:val="0019162E"/>
    <w:rsid w:val="0019346D"/>
    <w:rsid w:val="0019359E"/>
    <w:rsid w:val="00194E53"/>
    <w:rsid w:val="0019567D"/>
    <w:rsid w:val="00197397"/>
    <w:rsid w:val="00197943"/>
    <w:rsid w:val="001A18AD"/>
    <w:rsid w:val="001A336A"/>
    <w:rsid w:val="001A6332"/>
    <w:rsid w:val="001A6A2E"/>
    <w:rsid w:val="001A6D59"/>
    <w:rsid w:val="001B0960"/>
    <w:rsid w:val="001B0A9F"/>
    <w:rsid w:val="001B0D1F"/>
    <w:rsid w:val="001B145A"/>
    <w:rsid w:val="001B1B8A"/>
    <w:rsid w:val="001B2237"/>
    <w:rsid w:val="001C21BA"/>
    <w:rsid w:val="001C3CD9"/>
    <w:rsid w:val="001C516B"/>
    <w:rsid w:val="001C5195"/>
    <w:rsid w:val="001C561C"/>
    <w:rsid w:val="001C7D29"/>
    <w:rsid w:val="001D23C1"/>
    <w:rsid w:val="001E1BA1"/>
    <w:rsid w:val="001E5DE0"/>
    <w:rsid w:val="001E6B0B"/>
    <w:rsid w:val="002011B4"/>
    <w:rsid w:val="00202FD0"/>
    <w:rsid w:val="00203086"/>
    <w:rsid w:val="002033C1"/>
    <w:rsid w:val="00203819"/>
    <w:rsid w:val="002046CC"/>
    <w:rsid w:val="0020667B"/>
    <w:rsid w:val="00207955"/>
    <w:rsid w:val="0022198B"/>
    <w:rsid w:val="00221A5E"/>
    <w:rsid w:val="00223D3B"/>
    <w:rsid w:val="002301A2"/>
    <w:rsid w:val="00230F02"/>
    <w:rsid w:val="00234DA9"/>
    <w:rsid w:val="0023549C"/>
    <w:rsid w:val="00237C51"/>
    <w:rsid w:val="00250320"/>
    <w:rsid w:val="00256A81"/>
    <w:rsid w:val="0026043D"/>
    <w:rsid w:val="002606DE"/>
    <w:rsid w:val="002621A1"/>
    <w:rsid w:val="00262F9D"/>
    <w:rsid w:val="00264297"/>
    <w:rsid w:val="00264CAF"/>
    <w:rsid w:val="00265180"/>
    <w:rsid w:val="00272244"/>
    <w:rsid w:val="00273606"/>
    <w:rsid w:val="00274100"/>
    <w:rsid w:val="00274F05"/>
    <w:rsid w:val="0027507A"/>
    <w:rsid w:val="002755FB"/>
    <w:rsid w:val="00276831"/>
    <w:rsid w:val="00276C51"/>
    <w:rsid w:val="00280694"/>
    <w:rsid w:val="00281620"/>
    <w:rsid w:val="002819A4"/>
    <w:rsid w:val="00283386"/>
    <w:rsid w:val="00283858"/>
    <w:rsid w:val="002865DD"/>
    <w:rsid w:val="00294EA5"/>
    <w:rsid w:val="00296259"/>
    <w:rsid w:val="002A20C9"/>
    <w:rsid w:val="002A3A13"/>
    <w:rsid w:val="002A3A9A"/>
    <w:rsid w:val="002A4478"/>
    <w:rsid w:val="002A4C1C"/>
    <w:rsid w:val="002A6351"/>
    <w:rsid w:val="002A7726"/>
    <w:rsid w:val="002C0E73"/>
    <w:rsid w:val="002C1372"/>
    <w:rsid w:val="002C178F"/>
    <w:rsid w:val="002C546C"/>
    <w:rsid w:val="002C6A50"/>
    <w:rsid w:val="002D1EBE"/>
    <w:rsid w:val="002D3378"/>
    <w:rsid w:val="002D3C65"/>
    <w:rsid w:val="002D44A6"/>
    <w:rsid w:val="002D4753"/>
    <w:rsid w:val="002D5DE2"/>
    <w:rsid w:val="002D69F4"/>
    <w:rsid w:val="002E190F"/>
    <w:rsid w:val="002E536F"/>
    <w:rsid w:val="002F0EE5"/>
    <w:rsid w:val="002F28F8"/>
    <w:rsid w:val="002F2A42"/>
    <w:rsid w:val="002F4F07"/>
    <w:rsid w:val="00301EF9"/>
    <w:rsid w:val="00303E9B"/>
    <w:rsid w:val="00305523"/>
    <w:rsid w:val="00305B42"/>
    <w:rsid w:val="00310D3D"/>
    <w:rsid w:val="0031134F"/>
    <w:rsid w:val="00311452"/>
    <w:rsid w:val="00313A0C"/>
    <w:rsid w:val="0031594E"/>
    <w:rsid w:val="0032672C"/>
    <w:rsid w:val="0033300B"/>
    <w:rsid w:val="00336DE6"/>
    <w:rsid w:val="00346CC7"/>
    <w:rsid w:val="00347BBA"/>
    <w:rsid w:val="00351A5A"/>
    <w:rsid w:val="00352CB5"/>
    <w:rsid w:val="003547ED"/>
    <w:rsid w:val="00356CD3"/>
    <w:rsid w:val="00363710"/>
    <w:rsid w:val="00364F65"/>
    <w:rsid w:val="00367AF3"/>
    <w:rsid w:val="0037336F"/>
    <w:rsid w:val="003750B9"/>
    <w:rsid w:val="003752D1"/>
    <w:rsid w:val="00380D95"/>
    <w:rsid w:val="00381A52"/>
    <w:rsid w:val="00383F0F"/>
    <w:rsid w:val="003843D7"/>
    <w:rsid w:val="00384F95"/>
    <w:rsid w:val="00385C29"/>
    <w:rsid w:val="0038626D"/>
    <w:rsid w:val="00386948"/>
    <w:rsid w:val="00387C24"/>
    <w:rsid w:val="00391C00"/>
    <w:rsid w:val="00391DFA"/>
    <w:rsid w:val="00392897"/>
    <w:rsid w:val="00392EA3"/>
    <w:rsid w:val="003951F3"/>
    <w:rsid w:val="003A02DA"/>
    <w:rsid w:val="003A06D9"/>
    <w:rsid w:val="003A1E41"/>
    <w:rsid w:val="003A42A7"/>
    <w:rsid w:val="003A5BC4"/>
    <w:rsid w:val="003A71BA"/>
    <w:rsid w:val="003B0E11"/>
    <w:rsid w:val="003B139B"/>
    <w:rsid w:val="003B7101"/>
    <w:rsid w:val="003C0E0E"/>
    <w:rsid w:val="003C4D16"/>
    <w:rsid w:val="003D0DBA"/>
    <w:rsid w:val="003D2DB7"/>
    <w:rsid w:val="003D39F7"/>
    <w:rsid w:val="003D42DA"/>
    <w:rsid w:val="003E0B43"/>
    <w:rsid w:val="003E0F97"/>
    <w:rsid w:val="003E22F6"/>
    <w:rsid w:val="003E55A6"/>
    <w:rsid w:val="003E5DFA"/>
    <w:rsid w:val="003F1C06"/>
    <w:rsid w:val="003F2B4F"/>
    <w:rsid w:val="003F4D79"/>
    <w:rsid w:val="003F5E0D"/>
    <w:rsid w:val="00401124"/>
    <w:rsid w:val="0040124F"/>
    <w:rsid w:val="00401A83"/>
    <w:rsid w:val="00401B6A"/>
    <w:rsid w:val="00404E82"/>
    <w:rsid w:val="00411984"/>
    <w:rsid w:val="00412DB4"/>
    <w:rsid w:val="0041312D"/>
    <w:rsid w:val="00414637"/>
    <w:rsid w:val="00415F83"/>
    <w:rsid w:val="0041658D"/>
    <w:rsid w:val="0041783B"/>
    <w:rsid w:val="00420A8A"/>
    <w:rsid w:val="00421E45"/>
    <w:rsid w:val="0042466F"/>
    <w:rsid w:val="00424FF2"/>
    <w:rsid w:val="00425FE6"/>
    <w:rsid w:val="00430B58"/>
    <w:rsid w:val="004317A6"/>
    <w:rsid w:val="00437EA6"/>
    <w:rsid w:val="004409CE"/>
    <w:rsid w:val="0044147E"/>
    <w:rsid w:val="004418D0"/>
    <w:rsid w:val="004448B9"/>
    <w:rsid w:val="00450905"/>
    <w:rsid w:val="00451B58"/>
    <w:rsid w:val="00453F6F"/>
    <w:rsid w:val="0045667A"/>
    <w:rsid w:val="0045674B"/>
    <w:rsid w:val="00460DBE"/>
    <w:rsid w:val="00462382"/>
    <w:rsid w:val="00462770"/>
    <w:rsid w:val="0046414D"/>
    <w:rsid w:val="00466FB3"/>
    <w:rsid w:val="00471F92"/>
    <w:rsid w:val="00472D5F"/>
    <w:rsid w:val="00474F56"/>
    <w:rsid w:val="004762FD"/>
    <w:rsid w:val="00481120"/>
    <w:rsid w:val="00481DB4"/>
    <w:rsid w:val="00483918"/>
    <w:rsid w:val="0048477D"/>
    <w:rsid w:val="00487F10"/>
    <w:rsid w:val="004904F3"/>
    <w:rsid w:val="004944B8"/>
    <w:rsid w:val="004A2925"/>
    <w:rsid w:val="004A42B4"/>
    <w:rsid w:val="004A4521"/>
    <w:rsid w:val="004B0072"/>
    <w:rsid w:val="004B17D8"/>
    <w:rsid w:val="004B2E50"/>
    <w:rsid w:val="004B3179"/>
    <w:rsid w:val="004B579D"/>
    <w:rsid w:val="004B70D3"/>
    <w:rsid w:val="004C15DF"/>
    <w:rsid w:val="004C1BD8"/>
    <w:rsid w:val="004C30A7"/>
    <w:rsid w:val="004C4361"/>
    <w:rsid w:val="004C445B"/>
    <w:rsid w:val="004D3D21"/>
    <w:rsid w:val="004D5862"/>
    <w:rsid w:val="004D7F66"/>
    <w:rsid w:val="004E4012"/>
    <w:rsid w:val="004E57C4"/>
    <w:rsid w:val="004E5DE4"/>
    <w:rsid w:val="004E6189"/>
    <w:rsid w:val="004F2576"/>
    <w:rsid w:val="004F4DBA"/>
    <w:rsid w:val="0051187C"/>
    <w:rsid w:val="00511EA8"/>
    <w:rsid w:val="00517531"/>
    <w:rsid w:val="0052329A"/>
    <w:rsid w:val="00530198"/>
    <w:rsid w:val="00531116"/>
    <w:rsid w:val="00536DA6"/>
    <w:rsid w:val="0054627A"/>
    <w:rsid w:val="005513F7"/>
    <w:rsid w:val="005523A1"/>
    <w:rsid w:val="00552CA9"/>
    <w:rsid w:val="00553666"/>
    <w:rsid w:val="005555BD"/>
    <w:rsid w:val="005608FA"/>
    <w:rsid w:val="00562286"/>
    <w:rsid w:val="005633CF"/>
    <w:rsid w:val="00563623"/>
    <w:rsid w:val="005650F6"/>
    <w:rsid w:val="00570552"/>
    <w:rsid w:val="0057100D"/>
    <w:rsid w:val="00573E0B"/>
    <w:rsid w:val="00575E1A"/>
    <w:rsid w:val="005818DC"/>
    <w:rsid w:val="00582BD3"/>
    <w:rsid w:val="00584F46"/>
    <w:rsid w:val="0059094C"/>
    <w:rsid w:val="00590C78"/>
    <w:rsid w:val="00594E54"/>
    <w:rsid w:val="00595135"/>
    <w:rsid w:val="005A0F52"/>
    <w:rsid w:val="005A2168"/>
    <w:rsid w:val="005A78F3"/>
    <w:rsid w:val="005B01A0"/>
    <w:rsid w:val="005B023C"/>
    <w:rsid w:val="005B15DB"/>
    <w:rsid w:val="005B2BAA"/>
    <w:rsid w:val="005B3B91"/>
    <w:rsid w:val="005B4B49"/>
    <w:rsid w:val="005B4E3C"/>
    <w:rsid w:val="005B53CE"/>
    <w:rsid w:val="005B6358"/>
    <w:rsid w:val="005C3DC4"/>
    <w:rsid w:val="005C4E98"/>
    <w:rsid w:val="005C5865"/>
    <w:rsid w:val="005C6686"/>
    <w:rsid w:val="005C73E9"/>
    <w:rsid w:val="005D24F8"/>
    <w:rsid w:val="005D451E"/>
    <w:rsid w:val="005D4C75"/>
    <w:rsid w:val="005D5B8D"/>
    <w:rsid w:val="005D6D3C"/>
    <w:rsid w:val="005D70C9"/>
    <w:rsid w:val="005E0777"/>
    <w:rsid w:val="005E07A6"/>
    <w:rsid w:val="005E55C3"/>
    <w:rsid w:val="005E5A0A"/>
    <w:rsid w:val="005E7DD8"/>
    <w:rsid w:val="005F0A21"/>
    <w:rsid w:val="005F3378"/>
    <w:rsid w:val="005F4EFF"/>
    <w:rsid w:val="005F4FA8"/>
    <w:rsid w:val="005F527B"/>
    <w:rsid w:val="005F7930"/>
    <w:rsid w:val="00601CDC"/>
    <w:rsid w:val="00604D79"/>
    <w:rsid w:val="00613446"/>
    <w:rsid w:val="00625813"/>
    <w:rsid w:val="0063085B"/>
    <w:rsid w:val="00633FAB"/>
    <w:rsid w:val="00635A45"/>
    <w:rsid w:val="00637D01"/>
    <w:rsid w:val="00640000"/>
    <w:rsid w:val="00641477"/>
    <w:rsid w:val="00643B3F"/>
    <w:rsid w:val="006449BC"/>
    <w:rsid w:val="00644D48"/>
    <w:rsid w:val="006450AE"/>
    <w:rsid w:val="006464C2"/>
    <w:rsid w:val="006475CF"/>
    <w:rsid w:val="00647D38"/>
    <w:rsid w:val="00653762"/>
    <w:rsid w:val="00656969"/>
    <w:rsid w:val="0065779F"/>
    <w:rsid w:val="0066271E"/>
    <w:rsid w:val="00663669"/>
    <w:rsid w:val="006636BD"/>
    <w:rsid w:val="0067159E"/>
    <w:rsid w:val="006716DA"/>
    <w:rsid w:val="006728B0"/>
    <w:rsid w:val="00672FED"/>
    <w:rsid w:val="00673AA9"/>
    <w:rsid w:val="006772EE"/>
    <w:rsid w:val="006779A1"/>
    <w:rsid w:val="00680E03"/>
    <w:rsid w:val="006818B7"/>
    <w:rsid w:val="006821DC"/>
    <w:rsid w:val="0068691E"/>
    <w:rsid w:val="00692903"/>
    <w:rsid w:val="00694804"/>
    <w:rsid w:val="0069534D"/>
    <w:rsid w:val="00695F4A"/>
    <w:rsid w:val="006A2EC7"/>
    <w:rsid w:val="006B03B0"/>
    <w:rsid w:val="006B23E1"/>
    <w:rsid w:val="006B3E26"/>
    <w:rsid w:val="006B767C"/>
    <w:rsid w:val="006B7DF7"/>
    <w:rsid w:val="006C15E1"/>
    <w:rsid w:val="006C3E34"/>
    <w:rsid w:val="006C4413"/>
    <w:rsid w:val="006D0E7A"/>
    <w:rsid w:val="006D48BB"/>
    <w:rsid w:val="006D7E4B"/>
    <w:rsid w:val="006E2A64"/>
    <w:rsid w:val="006E3DBE"/>
    <w:rsid w:val="006E434F"/>
    <w:rsid w:val="006E43EF"/>
    <w:rsid w:val="006E68DA"/>
    <w:rsid w:val="006E759A"/>
    <w:rsid w:val="006E7D3C"/>
    <w:rsid w:val="006F6BDB"/>
    <w:rsid w:val="006F7831"/>
    <w:rsid w:val="006F7EE1"/>
    <w:rsid w:val="00707A6B"/>
    <w:rsid w:val="00710347"/>
    <w:rsid w:val="007103AD"/>
    <w:rsid w:val="0071092A"/>
    <w:rsid w:val="00711EF0"/>
    <w:rsid w:val="00712104"/>
    <w:rsid w:val="00712768"/>
    <w:rsid w:val="007131C6"/>
    <w:rsid w:val="00721994"/>
    <w:rsid w:val="00722E6C"/>
    <w:rsid w:val="0072382E"/>
    <w:rsid w:val="00724313"/>
    <w:rsid w:val="007248AB"/>
    <w:rsid w:val="00731065"/>
    <w:rsid w:val="00733A95"/>
    <w:rsid w:val="00734CD0"/>
    <w:rsid w:val="007369AB"/>
    <w:rsid w:val="00741136"/>
    <w:rsid w:val="00741B7F"/>
    <w:rsid w:val="00743051"/>
    <w:rsid w:val="00750D63"/>
    <w:rsid w:val="00750F0F"/>
    <w:rsid w:val="007556D5"/>
    <w:rsid w:val="0075749B"/>
    <w:rsid w:val="00757620"/>
    <w:rsid w:val="00761997"/>
    <w:rsid w:val="0076385F"/>
    <w:rsid w:val="007650C3"/>
    <w:rsid w:val="00767331"/>
    <w:rsid w:val="00767AA8"/>
    <w:rsid w:val="007702FA"/>
    <w:rsid w:val="00775949"/>
    <w:rsid w:val="00780B4F"/>
    <w:rsid w:val="00783939"/>
    <w:rsid w:val="00784378"/>
    <w:rsid w:val="007900DD"/>
    <w:rsid w:val="0079095A"/>
    <w:rsid w:val="00790AFB"/>
    <w:rsid w:val="007911B5"/>
    <w:rsid w:val="00793A41"/>
    <w:rsid w:val="00794FF3"/>
    <w:rsid w:val="00795610"/>
    <w:rsid w:val="00797584"/>
    <w:rsid w:val="007A07E5"/>
    <w:rsid w:val="007A1E1A"/>
    <w:rsid w:val="007A5F69"/>
    <w:rsid w:val="007A6A0A"/>
    <w:rsid w:val="007B02E5"/>
    <w:rsid w:val="007B18AD"/>
    <w:rsid w:val="007B21C5"/>
    <w:rsid w:val="007B4699"/>
    <w:rsid w:val="007B5714"/>
    <w:rsid w:val="007B644E"/>
    <w:rsid w:val="007B6D68"/>
    <w:rsid w:val="007C1462"/>
    <w:rsid w:val="007C19A2"/>
    <w:rsid w:val="007C35DF"/>
    <w:rsid w:val="007C61F3"/>
    <w:rsid w:val="007C6661"/>
    <w:rsid w:val="007C7169"/>
    <w:rsid w:val="007C74B4"/>
    <w:rsid w:val="007D1ABE"/>
    <w:rsid w:val="007D24C3"/>
    <w:rsid w:val="007D479F"/>
    <w:rsid w:val="007D7EDA"/>
    <w:rsid w:val="007E0F99"/>
    <w:rsid w:val="007E2448"/>
    <w:rsid w:val="007E398E"/>
    <w:rsid w:val="007E55F8"/>
    <w:rsid w:val="007E6FB8"/>
    <w:rsid w:val="007F04D0"/>
    <w:rsid w:val="007F2D21"/>
    <w:rsid w:val="007F369F"/>
    <w:rsid w:val="007F3B52"/>
    <w:rsid w:val="007F3C2F"/>
    <w:rsid w:val="007F4CC2"/>
    <w:rsid w:val="007F5842"/>
    <w:rsid w:val="007F5E07"/>
    <w:rsid w:val="007F5EB1"/>
    <w:rsid w:val="00800B21"/>
    <w:rsid w:val="008034CE"/>
    <w:rsid w:val="0080406B"/>
    <w:rsid w:val="008048C0"/>
    <w:rsid w:val="0080653E"/>
    <w:rsid w:val="0081388E"/>
    <w:rsid w:val="00813B6C"/>
    <w:rsid w:val="008145D7"/>
    <w:rsid w:val="00815612"/>
    <w:rsid w:val="00816128"/>
    <w:rsid w:val="00816AF6"/>
    <w:rsid w:val="00816B92"/>
    <w:rsid w:val="00820FC1"/>
    <w:rsid w:val="008241EF"/>
    <w:rsid w:val="00825080"/>
    <w:rsid w:val="008250F7"/>
    <w:rsid w:val="00826CDC"/>
    <w:rsid w:val="00830DF7"/>
    <w:rsid w:val="00830E72"/>
    <w:rsid w:val="00831466"/>
    <w:rsid w:val="0083165D"/>
    <w:rsid w:val="0083319C"/>
    <w:rsid w:val="008341BE"/>
    <w:rsid w:val="00836A35"/>
    <w:rsid w:val="0084323D"/>
    <w:rsid w:val="008435BE"/>
    <w:rsid w:val="00844131"/>
    <w:rsid w:val="008446D9"/>
    <w:rsid w:val="0084711F"/>
    <w:rsid w:val="00853E0B"/>
    <w:rsid w:val="00860E93"/>
    <w:rsid w:val="00861354"/>
    <w:rsid w:val="00861375"/>
    <w:rsid w:val="00863B4C"/>
    <w:rsid w:val="00864789"/>
    <w:rsid w:val="00864F00"/>
    <w:rsid w:val="00870027"/>
    <w:rsid w:val="00870DED"/>
    <w:rsid w:val="00871816"/>
    <w:rsid w:val="00873BF2"/>
    <w:rsid w:val="0087449E"/>
    <w:rsid w:val="00875269"/>
    <w:rsid w:val="008753AF"/>
    <w:rsid w:val="008754B2"/>
    <w:rsid w:val="00876FFF"/>
    <w:rsid w:val="00877457"/>
    <w:rsid w:val="00877709"/>
    <w:rsid w:val="00880C0E"/>
    <w:rsid w:val="0088562C"/>
    <w:rsid w:val="00892B69"/>
    <w:rsid w:val="00893E1B"/>
    <w:rsid w:val="008A218E"/>
    <w:rsid w:val="008A4A9E"/>
    <w:rsid w:val="008B54B0"/>
    <w:rsid w:val="008B61D7"/>
    <w:rsid w:val="008C0F98"/>
    <w:rsid w:val="008D3E3C"/>
    <w:rsid w:val="008D44A8"/>
    <w:rsid w:val="008D52A9"/>
    <w:rsid w:val="008D5784"/>
    <w:rsid w:val="008D7A46"/>
    <w:rsid w:val="008D7AB0"/>
    <w:rsid w:val="008E01B6"/>
    <w:rsid w:val="008F0138"/>
    <w:rsid w:val="008F0288"/>
    <w:rsid w:val="008F2891"/>
    <w:rsid w:val="008F4AE4"/>
    <w:rsid w:val="008F59F1"/>
    <w:rsid w:val="008F67D2"/>
    <w:rsid w:val="009006C0"/>
    <w:rsid w:val="00903241"/>
    <w:rsid w:val="0090738C"/>
    <w:rsid w:val="00917CC2"/>
    <w:rsid w:val="00920CD0"/>
    <w:rsid w:val="0092444F"/>
    <w:rsid w:val="00924CBF"/>
    <w:rsid w:val="009251DB"/>
    <w:rsid w:val="0092684A"/>
    <w:rsid w:val="009276ED"/>
    <w:rsid w:val="009279EE"/>
    <w:rsid w:val="00927B68"/>
    <w:rsid w:val="009313D0"/>
    <w:rsid w:val="00932EBA"/>
    <w:rsid w:val="009334DB"/>
    <w:rsid w:val="00934393"/>
    <w:rsid w:val="00934F20"/>
    <w:rsid w:val="009438F6"/>
    <w:rsid w:val="00943C9B"/>
    <w:rsid w:val="00946071"/>
    <w:rsid w:val="00946BA1"/>
    <w:rsid w:val="0095064C"/>
    <w:rsid w:val="0095426D"/>
    <w:rsid w:val="00954F2E"/>
    <w:rsid w:val="00955C8A"/>
    <w:rsid w:val="009601E1"/>
    <w:rsid w:val="00963E8F"/>
    <w:rsid w:val="00964709"/>
    <w:rsid w:val="00967FBD"/>
    <w:rsid w:val="00973559"/>
    <w:rsid w:val="0097470D"/>
    <w:rsid w:val="00976638"/>
    <w:rsid w:val="00977576"/>
    <w:rsid w:val="00981E4F"/>
    <w:rsid w:val="0098439B"/>
    <w:rsid w:val="0098616A"/>
    <w:rsid w:val="00987D25"/>
    <w:rsid w:val="00991279"/>
    <w:rsid w:val="00992C9E"/>
    <w:rsid w:val="009945E8"/>
    <w:rsid w:val="00994D9F"/>
    <w:rsid w:val="009966AD"/>
    <w:rsid w:val="00996867"/>
    <w:rsid w:val="009B1165"/>
    <w:rsid w:val="009B2690"/>
    <w:rsid w:val="009B4809"/>
    <w:rsid w:val="009B4EC7"/>
    <w:rsid w:val="009C76A8"/>
    <w:rsid w:val="009D2E22"/>
    <w:rsid w:val="009D3153"/>
    <w:rsid w:val="009D41CD"/>
    <w:rsid w:val="009D65BA"/>
    <w:rsid w:val="009D6A16"/>
    <w:rsid w:val="009D6A42"/>
    <w:rsid w:val="009E0203"/>
    <w:rsid w:val="009E35BB"/>
    <w:rsid w:val="009E3E5E"/>
    <w:rsid w:val="009E5DE9"/>
    <w:rsid w:val="009F3164"/>
    <w:rsid w:val="009F532C"/>
    <w:rsid w:val="009F5B28"/>
    <w:rsid w:val="009F6985"/>
    <w:rsid w:val="009F7B2A"/>
    <w:rsid w:val="00A01871"/>
    <w:rsid w:val="00A0218B"/>
    <w:rsid w:val="00A03098"/>
    <w:rsid w:val="00A07193"/>
    <w:rsid w:val="00A119A3"/>
    <w:rsid w:val="00A1647C"/>
    <w:rsid w:val="00A32149"/>
    <w:rsid w:val="00A33A99"/>
    <w:rsid w:val="00A35911"/>
    <w:rsid w:val="00A40C2D"/>
    <w:rsid w:val="00A41043"/>
    <w:rsid w:val="00A42523"/>
    <w:rsid w:val="00A450B8"/>
    <w:rsid w:val="00A45E25"/>
    <w:rsid w:val="00A46399"/>
    <w:rsid w:val="00A47439"/>
    <w:rsid w:val="00A51156"/>
    <w:rsid w:val="00A52433"/>
    <w:rsid w:val="00A52708"/>
    <w:rsid w:val="00A52731"/>
    <w:rsid w:val="00A52813"/>
    <w:rsid w:val="00A62A79"/>
    <w:rsid w:val="00A71567"/>
    <w:rsid w:val="00A71D74"/>
    <w:rsid w:val="00A72A0C"/>
    <w:rsid w:val="00A7497B"/>
    <w:rsid w:val="00A74E3D"/>
    <w:rsid w:val="00A774AB"/>
    <w:rsid w:val="00A801CE"/>
    <w:rsid w:val="00A8114B"/>
    <w:rsid w:val="00A8427F"/>
    <w:rsid w:val="00A863EC"/>
    <w:rsid w:val="00A91F8C"/>
    <w:rsid w:val="00A9768C"/>
    <w:rsid w:val="00AA0479"/>
    <w:rsid w:val="00AA0A5D"/>
    <w:rsid w:val="00AA0C3F"/>
    <w:rsid w:val="00AA2F1D"/>
    <w:rsid w:val="00AA4BC0"/>
    <w:rsid w:val="00AB1558"/>
    <w:rsid w:val="00AB56EE"/>
    <w:rsid w:val="00AB626B"/>
    <w:rsid w:val="00AC2C9D"/>
    <w:rsid w:val="00AD000A"/>
    <w:rsid w:val="00AD2845"/>
    <w:rsid w:val="00AD5ABA"/>
    <w:rsid w:val="00AD5D3A"/>
    <w:rsid w:val="00AD65EB"/>
    <w:rsid w:val="00AD6A5C"/>
    <w:rsid w:val="00AE27FF"/>
    <w:rsid w:val="00AE4727"/>
    <w:rsid w:val="00AE4CD1"/>
    <w:rsid w:val="00AF1784"/>
    <w:rsid w:val="00AF4270"/>
    <w:rsid w:val="00AF461E"/>
    <w:rsid w:val="00AF7F45"/>
    <w:rsid w:val="00B03D8D"/>
    <w:rsid w:val="00B05231"/>
    <w:rsid w:val="00B10F94"/>
    <w:rsid w:val="00B11BB1"/>
    <w:rsid w:val="00B15D61"/>
    <w:rsid w:val="00B15DBD"/>
    <w:rsid w:val="00B1641E"/>
    <w:rsid w:val="00B177BF"/>
    <w:rsid w:val="00B21775"/>
    <w:rsid w:val="00B27727"/>
    <w:rsid w:val="00B33ED2"/>
    <w:rsid w:val="00B37C67"/>
    <w:rsid w:val="00B47FAD"/>
    <w:rsid w:val="00B534FB"/>
    <w:rsid w:val="00B543CF"/>
    <w:rsid w:val="00B57D2B"/>
    <w:rsid w:val="00B67293"/>
    <w:rsid w:val="00B678EF"/>
    <w:rsid w:val="00B72269"/>
    <w:rsid w:val="00B7385F"/>
    <w:rsid w:val="00B739BD"/>
    <w:rsid w:val="00B75F20"/>
    <w:rsid w:val="00B76992"/>
    <w:rsid w:val="00B76E1D"/>
    <w:rsid w:val="00B76E43"/>
    <w:rsid w:val="00B77EF5"/>
    <w:rsid w:val="00B809E1"/>
    <w:rsid w:val="00B80D2F"/>
    <w:rsid w:val="00B81B89"/>
    <w:rsid w:val="00B81CCC"/>
    <w:rsid w:val="00B87800"/>
    <w:rsid w:val="00B94ACC"/>
    <w:rsid w:val="00BA0BE0"/>
    <w:rsid w:val="00BA5FD6"/>
    <w:rsid w:val="00BB0D0A"/>
    <w:rsid w:val="00BB4364"/>
    <w:rsid w:val="00BB44EF"/>
    <w:rsid w:val="00BB5589"/>
    <w:rsid w:val="00BB5EA8"/>
    <w:rsid w:val="00BB67CF"/>
    <w:rsid w:val="00BB76EB"/>
    <w:rsid w:val="00BC3E45"/>
    <w:rsid w:val="00BC6A00"/>
    <w:rsid w:val="00BD4DEC"/>
    <w:rsid w:val="00BD7E59"/>
    <w:rsid w:val="00BE075D"/>
    <w:rsid w:val="00BE3195"/>
    <w:rsid w:val="00BE5000"/>
    <w:rsid w:val="00BE5AF9"/>
    <w:rsid w:val="00BF0293"/>
    <w:rsid w:val="00BF353E"/>
    <w:rsid w:val="00BF5CF6"/>
    <w:rsid w:val="00BF7690"/>
    <w:rsid w:val="00C00663"/>
    <w:rsid w:val="00C01C0B"/>
    <w:rsid w:val="00C0565F"/>
    <w:rsid w:val="00C06B9A"/>
    <w:rsid w:val="00C073AE"/>
    <w:rsid w:val="00C10812"/>
    <w:rsid w:val="00C12E08"/>
    <w:rsid w:val="00C12FFF"/>
    <w:rsid w:val="00C1637D"/>
    <w:rsid w:val="00C22BB4"/>
    <w:rsid w:val="00C23C29"/>
    <w:rsid w:val="00C25B94"/>
    <w:rsid w:val="00C27A12"/>
    <w:rsid w:val="00C32F27"/>
    <w:rsid w:val="00C36A58"/>
    <w:rsid w:val="00C36F32"/>
    <w:rsid w:val="00C37EF1"/>
    <w:rsid w:val="00C43731"/>
    <w:rsid w:val="00C45F8C"/>
    <w:rsid w:val="00C47531"/>
    <w:rsid w:val="00C47777"/>
    <w:rsid w:val="00C56F55"/>
    <w:rsid w:val="00C60D9D"/>
    <w:rsid w:val="00C61EC6"/>
    <w:rsid w:val="00C62BA4"/>
    <w:rsid w:val="00C6354D"/>
    <w:rsid w:val="00C7010C"/>
    <w:rsid w:val="00C70F83"/>
    <w:rsid w:val="00C7450D"/>
    <w:rsid w:val="00C746D7"/>
    <w:rsid w:val="00C76965"/>
    <w:rsid w:val="00C83515"/>
    <w:rsid w:val="00C83E7C"/>
    <w:rsid w:val="00C8527D"/>
    <w:rsid w:val="00C93BA8"/>
    <w:rsid w:val="00C97ECA"/>
    <w:rsid w:val="00CA2F47"/>
    <w:rsid w:val="00CA4211"/>
    <w:rsid w:val="00CA507A"/>
    <w:rsid w:val="00CA6220"/>
    <w:rsid w:val="00CB02BA"/>
    <w:rsid w:val="00CB0D2D"/>
    <w:rsid w:val="00CB168B"/>
    <w:rsid w:val="00CB2221"/>
    <w:rsid w:val="00CB3E1A"/>
    <w:rsid w:val="00CB476C"/>
    <w:rsid w:val="00CB53AB"/>
    <w:rsid w:val="00CB573F"/>
    <w:rsid w:val="00CB5ED0"/>
    <w:rsid w:val="00CB6931"/>
    <w:rsid w:val="00CB733C"/>
    <w:rsid w:val="00CC01C8"/>
    <w:rsid w:val="00CC1DDD"/>
    <w:rsid w:val="00CC32D3"/>
    <w:rsid w:val="00CD3AEF"/>
    <w:rsid w:val="00CD4783"/>
    <w:rsid w:val="00CE0C7E"/>
    <w:rsid w:val="00CE3B61"/>
    <w:rsid w:val="00CE3F5E"/>
    <w:rsid w:val="00CF015B"/>
    <w:rsid w:val="00CF7831"/>
    <w:rsid w:val="00D00126"/>
    <w:rsid w:val="00D01878"/>
    <w:rsid w:val="00D03E4A"/>
    <w:rsid w:val="00D07070"/>
    <w:rsid w:val="00D10ABD"/>
    <w:rsid w:val="00D1474F"/>
    <w:rsid w:val="00D17F6D"/>
    <w:rsid w:val="00D2664A"/>
    <w:rsid w:val="00D32281"/>
    <w:rsid w:val="00D33106"/>
    <w:rsid w:val="00D36FA9"/>
    <w:rsid w:val="00D4496F"/>
    <w:rsid w:val="00D465E9"/>
    <w:rsid w:val="00D4790A"/>
    <w:rsid w:val="00D52CA5"/>
    <w:rsid w:val="00D53A6B"/>
    <w:rsid w:val="00D549D9"/>
    <w:rsid w:val="00D555BA"/>
    <w:rsid w:val="00D61964"/>
    <w:rsid w:val="00D64F43"/>
    <w:rsid w:val="00D76933"/>
    <w:rsid w:val="00D7698F"/>
    <w:rsid w:val="00D80302"/>
    <w:rsid w:val="00D81E46"/>
    <w:rsid w:val="00D83CA8"/>
    <w:rsid w:val="00D85BB1"/>
    <w:rsid w:val="00D85D32"/>
    <w:rsid w:val="00D902D3"/>
    <w:rsid w:val="00D92589"/>
    <w:rsid w:val="00D93619"/>
    <w:rsid w:val="00D9427B"/>
    <w:rsid w:val="00D94FC8"/>
    <w:rsid w:val="00D968A3"/>
    <w:rsid w:val="00DA1A98"/>
    <w:rsid w:val="00DA2A90"/>
    <w:rsid w:val="00DA2B26"/>
    <w:rsid w:val="00DA3026"/>
    <w:rsid w:val="00DA3993"/>
    <w:rsid w:val="00DA590C"/>
    <w:rsid w:val="00DA6A0D"/>
    <w:rsid w:val="00DB077D"/>
    <w:rsid w:val="00DB3254"/>
    <w:rsid w:val="00DB386B"/>
    <w:rsid w:val="00DB3DDF"/>
    <w:rsid w:val="00DC29D5"/>
    <w:rsid w:val="00DC356F"/>
    <w:rsid w:val="00DC50D2"/>
    <w:rsid w:val="00DC5E4A"/>
    <w:rsid w:val="00DD0005"/>
    <w:rsid w:val="00DD07B2"/>
    <w:rsid w:val="00DD3154"/>
    <w:rsid w:val="00DE0EB5"/>
    <w:rsid w:val="00DE2B2F"/>
    <w:rsid w:val="00DE2DDC"/>
    <w:rsid w:val="00E030B1"/>
    <w:rsid w:val="00E047E0"/>
    <w:rsid w:val="00E10AE4"/>
    <w:rsid w:val="00E148FD"/>
    <w:rsid w:val="00E17345"/>
    <w:rsid w:val="00E20644"/>
    <w:rsid w:val="00E21720"/>
    <w:rsid w:val="00E22688"/>
    <w:rsid w:val="00E24B68"/>
    <w:rsid w:val="00E25985"/>
    <w:rsid w:val="00E27ACE"/>
    <w:rsid w:val="00E312F0"/>
    <w:rsid w:val="00E3190F"/>
    <w:rsid w:val="00E326C2"/>
    <w:rsid w:val="00E3745D"/>
    <w:rsid w:val="00E40008"/>
    <w:rsid w:val="00E44CE6"/>
    <w:rsid w:val="00E506EF"/>
    <w:rsid w:val="00E50845"/>
    <w:rsid w:val="00E549B2"/>
    <w:rsid w:val="00E54FD0"/>
    <w:rsid w:val="00E55608"/>
    <w:rsid w:val="00E6047A"/>
    <w:rsid w:val="00E63E55"/>
    <w:rsid w:val="00E656FC"/>
    <w:rsid w:val="00E701C6"/>
    <w:rsid w:val="00E70528"/>
    <w:rsid w:val="00E73B46"/>
    <w:rsid w:val="00E81061"/>
    <w:rsid w:val="00E84420"/>
    <w:rsid w:val="00E86738"/>
    <w:rsid w:val="00E94575"/>
    <w:rsid w:val="00E95D07"/>
    <w:rsid w:val="00EA06AD"/>
    <w:rsid w:val="00EA54D7"/>
    <w:rsid w:val="00EA608C"/>
    <w:rsid w:val="00EB020E"/>
    <w:rsid w:val="00EB035A"/>
    <w:rsid w:val="00EB243F"/>
    <w:rsid w:val="00EC1BA1"/>
    <w:rsid w:val="00EC1C15"/>
    <w:rsid w:val="00EC3151"/>
    <w:rsid w:val="00EC368B"/>
    <w:rsid w:val="00EC3734"/>
    <w:rsid w:val="00EC43DA"/>
    <w:rsid w:val="00EC4BFF"/>
    <w:rsid w:val="00EC727F"/>
    <w:rsid w:val="00EC780A"/>
    <w:rsid w:val="00ED17E7"/>
    <w:rsid w:val="00ED64F1"/>
    <w:rsid w:val="00ED7AC1"/>
    <w:rsid w:val="00ED7C7E"/>
    <w:rsid w:val="00ED7E35"/>
    <w:rsid w:val="00EE0A3D"/>
    <w:rsid w:val="00EE11D9"/>
    <w:rsid w:val="00EE3F37"/>
    <w:rsid w:val="00EE50D6"/>
    <w:rsid w:val="00EE6588"/>
    <w:rsid w:val="00EE68AF"/>
    <w:rsid w:val="00EE705E"/>
    <w:rsid w:val="00EE7716"/>
    <w:rsid w:val="00EF4662"/>
    <w:rsid w:val="00F038DE"/>
    <w:rsid w:val="00F07066"/>
    <w:rsid w:val="00F075ED"/>
    <w:rsid w:val="00F1063C"/>
    <w:rsid w:val="00F17013"/>
    <w:rsid w:val="00F17FBE"/>
    <w:rsid w:val="00F239DC"/>
    <w:rsid w:val="00F23E44"/>
    <w:rsid w:val="00F25527"/>
    <w:rsid w:val="00F27FA6"/>
    <w:rsid w:val="00F31827"/>
    <w:rsid w:val="00F46BF9"/>
    <w:rsid w:val="00F53332"/>
    <w:rsid w:val="00F55384"/>
    <w:rsid w:val="00F57AA3"/>
    <w:rsid w:val="00F60F34"/>
    <w:rsid w:val="00F62280"/>
    <w:rsid w:val="00F6367D"/>
    <w:rsid w:val="00F65CBD"/>
    <w:rsid w:val="00F674E3"/>
    <w:rsid w:val="00F72BE9"/>
    <w:rsid w:val="00F74158"/>
    <w:rsid w:val="00F76CB0"/>
    <w:rsid w:val="00F90769"/>
    <w:rsid w:val="00F92AE6"/>
    <w:rsid w:val="00F94BD9"/>
    <w:rsid w:val="00F96D25"/>
    <w:rsid w:val="00FA20AC"/>
    <w:rsid w:val="00FA2BFF"/>
    <w:rsid w:val="00FA3100"/>
    <w:rsid w:val="00FA3293"/>
    <w:rsid w:val="00FA5064"/>
    <w:rsid w:val="00FB02D0"/>
    <w:rsid w:val="00FB1FC4"/>
    <w:rsid w:val="00FB2C46"/>
    <w:rsid w:val="00FB5EA4"/>
    <w:rsid w:val="00FB758B"/>
    <w:rsid w:val="00FC2ECC"/>
    <w:rsid w:val="00FC6E6F"/>
    <w:rsid w:val="00FC7B53"/>
    <w:rsid w:val="00FD31B9"/>
    <w:rsid w:val="00FE16D5"/>
    <w:rsid w:val="00FE30ED"/>
    <w:rsid w:val="00FE486D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4A21"/>
  <w15:chartTrackingRefBased/>
  <w15:docId w15:val="{EE601FCD-8983-463C-B604-535FCEF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9D"/>
    <w:pPr>
      <w:tabs>
        <w:tab w:val="left" w:pos="72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7B18AD"/>
    <w:pPr>
      <w:spacing w:line="480" w:lineRule="auto"/>
      <w:outlineLvl w:val="0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474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8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6B"/>
  </w:style>
  <w:style w:type="paragraph" w:styleId="Footer">
    <w:name w:val="footer"/>
    <w:basedOn w:val="Normal"/>
    <w:link w:val="FooterChar"/>
    <w:uiPriority w:val="99"/>
    <w:unhideWhenUsed/>
    <w:rsid w:val="00DB38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6B"/>
  </w:style>
  <w:style w:type="paragraph" w:styleId="BalloonText">
    <w:name w:val="Balloon Text"/>
    <w:basedOn w:val="Normal"/>
    <w:link w:val="BalloonTextChar"/>
    <w:uiPriority w:val="99"/>
    <w:semiHidden/>
    <w:unhideWhenUsed/>
    <w:rsid w:val="00DB3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6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7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293"/>
    <w:rPr>
      <w:b/>
      <w:bCs/>
      <w:sz w:val="20"/>
      <w:szCs w:val="20"/>
    </w:rPr>
  </w:style>
  <w:style w:type="character" w:customStyle="1" w:styleId="gt-card-ttl-txt">
    <w:name w:val="gt-card-ttl-txt"/>
    <w:basedOn w:val="DefaultParagraphFont"/>
    <w:rsid w:val="004D5862"/>
  </w:style>
  <w:style w:type="character" w:customStyle="1" w:styleId="tlid-translation">
    <w:name w:val="tlid-translation"/>
    <w:basedOn w:val="DefaultParagraphFont"/>
    <w:rsid w:val="00F74158"/>
  </w:style>
  <w:style w:type="paragraph" w:styleId="Revision">
    <w:name w:val="Revision"/>
    <w:hidden/>
    <w:uiPriority w:val="99"/>
    <w:semiHidden/>
    <w:rsid w:val="00B534FB"/>
    <w:pPr>
      <w:spacing w:after="0" w:line="240" w:lineRule="auto"/>
    </w:pPr>
  </w:style>
  <w:style w:type="paragraph" w:customStyle="1" w:styleId="Default">
    <w:name w:val="Default"/>
    <w:rsid w:val="00E604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7D8"/>
    <w:pPr>
      <w:spacing w:after="0" w:line="240" w:lineRule="auto"/>
      <w:ind w:left="720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18AD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474F"/>
    <w:rPr>
      <w:rFonts w:ascii="Times New Roman" w:hAnsi="Times New Roman" w:cs="Times New Roman"/>
      <w:b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7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7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37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2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3-Scharff/paper-21" TargetMode="External"/><Relationship Id="rId13" Type="http://schemas.openxmlformats.org/officeDocument/2006/relationships/hyperlink" Target="file:///Users/RBarth/Desktop/Finalized%20files-Conserving-Canvas--72122-to%20prep%20for%20TR/3-Scharff/table-3-2" TargetMode="External"/><Relationship Id="rId18" Type="http://schemas.openxmlformats.org/officeDocument/2006/relationships/hyperlink" Target="file:///Users/RBarth/Desktop/Finalized%20files-Conserving-Canvas--72122-to%20prep%20for%20TR/3-Scharff/fig-3-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3-Scharff/table-3-1" TargetMode="External"/><Relationship Id="rId17" Type="http://schemas.openxmlformats.org/officeDocument/2006/relationships/hyperlink" Target="file:///Users/RBarth/Desktop/Finalized%20files-Conserving-Canvas--72122-to%20prep%20for%20TR/3-Scharff/paper-2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RBarth/Desktop/Finalized%20files-Conserving-Canvas--72122-to%20prep%20for%20TR/3-Scharff/fig-3-3" TargetMode="External"/><Relationship Id="rId20" Type="http://schemas.openxmlformats.org/officeDocument/2006/relationships/hyperlink" Target="file:///Users/RBarth/Desktop/Finalized%20files-Conserving-Canvas--72122-to%20prep%20for%20TR/3-Scharff/fig-3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3-Scharff/table-3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3-Scharff/fig-3-2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Users/RBarth/Desktop/Finalized%20files-Conserving-Canvas--72122-to%20prep%20for%20TR/3-Scharff/fig-3-1" TargetMode="External"/><Relationship Id="rId19" Type="http://schemas.openxmlformats.org/officeDocument/2006/relationships/hyperlink" Target="file:///Users/RBarth/Desktop/Finalized%20files-Conserving-Canvas--72122-to%20prep%20for%20TR/3-Scharff/fig-3-5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3-Scharff/paper-21" TargetMode="External"/><Relationship Id="rId14" Type="http://schemas.openxmlformats.org/officeDocument/2006/relationships/hyperlink" Target="file:///Users/RBarth/Desktop/Finalized%20files-Conserving-Canvas--72122-to%20prep%20for%20TR/3-Scharff/table-3-1" TargetMode="External"/><Relationship Id="rId22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hc.unesco.org/en/conventiontex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6F22-991D-4C09-9DE3-39C99D3E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5148</Words>
  <Characters>29345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5</cp:revision>
  <cp:lastPrinted>2022-04-15T12:39:00Z</cp:lastPrinted>
  <dcterms:created xsi:type="dcterms:W3CDTF">2022-08-15T21:30:00Z</dcterms:created>
  <dcterms:modified xsi:type="dcterms:W3CDTF">2022-09-06T02:20:00Z</dcterms:modified>
</cp:coreProperties>
</file>