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3D271" w14:textId="60D1B240" w:rsidR="002C6A04" w:rsidRPr="001740BC" w:rsidRDefault="002C6A04" w:rsidP="001740B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>label: "6</w:t>
      </w:r>
      <w:r w:rsidR="00845105">
        <w:rPr>
          <w:rFonts w:ascii="Times New Roman" w:eastAsia="Calibri" w:hAnsi="Times New Roman" w:cs="Times New Roman"/>
          <w:sz w:val="24"/>
          <w:szCs w:val="24"/>
          <w:lang w:val="en-US"/>
        </w:rPr>
        <w:t>2</w:t>
      </w:r>
      <w:r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>"</w:t>
      </w:r>
    </w:p>
    <w:p w14:paraId="215CEFAD" w14:textId="611AF3B1" w:rsidR="002C6A04" w:rsidRPr="001740BC" w:rsidRDefault="002C6A04" w:rsidP="001740B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title: Investigating </w:t>
      </w:r>
      <w:r w:rsidR="000E469C"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>Commercially Primed Contemporary Artist Canvases</w:t>
      </w:r>
    </w:p>
    <w:p w14:paraId="05638349" w14:textId="77777777" w:rsidR="002C6A04" w:rsidRPr="001740BC" w:rsidRDefault="002C6A04" w:rsidP="001740B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subtitle: </w:t>
      </w:r>
    </w:p>
    <w:p w14:paraId="55B04D47" w14:textId="77777777" w:rsidR="002C6A04" w:rsidRPr="001740BC" w:rsidRDefault="002C6A04" w:rsidP="001740B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>contributor:</w:t>
      </w:r>
    </w:p>
    <w:p w14:paraId="67917AC0" w14:textId="54274A29" w:rsidR="002C6A04" w:rsidRPr="001740BC" w:rsidRDefault="002C6A04" w:rsidP="001740BC">
      <w:pPr>
        <w:numPr>
          <w:ilvl w:val="0"/>
          <w:numId w:val="16"/>
        </w:num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>first_name</w:t>
      </w:r>
      <w:proofErr w:type="spellEnd"/>
      <w:r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r w:rsidRPr="001740BC">
        <w:rPr>
          <w:rFonts w:ascii="Times New Roman" w:hAnsi="Times New Roman" w:cs="Times New Roman"/>
          <w:sz w:val="24"/>
          <w:szCs w:val="24"/>
          <w:lang w:val="en-US" w:bidi="en-US"/>
        </w:rPr>
        <w:t xml:space="preserve">Anne </w:t>
      </w:r>
    </w:p>
    <w:p w14:paraId="531F0F69" w14:textId="0C69A78B" w:rsidR="002C6A04" w:rsidRPr="001740BC" w:rsidRDefault="002C6A04" w:rsidP="001740BC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>last_name</w:t>
      </w:r>
      <w:proofErr w:type="spellEnd"/>
      <w:r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r w:rsidRPr="001740BC">
        <w:rPr>
          <w:rFonts w:ascii="Times New Roman" w:hAnsi="Times New Roman" w:cs="Times New Roman"/>
          <w:sz w:val="24"/>
          <w:szCs w:val="24"/>
          <w:lang w:val="en-US" w:bidi="en-US"/>
        </w:rPr>
        <w:t>Carter</w:t>
      </w:r>
    </w:p>
    <w:p w14:paraId="699F0C0E" w14:textId="3D542FD1" w:rsidR="002C6A04" w:rsidRPr="001740BC" w:rsidRDefault="002C6A04" w:rsidP="001740BC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>title:</w:t>
      </w:r>
      <w:r w:rsidR="00B31EB1"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Paintings Conservator</w:t>
      </w:r>
    </w:p>
    <w:p w14:paraId="159E57EB" w14:textId="6E24E24B" w:rsidR="002C6A04" w:rsidRPr="001740BC" w:rsidRDefault="002C6A04" w:rsidP="001740BC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affiliation: Queensland Art Gallery, Gallery of Modern Art, </w:t>
      </w:r>
      <w:r w:rsidR="00B31EB1"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Brisbane, </w:t>
      </w:r>
      <w:r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>Australia</w:t>
      </w:r>
    </w:p>
    <w:p w14:paraId="7A48DF46" w14:textId="0B8FC29B" w:rsidR="002C6A04" w:rsidRPr="001740BC" w:rsidRDefault="002C6A04" w:rsidP="001740BC">
      <w:pPr>
        <w:numPr>
          <w:ilvl w:val="0"/>
          <w:numId w:val="16"/>
        </w:num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>first_name</w:t>
      </w:r>
      <w:proofErr w:type="spellEnd"/>
      <w:r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r w:rsidRPr="001740BC">
        <w:rPr>
          <w:rFonts w:ascii="Times New Roman" w:hAnsi="Times New Roman" w:cs="Times New Roman"/>
          <w:sz w:val="24"/>
          <w:szCs w:val="24"/>
          <w:lang w:val="en-US" w:bidi="en-US"/>
        </w:rPr>
        <w:t xml:space="preserve">Lynn </w:t>
      </w:r>
    </w:p>
    <w:p w14:paraId="58AA82A7" w14:textId="2529641D" w:rsidR="002C6A04" w:rsidRPr="001740BC" w:rsidRDefault="002C6A04" w:rsidP="001740BC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>last_name</w:t>
      </w:r>
      <w:proofErr w:type="spellEnd"/>
      <w:r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r w:rsidR="00B31EB1" w:rsidRPr="001740BC">
        <w:rPr>
          <w:rFonts w:ascii="Times New Roman" w:hAnsi="Times New Roman" w:cs="Times New Roman"/>
          <w:sz w:val="24"/>
          <w:szCs w:val="24"/>
          <w:lang w:val="en-US" w:bidi="en-US"/>
        </w:rPr>
        <w:t>Chua</w:t>
      </w:r>
    </w:p>
    <w:p w14:paraId="2063352F" w14:textId="6E185501" w:rsidR="002C6A04" w:rsidRPr="001740BC" w:rsidRDefault="002C6A04" w:rsidP="001740BC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>title:</w:t>
      </w:r>
      <w:r w:rsidR="00B31EB1"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Conservation Scientist</w:t>
      </w:r>
    </w:p>
    <w:p w14:paraId="18FC10DC" w14:textId="5E1453C0" w:rsidR="002C6A04" w:rsidRPr="001740BC" w:rsidRDefault="002C6A04" w:rsidP="001740BC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>affiliation:</w:t>
      </w:r>
      <w:r w:rsidR="00694D76"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Heritage Conservation Centre</w:t>
      </w:r>
      <w:r w:rsidR="00B31EB1"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>,</w:t>
      </w:r>
      <w:r w:rsidR="00694D76"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National Heritage Board, Singapore</w:t>
      </w:r>
    </w:p>
    <w:p w14:paraId="191F9806" w14:textId="19CDA9BA" w:rsidR="002C6A04" w:rsidRPr="001740BC" w:rsidRDefault="002C6A04" w:rsidP="001740BC">
      <w:pPr>
        <w:numPr>
          <w:ilvl w:val="0"/>
          <w:numId w:val="16"/>
        </w:num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>first_name</w:t>
      </w:r>
      <w:proofErr w:type="spellEnd"/>
      <w:r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1740BC">
        <w:rPr>
          <w:rFonts w:ascii="Times New Roman" w:hAnsi="Times New Roman" w:cs="Times New Roman"/>
          <w:sz w:val="24"/>
          <w:szCs w:val="24"/>
          <w:lang w:val="en-US" w:bidi="en-US"/>
        </w:rPr>
        <w:t>Filzah</w:t>
      </w:r>
      <w:proofErr w:type="spellEnd"/>
      <w:r w:rsidRPr="001740BC">
        <w:rPr>
          <w:rFonts w:ascii="Times New Roman" w:hAnsi="Times New Roman" w:cs="Times New Roman"/>
          <w:sz w:val="24"/>
          <w:szCs w:val="24"/>
          <w:lang w:val="en-US" w:bidi="en-US"/>
        </w:rPr>
        <w:t xml:space="preserve"> </w:t>
      </w:r>
    </w:p>
    <w:p w14:paraId="6C17D852" w14:textId="476E54B4" w:rsidR="002C6A04" w:rsidRPr="001740BC" w:rsidRDefault="002C6A04" w:rsidP="001740BC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>last_name</w:t>
      </w:r>
      <w:proofErr w:type="spellEnd"/>
      <w:r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467D02" w:rsidRPr="001740BC">
        <w:rPr>
          <w:rFonts w:ascii="Times New Roman" w:hAnsi="Times New Roman" w:cs="Times New Roman"/>
          <w:sz w:val="24"/>
          <w:szCs w:val="24"/>
          <w:lang w:val="en-US" w:bidi="en-US"/>
        </w:rPr>
        <w:t>Mohd</w:t>
      </w:r>
      <w:proofErr w:type="spellEnd"/>
      <w:r w:rsidR="00467D02" w:rsidRPr="001740BC">
        <w:rPr>
          <w:rFonts w:ascii="Times New Roman" w:hAnsi="Times New Roman" w:cs="Times New Roman"/>
          <w:sz w:val="24"/>
          <w:szCs w:val="24"/>
          <w:lang w:val="en-US" w:bidi="en-US"/>
        </w:rPr>
        <w:t xml:space="preserve"> </w:t>
      </w:r>
      <w:r w:rsidR="00694D76" w:rsidRPr="001740BC">
        <w:rPr>
          <w:rFonts w:ascii="Times New Roman" w:hAnsi="Times New Roman" w:cs="Times New Roman"/>
          <w:sz w:val="24"/>
          <w:szCs w:val="24"/>
          <w:lang w:val="en-US" w:bidi="en-US"/>
        </w:rPr>
        <w:t>Amir</w:t>
      </w:r>
    </w:p>
    <w:p w14:paraId="69D2C031" w14:textId="0B7F4A1E" w:rsidR="002C6A04" w:rsidRPr="001740BC" w:rsidRDefault="002C6A04" w:rsidP="001740BC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>title:</w:t>
      </w:r>
      <w:r w:rsidR="00B31EB1"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Assistant Conservator</w:t>
      </w:r>
    </w:p>
    <w:p w14:paraId="55240220" w14:textId="0B22D880" w:rsidR="002C6A04" w:rsidRPr="001740BC" w:rsidRDefault="002C6A04" w:rsidP="001740BC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>affiliation:</w:t>
      </w:r>
      <w:r w:rsidR="00694D76"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Heritage Conservation Centre</w:t>
      </w:r>
      <w:r w:rsidR="00B31EB1"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>,</w:t>
      </w:r>
      <w:r w:rsidR="00694D76"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National Heritage Board</w:t>
      </w:r>
    </w:p>
    <w:p w14:paraId="617255CC" w14:textId="3B6445F9" w:rsidR="002C6A04" w:rsidRPr="001740BC" w:rsidRDefault="002C6A04" w:rsidP="001740BC">
      <w:pPr>
        <w:numPr>
          <w:ilvl w:val="0"/>
          <w:numId w:val="16"/>
        </w:num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>first_name</w:t>
      </w:r>
      <w:proofErr w:type="spellEnd"/>
      <w:r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r w:rsidRPr="001740BC">
        <w:rPr>
          <w:rFonts w:ascii="Times New Roman" w:hAnsi="Times New Roman" w:cs="Times New Roman"/>
          <w:sz w:val="24"/>
          <w:szCs w:val="24"/>
          <w:lang w:val="en-US" w:bidi="en-US"/>
        </w:rPr>
        <w:t xml:space="preserve">Ruby </w:t>
      </w:r>
    </w:p>
    <w:p w14:paraId="7A525A95" w14:textId="13D691A9" w:rsidR="002C6A04" w:rsidRPr="001740BC" w:rsidRDefault="002C6A04" w:rsidP="001740BC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>last_name</w:t>
      </w:r>
      <w:proofErr w:type="spellEnd"/>
      <w:r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694D76" w:rsidRPr="001740BC">
        <w:rPr>
          <w:rFonts w:ascii="Times New Roman" w:hAnsi="Times New Roman" w:cs="Times New Roman"/>
          <w:sz w:val="24"/>
          <w:szCs w:val="24"/>
          <w:lang w:val="en-US" w:bidi="en-US"/>
        </w:rPr>
        <w:t>Awburn</w:t>
      </w:r>
      <w:proofErr w:type="spellEnd"/>
    </w:p>
    <w:p w14:paraId="446A0069" w14:textId="435840A9" w:rsidR="002C6A04" w:rsidRPr="001740BC" w:rsidRDefault="002C6A04" w:rsidP="001740BC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>title:</w:t>
      </w:r>
      <w:r w:rsidR="00923EAA"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Independent Conservator</w:t>
      </w:r>
    </w:p>
    <w:p w14:paraId="319EA6C5" w14:textId="272AE39F" w:rsidR="002C6A04" w:rsidRPr="001740BC" w:rsidRDefault="002C6A04" w:rsidP="001740BC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>affiliation:</w:t>
      </w:r>
      <w:r w:rsidR="00694D76"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Australia</w:t>
      </w:r>
    </w:p>
    <w:p w14:paraId="2E709940" w14:textId="779E6683" w:rsidR="002C6A04" w:rsidRPr="001740BC" w:rsidRDefault="002C6A04" w:rsidP="001740BC">
      <w:pPr>
        <w:numPr>
          <w:ilvl w:val="0"/>
          <w:numId w:val="16"/>
        </w:num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>first_name</w:t>
      </w:r>
      <w:proofErr w:type="spellEnd"/>
      <w:r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r w:rsidRPr="001740BC">
        <w:rPr>
          <w:rFonts w:ascii="Times New Roman" w:hAnsi="Times New Roman" w:cs="Times New Roman"/>
          <w:sz w:val="24"/>
          <w:szCs w:val="24"/>
          <w:lang w:val="en-US" w:bidi="en-US"/>
        </w:rPr>
        <w:t xml:space="preserve">Gillian </w:t>
      </w:r>
    </w:p>
    <w:p w14:paraId="30B4033E" w14:textId="413F4DF6" w:rsidR="002C6A04" w:rsidRPr="001740BC" w:rsidRDefault="002C6A04" w:rsidP="001740BC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>last_name</w:t>
      </w:r>
      <w:proofErr w:type="spellEnd"/>
      <w:r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r w:rsidR="00694D76" w:rsidRPr="001740BC">
        <w:rPr>
          <w:rFonts w:ascii="Times New Roman" w:hAnsi="Times New Roman" w:cs="Times New Roman"/>
          <w:sz w:val="24"/>
          <w:szCs w:val="24"/>
          <w:lang w:val="en-US" w:bidi="en-US"/>
        </w:rPr>
        <w:t>Osmond</w:t>
      </w:r>
    </w:p>
    <w:p w14:paraId="04ED36F2" w14:textId="086D0DA1" w:rsidR="002C6A04" w:rsidRPr="001740BC" w:rsidRDefault="002C6A04" w:rsidP="001740BC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>title:</w:t>
      </w:r>
      <w:r w:rsidR="000E469C"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Paintings Conservator</w:t>
      </w:r>
    </w:p>
    <w:p w14:paraId="1B619817" w14:textId="0B494F86" w:rsidR="002C6A04" w:rsidRPr="001740BC" w:rsidRDefault="002C6A04" w:rsidP="001740BC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>affiliation: Queensland Art Gallery, Gallery of Modern Art</w:t>
      </w:r>
    </w:p>
    <w:p w14:paraId="0A146A59" w14:textId="27D2F952" w:rsidR="002C6A04" w:rsidRPr="001740BC" w:rsidRDefault="002C6A04" w:rsidP="001740BC">
      <w:pPr>
        <w:numPr>
          <w:ilvl w:val="0"/>
          <w:numId w:val="16"/>
        </w:num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>first_name</w:t>
      </w:r>
      <w:proofErr w:type="spellEnd"/>
      <w:r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r w:rsidRPr="001740BC">
        <w:rPr>
          <w:rFonts w:ascii="Times New Roman" w:hAnsi="Times New Roman" w:cs="Times New Roman"/>
          <w:sz w:val="24"/>
          <w:szCs w:val="24"/>
          <w:lang w:val="en-US" w:bidi="en-US"/>
        </w:rPr>
        <w:t xml:space="preserve">Joey </w:t>
      </w:r>
    </w:p>
    <w:p w14:paraId="4C409074" w14:textId="78CE4E5E" w:rsidR="002C6A04" w:rsidRPr="001740BC" w:rsidRDefault="002C6A04" w:rsidP="001740BC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>last_name</w:t>
      </w:r>
      <w:proofErr w:type="spellEnd"/>
      <w:r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r w:rsidR="000E469C" w:rsidRPr="001740BC">
        <w:rPr>
          <w:rFonts w:ascii="Times New Roman" w:hAnsi="Times New Roman" w:cs="Times New Roman"/>
          <w:sz w:val="24"/>
          <w:szCs w:val="24"/>
          <w:lang w:val="en-US" w:bidi="en-US"/>
        </w:rPr>
        <w:t>Ng</w:t>
      </w:r>
    </w:p>
    <w:p w14:paraId="63F28DDA" w14:textId="77777777" w:rsidR="002C6A04" w:rsidRPr="001740BC" w:rsidRDefault="002C6A04" w:rsidP="001740BC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>title:</w:t>
      </w:r>
    </w:p>
    <w:p w14:paraId="6B38CA9F" w14:textId="2150FFB6" w:rsidR="002C6A04" w:rsidRPr="001740BC" w:rsidRDefault="002C6A04" w:rsidP="001740BC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>affiliation:</w:t>
      </w:r>
      <w:r w:rsidR="00694D76"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National University of Singapore</w:t>
      </w:r>
    </w:p>
    <w:p w14:paraId="4DEE6D52" w14:textId="77777777" w:rsidR="002C6A04" w:rsidRPr="001740BC" w:rsidRDefault="002C6A04" w:rsidP="001740B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>keywords:</w:t>
      </w:r>
    </w:p>
    <w:p w14:paraId="1FDBED57" w14:textId="467F8797" w:rsidR="002C6A04" w:rsidRPr="001740BC" w:rsidRDefault="002C6A04" w:rsidP="001740B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>abstract:</w:t>
      </w:r>
      <w:r w:rsidR="001740B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FA59D8"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>Contemporary painters often choose commercially</w:t>
      </w:r>
      <w:r w:rsidR="008C2A0A"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FA59D8"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>primed canvases as their painting support</w:t>
      </w:r>
      <w:r w:rsidR="008C2A0A"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  <w:r w:rsidR="00FA59D8"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however</w:t>
      </w:r>
      <w:r w:rsidR="008C2A0A"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>,</w:t>
      </w:r>
      <w:r w:rsidR="00FA59D8"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manufacturers provide little technical information about the materials </w:t>
      </w:r>
      <w:r w:rsidR="008C2A0A"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used in </w:t>
      </w:r>
      <w:r w:rsidR="00FA59D8"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their production. </w:t>
      </w:r>
      <w:r w:rsidR="008C2A0A"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>The authors were p</w:t>
      </w:r>
      <w:r w:rsidR="00FA59D8"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rompted to learn more about </w:t>
      </w:r>
      <w:r w:rsidR="008C2A0A"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>these materials’</w:t>
      </w:r>
      <w:r w:rsidR="00FA59D8"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manufacture after observing unexpected responses to established conservation treatments</w:t>
      </w:r>
      <w:r w:rsidR="008C2A0A"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  <w:r w:rsidR="00FA59D8"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8C2A0A"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>C</w:t>
      </w:r>
      <w:r w:rsidR="00FA59D8"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anvas </w:t>
      </w:r>
      <w:r w:rsidR="008C2A0A"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>fiber</w:t>
      </w:r>
      <w:r w:rsidR="00FA59D8"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and priming binder, pigments</w:t>
      </w:r>
      <w:r w:rsidR="008C2A0A"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>,</w:t>
      </w:r>
      <w:r w:rsidR="00FA59D8"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and fillers of </w:t>
      </w:r>
      <w:r w:rsidR="001740BC">
        <w:rPr>
          <w:rFonts w:ascii="Times New Roman" w:eastAsia="Calibri" w:hAnsi="Times New Roman" w:cs="Times New Roman"/>
          <w:sz w:val="24"/>
          <w:szCs w:val="24"/>
          <w:lang w:val="en-US"/>
        </w:rPr>
        <w:t>fifty-three</w:t>
      </w:r>
      <w:r w:rsidR="00FA59D8"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commercially</w:t>
      </w:r>
      <w:r w:rsidR="008C2A0A"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FA59D8"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>primed canvases purchased from Australian and Singaporean suppliers were analy</w:t>
      </w:r>
      <w:r w:rsidR="008C2A0A"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>z</w:t>
      </w:r>
      <w:r w:rsidR="00FA59D8"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ed. </w:t>
      </w:r>
      <w:r w:rsidR="008C2A0A"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>The m</w:t>
      </w:r>
      <w:r w:rsidR="00FA59D8"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aterials detected show variations in canvas types and priming formulations </w:t>
      </w:r>
      <w:r w:rsidR="008C2A0A"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>that</w:t>
      </w:r>
      <w:r w:rsidR="00FA59D8"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suggest reasons for unusual conservation treatment characteristics.</w:t>
      </w:r>
    </w:p>
    <w:p w14:paraId="2C3298F9" w14:textId="70582905" w:rsidR="002C6A04" w:rsidRPr="001740BC" w:rsidRDefault="002C6A04" w:rsidP="001740BC">
      <w:pPr>
        <w:spacing w:after="0" w:line="240" w:lineRule="auto"/>
        <w:ind w:right="-199"/>
        <w:outlineLvl w:val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>short_title</w:t>
      </w:r>
      <w:proofErr w:type="spellEnd"/>
      <w:r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  <w:r w:rsidR="000E469C" w:rsidRPr="001740B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Investigating Commercially Primed Contemporary Artist Canvases</w:t>
      </w:r>
    </w:p>
    <w:p w14:paraId="12E5BE86" w14:textId="77777777" w:rsidR="00466E8E" w:rsidRPr="000E469C" w:rsidRDefault="00466E8E">
      <w:pPr>
        <w:spacing w:after="0" w:line="480" w:lineRule="auto"/>
        <w:ind w:left="493"/>
        <w:rPr>
          <w:rFonts w:ascii="Times New Roman" w:hAnsi="Times New Roman" w:cs="Times New Roman"/>
          <w:sz w:val="24"/>
          <w:szCs w:val="24"/>
          <w:lang w:val="en-US" w:bidi="en-US"/>
        </w:rPr>
      </w:pPr>
    </w:p>
    <w:p w14:paraId="0DEE532F" w14:textId="77777777" w:rsidR="001740BC" w:rsidRDefault="001740BC" w:rsidP="00BD7566">
      <w:pPr>
        <w:pStyle w:val="Heading1"/>
        <w:rPr>
          <w:lang w:val="en-US"/>
        </w:rPr>
      </w:pPr>
    </w:p>
    <w:p w14:paraId="12CAC491" w14:textId="3C141AC0" w:rsidR="00466E8E" w:rsidRPr="000E469C" w:rsidRDefault="001740BC" w:rsidP="00BD7566">
      <w:pPr>
        <w:pStyle w:val="Heading1"/>
        <w:rPr>
          <w:lang w:val="en-US"/>
        </w:rPr>
      </w:pPr>
      <w:r w:rsidRPr="001740BC">
        <w:rPr>
          <w:b w:val="0"/>
          <w:bCs w:val="0"/>
          <w:highlight w:val="yellow"/>
          <w:lang w:val="en-US"/>
        </w:rPr>
        <w:t>&lt;A-head&gt;</w:t>
      </w:r>
      <w:r>
        <w:rPr>
          <w:lang w:val="en-US"/>
        </w:rPr>
        <w:t xml:space="preserve"> </w:t>
      </w:r>
      <w:r w:rsidR="00466E8E" w:rsidRPr="000E469C">
        <w:rPr>
          <w:lang w:val="en-US"/>
        </w:rPr>
        <w:t>Introduction</w:t>
      </w:r>
    </w:p>
    <w:p w14:paraId="07E3B6C3" w14:textId="3AD54800" w:rsidR="00466E8E" w:rsidRPr="000E469C" w:rsidRDefault="00466E8E">
      <w:pPr>
        <w:spacing w:line="480" w:lineRule="auto"/>
        <w:rPr>
          <w:rFonts w:ascii="Times New Roman" w:hAnsi="Times New Roman" w:cs="Times New Roman"/>
          <w:sz w:val="24"/>
          <w:szCs w:val="24"/>
          <w:lang w:val="en-US" w:bidi="en-US"/>
        </w:rPr>
      </w:pP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Commercially</w:t>
      </w:r>
      <w:r w:rsidR="000E469C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</w:t>
      </w: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primed artist canvases are common supports for contemporary painters. Such canvases are convenient and often affordable</w:t>
      </w:r>
      <w:r w:rsidR="008D4497">
        <w:rPr>
          <w:rFonts w:ascii="Times New Roman" w:hAnsi="Times New Roman" w:cs="Times New Roman"/>
          <w:bCs/>
          <w:sz w:val="24"/>
          <w:szCs w:val="24"/>
          <w:lang w:val="en-US" w:bidi="en-US"/>
        </w:rPr>
        <w:t>;</w:t>
      </w: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the</w:t>
      </w:r>
      <w:r w:rsidR="00755152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</w:t>
      </w: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product information</w:t>
      </w:r>
      <w:r w:rsidR="001740BC">
        <w:rPr>
          <w:rFonts w:ascii="Times New Roman" w:hAnsi="Times New Roman" w:cs="Times New Roman"/>
          <w:bCs/>
          <w:sz w:val="24"/>
          <w:szCs w:val="24"/>
          <w:lang w:val="en-US" w:bidi="en-US"/>
        </w:rPr>
        <w:t>, however,</w:t>
      </w: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available for both artists and conservators to inform purchase choice or likely aging characteristics</w:t>
      </w:r>
      <w:r w:rsidR="00755152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</w:t>
      </w:r>
      <w:r w:rsidR="00755152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is </w:t>
      </w:r>
      <w:r w:rsidR="00755152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lastRenderedPageBreak/>
        <w:t>limited</w:t>
      </w: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. This paper reports on the material </w:t>
      </w:r>
      <w:r w:rsidRPr="000E469C">
        <w:rPr>
          <w:rFonts w:ascii="Times New Roman" w:hAnsi="Times New Roman" w:cs="Times New Roman"/>
          <w:sz w:val="24"/>
          <w:szCs w:val="24"/>
          <w:lang w:val="en-US" w:bidi="en-US"/>
        </w:rPr>
        <w:t xml:space="preserve">analysis of </w:t>
      </w:r>
      <w:r w:rsidR="001740BC">
        <w:rPr>
          <w:rFonts w:ascii="Times New Roman" w:hAnsi="Times New Roman" w:cs="Times New Roman"/>
          <w:sz w:val="24"/>
          <w:szCs w:val="24"/>
          <w:lang w:val="en-US" w:bidi="en-US"/>
        </w:rPr>
        <w:t>fifty-three</w:t>
      </w:r>
      <w:r w:rsidRPr="000E469C">
        <w:rPr>
          <w:rFonts w:ascii="Times New Roman" w:hAnsi="Times New Roman" w:cs="Times New Roman"/>
          <w:sz w:val="24"/>
          <w:szCs w:val="24"/>
          <w:lang w:val="en-US" w:bidi="en-US"/>
        </w:rPr>
        <w:t xml:space="preserve"> commercially</w:t>
      </w:r>
      <w:r w:rsidR="000E469C" w:rsidRPr="000E469C">
        <w:rPr>
          <w:rFonts w:ascii="Times New Roman" w:hAnsi="Times New Roman" w:cs="Times New Roman"/>
          <w:sz w:val="24"/>
          <w:szCs w:val="24"/>
          <w:lang w:val="en-US" w:bidi="en-US"/>
        </w:rPr>
        <w:t xml:space="preserve"> </w:t>
      </w:r>
      <w:r w:rsidRPr="000E469C">
        <w:rPr>
          <w:rFonts w:ascii="Times New Roman" w:hAnsi="Times New Roman" w:cs="Times New Roman"/>
          <w:sz w:val="24"/>
          <w:szCs w:val="24"/>
          <w:lang w:val="en-US" w:bidi="en-US"/>
        </w:rPr>
        <w:t>primed artist canvases purchased from Australian and Singaporean suppliers in 2018</w:t>
      </w:r>
      <w:r w:rsidR="000E469C" w:rsidRPr="000E469C">
        <w:rPr>
          <w:rFonts w:ascii="Times New Roman" w:hAnsi="Times New Roman" w:cs="Times New Roman"/>
          <w:sz w:val="24"/>
          <w:szCs w:val="24"/>
          <w:lang w:val="en-US" w:bidi="en-US"/>
        </w:rPr>
        <w:t>–20</w:t>
      </w:r>
      <w:r w:rsidRPr="000E469C">
        <w:rPr>
          <w:rFonts w:ascii="Times New Roman" w:hAnsi="Times New Roman" w:cs="Times New Roman"/>
          <w:sz w:val="24"/>
          <w:szCs w:val="24"/>
          <w:lang w:val="en-US" w:bidi="en-US"/>
        </w:rPr>
        <w:t xml:space="preserve">19. </w:t>
      </w:r>
    </w:p>
    <w:p w14:paraId="22619071" w14:textId="69E916C3" w:rsidR="00BD7566" w:rsidRPr="000E469C" w:rsidRDefault="00BD7566">
      <w:pPr>
        <w:spacing w:line="480" w:lineRule="auto"/>
        <w:rPr>
          <w:rFonts w:ascii="Times New Roman" w:hAnsi="Times New Roman" w:cs="Times New Roman"/>
          <w:sz w:val="24"/>
          <w:szCs w:val="24"/>
          <w:lang w:val="en-US" w:bidi="en-US"/>
        </w:rPr>
      </w:pP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ab/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Research was prompted by </w:t>
      </w:r>
      <w:r w:rsidR="00FA59D8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observations that some 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contemporary paintings exhibit unusual responses to conservation treatment </w:t>
      </w:r>
      <w:r w:rsidR="00755152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that </w:t>
      </w:r>
      <w:r w:rsidR="008C2A0A">
        <w:rPr>
          <w:rFonts w:ascii="Times New Roman" w:hAnsi="Times New Roman" w:cs="Times New Roman"/>
          <w:bCs/>
          <w:sz w:val="24"/>
          <w:szCs w:val="24"/>
          <w:lang w:val="en-US" w:bidi="en-US"/>
        </w:rPr>
        <w:t>a</w:t>
      </w:r>
      <w:r w:rsidR="00755152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re 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potentially attributable to their </w:t>
      </w:r>
      <w:r w:rsidR="00D42AEC">
        <w:rPr>
          <w:rFonts w:ascii="Times New Roman" w:hAnsi="Times New Roman" w:cs="Times New Roman"/>
          <w:bCs/>
          <w:sz w:val="24"/>
          <w:szCs w:val="24"/>
          <w:lang w:val="en-US" w:bidi="en-US"/>
        </w:rPr>
        <w:t>commerci</w:t>
      </w:r>
      <w:r w:rsidR="008C2A0A">
        <w:rPr>
          <w:rFonts w:ascii="Times New Roman" w:hAnsi="Times New Roman" w:cs="Times New Roman"/>
          <w:bCs/>
          <w:sz w:val="24"/>
          <w:szCs w:val="24"/>
          <w:lang w:val="en-US" w:bidi="en-US"/>
        </w:rPr>
        <w:t>a</w:t>
      </w:r>
      <w:r w:rsidR="00D42AE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lly primed 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canvas support. Observations include stretchiness, </w:t>
      </w:r>
      <w:r w:rsidR="00D42AE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the 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priming</w:t>
      </w:r>
      <w:r w:rsidR="00D42AEC">
        <w:rPr>
          <w:rFonts w:ascii="Times New Roman" w:hAnsi="Times New Roman" w:cs="Times New Roman"/>
          <w:bCs/>
          <w:sz w:val="24"/>
          <w:szCs w:val="24"/>
          <w:lang w:val="en-US" w:bidi="en-US"/>
        </w:rPr>
        <w:t>’s ability to tolerate</w:t>
      </w:r>
      <w:r w:rsidR="00297382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heat above 45</w:t>
      </w:r>
      <w:r w:rsidR="000E469C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°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C</w:t>
      </w:r>
      <w:r w:rsidR="00D42AE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(sometimes as high as 80</w:t>
      </w:r>
      <w:r w:rsidR="00D42AEC" w:rsidRPr="00D42AEC">
        <w:rPr>
          <w:rFonts w:ascii="Times New Roman" w:hAnsi="Times New Roman" w:cs="Times New Roman"/>
          <w:bCs/>
          <w:sz w:val="24"/>
          <w:szCs w:val="24"/>
          <w:lang w:val="en-US" w:bidi="en-US"/>
        </w:rPr>
        <w:t>°</w:t>
      </w:r>
      <w:r w:rsidR="00D42AEC">
        <w:rPr>
          <w:rFonts w:ascii="Times New Roman" w:hAnsi="Times New Roman" w:cs="Times New Roman"/>
          <w:bCs/>
          <w:sz w:val="24"/>
          <w:szCs w:val="24"/>
          <w:lang w:val="en-US" w:bidi="en-US"/>
        </w:rPr>
        <w:t>C),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unpredictable response to humidification, priming discoloration</w:t>
      </w:r>
      <w:r w:rsidR="00755152">
        <w:rPr>
          <w:rFonts w:ascii="Times New Roman" w:hAnsi="Times New Roman" w:cs="Times New Roman"/>
          <w:bCs/>
          <w:sz w:val="24"/>
          <w:szCs w:val="24"/>
          <w:lang w:val="en-US" w:bidi="en-US"/>
        </w:rPr>
        <w:t>,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and delamination of subsequently applied oil paint. Commercially</w:t>
      </w:r>
      <w:r w:rsidR="00755152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primed canvases from </w:t>
      </w:r>
      <w:r w:rsidR="001740BC">
        <w:rPr>
          <w:rFonts w:ascii="Times New Roman" w:hAnsi="Times New Roman" w:cs="Times New Roman"/>
          <w:sz w:val="24"/>
          <w:szCs w:val="24"/>
          <w:lang w:val="en-US" w:bidi="en-US"/>
        </w:rPr>
        <w:t>seventeen</w:t>
      </w:r>
      <w:r w:rsidR="00466E8E" w:rsidRPr="000E469C">
        <w:rPr>
          <w:rFonts w:ascii="Times New Roman" w:hAnsi="Times New Roman" w:cs="Times New Roman"/>
          <w:sz w:val="24"/>
          <w:szCs w:val="24"/>
          <w:lang w:val="en-US" w:bidi="en-US"/>
        </w:rPr>
        <w:t xml:space="preserve"> applicable collection paintings dating </w:t>
      </w:r>
      <w:r w:rsidR="00755152">
        <w:rPr>
          <w:rFonts w:ascii="Times New Roman" w:hAnsi="Times New Roman" w:cs="Times New Roman"/>
          <w:sz w:val="24"/>
          <w:szCs w:val="24"/>
          <w:lang w:val="en-US" w:bidi="en-US"/>
        </w:rPr>
        <w:t xml:space="preserve">from </w:t>
      </w:r>
      <w:r w:rsidR="00466E8E" w:rsidRPr="000E469C">
        <w:rPr>
          <w:rFonts w:ascii="Times New Roman" w:hAnsi="Times New Roman" w:cs="Times New Roman"/>
          <w:sz w:val="24"/>
          <w:szCs w:val="24"/>
          <w:lang w:val="en-US" w:bidi="en-US"/>
        </w:rPr>
        <w:t xml:space="preserve">1990 </w:t>
      </w:r>
      <w:r w:rsidR="00755152">
        <w:rPr>
          <w:rFonts w:ascii="Times New Roman" w:hAnsi="Times New Roman" w:cs="Times New Roman"/>
          <w:sz w:val="24"/>
          <w:szCs w:val="24"/>
          <w:lang w:val="en-US" w:bidi="en-US"/>
        </w:rPr>
        <w:t xml:space="preserve">to </w:t>
      </w:r>
      <w:r w:rsidR="00466E8E" w:rsidRPr="000E469C">
        <w:rPr>
          <w:rFonts w:ascii="Times New Roman" w:hAnsi="Times New Roman" w:cs="Times New Roman"/>
          <w:sz w:val="24"/>
          <w:szCs w:val="24"/>
          <w:lang w:val="en-US" w:bidi="en-US"/>
        </w:rPr>
        <w:t>2018 were also analy</w:t>
      </w:r>
      <w:r w:rsidR="00755152">
        <w:rPr>
          <w:rFonts w:ascii="Times New Roman" w:hAnsi="Times New Roman" w:cs="Times New Roman"/>
          <w:sz w:val="24"/>
          <w:szCs w:val="24"/>
          <w:lang w:val="en-US" w:bidi="en-US"/>
        </w:rPr>
        <w:t>z</w:t>
      </w:r>
      <w:r w:rsidR="00466E8E" w:rsidRPr="000E469C">
        <w:rPr>
          <w:rFonts w:ascii="Times New Roman" w:hAnsi="Times New Roman" w:cs="Times New Roman"/>
          <w:sz w:val="24"/>
          <w:szCs w:val="24"/>
          <w:lang w:val="en-US" w:bidi="en-US"/>
        </w:rPr>
        <w:t>ed</w:t>
      </w:r>
      <w:r w:rsidR="00755152">
        <w:rPr>
          <w:rFonts w:ascii="Times New Roman" w:hAnsi="Times New Roman" w:cs="Times New Roman"/>
          <w:sz w:val="24"/>
          <w:szCs w:val="24"/>
          <w:lang w:val="en-US" w:bidi="en-US"/>
        </w:rPr>
        <w:t>;</w:t>
      </w:r>
      <w:r w:rsidR="00466E8E" w:rsidRPr="000E469C">
        <w:rPr>
          <w:rFonts w:ascii="Times New Roman" w:hAnsi="Times New Roman" w:cs="Times New Roman"/>
          <w:sz w:val="24"/>
          <w:szCs w:val="24"/>
          <w:lang w:val="en-US" w:bidi="en-US"/>
        </w:rPr>
        <w:t xml:space="preserve"> however</w:t>
      </w:r>
      <w:r w:rsidR="00755152">
        <w:rPr>
          <w:rFonts w:ascii="Times New Roman" w:hAnsi="Times New Roman" w:cs="Times New Roman"/>
          <w:sz w:val="24"/>
          <w:szCs w:val="24"/>
          <w:lang w:val="en-US" w:bidi="en-US"/>
        </w:rPr>
        <w:t>,</w:t>
      </w:r>
      <w:r w:rsidR="00466E8E" w:rsidRPr="000E469C">
        <w:rPr>
          <w:rFonts w:ascii="Times New Roman" w:hAnsi="Times New Roman" w:cs="Times New Roman"/>
          <w:sz w:val="24"/>
          <w:szCs w:val="24"/>
          <w:lang w:val="en-US" w:bidi="en-US"/>
        </w:rPr>
        <w:t xml:space="preserve"> </w:t>
      </w:r>
      <w:r w:rsidR="00755152">
        <w:rPr>
          <w:rFonts w:ascii="Times New Roman" w:hAnsi="Times New Roman" w:cs="Times New Roman"/>
          <w:sz w:val="24"/>
          <w:szCs w:val="24"/>
          <w:lang w:val="en-US" w:bidi="en-US"/>
        </w:rPr>
        <w:t xml:space="preserve">those </w:t>
      </w:r>
      <w:r w:rsidR="00466E8E" w:rsidRPr="000E469C">
        <w:rPr>
          <w:rFonts w:ascii="Times New Roman" w:hAnsi="Times New Roman" w:cs="Times New Roman"/>
          <w:sz w:val="24"/>
          <w:szCs w:val="24"/>
          <w:lang w:val="en-US" w:bidi="en-US"/>
        </w:rPr>
        <w:t xml:space="preserve">results are presented here </w:t>
      </w:r>
      <w:r w:rsidR="00755152">
        <w:rPr>
          <w:rFonts w:ascii="Times New Roman" w:hAnsi="Times New Roman" w:cs="Times New Roman"/>
          <w:sz w:val="24"/>
          <w:szCs w:val="24"/>
          <w:lang w:val="en-US" w:bidi="en-US"/>
        </w:rPr>
        <w:t xml:space="preserve">only where they help </w:t>
      </w:r>
      <w:r w:rsidR="00466E8E" w:rsidRPr="000E469C">
        <w:rPr>
          <w:rFonts w:ascii="Times New Roman" w:hAnsi="Times New Roman" w:cs="Times New Roman"/>
          <w:sz w:val="24"/>
          <w:szCs w:val="24"/>
          <w:lang w:val="en-US" w:bidi="en-US"/>
        </w:rPr>
        <w:t xml:space="preserve">to inform </w:t>
      </w:r>
      <w:r w:rsidR="00755152">
        <w:rPr>
          <w:rFonts w:ascii="Times New Roman" w:hAnsi="Times New Roman" w:cs="Times New Roman"/>
          <w:sz w:val="24"/>
          <w:szCs w:val="24"/>
          <w:lang w:val="en-US" w:bidi="en-US"/>
        </w:rPr>
        <w:t xml:space="preserve">the </w:t>
      </w:r>
      <w:r w:rsidR="00466E8E" w:rsidRPr="000E469C">
        <w:rPr>
          <w:rFonts w:ascii="Times New Roman" w:hAnsi="Times New Roman" w:cs="Times New Roman"/>
          <w:sz w:val="24"/>
          <w:szCs w:val="24"/>
          <w:lang w:val="en-US" w:bidi="en-US"/>
        </w:rPr>
        <w:t>discussion.</w:t>
      </w:r>
    </w:p>
    <w:p w14:paraId="45E70046" w14:textId="5AEE9F9A" w:rsidR="00466E8E" w:rsidRPr="000E469C" w:rsidRDefault="00466E8E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n-US" w:bidi="en-US"/>
        </w:rPr>
      </w:pPr>
    </w:p>
    <w:p w14:paraId="4A02686D" w14:textId="04DC6045" w:rsidR="00466E8E" w:rsidRPr="000E469C" w:rsidRDefault="001740BC" w:rsidP="00BD7566">
      <w:pPr>
        <w:pStyle w:val="Heading1"/>
        <w:rPr>
          <w:lang w:val="en-US"/>
        </w:rPr>
      </w:pPr>
      <w:r w:rsidRPr="001740BC">
        <w:rPr>
          <w:b w:val="0"/>
          <w:bCs w:val="0"/>
          <w:highlight w:val="yellow"/>
          <w:lang w:val="en-US"/>
        </w:rPr>
        <w:t>&lt;A-head&gt;</w:t>
      </w:r>
      <w:r>
        <w:rPr>
          <w:lang w:val="en-US"/>
        </w:rPr>
        <w:t xml:space="preserve"> </w:t>
      </w:r>
      <w:r w:rsidR="00466E8E" w:rsidRPr="000E469C">
        <w:rPr>
          <w:lang w:val="en-US"/>
        </w:rPr>
        <w:t>Background</w:t>
      </w:r>
    </w:p>
    <w:p w14:paraId="596D061F" w14:textId="36DDFF1A" w:rsidR="00466E8E" w:rsidRPr="000E469C" w:rsidRDefault="00466E8E">
      <w:pPr>
        <w:spacing w:line="480" w:lineRule="auto"/>
        <w:rPr>
          <w:rFonts w:ascii="Times New Roman" w:hAnsi="Times New Roman" w:cs="Times New Roman"/>
          <w:sz w:val="24"/>
          <w:szCs w:val="24"/>
          <w:lang w:val="en-US" w:bidi="en-US"/>
        </w:rPr>
      </w:pPr>
      <w:r w:rsidRPr="000E469C">
        <w:rPr>
          <w:rFonts w:ascii="Times New Roman" w:hAnsi="Times New Roman" w:cs="Times New Roman"/>
          <w:bCs/>
          <w:sz w:val="24"/>
          <w:szCs w:val="24"/>
          <w:lang w:val="en-US"/>
        </w:rPr>
        <w:t>Historical studies of commercially</w:t>
      </w:r>
      <w:r w:rsidR="008634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0E469C">
        <w:rPr>
          <w:rFonts w:ascii="Times New Roman" w:hAnsi="Times New Roman" w:cs="Times New Roman"/>
          <w:bCs/>
          <w:sz w:val="24"/>
          <w:szCs w:val="24"/>
          <w:lang w:val="en-US"/>
        </w:rPr>
        <w:t>primed canvases document the frequent use of lead white, chalk, protein</w:t>
      </w:r>
      <w:r w:rsidR="00863463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 w:rsidRPr="000E469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and oil in single</w:t>
      </w:r>
      <w:r w:rsidR="00863463">
        <w:rPr>
          <w:rFonts w:ascii="Times New Roman" w:hAnsi="Times New Roman" w:cs="Times New Roman"/>
          <w:bCs/>
          <w:sz w:val="24"/>
          <w:szCs w:val="24"/>
          <w:lang w:val="en-US"/>
        </w:rPr>
        <w:t>-</w:t>
      </w:r>
      <w:r w:rsidRPr="000E469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or double</w:t>
      </w:r>
      <w:r w:rsidR="0029738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D42AEC">
        <w:rPr>
          <w:rFonts w:ascii="Times New Roman" w:hAnsi="Times New Roman" w:cs="Times New Roman"/>
          <w:bCs/>
          <w:sz w:val="24"/>
          <w:szCs w:val="24"/>
          <w:lang w:val="en-US"/>
        </w:rPr>
        <w:t>priming layers on cotton or linen canvas supports</w:t>
      </w:r>
      <w:r w:rsidRPr="000E469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B1A4C" w:rsidRPr="000E469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r w:rsidR="00BC222C">
        <w:rPr>
          <w:rFonts w:ascii="Times New Roman" w:hAnsi="Times New Roman" w:cs="Times New Roman"/>
          <w:bCs/>
          <w:sz w:val="24"/>
          <w:szCs w:val="24"/>
          <w:lang w:val="en-US"/>
        </w:rPr>
        <w:t>{{</w:t>
      </w:r>
      <w:proofErr w:type="spellStart"/>
      <w:r w:rsidRPr="000E469C">
        <w:rPr>
          <w:rFonts w:ascii="Times New Roman" w:hAnsi="Times New Roman" w:cs="Times New Roman"/>
          <w:bCs/>
          <w:sz w:val="24"/>
          <w:szCs w:val="24"/>
          <w:lang w:val="en-US"/>
        </w:rPr>
        <w:t>Ravaud</w:t>
      </w:r>
      <w:proofErr w:type="spellEnd"/>
      <w:r w:rsidRPr="000E469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et al</w:t>
      </w:r>
      <w:r w:rsidR="009F14FE" w:rsidRPr="000E469C">
        <w:rPr>
          <w:rFonts w:ascii="Times New Roman" w:hAnsi="Times New Roman" w:cs="Times New Roman"/>
          <w:bCs/>
          <w:sz w:val="24"/>
          <w:szCs w:val="24"/>
          <w:lang w:val="en-US"/>
        </w:rPr>
        <w:t>. 2014</w:t>
      </w:r>
      <w:r w:rsidR="00BC222C">
        <w:rPr>
          <w:rFonts w:ascii="Times New Roman" w:hAnsi="Times New Roman" w:cs="Times New Roman"/>
          <w:bCs/>
          <w:sz w:val="24"/>
          <w:szCs w:val="24"/>
          <w:lang w:val="en-US"/>
        </w:rPr>
        <w:t>}}</w:t>
      </w:r>
      <w:r w:rsidR="009F14FE" w:rsidRPr="000E469C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  <w:r w:rsidRPr="000E469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BC222C">
        <w:rPr>
          <w:rFonts w:ascii="Times New Roman" w:hAnsi="Times New Roman" w:cs="Times New Roman"/>
          <w:bCs/>
          <w:sz w:val="24"/>
          <w:szCs w:val="24"/>
          <w:lang w:val="en-US"/>
        </w:rPr>
        <w:t>{{</w:t>
      </w:r>
      <w:r w:rsidRPr="000E469C">
        <w:rPr>
          <w:rFonts w:ascii="Times New Roman" w:hAnsi="Times New Roman" w:cs="Times New Roman"/>
          <w:bCs/>
          <w:sz w:val="24"/>
          <w:szCs w:val="24"/>
          <w:lang w:val="en-US"/>
        </w:rPr>
        <w:t>Hackney</w:t>
      </w:r>
      <w:r w:rsidR="009F14FE" w:rsidRPr="000E469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9F14FE" w:rsidRPr="000E469C">
        <w:rPr>
          <w:rFonts w:ascii="Times New Roman" w:hAnsi="Times New Roman" w:cs="Times New Roman"/>
          <w:sz w:val="24"/>
          <w:szCs w:val="24"/>
          <w:lang w:val="en-US" w:bidi="en-US"/>
        </w:rPr>
        <w:t>2019</w:t>
      </w:r>
      <w:r w:rsidR="00BC222C">
        <w:rPr>
          <w:rFonts w:ascii="Times New Roman" w:hAnsi="Times New Roman" w:cs="Times New Roman"/>
          <w:sz w:val="24"/>
          <w:szCs w:val="24"/>
          <w:lang w:val="en-US" w:bidi="en-US"/>
        </w:rPr>
        <w:t>}}</w:t>
      </w:r>
      <w:r w:rsidR="009F14FE" w:rsidRPr="000E469C">
        <w:rPr>
          <w:rFonts w:ascii="Times New Roman" w:hAnsi="Times New Roman" w:cs="Times New Roman"/>
          <w:sz w:val="24"/>
          <w:szCs w:val="24"/>
          <w:lang w:val="en-US" w:bidi="en-US"/>
        </w:rPr>
        <w:t>;</w:t>
      </w:r>
      <w:r w:rsidRPr="000E469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BC222C">
        <w:rPr>
          <w:rFonts w:ascii="Times New Roman" w:hAnsi="Times New Roman" w:cs="Times New Roman"/>
          <w:bCs/>
          <w:sz w:val="24"/>
          <w:szCs w:val="24"/>
          <w:lang w:val="en-US"/>
        </w:rPr>
        <w:t>{{</w:t>
      </w:r>
      <w:r w:rsidRPr="000E469C">
        <w:rPr>
          <w:rFonts w:ascii="Times New Roman" w:hAnsi="Times New Roman" w:cs="Times New Roman"/>
          <w:bCs/>
          <w:sz w:val="24"/>
          <w:szCs w:val="24"/>
          <w:lang w:val="en-US"/>
        </w:rPr>
        <w:t>Townsend et al</w:t>
      </w:r>
      <w:r w:rsidR="009F14FE" w:rsidRPr="000E469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r w:rsidR="000A772A" w:rsidRPr="000E469C">
        <w:rPr>
          <w:rFonts w:ascii="Times New Roman" w:hAnsi="Times New Roman" w:cs="Times New Roman"/>
          <w:sz w:val="24"/>
          <w:szCs w:val="24"/>
          <w:lang w:val="en-US" w:bidi="en-US"/>
        </w:rPr>
        <w:t>2008</w:t>
      </w:r>
      <w:r w:rsidR="00BC222C">
        <w:rPr>
          <w:rFonts w:ascii="Times New Roman" w:hAnsi="Times New Roman" w:cs="Times New Roman"/>
          <w:bCs/>
          <w:sz w:val="24"/>
          <w:szCs w:val="24"/>
          <w:lang w:val="en-US"/>
        </w:rPr>
        <w:t>}}</w:t>
      </w:r>
      <w:r w:rsidRPr="000E469C">
        <w:rPr>
          <w:rFonts w:ascii="Times New Roman" w:hAnsi="Times New Roman" w:cs="Times New Roman"/>
          <w:bCs/>
          <w:sz w:val="24"/>
          <w:szCs w:val="24"/>
          <w:lang w:val="en-US"/>
        </w:rPr>
        <w:t>). Today</w:t>
      </w:r>
      <w:r w:rsidR="00863463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 w:rsidRPr="000E469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these </w:t>
      </w:r>
      <w:r w:rsidR="00D42A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priming layers </w:t>
      </w:r>
      <w:r w:rsidRPr="000E469C">
        <w:rPr>
          <w:rFonts w:ascii="Times New Roman" w:hAnsi="Times New Roman" w:cs="Times New Roman"/>
          <w:bCs/>
          <w:sz w:val="24"/>
          <w:szCs w:val="24"/>
          <w:lang w:val="en-US"/>
        </w:rPr>
        <w:t>are</w:t>
      </w: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commonly substituted with synthetic alternatives, with acrylics </w:t>
      </w:r>
      <w:r w:rsidR="00863463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being </w:t>
      </w: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the </w:t>
      </w:r>
      <w:proofErr w:type="gramStart"/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most commonly encountered</w:t>
      </w:r>
      <w:proofErr w:type="gramEnd"/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. For example, Ormsby et al</w:t>
      </w:r>
      <w:r w:rsidR="000A772A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.</w:t>
      </w: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studied </w:t>
      </w:r>
      <w:r w:rsidR="00D42AE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priming layers </w:t>
      </w:r>
      <w:r w:rsidR="00AC5E9B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of </w:t>
      </w:r>
      <w:r w:rsidR="001740BC">
        <w:rPr>
          <w:rFonts w:ascii="Times New Roman" w:hAnsi="Times New Roman" w:cs="Times New Roman"/>
          <w:bCs/>
          <w:sz w:val="24"/>
          <w:szCs w:val="24"/>
          <w:lang w:val="en-US" w:bidi="en-US"/>
        </w:rPr>
        <w:t>fifty-two</w:t>
      </w: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paintings from the T</w:t>
      </w:r>
      <w:r w:rsidR="002E3D04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ate</w:t>
      </w: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collection dated 1963</w:t>
      </w:r>
      <w:r w:rsidR="00863463">
        <w:rPr>
          <w:rFonts w:ascii="Times New Roman" w:hAnsi="Times New Roman" w:cs="Times New Roman"/>
          <w:bCs/>
          <w:sz w:val="24"/>
          <w:szCs w:val="24"/>
          <w:lang w:val="en-US" w:bidi="en-US"/>
        </w:rPr>
        <w:t>–</w:t>
      </w: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2008 and identified 60% of </w:t>
      </w:r>
      <w:r w:rsidR="00AC5E9B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priming layers </w:t>
      </w: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as acrylic emulsion, 27% </w:t>
      </w:r>
      <w:r w:rsidR="00863463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as </w:t>
      </w: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oil</w:t>
      </w:r>
      <w:r w:rsidR="00863463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</w:t>
      </w: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based, </w:t>
      </w:r>
      <w:r w:rsidR="00863463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and </w:t>
      </w: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10% </w:t>
      </w:r>
      <w:r w:rsidR="00863463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as </w:t>
      </w: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alkyd</w:t>
      </w:r>
      <w:r w:rsidR="00863463">
        <w:rPr>
          <w:rFonts w:ascii="Times New Roman" w:hAnsi="Times New Roman" w:cs="Times New Roman"/>
          <w:bCs/>
          <w:sz w:val="24"/>
          <w:szCs w:val="24"/>
          <w:lang w:val="en-US" w:bidi="en-US"/>
        </w:rPr>
        <w:t>,</w:t>
      </w: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</w:t>
      </w:r>
      <w:r w:rsidR="00863463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with </w:t>
      </w: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3% </w:t>
      </w:r>
      <w:r w:rsidR="00863463">
        <w:rPr>
          <w:rFonts w:ascii="Times New Roman" w:hAnsi="Times New Roman" w:cs="Times New Roman"/>
          <w:bCs/>
          <w:sz w:val="24"/>
          <w:szCs w:val="24"/>
          <w:lang w:val="en-US" w:bidi="en-US"/>
        </w:rPr>
        <w:t>“</w:t>
      </w: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other</w:t>
      </w:r>
      <w:r w:rsidR="00863463">
        <w:rPr>
          <w:rFonts w:ascii="Times New Roman" w:hAnsi="Times New Roman" w:cs="Times New Roman"/>
          <w:bCs/>
          <w:sz w:val="24"/>
          <w:szCs w:val="24"/>
          <w:lang w:val="en-US" w:bidi="en-US"/>
        </w:rPr>
        <w:t>”</w:t>
      </w:r>
      <w:r w:rsidR="000A772A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(</w:t>
      </w:r>
      <w:r w:rsidR="00BC222C">
        <w:rPr>
          <w:rFonts w:ascii="Times New Roman" w:hAnsi="Times New Roman" w:cs="Times New Roman"/>
          <w:bCs/>
          <w:sz w:val="24"/>
          <w:szCs w:val="24"/>
          <w:lang w:val="en-US" w:bidi="en-US"/>
        </w:rPr>
        <w:t>{{</w:t>
      </w:r>
      <w:r w:rsidR="000A772A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Ormsby et al. 2008</w:t>
      </w:r>
      <w:r w:rsidR="00BC222C">
        <w:rPr>
          <w:rFonts w:ascii="Times New Roman" w:hAnsi="Times New Roman" w:cs="Times New Roman"/>
          <w:bCs/>
          <w:sz w:val="24"/>
          <w:szCs w:val="24"/>
          <w:lang w:val="en-US" w:bidi="en-US"/>
        </w:rPr>
        <w:t>}}</w:t>
      </w:r>
      <w:r w:rsidR="000A772A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)</w:t>
      </w: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. </w:t>
      </w:r>
      <w:r w:rsidR="00AC5E9B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The prevalence of synthetic </w:t>
      </w:r>
      <w:r w:rsidR="00BC222C">
        <w:rPr>
          <w:rFonts w:ascii="Times New Roman" w:hAnsi="Times New Roman" w:cs="Times New Roman"/>
          <w:bCs/>
          <w:sz w:val="24"/>
          <w:szCs w:val="24"/>
          <w:lang w:val="en-US" w:bidi="en-US"/>
        </w:rPr>
        <w:t>fiber</w:t>
      </w:r>
      <w:r w:rsidR="00AC5E9B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use in contemporary canvas supports is also a question to be investigated. </w:t>
      </w:r>
    </w:p>
    <w:p w14:paraId="4690BC03" w14:textId="06CC6AD3" w:rsidR="00466E8E" w:rsidRPr="000E469C" w:rsidRDefault="00BD7566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ab/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To inform canvas </w:t>
      </w:r>
      <w:r w:rsidR="00817EC3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sample </w:t>
      </w:r>
      <w:r w:rsidR="00AC5E9B">
        <w:rPr>
          <w:rFonts w:ascii="Times New Roman" w:hAnsi="Times New Roman" w:cs="Times New Roman"/>
          <w:bCs/>
          <w:sz w:val="24"/>
          <w:szCs w:val="24"/>
          <w:lang w:val="en-US" w:bidi="en-US"/>
        </w:rPr>
        <w:t>selection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for this current study, </w:t>
      </w:r>
      <w:r w:rsidR="001740BC">
        <w:rPr>
          <w:rFonts w:ascii="Times New Roman" w:hAnsi="Times New Roman" w:cs="Times New Roman"/>
          <w:bCs/>
          <w:sz w:val="24"/>
          <w:szCs w:val="24"/>
          <w:lang w:val="en-US" w:bidi="en-US"/>
        </w:rPr>
        <w:t>thirty-seven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Australian and Singaporean painters were surveyed</w:t>
      </w:r>
      <w:r w:rsidR="0073688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about their canvas choices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revealing that most painters </w:t>
      </w:r>
      <w:r w:rsidR="008634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routinely 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/>
        </w:rPr>
        <w:t>purchased commercially</w:t>
      </w:r>
      <w:r w:rsidR="008634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/>
        </w:rPr>
        <w:t>primed canvases</w:t>
      </w:r>
      <w:r w:rsidR="00863463">
        <w:rPr>
          <w:rFonts w:ascii="Times New Roman" w:hAnsi="Times New Roman" w:cs="Times New Roman"/>
          <w:bCs/>
          <w:sz w:val="24"/>
          <w:szCs w:val="24"/>
          <w:lang w:val="en-US"/>
        </w:rPr>
        <w:t>—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selecting their canvas by trial and error, 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availability, working qualities</w:t>
      </w:r>
      <w:r w:rsidR="00863463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and price point </w:t>
      </w:r>
      <w:r w:rsidR="003B1A4C" w:rsidRPr="000E469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r w:rsidR="00BC222C">
        <w:rPr>
          <w:rFonts w:ascii="Times New Roman" w:hAnsi="Times New Roman" w:cs="Times New Roman"/>
          <w:bCs/>
          <w:sz w:val="24"/>
          <w:szCs w:val="24"/>
          <w:lang w:val="en-US"/>
        </w:rPr>
        <w:t>{{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/>
        </w:rPr>
        <w:t>Osmond et al</w:t>
      </w:r>
      <w:r w:rsidR="000A772A" w:rsidRPr="000E469C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2018</w:t>
      </w:r>
      <w:r w:rsidR="00BC222C">
        <w:rPr>
          <w:rFonts w:ascii="Times New Roman" w:hAnsi="Times New Roman" w:cs="Times New Roman"/>
          <w:bCs/>
          <w:sz w:val="24"/>
          <w:szCs w:val="24"/>
          <w:lang w:val="en-US"/>
        </w:rPr>
        <w:t>}}</w:t>
      </w:r>
      <w:r w:rsidR="009F14FE" w:rsidRPr="000E469C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/>
        </w:rPr>
        <w:t>. Commercially</w:t>
      </w:r>
      <w:r w:rsidR="000E469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/>
        </w:rPr>
        <w:t>primed canvases are usually produced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as type U</w:t>
      </w:r>
      <w:r w:rsidR="00863463">
        <w:rPr>
          <w:rFonts w:ascii="Times New Roman" w:hAnsi="Times New Roman" w:cs="Times New Roman"/>
          <w:bCs/>
          <w:sz w:val="24"/>
          <w:szCs w:val="24"/>
          <w:lang w:val="en-US" w:bidi="en-US"/>
        </w:rPr>
        <w:t>: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universal (synthetic emulsion)</w:t>
      </w:r>
      <w:r w:rsidR="00863463">
        <w:rPr>
          <w:rFonts w:ascii="Times New Roman" w:hAnsi="Times New Roman" w:cs="Times New Roman"/>
          <w:bCs/>
          <w:sz w:val="24"/>
          <w:szCs w:val="24"/>
          <w:lang w:val="en-US" w:bidi="en-US"/>
        </w:rPr>
        <w:t>,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suitable for both water</w:t>
      </w:r>
      <w:r w:rsidR="00863463">
        <w:rPr>
          <w:rFonts w:ascii="Times New Roman" w:hAnsi="Times New Roman" w:cs="Times New Roman"/>
          <w:bCs/>
          <w:sz w:val="24"/>
          <w:szCs w:val="24"/>
          <w:lang w:val="en-US" w:bidi="en-US"/>
        </w:rPr>
        <w:t>-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and oil-based paint</w:t>
      </w:r>
      <w:r w:rsidR="00863463">
        <w:rPr>
          <w:rFonts w:ascii="Times New Roman" w:hAnsi="Times New Roman" w:cs="Times New Roman"/>
          <w:bCs/>
          <w:sz w:val="24"/>
          <w:szCs w:val="24"/>
          <w:lang w:val="en-US" w:bidi="en-US"/>
        </w:rPr>
        <w:t>;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or type O</w:t>
      </w:r>
      <w:r w:rsidR="00863463">
        <w:rPr>
          <w:rFonts w:ascii="Times New Roman" w:hAnsi="Times New Roman" w:cs="Times New Roman"/>
          <w:bCs/>
          <w:sz w:val="24"/>
          <w:szCs w:val="24"/>
          <w:lang w:val="en-US" w:bidi="en-US"/>
        </w:rPr>
        <w:t>: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suitable for oil</w:t>
      </w:r>
      <w:r w:rsidR="00863463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paint. </w:t>
      </w:r>
      <w:r w:rsidR="00863463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However, </w:t>
      </w:r>
      <w:r w:rsidR="00863463">
        <w:rPr>
          <w:rFonts w:ascii="Times New Roman" w:hAnsi="Times New Roman" w:cs="Times New Roman"/>
          <w:bCs/>
          <w:sz w:val="24"/>
          <w:szCs w:val="24"/>
          <w:lang w:val="en-US"/>
        </w:rPr>
        <w:t>m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any artists were unaware of the priming type and </w:t>
      </w:r>
      <w:r w:rsidR="008634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did 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/>
        </w:rPr>
        <w:t>not vary their canvas selection according to paint medium.</w:t>
      </w:r>
    </w:p>
    <w:p w14:paraId="36D8E288" w14:textId="77777777" w:rsidR="00BD7566" w:rsidRPr="000E469C" w:rsidRDefault="00BD7566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9899662" w14:textId="5789767F" w:rsidR="00466E8E" w:rsidRPr="000E469C" w:rsidRDefault="001740BC" w:rsidP="00BD7566">
      <w:pPr>
        <w:pStyle w:val="Heading1"/>
        <w:rPr>
          <w:lang w:val="en-US"/>
        </w:rPr>
      </w:pPr>
      <w:r w:rsidRPr="001740BC">
        <w:rPr>
          <w:b w:val="0"/>
          <w:bCs w:val="0"/>
          <w:highlight w:val="yellow"/>
          <w:lang w:val="en-US"/>
        </w:rPr>
        <w:t>&lt;A-head&gt;</w:t>
      </w:r>
      <w:r>
        <w:rPr>
          <w:lang w:val="en-US"/>
        </w:rPr>
        <w:t xml:space="preserve"> </w:t>
      </w:r>
      <w:r w:rsidR="00466E8E" w:rsidRPr="000E469C">
        <w:rPr>
          <w:lang w:val="en-US"/>
        </w:rPr>
        <w:t>Methodology</w:t>
      </w:r>
      <w:r w:rsidR="00C72420">
        <w:rPr>
          <w:lang w:val="en-US"/>
        </w:rPr>
        <w:t xml:space="preserve"> and Results</w:t>
      </w:r>
    </w:p>
    <w:p w14:paraId="6E5AF887" w14:textId="434865DC" w:rsidR="00466E8E" w:rsidRPr="000E469C" w:rsidRDefault="000E469C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Fifty-three</w:t>
      </w:r>
      <w:r w:rsidRPr="000E469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/>
        </w:rPr>
        <w:t>commercially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/>
        </w:rPr>
        <w:t>primed artist canvases were collected from art stores in Australia and Singapore, representing</w:t>
      </w:r>
      <w:r w:rsidR="00466E8E" w:rsidRPr="000E4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40BC">
        <w:rPr>
          <w:rFonts w:ascii="Times New Roman" w:hAnsi="Times New Roman" w:cs="Times New Roman"/>
          <w:sz w:val="24"/>
          <w:szCs w:val="24"/>
          <w:lang w:val="en-US"/>
        </w:rPr>
        <w:t>nineteen</w:t>
      </w:r>
      <w:r w:rsidR="00466E8E" w:rsidRPr="000E469C">
        <w:rPr>
          <w:rFonts w:ascii="Times New Roman" w:hAnsi="Times New Roman" w:cs="Times New Roman"/>
          <w:sz w:val="24"/>
          <w:szCs w:val="24"/>
          <w:lang w:val="en-US"/>
        </w:rPr>
        <w:t xml:space="preserve"> brands manufactured in Europe, China, Australia, </w:t>
      </w:r>
      <w:r w:rsidR="00E54F1D">
        <w:rPr>
          <w:rFonts w:ascii="Times New Roman" w:hAnsi="Times New Roman" w:cs="Times New Roman"/>
          <w:sz w:val="24"/>
          <w:szCs w:val="24"/>
          <w:lang w:val="en-US"/>
        </w:rPr>
        <w:t>the United States</w:t>
      </w:r>
      <w:r w:rsidR="00466E8E" w:rsidRPr="000E469C">
        <w:rPr>
          <w:rFonts w:ascii="Times New Roman" w:hAnsi="Times New Roman" w:cs="Times New Roman"/>
          <w:sz w:val="24"/>
          <w:szCs w:val="24"/>
          <w:lang w:val="en-US"/>
        </w:rPr>
        <w:t>, India</w:t>
      </w:r>
      <w:r w:rsidR="00E54F1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66E8E" w:rsidRPr="000E469C">
        <w:rPr>
          <w:rFonts w:ascii="Times New Roman" w:hAnsi="Times New Roman" w:cs="Times New Roman"/>
          <w:sz w:val="24"/>
          <w:szCs w:val="24"/>
          <w:lang w:val="en-US"/>
        </w:rPr>
        <w:t xml:space="preserve"> and Mexico</w:t>
      </w:r>
      <w:r w:rsidR="00264D4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466E8E" w:rsidRPr="000E4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6E8E" w:rsidRPr="000E469C">
        <w:rPr>
          <w:rFonts w:ascii="Times New Roman" w:hAnsi="Times New Roman" w:cs="Times New Roman"/>
          <w:sz w:val="24"/>
          <w:szCs w:val="24"/>
          <w:lang w:val="en-US"/>
        </w:rPr>
        <w:t>Artfix</w:t>
      </w:r>
      <w:proofErr w:type="spellEnd"/>
      <w:r w:rsidR="00466E8E" w:rsidRPr="000E46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66E8E" w:rsidRPr="000E469C">
        <w:rPr>
          <w:rFonts w:ascii="Times New Roman" w:hAnsi="Times New Roman" w:cs="Times New Roman"/>
          <w:sz w:val="24"/>
          <w:szCs w:val="24"/>
          <w:lang w:val="en-US"/>
        </w:rPr>
        <w:t>Claessens</w:t>
      </w:r>
      <w:proofErr w:type="spellEnd"/>
      <w:r w:rsidR="00466E8E" w:rsidRPr="000E469C">
        <w:rPr>
          <w:rFonts w:ascii="Times New Roman" w:hAnsi="Times New Roman" w:cs="Times New Roman"/>
          <w:sz w:val="24"/>
          <w:szCs w:val="24"/>
          <w:lang w:val="en-US"/>
        </w:rPr>
        <w:t xml:space="preserve">, Belle Arti, </w:t>
      </w:r>
      <w:proofErr w:type="spellStart"/>
      <w:r w:rsidR="00466E8E" w:rsidRPr="000E469C">
        <w:rPr>
          <w:rFonts w:ascii="Times New Roman" w:hAnsi="Times New Roman" w:cs="Times New Roman"/>
          <w:sz w:val="24"/>
          <w:szCs w:val="24"/>
          <w:lang w:val="en-US"/>
        </w:rPr>
        <w:t>Fredrix</w:t>
      </w:r>
      <w:proofErr w:type="spellEnd"/>
      <w:r w:rsidR="00466E8E" w:rsidRPr="000E469C">
        <w:rPr>
          <w:rFonts w:ascii="Times New Roman" w:hAnsi="Times New Roman" w:cs="Times New Roman"/>
          <w:sz w:val="24"/>
          <w:szCs w:val="24"/>
          <w:lang w:val="en-US"/>
        </w:rPr>
        <w:t xml:space="preserve">, Winsor and Newton, Caravaggio, Sydney Canvas Company, Art Spectrum, </w:t>
      </w:r>
      <w:proofErr w:type="spellStart"/>
      <w:r w:rsidR="00466E8E" w:rsidRPr="000E469C">
        <w:rPr>
          <w:rFonts w:ascii="Times New Roman" w:hAnsi="Times New Roman" w:cs="Times New Roman"/>
          <w:sz w:val="24"/>
          <w:szCs w:val="24"/>
          <w:lang w:val="en-US"/>
        </w:rPr>
        <w:t>Clairefontaine</w:t>
      </w:r>
      <w:proofErr w:type="spellEnd"/>
      <w:r w:rsidR="00466E8E" w:rsidRPr="000E469C">
        <w:rPr>
          <w:rFonts w:ascii="Times New Roman" w:hAnsi="Times New Roman" w:cs="Times New Roman"/>
          <w:sz w:val="24"/>
          <w:szCs w:val="24"/>
          <w:lang w:val="en-US"/>
        </w:rPr>
        <w:t xml:space="preserve">, Mont </w:t>
      </w:r>
      <w:proofErr w:type="spellStart"/>
      <w:r w:rsidR="00466E8E" w:rsidRPr="000E469C">
        <w:rPr>
          <w:rFonts w:ascii="Times New Roman" w:hAnsi="Times New Roman" w:cs="Times New Roman"/>
          <w:sz w:val="24"/>
          <w:szCs w:val="24"/>
          <w:lang w:val="en-US"/>
        </w:rPr>
        <w:t>Marte</w:t>
      </w:r>
      <w:proofErr w:type="spellEnd"/>
      <w:r w:rsidR="00466E8E" w:rsidRPr="000E469C">
        <w:rPr>
          <w:rFonts w:ascii="Times New Roman" w:hAnsi="Times New Roman" w:cs="Times New Roman"/>
          <w:sz w:val="24"/>
          <w:szCs w:val="24"/>
          <w:lang w:val="en-US"/>
        </w:rPr>
        <w:t xml:space="preserve">, National Art Materials, </w:t>
      </w:r>
      <w:proofErr w:type="spellStart"/>
      <w:r w:rsidR="00466E8E" w:rsidRPr="000E469C">
        <w:rPr>
          <w:rFonts w:ascii="Times New Roman" w:hAnsi="Times New Roman" w:cs="Times New Roman"/>
          <w:sz w:val="24"/>
          <w:szCs w:val="24"/>
          <w:lang w:val="en-US"/>
        </w:rPr>
        <w:t>Jasart</w:t>
      </w:r>
      <w:proofErr w:type="spellEnd"/>
      <w:r w:rsidR="00466E8E" w:rsidRPr="000E469C">
        <w:rPr>
          <w:rFonts w:ascii="Times New Roman" w:hAnsi="Times New Roman" w:cs="Times New Roman"/>
          <w:sz w:val="24"/>
          <w:szCs w:val="24"/>
          <w:lang w:val="en-US"/>
        </w:rPr>
        <w:t xml:space="preserve">, Overjoyed, </w:t>
      </w:r>
      <w:proofErr w:type="spellStart"/>
      <w:r w:rsidR="00466E8E" w:rsidRPr="000E469C">
        <w:rPr>
          <w:rFonts w:ascii="Times New Roman" w:hAnsi="Times New Roman" w:cs="Times New Roman"/>
          <w:sz w:val="24"/>
          <w:szCs w:val="24"/>
          <w:lang w:val="en-US"/>
        </w:rPr>
        <w:t>Pebeo</w:t>
      </w:r>
      <w:proofErr w:type="spellEnd"/>
      <w:r w:rsidR="00466E8E" w:rsidRPr="000E469C">
        <w:rPr>
          <w:rFonts w:ascii="Times New Roman" w:hAnsi="Times New Roman" w:cs="Times New Roman"/>
          <w:sz w:val="24"/>
          <w:szCs w:val="24"/>
          <w:lang w:val="en-US"/>
        </w:rPr>
        <w:t xml:space="preserve">, Semco, </w:t>
      </w:r>
      <w:proofErr w:type="spellStart"/>
      <w:r w:rsidR="00466E8E" w:rsidRPr="000E469C">
        <w:rPr>
          <w:rFonts w:ascii="Times New Roman" w:hAnsi="Times New Roman" w:cs="Times New Roman"/>
          <w:sz w:val="24"/>
          <w:szCs w:val="24"/>
          <w:lang w:val="en-US"/>
        </w:rPr>
        <w:t>Francheville</w:t>
      </w:r>
      <w:proofErr w:type="spellEnd"/>
      <w:r w:rsidR="00466E8E" w:rsidRPr="000E469C">
        <w:rPr>
          <w:rFonts w:ascii="Times New Roman" w:hAnsi="Times New Roman" w:cs="Times New Roman"/>
          <w:sz w:val="24"/>
          <w:szCs w:val="24"/>
          <w:lang w:val="en-US"/>
        </w:rPr>
        <w:t xml:space="preserve">, Phoenix, </w:t>
      </w:r>
      <w:proofErr w:type="spellStart"/>
      <w:r w:rsidR="00466E8E" w:rsidRPr="000E469C">
        <w:rPr>
          <w:rFonts w:ascii="Times New Roman" w:hAnsi="Times New Roman" w:cs="Times New Roman"/>
          <w:sz w:val="24"/>
          <w:szCs w:val="24"/>
          <w:lang w:val="en-US"/>
        </w:rPr>
        <w:t>Talens</w:t>
      </w:r>
      <w:proofErr w:type="spellEnd"/>
      <w:r w:rsidR="00264D4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66E8E" w:rsidRPr="000E469C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466E8E" w:rsidRPr="000E469C">
        <w:rPr>
          <w:rFonts w:ascii="Times New Roman" w:hAnsi="Times New Roman" w:cs="Times New Roman"/>
          <w:sz w:val="24"/>
          <w:szCs w:val="24"/>
          <w:lang w:val="en-US"/>
        </w:rPr>
        <w:t>Colorpro</w:t>
      </w:r>
      <w:proofErr w:type="spellEnd"/>
      <w:r w:rsidR="00466E8E" w:rsidRPr="000E469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Samples cover various price points</w:t>
      </w:r>
      <w:r w:rsidR="00264D4E">
        <w:rPr>
          <w:rFonts w:ascii="Times New Roman" w:hAnsi="Times New Roman" w:cs="Times New Roman"/>
          <w:bCs/>
          <w:sz w:val="24"/>
          <w:szCs w:val="24"/>
          <w:lang w:val="en-US" w:bidi="en-US"/>
        </w:rPr>
        <w:t>,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</w:t>
      </w:r>
      <w:r w:rsidR="00264D4E">
        <w:rPr>
          <w:rFonts w:ascii="Times New Roman" w:hAnsi="Times New Roman" w:cs="Times New Roman"/>
          <w:bCs/>
          <w:sz w:val="24"/>
          <w:szCs w:val="24"/>
          <w:lang w:val="en-US" w:bidi="en-US"/>
        </w:rPr>
        <w:t>and</w:t>
      </w:r>
      <w:r w:rsidR="00264D4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</w:t>
      </w:r>
      <w:r w:rsidR="001740BC">
        <w:rPr>
          <w:rFonts w:ascii="Times New Roman" w:hAnsi="Times New Roman" w:cs="Times New Roman"/>
          <w:sz w:val="24"/>
          <w:szCs w:val="24"/>
          <w:lang w:val="en-US"/>
        </w:rPr>
        <w:t>forty-nine</w:t>
      </w:r>
      <w:r w:rsidR="00466E8E" w:rsidRPr="000E469C">
        <w:rPr>
          <w:rFonts w:ascii="Times New Roman" w:hAnsi="Times New Roman" w:cs="Times New Roman"/>
          <w:sz w:val="24"/>
          <w:szCs w:val="24"/>
          <w:lang w:val="en-US"/>
        </w:rPr>
        <w:t xml:space="preserve"> samples </w:t>
      </w:r>
      <w:r w:rsidR="00264D4E">
        <w:rPr>
          <w:rFonts w:ascii="Times New Roman" w:hAnsi="Times New Roman" w:cs="Times New Roman"/>
          <w:sz w:val="24"/>
          <w:szCs w:val="24"/>
          <w:lang w:val="en-US"/>
        </w:rPr>
        <w:t xml:space="preserve">were </w:t>
      </w:r>
      <w:r w:rsidR="00466E8E" w:rsidRPr="000E469C">
        <w:rPr>
          <w:rFonts w:ascii="Times New Roman" w:hAnsi="Times New Roman" w:cs="Times New Roman"/>
          <w:sz w:val="24"/>
          <w:szCs w:val="24"/>
          <w:lang w:val="en-US"/>
        </w:rPr>
        <w:t xml:space="preserve">identified </w:t>
      </w:r>
      <w:r w:rsidR="00264D4E">
        <w:rPr>
          <w:rFonts w:ascii="Times New Roman" w:hAnsi="Times New Roman" w:cs="Times New Roman"/>
          <w:sz w:val="24"/>
          <w:szCs w:val="24"/>
          <w:lang w:val="en-US"/>
        </w:rPr>
        <w:t xml:space="preserve">as having </w:t>
      </w:r>
      <w:r w:rsidR="00466E8E" w:rsidRPr="000E469C">
        <w:rPr>
          <w:rFonts w:ascii="Times New Roman" w:hAnsi="Times New Roman" w:cs="Times New Roman"/>
          <w:sz w:val="24"/>
          <w:szCs w:val="24"/>
          <w:lang w:val="en-US"/>
        </w:rPr>
        <w:t xml:space="preserve">synthetic polymer priming and </w:t>
      </w:r>
      <w:r w:rsidR="00264D4E">
        <w:rPr>
          <w:rFonts w:ascii="Times New Roman" w:hAnsi="Times New Roman" w:cs="Times New Roman"/>
          <w:sz w:val="24"/>
          <w:szCs w:val="24"/>
          <w:lang w:val="en-US"/>
        </w:rPr>
        <w:t xml:space="preserve">4 </w:t>
      </w:r>
      <w:r w:rsidR="00466E8E" w:rsidRPr="000E469C">
        <w:rPr>
          <w:rFonts w:ascii="Times New Roman" w:hAnsi="Times New Roman" w:cs="Times New Roman"/>
          <w:sz w:val="24"/>
          <w:szCs w:val="24"/>
          <w:lang w:val="en-US"/>
        </w:rPr>
        <w:t>oil</w:t>
      </w:r>
      <w:r w:rsidR="00264D4E">
        <w:rPr>
          <w:rFonts w:ascii="Times New Roman" w:hAnsi="Times New Roman" w:cs="Times New Roman"/>
          <w:sz w:val="24"/>
          <w:szCs w:val="24"/>
          <w:lang w:val="en-US"/>
        </w:rPr>
        <w:t>-based priming</w:t>
      </w:r>
      <w:r w:rsidR="00466E8E" w:rsidRPr="000E469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2FD4576" w14:textId="18ECC1E2" w:rsidR="00466E8E" w:rsidRPr="000E469C" w:rsidRDefault="00BD756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469C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Canvas </w:t>
      </w:r>
      <w:r w:rsidR="000E469C">
        <w:rPr>
          <w:rFonts w:ascii="Times New Roman" w:hAnsi="Times New Roman" w:cs="Times New Roman"/>
          <w:bCs/>
          <w:sz w:val="24"/>
          <w:szCs w:val="24"/>
          <w:lang w:val="en-US"/>
        </w:rPr>
        <w:t>fiber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/>
        </w:rPr>
        <w:t>, priming binder</w:t>
      </w:r>
      <w:r w:rsidR="00264D4E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and pigments/fillers were </w:t>
      </w:r>
      <w:r w:rsidR="00264D4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primarily 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/>
        </w:rPr>
        <w:t>analy</w:t>
      </w:r>
      <w:r w:rsidR="00264D4E">
        <w:rPr>
          <w:rFonts w:ascii="Times New Roman" w:hAnsi="Times New Roman" w:cs="Times New Roman"/>
          <w:bCs/>
          <w:sz w:val="24"/>
          <w:szCs w:val="24"/>
          <w:lang w:val="en-US"/>
        </w:rPr>
        <w:t>z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ed using </w:t>
      </w:r>
      <w:r w:rsidR="00466E8E" w:rsidRPr="000E469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optical microscopy, </w:t>
      </w:r>
      <w:bookmarkStart w:id="0" w:name="_Hlk102737501"/>
      <w:r w:rsidR="00466E8E" w:rsidRPr="000E469C">
        <w:rPr>
          <w:rFonts w:ascii="Times New Roman" w:eastAsia="Times New Roman" w:hAnsi="Times New Roman" w:cs="Times New Roman"/>
          <w:sz w:val="24"/>
          <w:szCs w:val="24"/>
          <w:lang w:val="en-US"/>
        </w:rPr>
        <w:t>attenuated total reflectance</w:t>
      </w:r>
      <w:r w:rsidR="00264D4E">
        <w:rPr>
          <w:rFonts w:ascii="Times New Roman" w:eastAsia="Times New Roman" w:hAnsi="Times New Roman" w:cs="Times New Roman"/>
          <w:sz w:val="24"/>
          <w:szCs w:val="24"/>
          <w:lang w:val="en-US"/>
        </w:rPr>
        <w:softHyphen/>
      </w:r>
      <w:r w:rsidR="00A65412">
        <w:rPr>
          <w:rFonts w:ascii="Times New Roman" w:eastAsia="Times New Roman" w:hAnsi="Times New Roman" w:cs="Times New Roman"/>
          <w:sz w:val="24"/>
          <w:szCs w:val="24"/>
          <w:lang w:val="en-US"/>
        </w:rPr>
        <w:t>–</w:t>
      </w:r>
      <w:r w:rsidR="00466E8E" w:rsidRPr="000E469C">
        <w:rPr>
          <w:rFonts w:ascii="Times New Roman" w:eastAsia="Times New Roman" w:hAnsi="Times New Roman" w:cs="Times New Roman"/>
          <w:sz w:val="24"/>
          <w:szCs w:val="24"/>
          <w:lang w:val="en-US"/>
        </w:rPr>
        <w:t>Fourier transform infrared spectroscopy (ATR-FTIR)</w:t>
      </w:r>
      <w:bookmarkEnd w:id="0"/>
      <w:r w:rsidR="00466E8E" w:rsidRPr="000E469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pyrolysis gas chromatography/mass </w:t>
      </w:r>
      <w:r w:rsidR="00E617E9" w:rsidRPr="00E617E9">
        <w:rPr>
          <w:rFonts w:ascii="Times New Roman" w:eastAsia="Times New Roman" w:hAnsi="Times New Roman" w:cs="Times New Roman"/>
          <w:sz w:val="24"/>
          <w:szCs w:val="24"/>
          <w:lang w:val="en-US"/>
        </w:rPr>
        <w:t>spectrometry</w:t>
      </w:r>
      <w:r w:rsidR="00E617E9" w:rsidRPr="00E617E9" w:rsidDel="00E617E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66E8E" w:rsidRPr="000E469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="00466E8E" w:rsidRPr="000E469C">
        <w:rPr>
          <w:rFonts w:ascii="Times New Roman" w:eastAsia="Times New Roman" w:hAnsi="Times New Roman" w:cs="Times New Roman"/>
          <w:sz w:val="24"/>
          <w:szCs w:val="24"/>
          <w:lang w:val="en-US"/>
        </w:rPr>
        <w:t>Py</w:t>
      </w:r>
      <w:proofErr w:type="spellEnd"/>
      <w:r w:rsidR="00466E8E" w:rsidRPr="000E469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-GCMS), </w:t>
      </w:r>
      <w:bookmarkStart w:id="1" w:name="_Hlk102737575"/>
      <w:r w:rsidR="00466E8E" w:rsidRPr="000E469C">
        <w:rPr>
          <w:rFonts w:ascii="Times New Roman" w:eastAsia="Times New Roman" w:hAnsi="Times New Roman" w:cs="Times New Roman"/>
          <w:sz w:val="24"/>
          <w:szCs w:val="24"/>
          <w:lang w:val="en-US"/>
        </w:rPr>
        <w:t>X-ray fluorescence spectroscopy (XRF)</w:t>
      </w:r>
      <w:bookmarkEnd w:id="1"/>
      <w:r w:rsidR="00264D4E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466E8E" w:rsidRPr="000E469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some with Raman </w:t>
      </w:r>
      <w:bookmarkStart w:id="2" w:name="_Hlk102737650"/>
      <w:r w:rsidR="00466E8E" w:rsidRPr="000E469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spectroscopy </w:t>
      </w:r>
      <w:bookmarkEnd w:id="2"/>
      <w:r w:rsidR="00466E8E" w:rsidRPr="000E469C">
        <w:rPr>
          <w:rFonts w:ascii="Times New Roman" w:eastAsia="Times New Roman" w:hAnsi="Times New Roman" w:cs="Times New Roman"/>
          <w:sz w:val="24"/>
          <w:szCs w:val="24"/>
          <w:lang w:val="en-US"/>
        </w:rPr>
        <w:t>and scanning electron microscopy</w:t>
      </w:r>
      <w:r w:rsidR="00E617E9">
        <w:rPr>
          <w:rFonts w:ascii="Times New Roman" w:eastAsia="Times New Roman" w:hAnsi="Times New Roman" w:cs="Times New Roman"/>
          <w:sz w:val="24"/>
          <w:szCs w:val="24"/>
          <w:lang w:val="en-US"/>
        </w:rPr>
        <w:t>–</w:t>
      </w:r>
      <w:r w:rsidR="00466E8E" w:rsidRPr="000E469C">
        <w:rPr>
          <w:rFonts w:ascii="Times New Roman" w:eastAsia="Times New Roman" w:hAnsi="Times New Roman" w:cs="Times New Roman"/>
          <w:sz w:val="24"/>
          <w:szCs w:val="24"/>
          <w:lang w:val="en-US"/>
        </w:rPr>
        <w:t>energy-dispersive X-ray spectroscopy (SEM-EDX). In addition, uniaxial tensile strength testing and heat testing were undertaken.</w:t>
      </w:r>
    </w:p>
    <w:p w14:paraId="748C8BE2" w14:textId="626D05DD" w:rsidR="00817EC3" w:rsidRPr="00686FEC" w:rsidRDefault="002C4EDA" w:rsidP="00C72420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6FEC">
        <w:rPr>
          <w:rFonts w:ascii="Times New Roman" w:hAnsi="Times New Roman" w:cs="Times New Roman"/>
          <w:sz w:val="24"/>
          <w:szCs w:val="24"/>
          <w:lang w:val="en-US"/>
        </w:rPr>
        <w:t xml:space="preserve">A summary of results is presented below. </w:t>
      </w:r>
      <w:r w:rsidR="00785F5E" w:rsidRPr="00686FEC">
        <w:rPr>
          <w:rFonts w:ascii="Times New Roman" w:hAnsi="Times New Roman" w:cs="Times New Roman"/>
          <w:sz w:val="24"/>
          <w:szCs w:val="24"/>
          <w:lang w:val="en-US"/>
        </w:rPr>
        <w:t xml:space="preserve">More detailed analysis for each sample is </w:t>
      </w:r>
      <w:r w:rsidR="00E25F2F" w:rsidRPr="00686FEC">
        <w:rPr>
          <w:rFonts w:ascii="Times New Roman" w:hAnsi="Times New Roman" w:cs="Times New Roman"/>
          <w:sz w:val="24"/>
          <w:szCs w:val="24"/>
          <w:lang w:val="en-US"/>
        </w:rPr>
        <w:t xml:space="preserve">found as </w:t>
      </w:r>
      <w:hyperlink r:id="rId8" w:history="1">
        <w:r w:rsidR="00E25F2F" w:rsidRPr="00DA0F5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supplementary data</w:t>
        </w:r>
      </w:hyperlink>
      <w:r w:rsidR="00E25F2F" w:rsidRPr="00686F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222C" w:rsidRPr="00686FEC">
        <w:rPr>
          <w:rFonts w:ascii="Times New Roman" w:hAnsi="Times New Roman" w:cs="Times New Roman"/>
          <w:sz w:val="24"/>
          <w:szCs w:val="24"/>
          <w:lang w:val="en-US"/>
        </w:rPr>
        <w:t>{{</w:t>
      </w:r>
      <w:r w:rsidR="00E25F2F" w:rsidRPr="00686FEC">
        <w:rPr>
          <w:rFonts w:ascii="Times New Roman" w:hAnsi="Times New Roman" w:cs="Times New Roman"/>
          <w:sz w:val="24"/>
          <w:szCs w:val="24"/>
          <w:lang w:val="en-US"/>
        </w:rPr>
        <w:t>Carter et al 2020</w:t>
      </w:r>
      <w:r w:rsidR="00BC222C" w:rsidRPr="00686FEC">
        <w:rPr>
          <w:rFonts w:ascii="Times New Roman" w:hAnsi="Times New Roman" w:cs="Times New Roman"/>
          <w:sz w:val="24"/>
          <w:szCs w:val="24"/>
          <w:lang w:val="en-US"/>
        </w:rPr>
        <w:t>}}</w:t>
      </w:r>
      <w:r w:rsidR="00686FE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9983053" w14:textId="1668CDC2" w:rsidR="00466E8E" w:rsidRPr="000E469C" w:rsidRDefault="00466E8E" w:rsidP="00BD7566">
      <w:pPr>
        <w:rPr>
          <w:lang w:val="en-US" w:bidi="en-US"/>
        </w:rPr>
      </w:pPr>
    </w:p>
    <w:p w14:paraId="5E82D869" w14:textId="3F576DD5" w:rsidR="00466E8E" w:rsidRPr="000E469C" w:rsidRDefault="001740BC" w:rsidP="00BD7566">
      <w:pPr>
        <w:pStyle w:val="Heading2"/>
        <w:rPr>
          <w:lang w:val="en-US"/>
        </w:rPr>
      </w:pPr>
      <w:r w:rsidRPr="001740BC">
        <w:rPr>
          <w:b w:val="0"/>
          <w:bCs/>
          <w:highlight w:val="yellow"/>
          <w:lang w:val="en-US"/>
        </w:rPr>
        <w:t>&lt;B-head&gt;</w:t>
      </w:r>
      <w:r>
        <w:rPr>
          <w:lang w:val="en-US"/>
        </w:rPr>
        <w:t xml:space="preserve"> </w:t>
      </w:r>
      <w:r w:rsidR="00466E8E" w:rsidRPr="001740BC">
        <w:rPr>
          <w:i/>
          <w:iCs/>
          <w:lang w:val="en-US"/>
        </w:rPr>
        <w:t xml:space="preserve">Priming </w:t>
      </w:r>
      <w:r w:rsidRPr="001740BC">
        <w:rPr>
          <w:i/>
          <w:iCs/>
          <w:lang w:val="en-US"/>
        </w:rPr>
        <w:t>S</w:t>
      </w:r>
      <w:r w:rsidR="00466E8E" w:rsidRPr="001740BC">
        <w:rPr>
          <w:i/>
          <w:iCs/>
          <w:lang w:val="en-US"/>
        </w:rPr>
        <w:t>tratigraphy</w:t>
      </w:r>
    </w:p>
    <w:p w14:paraId="5CB52283" w14:textId="181D4EEF" w:rsidR="00466E8E" w:rsidRPr="000E469C" w:rsidRDefault="00466E8E">
      <w:pPr>
        <w:spacing w:after="0" w:line="480" w:lineRule="auto"/>
        <w:rPr>
          <w:rFonts w:ascii="Times New Roman" w:hAnsi="Times New Roman" w:cs="Times New Roman"/>
          <w:bCs/>
          <w:sz w:val="24"/>
          <w:szCs w:val="24"/>
          <w:lang w:val="en-US" w:bidi="en-US"/>
        </w:rPr>
      </w:pP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lastRenderedPageBreak/>
        <w:t>Cross</w:t>
      </w:r>
      <w:r w:rsidR="00C72420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</w:t>
      </w: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sections were prepared</w:t>
      </w:r>
      <w:r w:rsidR="00C72420">
        <w:rPr>
          <w:rFonts w:ascii="Times New Roman" w:hAnsi="Times New Roman" w:cs="Times New Roman"/>
          <w:bCs/>
          <w:sz w:val="24"/>
          <w:szCs w:val="24"/>
          <w:lang w:val="en-US" w:bidi="en-US"/>
        </w:rPr>
        <w:t>,</w:t>
      </w: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and four priming layer </w:t>
      </w:r>
      <w:proofErr w:type="spellStart"/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stratigraphies</w:t>
      </w:r>
      <w:proofErr w:type="spellEnd"/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were identified in visible light. </w:t>
      </w:r>
      <w:r w:rsidR="00C72420">
        <w:rPr>
          <w:rFonts w:ascii="Times New Roman" w:hAnsi="Times New Roman" w:cs="Times New Roman"/>
          <w:bCs/>
          <w:sz w:val="24"/>
          <w:szCs w:val="24"/>
          <w:lang w:val="en-US" w:bidi="en-US"/>
        </w:rPr>
        <w:t>Thirty-two percent</w:t>
      </w: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of samples contained </w:t>
      </w:r>
      <w:r w:rsidRPr="000E469C">
        <w:rPr>
          <w:rFonts w:ascii="Times New Roman" w:eastAsia="Calibri" w:hAnsi="Times New Roman" w:cs="Times New Roman"/>
          <w:sz w:val="24"/>
          <w:szCs w:val="24"/>
          <w:lang w:val="en-US"/>
        </w:rPr>
        <w:t>single priming layers</w:t>
      </w:r>
      <w:r w:rsidR="00C72420">
        <w:rPr>
          <w:rFonts w:ascii="Times New Roman" w:eastAsia="Calibri" w:hAnsi="Times New Roman" w:cs="Times New Roman"/>
          <w:sz w:val="24"/>
          <w:szCs w:val="24"/>
          <w:lang w:val="en-US"/>
        </w:rPr>
        <w:t>,</w:t>
      </w:r>
      <w:r w:rsidRPr="000E469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often with irregular thickness</w:t>
      </w:r>
      <w:r w:rsidRPr="000E469C">
        <w:rPr>
          <w:rFonts w:ascii="Times New Roman" w:hAnsi="Times New Roman" w:cs="Times New Roman"/>
          <w:sz w:val="24"/>
          <w:szCs w:val="24"/>
          <w:lang w:val="en-US"/>
        </w:rPr>
        <w:t xml:space="preserve">. Others appeared as double layers </w:t>
      </w:r>
      <w:r w:rsidRPr="000E469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 three </w:t>
      </w:r>
      <w:proofErr w:type="spellStart"/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stratigraphies</w:t>
      </w:r>
      <w:proofErr w:type="spellEnd"/>
      <w:r w:rsidRPr="000E469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equal layer thickness with </w:t>
      </w:r>
      <w:r w:rsidR="00A5189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the </w:t>
      </w:r>
      <w:r w:rsidRPr="000E469C">
        <w:rPr>
          <w:rFonts w:ascii="Times New Roman" w:eastAsia="Calibri" w:hAnsi="Times New Roman" w:cs="Times New Roman"/>
          <w:sz w:val="24"/>
          <w:szCs w:val="24"/>
          <w:lang w:val="en-US"/>
        </w:rPr>
        <w:t>b</w:t>
      </w:r>
      <w:r w:rsidRPr="000E469C" w:rsidDel="003E264D">
        <w:rPr>
          <w:rFonts w:ascii="Times New Roman" w:eastAsia="Calibri" w:hAnsi="Times New Roman" w:cs="Times New Roman"/>
          <w:sz w:val="24"/>
          <w:szCs w:val="24"/>
          <w:lang w:val="en-US"/>
        </w:rPr>
        <w:t>ottom layer</w:t>
      </w:r>
      <w:r w:rsidRPr="000E469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sometimes irregular in </w:t>
      </w:r>
      <w:r w:rsidRPr="000E469C">
        <w:rPr>
          <w:rFonts w:ascii="Times New Roman" w:hAnsi="Times New Roman" w:cs="Times New Roman"/>
          <w:sz w:val="24"/>
          <w:szCs w:val="24"/>
          <w:lang w:val="en-US"/>
        </w:rPr>
        <w:t>thickness</w:t>
      </w:r>
      <w:r w:rsidRPr="000E469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and </w:t>
      </w:r>
      <w:r w:rsidRPr="000E469C" w:rsidDel="003E264D">
        <w:rPr>
          <w:rFonts w:ascii="Times New Roman" w:eastAsia="Calibri" w:hAnsi="Times New Roman" w:cs="Times New Roman"/>
          <w:sz w:val="24"/>
          <w:szCs w:val="24"/>
          <w:lang w:val="en-US"/>
        </w:rPr>
        <w:t>usually opaque (30</w:t>
      </w:r>
      <w:r w:rsidRPr="000E469C">
        <w:rPr>
          <w:rFonts w:ascii="Times New Roman" w:eastAsia="Calibri" w:hAnsi="Times New Roman" w:cs="Times New Roman"/>
          <w:sz w:val="24"/>
          <w:szCs w:val="24"/>
          <w:lang w:val="en-US"/>
        </w:rPr>
        <w:t>%);</w:t>
      </w:r>
      <w:r w:rsidR="0029738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0E469C">
        <w:rPr>
          <w:rFonts w:ascii="Times New Roman" w:hAnsi="Times New Roman" w:cs="Times New Roman"/>
          <w:sz w:val="24"/>
          <w:szCs w:val="24"/>
          <w:lang w:val="en-US"/>
        </w:rPr>
        <w:t>thin layer over thick</w:t>
      </w:r>
      <w:r w:rsidR="00A5189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0E469C"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r w:rsidR="00A51893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0E469C">
        <w:rPr>
          <w:rFonts w:ascii="Times New Roman" w:hAnsi="Times New Roman" w:cs="Times New Roman"/>
          <w:sz w:val="24"/>
          <w:szCs w:val="24"/>
          <w:lang w:val="en-US"/>
        </w:rPr>
        <w:t xml:space="preserve">bottom layer often irregular </w:t>
      </w:r>
      <w:r w:rsidR="00A51893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Pr="000E469C">
        <w:rPr>
          <w:rFonts w:ascii="Times New Roman" w:hAnsi="Times New Roman" w:cs="Times New Roman"/>
          <w:sz w:val="24"/>
          <w:szCs w:val="24"/>
          <w:lang w:val="en-US"/>
        </w:rPr>
        <w:t>thickness (19%)</w:t>
      </w:r>
      <w:r w:rsidR="00A51893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0E4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E469C">
        <w:rPr>
          <w:rFonts w:ascii="Times New Roman" w:eastAsia="Calibri" w:hAnsi="Times New Roman" w:cs="Times New Roman"/>
          <w:sz w:val="24"/>
          <w:szCs w:val="24"/>
          <w:lang w:val="en-US"/>
        </w:rPr>
        <w:t>thick layer over thin</w:t>
      </w:r>
      <w:r w:rsidR="00A51893">
        <w:rPr>
          <w:rFonts w:ascii="Times New Roman" w:eastAsia="Calibri" w:hAnsi="Times New Roman" w:cs="Times New Roman"/>
          <w:sz w:val="24"/>
          <w:szCs w:val="24"/>
          <w:lang w:val="en-US"/>
        </w:rPr>
        <w:t>,</w:t>
      </w:r>
      <w:r w:rsidRPr="000E469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with </w:t>
      </w:r>
      <w:r w:rsidR="00A5189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the </w:t>
      </w:r>
      <w:r w:rsidRPr="000E469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bottom layer sometimes transparent or opaque and continuous or noncontinuous </w:t>
      </w:r>
      <w:r w:rsidRPr="000E469C">
        <w:rPr>
          <w:rFonts w:ascii="Times New Roman" w:hAnsi="Times New Roman" w:cs="Times New Roman"/>
          <w:sz w:val="24"/>
          <w:szCs w:val="24"/>
          <w:lang w:val="en-US"/>
        </w:rPr>
        <w:t xml:space="preserve">(19%). </w:t>
      </w:r>
      <w:r w:rsidR="00A51893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A51893">
        <w:rPr>
          <w:rFonts w:ascii="Times New Roman" w:hAnsi="Times New Roman" w:cs="Times New Roman"/>
          <w:bCs/>
          <w:sz w:val="24"/>
          <w:szCs w:val="24"/>
          <w:lang w:val="en-US" w:bidi="en-US"/>
        </w:rPr>
        <w:t>m</w:t>
      </w: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ultiple priming layers specified by suppliers were not always discernible.</w:t>
      </w:r>
    </w:p>
    <w:p w14:paraId="20268608" w14:textId="77777777" w:rsidR="00055956" w:rsidRPr="000E469C" w:rsidRDefault="00055956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F9EAC9" w14:textId="06404572" w:rsidR="00466E8E" w:rsidRPr="000E469C" w:rsidRDefault="001740BC" w:rsidP="00BD7566">
      <w:pPr>
        <w:pStyle w:val="Heading2"/>
        <w:rPr>
          <w:lang w:val="en-US"/>
        </w:rPr>
      </w:pPr>
      <w:r w:rsidRPr="001740BC">
        <w:rPr>
          <w:b w:val="0"/>
          <w:bCs/>
          <w:highlight w:val="yellow"/>
          <w:lang w:val="en-US"/>
        </w:rPr>
        <w:t>&lt;B-head&gt;</w:t>
      </w:r>
      <w:r>
        <w:rPr>
          <w:lang w:val="en-US"/>
        </w:rPr>
        <w:t xml:space="preserve"> </w:t>
      </w:r>
      <w:r w:rsidR="00466E8E" w:rsidRPr="000E469C">
        <w:rPr>
          <w:lang w:val="en-US"/>
        </w:rPr>
        <w:t>Binder</w:t>
      </w:r>
    </w:p>
    <w:p w14:paraId="2DB0E9C7" w14:textId="649D7235" w:rsidR="00466E8E" w:rsidRPr="000E469C" w:rsidRDefault="00466E8E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n-US" w:bidi="en-US"/>
        </w:rPr>
      </w:pP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The top </w:t>
      </w:r>
      <w:r w:rsidR="00E25F2F">
        <w:rPr>
          <w:rFonts w:ascii="Times New Roman" w:hAnsi="Times New Roman" w:cs="Times New Roman"/>
          <w:bCs/>
          <w:sz w:val="24"/>
          <w:szCs w:val="24"/>
          <w:lang w:val="en-US" w:bidi="en-US"/>
        </w:rPr>
        <w:t>surface</w:t>
      </w: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of priming</w:t>
      </w:r>
      <w:r w:rsidR="00E25F2F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layers</w:t>
      </w: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was </w:t>
      </w:r>
      <w:r w:rsidR="009363C8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characterized</w:t>
      </w: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using ATR-FTIR </w:t>
      </w:r>
      <w:r w:rsidRPr="000E469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hyperlink r:id="rId9" w:history="1">
        <w:r w:rsidR="00845105">
          <w:rPr>
            <w:rStyle w:val="Hyperlink"/>
            <w:rFonts w:ascii="Times New Roman" w:hAnsi="Times New Roman" w:cs="Times New Roman"/>
            <w:b/>
            <w:sz w:val="24"/>
            <w:szCs w:val="24"/>
            <w:lang w:val="en-US"/>
          </w:rPr>
          <w:t>table 62.1</w:t>
        </w:r>
      </w:hyperlink>
      <w:r w:rsidRPr="000E469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hyperlink r:id="rId10" w:history="1">
        <w:r w:rsidR="00845105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fig. 62.1</w:t>
        </w:r>
      </w:hyperlink>
      <w:r w:rsidR="000A772A" w:rsidRPr="000E469C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r w:rsidRPr="000E469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0A772A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(</w:t>
      </w:r>
      <w:r w:rsidR="00BC222C">
        <w:rPr>
          <w:rFonts w:ascii="Times New Roman" w:hAnsi="Times New Roman" w:cs="Times New Roman"/>
          <w:bCs/>
          <w:sz w:val="24"/>
          <w:szCs w:val="24"/>
          <w:lang w:val="en-US" w:bidi="en-US"/>
        </w:rPr>
        <w:t>{{</w:t>
      </w: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Osmond et al</w:t>
      </w:r>
      <w:r w:rsidR="000A772A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.</w:t>
      </w: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2018</w:t>
      </w:r>
      <w:r w:rsidR="00BC222C">
        <w:rPr>
          <w:rFonts w:ascii="Times New Roman" w:hAnsi="Times New Roman" w:cs="Times New Roman"/>
          <w:bCs/>
          <w:sz w:val="24"/>
          <w:szCs w:val="24"/>
          <w:lang w:val="en-US" w:bidi="en-US"/>
        </w:rPr>
        <w:t>}}</w:t>
      </w: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)</w:t>
      </w:r>
      <w:r w:rsidRPr="000E469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r w:rsidR="00E25F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At this surface layer, </w:t>
      </w:r>
      <w:r w:rsidR="001740BC">
        <w:rPr>
          <w:rFonts w:ascii="Times New Roman" w:hAnsi="Times New Roman" w:cs="Times New Roman"/>
          <w:bCs/>
          <w:sz w:val="24"/>
          <w:szCs w:val="24"/>
          <w:lang w:val="en-US"/>
        </w:rPr>
        <w:t>forty-nine</w:t>
      </w:r>
      <w:r w:rsidR="00E25F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of the </w:t>
      </w:r>
      <w:r w:rsidR="001740BC">
        <w:rPr>
          <w:rFonts w:ascii="Times New Roman" w:hAnsi="Times New Roman" w:cs="Times New Roman"/>
          <w:bCs/>
          <w:sz w:val="24"/>
          <w:szCs w:val="24"/>
          <w:lang w:val="en-US"/>
        </w:rPr>
        <w:t>fifty-three</w:t>
      </w:r>
      <w:r w:rsidR="00E25F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canvas samples contained synthetic polymer binders and four samples contained oil priming. </w:t>
      </w:r>
      <w:proofErr w:type="spellStart"/>
      <w:r w:rsidRPr="000E469C">
        <w:rPr>
          <w:rFonts w:ascii="Times New Roman" w:hAnsi="Times New Roman" w:cs="Times New Roman"/>
          <w:bCs/>
          <w:sz w:val="24"/>
          <w:szCs w:val="24"/>
          <w:lang w:val="en-US"/>
        </w:rPr>
        <w:t>Styrenated</w:t>
      </w:r>
      <w:proofErr w:type="spellEnd"/>
      <w:r w:rsidRPr="000E469C">
        <w:rPr>
          <w:rFonts w:ascii="Times New Roman" w:hAnsi="Times New Roman" w:cs="Times New Roman"/>
          <w:bCs/>
          <w:sz w:val="24"/>
          <w:szCs w:val="24"/>
          <w:lang w:val="en-US"/>
        </w:rPr>
        <w:t>-acrylic</w:t>
      </w:r>
      <w:r w:rsidR="00297382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</w:t>
      </w: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predominated</w:t>
      </w:r>
      <w:r w:rsidR="00E25F2F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as a binder</w:t>
      </w:r>
      <w:r w:rsidR="00A51893">
        <w:rPr>
          <w:rFonts w:ascii="Times New Roman" w:hAnsi="Times New Roman" w:cs="Times New Roman"/>
          <w:bCs/>
          <w:sz w:val="24"/>
          <w:szCs w:val="24"/>
          <w:lang w:val="en-US" w:bidi="en-US"/>
        </w:rPr>
        <w:t>,</w:t>
      </w: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followed by acrylic and </w:t>
      </w:r>
      <w:r w:rsidRPr="000E469C">
        <w:rPr>
          <w:rFonts w:ascii="Times New Roman" w:hAnsi="Times New Roman" w:cs="Times New Roman"/>
          <w:sz w:val="24"/>
          <w:szCs w:val="24"/>
          <w:lang w:val="en-US"/>
        </w:rPr>
        <w:t>acrylic</w:t>
      </w:r>
      <w:r w:rsidR="00A51893">
        <w:rPr>
          <w:rFonts w:ascii="Times New Roman" w:hAnsi="Times New Roman" w:cs="Times New Roman"/>
          <w:sz w:val="24"/>
          <w:szCs w:val="24"/>
          <w:lang w:val="en-US"/>
        </w:rPr>
        <w:t>–polyvinyl acrylic</w:t>
      </w:r>
      <w:r w:rsidRPr="000E469C" w:rsidDel="00C84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5189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E469C">
        <w:rPr>
          <w:rFonts w:ascii="Times New Roman" w:hAnsi="Times New Roman" w:cs="Times New Roman"/>
          <w:sz w:val="24"/>
          <w:szCs w:val="24"/>
          <w:lang w:val="en-US"/>
        </w:rPr>
        <w:t>PVA</w:t>
      </w:r>
      <w:r w:rsidR="00A5189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0E469C">
        <w:rPr>
          <w:rFonts w:ascii="Times New Roman" w:hAnsi="Times New Roman" w:cs="Times New Roman"/>
          <w:sz w:val="24"/>
          <w:szCs w:val="24"/>
          <w:lang w:val="en-US"/>
        </w:rPr>
        <w:t xml:space="preserve"> binders.</w:t>
      </w: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No alkyd binders were found. </w:t>
      </w:r>
    </w:p>
    <w:p w14:paraId="43D8D99E" w14:textId="49BDBB06" w:rsidR="00466E8E" w:rsidRPr="000E469C" w:rsidRDefault="00583C96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n-US" w:bidi="en-US"/>
        </w:rPr>
      </w:pPr>
      <w:r w:rsidRPr="000E469C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="00466E8E" w:rsidRPr="000E469C">
        <w:rPr>
          <w:rFonts w:ascii="Times New Roman" w:hAnsi="Times New Roman" w:cs="Times New Roman"/>
          <w:bCs/>
          <w:sz w:val="24"/>
          <w:szCs w:val="24"/>
          <w:lang w:val="en-US"/>
        </w:rPr>
        <w:t>Py</w:t>
      </w:r>
      <w:proofErr w:type="spellEnd"/>
      <w:r w:rsidR="00466E8E" w:rsidRPr="000E469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-GCMS provided further detail of </w:t>
      </w:r>
      <w:r w:rsidR="00B821C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synthetic polymer 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binder constituents, including verification of </w:t>
      </w:r>
      <w:r w:rsidR="00B821C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 use of 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seven different 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acrylic monomers. Within the group of </w:t>
      </w:r>
      <w:proofErr w:type="spellStart"/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styrenated</w:t>
      </w:r>
      <w:proofErr w:type="spellEnd"/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-acrylics, styrene–</w:t>
      </w:r>
      <w:r w:rsidR="006A4EE2" w:rsidRPr="006A4EE2">
        <w:t xml:space="preserve"> </w:t>
      </w:r>
      <w:r w:rsidR="006A4EE2" w:rsidRPr="006A4EE2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n-butyl acrylate </w:t>
      </w:r>
      <w:r w:rsidR="006A4EE2">
        <w:rPr>
          <w:rFonts w:ascii="Times New Roman" w:hAnsi="Times New Roman" w:cs="Times New Roman"/>
          <w:bCs/>
          <w:sz w:val="24"/>
          <w:szCs w:val="24"/>
          <w:lang w:val="en-US" w:bidi="en-US"/>
        </w:rPr>
        <w:t>(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BA</w:t>
      </w:r>
      <w:r w:rsidR="006A4EE2">
        <w:rPr>
          <w:rFonts w:ascii="Times New Roman" w:hAnsi="Times New Roman" w:cs="Times New Roman"/>
          <w:bCs/>
          <w:sz w:val="24"/>
          <w:szCs w:val="24"/>
          <w:lang w:val="en-US" w:bidi="en-US"/>
        </w:rPr>
        <w:t>)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predominated (37%)</w:t>
      </w:r>
      <w:r w:rsidR="006A4EE2">
        <w:rPr>
          <w:rFonts w:ascii="Times New Roman" w:hAnsi="Times New Roman" w:cs="Times New Roman"/>
          <w:bCs/>
          <w:sz w:val="24"/>
          <w:szCs w:val="24"/>
          <w:lang w:val="en-US" w:bidi="en-US"/>
        </w:rPr>
        <w:t>,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and within the group of </w:t>
      </w:r>
      <w:r w:rsidR="006A4EE2">
        <w:rPr>
          <w:rFonts w:ascii="Times New Roman" w:hAnsi="Times New Roman" w:cs="Times New Roman"/>
          <w:bCs/>
          <w:sz w:val="24"/>
          <w:szCs w:val="24"/>
          <w:lang w:val="en-US" w:bidi="en-US"/>
        </w:rPr>
        <w:t>“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pure</w:t>
      </w:r>
      <w:r w:rsidR="006A4EE2">
        <w:rPr>
          <w:rFonts w:ascii="Times New Roman" w:hAnsi="Times New Roman" w:cs="Times New Roman"/>
          <w:bCs/>
          <w:sz w:val="24"/>
          <w:szCs w:val="24"/>
          <w:lang w:val="en-US" w:bidi="en-US"/>
        </w:rPr>
        <w:t>”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acrylics, only </w:t>
      </w:r>
      <w:r w:rsidR="0015002D" w:rsidRPr="0015002D">
        <w:rPr>
          <w:rFonts w:ascii="Times New Roman" w:hAnsi="Times New Roman" w:cs="Times New Roman"/>
          <w:bCs/>
          <w:sz w:val="24"/>
          <w:szCs w:val="24"/>
          <w:lang w:val="en-US" w:bidi="en-US"/>
        </w:rPr>
        <w:t>ethyl acrylate</w:t>
      </w:r>
      <w:r w:rsidR="0015002D">
        <w:rPr>
          <w:rFonts w:ascii="Times New Roman" w:hAnsi="Times New Roman" w:cs="Times New Roman"/>
          <w:bCs/>
          <w:sz w:val="24"/>
          <w:szCs w:val="24"/>
          <w:lang w:val="en-US" w:bidi="en-US"/>
        </w:rPr>
        <w:t>–</w:t>
      </w:r>
      <w:r w:rsidR="00507CEE" w:rsidRPr="00507CEE">
        <w:rPr>
          <w:rFonts w:ascii="Times New Roman" w:hAnsi="Times New Roman" w:cs="Times New Roman"/>
          <w:bCs/>
          <w:sz w:val="24"/>
          <w:szCs w:val="24"/>
          <w:lang w:val="en-US" w:bidi="en-US"/>
        </w:rPr>
        <w:t>methyl methacrylate</w:t>
      </w:r>
      <w:r w:rsidR="0015002D" w:rsidRPr="0015002D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(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EA-MMA</w:t>
      </w:r>
      <w:r w:rsidR="00507CEE">
        <w:rPr>
          <w:rFonts w:ascii="Times New Roman" w:hAnsi="Times New Roman" w:cs="Times New Roman"/>
          <w:bCs/>
          <w:sz w:val="24"/>
          <w:szCs w:val="24"/>
          <w:lang w:val="en-US" w:bidi="en-US"/>
        </w:rPr>
        <w:t>)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and BA-MMA were found, with </w:t>
      </w:r>
      <w:r w:rsidR="006A4EE2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a 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slightly higher occurrence of EA-MMA. One EA-MMA priming showed significant amounts of diethylene glycol </w:t>
      </w:r>
      <w:proofErr w:type="spellStart"/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dibenzoate</w:t>
      </w:r>
      <w:proofErr w:type="spellEnd"/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plasticizer. Within the group of PVA-acrylic</w:t>
      </w:r>
      <w:r w:rsidR="006A4EE2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binder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s, some were copolymeri</w:t>
      </w:r>
      <w:r w:rsidR="006A4EE2">
        <w:rPr>
          <w:rFonts w:ascii="Times New Roman" w:hAnsi="Times New Roman" w:cs="Times New Roman"/>
          <w:bCs/>
          <w:sz w:val="24"/>
          <w:szCs w:val="24"/>
          <w:lang w:val="en-US" w:bidi="en-US"/>
        </w:rPr>
        <w:t>z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ed with </w:t>
      </w:r>
      <w:bookmarkStart w:id="3" w:name="_Hlk102739756"/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vinyl </w:t>
      </w:r>
      <w:proofErr w:type="spellStart"/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versatate</w:t>
      </w:r>
      <w:proofErr w:type="spellEnd"/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</w:t>
      </w:r>
      <w:bookmarkEnd w:id="3"/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(</w:t>
      </w:r>
      <w:proofErr w:type="spellStart"/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VeoVa</w:t>
      </w:r>
      <w:proofErr w:type="spellEnd"/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). Surfactants such as</w:t>
      </w:r>
      <w:r w:rsidR="00AB1A33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p</w:t>
      </w:r>
      <w:r w:rsidR="00AB1A33" w:rsidRPr="00AB1A33">
        <w:rPr>
          <w:rFonts w:ascii="Times New Roman" w:hAnsi="Times New Roman" w:cs="Times New Roman"/>
          <w:bCs/>
          <w:sz w:val="24"/>
          <w:szCs w:val="24"/>
          <w:lang w:val="en-US" w:bidi="en-US"/>
        </w:rPr>
        <w:t>olyethylene oxide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</w:t>
      </w:r>
      <w:r w:rsidR="00AB1A33">
        <w:rPr>
          <w:rFonts w:ascii="Times New Roman" w:hAnsi="Times New Roman" w:cs="Times New Roman"/>
          <w:bCs/>
          <w:sz w:val="24"/>
          <w:szCs w:val="24"/>
          <w:lang w:val="en-US" w:bidi="en-US"/>
        </w:rPr>
        <w:t>(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PEO</w:t>
      </w:r>
      <w:r w:rsidR="00AB1A33">
        <w:rPr>
          <w:rFonts w:ascii="Times New Roman" w:hAnsi="Times New Roman" w:cs="Times New Roman"/>
          <w:bCs/>
          <w:sz w:val="24"/>
          <w:szCs w:val="24"/>
          <w:lang w:val="en-US" w:bidi="en-US"/>
        </w:rPr>
        <w:t>)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</w:t>
      </w:r>
      <w:r w:rsidR="003B1A4C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(</w:t>
      </w:r>
      <w:r w:rsidR="00BC222C">
        <w:rPr>
          <w:rFonts w:ascii="Times New Roman" w:hAnsi="Times New Roman" w:cs="Times New Roman"/>
          <w:bCs/>
          <w:sz w:val="24"/>
          <w:szCs w:val="24"/>
          <w:lang w:val="en-US" w:bidi="en-US"/>
        </w:rPr>
        <w:t>{{</w:t>
      </w:r>
      <w:proofErr w:type="spellStart"/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Scalarone</w:t>
      </w:r>
      <w:proofErr w:type="spellEnd"/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</w:t>
      </w:r>
      <w:r w:rsidR="00A65412">
        <w:rPr>
          <w:rFonts w:ascii="Times New Roman" w:hAnsi="Times New Roman" w:cs="Times New Roman"/>
          <w:bCs/>
          <w:sz w:val="24"/>
          <w:szCs w:val="24"/>
          <w:lang w:val="en-US" w:bidi="en-US"/>
        </w:rPr>
        <w:t>and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</w:t>
      </w:r>
      <w:proofErr w:type="spellStart"/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Chiantore</w:t>
      </w:r>
      <w:proofErr w:type="spellEnd"/>
      <w:r w:rsidR="000A772A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2004</w:t>
      </w:r>
      <w:r w:rsidR="00BC222C">
        <w:rPr>
          <w:rFonts w:ascii="Times New Roman" w:hAnsi="Times New Roman" w:cs="Times New Roman"/>
          <w:bCs/>
          <w:sz w:val="24"/>
          <w:szCs w:val="24"/>
          <w:lang w:val="en-US" w:bidi="en-US"/>
        </w:rPr>
        <w:t>}}</w:t>
      </w:r>
      <w:r w:rsidR="009F14F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)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were not observed with ATR-FTIR.</w:t>
      </w:r>
    </w:p>
    <w:p w14:paraId="71214A2D" w14:textId="1C000EF3" w:rsidR="00466E8E" w:rsidRPr="000E469C" w:rsidRDefault="00583C96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n-US" w:bidi="en-US"/>
        </w:rPr>
      </w:pP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lastRenderedPageBreak/>
        <w:tab/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Priming layer combinations varied (</w:t>
      </w:r>
      <w:hyperlink r:id="rId11" w:history="1">
        <w:r w:rsidR="00845105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 w:bidi="en-US"/>
          </w:rPr>
          <w:t>fig. 62.2</w:t>
        </w:r>
      </w:hyperlink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). Double priming layers included acrylic over </w:t>
      </w:r>
      <w:proofErr w:type="spellStart"/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styrenated</w:t>
      </w:r>
      <w:proofErr w:type="spellEnd"/>
      <w:r w:rsidR="008A44C8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acrylic (</w:t>
      </w:r>
      <w:hyperlink r:id="rId12" w:history="1">
        <w:r w:rsidR="00845105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 w:bidi="en-US"/>
          </w:rPr>
          <w:t>fig. 62.2b</w:t>
        </w:r>
      </w:hyperlink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), acrylic over acrylic</w:t>
      </w:r>
      <w:r w:rsidR="00C6183B">
        <w:rPr>
          <w:rFonts w:ascii="Times New Roman" w:hAnsi="Times New Roman" w:cs="Times New Roman"/>
          <w:bCs/>
          <w:sz w:val="24"/>
          <w:szCs w:val="24"/>
          <w:lang w:val="en-US" w:bidi="en-US"/>
        </w:rPr>
        <w:t>-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PVA (</w:t>
      </w:r>
      <w:hyperlink r:id="rId13" w:history="1">
        <w:r w:rsidR="00845105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 w:bidi="en-US"/>
          </w:rPr>
          <w:t>fig. 62.2d</w:t>
        </w:r>
      </w:hyperlink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)</w:t>
      </w:r>
      <w:r w:rsidR="00C6183B">
        <w:rPr>
          <w:rFonts w:ascii="Times New Roman" w:hAnsi="Times New Roman" w:cs="Times New Roman"/>
          <w:bCs/>
          <w:sz w:val="24"/>
          <w:szCs w:val="24"/>
          <w:lang w:val="en-US" w:bidi="en-US"/>
        </w:rPr>
        <w:t>,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and oil over </w:t>
      </w:r>
      <w:proofErr w:type="spellStart"/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styrenated</w:t>
      </w:r>
      <w:proofErr w:type="spellEnd"/>
      <w:r w:rsidR="008A44C8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acrylic (</w:t>
      </w:r>
      <w:hyperlink r:id="rId14" w:history="1">
        <w:r w:rsidR="00845105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 w:bidi="en-US"/>
          </w:rPr>
          <w:t>fig. 62.3</w:t>
        </w:r>
      </w:hyperlink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). </w:t>
      </w:r>
    </w:p>
    <w:p w14:paraId="2527A100" w14:textId="6F3E36C8" w:rsidR="00466E8E" w:rsidRPr="000E469C" w:rsidRDefault="00583C96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n-US" w:bidi="en-US"/>
        </w:rPr>
      </w:pP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ab/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Variations were observed between ATR-FTIR and </w:t>
      </w:r>
      <w:proofErr w:type="spellStart"/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Py</w:t>
      </w:r>
      <w:proofErr w:type="spellEnd"/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-GCMS data</w:t>
      </w:r>
      <w:r w:rsidR="002C39C8">
        <w:rPr>
          <w:rFonts w:ascii="Times New Roman" w:hAnsi="Times New Roman" w:cs="Times New Roman"/>
          <w:bCs/>
          <w:sz w:val="24"/>
          <w:szCs w:val="24"/>
          <w:lang w:val="en-US" w:bidi="en-US"/>
        </w:rPr>
        <w:t>,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including a significantly higher incidence of PVA detected with </w:t>
      </w:r>
      <w:proofErr w:type="spellStart"/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Py</w:t>
      </w:r>
      <w:proofErr w:type="spellEnd"/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-GCMS. This was found to correlate with the presence of PVA in lower priming layers not captured by the surface</w:t>
      </w:r>
      <w:r w:rsidR="002C39C8">
        <w:rPr>
          <w:rFonts w:ascii="Times New Roman" w:hAnsi="Times New Roman" w:cs="Times New Roman"/>
          <w:bCs/>
          <w:sz w:val="24"/>
          <w:szCs w:val="24"/>
          <w:lang w:val="en-US" w:bidi="en-US"/>
        </w:rPr>
        <w:t>-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only ATR-FTIR. Thin surface layers were sometimes difficult to separate from other similarly colored layers for </w:t>
      </w:r>
      <w:proofErr w:type="spellStart"/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Py</w:t>
      </w:r>
      <w:proofErr w:type="spellEnd"/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-GCMS analysis (</w:t>
      </w:r>
      <w:hyperlink r:id="rId15" w:history="1">
        <w:r w:rsidR="00845105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 w:bidi="en-US"/>
          </w:rPr>
          <w:t>fig. 62.2d</w:t>
        </w:r>
      </w:hyperlink>
      <w:r w:rsidR="000A772A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)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</w:t>
      </w:r>
      <w:r w:rsidR="003B1A4C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(</w:t>
      </w:r>
      <w:r w:rsidR="00BC222C">
        <w:rPr>
          <w:rFonts w:ascii="Times New Roman" w:hAnsi="Times New Roman" w:cs="Times New Roman"/>
          <w:bCs/>
          <w:sz w:val="24"/>
          <w:szCs w:val="24"/>
          <w:lang w:val="en-US" w:bidi="en-US"/>
        </w:rPr>
        <w:t>{{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Osmond et al</w:t>
      </w:r>
      <w:r w:rsidR="000A772A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.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2018</w:t>
      </w:r>
      <w:r w:rsidR="007B097C">
        <w:rPr>
          <w:rFonts w:ascii="Times New Roman" w:hAnsi="Times New Roman" w:cs="Times New Roman"/>
          <w:bCs/>
          <w:sz w:val="24"/>
          <w:szCs w:val="24"/>
          <w:lang w:val="en-US" w:bidi="en-US"/>
        </w:rPr>
        <w:t>}}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).</w:t>
      </w:r>
    </w:p>
    <w:p w14:paraId="2FF6CFE4" w14:textId="74A5A54D" w:rsidR="00686FEC" w:rsidRDefault="00583C96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n-US" w:bidi="en-US"/>
        </w:rPr>
      </w:pP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ab/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In total, </w:t>
      </w:r>
      <w:r w:rsidR="007B097C">
        <w:rPr>
          <w:rFonts w:ascii="Times New Roman" w:hAnsi="Times New Roman" w:cs="Times New Roman"/>
          <w:bCs/>
          <w:sz w:val="24"/>
          <w:szCs w:val="24"/>
          <w:lang w:val="en-US" w:bidi="en-US"/>
        </w:rPr>
        <w:t>thirty-four</w:t>
      </w:r>
      <w:r w:rsidR="00817EC3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different copolymer binder combinations in the upper layer</w:t>
      </w:r>
      <w:r w:rsidR="00817EC3" w:rsidRPr="000E469C" w:rsidDel="00817EC3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were found in the </w:t>
      </w:r>
      <w:r w:rsidR="00B821C1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surface layer of the </w:t>
      </w:r>
      <w:r w:rsidR="007B097C">
        <w:rPr>
          <w:rFonts w:ascii="Times New Roman" w:hAnsi="Times New Roman" w:cs="Times New Roman"/>
          <w:bCs/>
          <w:sz w:val="24"/>
          <w:szCs w:val="24"/>
          <w:lang w:val="en-US" w:bidi="en-US"/>
        </w:rPr>
        <w:t>forty-nine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synthetic-primed samples</w:t>
      </w:r>
      <w:r w:rsidR="00DC766D">
        <w:rPr>
          <w:rFonts w:ascii="Times New Roman" w:hAnsi="Times New Roman" w:cs="Times New Roman"/>
          <w:bCs/>
          <w:sz w:val="24"/>
          <w:szCs w:val="24"/>
          <w:lang w:val="en-US" w:bidi="en-US"/>
        </w:rPr>
        <w:t>—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indicating a wide variety of formulations and subsequent properties. The history of synthetic emulsion binders and copolymer properties is well documented, including in conservation literature </w:t>
      </w:r>
      <w:r w:rsidR="003B1A4C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(</w:t>
      </w:r>
      <w:r w:rsidR="00BC222C">
        <w:rPr>
          <w:rFonts w:ascii="Times New Roman" w:hAnsi="Times New Roman" w:cs="Times New Roman"/>
          <w:bCs/>
          <w:sz w:val="24"/>
          <w:szCs w:val="24"/>
          <w:lang w:val="en-US" w:bidi="en-US"/>
        </w:rPr>
        <w:t>{{</w:t>
      </w:r>
      <w:proofErr w:type="spellStart"/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Scalarone</w:t>
      </w:r>
      <w:proofErr w:type="spellEnd"/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&amp; </w:t>
      </w:r>
      <w:proofErr w:type="spellStart"/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Chiantore</w:t>
      </w:r>
      <w:proofErr w:type="spellEnd"/>
      <w:r w:rsidR="000A772A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2004</w:t>
      </w:r>
      <w:r w:rsidR="00BC222C">
        <w:rPr>
          <w:rFonts w:ascii="Times New Roman" w:hAnsi="Times New Roman" w:cs="Times New Roman"/>
          <w:bCs/>
          <w:sz w:val="24"/>
          <w:szCs w:val="24"/>
          <w:lang w:val="en-US" w:bidi="en-US"/>
        </w:rPr>
        <w:t>}}</w:t>
      </w:r>
      <w:r w:rsidR="000A772A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;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</w:t>
      </w:r>
      <w:r w:rsidR="00BC222C">
        <w:rPr>
          <w:rFonts w:ascii="Times New Roman" w:hAnsi="Times New Roman" w:cs="Times New Roman"/>
          <w:bCs/>
          <w:sz w:val="24"/>
          <w:szCs w:val="24"/>
          <w:lang w:val="en-US" w:bidi="en-US"/>
        </w:rPr>
        <w:t>{{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Learner</w:t>
      </w:r>
      <w:r w:rsidR="000A772A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2004</w:t>
      </w:r>
      <w:r w:rsidR="00BC222C">
        <w:rPr>
          <w:rFonts w:ascii="Times New Roman" w:hAnsi="Times New Roman" w:cs="Times New Roman"/>
          <w:bCs/>
          <w:sz w:val="24"/>
          <w:szCs w:val="24"/>
          <w:lang w:val="en-US" w:bidi="en-US"/>
        </w:rPr>
        <w:t>}}</w:t>
      </w:r>
      <w:r w:rsidR="000A772A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;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</w:t>
      </w:r>
      <w:r w:rsidR="00BC222C">
        <w:rPr>
          <w:rFonts w:ascii="Times New Roman" w:hAnsi="Times New Roman" w:cs="Times New Roman"/>
          <w:bCs/>
          <w:sz w:val="24"/>
          <w:szCs w:val="24"/>
          <w:lang w:val="en-US" w:bidi="en-US"/>
        </w:rPr>
        <w:t>{{</w:t>
      </w:r>
      <w:proofErr w:type="spellStart"/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Croll</w:t>
      </w:r>
      <w:proofErr w:type="spellEnd"/>
      <w:r w:rsidR="00235230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2007</w:t>
      </w:r>
      <w:r w:rsidR="00BC222C">
        <w:rPr>
          <w:rFonts w:ascii="Times New Roman" w:hAnsi="Times New Roman" w:cs="Times New Roman"/>
          <w:bCs/>
          <w:sz w:val="24"/>
          <w:szCs w:val="24"/>
          <w:lang w:val="en-US" w:bidi="en-US"/>
        </w:rPr>
        <w:t>}}</w:t>
      </w:r>
      <w:r w:rsidR="00235230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;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</w:t>
      </w:r>
      <w:r w:rsidR="00BC222C">
        <w:rPr>
          <w:rFonts w:ascii="Times New Roman" w:hAnsi="Times New Roman" w:cs="Times New Roman"/>
          <w:bCs/>
          <w:sz w:val="24"/>
          <w:szCs w:val="24"/>
          <w:lang w:val="en-US" w:bidi="en-US"/>
        </w:rPr>
        <w:t>{{</w:t>
      </w:r>
      <w:proofErr w:type="spellStart"/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Standevan</w:t>
      </w:r>
      <w:proofErr w:type="spellEnd"/>
      <w:r w:rsidR="00235230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2011</w:t>
      </w:r>
      <w:r w:rsidR="00BC222C">
        <w:rPr>
          <w:rFonts w:ascii="Times New Roman" w:hAnsi="Times New Roman" w:cs="Times New Roman"/>
          <w:bCs/>
          <w:sz w:val="24"/>
          <w:szCs w:val="24"/>
          <w:lang w:val="en-US" w:bidi="en-US"/>
        </w:rPr>
        <w:t>}}</w:t>
      </w:r>
      <w:r w:rsidR="009F14F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)</w:t>
      </w:r>
      <w:r w:rsidR="00B821C1">
        <w:rPr>
          <w:rFonts w:ascii="Times New Roman" w:hAnsi="Times New Roman" w:cs="Times New Roman"/>
          <w:bCs/>
          <w:sz w:val="24"/>
          <w:szCs w:val="24"/>
          <w:lang w:val="en-US" w:bidi="en-US"/>
        </w:rPr>
        <w:t>, which describes how cop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olymers are </w:t>
      </w:r>
      <w:r w:rsidR="00B821C1">
        <w:rPr>
          <w:rFonts w:ascii="Times New Roman" w:hAnsi="Times New Roman" w:cs="Times New Roman"/>
          <w:bCs/>
          <w:sz w:val="24"/>
          <w:szCs w:val="24"/>
          <w:lang w:val="en-US" w:bidi="en-US"/>
        </w:rPr>
        <w:t>formulated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to provide optimal coating properties. For example, adding monomers </w:t>
      </w:r>
      <w:r w:rsidR="00DC766D">
        <w:rPr>
          <w:rFonts w:ascii="Times New Roman" w:hAnsi="Times New Roman" w:cs="Times New Roman"/>
          <w:bCs/>
          <w:sz w:val="24"/>
          <w:szCs w:val="24"/>
          <w:lang w:val="en-US" w:bidi="en-US"/>
        </w:rPr>
        <w:t>that have a</w:t>
      </w:r>
      <w:r w:rsidR="00DC766D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higher glass transition temperature (</w:t>
      </w:r>
      <w:proofErr w:type="spellStart"/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Tg</w:t>
      </w:r>
      <w:proofErr w:type="spellEnd"/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)</w:t>
      </w:r>
      <w:r w:rsidR="00DC766D">
        <w:rPr>
          <w:rFonts w:ascii="Times New Roman" w:hAnsi="Times New Roman" w:cs="Times New Roman"/>
          <w:bCs/>
          <w:sz w:val="24"/>
          <w:szCs w:val="24"/>
          <w:lang w:val="en-US" w:bidi="en-US"/>
        </w:rPr>
        <w:t>, such as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styrene (or MMA)</w:t>
      </w:r>
      <w:r w:rsidR="00DC766D">
        <w:rPr>
          <w:rFonts w:ascii="Times New Roman" w:hAnsi="Times New Roman" w:cs="Times New Roman"/>
          <w:bCs/>
          <w:sz w:val="24"/>
          <w:szCs w:val="24"/>
          <w:lang w:val="en-US" w:bidi="en-US"/>
        </w:rPr>
        <w:t>,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</w:t>
      </w:r>
      <w:r w:rsidR="00B821C1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to a </w:t>
      </w:r>
      <w:r w:rsidR="00686FEC">
        <w:rPr>
          <w:rFonts w:ascii="Times New Roman" w:hAnsi="Times New Roman" w:cs="Times New Roman"/>
          <w:bCs/>
          <w:sz w:val="24"/>
          <w:szCs w:val="24"/>
          <w:lang w:val="en-US" w:bidi="en-US"/>
        </w:rPr>
        <w:t>“</w:t>
      </w:r>
      <w:r w:rsidR="00B821C1">
        <w:rPr>
          <w:rFonts w:ascii="Times New Roman" w:hAnsi="Times New Roman" w:cs="Times New Roman"/>
          <w:bCs/>
          <w:sz w:val="24"/>
          <w:szCs w:val="24"/>
          <w:lang w:val="en-US" w:bidi="en-US"/>
        </w:rPr>
        <w:t>soft</w:t>
      </w:r>
      <w:r w:rsidR="00686FEC">
        <w:rPr>
          <w:rFonts w:ascii="Times New Roman" w:hAnsi="Times New Roman" w:cs="Times New Roman"/>
          <w:bCs/>
          <w:sz w:val="24"/>
          <w:szCs w:val="24"/>
          <w:lang w:val="en-US" w:bidi="en-US"/>
        </w:rPr>
        <w:t>”</w:t>
      </w:r>
      <w:r w:rsidR="00B821C1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acrylic monomer such as n-but</w:t>
      </w:r>
      <w:r w:rsidR="00780D08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yl acrylate 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results in a stiffer and possibly more heat tolerant priming</w:t>
      </w:r>
      <w:r w:rsidR="00DC766D">
        <w:rPr>
          <w:rFonts w:ascii="Times New Roman" w:hAnsi="Times New Roman" w:cs="Times New Roman"/>
          <w:bCs/>
          <w:sz w:val="24"/>
          <w:szCs w:val="24"/>
          <w:lang w:val="en-US" w:bidi="en-US"/>
        </w:rPr>
        <w:t>,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depending on the monomer ratio (</w:t>
      </w:r>
      <w:hyperlink r:id="rId16" w:history="1">
        <w:r w:rsidR="00845105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 w:bidi="en-US"/>
          </w:rPr>
          <w:t>table 62.2</w:t>
        </w:r>
      </w:hyperlink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).</w:t>
      </w:r>
    </w:p>
    <w:p w14:paraId="7C585231" w14:textId="48775AD3" w:rsidR="00466E8E" w:rsidRPr="000E469C" w:rsidRDefault="00466E8E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n-US" w:bidi="en-US"/>
        </w:rPr>
      </w:pPr>
    </w:p>
    <w:p w14:paraId="7D32A751" w14:textId="74E83545" w:rsidR="00466E8E" w:rsidRPr="000E469C" w:rsidRDefault="007B097C" w:rsidP="00235230">
      <w:pPr>
        <w:pStyle w:val="Heading2"/>
        <w:rPr>
          <w:lang w:val="en-US"/>
        </w:rPr>
      </w:pPr>
      <w:r w:rsidRPr="007B097C">
        <w:rPr>
          <w:b w:val="0"/>
          <w:bCs/>
          <w:highlight w:val="yellow"/>
          <w:lang w:val="en-US"/>
        </w:rPr>
        <w:t>&lt;A-head&gt;</w:t>
      </w:r>
      <w:r>
        <w:rPr>
          <w:lang w:val="en-US"/>
        </w:rPr>
        <w:t xml:space="preserve"> </w:t>
      </w:r>
      <w:r w:rsidR="00466E8E" w:rsidRPr="000E469C">
        <w:rPr>
          <w:lang w:val="en-US"/>
        </w:rPr>
        <w:t>Pigments and Fillers</w:t>
      </w:r>
    </w:p>
    <w:p w14:paraId="1B49C3D7" w14:textId="0134C5AB" w:rsidR="00466E8E" w:rsidRDefault="00DC766D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n-US" w:bidi="en-US"/>
        </w:rPr>
      </w:pPr>
      <w:r>
        <w:rPr>
          <w:rFonts w:ascii="Times New Roman" w:hAnsi="Times New Roman" w:cs="Times New Roman"/>
          <w:bCs/>
          <w:sz w:val="24"/>
          <w:szCs w:val="24"/>
          <w:lang w:val="en-US" w:bidi="en-US"/>
        </w:rPr>
        <w:t>Fourteen</w:t>
      </w: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different pigment and filler combinations were identified. The most frequent combinations are detailed in </w:t>
      </w:r>
      <w:hyperlink r:id="rId17" w:history="1">
        <w:r w:rsidR="00845105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 w:bidi="en-US"/>
          </w:rPr>
          <w:t>table 62.1</w:t>
        </w:r>
      </w:hyperlink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. Two-thirds of synthetic </w:t>
      </w:r>
      <w:proofErr w:type="spellStart"/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primings</w:t>
      </w:r>
      <w:proofErr w:type="spellEnd"/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were composed of titanium dioxide and chalk, some also </w:t>
      </w:r>
      <w:r>
        <w:rPr>
          <w:rFonts w:ascii="Times New Roman" w:hAnsi="Times New Roman" w:cs="Times New Roman"/>
          <w:bCs/>
          <w:sz w:val="24"/>
          <w:szCs w:val="24"/>
          <w:lang w:val="en-US" w:bidi="en-US"/>
        </w:rPr>
        <w:t>contained</w:t>
      </w: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talc. </w:t>
      </w:r>
      <w:r>
        <w:rPr>
          <w:rFonts w:ascii="Times New Roman" w:hAnsi="Times New Roman" w:cs="Times New Roman"/>
          <w:bCs/>
          <w:sz w:val="24"/>
          <w:szCs w:val="24"/>
          <w:lang w:val="en-US" w:bidi="en-US"/>
        </w:rPr>
        <w:t>Nine percent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of samples contained 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lastRenderedPageBreak/>
        <w:t>chalk only. Pigmentation of layers also varied within samples</w:t>
      </w:r>
      <w:r>
        <w:rPr>
          <w:rFonts w:ascii="Times New Roman" w:hAnsi="Times New Roman" w:cs="Times New Roman"/>
          <w:bCs/>
          <w:sz w:val="24"/>
          <w:szCs w:val="24"/>
          <w:lang w:val="en-US" w:bidi="en-US"/>
        </w:rPr>
        <w:t>;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for example, titanium white was sometimes found only in the top of double-layered priming (</w:t>
      </w:r>
      <w:hyperlink r:id="rId18" w:history="1">
        <w:r w:rsidR="00845105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 w:bidi="en-US"/>
          </w:rPr>
          <w:t>fig. 62.2b</w:t>
        </w:r>
      </w:hyperlink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).</w:t>
      </w:r>
    </w:p>
    <w:p w14:paraId="46F0766F" w14:textId="77777777" w:rsidR="00DC766D" w:rsidRPr="000E469C" w:rsidRDefault="00DC766D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n-US" w:bidi="en-US"/>
        </w:rPr>
      </w:pPr>
    </w:p>
    <w:p w14:paraId="77EADADB" w14:textId="5A9A90B5" w:rsidR="00466E8E" w:rsidRPr="000E469C" w:rsidRDefault="007B097C" w:rsidP="00686FEC">
      <w:pPr>
        <w:pStyle w:val="Heading2"/>
        <w:rPr>
          <w:lang w:val="en-US"/>
        </w:rPr>
      </w:pPr>
      <w:r w:rsidRPr="007B097C">
        <w:rPr>
          <w:b w:val="0"/>
          <w:bCs/>
          <w:highlight w:val="yellow"/>
          <w:lang w:val="en-US"/>
        </w:rPr>
        <w:t>&lt;B-head&gt;</w:t>
      </w:r>
      <w:r>
        <w:rPr>
          <w:lang w:val="en-US"/>
        </w:rPr>
        <w:t xml:space="preserve"> </w:t>
      </w:r>
      <w:r w:rsidR="00466E8E" w:rsidRPr="007B097C">
        <w:rPr>
          <w:i/>
          <w:iCs/>
          <w:lang w:val="en-US"/>
        </w:rPr>
        <w:t xml:space="preserve">Oil </w:t>
      </w:r>
      <w:r w:rsidRPr="007B097C">
        <w:rPr>
          <w:i/>
          <w:iCs/>
          <w:lang w:val="en-US"/>
        </w:rPr>
        <w:t>P</w:t>
      </w:r>
      <w:r w:rsidR="00466E8E" w:rsidRPr="007B097C">
        <w:rPr>
          <w:i/>
          <w:iCs/>
          <w:lang w:val="en-US"/>
        </w:rPr>
        <w:t xml:space="preserve">riming and </w:t>
      </w:r>
      <w:r w:rsidRPr="007B097C">
        <w:rPr>
          <w:i/>
          <w:iCs/>
          <w:lang w:val="en-US"/>
        </w:rPr>
        <w:t>Z</w:t>
      </w:r>
      <w:r w:rsidR="00466E8E" w:rsidRPr="007B097C">
        <w:rPr>
          <w:i/>
          <w:iCs/>
          <w:lang w:val="en-US"/>
        </w:rPr>
        <w:t xml:space="preserve">inc </w:t>
      </w:r>
      <w:r w:rsidRPr="007B097C">
        <w:rPr>
          <w:i/>
          <w:iCs/>
          <w:lang w:val="en-US"/>
        </w:rPr>
        <w:t>S</w:t>
      </w:r>
      <w:r w:rsidR="00466E8E" w:rsidRPr="007B097C">
        <w:rPr>
          <w:i/>
          <w:iCs/>
          <w:lang w:val="en-US"/>
        </w:rPr>
        <w:t>oaps</w:t>
      </w:r>
    </w:p>
    <w:p w14:paraId="07DAF5E7" w14:textId="76AE64CA" w:rsidR="00466E8E" w:rsidRPr="000E469C" w:rsidRDefault="00466E8E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n-US" w:bidi="en-US"/>
        </w:rPr>
      </w:pP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The four oil-primed samples were double</w:t>
      </w:r>
      <w:r w:rsidR="00DC766D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</w:t>
      </w: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primed. Three were oil over acrylic or acrylic</w:t>
      </w:r>
      <w:r w:rsidR="00DC766D">
        <w:rPr>
          <w:rFonts w:ascii="Times New Roman" w:hAnsi="Times New Roman" w:cs="Times New Roman"/>
          <w:bCs/>
          <w:sz w:val="24"/>
          <w:szCs w:val="24"/>
          <w:lang w:val="en-US" w:bidi="en-US"/>
        </w:rPr>
        <w:t>-</w:t>
      </w: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PVA, and one contained two oil layers. Barium sulfate, titanium white</w:t>
      </w:r>
      <w:r w:rsidR="00DC766D">
        <w:rPr>
          <w:rFonts w:ascii="Times New Roman" w:hAnsi="Times New Roman" w:cs="Times New Roman"/>
          <w:bCs/>
          <w:sz w:val="24"/>
          <w:szCs w:val="24"/>
          <w:lang w:val="en-US" w:bidi="en-US"/>
        </w:rPr>
        <w:t>,</w:t>
      </w: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and</w:t>
      </w:r>
      <w:r w:rsidRPr="000E469C" w:rsidDel="00636056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</w:t>
      </w: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calcium carbonate were found in oil</w:t>
      </w:r>
      <w:r w:rsidR="00DC766D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</w:t>
      </w:r>
      <w:proofErr w:type="spellStart"/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primings</w:t>
      </w:r>
      <w:proofErr w:type="spellEnd"/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. Additionally, zinc was detected in three of the oil- primed samples</w:t>
      </w:r>
      <w:r w:rsidR="00DC766D">
        <w:rPr>
          <w:rFonts w:ascii="Times New Roman" w:hAnsi="Times New Roman" w:cs="Times New Roman"/>
          <w:bCs/>
          <w:sz w:val="24"/>
          <w:szCs w:val="24"/>
          <w:lang w:val="en-US" w:bidi="en-US"/>
        </w:rPr>
        <w:t>,</w:t>
      </w: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and zinc soaps (amorphous and/or crystalline) were detected at the surface of these samples. </w:t>
      </w:r>
    </w:p>
    <w:p w14:paraId="76185995" w14:textId="5FD13E38" w:rsidR="00466E8E" w:rsidRPr="000E469C" w:rsidRDefault="00235230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n-US" w:bidi="en-US"/>
        </w:rPr>
      </w:pP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ab/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Amorphous zinc carboxylates (broadband cent</w:t>
      </w:r>
      <w:r w:rsidR="008A44C8">
        <w:rPr>
          <w:rFonts w:ascii="Times New Roman" w:hAnsi="Times New Roman" w:cs="Times New Roman"/>
          <w:bCs/>
          <w:sz w:val="24"/>
          <w:szCs w:val="24"/>
          <w:lang w:val="en-US" w:bidi="en-US"/>
        </w:rPr>
        <w:t>e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red 1571 </w:t>
      </w:r>
      <w:proofErr w:type="gramStart"/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cm</w:t>
      </w:r>
      <w:r w:rsidR="00DC766D">
        <w:rPr>
          <w:rFonts w:ascii="BentonSans" w:hAnsi="BentonSans" w:cs="Times New Roman"/>
          <w:bCs/>
          <w:sz w:val="24"/>
          <w:szCs w:val="24"/>
          <w:vertAlign w:val="superscript"/>
          <w:lang w:val="en-US" w:bidi="en-US"/>
        </w:rPr>
        <w:t>−</w:t>
      </w:r>
      <w:r w:rsidR="00466E8E" w:rsidRPr="000E469C">
        <w:rPr>
          <w:rFonts w:ascii="Times New Roman" w:hAnsi="Times New Roman" w:cs="Times New Roman"/>
          <w:bCs/>
          <w:sz w:val="24"/>
          <w:szCs w:val="24"/>
          <w:vertAlign w:val="superscript"/>
          <w:lang w:val="en-US" w:bidi="en-US"/>
        </w:rPr>
        <w:t>1</w:t>
      </w:r>
      <w:proofErr w:type="gramEnd"/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) were found at the top surface of the double oil priming where zinc oxide was present </w:t>
      </w:r>
      <w:r w:rsidR="00DC766D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only 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in the underlayer. This suggests in situ formation of zinc soaps and migration from the lower layer to the surface (</w:t>
      </w:r>
      <w:hyperlink r:id="rId19" w:history="1">
        <w:r w:rsidR="00845105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 w:bidi="en-US"/>
          </w:rPr>
          <w:t>fig. 62.3a</w:t>
        </w:r>
      </w:hyperlink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). </w:t>
      </w:r>
    </w:p>
    <w:p w14:paraId="1F31B1F3" w14:textId="7E41525D" w:rsidR="00466E8E" w:rsidRDefault="00235230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n-US" w:bidi="en-US"/>
        </w:rPr>
      </w:pP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ab/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Crystalline zinc soaps (1538 cm</w:t>
      </w:r>
      <w:r w:rsidR="00DC766D">
        <w:rPr>
          <w:rFonts w:ascii="BentonSans" w:hAnsi="BentonSans" w:cs="Times New Roman"/>
          <w:bCs/>
          <w:sz w:val="24"/>
          <w:szCs w:val="24"/>
          <w:vertAlign w:val="superscript"/>
          <w:lang w:val="en-US" w:bidi="en-US"/>
        </w:rPr>
        <w:t>−</w:t>
      </w:r>
      <w:r w:rsidR="00466E8E" w:rsidRPr="000E469C">
        <w:rPr>
          <w:rFonts w:ascii="Times New Roman" w:hAnsi="Times New Roman" w:cs="Times New Roman"/>
          <w:bCs/>
          <w:sz w:val="24"/>
          <w:szCs w:val="24"/>
          <w:vertAlign w:val="superscript"/>
          <w:lang w:val="en-US" w:bidi="en-US"/>
        </w:rPr>
        <w:t>1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) were detected at the surface of two oil-primed canvases with acrylic</w:t>
      </w:r>
      <w:r w:rsidR="00DC766D">
        <w:rPr>
          <w:rFonts w:ascii="Times New Roman" w:hAnsi="Times New Roman" w:cs="Times New Roman"/>
          <w:bCs/>
          <w:sz w:val="24"/>
          <w:szCs w:val="24"/>
          <w:lang w:val="en-US" w:bidi="en-US"/>
        </w:rPr>
        <w:t>-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PVA underlayers. The oil</w:t>
      </w:r>
      <w:r w:rsidR="00DC766D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priming contained no zinc oxide, and thus zinc stearate was likely a constituent in the priming formulation (</w:t>
      </w:r>
      <w:hyperlink r:id="rId20" w:history="1">
        <w:r w:rsidR="00845105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 w:bidi="en-US"/>
          </w:rPr>
          <w:t>fig. 62.3b</w:t>
        </w:r>
      </w:hyperlink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). These results are important</w:t>
      </w:r>
      <w:r w:rsidR="00DC766D">
        <w:rPr>
          <w:rFonts w:ascii="Times New Roman" w:hAnsi="Times New Roman" w:cs="Times New Roman"/>
          <w:bCs/>
          <w:sz w:val="24"/>
          <w:szCs w:val="24"/>
          <w:lang w:val="en-US" w:bidi="en-US"/>
        </w:rPr>
        <w:t>,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as zinc soaps at the surface of oil-primed canvases may pose a risk to subsequent oil-paint adhesion </w:t>
      </w:r>
      <w:r w:rsidR="003B1A4C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(</w:t>
      </w:r>
      <w:r w:rsidR="00BC222C">
        <w:rPr>
          <w:rFonts w:ascii="Times New Roman" w:hAnsi="Times New Roman" w:cs="Times New Roman"/>
          <w:bCs/>
          <w:sz w:val="24"/>
          <w:szCs w:val="24"/>
          <w:lang w:val="en-US" w:bidi="en-US"/>
        </w:rPr>
        <w:t>{{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Osmond 2019</w:t>
      </w:r>
      <w:r w:rsidR="00BC222C">
        <w:rPr>
          <w:rFonts w:ascii="Times New Roman" w:hAnsi="Times New Roman" w:cs="Times New Roman"/>
          <w:bCs/>
          <w:sz w:val="24"/>
          <w:szCs w:val="24"/>
          <w:lang w:val="en-US" w:bidi="en-US"/>
        </w:rPr>
        <w:t>}}</w:t>
      </w:r>
      <w:r w:rsidR="009F14F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)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.</w:t>
      </w:r>
    </w:p>
    <w:p w14:paraId="3BB12C7E" w14:textId="77777777" w:rsidR="00DC766D" w:rsidRPr="000E469C" w:rsidRDefault="00DC766D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n-US" w:bidi="en-US"/>
        </w:rPr>
      </w:pPr>
    </w:p>
    <w:p w14:paraId="508484D4" w14:textId="5EB5491D" w:rsidR="00466E8E" w:rsidRDefault="007B097C" w:rsidP="00DC766D">
      <w:pPr>
        <w:pStyle w:val="Heading2"/>
        <w:rPr>
          <w:lang w:val="en-US"/>
        </w:rPr>
      </w:pPr>
      <w:r w:rsidRPr="007B097C">
        <w:rPr>
          <w:b w:val="0"/>
          <w:bCs/>
          <w:highlight w:val="yellow"/>
          <w:lang w:val="en-US"/>
        </w:rPr>
        <w:t>&lt;A-head&gt;</w:t>
      </w:r>
      <w:r>
        <w:rPr>
          <w:lang w:val="en-US"/>
        </w:rPr>
        <w:t xml:space="preserve"> </w:t>
      </w:r>
      <w:r w:rsidR="00466E8E" w:rsidRPr="000E469C">
        <w:rPr>
          <w:lang w:val="en-US"/>
        </w:rPr>
        <w:t>Canvas</w:t>
      </w:r>
    </w:p>
    <w:p w14:paraId="06E892C9" w14:textId="0DA4E04C" w:rsidR="00466E8E" w:rsidRPr="000E469C" w:rsidRDefault="00466E8E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n-US" w:bidi="en-US"/>
        </w:rPr>
      </w:pP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Fib</w:t>
      </w:r>
      <w:r w:rsidR="00DC766D">
        <w:rPr>
          <w:rFonts w:ascii="Times New Roman" w:hAnsi="Times New Roman" w:cs="Times New Roman"/>
          <w:bCs/>
          <w:sz w:val="24"/>
          <w:szCs w:val="24"/>
          <w:lang w:val="en-US" w:bidi="en-US"/>
        </w:rPr>
        <w:t>e</w:t>
      </w: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r analysis showed good correlation with the information provided by manufacturers. Cotton was the most prevalent </w:t>
      </w:r>
      <w:r w:rsid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fiber</w:t>
      </w: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, followed by linen. </w:t>
      </w:r>
      <w:r w:rsidR="00780D08">
        <w:rPr>
          <w:rFonts w:ascii="Times New Roman" w:hAnsi="Times New Roman" w:cs="Times New Roman"/>
          <w:bCs/>
          <w:sz w:val="24"/>
          <w:szCs w:val="24"/>
          <w:lang w:val="en-US" w:bidi="en-US"/>
        </w:rPr>
        <w:t>Polythene terephthalate (</w:t>
      </w: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PET</w:t>
      </w:r>
      <w:r w:rsidR="00780D08">
        <w:rPr>
          <w:rFonts w:ascii="Times New Roman" w:hAnsi="Times New Roman" w:cs="Times New Roman"/>
          <w:bCs/>
          <w:sz w:val="24"/>
          <w:szCs w:val="24"/>
          <w:lang w:val="en-US" w:bidi="en-US"/>
        </w:rPr>
        <w:t>)</w:t>
      </w: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and PET</w:t>
      </w:r>
      <w:r w:rsidR="00D53185">
        <w:rPr>
          <w:rFonts w:ascii="Times New Roman" w:hAnsi="Times New Roman" w:cs="Times New Roman"/>
          <w:bCs/>
          <w:sz w:val="24"/>
          <w:szCs w:val="24"/>
          <w:lang w:val="en-US" w:bidi="en-US"/>
        </w:rPr>
        <w:t>-</w:t>
      </w: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cotton blends were less common (</w:t>
      </w:r>
      <w:hyperlink r:id="rId21" w:history="1">
        <w:r w:rsidR="00845105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 w:bidi="en-US"/>
          </w:rPr>
          <w:t>table 62.1</w:t>
        </w:r>
      </w:hyperlink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). </w:t>
      </w:r>
    </w:p>
    <w:p w14:paraId="2353CD5D" w14:textId="7140D77F" w:rsidR="00466E8E" w:rsidRPr="000E469C" w:rsidRDefault="00235230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n-US" w:bidi="en-US"/>
        </w:rPr>
      </w:pP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lastRenderedPageBreak/>
        <w:tab/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Three weave patterns were identified</w:t>
      </w:r>
      <w:r w:rsidR="00D53185">
        <w:rPr>
          <w:rFonts w:ascii="Times New Roman" w:hAnsi="Times New Roman" w:cs="Times New Roman"/>
          <w:bCs/>
          <w:sz w:val="24"/>
          <w:szCs w:val="24"/>
          <w:lang w:val="en-US" w:bidi="en-US"/>
        </w:rPr>
        <w:t>: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plain weave (1 </w:t>
      </w:r>
      <w:r w:rsidR="007B097C">
        <w:rPr>
          <w:rFonts w:ascii="Times New Roman" w:hAnsi="Times New Roman" w:cs="Times New Roman"/>
          <w:bCs/>
          <w:sz w:val="24"/>
          <w:szCs w:val="24"/>
          <w:lang w:val="en-US" w:bidi="en-US"/>
        </w:rPr>
        <w:t>x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1), half basket (2 </w:t>
      </w:r>
      <w:r w:rsidR="007B097C">
        <w:rPr>
          <w:rFonts w:ascii="Times New Roman" w:hAnsi="Times New Roman" w:cs="Times New Roman"/>
          <w:bCs/>
          <w:sz w:val="24"/>
          <w:szCs w:val="24"/>
          <w:lang w:val="en-US" w:bidi="en-US"/>
        </w:rPr>
        <w:t>x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1)</w:t>
      </w:r>
      <w:r w:rsidR="00D53185">
        <w:rPr>
          <w:rFonts w:ascii="Times New Roman" w:hAnsi="Times New Roman" w:cs="Times New Roman"/>
          <w:bCs/>
          <w:sz w:val="24"/>
          <w:szCs w:val="24"/>
          <w:lang w:val="en-US" w:bidi="en-US"/>
        </w:rPr>
        <w:t>,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and full basket (2 </w:t>
      </w:r>
      <w:r w:rsidR="007B097C">
        <w:rPr>
          <w:rFonts w:ascii="Times New Roman" w:hAnsi="Times New Roman" w:cs="Times New Roman"/>
          <w:bCs/>
          <w:sz w:val="24"/>
          <w:szCs w:val="24"/>
          <w:lang w:val="en-US" w:bidi="en-US"/>
        </w:rPr>
        <w:t>x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2) (</w:t>
      </w:r>
      <w:hyperlink r:id="rId22" w:history="1">
        <w:r w:rsidR="00845105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 w:bidi="en-US"/>
          </w:rPr>
          <w:t>table 62.1</w:t>
        </w:r>
      </w:hyperlink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). Cotton was typically found as half basket, while linen, PET</w:t>
      </w:r>
      <w:r w:rsidR="00D53185">
        <w:rPr>
          <w:rFonts w:ascii="Times New Roman" w:hAnsi="Times New Roman" w:cs="Times New Roman"/>
          <w:bCs/>
          <w:sz w:val="24"/>
          <w:szCs w:val="24"/>
          <w:lang w:val="en-US" w:bidi="en-US"/>
        </w:rPr>
        <w:t>,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and PET</w:t>
      </w:r>
      <w:r w:rsidR="00D53185">
        <w:rPr>
          <w:rFonts w:ascii="Times New Roman" w:hAnsi="Times New Roman" w:cs="Times New Roman"/>
          <w:bCs/>
          <w:sz w:val="24"/>
          <w:szCs w:val="24"/>
          <w:lang w:val="en-US" w:bidi="en-US"/>
        </w:rPr>
        <w:t>-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cotton blends were mostly plain weave. </w:t>
      </w:r>
      <w:r w:rsidR="00D53185">
        <w:rPr>
          <w:rFonts w:ascii="Times New Roman" w:hAnsi="Times New Roman" w:cs="Times New Roman"/>
          <w:bCs/>
          <w:sz w:val="24"/>
          <w:szCs w:val="24"/>
          <w:lang w:val="en-US" w:bidi="en-US"/>
        </w:rPr>
        <w:t>Twenty-five percent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of cotton samples had a thread count of 10 </w:t>
      </w:r>
      <w:r w:rsidR="007B097C">
        <w:rPr>
          <w:rFonts w:ascii="Times New Roman" w:hAnsi="Times New Roman" w:cs="Times New Roman"/>
          <w:bCs/>
          <w:sz w:val="24"/>
          <w:szCs w:val="24"/>
          <w:lang w:val="en-US" w:bidi="en-US"/>
        </w:rPr>
        <w:t>x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30 threads/cm</w:t>
      </w:r>
      <w:r w:rsidR="00D53185" w:rsidRPr="00D53185">
        <w:rPr>
          <w:rFonts w:ascii="Times New Roman" w:hAnsi="Times New Roman" w:cs="Times New Roman"/>
          <w:bCs/>
          <w:sz w:val="24"/>
          <w:szCs w:val="24"/>
          <w:vertAlign w:val="superscript"/>
          <w:lang w:val="en-US" w:bidi="en-US"/>
        </w:rPr>
        <w:t>2</w:t>
      </w:r>
      <w:r w:rsidR="00D53185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; 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otherwise, thread counts varied. </w:t>
      </w:r>
    </w:p>
    <w:p w14:paraId="60FA1FEE" w14:textId="03AA634B" w:rsidR="00466E8E" w:rsidRDefault="00235230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n-US" w:bidi="en-US"/>
        </w:rPr>
      </w:pP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ab/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Uniaxial tensile strength testing of canvas samples indicated that the type or number of priming layers did not significantly affect tensile strength. The force at max</w:t>
      </w:r>
      <w:r w:rsidR="00D53185">
        <w:rPr>
          <w:rFonts w:ascii="Times New Roman" w:hAnsi="Times New Roman" w:cs="Times New Roman"/>
          <w:bCs/>
          <w:sz w:val="24"/>
          <w:szCs w:val="24"/>
          <w:lang w:val="en-US" w:bidi="en-US"/>
        </w:rPr>
        <w:t>imum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for cotton and cotton</w:t>
      </w:r>
      <w:r w:rsidR="00D53185">
        <w:rPr>
          <w:rFonts w:ascii="Times New Roman" w:hAnsi="Times New Roman" w:cs="Times New Roman"/>
          <w:bCs/>
          <w:sz w:val="24"/>
          <w:szCs w:val="24"/>
          <w:lang w:val="en-US" w:bidi="en-US"/>
        </w:rPr>
        <w:t>-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PET (56</w:t>
      </w:r>
      <w:r w:rsidR="00D53185">
        <w:rPr>
          <w:rFonts w:ascii="Times New Roman" w:hAnsi="Times New Roman" w:cs="Times New Roman"/>
          <w:bCs/>
          <w:sz w:val="24"/>
          <w:szCs w:val="24"/>
          <w:lang w:val="en-US" w:bidi="en-US"/>
        </w:rPr>
        <w:t>—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258</w:t>
      </w:r>
      <w:r w:rsidR="00D53185">
        <w:rPr>
          <w:rFonts w:ascii="Times New Roman" w:hAnsi="Times New Roman" w:cs="Times New Roman"/>
          <w:bCs/>
          <w:sz w:val="24"/>
          <w:szCs w:val="24"/>
          <w:lang w:val="en-US" w:bidi="en-US"/>
        </w:rPr>
        <w:t> 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N) was generally lower than for linen and PET (191</w:t>
      </w:r>
      <w:r w:rsidR="00D53185">
        <w:rPr>
          <w:rFonts w:ascii="Times New Roman" w:hAnsi="Times New Roman" w:cs="Times New Roman"/>
          <w:bCs/>
          <w:sz w:val="24"/>
          <w:szCs w:val="24"/>
          <w:lang w:val="en-US" w:bidi="en-US"/>
        </w:rPr>
        <w:t>—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514</w:t>
      </w:r>
      <w:r w:rsidR="00D53185">
        <w:rPr>
          <w:rFonts w:ascii="Times New Roman" w:hAnsi="Times New Roman" w:cs="Times New Roman"/>
          <w:bCs/>
          <w:sz w:val="24"/>
          <w:szCs w:val="24"/>
          <w:lang w:val="en-US" w:bidi="en-US"/>
        </w:rPr>
        <w:t> 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N) regardless of priming layers. The modulus of elasticity of the samples varied, generally showing a lower modulus of elasticity in the warp direction than the weft, aligning with research by </w:t>
      </w: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others (</w:t>
      </w:r>
      <w:r w:rsidR="00BC222C">
        <w:rPr>
          <w:rFonts w:ascii="Times New Roman" w:hAnsi="Times New Roman" w:cs="Times New Roman"/>
          <w:bCs/>
          <w:sz w:val="24"/>
          <w:szCs w:val="24"/>
          <w:lang w:val="en-US" w:bidi="en-US"/>
        </w:rPr>
        <w:t>{{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Young and Jardine</w:t>
      </w: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201</w:t>
      </w:r>
      <w:r w:rsidR="009B08B8">
        <w:rPr>
          <w:rFonts w:ascii="Times New Roman" w:hAnsi="Times New Roman" w:cs="Times New Roman"/>
          <w:bCs/>
          <w:sz w:val="24"/>
          <w:szCs w:val="24"/>
          <w:lang w:val="en-US" w:bidi="en-US"/>
        </w:rPr>
        <w:t>2</w:t>
      </w:r>
      <w:r w:rsidR="00BC222C">
        <w:rPr>
          <w:rFonts w:ascii="Times New Roman" w:hAnsi="Times New Roman" w:cs="Times New Roman"/>
          <w:bCs/>
          <w:sz w:val="24"/>
          <w:szCs w:val="24"/>
          <w:lang w:val="en-US" w:bidi="en-US"/>
        </w:rPr>
        <w:t>}}</w:t>
      </w: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)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.</w:t>
      </w:r>
    </w:p>
    <w:p w14:paraId="37332E8B" w14:textId="77777777" w:rsidR="008A44C8" w:rsidRPr="000E469C" w:rsidRDefault="008A44C8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n-US" w:bidi="en-US"/>
        </w:rPr>
      </w:pPr>
    </w:p>
    <w:p w14:paraId="76A7E1AC" w14:textId="12B06CEF" w:rsidR="00466E8E" w:rsidRDefault="007B097C" w:rsidP="00235230">
      <w:pPr>
        <w:pStyle w:val="Heading2"/>
        <w:rPr>
          <w:lang w:val="en-US"/>
        </w:rPr>
      </w:pPr>
      <w:r w:rsidRPr="007B097C">
        <w:rPr>
          <w:b w:val="0"/>
          <w:bCs/>
          <w:highlight w:val="yellow"/>
          <w:lang w:val="en-US"/>
        </w:rPr>
        <w:t>&lt;A-head&gt;</w:t>
      </w:r>
      <w:r>
        <w:rPr>
          <w:lang w:val="en-US"/>
        </w:rPr>
        <w:t xml:space="preserve"> </w:t>
      </w:r>
      <w:r w:rsidR="00466E8E" w:rsidRPr="000E469C">
        <w:rPr>
          <w:lang w:val="en-US"/>
        </w:rPr>
        <w:t>Heat tests</w:t>
      </w:r>
    </w:p>
    <w:p w14:paraId="21897920" w14:textId="74B91C27" w:rsidR="00466E8E" w:rsidRDefault="00466E8E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n-US" w:bidi="en-US"/>
        </w:rPr>
      </w:pP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Response of the priming layer to heat was tested. Most samples were visually affected after holding a </w:t>
      </w:r>
      <w:r w:rsidR="00A813D6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spatula </w:t>
      </w: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heated </w:t>
      </w:r>
      <w:r w:rsidR="00A813D6">
        <w:rPr>
          <w:rFonts w:ascii="Times New Roman" w:hAnsi="Times New Roman" w:cs="Times New Roman"/>
          <w:bCs/>
          <w:sz w:val="24"/>
          <w:szCs w:val="24"/>
          <w:lang w:val="en-US" w:bidi="en-US"/>
        </w:rPr>
        <w:t>to</w:t>
      </w:r>
      <w:r w:rsidR="00297382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</w:t>
      </w: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80</w:t>
      </w:r>
      <w:r w:rsidR="00A813D6" w:rsidRPr="00A813D6">
        <w:rPr>
          <w:rFonts w:ascii="Times New Roman" w:hAnsi="Times New Roman" w:cs="Times New Roman"/>
          <w:bCs/>
          <w:sz w:val="24"/>
          <w:szCs w:val="24"/>
          <w:lang w:val="en-US" w:bidi="en-US"/>
        </w:rPr>
        <w:t>°</w:t>
      </w: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C against the surface for </w:t>
      </w:r>
      <w:r w:rsidR="007B097C">
        <w:rPr>
          <w:rFonts w:ascii="Times New Roman" w:hAnsi="Times New Roman" w:cs="Times New Roman"/>
          <w:bCs/>
          <w:sz w:val="24"/>
          <w:szCs w:val="24"/>
          <w:lang w:val="en-US" w:bidi="en-US"/>
        </w:rPr>
        <w:t>one</w:t>
      </w:r>
      <w:r w:rsidR="00A813D6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</w:t>
      </w: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minute</w:t>
      </w:r>
      <w:r w:rsidR="00A813D6">
        <w:rPr>
          <w:rFonts w:ascii="Times New Roman" w:hAnsi="Times New Roman" w:cs="Times New Roman"/>
          <w:bCs/>
          <w:sz w:val="24"/>
          <w:szCs w:val="24"/>
          <w:lang w:val="en-US" w:bidi="en-US"/>
        </w:rPr>
        <w:t>;</w:t>
      </w: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however</w:t>
      </w:r>
      <w:r w:rsidR="00A813D6">
        <w:rPr>
          <w:rFonts w:ascii="Times New Roman" w:hAnsi="Times New Roman" w:cs="Times New Roman"/>
          <w:bCs/>
          <w:sz w:val="24"/>
          <w:szCs w:val="24"/>
          <w:lang w:val="en-US" w:bidi="en-US"/>
        </w:rPr>
        <w:t>,</w:t>
      </w: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there was no obvious visual effect in 19% of samples</w:t>
      </w:r>
      <w:r w:rsidR="00A813D6">
        <w:rPr>
          <w:rFonts w:ascii="Times New Roman" w:hAnsi="Times New Roman" w:cs="Times New Roman"/>
          <w:bCs/>
          <w:sz w:val="24"/>
          <w:szCs w:val="24"/>
          <w:lang w:val="en-US" w:bidi="en-US"/>
        </w:rPr>
        <w:t>—</w:t>
      </w: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that is</w:t>
      </w:r>
      <w:r w:rsidR="00B56EDD">
        <w:rPr>
          <w:rFonts w:ascii="Times New Roman" w:hAnsi="Times New Roman" w:cs="Times New Roman"/>
          <w:bCs/>
          <w:sz w:val="24"/>
          <w:szCs w:val="24"/>
          <w:lang w:val="en-US" w:bidi="en-US"/>
        </w:rPr>
        <w:t>,</w:t>
      </w: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no flattening, burnishing, softening</w:t>
      </w:r>
      <w:r w:rsidR="00A813D6">
        <w:rPr>
          <w:rFonts w:ascii="Times New Roman" w:hAnsi="Times New Roman" w:cs="Times New Roman"/>
          <w:bCs/>
          <w:sz w:val="24"/>
          <w:szCs w:val="24"/>
          <w:lang w:val="en-US" w:bidi="en-US"/>
        </w:rPr>
        <w:t>,</w:t>
      </w: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or tackiness. No obvious correlation was found between heat response and binder or pigmentation type to inform conservation practice. </w:t>
      </w:r>
    </w:p>
    <w:p w14:paraId="6D46A258" w14:textId="77777777" w:rsidR="008A44C8" w:rsidRPr="000E469C" w:rsidRDefault="008A44C8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n-US" w:bidi="en-US"/>
        </w:rPr>
      </w:pPr>
    </w:p>
    <w:p w14:paraId="31F87AFF" w14:textId="4397329A" w:rsidR="00466E8E" w:rsidRDefault="00B56EDD" w:rsidP="00BD7566">
      <w:pPr>
        <w:pStyle w:val="Heading1"/>
        <w:rPr>
          <w:lang w:val="en-US"/>
        </w:rPr>
      </w:pPr>
      <w:r w:rsidRPr="00B56EDD">
        <w:rPr>
          <w:b w:val="0"/>
          <w:bCs w:val="0"/>
          <w:highlight w:val="yellow"/>
          <w:lang w:val="en-US"/>
        </w:rPr>
        <w:t>&lt;A-head&gt;</w:t>
      </w:r>
      <w:r>
        <w:rPr>
          <w:lang w:val="en-US"/>
        </w:rPr>
        <w:t xml:space="preserve"> </w:t>
      </w:r>
      <w:r w:rsidR="00466E8E" w:rsidRPr="000E469C">
        <w:rPr>
          <w:lang w:val="en-US"/>
        </w:rPr>
        <w:t>Conclusion</w:t>
      </w:r>
      <w:r w:rsidR="00A813D6">
        <w:rPr>
          <w:lang w:val="en-US"/>
        </w:rPr>
        <w:t>s</w:t>
      </w:r>
    </w:p>
    <w:p w14:paraId="24934F39" w14:textId="5A6910FE" w:rsidR="00466E8E" w:rsidRPr="000E469C" w:rsidRDefault="00466E8E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n-US" w:bidi="en-US"/>
        </w:rPr>
      </w:pP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The synthetic emulsion </w:t>
      </w:r>
      <w:proofErr w:type="spellStart"/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primings</w:t>
      </w:r>
      <w:proofErr w:type="spellEnd"/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found in this study reflect commercial development over the past </w:t>
      </w:r>
      <w:r w:rsidR="00B56EDD">
        <w:rPr>
          <w:rFonts w:ascii="Times New Roman" w:hAnsi="Times New Roman" w:cs="Times New Roman"/>
          <w:bCs/>
          <w:sz w:val="24"/>
          <w:szCs w:val="24"/>
          <w:lang w:val="en-US" w:bidi="en-US"/>
        </w:rPr>
        <w:t>seventy</w:t>
      </w: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years. However, where industry has broadly transitioned from PVA and PVA</w:t>
      </w:r>
      <w:r w:rsidR="00A813D6">
        <w:rPr>
          <w:rFonts w:ascii="Times New Roman" w:hAnsi="Times New Roman" w:cs="Times New Roman"/>
          <w:bCs/>
          <w:sz w:val="24"/>
          <w:szCs w:val="24"/>
          <w:lang w:val="en-US" w:bidi="en-US"/>
        </w:rPr>
        <w:t>-</w:t>
      </w: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acrylic copolymers to acrylics and </w:t>
      </w:r>
      <w:proofErr w:type="spellStart"/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styrenated</w:t>
      </w:r>
      <w:proofErr w:type="spellEnd"/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-acrylics </w:t>
      </w:r>
      <w:r w:rsidR="003B1A4C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(</w:t>
      </w:r>
      <w:r w:rsidR="00BC222C">
        <w:rPr>
          <w:rFonts w:ascii="Times New Roman" w:hAnsi="Times New Roman" w:cs="Times New Roman"/>
          <w:bCs/>
          <w:sz w:val="24"/>
          <w:szCs w:val="24"/>
          <w:lang w:val="en-US" w:bidi="en-US"/>
        </w:rPr>
        <w:t>{{</w:t>
      </w:r>
      <w:r w:rsidR="00B6149D" w:rsidRPr="000E469C">
        <w:rPr>
          <w:rFonts w:ascii="Times New Roman" w:hAnsi="Times New Roman" w:cs="Times New Roman"/>
          <w:sz w:val="24"/>
          <w:szCs w:val="24"/>
          <w:lang w:val="en-US"/>
        </w:rPr>
        <w:t xml:space="preserve">Schwartz and </w:t>
      </w:r>
      <w:proofErr w:type="spellStart"/>
      <w:r w:rsidR="00B6149D" w:rsidRPr="000E469C">
        <w:rPr>
          <w:rFonts w:ascii="Times New Roman" w:hAnsi="Times New Roman" w:cs="Times New Roman"/>
          <w:sz w:val="24"/>
          <w:szCs w:val="24"/>
          <w:lang w:val="en-US"/>
        </w:rPr>
        <w:t>Kossmann</w:t>
      </w:r>
      <w:proofErr w:type="spellEnd"/>
      <w:r w:rsidR="00B6149D" w:rsidRPr="000E469C" w:rsidDel="00B6149D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</w:t>
      </w:r>
      <w:r w:rsidR="00BE7AA0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1998</w:t>
      </w:r>
      <w:r w:rsidR="00BC222C">
        <w:rPr>
          <w:rFonts w:ascii="Times New Roman" w:hAnsi="Times New Roman" w:cs="Times New Roman"/>
          <w:bCs/>
          <w:sz w:val="24"/>
          <w:szCs w:val="24"/>
          <w:lang w:val="en-US" w:bidi="en-US"/>
        </w:rPr>
        <w:t>}}</w:t>
      </w:r>
      <w:r w:rsidR="009F14F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)</w:t>
      </w: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</w:t>
      </w:r>
      <w:r w:rsidRPr="000E469C">
        <w:rPr>
          <w:rFonts w:ascii="Times New Roman" w:hAnsi="Times New Roman" w:cs="Times New Roman"/>
          <w:sz w:val="24"/>
          <w:szCs w:val="24"/>
          <w:lang w:val="en-US"/>
        </w:rPr>
        <w:t>PVA remains a common constituent in commercially</w:t>
      </w:r>
      <w:r w:rsidR="00A813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E469C">
        <w:rPr>
          <w:rFonts w:ascii="Times New Roman" w:hAnsi="Times New Roman" w:cs="Times New Roman"/>
          <w:sz w:val="24"/>
          <w:szCs w:val="24"/>
          <w:lang w:val="en-US"/>
        </w:rPr>
        <w:t xml:space="preserve">primed artist canvases. </w:t>
      </w:r>
    </w:p>
    <w:p w14:paraId="4252F53B" w14:textId="25A3C0E5" w:rsidR="00466E8E" w:rsidRPr="000E469C" w:rsidRDefault="00235230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n-US" w:bidi="en-US"/>
        </w:rPr>
      </w:pP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lastRenderedPageBreak/>
        <w:tab/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Styrene was found in 64% of priming </w:t>
      </w:r>
      <w:r w:rsidR="00780D08">
        <w:rPr>
          <w:rFonts w:ascii="Times New Roman" w:hAnsi="Times New Roman" w:cs="Times New Roman"/>
          <w:bCs/>
          <w:sz w:val="24"/>
          <w:szCs w:val="24"/>
          <w:lang w:val="en-US" w:bidi="en-US"/>
        </w:rPr>
        <w:t>surface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layers</w:t>
      </w:r>
      <w:r w:rsidR="00A813D6">
        <w:rPr>
          <w:rFonts w:ascii="Times New Roman" w:hAnsi="Times New Roman" w:cs="Times New Roman"/>
          <w:bCs/>
          <w:sz w:val="24"/>
          <w:szCs w:val="24"/>
          <w:lang w:val="en-US" w:bidi="en-US"/>
        </w:rPr>
        <w:t>—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most frequently with acrylic but also combined with PVA. </w:t>
      </w:r>
      <w:proofErr w:type="spellStart"/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Styrenated</w:t>
      </w:r>
      <w:proofErr w:type="spellEnd"/>
      <w:r w:rsidR="00A813D6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acrylics were also found as underlayers for both oil and acrylic layers. The prevalence of </w:t>
      </w:r>
      <w:proofErr w:type="spellStart"/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styrenated</w:t>
      </w:r>
      <w:proofErr w:type="spellEnd"/>
      <w:r w:rsidR="00A813D6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acrylics indicates a trend of increased use since 2008 </w:t>
      </w:r>
      <w:r w:rsidR="00054B22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(</w:t>
      </w:r>
      <w:r w:rsidR="00BC222C">
        <w:rPr>
          <w:rFonts w:ascii="Times New Roman" w:hAnsi="Times New Roman" w:cs="Times New Roman"/>
          <w:bCs/>
          <w:sz w:val="24"/>
          <w:szCs w:val="24"/>
          <w:lang w:val="en-US" w:bidi="en-US"/>
        </w:rPr>
        <w:t>{{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Ormsby et al.</w:t>
      </w:r>
      <w:r w:rsidR="00054B22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2008</w:t>
      </w:r>
      <w:r w:rsidR="00BC222C">
        <w:rPr>
          <w:rFonts w:ascii="Times New Roman" w:hAnsi="Times New Roman" w:cs="Times New Roman"/>
          <w:bCs/>
          <w:sz w:val="24"/>
          <w:szCs w:val="24"/>
          <w:lang w:val="en-US" w:bidi="en-US"/>
        </w:rPr>
        <w:t>}}</w:t>
      </w:r>
      <w:r w:rsidR="00054B22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).</w:t>
      </w:r>
    </w:p>
    <w:p w14:paraId="0396A2C4" w14:textId="3E269BFD" w:rsidR="00466E8E" w:rsidRPr="000E469C" w:rsidRDefault="00235230">
      <w:pPr>
        <w:spacing w:line="480" w:lineRule="auto"/>
        <w:rPr>
          <w:rFonts w:ascii="Times New Roman" w:eastAsia="Times New Roman" w:hAnsi="Times New Roman" w:cs="Times New Roman"/>
          <w:color w:val="4472C4"/>
          <w:sz w:val="24"/>
          <w:szCs w:val="24"/>
          <w:lang w:val="en-US"/>
        </w:rPr>
      </w:pPr>
      <w:r w:rsidRPr="000E46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="00466E8E" w:rsidRPr="000E46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Styrenated</w:t>
      </w:r>
      <w:proofErr w:type="spellEnd"/>
      <w:r w:rsidR="00A81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466E8E" w:rsidRPr="000E46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acrylic emulsions are generally used in more economical paints</w:t>
      </w:r>
      <w:r w:rsidR="00A81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466E8E" w:rsidRPr="000E46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as styrene monomers are cheaper than acrylics. However, </w:t>
      </w:r>
      <w:proofErr w:type="spellStart"/>
      <w:r w:rsidR="00466E8E" w:rsidRPr="000E46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styrenated</w:t>
      </w:r>
      <w:proofErr w:type="spellEnd"/>
      <w:r w:rsidR="00A81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466E8E" w:rsidRPr="000E46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acrylics can also produce high-end paints</w:t>
      </w:r>
      <w:r w:rsidR="00A81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466E8E" w:rsidRPr="000E46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depending on the performance required.</w:t>
      </w:r>
      <w:r w:rsidR="00F82559">
        <w:rPr>
          <w:rStyle w:val="EndnoteReference"/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endnoteReference w:id="1"/>
      </w:r>
      <w:r w:rsidR="002973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466E8E" w:rsidRPr="000E46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Importantly, 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styrene </w:t>
      </w:r>
      <w:r w:rsidR="00466E8E" w:rsidRPr="000E469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is not stable when exposed to ultraviolet radiation </w:t>
      </w:r>
      <w:r w:rsidR="003B1A4C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(</w:t>
      </w:r>
      <w:r w:rsidR="00BC222C">
        <w:rPr>
          <w:rFonts w:ascii="Times New Roman" w:hAnsi="Times New Roman" w:cs="Times New Roman"/>
          <w:bCs/>
          <w:sz w:val="24"/>
          <w:szCs w:val="24"/>
          <w:lang w:val="en-US" w:bidi="en-US"/>
        </w:rPr>
        <w:t>{{</w:t>
      </w:r>
      <w:proofErr w:type="spellStart"/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Standeven</w:t>
      </w:r>
      <w:proofErr w:type="spellEnd"/>
      <w:r w:rsidR="00B56EDD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2011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)</w:t>
      </w:r>
      <w:r w:rsidR="00BC222C">
        <w:rPr>
          <w:rFonts w:ascii="Times New Roman" w:hAnsi="Times New Roman" w:cs="Times New Roman"/>
          <w:bCs/>
          <w:sz w:val="24"/>
          <w:szCs w:val="24"/>
          <w:lang w:val="en-US" w:bidi="en-US"/>
        </w:rPr>
        <w:t>}}</w:t>
      </w:r>
      <w:r w:rsidR="009F14F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)</w:t>
      </w:r>
      <w:r w:rsidR="00466E8E" w:rsidRPr="000E469C">
        <w:rPr>
          <w:rFonts w:ascii="Times New Roman" w:eastAsia="Times New Roman" w:hAnsi="Times New Roman" w:cs="Times New Roman"/>
          <w:sz w:val="24"/>
          <w:szCs w:val="24"/>
          <w:lang w:val="en-US"/>
        </w:rPr>
        <w:t>. It can become yellow</w:t>
      </w:r>
      <w:r w:rsidR="002973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66E8E" w:rsidRPr="000E469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and may </w:t>
      </w:r>
      <w:r w:rsidR="00686FEC">
        <w:rPr>
          <w:rFonts w:ascii="Times New Roman" w:eastAsia="Times New Roman" w:hAnsi="Times New Roman" w:cs="Times New Roman"/>
          <w:sz w:val="24"/>
          <w:szCs w:val="24"/>
          <w:lang w:val="en-US"/>
        </w:rPr>
        <w:t>“</w:t>
      </w:r>
      <w:r w:rsidR="00780D08">
        <w:rPr>
          <w:rFonts w:ascii="Times New Roman" w:eastAsia="Times New Roman" w:hAnsi="Times New Roman" w:cs="Times New Roman"/>
          <w:sz w:val="24"/>
          <w:szCs w:val="24"/>
          <w:lang w:val="en-US"/>
        </w:rPr>
        <w:t>chalk</w:t>
      </w:r>
      <w:r w:rsidR="00686FEC"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  <w:r w:rsidR="00780D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="00466E8E" w:rsidRPr="000E469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crack if sufficient UV exposure occurs. When covered with another paint layer, </w:t>
      </w:r>
      <w:proofErr w:type="spellStart"/>
      <w:r w:rsidR="00466E8E" w:rsidRPr="000E469C">
        <w:rPr>
          <w:rFonts w:ascii="Times New Roman" w:eastAsia="Times New Roman" w:hAnsi="Times New Roman" w:cs="Times New Roman"/>
          <w:sz w:val="24"/>
          <w:szCs w:val="24"/>
          <w:lang w:val="en-US"/>
        </w:rPr>
        <w:t>styrenated</w:t>
      </w:r>
      <w:proofErr w:type="spellEnd"/>
      <w:r w:rsidR="00054B22" w:rsidRPr="000E469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66E8E" w:rsidRPr="000E469C">
        <w:rPr>
          <w:rFonts w:ascii="Times New Roman" w:eastAsia="Times New Roman" w:hAnsi="Times New Roman" w:cs="Times New Roman"/>
          <w:sz w:val="24"/>
          <w:szCs w:val="24"/>
          <w:lang w:val="en-US"/>
        </w:rPr>
        <w:t>acrylic is considered stable</w:t>
      </w:r>
      <w:r w:rsidR="00466E8E" w:rsidRPr="000E46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F82559">
        <w:rPr>
          <w:rStyle w:val="EndnoteReference"/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endnoteReference w:id="2"/>
      </w:r>
      <w:r w:rsidR="00780D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Thus</w:t>
      </w:r>
      <w:r w:rsidR="00466E8E" w:rsidRPr="000E469C">
        <w:rPr>
          <w:rFonts w:ascii="Times New Roman" w:eastAsia="Times New Roman" w:hAnsi="Times New Roman" w:cs="Times New Roman"/>
          <w:sz w:val="24"/>
          <w:szCs w:val="24"/>
          <w:lang w:val="en-US"/>
        </w:rPr>
        <w:t>, a general recommendation from this research is for artists to avoid leaving commercial</w:t>
      </w:r>
      <w:r w:rsidR="00A813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66E8E" w:rsidRPr="000E469C">
        <w:rPr>
          <w:rFonts w:ascii="Times New Roman" w:eastAsia="Times New Roman" w:hAnsi="Times New Roman" w:cs="Times New Roman"/>
          <w:sz w:val="24"/>
          <w:szCs w:val="24"/>
          <w:lang w:val="en-US"/>
        </w:rPr>
        <w:t>priming layers</w:t>
      </w:r>
      <w:r w:rsidR="0067293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(which may contain styrene)</w:t>
      </w:r>
      <w:r w:rsidR="00466E8E" w:rsidRPr="000E469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exposed to possible UV degradation.</w:t>
      </w:r>
    </w:p>
    <w:p w14:paraId="44EEF3DF" w14:textId="6E8899A0" w:rsidR="00466E8E" w:rsidRPr="000E469C" w:rsidRDefault="00235230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n-US" w:bidi="en-US"/>
        </w:rPr>
      </w:pP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ab/>
      </w:r>
      <w:proofErr w:type="gramStart"/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In regard to</w:t>
      </w:r>
      <w:proofErr w:type="gramEnd"/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oil-primed canvases, surface zinc carboxylates were identified. They present the risk of delamination of subsequently applied oil</w:t>
      </w:r>
      <w:r w:rsidR="00A813D6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paint. </w:t>
      </w:r>
    </w:p>
    <w:p w14:paraId="1E0E9478" w14:textId="033B2983" w:rsidR="00466E8E" w:rsidRPr="000E469C" w:rsidRDefault="00235230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n-US" w:bidi="en-US"/>
        </w:rPr>
      </w:pP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ab/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Of the </w:t>
      </w:r>
      <w:r w:rsidR="00B56EDD">
        <w:rPr>
          <w:rFonts w:ascii="Times New Roman" w:hAnsi="Times New Roman" w:cs="Times New Roman"/>
          <w:bCs/>
          <w:sz w:val="24"/>
          <w:szCs w:val="24"/>
          <w:lang w:val="en-US" w:bidi="en-US"/>
        </w:rPr>
        <w:t>fifty-three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commercially</w:t>
      </w:r>
      <w:r w:rsidR="008A44C8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primed canvases, none showed identical formulations of binder and pigment</w:t>
      </w:r>
      <w:r w:rsidR="00144094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filler except </w:t>
      </w:r>
      <w:r w:rsidR="00A813D6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for 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some of the same brand</w:t>
      </w:r>
      <w:r w:rsidR="009017DE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. This finding implies that 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there is no standard formulation for commercially</w:t>
      </w:r>
      <w:r w:rsidR="00A813D6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primed canvases, nor necessarily consistency within brands</w:t>
      </w:r>
      <w:r w:rsidR="009017DE">
        <w:rPr>
          <w:rFonts w:ascii="Times New Roman" w:hAnsi="Times New Roman" w:cs="Times New Roman"/>
          <w:bCs/>
          <w:sz w:val="24"/>
          <w:szCs w:val="24"/>
          <w:lang w:val="en-US" w:bidi="en-US"/>
        </w:rPr>
        <w:t>—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the same product from different suppliers was not always identical, suggesting inconsistent production. Thus, priming</w:t>
      </w:r>
      <w:r w:rsidR="009017DE">
        <w:rPr>
          <w:rFonts w:ascii="Times New Roman" w:hAnsi="Times New Roman" w:cs="Times New Roman"/>
          <w:bCs/>
          <w:sz w:val="24"/>
          <w:szCs w:val="24"/>
          <w:lang w:val="en-US" w:bidi="en-US"/>
        </w:rPr>
        <w:t>-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layer properties are difficult to identify from supplier information. </w:t>
      </w:r>
    </w:p>
    <w:p w14:paraId="30628CFF" w14:textId="5C539E3A" w:rsidR="00466E8E" w:rsidRDefault="00235230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n-US" w:bidi="en-US"/>
        </w:rPr>
      </w:pPr>
      <w:r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ab/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Cotton canvas predominated, primarily in half-basket weave. Synthetic canvases were not common</w:t>
      </w:r>
      <w:r w:rsidR="009017DE">
        <w:rPr>
          <w:rFonts w:ascii="Times New Roman" w:hAnsi="Times New Roman" w:cs="Times New Roman"/>
          <w:bCs/>
          <w:sz w:val="24"/>
          <w:szCs w:val="24"/>
          <w:lang w:val="en-US" w:bidi="en-US"/>
        </w:rPr>
        <w:t>;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however</w:t>
      </w:r>
      <w:r w:rsidR="009017DE">
        <w:rPr>
          <w:rFonts w:ascii="Times New Roman" w:hAnsi="Times New Roman" w:cs="Times New Roman"/>
          <w:bCs/>
          <w:sz w:val="24"/>
          <w:szCs w:val="24"/>
          <w:lang w:val="en-US" w:bidi="en-US"/>
        </w:rPr>
        <w:t>, they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showed </w:t>
      </w:r>
      <w:r w:rsidR="009017DE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the 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greatest tensile strength. Correlations between </w:t>
      </w:r>
      <w:r w:rsidR="009017D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observations </w:t>
      </w:r>
      <w:r w:rsidR="009017DE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from 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artwork treatment</w:t>
      </w:r>
      <w:r w:rsidR="009017DE">
        <w:rPr>
          <w:rFonts w:ascii="Times New Roman" w:hAnsi="Times New Roman" w:cs="Times New Roman"/>
          <w:bCs/>
          <w:sz w:val="24"/>
          <w:szCs w:val="24"/>
          <w:lang w:val="en-US" w:bidi="en-US"/>
        </w:rPr>
        <w:t>s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and </w:t>
      </w:r>
      <w:r w:rsidR="009017DE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those works’ 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commercially</w:t>
      </w:r>
      <w:r w:rsidR="009017DE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primed canvas type were unclear. However, within the small number of paintings </w:t>
      </w:r>
      <w:r w:rsidR="008A44C8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>analyzed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 (</w:t>
      </w:r>
      <w:r w:rsidR="00B56EDD">
        <w:rPr>
          <w:rFonts w:ascii="Times New Roman" w:hAnsi="Times New Roman" w:cs="Times New Roman"/>
          <w:bCs/>
          <w:sz w:val="24"/>
          <w:szCs w:val="24"/>
          <w:lang w:val="en-US" w:bidi="en-US"/>
        </w:rPr>
        <w:t>seventeen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t xml:space="preserve">), artworks </w:t>
      </w:r>
      <w:r w:rsidR="00466E8E" w:rsidRPr="000E469C">
        <w:rPr>
          <w:rFonts w:ascii="Times New Roman" w:hAnsi="Times New Roman" w:cs="Times New Roman"/>
          <w:bCs/>
          <w:sz w:val="24"/>
          <w:szCs w:val="24"/>
          <w:lang w:val="en-US" w:bidi="en-US"/>
        </w:rPr>
        <w:lastRenderedPageBreak/>
        <w:t xml:space="preserve">on half-basket weave cotton canvas with chalk-dominated priming were the main contenders for unusual treatment observations. </w:t>
      </w:r>
    </w:p>
    <w:p w14:paraId="4E46893B" w14:textId="77777777" w:rsidR="008A44C8" w:rsidRPr="000E469C" w:rsidRDefault="008A44C8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n-US" w:bidi="en-US"/>
        </w:rPr>
      </w:pPr>
    </w:p>
    <w:p w14:paraId="4FC7DE77" w14:textId="303F3BBA" w:rsidR="00466E8E" w:rsidRDefault="00B56EDD" w:rsidP="00BD7566">
      <w:pPr>
        <w:pStyle w:val="Heading1"/>
        <w:rPr>
          <w:lang w:val="en-US"/>
        </w:rPr>
      </w:pPr>
      <w:r w:rsidRPr="00B56EDD">
        <w:rPr>
          <w:b w:val="0"/>
          <w:bCs w:val="0"/>
          <w:highlight w:val="yellow"/>
          <w:lang w:val="en-US"/>
        </w:rPr>
        <w:t>&lt;A-head&gt;</w:t>
      </w:r>
      <w:r>
        <w:rPr>
          <w:lang w:val="en-US"/>
        </w:rPr>
        <w:t xml:space="preserve"> </w:t>
      </w:r>
      <w:r w:rsidR="00466E8E" w:rsidRPr="000E469C">
        <w:rPr>
          <w:lang w:val="en-US"/>
        </w:rPr>
        <w:t>Acknowledgment</w:t>
      </w:r>
      <w:r w:rsidR="008A44C8">
        <w:rPr>
          <w:lang w:val="en-US"/>
        </w:rPr>
        <w:t>s</w:t>
      </w:r>
    </w:p>
    <w:p w14:paraId="56F9F11C" w14:textId="04E3160E" w:rsidR="00466E8E" w:rsidRDefault="00466E8E" w:rsidP="00144094">
      <w:pPr>
        <w:spacing w:line="480" w:lineRule="auto"/>
        <w:rPr>
          <w:rFonts w:ascii="Times New Roman" w:hAnsi="Times New Roman" w:cs="Times New Roman"/>
          <w:sz w:val="24"/>
          <w:szCs w:val="24"/>
          <w:lang w:val="en-US" w:bidi="en-US"/>
        </w:rPr>
      </w:pPr>
      <w:r w:rsidRPr="000E469C">
        <w:rPr>
          <w:rFonts w:ascii="Times New Roman" w:hAnsi="Times New Roman" w:cs="Times New Roman"/>
          <w:sz w:val="24"/>
          <w:szCs w:val="24"/>
          <w:lang w:val="en-US" w:bidi="en-US"/>
        </w:rPr>
        <w:t xml:space="preserve">The project was carried out as part of the </w:t>
      </w:r>
      <w:r w:rsidR="009017DE">
        <w:rPr>
          <w:rFonts w:ascii="Times New Roman" w:hAnsi="Times New Roman" w:cs="Times New Roman"/>
          <w:sz w:val="24"/>
          <w:szCs w:val="24"/>
          <w:lang w:val="en-US" w:bidi="en-US"/>
        </w:rPr>
        <w:t>m</w:t>
      </w:r>
      <w:r w:rsidRPr="000E469C">
        <w:rPr>
          <w:rFonts w:ascii="Times New Roman" w:hAnsi="Times New Roman" w:cs="Times New Roman"/>
          <w:sz w:val="24"/>
          <w:szCs w:val="24"/>
          <w:lang w:val="en-US" w:bidi="en-US"/>
        </w:rPr>
        <w:t xml:space="preserve">emorandum of </w:t>
      </w:r>
      <w:r w:rsidR="009017DE">
        <w:rPr>
          <w:rFonts w:ascii="Times New Roman" w:hAnsi="Times New Roman" w:cs="Times New Roman"/>
          <w:sz w:val="24"/>
          <w:szCs w:val="24"/>
          <w:lang w:val="en-US" w:bidi="en-US"/>
        </w:rPr>
        <w:t>u</w:t>
      </w:r>
      <w:r w:rsidRPr="000E469C">
        <w:rPr>
          <w:rFonts w:ascii="Times New Roman" w:hAnsi="Times New Roman" w:cs="Times New Roman"/>
          <w:sz w:val="24"/>
          <w:szCs w:val="24"/>
          <w:lang w:val="en-US" w:bidi="en-US"/>
        </w:rPr>
        <w:t>nderstanding between Queensland Art Gallery | Gallery of Modern Art, Australia</w:t>
      </w:r>
      <w:r w:rsidR="009017DE">
        <w:rPr>
          <w:rFonts w:ascii="Times New Roman" w:hAnsi="Times New Roman" w:cs="Times New Roman"/>
          <w:sz w:val="24"/>
          <w:szCs w:val="24"/>
          <w:lang w:val="en-US" w:bidi="en-US"/>
        </w:rPr>
        <w:t>,</w:t>
      </w:r>
      <w:r w:rsidRPr="000E469C">
        <w:rPr>
          <w:rFonts w:ascii="Times New Roman" w:hAnsi="Times New Roman" w:cs="Times New Roman"/>
          <w:sz w:val="24"/>
          <w:szCs w:val="24"/>
          <w:lang w:val="en-US" w:bidi="en-US"/>
        </w:rPr>
        <w:t xml:space="preserve"> and the Heritage Conservation Centre (National Heritage Board), Singapore.</w:t>
      </w:r>
      <w:r w:rsidR="009017DE">
        <w:rPr>
          <w:rFonts w:ascii="Times New Roman" w:hAnsi="Times New Roman" w:cs="Times New Roman"/>
          <w:sz w:val="24"/>
          <w:szCs w:val="24"/>
          <w:lang w:val="en-US" w:bidi="en-US"/>
        </w:rPr>
        <w:t xml:space="preserve"> </w:t>
      </w:r>
      <w:r w:rsidRPr="000E469C">
        <w:rPr>
          <w:rFonts w:ascii="Times New Roman" w:hAnsi="Times New Roman" w:cs="Times New Roman"/>
          <w:sz w:val="24"/>
          <w:szCs w:val="24"/>
          <w:lang w:val="en-US" w:bidi="en-US"/>
        </w:rPr>
        <w:t xml:space="preserve">This research is supported by </w:t>
      </w:r>
      <w:r w:rsidR="009017DE">
        <w:rPr>
          <w:rFonts w:ascii="Times New Roman" w:hAnsi="Times New Roman" w:cs="Times New Roman"/>
          <w:sz w:val="24"/>
          <w:szCs w:val="24"/>
          <w:lang w:val="en-US" w:bidi="en-US"/>
        </w:rPr>
        <w:t xml:space="preserve">the </w:t>
      </w:r>
      <w:r w:rsidRPr="000E469C">
        <w:rPr>
          <w:rFonts w:ascii="Times New Roman" w:hAnsi="Times New Roman" w:cs="Times New Roman"/>
          <w:sz w:val="24"/>
          <w:szCs w:val="24"/>
          <w:lang w:val="en-US" w:bidi="en-US"/>
        </w:rPr>
        <w:t xml:space="preserve">QAGOMA Foundation and </w:t>
      </w:r>
      <w:r w:rsidR="009017DE">
        <w:rPr>
          <w:rFonts w:ascii="Times New Roman" w:hAnsi="Times New Roman" w:cs="Times New Roman"/>
          <w:sz w:val="24"/>
          <w:szCs w:val="24"/>
          <w:lang w:val="en-US" w:bidi="en-US"/>
        </w:rPr>
        <w:t xml:space="preserve">the </w:t>
      </w:r>
      <w:r w:rsidRPr="000E469C">
        <w:rPr>
          <w:rFonts w:ascii="Times New Roman" w:hAnsi="Times New Roman" w:cs="Times New Roman"/>
          <w:sz w:val="24"/>
          <w:szCs w:val="24"/>
          <w:lang w:val="en-US" w:bidi="en-US"/>
        </w:rPr>
        <w:t>QAGOMA Centre for Contemporary Art Conservation.</w:t>
      </w:r>
    </w:p>
    <w:p w14:paraId="599CB4FD" w14:textId="77777777" w:rsidR="008A44C8" w:rsidRPr="000E469C" w:rsidRDefault="008A44C8">
      <w:pPr>
        <w:spacing w:line="480" w:lineRule="auto"/>
        <w:rPr>
          <w:rFonts w:ascii="Times New Roman" w:hAnsi="Times New Roman" w:cs="Times New Roman"/>
          <w:sz w:val="24"/>
          <w:szCs w:val="24"/>
          <w:lang w:val="en-US" w:bidi="en-US"/>
        </w:rPr>
      </w:pPr>
    </w:p>
    <w:p w14:paraId="4DA39411" w14:textId="19316636" w:rsidR="00466E8E" w:rsidRPr="000E469C" w:rsidRDefault="00B56EDD" w:rsidP="00BD7566">
      <w:pPr>
        <w:pStyle w:val="Heading1"/>
        <w:rPr>
          <w:lang w:val="en-US"/>
        </w:rPr>
      </w:pPr>
      <w:r w:rsidRPr="00B56EDD">
        <w:rPr>
          <w:b w:val="0"/>
          <w:bCs w:val="0"/>
          <w:highlight w:val="yellow"/>
          <w:lang w:val="en-US"/>
        </w:rPr>
        <w:t>&lt;A-head&gt;</w:t>
      </w:r>
      <w:r>
        <w:rPr>
          <w:lang w:val="en-US"/>
        </w:rPr>
        <w:t xml:space="preserve"> </w:t>
      </w:r>
      <w:r w:rsidR="00466E8E" w:rsidRPr="000E469C">
        <w:rPr>
          <w:lang w:val="en-US"/>
        </w:rPr>
        <w:t xml:space="preserve">Experimental </w:t>
      </w:r>
      <w:r w:rsidR="006A6042">
        <w:rPr>
          <w:lang w:val="en-US"/>
        </w:rPr>
        <w:t>Equipment</w:t>
      </w:r>
      <w:r w:rsidR="003066FC">
        <w:rPr>
          <w:lang w:val="en-US"/>
        </w:rPr>
        <w:t xml:space="preserve"> and Conditions</w:t>
      </w:r>
    </w:p>
    <w:p w14:paraId="1774224D" w14:textId="172AE037" w:rsidR="00466E8E" w:rsidRPr="000E469C" w:rsidRDefault="00466E8E" w:rsidP="00B56EDD">
      <w:pPr>
        <w:spacing w:line="480" w:lineRule="auto"/>
        <w:rPr>
          <w:rFonts w:ascii="Times New Roman" w:hAnsi="Times New Roman" w:cs="Times New Roman"/>
          <w:sz w:val="24"/>
          <w:szCs w:val="24"/>
          <w:lang w:val="en-US" w:bidi="en-US"/>
        </w:rPr>
      </w:pPr>
      <w:r w:rsidRPr="000E469C">
        <w:rPr>
          <w:rFonts w:ascii="Times New Roman" w:hAnsi="Times New Roman" w:cs="Times New Roman"/>
          <w:sz w:val="24"/>
          <w:szCs w:val="24"/>
          <w:lang w:val="en-US" w:bidi="en-US"/>
        </w:rPr>
        <w:t>ATR-FTIR</w:t>
      </w:r>
      <w:r w:rsidR="007469FB">
        <w:rPr>
          <w:rFonts w:ascii="Times New Roman" w:hAnsi="Times New Roman" w:cs="Times New Roman"/>
          <w:sz w:val="24"/>
          <w:szCs w:val="24"/>
          <w:lang w:val="en-US" w:bidi="en-US"/>
        </w:rPr>
        <w:t>:</w:t>
      </w:r>
      <w:r w:rsidRPr="000E469C">
        <w:rPr>
          <w:rFonts w:ascii="Times New Roman" w:hAnsi="Times New Roman" w:cs="Times New Roman"/>
          <w:sz w:val="24"/>
          <w:szCs w:val="24"/>
          <w:lang w:val="en-US" w:bidi="en-US"/>
        </w:rPr>
        <w:t xml:space="preserve"> </w:t>
      </w:r>
      <w:proofErr w:type="spellStart"/>
      <w:r w:rsidRPr="000E469C">
        <w:rPr>
          <w:rFonts w:ascii="Times New Roman" w:hAnsi="Times New Roman" w:cs="Times New Roman"/>
          <w:sz w:val="24"/>
          <w:szCs w:val="24"/>
          <w:lang w:val="en-US" w:bidi="en-US"/>
        </w:rPr>
        <w:t>Thermo</w:t>
      </w:r>
      <w:proofErr w:type="spellEnd"/>
      <w:r w:rsidRPr="000E469C">
        <w:rPr>
          <w:rFonts w:ascii="Times New Roman" w:hAnsi="Times New Roman" w:cs="Times New Roman"/>
          <w:sz w:val="24"/>
          <w:szCs w:val="24"/>
          <w:lang w:val="en-US" w:bidi="en-US"/>
        </w:rPr>
        <w:t xml:space="preserve"> Scientific </w:t>
      </w:r>
      <w:r w:rsidR="007469FB" w:rsidRPr="007469FB">
        <w:rPr>
          <w:rFonts w:ascii="Times New Roman" w:hAnsi="Times New Roman" w:cs="Times New Roman"/>
          <w:sz w:val="24"/>
          <w:szCs w:val="24"/>
          <w:lang w:val="en-US" w:bidi="en-US"/>
        </w:rPr>
        <w:t xml:space="preserve">Nicolet </w:t>
      </w:r>
      <w:r w:rsidRPr="000E469C">
        <w:rPr>
          <w:rFonts w:ascii="Times New Roman" w:hAnsi="Times New Roman" w:cs="Times New Roman"/>
          <w:sz w:val="24"/>
          <w:szCs w:val="24"/>
          <w:lang w:val="en-US" w:bidi="en-US"/>
        </w:rPr>
        <w:t>iN10 microscope with DTGS room-temperature detector coupled to an iZ10 diamond ATR bench accessory</w:t>
      </w:r>
      <w:r w:rsidR="009017DE">
        <w:rPr>
          <w:rFonts w:ascii="Times New Roman" w:hAnsi="Times New Roman" w:cs="Times New Roman"/>
          <w:sz w:val="24"/>
          <w:szCs w:val="24"/>
          <w:lang w:val="en-US" w:bidi="en-US"/>
        </w:rPr>
        <w:t>;</w:t>
      </w:r>
      <w:r w:rsidRPr="000E469C">
        <w:rPr>
          <w:rFonts w:ascii="Times New Roman" w:hAnsi="Times New Roman" w:cs="Times New Roman"/>
          <w:sz w:val="24"/>
          <w:szCs w:val="24"/>
          <w:lang w:val="en-US" w:bidi="en-US"/>
        </w:rPr>
        <w:t xml:space="preserve"> 16 scans over 4000</w:t>
      </w:r>
      <w:r w:rsidR="007469FB">
        <w:rPr>
          <w:rFonts w:ascii="Times New Roman" w:hAnsi="Times New Roman" w:cs="Times New Roman"/>
          <w:sz w:val="24"/>
          <w:szCs w:val="24"/>
          <w:lang w:val="en-US" w:bidi="en-US"/>
        </w:rPr>
        <w:t>–</w:t>
      </w:r>
      <w:r w:rsidRPr="000E469C">
        <w:rPr>
          <w:rFonts w:ascii="Times New Roman" w:hAnsi="Times New Roman" w:cs="Times New Roman"/>
          <w:sz w:val="24"/>
          <w:szCs w:val="24"/>
          <w:lang w:val="en-US" w:bidi="en-US"/>
        </w:rPr>
        <w:t>400 cm</w:t>
      </w:r>
      <w:r w:rsidR="007469FB">
        <w:rPr>
          <w:rFonts w:ascii="BentonSans" w:hAnsi="BentonSans" w:cs="Times New Roman"/>
          <w:sz w:val="24"/>
          <w:szCs w:val="24"/>
          <w:vertAlign w:val="superscript"/>
          <w:lang w:val="en-US" w:bidi="en-US"/>
        </w:rPr>
        <w:t>−</w:t>
      </w:r>
      <w:r w:rsidRPr="000E469C">
        <w:rPr>
          <w:rFonts w:ascii="Times New Roman" w:hAnsi="Times New Roman" w:cs="Times New Roman"/>
          <w:sz w:val="24"/>
          <w:szCs w:val="24"/>
          <w:vertAlign w:val="superscript"/>
          <w:lang w:val="en-US" w:bidi="en-US"/>
        </w:rPr>
        <w:t>1</w:t>
      </w:r>
      <w:r w:rsidRPr="000E469C">
        <w:rPr>
          <w:rFonts w:ascii="Times New Roman" w:hAnsi="Times New Roman" w:cs="Times New Roman"/>
          <w:sz w:val="24"/>
          <w:szCs w:val="24"/>
          <w:lang w:val="en-US" w:bidi="en-US"/>
        </w:rPr>
        <w:t xml:space="preserve"> range, 4</w:t>
      </w:r>
      <w:r w:rsidR="007469FB">
        <w:rPr>
          <w:rFonts w:ascii="Times New Roman" w:hAnsi="Times New Roman" w:cs="Times New Roman"/>
          <w:sz w:val="24"/>
          <w:szCs w:val="24"/>
          <w:lang w:val="en-US" w:bidi="en-US"/>
        </w:rPr>
        <w:t> </w:t>
      </w:r>
      <w:r w:rsidRPr="000E469C">
        <w:rPr>
          <w:rFonts w:ascii="Times New Roman" w:hAnsi="Times New Roman" w:cs="Times New Roman"/>
          <w:sz w:val="24"/>
          <w:szCs w:val="24"/>
          <w:lang w:val="en-US" w:bidi="en-US"/>
        </w:rPr>
        <w:t>cm</w:t>
      </w:r>
      <w:r w:rsidR="007469FB">
        <w:rPr>
          <w:rFonts w:ascii="BentonSans" w:hAnsi="BentonSans" w:cs="Times New Roman"/>
          <w:sz w:val="24"/>
          <w:szCs w:val="24"/>
          <w:vertAlign w:val="superscript"/>
          <w:lang w:val="en-US" w:bidi="en-US"/>
        </w:rPr>
        <w:t>−</w:t>
      </w:r>
      <w:r w:rsidRPr="000E469C">
        <w:rPr>
          <w:rFonts w:ascii="Times New Roman" w:hAnsi="Times New Roman" w:cs="Times New Roman"/>
          <w:sz w:val="24"/>
          <w:szCs w:val="24"/>
          <w:vertAlign w:val="superscript"/>
          <w:lang w:val="en-US" w:bidi="en-US"/>
        </w:rPr>
        <w:t>1</w:t>
      </w:r>
      <w:r w:rsidRPr="000E469C">
        <w:rPr>
          <w:rFonts w:ascii="Times New Roman" w:hAnsi="Times New Roman" w:cs="Times New Roman"/>
          <w:sz w:val="24"/>
          <w:szCs w:val="24"/>
          <w:lang w:val="en-US" w:bidi="en-US"/>
        </w:rPr>
        <w:t xml:space="preserve"> resolution. </w:t>
      </w:r>
    </w:p>
    <w:p w14:paraId="5D549A72" w14:textId="58334DD1" w:rsidR="00466E8E" w:rsidRPr="000E469C" w:rsidRDefault="008A44C8">
      <w:pPr>
        <w:spacing w:line="480" w:lineRule="auto"/>
        <w:rPr>
          <w:rFonts w:ascii="Times New Roman" w:hAnsi="Times New Roman" w:cs="Times New Roman"/>
          <w:sz w:val="24"/>
          <w:szCs w:val="24"/>
          <w:lang w:val="en-US" w:bidi="en-US"/>
        </w:rPr>
      </w:pPr>
      <w:r>
        <w:rPr>
          <w:rFonts w:ascii="Times New Roman" w:hAnsi="Times New Roman" w:cs="Times New Roman"/>
          <w:sz w:val="24"/>
          <w:szCs w:val="24"/>
          <w:lang w:val="en-US" w:bidi="en-US"/>
        </w:rPr>
        <w:tab/>
      </w:r>
      <w:proofErr w:type="spellStart"/>
      <w:r w:rsidR="00466E8E" w:rsidRPr="000E469C">
        <w:rPr>
          <w:rFonts w:ascii="Times New Roman" w:hAnsi="Times New Roman" w:cs="Times New Roman"/>
          <w:sz w:val="24"/>
          <w:szCs w:val="24"/>
          <w:lang w:val="en-US" w:bidi="en-US"/>
        </w:rPr>
        <w:t>Py</w:t>
      </w:r>
      <w:proofErr w:type="spellEnd"/>
      <w:r w:rsidR="00466E8E" w:rsidRPr="000E469C">
        <w:rPr>
          <w:rFonts w:ascii="Times New Roman" w:hAnsi="Times New Roman" w:cs="Times New Roman"/>
          <w:sz w:val="24"/>
          <w:szCs w:val="24"/>
          <w:lang w:val="en-US" w:bidi="en-US"/>
        </w:rPr>
        <w:t>-GCMS</w:t>
      </w:r>
      <w:r w:rsidR="007469FB">
        <w:rPr>
          <w:rFonts w:ascii="Times New Roman" w:hAnsi="Times New Roman" w:cs="Times New Roman"/>
          <w:sz w:val="24"/>
          <w:szCs w:val="24"/>
          <w:lang w:val="en-US" w:bidi="en-US"/>
        </w:rPr>
        <w:t>:</w:t>
      </w:r>
      <w:r w:rsidR="00466E8E" w:rsidRPr="000E469C">
        <w:rPr>
          <w:rFonts w:ascii="Times New Roman" w:hAnsi="Times New Roman" w:cs="Times New Roman"/>
          <w:sz w:val="24"/>
          <w:szCs w:val="24"/>
          <w:lang w:val="en-US" w:bidi="en-US"/>
        </w:rPr>
        <w:t xml:space="preserve"> Shimadzu GCMS QP2020 combined with a Frontier PY3030D </w:t>
      </w:r>
      <w:r w:rsidR="00A65412" w:rsidRPr="000E469C">
        <w:rPr>
          <w:rFonts w:ascii="Times New Roman" w:hAnsi="Times New Roman" w:cs="Times New Roman"/>
          <w:sz w:val="24"/>
          <w:szCs w:val="24"/>
          <w:lang w:val="en-US" w:bidi="en-US"/>
        </w:rPr>
        <w:t>pyroli</w:t>
      </w:r>
      <w:r w:rsidR="00A65412">
        <w:rPr>
          <w:rFonts w:ascii="Times New Roman" w:hAnsi="Times New Roman" w:cs="Times New Roman"/>
          <w:sz w:val="24"/>
          <w:szCs w:val="24"/>
          <w:lang w:val="en-US" w:bidi="en-US"/>
        </w:rPr>
        <w:t>z</w:t>
      </w:r>
      <w:r w:rsidR="00A65412" w:rsidRPr="000E469C">
        <w:rPr>
          <w:rFonts w:ascii="Times New Roman" w:hAnsi="Times New Roman" w:cs="Times New Roman"/>
          <w:sz w:val="24"/>
          <w:szCs w:val="24"/>
          <w:lang w:val="en-US" w:bidi="en-US"/>
        </w:rPr>
        <w:t>er</w:t>
      </w:r>
      <w:r w:rsidR="00466E8E" w:rsidRPr="000E469C">
        <w:rPr>
          <w:rFonts w:ascii="Times New Roman" w:hAnsi="Times New Roman" w:cs="Times New Roman"/>
          <w:sz w:val="24"/>
          <w:szCs w:val="24"/>
          <w:lang w:val="en-US" w:bidi="en-US"/>
        </w:rPr>
        <w:t xml:space="preserve"> unit with autosampler AOC-20i. Pyrolysis conditions: 600°C for 0.2 min</w:t>
      </w:r>
      <w:r w:rsidR="003066FC">
        <w:rPr>
          <w:rFonts w:ascii="Times New Roman" w:hAnsi="Times New Roman" w:cs="Times New Roman"/>
          <w:sz w:val="24"/>
          <w:szCs w:val="24"/>
          <w:lang w:val="en-US" w:bidi="en-US"/>
        </w:rPr>
        <w:t>utes</w:t>
      </w:r>
      <w:r w:rsidR="000C5726">
        <w:rPr>
          <w:rFonts w:ascii="Times New Roman" w:hAnsi="Times New Roman" w:cs="Times New Roman"/>
          <w:sz w:val="24"/>
          <w:szCs w:val="24"/>
          <w:lang w:val="en-US" w:bidi="en-US"/>
        </w:rPr>
        <w:t>.</w:t>
      </w:r>
      <w:r w:rsidR="00466E8E" w:rsidRPr="000E469C">
        <w:rPr>
          <w:rFonts w:ascii="Times New Roman" w:hAnsi="Times New Roman" w:cs="Times New Roman"/>
          <w:sz w:val="24"/>
          <w:szCs w:val="24"/>
          <w:lang w:val="en-US" w:bidi="en-US"/>
        </w:rPr>
        <w:t xml:space="preserve"> </w:t>
      </w:r>
      <w:r w:rsidR="000C5726">
        <w:rPr>
          <w:rFonts w:ascii="Times New Roman" w:hAnsi="Times New Roman" w:cs="Times New Roman"/>
          <w:sz w:val="24"/>
          <w:szCs w:val="24"/>
          <w:lang w:val="en-US" w:bidi="en-US"/>
        </w:rPr>
        <w:t>G</w:t>
      </w:r>
      <w:r w:rsidR="003066FC">
        <w:rPr>
          <w:rFonts w:ascii="Times New Roman" w:hAnsi="Times New Roman" w:cs="Times New Roman"/>
          <w:sz w:val="24"/>
          <w:szCs w:val="24"/>
          <w:lang w:val="en-US" w:bidi="en-US"/>
        </w:rPr>
        <w:t>as chrom</w:t>
      </w:r>
      <w:r w:rsidR="00A65412">
        <w:rPr>
          <w:rFonts w:ascii="Times New Roman" w:hAnsi="Times New Roman" w:cs="Times New Roman"/>
          <w:sz w:val="24"/>
          <w:szCs w:val="24"/>
          <w:lang w:val="en-US" w:bidi="en-US"/>
        </w:rPr>
        <w:t>a</w:t>
      </w:r>
      <w:r w:rsidR="003066FC">
        <w:rPr>
          <w:rFonts w:ascii="Times New Roman" w:hAnsi="Times New Roman" w:cs="Times New Roman"/>
          <w:sz w:val="24"/>
          <w:szCs w:val="24"/>
          <w:lang w:val="en-US" w:bidi="en-US"/>
        </w:rPr>
        <w:t>tography</w:t>
      </w:r>
      <w:r w:rsidR="003066FC" w:rsidRPr="000E469C">
        <w:rPr>
          <w:rFonts w:ascii="Times New Roman" w:hAnsi="Times New Roman" w:cs="Times New Roman"/>
          <w:sz w:val="24"/>
          <w:szCs w:val="24"/>
          <w:lang w:val="en-US" w:bidi="en-US"/>
        </w:rPr>
        <w:t xml:space="preserve"> </w:t>
      </w:r>
      <w:r w:rsidR="00466E8E" w:rsidRPr="000E469C">
        <w:rPr>
          <w:rFonts w:ascii="Times New Roman" w:hAnsi="Times New Roman" w:cs="Times New Roman"/>
          <w:sz w:val="24"/>
          <w:szCs w:val="24"/>
          <w:lang w:val="en-US" w:bidi="en-US"/>
        </w:rPr>
        <w:t>conditions</w:t>
      </w:r>
      <w:r w:rsidR="000C5726">
        <w:rPr>
          <w:rFonts w:ascii="Times New Roman" w:hAnsi="Times New Roman" w:cs="Times New Roman"/>
          <w:sz w:val="24"/>
          <w:szCs w:val="24"/>
          <w:lang w:val="en-US" w:bidi="en-US"/>
        </w:rPr>
        <w:t>:</w:t>
      </w:r>
      <w:r w:rsidR="00466E8E" w:rsidRPr="000E469C">
        <w:rPr>
          <w:rFonts w:ascii="Times New Roman" w:hAnsi="Times New Roman" w:cs="Times New Roman"/>
          <w:sz w:val="24"/>
          <w:szCs w:val="24"/>
          <w:lang w:val="en-US" w:bidi="en-US"/>
        </w:rPr>
        <w:t xml:space="preserve"> 40°C for 5 min</w:t>
      </w:r>
      <w:r w:rsidR="003066FC">
        <w:rPr>
          <w:rFonts w:ascii="Times New Roman" w:hAnsi="Times New Roman" w:cs="Times New Roman"/>
          <w:sz w:val="24"/>
          <w:szCs w:val="24"/>
          <w:lang w:val="en-US" w:bidi="en-US"/>
        </w:rPr>
        <w:t>utes</w:t>
      </w:r>
      <w:r w:rsidR="00466E8E" w:rsidRPr="000E469C">
        <w:rPr>
          <w:rFonts w:ascii="Times New Roman" w:hAnsi="Times New Roman" w:cs="Times New Roman"/>
          <w:sz w:val="24"/>
          <w:szCs w:val="24"/>
          <w:lang w:val="en-US" w:bidi="en-US"/>
        </w:rPr>
        <w:t>, ramped to 300°C at 10°C/min</w:t>
      </w:r>
      <w:r w:rsidR="003066FC">
        <w:rPr>
          <w:rFonts w:ascii="Times New Roman" w:hAnsi="Times New Roman" w:cs="Times New Roman"/>
          <w:sz w:val="24"/>
          <w:szCs w:val="24"/>
          <w:lang w:val="en-US" w:bidi="en-US"/>
        </w:rPr>
        <w:t>.</w:t>
      </w:r>
      <w:r w:rsidR="00466E8E" w:rsidRPr="000E469C">
        <w:rPr>
          <w:rFonts w:ascii="Times New Roman" w:hAnsi="Times New Roman" w:cs="Times New Roman"/>
          <w:sz w:val="24"/>
          <w:szCs w:val="24"/>
          <w:lang w:val="en-US" w:bidi="en-US"/>
        </w:rPr>
        <w:t>, hold 5 min</w:t>
      </w:r>
      <w:r w:rsidR="003066FC">
        <w:rPr>
          <w:rFonts w:ascii="Times New Roman" w:hAnsi="Times New Roman" w:cs="Times New Roman"/>
          <w:sz w:val="24"/>
          <w:szCs w:val="24"/>
          <w:lang w:val="en-US" w:bidi="en-US"/>
        </w:rPr>
        <w:t>utes</w:t>
      </w:r>
      <w:r w:rsidR="00466E8E" w:rsidRPr="000E469C">
        <w:rPr>
          <w:rFonts w:ascii="Times New Roman" w:hAnsi="Times New Roman" w:cs="Times New Roman"/>
          <w:sz w:val="24"/>
          <w:szCs w:val="24"/>
          <w:lang w:val="en-US" w:bidi="en-US"/>
        </w:rPr>
        <w:t>. Oil-containing samples were derivati</w:t>
      </w:r>
      <w:r w:rsidR="003066FC">
        <w:rPr>
          <w:rFonts w:ascii="Times New Roman" w:hAnsi="Times New Roman" w:cs="Times New Roman"/>
          <w:sz w:val="24"/>
          <w:szCs w:val="24"/>
          <w:lang w:val="en-US" w:bidi="en-US"/>
        </w:rPr>
        <w:t>z</w:t>
      </w:r>
      <w:r w:rsidR="00466E8E" w:rsidRPr="000E469C">
        <w:rPr>
          <w:rFonts w:ascii="Times New Roman" w:hAnsi="Times New Roman" w:cs="Times New Roman"/>
          <w:sz w:val="24"/>
          <w:szCs w:val="24"/>
          <w:lang w:val="en-US" w:bidi="en-US"/>
        </w:rPr>
        <w:t xml:space="preserve">ed with 3 µl of 25% </w:t>
      </w:r>
      <w:r w:rsidR="003066FC">
        <w:rPr>
          <w:rFonts w:ascii="Times New Roman" w:hAnsi="Times New Roman" w:cs="Times New Roman"/>
          <w:sz w:val="24"/>
          <w:szCs w:val="24"/>
          <w:lang w:val="en-US" w:bidi="en-US"/>
        </w:rPr>
        <w:t>t</w:t>
      </w:r>
      <w:r w:rsidR="003066FC" w:rsidRPr="003066FC">
        <w:rPr>
          <w:rFonts w:ascii="Times New Roman" w:hAnsi="Times New Roman" w:cs="Times New Roman"/>
          <w:sz w:val="24"/>
          <w:szCs w:val="24"/>
          <w:lang w:val="en-US" w:bidi="en-US"/>
        </w:rPr>
        <w:t xml:space="preserve">etramethylammonium hydroxide </w:t>
      </w:r>
      <w:r w:rsidR="003066FC">
        <w:rPr>
          <w:rFonts w:ascii="Times New Roman" w:hAnsi="Times New Roman" w:cs="Times New Roman"/>
          <w:sz w:val="24"/>
          <w:szCs w:val="24"/>
          <w:lang w:val="en-US" w:bidi="en-US"/>
        </w:rPr>
        <w:t>(</w:t>
      </w:r>
      <w:r w:rsidR="00466E8E" w:rsidRPr="000E469C">
        <w:rPr>
          <w:rFonts w:ascii="Times New Roman" w:hAnsi="Times New Roman" w:cs="Times New Roman"/>
          <w:sz w:val="24"/>
          <w:szCs w:val="24"/>
          <w:lang w:val="en-US" w:bidi="en-US"/>
        </w:rPr>
        <w:t>TMAH</w:t>
      </w:r>
      <w:r w:rsidR="003066FC">
        <w:rPr>
          <w:rFonts w:ascii="Times New Roman" w:hAnsi="Times New Roman" w:cs="Times New Roman"/>
          <w:sz w:val="24"/>
          <w:szCs w:val="24"/>
          <w:lang w:val="en-US" w:bidi="en-US"/>
        </w:rPr>
        <w:t>)</w:t>
      </w:r>
      <w:r w:rsidR="00466E8E" w:rsidRPr="000E469C">
        <w:rPr>
          <w:rFonts w:ascii="Times New Roman" w:hAnsi="Times New Roman" w:cs="Times New Roman"/>
          <w:sz w:val="24"/>
          <w:szCs w:val="24"/>
          <w:lang w:val="en-US" w:bidi="en-US"/>
        </w:rPr>
        <w:t xml:space="preserve"> in methanol. </w:t>
      </w:r>
      <w:r w:rsidR="000C5726">
        <w:rPr>
          <w:rFonts w:ascii="Times New Roman" w:hAnsi="Times New Roman" w:cs="Times New Roman"/>
          <w:sz w:val="24"/>
          <w:szCs w:val="24"/>
          <w:lang w:val="en-US" w:bidi="en-US"/>
        </w:rPr>
        <w:t>M</w:t>
      </w:r>
      <w:r w:rsidR="000C5726" w:rsidRPr="000C5726">
        <w:rPr>
          <w:rFonts w:ascii="Times New Roman" w:hAnsi="Times New Roman" w:cs="Times New Roman"/>
          <w:sz w:val="24"/>
          <w:szCs w:val="24"/>
          <w:lang w:val="en-US" w:bidi="en-US"/>
        </w:rPr>
        <w:t>ass spectrometry</w:t>
      </w:r>
      <w:r w:rsidR="000C5726" w:rsidRPr="000C5726" w:rsidDel="000C5726">
        <w:rPr>
          <w:rFonts w:ascii="Times New Roman" w:hAnsi="Times New Roman" w:cs="Times New Roman"/>
          <w:sz w:val="24"/>
          <w:szCs w:val="24"/>
          <w:lang w:val="en-US" w:bidi="en-US"/>
        </w:rPr>
        <w:t xml:space="preserve"> </w:t>
      </w:r>
      <w:r w:rsidR="00466E8E" w:rsidRPr="000E469C">
        <w:rPr>
          <w:rFonts w:ascii="Times New Roman" w:hAnsi="Times New Roman" w:cs="Times New Roman"/>
          <w:sz w:val="24"/>
          <w:szCs w:val="24"/>
          <w:lang w:val="en-US" w:bidi="en-US"/>
        </w:rPr>
        <w:t xml:space="preserve">conditions: </w:t>
      </w:r>
      <w:r w:rsidR="000C5726">
        <w:rPr>
          <w:rFonts w:ascii="Times New Roman" w:hAnsi="Times New Roman" w:cs="Times New Roman"/>
          <w:sz w:val="24"/>
          <w:szCs w:val="24"/>
          <w:lang w:val="en-US" w:bidi="en-US"/>
        </w:rPr>
        <w:t>Electronic index (</w:t>
      </w:r>
      <w:r w:rsidR="00466E8E" w:rsidRPr="000E469C">
        <w:rPr>
          <w:rFonts w:ascii="Times New Roman" w:hAnsi="Times New Roman" w:cs="Times New Roman"/>
          <w:sz w:val="24"/>
          <w:szCs w:val="24"/>
          <w:lang w:val="en-US" w:bidi="en-US"/>
        </w:rPr>
        <w:t>EI</w:t>
      </w:r>
      <w:r w:rsidR="000C5726">
        <w:rPr>
          <w:rFonts w:ascii="Times New Roman" w:hAnsi="Times New Roman" w:cs="Times New Roman"/>
          <w:sz w:val="24"/>
          <w:szCs w:val="24"/>
          <w:lang w:val="en-US" w:bidi="en-US"/>
        </w:rPr>
        <w:t>)</w:t>
      </w:r>
      <w:r w:rsidR="00466E8E" w:rsidRPr="000E469C">
        <w:rPr>
          <w:rFonts w:ascii="Times New Roman" w:hAnsi="Times New Roman" w:cs="Times New Roman"/>
          <w:sz w:val="24"/>
          <w:szCs w:val="24"/>
          <w:lang w:val="en-US" w:bidi="en-US"/>
        </w:rPr>
        <w:t xml:space="preserve"> mode (70 eV), scan range: 50</w:t>
      </w:r>
      <w:r w:rsidR="000C5726">
        <w:rPr>
          <w:rFonts w:ascii="Times New Roman" w:hAnsi="Times New Roman" w:cs="Times New Roman"/>
          <w:sz w:val="24"/>
          <w:szCs w:val="24"/>
          <w:lang w:val="en-US" w:bidi="en-US"/>
        </w:rPr>
        <w:t>–</w:t>
      </w:r>
      <w:r w:rsidR="00466E8E" w:rsidRPr="000E469C">
        <w:rPr>
          <w:rFonts w:ascii="Times New Roman" w:hAnsi="Times New Roman" w:cs="Times New Roman"/>
          <w:sz w:val="24"/>
          <w:szCs w:val="24"/>
          <w:lang w:val="en-US" w:bidi="en-US"/>
        </w:rPr>
        <w:t>600 m/z.</w:t>
      </w:r>
    </w:p>
    <w:p w14:paraId="11B5E348" w14:textId="1CD4D813" w:rsidR="00466E8E" w:rsidRPr="000E469C" w:rsidRDefault="008A44C8" w:rsidP="00144094">
      <w:pPr>
        <w:pStyle w:val="NoSpacing"/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466E8E" w:rsidRPr="000E469C">
        <w:rPr>
          <w:rFonts w:ascii="Times New Roman" w:hAnsi="Times New Roman" w:cs="Times New Roman"/>
          <w:sz w:val="24"/>
          <w:szCs w:val="24"/>
          <w:lang w:val="en-US"/>
        </w:rPr>
        <w:t>Uniaxial testing</w:t>
      </w:r>
      <w:r w:rsidR="000C5726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466E8E" w:rsidRPr="000E469C">
        <w:rPr>
          <w:rFonts w:ascii="Times New Roman" w:hAnsi="Times New Roman" w:cs="Times New Roman"/>
          <w:sz w:val="24"/>
          <w:szCs w:val="24"/>
          <w:lang w:val="en-US"/>
        </w:rPr>
        <w:t xml:space="preserve"> 500N Zwick/</w:t>
      </w:r>
      <w:proofErr w:type="spellStart"/>
      <w:r w:rsidR="00466E8E" w:rsidRPr="000E469C">
        <w:rPr>
          <w:rFonts w:ascii="Times New Roman" w:hAnsi="Times New Roman" w:cs="Times New Roman"/>
          <w:sz w:val="24"/>
          <w:szCs w:val="24"/>
          <w:lang w:val="en-US"/>
        </w:rPr>
        <w:t>Roell</w:t>
      </w:r>
      <w:proofErr w:type="spellEnd"/>
      <w:r w:rsidR="00466E8E" w:rsidRPr="000E469C">
        <w:rPr>
          <w:rFonts w:ascii="Times New Roman" w:hAnsi="Times New Roman" w:cs="Times New Roman"/>
          <w:sz w:val="24"/>
          <w:szCs w:val="24"/>
          <w:lang w:val="en-US"/>
        </w:rPr>
        <w:t xml:space="preserve"> with 10</w:t>
      </w:r>
      <w:r w:rsidR="000C572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466E8E" w:rsidRPr="000E469C">
        <w:rPr>
          <w:rFonts w:ascii="Times New Roman" w:hAnsi="Times New Roman" w:cs="Times New Roman"/>
          <w:sz w:val="24"/>
          <w:szCs w:val="24"/>
          <w:lang w:val="en-US"/>
        </w:rPr>
        <w:t>mm sample width and gauge length, and speed of 100</w:t>
      </w:r>
      <w:r w:rsidR="000C572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466E8E" w:rsidRPr="000E469C">
        <w:rPr>
          <w:rFonts w:ascii="Times New Roman" w:hAnsi="Times New Roman" w:cs="Times New Roman"/>
          <w:sz w:val="24"/>
          <w:szCs w:val="24"/>
          <w:lang w:val="en-US"/>
        </w:rPr>
        <w:t>mm/min</w:t>
      </w:r>
      <w:r w:rsidR="000C572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66E8E" w:rsidRPr="000E469C">
        <w:rPr>
          <w:rFonts w:ascii="Times New Roman" w:hAnsi="Times New Roman" w:cs="Times New Roman"/>
          <w:sz w:val="24"/>
          <w:szCs w:val="24"/>
          <w:lang w:val="en-US"/>
        </w:rPr>
        <w:t xml:space="preserve"> at 55 ±5% </w:t>
      </w:r>
      <w:r w:rsidR="00466E8E" w:rsidRPr="000E469C">
        <w:rPr>
          <w:rFonts w:ascii="Times New Roman" w:eastAsiaTheme="minorEastAsia" w:hAnsi="Times New Roman" w:cs="Times New Roman"/>
          <w:sz w:val="24"/>
          <w:szCs w:val="24"/>
          <w:lang w:val="en-US"/>
        </w:rPr>
        <w:t>RH and 22</w:t>
      </w:r>
      <w:r w:rsidR="000C5726">
        <w:rPr>
          <w:rFonts w:ascii="Times New Roman" w:eastAsiaTheme="minorEastAsia" w:hAnsi="Times New Roman" w:cs="Times New Roman"/>
          <w:sz w:val="24"/>
          <w:szCs w:val="24"/>
          <w:lang w:val="en-US"/>
        </w:rPr>
        <w:t> </w:t>
      </w:r>
      <w:r w:rsidR="00466E8E" w:rsidRPr="000E469C">
        <w:rPr>
          <w:rFonts w:ascii="Times New Roman" w:eastAsiaTheme="minorEastAsia" w:hAnsi="Times New Roman" w:cs="Times New Roman"/>
          <w:sz w:val="24"/>
          <w:szCs w:val="24"/>
          <w:lang w:val="en-US"/>
        </w:rPr>
        <w:t>±3°C. Samples were tested in warp and weft with a tensile load of 500</w:t>
      </w:r>
      <w:r w:rsidR="000C5726">
        <w:rPr>
          <w:rFonts w:ascii="Times New Roman" w:eastAsiaTheme="minorEastAsia" w:hAnsi="Times New Roman" w:cs="Times New Roman"/>
          <w:sz w:val="24"/>
          <w:szCs w:val="24"/>
          <w:lang w:val="en-US"/>
        </w:rPr>
        <w:t> </w:t>
      </w:r>
      <w:r w:rsidR="00466E8E" w:rsidRPr="000E469C">
        <w:rPr>
          <w:rFonts w:ascii="Times New Roman" w:eastAsiaTheme="minorEastAsia" w:hAnsi="Times New Roman" w:cs="Times New Roman"/>
          <w:sz w:val="24"/>
          <w:szCs w:val="24"/>
          <w:lang w:val="en-US"/>
        </w:rPr>
        <w:t>N, measuring [Fmax/N] and t [</w:t>
      </w:r>
      <w:proofErr w:type="spellStart"/>
      <w:r w:rsidR="00466E8E" w:rsidRPr="000E469C">
        <w:rPr>
          <w:rFonts w:ascii="Times New Roman" w:eastAsiaTheme="minorEastAsia" w:hAnsi="Times New Roman" w:cs="Times New Roman"/>
          <w:sz w:val="24"/>
          <w:szCs w:val="24"/>
          <w:lang w:val="en-US"/>
        </w:rPr>
        <w:t>Emod</w:t>
      </w:r>
      <w:proofErr w:type="spellEnd"/>
      <w:r w:rsidR="00466E8E" w:rsidRPr="000E469C">
        <w:rPr>
          <w:rFonts w:ascii="Times New Roman" w:eastAsiaTheme="minorEastAsia" w:hAnsi="Times New Roman" w:cs="Times New Roman"/>
          <w:sz w:val="24"/>
          <w:szCs w:val="24"/>
          <w:lang w:val="en-US"/>
        </w:rPr>
        <w:t>/</w:t>
      </w:r>
      <w:proofErr w:type="spellStart"/>
      <w:r w:rsidR="00466E8E" w:rsidRPr="000E469C">
        <w:rPr>
          <w:rFonts w:ascii="Times New Roman" w:eastAsiaTheme="minorEastAsia" w:hAnsi="Times New Roman" w:cs="Times New Roman"/>
          <w:sz w:val="24"/>
          <w:szCs w:val="24"/>
          <w:lang w:val="en-US"/>
        </w:rPr>
        <w:t>GPa</w:t>
      </w:r>
      <w:proofErr w:type="spellEnd"/>
      <w:r w:rsidR="00466E8E" w:rsidRPr="000E469C">
        <w:rPr>
          <w:rFonts w:ascii="Times New Roman" w:eastAsiaTheme="minorEastAsia" w:hAnsi="Times New Roman" w:cs="Times New Roman"/>
          <w:sz w:val="24"/>
          <w:szCs w:val="24"/>
          <w:lang w:val="en-US"/>
        </w:rPr>
        <w:t>].</w:t>
      </w:r>
    </w:p>
    <w:p w14:paraId="0BCEF424" w14:textId="2F271781" w:rsidR="003A3793" w:rsidRDefault="008A44C8">
      <w:pPr>
        <w:pStyle w:val="NoSpacing"/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ab/>
      </w:r>
      <w:r w:rsidR="00466E8E" w:rsidRPr="000E469C">
        <w:rPr>
          <w:rFonts w:ascii="Times New Roman" w:eastAsiaTheme="minorEastAsia" w:hAnsi="Times New Roman" w:cs="Times New Roman"/>
          <w:sz w:val="24"/>
          <w:szCs w:val="24"/>
          <w:lang w:val="en-US"/>
        </w:rPr>
        <w:t>XRF</w:t>
      </w:r>
      <w:r w:rsidR="000C5726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  <w:r w:rsidR="00466E8E" w:rsidRPr="000E469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Bruker </w:t>
      </w:r>
      <w:r w:rsidR="000C5726"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="000C5726" w:rsidRPr="000E469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466E8E" w:rsidRPr="000E469C">
        <w:rPr>
          <w:rFonts w:ascii="Times New Roman" w:eastAsiaTheme="minorEastAsia" w:hAnsi="Times New Roman" w:cs="Times New Roman"/>
          <w:sz w:val="24"/>
          <w:szCs w:val="24"/>
          <w:lang w:val="en-US"/>
        </w:rPr>
        <w:t>5i with Rh excitation anode, silicon drift PIN diode detector, no vacuum, Geo-Exploration mode calibration, spot size 8</w:t>
      </w:r>
      <w:r w:rsidR="003A3793">
        <w:rPr>
          <w:rFonts w:ascii="Times New Roman" w:eastAsiaTheme="minorEastAsia" w:hAnsi="Times New Roman" w:cs="Times New Roman"/>
          <w:sz w:val="24"/>
          <w:szCs w:val="24"/>
          <w:lang w:val="en-US"/>
        </w:rPr>
        <w:t> </w:t>
      </w:r>
      <w:r w:rsidR="00466E8E" w:rsidRPr="000E469C">
        <w:rPr>
          <w:rFonts w:ascii="Times New Roman" w:eastAsiaTheme="minorEastAsia" w:hAnsi="Times New Roman" w:cs="Times New Roman"/>
          <w:sz w:val="24"/>
          <w:szCs w:val="24"/>
          <w:lang w:val="en-US"/>
        </w:rPr>
        <w:t>mm.</w:t>
      </w:r>
    </w:p>
    <w:p w14:paraId="09DCE8CC" w14:textId="09BD783F" w:rsidR="00466E8E" w:rsidRPr="000E469C" w:rsidRDefault="003A3793" w:rsidP="003A3793">
      <w:pPr>
        <w:pStyle w:val="NoSpacing"/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466E8E" w:rsidRPr="000E469C">
        <w:rPr>
          <w:rFonts w:ascii="Times New Roman" w:eastAsiaTheme="minorEastAsia" w:hAnsi="Times New Roman" w:cs="Times New Roman"/>
          <w:sz w:val="24"/>
          <w:szCs w:val="24"/>
          <w:lang w:val="en-US"/>
        </w:rPr>
        <w:t>Raman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E469C">
        <w:rPr>
          <w:rFonts w:ascii="Times New Roman" w:eastAsiaTheme="minorEastAsia" w:hAnsi="Times New Roman" w:cs="Times New Roman"/>
          <w:sz w:val="24"/>
          <w:szCs w:val="24"/>
          <w:lang w:val="en-US"/>
        </w:rPr>
        <w:t>spectroscopy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  <w:r w:rsidRPr="000E469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466E8E" w:rsidRPr="000E469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Renishaw Raman spectroscopy </w:t>
      </w:r>
      <w:r w:rsidR="00424BC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instrument </w:t>
      </w:r>
      <w:r w:rsidR="00466E8E" w:rsidRPr="000E469C">
        <w:rPr>
          <w:rFonts w:ascii="Times New Roman" w:eastAsiaTheme="minorEastAsia" w:hAnsi="Times New Roman" w:cs="Times New Roman"/>
          <w:sz w:val="24"/>
          <w:szCs w:val="24"/>
          <w:lang w:val="en-US"/>
        </w:rPr>
        <w:t>coupled to a confocal microscope. Laser of excitation: 785</w:t>
      </w:r>
      <w:r w:rsidR="002C4EDA" w:rsidRPr="000E469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466E8E" w:rsidRPr="000E469C">
        <w:rPr>
          <w:rFonts w:ascii="Times New Roman" w:eastAsiaTheme="minorEastAsia" w:hAnsi="Times New Roman" w:cs="Times New Roman"/>
          <w:sz w:val="24"/>
          <w:szCs w:val="24"/>
          <w:lang w:val="en-US"/>
        </w:rPr>
        <w:t>nm.</w:t>
      </w:r>
    </w:p>
    <w:p w14:paraId="7ADB90F4" w14:textId="4BB76456" w:rsidR="00466E8E" w:rsidRPr="000E469C" w:rsidRDefault="008A44C8" w:rsidP="00144094">
      <w:pPr>
        <w:pStyle w:val="NoSpacing"/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466E8E" w:rsidRPr="000E469C">
        <w:rPr>
          <w:rFonts w:ascii="Times New Roman" w:eastAsiaTheme="minorEastAsia" w:hAnsi="Times New Roman" w:cs="Times New Roman"/>
          <w:sz w:val="24"/>
          <w:szCs w:val="24"/>
          <w:lang w:val="en-US"/>
        </w:rPr>
        <w:t>SEM-EDX</w:t>
      </w:r>
      <w:r w:rsidR="00424BC5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  <w:r w:rsidR="00466E8E" w:rsidRPr="000E469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Hitachi SU5000 </w:t>
      </w:r>
      <w:r w:rsidR="00424BC5">
        <w:rPr>
          <w:rFonts w:ascii="Times New Roman" w:eastAsiaTheme="minorEastAsia" w:hAnsi="Times New Roman" w:cs="Times New Roman"/>
          <w:sz w:val="24"/>
          <w:szCs w:val="24"/>
          <w:lang w:val="en-US"/>
        </w:rPr>
        <w:t>scanning electron microscope</w:t>
      </w:r>
      <w:r w:rsidR="00424BC5" w:rsidRPr="000E469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466E8E" w:rsidRPr="000E469C">
        <w:rPr>
          <w:rFonts w:ascii="Times New Roman" w:eastAsiaTheme="minorEastAsia" w:hAnsi="Times New Roman" w:cs="Times New Roman"/>
          <w:sz w:val="24"/>
          <w:szCs w:val="24"/>
          <w:lang w:val="en-US"/>
        </w:rPr>
        <w:t>coupled to a Bruker EDX system in partial pressure of 50 Pa. Voltage of 20</w:t>
      </w:r>
      <w:r w:rsidR="00424BC5">
        <w:rPr>
          <w:rFonts w:ascii="Times New Roman" w:eastAsiaTheme="minorEastAsia" w:hAnsi="Times New Roman" w:cs="Times New Roman"/>
          <w:sz w:val="24"/>
          <w:szCs w:val="24"/>
          <w:lang w:val="en-US"/>
        </w:rPr>
        <w:t> </w:t>
      </w:r>
      <w:r w:rsidR="00466E8E" w:rsidRPr="000E469C">
        <w:rPr>
          <w:rFonts w:ascii="Times New Roman" w:eastAsiaTheme="minorEastAsia" w:hAnsi="Times New Roman" w:cs="Times New Roman"/>
          <w:sz w:val="24"/>
          <w:szCs w:val="24"/>
          <w:lang w:val="en-US"/>
        </w:rPr>
        <w:t>kV was applied</w:t>
      </w:r>
      <w:r w:rsidR="00424BC5">
        <w:rPr>
          <w:rFonts w:ascii="Times New Roman" w:eastAsiaTheme="minorEastAsia" w:hAnsi="Times New Roman" w:cs="Times New Roman"/>
          <w:sz w:val="24"/>
          <w:szCs w:val="24"/>
          <w:lang w:val="en-US"/>
        </w:rPr>
        <w:t>,</w:t>
      </w:r>
      <w:r w:rsidR="00466E8E" w:rsidRPr="000E469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and EDS mapping of cross</w:t>
      </w:r>
      <w:r w:rsidR="00424BC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466E8E" w:rsidRPr="000E469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sections </w:t>
      </w:r>
      <w:r w:rsidR="00424BC5">
        <w:rPr>
          <w:rFonts w:ascii="Times New Roman" w:eastAsiaTheme="minorEastAsia" w:hAnsi="Times New Roman" w:cs="Times New Roman"/>
          <w:sz w:val="24"/>
          <w:szCs w:val="24"/>
          <w:lang w:val="en-US"/>
        </w:rPr>
        <w:t>was</w:t>
      </w:r>
      <w:r w:rsidR="00424BC5" w:rsidRPr="000E469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466E8E" w:rsidRPr="000E469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collected over </w:t>
      </w:r>
      <w:r w:rsidR="00B56EDD">
        <w:rPr>
          <w:rFonts w:ascii="Times New Roman" w:eastAsiaTheme="minorEastAsia" w:hAnsi="Times New Roman" w:cs="Times New Roman"/>
          <w:sz w:val="24"/>
          <w:szCs w:val="24"/>
          <w:lang w:val="en-US"/>
        </w:rPr>
        <w:t>five</w:t>
      </w:r>
      <w:r w:rsidR="00466E8E" w:rsidRPr="000E469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min</w:t>
      </w:r>
      <w:r w:rsidR="00424BC5">
        <w:rPr>
          <w:rFonts w:ascii="Times New Roman" w:eastAsiaTheme="minorEastAsia" w:hAnsi="Times New Roman" w:cs="Times New Roman"/>
          <w:sz w:val="24"/>
          <w:szCs w:val="24"/>
          <w:lang w:val="en-US"/>
        </w:rPr>
        <w:t>utes</w:t>
      </w:r>
      <w:r w:rsidR="00466E8E" w:rsidRPr="000E469C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1EFC11B2" w14:textId="77777777" w:rsidR="002C4EDA" w:rsidRPr="000E469C" w:rsidRDefault="002C4EDA" w:rsidP="00BD7566">
      <w:pPr>
        <w:rPr>
          <w:lang w:val="en-US" w:bidi="en-US"/>
        </w:rPr>
      </w:pPr>
    </w:p>
    <w:p w14:paraId="0D4997DF" w14:textId="26DAB6D3" w:rsidR="00C33942" w:rsidRPr="00C33942" w:rsidRDefault="00C33942" w:rsidP="0047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23D269" w14:textId="546432F4" w:rsidR="00466E8E" w:rsidRPr="000E469C" w:rsidRDefault="00952ACA" w:rsidP="004755CB">
      <w:pPr>
        <w:pStyle w:val="Heading1"/>
        <w:rPr>
          <w:lang w:val="en-US"/>
        </w:rPr>
      </w:pPr>
      <w:r w:rsidRPr="00952ACA">
        <w:rPr>
          <w:b w:val="0"/>
          <w:bCs w:val="0"/>
          <w:highlight w:val="yellow"/>
          <w:lang w:val="en-US"/>
        </w:rPr>
        <w:t>&lt;A-head&gt;</w:t>
      </w:r>
      <w:r>
        <w:rPr>
          <w:lang w:val="en-US"/>
        </w:rPr>
        <w:t xml:space="preserve"> </w:t>
      </w:r>
      <w:r w:rsidR="004755CB" w:rsidRPr="000E469C">
        <w:rPr>
          <w:lang w:val="en-US"/>
        </w:rPr>
        <w:t>Notes</w:t>
      </w:r>
    </w:p>
    <w:sectPr w:rsidR="00466E8E" w:rsidRPr="000E469C" w:rsidSect="002C6A04">
      <w:endnotePr>
        <w:numFmt w:val="decimal"/>
      </w:endnotePr>
      <w:pgSz w:w="11906" w:h="16838"/>
      <w:pgMar w:top="1440" w:right="1440" w:bottom="1440" w:left="1440" w:header="720" w:footer="720" w:gutter="0"/>
      <w:cols w:space="720"/>
      <w:docGrid w:linePitch="15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B81D3" w14:textId="77777777" w:rsidR="001E113F" w:rsidRDefault="001E113F" w:rsidP="009114C6">
      <w:pPr>
        <w:spacing w:after="0" w:line="240" w:lineRule="auto"/>
      </w:pPr>
      <w:r>
        <w:separator/>
      </w:r>
    </w:p>
  </w:endnote>
  <w:endnote w:type="continuationSeparator" w:id="0">
    <w:p w14:paraId="48E2393B" w14:textId="77777777" w:rsidR="001E113F" w:rsidRDefault="001E113F" w:rsidP="009114C6">
      <w:pPr>
        <w:spacing w:after="0" w:line="240" w:lineRule="auto"/>
      </w:pPr>
      <w:r>
        <w:continuationSeparator/>
      </w:r>
    </w:p>
  </w:endnote>
  <w:endnote w:id="1">
    <w:p w14:paraId="60EB9B56" w14:textId="1F930415" w:rsidR="00F82559" w:rsidRDefault="00F82559">
      <w:pPr>
        <w:pStyle w:val="EndnoteText"/>
        <w:rPr>
          <w:rFonts w:ascii="Times New Roman" w:hAnsi="Times New Roman" w:cs="Times New Roman"/>
        </w:rPr>
      </w:pPr>
      <w:r w:rsidRPr="00952ACA">
        <w:rPr>
          <w:rStyle w:val="EndnoteReference"/>
          <w:rFonts w:ascii="Times New Roman" w:hAnsi="Times New Roman" w:cs="Times New Roman"/>
        </w:rPr>
        <w:endnoteRef/>
      </w:r>
      <w:r w:rsidRPr="00952ACA">
        <w:rPr>
          <w:rFonts w:ascii="Times New Roman" w:hAnsi="Times New Roman" w:cs="Times New Roman"/>
        </w:rPr>
        <w:t xml:space="preserve"> Scott Olufson, manager, Coatings Technical Support, Dispersions BASF Australia Ltd, email communication Sept. 17, 2018.</w:t>
      </w:r>
    </w:p>
    <w:p w14:paraId="66106800" w14:textId="77777777" w:rsidR="00952ACA" w:rsidRPr="00952ACA" w:rsidRDefault="00952ACA">
      <w:pPr>
        <w:pStyle w:val="EndnoteText"/>
        <w:rPr>
          <w:rFonts w:ascii="Times New Roman" w:hAnsi="Times New Roman" w:cs="Times New Roman"/>
          <w:lang w:val="en-US"/>
        </w:rPr>
      </w:pPr>
    </w:p>
  </w:endnote>
  <w:endnote w:id="2">
    <w:p w14:paraId="4AF69919" w14:textId="62149D79" w:rsidR="00F82559" w:rsidRPr="006F0A31" w:rsidRDefault="00F82559">
      <w:pPr>
        <w:pStyle w:val="EndnoteText"/>
        <w:rPr>
          <w:lang w:val="en-US"/>
        </w:rPr>
      </w:pPr>
      <w:r w:rsidRPr="00952ACA">
        <w:rPr>
          <w:rStyle w:val="EndnoteReference"/>
          <w:rFonts w:ascii="Times New Roman" w:hAnsi="Times New Roman" w:cs="Times New Roman"/>
        </w:rPr>
        <w:endnoteRef/>
      </w:r>
      <w:r w:rsidRPr="00952ACA">
        <w:rPr>
          <w:rFonts w:ascii="Times New Roman" w:hAnsi="Times New Roman" w:cs="Times New Roman"/>
        </w:rPr>
        <w:t xml:space="preserve"> Olufson, email.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lama-Light">
    <w:altName w:val="Times New Roman"/>
    <w:panose1 w:val="020B0604020202020204"/>
    <w:charset w:val="4D"/>
    <w:family w:val="auto"/>
    <w:notTrueType/>
    <w:pitch w:val="variable"/>
    <w:sig w:usb0="00000001" w:usb1="4000207B" w:usb2="00000000" w:usb3="00000000" w:csb0="0000008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ntonSans">
    <w:altName w:val="Calibri"/>
    <w:panose1 w:val="020B0604020202020204"/>
    <w:charset w:val="00"/>
    <w:family w:val="modern"/>
    <w:notTrueType/>
    <w:pitch w:val="variable"/>
    <w:sig w:usb0="00000007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8DE98" w14:textId="77777777" w:rsidR="001E113F" w:rsidRDefault="001E113F" w:rsidP="009114C6">
      <w:pPr>
        <w:spacing w:after="0" w:line="240" w:lineRule="auto"/>
      </w:pPr>
      <w:r>
        <w:separator/>
      </w:r>
    </w:p>
  </w:footnote>
  <w:footnote w:type="continuationSeparator" w:id="0">
    <w:p w14:paraId="4D4AFF5B" w14:textId="77777777" w:rsidR="001E113F" w:rsidRDefault="001E113F" w:rsidP="009114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F129CA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59ACB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C3A59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178D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66072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26A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B586E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282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DD2E9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BFE05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54FE3"/>
    <w:multiLevelType w:val="hybridMultilevel"/>
    <w:tmpl w:val="61FA3B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B33C1A"/>
    <w:multiLevelType w:val="hybridMultilevel"/>
    <w:tmpl w:val="DB980246"/>
    <w:lvl w:ilvl="0" w:tplc="B5947E3E">
      <w:start w:val="1"/>
      <w:numFmt w:val="decimal"/>
      <w:lvlText w:val="%1"/>
      <w:lvlJc w:val="left"/>
      <w:pPr>
        <w:ind w:left="493" w:hanging="136"/>
      </w:pPr>
      <w:rPr>
        <w:rFonts w:ascii="Flama-Light" w:eastAsia="Flama-Light" w:hAnsi="Flama-Light" w:cs="Flama-Light" w:hint="default"/>
        <w:color w:val="4D4D4F"/>
        <w:w w:val="104"/>
        <w:sz w:val="18"/>
        <w:szCs w:val="18"/>
        <w:lang w:val="en-US" w:eastAsia="en-US" w:bidi="en-US"/>
      </w:rPr>
    </w:lvl>
    <w:lvl w:ilvl="1" w:tplc="A47A882C">
      <w:numFmt w:val="bullet"/>
      <w:lvlText w:val="•"/>
      <w:lvlJc w:val="left"/>
      <w:pPr>
        <w:ind w:left="1080" w:hanging="136"/>
      </w:pPr>
      <w:rPr>
        <w:rFonts w:hint="default"/>
        <w:lang w:val="en-US" w:eastAsia="en-US" w:bidi="en-US"/>
      </w:rPr>
    </w:lvl>
    <w:lvl w:ilvl="2" w:tplc="7F8481AE">
      <w:numFmt w:val="bullet"/>
      <w:lvlText w:val="•"/>
      <w:lvlJc w:val="left"/>
      <w:pPr>
        <w:ind w:left="1661" w:hanging="136"/>
      </w:pPr>
      <w:rPr>
        <w:rFonts w:hint="default"/>
        <w:lang w:val="en-US" w:eastAsia="en-US" w:bidi="en-US"/>
      </w:rPr>
    </w:lvl>
    <w:lvl w:ilvl="3" w:tplc="6DFA9D6C">
      <w:numFmt w:val="bullet"/>
      <w:lvlText w:val="•"/>
      <w:lvlJc w:val="left"/>
      <w:pPr>
        <w:ind w:left="2242" w:hanging="136"/>
      </w:pPr>
      <w:rPr>
        <w:rFonts w:hint="default"/>
        <w:lang w:val="en-US" w:eastAsia="en-US" w:bidi="en-US"/>
      </w:rPr>
    </w:lvl>
    <w:lvl w:ilvl="4" w:tplc="B8529556">
      <w:numFmt w:val="bullet"/>
      <w:lvlText w:val="•"/>
      <w:lvlJc w:val="left"/>
      <w:pPr>
        <w:ind w:left="2823" w:hanging="136"/>
      </w:pPr>
      <w:rPr>
        <w:rFonts w:hint="default"/>
        <w:lang w:val="en-US" w:eastAsia="en-US" w:bidi="en-US"/>
      </w:rPr>
    </w:lvl>
    <w:lvl w:ilvl="5" w:tplc="6E80B972">
      <w:numFmt w:val="bullet"/>
      <w:lvlText w:val="•"/>
      <w:lvlJc w:val="left"/>
      <w:pPr>
        <w:ind w:left="3404" w:hanging="136"/>
      </w:pPr>
      <w:rPr>
        <w:rFonts w:hint="default"/>
        <w:lang w:val="en-US" w:eastAsia="en-US" w:bidi="en-US"/>
      </w:rPr>
    </w:lvl>
    <w:lvl w:ilvl="6" w:tplc="D5A00D20">
      <w:numFmt w:val="bullet"/>
      <w:lvlText w:val="•"/>
      <w:lvlJc w:val="left"/>
      <w:pPr>
        <w:ind w:left="3985" w:hanging="136"/>
      </w:pPr>
      <w:rPr>
        <w:rFonts w:hint="default"/>
        <w:lang w:val="en-US" w:eastAsia="en-US" w:bidi="en-US"/>
      </w:rPr>
    </w:lvl>
    <w:lvl w:ilvl="7" w:tplc="04325A2E">
      <w:numFmt w:val="bullet"/>
      <w:lvlText w:val="•"/>
      <w:lvlJc w:val="left"/>
      <w:pPr>
        <w:ind w:left="4565" w:hanging="136"/>
      </w:pPr>
      <w:rPr>
        <w:rFonts w:hint="default"/>
        <w:lang w:val="en-US" w:eastAsia="en-US" w:bidi="en-US"/>
      </w:rPr>
    </w:lvl>
    <w:lvl w:ilvl="8" w:tplc="17FEE760">
      <w:numFmt w:val="bullet"/>
      <w:lvlText w:val="•"/>
      <w:lvlJc w:val="left"/>
      <w:pPr>
        <w:ind w:left="5146" w:hanging="136"/>
      </w:pPr>
      <w:rPr>
        <w:rFonts w:hint="default"/>
        <w:lang w:val="en-US" w:eastAsia="en-US" w:bidi="en-US"/>
      </w:rPr>
    </w:lvl>
  </w:abstractNum>
  <w:abstractNum w:abstractNumId="12" w15:restartNumberingAfterBreak="0">
    <w:nsid w:val="15576D5D"/>
    <w:multiLevelType w:val="hybridMultilevel"/>
    <w:tmpl w:val="C6F686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516C06"/>
    <w:multiLevelType w:val="hybridMultilevel"/>
    <w:tmpl w:val="3D3EDA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A2206"/>
    <w:multiLevelType w:val="hybridMultilevel"/>
    <w:tmpl w:val="DFC2C7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E17B0F"/>
    <w:multiLevelType w:val="hybridMultilevel"/>
    <w:tmpl w:val="CBE80B64"/>
    <w:lvl w:ilvl="0" w:tplc="B7781166">
      <w:start w:val="1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42487891">
    <w:abstractNumId w:val="11"/>
  </w:num>
  <w:num w:numId="2" w16cid:durableId="1643653934">
    <w:abstractNumId w:val="9"/>
  </w:num>
  <w:num w:numId="3" w16cid:durableId="1420325133">
    <w:abstractNumId w:val="7"/>
  </w:num>
  <w:num w:numId="4" w16cid:durableId="1228035299">
    <w:abstractNumId w:val="6"/>
  </w:num>
  <w:num w:numId="5" w16cid:durableId="413627669">
    <w:abstractNumId w:val="5"/>
  </w:num>
  <w:num w:numId="6" w16cid:durableId="1570264909">
    <w:abstractNumId w:val="4"/>
  </w:num>
  <w:num w:numId="7" w16cid:durableId="513955742">
    <w:abstractNumId w:val="8"/>
  </w:num>
  <w:num w:numId="8" w16cid:durableId="152380663">
    <w:abstractNumId w:val="3"/>
  </w:num>
  <w:num w:numId="9" w16cid:durableId="1841963311">
    <w:abstractNumId w:val="2"/>
  </w:num>
  <w:num w:numId="10" w16cid:durableId="1535386367">
    <w:abstractNumId w:val="1"/>
  </w:num>
  <w:num w:numId="11" w16cid:durableId="1573738162">
    <w:abstractNumId w:val="0"/>
  </w:num>
  <w:num w:numId="12" w16cid:durableId="1512136313">
    <w:abstractNumId w:val="10"/>
  </w:num>
  <w:num w:numId="13" w16cid:durableId="650601475">
    <w:abstractNumId w:val="13"/>
  </w:num>
  <w:num w:numId="14" w16cid:durableId="1449622543">
    <w:abstractNumId w:val="12"/>
  </w:num>
  <w:num w:numId="15" w16cid:durableId="1298880262">
    <w:abstractNumId w:val="14"/>
  </w:num>
  <w:num w:numId="16" w16cid:durableId="138498410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removeDateAndTime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E8E"/>
    <w:rsid w:val="00054B22"/>
    <w:rsid w:val="00055956"/>
    <w:rsid w:val="000A2E04"/>
    <w:rsid w:val="000A772A"/>
    <w:rsid w:val="000C5726"/>
    <w:rsid w:val="000D4852"/>
    <w:rsid w:val="000E469C"/>
    <w:rsid w:val="00116BD2"/>
    <w:rsid w:val="00144094"/>
    <w:rsid w:val="0015002D"/>
    <w:rsid w:val="001740BC"/>
    <w:rsid w:val="001747B8"/>
    <w:rsid w:val="001E113F"/>
    <w:rsid w:val="00235230"/>
    <w:rsid w:val="0024223A"/>
    <w:rsid w:val="002460B2"/>
    <w:rsid w:val="00264D4E"/>
    <w:rsid w:val="00297382"/>
    <w:rsid w:val="002C39C8"/>
    <w:rsid w:val="002C4EDA"/>
    <w:rsid w:val="002C6A04"/>
    <w:rsid w:val="002E3D04"/>
    <w:rsid w:val="003066FC"/>
    <w:rsid w:val="00313382"/>
    <w:rsid w:val="003245E1"/>
    <w:rsid w:val="00365715"/>
    <w:rsid w:val="003A3793"/>
    <w:rsid w:val="003B1A4C"/>
    <w:rsid w:val="003B356D"/>
    <w:rsid w:val="00424BC5"/>
    <w:rsid w:val="00466E8E"/>
    <w:rsid w:val="00467D02"/>
    <w:rsid w:val="004755CB"/>
    <w:rsid w:val="004C5A05"/>
    <w:rsid w:val="0050169E"/>
    <w:rsid w:val="00507CEE"/>
    <w:rsid w:val="00526578"/>
    <w:rsid w:val="00583C96"/>
    <w:rsid w:val="005A2C8A"/>
    <w:rsid w:val="00655608"/>
    <w:rsid w:val="00672935"/>
    <w:rsid w:val="00686FEC"/>
    <w:rsid w:val="00694D76"/>
    <w:rsid w:val="006A4EE2"/>
    <w:rsid w:val="006A6042"/>
    <w:rsid w:val="006F0A31"/>
    <w:rsid w:val="00736882"/>
    <w:rsid w:val="007373CD"/>
    <w:rsid w:val="007469FB"/>
    <w:rsid w:val="00755152"/>
    <w:rsid w:val="007565EF"/>
    <w:rsid w:val="007659EE"/>
    <w:rsid w:val="00780D08"/>
    <w:rsid w:val="0078502B"/>
    <w:rsid w:val="00785F5E"/>
    <w:rsid w:val="00791500"/>
    <w:rsid w:val="0079530A"/>
    <w:rsid w:val="007B097C"/>
    <w:rsid w:val="007E3D2F"/>
    <w:rsid w:val="00817EC3"/>
    <w:rsid w:val="00845105"/>
    <w:rsid w:val="00863463"/>
    <w:rsid w:val="00893A8F"/>
    <w:rsid w:val="008A44C8"/>
    <w:rsid w:val="008C2A0A"/>
    <w:rsid w:val="008D4497"/>
    <w:rsid w:val="009017DE"/>
    <w:rsid w:val="009114C6"/>
    <w:rsid w:val="00923EAA"/>
    <w:rsid w:val="009363C8"/>
    <w:rsid w:val="00952ACA"/>
    <w:rsid w:val="00966337"/>
    <w:rsid w:val="009B08B8"/>
    <w:rsid w:val="009F0BAC"/>
    <w:rsid w:val="009F14FE"/>
    <w:rsid w:val="00A1639B"/>
    <w:rsid w:val="00A51893"/>
    <w:rsid w:val="00A65412"/>
    <w:rsid w:val="00A813D6"/>
    <w:rsid w:val="00AB1A33"/>
    <w:rsid w:val="00AC5E9B"/>
    <w:rsid w:val="00B31EB1"/>
    <w:rsid w:val="00B4459B"/>
    <w:rsid w:val="00B56EDD"/>
    <w:rsid w:val="00B6149D"/>
    <w:rsid w:val="00B73F37"/>
    <w:rsid w:val="00B821C1"/>
    <w:rsid w:val="00B86C4B"/>
    <w:rsid w:val="00B91CA5"/>
    <w:rsid w:val="00BC222C"/>
    <w:rsid w:val="00BD7566"/>
    <w:rsid w:val="00BE7AA0"/>
    <w:rsid w:val="00C3207A"/>
    <w:rsid w:val="00C33942"/>
    <w:rsid w:val="00C6183B"/>
    <w:rsid w:val="00C72420"/>
    <w:rsid w:val="00C83646"/>
    <w:rsid w:val="00C83E52"/>
    <w:rsid w:val="00CD11D0"/>
    <w:rsid w:val="00D42AEC"/>
    <w:rsid w:val="00D53185"/>
    <w:rsid w:val="00DA0F5B"/>
    <w:rsid w:val="00DC766D"/>
    <w:rsid w:val="00DD5968"/>
    <w:rsid w:val="00E25F2F"/>
    <w:rsid w:val="00E5347A"/>
    <w:rsid w:val="00E54F1D"/>
    <w:rsid w:val="00E617E9"/>
    <w:rsid w:val="00E669E0"/>
    <w:rsid w:val="00E86EA5"/>
    <w:rsid w:val="00EE7A85"/>
    <w:rsid w:val="00F151CD"/>
    <w:rsid w:val="00F60491"/>
    <w:rsid w:val="00F7695C"/>
    <w:rsid w:val="00F82559"/>
    <w:rsid w:val="00FA59D8"/>
    <w:rsid w:val="00FB1B4B"/>
    <w:rsid w:val="00F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EF5F1F"/>
  <w15:chartTrackingRefBased/>
  <w15:docId w15:val="{C656FD0D-0EBC-4F97-9D6B-85263143C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7566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D7566"/>
    <w:pPr>
      <w:spacing w:line="480" w:lineRule="auto"/>
      <w:outlineLvl w:val="0"/>
    </w:pPr>
    <w:rPr>
      <w:rFonts w:ascii="Times New Roman" w:hAnsi="Times New Roman" w:cs="Times New Roman"/>
      <w:b/>
      <w:bCs/>
      <w:sz w:val="24"/>
      <w:szCs w:val="24"/>
      <w:lang w:bidi="en-US"/>
    </w:rPr>
  </w:style>
  <w:style w:type="paragraph" w:styleId="Heading2">
    <w:name w:val="heading 2"/>
    <w:basedOn w:val="Normal"/>
    <w:next w:val="Normal"/>
    <w:link w:val="Heading2Char"/>
    <w:unhideWhenUsed/>
    <w:qFormat/>
    <w:rsid w:val="00BD7566"/>
    <w:pPr>
      <w:spacing w:line="480" w:lineRule="auto"/>
      <w:outlineLvl w:val="1"/>
    </w:pPr>
    <w:rPr>
      <w:rFonts w:ascii="Times New Roman" w:hAnsi="Times New Roman" w:cs="Times New Roman"/>
      <w:b/>
      <w:sz w:val="24"/>
      <w:szCs w:val="24"/>
      <w:lang w:bidi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B1A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466E8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66E8E"/>
    <w:rPr>
      <w:rFonts w:asciiTheme="minorHAnsi" w:hAnsiTheme="minorHAnsi" w:cstheme="minorBidi"/>
      <w:sz w:val="22"/>
      <w:szCs w:val="22"/>
      <w:lang w:val="en-SG"/>
    </w:rPr>
  </w:style>
  <w:style w:type="table" w:styleId="TableGrid">
    <w:name w:val="Table Grid"/>
    <w:basedOn w:val="TableNormal"/>
    <w:uiPriority w:val="39"/>
    <w:rsid w:val="00466E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24223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422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4223A"/>
    <w:rPr>
      <w:rFonts w:ascii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42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4223A"/>
    <w:rPr>
      <w:rFonts w:asciiTheme="minorHAnsi" w:hAnsiTheme="minorHAnsi" w:cstheme="minorBidi"/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E669E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4223A"/>
    <w:rPr>
      <w:sz w:val="18"/>
      <w:szCs w:val="18"/>
    </w:rPr>
  </w:style>
  <w:style w:type="paragraph" w:styleId="Header">
    <w:name w:val="header"/>
    <w:basedOn w:val="Normal"/>
    <w:link w:val="HeaderChar"/>
    <w:unhideWhenUsed/>
    <w:rsid w:val="00911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114C6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nhideWhenUsed/>
    <w:rsid w:val="00911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114C6"/>
    <w:rPr>
      <w:rFonts w:ascii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BD7566"/>
    <w:rPr>
      <w:b/>
      <w:bCs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rsid w:val="00BD7566"/>
    <w:rPr>
      <w:b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526578"/>
    <w:pPr>
      <w:ind w:left="720"/>
      <w:contextualSpacing/>
    </w:pPr>
  </w:style>
  <w:style w:type="paragraph" w:styleId="EndnoteText">
    <w:name w:val="endnote text"/>
    <w:basedOn w:val="Normal"/>
    <w:link w:val="EndnoteTextChar"/>
    <w:semiHidden/>
    <w:unhideWhenUsed/>
    <w:rsid w:val="00BE7AA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BE7AA0"/>
    <w:rPr>
      <w:rFonts w:asciiTheme="minorHAnsi" w:hAnsiTheme="minorHAnsi" w:cstheme="minorBidi"/>
    </w:rPr>
  </w:style>
  <w:style w:type="character" w:styleId="EndnoteReference">
    <w:name w:val="endnote reference"/>
    <w:basedOn w:val="DefaultParagraphFont"/>
    <w:semiHidden/>
    <w:unhideWhenUsed/>
    <w:rsid w:val="00BE7AA0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4755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755CB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AB1A3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EE7A85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agoma.qld.gov.au/__data/assets/pdf_file/0004/596821/Investigating-commercially-primed-contemporary-artist-canvases-supplementary-data.pdf" TargetMode="External"/><Relationship Id="rId13" Type="http://schemas.openxmlformats.org/officeDocument/2006/relationships/hyperlink" Target="fig-62-2" TargetMode="External"/><Relationship Id="rId18" Type="http://schemas.openxmlformats.org/officeDocument/2006/relationships/hyperlink" Target="fig-62-2" TargetMode="External"/><Relationship Id="rId3" Type="http://schemas.openxmlformats.org/officeDocument/2006/relationships/styles" Target="styles.xml"/><Relationship Id="rId21" Type="http://schemas.openxmlformats.org/officeDocument/2006/relationships/hyperlink" Target="table-62-1" TargetMode="External"/><Relationship Id="rId7" Type="http://schemas.openxmlformats.org/officeDocument/2006/relationships/endnotes" Target="endnotes.xml"/><Relationship Id="rId12" Type="http://schemas.openxmlformats.org/officeDocument/2006/relationships/hyperlink" Target="fig-62-2" TargetMode="External"/><Relationship Id="rId17" Type="http://schemas.openxmlformats.org/officeDocument/2006/relationships/hyperlink" Target="table-62-1" TargetMode="External"/><Relationship Id="rId2" Type="http://schemas.openxmlformats.org/officeDocument/2006/relationships/numbering" Target="numbering.xml"/><Relationship Id="rId16" Type="http://schemas.openxmlformats.org/officeDocument/2006/relationships/hyperlink" Target="table-62-2" TargetMode="External"/><Relationship Id="rId20" Type="http://schemas.openxmlformats.org/officeDocument/2006/relationships/hyperlink" Target="fig-62-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g-62-2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g-62-2" TargetMode="External"/><Relationship Id="rId23" Type="http://schemas.openxmlformats.org/officeDocument/2006/relationships/fontTable" Target="fontTable.xml"/><Relationship Id="rId10" Type="http://schemas.openxmlformats.org/officeDocument/2006/relationships/hyperlink" Target="fig-62-1" TargetMode="External"/><Relationship Id="rId19" Type="http://schemas.openxmlformats.org/officeDocument/2006/relationships/hyperlink" Target="fig-62-3" TargetMode="External"/><Relationship Id="rId4" Type="http://schemas.openxmlformats.org/officeDocument/2006/relationships/settings" Target="settings.xml"/><Relationship Id="rId9" Type="http://schemas.openxmlformats.org/officeDocument/2006/relationships/hyperlink" Target="table-62-1" TargetMode="External"/><Relationship Id="rId14" Type="http://schemas.openxmlformats.org/officeDocument/2006/relationships/hyperlink" Target="fig-62-3" TargetMode="External"/><Relationship Id="rId22" Type="http://schemas.openxmlformats.org/officeDocument/2006/relationships/hyperlink" Target="table-62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4FB1B-6EF4-4E8D-8B9D-FE5EC2CC7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2430</Words>
  <Characters>13856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Tilley</dc:creator>
  <cp:keywords/>
  <dc:description/>
  <cp:lastModifiedBy>Rachel Barth</cp:lastModifiedBy>
  <cp:revision>4</cp:revision>
  <dcterms:created xsi:type="dcterms:W3CDTF">2022-08-31T01:52:00Z</dcterms:created>
  <dcterms:modified xsi:type="dcterms:W3CDTF">2022-09-03T21:44:00Z</dcterms:modified>
</cp:coreProperties>
</file>