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C1FE" w14:textId="77777777" w:rsidR="00576570" w:rsidRPr="00697A47" w:rsidRDefault="00B613BB" w:rsidP="00A76617">
      <w:pPr>
        <w:pStyle w:val="Heading1"/>
      </w:pPr>
      <w:r w:rsidRPr="00697A47">
        <w:t xml:space="preserve">The Written Heritage of the </w:t>
      </w:r>
      <w:r w:rsidR="00AE39D5" w:rsidRPr="00697A47">
        <w:t>Muslim</w:t>
      </w:r>
      <w:r w:rsidRPr="00697A47">
        <w:t xml:space="preserve"> World</w:t>
      </w:r>
    </w:p>
    <w:p w14:paraId="2776F236" w14:textId="7CC82CFE" w:rsidR="00B613BB" w:rsidRPr="00697A47" w:rsidRDefault="00B613BB" w:rsidP="00697A47">
      <w:pPr>
        <w:spacing w:line="480" w:lineRule="auto"/>
      </w:pPr>
      <w:r w:rsidRPr="00697A47">
        <w:t>Sabine Schmidtke</w:t>
      </w:r>
    </w:p>
    <w:p w14:paraId="26730FA0" w14:textId="039D340A" w:rsidR="00537909" w:rsidRDefault="00537909" w:rsidP="00EE29FD">
      <w:pPr>
        <w:spacing w:line="480" w:lineRule="auto"/>
        <w:contextualSpacing/>
      </w:pPr>
    </w:p>
    <w:p w14:paraId="3B332F24" w14:textId="77777777" w:rsidR="002314B9" w:rsidRDefault="002314B9" w:rsidP="002314B9">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40E20DAB" w14:textId="77777777" w:rsidR="002314B9" w:rsidRDefault="002314B9" w:rsidP="00EE29FD">
      <w:pPr>
        <w:spacing w:line="480" w:lineRule="auto"/>
        <w:contextualSpacing/>
      </w:pPr>
      <w:bookmarkStart w:id="0" w:name="_GoBack"/>
      <w:bookmarkEnd w:id="0"/>
    </w:p>
    <w:p w14:paraId="07CB7BEE" w14:textId="77777777" w:rsidR="00EE29FD" w:rsidRPr="00697A47" w:rsidRDefault="00EE29FD" w:rsidP="00A76617">
      <w:pPr>
        <w:pStyle w:val="Heading2"/>
      </w:pPr>
      <w:r w:rsidRPr="00697A47">
        <w:t>Keynote</w:t>
      </w:r>
    </w:p>
    <w:p w14:paraId="3E52C139" w14:textId="71E1B558" w:rsidR="00EE29FD" w:rsidRDefault="00EE29FD" w:rsidP="00EE29FD">
      <w:pPr>
        <w:spacing w:line="480" w:lineRule="auto"/>
        <w:contextualSpacing/>
        <w:rPr>
          <w:color w:val="000000" w:themeColor="text1"/>
        </w:rPr>
      </w:pPr>
      <w:r w:rsidRPr="00697A47">
        <w:t xml:space="preserve">Islamic manuscript heritage is threatened in many ways—improper handling, theft, inclement climatic conditions, and willful destruction. Over the past </w:t>
      </w:r>
      <w:r w:rsidR="00E44E3A">
        <w:t>several</w:t>
      </w:r>
      <w:r w:rsidR="007251CE">
        <w:t xml:space="preserve"> </w:t>
      </w:r>
      <w:r w:rsidRPr="00697A47">
        <w:t>decades there have been repeated cases of deliberate destruction of Islamic manuscripts</w:t>
      </w:r>
      <w:r w:rsidRPr="00697A47">
        <w:rPr>
          <w:color w:val="000000" w:themeColor="text1"/>
        </w:rPr>
        <w:t xml:space="preserve">, and Islamic manuscripts of uncertain provenance continue to be auctioned off into private hands. The destruction of the cultural heritage of the Muslim world is a calamity beyond reckoning, </w:t>
      </w:r>
      <w:r w:rsidR="00D0092B">
        <w:rPr>
          <w:color w:val="000000" w:themeColor="text1"/>
        </w:rPr>
        <w:t xml:space="preserve">with </w:t>
      </w:r>
      <w:r w:rsidRPr="00697A47">
        <w:rPr>
          <w:color w:val="000000" w:themeColor="text1"/>
        </w:rPr>
        <w:t xml:space="preserve">books and manuscript libraries </w:t>
      </w:r>
      <w:r w:rsidR="00D0092B">
        <w:rPr>
          <w:color w:val="000000" w:themeColor="text1"/>
        </w:rPr>
        <w:t>among the hardest hit cultural forms and institutions</w:t>
      </w:r>
      <w:r w:rsidR="00A21E92">
        <w:rPr>
          <w:color w:val="000000" w:themeColor="text1"/>
        </w:rPr>
        <w:t>.</w:t>
      </w:r>
      <w:r w:rsidR="00D0092B">
        <w:rPr>
          <w:color w:val="000000" w:themeColor="text1"/>
        </w:rPr>
        <w:t xml:space="preserve"> </w:t>
      </w:r>
    </w:p>
    <w:p w14:paraId="5964A420" w14:textId="77777777" w:rsidR="00EE29FD" w:rsidRPr="00697A47" w:rsidRDefault="00EE29FD" w:rsidP="00A76617">
      <w:pPr>
        <w:spacing w:line="480" w:lineRule="auto"/>
        <w:contextualSpacing/>
      </w:pPr>
    </w:p>
    <w:p w14:paraId="24A638EE" w14:textId="4407318F" w:rsidR="00537909" w:rsidRPr="00697A47" w:rsidRDefault="00537909" w:rsidP="00A76617">
      <w:pPr>
        <w:pStyle w:val="Heading2"/>
      </w:pPr>
      <w:r w:rsidRPr="00697A47">
        <w:t>Abstract</w:t>
      </w:r>
    </w:p>
    <w:p w14:paraId="0A7635A9" w14:textId="6C0DF37E" w:rsidR="00BC6E6A" w:rsidRPr="00697A47" w:rsidRDefault="00537909" w:rsidP="00697A47">
      <w:pPr>
        <w:autoSpaceDE w:val="0"/>
        <w:autoSpaceDN w:val="0"/>
        <w:adjustRightInd w:val="0"/>
        <w:spacing w:line="480" w:lineRule="auto"/>
        <w:contextualSpacing/>
        <w:rPr>
          <w:lang w:bidi="ar-JO"/>
        </w:rPr>
      </w:pPr>
      <w:r w:rsidRPr="00697A47">
        <w:t xml:space="preserve">The written heritage of the Muslim world constitutes a cultural heritage beyond reckoning, </w:t>
      </w:r>
      <w:r w:rsidR="00E44E3A">
        <w:t>with</w:t>
      </w:r>
      <w:r w:rsidR="00E44E3A" w:rsidRPr="00697A47">
        <w:t xml:space="preserve"> </w:t>
      </w:r>
      <w:r w:rsidRPr="0043122F">
        <w:t>much of the written cultur</w:t>
      </w:r>
      <w:r w:rsidR="00052A27" w:rsidRPr="0043122F">
        <w:t>e</w:t>
      </w:r>
      <w:r w:rsidRPr="0043122F">
        <w:t xml:space="preserve"> of the Islamic world </w:t>
      </w:r>
      <w:r w:rsidR="00400765" w:rsidRPr="0043122F">
        <w:t>still</w:t>
      </w:r>
      <w:r w:rsidR="0021135B" w:rsidRPr="0043122F">
        <w:t xml:space="preserve"> today</w:t>
      </w:r>
      <w:r w:rsidR="0052544A" w:rsidRPr="0043122F">
        <w:t xml:space="preserve"> </w:t>
      </w:r>
      <w:r w:rsidRPr="0043122F">
        <w:t xml:space="preserve">preserved in manuscript form. </w:t>
      </w:r>
      <w:r w:rsidRPr="00697A47">
        <w:t>Th</w:t>
      </w:r>
      <w:r w:rsidR="00E44E3A">
        <w:t>is</w:t>
      </w:r>
      <w:r w:rsidRPr="00697A47">
        <w:t xml:space="preserve"> manuscript heritage continues to be threatened in many ways—improper handling, exposure, theft, inclement climatic conditions, and willful destruction. Over the past </w:t>
      </w:r>
      <w:r w:rsidR="00E44E3A">
        <w:t xml:space="preserve">several </w:t>
      </w:r>
      <w:r w:rsidRPr="00697A47">
        <w:t>decades there have been repeated cases of deliberate destruction of Islamic manuscripts. The</w:t>
      </w:r>
      <w:r w:rsidR="00B54F68">
        <w:t>se</w:t>
      </w:r>
      <w:r w:rsidRPr="00697A47">
        <w:t xml:space="preserve"> include the bombing of libraries and museums in Kosovo and Bosnia by Serbian nationalists </w:t>
      </w:r>
      <w:r w:rsidR="00B54F68">
        <w:t xml:space="preserve">in </w:t>
      </w:r>
      <w:r w:rsidRPr="00697A47">
        <w:t>1992</w:t>
      </w:r>
      <w:r w:rsidR="00B54F68">
        <w:t>,</w:t>
      </w:r>
      <w:r w:rsidRPr="00697A47">
        <w:t xml:space="preserve"> </w:t>
      </w:r>
      <w:r w:rsidR="00B54F68">
        <w:t xml:space="preserve">and the </w:t>
      </w:r>
      <w:r w:rsidR="004F34AF">
        <w:t>looting</w:t>
      </w:r>
      <w:r w:rsidR="00B54F68">
        <w:t xml:space="preserve"> </w:t>
      </w:r>
      <w:r w:rsidR="004F34AF">
        <w:t>and destruction</w:t>
      </w:r>
      <w:r w:rsidR="00B54F68">
        <w:t xml:space="preserve"> of </w:t>
      </w:r>
      <w:r w:rsidRPr="00697A47">
        <w:rPr>
          <w:color w:val="000000" w:themeColor="text1"/>
        </w:rPr>
        <w:t xml:space="preserve">major manuscript libraries </w:t>
      </w:r>
      <w:r w:rsidR="009A3B6C">
        <w:rPr>
          <w:color w:val="000000" w:themeColor="text1"/>
        </w:rPr>
        <w:t>in</w:t>
      </w:r>
      <w:r w:rsidR="009A3B6C" w:rsidRPr="00697A47">
        <w:rPr>
          <w:color w:val="000000" w:themeColor="text1"/>
        </w:rPr>
        <w:t xml:space="preserve"> </w:t>
      </w:r>
      <w:r w:rsidRPr="00697A47">
        <w:rPr>
          <w:color w:val="000000" w:themeColor="text1"/>
        </w:rPr>
        <w:t xml:space="preserve">Iraq </w:t>
      </w:r>
      <w:r w:rsidRPr="00697A47">
        <w:rPr>
          <w:lang w:bidi="ar-JO"/>
        </w:rPr>
        <w:t>in the aftermath of the 1991 Gulf War</w:t>
      </w:r>
      <w:r w:rsidRPr="00697A47">
        <w:rPr>
          <w:color w:val="000000" w:themeColor="text1"/>
        </w:rPr>
        <w:t xml:space="preserve"> and again </w:t>
      </w:r>
      <w:r w:rsidR="007447DC">
        <w:rPr>
          <w:color w:val="000000" w:themeColor="text1"/>
        </w:rPr>
        <w:t xml:space="preserve">with invasion </w:t>
      </w:r>
      <w:r w:rsidR="00B92164">
        <w:rPr>
          <w:color w:val="000000" w:themeColor="text1"/>
        </w:rPr>
        <w:t>and occupation from</w:t>
      </w:r>
      <w:r w:rsidR="00B92164" w:rsidRPr="00697A47">
        <w:rPr>
          <w:color w:val="000000" w:themeColor="text1"/>
        </w:rPr>
        <w:t xml:space="preserve"> </w:t>
      </w:r>
      <w:r w:rsidRPr="00697A47">
        <w:rPr>
          <w:color w:val="000000" w:themeColor="text1"/>
        </w:rPr>
        <w:t xml:space="preserve">2003. </w:t>
      </w:r>
      <w:r w:rsidRPr="00697A47">
        <w:t xml:space="preserve">Sectarianism poses another threat to </w:t>
      </w:r>
      <w:r w:rsidR="003670D6">
        <w:lastRenderedPageBreak/>
        <w:t>aspects</w:t>
      </w:r>
      <w:r w:rsidR="003670D6" w:rsidRPr="00697A47">
        <w:t xml:space="preserve"> </w:t>
      </w:r>
      <w:r w:rsidRPr="00697A47">
        <w:t>of Islamic cultural heritage</w:t>
      </w:r>
      <w:r w:rsidR="00BF316B">
        <w:t>:</w:t>
      </w:r>
      <w:r w:rsidRPr="00697A47">
        <w:t xml:space="preserve"> </w:t>
      </w:r>
      <w:r w:rsidR="00BF316B">
        <w:rPr>
          <w:lang w:bidi="ar-JO"/>
        </w:rPr>
        <w:t>l</w:t>
      </w:r>
      <w:r w:rsidRPr="00697A47">
        <w:rPr>
          <w:lang w:bidi="ar-JO"/>
        </w:rPr>
        <w:t>ibraries holding manuscripts that are seen as containing deviant views are targeted for destruction, and the same holds for historic</w:t>
      </w:r>
      <w:r w:rsidR="00BF316B">
        <w:rPr>
          <w:lang w:bidi="ar-JO"/>
        </w:rPr>
        <w:t>al</w:t>
      </w:r>
      <w:r w:rsidRPr="00697A47">
        <w:rPr>
          <w:lang w:bidi="ar-JO"/>
        </w:rPr>
        <w:t xml:space="preserve"> monuments, which have been destroyed over the past </w:t>
      </w:r>
      <w:r w:rsidR="00254F5E">
        <w:rPr>
          <w:lang w:bidi="ar-JO"/>
        </w:rPr>
        <w:t xml:space="preserve">few </w:t>
      </w:r>
      <w:r w:rsidRPr="00697A47">
        <w:rPr>
          <w:lang w:bidi="ar-JO"/>
        </w:rPr>
        <w:t>decades by Muslim extremists in an attempt to “purify” Islam.</w:t>
      </w:r>
    </w:p>
    <w:p w14:paraId="56C4667E" w14:textId="73F53F8D" w:rsidR="00697A47" w:rsidRPr="00A76617" w:rsidRDefault="00697A47" w:rsidP="00697A47">
      <w:pPr>
        <w:autoSpaceDE w:val="0"/>
        <w:autoSpaceDN w:val="0"/>
        <w:adjustRightInd w:val="0"/>
        <w:spacing w:line="480" w:lineRule="auto"/>
        <w:contextualSpacing/>
      </w:pPr>
    </w:p>
    <w:p w14:paraId="6E5CB34F" w14:textId="55820E46" w:rsidR="00537909" w:rsidRPr="00BC6E6A" w:rsidRDefault="00BC6E6A" w:rsidP="00697A47">
      <w:pPr>
        <w:autoSpaceDE w:val="0"/>
        <w:autoSpaceDN w:val="0"/>
        <w:adjustRightInd w:val="0"/>
        <w:spacing w:line="480" w:lineRule="auto"/>
        <w:contextualSpacing/>
        <w:rPr>
          <w:color w:val="000000" w:themeColor="text1"/>
        </w:rPr>
      </w:pPr>
      <w:r w:rsidRPr="00A76617">
        <w:rPr>
          <w:rFonts w:asciiTheme="majorHAnsi" w:eastAsiaTheme="majorEastAsia" w:hAnsiTheme="majorHAnsi" w:cstheme="majorBidi"/>
          <w:color w:val="2E74B5" w:themeColor="accent1" w:themeShade="BF"/>
          <w:sz w:val="26"/>
          <w:szCs w:val="26"/>
        </w:rPr>
        <w:t>Biography</w:t>
      </w:r>
    </w:p>
    <w:p w14:paraId="0EFD5149" w14:textId="52B64D04" w:rsidR="00697A47" w:rsidRDefault="004F09C7" w:rsidP="00502B30">
      <w:pPr>
        <w:autoSpaceDE w:val="0"/>
        <w:autoSpaceDN w:val="0"/>
        <w:adjustRightInd w:val="0"/>
        <w:spacing w:line="480" w:lineRule="auto"/>
        <w:contextualSpacing/>
        <w:rPr>
          <w:lang w:bidi="ar-JO"/>
        </w:rPr>
      </w:pPr>
      <w:r w:rsidRPr="004F09C7">
        <w:rPr>
          <w:lang w:bidi="ar-JO"/>
        </w:rPr>
        <w:t>Sabine Schmidtke is Professor of Islamic Intellectual History in the School of Historical Studies at the Institute for Advanced Study, Princeton. Her research interests include Shi</w:t>
      </w:r>
      <w:r w:rsidRPr="00697A47">
        <w:t>ʿ</w:t>
      </w:r>
      <w:r w:rsidRPr="004F09C7">
        <w:rPr>
          <w:lang w:bidi="ar-JO"/>
        </w:rPr>
        <w:t>ism (Zaydism and Twelver Shi</w:t>
      </w:r>
      <w:r w:rsidRPr="00697A47">
        <w:t>ʿ</w:t>
      </w:r>
      <w:r w:rsidRPr="004F09C7">
        <w:rPr>
          <w:lang w:bidi="ar-JO"/>
        </w:rPr>
        <w:t xml:space="preserve">ism), intersections of Jewish and Muslim intellectual history, the Arabic Bible, the history of Orientalism and the Science of Judaism, and the history of the book and libraries in the Islamicate world. Her recent publications include </w:t>
      </w:r>
      <w:r w:rsidRPr="0043122F">
        <w:rPr>
          <w:i/>
          <w:iCs/>
          <w:lang w:bidi="ar-JO"/>
        </w:rPr>
        <w:t>Muslim Perceptions and Receptions of the Bible: Texts and Studies</w:t>
      </w:r>
      <w:r w:rsidRPr="004F09C7">
        <w:rPr>
          <w:lang w:bidi="ar-JO"/>
        </w:rPr>
        <w:t xml:space="preserve"> (2019), with Camilla Adang; </w:t>
      </w:r>
      <w:r w:rsidRPr="0043122F">
        <w:rPr>
          <w:i/>
          <w:iCs/>
          <w:lang w:bidi="ar-JO"/>
        </w:rPr>
        <w:t>Traditional Yemeni Scholarship amidst Political Turmoil and War: Muḥammad b. Muḥammad b. Ismāʿīl b. al-Muṭahhar al-Manṣūr (1915–2016) and His Personal Library</w:t>
      </w:r>
      <w:r w:rsidRPr="004F09C7">
        <w:rPr>
          <w:lang w:bidi="ar-JO"/>
        </w:rPr>
        <w:t xml:space="preserve"> (2018); and </w:t>
      </w:r>
      <w:r w:rsidRPr="0043122F">
        <w:rPr>
          <w:i/>
          <w:iCs/>
          <w:lang w:bidi="ar-JO"/>
        </w:rPr>
        <w:t>The Oxford Handbook of Islamic Philosophy</w:t>
      </w:r>
      <w:r w:rsidRPr="004F09C7">
        <w:rPr>
          <w:lang w:bidi="ar-JO"/>
        </w:rPr>
        <w:t xml:space="preserve"> (2017), with Khaled El-Rouayheb.</w:t>
      </w:r>
    </w:p>
    <w:p w14:paraId="43777498" w14:textId="77777777" w:rsidR="0021135B" w:rsidRPr="00BC6E6A" w:rsidRDefault="0021135B" w:rsidP="0021135B">
      <w:pPr>
        <w:autoSpaceDE w:val="0"/>
        <w:autoSpaceDN w:val="0"/>
        <w:adjustRightInd w:val="0"/>
        <w:spacing w:line="480" w:lineRule="auto"/>
        <w:contextualSpacing/>
        <w:rPr>
          <w:lang w:bidi="ar-JO"/>
        </w:rPr>
      </w:pPr>
    </w:p>
    <w:p w14:paraId="39CA9E98" w14:textId="36B56134" w:rsidR="00697A47" w:rsidRPr="00697A47" w:rsidRDefault="0053664E" w:rsidP="00697A47">
      <w:pPr>
        <w:spacing w:line="480" w:lineRule="auto"/>
        <w:contextualSpacing/>
        <w:rPr>
          <w:shd w:val="clear" w:color="auto" w:fill="F9F9F9"/>
        </w:rPr>
      </w:pPr>
      <w:r w:rsidRPr="00697A47">
        <w:t xml:space="preserve">Over the past </w:t>
      </w:r>
      <w:r w:rsidR="00254F5E">
        <w:t xml:space="preserve">several </w:t>
      </w:r>
      <w:r w:rsidRPr="00697A47">
        <w:t xml:space="preserve">decades, digital collections of texts produced by Muslim authors </w:t>
      </w:r>
      <w:r w:rsidR="00634125" w:rsidRPr="00697A47">
        <w:t xml:space="preserve">writing in Arabic </w:t>
      </w:r>
      <w:r w:rsidRPr="00697A47">
        <w:t xml:space="preserve">during the premodern period have mushroomed. </w:t>
      </w:r>
      <w:r w:rsidR="00D47846" w:rsidRPr="00697A47">
        <w:t xml:space="preserve">Major libraries include </w:t>
      </w:r>
      <w:r w:rsidR="00F5685D" w:rsidRPr="00697A47">
        <w:rPr>
          <w:shd w:val="clear" w:color="auto" w:fill="FFFFFF"/>
        </w:rPr>
        <w:t>al-Maktaba al-Sh</w:t>
      </w:r>
      <w:r w:rsidR="00641470">
        <w:rPr>
          <w:shd w:val="clear" w:color="auto" w:fill="FFFFFF"/>
        </w:rPr>
        <w:t>a</w:t>
      </w:r>
      <w:r w:rsidR="00F5685D" w:rsidRPr="00697A47">
        <w:rPr>
          <w:shd w:val="clear" w:color="auto" w:fill="FFFFFF"/>
        </w:rPr>
        <w:t>mila</w:t>
      </w:r>
      <w:r w:rsidR="00D47846" w:rsidRPr="00697A47">
        <w:t xml:space="preserve">, </w:t>
      </w:r>
      <w:r w:rsidR="00B07742" w:rsidRPr="00697A47">
        <w:t xml:space="preserve">currently </w:t>
      </w:r>
      <w:r w:rsidR="00F5685D" w:rsidRPr="00697A47">
        <w:t xml:space="preserve">containing some </w:t>
      </w:r>
      <w:r w:rsidR="00254F5E">
        <w:t>seven thousand</w:t>
      </w:r>
      <w:r w:rsidR="00F5685D" w:rsidRPr="00697A47">
        <w:t xml:space="preserve"> books</w:t>
      </w:r>
      <w:r w:rsidR="00871824" w:rsidRPr="00697A47">
        <w:t>;</w:t>
      </w:r>
      <w:r w:rsidR="00697A47" w:rsidRPr="00697A47">
        <w:rPr>
          <w:rStyle w:val="EndnoteReference"/>
        </w:rPr>
        <w:endnoteReference w:id="1"/>
      </w:r>
      <w:r w:rsidR="00697A47" w:rsidRPr="00697A47">
        <w:t xml:space="preserve"> Noor Digital Library, with 35,169 books to date;</w:t>
      </w:r>
      <w:r w:rsidR="00697A47" w:rsidRPr="00697A47">
        <w:rPr>
          <w:rStyle w:val="EndnoteReference"/>
        </w:rPr>
        <w:endnoteReference w:id="2"/>
      </w:r>
      <w:r w:rsidR="00697A47" w:rsidRPr="00697A47">
        <w:t xml:space="preserve"> PDF Books Library, currently containing 4,355 books;</w:t>
      </w:r>
      <w:r w:rsidR="00697A47" w:rsidRPr="00697A47">
        <w:rPr>
          <w:rStyle w:val="EndnoteReference"/>
        </w:rPr>
        <w:endnoteReference w:id="3"/>
      </w:r>
      <w:r w:rsidR="00697A47" w:rsidRPr="00697A47">
        <w:t xml:space="preserve"> Arabic Collections Online (ACO), providing access to 15,131 volumes;</w:t>
      </w:r>
      <w:r w:rsidR="00697A47" w:rsidRPr="00697A47">
        <w:rPr>
          <w:rStyle w:val="EndnoteReference"/>
        </w:rPr>
        <w:endnoteReference w:id="4"/>
      </w:r>
      <w:r w:rsidR="00697A47" w:rsidRPr="00697A47">
        <w:t xml:space="preserve"> Shia Online Library, with 4,715 books;</w:t>
      </w:r>
      <w:r w:rsidR="00697A47" w:rsidRPr="00697A47">
        <w:rPr>
          <w:rStyle w:val="EndnoteReference"/>
        </w:rPr>
        <w:endnoteReference w:id="5"/>
      </w:r>
      <w:r w:rsidR="001B0DF7">
        <w:t xml:space="preserve"> and</w:t>
      </w:r>
      <w:r w:rsidR="00697A47" w:rsidRPr="00697A47">
        <w:t xml:space="preserve"> al-Maktaba al-Waqfiyya, containing some </w:t>
      </w:r>
      <w:r w:rsidR="008B086C">
        <w:t>ten</w:t>
      </w:r>
      <w:r w:rsidR="008B086C" w:rsidRPr="00697A47">
        <w:t xml:space="preserve"> </w:t>
      </w:r>
      <w:r w:rsidR="00697A47" w:rsidRPr="00697A47">
        <w:t>million pages of published books (in addition to a growing number of manuscript surrogates),</w:t>
      </w:r>
      <w:r w:rsidR="00697A47" w:rsidRPr="00697A47">
        <w:rPr>
          <w:rStyle w:val="EndnoteReference"/>
        </w:rPr>
        <w:endnoteReference w:id="6"/>
      </w:r>
      <w:r w:rsidR="00697A47" w:rsidRPr="00697A47">
        <w:t xml:space="preserve"> to name only the most important. </w:t>
      </w:r>
      <w:r w:rsidR="00697A47" w:rsidRPr="00697A47">
        <w:rPr>
          <w:shd w:val="clear" w:color="auto" w:fill="F9F9F9"/>
        </w:rPr>
        <w:t xml:space="preserve">Moreover, </w:t>
      </w:r>
      <w:r w:rsidR="00697A47" w:rsidRPr="00697A47">
        <w:rPr>
          <w:shd w:val="clear" w:color="auto" w:fill="F9F9F9"/>
        </w:rPr>
        <w:lastRenderedPageBreak/>
        <w:t xml:space="preserve">since printing technologies were adopted in the Islamic world at a relatively late stage and slow rate, </w:t>
      </w:r>
      <w:r w:rsidR="00697A47" w:rsidRPr="002C597B">
        <w:rPr>
          <w:b/>
          <w:color w:val="000000" w:themeColor="text1"/>
          <w:shd w:val="clear" w:color="auto" w:fill="F9F9F9"/>
        </w:rPr>
        <w:t xml:space="preserve">[fig. </w:t>
      </w:r>
      <w:r w:rsidR="00EC2F5A" w:rsidRPr="002C597B">
        <w:rPr>
          <w:b/>
          <w:color w:val="000000" w:themeColor="text1"/>
          <w:shd w:val="clear" w:color="auto" w:fill="F9F9F9"/>
        </w:rPr>
        <w:t>5.</w:t>
      </w:r>
      <w:r w:rsidR="00697A47" w:rsidRPr="002C597B">
        <w:rPr>
          <w:b/>
          <w:color w:val="000000" w:themeColor="text1"/>
          <w:shd w:val="clear" w:color="auto" w:fill="F9F9F9"/>
        </w:rPr>
        <w:t>1]</w:t>
      </w:r>
      <w:r w:rsidR="00697A47" w:rsidRPr="00697A47">
        <w:rPr>
          <w:shd w:val="clear" w:color="auto" w:fill="F9F9F9"/>
        </w:rPr>
        <w:t xml:space="preserve"> much of the written cultural production of the Islamic world is </w:t>
      </w:r>
      <w:r w:rsidR="001F521B">
        <w:rPr>
          <w:shd w:val="clear" w:color="auto" w:fill="F9F9F9"/>
        </w:rPr>
        <w:t>still</w:t>
      </w:r>
      <w:r w:rsidR="001F521B" w:rsidRPr="00697A47">
        <w:rPr>
          <w:shd w:val="clear" w:color="auto" w:fill="F9F9F9"/>
        </w:rPr>
        <w:t xml:space="preserve"> </w:t>
      </w:r>
      <w:r w:rsidR="00697A47" w:rsidRPr="00697A47">
        <w:rPr>
          <w:shd w:val="clear" w:color="auto" w:fill="F9F9F9"/>
        </w:rPr>
        <w:t>preserved in manuscript form. And although there has been a steady rise in the publication of manuscript catalog</w:t>
      </w:r>
      <w:r w:rsidR="00595A1C">
        <w:rPr>
          <w:shd w:val="clear" w:color="auto" w:fill="F9F9F9"/>
        </w:rPr>
        <w:t>ue</w:t>
      </w:r>
      <w:r w:rsidR="00697A47" w:rsidRPr="00697A47">
        <w:rPr>
          <w:shd w:val="clear" w:color="auto" w:fill="F9F9F9"/>
        </w:rPr>
        <w:t xml:space="preserve">s all over the Islamic world over the past hundred years, much material is still unaccounted for, and discoveries of titles that were believed to be lost or that were entirely unknown regularly occur. In parallel, numerous libraries have started to digitize their collections of Islamic manuscripts, </w:t>
      </w:r>
      <w:r w:rsidR="00DB18B3">
        <w:rPr>
          <w:shd w:val="clear" w:color="auto" w:fill="F9F9F9"/>
        </w:rPr>
        <w:t>with</w:t>
      </w:r>
      <w:r w:rsidR="00DB18B3" w:rsidRPr="00697A47">
        <w:rPr>
          <w:shd w:val="clear" w:color="auto" w:fill="F9F9F9"/>
        </w:rPr>
        <w:t xml:space="preserve"> </w:t>
      </w:r>
      <w:r w:rsidR="00697A47" w:rsidRPr="00697A47">
        <w:rPr>
          <w:shd w:val="clear" w:color="auto" w:fill="F9F9F9"/>
        </w:rPr>
        <w:t>a fair number provid</w:t>
      </w:r>
      <w:r w:rsidR="00DB18B3">
        <w:rPr>
          <w:shd w:val="clear" w:color="auto" w:fill="F9F9F9"/>
        </w:rPr>
        <w:t>ing</w:t>
      </w:r>
      <w:r w:rsidR="00697A47" w:rsidRPr="00697A47">
        <w:rPr>
          <w:shd w:val="clear" w:color="auto" w:fill="F9F9F9"/>
        </w:rPr>
        <w:t xml:space="preserve"> open access to their holdings through institutional digital repositories, in addition to a growing number of </w:t>
      </w:r>
      <w:r w:rsidR="00697A47" w:rsidRPr="00697A47">
        <w:t xml:space="preserve">online gateways to </w:t>
      </w:r>
      <w:r w:rsidR="009127FB">
        <w:t>such</w:t>
      </w:r>
      <w:r w:rsidR="009127FB" w:rsidRPr="00697A47">
        <w:t xml:space="preserve"> </w:t>
      </w:r>
      <w:r w:rsidR="00697A47" w:rsidRPr="00697A47">
        <w:t>manuscripts</w:t>
      </w:r>
      <w:r w:rsidR="00697A47" w:rsidRPr="00697A47">
        <w:rPr>
          <w:shd w:val="clear" w:color="auto" w:fill="F9F9F9"/>
        </w:rPr>
        <w:t>.</w:t>
      </w:r>
      <w:r w:rsidR="00697A47" w:rsidRPr="00697A47">
        <w:rPr>
          <w:rStyle w:val="EndnoteReference"/>
          <w:shd w:val="clear" w:color="auto" w:fill="F9F9F9"/>
        </w:rPr>
        <w:endnoteReference w:id="7"/>
      </w:r>
      <w:r w:rsidR="00697A47" w:rsidRPr="00697A47">
        <w:rPr>
          <w:shd w:val="clear" w:color="auto" w:fill="F9F9F9"/>
        </w:rPr>
        <w:t xml:space="preserve"> At the same time, what is available online, whether published or in manuscript form, is only the tip of the iceberg.</w:t>
      </w:r>
    </w:p>
    <w:p w14:paraId="2D33106D" w14:textId="11B232FB" w:rsidR="00697A47" w:rsidRPr="00697A47" w:rsidRDefault="00697A47" w:rsidP="00697A47">
      <w:pPr>
        <w:spacing w:line="480" w:lineRule="auto"/>
        <w:ind w:firstLine="720"/>
        <w:contextualSpacing/>
      </w:pPr>
      <w:r w:rsidRPr="00697A47">
        <w:t xml:space="preserve">We do not possess reliable data that would allow us to quantify the overall literary production by Muslim scholars over the past 1,500 years, nor do we have estimates of the total number of preserved manuscripts. However, the following figures, randomly chosen, may provide some idea </w:t>
      </w:r>
      <w:r w:rsidR="001D7011">
        <w:t>of</w:t>
      </w:r>
      <w:r w:rsidR="001D7011" w:rsidRPr="00697A47">
        <w:t xml:space="preserve"> </w:t>
      </w:r>
      <w:r w:rsidRPr="00697A47">
        <w:t>the overall scope of the corpus. The S</w:t>
      </w:r>
      <w:r w:rsidRPr="00697A47">
        <w:rPr>
          <w:lang w:val="de-DE"/>
        </w:rPr>
        <w:t>ü</w:t>
      </w:r>
      <w:r w:rsidRPr="00697A47">
        <w:t xml:space="preserve">leymaniye Library in Istanbul, one of the most important libraries in Turkey, though just one among many, holds some </w:t>
      </w:r>
      <w:r w:rsidR="00690972">
        <w:t>one hundred thousand</w:t>
      </w:r>
      <w:r w:rsidRPr="00697A47">
        <w:t xml:space="preserve"> manuscripts in Arabic, Persian, and Ottoman Turkish, and the estimated number of Islamic manuscripts in all Turkish libraries is </w:t>
      </w:r>
      <w:r w:rsidR="00884C91">
        <w:t>three hundred thousand</w:t>
      </w:r>
      <w:r w:rsidRPr="00697A47">
        <w:t>.</w:t>
      </w:r>
      <w:r w:rsidRPr="00697A47">
        <w:rPr>
          <w:rStyle w:val="EndnoteReference"/>
        </w:rPr>
        <w:endnoteReference w:id="8"/>
      </w:r>
      <w:r w:rsidRPr="00697A47">
        <w:t xml:space="preserve"> </w:t>
      </w:r>
      <w:r w:rsidRPr="002C597B">
        <w:rPr>
          <w:b/>
          <w:color w:val="000000" w:themeColor="text1"/>
        </w:rPr>
        <w:t>[fig</w:t>
      </w:r>
      <w:r w:rsidR="00EC2F5A" w:rsidRPr="002C597B">
        <w:rPr>
          <w:b/>
          <w:color w:val="000000" w:themeColor="text1"/>
        </w:rPr>
        <w:t>.</w:t>
      </w:r>
      <w:r w:rsidRPr="002C597B">
        <w:rPr>
          <w:b/>
          <w:color w:val="000000" w:themeColor="text1"/>
        </w:rPr>
        <w:t xml:space="preserve"> </w:t>
      </w:r>
      <w:r w:rsidR="00EC2F5A" w:rsidRPr="002C597B">
        <w:rPr>
          <w:b/>
          <w:color w:val="000000" w:themeColor="text1"/>
        </w:rPr>
        <w:t>5.</w:t>
      </w:r>
      <w:r w:rsidRPr="002C597B">
        <w:rPr>
          <w:b/>
          <w:color w:val="000000" w:themeColor="text1"/>
        </w:rPr>
        <w:t>2]</w:t>
      </w:r>
      <w:r w:rsidRPr="002C597B">
        <w:rPr>
          <w:color w:val="000000" w:themeColor="text1"/>
        </w:rPr>
        <w:t xml:space="preserve"> </w:t>
      </w:r>
      <w:r w:rsidRPr="00697A47">
        <w:t xml:space="preserve">The Union Catalogue of Manuscripts in Iranian Libraries, published in 2011 in thirty-five volumes, lists some </w:t>
      </w:r>
      <w:r w:rsidR="00780023">
        <w:t>four hundred thousand</w:t>
      </w:r>
      <w:r w:rsidRPr="00697A47">
        <w:t xml:space="preserve"> manuscripts in Arabic and Persian, not including the holdings of the many uncatalog</w:t>
      </w:r>
      <w:r w:rsidR="00595A1C">
        <w:t>u</w:t>
      </w:r>
      <w:r w:rsidRPr="00697A47">
        <w:t>ed private collections in the country. Estimates of the total number of manuscripts in the countless public and private libraries in Yemen, most of which are only partly catalog</w:t>
      </w:r>
      <w:r w:rsidR="00595A1C">
        <w:t>u</w:t>
      </w:r>
      <w:r w:rsidRPr="00697A47">
        <w:t xml:space="preserve">ed if at all, range from </w:t>
      </w:r>
      <w:r w:rsidR="00E60701">
        <w:t xml:space="preserve">forty thousand </w:t>
      </w:r>
      <w:r w:rsidRPr="00697A47">
        <w:t xml:space="preserve">to </w:t>
      </w:r>
      <w:r w:rsidR="00E60701">
        <w:t xml:space="preserve">one hundred thousand </w:t>
      </w:r>
      <w:r w:rsidRPr="00697A47">
        <w:t>codices. More</w:t>
      </w:r>
      <w:r w:rsidR="00436E4A">
        <w:t>o</w:t>
      </w:r>
      <w:r w:rsidRPr="00697A47">
        <w:t xml:space="preserve">ver, libraries with significant holdings of Islamic manuscripts are not confined to regions that are (or </w:t>
      </w:r>
      <w:r w:rsidRPr="00697A47">
        <w:lastRenderedPageBreak/>
        <w:t>were) part of the Islamic world</w:t>
      </w:r>
      <w:r w:rsidR="00EA65A9">
        <w:t>—</w:t>
      </w:r>
      <w:r w:rsidRPr="00697A47">
        <w:t xml:space="preserve">they are spread all over the world. Important and substantial collections of Islamic manuscripts can be found across Europe, Russia, North America, and Australia, as well as East Asia. </w:t>
      </w:r>
      <w:r w:rsidRPr="002C597B">
        <w:rPr>
          <w:b/>
          <w:color w:val="000000" w:themeColor="text1"/>
        </w:rPr>
        <w:t xml:space="preserve">[fig. </w:t>
      </w:r>
      <w:r w:rsidR="00FD30C5" w:rsidRPr="002C597B">
        <w:rPr>
          <w:b/>
          <w:color w:val="000000" w:themeColor="text1"/>
        </w:rPr>
        <w:t>5.3</w:t>
      </w:r>
      <w:r w:rsidRPr="002C597B">
        <w:rPr>
          <w:b/>
          <w:color w:val="000000" w:themeColor="text1"/>
        </w:rPr>
        <w:t>]</w:t>
      </w:r>
    </w:p>
    <w:p w14:paraId="5B46E24B" w14:textId="4F8FFA14" w:rsidR="00697A47" w:rsidRPr="005904C2" w:rsidRDefault="00697A47" w:rsidP="005904C2">
      <w:pPr>
        <w:spacing w:line="480" w:lineRule="auto"/>
        <w:ind w:firstLine="720"/>
        <w:contextualSpacing/>
      </w:pPr>
      <w:r w:rsidRPr="00697A47">
        <w:t>Further, while Jan Just Witkam rightly remarks that “</w:t>
      </w:r>
      <w:r w:rsidRPr="00697A47">
        <w:rPr>
          <w:color w:val="222222"/>
          <w:shd w:val="clear" w:color="auto" w:fill="FFFFFF"/>
        </w:rPr>
        <w:t>Arabic traditional literature is probably the largest body of literature in the world,”</w:t>
      </w:r>
      <w:r w:rsidRPr="00697A47">
        <w:rPr>
          <w:rStyle w:val="EndnoteReference"/>
          <w:color w:val="222222"/>
          <w:shd w:val="clear" w:color="auto" w:fill="FFFFFF"/>
        </w:rPr>
        <w:endnoteReference w:id="9"/>
      </w:r>
      <w:r w:rsidRPr="00697A47">
        <w:rPr>
          <w:color w:val="222222"/>
          <w:shd w:val="clear" w:color="auto" w:fill="FFFFFF"/>
        </w:rPr>
        <w:t xml:space="preserve"> </w:t>
      </w:r>
      <w:r w:rsidRPr="00697A47">
        <w:rPr>
          <w:shd w:val="clear" w:color="auto" w:fill="F9F9F9"/>
        </w:rPr>
        <w:t xml:space="preserve">it should be kept in mind that Arabic is only one of many Islamic languages. </w:t>
      </w:r>
      <w:r w:rsidRPr="00697A47">
        <w:t xml:space="preserve">The geographical expansion of the Islamic world to reach from West Africa and Islamic Spain to Central and South and East Asia, sub-Saharan Africa, the Indonesian archipelago, </w:t>
      </w:r>
      <w:r w:rsidR="008E2DB9">
        <w:t xml:space="preserve">and </w:t>
      </w:r>
      <w:r w:rsidRPr="00697A47">
        <w:t xml:space="preserve">the Volga region and </w:t>
      </w:r>
      <w:r w:rsidR="000C1FFB">
        <w:t xml:space="preserve">other parts of </w:t>
      </w:r>
      <w:r w:rsidRPr="00697A47">
        <w:t xml:space="preserve">Eastern Europe, </w:t>
      </w:r>
      <w:r w:rsidR="008E2DB9">
        <w:t xml:space="preserve">as well as </w:t>
      </w:r>
      <w:r w:rsidRPr="00697A47">
        <w:t xml:space="preserve">the linguistic variety that this spread implies, gave rise to a highly variegated literary production of enormous dimensions. And although one might distinguish </w:t>
      </w:r>
      <w:r w:rsidR="009C3F83">
        <w:t xml:space="preserve">geographically between </w:t>
      </w:r>
      <w:r w:rsidRPr="00697A47">
        <w:t>core and periphery (the historical heartlands of Islam versus regions that became part of the Islamic world in later periods) and of philology (Arabic as the language of the Qurʾ</w:t>
      </w:r>
      <w:r w:rsidR="00641470">
        <w:t>a</w:t>
      </w:r>
      <w:r w:rsidRPr="00697A47">
        <w:t>n and of the Prophet Mu</w:t>
      </w:r>
      <w:r w:rsidR="00DA7CC2">
        <w:t>h</w:t>
      </w:r>
      <w:r w:rsidRPr="00697A47">
        <w:t xml:space="preserve">ammad </w:t>
      </w:r>
      <w:r w:rsidR="00D356EA">
        <w:t>versus</w:t>
      </w:r>
      <w:r w:rsidR="00D356EA" w:rsidRPr="00697A47">
        <w:t xml:space="preserve"> </w:t>
      </w:r>
      <w:r w:rsidRPr="00697A47">
        <w:t xml:space="preserve">any other Islamic languages), the resulting conventional hierarchy is unjustified and illusory, as is any attempt to define orthodoxy versus heresy. </w:t>
      </w:r>
      <w:r w:rsidRPr="002C597B">
        <w:rPr>
          <w:b/>
          <w:color w:val="000000" w:themeColor="text1"/>
        </w:rPr>
        <w:t xml:space="preserve">[fig. </w:t>
      </w:r>
      <w:r w:rsidR="00FD30C5" w:rsidRPr="002C597B">
        <w:rPr>
          <w:b/>
          <w:color w:val="000000" w:themeColor="text1"/>
        </w:rPr>
        <w:t>5.4</w:t>
      </w:r>
      <w:r w:rsidRPr="002C597B">
        <w:rPr>
          <w:b/>
          <w:color w:val="000000" w:themeColor="text1"/>
        </w:rPr>
        <w:t>]</w:t>
      </w:r>
      <w:r w:rsidRPr="002C597B">
        <w:rPr>
          <w:color w:val="000000" w:themeColor="text1"/>
        </w:rPr>
        <w:t xml:space="preserve"> </w:t>
      </w:r>
      <w:r w:rsidRPr="00697A47">
        <w:rPr>
          <w:shd w:val="clear" w:color="auto" w:fill="FFFFFF"/>
        </w:rPr>
        <w:t>Moreover, since the second half of the twentieth century the</w:t>
      </w:r>
      <w:r w:rsidR="001F78A4">
        <w:rPr>
          <w:shd w:val="clear" w:color="auto" w:fill="FFFFFF"/>
        </w:rPr>
        <w:t>re has been a</w:t>
      </w:r>
      <w:r w:rsidRPr="00697A47">
        <w:rPr>
          <w:shd w:val="clear" w:color="auto" w:fill="FFFFFF"/>
        </w:rPr>
        <w:t xml:space="preserve"> Muslim diaspora in Western Europe</w:t>
      </w:r>
      <w:r w:rsidR="001D7011">
        <w:rPr>
          <w:shd w:val="clear" w:color="auto" w:fill="FFFFFF"/>
        </w:rPr>
        <w:t>,</w:t>
      </w:r>
      <w:r w:rsidRPr="00697A47">
        <w:rPr>
          <w:shd w:val="clear" w:color="auto" w:fill="FFFFFF"/>
        </w:rPr>
        <w:t xml:space="preserve"> the United States</w:t>
      </w:r>
      <w:r w:rsidR="001D7011">
        <w:rPr>
          <w:shd w:val="clear" w:color="auto" w:fill="FFFFFF"/>
        </w:rPr>
        <w:t>,</w:t>
      </w:r>
      <w:r w:rsidRPr="00697A47">
        <w:rPr>
          <w:shd w:val="clear" w:color="auto" w:fill="FFFFFF"/>
        </w:rPr>
        <w:t xml:space="preserve"> </w:t>
      </w:r>
      <w:r w:rsidR="001D7011">
        <w:rPr>
          <w:shd w:val="clear" w:color="auto" w:fill="FFFFFF"/>
        </w:rPr>
        <w:t xml:space="preserve">and </w:t>
      </w:r>
      <w:r w:rsidRPr="00697A47">
        <w:rPr>
          <w:shd w:val="clear" w:color="auto" w:fill="FFFFFF"/>
        </w:rPr>
        <w:t xml:space="preserve">Australia, </w:t>
      </w:r>
      <w:r w:rsidR="003B60AC">
        <w:rPr>
          <w:shd w:val="clear" w:color="auto" w:fill="FFFFFF"/>
        </w:rPr>
        <w:t>stimulating</w:t>
      </w:r>
      <w:r w:rsidR="00594713">
        <w:rPr>
          <w:shd w:val="clear" w:color="auto" w:fill="FFFFFF"/>
        </w:rPr>
        <w:t xml:space="preserve"> </w:t>
      </w:r>
      <w:r w:rsidRPr="00697A47">
        <w:rPr>
          <w:shd w:val="clear" w:color="auto" w:fill="FFFFFF"/>
        </w:rPr>
        <w:t xml:space="preserve">its own cultural production in languages that until </w:t>
      </w:r>
      <w:r w:rsidR="00F20145">
        <w:rPr>
          <w:shd w:val="clear" w:color="auto" w:fill="FFFFFF"/>
        </w:rPr>
        <w:t xml:space="preserve">recently </w:t>
      </w:r>
      <w:r w:rsidRPr="00697A47">
        <w:rPr>
          <w:shd w:val="clear" w:color="auto" w:fill="FFFFFF"/>
        </w:rPr>
        <w:t>ha</w:t>
      </w:r>
      <w:r w:rsidR="00F20145">
        <w:rPr>
          <w:shd w:val="clear" w:color="auto" w:fill="FFFFFF"/>
        </w:rPr>
        <w:t>d</w:t>
      </w:r>
      <w:r w:rsidRPr="00697A47">
        <w:rPr>
          <w:shd w:val="clear" w:color="auto" w:fill="FFFFFF"/>
        </w:rPr>
        <w:t xml:space="preserve"> not been considered Islamic languages.</w:t>
      </w:r>
    </w:p>
    <w:p w14:paraId="6B709665" w14:textId="77777777" w:rsidR="00926174" w:rsidRDefault="00926174" w:rsidP="00697A47">
      <w:pPr>
        <w:spacing w:line="480" w:lineRule="auto"/>
        <w:contextualSpacing/>
        <w:rPr>
          <w:bCs/>
        </w:rPr>
      </w:pPr>
    </w:p>
    <w:p w14:paraId="66ADDEFB" w14:textId="4C8D0519" w:rsidR="00697A47" w:rsidRPr="0041771B" w:rsidRDefault="00697A47" w:rsidP="00A76617">
      <w:pPr>
        <w:pStyle w:val="Heading2"/>
      </w:pPr>
      <w:r w:rsidRPr="0041771B">
        <w:t xml:space="preserve">Modern </w:t>
      </w:r>
      <w:r w:rsidR="00926174" w:rsidRPr="0041771B">
        <w:t>A</w:t>
      </w:r>
      <w:r w:rsidRPr="0041771B">
        <w:t xml:space="preserve">ttempts to </w:t>
      </w:r>
      <w:r w:rsidR="00926174" w:rsidRPr="0041771B">
        <w:t>A</w:t>
      </w:r>
      <w:r w:rsidRPr="0041771B">
        <w:t>ccount for the Arabic/Islamic</w:t>
      </w:r>
      <w:r w:rsidR="00EB45E3">
        <w:t xml:space="preserve"> </w:t>
      </w:r>
      <w:r w:rsidR="00926174" w:rsidRPr="0041771B">
        <w:t>W</w:t>
      </w:r>
      <w:r w:rsidRPr="0041771B">
        <w:t xml:space="preserve">ritten </w:t>
      </w:r>
      <w:r w:rsidR="00926174" w:rsidRPr="0041771B">
        <w:t>H</w:t>
      </w:r>
      <w:r w:rsidRPr="0041771B">
        <w:t>eritage</w:t>
      </w:r>
    </w:p>
    <w:p w14:paraId="3750403D" w14:textId="4C1A7D19" w:rsidR="00697A47" w:rsidRPr="00697A47" w:rsidRDefault="00697A47" w:rsidP="00697A47">
      <w:pPr>
        <w:spacing w:line="480" w:lineRule="auto"/>
        <w:contextualSpacing/>
      </w:pPr>
      <w:r w:rsidRPr="00697A47">
        <w:t xml:space="preserve">By the </w:t>
      </w:r>
      <w:r w:rsidR="0039174F">
        <w:t>beginning</w:t>
      </w:r>
      <w:r w:rsidR="0039174F" w:rsidRPr="00697A47">
        <w:t xml:space="preserve"> </w:t>
      </w:r>
      <w:r w:rsidRPr="00697A47">
        <w:t xml:space="preserve">of the twentieth century, several bibliographical enterprises were under way </w:t>
      </w:r>
      <w:r w:rsidR="0039174F">
        <w:t xml:space="preserve">that </w:t>
      </w:r>
      <w:r w:rsidRPr="00697A47">
        <w:t>attempt</w:t>
      </w:r>
      <w:r w:rsidR="0039174F">
        <w:t>ed</w:t>
      </w:r>
      <w:r w:rsidRPr="00697A47">
        <w:t xml:space="preserve"> to provide overviews of the literary production of the Muslim world, or at least parts of it. One of these was the renowned </w:t>
      </w:r>
      <w:r w:rsidRPr="00697A47">
        <w:rPr>
          <w:i/>
          <w:iCs/>
        </w:rPr>
        <w:t>Geschichte der arabischen Litteratur</w:t>
      </w:r>
      <w:r w:rsidRPr="00697A47">
        <w:t xml:space="preserve"> (GAL) compiled by the German orientalist Carl Brockelmann (1868</w:t>
      </w:r>
      <w:r w:rsidR="00900047">
        <w:t>–</w:t>
      </w:r>
      <w:r w:rsidRPr="00697A47">
        <w:t xml:space="preserve">1956). </w:t>
      </w:r>
      <w:r w:rsidR="00277F23">
        <w:t>Volume</w:t>
      </w:r>
      <w:r w:rsidR="00277F23" w:rsidRPr="00697A47">
        <w:t xml:space="preserve"> </w:t>
      </w:r>
      <w:r w:rsidR="00277F23">
        <w:t xml:space="preserve">1 </w:t>
      </w:r>
      <w:r w:rsidRPr="00697A47">
        <w:t>was published in 1898</w:t>
      </w:r>
      <w:r w:rsidR="00277F23">
        <w:t>,</w:t>
      </w:r>
      <w:r w:rsidRPr="00697A47">
        <w:t xml:space="preserve"> covering the classical period up to 1258</w:t>
      </w:r>
      <w:r w:rsidR="00277F23">
        <w:t>,</w:t>
      </w:r>
      <w:r w:rsidRPr="00697A47">
        <w:t xml:space="preserve"> and </w:t>
      </w:r>
      <w:r w:rsidR="00277F23">
        <w:t xml:space="preserve">volume 2 in </w:t>
      </w:r>
      <w:r w:rsidRPr="00697A47">
        <w:t xml:space="preserve">1902, covering the thirteenth through </w:t>
      </w:r>
      <w:r w:rsidRPr="00697A47">
        <w:lastRenderedPageBreak/>
        <w:t xml:space="preserve">nineteenth centuries. To render his enterprise feasible, </w:t>
      </w:r>
      <w:r w:rsidR="00143E0E">
        <w:t xml:space="preserve">from the outset </w:t>
      </w:r>
      <w:r w:rsidRPr="00697A47">
        <w:t xml:space="preserve">Brockelmann restricted the </w:t>
      </w:r>
      <w:r w:rsidR="00143E0E">
        <w:t xml:space="preserve">project’s </w:t>
      </w:r>
      <w:r w:rsidRPr="00697A47">
        <w:t xml:space="preserve">scope: while his </w:t>
      </w:r>
      <w:r w:rsidR="00143E0E">
        <w:t>conceptualization</w:t>
      </w:r>
      <w:r w:rsidR="00143E0E" w:rsidRPr="00697A47">
        <w:t xml:space="preserve"> </w:t>
      </w:r>
      <w:r w:rsidRPr="00697A47">
        <w:t>of “literature” was broad, encompassing “all verbal utterances of the human mind,”</w:t>
      </w:r>
      <w:r w:rsidRPr="00697A47">
        <w:rPr>
          <w:rStyle w:val="EndnoteReference"/>
        </w:rPr>
        <w:endnoteReference w:id="10"/>
      </w:r>
      <w:r w:rsidRPr="00697A47">
        <w:t xml:space="preserve"> he considered only Arabic titles</w:t>
      </w:r>
      <w:r w:rsidR="00143E0E">
        <w:t>,</w:t>
      </w:r>
      <w:r w:rsidRPr="00697A47">
        <w:t xml:space="preserve"> exclu</w:t>
      </w:r>
      <w:r w:rsidR="00143E0E">
        <w:t>ding</w:t>
      </w:r>
      <w:r w:rsidRPr="00697A47">
        <w:t xml:space="preserve"> writings by Muslims in any other language, and he limited himself to listing surviving works, ignoring titles that were known only from quotations and references. He </w:t>
      </w:r>
      <w:r w:rsidR="00772374">
        <w:t xml:space="preserve">also </w:t>
      </w:r>
      <w:r w:rsidRPr="00697A47">
        <w:t>excluded titles by non-Muslim authors. Brockelmann’s GAL prompted others to compile counterparts to fill in some of these gaps: Moritz Steinschneider (1816</w:t>
      </w:r>
      <w:r w:rsidR="00322663">
        <w:t>–</w:t>
      </w:r>
      <w:r w:rsidRPr="00697A47">
        <w:t xml:space="preserve">1907) surveyed Arabic literature by Jewish authors in </w:t>
      </w:r>
      <w:r w:rsidRPr="00697A47">
        <w:rPr>
          <w:i/>
          <w:iCs/>
        </w:rPr>
        <w:t>Die arabische Literatur der Juden</w:t>
      </w:r>
      <w:r w:rsidRPr="00697A47">
        <w:t xml:space="preserve"> (1902), and the British scholar Charles Ambrose Storey (1888</w:t>
      </w:r>
      <w:r w:rsidR="00862C44">
        <w:t>–</w:t>
      </w:r>
      <w:r w:rsidRPr="00697A47">
        <w:t xml:space="preserve">1968) devoted most of his academic career to </w:t>
      </w:r>
      <w:r w:rsidRPr="00697A47">
        <w:rPr>
          <w:i/>
          <w:iCs/>
        </w:rPr>
        <w:t>Persian Literature: A Bio-bibliographical Survey</w:t>
      </w:r>
      <w:r w:rsidRPr="00697A47">
        <w:t xml:space="preserve"> (1927</w:t>
      </w:r>
      <w:r w:rsidR="00ED4038">
        <w:t>–</w:t>
      </w:r>
      <w:r w:rsidRPr="00697A47">
        <w:t>90).</w:t>
      </w:r>
      <w:r w:rsidRPr="00697A47">
        <w:rPr>
          <w:rStyle w:val="EndnoteReference"/>
        </w:rPr>
        <w:endnoteReference w:id="11"/>
      </w:r>
      <w:r>
        <w:t xml:space="preserve"> </w:t>
      </w:r>
      <w:r w:rsidRPr="00697A47">
        <w:t>Georg Graf (1875</w:t>
      </w:r>
      <w:r w:rsidR="00AE4B58">
        <w:t>–</w:t>
      </w:r>
      <w:r w:rsidRPr="00697A47">
        <w:t xml:space="preserve">1955) covered Christian Arabic literature in </w:t>
      </w:r>
      <w:r w:rsidR="00BF4604">
        <w:t>the</w:t>
      </w:r>
      <w:r w:rsidR="00BF4604" w:rsidRPr="00697A47">
        <w:t xml:space="preserve"> </w:t>
      </w:r>
      <w:r w:rsidRPr="00697A47">
        <w:t xml:space="preserve">five-volume </w:t>
      </w:r>
      <w:r w:rsidRPr="00697A47">
        <w:rPr>
          <w:i/>
          <w:iCs/>
        </w:rPr>
        <w:t>Geschichte der christlichen arabischen Literatur</w:t>
      </w:r>
      <w:r w:rsidRPr="00697A47">
        <w:t xml:space="preserve"> (GCAL, 1944</w:t>
      </w:r>
      <w:r w:rsidR="00FE1B50">
        <w:t>–</w:t>
      </w:r>
      <w:r w:rsidRPr="00697A47">
        <w:t>53).</w:t>
      </w:r>
    </w:p>
    <w:p w14:paraId="32E15435" w14:textId="60DBA0A9" w:rsidR="000D7E36" w:rsidRDefault="00D96A2A" w:rsidP="009E4B47">
      <w:pPr>
        <w:spacing w:line="480" w:lineRule="auto"/>
        <w:ind w:firstLine="720"/>
        <w:contextualSpacing/>
      </w:pPr>
      <w:r>
        <w:t xml:space="preserve">The </w:t>
      </w:r>
      <w:r w:rsidR="00697A47" w:rsidRPr="00697A47">
        <w:t xml:space="preserve">GAL was based on the few available sources at the time, namely </w:t>
      </w:r>
      <w:r w:rsidR="00697A47" w:rsidRPr="00697A47">
        <w:rPr>
          <w:i/>
          <w:iCs/>
        </w:rPr>
        <w:t>Kashf al-ẓunūn</w:t>
      </w:r>
      <w:r w:rsidR="00697A47" w:rsidRPr="00697A47">
        <w:t xml:space="preserve">, a bibliographical encyclopedia by the seventeenth-century Ottoman polymath </w:t>
      </w:r>
      <w:r w:rsidR="00641470">
        <w:t>Ha</w:t>
      </w:r>
      <w:r w:rsidR="00697A47" w:rsidRPr="00697A47">
        <w:t>jj</w:t>
      </w:r>
      <w:r w:rsidR="00641470">
        <w:t>i</w:t>
      </w:r>
      <w:r w:rsidR="00697A47" w:rsidRPr="00697A47">
        <w:t xml:space="preserve"> Khal</w:t>
      </w:r>
      <w:r w:rsidR="00641470">
        <w:t>i</w:t>
      </w:r>
      <w:r w:rsidR="00697A47" w:rsidRPr="00697A47">
        <w:t>fa (or K</w:t>
      </w:r>
      <w:r w:rsidR="00641470">
        <w:t>a</w:t>
      </w:r>
      <w:r w:rsidR="00697A47" w:rsidRPr="00697A47">
        <w:t>tib Çelebi, d</w:t>
      </w:r>
      <w:r w:rsidR="00170724">
        <w:t>ied</w:t>
      </w:r>
      <w:r w:rsidR="00697A47" w:rsidRPr="00697A47">
        <w:t xml:space="preserve"> 1656), listing some </w:t>
      </w:r>
      <w:r w:rsidR="00036F2C">
        <w:t>fifteen thousand</w:t>
      </w:r>
      <w:r w:rsidR="00697A47" w:rsidRPr="00697A47">
        <w:t xml:space="preserve"> book titles, mostly in Arabic, as well as some thirty-five published manuscript </w:t>
      </w:r>
      <w:r w:rsidR="00595A1C">
        <w:t>catalogues</w:t>
      </w:r>
      <w:r w:rsidR="00697A47" w:rsidRPr="00697A47">
        <w:t xml:space="preserve"> of collections in Europe, Istanbul, Cairo, and Algiers.</w:t>
      </w:r>
      <w:r w:rsidR="00697A47" w:rsidRPr="00697A47">
        <w:rPr>
          <w:rStyle w:val="EndnoteReference"/>
        </w:rPr>
        <w:endnoteReference w:id="12"/>
      </w:r>
      <w:r w:rsidR="00697A47" w:rsidRPr="00697A47">
        <w:t xml:space="preserve"> Brockelmann estimated in the preface to volume 1 of the GAL that “it would take at least a further century of hard philological work before even the most important landmarks of Arabic literature would be known and accessible”</w:t>
      </w:r>
      <w:r w:rsidR="00697A47" w:rsidRPr="00697A47">
        <w:rPr>
          <w:rStyle w:val="EndnoteReference"/>
        </w:rPr>
        <w:endnoteReference w:id="13"/>
      </w:r>
      <w:r w:rsidR="00697A47" w:rsidRPr="00697A47">
        <w:t xml:space="preserve">—a serious underestimation, in fact, of what lay ahead. </w:t>
      </w:r>
    </w:p>
    <w:p w14:paraId="7F05DC0A" w14:textId="27AF1828" w:rsidR="000D7E36" w:rsidRDefault="00697A47" w:rsidP="009E4B47">
      <w:pPr>
        <w:spacing w:line="480" w:lineRule="auto"/>
        <w:ind w:firstLine="720"/>
        <w:contextualSpacing/>
      </w:pPr>
      <w:r w:rsidRPr="00697A47">
        <w:t xml:space="preserve">The GAL turned out to be unsatisfactory from the beginning. Between 1937 and 1942, Brockelmann published three supplementary volumes, followed in 1943 and 1949 by an updated version of the original two volumes, containing about </w:t>
      </w:r>
      <w:r w:rsidR="00A345F9">
        <w:t>twenty-five thousand</w:t>
      </w:r>
      <w:r w:rsidRPr="00697A47">
        <w:t xml:space="preserve"> titles by some </w:t>
      </w:r>
      <w:r w:rsidR="00416267">
        <w:t>eighteen thousand</w:t>
      </w:r>
      <w:r w:rsidRPr="00697A47">
        <w:t xml:space="preserve"> authors. To illustrate the quantitative discrepancy between the corpus of </w:t>
      </w:r>
      <w:r w:rsidRPr="00697A47">
        <w:lastRenderedPageBreak/>
        <w:t xml:space="preserve">extant Arabic Islamic literature described by Brockelmann and what has become accessible since, it suffices to juxtapose </w:t>
      </w:r>
      <w:r w:rsidR="00F34064">
        <w:t>his</w:t>
      </w:r>
      <w:r w:rsidR="00F34064" w:rsidRPr="00697A47">
        <w:t xml:space="preserve"> </w:t>
      </w:r>
      <w:r w:rsidRPr="00697A47">
        <w:t xml:space="preserve">list of thirty-five manuscript </w:t>
      </w:r>
      <w:r w:rsidR="00595A1C">
        <w:t>catalogues</w:t>
      </w:r>
      <w:r w:rsidRPr="00697A47">
        <w:t xml:space="preserve"> consulted for the first edition and </w:t>
      </w:r>
      <w:r w:rsidR="00F34064">
        <w:t>the</w:t>
      </w:r>
      <w:r w:rsidR="00F34064" w:rsidRPr="00697A47">
        <w:t xml:space="preserve"> </w:t>
      </w:r>
      <w:r w:rsidRPr="00697A47">
        <w:t>expanded list of 136 consulted for the updated edition</w:t>
      </w:r>
      <w:r w:rsidR="007E54E0">
        <w:rPr>
          <w:rStyle w:val="EndnoteReference"/>
        </w:rPr>
        <w:endnoteReference w:id="14"/>
      </w:r>
      <w:r w:rsidR="007E54E0">
        <w:t xml:space="preserve"> </w:t>
      </w:r>
      <w:r w:rsidRPr="00697A47">
        <w:t xml:space="preserve">with the </w:t>
      </w:r>
      <w:r w:rsidRPr="00697A47">
        <w:rPr>
          <w:i/>
          <w:iCs/>
        </w:rPr>
        <w:t>World Survey of Islamic Manuscripts</w:t>
      </w:r>
      <w:r w:rsidR="00900D96">
        <w:t xml:space="preserve"> (</w:t>
      </w:r>
      <w:r w:rsidR="00900D96" w:rsidRPr="00697A47">
        <w:t>1992–94</w:t>
      </w:r>
      <w:r w:rsidR="00900D96">
        <w:t>)</w:t>
      </w:r>
      <w:r w:rsidRPr="00697A47">
        <w:t xml:space="preserve">, published in four volumes with close to 2,500 pages in total, </w:t>
      </w:r>
      <w:r w:rsidR="007E54E0">
        <w:t xml:space="preserve">constituting </w:t>
      </w:r>
      <w:r w:rsidRPr="00697A47">
        <w:t>a “comprehensive bibliographical guide to collections of Islamic manuscripts in all Islamic languages in over ninety countries throughout the world.”</w:t>
      </w:r>
      <w:r w:rsidRPr="00697A47">
        <w:rPr>
          <w:rStyle w:val="EndnoteReference"/>
        </w:rPr>
        <w:endnoteReference w:id="15"/>
      </w:r>
      <w:r w:rsidRPr="00697A47">
        <w:t xml:space="preserve"> Today, close to three decades after its publication, the </w:t>
      </w:r>
      <w:r w:rsidRPr="00697A47">
        <w:rPr>
          <w:i/>
          <w:iCs/>
        </w:rPr>
        <w:t>World Survey</w:t>
      </w:r>
      <w:r w:rsidRPr="00697A47">
        <w:t xml:space="preserve"> </w:t>
      </w:r>
      <w:r w:rsidR="00957842" w:rsidRPr="00697A47">
        <w:rPr>
          <w:i/>
          <w:iCs/>
        </w:rPr>
        <w:t>of Islamic Manuscripts</w:t>
      </w:r>
      <w:r w:rsidR="00957842" w:rsidRPr="00697A47">
        <w:t xml:space="preserve"> </w:t>
      </w:r>
      <w:r w:rsidRPr="00697A47">
        <w:t>is seriously outdated, and a revised enlarged edition would easily fill six or more volumes.</w:t>
      </w:r>
      <w:r w:rsidRPr="00697A47">
        <w:rPr>
          <w:rStyle w:val="EndnoteReference"/>
        </w:rPr>
        <w:endnoteReference w:id="16"/>
      </w:r>
      <w:r w:rsidRPr="00697A47">
        <w:t xml:space="preserve"> </w:t>
      </w:r>
      <w:r w:rsidRPr="00697A47">
        <w:rPr>
          <w:color w:val="222222"/>
          <w:shd w:val="clear" w:color="auto" w:fill="FFFFFF"/>
        </w:rPr>
        <w:t>Although Brockelmann’s GAL is still regularly consulted by scholars as a first point of departure (in fact, an English translation was published as late as 2017</w:t>
      </w:r>
      <w:r w:rsidRPr="00697A47">
        <w:rPr>
          <w:rStyle w:val="EndnoteReference"/>
          <w:color w:val="222222"/>
          <w:shd w:val="clear" w:color="auto" w:fill="FFFFFF"/>
        </w:rPr>
        <w:endnoteReference w:id="17"/>
      </w:r>
      <w:r w:rsidRPr="00697A47">
        <w:rPr>
          <w:color w:val="222222"/>
          <w:shd w:val="clear" w:color="auto" w:fill="FFFFFF"/>
        </w:rPr>
        <w:t xml:space="preserve">), it is widely agreed </w:t>
      </w:r>
      <w:r w:rsidRPr="00697A47">
        <w:t xml:space="preserve">that any attempt to publish a revised and enlarged </w:t>
      </w:r>
      <w:r w:rsidR="00097377">
        <w:t>version</w:t>
      </w:r>
      <w:r w:rsidR="00097377" w:rsidRPr="00697A47">
        <w:t xml:space="preserve"> </w:t>
      </w:r>
      <w:r w:rsidRPr="00697A47">
        <w:t>is unrealistic.</w:t>
      </w:r>
      <w:r w:rsidRPr="00697A47">
        <w:rPr>
          <w:rStyle w:val="EndnoteReference"/>
        </w:rPr>
        <w:endnoteReference w:id="18"/>
      </w:r>
      <w:r w:rsidRPr="00697A47">
        <w:t xml:space="preserve"> Today, scholars engaged in surveying the written production of Muslims restrict themselves to specific subjects, areas, and time periods. The Turkish-German scholar Fuat Sezgin (1924</w:t>
      </w:r>
      <w:r w:rsidR="00A020B0">
        <w:t>–</w:t>
      </w:r>
      <w:r w:rsidRPr="00697A47">
        <w:t xml:space="preserve">2018), for example, who published a </w:t>
      </w:r>
      <w:r w:rsidRPr="00697A47">
        <w:rPr>
          <w:color w:val="333333"/>
          <w:shd w:val="clear" w:color="auto" w:fill="FFFFFF"/>
        </w:rPr>
        <w:t xml:space="preserve">biobibliographical survey of Arabic literature, </w:t>
      </w:r>
      <w:r w:rsidRPr="00697A47">
        <w:rPr>
          <w:i/>
          <w:iCs/>
          <w:color w:val="333333"/>
          <w:shd w:val="clear" w:color="auto" w:fill="FFFFFF"/>
        </w:rPr>
        <w:t>Geschichte des arabischen Schrifttums</w:t>
      </w:r>
      <w:r w:rsidRPr="00697A47">
        <w:rPr>
          <w:color w:val="333333"/>
          <w:shd w:val="clear" w:color="auto" w:fill="FFFFFF"/>
        </w:rPr>
        <w:t xml:space="preserve"> (GAS</w:t>
      </w:r>
      <w:r w:rsidR="00097377">
        <w:rPr>
          <w:color w:val="333333"/>
          <w:shd w:val="clear" w:color="auto" w:fill="FFFFFF"/>
        </w:rPr>
        <w:t>, 1967–2015</w:t>
      </w:r>
      <w:r w:rsidRPr="00697A47">
        <w:rPr>
          <w:color w:val="333333"/>
          <w:shd w:val="clear" w:color="auto" w:fill="FFFFFF"/>
        </w:rPr>
        <w:t>), in seventeen volumes, limited his focus to the early Islamic centuries</w:t>
      </w:r>
      <w:r w:rsidR="00C9655F">
        <w:rPr>
          <w:color w:val="333333"/>
          <w:shd w:val="clear" w:color="auto" w:fill="FFFFFF"/>
        </w:rPr>
        <w:t>,</w:t>
      </w:r>
      <w:r w:rsidRPr="00697A47">
        <w:rPr>
          <w:color w:val="333333"/>
          <w:shd w:val="clear" w:color="auto" w:fill="FFFFFF"/>
        </w:rPr>
        <w:t xml:space="preserve"> up to the mid-eleventh century</w:t>
      </w:r>
      <w:r w:rsidR="003A7EB7">
        <w:rPr>
          <w:color w:val="333333"/>
          <w:shd w:val="clear" w:color="auto" w:fill="FFFFFF"/>
        </w:rPr>
        <w:t xml:space="preserve"> CE</w:t>
      </w:r>
      <w:r w:rsidRPr="00697A47">
        <w:t xml:space="preserve">. </w:t>
      </w:r>
      <w:r w:rsidRPr="002C597B">
        <w:rPr>
          <w:b/>
          <w:color w:val="000000" w:themeColor="text1"/>
        </w:rPr>
        <w:t xml:space="preserve">[fig. </w:t>
      </w:r>
      <w:r w:rsidR="00352BF9" w:rsidRPr="002C597B">
        <w:rPr>
          <w:b/>
          <w:color w:val="000000" w:themeColor="text1"/>
        </w:rPr>
        <w:t>5.5</w:t>
      </w:r>
      <w:r w:rsidRPr="002C597B">
        <w:rPr>
          <w:b/>
          <w:color w:val="000000" w:themeColor="text1"/>
        </w:rPr>
        <w:t>]</w:t>
      </w:r>
      <w:r w:rsidRPr="00697A47">
        <w:t xml:space="preserve"> </w:t>
      </w:r>
    </w:p>
    <w:p w14:paraId="1CBD4412" w14:textId="23A5A19D" w:rsidR="00697A47" w:rsidRPr="00697A47" w:rsidRDefault="00697A47" w:rsidP="00A76617">
      <w:pPr>
        <w:spacing w:line="480" w:lineRule="auto"/>
        <w:ind w:firstLine="720"/>
        <w:contextualSpacing/>
      </w:pPr>
      <w:r w:rsidRPr="00697A47">
        <w:t>Other examples in Western scholarship include Ulrich Rebstock’s three-volume survey of Arabic literature by Maur</w:t>
      </w:r>
      <w:r w:rsidR="0011103B">
        <w:t>i</w:t>
      </w:r>
      <w:r w:rsidRPr="00697A47">
        <w:t xml:space="preserve">tanian authors, </w:t>
      </w:r>
      <w:r w:rsidRPr="00697A47">
        <w:rPr>
          <w:i/>
          <w:iCs/>
        </w:rPr>
        <w:t>Maurische Literaturgeschichte</w:t>
      </w:r>
      <w:r w:rsidRPr="00697A47">
        <w:t xml:space="preserve"> (2001), describing some </w:t>
      </w:r>
      <w:r w:rsidR="00F87F56">
        <w:t>ten thousand</w:t>
      </w:r>
      <w:r w:rsidRPr="00697A47">
        <w:t xml:space="preserve"> titles by about </w:t>
      </w:r>
      <w:r w:rsidR="00F87F56">
        <w:t xml:space="preserve">five thousand </w:t>
      </w:r>
      <w:r w:rsidRPr="00697A47">
        <w:t>authors from the sixth through eighteenth centuries;</w:t>
      </w:r>
      <w:r w:rsidRPr="00697A47">
        <w:rPr>
          <w:rStyle w:val="EndnoteReference"/>
        </w:rPr>
        <w:endnoteReference w:id="19"/>
      </w:r>
      <w:r w:rsidRPr="00697A47">
        <w:t xml:space="preserve"> </w:t>
      </w:r>
      <w:r w:rsidR="00967FBB">
        <w:t xml:space="preserve">and </w:t>
      </w:r>
      <w:r w:rsidRPr="00697A47">
        <w:t>international projects such as “Islam in the Horn of Africa: A Comparative Literary Approach” (IslHornAfr), funded by the European Research Council</w:t>
      </w:r>
      <w:r w:rsidR="00967FBB">
        <w:t>.</w:t>
      </w:r>
      <w:r w:rsidRPr="00697A47">
        <w:rPr>
          <w:rStyle w:val="EndnoteReference"/>
        </w:rPr>
        <w:endnoteReference w:id="20"/>
      </w:r>
      <w:r w:rsidRPr="00697A47">
        <w:t xml:space="preserve"> </w:t>
      </w:r>
      <w:r w:rsidR="00967FBB">
        <w:t xml:space="preserve">There are also </w:t>
      </w:r>
      <w:r w:rsidRPr="00697A47">
        <w:t>digitally born initiatives such as “Historia de los Autores y Transmisores Andalusíes”</w:t>
      </w:r>
      <w:r w:rsidRPr="00697A47">
        <w:rPr>
          <w:i/>
          <w:iCs/>
        </w:rPr>
        <w:t xml:space="preserve"> </w:t>
      </w:r>
      <w:r w:rsidRPr="00697A47">
        <w:t xml:space="preserve">(HATA), providing information on “works written and transmitted in al-Andalus from the eighth to the fifteenth century with a total of 5,007 Andalusi authors and transmitters, 1391 non Andalusi authors and </w:t>
      </w:r>
      <w:r w:rsidRPr="00697A47">
        <w:lastRenderedPageBreak/>
        <w:t>transmitters and 13,730 titles written and transmitted in al-Andalus,”</w:t>
      </w:r>
      <w:r w:rsidRPr="00697A47">
        <w:rPr>
          <w:rStyle w:val="EndnoteReference"/>
        </w:rPr>
        <w:endnoteReference w:id="21"/>
      </w:r>
      <w:r w:rsidRPr="00697A47">
        <w:t xml:space="preserve"> and HUNAYNNET, an “attempt at compiling a digital trilingual and linguistically annotated parallel corpus of Greek classical scientific and philosophical literature and the Syriac and Arabic translations thereof,” </w:t>
      </w:r>
      <w:r w:rsidR="00967FBB">
        <w:t xml:space="preserve">also </w:t>
      </w:r>
      <w:r w:rsidRPr="00697A47">
        <w:t>funded by the European Research Council.</w:t>
      </w:r>
      <w:r w:rsidRPr="00697A47">
        <w:rPr>
          <w:rStyle w:val="EndnoteReference"/>
        </w:rPr>
        <w:endnoteReference w:id="22"/>
      </w:r>
      <w:r w:rsidRPr="00697A47">
        <w:t xml:space="preserve"> Digital platforms and tools are being developed in a number of current projects, with the aim of continuing Brockelmann’s earlier bibliographical endeavors and developing innovative ways to survey and study Arabic written heritage. Among the most important such projects are Bibliotheca Arabica, funded by the Saxon Academy of Sciences and Humanities in Leipzig (</w:t>
      </w:r>
      <w:r w:rsidR="00F51A2F">
        <w:t xml:space="preserve">which began in </w:t>
      </w:r>
      <w:r w:rsidRPr="00697A47">
        <w:t>2018</w:t>
      </w:r>
      <w:r w:rsidR="00F51A2F">
        <w:t xml:space="preserve"> and is proposed to continue until 20</w:t>
      </w:r>
      <w:r w:rsidRPr="00697A47">
        <w:t>35),</w:t>
      </w:r>
      <w:r w:rsidRPr="00697A47">
        <w:rPr>
          <w:rStyle w:val="EndnoteReference"/>
        </w:rPr>
        <w:endnoteReference w:id="23"/>
      </w:r>
      <w:r w:rsidRPr="00697A47">
        <w:t xml:space="preserve"> and “KITAB: Knowledge, Information Technology, and the Arabic Book,” funded by the European Research Council and the Aga Khan University, London.</w:t>
      </w:r>
      <w:r w:rsidRPr="00697A47">
        <w:rPr>
          <w:rStyle w:val="EndnoteReference"/>
        </w:rPr>
        <w:endnoteReference w:id="24"/>
      </w:r>
    </w:p>
    <w:p w14:paraId="7FB30109" w14:textId="2E220270" w:rsidR="00F65228" w:rsidRDefault="00697A47" w:rsidP="005904C2">
      <w:pPr>
        <w:spacing w:line="480" w:lineRule="auto"/>
        <w:ind w:firstLine="720"/>
        <w:contextualSpacing/>
      </w:pPr>
      <w:r w:rsidRPr="00697A47">
        <w:t xml:space="preserve">Middle Eastern scholars also began to embark on large-scale bibliographical enterprises around the </w:t>
      </w:r>
      <w:r w:rsidR="00A1420D">
        <w:t>beginning</w:t>
      </w:r>
      <w:r w:rsidR="00A1420D" w:rsidRPr="00697A47">
        <w:t xml:space="preserve"> </w:t>
      </w:r>
      <w:r w:rsidRPr="00697A47">
        <w:t xml:space="preserve">of the twentieth century. Like Brockelmann, who took </w:t>
      </w:r>
      <w:r w:rsidR="00641470">
        <w:t>Ha</w:t>
      </w:r>
      <w:r w:rsidRPr="00697A47">
        <w:t>jj</w:t>
      </w:r>
      <w:r w:rsidR="00641470">
        <w:t>i</w:t>
      </w:r>
      <w:r w:rsidRPr="00697A47">
        <w:t xml:space="preserve"> Khal</w:t>
      </w:r>
      <w:r w:rsidR="00641470">
        <w:t>i</w:t>
      </w:r>
      <w:r w:rsidRPr="00697A47">
        <w:t xml:space="preserve">fa’s </w:t>
      </w:r>
      <w:r w:rsidRPr="00697A47">
        <w:rPr>
          <w:i/>
          <w:iCs/>
        </w:rPr>
        <w:t>Kashf al-ẓunūn</w:t>
      </w:r>
      <w:r w:rsidRPr="00697A47">
        <w:t xml:space="preserve"> as his point of departure, the Ottoman Iraqi scholar Ism</w:t>
      </w:r>
      <w:r w:rsidR="00641470">
        <w:t>a</w:t>
      </w:r>
      <w:r w:rsidRPr="00697A47">
        <w:t>ʿ</w:t>
      </w:r>
      <w:r w:rsidR="00641470">
        <w:t>i</w:t>
      </w:r>
      <w:r w:rsidRPr="00697A47">
        <w:t>l B</w:t>
      </w:r>
      <w:r w:rsidR="00641470">
        <w:t>a</w:t>
      </w:r>
      <w:r w:rsidRPr="00697A47">
        <w:t>sh</w:t>
      </w:r>
      <w:r w:rsidR="00641470">
        <w:t>a</w:t>
      </w:r>
      <w:r w:rsidRPr="00697A47">
        <w:t xml:space="preserve"> al-Baghd</w:t>
      </w:r>
      <w:r w:rsidR="00641470">
        <w:t>a</w:t>
      </w:r>
      <w:r w:rsidRPr="00697A47">
        <w:t>d</w:t>
      </w:r>
      <w:r w:rsidR="00641470">
        <w:t>i</w:t>
      </w:r>
      <w:r w:rsidRPr="00697A47">
        <w:t xml:space="preserve"> (d. 1919) expanded on </w:t>
      </w:r>
      <w:r w:rsidR="00641470">
        <w:t>Ha</w:t>
      </w:r>
      <w:r w:rsidRPr="00697A47">
        <w:t>jj</w:t>
      </w:r>
      <w:r w:rsidR="00641470">
        <w:t>i</w:t>
      </w:r>
      <w:r w:rsidRPr="00697A47">
        <w:t xml:space="preserve"> Khal</w:t>
      </w:r>
      <w:r w:rsidR="00641470">
        <w:t>i</w:t>
      </w:r>
      <w:r w:rsidRPr="00697A47">
        <w:t xml:space="preserve">fa’s work in his </w:t>
      </w:r>
      <w:r w:rsidRPr="00697A47">
        <w:rPr>
          <w:i/>
          <w:iCs/>
        </w:rPr>
        <w:t>Īḍāḥ al-maknūn fī dhayl ʿalā Kashf al-ẓunūn</w:t>
      </w:r>
      <w:r w:rsidRPr="00697A47">
        <w:t xml:space="preserve">, with entries for more than </w:t>
      </w:r>
      <w:r w:rsidR="008A149C">
        <w:t>forty thousand</w:t>
      </w:r>
      <w:r w:rsidRPr="00697A47">
        <w:t xml:space="preserve"> titles by some </w:t>
      </w:r>
      <w:r w:rsidR="002F795B">
        <w:t>nine thousand</w:t>
      </w:r>
      <w:r w:rsidRPr="00697A47">
        <w:t xml:space="preserve"> authors ranging from the seventh to the early twentieth century.</w:t>
      </w:r>
      <w:r w:rsidRPr="00697A47">
        <w:rPr>
          <w:rStyle w:val="EndnoteReference"/>
        </w:rPr>
        <w:endnoteReference w:id="25"/>
      </w:r>
      <w:r w:rsidRPr="00697A47">
        <w:t xml:space="preserve"> But this is, again, only the tip of the iceberg—Ism</w:t>
      </w:r>
      <w:r w:rsidR="00641470">
        <w:t>a</w:t>
      </w:r>
      <w:r w:rsidRPr="00697A47">
        <w:t>ʿ</w:t>
      </w:r>
      <w:r w:rsidR="00641470">
        <w:t>i</w:t>
      </w:r>
      <w:r w:rsidRPr="00697A47">
        <w:t>l B</w:t>
      </w:r>
      <w:r w:rsidR="00641470">
        <w:t>a</w:t>
      </w:r>
      <w:r w:rsidRPr="00697A47">
        <w:t>sh</w:t>
      </w:r>
      <w:r w:rsidR="00641470">
        <w:t>a</w:t>
      </w:r>
      <w:r w:rsidRPr="00697A47">
        <w:t xml:space="preserve"> al-Baghd</w:t>
      </w:r>
      <w:r w:rsidR="00641470">
        <w:t>a</w:t>
      </w:r>
      <w:r w:rsidRPr="00697A47">
        <w:t>d</w:t>
      </w:r>
      <w:r w:rsidR="00641470">
        <w:t>i</w:t>
      </w:r>
      <w:r w:rsidRPr="00697A47">
        <w:t xml:space="preserve"> not only focused on Arabic material but also disregarded works composed by non-Sunni scholars and by authors who flourished beyond the main centers of learning.</w:t>
      </w:r>
    </w:p>
    <w:p w14:paraId="2AD80E06" w14:textId="505E24E3" w:rsidR="00697A47" w:rsidRDefault="00697A47" w:rsidP="005904C2">
      <w:pPr>
        <w:spacing w:line="480" w:lineRule="auto"/>
        <w:ind w:firstLine="720"/>
        <w:contextualSpacing/>
        <w:rPr>
          <w:lang w:bidi="ar-JO"/>
        </w:rPr>
      </w:pPr>
      <w:r w:rsidRPr="00697A47">
        <w:rPr>
          <w:lang w:bidi="ar-JO"/>
        </w:rPr>
        <w:t>Challenged by the Christian Lebanese Jurj</w:t>
      </w:r>
      <w:r w:rsidR="00641470">
        <w:rPr>
          <w:lang w:bidi="ar-JO"/>
        </w:rPr>
        <w:t>i</w:t>
      </w:r>
      <w:r w:rsidRPr="00697A47">
        <w:rPr>
          <w:lang w:bidi="ar-JO"/>
        </w:rPr>
        <w:t xml:space="preserve"> Zayd</w:t>
      </w:r>
      <w:r w:rsidR="00641470">
        <w:rPr>
          <w:lang w:bidi="ar-JO"/>
        </w:rPr>
        <w:t>a</w:t>
      </w:r>
      <w:r w:rsidRPr="00697A47">
        <w:rPr>
          <w:lang w:bidi="ar-JO"/>
        </w:rPr>
        <w:t>n’s (1861</w:t>
      </w:r>
      <w:r w:rsidR="00D9166C">
        <w:rPr>
          <w:lang w:bidi="ar-JO"/>
        </w:rPr>
        <w:t>–</w:t>
      </w:r>
      <w:r w:rsidRPr="00697A47">
        <w:rPr>
          <w:lang w:bidi="ar-JO"/>
        </w:rPr>
        <w:t xml:space="preserve">1914) statements in his </w:t>
      </w:r>
      <w:r w:rsidRPr="00697A47">
        <w:rPr>
          <w:i/>
          <w:iCs/>
          <w:lang w:bidi="ar-JO"/>
        </w:rPr>
        <w:t>Tār</w:t>
      </w:r>
      <w:r w:rsidR="00641470">
        <w:rPr>
          <w:i/>
          <w:iCs/>
          <w:lang w:bidi="ar-JO"/>
        </w:rPr>
        <w:t>i</w:t>
      </w:r>
      <w:r w:rsidRPr="00697A47">
        <w:rPr>
          <w:i/>
          <w:iCs/>
          <w:lang w:bidi="ar-JO"/>
        </w:rPr>
        <w:t>kh ādāb al-lugha al-ʿarabiyya</w:t>
      </w:r>
      <w:r w:rsidRPr="00697A47">
        <w:rPr>
          <w:lang w:bidi="ar-JO"/>
        </w:rPr>
        <w:t xml:space="preserve"> (</w:t>
      </w:r>
      <w:r w:rsidR="008B15FA">
        <w:rPr>
          <w:lang w:bidi="ar-JO"/>
        </w:rPr>
        <w:t xml:space="preserve">1910–13, </w:t>
      </w:r>
      <w:r w:rsidRPr="00697A47">
        <w:rPr>
          <w:lang w:bidi="ar-JO"/>
        </w:rPr>
        <w:t>published in four volumes) belittling the contributions of Twelver Sh</w:t>
      </w:r>
      <w:r w:rsidR="00641470">
        <w:rPr>
          <w:lang w:bidi="ar-JO"/>
        </w:rPr>
        <w:t>i</w:t>
      </w:r>
      <w:r w:rsidRPr="00697A47">
        <w:rPr>
          <w:lang w:bidi="ar-JO"/>
        </w:rPr>
        <w:t>ʿ</w:t>
      </w:r>
      <w:r w:rsidR="00641470">
        <w:rPr>
          <w:lang w:bidi="ar-JO"/>
        </w:rPr>
        <w:t>i</w:t>
      </w:r>
      <w:r w:rsidRPr="00697A47">
        <w:rPr>
          <w:lang w:bidi="ar-JO"/>
        </w:rPr>
        <w:t>s to Arabic literature, a number of Sh</w:t>
      </w:r>
      <w:r w:rsidR="00641470">
        <w:rPr>
          <w:lang w:bidi="ar-JO"/>
        </w:rPr>
        <w:t>i</w:t>
      </w:r>
      <w:r w:rsidRPr="00697A47">
        <w:rPr>
          <w:lang w:bidi="ar-JO"/>
        </w:rPr>
        <w:t>ʿ</w:t>
      </w:r>
      <w:r w:rsidR="00641470">
        <w:rPr>
          <w:lang w:bidi="ar-JO"/>
        </w:rPr>
        <w:t>i</w:t>
      </w:r>
      <w:r w:rsidRPr="00697A47">
        <w:rPr>
          <w:lang w:bidi="ar-JO"/>
        </w:rPr>
        <w:t xml:space="preserve"> scholars strove to counter this claim by collecting, transcribing, and publishing as many earlier Sh</w:t>
      </w:r>
      <w:r w:rsidR="00641470">
        <w:rPr>
          <w:lang w:bidi="ar-JO"/>
        </w:rPr>
        <w:t>i</w:t>
      </w:r>
      <w:r w:rsidRPr="00697A47">
        <w:rPr>
          <w:lang w:bidi="ar-JO"/>
        </w:rPr>
        <w:t>ʿ</w:t>
      </w:r>
      <w:r w:rsidR="00641470">
        <w:rPr>
          <w:lang w:bidi="ar-JO"/>
        </w:rPr>
        <w:t>i</w:t>
      </w:r>
      <w:r w:rsidRPr="00697A47">
        <w:rPr>
          <w:lang w:bidi="ar-JO"/>
        </w:rPr>
        <w:t xml:space="preserve"> texts as possible. Their endeavors resulted in two biobibliographical encyclopedias, namely, the four-volume </w:t>
      </w:r>
      <w:r w:rsidRPr="00697A47">
        <w:rPr>
          <w:i/>
          <w:iCs/>
        </w:rPr>
        <w:lastRenderedPageBreak/>
        <w:t>Kashf al-astār ʿan wajh al-kutub wa-l-asfār</w:t>
      </w:r>
      <w:r w:rsidRPr="00697A47">
        <w:t xml:space="preserve"> by al-Sayyid A</w:t>
      </w:r>
      <w:r w:rsidR="00DA7CC2">
        <w:t>h</w:t>
      </w:r>
      <w:r w:rsidRPr="00697A47">
        <w:t>mad al-</w:t>
      </w:r>
      <w:r w:rsidR="00641470">
        <w:t>H</w:t>
      </w:r>
      <w:r w:rsidRPr="00697A47">
        <w:t>usayn</w:t>
      </w:r>
      <w:r w:rsidR="00641470">
        <w:t>i</w:t>
      </w:r>
      <w:r w:rsidRPr="00697A47">
        <w:t xml:space="preserve"> al-</w:t>
      </w:r>
      <w:r w:rsidR="00FB4DEA">
        <w:t>S</w:t>
      </w:r>
      <w:r w:rsidRPr="00697A47">
        <w:t>af</w:t>
      </w:r>
      <w:r w:rsidR="00641470">
        <w:t>a</w:t>
      </w:r>
      <w:r w:rsidRPr="00697A47">
        <w:t>ʾ</w:t>
      </w:r>
      <w:r w:rsidR="00641470">
        <w:t>i</w:t>
      </w:r>
      <w:r w:rsidRPr="00697A47">
        <w:t xml:space="preserve"> al-Kh</w:t>
      </w:r>
      <w:r w:rsidR="00641470">
        <w:t>a</w:t>
      </w:r>
      <w:r w:rsidRPr="00697A47">
        <w:t>ns</w:t>
      </w:r>
      <w:r w:rsidR="00641470">
        <w:t>a</w:t>
      </w:r>
      <w:r w:rsidRPr="00697A47">
        <w:t>r</w:t>
      </w:r>
      <w:r w:rsidR="00641470">
        <w:t>i</w:t>
      </w:r>
      <w:r w:rsidRPr="00697A47">
        <w:t xml:space="preserve"> (1863</w:t>
      </w:r>
      <w:r w:rsidR="000C219B">
        <w:t>/</w:t>
      </w:r>
      <w:r w:rsidRPr="00697A47">
        <w:t>64</w:t>
      </w:r>
      <w:r w:rsidR="000C219B">
        <w:t>–</w:t>
      </w:r>
      <w:r w:rsidRPr="00697A47">
        <w:t>1940</w:t>
      </w:r>
      <w:r w:rsidR="000C219B">
        <w:t>/</w:t>
      </w:r>
      <w:r w:rsidRPr="00697A47">
        <w:t xml:space="preserve">41), and, more importantly, </w:t>
      </w:r>
      <w:r w:rsidR="00641470">
        <w:t>A</w:t>
      </w:r>
      <w:r w:rsidRPr="00697A47">
        <w:t>gh</w:t>
      </w:r>
      <w:r w:rsidR="00641470">
        <w:t>a</w:t>
      </w:r>
      <w:r w:rsidRPr="00697A47">
        <w:t xml:space="preserve"> Buzurg al-Tihr</w:t>
      </w:r>
      <w:r w:rsidR="00641470">
        <w:t>a</w:t>
      </w:r>
      <w:r w:rsidRPr="00697A47">
        <w:t>n</w:t>
      </w:r>
      <w:r w:rsidR="00641470">
        <w:t>i</w:t>
      </w:r>
      <w:r w:rsidRPr="00697A47">
        <w:t>’s (1876</w:t>
      </w:r>
      <w:r w:rsidR="00DF754D">
        <w:t>–</w:t>
      </w:r>
      <w:r w:rsidRPr="00697A47">
        <w:t>1970)</w:t>
      </w:r>
      <w:r w:rsidRPr="00697A47">
        <w:rPr>
          <w:lang w:bidi="ar-JO"/>
        </w:rPr>
        <w:t xml:space="preserve"> monumental </w:t>
      </w:r>
      <w:r w:rsidRPr="00697A47">
        <w:rPr>
          <w:i/>
          <w:iCs/>
          <w:lang w:bidi="ar-JO"/>
        </w:rPr>
        <w:t>al-Dharīʿa ilā taṣānīf al-Shīʿa</w:t>
      </w:r>
      <w:r w:rsidRPr="00697A47">
        <w:t>, a comprehensive bibliographical encyclopedia of Twelver Sh</w:t>
      </w:r>
      <w:r w:rsidR="00641470">
        <w:t>i</w:t>
      </w:r>
      <w:r w:rsidRPr="00697A47">
        <w:t>ʿ</w:t>
      </w:r>
      <w:r w:rsidR="00641470">
        <w:t>i</w:t>
      </w:r>
      <w:r w:rsidRPr="00697A47">
        <w:t xml:space="preserve"> literature, consisting of twenty-eight volumes and describing a total of 53,510 books</w:t>
      </w:r>
      <w:r w:rsidRPr="00697A47">
        <w:rPr>
          <w:lang w:bidi="ar-JO"/>
        </w:rPr>
        <w:t xml:space="preserve">. </w:t>
      </w:r>
      <w:r w:rsidR="00641470">
        <w:rPr>
          <w:lang w:bidi="ar-JO"/>
        </w:rPr>
        <w:t>A</w:t>
      </w:r>
      <w:r w:rsidRPr="00697A47">
        <w:rPr>
          <w:lang w:bidi="ar-JO"/>
        </w:rPr>
        <w:t>gh</w:t>
      </w:r>
      <w:r w:rsidR="00641470">
        <w:rPr>
          <w:lang w:bidi="ar-JO"/>
        </w:rPr>
        <w:t>a</w:t>
      </w:r>
      <w:r w:rsidRPr="00697A47">
        <w:rPr>
          <w:lang w:bidi="ar-JO"/>
        </w:rPr>
        <w:t xml:space="preserve"> Buzurg not only consulted available manuscript </w:t>
      </w:r>
      <w:r w:rsidR="00595A1C">
        <w:rPr>
          <w:lang w:bidi="ar-JO"/>
        </w:rPr>
        <w:t>catalogues</w:t>
      </w:r>
      <w:r w:rsidRPr="00697A47">
        <w:rPr>
          <w:lang w:bidi="ar-JO"/>
        </w:rPr>
        <w:t xml:space="preserve"> and publications but also traveled widely to visit the relevant public and private libraries in </w:t>
      </w:r>
      <w:r w:rsidRPr="00697A47">
        <w:rPr>
          <w:color w:val="000000"/>
          <w:shd w:val="clear" w:color="auto" w:fill="FFFFFF"/>
        </w:rPr>
        <w:t xml:space="preserve">Iraq, Iran, Syria, Palestine, Egypt, and the </w:t>
      </w:r>
      <w:r w:rsidR="00641470">
        <w:rPr>
          <w:color w:val="000000"/>
          <w:shd w:val="clear" w:color="auto" w:fill="FFFFFF"/>
        </w:rPr>
        <w:t>H</w:t>
      </w:r>
      <w:r w:rsidRPr="00697A47">
        <w:rPr>
          <w:color w:val="000000"/>
          <w:shd w:val="clear" w:color="auto" w:fill="FFFFFF"/>
        </w:rPr>
        <w:t>ij</w:t>
      </w:r>
      <w:r w:rsidR="00641470">
        <w:rPr>
          <w:color w:val="000000"/>
          <w:shd w:val="clear" w:color="auto" w:fill="FFFFFF"/>
        </w:rPr>
        <w:t>a</w:t>
      </w:r>
      <w:r w:rsidRPr="00697A47">
        <w:rPr>
          <w:color w:val="000000"/>
          <w:shd w:val="clear" w:color="auto" w:fill="FFFFFF"/>
        </w:rPr>
        <w:t>z</w:t>
      </w:r>
      <w:r w:rsidR="005241B3">
        <w:rPr>
          <w:color w:val="000000"/>
          <w:shd w:val="clear" w:color="auto" w:fill="FFFFFF"/>
        </w:rPr>
        <w:t xml:space="preserve"> (a western region of Saudi Arabia)</w:t>
      </w:r>
      <w:r w:rsidRPr="00697A47">
        <w:rPr>
          <w:color w:val="000000"/>
          <w:shd w:val="clear" w:color="auto" w:fill="FFFFFF"/>
        </w:rPr>
        <w:t xml:space="preserve">, </w:t>
      </w:r>
      <w:r w:rsidR="003E52CC">
        <w:rPr>
          <w:color w:val="000000"/>
          <w:shd w:val="clear" w:color="auto" w:fill="FFFFFF"/>
        </w:rPr>
        <w:t xml:space="preserve">in all of </w:t>
      </w:r>
      <w:r w:rsidR="003E52CC" w:rsidRPr="00697A47">
        <w:rPr>
          <w:color w:val="000000"/>
          <w:shd w:val="clear" w:color="auto" w:fill="FFFFFF"/>
        </w:rPr>
        <w:t>w</w:t>
      </w:r>
      <w:r w:rsidR="003E52CC">
        <w:rPr>
          <w:color w:val="000000"/>
          <w:shd w:val="clear" w:color="auto" w:fill="FFFFFF"/>
        </w:rPr>
        <w:t>hich</w:t>
      </w:r>
      <w:r w:rsidR="003E52CC" w:rsidRPr="00697A47">
        <w:rPr>
          <w:color w:val="000000"/>
          <w:shd w:val="clear" w:color="auto" w:fill="FFFFFF"/>
        </w:rPr>
        <w:t xml:space="preserve"> </w:t>
      </w:r>
      <w:r w:rsidRPr="00697A47">
        <w:rPr>
          <w:color w:val="000000"/>
          <w:shd w:val="clear" w:color="auto" w:fill="FFFFFF"/>
        </w:rPr>
        <w:t xml:space="preserve">he </w:t>
      </w:r>
      <w:r w:rsidRPr="00697A47">
        <w:rPr>
          <w:lang w:bidi="ar-JO"/>
        </w:rPr>
        <w:t xml:space="preserve">had unprecedented access to a large number of manuscripts. The result is an unsurpassed work of meticulous scholarship, and the </w:t>
      </w:r>
      <w:r w:rsidRPr="00697A47">
        <w:rPr>
          <w:i/>
          <w:iCs/>
          <w:lang w:bidi="ar-JO"/>
        </w:rPr>
        <w:t>Dharīʿa</w:t>
      </w:r>
      <w:r w:rsidRPr="00697A47">
        <w:rPr>
          <w:lang w:bidi="ar-JO"/>
        </w:rPr>
        <w:t xml:space="preserve"> </w:t>
      </w:r>
      <w:r w:rsidR="00271290">
        <w:rPr>
          <w:lang w:bidi="ar-JO"/>
        </w:rPr>
        <w:t xml:space="preserve">still </w:t>
      </w:r>
      <w:r w:rsidRPr="00697A47">
        <w:rPr>
          <w:lang w:bidi="ar-JO"/>
        </w:rPr>
        <w:t>constitutes the most important reference work for scholars engaged in the study of Twelver Sh</w:t>
      </w:r>
      <w:r w:rsidR="00641470">
        <w:rPr>
          <w:lang w:bidi="ar-JO"/>
        </w:rPr>
        <w:t>i</w:t>
      </w:r>
      <w:r w:rsidRPr="00697A47">
        <w:rPr>
          <w:lang w:bidi="ar-JO"/>
        </w:rPr>
        <w:t>ʿism.</w:t>
      </w:r>
    </w:p>
    <w:p w14:paraId="23367CDC" w14:textId="77777777" w:rsidR="00926174" w:rsidRPr="005904C2" w:rsidRDefault="00926174" w:rsidP="005904C2">
      <w:pPr>
        <w:spacing w:line="480" w:lineRule="auto"/>
        <w:ind w:firstLine="720"/>
        <w:contextualSpacing/>
      </w:pPr>
    </w:p>
    <w:p w14:paraId="4377BC05" w14:textId="1F8BF584" w:rsidR="00697A47" w:rsidRPr="00697A47" w:rsidRDefault="00697A47" w:rsidP="00A76617">
      <w:pPr>
        <w:pStyle w:val="Heading2"/>
      </w:pPr>
      <w:r w:rsidRPr="00697A47">
        <w:t xml:space="preserve">Book </w:t>
      </w:r>
      <w:r w:rsidR="00926174">
        <w:t>I</w:t>
      </w:r>
      <w:r w:rsidRPr="00697A47">
        <w:t xml:space="preserve">nventories in the </w:t>
      </w:r>
      <w:r w:rsidR="00926174">
        <w:t>P</w:t>
      </w:r>
      <w:r w:rsidRPr="00697A47">
        <w:t xml:space="preserve">remodern Islamic </w:t>
      </w:r>
      <w:r w:rsidR="00926174">
        <w:t>W</w:t>
      </w:r>
      <w:r w:rsidRPr="00697A47">
        <w:t>orld</w:t>
      </w:r>
    </w:p>
    <w:p w14:paraId="6374D206" w14:textId="60BDDFEB" w:rsidR="00697A47" w:rsidRPr="00697A47" w:rsidRDefault="00697A47" w:rsidP="00697A47">
      <w:pPr>
        <w:spacing w:line="480" w:lineRule="auto"/>
        <w:contextualSpacing/>
      </w:pPr>
      <w:r w:rsidRPr="00697A47">
        <w:t>Whereas the biobibliographical works of Muslim scholars such as Ism</w:t>
      </w:r>
      <w:r w:rsidR="00641470">
        <w:t>a</w:t>
      </w:r>
      <w:r w:rsidRPr="00697A47">
        <w:t>ʿ</w:t>
      </w:r>
      <w:r w:rsidR="00641470">
        <w:t>i</w:t>
      </w:r>
      <w:r w:rsidRPr="00697A47">
        <w:t>l B</w:t>
      </w:r>
      <w:r w:rsidR="00641470">
        <w:t>a</w:t>
      </w:r>
      <w:r w:rsidRPr="00697A47">
        <w:t>sh</w:t>
      </w:r>
      <w:r w:rsidR="00641470">
        <w:t>a</w:t>
      </w:r>
      <w:r w:rsidRPr="00697A47">
        <w:t xml:space="preserve"> al-Baghd</w:t>
      </w:r>
      <w:r w:rsidR="00641470">
        <w:t>a</w:t>
      </w:r>
      <w:r w:rsidRPr="00697A47">
        <w:t>d</w:t>
      </w:r>
      <w:r w:rsidR="00641470">
        <w:t>i</w:t>
      </w:r>
      <w:r w:rsidRPr="00697A47">
        <w:t xml:space="preserve"> or </w:t>
      </w:r>
      <w:r w:rsidR="00641470">
        <w:t>A</w:t>
      </w:r>
      <w:r w:rsidRPr="00697A47">
        <w:t>gh</w:t>
      </w:r>
      <w:r w:rsidR="00641470">
        <w:t>a</w:t>
      </w:r>
      <w:r w:rsidRPr="00697A47">
        <w:t xml:space="preserve"> Buzurg al-Tihr</w:t>
      </w:r>
      <w:r w:rsidR="00641470">
        <w:t>a</w:t>
      </w:r>
      <w:r w:rsidRPr="00697A47">
        <w:t>n</w:t>
      </w:r>
      <w:r w:rsidR="00641470">
        <w:t>i</w:t>
      </w:r>
      <w:r w:rsidRPr="00697A47">
        <w:t xml:space="preserve"> are </w:t>
      </w:r>
      <w:r w:rsidRPr="00A76617">
        <w:t>de facto</w:t>
      </w:r>
      <w:r w:rsidRPr="00697A47">
        <w:t xml:space="preserve"> modern publications, they continue a centuries-long tradition that can be traced back to the early Islamic era. In 988, some three hundred years after the death of the Prophet Mu</w:t>
      </w:r>
      <w:r w:rsidR="00DA7CC2">
        <w:t>h</w:t>
      </w:r>
      <w:r w:rsidRPr="00697A47">
        <w:t>ammad, the Baghdad bookseller Ibn al-Nad</w:t>
      </w:r>
      <w:r w:rsidR="00641470">
        <w:t>i</w:t>
      </w:r>
      <w:r w:rsidRPr="00697A47">
        <w:t xml:space="preserve">m (d. 990) compiled a comprehensive </w:t>
      </w:r>
      <w:r w:rsidRPr="00697A47">
        <w:rPr>
          <w:i/>
          <w:iCs/>
        </w:rPr>
        <w:t>Catalog</w:t>
      </w:r>
      <w:r w:rsidRPr="00697A47">
        <w:t xml:space="preserve"> of the entire Arabic textual corpus </w:t>
      </w:r>
      <w:r w:rsidR="001A5373">
        <w:t xml:space="preserve">that </w:t>
      </w:r>
      <w:r w:rsidRPr="00697A47">
        <w:t xml:space="preserve">he </w:t>
      </w:r>
      <w:r w:rsidR="00A95DBD">
        <w:t>had been</w:t>
      </w:r>
      <w:r w:rsidR="00A95DBD" w:rsidRPr="00697A47">
        <w:t xml:space="preserve"> </w:t>
      </w:r>
      <w:r w:rsidRPr="00697A47">
        <w:t>able to get his hands on, and his bibliographical work in its current, incomplete state lists the works of some 3,500 or 3,700 authors—an impressive monument to the book revolution that had been brought about by the nascent Islamic civilization by the early ninth century.</w:t>
      </w:r>
      <w:r w:rsidRPr="00697A47">
        <w:rPr>
          <w:rStyle w:val="EndnoteReference"/>
        </w:rPr>
        <w:endnoteReference w:id="26"/>
      </w:r>
      <w:r w:rsidRPr="00697A47">
        <w:t xml:space="preserve"> </w:t>
      </w:r>
      <w:r w:rsidRPr="002C597B">
        <w:rPr>
          <w:b/>
          <w:color w:val="000000" w:themeColor="text1"/>
        </w:rPr>
        <w:t xml:space="preserve">[fig. </w:t>
      </w:r>
      <w:r w:rsidR="00352BF9" w:rsidRPr="002C597B">
        <w:rPr>
          <w:b/>
          <w:color w:val="000000" w:themeColor="text1"/>
        </w:rPr>
        <w:t>5.6</w:t>
      </w:r>
      <w:r w:rsidRPr="002C597B">
        <w:rPr>
          <w:b/>
          <w:color w:val="000000" w:themeColor="text1"/>
        </w:rPr>
        <w:t>]</w:t>
      </w:r>
      <w:r w:rsidRPr="002C597B">
        <w:rPr>
          <w:color w:val="000000" w:themeColor="text1"/>
        </w:rPr>
        <w:t xml:space="preserve"> </w:t>
      </w:r>
      <w:r w:rsidRPr="00697A47">
        <w:t>Many of the titles Ibn al-Nad</w:t>
      </w:r>
      <w:r w:rsidR="00641470">
        <w:t>i</w:t>
      </w:r>
      <w:r w:rsidRPr="00697A47">
        <w:t xml:space="preserve">m includes have not come down to us, and the information he provides in the </w:t>
      </w:r>
      <w:r w:rsidRPr="00697A47">
        <w:rPr>
          <w:i/>
          <w:iCs/>
        </w:rPr>
        <w:t>Catalog</w:t>
      </w:r>
      <w:r w:rsidRPr="00697A47">
        <w:t xml:space="preserve"> is thus of primary significance. Comparable enterprises from later centuries include </w:t>
      </w:r>
      <w:r w:rsidRPr="00697A47">
        <w:rPr>
          <w:i/>
          <w:iCs/>
        </w:rPr>
        <w:t>Miftāḥ al-saʿāda wa-miṣbāḥ al-siyāda</w:t>
      </w:r>
      <w:r w:rsidRPr="00697A47">
        <w:t>, a comprehensive inventory of books arranged according to disciplines of learning by Ottoman scholar A</w:t>
      </w:r>
      <w:r w:rsidR="00DA7CC2">
        <w:t>h</w:t>
      </w:r>
      <w:r w:rsidRPr="00697A47">
        <w:t>mad b. Mu</w:t>
      </w:r>
      <w:r w:rsidR="00FB4DEA">
        <w:t>st</w:t>
      </w:r>
      <w:r w:rsidRPr="00697A47">
        <w:t>af</w:t>
      </w:r>
      <w:r w:rsidR="00641470">
        <w:t>a</w:t>
      </w:r>
      <w:r w:rsidRPr="00697A47">
        <w:t xml:space="preserve"> Taşköprüzade (d. 1560), and </w:t>
      </w:r>
      <w:r w:rsidRPr="00697A47">
        <w:rPr>
          <w:i/>
          <w:iCs/>
        </w:rPr>
        <w:lastRenderedPageBreak/>
        <w:t>Fahrasat al-kutub wa-l-rasāʾil</w:t>
      </w:r>
      <w:r w:rsidRPr="00697A47">
        <w:t>, an overview of Ism</w:t>
      </w:r>
      <w:r w:rsidR="00641470">
        <w:t>a</w:t>
      </w:r>
      <w:r w:rsidRPr="00697A47">
        <w:t>ʿ</w:t>
      </w:r>
      <w:r w:rsidR="00641470">
        <w:t>i</w:t>
      </w:r>
      <w:r w:rsidRPr="00697A47">
        <w:t>l</w:t>
      </w:r>
      <w:r w:rsidR="00641470">
        <w:t>i</w:t>
      </w:r>
      <w:r w:rsidRPr="00697A47">
        <w:t xml:space="preserve"> literature by D</w:t>
      </w:r>
      <w:r w:rsidR="00641470">
        <w:t>a</w:t>
      </w:r>
      <w:r w:rsidRPr="00697A47">
        <w:t>ʾ</w:t>
      </w:r>
      <w:r w:rsidR="00641470">
        <w:t>u</w:t>
      </w:r>
      <w:r w:rsidRPr="00697A47">
        <w:t>d</w:t>
      </w:r>
      <w:r w:rsidR="00641470">
        <w:t>i</w:t>
      </w:r>
      <w:r w:rsidRPr="00697A47">
        <w:t xml:space="preserve"> Bohra scholar Ism</w:t>
      </w:r>
      <w:r w:rsidR="00641470">
        <w:t>a</w:t>
      </w:r>
      <w:r w:rsidRPr="00697A47">
        <w:t>ʿ</w:t>
      </w:r>
      <w:r w:rsidR="00641470">
        <w:t>i</w:t>
      </w:r>
      <w:r w:rsidRPr="00697A47">
        <w:t>l b. ʿAbd al-Ras</w:t>
      </w:r>
      <w:r w:rsidR="00641470">
        <w:t>u</w:t>
      </w:r>
      <w:r w:rsidRPr="00697A47">
        <w:t>l al-Majd</w:t>
      </w:r>
      <w:r w:rsidR="00641470">
        <w:t>u</w:t>
      </w:r>
      <w:r w:rsidRPr="00697A47">
        <w:t>ʿ (d. 1769</w:t>
      </w:r>
      <w:r w:rsidR="009B5B79">
        <w:t>/</w:t>
      </w:r>
      <w:r w:rsidRPr="00697A47">
        <w:t>70).</w:t>
      </w:r>
    </w:p>
    <w:p w14:paraId="13AA1197" w14:textId="14FA85D5" w:rsidR="00697A47" w:rsidRPr="00697A47" w:rsidRDefault="00697A47" w:rsidP="00697A47">
      <w:pPr>
        <w:spacing w:line="480" w:lineRule="auto"/>
        <w:ind w:firstLine="720"/>
        <w:contextualSpacing/>
      </w:pPr>
      <w:r w:rsidRPr="00697A47">
        <w:t xml:space="preserve">Moreover, the historical sources </w:t>
      </w:r>
      <w:r w:rsidR="00C1429A">
        <w:t>refer to</w:t>
      </w:r>
      <w:r w:rsidRPr="00697A47">
        <w:t xml:space="preserve"> large-scale libraries in the intellectual hubs of the Muslim world from early on. The Fatimid royal libraries, for example, are said to have amassed some 1.5 million volumes toward the end of the dynasty in the early twelfth century</w:t>
      </w:r>
      <w:r w:rsidR="00121C97">
        <w:t>. W</w:t>
      </w:r>
      <w:r w:rsidRPr="00697A47">
        <w:t>hether</w:t>
      </w:r>
      <w:r w:rsidR="004F40EE">
        <w:t xml:space="preserve"> or not</w:t>
      </w:r>
      <w:r w:rsidRPr="00697A47">
        <w:t xml:space="preserve"> the figure is exaggerated, there is no doubt that their holdings were enormous and comprised the full range of what existed at the time in Arabic.</w:t>
      </w:r>
      <w:r w:rsidRPr="00697A47">
        <w:rPr>
          <w:rStyle w:val="EndnoteReference"/>
        </w:rPr>
        <w:endnoteReference w:id="27"/>
      </w:r>
      <w:r w:rsidRPr="00697A47">
        <w:t xml:space="preserve"> One of the most important libraries during the Abbasid period was founded in Karkh (Baghdad), attached to the academy of learning (</w:t>
      </w:r>
      <w:r w:rsidRPr="00697A47">
        <w:rPr>
          <w:i/>
          <w:iCs/>
        </w:rPr>
        <w:t>d</w:t>
      </w:r>
      <w:r w:rsidR="00641470">
        <w:rPr>
          <w:i/>
          <w:iCs/>
        </w:rPr>
        <w:t>a</w:t>
      </w:r>
      <w:r w:rsidRPr="00697A47">
        <w:rPr>
          <w:i/>
          <w:iCs/>
        </w:rPr>
        <w:t>r al-ʿilm</w:t>
      </w:r>
      <w:r w:rsidRPr="00697A47">
        <w:t>), by the Sh</w:t>
      </w:r>
      <w:r w:rsidR="00641470">
        <w:t>i</w:t>
      </w:r>
      <w:r w:rsidRPr="00697A47">
        <w:t>ʿ</w:t>
      </w:r>
      <w:r w:rsidR="00641470">
        <w:t>i</w:t>
      </w:r>
      <w:r w:rsidRPr="00697A47">
        <w:t xml:space="preserve"> Sh</w:t>
      </w:r>
      <w:r w:rsidR="00641470">
        <w:t>a</w:t>
      </w:r>
      <w:r w:rsidRPr="00697A47">
        <w:t>p</w:t>
      </w:r>
      <w:r w:rsidR="00641470">
        <w:t>u</w:t>
      </w:r>
      <w:r w:rsidRPr="00697A47">
        <w:t>r b. Ardash</w:t>
      </w:r>
      <w:r w:rsidR="00641470">
        <w:t>i</w:t>
      </w:r>
      <w:r w:rsidRPr="00697A47">
        <w:t>r (d. 1035</w:t>
      </w:r>
      <w:r w:rsidR="0032632A">
        <w:t>/</w:t>
      </w:r>
      <w:r w:rsidRPr="00697A47">
        <w:t>36), the erstwhile vizier of the B</w:t>
      </w:r>
      <w:r w:rsidR="00641470">
        <w:t>u</w:t>
      </w:r>
      <w:r w:rsidRPr="00697A47">
        <w:t>yid ruler Bah</w:t>
      </w:r>
      <w:r w:rsidR="00641470">
        <w:t>a</w:t>
      </w:r>
      <w:r w:rsidRPr="00697A47">
        <w:t xml:space="preserve">ʾ al-Dawla. The library existed for six decades, and its holdings amounted to some </w:t>
      </w:r>
      <w:r w:rsidR="005D0385">
        <w:t>ten thousand</w:t>
      </w:r>
      <w:r w:rsidRPr="00697A47">
        <w:t xml:space="preserve"> volumes, until it was destroyed in 1059, during the Seljuq Tughril Beg’s march on Baghdad. </w:t>
      </w:r>
      <w:r w:rsidRPr="002C597B">
        <w:rPr>
          <w:b/>
          <w:color w:val="000000" w:themeColor="text1"/>
        </w:rPr>
        <w:t xml:space="preserve">[fig. </w:t>
      </w:r>
      <w:r w:rsidR="00352BF9" w:rsidRPr="002C597B">
        <w:rPr>
          <w:b/>
          <w:color w:val="000000" w:themeColor="text1"/>
        </w:rPr>
        <w:t>5.7</w:t>
      </w:r>
      <w:r w:rsidRPr="002C597B">
        <w:rPr>
          <w:b/>
          <w:color w:val="000000" w:themeColor="text1"/>
        </w:rPr>
        <w:t>]</w:t>
      </w:r>
    </w:p>
    <w:p w14:paraId="30BD0743" w14:textId="393C9E74" w:rsidR="00E4245F" w:rsidRDefault="00697A47" w:rsidP="00697A47">
      <w:pPr>
        <w:spacing w:line="480" w:lineRule="auto"/>
        <w:ind w:firstLine="720"/>
        <w:contextualSpacing/>
      </w:pPr>
      <w:r w:rsidRPr="00697A47">
        <w:t xml:space="preserve">Although we know very little about the history, holdings, and organization of most early rulers’ libraries, as the narrative sources provide primarily anecdotal evidence, an increasing number of documentary sources have come to light over the past </w:t>
      </w:r>
      <w:r w:rsidR="001C1BC4">
        <w:t xml:space="preserve">several </w:t>
      </w:r>
      <w:r w:rsidRPr="00697A47">
        <w:t xml:space="preserve">decades—inventories of property and records of sold objects, endowment deeds, inheritance inventories, confiscation registers, gift registers, court records, account books, and library </w:t>
      </w:r>
      <w:r w:rsidR="00595A1C">
        <w:t>catalogues</w:t>
      </w:r>
      <w:r w:rsidRPr="00697A47">
        <w:t>, as well as paratextual material in manuscript codices—informing us about the history, organization and management, arrangement, and holdings of a growing number of libraries from the tenth century onwards, and more discoveries can be expected within this vibrant field of scholarship. Fairly detailed descriptions are available, for example, of the private library of Baghdad scholar Ab</w:t>
      </w:r>
      <w:r w:rsidR="00641470">
        <w:t>u</w:t>
      </w:r>
      <w:r w:rsidRPr="00697A47">
        <w:t xml:space="preserve"> Bakr al-</w:t>
      </w:r>
      <w:r w:rsidR="00FB4DEA">
        <w:t>S</w:t>
      </w:r>
      <w:r w:rsidR="00641470">
        <w:t>u</w:t>
      </w:r>
      <w:r w:rsidRPr="00697A47">
        <w:t>l</w:t>
      </w:r>
      <w:r w:rsidR="00641470">
        <w:t>i</w:t>
      </w:r>
      <w:r w:rsidRPr="00697A47">
        <w:t xml:space="preserve"> (d. 947).</w:t>
      </w:r>
      <w:r w:rsidRPr="00697A47">
        <w:rPr>
          <w:rStyle w:val="EndnoteReference"/>
        </w:rPr>
        <w:endnoteReference w:id="28"/>
      </w:r>
      <w:r w:rsidRPr="00697A47">
        <w:t xml:space="preserve"> </w:t>
      </w:r>
    </w:p>
    <w:p w14:paraId="7E71866C" w14:textId="41BF7C0D" w:rsidR="00697A47" w:rsidRPr="00697A47" w:rsidRDefault="00697A47" w:rsidP="00697A47">
      <w:pPr>
        <w:spacing w:line="480" w:lineRule="auto"/>
        <w:ind w:firstLine="720"/>
        <w:contextualSpacing/>
      </w:pPr>
      <w:r w:rsidRPr="00697A47">
        <w:lastRenderedPageBreak/>
        <w:t xml:space="preserve">Among the earliest extant library </w:t>
      </w:r>
      <w:r w:rsidR="00595A1C">
        <w:t>catalogues</w:t>
      </w:r>
      <w:r w:rsidRPr="00697A47">
        <w:t xml:space="preserve"> are a register of the holdings of the library of the Great Mosque of Qayraw</w:t>
      </w:r>
      <w:r w:rsidR="00641470">
        <w:t>a</w:t>
      </w:r>
      <w:r w:rsidRPr="00697A47">
        <w:t>n in Tunisia (dated 1294)</w:t>
      </w:r>
      <w:r w:rsidRPr="00697A47">
        <w:rPr>
          <w:vertAlign w:val="superscript"/>
        </w:rPr>
        <w:endnoteReference w:id="29"/>
      </w:r>
      <w:r w:rsidRPr="00697A47">
        <w:t xml:space="preserve"> and a catalog</w:t>
      </w:r>
      <w:r w:rsidR="00595A1C">
        <w:t>ue</w:t>
      </w:r>
      <w:r w:rsidRPr="00697A47">
        <w:t xml:space="preserve"> of the library of the mausoleum of al-Malik al-Ashraf (r</w:t>
      </w:r>
      <w:r w:rsidR="001C1BC4">
        <w:t>eigned</w:t>
      </w:r>
      <w:r w:rsidRPr="00697A47">
        <w:t xml:space="preserve"> 1229–37) in Damascus, which lists some </w:t>
      </w:r>
      <w:r w:rsidR="00F93DBD">
        <w:t>two thousand</w:t>
      </w:r>
      <w:r w:rsidRPr="00697A47">
        <w:t xml:space="preserve"> books.</w:t>
      </w:r>
      <w:r w:rsidRPr="00697A47">
        <w:rPr>
          <w:vertAlign w:val="superscript"/>
        </w:rPr>
        <w:endnoteReference w:id="30"/>
      </w:r>
      <w:r w:rsidRPr="00697A47">
        <w:t xml:space="preserve"> The thirteenth-century Twelver Sh</w:t>
      </w:r>
      <w:r w:rsidR="00641470">
        <w:t>i</w:t>
      </w:r>
      <w:r w:rsidRPr="00697A47">
        <w:t>ʿ</w:t>
      </w:r>
      <w:r w:rsidR="00641470">
        <w:t>i</w:t>
      </w:r>
      <w:r w:rsidRPr="00697A47">
        <w:t xml:space="preserve"> scholar Ra</w:t>
      </w:r>
      <w:r w:rsidR="00DE6AFB">
        <w:t>d</w:t>
      </w:r>
      <w:r w:rsidR="00641470">
        <w:t>i</w:t>
      </w:r>
      <w:r w:rsidRPr="00697A47">
        <w:t xml:space="preserve"> al-D</w:t>
      </w:r>
      <w:r w:rsidR="00641470">
        <w:t>i</w:t>
      </w:r>
      <w:r w:rsidRPr="00697A47">
        <w:t xml:space="preserve">n Ibn </w:t>
      </w:r>
      <w:r w:rsidR="00641470">
        <w:t>Ta</w:t>
      </w:r>
      <w:r w:rsidRPr="00697A47">
        <w:t>w</w:t>
      </w:r>
      <w:r w:rsidR="00641470">
        <w:t>u</w:t>
      </w:r>
      <w:r w:rsidRPr="00697A47">
        <w:t xml:space="preserve">s compiled a </w:t>
      </w:r>
      <w:r w:rsidR="007348F7">
        <w:t xml:space="preserve">since-lost </w:t>
      </w:r>
      <w:r w:rsidRPr="00697A47">
        <w:t>catalog</w:t>
      </w:r>
      <w:r w:rsidR="00595A1C">
        <w:t>ue</w:t>
      </w:r>
      <w:r w:rsidRPr="00697A47">
        <w:t xml:space="preserve"> of the holdings of his personal library, </w:t>
      </w:r>
      <w:r w:rsidRPr="00697A47">
        <w:rPr>
          <w:i/>
          <w:iCs/>
        </w:rPr>
        <w:t>al-Ibāna fī maʿrifat (asmāʾ) kutub al-khizāna</w:t>
      </w:r>
      <w:r w:rsidRPr="00697A47">
        <w:t xml:space="preserve">, to which he later added as a supplement his </w:t>
      </w:r>
      <w:r w:rsidRPr="00697A47">
        <w:rPr>
          <w:i/>
          <w:iCs/>
        </w:rPr>
        <w:t>Saʿd al-suʿūd</w:t>
      </w:r>
      <w:r w:rsidRPr="00697A47">
        <w:t xml:space="preserve">, which is partly preserved (and was perhaps never completed). The latter work contains detailed information on some of the books Ibn </w:t>
      </w:r>
      <w:r w:rsidR="00641470">
        <w:t>Ta</w:t>
      </w:r>
      <w:r w:rsidRPr="00697A47">
        <w:t>w</w:t>
      </w:r>
      <w:r w:rsidR="00641470">
        <w:t>u</w:t>
      </w:r>
      <w:r w:rsidRPr="00697A47">
        <w:t>s had in his possession, together with extensive quotations from those books.</w:t>
      </w:r>
      <w:r w:rsidRPr="00697A47">
        <w:rPr>
          <w:vertAlign w:val="superscript"/>
        </w:rPr>
        <w:endnoteReference w:id="31"/>
      </w:r>
      <w:r w:rsidRPr="00697A47">
        <w:t xml:space="preserve"> The Ottoman Muʾayyadz</w:t>
      </w:r>
      <w:r w:rsidR="00641470">
        <w:t>a</w:t>
      </w:r>
      <w:r w:rsidRPr="00697A47">
        <w:t>de ʿAbd al-Ra</w:t>
      </w:r>
      <w:r w:rsidR="00DA7CC2">
        <w:t>h</w:t>
      </w:r>
      <w:r w:rsidRPr="00697A47">
        <w:t>m</w:t>
      </w:r>
      <w:r w:rsidR="00641470">
        <w:t>a</w:t>
      </w:r>
      <w:r w:rsidRPr="00697A47">
        <w:t>n Efendi, a close friend and confidant of the future Ottoman sultan B</w:t>
      </w:r>
      <w:r w:rsidR="00641470">
        <w:t>a</w:t>
      </w:r>
      <w:r w:rsidRPr="00697A47">
        <w:t>yaz</w:t>
      </w:r>
      <w:r w:rsidR="00641470">
        <w:t>i</w:t>
      </w:r>
      <w:r w:rsidRPr="00697A47">
        <w:t xml:space="preserve">d II (r. 1481–1516), assembled an impressive personal library with an estimated </w:t>
      </w:r>
      <w:r w:rsidR="007D2077">
        <w:t>seven thousand</w:t>
      </w:r>
      <w:r w:rsidRPr="00697A47">
        <w:t xml:space="preserve"> volumes. A six-folio partial inventory of his library, listing some 2,100 titles, is extant in manuscript.</w:t>
      </w:r>
      <w:r w:rsidRPr="00697A47">
        <w:rPr>
          <w:rStyle w:val="EndnoteReference"/>
        </w:rPr>
        <w:endnoteReference w:id="32"/>
      </w:r>
      <w:r w:rsidRPr="00697A47">
        <w:t xml:space="preserve"> B</w:t>
      </w:r>
      <w:r w:rsidR="00641470">
        <w:t>a</w:t>
      </w:r>
      <w:r w:rsidRPr="00697A47">
        <w:t>yaz</w:t>
      </w:r>
      <w:r w:rsidR="00641470">
        <w:t>i</w:t>
      </w:r>
      <w:r w:rsidRPr="00697A47">
        <w:t xml:space="preserve">d II also commissioned an inventory of books held in the library of the Topkapı Palace in Istanbul. The inventory, dated 1503–4, records over </w:t>
      </w:r>
      <w:r w:rsidR="00C92508">
        <w:t>seven thousand</w:t>
      </w:r>
      <w:r w:rsidRPr="00697A47">
        <w:t xml:space="preserve"> titles.</w:t>
      </w:r>
      <w:r w:rsidRPr="00697A47">
        <w:rPr>
          <w:rStyle w:val="EndnoteReference"/>
        </w:rPr>
        <w:endnoteReference w:id="33"/>
      </w:r>
      <w:r w:rsidRPr="00697A47">
        <w:t xml:space="preserve"> The </w:t>
      </w:r>
      <w:r w:rsidR="00641470">
        <w:t>H</w:t>
      </w:r>
      <w:r w:rsidRPr="00697A47">
        <w:t>anbal</w:t>
      </w:r>
      <w:r w:rsidR="00641470">
        <w:t>i</w:t>
      </w:r>
      <w:r w:rsidRPr="00697A47">
        <w:t xml:space="preserve"> Damascene scholar Ibn ʿAbd al-H</w:t>
      </w:r>
      <w:r w:rsidR="00641470">
        <w:t>a</w:t>
      </w:r>
      <w:r w:rsidRPr="00697A47">
        <w:t>d</w:t>
      </w:r>
      <w:r w:rsidR="00641470">
        <w:t>i</w:t>
      </w:r>
      <w:r w:rsidRPr="00697A47">
        <w:t xml:space="preserve"> (</w:t>
      </w:r>
      <w:r w:rsidR="00DF11F2">
        <w:t xml:space="preserve">d. </w:t>
      </w:r>
      <w:r w:rsidRPr="00697A47">
        <w:t>1503) compiled a catalog</w:t>
      </w:r>
      <w:r w:rsidR="00595A1C">
        <w:t>ue</w:t>
      </w:r>
      <w:r w:rsidRPr="00697A47">
        <w:t xml:space="preserve"> of his library, comprising close to </w:t>
      </w:r>
      <w:r w:rsidR="002A40FE">
        <w:t>three thousand</w:t>
      </w:r>
      <w:r w:rsidRPr="00697A47">
        <w:t xml:space="preserve"> titles.</w:t>
      </w:r>
      <w:r w:rsidRPr="00697A47">
        <w:rPr>
          <w:rStyle w:val="EndnoteReference"/>
        </w:rPr>
        <w:endnoteReference w:id="34"/>
      </w:r>
      <w:r w:rsidRPr="00697A47">
        <w:t xml:space="preserve"> An endowment deed dated 1751 records the donation of a private book collection of more than one hundred volumes by the otherwise unknown al-</w:t>
      </w:r>
      <w:r w:rsidR="00641470">
        <w:t>Ha</w:t>
      </w:r>
      <w:r w:rsidRPr="00697A47">
        <w:t>jj al-Sayyid Mu</w:t>
      </w:r>
      <w:r w:rsidR="00FB4DEA">
        <w:t>st</w:t>
      </w:r>
      <w:r w:rsidRPr="00697A47">
        <w:t>af</w:t>
      </w:r>
      <w:r w:rsidR="00641470">
        <w:t>a</w:t>
      </w:r>
      <w:r w:rsidRPr="00697A47">
        <w:t xml:space="preserve"> b. al-</w:t>
      </w:r>
      <w:r w:rsidR="00641470">
        <w:t>Ha</w:t>
      </w:r>
      <w:r w:rsidRPr="00697A47">
        <w:t>jj Efend</w:t>
      </w:r>
      <w:r w:rsidR="00641470">
        <w:t>i</w:t>
      </w:r>
      <w:r w:rsidRPr="00697A47">
        <w:t>.</w:t>
      </w:r>
      <w:r w:rsidRPr="00697A47">
        <w:rPr>
          <w:rStyle w:val="EndnoteReference"/>
        </w:rPr>
        <w:endnoteReference w:id="35"/>
      </w:r>
      <w:r w:rsidRPr="00697A47">
        <w:t xml:space="preserve"> From the early nineteenth century, the inventory of the private collection (amounting to almost 1,200 volumes) of the founder of the Kh</w:t>
      </w:r>
      <w:r w:rsidR="00641470">
        <w:t>a</w:t>
      </w:r>
      <w:r w:rsidRPr="00697A47">
        <w:t xml:space="preserve">lidiyya branch of the Naqshbandiyya order in Damascus, </w:t>
      </w:r>
      <w:r w:rsidR="000E4413">
        <w:t>Sheikh</w:t>
      </w:r>
      <w:r w:rsidRPr="00697A47">
        <w:t xml:space="preserve"> Kh</w:t>
      </w:r>
      <w:r w:rsidR="00641470">
        <w:t>a</w:t>
      </w:r>
      <w:r w:rsidRPr="00697A47">
        <w:t>lid al-Shahraz</w:t>
      </w:r>
      <w:r w:rsidR="00641470">
        <w:t>u</w:t>
      </w:r>
      <w:r w:rsidRPr="00697A47">
        <w:t>r</w:t>
      </w:r>
      <w:r w:rsidR="00641470">
        <w:t>i</w:t>
      </w:r>
      <w:r w:rsidRPr="00697A47">
        <w:t xml:space="preserve"> al-Naqshaband</w:t>
      </w:r>
      <w:r w:rsidR="00641470">
        <w:t>i</w:t>
      </w:r>
      <w:r w:rsidRPr="00697A47">
        <w:t xml:space="preserve"> (d. 1827), which was compiled on the occasion of a lawsuit involving the collection, has come down to us</w:t>
      </w:r>
      <w:r w:rsidR="002E59BD">
        <w:t>.</w:t>
      </w:r>
      <w:r w:rsidRPr="00697A47">
        <w:rPr>
          <w:vertAlign w:val="superscript"/>
        </w:rPr>
        <w:endnoteReference w:id="36"/>
      </w:r>
      <w:r w:rsidR="002E59BD">
        <w:t xml:space="preserve"> These are but a few </w:t>
      </w:r>
      <w:r w:rsidRPr="00697A47">
        <w:t>examples.</w:t>
      </w:r>
    </w:p>
    <w:p w14:paraId="603FF282" w14:textId="791E3D26" w:rsidR="00E4245F" w:rsidRDefault="00697A47" w:rsidP="005904C2">
      <w:pPr>
        <w:spacing w:line="480" w:lineRule="auto"/>
        <w:ind w:firstLine="720"/>
        <w:contextualSpacing/>
      </w:pPr>
      <w:r w:rsidRPr="00697A47">
        <w:t xml:space="preserve">Closely related to </w:t>
      </w:r>
      <w:r w:rsidR="00595A1C">
        <w:t>catalogues</w:t>
      </w:r>
      <w:r w:rsidRPr="00697A47">
        <w:t xml:space="preserve"> and inventories of library collections are notebooks containing detailed descriptions of works and excerpts from </w:t>
      </w:r>
      <w:r w:rsidR="00AC0EA0">
        <w:t>them</w:t>
      </w:r>
      <w:r w:rsidRPr="00697A47">
        <w:t xml:space="preserve">, many of which are otherwise </w:t>
      </w:r>
      <w:r w:rsidRPr="00697A47">
        <w:lastRenderedPageBreak/>
        <w:t xml:space="preserve">lost. A prominent example is the </w:t>
      </w:r>
      <w:r w:rsidRPr="00697A47">
        <w:rPr>
          <w:i/>
          <w:iCs/>
        </w:rPr>
        <w:t>Kitāb al-Funūn</w:t>
      </w:r>
      <w:r w:rsidRPr="00697A47">
        <w:t xml:space="preserve"> by the </w:t>
      </w:r>
      <w:r w:rsidR="00641470">
        <w:t>H</w:t>
      </w:r>
      <w:r w:rsidRPr="00697A47">
        <w:t>anbal</w:t>
      </w:r>
      <w:r w:rsidR="00641470">
        <w:t>i</w:t>
      </w:r>
      <w:r w:rsidRPr="00697A47">
        <w:t xml:space="preserve"> author Ibn ʿAq</w:t>
      </w:r>
      <w:r w:rsidR="00641470">
        <w:t>i</w:t>
      </w:r>
      <w:r w:rsidRPr="00697A47">
        <w:t>l (</w:t>
      </w:r>
      <w:r w:rsidR="00DF11F2">
        <w:t xml:space="preserve">d. </w:t>
      </w:r>
      <w:r w:rsidRPr="00697A47">
        <w:t xml:space="preserve">1119), a personal notebook consisting of quotations from works by others together with the author’s own comments and thoughts on the material. The book is only partly extant in a single manuscript and is </w:t>
      </w:r>
      <w:r w:rsidR="00A56010">
        <w:t>believed</w:t>
      </w:r>
      <w:r w:rsidR="00A56010" w:rsidRPr="00697A47">
        <w:t xml:space="preserve"> </w:t>
      </w:r>
      <w:r w:rsidRPr="00697A47">
        <w:t xml:space="preserve">to have consisted of two hundred or more volumes in its original form. Another example of an entirely different character is the </w:t>
      </w:r>
      <w:r w:rsidRPr="00697A47">
        <w:rPr>
          <w:i/>
          <w:iCs/>
        </w:rPr>
        <w:t>Tadhkira</w:t>
      </w:r>
      <w:r w:rsidRPr="00697A47">
        <w:t xml:space="preserve">, a literary notebook by the </w:t>
      </w:r>
      <w:r w:rsidR="00641470">
        <w:t>H</w:t>
      </w:r>
      <w:r w:rsidRPr="00697A47">
        <w:t>anaf</w:t>
      </w:r>
      <w:r w:rsidR="00641470">
        <w:t>i</w:t>
      </w:r>
      <w:r w:rsidRPr="00697A47">
        <w:t xml:space="preserve"> </w:t>
      </w:r>
      <w:r w:rsidRPr="00A76617">
        <w:t>littérateur</w:t>
      </w:r>
      <w:r w:rsidRPr="00697A47">
        <w:t xml:space="preserve"> and historian Kam</w:t>
      </w:r>
      <w:r w:rsidR="00641470">
        <w:t>a</w:t>
      </w:r>
      <w:r w:rsidRPr="00697A47">
        <w:t>l al-D</w:t>
      </w:r>
      <w:r w:rsidR="00641470">
        <w:t>i</w:t>
      </w:r>
      <w:r w:rsidRPr="00697A47">
        <w:t>n ʿUmar b. A</w:t>
      </w:r>
      <w:r w:rsidR="00DA7CC2">
        <w:t>h</w:t>
      </w:r>
      <w:r w:rsidRPr="00697A47">
        <w:t>mad Ibn al-ʿAd</w:t>
      </w:r>
      <w:r w:rsidR="00641470">
        <w:t>i</w:t>
      </w:r>
      <w:r w:rsidRPr="00697A47">
        <w:t>m (</w:t>
      </w:r>
      <w:r w:rsidR="00DF11F2">
        <w:t xml:space="preserve">d. </w:t>
      </w:r>
      <w:r w:rsidRPr="00697A47">
        <w:t>1262).</w:t>
      </w:r>
      <w:r w:rsidRPr="00697A47">
        <w:rPr>
          <w:rStyle w:val="EndnoteReference"/>
        </w:rPr>
        <w:endnoteReference w:id="37"/>
      </w:r>
      <w:r w:rsidRPr="00697A47">
        <w:t xml:space="preserve"> </w:t>
      </w:r>
    </w:p>
    <w:p w14:paraId="0F632810" w14:textId="17DED0DB" w:rsidR="00697A47" w:rsidRDefault="00697A47" w:rsidP="005904C2">
      <w:pPr>
        <w:spacing w:line="480" w:lineRule="auto"/>
        <w:ind w:firstLine="720"/>
        <w:contextualSpacing/>
        <w:rPr>
          <w:color w:val="FF0000"/>
        </w:rPr>
      </w:pPr>
      <w:r w:rsidRPr="00697A47">
        <w:t xml:space="preserve">Following Ibn </w:t>
      </w:r>
      <w:r w:rsidR="00641470">
        <w:t>Ta</w:t>
      </w:r>
      <w:r w:rsidRPr="00697A47">
        <w:t>w</w:t>
      </w:r>
      <w:r w:rsidR="00641470">
        <w:t>u</w:t>
      </w:r>
      <w:r w:rsidRPr="00697A47">
        <w:t xml:space="preserve">s, the tradition of compiling </w:t>
      </w:r>
      <w:r w:rsidR="00595A1C">
        <w:t>catalogues</w:t>
      </w:r>
      <w:r w:rsidRPr="00697A47">
        <w:t xml:space="preserve"> with extensive excerpts from the books being described was continued among Sh</w:t>
      </w:r>
      <w:r w:rsidR="00641470">
        <w:t>i</w:t>
      </w:r>
      <w:r w:rsidRPr="00697A47">
        <w:t>ʿ</w:t>
      </w:r>
      <w:r w:rsidR="00641470">
        <w:t>i</w:t>
      </w:r>
      <w:r w:rsidRPr="00697A47">
        <w:t xml:space="preserve"> scholars, particularly among </w:t>
      </w:r>
      <w:r w:rsidR="00802847">
        <w:t xml:space="preserve">those from </w:t>
      </w:r>
      <w:r w:rsidRPr="00697A47">
        <w:t>al-</w:t>
      </w:r>
      <w:r w:rsidR="00641470">
        <w:t>H</w:t>
      </w:r>
      <w:r w:rsidRPr="00697A47">
        <w:t xml:space="preserve">illa, Ibn </w:t>
      </w:r>
      <w:r w:rsidR="00641470">
        <w:t>Ta</w:t>
      </w:r>
      <w:r w:rsidRPr="00697A47">
        <w:t>w</w:t>
      </w:r>
      <w:r w:rsidR="00641470">
        <w:t>u</w:t>
      </w:r>
      <w:r w:rsidRPr="00697A47">
        <w:t>s’s hometown</w:t>
      </w:r>
      <w:r w:rsidR="000C1E4D">
        <w:t>,</w:t>
      </w:r>
      <w:r w:rsidR="00D40F29">
        <w:t xml:space="preserve"> located some </w:t>
      </w:r>
      <w:r w:rsidR="00DE6AFB">
        <w:t>one hundred kilom</w:t>
      </w:r>
      <w:r w:rsidR="000C1E4D">
        <w:t>e</w:t>
      </w:r>
      <w:r w:rsidR="00DE6AFB">
        <w:t>ters</w:t>
      </w:r>
      <w:r w:rsidR="00D40F29">
        <w:t xml:space="preserve"> south of Baghdad</w:t>
      </w:r>
      <w:r w:rsidRPr="00697A47">
        <w:t>. Ibr</w:t>
      </w:r>
      <w:r w:rsidR="00641470">
        <w:t>a</w:t>
      </w:r>
      <w:r w:rsidRPr="00697A47">
        <w:t>h</w:t>
      </w:r>
      <w:r w:rsidR="00641470">
        <w:t>i</w:t>
      </w:r>
      <w:r w:rsidRPr="00697A47">
        <w:t>m b. ʿAl</w:t>
      </w:r>
      <w:r w:rsidR="00641470">
        <w:t>i</w:t>
      </w:r>
      <w:r w:rsidRPr="00697A47">
        <w:t xml:space="preserve"> b. al-</w:t>
      </w:r>
      <w:r w:rsidR="00641470">
        <w:t>H</w:t>
      </w:r>
      <w:r w:rsidRPr="00697A47">
        <w:t>asan al-Kafʿam</w:t>
      </w:r>
      <w:r w:rsidR="00641470">
        <w:t>i</w:t>
      </w:r>
      <w:r w:rsidRPr="00697A47">
        <w:t xml:space="preserve"> (d. 1499</w:t>
      </w:r>
      <w:r w:rsidR="00567151">
        <w:t>/</w:t>
      </w:r>
      <w:r w:rsidRPr="00697A47">
        <w:t xml:space="preserve">1500), who resided both in al-Hilla and Najaf, compiled </w:t>
      </w:r>
      <w:r w:rsidRPr="00697A47">
        <w:rPr>
          <w:i/>
          <w:iCs/>
        </w:rPr>
        <w:t>Majmūʿ al-ghar</w:t>
      </w:r>
      <w:r w:rsidR="00641470">
        <w:rPr>
          <w:i/>
          <w:iCs/>
        </w:rPr>
        <w:t>ā</w:t>
      </w:r>
      <w:r w:rsidRPr="00697A47">
        <w:rPr>
          <w:i/>
          <w:iCs/>
        </w:rPr>
        <w:t>ʾib wa-mawḍūʿ al-raghāʾib</w:t>
      </w:r>
      <w:r w:rsidRPr="00A76617">
        <w:t>,</w:t>
      </w:r>
      <w:r w:rsidRPr="00697A47">
        <w:t xml:space="preserve"> listing the books he had access to and quoting extensively from them. Collections of selections gleaned from (now often lost) books and manuscripts also circulated under the title </w:t>
      </w:r>
      <w:r w:rsidR="00F554DA">
        <w:rPr>
          <w:i/>
          <w:iCs/>
        </w:rPr>
        <w:t>F</w:t>
      </w:r>
      <w:r w:rsidRPr="00697A47">
        <w:rPr>
          <w:i/>
          <w:iCs/>
        </w:rPr>
        <w:t>awāʾid</w:t>
      </w:r>
      <w:r w:rsidRPr="00697A47">
        <w:t>, as in the case of a notebook by the Twelver Sh</w:t>
      </w:r>
      <w:r w:rsidR="00641470">
        <w:t>i</w:t>
      </w:r>
      <w:r w:rsidRPr="00697A47">
        <w:t>ʿ</w:t>
      </w:r>
      <w:r w:rsidR="00641470">
        <w:t>i</w:t>
      </w:r>
      <w:r w:rsidRPr="00697A47">
        <w:t xml:space="preserve"> Iranian scholar ʿAbd All</w:t>
      </w:r>
      <w:r w:rsidR="00641470">
        <w:t>a</w:t>
      </w:r>
      <w:r w:rsidRPr="00697A47">
        <w:t>h al-Afand</w:t>
      </w:r>
      <w:r w:rsidR="00641470">
        <w:t>i</w:t>
      </w:r>
      <w:r w:rsidRPr="00697A47">
        <w:t xml:space="preserve"> al-I</w:t>
      </w:r>
      <w:r w:rsidR="00FB4DEA">
        <w:t>s</w:t>
      </w:r>
      <w:r w:rsidRPr="00697A47">
        <w:t>fah</w:t>
      </w:r>
      <w:r w:rsidR="00641470">
        <w:t>a</w:t>
      </w:r>
      <w:r w:rsidRPr="00697A47">
        <w:t>n</w:t>
      </w:r>
      <w:r w:rsidR="00641470">
        <w:t>i</w:t>
      </w:r>
      <w:r w:rsidRPr="00697A47">
        <w:t xml:space="preserve"> (d. 1718), the author of </w:t>
      </w:r>
      <w:r w:rsidR="00772135">
        <w:t xml:space="preserve">a </w:t>
      </w:r>
      <w:r w:rsidRPr="00697A47">
        <w:t xml:space="preserve">biographical dictionary titled </w:t>
      </w:r>
      <w:r w:rsidRPr="00697A47">
        <w:rPr>
          <w:i/>
          <w:iCs/>
        </w:rPr>
        <w:t>Riyāḍ al-ʿulamāʾ</w:t>
      </w:r>
      <w:r w:rsidRPr="00697A47">
        <w:t xml:space="preserve">, who provides information in the notebook that often complements the data provided in the </w:t>
      </w:r>
      <w:r w:rsidR="008128E5" w:rsidRPr="00A76617">
        <w:t>dictionary</w:t>
      </w:r>
      <w:r w:rsidRPr="00697A47">
        <w:t>. Mention should also be made of the various excerpts (</w:t>
      </w:r>
      <w:r w:rsidRPr="00697A47">
        <w:rPr>
          <w:i/>
          <w:iCs/>
        </w:rPr>
        <w:t>fawāʾid</w:t>
      </w:r>
      <w:r w:rsidRPr="00697A47">
        <w:t>) from earlier philosophical works by the Jewish philosopher ʿIzz al-Dawla Ibn Kamm</w:t>
      </w:r>
      <w:r w:rsidR="00641470">
        <w:t>u</w:t>
      </w:r>
      <w:r w:rsidRPr="00697A47">
        <w:t xml:space="preserve">na (d. </w:t>
      </w:r>
      <w:r w:rsidR="00023067">
        <w:t>circa</w:t>
      </w:r>
      <w:r w:rsidRPr="00697A47">
        <w:t xml:space="preserve"> 1284), compiled for his own study purposes.</w:t>
      </w:r>
      <w:r w:rsidRPr="00697A47">
        <w:rPr>
          <w:rStyle w:val="EndnoteReference"/>
        </w:rPr>
        <w:endnoteReference w:id="38"/>
      </w:r>
      <w:r w:rsidRPr="00697A47">
        <w:t xml:space="preserve"> The Iraqi Sh</w:t>
      </w:r>
      <w:r w:rsidR="00641470">
        <w:t>i</w:t>
      </w:r>
      <w:r w:rsidRPr="00697A47">
        <w:t>ʿ</w:t>
      </w:r>
      <w:r w:rsidR="00641470">
        <w:t>i</w:t>
      </w:r>
      <w:r w:rsidRPr="00697A47">
        <w:t xml:space="preserve"> scholar and politician Mu</w:t>
      </w:r>
      <w:r w:rsidR="00DA7CC2">
        <w:t>h</w:t>
      </w:r>
      <w:r w:rsidRPr="00697A47">
        <w:t>ammad Ri</w:t>
      </w:r>
      <w:r w:rsidR="00EE7E59">
        <w:t>d</w:t>
      </w:r>
      <w:r w:rsidR="00641470">
        <w:t>a</w:t>
      </w:r>
      <w:r w:rsidRPr="00697A47">
        <w:t xml:space="preserve"> al-Shab</w:t>
      </w:r>
      <w:r w:rsidR="00641470">
        <w:t>i</w:t>
      </w:r>
      <w:r w:rsidRPr="00697A47">
        <w:t>b</w:t>
      </w:r>
      <w:r w:rsidR="00641470">
        <w:t>i</w:t>
      </w:r>
      <w:r w:rsidRPr="00697A47">
        <w:t xml:space="preserve"> (</w:t>
      </w:r>
      <w:r w:rsidR="00D40F29">
        <w:t xml:space="preserve">d. </w:t>
      </w:r>
      <w:r w:rsidRPr="00697A47">
        <w:t xml:space="preserve">1965) also produced copies and excerpts of many of the manuscripts he inspected during his study sojourns in various libraries, as is the case with the notes he took during </w:t>
      </w:r>
      <w:r w:rsidR="000153CF">
        <w:t>a</w:t>
      </w:r>
      <w:r w:rsidR="000153CF" w:rsidRPr="00697A47">
        <w:t xml:space="preserve"> </w:t>
      </w:r>
      <w:r w:rsidRPr="00697A47">
        <w:t>visit to the Raw</w:t>
      </w:r>
      <w:r w:rsidR="00EE7E59">
        <w:t>d</w:t>
      </w:r>
      <w:r w:rsidRPr="00697A47">
        <w:t>a al-</w:t>
      </w:r>
      <w:r w:rsidR="00641470">
        <w:t>H</w:t>
      </w:r>
      <w:r w:rsidRPr="00697A47">
        <w:t>aydariyya in Najaf in 1911, which are extant in manuscript.</w:t>
      </w:r>
      <w:r w:rsidRPr="00697A47">
        <w:rPr>
          <w:rStyle w:val="EndnoteReference"/>
        </w:rPr>
        <w:endnoteReference w:id="39"/>
      </w:r>
    </w:p>
    <w:p w14:paraId="3D55C378" w14:textId="77777777" w:rsidR="00926174" w:rsidRPr="005904C2" w:rsidRDefault="00926174" w:rsidP="00A76617">
      <w:pPr>
        <w:spacing w:line="480" w:lineRule="auto"/>
        <w:contextualSpacing/>
      </w:pPr>
    </w:p>
    <w:p w14:paraId="5B8DFA53" w14:textId="17195933" w:rsidR="00697A47" w:rsidRPr="0041771B" w:rsidRDefault="00697A47" w:rsidP="00A76617">
      <w:pPr>
        <w:pStyle w:val="Heading2"/>
      </w:pPr>
      <w:r w:rsidRPr="0041771B">
        <w:lastRenderedPageBreak/>
        <w:t xml:space="preserve">The </w:t>
      </w:r>
      <w:r w:rsidR="00926174" w:rsidRPr="0041771B">
        <w:t>I</w:t>
      </w:r>
      <w:r w:rsidRPr="0041771B">
        <w:t xml:space="preserve">nterplay of </w:t>
      </w:r>
      <w:r w:rsidR="00926174" w:rsidRPr="0041771B">
        <w:t>O</w:t>
      </w:r>
      <w:r w:rsidRPr="0041771B">
        <w:t xml:space="preserve">ral and </w:t>
      </w:r>
      <w:r w:rsidR="00926174" w:rsidRPr="0041771B">
        <w:t>W</w:t>
      </w:r>
      <w:r w:rsidRPr="0041771B">
        <w:t xml:space="preserve">ritten </w:t>
      </w:r>
      <w:r w:rsidR="00926174" w:rsidRPr="0041771B">
        <w:t>C</w:t>
      </w:r>
      <w:r w:rsidRPr="0041771B">
        <w:t xml:space="preserve">ulture and the </w:t>
      </w:r>
      <w:r w:rsidR="00926174" w:rsidRPr="0041771B">
        <w:t>P</w:t>
      </w:r>
      <w:r w:rsidRPr="0041771B">
        <w:t xml:space="preserve">redominance of a </w:t>
      </w:r>
      <w:r w:rsidR="00926174" w:rsidRPr="0041771B">
        <w:t>W</w:t>
      </w:r>
      <w:r w:rsidRPr="0041771B">
        <w:t xml:space="preserve">riterly </w:t>
      </w:r>
      <w:r w:rsidR="00926174" w:rsidRPr="0041771B">
        <w:t>C</w:t>
      </w:r>
      <w:r w:rsidRPr="0041771B">
        <w:t xml:space="preserve">ulture in Islamic </w:t>
      </w:r>
      <w:r w:rsidR="00926174" w:rsidRPr="0041771B">
        <w:t>S</w:t>
      </w:r>
      <w:r w:rsidRPr="0041771B">
        <w:t>ocieties</w:t>
      </w:r>
    </w:p>
    <w:p w14:paraId="760088FD" w14:textId="53708AD6" w:rsidR="00C34EDC" w:rsidRDefault="00697A47" w:rsidP="00697A47">
      <w:pPr>
        <w:spacing w:line="480" w:lineRule="auto"/>
        <w:contextualSpacing/>
      </w:pPr>
      <w:r w:rsidRPr="00697A47">
        <w:t>The reasons for the eminent status of the written word and the development of the codex include the early codification of the Qurʾ</w:t>
      </w:r>
      <w:r w:rsidR="00641470">
        <w:t>a</w:t>
      </w:r>
      <w:r w:rsidRPr="00697A47">
        <w:t>n and its central place in Islamic practice, its continuous transmission through carefully produced copies, and the ubiquity of Qurʾ</w:t>
      </w:r>
      <w:r w:rsidR="00641470">
        <w:t>a</w:t>
      </w:r>
      <w:r w:rsidRPr="00697A47">
        <w:t>nic passages in the visual cultures of the Islamic world, in addition to its oral recitation and aural consumption. At the same time, the reports and utterances of the Prophet Mu</w:t>
      </w:r>
      <w:r w:rsidR="00DA7CC2">
        <w:t>h</w:t>
      </w:r>
      <w:r w:rsidRPr="00697A47">
        <w:t>ammad</w:t>
      </w:r>
      <w:r w:rsidR="007F1B63">
        <w:t xml:space="preserve">, </w:t>
      </w:r>
      <w:r w:rsidRPr="00697A47">
        <w:t xml:space="preserve">the </w:t>
      </w:r>
      <w:r w:rsidRPr="00697A47">
        <w:rPr>
          <w:i/>
          <w:iCs/>
        </w:rPr>
        <w:t>sunna</w:t>
      </w:r>
      <w:r w:rsidR="00123965">
        <w:t xml:space="preserve">, </w:t>
      </w:r>
      <w:r w:rsidRPr="00697A47">
        <w:t xml:space="preserve">also held a prominent position among Muslims from early on. The codification of the prophetic traditions was concluded only centuries later, privileging orality/aurality over written transmission during the first centuries of Islam. </w:t>
      </w:r>
    </w:p>
    <w:p w14:paraId="7CFC96AD" w14:textId="5D0C1B2E" w:rsidR="00C34EDC" w:rsidRDefault="00697A47" w:rsidP="00C34EDC">
      <w:pPr>
        <w:spacing w:line="480" w:lineRule="auto"/>
        <w:ind w:firstLine="720"/>
        <w:contextualSpacing/>
      </w:pPr>
      <w:r w:rsidRPr="00697A47">
        <w:t>The shift from a nonliterate mode to a literate one, from oral to written transmission, or rather to a combination of oral/aural and literary practices, is commonly dated to the ninth century, and the ways in which oral/aural and written practices interacted and complemented each other is another vibrant field of scholarship.</w:t>
      </w:r>
      <w:r w:rsidRPr="00697A47">
        <w:rPr>
          <w:rStyle w:val="EndnoteReference"/>
        </w:rPr>
        <w:endnoteReference w:id="40"/>
      </w:r>
      <w:r w:rsidRPr="00697A47">
        <w:t xml:space="preserve"> The interplay between oral/aural and writerly culture gave rise to a variety of literary genres and documentary sources, which provide important information about literary cultural production among Muslims. </w:t>
      </w:r>
      <w:r w:rsidRPr="002C597B">
        <w:rPr>
          <w:b/>
          <w:color w:val="000000" w:themeColor="text1"/>
        </w:rPr>
        <w:t xml:space="preserve">[fig. </w:t>
      </w:r>
      <w:r w:rsidR="00352BF9" w:rsidRPr="002C597B">
        <w:rPr>
          <w:b/>
          <w:color w:val="000000" w:themeColor="text1"/>
        </w:rPr>
        <w:t>5.8</w:t>
      </w:r>
      <w:r w:rsidRPr="002C597B">
        <w:rPr>
          <w:b/>
          <w:color w:val="000000" w:themeColor="text1"/>
        </w:rPr>
        <w:t>]</w:t>
      </w:r>
      <w:r w:rsidR="00352BF9">
        <w:t xml:space="preserve"> </w:t>
      </w:r>
      <w:r w:rsidRPr="00697A47">
        <w:t xml:space="preserve">The backbone of oral transmission was a solid chain of transmitters to guarantee the authenticity of the transmitted content, especially in view of the canonical status of the </w:t>
      </w:r>
      <w:r w:rsidRPr="00697A47">
        <w:rPr>
          <w:i/>
          <w:iCs/>
        </w:rPr>
        <w:t>sunna</w:t>
      </w:r>
      <w:r w:rsidRPr="00697A47">
        <w:t xml:space="preserve">. </w:t>
      </w:r>
    </w:p>
    <w:p w14:paraId="434607F0" w14:textId="1B2543F0" w:rsidR="00C34EDC" w:rsidRDefault="00697A47" w:rsidP="00C34EDC">
      <w:pPr>
        <w:spacing w:line="480" w:lineRule="auto"/>
        <w:ind w:firstLine="720"/>
        <w:contextualSpacing/>
      </w:pPr>
      <w:r w:rsidRPr="00697A47">
        <w:t xml:space="preserve">Within the larger context of Sunnism, a number of literary genres emerged, reflecting the changing landscape of traditional </w:t>
      </w:r>
      <w:r w:rsidRPr="00697A47">
        <w:rPr>
          <w:i/>
          <w:iCs/>
        </w:rPr>
        <w:t>ḥad</w:t>
      </w:r>
      <w:r w:rsidR="00641470">
        <w:rPr>
          <w:i/>
          <w:iCs/>
        </w:rPr>
        <w:t>i</w:t>
      </w:r>
      <w:r w:rsidRPr="00697A47">
        <w:rPr>
          <w:i/>
          <w:iCs/>
        </w:rPr>
        <w:t>th</w:t>
      </w:r>
      <w:r w:rsidRPr="00697A47">
        <w:t xml:space="preserve"> scholarship during the canonical </w:t>
      </w:r>
      <w:r w:rsidR="00D40F29">
        <w:t xml:space="preserve">(ninth and tenth centuries) </w:t>
      </w:r>
      <w:r w:rsidRPr="00697A47">
        <w:t xml:space="preserve">and postcanonical periods </w:t>
      </w:r>
      <w:r w:rsidR="00D40F29">
        <w:t xml:space="preserve">(eleventh century and beyond) </w:t>
      </w:r>
      <w:r w:rsidRPr="00697A47">
        <w:t>and the related social practices. Among other purposes, they evolved into an efficient means for documenting the internal scholarly tradition, often including extensive booklists.</w:t>
      </w:r>
      <w:r w:rsidRPr="00697A47">
        <w:rPr>
          <w:rStyle w:val="EndnoteReference"/>
        </w:rPr>
        <w:endnoteReference w:id="41"/>
      </w:r>
      <w:r w:rsidRPr="00697A47">
        <w:t xml:space="preserve"> The starting point in the organizational structure of such works was the list of transmitters with whom a scholar or </w:t>
      </w:r>
      <w:r w:rsidRPr="00697A47">
        <w:lastRenderedPageBreak/>
        <w:t xml:space="preserve">collector of </w:t>
      </w:r>
      <w:r w:rsidRPr="00697A47">
        <w:rPr>
          <w:i/>
          <w:iCs/>
        </w:rPr>
        <w:t>ḥad</w:t>
      </w:r>
      <w:r w:rsidR="00641470">
        <w:rPr>
          <w:i/>
          <w:iCs/>
        </w:rPr>
        <w:t>i</w:t>
      </w:r>
      <w:r w:rsidRPr="00697A47">
        <w:rPr>
          <w:i/>
          <w:iCs/>
        </w:rPr>
        <w:t>th</w:t>
      </w:r>
      <w:r w:rsidRPr="00697A47">
        <w:t xml:space="preserve"> had studied over the course of his or her life. From the ninth century onwards, Sunni </w:t>
      </w:r>
      <w:r w:rsidRPr="00697A47">
        <w:rPr>
          <w:i/>
          <w:iCs/>
        </w:rPr>
        <w:t>ḥad</w:t>
      </w:r>
      <w:r w:rsidR="00641470">
        <w:rPr>
          <w:i/>
          <w:iCs/>
        </w:rPr>
        <w:t>i</w:t>
      </w:r>
      <w:r w:rsidRPr="00697A47">
        <w:rPr>
          <w:i/>
          <w:iCs/>
        </w:rPr>
        <w:t>th</w:t>
      </w:r>
      <w:r w:rsidRPr="00697A47">
        <w:t xml:space="preserve"> scholars compiled </w:t>
      </w:r>
      <w:r w:rsidR="00595A1C">
        <w:t>catalogues</w:t>
      </w:r>
      <w:r w:rsidRPr="00697A47">
        <w:t xml:space="preserve"> of their </w:t>
      </w:r>
      <w:r w:rsidR="000E4413">
        <w:t>sheikh</w:t>
      </w:r>
      <w:r w:rsidRPr="00697A47">
        <w:t xml:space="preserve">s, and the two genres that were most popular among scholars of the eastern and central lands of Islam were the </w:t>
      </w:r>
      <w:r w:rsidRPr="00697A47">
        <w:rPr>
          <w:i/>
          <w:iCs/>
        </w:rPr>
        <w:t>mashyakha</w:t>
      </w:r>
      <w:r w:rsidRPr="00697A47">
        <w:t xml:space="preserve"> and the </w:t>
      </w:r>
      <w:r w:rsidRPr="00697A47">
        <w:rPr>
          <w:i/>
          <w:iCs/>
        </w:rPr>
        <w:t>muʿjam al-shuyūkh</w:t>
      </w:r>
      <w:r w:rsidRPr="00697A47">
        <w:t xml:space="preserve">. The entries in this type of book characteristically consist of two core elements—the names of the transmitters with whom the </w:t>
      </w:r>
      <w:r w:rsidR="000E4413">
        <w:t>sheikh</w:t>
      </w:r>
      <w:r w:rsidRPr="00697A47">
        <w:t xml:space="preserve"> in question studied and some sample </w:t>
      </w:r>
      <w:r w:rsidRPr="00697A47">
        <w:rPr>
          <w:i/>
          <w:iCs/>
        </w:rPr>
        <w:t>ḥad</w:t>
      </w:r>
      <w:r w:rsidR="00641470">
        <w:rPr>
          <w:i/>
          <w:iCs/>
        </w:rPr>
        <w:t>i</w:t>
      </w:r>
      <w:r w:rsidRPr="00697A47">
        <w:rPr>
          <w:i/>
          <w:iCs/>
        </w:rPr>
        <w:t>th</w:t>
      </w:r>
      <w:r w:rsidRPr="00697A47">
        <w:t xml:space="preserve"> from the </w:t>
      </w:r>
      <w:r w:rsidR="000E4413">
        <w:t>sheikh</w:t>
      </w:r>
      <w:r w:rsidRPr="00697A47">
        <w:t xml:space="preserve">. </w:t>
      </w:r>
    </w:p>
    <w:p w14:paraId="6A63FB6A" w14:textId="1941B16F" w:rsidR="00F21D46" w:rsidRDefault="00697A47" w:rsidP="00C34EDC">
      <w:pPr>
        <w:spacing w:line="480" w:lineRule="auto"/>
        <w:ind w:firstLine="720"/>
        <w:contextualSpacing/>
      </w:pPr>
      <w:r w:rsidRPr="00697A47">
        <w:t xml:space="preserve">From about the eleventh century onwards, compilers of </w:t>
      </w:r>
      <w:r w:rsidRPr="00697A47">
        <w:rPr>
          <w:i/>
          <w:iCs/>
        </w:rPr>
        <w:t>mashyakha</w:t>
      </w:r>
      <w:r w:rsidRPr="00697A47">
        <w:t xml:space="preserve">s and </w:t>
      </w:r>
      <w:r w:rsidRPr="00697A47">
        <w:rPr>
          <w:i/>
          <w:iCs/>
        </w:rPr>
        <w:t>muʿjam</w:t>
      </w:r>
      <w:r w:rsidRPr="00697A47">
        <w:t xml:space="preserve">s increasingly focused on their transmitters and/or chains of transmission for the </w:t>
      </w:r>
      <w:r w:rsidRPr="00A76617">
        <w:t>books</w:t>
      </w:r>
      <w:r w:rsidRPr="00697A47">
        <w:t xml:space="preserve"> they had studied, often going beyond the narrow confines of </w:t>
      </w:r>
      <w:r w:rsidRPr="00697A47">
        <w:rPr>
          <w:i/>
          <w:iCs/>
        </w:rPr>
        <w:t>ḥad</w:t>
      </w:r>
      <w:r w:rsidR="00641470">
        <w:rPr>
          <w:i/>
          <w:iCs/>
        </w:rPr>
        <w:t>i</w:t>
      </w:r>
      <w:r w:rsidRPr="00697A47">
        <w:rPr>
          <w:i/>
          <w:iCs/>
        </w:rPr>
        <w:t>th</w:t>
      </w:r>
      <w:r w:rsidRPr="00697A47">
        <w:t xml:space="preserve"> literature and applying the practice to the whole array of disciplines of learning. Such books were arranged sometimes according to book title, sometimes </w:t>
      </w:r>
      <w:r w:rsidR="00F21D46">
        <w:t>by</w:t>
      </w:r>
      <w:r w:rsidRPr="00697A47">
        <w:t xml:space="preserve"> the name of </w:t>
      </w:r>
      <w:r w:rsidR="00B836E4">
        <w:t xml:space="preserve">the </w:t>
      </w:r>
      <w:r w:rsidRPr="00697A47">
        <w:t>transmitters. The Egyptian Sh</w:t>
      </w:r>
      <w:r w:rsidR="00641470">
        <w:t>a</w:t>
      </w:r>
      <w:r w:rsidRPr="00697A47">
        <w:t>fiʿ</w:t>
      </w:r>
      <w:r w:rsidR="00641470">
        <w:t>i</w:t>
      </w:r>
      <w:r w:rsidRPr="00697A47">
        <w:t xml:space="preserve"> scholar Ibn </w:t>
      </w:r>
      <w:r w:rsidR="00641470">
        <w:t>H</w:t>
      </w:r>
      <w:r w:rsidRPr="00697A47">
        <w:t>ajar al-ʿAsqal</w:t>
      </w:r>
      <w:r w:rsidR="00641470">
        <w:t>a</w:t>
      </w:r>
      <w:r w:rsidRPr="00697A47">
        <w:t>n</w:t>
      </w:r>
      <w:r w:rsidR="00641470">
        <w:t>i</w:t>
      </w:r>
      <w:r w:rsidRPr="00697A47">
        <w:t xml:space="preserve"> (</w:t>
      </w:r>
      <w:r w:rsidR="00D862B7">
        <w:t xml:space="preserve">d. </w:t>
      </w:r>
      <w:r w:rsidRPr="00697A47">
        <w:t xml:space="preserve">1449), for example, provides an inventory of his teachers and the books he studied in a series of works, viz. his </w:t>
      </w:r>
      <w:r w:rsidRPr="00697A47">
        <w:rPr>
          <w:i/>
          <w:iCs/>
        </w:rPr>
        <w:t>al-Muʿjam al-mufahris</w:t>
      </w:r>
      <w:r w:rsidRPr="00697A47">
        <w:t xml:space="preserve"> (arranged according to book title)</w:t>
      </w:r>
      <w:r w:rsidRPr="00697A47">
        <w:rPr>
          <w:i/>
          <w:iCs/>
        </w:rPr>
        <w:t xml:space="preserve"> </w:t>
      </w:r>
      <w:r w:rsidRPr="00697A47">
        <w:t>and</w:t>
      </w:r>
      <w:r w:rsidRPr="00697A47">
        <w:rPr>
          <w:i/>
          <w:iCs/>
        </w:rPr>
        <w:t xml:space="preserve"> al-Majmaʿ al-muʾassis</w:t>
      </w:r>
      <w:r w:rsidRPr="00697A47">
        <w:t xml:space="preserve"> </w:t>
      </w:r>
      <w:r w:rsidRPr="00697A47">
        <w:rPr>
          <w:i/>
          <w:iCs/>
        </w:rPr>
        <w:t>li</w:t>
      </w:r>
      <w:r w:rsidRPr="00697A47">
        <w:t>-</w:t>
      </w:r>
      <w:r w:rsidRPr="00697A47">
        <w:rPr>
          <w:i/>
          <w:iCs/>
        </w:rPr>
        <w:t>l-Muʿjam al-mufahris</w:t>
      </w:r>
      <w:r w:rsidRPr="00697A47">
        <w:t xml:space="preserve"> (arranged by transmitters). </w:t>
      </w:r>
    </w:p>
    <w:p w14:paraId="726E20F6" w14:textId="25EC9BD2" w:rsidR="00697A47" w:rsidRPr="00697A47" w:rsidRDefault="00697A47" w:rsidP="00A76617">
      <w:pPr>
        <w:spacing w:line="480" w:lineRule="auto"/>
        <w:ind w:firstLine="720"/>
        <w:contextualSpacing/>
      </w:pPr>
      <w:r w:rsidRPr="00697A47">
        <w:t xml:space="preserve">With respect to the early modern period, mention should be made of </w:t>
      </w:r>
      <w:r w:rsidRPr="00697A47">
        <w:rPr>
          <w:i/>
          <w:iCs/>
        </w:rPr>
        <w:t>al-Nafas al-Yamanī wa-l-rawḥ al-rayḥānī fī ijāzāt Banī l-Shawkānī</w:t>
      </w:r>
      <w:r w:rsidRPr="00697A47">
        <w:t xml:space="preserve"> by the Sh</w:t>
      </w:r>
      <w:r w:rsidR="00641470">
        <w:t>a</w:t>
      </w:r>
      <w:r w:rsidRPr="00697A47">
        <w:t>fiʿ</w:t>
      </w:r>
      <w:r w:rsidR="00641470">
        <w:t>i</w:t>
      </w:r>
      <w:r w:rsidRPr="00697A47">
        <w:t xml:space="preserve"> scholar of </w:t>
      </w:r>
      <w:r w:rsidR="00E63A4A">
        <w:t xml:space="preserve">the Yemeni town of </w:t>
      </w:r>
      <w:r w:rsidRPr="00697A47">
        <w:t>Zab</w:t>
      </w:r>
      <w:r w:rsidR="00641470">
        <w:t>i</w:t>
      </w:r>
      <w:r w:rsidRPr="00697A47">
        <w:t>d, Waj</w:t>
      </w:r>
      <w:r w:rsidR="00641470">
        <w:t>i</w:t>
      </w:r>
      <w:r w:rsidRPr="00697A47">
        <w:t>h al-D</w:t>
      </w:r>
      <w:r w:rsidR="00641470">
        <w:t>i</w:t>
      </w:r>
      <w:r w:rsidRPr="00697A47">
        <w:t>n ʿAbd al-Ra</w:t>
      </w:r>
      <w:r w:rsidR="00DA7CC2">
        <w:t>h</w:t>
      </w:r>
      <w:r w:rsidRPr="00697A47">
        <w:t>m</w:t>
      </w:r>
      <w:r w:rsidR="00641470">
        <w:t>a</w:t>
      </w:r>
      <w:r w:rsidRPr="00697A47">
        <w:t>n b. Sulaym</w:t>
      </w:r>
      <w:r w:rsidR="00641470">
        <w:t>a</w:t>
      </w:r>
      <w:r w:rsidRPr="00697A47">
        <w:t xml:space="preserve">n al-Ahdal (d. 1835), detailing his teachers and the chains of transmission for the books he studied with them. The overall structural framework of </w:t>
      </w:r>
      <w:r w:rsidRPr="00697A47">
        <w:rPr>
          <w:i/>
          <w:iCs/>
        </w:rPr>
        <w:t>al-Nafas al-yamanī</w:t>
      </w:r>
      <w:r w:rsidRPr="00697A47">
        <w:t xml:space="preserve"> is an </w:t>
      </w:r>
      <w:r w:rsidRPr="00697A47">
        <w:rPr>
          <w:i/>
          <w:iCs/>
        </w:rPr>
        <w:t>ijāza</w:t>
      </w:r>
      <w:r w:rsidRPr="00697A47">
        <w:t>, or “license to transmit,” issued by ʿAbd al-Ra</w:t>
      </w:r>
      <w:r w:rsidR="00DA7CC2">
        <w:t>h</w:t>
      </w:r>
      <w:r w:rsidRPr="00697A47">
        <w:t>m</w:t>
      </w:r>
      <w:r w:rsidR="00641470">
        <w:t>a</w:t>
      </w:r>
      <w:r w:rsidRPr="00697A47">
        <w:t>n al-Ahdal to members of the family of the Yemeni scholar Mu</w:t>
      </w:r>
      <w:r w:rsidR="00DA7CC2">
        <w:t>h</w:t>
      </w:r>
      <w:r w:rsidRPr="00697A47">
        <w:t>ammad b. ʿAl</w:t>
      </w:r>
      <w:r w:rsidR="00641470">
        <w:t>i</w:t>
      </w:r>
      <w:r w:rsidRPr="00697A47">
        <w:t xml:space="preserve"> al-Shawk</w:t>
      </w:r>
      <w:r w:rsidR="00641470">
        <w:t>a</w:t>
      </w:r>
      <w:r w:rsidRPr="00697A47">
        <w:t>n</w:t>
      </w:r>
      <w:r w:rsidR="00641470">
        <w:t>i</w:t>
      </w:r>
      <w:r w:rsidRPr="00697A47">
        <w:t xml:space="preserve"> (d. 1834). Al-Shawk</w:t>
      </w:r>
      <w:r w:rsidR="00641470">
        <w:t>a</w:t>
      </w:r>
      <w:r w:rsidRPr="00697A47">
        <w:t>n</w:t>
      </w:r>
      <w:r w:rsidR="00641470">
        <w:t>i</w:t>
      </w:r>
      <w:r w:rsidRPr="00697A47">
        <w:t xml:space="preserve">, in turn, provides in his </w:t>
      </w:r>
      <w:r w:rsidRPr="00697A47">
        <w:rPr>
          <w:i/>
          <w:iCs/>
        </w:rPr>
        <w:t>Itḥāf al-akābir bi-isnād al-dafātir</w:t>
      </w:r>
      <w:r w:rsidRPr="00697A47">
        <w:t xml:space="preserve"> </w:t>
      </w:r>
      <w:r w:rsidR="0039144F">
        <w:t>the</w:t>
      </w:r>
      <w:r w:rsidR="0039144F" w:rsidRPr="00697A47">
        <w:t xml:space="preserve"> </w:t>
      </w:r>
      <w:r w:rsidRPr="00697A47">
        <w:t xml:space="preserve">chains of authority for each book title he mentions. </w:t>
      </w:r>
    </w:p>
    <w:p w14:paraId="69EE52BB" w14:textId="2F2C488D" w:rsidR="00697A47" w:rsidRPr="00697A47" w:rsidRDefault="00697A47" w:rsidP="000308B1">
      <w:pPr>
        <w:spacing w:line="480" w:lineRule="auto"/>
        <w:ind w:firstLine="720"/>
        <w:contextualSpacing/>
        <w:rPr>
          <w:lang w:val="de-DE"/>
        </w:rPr>
      </w:pPr>
      <w:r w:rsidRPr="00697A47">
        <w:lastRenderedPageBreak/>
        <w:t xml:space="preserve">Presenting chains of transmission for books became particularly popular among scholars in the Islamic </w:t>
      </w:r>
      <w:r w:rsidR="0043261E">
        <w:t>w</w:t>
      </w:r>
      <w:r w:rsidRPr="00697A47">
        <w:t xml:space="preserve">est, with compilations that were typically referred to as </w:t>
      </w:r>
      <w:r w:rsidRPr="00697A47">
        <w:rPr>
          <w:i/>
          <w:iCs/>
        </w:rPr>
        <w:t>fihrist</w:t>
      </w:r>
      <w:r w:rsidRPr="00697A47">
        <w:t xml:space="preserve">, </w:t>
      </w:r>
      <w:r w:rsidRPr="00697A47">
        <w:rPr>
          <w:i/>
          <w:iCs/>
        </w:rPr>
        <w:t>fahrasa</w:t>
      </w:r>
      <w:r w:rsidRPr="00697A47">
        <w:t xml:space="preserve">, </w:t>
      </w:r>
      <w:r w:rsidRPr="00697A47">
        <w:rPr>
          <w:i/>
          <w:iCs/>
        </w:rPr>
        <w:t>barnāmaj</w:t>
      </w:r>
      <w:r w:rsidRPr="00697A47">
        <w:t xml:space="preserve">, or </w:t>
      </w:r>
      <w:r w:rsidRPr="00697A47">
        <w:rPr>
          <w:i/>
          <w:iCs/>
        </w:rPr>
        <w:t>thabat</w:t>
      </w:r>
      <w:r w:rsidRPr="00697A47">
        <w:t>, a genre whose beginnings can be dated to the late tenth century. Among the earliest extant examples is Ab</w:t>
      </w:r>
      <w:r w:rsidR="00641470">
        <w:t>u</w:t>
      </w:r>
      <w:r w:rsidRPr="00697A47">
        <w:t xml:space="preserve"> Mu</w:t>
      </w:r>
      <w:r w:rsidR="00DA7CC2">
        <w:t>h</w:t>
      </w:r>
      <w:r w:rsidRPr="00697A47">
        <w:t>ammad ʿAbd al-</w:t>
      </w:r>
      <w:r w:rsidR="00641470">
        <w:t>H</w:t>
      </w:r>
      <w:r w:rsidRPr="00697A47">
        <w:t>aqq Ibn ʿA</w:t>
      </w:r>
      <w:r w:rsidR="00FB4DEA">
        <w:t>t</w:t>
      </w:r>
      <w:r w:rsidRPr="00697A47">
        <w:t xml:space="preserve">iyya’s (d. 1147) </w:t>
      </w:r>
      <w:r w:rsidRPr="00697A47">
        <w:rPr>
          <w:i/>
          <w:iCs/>
        </w:rPr>
        <w:t>Fahrasa</w:t>
      </w:r>
      <w:r w:rsidRPr="00697A47">
        <w:t xml:space="preserve">, while the </w:t>
      </w:r>
      <w:r w:rsidRPr="00697A47">
        <w:rPr>
          <w:i/>
          <w:iCs/>
        </w:rPr>
        <w:t xml:space="preserve">Fahrasa </w:t>
      </w:r>
      <w:r w:rsidRPr="00697A47">
        <w:t>of the Andalusi scholar Ab</w:t>
      </w:r>
      <w:r w:rsidR="00641470">
        <w:t>u</w:t>
      </w:r>
      <w:r w:rsidRPr="00697A47">
        <w:t xml:space="preserve"> Bakr Mu</w:t>
      </w:r>
      <w:r w:rsidR="00DA7CC2">
        <w:t>h</w:t>
      </w:r>
      <w:r w:rsidRPr="00697A47">
        <w:t>ammad Ibn Khayr al-Ishb</w:t>
      </w:r>
      <w:r w:rsidR="00641470">
        <w:t>i</w:t>
      </w:r>
      <w:r w:rsidRPr="00697A47">
        <w:t>l</w:t>
      </w:r>
      <w:r w:rsidR="00641470">
        <w:t>i</w:t>
      </w:r>
      <w:r w:rsidRPr="00697A47">
        <w:t xml:space="preserve"> (d. 1179) is the first work in which the material is arranged according to discipline. The </w:t>
      </w:r>
      <w:r w:rsidR="006950FD">
        <w:rPr>
          <w:i/>
          <w:iCs/>
        </w:rPr>
        <w:t>f</w:t>
      </w:r>
      <w:r w:rsidRPr="00697A47">
        <w:rPr>
          <w:i/>
          <w:iCs/>
        </w:rPr>
        <w:t>ihrist</w:t>
      </w:r>
      <w:r w:rsidRPr="00697A47">
        <w:t xml:space="preserve"> by Ab</w:t>
      </w:r>
      <w:r w:rsidR="00641470">
        <w:t>u</w:t>
      </w:r>
      <w:r w:rsidRPr="00697A47">
        <w:t xml:space="preserve"> l-ʿAbb</w:t>
      </w:r>
      <w:r w:rsidR="00641470">
        <w:t>a</w:t>
      </w:r>
      <w:r w:rsidRPr="00697A47">
        <w:t>s A</w:t>
      </w:r>
      <w:r w:rsidR="00DA7CC2">
        <w:t>h</w:t>
      </w:r>
      <w:r w:rsidRPr="00697A47">
        <w:t>mad b. Y</w:t>
      </w:r>
      <w:r w:rsidR="00641470">
        <w:t>u</w:t>
      </w:r>
      <w:r w:rsidRPr="00697A47">
        <w:t>suf al-Fihr</w:t>
      </w:r>
      <w:r w:rsidR="00641470">
        <w:t>i</w:t>
      </w:r>
      <w:r w:rsidRPr="00697A47">
        <w:t xml:space="preserve"> al-Labl</w:t>
      </w:r>
      <w:r w:rsidR="00641470">
        <w:t>i</w:t>
      </w:r>
      <w:r w:rsidRPr="00697A47">
        <w:t xml:space="preserve"> (d. 1291), known as </w:t>
      </w:r>
      <w:r w:rsidRPr="00697A47">
        <w:rPr>
          <w:i/>
          <w:iCs/>
        </w:rPr>
        <w:t>Fihrist al-Lablī</w:t>
      </w:r>
      <w:r w:rsidRPr="00697A47">
        <w:t>, is an example of a work within this genre containing extensive material on the Ashʿarite tradition. The “license to transmit” played a central role also among the Sh</w:t>
      </w:r>
      <w:r w:rsidR="00641470">
        <w:t>i</w:t>
      </w:r>
      <w:r w:rsidRPr="00697A47">
        <w:t>ʿ</w:t>
      </w:r>
      <w:r w:rsidR="00641470">
        <w:t>i</w:t>
      </w:r>
      <w:r w:rsidRPr="00697A47">
        <w:t xml:space="preserve">s, and in many ways it resembles in structural organization and social functions the various genres for documenting transmission that prevailed among the Sunnis. Although the earliest extant </w:t>
      </w:r>
      <w:r w:rsidRPr="00697A47">
        <w:rPr>
          <w:i/>
          <w:iCs/>
        </w:rPr>
        <w:t>ijāza</w:t>
      </w:r>
      <w:r w:rsidRPr="00697A47">
        <w:t xml:space="preserve">s date from the tenth century, more detailed </w:t>
      </w:r>
      <w:r w:rsidR="00967F97">
        <w:t>o</w:t>
      </w:r>
      <w:r w:rsidR="00967F97" w:rsidRPr="00A76617">
        <w:t>nes</w:t>
      </w:r>
      <w:r w:rsidR="00967F97" w:rsidRPr="00697A47">
        <w:t xml:space="preserve"> </w:t>
      </w:r>
      <w:r w:rsidR="00830B4A">
        <w:t>ha</w:t>
      </w:r>
      <w:r w:rsidR="00CF1DD0">
        <w:t>ve</w:t>
      </w:r>
      <w:r w:rsidR="00830B4A">
        <w:t xml:space="preserve"> been </w:t>
      </w:r>
      <w:r w:rsidR="00CF1DD0" w:rsidRPr="00697A47">
        <w:t>increasing</w:t>
      </w:r>
      <w:r w:rsidR="00CF1DD0">
        <w:t xml:space="preserve">ly </w:t>
      </w:r>
      <w:r w:rsidRPr="00697A47">
        <w:t xml:space="preserve">issued over the centuries. Arranged as a rule according to transmitters, such documents include detailed bibliographical information on the books the recipient of an </w:t>
      </w:r>
      <w:r w:rsidRPr="00697A47">
        <w:rPr>
          <w:i/>
          <w:iCs/>
        </w:rPr>
        <w:t>ijāza</w:t>
      </w:r>
      <w:r w:rsidRPr="00697A47">
        <w:t xml:space="preserve"> (the </w:t>
      </w:r>
      <w:r w:rsidRPr="00697A47">
        <w:rPr>
          <w:i/>
          <w:iCs/>
        </w:rPr>
        <w:t>mujāz</w:t>
      </w:r>
      <w:r w:rsidRPr="00697A47">
        <w:t xml:space="preserve">) has studied in one or often several disciplines of learning, thus providing a comprehensive picture of the literary canon that was available to the scholar. Moreover, an essential function of comprehensive, text-independent </w:t>
      </w:r>
      <w:r w:rsidRPr="00697A47">
        <w:rPr>
          <w:i/>
          <w:iCs/>
        </w:rPr>
        <w:t>ijāza</w:t>
      </w:r>
      <w:r w:rsidRPr="00697A47">
        <w:t xml:space="preserve">s is the documentation of the scholarly tradition, first and foremost the scholars making up the chains of transmission of the scholar granting the </w:t>
      </w:r>
      <w:r w:rsidRPr="00697A47">
        <w:rPr>
          <w:i/>
          <w:iCs/>
        </w:rPr>
        <w:t>ijāza</w:t>
      </w:r>
      <w:r w:rsidRPr="00697A47">
        <w:t xml:space="preserve"> (the </w:t>
      </w:r>
      <w:r w:rsidRPr="00697A47">
        <w:rPr>
          <w:i/>
          <w:iCs/>
        </w:rPr>
        <w:t>mujīz</w:t>
      </w:r>
      <w:r w:rsidRPr="00697A47">
        <w:t xml:space="preserve">). This type of </w:t>
      </w:r>
      <w:r w:rsidRPr="00697A47">
        <w:rPr>
          <w:i/>
          <w:iCs/>
        </w:rPr>
        <w:t>ijāza</w:t>
      </w:r>
      <w:r w:rsidRPr="00697A47">
        <w:t xml:space="preserve"> often fulfills functions similar to those of biographical dictionaries, and in many cases the boundary between the two genres is blurred. A prominent example is the </w:t>
      </w:r>
      <w:r w:rsidRPr="00697A47">
        <w:rPr>
          <w:i/>
          <w:iCs/>
        </w:rPr>
        <w:t>K</w:t>
      </w:r>
      <w:r w:rsidR="00641470">
        <w:rPr>
          <w:i/>
          <w:iCs/>
        </w:rPr>
        <w:t>itāb</w:t>
      </w:r>
      <w:r w:rsidR="00641470" w:rsidRPr="00697A47">
        <w:rPr>
          <w:i/>
          <w:iCs/>
        </w:rPr>
        <w:t xml:space="preserve"> </w:t>
      </w:r>
      <w:r w:rsidRPr="00697A47">
        <w:rPr>
          <w:i/>
          <w:iCs/>
        </w:rPr>
        <w:t>al-Wajīz</w:t>
      </w:r>
      <w:r w:rsidRPr="00697A47">
        <w:t xml:space="preserve"> by the prominent Sh</w:t>
      </w:r>
      <w:r w:rsidR="00641470">
        <w:t>a</w:t>
      </w:r>
      <w:r w:rsidRPr="00697A47">
        <w:t>fiʿ</w:t>
      </w:r>
      <w:r w:rsidR="00641470">
        <w:t>i</w:t>
      </w:r>
      <w:r w:rsidRPr="00697A47">
        <w:t xml:space="preserve"> transmitter Ab</w:t>
      </w:r>
      <w:r w:rsidR="00641470">
        <w:t>u</w:t>
      </w:r>
      <w:r w:rsidRPr="00697A47">
        <w:t xml:space="preserve"> </w:t>
      </w:r>
      <w:r w:rsidR="00641470">
        <w:t>Ta</w:t>
      </w:r>
      <w:r w:rsidRPr="00697A47">
        <w:t>hir A</w:t>
      </w:r>
      <w:r w:rsidR="00DA7CC2">
        <w:t>h</w:t>
      </w:r>
      <w:r w:rsidRPr="00697A47">
        <w:t>mad b. Mu</w:t>
      </w:r>
      <w:r w:rsidR="00DA7CC2">
        <w:t>h</w:t>
      </w:r>
      <w:r w:rsidRPr="00697A47">
        <w:t>ammad al-Silaf</w:t>
      </w:r>
      <w:r w:rsidR="00641470">
        <w:t>i</w:t>
      </w:r>
      <w:r w:rsidRPr="00697A47">
        <w:t xml:space="preserve"> (d. 1180), an inventory of scholars from whom he received an </w:t>
      </w:r>
      <w:r w:rsidRPr="00697A47">
        <w:rPr>
          <w:i/>
          <w:iCs/>
        </w:rPr>
        <w:t>ijāza</w:t>
      </w:r>
      <w:r w:rsidRPr="00697A47">
        <w:t xml:space="preserve"> (and whom he knew only through correspondence) with detailed, and often unique, biobibliographical information about each.</w:t>
      </w:r>
    </w:p>
    <w:p w14:paraId="50F6CB2C" w14:textId="3D4BC9D2" w:rsidR="00697A47" w:rsidRDefault="00697A47" w:rsidP="005904C2">
      <w:pPr>
        <w:spacing w:line="480" w:lineRule="auto"/>
        <w:ind w:firstLine="720"/>
        <w:contextualSpacing/>
      </w:pPr>
      <w:r w:rsidRPr="00697A47">
        <w:lastRenderedPageBreak/>
        <w:t xml:space="preserve">Imamis and Zaydis also compiled collections of </w:t>
      </w:r>
      <w:r w:rsidRPr="00697A47">
        <w:rPr>
          <w:i/>
          <w:iCs/>
        </w:rPr>
        <w:t>ijāza</w:t>
      </w:r>
      <w:r w:rsidRPr="00697A47">
        <w:t xml:space="preserve">s, many of which contain dozens </w:t>
      </w:r>
      <w:r w:rsidR="00124563">
        <w:t>or</w:t>
      </w:r>
      <w:r w:rsidR="00124563" w:rsidRPr="00697A47">
        <w:t xml:space="preserve"> </w:t>
      </w:r>
      <w:r w:rsidRPr="00697A47">
        <w:t xml:space="preserve">even hundreds of such documents. Taken together, these provide detailed insights into the scholarly tradition and its literary output over the course of several centuries. Mention should be made, by way of example, of the collection of </w:t>
      </w:r>
      <w:r w:rsidRPr="00697A47">
        <w:rPr>
          <w:i/>
          <w:iCs/>
        </w:rPr>
        <w:t>ijāza</w:t>
      </w:r>
      <w:r w:rsidRPr="00697A47">
        <w:t xml:space="preserve">s that </w:t>
      </w:r>
      <w:r w:rsidR="00B9613C">
        <w:t>was</w:t>
      </w:r>
      <w:r w:rsidR="00B9613C" w:rsidRPr="00697A47">
        <w:t xml:space="preserve"> </w:t>
      </w:r>
      <w:r w:rsidRPr="00697A47">
        <w:t xml:space="preserve">granted to </w:t>
      </w:r>
      <w:r w:rsidR="00641470">
        <w:t>A</w:t>
      </w:r>
      <w:r w:rsidRPr="00697A47">
        <w:t>yat All</w:t>
      </w:r>
      <w:r w:rsidR="00641470">
        <w:t>a</w:t>
      </w:r>
      <w:r w:rsidRPr="00697A47">
        <w:t>h al-ʿUẓm</w:t>
      </w:r>
      <w:r w:rsidR="00641470">
        <w:t>a</w:t>
      </w:r>
      <w:r w:rsidRPr="00697A47">
        <w:t xml:space="preserve"> Shih</w:t>
      </w:r>
      <w:r w:rsidR="00641470">
        <w:t>a</w:t>
      </w:r>
      <w:r w:rsidRPr="00697A47">
        <w:t>b al-D</w:t>
      </w:r>
      <w:r w:rsidR="00641470">
        <w:t>i</w:t>
      </w:r>
      <w:r w:rsidRPr="00697A47">
        <w:t>n al-</w:t>
      </w:r>
      <w:r w:rsidR="00641470">
        <w:t>H</w:t>
      </w:r>
      <w:r w:rsidRPr="00697A47">
        <w:t>usayn</w:t>
      </w:r>
      <w:r w:rsidR="00641470">
        <w:t>i</w:t>
      </w:r>
      <w:r w:rsidRPr="00697A47">
        <w:t xml:space="preserve"> al-Marʿash</w:t>
      </w:r>
      <w:r w:rsidR="00641470">
        <w:t>i</w:t>
      </w:r>
      <w:r w:rsidRPr="00697A47">
        <w:t xml:space="preserve"> al-Najaf</w:t>
      </w:r>
      <w:r w:rsidR="00641470">
        <w:t>i</w:t>
      </w:r>
      <w:r w:rsidRPr="00697A47">
        <w:t xml:space="preserve"> (d. 1990) over his lifetime, compiled by his son</w:t>
      </w:r>
      <w:r w:rsidR="00956530">
        <w:t>,</w:t>
      </w:r>
      <w:r w:rsidRPr="00697A47">
        <w:t xml:space="preserve"> al-Sayyid Ma</w:t>
      </w:r>
      <w:r w:rsidR="00DA7CC2">
        <w:t>h</w:t>
      </w:r>
      <w:r w:rsidRPr="00697A47">
        <w:t>m</w:t>
      </w:r>
      <w:r w:rsidR="00641470">
        <w:t>u</w:t>
      </w:r>
      <w:r w:rsidRPr="00697A47">
        <w:t>d al-Marʿash</w:t>
      </w:r>
      <w:r w:rsidR="00641470">
        <w:t>i</w:t>
      </w:r>
      <w:r w:rsidRPr="00697A47">
        <w:t xml:space="preserve">. Among the Zaydis, </w:t>
      </w:r>
      <w:r w:rsidRPr="00697A47">
        <w:rPr>
          <w:i/>
          <w:iCs/>
        </w:rPr>
        <w:t>Majmūʿ al-ijāzāt</w:t>
      </w:r>
      <w:r w:rsidRPr="00697A47">
        <w:t xml:space="preserve">, a collection of dozens of </w:t>
      </w:r>
      <w:r w:rsidRPr="00697A47">
        <w:rPr>
          <w:i/>
          <w:iCs/>
        </w:rPr>
        <w:t>ijāza</w:t>
      </w:r>
      <w:r w:rsidRPr="00697A47">
        <w:t>s that A</w:t>
      </w:r>
      <w:r w:rsidR="00DA7CC2">
        <w:t>h</w:t>
      </w:r>
      <w:r w:rsidRPr="00697A47">
        <w:t>mad b. Saʿd al-D</w:t>
      </w:r>
      <w:r w:rsidR="00641470">
        <w:t>i</w:t>
      </w:r>
      <w:r w:rsidRPr="00697A47">
        <w:t>n al-Miswar</w:t>
      </w:r>
      <w:r w:rsidR="00641470">
        <w:t>i</w:t>
      </w:r>
      <w:r w:rsidRPr="00697A47">
        <w:t xml:space="preserve"> (d. 1668) culled from the manuscripts available to him, is transmitted in several manuscripts. </w:t>
      </w:r>
    </w:p>
    <w:p w14:paraId="1585FEA2" w14:textId="77777777" w:rsidR="00926174" w:rsidRPr="000308B1" w:rsidRDefault="00926174" w:rsidP="00A76617">
      <w:pPr>
        <w:spacing w:line="480" w:lineRule="auto"/>
        <w:contextualSpacing/>
        <w:rPr>
          <w:b/>
        </w:rPr>
      </w:pPr>
    </w:p>
    <w:p w14:paraId="5A831789" w14:textId="39ADD023" w:rsidR="00697A47" w:rsidRPr="0041771B" w:rsidRDefault="00697A47" w:rsidP="00A76617">
      <w:pPr>
        <w:pStyle w:val="Heading2"/>
      </w:pPr>
      <w:r w:rsidRPr="0041771B">
        <w:t xml:space="preserve">Muslim </w:t>
      </w:r>
      <w:r w:rsidR="00926174" w:rsidRPr="0041771B">
        <w:t>S</w:t>
      </w:r>
      <w:r w:rsidRPr="0041771B">
        <w:t xml:space="preserve">cholarly </w:t>
      </w:r>
      <w:r w:rsidR="00926174" w:rsidRPr="0041771B">
        <w:t>P</w:t>
      </w:r>
      <w:r w:rsidRPr="0041771B">
        <w:t xml:space="preserve">ractices </w:t>
      </w:r>
      <w:r w:rsidR="00801C59">
        <w:t>t</w:t>
      </w:r>
      <w:r w:rsidRPr="0041771B">
        <w:t xml:space="preserve">hroughout the </w:t>
      </w:r>
      <w:r w:rsidR="00926174" w:rsidRPr="0041771B">
        <w:t>C</w:t>
      </w:r>
      <w:r w:rsidRPr="0041771B">
        <w:t>enturies</w:t>
      </w:r>
    </w:p>
    <w:p w14:paraId="1CA85074" w14:textId="680F7C92" w:rsidR="0037126F" w:rsidRPr="00697A47" w:rsidRDefault="00697A47" w:rsidP="00697A47">
      <w:pPr>
        <w:spacing w:line="480" w:lineRule="auto"/>
        <w:contextualSpacing/>
      </w:pPr>
      <w:r w:rsidRPr="00697A47">
        <w:t xml:space="preserve">The eminent status of the written tradition also gave rise from early on to scholarly methods among Muslims that in many ways predate some of the text-critical approaches of modern scholarship. A first attempt </w:t>
      </w:r>
      <w:r w:rsidR="00DC6CD0">
        <w:t>at analysis</w:t>
      </w:r>
      <w:r w:rsidRPr="00697A47">
        <w:t xml:space="preserve"> was Franz Rosenthal’s </w:t>
      </w:r>
      <w:r w:rsidRPr="00697A47">
        <w:rPr>
          <w:i/>
          <w:iCs/>
        </w:rPr>
        <w:t>The Technique and Approach of Muslim Scholarship</w:t>
      </w:r>
      <w:r w:rsidR="00F95624">
        <w:rPr>
          <w:i/>
          <w:iCs/>
        </w:rPr>
        <w:t xml:space="preserve"> </w:t>
      </w:r>
      <w:r w:rsidR="00F95624" w:rsidRPr="00A76617">
        <w:t>(</w:t>
      </w:r>
      <w:r w:rsidR="00F95624" w:rsidRPr="00697A47">
        <w:t>1947</w:t>
      </w:r>
      <w:r w:rsidR="00F95624">
        <w:t>)</w:t>
      </w:r>
      <w:r w:rsidRPr="00697A47">
        <w:t xml:space="preserve">. Toward the end of the twentieth century, systematic analysis in this area of scholarship boomed. The principal directions, which are closely related to each other, include, first of all, codicology and manuscript studies, a field that has blossomed over the past </w:t>
      </w:r>
      <w:r w:rsidR="00670318">
        <w:t xml:space="preserve">few </w:t>
      </w:r>
      <w:r w:rsidRPr="00697A47">
        <w:t xml:space="preserve">decades, evident </w:t>
      </w:r>
      <w:r w:rsidR="005B7BB7">
        <w:t xml:space="preserve">from the </w:t>
      </w:r>
      <w:r w:rsidRPr="00697A47">
        <w:t>growing number of handbooks,</w:t>
      </w:r>
      <w:r w:rsidRPr="00697A47">
        <w:rPr>
          <w:rStyle w:val="EndnoteReference"/>
        </w:rPr>
        <w:endnoteReference w:id="42"/>
      </w:r>
      <w:r w:rsidRPr="00697A47">
        <w:t xml:space="preserve"> specialized journals,</w:t>
      </w:r>
      <w:r w:rsidRPr="00697A47">
        <w:rPr>
          <w:rStyle w:val="EndnoteReference"/>
        </w:rPr>
        <w:endnoteReference w:id="43"/>
      </w:r>
      <w:r w:rsidRPr="00697A47">
        <w:t xml:space="preserve"> book series,</w:t>
      </w:r>
      <w:r w:rsidRPr="00697A47">
        <w:rPr>
          <w:rStyle w:val="EndnoteReference"/>
        </w:rPr>
        <w:endnoteReference w:id="44"/>
      </w:r>
      <w:r w:rsidRPr="00697A47">
        <w:t xml:space="preserve"> </w:t>
      </w:r>
      <w:r w:rsidR="00904B01">
        <w:t xml:space="preserve">and </w:t>
      </w:r>
      <w:r w:rsidRPr="00697A47">
        <w:t>research initiatives</w:t>
      </w:r>
      <w:r w:rsidRPr="00697A47">
        <w:rPr>
          <w:rStyle w:val="EndnoteReference"/>
        </w:rPr>
        <w:endnoteReference w:id="45"/>
      </w:r>
      <w:r w:rsidRPr="00697A47">
        <w:t xml:space="preserve"> </w:t>
      </w:r>
      <w:r w:rsidR="00904B01">
        <w:t>produced</w:t>
      </w:r>
      <w:r w:rsidRPr="00697A47">
        <w:t>. This has led to a deeper appreciation of paratextual materials found in manuscripts, which in turn has prompted scholars to combine aspects of intellectual and social history to study, for example, not only the intellectual contents of the codices and the social practices of the producers of knowledge</w:t>
      </w:r>
      <w:r w:rsidR="003061D3">
        <w:t xml:space="preserve"> (</w:t>
      </w:r>
      <w:r w:rsidRPr="00697A47">
        <w:t>the scholars and the authors</w:t>
      </w:r>
      <w:r w:rsidR="003061D3">
        <w:t xml:space="preserve">), </w:t>
      </w:r>
      <w:r w:rsidRPr="00697A47">
        <w:t>but also the habits, interests, and practices of the consumers</w:t>
      </w:r>
      <w:r w:rsidRPr="00697A47" w:rsidDel="00CF1663">
        <w:t xml:space="preserve"> </w:t>
      </w:r>
      <w:r w:rsidRPr="00697A47">
        <w:t xml:space="preserve">of knowledge, the readers. </w:t>
      </w:r>
      <w:r w:rsidRPr="002C597B">
        <w:rPr>
          <w:b/>
          <w:color w:val="000000" w:themeColor="text1"/>
        </w:rPr>
        <w:t xml:space="preserve">[fig. </w:t>
      </w:r>
      <w:r w:rsidR="004151AA" w:rsidRPr="002C597B">
        <w:rPr>
          <w:b/>
          <w:color w:val="000000" w:themeColor="text1"/>
        </w:rPr>
        <w:t>5.9</w:t>
      </w:r>
      <w:r w:rsidRPr="002C597B">
        <w:rPr>
          <w:b/>
          <w:color w:val="000000" w:themeColor="text1"/>
        </w:rPr>
        <w:t>]</w:t>
      </w:r>
      <w:r w:rsidRPr="002C597B">
        <w:rPr>
          <w:color w:val="000000" w:themeColor="text1"/>
        </w:rPr>
        <w:t xml:space="preserve"> </w:t>
      </w:r>
      <w:r w:rsidRPr="00697A47">
        <w:t>The increased consultation of documentary sources, such as endowment deeds and library registers, has made possible a growing number of studies devoted to individual libraries, a new focus that is complemented by studies on the collections brought together by Western collectors and preserved today in European and North American libraries.</w:t>
      </w:r>
      <w:r w:rsidRPr="00697A47">
        <w:rPr>
          <w:rStyle w:val="EndnoteReference"/>
        </w:rPr>
        <w:endnoteReference w:id="46"/>
      </w:r>
    </w:p>
    <w:p w14:paraId="09D42344" w14:textId="368123C8" w:rsidR="00697A47" w:rsidRPr="00697A47" w:rsidRDefault="00697A47">
      <w:pPr>
        <w:spacing w:line="480" w:lineRule="auto"/>
        <w:ind w:firstLine="720"/>
        <w:contextualSpacing/>
      </w:pPr>
      <w:r w:rsidRPr="00697A47">
        <w:t>The following examples, randomly chosen, provide a taste of Muslim scholarly practices throughout the centuries</w:t>
      </w:r>
      <w:r w:rsidR="0037126F">
        <w:t>, focusing on c</w:t>
      </w:r>
      <w:r w:rsidR="0037126F" w:rsidRPr="0037126F">
        <w:t>ritical editions</w:t>
      </w:r>
      <w:r w:rsidR="0037126F">
        <w:t>,</w:t>
      </w:r>
      <w:r w:rsidR="0037126F" w:rsidRPr="0037126F">
        <w:t xml:space="preserve"> referencing</w:t>
      </w:r>
      <w:r w:rsidR="0037126F">
        <w:t>,</w:t>
      </w:r>
      <w:r w:rsidR="0037126F" w:rsidRPr="0037126F">
        <w:t xml:space="preserve"> and the continuation of the </w:t>
      </w:r>
      <w:r w:rsidR="0037126F" w:rsidRPr="0037126F">
        <w:lastRenderedPageBreak/>
        <w:t>manuscript culture into the twentieth century.</w:t>
      </w:r>
      <w:r w:rsidR="0037126F" w:rsidRPr="00A76617">
        <w:t xml:space="preserve"> </w:t>
      </w:r>
      <w:r w:rsidR="006C3FF1">
        <w:t>First, in terms of c</w:t>
      </w:r>
      <w:r w:rsidRPr="00A76617">
        <w:t>ritical editions</w:t>
      </w:r>
      <w:r w:rsidR="006C3FF1">
        <w:t>, t</w:t>
      </w:r>
      <w:r w:rsidRPr="0037126F">
        <w:t>he twelfth-century Sh</w:t>
      </w:r>
      <w:r w:rsidR="00641470">
        <w:t>i</w:t>
      </w:r>
      <w:r w:rsidRPr="0037126F">
        <w:t>ʿ</w:t>
      </w:r>
      <w:r w:rsidR="00641470">
        <w:t>i</w:t>
      </w:r>
      <w:r w:rsidRPr="0037126F">
        <w:t xml:space="preserve"> scholar </w:t>
      </w:r>
      <w:r w:rsidRPr="00697A47">
        <w:t>Fa</w:t>
      </w:r>
      <w:r w:rsidR="00EE7E59">
        <w:t>d</w:t>
      </w:r>
      <w:r w:rsidRPr="00697A47">
        <w:t>l All</w:t>
      </w:r>
      <w:r w:rsidR="00641470">
        <w:t>a</w:t>
      </w:r>
      <w:r w:rsidRPr="00697A47">
        <w:t>h b. ʿAl</w:t>
      </w:r>
      <w:r w:rsidR="00641470">
        <w:t>i</w:t>
      </w:r>
      <w:r w:rsidRPr="00697A47">
        <w:t xml:space="preserve"> al-R</w:t>
      </w:r>
      <w:r w:rsidR="00641470">
        <w:t>a</w:t>
      </w:r>
      <w:r w:rsidRPr="00697A47">
        <w:t>wand</w:t>
      </w:r>
      <w:r w:rsidR="00641470">
        <w:t>i</w:t>
      </w:r>
      <w:r w:rsidRPr="00697A47">
        <w:t xml:space="preserve"> al-K</w:t>
      </w:r>
      <w:r w:rsidR="00641470">
        <w:t>a</w:t>
      </w:r>
      <w:r w:rsidRPr="00697A47">
        <w:t>sh</w:t>
      </w:r>
      <w:r w:rsidR="00641470">
        <w:t>a</w:t>
      </w:r>
      <w:r w:rsidRPr="00697A47">
        <w:t>n</w:t>
      </w:r>
      <w:r w:rsidR="00641470">
        <w:t>i</w:t>
      </w:r>
      <w:r w:rsidRPr="00697A47">
        <w:t xml:space="preserve"> was the most </w:t>
      </w:r>
      <w:r w:rsidRPr="00697A47">
        <w:rPr>
          <w:lang w:bidi="ar-JO"/>
        </w:rPr>
        <w:t>important transmitter of the writings of two prominent Twelver Sh</w:t>
      </w:r>
      <w:r w:rsidR="00641470">
        <w:rPr>
          <w:lang w:bidi="ar-JO"/>
        </w:rPr>
        <w:t>i</w:t>
      </w:r>
      <w:r w:rsidRPr="00697A47">
        <w:rPr>
          <w:lang w:bidi="ar-JO"/>
        </w:rPr>
        <w:t>ʿ</w:t>
      </w:r>
      <w:r w:rsidR="00641470">
        <w:rPr>
          <w:lang w:bidi="ar-JO"/>
        </w:rPr>
        <w:t>i</w:t>
      </w:r>
      <w:r w:rsidRPr="00697A47">
        <w:rPr>
          <w:lang w:bidi="ar-JO"/>
        </w:rPr>
        <w:t xml:space="preserve"> scholars and officials in </w:t>
      </w:r>
      <w:r w:rsidR="00D6193F">
        <w:rPr>
          <w:lang w:bidi="ar-JO"/>
        </w:rPr>
        <w:t>tenth</w:t>
      </w:r>
      <w:r w:rsidR="00E430A0">
        <w:rPr>
          <w:lang w:bidi="ar-JO"/>
        </w:rPr>
        <w:t>-</w:t>
      </w:r>
      <w:r w:rsidR="00D6193F">
        <w:rPr>
          <w:lang w:bidi="ar-JO"/>
        </w:rPr>
        <w:t xml:space="preserve"> and </w:t>
      </w:r>
      <w:r w:rsidR="00CC2D80">
        <w:rPr>
          <w:lang w:bidi="ar-JO"/>
        </w:rPr>
        <w:t>eleventh</w:t>
      </w:r>
      <w:r w:rsidRPr="00697A47">
        <w:rPr>
          <w:lang w:bidi="ar-JO"/>
        </w:rPr>
        <w:t>-century Baghdad, the brothers al-Shar</w:t>
      </w:r>
      <w:r w:rsidR="00641470">
        <w:rPr>
          <w:lang w:bidi="ar-JO"/>
        </w:rPr>
        <w:t>i</w:t>
      </w:r>
      <w:r w:rsidRPr="00697A47">
        <w:rPr>
          <w:lang w:bidi="ar-JO"/>
        </w:rPr>
        <w:t>f al-Murta</w:t>
      </w:r>
      <w:r w:rsidR="00EE7E59">
        <w:rPr>
          <w:lang w:bidi="ar-JO"/>
        </w:rPr>
        <w:t>d</w:t>
      </w:r>
      <w:r w:rsidR="00641470">
        <w:rPr>
          <w:lang w:bidi="ar-JO"/>
        </w:rPr>
        <w:t>a</w:t>
      </w:r>
      <w:r w:rsidRPr="00697A47">
        <w:rPr>
          <w:lang w:bidi="ar-JO"/>
        </w:rPr>
        <w:t xml:space="preserve"> ʿAl</w:t>
      </w:r>
      <w:r w:rsidR="00641470">
        <w:rPr>
          <w:lang w:bidi="ar-JO"/>
        </w:rPr>
        <w:t>i</w:t>
      </w:r>
      <w:r w:rsidRPr="00697A47">
        <w:rPr>
          <w:lang w:bidi="ar-JO"/>
        </w:rPr>
        <w:t xml:space="preserve"> b. al-</w:t>
      </w:r>
      <w:r w:rsidR="00641470">
        <w:rPr>
          <w:lang w:bidi="ar-JO"/>
        </w:rPr>
        <w:t>H</w:t>
      </w:r>
      <w:r w:rsidRPr="00697A47">
        <w:rPr>
          <w:lang w:bidi="ar-JO"/>
        </w:rPr>
        <w:t>usayn al-M</w:t>
      </w:r>
      <w:r w:rsidR="00641470">
        <w:rPr>
          <w:lang w:bidi="ar-JO"/>
        </w:rPr>
        <w:t>u</w:t>
      </w:r>
      <w:r w:rsidRPr="00697A47">
        <w:rPr>
          <w:lang w:bidi="ar-JO"/>
        </w:rPr>
        <w:t>saw</w:t>
      </w:r>
      <w:r w:rsidR="00641470">
        <w:rPr>
          <w:lang w:bidi="ar-JO"/>
        </w:rPr>
        <w:t>i</w:t>
      </w:r>
      <w:r w:rsidRPr="00697A47">
        <w:rPr>
          <w:lang w:bidi="ar-JO"/>
        </w:rPr>
        <w:t xml:space="preserve"> and al-Shar</w:t>
      </w:r>
      <w:r w:rsidR="00641470">
        <w:rPr>
          <w:lang w:bidi="ar-JO"/>
        </w:rPr>
        <w:t>i</w:t>
      </w:r>
      <w:r w:rsidRPr="00697A47">
        <w:rPr>
          <w:lang w:bidi="ar-JO"/>
        </w:rPr>
        <w:t>f al-Ra</w:t>
      </w:r>
      <w:r w:rsidR="00EE7E59">
        <w:rPr>
          <w:lang w:bidi="ar-JO"/>
        </w:rPr>
        <w:t>d</w:t>
      </w:r>
      <w:r w:rsidR="00641470">
        <w:rPr>
          <w:lang w:bidi="ar-JO"/>
        </w:rPr>
        <w:t>i</w:t>
      </w:r>
      <w:r w:rsidRPr="00697A47">
        <w:rPr>
          <w:lang w:bidi="ar-JO"/>
        </w:rPr>
        <w:t xml:space="preserve"> Mu</w:t>
      </w:r>
      <w:r w:rsidR="00DA7CC2">
        <w:rPr>
          <w:lang w:bidi="ar-JO"/>
        </w:rPr>
        <w:t>h</w:t>
      </w:r>
      <w:r w:rsidRPr="00697A47">
        <w:rPr>
          <w:lang w:bidi="ar-JO"/>
        </w:rPr>
        <w:t>ammad b. al-</w:t>
      </w:r>
      <w:r w:rsidR="00641470">
        <w:rPr>
          <w:lang w:bidi="ar-JO"/>
        </w:rPr>
        <w:t>H</w:t>
      </w:r>
      <w:r w:rsidRPr="00697A47">
        <w:rPr>
          <w:lang w:bidi="ar-JO"/>
        </w:rPr>
        <w:t>usayn al-M</w:t>
      </w:r>
      <w:r w:rsidR="00641470">
        <w:rPr>
          <w:lang w:bidi="ar-JO"/>
        </w:rPr>
        <w:t>u</w:t>
      </w:r>
      <w:r w:rsidRPr="00697A47">
        <w:rPr>
          <w:lang w:bidi="ar-JO"/>
        </w:rPr>
        <w:t>saw</w:t>
      </w:r>
      <w:r w:rsidR="00641470">
        <w:rPr>
          <w:lang w:bidi="ar-JO"/>
        </w:rPr>
        <w:t>i</w:t>
      </w:r>
      <w:r w:rsidRPr="00697A47">
        <w:rPr>
          <w:lang w:bidi="ar-JO"/>
        </w:rPr>
        <w:t>.</w:t>
      </w:r>
      <w:r w:rsidRPr="00697A47">
        <w:rPr>
          <w:rStyle w:val="EndnoteReference"/>
          <w:lang w:bidi="ar-JO"/>
        </w:rPr>
        <w:endnoteReference w:id="47"/>
      </w:r>
      <w:r w:rsidRPr="00697A47">
        <w:rPr>
          <w:lang w:bidi="ar-JO"/>
        </w:rPr>
        <w:t xml:space="preserve"> Of their writings, the most important were al-Murta</w:t>
      </w:r>
      <w:r w:rsidR="00EE7E59">
        <w:rPr>
          <w:lang w:bidi="ar-JO"/>
        </w:rPr>
        <w:t>d</w:t>
      </w:r>
      <w:r w:rsidR="00641470">
        <w:rPr>
          <w:lang w:bidi="ar-JO"/>
        </w:rPr>
        <w:t>a</w:t>
      </w:r>
      <w:r w:rsidRPr="00697A47">
        <w:rPr>
          <w:lang w:bidi="ar-JO"/>
        </w:rPr>
        <w:t xml:space="preserve">’s </w:t>
      </w:r>
      <w:r w:rsidRPr="00697A47">
        <w:rPr>
          <w:i/>
          <w:iCs/>
          <w:lang w:bidi="ar-JO"/>
        </w:rPr>
        <w:t>K</w:t>
      </w:r>
      <w:r w:rsidR="00641470">
        <w:rPr>
          <w:i/>
          <w:iCs/>
          <w:lang w:bidi="ar-JO"/>
        </w:rPr>
        <w:t>itāb</w:t>
      </w:r>
      <w:r w:rsidR="00641470" w:rsidRPr="00697A47">
        <w:rPr>
          <w:i/>
          <w:iCs/>
          <w:lang w:bidi="ar-JO"/>
        </w:rPr>
        <w:t xml:space="preserve"> </w:t>
      </w:r>
      <w:r w:rsidRPr="00697A47">
        <w:rPr>
          <w:i/>
          <w:iCs/>
          <w:lang w:bidi="ar-JO"/>
        </w:rPr>
        <w:t>al-Ghurar</w:t>
      </w:r>
      <w:r w:rsidRPr="00697A47">
        <w:rPr>
          <w:lang w:bidi="ar-JO"/>
        </w:rPr>
        <w:t>, a book containing a variety of exegetical and literary materials divided into sessions (</w:t>
      </w:r>
      <w:r w:rsidRPr="00697A47">
        <w:rPr>
          <w:i/>
          <w:iCs/>
          <w:lang w:bidi="ar-JO"/>
        </w:rPr>
        <w:t>majālis</w:t>
      </w:r>
      <w:r w:rsidRPr="00697A47">
        <w:rPr>
          <w:lang w:bidi="ar-JO"/>
        </w:rPr>
        <w:t>), which was popular among both Sh</w:t>
      </w:r>
      <w:r w:rsidR="00641470">
        <w:rPr>
          <w:lang w:bidi="ar-JO"/>
        </w:rPr>
        <w:t>i</w:t>
      </w:r>
      <w:r w:rsidRPr="00697A47">
        <w:rPr>
          <w:lang w:bidi="ar-JO"/>
        </w:rPr>
        <w:t>ʿ</w:t>
      </w:r>
      <w:r w:rsidR="00641470">
        <w:rPr>
          <w:lang w:bidi="ar-JO"/>
        </w:rPr>
        <w:t>i</w:t>
      </w:r>
      <w:r w:rsidRPr="00697A47">
        <w:rPr>
          <w:lang w:bidi="ar-JO"/>
        </w:rPr>
        <w:t xml:space="preserve">s and Sunnis, and the </w:t>
      </w:r>
      <w:r w:rsidRPr="00697A47">
        <w:rPr>
          <w:i/>
          <w:iCs/>
          <w:lang w:bidi="ar-JO"/>
        </w:rPr>
        <w:t>K</w:t>
      </w:r>
      <w:r w:rsidR="00641470">
        <w:rPr>
          <w:i/>
          <w:iCs/>
          <w:lang w:bidi="ar-JO"/>
        </w:rPr>
        <w:t>itāb</w:t>
      </w:r>
      <w:r w:rsidR="00641470" w:rsidRPr="00697A47">
        <w:rPr>
          <w:i/>
          <w:iCs/>
          <w:lang w:bidi="ar-JO"/>
        </w:rPr>
        <w:t xml:space="preserve"> </w:t>
      </w:r>
      <w:r w:rsidRPr="00697A47">
        <w:rPr>
          <w:i/>
          <w:iCs/>
          <w:lang w:bidi="ar-JO"/>
        </w:rPr>
        <w:t>Nahj al-balāgha</w:t>
      </w:r>
      <w:r w:rsidRPr="00697A47">
        <w:rPr>
          <w:lang w:bidi="ar-JO"/>
        </w:rPr>
        <w:t>, a collection of utterances of semicanonical status attributed to ʿAl</w:t>
      </w:r>
      <w:r w:rsidR="00641470">
        <w:rPr>
          <w:lang w:bidi="ar-JO"/>
        </w:rPr>
        <w:t>i</w:t>
      </w:r>
      <w:r w:rsidRPr="00697A47">
        <w:rPr>
          <w:lang w:bidi="ar-JO"/>
        </w:rPr>
        <w:t xml:space="preserve"> b. Ab</w:t>
      </w:r>
      <w:r w:rsidR="00641470">
        <w:rPr>
          <w:lang w:bidi="ar-JO"/>
        </w:rPr>
        <w:t>i</w:t>
      </w:r>
      <w:r w:rsidRPr="00697A47">
        <w:rPr>
          <w:lang w:bidi="ar-JO"/>
        </w:rPr>
        <w:t xml:space="preserve"> </w:t>
      </w:r>
      <w:r w:rsidR="00641470">
        <w:rPr>
          <w:lang w:bidi="ar-JO"/>
        </w:rPr>
        <w:t>Ta</w:t>
      </w:r>
      <w:r w:rsidRPr="00697A47">
        <w:rPr>
          <w:lang w:bidi="ar-JO"/>
        </w:rPr>
        <w:t>lib, compiled by al-Shar</w:t>
      </w:r>
      <w:r w:rsidR="00641470">
        <w:rPr>
          <w:lang w:bidi="ar-JO"/>
        </w:rPr>
        <w:t>i</w:t>
      </w:r>
      <w:r w:rsidRPr="00697A47">
        <w:rPr>
          <w:lang w:bidi="ar-JO"/>
        </w:rPr>
        <w:t>f al-Ra</w:t>
      </w:r>
      <w:r w:rsidR="00EE7E59">
        <w:rPr>
          <w:lang w:bidi="ar-JO"/>
        </w:rPr>
        <w:t>d</w:t>
      </w:r>
      <w:r w:rsidR="00641470">
        <w:rPr>
          <w:lang w:bidi="ar-JO"/>
        </w:rPr>
        <w:t>i</w:t>
      </w:r>
      <w:r w:rsidRPr="00697A47">
        <w:rPr>
          <w:lang w:bidi="ar-JO"/>
        </w:rPr>
        <w:t>. The majority of extant copies of these works were transmitted through Fa</w:t>
      </w:r>
      <w:r w:rsidR="00EE7E59">
        <w:rPr>
          <w:lang w:bidi="ar-JO"/>
        </w:rPr>
        <w:t>d</w:t>
      </w:r>
      <w:r w:rsidRPr="00697A47">
        <w:rPr>
          <w:lang w:bidi="ar-JO"/>
        </w:rPr>
        <w:t>l All</w:t>
      </w:r>
      <w:r w:rsidR="00641470">
        <w:rPr>
          <w:lang w:bidi="ar-JO"/>
        </w:rPr>
        <w:t>a</w:t>
      </w:r>
      <w:r w:rsidRPr="00697A47">
        <w:rPr>
          <w:lang w:bidi="ar-JO"/>
        </w:rPr>
        <w:t xml:space="preserve">h, </w:t>
      </w:r>
      <w:r w:rsidR="007A4C2F">
        <w:rPr>
          <w:lang w:bidi="ar-JO"/>
        </w:rPr>
        <w:t>with</w:t>
      </w:r>
      <w:r w:rsidR="007A4C2F" w:rsidRPr="00697A47">
        <w:rPr>
          <w:lang w:bidi="ar-JO"/>
        </w:rPr>
        <w:t xml:space="preserve"> </w:t>
      </w:r>
      <w:r w:rsidRPr="00697A47">
        <w:rPr>
          <w:lang w:bidi="ar-JO"/>
        </w:rPr>
        <w:t>his name show</w:t>
      </w:r>
      <w:r w:rsidR="007A4C2F">
        <w:rPr>
          <w:lang w:bidi="ar-JO"/>
        </w:rPr>
        <w:t>ing</w:t>
      </w:r>
      <w:r w:rsidRPr="00697A47">
        <w:rPr>
          <w:lang w:bidi="ar-JO"/>
        </w:rPr>
        <w:t xml:space="preserve"> up in nearly all chains of transmission. </w:t>
      </w:r>
      <w:r w:rsidRPr="00697A47">
        <w:t>The rigorous editorial principles Fa</w:t>
      </w:r>
      <w:r w:rsidR="00EE7E59">
        <w:t>d</w:t>
      </w:r>
      <w:r w:rsidRPr="00697A47">
        <w:t>l All</w:t>
      </w:r>
      <w:r w:rsidR="00641470">
        <w:t>a</w:t>
      </w:r>
      <w:r w:rsidRPr="00697A47">
        <w:t>h applied are documented, for example, in Ms. Istanbul, Süleymaniye, Reisülküttab 53</w:t>
      </w:r>
      <w:r w:rsidRPr="00A76617">
        <w:t>,</w:t>
      </w:r>
      <w:r w:rsidRPr="00697A47">
        <w:t xml:space="preserve"> transcribed by Mu</w:t>
      </w:r>
      <w:r w:rsidR="00DA7CC2">
        <w:t>h</w:t>
      </w:r>
      <w:r w:rsidRPr="00697A47">
        <w:t>ammad b. Aws b. A</w:t>
      </w:r>
      <w:r w:rsidR="00DA7CC2">
        <w:t>h</w:t>
      </w:r>
      <w:r w:rsidRPr="00697A47">
        <w:t>mad b. ʿAl</w:t>
      </w:r>
      <w:r w:rsidR="00641470">
        <w:t>i</w:t>
      </w:r>
      <w:r w:rsidRPr="00697A47">
        <w:t xml:space="preserve"> b. </w:t>
      </w:r>
      <w:r w:rsidR="00641470">
        <w:t>H</w:t>
      </w:r>
      <w:r w:rsidRPr="00697A47">
        <w:t>amd</w:t>
      </w:r>
      <w:r w:rsidR="00641470">
        <w:t>a</w:t>
      </w:r>
      <w:r w:rsidRPr="00697A47">
        <w:t>n al-R</w:t>
      </w:r>
      <w:r w:rsidR="00641470">
        <w:t>a</w:t>
      </w:r>
      <w:r w:rsidRPr="00697A47">
        <w:t>wand</w:t>
      </w:r>
      <w:r w:rsidR="00641470">
        <w:t>i</w:t>
      </w:r>
      <w:r w:rsidRPr="00697A47">
        <w:t xml:space="preserve"> (dated 1170). The scribe explains that he had a copy produced by Fa</w:t>
      </w:r>
      <w:r w:rsidR="00EE7E59">
        <w:t>d</w:t>
      </w:r>
      <w:r w:rsidRPr="00697A47">
        <w:t>l All</w:t>
      </w:r>
      <w:r w:rsidR="00641470">
        <w:t>a</w:t>
      </w:r>
      <w:r w:rsidRPr="00697A47">
        <w:t>h al-R</w:t>
      </w:r>
      <w:r w:rsidR="00641470">
        <w:t>a</w:t>
      </w:r>
      <w:r w:rsidRPr="00697A47">
        <w:t>wand</w:t>
      </w:r>
      <w:r w:rsidR="00641470">
        <w:t>ī</w:t>
      </w:r>
      <w:r w:rsidRPr="00697A47">
        <w:t xml:space="preserve"> as antigraph, and he quotes the latter’s colophon in full.</w:t>
      </w:r>
      <w:r w:rsidRPr="00697A47">
        <w:rPr>
          <w:color w:val="FF0000"/>
        </w:rPr>
        <w:t xml:space="preserve"> </w:t>
      </w:r>
      <w:r w:rsidRPr="00697A47">
        <w:t>In it, Fa</w:t>
      </w:r>
      <w:r w:rsidR="00EE7E59">
        <w:t>d</w:t>
      </w:r>
      <w:r w:rsidRPr="00697A47">
        <w:t>l All</w:t>
      </w:r>
      <w:r w:rsidR="00641470">
        <w:t>a</w:t>
      </w:r>
      <w:r w:rsidRPr="00697A47">
        <w:t>h al-R</w:t>
      </w:r>
      <w:r w:rsidR="00641470">
        <w:t>a</w:t>
      </w:r>
      <w:r w:rsidRPr="00697A47">
        <w:t>wand</w:t>
      </w:r>
      <w:r w:rsidR="00641470">
        <w:t>i</w:t>
      </w:r>
      <w:r w:rsidRPr="00697A47">
        <w:t xml:space="preserve"> explains the editorial principles he followed when producing his copy: he collated his own copy of the text with two other </w:t>
      </w:r>
      <w:r w:rsidR="00190BC6">
        <w:t>copies</w:t>
      </w:r>
      <w:r w:rsidRPr="00697A47">
        <w:t>, one of them transcribed by a direct student of al-Murta</w:t>
      </w:r>
      <w:r w:rsidR="00EE7E59">
        <w:t>d</w:t>
      </w:r>
      <w:r w:rsidR="00641470">
        <w:t>a</w:t>
      </w:r>
      <w:r w:rsidRPr="00697A47">
        <w:t>. In addition, Fa</w:t>
      </w:r>
      <w:r w:rsidR="00EE7E59">
        <w:t>d</w:t>
      </w:r>
      <w:r w:rsidRPr="00697A47">
        <w:t>l All</w:t>
      </w:r>
      <w:r w:rsidR="00641470">
        <w:t>a</w:t>
      </w:r>
      <w:r w:rsidRPr="00697A47">
        <w:t xml:space="preserve">h reports that he consulted the relevant collections of poetry to render properly the poetry included in the </w:t>
      </w:r>
      <w:r w:rsidRPr="00697A47">
        <w:rPr>
          <w:i/>
          <w:iCs/>
        </w:rPr>
        <w:t>Ghurar</w:t>
      </w:r>
      <w:r w:rsidRPr="00697A47">
        <w:t>. The manuscript also contains copious marginal glosses and corrections, indicating a similarly careful transcription process, and many of these originated with Fa</w:t>
      </w:r>
      <w:r w:rsidR="00EE7E59">
        <w:t>d</w:t>
      </w:r>
      <w:r w:rsidRPr="00697A47">
        <w:t>l All</w:t>
      </w:r>
      <w:r w:rsidR="00641470">
        <w:t>a</w:t>
      </w:r>
      <w:r w:rsidRPr="00697A47">
        <w:t>h. They include, for example, comments in which Fa</w:t>
      </w:r>
      <w:r w:rsidR="00EE7E59">
        <w:t>d</w:t>
      </w:r>
      <w:r w:rsidRPr="00697A47">
        <w:t>l All</w:t>
      </w:r>
      <w:r w:rsidR="00641470">
        <w:t>a</w:t>
      </w:r>
      <w:r w:rsidRPr="00697A47">
        <w:t>h record</w:t>
      </w:r>
      <w:r w:rsidR="001173BF">
        <w:t>ed</w:t>
      </w:r>
      <w:r w:rsidRPr="00697A47">
        <w:t xml:space="preserve"> different copies of source texts that he ha</w:t>
      </w:r>
      <w:r w:rsidR="001173BF">
        <w:t>d</w:t>
      </w:r>
      <w:r w:rsidRPr="00697A47">
        <w:t xml:space="preserve"> consulted; mentions of alternative interpretations or additional perspectives derived from his own studies, with precise details; and references to other works containing elaborations relevant to the discussion at hand. </w:t>
      </w:r>
      <w:r w:rsidRPr="002C597B">
        <w:rPr>
          <w:b/>
          <w:color w:val="000000" w:themeColor="text1"/>
        </w:rPr>
        <w:t xml:space="preserve">[fig. </w:t>
      </w:r>
      <w:r w:rsidR="004151AA" w:rsidRPr="002C597B">
        <w:rPr>
          <w:b/>
          <w:color w:val="000000" w:themeColor="text1"/>
        </w:rPr>
        <w:t>5.10</w:t>
      </w:r>
      <w:r w:rsidRPr="002C597B">
        <w:rPr>
          <w:b/>
          <w:color w:val="000000" w:themeColor="text1"/>
        </w:rPr>
        <w:t xml:space="preserve">] </w:t>
      </w:r>
      <w:r w:rsidRPr="00697A47">
        <w:lastRenderedPageBreak/>
        <w:t>Fa</w:t>
      </w:r>
      <w:r w:rsidR="00EE7E59">
        <w:t>d</w:t>
      </w:r>
      <w:r w:rsidRPr="00697A47">
        <w:t>l All</w:t>
      </w:r>
      <w:r w:rsidR="00641470">
        <w:t>a</w:t>
      </w:r>
      <w:r w:rsidRPr="00697A47">
        <w:t xml:space="preserve">h excelled as a critical editor of and commentator on other works as well, notably the </w:t>
      </w:r>
      <w:r w:rsidRPr="00697A47">
        <w:rPr>
          <w:i/>
          <w:iCs/>
        </w:rPr>
        <w:t>K. al-Ḥamāsa</w:t>
      </w:r>
      <w:r w:rsidRPr="00697A47">
        <w:t>, an anthology of poetry by Ab</w:t>
      </w:r>
      <w:r w:rsidR="00641470">
        <w:t>u</w:t>
      </w:r>
      <w:r w:rsidRPr="00697A47">
        <w:t xml:space="preserve"> Tamm</w:t>
      </w:r>
      <w:r w:rsidR="00641470">
        <w:t>a</w:t>
      </w:r>
      <w:r w:rsidRPr="00697A47">
        <w:t xml:space="preserve">m </w:t>
      </w:r>
      <w:r w:rsidR="00641470">
        <w:t>H</w:t>
      </w:r>
      <w:r w:rsidRPr="00697A47">
        <w:t>ab</w:t>
      </w:r>
      <w:r w:rsidR="00641470">
        <w:t>i</w:t>
      </w:r>
      <w:r w:rsidRPr="00697A47">
        <w:t>b b. Aws al-</w:t>
      </w:r>
      <w:r w:rsidR="00641470">
        <w:t>Ta</w:t>
      </w:r>
      <w:r w:rsidRPr="00697A47">
        <w:t>ʾ</w:t>
      </w:r>
      <w:r w:rsidR="00641470">
        <w:t>i</w:t>
      </w:r>
      <w:r w:rsidRPr="00697A47">
        <w:t xml:space="preserve"> (d. 842</w:t>
      </w:r>
      <w:r w:rsidR="001173BF">
        <w:t>/</w:t>
      </w:r>
      <w:r w:rsidRPr="00697A47">
        <w:t>45). Fa</w:t>
      </w:r>
      <w:r w:rsidR="00EE7E59">
        <w:t>d</w:t>
      </w:r>
      <w:r w:rsidRPr="00697A47">
        <w:t>l All</w:t>
      </w:r>
      <w:r w:rsidR="00641470">
        <w:t>a</w:t>
      </w:r>
      <w:r w:rsidRPr="00697A47">
        <w:t xml:space="preserve">h’s </w:t>
      </w:r>
      <w:r w:rsidR="00476B3F">
        <w:t>revised edition</w:t>
      </w:r>
      <w:r w:rsidR="00476B3F" w:rsidRPr="00697A47">
        <w:t xml:space="preserve"> </w:t>
      </w:r>
      <w:r w:rsidRPr="00697A47">
        <w:t xml:space="preserve">of the </w:t>
      </w:r>
      <w:r w:rsidRPr="00697A47">
        <w:rPr>
          <w:i/>
          <w:iCs/>
        </w:rPr>
        <w:t>Ḥamāsa</w:t>
      </w:r>
      <w:r w:rsidRPr="00697A47">
        <w:t>, together with his glosses, is preserved in a single manuscript held by the British Library.</w:t>
      </w:r>
    </w:p>
    <w:p w14:paraId="2A59A12D" w14:textId="7699D907" w:rsidR="00697A47" w:rsidRPr="00697A47" w:rsidRDefault="00346923" w:rsidP="00697A47">
      <w:pPr>
        <w:autoSpaceDE w:val="0"/>
        <w:autoSpaceDN w:val="0"/>
        <w:adjustRightInd w:val="0"/>
        <w:spacing w:line="480" w:lineRule="auto"/>
        <w:ind w:firstLine="720"/>
        <w:contextualSpacing/>
      </w:pPr>
      <w:r>
        <w:t xml:space="preserve">On the second issue of </w:t>
      </w:r>
      <w:r w:rsidRPr="00697A47">
        <w:t>Muslim scholarly practices throughout the centuries</w:t>
      </w:r>
      <w:r w:rsidR="0066414D">
        <w:t xml:space="preserve"> discussed here</w:t>
      </w:r>
      <w:r>
        <w:t xml:space="preserve">, </w:t>
      </w:r>
      <w:r w:rsidR="001C6CDD" w:rsidRPr="00A76617">
        <w:t>r</w:t>
      </w:r>
      <w:r w:rsidR="00697A47" w:rsidRPr="00A76617">
        <w:t>eferencing</w:t>
      </w:r>
      <w:r>
        <w:t>,</w:t>
      </w:r>
      <w:r w:rsidR="00697A47" w:rsidRPr="00697A47">
        <w:t xml:space="preserve"> </w:t>
      </w:r>
      <w:r w:rsidR="001C6CDD">
        <w:rPr>
          <w:rFonts w:eastAsiaTheme="minorEastAsia"/>
        </w:rPr>
        <w:t>t</w:t>
      </w:r>
      <w:r w:rsidR="00697A47" w:rsidRPr="00697A47">
        <w:rPr>
          <w:rFonts w:eastAsiaTheme="minorEastAsia"/>
        </w:rPr>
        <w:t>he authorial practice of</w:t>
      </w:r>
      <w:r w:rsidR="00697A47" w:rsidRPr="00697A47">
        <w:t xml:space="preserve"> indicating the sources that one has consulted when composing a book, either in a separate bibliographical section or throughout the book and typically including the chains of transmission, </w:t>
      </w:r>
      <w:r>
        <w:t>is</w:t>
      </w:r>
      <w:r w:rsidR="00697A47" w:rsidRPr="00697A47">
        <w:t xml:space="preserve"> encountered from very early on. The Sunni scholar Ibn Ab</w:t>
      </w:r>
      <w:r w:rsidR="00641470">
        <w:t>i</w:t>
      </w:r>
      <w:r w:rsidR="00697A47" w:rsidRPr="00697A47">
        <w:t xml:space="preserve"> l-</w:t>
      </w:r>
      <w:r w:rsidR="00641470">
        <w:t>Ha</w:t>
      </w:r>
      <w:r w:rsidR="00697A47" w:rsidRPr="00697A47">
        <w:t>tim al-R</w:t>
      </w:r>
      <w:r w:rsidR="00641470">
        <w:t>a</w:t>
      </w:r>
      <w:r w:rsidR="00697A47" w:rsidRPr="00697A47">
        <w:t>z</w:t>
      </w:r>
      <w:r w:rsidR="00641470">
        <w:t>i</w:t>
      </w:r>
      <w:r w:rsidR="00697A47" w:rsidRPr="00697A47">
        <w:t xml:space="preserve"> (d. 938) lists his sources at the beginning of his Qurʾ</w:t>
      </w:r>
      <w:r w:rsidR="00641470">
        <w:t>a</w:t>
      </w:r>
      <w:r w:rsidR="00697A47" w:rsidRPr="00697A47">
        <w:t>n exegesis</w:t>
      </w:r>
      <w:r w:rsidR="00697A47" w:rsidRPr="00A76617">
        <w:t>,</w:t>
      </w:r>
      <w:r w:rsidR="00697A47" w:rsidRPr="003304FC">
        <w:t xml:space="preserve"> </w:t>
      </w:r>
      <w:r w:rsidR="00697A47" w:rsidRPr="00697A47">
        <w:t>while the Twelver Sh</w:t>
      </w:r>
      <w:r w:rsidR="00641470">
        <w:t>i</w:t>
      </w:r>
      <w:r w:rsidR="00697A47" w:rsidRPr="00697A47">
        <w:t>ʿ</w:t>
      </w:r>
      <w:r w:rsidR="00641470">
        <w:t>i</w:t>
      </w:r>
      <w:r w:rsidR="00697A47" w:rsidRPr="00697A47">
        <w:t xml:space="preserve"> scholar Mu</w:t>
      </w:r>
      <w:r w:rsidR="00DA7CC2">
        <w:t>h</w:t>
      </w:r>
      <w:r w:rsidR="00697A47" w:rsidRPr="00697A47">
        <w:t>ammad b. ʿAl</w:t>
      </w:r>
      <w:r w:rsidR="00641470">
        <w:t>i</w:t>
      </w:r>
      <w:r w:rsidR="00697A47" w:rsidRPr="00697A47">
        <w:t xml:space="preserve"> Ibn B</w:t>
      </w:r>
      <w:r w:rsidR="00641470">
        <w:t>a</w:t>
      </w:r>
      <w:r w:rsidR="00697A47" w:rsidRPr="00697A47">
        <w:t xml:space="preserve">bawayh (d. 991) concludes his </w:t>
      </w:r>
      <w:r w:rsidR="00697A47" w:rsidRPr="00697A47">
        <w:rPr>
          <w:i/>
          <w:iCs/>
        </w:rPr>
        <w:t>ḥad</w:t>
      </w:r>
      <w:r w:rsidR="00641470">
        <w:rPr>
          <w:i/>
          <w:iCs/>
        </w:rPr>
        <w:t>i</w:t>
      </w:r>
      <w:r w:rsidR="00697A47" w:rsidRPr="00697A47">
        <w:rPr>
          <w:i/>
          <w:iCs/>
        </w:rPr>
        <w:t>th</w:t>
      </w:r>
      <w:r w:rsidR="00697A47" w:rsidRPr="00697A47">
        <w:t xml:space="preserve"> work </w:t>
      </w:r>
      <w:r w:rsidR="00697A47" w:rsidRPr="00697A47">
        <w:rPr>
          <w:i/>
          <w:iCs/>
        </w:rPr>
        <w:t>Man lā yaḥḍuruhu l-faq</w:t>
      </w:r>
      <w:r w:rsidR="00641470">
        <w:rPr>
          <w:i/>
          <w:iCs/>
        </w:rPr>
        <w:t>ī</w:t>
      </w:r>
      <w:r w:rsidR="00697A47" w:rsidRPr="00697A47">
        <w:rPr>
          <w:i/>
          <w:iCs/>
        </w:rPr>
        <w:t>h</w:t>
      </w:r>
      <w:r w:rsidR="00697A47" w:rsidRPr="00697A47">
        <w:t xml:space="preserve"> with a chapter discussing his sources. The Andalusi scholar Ab</w:t>
      </w:r>
      <w:r w:rsidR="00641470">
        <w:t>u</w:t>
      </w:r>
      <w:r w:rsidR="00697A47" w:rsidRPr="00697A47">
        <w:t xml:space="preserve"> ʿAbd All</w:t>
      </w:r>
      <w:r w:rsidR="00641470">
        <w:t>a</w:t>
      </w:r>
      <w:r w:rsidR="00697A47" w:rsidRPr="00697A47">
        <w:t>h Mu</w:t>
      </w:r>
      <w:r w:rsidR="00DA7CC2">
        <w:t>h</w:t>
      </w:r>
      <w:r w:rsidR="00697A47" w:rsidRPr="00697A47">
        <w:t>ammad al-Qurtub</w:t>
      </w:r>
      <w:r w:rsidR="00641470">
        <w:t>i</w:t>
      </w:r>
      <w:r w:rsidR="00697A47" w:rsidRPr="00697A47">
        <w:t xml:space="preserve"> (d. 1104) appended to his </w:t>
      </w:r>
      <w:r w:rsidR="00697A47" w:rsidRPr="00697A47">
        <w:rPr>
          <w:i/>
          <w:iCs/>
        </w:rPr>
        <w:t>Kitāb Aqḍiyat rasūl Allāh</w:t>
      </w:r>
      <w:r w:rsidR="00697A47" w:rsidRPr="00697A47">
        <w:t xml:space="preserve"> a list of the books he had consulted; Ab</w:t>
      </w:r>
      <w:r w:rsidR="00641470">
        <w:t>u</w:t>
      </w:r>
      <w:r w:rsidR="00697A47" w:rsidRPr="00697A47">
        <w:t xml:space="preserve"> Is</w:t>
      </w:r>
      <w:r w:rsidR="00DA7CC2">
        <w:t>h</w:t>
      </w:r>
      <w:r w:rsidR="00641470">
        <w:t>a</w:t>
      </w:r>
      <w:r w:rsidR="00697A47" w:rsidRPr="00697A47">
        <w:t>q A</w:t>
      </w:r>
      <w:r w:rsidR="00DA7CC2">
        <w:t>h</w:t>
      </w:r>
      <w:r w:rsidR="00697A47" w:rsidRPr="00697A47">
        <w:t>mad b. Mu</w:t>
      </w:r>
      <w:r w:rsidR="00DA7CC2">
        <w:t>h</w:t>
      </w:r>
      <w:r w:rsidR="00697A47" w:rsidRPr="00697A47">
        <w:t>ammad al-Thaʿ</w:t>
      </w:r>
      <w:r w:rsidR="00641470">
        <w:t>a</w:t>
      </w:r>
      <w:r w:rsidR="00697A47" w:rsidRPr="00697A47">
        <w:t>lab</w:t>
      </w:r>
      <w:r w:rsidR="00641470">
        <w:t>i</w:t>
      </w:r>
      <w:r w:rsidR="00697A47" w:rsidRPr="00697A47">
        <w:t xml:space="preserve"> (d. 1035</w:t>
      </w:r>
      <w:r w:rsidR="00FE1704">
        <w:t>/</w:t>
      </w:r>
      <w:r w:rsidR="00697A47" w:rsidRPr="00697A47">
        <w:t>36) mentions in the introduction to his Qurʾ</w:t>
      </w:r>
      <w:r w:rsidR="00641470">
        <w:t>a</w:t>
      </w:r>
      <w:r w:rsidR="00697A47" w:rsidRPr="00697A47">
        <w:t xml:space="preserve">n exegesis, </w:t>
      </w:r>
      <w:r w:rsidR="00697A47" w:rsidRPr="00697A47">
        <w:rPr>
          <w:i/>
          <w:iCs/>
        </w:rPr>
        <w:t>al-Kashf wa-l-bayān fī tafsīr al-Qurʾān</w:t>
      </w:r>
      <w:r w:rsidR="00697A47" w:rsidRPr="00697A47">
        <w:t>, all the works he used while composing the work; and a list of sources is also provided by Mu</w:t>
      </w:r>
      <w:r w:rsidR="00DA7CC2">
        <w:t>h</w:t>
      </w:r>
      <w:r w:rsidR="00697A47" w:rsidRPr="00697A47">
        <w:t>ammad b. A</w:t>
      </w:r>
      <w:r w:rsidR="00DA7CC2">
        <w:t>h</w:t>
      </w:r>
      <w:r w:rsidR="00697A47" w:rsidRPr="00697A47">
        <w:t>mad al-Dhahab</w:t>
      </w:r>
      <w:r w:rsidR="00641470">
        <w:t>i</w:t>
      </w:r>
      <w:r w:rsidR="00697A47" w:rsidRPr="00697A47">
        <w:t xml:space="preserve"> (d. 1348) in his renowned </w:t>
      </w:r>
      <w:r w:rsidR="00697A47" w:rsidRPr="00697A47">
        <w:rPr>
          <w:i/>
          <w:iCs/>
        </w:rPr>
        <w:t>Tārīkh al-Islam</w:t>
      </w:r>
      <w:r w:rsidR="00697A47" w:rsidRPr="00697A47">
        <w:t xml:space="preserve">. Another example is the </w:t>
      </w:r>
      <w:r w:rsidR="00641470">
        <w:t>H</w:t>
      </w:r>
      <w:r w:rsidR="00697A47" w:rsidRPr="00697A47">
        <w:t>anaf</w:t>
      </w:r>
      <w:r w:rsidR="00641470">
        <w:t>i</w:t>
      </w:r>
      <w:r w:rsidR="00697A47" w:rsidRPr="00697A47">
        <w:t xml:space="preserve"> scholar of Bukh</w:t>
      </w:r>
      <w:r w:rsidR="00641470">
        <w:t>a</w:t>
      </w:r>
      <w:r w:rsidR="00697A47" w:rsidRPr="00697A47">
        <w:t>r</w:t>
      </w:r>
      <w:r w:rsidR="00641470">
        <w:t>a</w:t>
      </w:r>
      <w:r w:rsidR="00697A47" w:rsidRPr="00697A47">
        <w:t>,</w:t>
      </w:r>
      <w:r w:rsidR="00E03E67">
        <w:t xml:space="preserve"> Uzbekistan,</w:t>
      </w:r>
      <w:r w:rsidR="00697A47" w:rsidRPr="00697A47">
        <w:t xml:space="preserve"> ʿIm</w:t>
      </w:r>
      <w:r w:rsidR="00641470">
        <w:t>a</w:t>
      </w:r>
      <w:r w:rsidR="00697A47" w:rsidRPr="00697A47">
        <w:t>d al-D</w:t>
      </w:r>
      <w:r w:rsidR="00641470">
        <w:t>i</w:t>
      </w:r>
      <w:r w:rsidR="00697A47" w:rsidRPr="00697A47">
        <w:t>n Ma</w:t>
      </w:r>
      <w:r w:rsidR="00DA7CC2">
        <w:t>h</w:t>
      </w:r>
      <w:r w:rsidR="00697A47" w:rsidRPr="00697A47">
        <w:t>m</w:t>
      </w:r>
      <w:r w:rsidR="00641470">
        <w:t>u</w:t>
      </w:r>
      <w:r w:rsidR="00697A47" w:rsidRPr="00697A47">
        <w:t>d al-F</w:t>
      </w:r>
      <w:r w:rsidR="00641470">
        <w:t>a</w:t>
      </w:r>
      <w:r w:rsidR="00697A47" w:rsidRPr="00697A47">
        <w:t>ry</w:t>
      </w:r>
      <w:r w:rsidR="00641470">
        <w:t>a</w:t>
      </w:r>
      <w:r w:rsidR="00697A47" w:rsidRPr="00697A47">
        <w:t>b</w:t>
      </w:r>
      <w:r w:rsidR="00641470">
        <w:t>i</w:t>
      </w:r>
      <w:r w:rsidR="00697A47" w:rsidRPr="00697A47">
        <w:t xml:space="preserve"> (d. 1210</w:t>
      </w:r>
      <w:r w:rsidR="00E90449">
        <w:t>/</w:t>
      </w:r>
      <w:r w:rsidR="00697A47" w:rsidRPr="00697A47">
        <w:t xml:space="preserve">11), who completed in 1200 his </w:t>
      </w:r>
      <w:r w:rsidR="00697A47" w:rsidRPr="00697A47">
        <w:rPr>
          <w:i/>
          <w:iCs/>
        </w:rPr>
        <w:t>Kitāb Khāliṣat al-ḥaqāʾiq wa-niṣāb ghāʾiṣat al-daqāʾiq</w:t>
      </w:r>
      <w:r w:rsidR="00697A47" w:rsidRPr="00697A47">
        <w:t>, a book on piety, ethics, and moral conduct, which concluded with a bibliography of sources</w:t>
      </w:r>
      <w:r w:rsidR="008025BA">
        <w:t xml:space="preserve">; it is </w:t>
      </w:r>
      <w:r w:rsidR="00697A47" w:rsidRPr="00697A47">
        <w:t xml:space="preserve">one of the earliest works, by the way, in which the author does not indicate his chains of transmission for the named sources. The </w:t>
      </w:r>
      <w:r w:rsidR="00697A47" w:rsidRPr="00697A47">
        <w:rPr>
          <w:rFonts w:eastAsia="GentiumPlus-Italic"/>
          <w:i/>
          <w:iCs/>
        </w:rPr>
        <w:t>K</w:t>
      </w:r>
      <w:r w:rsidR="00190BC6">
        <w:rPr>
          <w:rFonts w:eastAsia="GentiumPlus-Italic"/>
          <w:i/>
          <w:iCs/>
        </w:rPr>
        <w:t>itāb</w:t>
      </w:r>
      <w:r w:rsidR="00190BC6" w:rsidRPr="00697A47">
        <w:rPr>
          <w:rFonts w:eastAsia="GentiumPlus-Italic"/>
          <w:i/>
          <w:iCs/>
        </w:rPr>
        <w:t xml:space="preserve"> </w:t>
      </w:r>
      <w:r w:rsidR="00697A47" w:rsidRPr="00697A47">
        <w:rPr>
          <w:rFonts w:eastAsia="GentiumPlus-Italic"/>
          <w:i/>
          <w:iCs/>
        </w:rPr>
        <w:t>al-Baḥr al-muḥīṭ fī uṣūl al-fiqh</w:t>
      </w:r>
      <w:r w:rsidR="00697A47" w:rsidRPr="00697A47">
        <w:rPr>
          <w:rFonts w:eastAsia="GentiumPlus-Italic"/>
        </w:rPr>
        <w:t>,</w:t>
      </w:r>
      <w:r w:rsidR="00697A47" w:rsidRPr="00697A47">
        <w:rPr>
          <w:rFonts w:eastAsia="GentiumPlus-Italic"/>
          <w:i/>
          <w:iCs/>
        </w:rPr>
        <w:t xml:space="preserve"> </w:t>
      </w:r>
      <w:r w:rsidR="00697A47" w:rsidRPr="00697A47">
        <w:rPr>
          <w:rFonts w:eastAsia="GentiumPlus-Italic"/>
        </w:rPr>
        <w:t>an important work on legal theory</w:t>
      </w:r>
      <w:r w:rsidR="00697A47" w:rsidRPr="00697A47">
        <w:rPr>
          <w:rFonts w:eastAsia="GentiumPlus-Italic"/>
          <w:i/>
          <w:iCs/>
        </w:rPr>
        <w:t xml:space="preserve"> </w:t>
      </w:r>
      <w:r w:rsidR="00697A47" w:rsidRPr="00697A47">
        <w:t>by the Sh</w:t>
      </w:r>
      <w:r w:rsidR="00641470">
        <w:t>a</w:t>
      </w:r>
      <w:r w:rsidR="00697A47" w:rsidRPr="00697A47">
        <w:t>fiʿite scholar Badr al-D</w:t>
      </w:r>
      <w:r w:rsidR="00641470">
        <w:t>i</w:t>
      </w:r>
      <w:r w:rsidR="00697A47" w:rsidRPr="00697A47">
        <w:t>n Mu</w:t>
      </w:r>
      <w:r w:rsidR="00DA7CC2">
        <w:t>h</w:t>
      </w:r>
      <w:r w:rsidR="00697A47" w:rsidRPr="00697A47">
        <w:t>ammad b. Bah</w:t>
      </w:r>
      <w:r w:rsidR="00641470">
        <w:t>a</w:t>
      </w:r>
      <w:r w:rsidR="00697A47" w:rsidRPr="00697A47">
        <w:t>dur al-Sh</w:t>
      </w:r>
      <w:r w:rsidR="00641470">
        <w:t>a</w:t>
      </w:r>
      <w:r w:rsidR="00697A47" w:rsidRPr="00697A47">
        <w:t>fiʿ</w:t>
      </w:r>
      <w:r w:rsidR="00641470">
        <w:t>i</w:t>
      </w:r>
      <w:r w:rsidR="00697A47" w:rsidRPr="00697A47">
        <w:t xml:space="preserve"> al-Zarkash</w:t>
      </w:r>
      <w:r w:rsidR="00641470">
        <w:t>i</w:t>
      </w:r>
      <w:r w:rsidR="00697A47" w:rsidRPr="00697A47">
        <w:t xml:space="preserve"> (d. 1392), also opens with a section in the course of which he lists his sources. Since many of the books al-</w:t>
      </w:r>
      <w:r w:rsidR="00697A47" w:rsidRPr="00697A47">
        <w:lastRenderedPageBreak/>
        <w:t>Zarkash</w:t>
      </w:r>
      <w:r w:rsidR="00641470">
        <w:t>i</w:t>
      </w:r>
      <w:r w:rsidR="00697A47" w:rsidRPr="00697A47">
        <w:t xml:space="preserve"> used </w:t>
      </w:r>
      <w:r w:rsidR="00E90449">
        <w:t>no longer exist</w:t>
      </w:r>
      <w:r w:rsidR="00697A47" w:rsidRPr="00697A47">
        <w:t xml:space="preserve">, his often elaborate quotations allow at least a partial reconstruction of what has been lost. An exceptional example is the aforementioned Ibn </w:t>
      </w:r>
      <w:r w:rsidR="00641470">
        <w:t>Ta</w:t>
      </w:r>
      <w:r w:rsidR="00697A47" w:rsidRPr="00697A47">
        <w:t>w</w:t>
      </w:r>
      <w:r w:rsidR="00641470">
        <w:t>u</w:t>
      </w:r>
      <w:r w:rsidR="00697A47" w:rsidRPr="00697A47">
        <w:t>s</w:t>
      </w:r>
      <w:r w:rsidR="00945FBB">
        <w:t>,</w:t>
      </w:r>
      <w:r w:rsidR="00697A47" w:rsidRPr="00697A47">
        <w:t xml:space="preserve"> who, throughout his writings, documents his sources with great accuracy, often indicating the volume, quire, or even folio or page of the cod</w:t>
      </w:r>
      <w:r w:rsidR="00945FBB">
        <w:t>ex</w:t>
      </w:r>
      <w:r w:rsidR="00697A47" w:rsidRPr="00697A47">
        <w:t xml:space="preserve"> he is quoting.</w:t>
      </w:r>
      <w:r w:rsidR="00697A47" w:rsidRPr="00697A47">
        <w:rPr>
          <w:rStyle w:val="EndnoteReference"/>
        </w:rPr>
        <w:endnoteReference w:id="48"/>
      </w:r>
    </w:p>
    <w:p w14:paraId="08BAA021" w14:textId="5C8EA44C" w:rsidR="008F0AE0" w:rsidRDefault="00AA5D45" w:rsidP="005904C2">
      <w:pPr>
        <w:autoSpaceDE w:val="0"/>
        <w:autoSpaceDN w:val="0"/>
        <w:adjustRightInd w:val="0"/>
        <w:spacing w:line="480" w:lineRule="auto"/>
        <w:ind w:firstLine="720"/>
        <w:contextualSpacing/>
      </w:pPr>
      <w:r>
        <w:t xml:space="preserve">On the third issue of </w:t>
      </w:r>
      <w:r w:rsidRPr="00697A47">
        <w:t>Muslim scholarly practices throughout the centuries</w:t>
      </w:r>
      <w:r w:rsidR="001C6CDD" w:rsidRPr="00A76617">
        <w:t xml:space="preserve">, </w:t>
      </w:r>
      <w:r w:rsidR="001C6CDD">
        <w:t>i</w:t>
      </w:r>
      <w:r w:rsidR="00697A47" w:rsidRPr="001C6CDD">
        <w:t xml:space="preserve">n many </w:t>
      </w:r>
      <w:r w:rsidR="00697A47" w:rsidRPr="00697A47">
        <w:t>parts of the Islamic world we can observe an extraordinary continuity of manuscript culture, which has even persisted into the twenty-first century. While the reason is evident for countries with poor technological infrastructure, such as Yemen, there were and are many other reasons for this phenomenon, such as the desire to evade censorship, which can easily be applied to printed works but is impossible to enforce on the transcription of manuscripts.</w:t>
      </w:r>
      <w:r w:rsidR="00697A47" w:rsidRPr="00697A47">
        <w:rPr>
          <w:rStyle w:val="EndnoteReference"/>
        </w:rPr>
        <w:endnoteReference w:id="49"/>
      </w:r>
      <w:r w:rsidR="00697A47" w:rsidRPr="00697A47">
        <w:t xml:space="preserve"> Most importantly, however, the production of manuscripts</w:t>
      </w:r>
      <w:r w:rsidR="00BE0402">
        <w:t>,</w:t>
      </w:r>
      <w:r w:rsidR="00697A47" w:rsidRPr="00697A47">
        <w:t xml:space="preserve"> </w:t>
      </w:r>
      <w:r w:rsidR="00BE0402">
        <w:t xml:space="preserve">as contrasted with printed works, </w:t>
      </w:r>
      <w:r w:rsidR="00697A47" w:rsidRPr="00697A47">
        <w:t xml:space="preserve">was perceived as a pious exercise. </w:t>
      </w:r>
    </w:p>
    <w:p w14:paraId="0F141B6A" w14:textId="3E2CA94D" w:rsidR="00697A47" w:rsidRDefault="004547E7" w:rsidP="005904C2">
      <w:pPr>
        <w:autoSpaceDE w:val="0"/>
        <w:autoSpaceDN w:val="0"/>
        <w:adjustRightInd w:val="0"/>
        <w:spacing w:line="480" w:lineRule="auto"/>
        <w:ind w:firstLine="720"/>
        <w:contextualSpacing/>
        <w:rPr>
          <w:color w:val="FF0000"/>
          <w:lang w:bidi="ar-JO"/>
        </w:rPr>
      </w:pPr>
      <w:r>
        <w:t>M</w:t>
      </w:r>
      <w:r w:rsidR="00697A47" w:rsidRPr="00697A47">
        <w:t xml:space="preserve">any modern scholars and scribes </w:t>
      </w:r>
      <w:r>
        <w:t xml:space="preserve">in contrast have </w:t>
      </w:r>
      <w:r w:rsidR="00697A47" w:rsidRPr="00697A47">
        <w:t xml:space="preserve">also pursued scholarly purposes when transcribing books of earlier times by hand. Mention should be made, by way of example, of the Iraqi scholar </w:t>
      </w:r>
      <w:r w:rsidR="00697A47" w:rsidRPr="00697A47">
        <w:rPr>
          <w:lang w:bidi="ar-JO"/>
        </w:rPr>
        <w:t>Mu</w:t>
      </w:r>
      <w:r w:rsidR="00DA7CC2">
        <w:rPr>
          <w:lang w:bidi="ar-JO"/>
        </w:rPr>
        <w:t>h</w:t>
      </w:r>
      <w:r w:rsidR="00697A47" w:rsidRPr="00697A47">
        <w:rPr>
          <w:lang w:bidi="ar-JO"/>
        </w:rPr>
        <w:t xml:space="preserve">ammad b. </w:t>
      </w:r>
      <w:r w:rsidR="00641470">
        <w:rPr>
          <w:lang w:bidi="ar-JO"/>
        </w:rPr>
        <w:t>Ta</w:t>
      </w:r>
      <w:r w:rsidR="00697A47" w:rsidRPr="00697A47">
        <w:rPr>
          <w:lang w:bidi="ar-JO"/>
        </w:rPr>
        <w:t xml:space="preserve">hir b. </w:t>
      </w:r>
      <w:r w:rsidR="00641470">
        <w:rPr>
          <w:lang w:bidi="ar-JO"/>
        </w:rPr>
        <w:t>H</w:t>
      </w:r>
      <w:r w:rsidR="00697A47" w:rsidRPr="00697A47">
        <w:rPr>
          <w:lang w:bidi="ar-JO"/>
        </w:rPr>
        <w:t>ab</w:t>
      </w:r>
      <w:r w:rsidR="00641470">
        <w:rPr>
          <w:lang w:bidi="ar-JO"/>
        </w:rPr>
        <w:t>i</w:t>
      </w:r>
      <w:r w:rsidR="00697A47" w:rsidRPr="00697A47">
        <w:rPr>
          <w:lang w:bidi="ar-JO"/>
        </w:rPr>
        <w:t>b al-Sam</w:t>
      </w:r>
      <w:r w:rsidR="00641470">
        <w:rPr>
          <w:lang w:bidi="ar-JO"/>
        </w:rPr>
        <w:t>a</w:t>
      </w:r>
      <w:r w:rsidR="00697A47" w:rsidRPr="00697A47">
        <w:rPr>
          <w:lang w:bidi="ar-JO"/>
        </w:rPr>
        <w:t>w</w:t>
      </w:r>
      <w:r w:rsidR="00641470">
        <w:rPr>
          <w:lang w:bidi="ar-JO"/>
        </w:rPr>
        <w:t>i</w:t>
      </w:r>
      <w:r w:rsidR="00697A47" w:rsidRPr="00697A47">
        <w:rPr>
          <w:lang w:bidi="ar-JO"/>
        </w:rPr>
        <w:t xml:space="preserve"> (</w:t>
      </w:r>
      <w:r w:rsidR="005A7909">
        <w:rPr>
          <w:lang w:bidi="ar-JO"/>
        </w:rPr>
        <w:t xml:space="preserve">d. </w:t>
      </w:r>
      <w:r w:rsidR="00697A47" w:rsidRPr="00697A47">
        <w:rPr>
          <w:lang w:bidi="ar-JO"/>
        </w:rPr>
        <w:t>1950). Al-Sam</w:t>
      </w:r>
      <w:r w:rsidR="00641470">
        <w:rPr>
          <w:lang w:bidi="ar-JO"/>
        </w:rPr>
        <w:t>a</w:t>
      </w:r>
      <w:r w:rsidR="00697A47" w:rsidRPr="00697A47">
        <w:rPr>
          <w:lang w:bidi="ar-JO"/>
        </w:rPr>
        <w:t>w</w:t>
      </w:r>
      <w:r w:rsidR="00641470">
        <w:rPr>
          <w:lang w:bidi="ar-JO"/>
        </w:rPr>
        <w:t>i</w:t>
      </w:r>
      <w:r w:rsidR="00697A47" w:rsidRPr="00697A47">
        <w:rPr>
          <w:lang w:bidi="ar-JO"/>
        </w:rPr>
        <w:t xml:space="preserve"> hailed from Sam</w:t>
      </w:r>
      <w:r w:rsidR="00641470">
        <w:rPr>
          <w:lang w:bidi="ar-JO"/>
        </w:rPr>
        <w:t>a</w:t>
      </w:r>
      <w:r w:rsidR="00697A47" w:rsidRPr="00697A47">
        <w:rPr>
          <w:lang w:bidi="ar-JO"/>
        </w:rPr>
        <w:t>wa in southern Iraq, and he spent several decades in Najaf, one of the most important intellectual centers of Twelver Sh</w:t>
      </w:r>
      <w:r w:rsidR="00641470">
        <w:rPr>
          <w:lang w:bidi="ar-JO"/>
        </w:rPr>
        <w:t>i</w:t>
      </w:r>
      <w:r w:rsidR="00697A47" w:rsidRPr="00697A47">
        <w:rPr>
          <w:lang w:bidi="ar-JO"/>
        </w:rPr>
        <w:t>ʿism, in pursuit of scholarship. Al-Sam</w:t>
      </w:r>
      <w:r w:rsidR="00641470">
        <w:rPr>
          <w:lang w:bidi="ar-JO"/>
        </w:rPr>
        <w:t>a</w:t>
      </w:r>
      <w:r w:rsidR="00697A47" w:rsidRPr="00697A47">
        <w:rPr>
          <w:lang w:bidi="ar-JO"/>
        </w:rPr>
        <w:t>w</w:t>
      </w:r>
      <w:r w:rsidR="00641470">
        <w:rPr>
          <w:lang w:bidi="ar-JO"/>
        </w:rPr>
        <w:t>i</w:t>
      </w:r>
      <w:r w:rsidR="00697A47" w:rsidRPr="00697A47">
        <w:rPr>
          <w:lang w:bidi="ar-JO"/>
        </w:rPr>
        <w:t xml:space="preserve"> was an avid collector of manuscripts, </w:t>
      </w:r>
      <w:r w:rsidR="00D81D83">
        <w:rPr>
          <w:lang w:bidi="ar-JO"/>
        </w:rPr>
        <w:t>who</w:t>
      </w:r>
      <w:r w:rsidR="00697A47" w:rsidRPr="00697A47">
        <w:rPr>
          <w:lang w:bidi="ar-JO"/>
        </w:rPr>
        <w:t xml:space="preserve"> transcribed hundreds of Sh</w:t>
      </w:r>
      <w:r w:rsidR="00641470">
        <w:rPr>
          <w:lang w:bidi="ar-JO"/>
        </w:rPr>
        <w:t>i</w:t>
      </w:r>
      <w:r w:rsidR="00697A47" w:rsidRPr="00697A47">
        <w:rPr>
          <w:lang w:bidi="ar-JO"/>
        </w:rPr>
        <w:t>ʿ</w:t>
      </w:r>
      <w:r w:rsidR="00641470">
        <w:rPr>
          <w:lang w:bidi="ar-JO"/>
        </w:rPr>
        <w:t>i</w:t>
      </w:r>
      <w:r w:rsidR="00697A47" w:rsidRPr="00697A47">
        <w:rPr>
          <w:lang w:bidi="ar-JO"/>
        </w:rPr>
        <w:t xml:space="preserve"> and non-Sh</w:t>
      </w:r>
      <w:r w:rsidR="00641470">
        <w:rPr>
          <w:lang w:bidi="ar-JO"/>
        </w:rPr>
        <w:t>i</w:t>
      </w:r>
      <w:r w:rsidR="00697A47" w:rsidRPr="00697A47">
        <w:rPr>
          <w:lang w:bidi="ar-JO"/>
        </w:rPr>
        <w:t>ʿ</w:t>
      </w:r>
      <w:r w:rsidR="00641470">
        <w:rPr>
          <w:lang w:bidi="ar-JO"/>
        </w:rPr>
        <w:t>i</w:t>
      </w:r>
      <w:r w:rsidR="00697A47" w:rsidRPr="00697A47">
        <w:rPr>
          <w:lang w:bidi="ar-JO"/>
        </w:rPr>
        <w:t xml:space="preserve"> texts for his personal library. Many of his transcriptions are apographs of copies held by the Rawḍa al-</w:t>
      </w:r>
      <w:r w:rsidR="00641470">
        <w:rPr>
          <w:lang w:bidi="ar-JO"/>
        </w:rPr>
        <w:t>H</w:t>
      </w:r>
      <w:r w:rsidR="00697A47" w:rsidRPr="00697A47">
        <w:rPr>
          <w:lang w:bidi="ar-JO"/>
        </w:rPr>
        <w:t>aydariyya, one of the oldest libraries of Iraq. In his colophons he typically identifies his antigraphs, fully quoting their colophons and commenting on their quality and, accordingly, on his own contribution during the transcription and editing of the text.</w:t>
      </w:r>
      <w:r w:rsidR="00697A47" w:rsidRPr="00697A47">
        <w:rPr>
          <w:rStyle w:val="EndnoteReference"/>
          <w:lang w:bidi="ar-JO"/>
        </w:rPr>
        <w:endnoteReference w:id="50"/>
      </w:r>
    </w:p>
    <w:p w14:paraId="74C98851" w14:textId="77777777" w:rsidR="00F42300" w:rsidRPr="005904C2" w:rsidRDefault="00F42300" w:rsidP="00A76617">
      <w:pPr>
        <w:autoSpaceDE w:val="0"/>
        <w:autoSpaceDN w:val="0"/>
        <w:adjustRightInd w:val="0"/>
        <w:spacing w:line="480" w:lineRule="auto"/>
        <w:contextualSpacing/>
        <w:rPr>
          <w:lang w:bidi="ar-JO"/>
        </w:rPr>
      </w:pPr>
    </w:p>
    <w:p w14:paraId="6113713E" w14:textId="6C557B32" w:rsidR="00697A47" w:rsidRPr="0041771B" w:rsidRDefault="00697A47" w:rsidP="00A76617">
      <w:pPr>
        <w:pStyle w:val="Heading2"/>
        <w:rPr>
          <w:lang w:bidi="ar-JO"/>
        </w:rPr>
      </w:pPr>
      <w:r w:rsidRPr="0041771B">
        <w:rPr>
          <w:lang w:bidi="ar-JO"/>
        </w:rPr>
        <w:t xml:space="preserve">Islamic </w:t>
      </w:r>
      <w:r w:rsidR="00D732AF" w:rsidRPr="0041771B">
        <w:rPr>
          <w:lang w:bidi="ar-JO"/>
        </w:rPr>
        <w:t>M</w:t>
      </w:r>
      <w:r w:rsidRPr="0041771B">
        <w:rPr>
          <w:lang w:bidi="ar-JO"/>
        </w:rPr>
        <w:t xml:space="preserve">anuscript </w:t>
      </w:r>
      <w:r w:rsidR="00F42300" w:rsidRPr="0041771B">
        <w:rPr>
          <w:lang w:bidi="ar-JO"/>
        </w:rPr>
        <w:t>C</w:t>
      </w:r>
      <w:r w:rsidRPr="0041771B">
        <w:rPr>
          <w:lang w:bidi="ar-JO"/>
        </w:rPr>
        <w:t xml:space="preserve">ulture </w:t>
      </w:r>
      <w:r w:rsidR="00DF18F8">
        <w:rPr>
          <w:lang w:bidi="ar-JO"/>
        </w:rPr>
        <w:t>u</w:t>
      </w:r>
      <w:r w:rsidRPr="0041771B">
        <w:rPr>
          <w:lang w:bidi="ar-JO"/>
        </w:rPr>
        <w:t xml:space="preserve">nder </w:t>
      </w:r>
      <w:r w:rsidR="00F42300" w:rsidRPr="0041771B">
        <w:rPr>
          <w:lang w:bidi="ar-JO"/>
        </w:rPr>
        <w:t>T</w:t>
      </w:r>
      <w:r w:rsidRPr="0041771B">
        <w:rPr>
          <w:lang w:bidi="ar-JO"/>
        </w:rPr>
        <w:t>hreat</w:t>
      </w:r>
    </w:p>
    <w:p w14:paraId="41EC43B8" w14:textId="3CFC13FC" w:rsidR="0045303A" w:rsidRPr="00697A47" w:rsidRDefault="00697A47" w:rsidP="00697A47">
      <w:pPr>
        <w:autoSpaceDE w:val="0"/>
        <w:autoSpaceDN w:val="0"/>
        <w:adjustRightInd w:val="0"/>
        <w:spacing w:line="480" w:lineRule="auto"/>
        <w:contextualSpacing/>
        <w:rPr>
          <w:color w:val="FF0000"/>
          <w:lang w:bidi="ar-JO"/>
        </w:rPr>
      </w:pPr>
      <w:r w:rsidRPr="00697A47">
        <w:t>There are many reasons why a certain book has come down to us while others fall into oblivion and eventually get lost. What becomes part of the canon at any given time and what is discarded is continuously renegotiated, and many of the registers discussed above not only record what was there but also silently exclude what is meant to be left out.</w:t>
      </w:r>
      <w:r w:rsidRPr="00697A47">
        <w:rPr>
          <w:rStyle w:val="EndnoteReference"/>
        </w:rPr>
        <w:endnoteReference w:id="51"/>
      </w:r>
      <w:r w:rsidRPr="00697A47">
        <w:t xml:space="preserve"> At the same time, Islamic manuscript heritage continues to be threatened in many ways—exposed to improper handling, exposure, theft, inclement climatic conditions, and willful destruction, to name a few dangers. Over the past </w:t>
      </w:r>
      <w:r w:rsidR="00F02BD0">
        <w:t xml:space="preserve">few </w:t>
      </w:r>
      <w:r w:rsidRPr="00697A47">
        <w:t>decades, there have been repeated cases of deliberate destruction of Islamic manuscripts. They include the bombing of libraries, archives, and museums in Kosovo and Bosnia by Serbian nationalists, most importantly the tragic burning of the National Library of Bosnia-Herzegovina in August 1992, when some two million books were destroyed by fire.</w:t>
      </w:r>
      <w:r w:rsidRPr="00697A47">
        <w:rPr>
          <w:rStyle w:val="EndnoteReference"/>
        </w:rPr>
        <w:endnoteReference w:id="52"/>
      </w:r>
      <w:r w:rsidRPr="00697A47">
        <w:t xml:space="preserve"> Moreover, </w:t>
      </w:r>
      <w:r w:rsidRPr="00697A47">
        <w:rPr>
          <w:color w:val="000000" w:themeColor="text1"/>
        </w:rPr>
        <w:t xml:space="preserve">a large portion of the manuscript holdings of the libraries of Iraq was either destroyed or looted </w:t>
      </w:r>
      <w:r w:rsidRPr="00697A47">
        <w:rPr>
          <w:lang w:bidi="ar-JO"/>
        </w:rPr>
        <w:t>in the aftermath of the 1991 Gulf War</w:t>
      </w:r>
      <w:r w:rsidRPr="00697A47">
        <w:rPr>
          <w:color w:val="000000" w:themeColor="text1"/>
        </w:rPr>
        <w:t xml:space="preserve"> and again in March 2003, following the invasion of Iraq by American and British troops.</w:t>
      </w:r>
      <w:r w:rsidRPr="00697A47">
        <w:rPr>
          <w:rStyle w:val="EndnoteReference"/>
          <w:color w:val="000000" w:themeColor="text1"/>
        </w:rPr>
        <w:endnoteReference w:id="53"/>
      </w:r>
      <w:r w:rsidRPr="00697A47">
        <w:rPr>
          <w:color w:val="000000" w:themeColor="text1"/>
        </w:rPr>
        <w:t xml:space="preserve"> </w:t>
      </w:r>
      <w:r w:rsidRPr="002C597B">
        <w:rPr>
          <w:b/>
          <w:color w:val="000000" w:themeColor="text1"/>
        </w:rPr>
        <w:t>[fig</w:t>
      </w:r>
      <w:r w:rsidR="004151AA" w:rsidRPr="002C597B">
        <w:rPr>
          <w:b/>
          <w:color w:val="000000" w:themeColor="text1"/>
        </w:rPr>
        <w:t>.</w:t>
      </w:r>
      <w:r w:rsidRPr="002C597B">
        <w:rPr>
          <w:b/>
          <w:color w:val="000000" w:themeColor="text1"/>
        </w:rPr>
        <w:t xml:space="preserve"> </w:t>
      </w:r>
      <w:r w:rsidR="004151AA" w:rsidRPr="002C597B">
        <w:rPr>
          <w:b/>
          <w:color w:val="000000" w:themeColor="text1"/>
        </w:rPr>
        <w:t>5.11</w:t>
      </w:r>
      <w:r w:rsidRPr="002C597B">
        <w:rPr>
          <w:b/>
          <w:color w:val="000000" w:themeColor="text1"/>
        </w:rPr>
        <w:t>]</w:t>
      </w:r>
      <w:r w:rsidRPr="00697A47">
        <w:t xml:space="preserve"> It is also worrying that Islamic manuscripts of uncertain provenance continue to be auctioned off into private hands.</w:t>
      </w:r>
      <w:r w:rsidRPr="00697A47">
        <w:rPr>
          <w:rStyle w:val="EndnoteReference"/>
        </w:rPr>
        <w:endnoteReference w:id="54"/>
      </w:r>
      <w:r w:rsidRPr="00697A47">
        <w:t xml:space="preserve"> Sectarianism and multiple forms of censorship pose another threat to Islamic cultural heritage. </w:t>
      </w:r>
      <w:r w:rsidRPr="00697A47">
        <w:rPr>
          <w:lang w:bidi="ar-JO"/>
        </w:rPr>
        <w:t>Reducing the intellectually rich and diverse Islamic literary heritage to the bare minimum of what is seen as allegedly authentic is a strategy that is characteristic of Wahhabism, Salafism, and jihadism</w:t>
      </w:r>
      <w:r w:rsidR="009C0104">
        <w:rPr>
          <w:lang w:bidi="ar-JO"/>
        </w:rPr>
        <w:t>,</w:t>
      </w:r>
      <w:r w:rsidRPr="00697A47">
        <w:rPr>
          <w:lang w:bidi="ar-JO"/>
        </w:rPr>
        <w:t xml:space="preserve"> and their proponents. Whatever goes against their interpretation of Islam is classified as “heretical” and banned from distribution. </w:t>
      </w:r>
      <w:r w:rsidRPr="002C597B">
        <w:rPr>
          <w:b/>
          <w:color w:val="000000" w:themeColor="text1"/>
          <w:lang w:bidi="ar-JO"/>
        </w:rPr>
        <w:t xml:space="preserve">[fig. </w:t>
      </w:r>
      <w:r w:rsidR="006E000B" w:rsidRPr="002C597B">
        <w:rPr>
          <w:b/>
          <w:color w:val="000000" w:themeColor="text1"/>
          <w:lang w:bidi="ar-JO"/>
        </w:rPr>
        <w:t>5.12</w:t>
      </w:r>
      <w:r w:rsidRPr="002C597B">
        <w:rPr>
          <w:b/>
          <w:color w:val="000000" w:themeColor="text1"/>
          <w:lang w:bidi="ar-JO"/>
        </w:rPr>
        <w:t>]</w:t>
      </w:r>
      <w:r w:rsidRPr="002C597B">
        <w:rPr>
          <w:color w:val="000000" w:themeColor="text1"/>
          <w:lang w:bidi="ar-JO"/>
        </w:rPr>
        <w:t xml:space="preserve"> </w:t>
      </w:r>
      <w:r w:rsidRPr="00697A47">
        <w:rPr>
          <w:lang w:bidi="ar-JO"/>
        </w:rPr>
        <w:t>Moreover, libraries holding books and manuscripts that are seen as containing deviant views are targeted for destruction, and the same holds for historic</w:t>
      </w:r>
      <w:r w:rsidR="00F60964">
        <w:rPr>
          <w:lang w:bidi="ar-JO"/>
        </w:rPr>
        <w:t>al</w:t>
      </w:r>
      <w:r w:rsidRPr="00697A47">
        <w:rPr>
          <w:lang w:bidi="ar-JO"/>
        </w:rPr>
        <w:t xml:space="preserve"> monuments, shrines, and religious sites, which have been destroyed over the past </w:t>
      </w:r>
      <w:r w:rsidR="00644C5F">
        <w:rPr>
          <w:lang w:bidi="ar-JO"/>
        </w:rPr>
        <w:t xml:space="preserve">several </w:t>
      </w:r>
      <w:r w:rsidRPr="00697A47">
        <w:rPr>
          <w:lang w:bidi="ar-JO"/>
        </w:rPr>
        <w:t xml:space="preserve">decades by Muslim extremists in an attempt to “purify” Islam. </w:t>
      </w:r>
      <w:r w:rsidRPr="002C597B">
        <w:rPr>
          <w:b/>
          <w:color w:val="000000" w:themeColor="text1"/>
          <w:lang w:bidi="ar-JO"/>
        </w:rPr>
        <w:t xml:space="preserve">[fig. </w:t>
      </w:r>
      <w:r w:rsidR="006E000B" w:rsidRPr="002C597B">
        <w:rPr>
          <w:b/>
          <w:color w:val="000000" w:themeColor="text1"/>
          <w:lang w:bidi="ar-JO"/>
        </w:rPr>
        <w:t>5.13</w:t>
      </w:r>
      <w:r w:rsidRPr="002C597B">
        <w:rPr>
          <w:b/>
          <w:color w:val="000000" w:themeColor="text1"/>
          <w:lang w:bidi="ar-JO"/>
        </w:rPr>
        <w:t>]</w:t>
      </w:r>
      <w:r w:rsidRPr="00697A47">
        <w:rPr>
          <w:lang w:bidi="ar-JO"/>
        </w:rPr>
        <w:t xml:space="preserve"> Particular mention should be made of the attempts by Islamic militants to destroy important manuscript holdings in Timbuktu</w:t>
      </w:r>
      <w:r w:rsidR="00644C5F">
        <w:rPr>
          <w:lang w:bidi="ar-JO"/>
        </w:rPr>
        <w:t>, Mali</w:t>
      </w:r>
      <w:r w:rsidRPr="00697A47">
        <w:rPr>
          <w:lang w:bidi="ar-JO"/>
        </w:rPr>
        <w:t xml:space="preserve"> in 2013; the destruction of cultural heritage in Sukur, Nigeria, in 2015;</w:t>
      </w:r>
      <w:r w:rsidRPr="00697A47">
        <w:rPr>
          <w:rStyle w:val="EndnoteReference"/>
          <w:lang w:bidi="ar-JO"/>
        </w:rPr>
        <w:endnoteReference w:id="55"/>
      </w:r>
      <w:r w:rsidRPr="00697A47">
        <w:rPr>
          <w:lang w:bidi="ar-JO"/>
        </w:rPr>
        <w:t xml:space="preserve"> </w:t>
      </w:r>
      <w:r w:rsidR="00DC3021" w:rsidRPr="00697A47">
        <w:rPr>
          <w:lang w:bidi="ar-JO"/>
        </w:rPr>
        <w:t xml:space="preserve">the destruction of books and manuscripts in the libraries of Mosul at the hands of </w:t>
      </w:r>
      <w:r w:rsidR="00E42B02">
        <w:rPr>
          <w:lang w:bidi="ar-JO"/>
        </w:rPr>
        <w:t xml:space="preserve">the </w:t>
      </w:r>
      <w:r w:rsidR="00D23089" w:rsidRPr="00573E86">
        <w:rPr>
          <w:rFonts w:eastAsia="Assistant"/>
        </w:rPr>
        <w:t xml:space="preserve">Islamic State of Iraq and </w:t>
      </w:r>
      <w:r w:rsidR="00D23089">
        <w:rPr>
          <w:rFonts w:eastAsia="Assistant"/>
        </w:rPr>
        <w:t>Syria</w:t>
      </w:r>
      <w:r w:rsidR="00D23089" w:rsidRPr="00573E86">
        <w:rPr>
          <w:rFonts w:eastAsia="Assistant"/>
        </w:rPr>
        <w:t xml:space="preserve"> (ISI</w:t>
      </w:r>
      <w:r w:rsidR="00D23089">
        <w:rPr>
          <w:rFonts w:eastAsia="Assistant"/>
        </w:rPr>
        <w:t>S</w:t>
      </w:r>
      <w:r w:rsidR="00D23089" w:rsidRPr="00573E86">
        <w:rPr>
          <w:rFonts w:eastAsia="Assistant"/>
        </w:rPr>
        <w:t xml:space="preserve">, </w:t>
      </w:r>
      <w:r w:rsidR="00D23089">
        <w:rPr>
          <w:rFonts w:eastAsia="Assistant"/>
        </w:rPr>
        <w:t xml:space="preserve">also known as </w:t>
      </w:r>
      <w:r w:rsidR="00D23089" w:rsidRPr="00573E86">
        <w:rPr>
          <w:rFonts w:eastAsia="Assistant"/>
        </w:rPr>
        <w:t>ISI</w:t>
      </w:r>
      <w:r w:rsidR="00D23089">
        <w:rPr>
          <w:rFonts w:eastAsia="Assistant"/>
        </w:rPr>
        <w:t>L</w:t>
      </w:r>
      <w:r w:rsidR="00D23089" w:rsidRPr="00573E86">
        <w:rPr>
          <w:rFonts w:eastAsia="Assistant"/>
        </w:rPr>
        <w:t xml:space="preserve"> or Da’esh)</w:t>
      </w:r>
      <w:r w:rsidR="00DC3021" w:rsidRPr="00697A47">
        <w:rPr>
          <w:lang w:bidi="ar-JO"/>
        </w:rPr>
        <w:t xml:space="preserve"> in 2015</w:t>
      </w:r>
      <w:r w:rsidR="00AC52C2" w:rsidRPr="00697A47">
        <w:rPr>
          <w:lang w:bidi="ar-JO"/>
        </w:rPr>
        <w:t>; and</w:t>
      </w:r>
      <w:r w:rsidR="00DC3021" w:rsidRPr="00697A47">
        <w:rPr>
          <w:lang w:bidi="ar-JO"/>
        </w:rPr>
        <w:t xml:space="preserve"> attacks on Zaydi libraries in Yemen.</w:t>
      </w:r>
      <w:r w:rsidR="004C24B0" w:rsidRPr="00697A47">
        <w:rPr>
          <w:lang w:bidi="ar-JO"/>
        </w:rPr>
        <w:t xml:space="preserve"> </w:t>
      </w:r>
      <w:r w:rsidR="00B65056" w:rsidRPr="002C597B">
        <w:rPr>
          <w:b/>
          <w:color w:val="000000" w:themeColor="text1"/>
          <w:lang w:bidi="ar-JO"/>
        </w:rPr>
        <w:t>[</w:t>
      </w:r>
      <w:r w:rsidR="0018087A" w:rsidRPr="002C597B">
        <w:rPr>
          <w:b/>
          <w:color w:val="000000" w:themeColor="text1"/>
          <w:lang w:bidi="ar-JO"/>
        </w:rPr>
        <w:t xml:space="preserve">fig. </w:t>
      </w:r>
      <w:r w:rsidR="006E000B" w:rsidRPr="002C597B">
        <w:rPr>
          <w:b/>
          <w:color w:val="000000" w:themeColor="text1"/>
          <w:lang w:bidi="ar-JO"/>
        </w:rPr>
        <w:t>5.14</w:t>
      </w:r>
      <w:r w:rsidR="00B65056" w:rsidRPr="002C597B">
        <w:rPr>
          <w:b/>
          <w:color w:val="000000" w:themeColor="text1"/>
          <w:lang w:bidi="ar-JO"/>
        </w:rPr>
        <w:t>]</w:t>
      </w:r>
    </w:p>
    <w:p w14:paraId="5FFD2047" w14:textId="0CCC3AEF" w:rsidR="00697A47" w:rsidRPr="00697A47" w:rsidRDefault="00697A47" w:rsidP="00697A47">
      <w:pPr>
        <w:autoSpaceDE w:val="0"/>
        <w:autoSpaceDN w:val="0"/>
        <w:adjustRightInd w:val="0"/>
        <w:spacing w:line="480" w:lineRule="auto"/>
        <w:contextualSpacing/>
      </w:pPr>
    </w:p>
    <w:p w14:paraId="47622651" w14:textId="214E07FC" w:rsidR="00697A47" w:rsidRPr="00697A47" w:rsidRDefault="00697A47" w:rsidP="00A76617">
      <w:pPr>
        <w:pStyle w:val="Heading2"/>
      </w:pPr>
      <w:r w:rsidRPr="00697A47">
        <w:t xml:space="preserve">Suggested </w:t>
      </w:r>
      <w:r>
        <w:t>R</w:t>
      </w:r>
      <w:r w:rsidRPr="00697A47">
        <w:t>eadings</w:t>
      </w:r>
    </w:p>
    <w:p w14:paraId="1B64DF0C" w14:textId="474449FE" w:rsidR="00697A47" w:rsidRPr="00697A47" w:rsidRDefault="00697A47" w:rsidP="00697A47">
      <w:pPr>
        <w:spacing w:line="480" w:lineRule="auto"/>
        <w:contextualSpacing/>
      </w:pPr>
      <w:r w:rsidRPr="00697A47">
        <w:t xml:space="preserve">Hassan Ansari and Sabine Schmidtke, “Bibliographical Practices in Islamic Societies, with an Analysis of MS Berlin, Staatsbibliothek zu Berlin, Hs. or. 13525,” </w:t>
      </w:r>
      <w:r w:rsidRPr="00697A47">
        <w:rPr>
          <w:i/>
          <w:iCs/>
        </w:rPr>
        <w:t>Intellectual History of the Islamicate World</w:t>
      </w:r>
      <w:r w:rsidRPr="00697A47">
        <w:t xml:space="preserve"> 4 (2016)</w:t>
      </w:r>
      <w:r w:rsidR="00A33682">
        <w:t>:</w:t>
      </w:r>
      <w:r w:rsidRPr="00697A47">
        <w:t xml:space="preserve"> 102–51.</w:t>
      </w:r>
    </w:p>
    <w:p w14:paraId="554BD64A" w14:textId="77777777" w:rsidR="00DF18F8" w:rsidRDefault="00DF18F8" w:rsidP="00697A47">
      <w:pPr>
        <w:spacing w:line="480" w:lineRule="auto"/>
        <w:contextualSpacing/>
      </w:pPr>
    </w:p>
    <w:p w14:paraId="07CD9F3D" w14:textId="3DCDB969" w:rsidR="00697A47" w:rsidRPr="00697A47" w:rsidRDefault="00697A47" w:rsidP="00697A47">
      <w:pPr>
        <w:spacing w:line="480" w:lineRule="auto"/>
        <w:contextualSpacing/>
      </w:pPr>
      <w:r w:rsidRPr="00697A47">
        <w:t xml:space="preserve">Hassan Ansari and Sabine Schmidtke, </w:t>
      </w:r>
      <w:r w:rsidR="005A7909">
        <w:rPr>
          <w:i/>
          <w:iCs/>
        </w:rPr>
        <w:t>A</w:t>
      </w:r>
      <w:r w:rsidR="005A7909" w:rsidRPr="00697A47">
        <w:rPr>
          <w:i/>
          <w:iCs/>
        </w:rPr>
        <w:t xml:space="preserve">l-Šarīf al-Murtaḍā’s Oeuvre and Thought </w:t>
      </w:r>
      <w:r w:rsidR="005A7909">
        <w:rPr>
          <w:i/>
          <w:iCs/>
        </w:rPr>
        <w:t>in Context</w:t>
      </w:r>
      <w:r w:rsidRPr="00697A47">
        <w:rPr>
          <w:i/>
          <w:iCs/>
        </w:rPr>
        <w:t>: An Archaeological Inquiry into Texts and Their Transmission</w:t>
      </w:r>
      <w:r w:rsidRPr="00697A47">
        <w:t xml:space="preserve"> </w:t>
      </w:r>
      <w:r w:rsidR="00491733">
        <w:t>(</w:t>
      </w:r>
      <w:r w:rsidRPr="00697A47">
        <w:t xml:space="preserve">Cordoba: </w:t>
      </w:r>
      <w:r w:rsidR="00A01F5F">
        <w:t xml:space="preserve">Cordoba University Press, </w:t>
      </w:r>
      <w:r w:rsidR="005A7909" w:rsidRPr="00697A47">
        <w:t>202</w:t>
      </w:r>
      <w:r w:rsidR="005A7909">
        <w:t>2</w:t>
      </w:r>
      <w:r w:rsidR="00491733">
        <w:t>)</w:t>
      </w:r>
      <w:r w:rsidRPr="00697A47">
        <w:t>.</w:t>
      </w:r>
    </w:p>
    <w:p w14:paraId="1ED02EB8" w14:textId="77777777" w:rsidR="00DF18F8" w:rsidRDefault="00DF18F8" w:rsidP="00697A47">
      <w:pPr>
        <w:autoSpaceDE w:val="0"/>
        <w:autoSpaceDN w:val="0"/>
        <w:adjustRightInd w:val="0"/>
        <w:spacing w:line="480" w:lineRule="auto"/>
        <w:contextualSpacing/>
      </w:pPr>
    </w:p>
    <w:p w14:paraId="76628C66" w14:textId="1831648C" w:rsidR="00697A47" w:rsidRPr="00697A47" w:rsidRDefault="00697A47" w:rsidP="00697A47">
      <w:pPr>
        <w:autoSpaceDE w:val="0"/>
        <w:autoSpaceDN w:val="0"/>
        <w:adjustRightInd w:val="0"/>
        <w:spacing w:line="480" w:lineRule="auto"/>
        <w:contextualSpacing/>
      </w:pPr>
      <w:r w:rsidRPr="00697A47">
        <w:t xml:space="preserve">Jonathan M. Bloom, </w:t>
      </w:r>
      <w:r w:rsidRPr="00697A47">
        <w:rPr>
          <w:i/>
          <w:iCs/>
        </w:rPr>
        <w:t>From Paper to Print: The History and Impact of Paper in the Islamic World</w:t>
      </w:r>
      <w:r w:rsidRPr="00697A47">
        <w:t xml:space="preserve"> </w:t>
      </w:r>
      <w:r w:rsidR="006F133E">
        <w:t>(</w:t>
      </w:r>
      <w:r w:rsidRPr="00697A47">
        <w:t>New Haven, CT: Yale University Press, 2001</w:t>
      </w:r>
      <w:r w:rsidR="006F133E">
        <w:t>)</w:t>
      </w:r>
      <w:r w:rsidRPr="00697A47">
        <w:t>.</w:t>
      </w:r>
    </w:p>
    <w:p w14:paraId="2B4EA785" w14:textId="77777777" w:rsidR="00DF18F8" w:rsidRDefault="00DF18F8" w:rsidP="00697A47">
      <w:pPr>
        <w:autoSpaceDE w:val="0"/>
        <w:autoSpaceDN w:val="0"/>
        <w:adjustRightInd w:val="0"/>
        <w:spacing w:line="480" w:lineRule="auto"/>
        <w:contextualSpacing/>
      </w:pPr>
    </w:p>
    <w:p w14:paraId="3DB10976" w14:textId="0AE76AD6" w:rsidR="00697A47" w:rsidRPr="00697A47" w:rsidRDefault="00697A47" w:rsidP="00697A47">
      <w:pPr>
        <w:autoSpaceDE w:val="0"/>
        <w:autoSpaceDN w:val="0"/>
        <w:adjustRightInd w:val="0"/>
        <w:spacing w:line="480" w:lineRule="auto"/>
        <w:contextualSpacing/>
      </w:pPr>
      <w:r w:rsidRPr="00697A47">
        <w:t xml:space="preserve">François Déroche et al., </w:t>
      </w:r>
      <w:r w:rsidRPr="00697A47">
        <w:rPr>
          <w:i/>
          <w:iCs/>
        </w:rPr>
        <w:t>Islamic Codicology: An Introduction to the Study of Manuscripts in Arabic Script</w:t>
      </w:r>
      <w:r w:rsidRPr="00697A47">
        <w:t xml:space="preserve"> </w:t>
      </w:r>
      <w:r w:rsidR="006F133E">
        <w:t>(</w:t>
      </w:r>
      <w:r w:rsidRPr="00697A47">
        <w:t xml:space="preserve">London: </w:t>
      </w:r>
      <w:r w:rsidR="00AC3051">
        <w:t>a</w:t>
      </w:r>
      <w:r w:rsidRPr="00697A47">
        <w:t>l-Furqān Islamic Heritage Foundation, 2015</w:t>
      </w:r>
      <w:r w:rsidR="006F133E">
        <w:t>)</w:t>
      </w:r>
      <w:r w:rsidRPr="00697A47">
        <w:t>.</w:t>
      </w:r>
    </w:p>
    <w:p w14:paraId="7B959B48" w14:textId="77777777" w:rsidR="00DF18F8" w:rsidRDefault="00DF18F8" w:rsidP="00697A47">
      <w:pPr>
        <w:autoSpaceDE w:val="0"/>
        <w:autoSpaceDN w:val="0"/>
        <w:adjustRightInd w:val="0"/>
        <w:spacing w:line="480" w:lineRule="auto"/>
        <w:contextualSpacing/>
      </w:pPr>
    </w:p>
    <w:p w14:paraId="4BC4B6A1" w14:textId="6AFA47E4" w:rsidR="00697A47" w:rsidRPr="00697A47" w:rsidRDefault="00697A47" w:rsidP="00697A47">
      <w:pPr>
        <w:autoSpaceDE w:val="0"/>
        <w:autoSpaceDN w:val="0"/>
        <w:adjustRightInd w:val="0"/>
        <w:spacing w:line="480" w:lineRule="auto"/>
        <w:contextualSpacing/>
      </w:pPr>
      <w:r w:rsidRPr="00697A47">
        <w:t xml:space="preserve">Beatrice Gründler, </w:t>
      </w:r>
      <w:r w:rsidRPr="00697A47">
        <w:rPr>
          <w:i/>
          <w:iCs/>
        </w:rPr>
        <w:t>The Rise of the Arabic Book</w:t>
      </w:r>
      <w:r w:rsidRPr="00697A47">
        <w:t xml:space="preserve"> </w:t>
      </w:r>
      <w:r w:rsidR="00785EDD">
        <w:t>(</w:t>
      </w:r>
      <w:r w:rsidRPr="00697A47">
        <w:t>Cambridge, MA: Harvard University Press, 2020</w:t>
      </w:r>
      <w:r w:rsidR="00785EDD">
        <w:t>)</w:t>
      </w:r>
      <w:r w:rsidRPr="00697A47">
        <w:t>.</w:t>
      </w:r>
    </w:p>
    <w:p w14:paraId="1B6452F6" w14:textId="77777777" w:rsidR="00DF18F8" w:rsidRDefault="00DF18F8" w:rsidP="00697A47">
      <w:pPr>
        <w:spacing w:line="480" w:lineRule="auto"/>
        <w:contextualSpacing/>
      </w:pPr>
    </w:p>
    <w:p w14:paraId="11FD8EF6" w14:textId="1EA4DFDB" w:rsidR="00697A47" w:rsidRPr="00697A47" w:rsidRDefault="00697A47" w:rsidP="00697A47">
      <w:pPr>
        <w:spacing w:line="480" w:lineRule="auto"/>
        <w:contextualSpacing/>
      </w:pPr>
      <w:r w:rsidRPr="00697A47">
        <w:t xml:space="preserve">Konrad Hirschler, </w:t>
      </w:r>
      <w:r w:rsidRPr="00697A47">
        <w:rPr>
          <w:i/>
          <w:iCs/>
        </w:rPr>
        <w:t>The Written Word in the Medieval Arabic Lands: A Social and Cultural History of Reading Practices</w:t>
      </w:r>
      <w:r w:rsidRPr="00697A47">
        <w:t xml:space="preserve"> </w:t>
      </w:r>
      <w:r w:rsidR="00785EDD">
        <w:t>(</w:t>
      </w:r>
      <w:r w:rsidRPr="00697A47">
        <w:t>Edinburgh: Edinburgh University Press, 2012</w:t>
      </w:r>
      <w:r w:rsidR="00785EDD">
        <w:t>)</w:t>
      </w:r>
      <w:r w:rsidRPr="00697A47">
        <w:t>.</w:t>
      </w:r>
    </w:p>
    <w:p w14:paraId="1FEECEC6" w14:textId="77777777" w:rsidR="008F0CDF" w:rsidRPr="00697A47" w:rsidRDefault="008F0CDF" w:rsidP="00697A47">
      <w:pPr>
        <w:autoSpaceDE w:val="0"/>
        <w:autoSpaceDN w:val="0"/>
        <w:adjustRightInd w:val="0"/>
        <w:spacing w:line="480" w:lineRule="auto"/>
        <w:contextualSpacing/>
        <w:rPr>
          <w:lang w:bidi="ar-JO"/>
        </w:rPr>
      </w:pPr>
    </w:p>
    <w:p w14:paraId="5A0A9C18" w14:textId="3AF0AEBF" w:rsidR="008F0CDF" w:rsidRPr="00697A47" w:rsidRDefault="00DF18F8" w:rsidP="00697A47">
      <w:pPr>
        <w:autoSpaceDE w:val="0"/>
        <w:autoSpaceDN w:val="0"/>
        <w:adjustRightInd w:val="0"/>
        <w:spacing w:line="480" w:lineRule="auto"/>
        <w:contextualSpacing/>
        <w:rPr>
          <w:lang w:bidi="ar-JO"/>
        </w:rPr>
      </w:pPr>
      <w:r>
        <w:rPr>
          <w:lang w:bidi="ar-JO"/>
        </w:rPr>
        <w:t xml:space="preserve">Figure </w:t>
      </w:r>
      <w:r w:rsidR="008F0CDF" w:rsidRPr="00697A47">
        <w:rPr>
          <w:lang w:bidi="ar-JO"/>
        </w:rPr>
        <w:t>Captions</w:t>
      </w:r>
    </w:p>
    <w:p w14:paraId="64132407" w14:textId="7298B678" w:rsidR="00682C4E" w:rsidRPr="00697A47" w:rsidRDefault="00682C4E" w:rsidP="00697A47">
      <w:pPr>
        <w:autoSpaceDE w:val="0"/>
        <w:autoSpaceDN w:val="0"/>
        <w:adjustRightInd w:val="0"/>
        <w:spacing w:line="480" w:lineRule="auto"/>
        <w:contextualSpacing/>
        <w:rPr>
          <w:lang w:bidi="ar-JO"/>
        </w:rPr>
      </w:pPr>
      <w:r w:rsidRPr="00697A47">
        <w:rPr>
          <w:lang w:bidi="ar-JO"/>
        </w:rPr>
        <w:t xml:space="preserve">Fig. </w:t>
      </w:r>
      <w:r w:rsidR="00AD3733">
        <w:rPr>
          <w:lang w:bidi="ar-JO"/>
        </w:rPr>
        <w:t>5.</w:t>
      </w:r>
      <w:r w:rsidRPr="00697A47">
        <w:rPr>
          <w:lang w:bidi="ar-JO"/>
        </w:rPr>
        <w:t>1 Page from a lithograph print, Tabr</w:t>
      </w:r>
      <w:r w:rsidR="00641470">
        <w:rPr>
          <w:lang w:bidi="ar-JO"/>
        </w:rPr>
        <w:t>i</w:t>
      </w:r>
      <w:r w:rsidRPr="00697A47">
        <w:rPr>
          <w:lang w:bidi="ar-JO"/>
        </w:rPr>
        <w:t>z 1877, of Jaʿfar b. al-</w:t>
      </w:r>
      <w:r w:rsidR="00641470">
        <w:rPr>
          <w:lang w:bidi="ar-JO"/>
        </w:rPr>
        <w:t>H</w:t>
      </w:r>
      <w:r w:rsidRPr="00697A47">
        <w:rPr>
          <w:lang w:bidi="ar-JO"/>
        </w:rPr>
        <w:t>asan al-Mu</w:t>
      </w:r>
      <w:r w:rsidR="00DA7CC2">
        <w:rPr>
          <w:lang w:bidi="ar-JO"/>
        </w:rPr>
        <w:t>h</w:t>
      </w:r>
      <w:r w:rsidRPr="00697A47">
        <w:rPr>
          <w:lang w:bidi="ar-JO"/>
        </w:rPr>
        <w:t>aqqiq al-</w:t>
      </w:r>
      <w:r w:rsidR="00641470">
        <w:rPr>
          <w:lang w:bidi="ar-JO"/>
        </w:rPr>
        <w:t>H</w:t>
      </w:r>
      <w:r w:rsidRPr="00697A47">
        <w:rPr>
          <w:lang w:bidi="ar-JO"/>
        </w:rPr>
        <w:t>ill</w:t>
      </w:r>
      <w:r w:rsidR="00641470">
        <w:rPr>
          <w:lang w:bidi="ar-JO"/>
        </w:rPr>
        <w:t>i</w:t>
      </w:r>
      <w:r w:rsidRPr="00697A47">
        <w:rPr>
          <w:lang w:bidi="ar-JO"/>
        </w:rPr>
        <w:t>’s (d. 1205</w:t>
      </w:r>
      <w:r w:rsidR="003B38A1" w:rsidRPr="00697A47">
        <w:rPr>
          <w:lang w:bidi="ar-JO"/>
        </w:rPr>
        <w:t>–</w:t>
      </w:r>
      <w:r w:rsidRPr="00697A47">
        <w:rPr>
          <w:lang w:bidi="ar-JO"/>
        </w:rPr>
        <w:t xml:space="preserve">6) </w:t>
      </w:r>
      <w:r w:rsidRPr="00697A47">
        <w:rPr>
          <w:i/>
          <w:iCs/>
          <w:lang w:bidi="ar-JO"/>
        </w:rPr>
        <w:t>Sharāʾiʿ al-Islām</w:t>
      </w:r>
      <w:r w:rsidRPr="00697A47">
        <w:rPr>
          <w:lang w:bidi="ar-JO"/>
        </w:rPr>
        <w:t>, with several layers of commentaries in the margin</w:t>
      </w:r>
    </w:p>
    <w:p w14:paraId="4D59FC2E" w14:textId="688E4DC4" w:rsidR="008F0CDF" w:rsidRPr="00697A47" w:rsidRDefault="008F0CDF" w:rsidP="00697A47">
      <w:pPr>
        <w:autoSpaceDE w:val="0"/>
        <w:autoSpaceDN w:val="0"/>
        <w:adjustRightInd w:val="0"/>
        <w:spacing w:line="480" w:lineRule="auto"/>
        <w:contextualSpacing/>
        <w:rPr>
          <w:lang w:bidi="ar-JO"/>
        </w:rPr>
      </w:pPr>
      <w:r w:rsidRPr="00697A47">
        <w:rPr>
          <w:lang w:bidi="ar-JO"/>
        </w:rPr>
        <w:t xml:space="preserve">Fig. </w:t>
      </w:r>
      <w:r w:rsidR="00AD3733">
        <w:rPr>
          <w:lang w:bidi="ar-JO"/>
        </w:rPr>
        <w:t>5.</w:t>
      </w:r>
      <w:r w:rsidR="00B6604C" w:rsidRPr="00697A47">
        <w:rPr>
          <w:lang w:bidi="ar-JO"/>
        </w:rPr>
        <w:t xml:space="preserve">2 </w:t>
      </w:r>
      <w:r w:rsidR="00CE2F19" w:rsidRPr="00697A47">
        <w:rPr>
          <w:lang w:bidi="ar-JO"/>
        </w:rPr>
        <w:t xml:space="preserve">Entrance to the Süleymaniye </w:t>
      </w:r>
      <w:r w:rsidR="003B38A1" w:rsidRPr="00697A47">
        <w:rPr>
          <w:lang w:bidi="ar-JO"/>
        </w:rPr>
        <w:t>L</w:t>
      </w:r>
      <w:r w:rsidR="00CE2F19" w:rsidRPr="00697A47">
        <w:rPr>
          <w:lang w:bidi="ar-JO"/>
        </w:rPr>
        <w:t>ibrary, Istanbul (source: http://emedrese.tv/suleymaniye-kutuphanesi-1/)</w:t>
      </w:r>
    </w:p>
    <w:p w14:paraId="6A793461" w14:textId="7F3C785D" w:rsidR="008F0CDF" w:rsidRPr="00697A47" w:rsidRDefault="008F0CDF" w:rsidP="00697A47">
      <w:pPr>
        <w:autoSpaceDE w:val="0"/>
        <w:autoSpaceDN w:val="0"/>
        <w:adjustRightInd w:val="0"/>
        <w:spacing w:line="480" w:lineRule="auto"/>
        <w:contextualSpacing/>
        <w:rPr>
          <w:lang w:bidi="ar-JO"/>
        </w:rPr>
      </w:pPr>
      <w:r w:rsidRPr="00697A47">
        <w:rPr>
          <w:lang w:bidi="ar-JO"/>
        </w:rPr>
        <w:t xml:space="preserve">Fig. </w:t>
      </w:r>
      <w:r w:rsidR="00AD3733">
        <w:rPr>
          <w:lang w:bidi="ar-JO"/>
        </w:rPr>
        <w:t>5.3</w:t>
      </w:r>
      <w:r w:rsidR="000179C7" w:rsidRPr="00697A47">
        <w:rPr>
          <w:lang w:bidi="ar-JO"/>
        </w:rPr>
        <w:t xml:space="preserve"> Worldwide distribution of Islamic manuscripts (source: Mar</w:t>
      </w:r>
      <w:r w:rsidR="00B309C7" w:rsidRPr="00697A47">
        <w:rPr>
          <w:lang w:bidi="ar-JO"/>
        </w:rPr>
        <w:t>í</w:t>
      </w:r>
      <w:r w:rsidR="000179C7" w:rsidRPr="00697A47">
        <w:rPr>
          <w:lang w:bidi="ar-JO"/>
        </w:rPr>
        <w:t>a Mercedes Tuya; with kind permission)</w:t>
      </w:r>
    </w:p>
    <w:p w14:paraId="46DB5790" w14:textId="2438CC9C" w:rsidR="008F0CDF" w:rsidRPr="00697A47" w:rsidRDefault="008F0CDF" w:rsidP="00697A47">
      <w:pPr>
        <w:autoSpaceDE w:val="0"/>
        <w:autoSpaceDN w:val="0"/>
        <w:adjustRightInd w:val="0"/>
        <w:spacing w:line="480" w:lineRule="auto"/>
        <w:contextualSpacing/>
        <w:rPr>
          <w:lang w:bidi="ar-JO"/>
        </w:rPr>
      </w:pPr>
      <w:r w:rsidRPr="00697A47">
        <w:rPr>
          <w:lang w:bidi="ar-JO"/>
        </w:rPr>
        <w:t xml:space="preserve">Fig. </w:t>
      </w:r>
      <w:r w:rsidR="00AD3733">
        <w:rPr>
          <w:lang w:bidi="ar-JO"/>
        </w:rPr>
        <w:t>5.4</w:t>
      </w:r>
      <w:r w:rsidR="00640330" w:rsidRPr="00697A47">
        <w:rPr>
          <w:lang w:bidi="ar-JO"/>
        </w:rPr>
        <w:t xml:space="preserve"> </w:t>
      </w:r>
      <w:r w:rsidR="000179C7" w:rsidRPr="00697A47">
        <w:rPr>
          <w:lang w:bidi="ar-JO"/>
        </w:rPr>
        <w:t>Primary languages of the Islamic world (</w:t>
      </w:r>
      <w:r w:rsidR="00CB09FF" w:rsidRPr="00697A47">
        <w:rPr>
          <w:lang w:bidi="ar-JO"/>
        </w:rPr>
        <w:t xml:space="preserve">source: </w:t>
      </w:r>
      <w:r w:rsidR="009F0CD5" w:rsidRPr="00697A47">
        <w:rPr>
          <w:lang w:bidi="ar-JO"/>
        </w:rPr>
        <w:t>https://www.reddit.com/r/MapPorn/comments/2ecu7a/primary_languages_of_islamic_world_84186346/)</w:t>
      </w:r>
    </w:p>
    <w:p w14:paraId="0BE81F87" w14:textId="4FE6D4CC" w:rsidR="008F0CDF" w:rsidRPr="00697A47" w:rsidRDefault="008F0CDF" w:rsidP="00697A47">
      <w:pPr>
        <w:autoSpaceDE w:val="0"/>
        <w:autoSpaceDN w:val="0"/>
        <w:adjustRightInd w:val="0"/>
        <w:spacing w:line="480" w:lineRule="auto"/>
        <w:contextualSpacing/>
        <w:rPr>
          <w:lang w:bidi="ar-JO"/>
        </w:rPr>
      </w:pPr>
      <w:r w:rsidRPr="00697A47">
        <w:rPr>
          <w:lang w:bidi="ar-JO"/>
        </w:rPr>
        <w:t xml:space="preserve">Fig. </w:t>
      </w:r>
      <w:r w:rsidR="007F459E">
        <w:rPr>
          <w:lang w:bidi="ar-JO"/>
        </w:rPr>
        <w:t>5.5</w:t>
      </w:r>
      <w:r w:rsidR="00640330" w:rsidRPr="00697A47">
        <w:rPr>
          <w:lang w:bidi="ar-JO"/>
        </w:rPr>
        <w:t xml:space="preserve"> </w:t>
      </w:r>
      <w:r w:rsidRPr="00697A47">
        <w:rPr>
          <w:lang w:bidi="ar-JO"/>
        </w:rPr>
        <w:t>Fuat Sezgin</w:t>
      </w:r>
      <w:r w:rsidR="00CB09FF" w:rsidRPr="00697A47">
        <w:rPr>
          <w:lang w:bidi="ar-JO"/>
        </w:rPr>
        <w:t>’</w:t>
      </w:r>
      <w:r w:rsidRPr="00697A47">
        <w:rPr>
          <w:lang w:bidi="ar-JO"/>
        </w:rPr>
        <w:t>s copy of Brockelmann</w:t>
      </w:r>
      <w:r w:rsidR="00CB09FF" w:rsidRPr="00697A47">
        <w:rPr>
          <w:lang w:bidi="ar-JO"/>
        </w:rPr>
        <w:t>’</w:t>
      </w:r>
      <w:r w:rsidRPr="00697A47">
        <w:rPr>
          <w:lang w:bidi="ar-JO"/>
        </w:rPr>
        <w:t>s GAL with notes (</w:t>
      </w:r>
      <w:r w:rsidR="00785EDD">
        <w:rPr>
          <w:lang w:bidi="ar-JO"/>
        </w:rPr>
        <w:t>source</w:t>
      </w:r>
      <w:r w:rsidRPr="00697A47">
        <w:rPr>
          <w:lang w:bidi="ar-JO"/>
        </w:rPr>
        <w:t>: Hilal Sezgin, de.wikipedia.org/wiki/Datei:FsezginLitKomm.jpg)</w:t>
      </w:r>
    </w:p>
    <w:p w14:paraId="31AB7735" w14:textId="608BF53A" w:rsidR="008F0CDF" w:rsidRPr="00697A47" w:rsidRDefault="008F0CDF" w:rsidP="00697A47">
      <w:pPr>
        <w:autoSpaceDE w:val="0"/>
        <w:autoSpaceDN w:val="0"/>
        <w:adjustRightInd w:val="0"/>
        <w:spacing w:line="480" w:lineRule="auto"/>
        <w:contextualSpacing/>
        <w:rPr>
          <w:lang w:bidi="ar-JO"/>
        </w:rPr>
      </w:pPr>
      <w:r w:rsidRPr="00697A47">
        <w:rPr>
          <w:lang w:bidi="ar-JO"/>
        </w:rPr>
        <w:t xml:space="preserve">Fig. </w:t>
      </w:r>
      <w:r w:rsidR="007F459E">
        <w:rPr>
          <w:lang w:bidi="ar-JO"/>
        </w:rPr>
        <w:t>5.6</w:t>
      </w:r>
      <w:r w:rsidR="00640330" w:rsidRPr="00697A47">
        <w:rPr>
          <w:lang w:bidi="ar-JO"/>
        </w:rPr>
        <w:t xml:space="preserve"> </w:t>
      </w:r>
      <w:r w:rsidR="00487670" w:rsidRPr="00697A47">
        <w:rPr>
          <w:lang w:bidi="ar-JO"/>
        </w:rPr>
        <w:t xml:space="preserve">Title page of </w:t>
      </w:r>
      <w:r w:rsidRPr="00697A47">
        <w:rPr>
          <w:lang w:bidi="ar-JO"/>
        </w:rPr>
        <w:t>Ms. Dublin, Chester Beatty Library, Ar. 3315</w:t>
      </w:r>
      <w:r w:rsidR="0055645B">
        <w:rPr>
          <w:lang w:bidi="ar-JO"/>
        </w:rPr>
        <w:t>.</w:t>
      </w:r>
      <w:r w:rsidR="00487670" w:rsidRPr="00697A47">
        <w:rPr>
          <w:lang w:bidi="ar-JO"/>
        </w:rPr>
        <w:t xml:space="preserve"> </w:t>
      </w:r>
      <w:r w:rsidR="0055645B">
        <w:rPr>
          <w:lang w:bidi="ar-JO"/>
        </w:rPr>
        <w:t>O</w:t>
      </w:r>
      <w:r w:rsidR="00487670" w:rsidRPr="00697A47">
        <w:rPr>
          <w:lang w:bidi="ar-JO"/>
        </w:rPr>
        <w:t>ne of the oldest extant copies of Ibn al-Nad</w:t>
      </w:r>
      <w:r w:rsidR="00641470">
        <w:rPr>
          <w:lang w:bidi="ar-JO"/>
        </w:rPr>
        <w:t>i</w:t>
      </w:r>
      <w:r w:rsidR="00487670" w:rsidRPr="00697A47">
        <w:rPr>
          <w:lang w:bidi="ar-JO"/>
        </w:rPr>
        <w:t>m</w:t>
      </w:r>
      <w:r w:rsidR="00CB09FF" w:rsidRPr="00697A47">
        <w:rPr>
          <w:lang w:bidi="ar-JO"/>
        </w:rPr>
        <w:t>’</w:t>
      </w:r>
      <w:r w:rsidR="00487670" w:rsidRPr="00697A47">
        <w:rPr>
          <w:lang w:bidi="ar-JO"/>
        </w:rPr>
        <w:t xml:space="preserve">s </w:t>
      </w:r>
      <w:r w:rsidR="00487670" w:rsidRPr="00697A47">
        <w:rPr>
          <w:i/>
          <w:iCs/>
          <w:lang w:bidi="ar-JO"/>
        </w:rPr>
        <w:t>Catalog</w:t>
      </w:r>
      <w:r w:rsidR="00487670" w:rsidRPr="00697A47">
        <w:rPr>
          <w:lang w:bidi="ar-JO"/>
        </w:rPr>
        <w:t>, which was purchased in 1421 by the prominent Egyptian scholar Taq</w:t>
      </w:r>
      <w:r w:rsidR="00641470">
        <w:rPr>
          <w:lang w:bidi="ar-JO"/>
        </w:rPr>
        <w:t>i</w:t>
      </w:r>
      <w:r w:rsidR="00487670" w:rsidRPr="00697A47">
        <w:rPr>
          <w:lang w:bidi="ar-JO"/>
        </w:rPr>
        <w:t xml:space="preserve"> l-D</w:t>
      </w:r>
      <w:r w:rsidR="00641470">
        <w:rPr>
          <w:lang w:bidi="ar-JO"/>
        </w:rPr>
        <w:t>i</w:t>
      </w:r>
      <w:r w:rsidR="00487670" w:rsidRPr="00697A47">
        <w:rPr>
          <w:lang w:bidi="ar-JO"/>
        </w:rPr>
        <w:t>n A</w:t>
      </w:r>
      <w:r w:rsidR="00DA7CC2">
        <w:rPr>
          <w:lang w:bidi="ar-JO"/>
        </w:rPr>
        <w:t>h</w:t>
      </w:r>
      <w:r w:rsidR="00487670" w:rsidRPr="00697A47">
        <w:rPr>
          <w:lang w:bidi="ar-JO"/>
        </w:rPr>
        <w:t>mad b. ʿAl</w:t>
      </w:r>
      <w:r w:rsidR="00641470">
        <w:rPr>
          <w:lang w:bidi="ar-JO"/>
        </w:rPr>
        <w:t>i</w:t>
      </w:r>
      <w:r w:rsidR="00487670" w:rsidRPr="00697A47">
        <w:rPr>
          <w:lang w:bidi="ar-JO"/>
        </w:rPr>
        <w:t xml:space="preserve"> al-Maqr</w:t>
      </w:r>
      <w:r w:rsidR="00641470">
        <w:rPr>
          <w:lang w:bidi="ar-JO"/>
        </w:rPr>
        <w:t>i</w:t>
      </w:r>
      <w:r w:rsidR="00487670" w:rsidRPr="00697A47">
        <w:rPr>
          <w:lang w:bidi="ar-JO"/>
        </w:rPr>
        <w:t>z</w:t>
      </w:r>
      <w:r w:rsidR="00641470">
        <w:rPr>
          <w:lang w:bidi="ar-JO"/>
        </w:rPr>
        <w:t>i</w:t>
      </w:r>
      <w:r w:rsidR="00487670" w:rsidRPr="00697A47">
        <w:rPr>
          <w:lang w:bidi="ar-JO"/>
        </w:rPr>
        <w:t xml:space="preserve"> (d. 1442)</w:t>
      </w:r>
    </w:p>
    <w:p w14:paraId="1A08F1F1" w14:textId="37D43F99" w:rsidR="000B279E" w:rsidRPr="00697A47" w:rsidRDefault="000B279E" w:rsidP="00697A47">
      <w:pPr>
        <w:autoSpaceDE w:val="0"/>
        <w:autoSpaceDN w:val="0"/>
        <w:adjustRightInd w:val="0"/>
        <w:spacing w:line="480" w:lineRule="auto"/>
        <w:contextualSpacing/>
        <w:rPr>
          <w:lang w:bidi="ar-JO"/>
        </w:rPr>
      </w:pPr>
      <w:r w:rsidRPr="00697A47">
        <w:rPr>
          <w:lang w:bidi="ar-JO"/>
        </w:rPr>
        <w:t xml:space="preserve">Fig. </w:t>
      </w:r>
      <w:r w:rsidR="00927BBF">
        <w:rPr>
          <w:lang w:bidi="ar-JO"/>
        </w:rPr>
        <w:t>5.7</w:t>
      </w:r>
      <w:r w:rsidR="00A95051" w:rsidRPr="00697A47">
        <w:rPr>
          <w:lang w:bidi="ar-JO"/>
        </w:rPr>
        <w:t xml:space="preserve"> </w:t>
      </w:r>
      <w:r w:rsidRPr="00697A47">
        <w:rPr>
          <w:lang w:bidi="ar-JO"/>
        </w:rPr>
        <w:t>Ms</w:t>
      </w:r>
      <w:r w:rsidR="00CB09FF" w:rsidRPr="00697A47">
        <w:rPr>
          <w:lang w:bidi="ar-JO"/>
        </w:rPr>
        <w:t>.</w:t>
      </w:r>
      <w:r w:rsidRPr="00697A47">
        <w:rPr>
          <w:lang w:bidi="ar-JO"/>
        </w:rPr>
        <w:t xml:space="preserve"> Paris, BnF, arabe 5847, fol. 5v, illustration of </w:t>
      </w:r>
      <w:r w:rsidR="00473ADE" w:rsidRPr="00697A47">
        <w:rPr>
          <w:lang w:bidi="ar-JO"/>
        </w:rPr>
        <w:t>a</w:t>
      </w:r>
      <w:r w:rsidRPr="00697A47">
        <w:rPr>
          <w:lang w:bidi="ar-JO"/>
        </w:rPr>
        <w:t xml:space="preserve"> library in al-</w:t>
      </w:r>
      <w:r w:rsidR="00641470">
        <w:rPr>
          <w:lang w:bidi="ar-JO"/>
        </w:rPr>
        <w:t>Ha</w:t>
      </w:r>
      <w:r w:rsidRPr="00697A47">
        <w:rPr>
          <w:lang w:bidi="ar-JO"/>
        </w:rPr>
        <w:t>ʾir</w:t>
      </w:r>
      <w:r w:rsidR="00641470">
        <w:rPr>
          <w:lang w:bidi="ar-JO"/>
        </w:rPr>
        <w:t>i</w:t>
      </w:r>
      <w:r w:rsidR="00CB09FF" w:rsidRPr="00697A47">
        <w:rPr>
          <w:lang w:bidi="ar-JO"/>
        </w:rPr>
        <w:t>’</w:t>
      </w:r>
      <w:r w:rsidRPr="00697A47">
        <w:rPr>
          <w:lang w:bidi="ar-JO"/>
        </w:rPr>
        <w:t xml:space="preserve">s </w:t>
      </w:r>
      <w:r w:rsidRPr="00697A47">
        <w:rPr>
          <w:i/>
          <w:iCs/>
          <w:lang w:bidi="ar-JO"/>
        </w:rPr>
        <w:t>Maqāmat</w:t>
      </w:r>
      <w:r w:rsidRPr="00697A47">
        <w:rPr>
          <w:lang w:bidi="ar-JO"/>
        </w:rPr>
        <w:t>, copy dated 1237 (</w:t>
      </w:r>
      <w:r w:rsidR="00CB09FF" w:rsidRPr="00697A47">
        <w:rPr>
          <w:lang w:bidi="ar-JO"/>
        </w:rPr>
        <w:t>source:</w:t>
      </w:r>
      <w:r w:rsidRPr="00697A47">
        <w:rPr>
          <w:lang w:bidi="ar-JO"/>
        </w:rPr>
        <w:t xml:space="preserve"> Alamy Stock Photo,</w:t>
      </w:r>
      <w:r w:rsidR="00CB09FF" w:rsidRPr="00697A47">
        <w:rPr>
          <w:lang w:bidi="ar-JO"/>
        </w:rPr>
        <w:t xml:space="preserve"> History Collection,</w:t>
      </w:r>
      <w:r w:rsidRPr="00697A47">
        <w:rPr>
          <w:lang w:bidi="ar-JO"/>
        </w:rPr>
        <w:t xml:space="preserve"> </w:t>
      </w:r>
      <w:r w:rsidR="00CB09FF" w:rsidRPr="00697A47">
        <w:rPr>
          <w:lang w:bidi="ar-JO"/>
        </w:rPr>
        <w:t>i</w:t>
      </w:r>
      <w:r w:rsidRPr="00697A47">
        <w:rPr>
          <w:lang w:bidi="ar-JO"/>
        </w:rPr>
        <w:t>mage ID: J41HW9)</w:t>
      </w:r>
    </w:p>
    <w:p w14:paraId="2460768D" w14:textId="64989F8E" w:rsidR="00B227AA" w:rsidRPr="00697A47" w:rsidRDefault="00B227AA" w:rsidP="00697A47">
      <w:pPr>
        <w:autoSpaceDE w:val="0"/>
        <w:autoSpaceDN w:val="0"/>
        <w:adjustRightInd w:val="0"/>
        <w:spacing w:line="480" w:lineRule="auto"/>
        <w:contextualSpacing/>
        <w:rPr>
          <w:lang w:bidi="ar-JO"/>
        </w:rPr>
      </w:pPr>
      <w:r w:rsidRPr="00697A47">
        <w:rPr>
          <w:lang w:bidi="ar-JO"/>
        </w:rPr>
        <w:t xml:space="preserve">Fig. </w:t>
      </w:r>
      <w:r w:rsidR="00927BBF">
        <w:rPr>
          <w:lang w:bidi="ar-JO"/>
        </w:rPr>
        <w:t>5.8</w:t>
      </w:r>
      <w:r w:rsidR="00A95051" w:rsidRPr="00697A47">
        <w:rPr>
          <w:lang w:bidi="ar-JO"/>
        </w:rPr>
        <w:t xml:space="preserve"> </w:t>
      </w:r>
      <w:r w:rsidR="005D124F" w:rsidRPr="00697A47">
        <w:rPr>
          <w:lang w:bidi="ar-JO"/>
        </w:rPr>
        <w:t>Page from a Mamluk</w:t>
      </w:r>
      <w:r w:rsidRPr="00697A47">
        <w:rPr>
          <w:lang w:bidi="ar-JO"/>
        </w:rPr>
        <w:t xml:space="preserve"> Qurʾ</w:t>
      </w:r>
      <w:r w:rsidR="00641470">
        <w:rPr>
          <w:lang w:bidi="ar-JO"/>
        </w:rPr>
        <w:t>a</w:t>
      </w:r>
      <w:r w:rsidRPr="00697A47">
        <w:rPr>
          <w:lang w:bidi="ar-JO"/>
        </w:rPr>
        <w:t xml:space="preserve">n (source: </w:t>
      </w:r>
      <w:r w:rsidR="005D124F" w:rsidRPr="00697A47">
        <w:rPr>
          <w:lang w:bidi="ar-JO"/>
        </w:rPr>
        <w:t xml:space="preserve">Marcus Fraser, </w:t>
      </w:r>
      <w:r w:rsidR="005D124F" w:rsidRPr="00697A47">
        <w:rPr>
          <w:i/>
          <w:iCs/>
          <w:lang w:bidi="ar-JO"/>
        </w:rPr>
        <w:t xml:space="preserve">Geometry in Gold: </w:t>
      </w:r>
      <w:r w:rsidR="00785EDD">
        <w:rPr>
          <w:i/>
          <w:iCs/>
          <w:lang w:bidi="ar-JO"/>
        </w:rPr>
        <w:t>A</w:t>
      </w:r>
      <w:r w:rsidR="005D124F" w:rsidRPr="00697A47">
        <w:rPr>
          <w:i/>
          <w:iCs/>
          <w:lang w:bidi="ar-JO"/>
        </w:rPr>
        <w:t>n Illuminated Mamlūk Qurʾān Section</w:t>
      </w:r>
      <w:r w:rsidR="005D124F" w:rsidRPr="00697A47">
        <w:rPr>
          <w:lang w:bidi="ar-JO"/>
        </w:rPr>
        <w:t xml:space="preserve"> </w:t>
      </w:r>
      <w:r w:rsidR="00654F47">
        <w:rPr>
          <w:lang w:bidi="ar-JO"/>
        </w:rPr>
        <w:t>(</w:t>
      </w:r>
      <w:r w:rsidR="005D124F" w:rsidRPr="00697A47">
        <w:rPr>
          <w:lang w:bidi="ar-JO"/>
        </w:rPr>
        <w:t>London: Sam Fogg, 2005</w:t>
      </w:r>
      <w:r w:rsidR="00654F47">
        <w:rPr>
          <w:lang w:bidi="ar-JO"/>
        </w:rPr>
        <w:t>)</w:t>
      </w:r>
      <w:r w:rsidRPr="00697A47">
        <w:rPr>
          <w:lang w:bidi="ar-JO"/>
        </w:rPr>
        <w:t>)</w:t>
      </w:r>
    </w:p>
    <w:p w14:paraId="25A0E3E5" w14:textId="4E2DF5A8" w:rsidR="006D5A58" w:rsidRPr="00697A47" w:rsidRDefault="006D5A58" w:rsidP="00697A47">
      <w:pPr>
        <w:autoSpaceDE w:val="0"/>
        <w:autoSpaceDN w:val="0"/>
        <w:adjustRightInd w:val="0"/>
        <w:spacing w:line="480" w:lineRule="auto"/>
        <w:contextualSpacing/>
        <w:rPr>
          <w:lang w:bidi="ar-JO"/>
        </w:rPr>
      </w:pPr>
      <w:r w:rsidRPr="00697A47">
        <w:rPr>
          <w:lang w:bidi="ar-JO"/>
        </w:rPr>
        <w:t xml:space="preserve">Fig. </w:t>
      </w:r>
      <w:r w:rsidR="00233A1E">
        <w:rPr>
          <w:lang w:bidi="ar-JO"/>
        </w:rPr>
        <w:t>5.9</w:t>
      </w:r>
      <w:r w:rsidR="00A95051" w:rsidRPr="00697A47">
        <w:rPr>
          <w:lang w:bidi="ar-JO"/>
        </w:rPr>
        <w:t xml:space="preserve"> </w:t>
      </w:r>
      <w:r w:rsidR="000E4413">
        <w:rPr>
          <w:lang w:bidi="ar-JO"/>
        </w:rPr>
        <w:t>Sheikh</w:t>
      </w:r>
      <w:r w:rsidRPr="00697A47">
        <w:rPr>
          <w:lang w:bidi="ar-JO"/>
        </w:rPr>
        <w:t xml:space="preserve"> Baye looking at an illuminated Qurʾ</w:t>
      </w:r>
      <w:r w:rsidR="00641470">
        <w:rPr>
          <w:lang w:bidi="ar-JO"/>
        </w:rPr>
        <w:t>a</w:t>
      </w:r>
      <w:r w:rsidRPr="00697A47">
        <w:rPr>
          <w:lang w:bidi="ar-JO"/>
        </w:rPr>
        <w:t>n dating back to the fourteenth century, in his library, Bouj Beha, Mali in April</w:t>
      </w:r>
      <w:r w:rsidR="00DB5774">
        <w:rPr>
          <w:lang w:bidi="ar-JO"/>
        </w:rPr>
        <w:t xml:space="preserve"> </w:t>
      </w:r>
      <w:r w:rsidRPr="00697A47">
        <w:rPr>
          <w:lang w:bidi="ar-JO"/>
        </w:rPr>
        <w:t>2003. (</w:t>
      </w:r>
      <w:r w:rsidR="00DB5774">
        <w:rPr>
          <w:lang w:bidi="ar-JO"/>
        </w:rPr>
        <w:t xml:space="preserve">source: </w:t>
      </w:r>
      <w:r w:rsidRPr="00697A47">
        <w:rPr>
          <w:lang w:bidi="ar-JO"/>
        </w:rPr>
        <w:t>Xavier ROSSI/Gamma-Rapho via Getty Images; gettyimages-115130675)</w:t>
      </w:r>
    </w:p>
    <w:p w14:paraId="4A16610F" w14:textId="352C8A6B" w:rsidR="006B520D" w:rsidRPr="00697A47" w:rsidRDefault="006B520D" w:rsidP="00697A47">
      <w:pPr>
        <w:autoSpaceDE w:val="0"/>
        <w:autoSpaceDN w:val="0"/>
        <w:adjustRightInd w:val="0"/>
        <w:spacing w:line="480" w:lineRule="auto"/>
        <w:contextualSpacing/>
      </w:pPr>
      <w:r w:rsidRPr="00697A47">
        <w:t xml:space="preserve">Fig. </w:t>
      </w:r>
      <w:r w:rsidR="00233A1E">
        <w:t>5.1</w:t>
      </w:r>
      <w:r w:rsidR="00A95051" w:rsidRPr="00697A47">
        <w:t xml:space="preserve">0 </w:t>
      </w:r>
      <w:r w:rsidRPr="00697A47">
        <w:t>Title page of Ms. San Lorenzo, El Escorial, arabe 1485, fol. 7r, containing another copy of al-Murta</w:t>
      </w:r>
      <w:r w:rsidR="00EE7E59">
        <w:t>d</w:t>
      </w:r>
      <w:r w:rsidR="00641470">
        <w:t>a</w:t>
      </w:r>
      <w:r w:rsidR="00CB09FF" w:rsidRPr="00697A47">
        <w:t>’</w:t>
      </w:r>
      <w:r w:rsidRPr="00697A47">
        <w:t xml:space="preserve">s </w:t>
      </w:r>
      <w:r w:rsidRPr="00697A47">
        <w:rPr>
          <w:i/>
          <w:iCs/>
        </w:rPr>
        <w:t>K. al-Ghurar</w:t>
      </w:r>
      <w:r w:rsidRPr="00697A47">
        <w:t>, transmitted through Fa</w:t>
      </w:r>
      <w:r w:rsidR="00EE7E59">
        <w:t>d</w:t>
      </w:r>
      <w:r w:rsidRPr="00697A47">
        <w:t>l All</w:t>
      </w:r>
      <w:r w:rsidR="00641470">
        <w:t>a</w:t>
      </w:r>
      <w:r w:rsidRPr="00697A47">
        <w:t>h al-R</w:t>
      </w:r>
      <w:r w:rsidR="00641470">
        <w:t>a</w:t>
      </w:r>
      <w:r w:rsidRPr="00697A47">
        <w:t>wand</w:t>
      </w:r>
      <w:r w:rsidR="00641470">
        <w:t>i</w:t>
      </w:r>
    </w:p>
    <w:p w14:paraId="3222D83E" w14:textId="327A4375" w:rsidR="00D135D0" w:rsidRPr="00697A47" w:rsidRDefault="001919B1" w:rsidP="00697A47">
      <w:pPr>
        <w:autoSpaceDE w:val="0"/>
        <w:autoSpaceDN w:val="0"/>
        <w:adjustRightInd w:val="0"/>
        <w:spacing w:line="480" w:lineRule="auto"/>
        <w:contextualSpacing/>
      </w:pPr>
      <w:r w:rsidRPr="00697A47">
        <w:t xml:space="preserve">Fig. </w:t>
      </w:r>
      <w:r w:rsidR="00EE7AC2">
        <w:t>5.11</w:t>
      </w:r>
      <w:r w:rsidR="00A95051" w:rsidRPr="00697A47">
        <w:t xml:space="preserve"> </w:t>
      </w:r>
      <w:r w:rsidR="00FE5911" w:rsidRPr="00697A47">
        <w:t xml:space="preserve">Bayt al-ḥikma, Baghdad, </w:t>
      </w:r>
      <w:r w:rsidR="00C94A59">
        <w:t xml:space="preserve">view of the </w:t>
      </w:r>
      <w:r w:rsidR="00CB09FF" w:rsidRPr="00697A47">
        <w:t>b</w:t>
      </w:r>
      <w:r w:rsidR="00D135D0" w:rsidRPr="00697A47">
        <w:t xml:space="preserve">urned </w:t>
      </w:r>
      <w:r w:rsidR="00CB09FF" w:rsidRPr="00697A47">
        <w:t>s</w:t>
      </w:r>
      <w:r w:rsidR="00D135D0" w:rsidRPr="00697A47">
        <w:t xml:space="preserve">econd </w:t>
      </w:r>
      <w:r w:rsidR="00CB09FF" w:rsidRPr="00697A47">
        <w:t>f</w:t>
      </w:r>
      <w:r w:rsidR="00D135D0" w:rsidRPr="00697A47">
        <w:t>loor (</w:t>
      </w:r>
      <w:r w:rsidR="00C94A59">
        <w:t>source</w:t>
      </w:r>
      <w:r w:rsidR="00CB09FF" w:rsidRPr="00697A47">
        <w:t>:</w:t>
      </w:r>
      <w:r w:rsidR="00D135D0" w:rsidRPr="00697A47">
        <w:t xml:space="preserve"> Nabil al-Tikriti, Oriental Institute, University of Chicago</w:t>
      </w:r>
      <w:r w:rsidR="00031D02">
        <w:t xml:space="preserve">, </w:t>
      </w:r>
      <w:r w:rsidR="00031D02" w:rsidRPr="00697A47">
        <w:t>2003</w:t>
      </w:r>
      <w:r w:rsidR="00D135D0" w:rsidRPr="00697A47">
        <w:t>; MELA Committee on Iraqi Libraries, http://oi-archive.uchicago.edu/OI/IRAQ/mela/LibraryPix/014.html)</w:t>
      </w:r>
    </w:p>
    <w:p w14:paraId="7906DC54" w14:textId="5325A023" w:rsidR="001919B1" w:rsidRPr="00697A47" w:rsidRDefault="001919B1" w:rsidP="00697A47">
      <w:pPr>
        <w:autoSpaceDE w:val="0"/>
        <w:autoSpaceDN w:val="0"/>
        <w:adjustRightInd w:val="0"/>
        <w:spacing w:line="480" w:lineRule="auto"/>
        <w:contextualSpacing/>
        <w:rPr>
          <w:i/>
          <w:iCs/>
        </w:rPr>
      </w:pPr>
      <w:r w:rsidRPr="00697A47">
        <w:t xml:space="preserve">Fig. </w:t>
      </w:r>
      <w:r w:rsidR="00EE7AC2">
        <w:t>5.12</w:t>
      </w:r>
      <w:r w:rsidR="00A95051" w:rsidRPr="00697A47">
        <w:t xml:space="preserve"> </w:t>
      </w:r>
      <w:r w:rsidR="006422F3" w:rsidRPr="00697A47">
        <w:t xml:space="preserve">A man </w:t>
      </w:r>
      <w:r w:rsidR="003246FE" w:rsidRPr="00697A47">
        <w:t>tries</w:t>
      </w:r>
      <w:r w:rsidR="006422F3" w:rsidRPr="00697A47">
        <w:t xml:space="preserve"> to salvage burn</w:t>
      </w:r>
      <w:r w:rsidR="00CB09FF" w:rsidRPr="00697A47">
        <w:t>ed</w:t>
      </w:r>
      <w:r w:rsidR="006422F3" w:rsidRPr="00697A47">
        <w:t xml:space="preserve"> manuscripts at the Ahmed Baba Institute in Timbuktu, Mali</w:t>
      </w:r>
      <w:r w:rsidR="003246FE" w:rsidRPr="00697A47">
        <w:t xml:space="preserve"> (</w:t>
      </w:r>
      <w:r w:rsidR="00CB09FF" w:rsidRPr="00697A47">
        <w:t xml:space="preserve">source: </w:t>
      </w:r>
      <w:r w:rsidR="003246FE" w:rsidRPr="00697A47">
        <w:t>Eric Feferberg/AFP/Getty Images</w:t>
      </w:r>
      <w:r w:rsidR="003246FE" w:rsidRPr="00A76617">
        <w:t>)</w:t>
      </w:r>
    </w:p>
    <w:p w14:paraId="39C19764" w14:textId="6C2A1F58" w:rsidR="005A3E97" w:rsidRPr="00697A47" w:rsidRDefault="005A3E97" w:rsidP="00697A47">
      <w:pPr>
        <w:autoSpaceDE w:val="0"/>
        <w:autoSpaceDN w:val="0"/>
        <w:adjustRightInd w:val="0"/>
        <w:spacing w:line="480" w:lineRule="auto"/>
        <w:contextualSpacing/>
      </w:pPr>
      <w:r w:rsidRPr="00697A47">
        <w:t xml:space="preserve">Fig. </w:t>
      </w:r>
      <w:r w:rsidR="006B702D">
        <w:t>5.13</w:t>
      </w:r>
      <w:r w:rsidR="00A95051" w:rsidRPr="00697A47">
        <w:t xml:space="preserve"> </w:t>
      </w:r>
      <w:r w:rsidRPr="00697A47">
        <w:t xml:space="preserve">Burned </w:t>
      </w:r>
      <w:r w:rsidR="00644C5F">
        <w:t>b</w:t>
      </w:r>
      <w:r w:rsidRPr="00697A47">
        <w:t>ooks in the National Library, Baghdad</w:t>
      </w:r>
      <w:r w:rsidR="0018087A" w:rsidRPr="00697A47">
        <w:t>, April 2003</w:t>
      </w:r>
      <w:r w:rsidRPr="00697A47">
        <w:t xml:space="preserve"> (source: </w:t>
      </w:r>
      <w:r w:rsidR="0018087A" w:rsidRPr="00697A47">
        <w:t xml:space="preserve">Roger Lemoyne/Getty Images, </w:t>
      </w:r>
      <w:r w:rsidRPr="00697A47">
        <w:t xml:space="preserve">Getty Images </w:t>
      </w:r>
      <w:r w:rsidR="0018087A" w:rsidRPr="00697A47">
        <w:t>2059109)</w:t>
      </w:r>
    </w:p>
    <w:p w14:paraId="173F698B" w14:textId="27015A99" w:rsidR="001919B1" w:rsidRPr="00697A47" w:rsidRDefault="001919B1" w:rsidP="00697A47">
      <w:pPr>
        <w:autoSpaceDE w:val="0"/>
        <w:autoSpaceDN w:val="0"/>
        <w:adjustRightInd w:val="0"/>
        <w:spacing w:line="480" w:lineRule="auto"/>
        <w:contextualSpacing/>
        <w:rPr>
          <w:lang w:bidi="ar-JO"/>
        </w:rPr>
      </w:pPr>
      <w:r w:rsidRPr="00697A47">
        <w:t>Fig</w:t>
      </w:r>
      <w:r w:rsidR="00CB09FF" w:rsidRPr="00697A47">
        <w:t>.</w:t>
      </w:r>
      <w:r w:rsidRPr="00697A47">
        <w:t xml:space="preserve"> </w:t>
      </w:r>
      <w:r w:rsidR="006B702D">
        <w:t>5.14</w:t>
      </w:r>
      <w:r w:rsidR="00A95051" w:rsidRPr="00697A47">
        <w:t xml:space="preserve"> </w:t>
      </w:r>
      <w:r w:rsidR="00A23C73" w:rsidRPr="00697A47">
        <w:t>Evidence of ongoing illicit trafficking of manuscripts from Yemen</w:t>
      </w:r>
      <w:r w:rsidR="005A3E97" w:rsidRPr="00697A47">
        <w:t xml:space="preserve"> (source: Ahmed Shaker, with kind permission)</w:t>
      </w:r>
    </w:p>
    <w:sectPr w:rsidR="001919B1" w:rsidRPr="00697A47">
      <w:footerReference w:type="default" r:id="rId9"/>
      <w:endnotePr>
        <w:numFmt w:val="decimal"/>
      </w:endnotePr>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D098" w16cex:dateUtc="2021-11-09T18:48:00Z"/>
  <w16cex:commentExtensible w16cex:durableId="254F1E7F" w16cex:dateUtc="2021-11-29T17:40:00Z"/>
  <w16cex:commentExtensible w16cex:durableId="2534D46A" w16cex:dateUtc="2021-11-09T19:05:00Z"/>
  <w16cex:commentExtensible w16cex:durableId="2551B5A0" w16cex:dateUtc="2021-12-01T16:49:00Z"/>
  <w16cex:commentExtensible w16cex:durableId="25361B1D" w16cex:dateUtc="2021-11-10T18:19:00Z"/>
  <w16cex:commentExtensible w16cex:durableId="254F0C53" w16cex:dateUtc="2021-11-29T16:22:00Z"/>
  <w16cex:commentExtensible w16cex:durableId="25360111" w16cex:dateUtc="2021-11-10T16:28:00Z"/>
  <w16cex:commentExtensible w16cex:durableId="254F167D" w16cex:dateUtc="2021-11-29T17:06:00Z"/>
  <w16cex:commentExtensible w16cex:durableId="25362696" w16cex:dateUtc="2021-11-10T19:08:00Z"/>
  <w16cex:commentExtensible w16cex:durableId="254F16EA" w16cex:dateUtc="2021-11-29T17:07:00Z"/>
  <w16cex:commentExtensible w16cex:durableId="25360174" w16cex:dateUtc="2021-11-10T16:29:00Z"/>
  <w16cex:commentExtensible w16cex:durableId="253601AA" w16cex:dateUtc="2021-11-10T16:30:00Z"/>
  <w16cex:commentExtensible w16cex:durableId="254F170E" w16cex:dateUtc="2021-11-29T17: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55E1C" w14:textId="77777777" w:rsidR="0005782C" w:rsidRDefault="0005782C" w:rsidP="0053664E">
      <w:r>
        <w:separator/>
      </w:r>
    </w:p>
  </w:endnote>
  <w:endnote w:type="continuationSeparator" w:id="0">
    <w:p w14:paraId="387FA089" w14:textId="77777777" w:rsidR="0005782C" w:rsidRDefault="0005782C" w:rsidP="0053664E">
      <w:r>
        <w:continuationSeparator/>
      </w:r>
    </w:p>
  </w:endnote>
  <w:endnote w:id="1">
    <w:p w14:paraId="072EBA35" w14:textId="5A66E7E9" w:rsidR="00697A47" w:rsidRPr="00D45734" w:rsidRDefault="00697A47" w:rsidP="00A251F0">
      <w:pPr>
        <w:pStyle w:val="EndnoteText"/>
        <w:spacing w:line="480" w:lineRule="auto"/>
        <w:contextualSpacing/>
        <w:rPr>
          <w:sz w:val="24"/>
          <w:szCs w:val="24"/>
        </w:rPr>
      </w:pPr>
      <w:r w:rsidRPr="00A251F0">
        <w:rPr>
          <w:rStyle w:val="EndnoteReference"/>
          <w:sz w:val="24"/>
          <w:szCs w:val="24"/>
        </w:rPr>
        <w:endnoteRef/>
      </w:r>
      <w:r w:rsidRPr="00A251F0">
        <w:rPr>
          <w:sz w:val="24"/>
          <w:szCs w:val="24"/>
        </w:rPr>
        <w:t xml:space="preserve"> </w:t>
      </w:r>
      <w:r w:rsidR="00755250" w:rsidRPr="00A251F0">
        <w:rPr>
          <w:sz w:val="24"/>
          <w:szCs w:val="24"/>
        </w:rPr>
        <w:t>A</w:t>
      </w:r>
      <w:r w:rsidR="00755250" w:rsidRPr="00D45734">
        <w:rPr>
          <w:sz w:val="24"/>
          <w:szCs w:val="24"/>
        </w:rPr>
        <w:t xml:space="preserve">l-Maktaba al-Shāmila, </w:t>
      </w:r>
      <w:r w:rsidRPr="00D45734">
        <w:rPr>
          <w:sz w:val="24"/>
          <w:szCs w:val="24"/>
        </w:rPr>
        <w:t xml:space="preserve">https://shamela.ws. For a short history, see Peter Verkinderen, “Al-Maktaba al-Shāmila: A Short History,” </w:t>
      </w:r>
      <w:r w:rsidR="00DA4AAF" w:rsidRPr="00D45734">
        <w:rPr>
          <w:sz w:val="24"/>
          <w:szCs w:val="24"/>
        </w:rPr>
        <w:t>Knowledge, Information Technology, &amp; the Arabic Book (</w:t>
      </w:r>
      <w:r w:rsidRPr="00D45734">
        <w:rPr>
          <w:sz w:val="24"/>
          <w:szCs w:val="24"/>
        </w:rPr>
        <w:t>KITAB</w:t>
      </w:r>
      <w:r w:rsidR="00DA4AAF" w:rsidRPr="00D45734">
        <w:rPr>
          <w:sz w:val="24"/>
          <w:szCs w:val="24"/>
        </w:rPr>
        <w:t xml:space="preserve">), </w:t>
      </w:r>
      <w:r w:rsidR="000B4512" w:rsidRPr="00D45734">
        <w:rPr>
          <w:sz w:val="24"/>
          <w:szCs w:val="24"/>
        </w:rPr>
        <w:t xml:space="preserve">3 </w:t>
      </w:r>
      <w:r w:rsidRPr="00D45734">
        <w:rPr>
          <w:sz w:val="24"/>
          <w:szCs w:val="24"/>
        </w:rPr>
        <w:t xml:space="preserve">December 2020, </w:t>
      </w:r>
      <w:r w:rsidR="004055B7" w:rsidRPr="00D45734">
        <w:rPr>
          <w:sz w:val="24"/>
          <w:szCs w:val="24"/>
        </w:rPr>
        <w:t>https://kitab-project.org/Al-Maktaba-al-Shāmila-a-short-history/</w:t>
      </w:r>
      <w:r w:rsidRPr="00D45734">
        <w:rPr>
          <w:sz w:val="24"/>
          <w:szCs w:val="24"/>
        </w:rPr>
        <w:t>.</w:t>
      </w:r>
    </w:p>
  </w:endnote>
  <w:endnote w:id="2">
    <w:p w14:paraId="26AA262C" w14:textId="583FF2FC"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915A44" w:rsidRPr="00D45734">
        <w:rPr>
          <w:sz w:val="24"/>
          <w:szCs w:val="24"/>
        </w:rPr>
        <w:t xml:space="preserve">Noor Digital Library, </w:t>
      </w:r>
      <w:r w:rsidRPr="00D45734">
        <w:rPr>
          <w:sz w:val="24"/>
          <w:szCs w:val="24"/>
        </w:rPr>
        <w:t>http://www.noorlib.ir.</w:t>
      </w:r>
    </w:p>
  </w:endnote>
  <w:endnote w:id="3">
    <w:p w14:paraId="6887322F" w14:textId="1795B5DA"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755250" w:rsidRPr="00D45734">
        <w:rPr>
          <w:sz w:val="24"/>
          <w:szCs w:val="24"/>
        </w:rPr>
        <w:t xml:space="preserve">PDF Books Library, </w:t>
      </w:r>
      <w:r w:rsidRPr="00D45734">
        <w:rPr>
          <w:sz w:val="24"/>
          <w:szCs w:val="24"/>
        </w:rPr>
        <w:t>http://alfeker.net.</w:t>
      </w:r>
    </w:p>
  </w:endnote>
  <w:endnote w:id="4">
    <w:p w14:paraId="259D2ADD" w14:textId="419DFF0C"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1E1704" w:rsidRPr="00D45734">
        <w:rPr>
          <w:sz w:val="24"/>
          <w:szCs w:val="24"/>
        </w:rPr>
        <w:t>ACO</w:t>
      </w:r>
      <w:r w:rsidR="008521E4" w:rsidRPr="00D45734">
        <w:rPr>
          <w:sz w:val="24"/>
          <w:szCs w:val="24"/>
        </w:rPr>
        <w:t xml:space="preserve">, </w:t>
      </w:r>
      <w:r w:rsidRPr="00D45734">
        <w:rPr>
          <w:sz w:val="24"/>
          <w:szCs w:val="24"/>
        </w:rPr>
        <w:t>http://dlib.nyu.edu/aco/about/.</w:t>
      </w:r>
    </w:p>
  </w:endnote>
  <w:endnote w:id="5">
    <w:p w14:paraId="19822872" w14:textId="30F55A30"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8521E4" w:rsidRPr="00D45734">
        <w:rPr>
          <w:sz w:val="24"/>
          <w:szCs w:val="24"/>
        </w:rPr>
        <w:t xml:space="preserve">Shia Online Library, </w:t>
      </w:r>
      <w:r w:rsidRPr="00D45734">
        <w:rPr>
          <w:sz w:val="24"/>
          <w:szCs w:val="24"/>
        </w:rPr>
        <w:t>http://shiaonlinelibrary.com.</w:t>
      </w:r>
    </w:p>
  </w:endnote>
  <w:endnote w:id="6">
    <w:p w14:paraId="31564DD2" w14:textId="1C7BD139"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B16AD2" w:rsidRPr="00D45734">
        <w:rPr>
          <w:sz w:val="24"/>
          <w:szCs w:val="24"/>
        </w:rPr>
        <w:t xml:space="preserve">Al-Maktaba al-Waqfiyya, </w:t>
      </w:r>
      <w:r w:rsidRPr="00D45734">
        <w:rPr>
          <w:sz w:val="24"/>
          <w:szCs w:val="24"/>
        </w:rPr>
        <w:t>https://waqfeya.net.</w:t>
      </w:r>
    </w:p>
  </w:endnote>
  <w:endnote w:id="7">
    <w:p w14:paraId="56F431CD" w14:textId="7A7B11D5"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See “Islamic Manuscript Studies: Resources for the Study of Manuscripts Produced in the Islamic World and the Manuscript Cultures They Represent,” curated by Evyn Kropf, </w:t>
      </w:r>
      <w:r w:rsidR="00D953A3" w:rsidRPr="00D45734">
        <w:rPr>
          <w:sz w:val="24"/>
          <w:szCs w:val="24"/>
        </w:rPr>
        <w:t xml:space="preserve">University of Michigan Library, </w:t>
      </w:r>
      <w:r w:rsidRPr="00D45734">
        <w:rPr>
          <w:sz w:val="24"/>
          <w:szCs w:val="24"/>
        </w:rPr>
        <w:t>https://guides.lib.umich.edu/c.php?g=283218&amp;p=1886652.</w:t>
      </w:r>
    </w:p>
  </w:endnote>
  <w:endnote w:id="8">
    <w:p w14:paraId="71276E5F" w14:textId="32E725DC"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A81C07" w:rsidRPr="00D45734">
        <w:rPr>
          <w:sz w:val="24"/>
          <w:szCs w:val="24"/>
        </w:rPr>
        <w:t>S</w:t>
      </w:r>
      <w:r w:rsidR="00A81C07" w:rsidRPr="00A76617">
        <w:rPr>
          <w:sz w:val="24"/>
          <w:szCs w:val="24"/>
        </w:rPr>
        <w:t>ü</w:t>
      </w:r>
      <w:r w:rsidR="00A81C07" w:rsidRPr="00D45734">
        <w:rPr>
          <w:sz w:val="24"/>
          <w:szCs w:val="24"/>
        </w:rPr>
        <w:t xml:space="preserve">leymaniye Library, </w:t>
      </w:r>
      <w:r w:rsidRPr="00D45734">
        <w:rPr>
          <w:sz w:val="24"/>
          <w:szCs w:val="24"/>
        </w:rPr>
        <w:t>http://yazmalar.gov.tr/sayfa/manuscript-books/9.</w:t>
      </w:r>
    </w:p>
  </w:endnote>
  <w:endnote w:id="9">
    <w:p w14:paraId="10C217BE" w14:textId="0C3BE848"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Jan Just Witkam, “Introduction by Jan Just Witkam,” Brockelmann Online, https://referenceworks.brillonline.com/entries/brockelmann/introduction-by-jan-just-witkam-COM_001.</w:t>
      </w:r>
    </w:p>
  </w:endnote>
  <w:endnote w:id="10">
    <w:p w14:paraId="011596CA" w14:textId="23ABEE01"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6604C1" w:rsidRPr="00D45734">
        <w:rPr>
          <w:sz w:val="24"/>
          <w:szCs w:val="24"/>
        </w:rPr>
        <w:t xml:space="preserve">Carl </w:t>
      </w:r>
      <w:r w:rsidRPr="00D45734">
        <w:rPr>
          <w:sz w:val="24"/>
          <w:szCs w:val="24"/>
        </w:rPr>
        <w:t xml:space="preserve">Brockelmann, </w:t>
      </w:r>
      <w:r w:rsidRPr="00D45734">
        <w:rPr>
          <w:i/>
          <w:iCs/>
          <w:sz w:val="24"/>
          <w:szCs w:val="24"/>
        </w:rPr>
        <w:t>Geschichte der arabischen Litteratur</w:t>
      </w:r>
      <w:r w:rsidRPr="00D45734">
        <w:rPr>
          <w:sz w:val="24"/>
          <w:szCs w:val="24"/>
        </w:rPr>
        <w:t xml:space="preserve">, vol. 1 (1898), 1 (“alle Erzeugnisse des menschlichen Geistes </w:t>
      </w:r>
      <w:r w:rsidR="006604C1" w:rsidRPr="00D45734">
        <w:rPr>
          <w:sz w:val="24"/>
          <w:szCs w:val="24"/>
        </w:rPr>
        <w:t>…</w:t>
      </w:r>
      <w:r w:rsidRPr="00D45734">
        <w:rPr>
          <w:sz w:val="24"/>
          <w:szCs w:val="24"/>
        </w:rPr>
        <w:t> die in sprachliche Form gekleidet sind”). The English translation of the phrase is taken from Witkam, “Introduction</w:t>
      </w:r>
      <w:r w:rsidR="00513794" w:rsidRPr="00D45734">
        <w:rPr>
          <w:sz w:val="24"/>
          <w:szCs w:val="24"/>
        </w:rPr>
        <w:t xml:space="preserve"> by Jan Just Witkam</w:t>
      </w:r>
      <w:r w:rsidRPr="00D45734">
        <w:rPr>
          <w:sz w:val="24"/>
          <w:szCs w:val="24"/>
        </w:rPr>
        <w:t>.”</w:t>
      </w:r>
    </w:p>
  </w:endnote>
  <w:endnote w:id="11">
    <w:p w14:paraId="344670CA" w14:textId="15D6718F"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See </w:t>
      </w:r>
      <w:r w:rsidRPr="00D45734">
        <w:rPr>
          <w:i/>
          <w:iCs/>
          <w:sz w:val="24"/>
          <w:szCs w:val="24"/>
        </w:rPr>
        <w:t>Encyclopaedia Iranica</w:t>
      </w:r>
      <w:r w:rsidRPr="00D45734">
        <w:rPr>
          <w:sz w:val="24"/>
          <w:szCs w:val="24"/>
        </w:rPr>
        <w:t xml:space="preserve">, </w:t>
      </w:r>
      <w:r w:rsidR="00524E3A" w:rsidRPr="00D45734">
        <w:rPr>
          <w:sz w:val="24"/>
          <w:szCs w:val="24"/>
        </w:rPr>
        <w:t xml:space="preserve">s.v. “Storey, Charles Ambrose,” by Yuri Bregel,  </w:t>
      </w:r>
      <w:r w:rsidRPr="00D45734">
        <w:rPr>
          <w:sz w:val="24"/>
          <w:szCs w:val="24"/>
        </w:rPr>
        <w:t>https://www.iranicaonline.org/articles/storey-charles-ambrose.</w:t>
      </w:r>
    </w:p>
  </w:endnote>
  <w:endnote w:id="12">
    <w:p w14:paraId="0D61D213" w14:textId="503A1A7B"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Brockelmann, </w:t>
      </w:r>
      <w:r w:rsidRPr="00D45734">
        <w:rPr>
          <w:i/>
          <w:iCs/>
          <w:sz w:val="24"/>
          <w:szCs w:val="24"/>
        </w:rPr>
        <w:t>Geschichte der arabischen Litteratur</w:t>
      </w:r>
      <w:r w:rsidRPr="00D45734">
        <w:rPr>
          <w:sz w:val="24"/>
          <w:szCs w:val="24"/>
        </w:rPr>
        <w:t>, vol. 1, iii–vii, 3–6.</w:t>
      </w:r>
    </w:p>
  </w:endnote>
  <w:endnote w:id="13">
    <w:p w14:paraId="7CC4D5F6" w14:textId="16495EF3"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Brockelmann, iii. The English translation of the phrase is again taken from Witkam, “Introduction</w:t>
      </w:r>
      <w:r w:rsidR="0063510F" w:rsidRPr="00D45734">
        <w:rPr>
          <w:sz w:val="24"/>
          <w:szCs w:val="24"/>
        </w:rPr>
        <w:t xml:space="preserve"> by Jan Just Witkam</w:t>
      </w:r>
      <w:r w:rsidRPr="00D45734">
        <w:rPr>
          <w:sz w:val="24"/>
          <w:szCs w:val="24"/>
        </w:rPr>
        <w:t>.”</w:t>
      </w:r>
    </w:p>
  </w:endnote>
  <w:endnote w:id="14">
    <w:p w14:paraId="44481475" w14:textId="704367C1" w:rsidR="007E54E0" w:rsidRPr="00A76617" w:rsidRDefault="007E54E0" w:rsidP="00A76617">
      <w:pPr>
        <w:pStyle w:val="EndnoteText"/>
        <w:spacing w:line="480" w:lineRule="auto"/>
        <w:rPr>
          <w:sz w:val="24"/>
          <w:szCs w:val="24"/>
        </w:rPr>
      </w:pPr>
      <w:r w:rsidRPr="00A76617">
        <w:rPr>
          <w:rStyle w:val="EndnoteReference"/>
          <w:sz w:val="24"/>
          <w:szCs w:val="24"/>
        </w:rPr>
        <w:endnoteRef/>
      </w:r>
      <w:r w:rsidRPr="00A76617">
        <w:rPr>
          <w:sz w:val="24"/>
          <w:szCs w:val="24"/>
        </w:rPr>
        <w:t xml:space="preserve"> </w:t>
      </w:r>
      <w:r w:rsidR="00D83ED7" w:rsidRPr="00D45734">
        <w:rPr>
          <w:sz w:val="24"/>
          <w:szCs w:val="24"/>
        </w:rPr>
        <w:t>S</w:t>
      </w:r>
      <w:r w:rsidR="000C6971" w:rsidRPr="00D45734">
        <w:rPr>
          <w:sz w:val="24"/>
          <w:szCs w:val="24"/>
        </w:rPr>
        <w:t>ee Brockelmann, 4–5</w:t>
      </w:r>
      <w:r w:rsidR="00D83ED7" w:rsidRPr="00D45734">
        <w:rPr>
          <w:sz w:val="24"/>
          <w:szCs w:val="24"/>
        </w:rPr>
        <w:t xml:space="preserve"> for the first edition</w:t>
      </w:r>
      <w:r w:rsidR="000C6971" w:rsidRPr="00D45734">
        <w:rPr>
          <w:sz w:val="24"/>
          <w:szCs w:val="24"/>
        </w:rPr>
        <w:t>, and</w:t>
      </w:r>
      <w:r w:rsidR="00853F8E" w:rsidRPr="00D45734">
        <w:rPr>
          <w:sz w:val="24"/>
          <w:szCs w:val="24"/>
        </w:rPr>
        <w:t xml:space="preserve"> </w:t>
      </w:r>
      <w:r w:rsidR="0063510F" w:rsidRPr="00D45734">
        <w:rPr>
          <w:sz w:val="24"/>
          <w:szCs w:val="24"/>
        </w:rPr>
        <w:t>Brockelmann</w:t>
      </w:r>
      <w:r w:rsidRPr="00A76617">
        <w:rPr>
          <w:sz w:val="24"/>
          <w:szCs w:val="24"/>
        </w:rPr>
        <w:t>, 4–13</w:t>
      </w:r>
      <w:r w:rsidR="00D83ED7" w:rsidRPr="00D45734">
        <w:rPr>
          <w:sz w:val="24"/>
          <w:szCs w:val="24"/>
        </w:rPr>
        <w:t xml:space="preserve"> for the updated</w:t>
      </w:r>
      <w:r w:rsidR="0063510F" w:rsidRPr="00A76617">
        <w:rPr>
          <w:sz w:val="24"/>
          <w:szCs w:val="24"/>
        </w:rPr>
        <w:t>.</w:t>
      </w:r>
    </w:p>
  </w:endnote>
  <w:endnote w:id="15">
    <w:p w14:paraId="265149A0" w14:textId="3430FCC1"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E477AA" w:rsidRPr="00D45734">
        <w:rPr>
          <w:sz w:val="24"/>
          <w:szCs w:val="24"/>
        </w:rPr>
        <w:t xml:space="preserve">See </w:t>
      </w:r>
      <w:r w:rsidR="00E477AA" w:rsidRPr="00D45734">
        <w:rPr>
          <w:i/>
          <w:iCs/>
          <w:sz w:val="24"/>
          <w:szCs w:val="24"/>
        </w:rPr>
        <w:t>World Survey of Islamic Manuscripts</w:t>
      </w:r>
      <w:r w:rsidR="00E477AA" w:rsidRPr="00D45734">
        <w:rPr>
          <w:sz w:val="24"/>
          <w:szCs w:val="24"/>
        </w:rPr>
        <w:t xml:space="preserve">, </w:t>
      </w:r>
      <w:r w:rsidRPr="00D45734">
        <w:rPr>
          <w:sz w:val="24"/>
          <w:szCs w:val="24"/>
        </w:rPr>
        <w:t>https://brill.com/view/serial/9ROP.</w:t>
      </w:r>
    </w:p>
  </w:endnote>
  <w:endnote w:id="16">
    <w:p w14:paraId="00D41F80" w14:textId="6B938273"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A76617">
        <w:rPr>
          <w:sz w:val="24"/>
          <w:szCs w:val="24"/>
        </w:rPr>
        <w:t xml:space="preserve">The contents of the </w:t>
      </w:r>
      <w:r w:rsidRPr="00A76617">
        <w:rPr>
          <w:i/>
          <w:iCs/>
          <w:sz w:val="24"/>
          <w:szCs w:val="24"/>
        </w:rPr>
        <w:t>World Survey</w:t>
      </w:r>
      <w:r w:rsidR="00957842" w:rsidRPr="00D45734">
        <w:rPr>
          <w:i/>
          <w:iCs/>
          <w:sz w:val="24"/>
          <w:szCs w:val="24"/>
        </w:rPr>
        <w:t xml:space="preserve"> of Islamic Manuscripts</w:t>
      </w:r>
      <w:r w:rsidRPr="00A76617">
        <w:rPr>
          <w:sz w:val="24"/>
          <w:szCs w:val="24"/>
        </w:rPr>
        <w:t xml:space="preserve"> are also accessible </w:t>
      </w:r>
      <w:r w:rsidR="0064715C" w:rsidRPr="00A76617">
        <w:rPr>
          <w:sz w:val="24"/>
          <w:szCs w:val="24"/>
        </w:rPr>
        <w:t xml:space="preserve">from the al-Furqan Islamic Heritage Foundation, </w:t>
      </w:r>
      <w:r w:rsidRPr="00D45734">
        <w:rPr>
          <w:color w:val="000000"/>
          <w:sz w:val="24"/>
          <w:szCs w:val="24"/>
        </w:rPr>
        <w:t>https://digitallibrary.al-furqan.com/world_library</w:t>
      </w:r>
      <w:r w:rsidR="00133821" w:rsidRPr="00D45734">
        <w:rPr>
          <w:color w:val="000000"/>
          <w:sz w:val="24"/>
          <w:szCs w:val="24"/>
        </w:rPr>
        <w:t>.</w:t>
      </w:r>
      <w:r w:rsidRPr="00D45734">
        <w:rPr>
          <w:color w:val="000000"/>
          <w:sz w:val="24"/>
          <w:szCs w:val="24"/>
        </w:rPr>
        <w:t xml:space="preserve"> </w:t>
      </w:r>
      <w:r w:rsidR="00133821" w:rsidRPr="00D45734">
        <w:rPr>
          <w:color w:val="000000"/>
          <w:sz w:val="24"/>
          <w:szCs w:val="24"/>
        </w:rPr>
        <w:t xml:space="preserve">This </w:t>
      </w:r>
      <w:r w:rsidRPr="00D45734">
        <w:rPr>
          <w:color w:val="000000"/>
          <w:sz w:val="24"/>
          <w:szCs w:val="24"/>
        </w:rPr>
        <w:t xml:space="preserve">is based on the </w:t>
      </w:r>
      <w:r w:rsidR="00133821" w:rsidRPr="00D45734">
        <w:rPr>
          <w:color w:val="000000"/>
          <w:sz w:val="24"/>
          <w:szCs w:val="24"/>
        </w:rPr>
        <w:t>s</w:t>
      </w:r>
      <w:r w:rsidRPr="00A76617">
        <w:rPr>
          <w:color w:val="000000"/>
          <w:sz w:val="24"/>
          <w:szCs w:val="24"/>
        </w:rPr>
        <w:t>urvey</w:t>
      </w:r>
      <w:r w:rsidR="00E765E7" w:rsidRPr="00D45734">
        <w:rPr>
          <w:color w:val="000000"/>
          <w:sz w:val="24"/>
          <w:szCs w:val="24"/>
        </w:rPr>
        <w:t>,</w:t>
      </w:r>
      <w:r w:rsidRPr="00D45734">
        <w:rPr>
          <w:color w:val="000000"/>
          <w:sz w:val="24"/>
          <w:szCs w:val="24"/>
        </w:rPr>
        <w:t xml:space="preserve"> but has some added value, including an interactive map to access information about the various manuscript libraries.</w:t>
      </w:r>
    </w:p>
  </w:endnote>
  <w:endnote w:id="17">
    <w:p w14:paraId="178235C0" w14:textId="39966487"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D831C3" w:rsidRPr="00D45734">
        <w:rPr>
          <w:sz w:val="24"/>
          <w:szCs w:val="24"/>
        </w:rPr>
        <w:t xml:space="preserve">See “Brockelmann: The History of Arabic Literary Culture,” </w:t>
      </w:r>
      <w:r w:rsidRPr="00D45734">
        <w:rPr>
          <w:sz w:val="24"/>
          <w:szCs w:val="24"/>
        </w:rPr>
        <w:t>https://brill.com/view/package/brob?language=en.</w:t>
      </w:r>
    </w:p>
  </w:endnote>
  <w:endnote w:id="18">
    <w:p w14:paraId="1CF32829" w14:textId="5C3B4AB3"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A76617">
        <w:rPr>
          <w:sz w:val="24"/>
          <w:szCs w:val="24"/>
        </w:rPr>
        <w:t>See also, for example, Max Krause’s review</w:t>
      </w:r>
      <w:r w:rsidR="004712C3" w:rsidRPr="00D45734">
        <w:rPr>
          <w:sz w:val="24"/>
          <w:szCs w:val="24"/>
        </w:rPr>
        <w:t>,</w:t>
      </w:r>
      <w:r w:rsidRPr="00A76617">
        <w:rPr>
          <w:sz w:val="24"/>
          <w:szCs w:val="24"/>
        </w:rPr>
        <w:t xml:space="preserve"> published in </w:t>
      </w:r>
      <w:r w:rsidRPr="00A76617">
        <w:rPr>
          <w:i/>
          <w:iCs/>
          <w:sz w:val="24"/>
          <w:szCs w:val="24"/>
        </w:rPr>
        <w:t>Der Islam</w:t>
      </w:r>
      <w:r w:rsidRPr="00A76617">
        <w:rPr>
          <w:sz w:val="24"/>
          <w:szCs w:val="24"/>
        </w:rPr>
        <w:t xml:space="preserve"> 24 (1937)</w:t>
      </w:r>
      <w:r w:rsidR="004712C3" w:rsidRPr="00D45734">
        <w:rPr>
          <w:sz w:val="24"/>
          <w:szCs w:val="24"/>
        </w:rPr>
        <w:t>:</w:t>
      </w:r>
      <w:r w:rsidRPr="00A76617">
        <w:rPr>
          <w:sz w:val="24"/>
          <w:szCs w:val="24"/>
        </w:rPr>
        <w:t xml:space="preserve"> 307–11</w:t>
      </w:r>
      <w:r w:rsidR="004712C3" w:rsidRPr="00D45734">
        <w:rPr>
          <w:sz w:val="24"/>
          <w:szCs w:val="24"/>
        </w:rPr>
        <w:t>,</w:t>
      </w:r>
      <w:r w:rsidRPr="00A76617">
        <w:rPr>
          <w:sz w:val="24"/>
          <w:szCs w:val="24"/>
        </w:rPr>
        <w:t xml:space="preserve"> of Brockelmann’s first supplementary volume of 1937, with a list of corrections and additions to 539 entries in Brockelmann’s work.</w:t>
      </w:r>
    </w:p>
  </w:endnote>
  <w:endnote w:id="19">
    <w:p w14:paraId="7954CA2F" w14:textId="048E466E" w:rsidR="00697A47" w:rsidRPr="00D45734" w:rsidRDefault="00697A47">
      <w:pPr>
        <w:pStyle w:val="Heading1"/>
        <w:shd w:val="clear" w:color="auto" w:fill="FFFFFF"/>
        <w:spacing w:before="0" w:beforeAutospacing="0" w:after="0" w:afterAutospacing="0" w:line="480" w:lineRule="auto"/>
        <w:contextualSpacing/>
        <w:textAlignment w:val="baseline"/>
        <w:rPr>
          <w:b w:val="0"/>
          <w:bCs w:val="0"/>
          <w:color w:val="333333"/>
          <w:sz w:val="24"/>
          <w:szCs w:val="24"/>
        </w:rPr>
      </w:pPr>
      <w:r w:rsidRPr="00D45734">
        <w:rPr>
          <w:rStyle w:val="EndnoteReference"/>
          <w:b w:val="0"/>
          <w:bCs w:val="0"/>
          <w:sz w:val="24"/>
          <w:szCs w:val="24"/>
        </w:rPr>
        <w:endnoteRef/>
      </w:r>
      <w:r w:rsidRPr="00D45734">
        <w:rPr>
          <w:b w:val="0"/>
          <w:bCs w:val="0"/>
          <w:sz w:val="24"/>
          <w:szCs w:val="24"/>
        </w:rPr>
        <w:t xml:space="preserve"> </w:t>
      </w:r>
      <w:r w:rsidR="0095104B" w:rsidRPr="00D45734">
        <w:rPr>
          <w:b w:val="0"/>
          <w:bCs w:val="0"/>
          <w:sz w:val="24"/>
          <w:szCs w:val="24"/>
        </w:rPr>
        <w:t xml:space="preserve">See Oriental manuscript Resource (OMAR), </w:t>
      </w:r>
      <w:r w:rsidRPr="00D45734">
        <w:rPr>
          <w:b w:val="0"/>
          <w:bCs w:val="0"/>
          <w:sz w:val="24"/>
          <w:szCs w:val="24"/>
        </w:rPr>
        <w:t>http://omar.ub.uni-freiburg.de/.</w:t>
      </w:r>
    </w:p>
  </w:endnote>
  <w:endnote w:id="20">
    <w:p w14:paraId="44DD5932" w14:textId="750AA93E"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FF16E5" w:rsidRPr="00D45734">
        <w:rPr>
          <w:sz w:val="24"/>
          <w:szCs w:val="24"/>
        </w:rPr>
        <w:t>IslHornAfr</w:t>
      </w:r>
      <w:r w:rsidR="000B4FFD" w:rsidRPr="00D45734">
        <w:rPr>
          <w:sz w:val="24"/>
          <w:szCs w:val="24"/>
        </w:rPr>
        <w:t xml:space="preserve">, </w:t>
      </w:r>
      <w:r w:rsidRPr="00D45734">
        <w:rPr>
          <w:sz w:val="24"/>
          <w:szCs w:val="24"/>
        </w:rPr>
        <w:t>http://www.islhornafr.eu/index.html.</w:t>
      </w:r>
    </w:p>
  </w:endnote>
  <w:endnote w:id="21">
    <w:p w14:paraId="7AB3B132" w14:textId="4682E77E"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204F0C" w:rsidRPr="00D45734">
        <w:rPr>
          <w:sz w:val="24"/>
          <w:szCs w:val="24"/>
        </w:rPr>
        <w:t xml:space="preserve">Knowledge, Heresy and Political Culture in the Islamic West: Eighth–Fifteenth Centuries (KOHEPOCU), </w:t>
      </w:r>
      <w:r w:rsidRPr="00D45734">
        <w:rPr>
          <w:sz w:val="24"/>
          <w:szCs w:val="24"/>
        </w:rPr>
        <w:t>http://kohepocu.cchs.csic.es/.</w:t>
      </w:r>
    </w:p>
  </w:endnote>
  <w:endnote w:id="22">
    <w:p w14:paraId="5AA1C9CB" w14:textId="7B7A98ED"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4E774F" w:rsidRPr="00D45734">
        <w:rPr>
          <w:sz w:val="24"/>
          <w:szCs w:val="24"/>
        </w:rPr>
        <w:t xml:space="preserve">HUNAYNNET, </w:t>
      </w:r>
      <w:r w:rsidRPr="00D45734">
        <w:rPr>
          <w:sz w:val="24"/>
          <w:szCs w:val="24"/>
        </w:rPr>
        <w:t>https://hunaynnet.oeaw.ac.at.</w:t>
      </w:r>
    </w:p>
  </w:endnote>
  <w:endnote w:id="23">
    <w:p w14:paraId="0BC749B1" w14:textId="2796B760"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921357" w:rsidRPr="00D45734">
        <w:rPr>
          <w:sz w:val="24"/>
          <w:szCs w:val="24"/>
        </w:rPr>
        <w:t>See</w:t>
      </w:r>
      <w:r w:rsidR="00FF16E5" w:rsidRPr="00D45734">
        <w:rPr>
          <w:sz w:val="24"/>
          <w:szCs w:val="24"/>
        </w:rPr>
        <w:t xml:space="preserve">, </w:t>
      </w:r>
      <w:r w:rsidR="00204F0C" w:rsidRPr="00D45734">
        <w:rPr>
          <w:sz w:val="24"/>
          <w:szCs w:val="24"/>
        </w:rPr>
        <w:t xml:space="preserve">“Bibliotheca Arabica: Towards a New History of Arabic Literature,” </w:t>
      </w:r>
      <w:r w:rsidR="004D0B2F" w:rsidRPr="00D45734">
        <w:rPr>
          <w:sz w:val="24"/>
          <w:szCs w:val="24"/>
        </w:rPr>
        <w:t xml:space="preserve">Saxon Academy of Sciences and Humanities, </w:t>
      </w:r>
      <w:r w:rsidRPr="00D45734">
        <w:rPr>
          <w:sz w:val="24"/>
          <w:szCs w:val="24"/>
        </w:rPr>
        <w:t>https://www.saw-leipzig.de/de/projekte/bibliotheca-arabica/intro.</w:t>
      </w:r>
    </w:p>
  </w:endnote>
  <w:endnote w:id="24">
    <w:p w14:paraId="7762AFB6" w14:textId="10C21BB2"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AE0C0F" w:rsidRPr="00D45734">
        <w:rPr>
          <w:sz w:val="24"/>
          <w:szCs w:val="24"/>
        </w:rPr>
        <w:t xml:space="preserve">KITAB, </w:t>
      </w:r>
      <w:r w:rsidRPr="00D45734">
        <w:rPr>
          <w:sz w:val="24"/>
          <w:szCs w:val="24"/>
        </w:rPr>
        <w:t>http://kitab-project.org/.</w:t>
      </w:r>
    </w:p>
  </w:endnote>
  <w:endnote w:id="25">
    <w:p w14:paraId="1FFBE3F6" w14:textId="219380D9" w:rsidR="00697A47" w:rsidRPr="00D45734" w:rsidRDefault="00697A47">
      <w:pPr>
        <w:pStyle w:val="Heading1"/>
        <w:shd w:val="clear" w:color="auto" w:fill="FFFFFF"/>
        <w:spacing w:before="0" w:beforeAutospacing="0" w:after="0" w:afterAutospacing="0" w:line="480" w:lineRule="auto"/>
        <w:contextualSpacing/>
        <w:rPr>
          <w:b w:val="0"/>
          <w:bCs w:val="0"/>
          <w:color w:val="494E52"/>
          <w:sz w:val="24"/>
          <w:szCs w:val="24"/>
        </w:rPr>
      </w:pPr>
      <w:r w:rsidRPr="00D45734">
        <w:rPr>
          <w:rStyle w:val="EndnoteReference"/>
          <w:b w:val="0"/>
          <w:bCs w:val="0"/>
          <w:sz w:val="24"/>
          <w:szCs w:val="24"/>
        </w:rPr>
        <w:endnoteRef/>
      </w:r>
      <w:r w:rsidRPr="00D45734">
        <w:rPr>
          <w:b w:val="0"/>
          <w:bCs w:val="0"/>
          <w:sz w:val="24"/>
          <w:szCs w:val="24"/>
        </w:rPr>
        <w:t xml:space="preserve"> Maxim Romanov, “Cultural Production in the Islamic World,” </w:t>
      </w:r>
      <w:r w:rsidR="004F6281" w:rsidRPr="00D45734">
        <w:rPr>
          <w:b w:val="0"/>
          <w:bCs w:val="0"/>
          <w:sz w:val="24"/>
          <w:szCs w:val="24"/>
        </w:rPr>
        <w:t>a</w:t>
      </w:r>
      <w:r w:rsidRPr="00D45734">
        <w:rPr>
          <w:b w:val="0"/>
          <w:bCs w:val="0"/>
          <w:sz w:val="24"/>
          <w:szCs w:val="24"/>
        </w:rPr>
        <w:t xml:space="preserve">l-Raqmiyyāt, last updated </w:t>
      </w:r>
      <w:r w:rsidR="008D27D0" w:rsidRPr="00D45734">
        <w:rPr>
          <w:b w:val="0"/>
          <w:bCs w:val="0"/>
          <w:sz w:val="24"/>
          <w:szCs w:val="24"/>
        </w:rPr>
        <w:t xml:space="preserve">14 </w:t>
      </w:r>
      <w:r w:rsidRPr="00D45734">
        <w:rPr>
          <w:b w:val="0"/>
          <w:bCs w:val="0"/>
          <w:sz w:val="24"/>
          <w:szCs w:val="24"/>
        </w:rPr>
        <w:t>October 2017, https://alraqmiyyat.github.io/2017/10-14.html.</w:t>
      </w:r>
    </w:p>
  </w:endnote>
  <w:endnote w:id="26">
    <w:p w14:paraId="1D651E2D" w14:textId="602F03BE"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A term coined by François Déroche, </w:t>
      </w:r>
      <w:r w:rsidRPr="00D45734">
        <w:rPr>
          <w:i/>
          <w:iCs/>
          <w:sz w:val="24"/>
          <w:szCs w:val="24"/>
        </w:rPr>
        <w:t>Le livre manuscrit arabe: Préludes a une histoire</w:t>
      </w:r>
      <w:r w:rsidRPr="00D45734">
        <w:rPr>
          <w:sz w:val="24"/>
          <w:szCs w:val="24"/>
        </w:rPr>
        <w:t xml:space="preserve"> </w:t>
      </w:r>
      <w:r w:rsidR="00C551EA" w:rsidRPr="00D45734">
        <w:rPr>
          <w:sz w:val="24"/>
          <w:szCs w:val="24"/>
        </w:rPr>
        <w:t>(</w:t>
      </w:r>
      <w:r w:rsidRPr="00D45734">
        <w:rPr>
          <w:sz w:val="24"/>
          <w:szCs w:val="24"/>
        </w:rPr>
        <w:t xml:space="preserve">Paris: Bibliothèque </w:t>
      </w:r>
      <w:r w:rsidR="00C551EA" w:rsidRPr="00D45734">
        <w:rPr>
          <w:sz w:val="24"/>
          <w:szCs w:val="24"/>
        </w:rPr>
        <w:t>N</w:t>
      </w:r>
      <w:r w:rsidRPr="00D45734">
        <w:rPr>
          <w:sz w:val="24"/>
          <w:szCs w:val="24"/>
        </w:rPr>
        <w:t>ationale de France, 2004</w:t>
      </w:r>
      <w:r w:rsidR="00C551EA" w:rsidRPr="00D45734">
        <w:rPr>
          <w:sz w:val="24"/>
          <w:szCs w:val="24"/>
        </w:rPr>
        <w:t>)</w:t>
      </w:r>
      <w:r w:rsidRPr="00D45734">
        <w:rPr>
          <w:sz w:val="24"/>
          <w:szCs w:val="24"/>
        </w:rPr>
        <w:t>, 44</w:t>
      </w:r>
      <w:r w:rsidR="00C551EA" w:rsidRPr="00D45734">
        <w:rPr>
          <w:sz w:val="24"/>
          <w:szCs w:val="24"/>
        </w:rPr>
        <w:t>.</w:t>
      </w:r>
      <w:r w:rsidRPr="00D45734">
        <w:rPr>
          <w:sz w:val="24"/>
          <w:szCs w:val="24"/>
        </w:rPr>
        <w:t xml:space="preserve"> </w:t>
      </w:r>
      <w:r w:rsidR="00C551EA" w:rsidRPr="00D45734">
        <w:rPr>
          <w:sz w:val="24"/>
          <w:szCs w:val="24"/>
        </w:rPr>
        <w:t>S</w:t>
      </w:r>
      <w:r w:rsidRPr="00D45734">
        <w:rPr>
          <w:sz w:val="24"/>
          <w:szCs w:val="24"/>
        </w:rPr>
        <w:t xml:space="preserve">ee also Beatrice Gründler, </w:t>
      </w:r>
      <w:r w:rsidRPr="00D45734">
        <w:rPr>
          <w:i/>
          <w:iCs/>
          <w:sz w:val="24"/>
          <w:szCs w:val="24"/>
        </w:rPr>
        <w:t>The Rise of the Arabic Book</w:t>
      </w:r>
      <w:r w:rsidRPr="00D45734">
        <w:rPr>
          <w:sz w:val="24"/>
          <w:szCs w:val="24"/>
        </w:rPr>
        <w:t xml:space="preserve"> </w:t>
      </w:r>
      <w:r w:rsidR="0092249C" w:rsidRPr="00D45734">
        <w:rPr>
          <w:sz w:val="24"/>
          <w:szCs w:val="24"/>
        </w:rPr>
        <w:t>(</w:t>
      </w:r>
      <w:r w:rsidRPr="00D45734">
        <w:rPr>
          <w:sz w:val="24"/>
          <w:szCs w:val="24"/>
        </w:rPr>
        <w:t>Cambridge, MA: Harvard University Press, 2020</w:t>
      </w:r>
      <w:r w:rsidR="0092249C" w:rsidRPr="00D45734">
        <w:rPr>
          <w:sz w:val="24"/>
          <w:szCs w:val="24"/>
        </w:rPr>
        <w:t>)</w:t>
      </w:r>
      <w:r w:rsidRPr="00D45734">
        <w:rPr>
          <w:sz w:val="24"/>
          <w:szCs w:val="24"/>
        </w:rPr>
        <w:t>, 2. Jonathan Bloom describes the same phenomenon as an “explosion of books and book learning</w:t>
      </w:r>
      <w:r w:rsidR="0092249C" w:rsidRPr="00D45734">
        <w:rPr>
          <w:sz w:val="24"/>
          <w:szCs w:val="24"/>
        </w:rPr>
        <w:t>.</w:t>
      </w:r>
      <w:r w:rsidRPr="00D45734">
        <w:rPr>
          <w:sz w:val="24"/>
          <w:szCs w:val="24"/>
        </w:rPr>
        <w:t>”</w:t>
      </w:r>
      <w:r w:rsidR="0092249C" w:rsidRPr="00D45734">
        <w:rPr>
          <w:sz w:val="24"/>
          <w:szCs w:val="24"/>
        </w:rPr>
        <w:t xml:space="preserve"> S</w:t>
      </w:r>
      <w:r w:rsidRPr="00D45734">
        <w:rPr>
          <w:sz w:val="24"/>
          <w:szCs w:val="24"/>
        </w:rPr>
        <w:t xml:space="preserve">ee Jonathan M. Bloom, </w:t>
      </w:r>
      <w:r w:rsidRPr="00D45734">
        <w:rPr>
          <w:i/>
          <w:iCs/>
          <w:sz w:val="24"/>
          <w:szCs w:val="24"/>
        </w:rPr>
        <w:t>From Paper to Print: The History and Impact of Paper in the Islamic World</w:t>
      </w:r>
      <w:r w:rsidRPr="00D45734">
        <w:rPr>
          <w:sz w:val="24"/>
          <w:szCs w:val="24"/>
        </w:rPr>
        <w:t xml:space="preserve"> </w:t>
      </w:r>
      <w:r w:rsidR="0092249C" w:rsidRPr="00D45734">
        <w:rPr>
          <w:sz w:val="24"/>
          <w:szCs w:val="24"/>
        </w:rPr>
        <w:t>(</w:t>
      </w:r>
      <w:r w:rsidRPr="00D45734">
        <w:rPr>
          <w:sz w:val="24"/>
          <w:szCs w:val="24"/>
        </w:rPr>
        <w:t>New Haven</w:t>
      </w:r>
      <w:r w:rsidR="0092249C" w:rsidRPr="00D45734">
        <w:rPr>
          <w:sz w:val="24"/>
          <w:szCs w:val="24"/>
        </w:rPr>
        <w:t>,</w:t>
      </w:r>
      <w:r w:rsidRPr="00D45734">
        <w:rPr>
          <w:sz w:val="24"/>
          <w:szCs w:val="24"/>
        </w:rPr>
        <w:t xml:space="preserve"> CT: Yale University Press, 2001</w:t>
      </w:r>
      <w:r w:rsidR="0092249C" w:rsidRPr="00D45734">
        <w:rPr>
          <w:sz w:val="24"/>
          <w:szCs w:val="24"/>
        </w:rPr>
        <w:t>)</w:t>
      </w:r>
      <w:r w:rsidRPr="00D45734">
        <w:rPr>
          <w:sz w:val="24"/>
          <w:szCs w:val="24"/>
        </w:rPr>
        <w:t>, 110.</w:t>
      </w:r>
    </w:p>
  </w:endnote>
  <w:endnote w:id="27">
    <w:p w14:paraId="4B43549A" w14:textId="5182E6F6"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Paul E. Walker, “Libraries, Book Collection and the Production of Texts by the Fatimids,” </w:t>
      </w:r>
      <w:r w:rsidRPr="00D45734">
        <w:rPr>
          <w:i/>
          <w:iCs/>
          <w:sz w:val="24"/>
          <w:szCs w:val="24"/>
        </w:rPr>
        <w:t xml:space="preserve">Intellectual History of the Islamicate World </w:t>
      </w:r>
      <w:r w:rsidRPr="00D45734">
        <w:rPr>
          <w:sz w:val="24"/>
          <w:szCs w:val="24"/>
        </w:rPr>
        <w:t>4 (2</w:t>
      </w:r>
      <w:r w:rsidR="006841BD" w:rsidRPr="00D45734">
        <w:rPr>
          <w:sz w:val="24"/>
          <w:szCs w:val="24"/>
        </w:rPr>
        <w:t>0</w:t>
      </w:r>
      <w:r w:rsidRPr="00D45734">
        <w:rPr>
          <w:sz w:val="24"/>
          <w:szCs w:val="24"/>
        </w:rPr>
        <w:t>16)</w:t>
      </w:r>
      <w:r w:rsidR="00C97BDD" w:rsidRPr="00D45734">
        <w:rPr>
          <w:sz w:val="24"/>
          <w:szCs w:val="24"/>
        </w:rPr>
        <w:t>:</w:t>
      </w:r>
      <w:r w:rsidRPr="00D45734">
        <w:rPr>
          <w:sz w:val="24"/>
          <w:szCs w:val="24"/>
        </w:rPr>
        <w:t xml:space="preserve"> 7–21.</w:t>
      </w:r>
    </w:p>
  </w:endnote>
  <w:endnote w:id="28">
    <w:p w14:paraId="711170E2" w14:textId="5F007C43"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Letizia Osti, “Notes on a Private Library in Fourth/Tenth-Century Baghdad,” </w:t>
      </w:r>
      <w:r w:rsidRPr="00D45734">
        <w:rPr>
          <w:i/>
          <w:iCs/>
          <w:sz w:val="24"/>
          <w:szCs w:val="24"/>
        </w:rPr>
        <w:t>Journal of Arabic and Islamic Studies</w:t>
      </w:r>
      <w:r w:rsidRPr="00D45734">
        <w:rPr>
          <w:sz w:val="24"/>
          <w:szCs w:val="24"/>
        </w:rPr>
        <w:t xml:space="preserve"> 12 (2012)</w:t>
      </w:r>
      <w:r w:rsidR="00CC72FC" w:rsidRPr="00D45734">
        <w:rPr>
          <w:sz w:val="24"/>
          <w:szCs w:val="24"/>
        </w:rPr>
        <w:t>:</w:t>
      </w:r>
      <w:r w:rsidRPr="00D45734">
        <w:rPr>
          <w:sz w:val="24"/>
          <w:szCs w:val="24"/>
        </w:rPr>
        <w:t xml:space="preserve"> 215–23.</w:t>
      </w:r>
    </w:p>
  </w:endnote>
  <w:endnote w:id="29">
    <w:p w14:paraId="45247F3E" w14:textId="537F7476"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Miklos Muranyi, “Geniza or </w:t>
      </w:r>
      <w:r w:rsidRPr="00D45734">
        <w:rPr>
          <w:i/>
          <w:iCs/>
          <w:sz w:val="24"/>
          <w:szCs w:val="24"/>
        </w:rPr>
        <w:t>Ḥubus</w:t>
      </w:r>
      <w:r w:rsidRPr="00D45734">
        <w:rPr>
          <w:sz w:val="24"/>
          <w:szCs w:val="24"/>
        </w:rPr>
        <w:t xml:space="preserve">: Some Observations on the Library of the Great Mosque in Qayrawān (Tunisia),” </w:t>
      </w:r>
      <w:r w:rsidRPr="00D45734">
        <w:rPr>
          <w:i/>
          <w:iCs/>
          <w:sz w:val="24"/>
          <w:szCs w:val="24"/>
        </w:rPr>
        <w:t>Jerusalem Studies in Arabic and Islam</w:t>
      </w:r>
      <w:r w:rsidRPr="00D45734">
        <w:rPr>
          <w:sz w:val="24"/>
          <w:szCs w:val="24"/>
        </w:rPr>
        <w:t xml:space="preserve"> 42 (2015)</w:t>
      </w:r>
      <w:r w:rsidR="00CC72FC" w:rsidRPr="00D45734">
        <w:rPr>
          <w:sz w:val="24"/>
          <w:szCs w:val="24"/>
        </w:rPr>
        <w:t>:</w:t>
      </w:r>
      <w:r w:rsidRPr="00D45734">
        <w:rPr>
          <w:sz w:val="24"/>
          <w:szCs w:val="24"/>
        </w:rPr>
        <w:t xml:space="preserve"> 183–99.</w:t>
      </w:r>
    </w:p>
  </w:endnote>
  <w:endnote w:id="30">
    <w:p w14:paraId="24325227" w14:textId="5BA3C0C9"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Konrad Hirschler, </w:t>
      </w:r>
      <w:r w:rsidRPr="00D45734">
        <w:rPr>
          <w:i/>
          <w:iCs/>
          <w:sz w:val="24"/>
          <w:szCs w:val="24"/>
        </w:rPr>
        <w:t>Medieval Damascus: Plurality and Diversity in an Arabic Library</w:t>
      </w:r>
      <w:r w:rsidRPr="00D45734">
        <w:rPr>
          <w:sz w:val="24"/>
          <w:szCs w:val="24"/>
        </w:rPr>
        <w:t xml:space="preserve"> </w:t>
      </w:r>
      <w:r w:rsidR="00CC72FC" w:rsidRPr="00D45734">
        <w:rPr>
          <w:sz w:val="24"/>
          <w:szCs w:val="24"/>
        </w:rPr>
        <w:t>(</w:t>
      </w:r>
      <w:r w:rsidRPr="00D45734">
        <w:rPr>
          <w:sz w:val="24"/>
          <w:szCs w:val="24"/>
        </w:rPr>
        <w:t>Edinburgh: Edinburgh University Press, 2016</w:t>
      </w:r>
      <w:r w:rsidR="00CC72FC" w:rsidRPr="00D45734">
        <w:rPr>
          <w:sz w:val="24"/>
          <w:szCs w:val="24"/>
        </w:rPr>
        <w:t>)</w:t>
      </w:r>
      <w:r w:rsidRPr="00D45734">
        <w:rPr>
          <w:sz w:val="24"/>
          <w:szCs w:val="24"/>
        </w:rPr>
        <w:t xml:space="preserve">. </w:t>
      </w:r>
    </w:p>
  </w:endnote>
  <w:endnote w:id="31">
    <w:p w14:paraId="398679D6" w14:textId="08C6E9BD"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Sabine Schmidtke, “Notes on an Arabic Translation of the Pentateuch in the Library of the Twelver Shīʿī </w:t>
      </w:r>
      <w:r w:rsidR="00CC72FC" w:rsidRPr="00D45734">
        <w:rPr>
          <w:sz w:val="24"/>
          <w:szCs w:val="24"/>
        </w:rPr>
        <w:t>S</w:t>
      </w:r>
      <w:r w:rsidRPr="00D45734">
        <w:rPr>
          <w:sz w:val="24"/>
          <w:szCs w:val="24"/>
        </w:rPr>
        <w:t>cholar Raḍī al-Dīn ʿAlī b. M</w:t>
      </w:r>
      <w:r w:rsidR="00641470">
        <w:rPr>
          <w:sz w:val="24"/>
          <w:szCs w:val="24"/>
        </w:rPr>
        <w:t>ū</w:t>
      </w:r>
      <w:r w:rsidRPr="00D45734">
        <w:rPr>
          <w:sz w:val="24"/>
          <w:szCs w:val="24"/>
        </w:rPr>
        <w:t xml:space="preserve">sā Ibn Ṭāwūs (d. 664/1266),” </w:t>
      </w:r>
      <w:r w:rsidRPr="00D45734">
        <w:rPr>
          <w:i/>
          <w:iCs/>
          <w:sz w:val="24"/>
          <w:szCs w:val="24"/>
        </w:rPr>
        <w:t>Shii Studies Review</w:t>
      </w:r>
      <w:r w:rsidRPr="00D45734">
        <w:rPr>
          <w:sz w:val="24"/>
          <w:szCs w:val="24"/>
        </w:rPr>
        <w:t xml:space="preserve"> 1 (2017)</w:t>
      </w:r>
      <w:r w:rsidR="00CC72FC" w:rsidRPr="00D45734">
        <w:rPr>
          <w:sz w:val="24"/>
          <w:szCs w:val="24"/>
        </w:rPr>
        <w:t>:</w:t>
      </w:r>
      <w:r w:rsidRPr="00D45734">
        <w:rPr>
          <w:sz w:val="24"/>
          <w:szCs w:val="24"/>
        </w:rPr>
        <w:t xml:space="preserve"> 72–129.</w:t>
      </w:r>
    </w:p>
  </w:endnote>
  <w:endnote w:id="32">
    <w:p w14:paraId="76FCCE25" w14:textId="66363076"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Judith Pfeiffer, “Emerging from the Copernican Eclipse: The Mathematical and Astronomical Sciences in Müʾeyyedzade ʿAbdurrahman Efendi’s Private Library (fl. ca. 1480–1516),” </w:t>
      </w:r>
      <w:r w:rsidR="00585366" w:rsidRPr="00D45734">
        <w:rPr>
          <w:sz w:val="24"/>
          <w:szCs w:val="24"/>
        </w:rPr>
        <w:t xml:space="preserve">in </w:t>
      </w:r>
      <w:r w:rsidRPr="00D45734">
        <w:rPr>
          <w:i/>
          <w:iCs/>
          <w:sz w:val="24"/>
          <w:szCs w:val="24"/>
        </w:rPr>
        <w:t>The 1st International Prof. Dr. Fuat Sezgin Symposium on History of Science in Islam Proceedings Book</w:t>
      </w:r>
      <w:r w:rsidRPr="00D45734">
        <w:rPr>
          <w:sz w:val="24"/>
          <w:szCs w:val="24"/>
        </w:rPr>
        <w:t xml:space="preserve">, ed. </w:t>
      </w:r>
      <w:r w:rsidR="005D6722" w:rsidRPr="00D45734">
        <w:rPr>
          <w:sz w:val="24"/>
          <w:szCs w:val="24"/>
        </w:rPr>
        <w:t>Mustafa</w:t>
      </w:r>
      <w:r w:rsidRPr="00D45734">
        <w:rPr>
          <w:sz w:val="24"/>
          <w:szCs w:val="24"/>
        </w:rPr>
        <w:t xml:space="preserve"> Kaçar, </w:t>
      </w:r>
      <w:r w:rsidR="005D6722" w:rsidRPr="00D45734">
        <w:rPr>
          <w:sz w:val="24"/>
          <w:szCs w:val="24"/>
        </w:rPr>
        <w:t>Cüneyt</w:t>
      </w:r>
      <w:r w:rsidRPr="00D45734">
        <w:rPr>
          <w:sz w:val="24"/>
          <w:szCs w:val="24"/>
        </w:rPr>
        <w:t xml:space="preserve"> Kaya, and </w:t>
      </w:r>
      <w:r w:rsidR="005D6722" w:rsidRPr="00D45734">
        <w:rPr>
          <w:sz w:val="24"/>
          <w:szCs w:val="24"/>
        </w:rPr>
        <w:t>Ayşe Zişan</w:t>
      </w:r>
      <w:r w:rsidRPr="00D45734">
        <w:rPr>
          <w:sz w:val="24"/>
          <w:szCs w:val="24"/>
        </w:rPr>
        <w:t xml:space="preserve"> Furat </w:t>
      </w:r>
      <w:r w:rsidR="00585366" w:rsidRPr="00D45734">
        <w:rPr>
          <w:sz w:val="24"/>
          <w:szCs w:val="24"/>
        </w:rPr>
        <w:t>(</w:t>
      </w:r>
      <w:r w:rsidRPr="00D45734">
        <w:rPr>
          <w:sz w:val="24"/>
          <w:szCs w:val="24"/>
        </w:rPr>
        <w:t>Istanbul: Istanbul University Press, 2019</w:t>
      </w:r>
      <w:r w:rsidR="00585366" w:rsidRPr="00D45734">
        <w:rPr>
          <w:sz w:val="24"/>
          <w:szCs w:val="24"/>
        </w:rPr>
        <w:t>)</w:t>
      </w:r>
      <w:r w:rsidRPr="00D45734">
        <w:rPr>
          <w:sz w:val="24"/>
          <w:szCs w:val="24"/>
        </w:rPr>
        <w:t>, 151–91.</w:t>
      </w:r>
    </w:p>
  </w:endnote>
  <w:endnote w:id="33">
    <w:p w14:paraId="5B7D659D" w14:textId="6CAB3C6D"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D45734">
        <w:rPr>
          <w:i/>
          <w:iCs/>
          <w:sz w:val="24"/>
          <w:szCs w:val="24"/>
        </w:rPr>
        <w:t>Treasures of Knowledge: An Inventory of the Ottoman Palace Library (1502/3–1503/4)</w:t>
      </w:r>
      <w:r w:rsidRPr="00D45734">
        <w:rPr>
          <w:sz w:val="24"/>
          <w:szCs w:val="24"/>
        </w:rPr>
        <w:t>, vol</w:t>
      </w:r>
      <w:r w:rsidR="003878BC" w:rsidRPr="00D45734">
        <w:rPr>
          <w:sz w:val="24"/>
          <w:szCs w:val="24"/>
        </w:rPr>
        <w:t>.</w:t>
      </w:r>
      <w:r w:rsidRPr="00D45734">
        <w:rPr>
          <w:sz w:val="24"/>
          <w:szCs w:val="24"/>
        </w:rPr>
        <w:t xml:space="preserve"> 1: </w:t>
      </w:r>
      <w:r w:rsidRPr="00D45734">
        <w:rPr>
          <w:i/>
          <w:iCs/>
          <w:sz w:val="24"/>
          <w:szCs w:val="24"/>
        </w:rPr>
        <w:t>Essays</w:t>
      </w:r>
      <w:r w:rsidR="003878BC" w:rsidRPr="00D45734">
        <w:rPr>
          <w:sz w:val="24"/>
          <w:szCs w:val="24"/>
        </w:rPr>
        <w:t>,</w:t>
      </w:r>
      <w:r w:rsidRPr="00D45734">
        <w:rPr>
          <w:sz w:val="24"/>
          <w:szCs w:val="24"/>
        </w:rPr>
        <w:t xml:space="preserve"> </w:t>
      </w:r>
      <w:r w:rsidR="003878BC" w:rsidRPr="00D45734">
        <w:rPr>
          <w:sz w:val="24"/>
          <w:szCs w:val="24"/>
        </w:rPr>
        <w:t xml:space="preserve">vol. </w:t>
      </w:r>
      <w:r w:rsidRPr="00D45734">
        <w:rPr>
          <w:sz w:val="24"/>
          <w:szCs w:val="24"/>
        </w:rPr>
        <w:t xml:space="preserve">2: </w:t>
      </w:r>
      <w:r w:rsidRPr="00D45734">
        <w:rPr>
          <w:i/>
          <w:iCs/>
          <w:sz w:val="24"/>
          <w:szCs w:val="24"/>
        </w:rPr>
        <w:t>Transliteration and Facsimile “Register of Books” (Kitāb al-kutub)</w:t>
      </w:r>
      <w:r w:rsidRPr="00D45734">
        <w:rPr>
          <w:sz w:val="24"/>
          <w:szCs w:val="24"/>
        </w:rPr>
        <w:t>, M</w:t>
      </w:r>
      <w:r w:rsidR="00B565DD">
        <w:rPr>
          <w:sz w:val="24"/>
          <w:szCs w:val="24"/>
        </w:rPr>
        <w:t>s.</w:t>
      </w:r>
      <w:r w:rsidRPr="00D45734">
        <w:rPr>
          <w:sz w:val="24"/>
          <w:szCs w:val="24"/>
        </w:rPr>
        <w:t xml:space="preserve"> Török F. 59; </w:t>
      </w:r>
      <w:r w:rsidR="00B1360F" w:rsidRPr="00D45734">
        <w:rPr>
          <w:sz w:val="24"/>
          <w:szCs w:val="24"/>
        </w:rPr>
        <w:t xml:space="preserve">and </w:t>
      </w:r>
      <w:r w:rsidRPr="00D45734">
        <w:rPr>
          <w:sz w:val="24"/>
          <w:szCs w:val="24"/>
        </w:rPr>
        <w:t xml:space="preserve">Magyar Tudományos Akadémia Könyvtára Keleti Gyűjtemény (Oriental Collection of the Library of the Hungarian Academy of Sciences), series: Muqarnas, supplements, </w:t>
      </w:r>
      <w:r w:rsidR="00B1360F" w:rsidRPr="00D45734">
        <w:rPr>
          <w:sz w:val="24"/>
          <w:szCs w:val="24"/>
        </w:rPr>
        <w:t xml:space="preserve">vol. </w:t>
      </w:r>
      <w:r w:rsidRPr="00D45734">
        <w:rPr>
          <w:sz w:val="24"/>
          <w:szCs w:val="24"/>
        </w:rPr>
        <w:t>14, ed. Gülru Necipoğlu, Cemal Kafadar, and Cornell H. Fleischer.</w:t>
      </w:r>
    </w:p>
  </w:endnote>
  <w:endnote w:id="34">
    <w:p w14:paraId="74B021C2" w14:textId="003A0E19"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Konrad Hirschler, </w:t>
      </w:r>
      <w:r w:rsidRPr="00D45734">
        <w:rPr>
          <w:i/>
          <w:iCs/>
          <w:sz w:val="24"/>
          <w:szCs w:val="24"/>
        </w:rPr>
        <w:t>A Monument of Medieval Syrian Book Culture: The Library of Ibn ʿAbd al-Hādī</w:t>
      </w:r>
      <w:r w:rsidRPr="00D45734">
        <w:rPr>
          <w:sz w:val="24"/>
          <w:szCs w:val="24"/>
        </w:rPr>
        <w:t xml:space="preserve"> </w:t>
      </w:r>
      <w:r w:rsidR="00BC6169" w:rsidRPr="00D45734">
        <w:rPr>
          <w:sz w:val="24"/>
          <w:szCs w:val="24"/>
        </w:rPr>
        <w:t>(</w:t>
      </w:r>
      <w:r w:rsidRPr="00D45734">
        <w:rPr>
          <w:sz w:val="24"/>
          <w:szCs w:val="24"/>
        </w:rPr>
        <w:t>Edinburgh: Edinburgh University Press, 2020</w:t>
      </w:r>
      <w:r w:rsidR="00BC6169" w:rsidRPr="00D45734">
        <w:rPr>
          <w:sz w:val="24"/>
          <w:szCs w:val="24"/>
        </w:rPr>
        <w:t>)</w:t>
      </w:r>
      <w:r w:rsidRPr="00D45734">
        <w:rPr>
          <w:sz w:val="24"/>
          <w:szCs w:val="24"/>
        </w:rPr>
        <w:t>.</w:t>
      </w:r>
    </w:p>
  </w:endnote>
  <w:endnote w:id="35">
    <w:p w14:paraId="240BF4A2" w14:textId="5D09A696"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Hassan Ansari and Sabine Schmidtke, “Bibliographical Practices in Islamic Societies, with an Analysis of MS Berlin, Staatsbibliothek zu Berlin, Hs. or. 13525,” </w:t>
      </w:r>
      <w:r w:rsidRPr="00D45734">
        <w:rPr>
          <w:i/>
          <w:iCs/>
          <w:sz w:val="24"/>
          <w:szCs w:val="24"/>
        </w:rPr>
        <w:t>Intellectual History of the Islamicate World</w:t>
      </w:r>
      <w:r w:rsidRPr="00D45734">
        <w:rPr>
          <w:sz w:val="24"/>
          <w:szCs w:val="24"/>
        </w:rPr>
        <w:t xml:space="preserve"> 4 (2016)</w:t>
      </w:r>
      <w:r w:rsidR="00CC72FC" w:rsidRPr="00D45734">
        <w:rPr>
          <w:sz w:val="24"/>
          <w:szCs w:val="24"/>
        </w:rPr>
        <w:t>:</w:t>
      </w:r>
      <w:r w:rsidRPr="00D45734">
        <w:rPr>
          <w:sz w:val="24"/>
          <w:szCs w:val="24"/>
        </w:rPr>
        <w:t xml:space="preserve"> 102–51.</w:t>
      </w:r>
    </w:p>
  </w:endnote>
  <w:endnote w:id="36">
    <w:p w14:paraId="79B4A6B7" w14:textId="3E6E072F"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Frederik de Jong and Jan Just Witkam, “The Library of </w:t>
      </w:r>
      <w:r w:rsidRPr="00A76617">
        <w:rPr>
          <w:sz w:val="24"/>
          <w:szCs w:val="24"/>
        </w:rPr>
        <w:t>al-Šayḵ</w:t>
      </w:r>
      <w:r w:rsidRPr="00D45734">
        <w:rPr>
          <w:sz w:val="24"/>
          <w:szCs w:val="24"/>
        </w:rPr>
        <w:t xml:space="preserve"> Ḵālid al-Šahrazūrī al-Naqšbandī (d. 1242/1827): A Facsimile of the Inventory of His Library (Ms Damascus, Maktabat al-Asad, No. 259),” </w:t>
      </w:r>
      <w:r w:rsidRPr="00D45734">
        <w:rPr>
          <w:i/>
          <w:iCs/>
          <w:sz w:val="24"/>
          <w:szCs w:val="24"/>
        </w:rPr>
        <w:t>Manuscripts of the Middle East</w:t>
      </w:r>
      <w:r w:rsidRPr="00D45734">
        <w:rPr>
          <w:sz w:val="24"/>
          <w:szCs w:val="24"/>
        </w:rPr>
        <w:t xml:space="preserve"> 2 (1987)</w:t>
      </w:r>
      <w:r w:rsidR="00387182" w:rsidRPr="00D45734">
        <w:rPr>
          <w:sz w:val="24"/>
          <w:szCs w:val="24"/>
        </w:rPr>
        <w:t>:</w:t>
      </w:r>
      <w:r w:rsidRPr="00D45734">
        <w:rPr>
          <w:sz w:val="24"/>
          <w:szCs w:val="24"/>
        </w:rPr>
        <w:t xml:space="preserve"> 68–87.</w:t>
      </w:r>
    </w:p>
  </w:endnote>
  <w:endnote w:id="37">
    <w:p w14:paraId="226CBFB5" w14:textId="5F62A393"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D45734">
        <w:rPr>
          <w:i/>
          <w:iCs/>
          <w:sz w:val="24"/>
          <w:szCs w:val="24"/>
        </w:rPr>
        <w:t>The Literary Notebook Tadhkira by Ibn al-ʿAdīm Kamāl al-Dīn ʿUmar ibn Aḥmad (d. 1262 A.D.)</w:t>
      </w:r>
      <w:r w:rsidRPr="00D45734">
        <w:rPr>
          <w:sz w:val="24"/>
          <w:szCs w:val="24"/>
        </w:rPr>
        <w:t xml:space="preserve">, ed. Fuat Sezgin </w:t>
      </w:r>
      <w:r w:rsidR="00387182" w:rsidRPr="00D45734">
        <w:rPr>
          <w:sz w:val="24"/>
          <w:szCs w:val="24"/>
        </w:rPr>
        <w:t>(</w:t>
      </w:r>
      <w:r w:rsidRPr="00D45734">
        <w:rPr>
          <w:sz w:val="24"/>
          <w:szCs w:val="24"/>
        </w:rPr>
        <w:t>Frankfurt: Institute for the History of Arabic-Islamic Science, 1992</w:t>
      </w:r>
      <w:r w:rsidR="00387182" w:rsidRPr="00D45734">
        <w:rPr>
          <w:sz w:val="24"/>
          <w:szCs w:val="24"/>
        </w:rPr>
        <w:t>)</w:t>
      </w:r>
      <w:r w:rsidRPr="00D45734">
        <w:rPr>
          <w:sz w:val="24"/>
          <w:szCs w:val="24"/>
        </w:rPr>
        <w:t>.</w:t>
      </w:r>
    </w:p>
  </w:endnote>
  <w:endnote w:id="38">
    <w:p w14:paraId="410334BB" w14:textId="77A6178E"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Reza Pourjavady and Sabine Schmidtke, </w:t>
      </w:r>
      <w:r w:rsidRPr="00D45734">
        <w:rPr>
          <w:i/>
          <w:iCs/>
          <w:sz w:val="24"/>
          <w:szCs w:val="24"/>
        </w:rPr>
        <w:t>A Jewish Philosopher of Baghdad: ʿIzz Al-Dawla Ibn Kammāna (d. 683/1284) and His Writings</w:t>
      </w:r>
      <w:r w:rsidRPr="00D45734">
        <w:rPr>
          <w:sz w:val="24"/>
          <w:szCs w:val="24"/>
        </w:rPr>
        <w:t xml:space="preserve"> </w:t>
      </w:r>
      <w:r w:rsidR="00FA2073" w:rsidRPr="00D45734">
        <w:rPr>
          <w:sz w:val="24"/>
          <w:szCs w:val="24"/>
        </w:rPr>
        <w:t>(</w:t>
      </w:r>
      <w:r w:rsidRPr="00D45734">
        <w:rPr>
          <w:sz w:val="24"/>
          <w:szCs w:val="24"/>
        </w:rPr>
        <w:t>Leiden</w:t>
      </w:r>
      <w:r w:rsidR="00FA2073" w:rsidRPr="00D45734">
        <w:rPr>
          <w:sz w:val="24"/>
          <w:szCs w:val="24"/>
        </w:rPr>
        <w:t>, Netherlands</w:t>
      </w:r>
      <w:r w:rsidRPr="00D45734">
        <w:rPr>
          <w:sz w:val="24"/>
          <w:szCs w:val="24"/>
        </w:rPr>
        <w:t>: Brill, 2006</w:t>
      </w:r>
      <w:r w:rsidR="00FA2073" w:rsidRPr="00D45734">
        <w:rPr>
          <w:sz w:val="24"/>
          <w:szCs w:val="24"/>
        </w:rPr>
        <w:t>)</w:t>
      </w:r>
      <w:r w:rsidRPr="00D45734">
        <w:rPr>
          <w:sz w:val="24"/>
          <w:szCs w:val="24"/>
        </w:rPr>
        <w:t>.</w:t>
      </w:r>
    </w:p>
  </w:endnote>
  <w:endnote w:id="39">
    <w:p w14:paraId="330AC9B1" w14:textId="446FBA29" w:rsidR="00697A47" w:rsidRPr="00D45734" w:rsidRDefault="00697A47" w:rsidP="00641470">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Sabine Schmidtke, “Saʿd b. Manṣūr Ibn Kammūna’s Writings and Transcriptions in the Maktabat al-Rawḍa al-Ḥaydariyya, Najaf: Preservation, Loss, and Recovery of the Philosophical Heritage of Muslims and Jews,” </w:t>
      </w:r>
      <w:r w:rsidRPr="00D45734">
        <w:rPr>
          <w:i/>
          <w:iCs/>
          <w:sz w:val="24"/>
          <w:szCs w:val="24"/>
        </w:rPr>
        <w:t>Intellectual History of the Islamicate World</w:t>
      </w:r>
      <w:r w:rsidRPr="00D45734">
        <w:rPr>
          <w:sz w:val="24"/>
          <w:szCs w:val="24"/>
        </w:rPr>
        <w:t xml:space="preserve"> </w:t>
      </w:r>
      <w:r w:rsidR="00AE3441" w:rsidRPr="00D45734">
        <w:rPr>
          <w:sz w:val="24"/>
          <w:szCs w:val="24"/>
        </w:rPr>
        <w:t>(</w:t>
      </w:r>
      <w:r w:rsidR="0099048F" w:rsidRPr="00D45734">
        <w:rPr>
          <w:sz w:val="24"/>
          <w:szCs w:val="24"/>
        </w:rPr>
        <w:t xml:space="preserve">Leiden: Brill, </w:t>
      </w:r>
      <w:r w:rsidR="00702D2C" w:rsidRPr="00D45734">
        <w:rPr>
          <w:sz w:val="24"/>
          <w:szCs w:val="24"/>
        </w:rPr>
        <w:t>published online 25 June 2021; forthcoming in print</w:t>
      </w:r>
      <w:r w:rsidR="00AE3441" w:rsidRPr="00D45734">
        <w:rPr>
          <w:sz w:val="24"/>
          <w:szCs w:val="24"/>
        </w:rPr>
        <w:t>)</w:t>
      </w:r>
      <w:r w:rsidR="00641470">
        <w:rPr>
          <w:sz w:val="24"/>
          <w:szCs w:val="24"/>
        </w:rPr>
        <w:t xml:space="preserve">, </w:t>
      </w:r>
      <w:r w:rsidR="00892780" w:rsidRPr="0099048F">
        <w:rPr>
          <w:sz w:val="24"/>
          <w:szCs w:val="24"/>
        </w:rPr>
        <w:t>https://doi.org/10.1163/2212943X-bja10003</w:t>
      </w:r>
      <w:r w:rsidRPr="00D45734">
        <w:rPr>
          <w:sz w:val="24"/>
          <w:szCs w:val="24"/>
        </w:rPr>
        <w:t>.</w:t>
      </w:r>
    </w:p>
  </w:endnote>
  <w:endnote w:id="40">
    <w:p w14:paraId="3FE86A63" w14:textId="717D3F94"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Recent important studies include Shawkat Toorawa, </w:t>
      </w:r>
      <w:r w:rsidRPr="00D45734">
        <w:rPr>
          <w:i/>
          <w:iCs/>
          <w:sz w:val="24"/>
          <w:szCs w:val="24"/>
        </w:rPr>
        <w:t>Ibn Abī Ṭāhir Ṭayfūr and Arabic Writerly Culture: A Ninth-Century Bookman in Baghdad</w:t>
      </w:r>
      <w:r w:rsidRPr="00D45734">
        <w:rPr>
          <w:sz w:val="24"/>
          <w:szCs w:val="24"/>
        </w:rPr>
        <w:t xml:space="preserve"> </w:t>
      </w:r>
      <w:r w:rsidR="00B561FA" w:rsidRPr="00D45734">
        <w:rPr>
          <w:sz w:val="24"/>
          <w:szCs w:val="24"/>
        </w:rPr>
        <w:t>(</w:t>
      </w:r>
      <w:r w:rsidRPr="00D45734">
        <w:rPr>
          <w:sz w:val="24"/>
          <w:szCs w:val="24"/>
        </w:rPr>
        <w:t>London: Routledge, 2005</w:t>
      </w:r>
      <w:r w:rsidR="00B561FA" w:rsidRPr="00D45734">
        <w:rPr>
          <w:sz w:val="24"/>
          <w:szCs w:val="24"/>
        </w:rPr>
        <w:t>)</w:t>
      </w:r>
      <w:r w:rsidRPr="00D45734">
        <w:rPr>
          <w:sz w:val="24"/>
          <w:szCs w:val="24"/>
        </w:rPr>
        <w:t xml:space="preserve">; Konrad Hirschler, </w:t>
      </w:r>
      <w:r w:rsidRPr="00D45734">
        <w:rPr>
          <w:i/>
          <w:iCs/>
          <w:sz w:val="24"/>
          <w:szCs w:val="24"/>
        </w:rPr>
        <w:t>The Written Word in the Medieval Arabic Lands: A Social and Cultural History of Reading Practices</w:t>
      </w:r>
      <w:r w:rsidRPr="00D45734">
        <w:rPr>
          <w:sz w:val="24"/>
          <w:szCs w:val="24"/>
        </w:rPr>
        <w:t xml:space="preserve"> </w:t>
      </w:r>
      <w:r w:rsidR="009C7BC3" w:rsidRPr="00D45734">
        <w:rPr>
          <w:sz w:val="24"/>
          <w:szCs w:val="24"/>
        </w:rPr>
        <w:t>(</w:t>
      </w:r>
      <w:r w:rsidRPr="00D45734">
        <w:rPr>
          <w:sz w:val="24"/>
          <w:szCs w:val="24"/>
        </w:rPr>
        <w:t>Edinburgh: Edinburgh University Press, 2012</w:t>
      </w:r>
      <w:r w:rsidR="009C7BC3" w:rsidRPr="00D45734">
        <w:rPr>
          <w:sz w:val="24"/>
          <w:szCs w:val="24"/>
        </w:rPr>
        <w:t>)</w:t>
      </w:r>
      <w:r w:rsidRPr="00D45734">
        <w:rPr>
          <w:sz w:val="24"/>
          <w:szCs w:val="24"/>
        </w:rPr>
        <w:t xml:space="preserve">; </w:t>
      </w:r>
      <w:r w:rsidR="00AC1D52" w:rsidRPr="00D45734">
        <w:rPr>
          <w:sz w:val="24"/>
          <w:szCs w:val="24"/>
        </w:rPr>
        <w:t xml:space="preserve">and </w:t>
      </w:r>
      <w:r w:rsidRPr="00D45734">
        <w:rPr>
          <w:sz w:val="24"/>
          <w:szCs w:val="24"/>
        </w:rPr>
        <w:t>Gr</w:t>
      </w:r>
      <w:r w:rsidRPr="00A76617">
        <w:rPr>
          <w:sz w:val="24"/>
          <w:szCs w:val="24"/>
        </w:rPr>
        <w:t>ü</w:t>
      </w:r>
      <w:r w:rsidRPr="00D45734">
        <w:rPr>
          <w:sz w:val="24"/>
          <w:szCs w:val="24"/>
        </w:rPr>
        <w:t xml:space="preserve">ndler, </w:t>
      </w:r>
      <w:r w:rsidRPr="00D45734">
        <w:rPr>
          <w:i/>
          <w:iCs/>
          <w:sz w:val="24"/>
          <w:szCs w:val="24"/>
        </w:rPr>
        <w:t>Rise of the Arabic Book</w:t>
      </w:r>
      <w:r w:rsidRPr="00D45734">
        <w:rPr>
          <w:sz w:val="24"/>
          <w:szCs w:val="24"/>
        </w:rPr>
        <w:t>. Mention should also be made of Gregor Schoeler</w:t>
      </w:r>
      <w:r w:rsidR="00AC1D52" w:rsidRPr="00D45734">
        <w:rPr>
          <w:sz w:val="24"/>
          <w:szCs w:val="24"/>
        </w:rPr>
        <w:t>’</w:t>
      </w:r>
      <w:r w:rsidRPr="00D45734">
        <w:rPr>
          <w:sz w:val="24"/>
          <w:szCs w:val="24"/>
        </w:rPr>
        <w:t xml:space="preserve">s seminal studies, including his </w:t>
      </w:r>
      <w:r w:rsidRPr="00D45734">
        <w:rPr>
          <w:i/>
          <w:iCs/>
          <w:sz w:val="24"/>
          <w:szCs w:val="24"/>
        </w:rPr>
        <w:t>Ecrire et transmettre dans les débuts de l'islam</w:t>
      </w:r>
      <w:r w:rsidRPr="00D45734">
        <w:rPr>
          <w:sz w:val="24"/>
          <w:szCs w:val="24"/>
        </w:rPr>
        <w:t xml:space="preserve"> </w:t>
      </w:r>
      <w:r w:rsidR="00AC1D52" w:rsidRPr="00D45734">
        <w:rPr>
          <w:sz w:val="24"/>
          <w:szCs w:val="24"/>
        </w:rPr>
        <w:t>(</w:t>
      </w:r>
      <w:r w:rsidRPr="00D45734">
        <w:rPr>
          <w:sz w:val="24"/>
          <w:szCs w:val="24"/>
        </w:rPr>
        <w:t xml:space="preserve">Paris: Presses </w:t>
      </w:r>
      <w:r w:rsidR="00AC1D52" w:rsidRPr="00D45734">
        <w:rPr>
          <w:sz w:val="24"/>
          <w:szCs w:val="24"/>
        </w:rPr>
        <w:t>U</w:t>
      </w:r>
      <w:r w:rsidRPr="00D45734">
        <w:rPr>
          <w:sz w:val="24"/>
          <w:szCs w:val="24"/>
        </w:rPr>
        <w:t>niversitaires de France, 2002</w:t>
      </w:r>
      <w:r w:rsidR="00AC1D52" w:rsidRPr="00D45734">
        <w:rPr>
          <w:sz w:val="24"/>
          <w:szCs w:val="24"/>
        </w:rPr>
        <w:t>)</w:t>
      </w:r>
      <w:r w:rsidRPr="00D45734">
        <w:rPr>
          <w:sz w:val="24"/>
          <w:szCs w:val="24"/>
        </w:rPr>
        <w:t>.</w:t>
      </w:r>
    </w:p>
  </w:endnote>
  <w:endnote w:id="41">
    <w:p w14:paraId="6FB84140" w14:textId="7AD411CE"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A76617">
        <w:rPr>
          <w:sz w:val="24"/>
          <w:szCs w:val="24"/>
        </w:rPr>
        <w:t xml:space="preserve">The majority of examples are discussed in some more detail in </w:t>
      </w:r>
      <w:r w:rsidRPr="00D45734">
        <w:rPr>
          <w:sz w:val="24"/>
          <w:szCs w:val="24"/>
        </w:rPr>
        <w:t>Ansari and Schmidtke, “Bibliographical Practices in Islamic Societies.</w:t>
      </w:r>
      <w:r w:rsidR="00D9791C" w:rsidRPr="00D45734">
        <w:rPr>
          <w:sz w:val="24"/>
          <w:szCs w:val="24"/>
        </w:rPr>
        <w:t>”</w:t>
      </w:r>
      <w:r w:rsidRPr="00D45734">
        <w:rPr>
          <w:sz w:val="24"/>
          <w:szCs w:val="24"/>
        </w:rPr>
        <w:t xml:space="preserve"> See also Garrett A. Davidson, </w:t>
      </w:r>
      <w:r w:rsidRPr="00D45734">
        <w:rPr>
          <w:i/>
          <w:iCs/>
          <w:sz w:val="24"/>
          <w:szCs w:val="24"/>
        </w:rPr>
        <w:t>Carrying on the Tradition: A Social and Intellectual History of Hadith Transmission across a Thousand Years</w:t>
      </w:r>
      <w:r w:rsidRPr="00D45734">
        <w:rPr>
          <w:sz w:val="24"/>
          <w:szCs w:val="24"/>
        </w:rPr>
        <w:t xml:space="preserve"> </w:t>
      </w:r>
      <w:r w:rsidR="00934026" w:rsidRPr="00D45734">
        <w:rPr>
          <w:sz w:val="24"/>
          <w:szCs w:val="24"/>
        </w:rPr>
        <w:t>(</w:t>
      </w:r>
      <w:r w:rsidRPr="00D45734">
        <w:rPr>
          <w:sz w:val="24"/>
          <w:szCs w:val="24"/>
        </w:rPr>
        <w:t>Leiden: Brill, 2020</w:t>
      </w:r>
      <w:r w:rsidR="00934026" w:rsidRPr="00D45734">
        <w:rPr>
          <w:sz w:val="24"/>
          <w:szCs w:val="24"/>
        </w:rPr>
        <w:t>)</w:t>
      </w:r>
      <w:r w:rsidRPr="00D45734">
        <w:rPr>
          <w:sz w:val="24"/>
          <w:szCs w:val="24"/>
        </w:rPr>
        <w:t>.</w:t>
      </w:r>
    </w:p>
  </w:endnote>
  <w:endnote w:id="42">
    <w:p w14:paraId="52461EB2" w14:textId="7BC2A75C"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E.g., Adam Gacek, </w:t>
      </w:r>
      <w:r w:rsidRPr="00D45734">
        <w:rPr>
          <w:i/>
          <w:iCs/>
          <w:sz w:val="24"/>
          <w:szCs w:val="24"/>
        </w:rPr>
        <w:t>Arabic Manuscripts: A Vademecum for Readers</w:t>
      </w:r>
      <w:r w:rsidRPr="00D45734">
        <w:rPr>
          <w:sz w:val="24"/>
          <w:szCs w:val="24"/>
        </w:rPr>
        <w:t xml:space="preserve"> </w:t>
      </w:r>
      <w:r w:rsidR="00BB3ED8" w:rsidRPr="00D45734">
        <w:rPr>
          <w:sz w:val="24"/>
          <w:szCs w:val="24"/>
        </w:rPr>
        <w:t>(</w:t>
      </w:r>
      <w:r w:rsidRPr="00D45734">
        <w:rPr>
          <w:sz w:val="24"/>
          <w:szCs w:val="24"/>
        </w:rPr>
        <w:t>Leiden: Brill, 2009</w:t>
      </w:r>
      <w:r w:rsidR="00BB3ED8" w:rsidRPr="00D45734">
        <w:rPr>
          <w:sz w:val="24"/>
          <w:szCs w:val="24"/>
        </w:rPr>
        <w:t>)</w:t>
      </w:r>
      <w:r w:rsidRPr="00D45734">
        <w:rPr>
          <w:sz w:val="24"/>
          <w:szCs w:val="24"/>
        </w:rPr>
        <w:t xml:space="preserve">; </w:t>
      </w:r>
      <w:r w:rsidR="00BB3ED8" w:rsidRPr="00D45734">
        <w:rPr>
          <w:sz w:val="24"/>
          <w:szCs w:val="24"/>
        </w:rPr>
        <w:t xml:space="preserve">and </w:t>
      </w:r>
      <w:r w:rsidRPr="00D45734">
        <w:rPr>
          <w:sz w:val="24"/>
          <w:szCs w:val="24"/>
        </w:rPr>
        <w:t xml:space="preserve">François Déroche et al., </w:t>
      </w:r>
      <w:r w:rsidRPr="00D45734">
        <w:rPr>
          <w:i/>
          <w:iCs/>
          <w:sz w:val="24"/>
          <w:szCs w:val="24"/>
        </w:rPr>
        <w:t>Islamic Codicology: An Introduction to the Study of Manuscripts in Arabic Script</w:t>
      </w:r>
      <w:r w:rsidRPr="00D45734">
        <w:rPr>
          <w:sz w:val="24"/>
          <w:szCs w:val="24"/>
        </w:rPr>
        <w:t xml:space="preserve"> </w:t>
      </w:r>
      <w:r w:rsidR="00BB3ED8" w:rsidRPr="00D45734">
        <w:rPr>
          <w:sz w:val="24"/>
          <w:szCs w:val="24"/>
        </w:rPr>
        <w:t>(</w:t>
      </w:r>
      <w:r w:rsidRPr="00D45734">
        <w:rPr>
          <w:sz w:val="24"/>
          <w:szCs w:val="24"/>
        </w:rPr>
        <w:t xml:space="preserve">London: </w:t>
      </w:r>
      <w:r w:rsidR="00AC3051" w:rsidRPr="00D45734">
        <w:rPr>
          <w:sz w:val="24"/>
          <w:szCs w:val="24"/>
        </w:rPr>
        <w:t>a</w:t>
      </w:r>
      <w:r w:rsidRPr="00D45734">
        <w:rPr>
          <w:sz w:val="24"/>
          <w:szCs w:val="24"/>
        </w:rPr>
        <w:t>l-Furqān Islamic Heritage Foundation, 2015</w:t>
      </w:r>
      <w:r w:rsidR="00BB3ED8" w:rsidRPr="00D45734">
        <w:rPr>
          <w:sz w:val="24"/>
          <w:szCs w:val="24"/>
        </w:rPr>
        <w:t>)</w:t>
      </w:r>
      <w:r w:rsidRPr="00D45734">
        <w:rPr>
          <w:sz w:val="24"/>
          <w:szCs w:val="24"/>
        </w:rPr>
        <w:t>. Important is also the oeuvre of Jan Just Witkam</w:t>
      </w:r>
      <w:r w:rsidR="00BB3ED8" w:rsidRPr="00D45734">
        <w:rPr>
          <w:sz w:val="24"/>
          <w:szCs w:val="24"/>
        </w:rPr>
        <w:t>:</w:t>
      </w:r>
      <w:r w:rsidRPr="00D45734">
        <w:rPr>
          <w:sz w:val="24"/>
          <w:szCs w:val="24"/>
        </w:rPr>
        <w:t xml:space="preserve"> see Robert M. Kerr and Thomas Milo, “List of Publications of Prof. JJ Witkam,” </w:t>
      </w:r>
      <w:r w:rsidR="00B565DD">
        <w:rPr>
          <w:sz w:val="24"/>
          <w:szCs w:val="24"/>
        </w:rPr>
        <w:t xml:space="preserve">in </w:t>
      </w:r>
      <w:r w:rsidRPr="00D45734">
        <w:rPr>
          <w:i/>
          <w:iCs/>
          <w:sz w:val="24"/>
          <w:szCs w:val="24"/>
        </w:rPr>
        <w:t>Writings and Writing: From Another World and Another Era</w:t>
      </w:r>
      <w:r w:rsidRPr="00D45734">
        <w:rPr>
          <w:sz w:val="24"/>
          <w:szCs w:val="24"/>
        </w:rPr>
        <w:t xml:space="preserve">, ed. Robert M. Kerr and Thomas Milo </w:t>
      </w:r>
      <w:r w:rsidR="00FC2240" w:rsidRPr="00D45734">
        <w:rPr>
          <w:sz w:val="24"/>
          <w:szCs w:val="24"/>
        </w:rPr>
        <w:t>(</w:t>
      </w:r>
      <w:r w:rsidRPr="00D45734">
        <w:rPr>
          <w:sz w:val="24"/>
          <w:szCs w:val="24"/>
        </w:rPr>
        <w:t>Cambridge: Archetype, 2010</w:t>
      </w:r>
      <w:r w:rsidR="00FC2240" w:rsidRPr="00D45734">
        <w:rPr>
          <w:sz w:val="24"/>
          <w:szCs w:val="24"/>
        </w:rPr>
        <w:t>)</w:t>
      </w:r>
      <w:r w:rsidRPr="00D45734">
        <w:rPr>
          <w:sz w:val="24"/>
          <w:szCs w:val="24"/>
        </w:rPr>
        <w:t xml:space="preserve">, xv. Needless to say, pathbreaking contributions to this field have also been made by scholars writing in languages other than English, especially </w:t>
      </w:r>
      <w:r w:rsidR="006C2180" w:rsidRPr="00D45734">
        <w:rPr>
          <w:sz w:val="24"/>
          <w:szCs w:val="24"/>
        </w:rPr>
        <w:t xml:space="preserve">Persian and </w:t>
      </w:r>
      <w:r w:rsidRPr="00D45734">
        <w:rPr>
          <w:sz w:val="24"/>
          <w:szCs w:val="24"/>
        </w:rPr>
        <w:t>Arabic.</w:t>
      </w:r>
    </w:p>
  </w:endnote>
  <w:endnote w:id="43">
    <w:p w14:paraId="67147E7C" w14:textId="19BDA3E8"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E.g., </w:t>
      </w:r>
      <w:r w:rsidRPr="00D45734">
        <w:rPr>
          <w:i/>
          <w:iCs/>
          <w:sz w:val="24"/>
          <w:szCs w:val="24"/>
        </w:rPr>
        <w:t>Journal of Islamic Manuscripts</w:t>
      </w:r>
      <w:r w:rsidR="004062E8" w:rsidRPr="00D45734">
        <w:rPr>
          <w:sz w:val="24"/>
          <w:szCs w:val="24"/>
        </w:rPr>
        <w:t xml:space="preserve"> and</w:t>
      </w:r>
      <w:r w:rsidRPr="00D45734">
        <w:rPr>
          <w:sz w:val="24"/>
          <w:szCs w:val="24"/>
        </w:rPr>
        <w:t xml:space="preserve"> </w:t>
      </w:r>
      <w:r w:rsidRPr="00D45734">
        <w:rPr>
          <w:i/>
          <w:iCs/>
          <w:sz w:val="24"/>
          <w:szCs w:val="24"/>
        </w:rPr>
        <w:t>Manuscripta Orientalia</w:t>
      </w:r>
      <w:r w:rsidRPr="00D45734">
        <w:rPr>
          <w:sz w:val="24"/>
          <w:szCs w:val="24"/>
        </w:rPr>
        <w:t xml:space="preserve">. </w:t>
      </w:r>
    </w:p>
  </w:endnote>
  <w:endnote w:id="44">
    <w:p w14:paraId="14E61ADD" w14:textId="55B98415"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A76617">
        <w:rPr>
          <w:sz w:val="24"/>
          <w:szCs w:val="24"/>
        </w:rPr>
        <w:t xml:space="preserve">E.g., Islamic Books and Manuscripts </w:t>
      </w:r>
      <w:r w:rsidR="00882E6B" w:rsidRPr="00D45734">
        <w:rPr>
          <w:sz w:val="24"/>
          <w:szCs w:val="24"/>
        </w:rPr>
        <w:t>(by Brill)</w:t>
      </w:r>
      <w:r w:rsidRPr="00A76617">
        <w:rPr>
          <w:sz w:val="24"/>
          <w:szCs w:val="24"/>
        </w:rPr>
        <w:t>.</w:t>
      </w:r>
    </w:p>
  </w:endnote>
  <w:endnote w:id="45">
    <w:p w14:paraId="18454380" w14:textId="490D01A1"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E.g., the </w:t>
      </w:r>
      <w:r w:rsidRPr="00D45734">
        <w:rPr>
          <w:sz w:val="24"/>
          <w:szCs w:val="24"/>
          <w:shd w:val="clear" w:color="auto" w:fill="FFFFFF"/>
        </w:rPr>
        <w:t xml:space="preserve">Comparative Oriental Manuscript Studies (COMSt) network, hosted by </w:t>
      </w:r>
      <w:r w:rsidR="00AB3146" w:rsidRPr="00D45734">
        <w:rPr>
          <w:sz w:val="24"/>
          <w:szCs w:val="24"/>
          <w:shd w:val="clear" w:color="auto" w:fill="FFFFFF"/>
        </w:rPr>
        <w:t>t</w:t>
      </w:r>
      <w:r w:rsidR="00882E6B" w:rsidRPr="00D45734">
        <w:rPr>
          <w:sz w:val="24"/>
          <w:szCs w:val="24"/>
          <w:shd w:val="clear" w:color="auto" w:fill="FFFFFF"/>
        </w:rPr>
        <w:t xml:space="preserve">he University of </w:t>
      </w:r>
      <w:r w:rsidRPr="00D45734">
        <w:rPr>
          <w:sz w:val="24"/>
          <w:szCs w:val="24"/>
          <w:shd w:val="clear" w:color="auto" w:fill="FFFFFF"/>
        </w:rPr>
        <w:t xml:space="preserve">Hamburg. </w:t>
      </w:r>
    </w:p>
  </w:endnote>
  <w:endnote w:id="46">
    <w:p w14:paraId="343B40EB" w14:textId="1CE2F345"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See, e.g., Boris Liebrenz and Christoph Rauch</w:t>
      </w:r>
      <w:r w:rsidR="008E7918" w:rsidRPr="00D45734">
        <w:rPr>
          <w:sz w:val="24"/>
          <w:szCs w:val="24"/>
        </w:rPr>
        <w:t xml:space="preserve">, </w:t>
      </w:r>
      <w:r w:rsidRPr="00D45734">
        <w:rPr>
          <w:sz w:val="24"/>
          <w:szCs w:val="24"/>
        </w:rPr>
        <w:t xml:space="preserve">eds., </w:t>
      </w:r>
      <w:r w:rsidRPr="00D45734">
        <w:rPr>
          <w:i/>
          <w:iCs/>
          <w:sz w:val="24"/>
          <w:szCs w:val="24"/>
        </w:rPr>
        <w:t>Manuscripts, Politics and Oriental Studies: Life and Collections of Johann Gottfried Wetzstein (1815‒1905) in Context</w:t>
      </w:r>
      <w:r w:rsidRPr="00D45734">
        <w:rPr>
          <w:sz w:val="24"/>
          <w:szCs w:val="24"/>
        </w:rPr>
        <w:t xml:space="preserve"> </w:t>
      </w:r>
      <w:r w:rsidR="008E7918" w:rsidRPr="00D45734">
        <w:rPr>
          <w:sz w:val="24"/>
          <w:szCs w:val="24"/>
        </w:rPr>
        <w:t>(</w:t>
      </w:r>
      <w:r w:rsidRPr="00D45734">
        <w:rPr>
          <w:sz w:val="24"/>
          <w:szCs w:val="24"/>
        </w:rPr>
        <w:t>Leiden: Brill</w:t>
      </w:r>
      <w:r w:rsidR="008E7918" w:rsidRPr="00D45734">
        <w:rPr>
          <w:sz w:val="24"/>
          <w:szCs w:val="24"/>
        </w:rPr>
        <w:t>,</w:t>
      </w:r>
      <w:r w:rsidRPr="00D45734">
        <w:rPr>
          <w:sz w:val="24"/>
          <w:szCs w:val="24"/>
        </w:rPr>
        <w:t xml:space="preserve"> 2019</w:t>
      </w:r>
      <w:r w:rsidR="008E7918" w:rsidRPr="00D45734">
        <w:rPr>
          <w:sz w:val="24"/>
          <w:szCs w:val="24"/>
        </w:rPr>
        <w:t>)</w:t>
      </w:r>
      <w:r w:rsidRPr="00D45734">
        <w:rPr>
          <w:sz w:val="24"/>
          <w:szCs w:val="24"/>
        </w:rPr>
        <w:t>.</w:t>
      </w:r>
    </w:p>
  </w:endnote>
  <w:endnote w:id="47">
    <w:p w14:paraId="603652C8" w14:textId="505B2941"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For a detailed study of Faḍl Allāh al-Rāwandī and his role as transmitter of the </w:t>
      </w:r>
      <w:r w:rsidRPr="00D45734">
        <w:rPr>
          <w:i/>
          <w:iCs/>
          <w:sz w:val="24"/>
          <w:szCs w:val="24"/>
        </w:rPr>
        <w:t>K. al-Ghurar</w:t>
      </w:r>
      <w:r w:rsidRPr="00D45734">
        <w:rPr>
          <w:sz w:val="24"/>
          <w:szCs w:val="24"/>
        </w:rPr>
        <w:t xml:space="preserve"> by al-Murtaḍā, see Hassan Ansari and Sabine Schmidtke, </w:t>
      </w:r>
      <w:r w:rsidR="00641470">
        <w:rPr>
          <w:i/>
          <w:iCs/>
          <w:sz w:val="24"/>
          <w:szCs w:val="24"/>
        </w:rPr>
        <w:t>A</w:t>
      </w:r>
      <w:r w:rsidR="00641470" w:rsidRPr="00D45734">
        <w:rPr>
          <w:i/>
          <w:iCs/>
          <w:sz w:val="24"/>
          <w:szCs w:val="24"/>
        </w:rPr>
        <w:t>l-Šarīf al-Murtaḍā’s Oeuvre and Thought</w:t>
      </w:r>
      <w:r w:rsidR="00641470">
        <w:rPr>
          <w:i/>
          <w:iCs/>
          <w:sz w:val="24"/>
          <w:szCs w:val="24"/>
        </w:rPr>
        <w:t xml:space="preserve"> in Context</w:t>
      </w:r>
      <w:r w:rsidRPr="00D45734">
        <w:rPr>
          <w:i/>
          <w:iCs/>
          <w:sz w:val="24"/>
          <w:szCs w:val="24"/>
        </w:rPr>
        <w:t>: An Archaeological Inquiry into Texts and Their Transmission</w:t>
      </w:r>
      <w:r w:rsidRPr="00D45734">
        <w:rPr>
          <w:sz w:val="24"/>
          <w:szCs w:val="24"/>
        </w:rPr>
        <w:t xml:space="preserve"> </w:t>
      </w:r>
      <w:r w:rsidR="00E31723" w:rsidRPr="00D45734">
        <w:rPr>
          <w:sz w:val="24"/>
          <w:szCs w:val="24"/>
        </w:rPr>
        <w:t>(</w:t>
      </w:r>
      <w:r w:rsidRPr="00D45734">
        <w:rPr>
          <w:sz w:val="24"/>
          <w:szCs w:val="24"/>
        </w:rPr>
        <w:t xml:space="preserve">Cordoba: </w:t>
      </w:r>
      <w:r w:rsidR="00641470">
        <w:rPr>
          <w:sz w:val="24"/>
          <w:szCs w:val="24"/>
        </w:rPr>
        <w:t>Cordoba University Press</w:t>
      </w:r>
      <w:r w:rsidR="00E31723" w:rsidRPr="00D45734">
        <w:rPr>
          <w:sz w:val="24"/>
          <w:szCs w:val="24"/>
        </w:rPr>
        <w:t>,</w:t>
      </w:r>
      <w:r w:rsidR="00641470">
        <w:rPr>
          <w:sz w:val="24"/>
          <w:szCs w:val="24"/>
        </w:rPr>
        <w:t xml:space="preserve"> 2022</w:t>
      </w:r>
      <w:r w:rsidR="00641470" w:rsidRPr="0099048F">
        <w:rPr>
          <w:sz w:val="24"/>
          <w:szCs w:val="24"/>
        </w:rPr>
        <w:t>)</w:t>
      </w:r>
      <w:r w:rsidRPr="00D45734">
        <w:rPr>
          <w:sz w:val="24"/>
          <w:szCs w:val="24"/>
        </w:rPr>
        <w:t>, ch</w:t>
      </w:r>
      <w:r w:rsidR="00250333" w:rsidRPr="00D45734">
        <w:rPr>
          <w:sz w:val="24"/>
          <w:szCs w:val="24"/>
        </w:rPr>
        <w:t>apter</w:t>
      </w:r>
      <w:r w:rsidRPr="00D45734">
        <w:rPr>
          <w:sz w:val="24"/>
          <w:szCs w:val="24"/>
        </w:rPr>
        <w:t xml:space="preserve"> 1.4.</w:t>
      </w:r>
    </w:p>
  </w:endnote>
  <w:endnote w:id="48">
    <w:p w14:paraId="1F12B393" w14:textId="1661A7E3"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It is on the basis of the detailed information Ibn </w:t>
      </w:r>
      <w:r w:rsidR="00641470">
        <w:rPr>
          <w:sz w:val="24"/>
          <w:szCs w:val="24"/>
        </w:rPr>
        <w:t>Ta</w:t>
      </w:r>
      <w:r w:rsidRPr="00D45734">
        <w:rPr>
          <w:sz w:val="24"/>
          <w:szCs w:val="24"/>
        </w:rPr>
        <w:t>w</w:t>
      </w:r>
      <w:r w:rsidR="00641470">
        <w:rPr>
          <w:sz w:val="24"/>
          <w:szCs w:val="24"/>
        </w:rPr>
        <w:t>u</w:t>
      </w:r>
      <w:r w:rsidRPr="00D45734">
        <w:rPr>
          <w:sz w:val="24"/>
          <w:szCs w:val="24"/>
        </w:rPr>
        <w:t>s provides throughout his oeuvre that the contents of his library have been reconstructed</w:t>
      </w:r>
      <w:r w:rsidR="00E16283" w:rsidRPr="00D45734">
        <w:rPr>
          <w:sz w:val="24"/>
          <w:szCs w:val="24"/>
        </w:rPr>
        <w:t>.</w:t>
      </w:r>
      <w:r w:rsidRPr="00D45734">
        <w:rPr>
          <w:sz w:val="24"/>
          <w:szCs w:val="24"/>
        </w:rPr>
        <w:t xml:space="preserve"> </w:t>
      </w:r>
      <w:r w:rsidR="00E16283" w:rsidRPr="00D45734">
        <w:rPr>
          <w:sz w:val="24"/>
          <w:szCs w:val="24"/>
        </w:rPr>
        <w:t>S</w:t>
      </w:r>
      <w:r w:rsidRPr="00D45734">
        <w:rPr>
          <w:sz w:val="24"/>
          <w:szCs w:val="24"/>
        </w:rPr>
        <w:t xml:space="preserve">ee Etan Kohlberg, </w:t>
      </w:r>
      <w:r w:rsidRPr="00D45734">
        <w:rPr>
          <w:i/>
          <w:iCs/>
          <w:sz w:val="24"/>
          <w:szCs w:val="24"/>
        </w:rPr>
        <w:t>A Medieval Muslim Scholar at Work: Ibn Ṭāwūs and His Library</w:t>
      </w:r>
      <w:r w:rsidRPr="00D45734">
        <w:rPr>
          <w:sz w:val="24"/>
          <w:szCs w:val="24"/>
        </w:rPr>
        <w:t xml:space="preserve"> </w:t>
      </w:r>
      <w:r w:rsidR="00E16283" w:rsidRPr="00D45734">
        <w:rPr>
          <w:sz w:val="24"/>
          <w:szCs w:val="24"/>
        </w:rPr>
        <w:t>(</w:t>
      </w:r>
      <w:r w:rsidRPr="00D45734">
        <w:rPr>
          <w:sz w:val="24"/>
          <w:szCs w:val="24"/>
        </w:rPr>
        <w:t>Leiden: Brill, 1992</w:t>
      </w:r>
      <w:r w:rsidR="00E16283" w:rsidRPr="00D45734">
        <w:rPr>
          <w:sz w:val="24"/>
          <w:szCs w:val="24"/>
        </w:rPr>
        <w:t>)</w:t>
      </w:r>
      <w:r w:rsidRPr="00D45734">
        <w:rPr>
          <w:sz w:val="24"/>
          <w:szCs w:val="24"/>
        </w:rPr>
        <w:t>.</w:t>
      </w:r>
    </w:p>
  </w:endnote>
  <w:endnote w:id="49">
    <w:p w14:paraId="2B7FDDFA" w14:textId="6B6DCF59"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See, e.g., Sabine Schmidtke, </w:t>
      </w:r>
      <w:r w:rsidRPr="00D45734">
        <w:rPr>
          <w:i/>
          <w:iCs/>
          <w:sz w:val="24"/>
          <w:szCs w:val="24"/>
        </w:rPr>
        <w:t>Traditional Yemeni Scholarship amidst Political Turmoil and War: Muḥammad b. Muḥammad b. Ismāʿīl b. al-Muṭahhar al-Manṣūr (1915–2016) and His Personal Library</w:t>
      </w:r>
      <w:r w:rsidRPr="00D45734">
        <w:rPr>
          <w:sz w:val="24"/>
          <w:szCs w:val="24"/>
        </w:rPr>
        <w:t xml:space="preserve"> </w:t>
      </w:r>
      <w:r w:rsidR="00E16283" w:rsidRPr="00D45734">
        <w:rPr>
          <w:sz w:val="24"/>
          <w:szCs w:val="24"/>
        </w:rPr>
        <w:t>(</w:t>
      </w:r>
      <w:r w:rsidRPr="00D45734">
        <w:rPr>
          <w:sz w:val="24"/>
          <w:szCs w:val="24"/>
        </w:rPr>
        <w:t>Cordoba: UCOPress, 2018</w:t>
      </w:r>
      <w:r w:rsidR="00E16283" w:rsidRPr="00D45734">
        <w:rPr>
          <w:sz w:val="24"/>
          <w:szCs w:val="24"/>
        </w:rPr>
        <w:t>)</w:t>
      </w:r>
      <w:r w:rsidRPr="00D45734">
        <w:rPr>
          <w:sz w:val="24"/>
          <w:szCs w:val="24"/>
        </w:rPr>
        <w:t>,</w:t>
      </w:r>
      <w:r w:rsidR="00E16283" w:rsidRPr="00D45734">
        <w:rPr>
          <w:sz w:val="24"/>
          <w:szCs w:val="24"/>
        </w:rPr>
        <w:t xml:space="preserve"> </w:t>
      </w:r>
      <w:r w:rsidRPr="00D45734">
        <w:rPr>
          <w:sz w:val="24"/>
          <w:szCs w:val="24"/>
        </w:rPr>
        <w:t>41 n.138.</w:t>
      </w:r>
    </w:p>
  </w:endnote>
  <w:endnote w:id="50">
    <w:p w14:paraId="637395E9" w14:textId="6A683BAA"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For other examples of scholars engaged in the transcription of manuscripts during the twentieth century, see Ansari and Schmidtke, </w:t>
      </w:r>
      <w:r w:rsidR="00641470">
        <w:rPr>
          <w:i/>
          <w:iCs/>
          <w:sz w:val="24"/>
          <w:szCs w:val="24"/>
        </w:rPr>
        <w:t>A</w:t>
      </w:r>
      <w:r w:rsidR="00641470" w:rsidRPr="00D45734">
        <w:rPr>
          <w:i/>
          <w:iCs/>
          <w:sz w:val="24"/>
          <w:szCs w:val="24"/>
        </w:rPr>
        <w:t>l-Šarīf al-Murtaḍā’s Oeuvre</w:t>
      </w:r>
      <w:r w:rsidRPr="00D45734">
        <w:rPr>
          <w:sz w:val="24"/>
          <w:szCs w:val="24"/>
        </w:rPr>
        <w:t>, ch</w:t>
      </w:r>
      <w:r w:rsidR="00C84533" w:rsidRPr="00D45734">
        <w:rPr>
          <w:sz w:val="24"/>
          <w:szCs w:val="24"/>
        </w:rPr>
        <w:t>apter</w:t>
      </w:r>
      <w:r w:rsidRPr="00D45734">
        <w:rPr>
          <w:sz w:val="24"/>
          <w:szCs w:val="24"/>
        </w:rPr>
        <w:t xml:space="preserve"> 2.4.</w:t>
      </w:r>
    </w:p>
  </w:endnote>
  <w:endnote w:id="51">
    <w:p w14:paraId="6E5E896A" w14:textId="0D1C4E7A"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006A328B" w:rsidRPr="00D45734">
        <w:rPr>
          <w:sz w:val="24"/>
          <w:szCs w:val="24"/>
        </w:rPr>
        <w:t>This is a</w:t>
      </w:r>
      <w:r w:rsidR="006A328B" w:rsidRPr="00A76617">
        <w:rPr>
          <w:sz w:val="24"/>
          <w:szCs w:val="24"/>
        </w:rPr>
        <w:t xml:space="preserve"> </w:t>
      </w:r>
      <w:r w:rsidRPr="00A76617">
        <w:rPr>
          <w:sz w:val="24"/>
          <w:szCs w:val="24"/>
        </w:rPr>
        <w:t>complex question</w:t>
      </w:r>
      <w:r w:rsidR="006A328B" w:rsidRPr="00D45734">
        <w:rPr>
          <w:sz w:val="24"/>
          <w:szCs w:val="24"/>
        </w:rPr>
        <w:t>,</w:t>
      </w:r>
      <w:r w:rsidRPr="00A76617">
        <w:rPr>
          <w:sz w:val="24"/>
          <w:szCs w:val="24"/>
        </w:rPr>
        <w:t xml:space="preserve"> the metho</w:t>
      </w:r>
      <w:r w:rsidR="006A328B" w:rsidRPr="00D45734">
        <w:rPr>
          <w:sz w:val="24"/>
          <w:szCs w:val="24"/>
        </w:rPr>
        <w:t>d</w:t>
      </w:r>
      <w:r w:rsidRPr="00A76617">
        <w:rPr>
          <w:sz w:val="24"/>
          <w:szCs w:val="24"/>
        </w:rPr>
        <w:t xml:space="preserve">ological consequences of which are discussed in Arnold Esch, </w:t>
      </w:r>
      <w:r w:rsidR="006A328B" w:rsidRPr="00D45734">
        <w:rPr>
          <w:sz w:val="24"/>
          <w:szCs w:val="24"/>
        </w:rPr>
        <w:t>“</w:t>
      </w:r>
      <w:r w:rsidRPr="00A76617">
        <w:rPr>
          <w:sz w:val="24"/>
          <w:szCs w:val="24"/>
        </w:rPr>
        <w:t>Überlieferungs-Chance und Überlieferungs-Zufall als methodisches Problem des Historikers,</w:t>
      </w:r>
      <w:r w:rsidR="006A328B" w:rsidRPr="00D45734">
        <w:rPr>
          <w:sz w:val="24"/>
          <w:szCs w:val="24"/>
        </w:rPr>
        <w:t>”</w:t>
      </w:r>
      <w:r w:rsidRPr="00A76617">
        <w:rPr>
          <w:sz w:val="24"/>
          <w:szCs w:val="24"/>
        </w:rPr>
        <w:t xml:space="preserve"> </w:t>
      </w:r>
      <w:r w:rsidRPr="00A76617">
        <w:rPr>
          <w:i/>
          <w:iCs/>
          <w:sz w:val="24"/>
          <w:szCs w:val="24"/>
        </w:rPr>
        <w:t>Historische Zeitschrift</w:t>
      </w:r>
      <w:r w:rsidRPr="00A76617">
        <w:rPr>
          <w:sz w:val="24"/>
          <w:szCs w:val="24"/>
        </w:rPr>
        <w:t xml:space="preserve"> 240 (1985)</w:t>
      </w:r>
      <w:r w:rsidR="006A328B" w:rsidRPr="00D45734">
        <w:rPr>
          <w:sz w:val="24"/>
          <w:szCs w:val="24"/>
        </w:rPr>
        <w:t>:</w:t>
      </w:r>
      <w:r w:rsidRPr="00A76617">
        <w:rPr>
          <w:sz w:val="24"/>
          <w:szCs w:val="24"/>
        </w:rPr>
        <w:t xml:space="preserve"> 529</w:t>
      </w:r>
      <w:r w:rsidR="006A328B" w:rsidRPr="00D45734">
        <w:rPr>
          <w:sz w:val="24"/>
          <w:szCs w:val="24"/>
        </w:rPr>
        <w:t>–</w:t>
      </w:r>
      <w:r w:rsidRPr="00A76617">
        <w:rPr>
          <w:sz w:val="24"/>
          <w:szCs w:val="24"/>
        </w:rPr>
        <w:t>70.</w:t>
      </w:r>
    </w:p>
  </w:endnote>
  <w:endnote w:id="52">
    <w:p w14:paraId="644B0088" w14:textId="11FB4A75"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Anna Burgess, “Harvard Librarian Puts This War Crime on the Map,” </w:t>
      </w:r>
      <w:r w:rsidRPr="00D45734">
        <w:rPr>
          <w:i/>
          <w:iCs/>
          <w:sz w:val="24"/>
          <w:szCs w:val="24"/>
        </w:rPr>
        <w:t>Harvard Gazette</w:t>
      </w:r>
      <w:r w:rsidRPr="00D45734">
        <w:rPr>
          <w:sz w:val="24"/>
          <w:szCs w:val="24"/>
        </w:rPr>
        <w:t xml:space="preserve">, </w:t>
      </w:r>
      <w:r w:rsidR="00CF094C" w:rsidRPr="00D45734">
        <w:rPr>
          <w:sz w:val="24"/>
          <w:szCs w:val="24"/>
        </w:rPr>
        <w:t xml:space="preserve">21 </w:t>
      </w:r>
      <w:r w:rsidRPr="00D45734">
        <w:rPr>
          <w:sz w:val="24"/>
          <w:szCs w:val="24"/>
        </w:rPr>
        <w:t>February 2020, https://news.harvard.edu/gazette/story/2020/02/harvard-librarian-puts-this-war-crime-on-the-map/.</w:t>
      </w:r>
    </w:p>
  </w:endnote>
  <w:endnote w:id="53">
    <w:p w14:paraId="2C604909" w14:textId="3E264E8B" w:rsidR="00697A47" w:rsidRPr="00D45734"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D45734">
        <w:rPr>
          <w:color w:val="000000" w:themeColor="text1"/>
          <w:sz w:val="24"/>
          <w:szCs w:val="24"/>
        </w:rPr>
        <w:t xml:space="preserve">See Ian M. Johnson, “The Impact on Libraries and Archives in Iraq of War and Looting in 2003: A Preliminary Assessment of the Damage and Subsequent Reconstruction Efforts,” </w:t>
      </w:r>
      <w:r w:rsidRPr="00D45734">
        <w:rPr>
          <w:i/>
          <w:iCs/>
          <w:color w:val="000000" w:themeColor="text1"/>
          <w:sz w:val="24"/>
          <w:szCs w:val="24"/>
        </w:rPr>
        <w:t>International Information &amp; Library Review</w:t>
      </w:r>
      <w:r w:rsidRPr="00D45734">
        <w:rPr>
          <w:color w:val="000000" w:themeColor="text1"/>
          <w:sz w:val="24"/>
          <w:szCs w:val="24"/>
        </w:rPr>
        <w:t xml:space="preserve"> 37 (2005)</w:t>
      </w:r>
      <w:r w:rsidR="001D5F11" w:rsidRPr="00D45734">
        <w:rPr>
          <w:color w:val="000000" w:themeColor="text1"/>
          <w:sz w:val="24"/>
          <w:szCs w:val="24"/>
        </w:rPr>
        <w:t>:</w:t>
      </w:r>
      <w:r w:rsidRPr="00D45734">
        <w:rPr>
          <w:color w:val="000000" w:themeColor="text1"/>
          <w:sz w:val="24"/>
          <w:szCs w:val="24"/>
        </w:rPr>
        <w:t xml:space="preserve"> 209–71; D. Vanessa Kam, “Cultural Calamities: Damage to Iraq’s Museums, Libraries, and Archaeological Sites during the Unite</w:t>
      </w:r>
      <w:r w:rsidR="001D5F11" w:rsidRPr="00D45734">
        <w:rPr>
          <w:color w:val="000000" w:themeColor="text1"/>
          <w:sz w:val="24"/>
          <w:szCs w:val="24"/>
        </w:rPr>
        <w:t>d</w:t>
      </w:r>
      <w:r w:rsidRPr="00D45734">
        <w:rPr>
          <w:color w:val="000000" w:themeColor="text1"/>
          <w:sz w:val="24"/>
          <w:szCs w:val="24"/>
        </w:rPr>
        <w:t xml:space="preserve"> States–Led War on Iraq,” </w:t>
      </w:r>
      <w:r w:rsidRPr="00D45734">
        <w:rPr>
          <w:i/>
          <w:iCs/>
          <w:color w:val="000000" w:themeColor="text1"/>
          <w:sz w:val="24"/>
          <w:szCs w:val="24"/>
        </w:rPr>
        <w:t>Art Documentation: Journal of the Art Libraries Society of North America</w:t>
      </w:r>
      <w:r w:rsidRPr="00D45734">
        <w:rPr>
          <w:color w:val="000000" w:themeColor="text1"/>
          <w:sz w:val="24"/>
          <w:szCs w:val="24"/>
        </w:rPr>
        <w:t xml:space="preserve"> 23 (2004)</w:t>
      </w:r>
      <w:r w:rsidR="001D5F11" w:rsidRPr="00D45734">
        <w:rPr>
          <w:color w:val="000000" w:themeColor="text1"/>
          <w:sz w:val="24"/>
          <w:szCs w:val="24"/>
        </w:rPr>
        <w:t>:</w:t>
      </w:r>
      <w:r w:rsidRPr="00D45734">
        <w:rPr>
          <w:color w:val="000000" w:themeColor="text1"/>
          <w:sz w:val="24"/>
          <w:szCs w:val="24"/>
        </w:rPr>
        <w:t xml:space="preserve"> 4–11; Nabil al-Tikriti, “‘Stuff Happens’: A Brief Overview of the 2003 Destruction of Iraqi Manuscript Collections, Archives, and Libraries,” </w:t>
      </w:r>
      <w:r w:rsidRPr="00D45734">
        <w:rPr>
          <w:i/>
          <w:iCs/>
          <w:color w:val="000000" w:themeColor="text1"/>
          <w:sz w:val="24"/>
          <w:szCs w:val="24"/>
        </w:rPr>
        <w:t>Library Trends</w:t>
      </w:r>
      <w:r w:rsidRPr="00D45734">
        <w:rPr>
          <w:color w:val="000000" w:themeColor="text1"/>
          <w:sz w:val="24"/>
          <w:szCs w:val="24"/>
        </w:rPr>
        <w:t xml:space="preserve"> 55 (2007)</w:t>
      </w:r>
      <w:r w:rsidR="001D5F11" w:rsidRPr="00D45734">
        <w:rPr>
          <w:color w:val="000000" w:themeColor="text1"/>
          <w:sz w:val="24"/>
          <w:szCs w:val="24"/>
        </w:rPr>
        <w:t xml:space="preserve">: </w:t>
      </w:r>
      <w:r w:rsidRPr="00D45734">
        <w:rPr>
          <w:color w:val="000000" w:themeColor="text1"/>
          <w:sz w:val="24"/>
          <w:szCs w:val="24"/>
        </w:rPr>
        <w:t xml:space="preserve">730–45; </w:t>
      </w:r>
      <w:r w:rsidR="00292161" w:rsidRPr="00D45734">
        <w:rPr>
          <w:color w:val="000000" w:themeColor="text1"/>
          <w:sz w:val="24"/>
          <w:szCs w:val="24"/>
        </w:rPr>
        <w:t xml:space="preserve">and </w:t>
      </w:r>
      <w:r w:rsidRPr="00D45734">
        <w:rPr>
          <w:color w:val="000000" w:themeColor="text1"/>
          <w:sz w:val="24"/>
          <w:szCs w:val="24"/>
        </w:rPr>
        <w:t xml:space="preserve">Geoffrey Roper, “The Fate of Manuscripts in Iraq and Elsewhere,” Muslim Heritage, </w:t>
      </w:r>
      <w:r w:rsidR="00292161" w:rsidRPr="00D45734">
        <w:rPr>
          <w:color w:val="000000" w:themeColor="text1"/>
          <w:sz w:val="24"/>
          <w:szCs w:val="24"/>
        </w:rPr>
        <w:t xml:space="preserve">11 </w:t>
      </w:r>
      <w:r w:rsidRPr="00D45734">
        <w:rPr>
          <w:color w:val="000000" w:themeColor="text1"/>
          <w:sz w:val="24"/>
          <w:szCs w:val="24"/>
        </w:rPr>
        <w:t>September 2008, https://muslimheritage.com/fate-of-manuscripts-iraq-elsewhere/.</w:t>
      </w:r>
    </w:p>
  </w:endnote>
  <w:endnote w:id="54">
    <w:p w14:paraId="58E74985" w14:textId="5BE0C7E3"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w:t>
      </w:r>
      <w:r w:rsidRPr="00A76617">
        <w:rPr>
          <w:sz w:val="24"/>
          <w:szCs w:val="24"/>
        </w:rPr>
        <w:t xml:space="preserve">For examples, see Sabine Schmidtke, </w:t>
      </w:r>
      <w:r w:rsidR="00393745" w:rsidRPr="00D45734">
        <w:rPr>
          <w:sz w:val="24"/>
          <w:szCs w:val="24"/>
        </w:rPr>
        <w:t>“</w:t>
      </w:r>
      <w:r w:rsidRPr="00D45734">
        <w:rPr>
          <w:sz w:val="24"/>
          <w:szCs w:val="24"/>
        </w:rPr>
        <w:t>For Sale to the Highest Bidder: A Precious Shiʿi Manuscript from the Early Eleventh Century,</w:t>
      </w:r>
      <w:r w:rsidR="00393745" w:rsidRPr="00D45734">
        <w:rPr>
          <w:sz w:val="24"/>
          <w:szCs w:val="24"/>
        </w:rPr>
        <w:t>”</w:t>
      </w:r>
      <w:r w:rsidRPr="00D45734">
        <w:rPr>
          <w:sz w:val="24"/>
          <w:szCs w:val="24"/>
        </w:rPr>
        <w:t xml:space="preserve"> </w:t>
      </w:r>
      <w:r w:rsidRPr="00D45734">
        <w:rPr>
          <w:i/>
          <w:iCs/>
          <w:sz w:val="24"/>
          <w:szCs w:val="24"/>
        </w:rPr>
        <w:t>Shii Studies Review</w:t>
      </w:r>
      <w:r w:rsidRPr="00D45734">
        <w:rPr>
          <w:sz w:val="24"/>
          <w:szCs w:val="24"/>
        </w:rPr>
        <w:t xml:space="preserve"> 4 (2020)</w:t>
      </w:r>
      <w:r w:rsidR="00393745" w:rsidRPr="00D45734">
        <w:rPr>
          <w:sz w:val="24"/>
          <w:szCs w:val="24"/>
        </w:rPr>
        <w:t>:</w:t>
      </w:r>
      <w:r w:rsidRPr="00D45734">
        <w:rPr>
          <w:sz w:val="24"/>
          <w:szCs w:val="24"/>
        </w:rPr>
        <w:t xml:space="preserve"> 184</w:t>
      </w:r>
      <w:r w:rsidR="00393745" w:rsidRPr="00D45734">
        <w:rPr>
          <w:sz w:val="24"/>
          <w:szCs w:val="24"/>
        </w:rPr>
        <w:t>–</w:t>
      </w:r>
      <w:r w:rsidRPr="00D45734">
        <w:rPr>
          <w:sz w:val="24"/>
          <w:szCs w:val="24"/>
        </w:rPr>
        <w:t>93</w:t>
      </w:r>
      <w:r w:rsidR="00FA722C" w:rsidRPr="00D45734">
        <w:rPr>
          <w:sz w:val="24"/>
          <w:szCs w:val="24"/>
        </w:rPr>
        <w:t>,</w:t>
      </w:r>
      <w:r w:rsidRPr="00D45734">
        <w:rPr>
          <w:sz w:val="24"/>
          <w:szCs w:val="24"/>
        </w:rPr>
        <w:t xml:space="preserve"> and </w:t>
      </w:r>
      <w:r w:rsidR="00393745" w:rsidRPr="00D45734">
        <w:rPr>
          <w:sz w:val="24"/>
          <w:szCs w:val="24"/>
        </w:rPr>
        <w:t>“</w:t>
      </w:r>
      <w:r w:rsidRPr="00D45734">
        <w:rPr>
          <w:sz w:val="24"/>
          <w:szCs w:val="24"/>
        </w:rPr>
        <w:t>Saʿd b. Manṣūr Ibn Kammūna</w:t>
      </w:r>
      <w:r w:rsidR="00D90900">
        <w:rPr>
          <w:sz w:val="24"/>
          <w:szCs w:val="24"/>
        </w:rPr>
        <w:t>’</w:t>
      </w:r>
      <w:r w:rsidRPr="00D45734">
        <w:rPr>
          <w:sz w:val="24"/>
          <w:szCs w:val="24"/>
        </w:rPr>
        <w:t>s Writings</w:t>
      </w:r>
      <w:r w:rsidRPr="00A76617">
        <w:rPr>
          <w:sz w:val="24"/>
          <w:szCs w:val="24"/>
        </w:rPr>
        <w:t>.</w:t>
      </w:r>
      <w:r w:rsidR="008D2364">
        <w:rPr>
          <w:sz w:val="24"/>
          <w:szCs w:val="24"/>
        </w:rPr>
        <w:t>”</w:t>
      </w:r>
    </w:p>
  </w:endnote>
  <w:endnote w:id="55">
    <w:p w14:paraId="04DE99C4" w14:textId="07AB49B2" w:rsidR="00697A47" w:rsidRPr="00A76617" w:rsidRDefault="00697A47">
      <w:pPr>
        <w:pStyle w:val="EndnoteText"/>
        <w:spacing w:line="480" w:lineRule="auto"/>
        <w:contextualSpacing/>
        <w:rPr>
          <w:sz w:val="24"/>
          <w:szCs w:val="24"/>
        </w:rPr>
      </w:pPr>
      <w:r w:rsidRPr="00D45734">
        <w:rPr>
          <w:rStyle w:val="EndnoteReference"/>
          <w:sz w:val="24"/>
          <w:szCs w:val="24"/>
        </w:rPr>
        <w:endnoteRef/>
      </w:r>
      <w:r w:rsidRPr="00D45734">
        <w:rPr>
          <w:sz w:val="24"/>
          <w:szCs w:val="24"/>
        </w:rPr>
        <w:t xml:space="preserve"> Akeem O. Bello, “Countering Boko Haram Insurgency: Investigating Culture Destruction Attempts and Culture Conservation Efforts in North-Eastern Nigeria,” paper presented at “African Heritage and the Pillars of Sustainability” summer school, July 2016 (updated 2017), https://heritagestudies.eu/wp-content/uploads/2017/08/4.4-ABello_final_clean_13.10.pdf.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ntiumPlus-Italic">
    <w:altName w:val="MS Gothic"/>
    <w:panose1 w:val="020B0604020202020204"/>
    <w:charset w:val="80"/>
    <w:family w:val="auto"/>
    <w:notTrueType/>
    <w:pitch w:val="default"/>
    <w:sig w:usb0="00000001" w:usb1="08070000" w:usb2="00000010" w:usb3="00000000" w:csb0="00020000" w:csb1="00000000"/>
  </w:font>
  <w:font w:name="Assista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37395"/>
      <w:docPartObj>
        <w:docPartGallery w:val="Page Numbers (Bottom of Page)"/>
        <w:docPartUnique/>
      </w:docPartObj>
    </w:sdtPr>
    <w:sdtEndPr>
      <w:rPr>
        <w:rFonts w:ascii="Times New Roman" w:hAnsi="Times New Roman" w:cs="Times New Roman"/>
        <w:noProof/>
        <w:sz w:val="24"/>
        <w:szCs w:val="24"/>
      </w:rPr>
    </w:sdtEndPr>
    <w:sdtContent>
      <w:p w14:paraId="4D4328FB" w14:textId="16B7CB46" w:rsidR="00C823E0" w:rsidRPr="00697A47" w:rsidRDefault="00C823E0" w:rsidP="00697A47">
        <w:pPr>
          <w:pStyle w:val="Footer"/>
          <w:jc w:val="right"/>
          <w:rPr>
            <w:rFonts w:ascii="Times New Roman" w:hAnsi="Times New Roman" w:cs="Times New Roman"/>
            <w:sz w:val="24"/>
            <w:szCs w:val="24"/>
          </w:rPr>
        </w:pPr>
        <w:r w:rsidRPr="00697A47">
          <w:rPr>
            <w:rFonts w:ascii="Times New Roman" w:hAnsi="Times New Roman" w:cs="Times New Roman"/>
            <w:sz w:val="24"/>
            <w:szCs w:val="24"/>
          </w:rPr>
          <w:fldChar w:fldCharType="begin"/>
        </w:r>
        <w:r w:rsidRPr="00697A47">
          <w:rPr>
            <w:rFonts w:ascii="Times New Roman" w:hAnsi="Times New Roman" w:cs="Times New Roman"/>
            <w:sz w:val="24"/>
            <w:szCs w:val="24"/>
          </w:rPr>
          <w:instrText xml:space="preserve"> PAGE   \* MERGEFORMAT </w:instrText>
        </w:r>
        <w:r w:rsidRPr="00697A47">
          <w:rPr>
            <w:rFonts w:ascii="Times New Roman" w:hAnsi="Times New Roman" w:cs="Times New Roman"/>
            <w:sz w:val="24"/>
            <w:szCs w:val="24"/>
          </w:rPr>
          <w:fldChar w:fldCharType="separate"/>
        </w:r>
        <w:r w:rsidR="00C83C89" w:rsidRPr="00697A47">
          <w:rPr>
            <w:rFonts w:ascii="Times New Roman" w:hAnsi="Times New Roman" w:cs="Times New Roman"/>
            <w:noProof/>
            <w:sz w:val="24"/>
            <w:szCs w:val="24"/>
          </w:rPr>
          <w:t>13</w:t>
        </w:r>
        <w:r w:rsidRPr="00697A47">
          <w:rPr>
            <w:rFonts w:ascii="Times New Roman" w:hAnsi="Times New Roman" w:cs="Times New Roman"/>
            <w:noProof/>
            <w:sz w:val="24"/>
            <w:szCs w:val="24"/>
          </w:rPr>
          <w:fldChar w:fldCharType="end"/>
        </w:r>
      </w:p>
    </w:sdtContent>
  </w:sdt>
  <w:p w14:paraId="24880C23" w14:textId="77777777" w:rsidR="00C823E0" w:rsidRDefault="00C82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A22C8" w14:textId="77777777" w:rsidR="0005782C" w:rsidRDefault="0005782C" w:rsidP="0053664E">
      <w:r>
        <w:separator/>
      </w:r>
    </w:p>
  </w:footnote>
  <w:footnote w:type="continuationSeparator" w:id="0">
    <w:p w14:paraId="3D58174A" w14:textId="77777777" w:rsidR="0005782C" w:rsidRDefault="0005782C" w:rsidP="00536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4466"/>
    <w:multiLevelType w:val="hybridMultilevel"/>
    <w:tmpl w:val="6E50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3BB"/>
    <w:rsid w:val="000014E9"/>
    <w:rsid w:val="00001BC0"/>
    <w:rsid w:val="000040D9"/>
    <w:rsid w:val="000153CF"/>
    <w:rsid w:val="000179C7"/>
    <w:rsid w:val="00023067"/>
    <w:rsid w:val="00027229"/>
    <w:rsid w:val="000308B1"/>
    <w:rsid w:val="00031D02"/>
    <w:rsid w:val="00036F2C"/>
    <w:rsid w:val="00037D36"/>
    <w:rsid w:val="000508DC"/>
    <w:rsid w:val="00052A27"/>
    <w:rsid w:val="0005782C"/>
    <w:rsid w:val="00063126"/>
    <w:rsid w:val="00064070"/>
    <w:rsid w:val="00066358"/>
    <w:rsid w:val="00074577"/>
    <w:rsid w:val="00082976"/>
    <w:rsid w:val="00084533"/>
    <w:rsid w:val="000861CA"/>
    <w:rsid w:val="0008626A"/>
    <w:rsid w:val="00097377"/>
    <w:rsid w:val="000975DB"/>
    <w:rsid w:val="000A5777"/>
    <w:rsid w:val="000A6DC1"/>
    <w:rsid w:val="000B279E"/>
    <w:rsid w:val="000B4512"/>
    <w:rsid w:val="000B4FFD"/>
    <w:rsid w:val="000B5DD3"/>
    <w:rsid w:val="000C1E4D"/>
    <w:rsid w:val="000C1FFB"/>
    <w:rsid w:val="000C219B"/>
    <w:rsid w:val="000C6971"/>
    <w:rsid w:val="000C7AAB"/>
    <w:rsid w:val="000D025D"/>
    <w:rsid w:val="000D1A7F"/>
    <w:rsid w:val="000D7E36"/>
    <w:rsid w:val="000E04C4"/>
    <w:rsid w:val="000E1800"/>
    <w:rsid w:val="000E1C08"/>
    <w:rsid w:val="000E4413"/>
    <w:rsid w:val="000F078E"/>
    <w:rsid w:val="000F4291"/>
    <w:rsid w:val="000F4F2C"/>
    <w:rsid w:val="000F7809"/>
    <w:rsid w:val="0010708E"/>
    <w:rsid w:val="0011103B"/>
    <w:rsid w:val="00112941"/>
    <w:rsid w:val="001173BF"/>
    <w:rsid w:val="00121C97"/>
    <w:rsid w:val="00123965"/>
    <w:rsid w:val="00124563"/>
    <w:rsid w:val="00130176"/>
    <w:rsid w:val="00133821"/>
    <w:rsid w:val="00134328"/>
    <w:rsid w:val="00134628"/>
    <w:rsid w:val="001370EC"/>
    <w:rsid w:val="0013716A"/>
    <w:rsid w:val="00137935"/>
    <w:rsid w:val="00143E0E"/>
    <w:rsid w:val="00156232"/>
    <w:rsid w:val="001628B8"/>
    <w:rsid w:val="001634D9"/>
    <w:rsid w:val="00170724"/>
    <w:rsid w:val="00177708"/>
    <w:rsid w:val="0018087A"/>
    <w:rsid w:val="00180B47"/>
    <w:rsid w:val="00181C36"/>
    <w:rsid w:val="00184F80"/>
    <w:rsid w:val="00187ADA"/>
    <w:rsid w:val="00190BC6"/>
    <w:rsid w:val="001919B1"/>
    <w:rsid w:val="001A30FE"/>
    <w:rsid w:val="001A4E9E"/>
    <w:rsid w:val="001A5373"/>
    <w:rsid w:val="001A5803"/>
    <w:rsid w:val="001B0DF7"/>
    <w:rsid w:val="001B1775"/>
    <w:rsid w:val="001B4880"/>
    <w:rsid w:val="001C1BC4"/>
    <w:rsid w:val="001C2DDA"/>
    <w:rsid w:val="001C53F1"/>
    <w:rsid w:val="001C6CDD"/>
    <w:rsid w:val="001D5F11"/>
    <w:rsid w:val="001D7011"/>
    <w:rsid w:val="001E15FC"/>
    <w:rsid w:val="001E1704"/>
    <w:rsid w:val="001E28FD"/>
    <w:rsid w:val="001F521B"/>
    <w:rsid w:val="001F78A4"/>
    <w:rsid w:val="001F796D"/>
    <w:rsid w:val="00204F0C"/>
    <w:rsid w:val="0021135B"/>
    <w:rsid w:val="0021269B"/>
    <w:rsid w:val="002206BC"/>
    <w:rsid w:val="002223F0"/>
    <w:rsid w:val="0022760F"/>
    <w:rsid w:val="002314B9"/>
    <w:rsid w:val="00231883"/>
    <w:rsid w:val="00233A1E"/>
    <w:rsid w:val="002435AC"/>
    <w:rsid w:val="00244E7D"/>
    <w:rsid w:val="002465B7"/>
    <w:rsid w:val="00250333"/>
    <w:rsid w:val="00253F67"/>
    <w:rsid w:val="00254F5E"/>
    <w:rsid w:val="002559E2"/>
    <w:rsid w:val="00262E53"/>
    <w:rsid w:val="00264EEF"/>
    <w:rsid w:val="00271290"/>
    <w:rsid w:val="0027750B"/>
    <w:rsid w:val="00277F23"/>
    <w:rsid w:val="00292161"/>
    <w:rsid w:val="002962F8"/>
    <w:rsid w:val="002964B5"/>
    <w:rsid w:val="002A40FE"/>
    <w:rsid w:val="002A6C0E"/>
    <w:rsid w:val="002C3525"/>
    <w:rsid w:val="002C49A6"/>
    <w:rsid w:val="002C597B"/>
    <w:rsid w:val="002D0506"/>
    <w:rsid w:val="002D763C"/>
    <w:rsid w:val="002D7D9B"/>
    <w:rsid w:val="002E59BD"/>
    <w:rsid w:val="002E68EE"/>
    <w:rsid w:val="002F2829"/>
    <w:rsid w:val="002F4D2F"/>
    <w:rsid w:val="002F795B"/>
    <w:rsid w:val="00306072"/>
    <w:rsid w:val="003061D3"/>
    <w:rsid w:val="00307264"/>
    <w:rsid w:val="00307663"/>
    <w:rsid w:val="00320C8A"/>
    <w:rsid w:val="00321CAF"/>
    <w:rsid w:val="00322663"/>
    <w:rsid w:val="003246FE"/>
    <w:rsid w:val="0032632A"/>
    <w:rsid w:val="003304FC"/>
    <w:rsid w:val="00337787"/>
    <w:rsid w:val="00346923"/>
    <w:rsid w:val="00347566"/>
    <w:rsid w:val="00352BF9"/>
    <w:rsid w:val="003670D6"/>
    <w:rsid w:val="0037126F"/>
    <w:rsid w:val="00381375"/>
    <w:rsid w:val="00382509"/>
    <w:rsid w:val="00383035"/>
    <w:rsid w:val="00385DD9"/>
    <w:rsid w:val="00387182"/>
    <w:rsid w:val="003878BC"/>
    <w:rsid w:val="0039144F"/>
    <w:rsid w:val="0039174F"/>
    <w:rsid w:val="00392032"/>
    <w:rsid w:val="00393745"/>
    <w:rsid w:val="003A2DBB"/>
    <w:rsid w:val="003A7EB7"/>
    <w:rsid w:val="003B0840"/>
    <w:rsid w:val="003B08E6"/>
    <w:rsid w:val="003B203A"/>
    <w:rsid w:val="003B227B"/>
    <w:rsid w:val="003B2457"/>
    <w:rsid w:val="003B38A1"/>
    <w:rsid w:val="003B60AC"/>
    <w:rsid w:val="003C20D7"/>
    <w:rsid w:val="003C3F37"/>
    <w:rsid w:val="003D2792"/>
    <w:rsid w:val="003D3332"/>
    <w:rsid w:val="003E1EE1"/>
    <w:rsid w:val="003E1F17"/>
    <w:rsid w:val="003E332C"/>
    <w:rsid w:val="003E52CC"/>
    <w:rsid w:val="003F2422"/>
    <w:rsid w:val="00400765"/>
    <w:rsid w:val="00400BBE"/>
    <w:rsid w:val="00402A42"/>
    <w:rsid w:val="004055B7"/>
    <w:rsid w:val="00405A3B"/>
    <w:rsid w:val="004062E8"/>
    <w:rsid w:val="004137B0"/>
    <w:rsid w:val="004151AA"/>
    <w:rsid w:val="00416267"/>
    <w:rsid w:val="0041771B"/>
    <w:rsid w:val="00426AAC"/>
    <w:rsid w:val="0043122F"/>
    <w:rsid w:val="004320C2"/>
    <w:rsid w:val="0043261E"/>
    <w:rsid w:val="00436E4A"/>
    <w:rsid w:val="0044106D"/>
    <w:rsid w:val="00442D50"/>
    <w:rsid w:val="004510D8"/>
    <w:rsid w:val="0045303A"/>
    <w:rsid w:val="004547E7"/>
    <w:rsid w:val="00460184"/>
    <w:rsid w:val="004637F7"/>
    <w:rsid w:val="004658A1"/>
    <w:rsid w:val="004712C3"/>
    <w:rsid w:val="004735C8"/>
    <w:rsid w:val="00473ADE"/>
    <w:rsid w:val="00475B8A"/>
    <w:rsid w:val="00476B3F"/>
    <w:rsid w:val="00487670"/>
    <w:rsid w:val="00487FD2"/>
    <w:rsid w:val="00491733"/>
    <w:rsid w:val="004B14FB"/>
    <w:rsid w:val="004B151F"/>
    <w:rsid w:val="004B72F7"/>
    <w:rsid w:val="004B78E6"/>
    <w:rsid w:val="004B7EEF"/>
    <w:rsid w:val="004C24B0"/>
    <w:rsid w:val="004D0B2F"/>
    <w:rsid w:val="004D0D7E"/>
    <w:rsid w:val="004E1C9C"/>
    <w:rsid w:val="004E583D"/>
    <w:rsid w:val="004E774F"/>
    <w:rsid w:val="004F09C7"/>
    <w:rsid w:val="004F34AF"/>
    <w:rsid w:val="004F3C8F"/>
    <w:rsid w:val="004F40EE"/>
    <w:rsid w:val="004F6281"/>
    <w:rsid w:val="00502B30"/>
    <w:rsid w:val="00510680"/>
    <w:rsid w:val="00512814"/>
    <w:rsid w:val="00513350"/>
    <w:rsid w:val="00513794"/>
    <w:rsid w:val="00523B84"/>
    <w:rsid w:val="005241B3"/>
    <w:rsid w:val="00524E3A"/>
    <w:rsid w:val="0052544A"/>
    <w:rsid w:val="00525FF1"/>
    <w:rsid w:val="00534C66"/>
    <w:rsid w:val="0053664E"/>
    <w:rsid w:val="00537909"/>
    <w:rsid w:val="005535BC"/>
    <w:rsid w:val="00553673"/>
    <w:rsid w:val="00555983"/>
    <w:rsid w:val="0055645B"/>
    <w:rsid w:val="00565F55"/>
    <w:rsid w:val="00567151"/>
    <w:rsid w:val="00572702"/>
    <w:rsid w:val="00576570"/>
    <w:rsid w:val="00577ADE"/>
    <w:rsid w:val="005810F9"/>
    <w:rsid w:val="00585366"/>
    <w:rsid w:val="005902EB"/>
    <w:rsid w:val="005904C2"/>
    <w:rsid w:val="00591C6C"/>
    <w:rsid w:val="005930A4"/>
    <w:rsid w:val="00594713"/>
    <w:rsid w:val="00595A1C"/>
    <w:rsid w:val="005A3E97"/>
    <w:rsid w:val="005A7357"/>
    <w:rsid w:val="005A7909"/>
    <w:rsid w:val="005B7BB7"/>
    <w:rsid w:val="005C0663"/>
    <w:rsid w:val="005D0385"/>
    <w:rsid w:val="005D124F"/>
    <w:rsid w:val="005D1F61"/>
    <w:rsid w:val="005D6722"/>
    <w:rsid w:val="00603F38"/>
    <w:rsid w:val="0060507B"/>
    <w:rsid w:val="00611024"/>
    <w:rsid w:val="00634125"/>
    <w:rsid w:val="0063510F"/>
    <w:rsid w:val="00637938"/>
    <w:rsid w:val="00640330"/>
    <w:rsid w:val="00641470"/>
    <w:rsid w:val="006422F3"/>
    <w:rsid w:val="00644C5F"/>
    <w:rsid w:val="0064715C"/>
    <w:rsid w:val="006525CA"/>
    <w:rsid w:val="00654F47"/>
    <w:rsid w:val="006604C1"/>
    <w:rsid w:val="0066414D"/>
    <w:rsid w:val="006672E1"/>
    <w:rsid w:val="00667958"/>
    <w:rsid w:val="00670318"/>
    <w:rsid w:val="0067206B"/>
    <w:rsid w:val="00682C4E"/>
    <w:rsid w:val="006841BD"/>
    <w:rsid w:val="00690972"/>
    <w:rsid w:val="006950FD"/>
    <w:rsid w:val="00697A47"/>
    <w:rsid w:val="006A328B"/>
    <w:rsid w:val="006A69ED"/>
    <w:rsid w:val="006B520D"/>
    <w:rsid w:val="006B5A27"/>
    <w:rsid w:val="006B702D"/>
    <w:rsid w:val="006B7ADC"/>
    <w:rsid w:val="006B7D66"/>
    <w:rsid w:val="006C1755"/>
    <w:rsid w:val="006C2180"/>
    <w:rsid w:val="006C3496"/>
    <w:rsid w:val="006C3FF1"/>
    <w:rsid w:val="006C714F"/>
    <w:rsid w:val="006D0181"/>
    <w:rsid w:val="006D0FA9"/>
    <w:rsid w:val="006D43C6"/>
    <w:rsid w:val="006D5A58"/>
    <w:rsid w:val="006E000B"/>
    <w:rsid w:val="006E3730"/>
    <w:rsid w:val="006E650F"/>
    <w:rsid w:val="006F133E"/>
    <w:rsid w:val="006F56BC"/>
    <w:rsid w:val="006F7903"/>
    <w:rsid w:val="00702D2C"/>
    <w:rsid w:val="00710C9F"/>
    <w:rsid w:val="0071181B"/>
    <w:rsid w:val="0071585E"/>
    <w:rsid w:val="007173E8"/>
    <w:rsid w:val="00720C8F"/>
    <w:rsid w:val="0072220A"/>
    <w:rsid w:val="007233EA"/>
    <w:rsid w:val="00724FE9"/>
    <w:rsid w:val="007251CE"/>
    <w:rsid w:val="007348F7"/>
    <w:rsid w:val="00736655"/>
    <w:rsid w:val="00741619"/>
    <w:rsid w:val="00741976"/>
    <w:rsid w:val="00742BEE"/>
    <w:rsid w:val="007432B7"/>
    <w:rsid w:val="007447DC"/>
    <w:rsid w:val="00754530"/>
    <w:rsid w:val="00754CCE"/>
    <w:rsid w:val="00755250"/>
    <w:rsid w:val="00756B13"/>
    <w:rsid w:val="007620A9"/>
    <w:rsid w:val="00765B37"/>
    <w:rsid w:val="00772135"/>
    <w:rsid w:val="00772374"/>
    <w:rsid w:val="007747B4"/>
    <w:rsid w:val="00777D84"/>
    <w:rsid w:val="00780023"/>
    <w:rsid w:val="00785EDD"/>
    <w:rsid w:val="00787CD0"/>
    <w:rsid w:val="00787E73"/>
    <w:rsid w:val="00787F36"/>
    <w:rsid w:val="007A3E20"/>
    <w:rsid w:val="007A4C2F"/>
    <w:rsid w:val="007C0E68"/>
    <w:rsid w:val="007C2079"/>
    <w:rsid w:val="007C658F"/>
    <w:rsid w:val="007D2077"/>
    <w:rsid w:val="007D2C01"/>
    <w:rsid w:val="007D2CA8"/>
    <w:rsid w:val="007D4051"/>
    <w:rsid w:val="007D6652"/>
    <w:rsid w:val="007D7CB4"/>
    <w:rsid w:val="007E0E8B"/>
    <w:rsid w:val="007E3336"/>
    <w:rsid w:val="007E54E0"/>
    <w:rsid w:val="007F1B63"/>
    <w:rsid w:val="007F459E"/>
    <w:rsid w:val="008005CB"/>
    <w:rsid w:val="00801C59"/>
    <w:rsid w:val="008025BA"/>
    <w:rsid w:val="00802847"/>
    <w:rsid w:val="008128E5"/>
    <w:rsid w:val="00824AC8"/>
    <w:rsid w:val="00830B4A"/>
    <w:rsid w:val="00830F15"/>
    <w:rsid w:val="00840DF2"/>
    <w:rsid w:val="00850137"/>
    <w:rsid w:val="008521E4"/>
    <w:rsid w:val="00853273"/>
    <w:rsid w:val="00853F8E"/>
    <w:rsid w:val="00854767"/>
    <w:rsid w:val="00856706"/>
    <w:rsid w:val="008629D3"/>
    <w:rsid w:val="00862C44"/>
    <w:rsid w:val="00871824"/>
    <w:rsid w:val="00874009"/>
    <w:rsid w:val="00874EA4"/>
    <w:rsid w:val="008758BA"/>
    <w:rsid w:val="00882E6B"/>
    <w:rsid w:val="00884C91"/>
    <w:rsid w:val="00885D6C"/>
    <w:rsid w:val="00892780"/>
    <w:rsid w:val="008A149C"/>
    <w:rsid w:val="008A41FF"/>
    <w:rsid w:val="008A4ECD"/>
    <w:rsid w:val="008B086C"/>
    <w:rsid w:val="008B15FA"/>
    <w:rsid w:val="008B3C71"/>
    <w:rsid w:val="008B47E1"/>
    <w:rsid w:val="008B54DD"/>
    <w:rsid w:val="008B5CA5"/>
    <w:rsid w:val="008C6C35"/>
    <w:rsid w:val="008D2364"/>
    <w:rsid w:val="008D27D0"/>
    <w:rsid w:val="008D51DD"/>
    <w:rsid w:val="008E2DB9"/>
    <w:rsid w:val="008E4B46"/>
    <w:rsid w:val="008E7918"/>
    <w:rsid w:val="008F0AE0"/>
    <w:rsid w:val="008F0CDF"/>
    <w:rsid w:val="008F14A0"/>
    <w:rsid w:val="008F7B3C"/>
    <w:rsid w:val="00900047"/>
    <w:rsid w:val="00900D96"/>
    <w:rsid w:val="00904B01"/>
    <w:rsid w:val="009127FB"/>
    <w:rsid w:val="00912CB5"/>
    <w:rsid w:val="00915A44"/>
    <w:rsid w:val="009165F1"/>
    <w:rsid w:val="00916A16"/>
    <w:rsid w:val="00916DE2"/>
    <w:rsid w:val="00920E8A"/>
    <w:rsid w:val="009210B4"/>
    <w:rsid w:val="00921357"/>
    <w:rsid w:val="0092249C"/>
    <w:rsid w:val="00925649"/>
    <w:rsid w:val="00925793"/>
    <w:rsid w:val="00926174"/>
    <w:rsid w:val="00927BBF"/>
    <w:rsid w:val="00934026"/>
    <w:rsid w:val="00936E8A"/>
    <w:rsid w:val="00945FBB"/>
    <w:rsid w:val="0095104B"/>
    <w:rsid w:val="00956530"/>
    <w:rsid w:val="00957842"/>
    <w:rsid w:val="00961F57"/>
    <w:rsid w:val="00965317"/>
    <w:rsid w:val="009673B8"/>
    <w:rsid w:val="00967F97"/>
    <w:rsid w:val="00967FBB"/>
    <w:rsid w:val="00983FB0"/>
    <w:rsid w:val="009861C8"/>
    <w:rsid w:val="0099048F"/>
    <w:rsid w:val="009906EA"/>
    <w:rsid w:val="00996749"/>
    <w:rsid w:val="009A3B6C"/>
    <w:rsid w:val="009B1305"/>
    <w:rsid w:val="009B5B79"/>
    <w:rsid w:val="009C0104"/>
    <w:rsid w:val="009C3F83"/>
    <w:rsid w:val="009C53AF"/>
    <w:rsid w:val="009C7B9B"/>
    <w:rsid w:val="009C7BC3"/>
    <w:rsid w:val="009D12DD"/>
    <w:rsid w:val="009E03CC"/>
    <w:rsid w:val="009E4B47"/>
    <w:rsid w:val="009F0CD5"/>
    <w:rsid w:val="00A002FB"/>
    <w:rsid w:val="00A01F5F"/>
    <w:rsid w:val="00A020B0"/>
    <w:rsid w:val="00A03441"/>
    <w:rsid w:val="00A0623F"/>
    <w:rsid w:val="00A13074"/>
    <w:rsid w:val="00A1420D"/>
    <w:rsid w:val="00A15929"/>
    <w:rsid w:val="00A21E92"/>
    <w:rsid w:val="00A23C73"/>
    <w:rsid w:val="00A251F0"/>
    <w:rsid w:val="00A27020"/>
    <w:rsid w:val="00A33682"/>
    <w:rsid w:val="00A345F9"/>
    <w:rsid w:val="00A44C82"/>
    <w:rsid w:val="00A52F37"/>
    <w:rsid w:val="00A56010"/>
    <w:rsid w:val="00A613A2"/>
    <w:rsid w:val="00A61772"/>
    <w:rsid w:val="00A76617"/>
    <w:rsid w:val="00A77018"/>
    <w:rsid w:val="00A77E5D"/>
    <w:rsid w:val="00A8093B"/>
    <w:rsid w:val="00A81C07"/>
    <w:rsid w:val="00A90895"/>
    <w:rsid w:val="00A94A67"/>
    <w:rsid w:val="00A95051"/>
    <w:rsid w:val="00A95DBD"/>
    <w:rsid w:val="00A95E03"/>
    <w:rsid w:val="00AA3013"/>
    <w:rsid w:val="00AA5D45"/>
    <w:rsid w:val="00AA6B47"/>
    <w:rsid w:val="00AB26B2"/>
    <w:rsid w:val="00AB3146"/>
    <w:rsid w:val="00AB4792"/>
    <w:rsid w:val="00AC0EA0"/>
    <w:rsid w:val="00AC1D52"/>
    <w:rsid w:val="00AC3051"/>
    <w:rsid w:val="00AC3EBE"/>
    <w:rsid w:val="00AC439C"/>
    <w:rsid w:val="00AC52C2"/>
    <w:rsid w:val="00AD3733"/>
    <w:rsid w:val="00AD780D"/>
    <w:rsid w:val="00AE0C0F"/>
    <w:rsid w:val="00AE314D"/>
    <w:rsid w:val="00AE3441"/>
    <w:rsid w:val="00AE39D5"/>
    <w:rsid w:val="00AE4B58"/>
    <w:rsid w:val="00AE5DD1"/>
    <w:rsid w:val="00AE7402"/>
    <w:rsid w:val="00AF4C90"/>
    <w:rsid w:val="00B0167E"/>
    <w:rsid w:val="00B05097"/>
    <w:rsid w:val="00B0592A"/>
    <w:rsid w:val="00B06DD1"/>
    <w:rsid w:val="00B07742"/>
    <w:rsid w:val="00B1360F"/>
    <w:rsid w:val="00B16AD2"/>
    <w:rsid w:val="00B22488"/>
    <w:rsid w:val="00B227AA"/>
    <w:rsid w:val="00B23C7F"/>
    <w:rsid w:val="00B25C9D"/>
    <w:rsid w:val="00B306F6"/>
    <w:rsid w:val="00B309C7"/>
    <w:rsid w:val="00B334C6"/>
    <w:rsid w:val="00B342C1"/>
    <w:rsid w:val="00B418EA"/>
    <w:rsid w:val="00B431B3"/>
    <w:rsid w:val="00B509C4"/>
    <w:rsid w:val="00B53F36"/>
    <w:rsid w:val="00B54F68"/>
    <w:rsid w:val="00B561FA"/>
    <w:rsid w:val="00B565DD"/>
    <w:rsid w:val="00B613BB"/>
    <w:rsid w:val="00B64D9F"/>
    <w:rsid w:val="00B65056"/>
    <w:rsid w:val="00B6604C"/>
    <w:rsid w:val="00B707A2"/>
    <w:rsid w:val="00B743CA"/>
    <w:rsid w:val="00B75081"/>
    <w:rsid w:val="00B75BD2"/>
    <w:rsid w:val="00B80741"/>
    <w:rsid w:val="00B836E4"/>
    <w:rsid w:val="00B9072D"/>
    <w:rsid w:val="00B9092B"/>
    <w:rsid w:val="00B92164"/>
    <w:rsid w:val="00B9613C"/>
    <w:rsid w:val="00BA1DDB"/>
    <w:rsid w:val="00BA4A78"/>
    <w:rsid w:val="00BA54E1"/>
    <w:rsid w:val="00BB3ED8"/>
    <w:rsid w:val="00BC4726"/>
    <w:rsid w:val="00BC6169"/>
    <w:rsid w:val="00BC618C"/>
    <w:rsid w:val="00BC6E6A"/>
    <w:rsid w:val="00BD29DB"/>
    <w:rsid w:val="00BE0402"/>
    <w:rsid w:val="00BE2070"/>
    <w:rsid w:val="00BE2FD3"/>
    <w:rsid w:val="00BE4200"/>
    <w:rsid w:val="00BE5891"/>
    <w:rsid w:val="00BE60E5"/>
    <w:rsid w:val="00BF06B6"/>
    <w:rsid w:val="00BF316B"/>
    <w:rsid w:val="00BF3BBA"/>
    <w:rsid w:val="00BF3CF6"/>
    <w:rsid w:val="00BF4604"/>
    <w:rsid w:val="00C006A1"/>
    <w:rsid w:val="00C127ED"/>
    <w:rsid w:val="00C1429A"/>
    <w:rsid w:val="00C159E1"/>
    <w:rsid w:val="00C21D44"/>
    <w:rsid w:val="00C32579"/>
    <w:rsid w:val="00C348D7"/>
    <w:rsid w:val="00C34EDC"/>
    <w:rsid w:val="00C370AF"/>
    <w:rsid w:val="00C37D14"/>
    <w:rsid w:val="00C4795D"/>
    <w:rsid w:val="00C54FA1"/>
    <w:rsid w:val="00C551EA"/>
    <w:rsid w:val="00C7013E"/>
    <w:rsid w:val="00C72333"/>
    <w:rsid w:val="00C75836"/>
    <w:rsid w:val="00C77191"/>
    <w:rsid w:val="00C77C2D"/>
    <w:rsid w:val="00C823E0"/>
    <w:rsid w:val="00C83C89"/>
    <w:rsid w:val="00C84533"/>
    <w:rsid w:val="00C86E60"/>
    <w:rsid w:val="00C8733D"/>
    <w:rsid w:val="00C92508"/>
    <w:rsid w:val="00C94A59"/>
    <w:rsid w:val="00C9655F"/>
    <w:rsid w:val="00C97BDD"/>
    <w:rsid w:val="00CA125F"/>
    <w:rsid w:val="00CA2E2B"/>
    <w:rsid w:val="00CA5625"/>
    <w:rsid w:val="00CA7619"/>
    <w:rsid w:val="00CB00EB"/>
    <w:rsid w:val="00CB04D6"/>
    <w:rsid w:val="00CB09FF"/>
    <w:rsid w:val="00CB4CBB"/>
    <w:rsid w:val="00CB5579"/>
    <w:rsid w:val="00CB6280"/>
    <w:rsid w:val="00CC2D80"/>
    <w:rsid w:val="00CC4ECC"/>
    <w:rsid w:val="00CC6715"/>
    <w:rsid w:val="00CC72FC"/>
    <w:rsid w:val="00CD4253"/>
    <w:rsid w:val="00CE0154"/>
    <w:rsid w:val="00CE2F19"/>
    <w:rsid w:val="00CE5FC2"/>
    <w:rsid w:val="00CF094C"/>
    <w:rsid w:val="00CF1663"/>
    <w:rsid w:val="00CF1DD0"/>
    <w:rsid w:val="00CF2DA2"/>
    <w:rsid w:val="00D0092B"/>
    <w:rsid w:val="00D01DB0"/>
    <w:rsid w:val="00D02EED"/>
    <w:rsid w:val="00D06704"/>
    <w:rsid w:val="00D10CED"/>
    <w:rsid w:val="00D135D0"/>
    <w:rsid w:val="00D229F9"/>
    <w:rsid w:val="00D23089"/>
    <w:rsid w:val="00D2747B"/>
    <w:rsid w:val="00D34745"/>
    <w:rsid w:val="00D356EA"/>
    <w:rsid w:val="00D40F29"/>
    <w:rsid w:val="00D45734"/>
    <w:rsid w:val="00D47846"/>
    <w:rsid w:val="00D47F79"/>
    <w:rsid w:val="00D51550"/>
    <w:rsid w:val="00D52C16"/>
    <w:rsid w:val="00D54C3A"/>
    <w:rsid w:val="00D6193F"/>
    <w:rsid w:val="00D732AF"/>
    <w:rsid w:val="00D75D61"/>
    <w:rsid w:val="00D77778"/>
    <w:rsid w:val="00D81D83"/>
    <w:rsid w:val="00D831C3"/>
    <w:rsid w:val="00D83E0A"/>
    <w:rsid w:val="00D83ED7"/>
    <w:rsid w:val="00D8459F"/>
    <w:rsid w:val="00D85F9D"/>
    <w:rsid w:val="00D862B7"/>
    <w:rsid w:val="00D87FAD"/>
    <w:rsid w:val="00D90900"/>
    <w:rsid w:val="00D9166C"/>
    <w:rsid w:val="00D953A3"/>
    <w:rsid w:val="00D96A2A"/>
    <w:rsid w:val="00D9791C"/>
    <w:rsid w:val="00DA4AAF"/>
    <w:rsid w:val="00DA7CC2"/>
    <w:rsid w:val="00DB18B3"/>
    <w:rsid w:val="00DB2E5F"/>
    <w:rsid w:val="00DB515C"/>
    <w:rsid w:val="00DB5774"/>
    <w:rsid w:val="00DC3021"/>
    <w:rsid w:val="00DC3FBB"/>
    <w:rsid w:val="00DC4C17"/>
    <w:rsid w:val="00DC6CD0"/>
    <w:rsid w:val="00DD3F93"/>
    <w:rsid w:val="00DE2D41"/>
    <w:rsid w:val="00DE6AFB"/>
    <w:rsid w:val="00DF11F2"/>
    <w:rsid w:val="00DF18F8"/>
    <w:rsid w:val="00DF754D"/>
    <w:rsid w:val="00E0099E"/>
    <w:rsid w:val="00E0144F"/>
    <w:rsid w:val="00E03E67"/>
    <w:rsid w:val="00E0724E"/>
    <w:rsid w:val="00E126CB"/>
    <w:rsid w:val="00E13BC1"/>
    <w:rsid w:val="00E16283"/>
    <w:rsid w:val="00E17DB5"/>
    <w:rsid w:val="00E31723"/>
    <w:rsid w:val="00E4107E"/>
    <w:rsid w:val="00E411D0"/>
    <w:rsid w:val="00E4150F"/>
    <w:rsid w:val="00E4245F"/>
    <w:rsid w:val="00E42B02"/>
    <w:rsid w:val="00E430A0"/>
    <w:rsid w:val="00E44E3A"/>
    <w:rsid w:val="00E45209"/>
    <w:rsid w:val="00E477AA"/>
    <w:rsid w:val="00E47F22"/>
    <w:rsid w:val="00E60701"/>
    <w:rsid w:val="00E612C9"/>
    <w:rsid w:val="00E624E3"/>
    <w:rsid w:val="00E63A4A"/>
    <w:rsid w:val="00E661F9"/>
    <w:rsid w:val="00E678CB"/>
    <w:rsid w:val="00E726F6"/>
    <w:rsid w:val="00E734FE"/>
    <w:rsid w:val="00E73DE5"/>
    <w:rsid w:val="00E74B90"/>
    <w:rsid w:val="00E74C95"/>
    <w:rsid w:val="00E765E7"/>
    <w:rsid w:val="00E87E8A"/>
    <w:rsid w:val="00E90449"/>
    <w:rsid w:val="00E923C1"/>
    <w:rsid w:val="00E94A3D"/>
    <w:rsid w:val="00EA65A9"/>
    <w:rsid w:val="00EB45E3"/>
    <w:rsid w:val="00EB6A49"/>
    <w:rsid w:val="00EB6B72"/>
    <w:rsid w:val="00EB7E54"/>
    <w:rsid w:val="00EC2F5A"/>
    <w:rsid w:val="00EC384B"/>
    <w:rsid w:val="00EC470D"/>
    <w:rsid w:val="00EC4A37"/>
    <w:rsid w:val="00ED3833"/>
    <w:rsid w:val="00ED4038"/>
    <w:rsid w:val="00EE29FD"/>
    <w:rsid w:val="00EE39C6"/>
    <w:rsid w:val="00EE440A"/>
    <w:rsid w:val="00EE7AC2"/>
    <w:rsid w:val="00EE7E59"/>
    <w:rsid w:val="00EF671A"/>
    <w:rsid w:val="00F00C3B"/>
    <w:rsid w:val="00F02BD0"/>
    <w:rsid w:val="00F030B5"/>
    <w:rsid w:val="00F05E12"/>
    <w:rsid w:val="00F07EE9"/>
    <w:rsid w:val="00F138B8"/>
    <w:rsid w:val="00F160D2"/>
    <w:rsid w:val="00F20145"/>
    <w:rsid w:val="00F21D46"/>
    <w:rsid w:val="00F31E8F"/>
    <w:rsid w:val="00F34064"/>
    <w:rsid w:val="00F378C1"/>
    <w:rsid w:val="00F42300"/>
    <w:rsid w:val="00F44945"/>
    <w:rsid w:val="00F51A2F"/>
    <w:rsid w:val="00F536A2"/>
    <w:rsid w:val="00F554DA"/>
    <w:rsid w:val="00F5685D"/>
    <w:rsid w:val="00F56C84"/>
    <w:rsid w:val="00F60964"/>
    <w:rsid w:val="00F62A6E"/>
    <w:rsid w:val="00F63CD0"/>
    <w:rsid w:val="00F65228"/>
    <w:rsid w:val="00F66FDD"/>
    <w:rsid w:val="00F72448"/>
    <w:rsid w:val="00F72A93"/>
    <w:rsid w:val="00F84054"/>
    <w:rsid w:val="00F87F56"/>
    <w:rsid w:val="00F93DBD"/>
    <w:rsid w:val="00F951EB"/>
    <w:rsid w:val="00F95624"/>
    <w:rsid w:val="00FA2073"/>
    <w:rsid w:val="00FA35D9"/>
    <w:rsid w:val="00FA722C"/>
    <w:rsid w:val="00FB356A"/>
    <w:rsid w:val="00FB4C22"/>
    <w:rsid w:val="00FB4DEA"/>
    <w:rsid w:val="00FC0F45"/>
    <w:rsid w:val="00FC2240"/>
    <w:rsid w:val="00FC2C58"/>
    <w:rsid w:val="00FD30C5"/>
    <w:rsid w:val="00FD47F3"/>
    <w:rsid w:val="00FE1704"/>
    <w:rsid w:val="00FE1B50"/>
    <w:rsid w:val="00FE5911"/>
    <w:rsid w:val="00FE5A61"/>
    <w:rsid w:val="00FF16E5"/>
    <w:rsid w:val="00FF2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D207"/>
  <w15:chartTrackingRefBased/>
  <w15:docId w15:val="{0ACDBBC7-1966-45B1-AF50-05EBE47E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D6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3664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727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1C9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4E1C9C"/>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3664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rsid w:val="0053664E"/>
    <w:rPr>
      <w:sz w:val="20"/>
      <w:szCs w:val="20"/>
    </w:rPr>
  </w:style>
  <w:style w:type="character" w:styleId="FootnoteReference">
    <w:name w:val="footnote reference"/>
    <w:basedOn w:val="DefaultParagraphFont"/>
    <w:unhideWhenUsed/>
    <w:rsid w:val="0053664E"/>
    <w:rPr>
      <w:vertAlign w:val="superscript"/>
    </w:rPr>
  </w:style>
  <w:style w:type="character" w:customStyle="1" w:styleId="Heading1Char">
    <w:name w:val="Heading 1 Char"/>
    <w:basedOn w:val="DefaultParagraphFont"/>
    <w:link w:val="Heading1"/>
    <w:uiPriority w:val="9"/>
    <w:rsid w:val="0053664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34628"/>
    <w:rPr>
      <w:i/>
      <w:iCs/>
    </w:rPr>
  </w:style>
  <w:style w:type="character" w:styleId="Hyperlink">
    <w:name w:val="Hyperlink"/>
    <w:basedOn w:val="DefaultParagraphFont"/>
    <w:uiPriority w:val="99"/>
    <w:unhideWhenUsed/>
    <w:rsid w:val="00134628"/>
    <w:rPr>
      <w:color w:val="0563C1" w:themeColor="hyperlink"/>
      <w:u w:val="single"/>
    </w:rPr>
  </w:style>
  <w:style w:type="paragraph" w:styleId="NoSpacing">
    <w:name w:val="No Spacing"/>
    <w:uiPriority w:val="1"/>
    <w:qFormat/>
    <w:rsid w:val="00EE440A"/>
    <w:pPr>
      <w:spacing w:after="0" w:line="240" w:lineRule="auto"/>
    </w:pPr>
  </w:style>
  <w:style w:type="character" w:customStyle="1" w:styleId="italic">
    <w:name w:val="italic"/>
    <w:basedOn w:val="DefaultParagraphFont"/>
    <w:rsid w:val="00B75BD2"/>
  </w:style>
  <w:style w:type="character" w:customStyle="1" w:styleId="exldetailsdisplayval">
    <w:name w:val="exldetailsdisplayval"/>
    <w:basedOn w:val="DefaultParagraphFont"/>
    <w:rsid w:val="00DD3F93"/>
  </w:style>
  <w:style w:type="character" w:customStyle="1" w:styleId="searchword">
    <w:name w:val="searchword"/>
    <w:basedOn w:val="DefaultParagraphFont"/>
    <w:rsid w:val="00DD3F93"/>
  </w:style>
  <w:style w:type="character" w:styleId="HTMLCite">
    <w:name w:val="HTML Cite"/>
    <w:basedOn w:val="DefaultParagraphFont"/>
    <w:uiPriority w:val="99"/>
    <w:semiHidden/>
    <w:unhideWhenUsed/>
    <w:rsid w:val="00DD3F93"/>
    <w:rPr>
      <w:i/>
      <w:iCs/>
    </w:rPr>
  </w:style>
  <w:style w:type="character" w:customStyle="1" w:styleId="Heading3Char">
    <w:name w:val="Heading 3 Char"/>
    <w:basedOn w:val="DefaultParagraphFont"/>
    <w:link w:val="Heading3"/>
    <w:uiPriority w:val="9"/>
    <w:semiHidden/>
    <w:rsid w:val="004E1C9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4E1C9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A69E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A69ED"/>
  </w:style>
  <w:style w:type="paragraph" w:styleId="Footer">
    <w:name w:val="footer"/>
    <w:basedOn w:val="Normal"/>
    <w:link w:val="FooterChar"/>
    <w:uiPriority w:val="99"/>
    <w:unhideWhenUsed/>
    <w:rsid w:val="006A69E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A69ED"/>
  </w:style>
  <w:style w:type="paragraph" w:styleId="NormalWeb">
    <w:name w:val="Normal (Web)"/>
    <w:basedOn w:val="Normal"/>
    <w:uiPriority w:val="99"/>
    <w:semiHidden/>
    <w:unhideWhenUsed/>
    <w:rsid w:val="00DC3021"/>
    <w:pPr>
      <w:spacing w:after="160" w:line="259" w:lineRule="auto"/>
    </w:pPr>
    <w:rPr>
      <w:rFonts w:eastAsiaTheme="minorHAnsi"/>
    </w:rPr>
  </w:style>
  <w:style w:type="character" w:customStyle="1" w:styleId="Heading2Char">
    <w:name w:val="Heading 2 Char"/>
    <w:basedOn w:val="DefaultParagraphFont"/>
    <w:link w:val="Heading2"/>
    <w:uiPriority w:val="9"/>
    <w:rsid w:val="0057270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460184"/>
    <w:rPr>
      <w:sz w:val="16"/>
      <w:szCs w:val="16"/>
    </w:rPr>
  </w:style>
  <w:style w:type="paragraph" w:styleId="CommentText">
    <w:name w:val="annotation text"/>
    <w:basedOn w:val="Normal"/>
    <w:link w:val="CommentTextChar"/>
    <w:uiPriority w:val="99"/>
    <w:semiHidden/>
    <w:unhideWhenUsed/>
    <w:rsid w:val="00460184"/>
    <w:rPr>
      <w:sz w:val="20"/>
      <w:szCs w:val="20"/>
    </w:rPr>
  </w:style>
  <w:style w:type="character" w:customStyle="1" w:styleId="CommentTextChar">
    <w:name w:val="Comment Text Char"/>
    <w:basedOn w:val="DefaultParagraphFont"/>
    <w:link w:val="CommentText"/>
    <w:uiPriority w:val="99"/>
    <w:semiHidden/>
    <w:rsid w:val="004601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0184"/>
    <w:rPr>
      <w:b/>
      <w:bCs/>
    </w:rPr>
  </w:style>
  <w:style w:type="character" w:customStyle="1" w:styleId="CommentSubjectChar">
    <w:name w:val="Comment Subject Char"/>
    <w:basedOn w:val="CommentTextChar"/>
    <w:link w:val="CommentSubject"/>
    <w:uiPriority w:val="99"/>
    <w:semiHidden/>
    <w:rsid w:val="0046018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75B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B8A"/>
    <w:rPr>
      <w:rFonts w:ascii="Segoe UI" w:eastAsia="Times New Roman" w:hAnsi="Segoe UI" w:cs="Segoe UI"/>
      <w:sz w:val="18"/>
      <w:szCs w:val="18"/>
    </w:rPr>
  </w:style>
  <w:style w:type="paragraph" w:styleId="ListParagraph">
    <w:name w:val="List Paragraph"/>
    <w:basedOn w:val="Normal"/>
    <w:uiPriority w:val="34"/>
    <w:qFormat/>
    <w:rsid w:val="00697A47"/>
    <w:pPr>
      <w:ind w:left="720"/>
      <w:contextualSpacing/>
    </w:pPr>
  </w:style>
  <w:style w:type="paragraph" w:styleId="EndnoteText">
    <w:name w:val="endnote text"/>
    <w:basedOn w:val="Normal"/>
    <w:link w:val="EndnoteTextChar"/>
    <w:uiPriority w:val="99"/>
    <w:semiHidden/>
    <w:unhideWhenUsed/>
    <w:rsid w:val="00697A47"/>
    <w:rPr>
      <w:sz w:val="20"/>
      <w:szCs w:val="20"/>
    </w:rPr>
  </w:style>
  <w:style w:type="character" w:customStyle="1" w:styleId="EndnoteTextChar">
    <w:name w:val="Endnote Text Char"/>
    <w:basedOn w:val="DefaultParagraphFont"/>
    <w:link w:val="EndnoteText"/>
    <w:uiPriority w:val="99"/>
    <w:semiHidden/>
    <w:rsid w:val="00697A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97A47"/>
    <w:rPr>
      <w:vertAlign w:val="superscript"/>
    </w:rPr>
  </w:style>
  <w:style w:type="paragraph" w:styleId="Revision">
    <w:name w:val="Revision"/>
    <w:hidden/>
    <w:uiPriority w:val="99"/>
    <w:semiHidden/>
    <w:rsid w:val="00F31E8F"/>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6678">
      <w:bodyDiv w:val="1"/>
      <w:marLeft w:val="0"/>
      <w:marRight w:val="0"/>
      <w:marTop w:val="0"/>
      <w:marBottom w:val="0"/>
      <w:divBdr>
        <w:top w:val="none" w:sz="0" w:space="0" w:color="auto"/>
        <w:left w:val="none" w:sz="0" w:space="0" w:color="auto"/>
        <w:bottom w:val="none" w:sz="0" w:space="0" w:color="auto"/>
        <w:right w:val="none" w:sz="0" w:space="0" w:color="auto"/>
      </w:divBdr>
    </w:div>
    <w:div w:id="353775855">
      <w:bodyDiv w:val="1"/>
      <w:marLeft w:val="0"/>
      <w:marRight w:val="0"/>
      <w:marTop w:val="0"/>
      <w:marBottom w:val="0"/>
      <w:divBdr>
        <w:top w:val="none" w:sz="0" w:space="0" w:color="auto"/>
        <w:left w:val="none" w:sz="0" w:space="0" w:color="auto"/>
        <w:bottom w:val="none" w:sz="0" w:space="0" w:color="auto"/>
        <w:right w:val="none" w:sz="0" w:space="0" w:color="auto"/>
      </w:divBdr>
    </w:div>
    <w:div w:id="371539929">
      <w:bodyDiv w:val="1"/>
      <w:marLeft w:val="0"/>
      <w:marRight w:val="0"/>
      <w:marTop w:val="0"/>
      <w:marBottom w:val="0"/>
      <w:divBdr>
        <w:top w:val="none" w:sz="0" w:space="0" w:color="auto"/>
        <w:left w:val="none" w:sz="0" w:space="0" w:color="auto"/>
        <w:bottom w:val="none" w:sz="0" w:space="0" w:color="auto"/>
        <w:right w:val="none" w:sz="0" w:space="0" w:color="auto"/>
      </w:divBdr>
    </w:div>
    <w:div w:id="500046164">
      <w:bodyDiv w:val="1"/>
      <w:marLeft w:val="0"/>
      <w:marRight w:val="0"/>
      <w:marTop w:val="0"/>
      <w:marBottom w:val="0"/>
      <w:divBdr>
        <w:top w:val="none" w:sz="0" w:space="0" w:color="auto"/>
        <w:left w:val="none" w:sz="0" w:space="0" w:color="auto"/>
        <w:bottom w:val="none" w:sz="0" w:space="0" w:color="auto"/>
        <w:right w:val="none" w:sz="0" w:space="0" w:color="auto"/>
      </w:divBdr>
    </w:div>
    <w:div w:id="565267461">
      <w:bodyDiv w:val="1"/>
      <w:marLeft w:val="0"/>
      <w:marRight w:val="0"/>
      <w:marTop w:val="0"/>
      <w:marBottom w:val="0"/>
      <w:divBdr>
        <w:top w:val="none" w:sz="0" w:space="0" w:color="auto"/>
        <w:left w:val="none" w:sz="0" w:space="0" w:color="auto"/>
        <w:bottom w:val="none" w:sz="0" w:space="0" w:color="auto"/>
        <w:right w:val="none" w:sz="0" w:space="0" w:color="auto"/>
      </w:divBdr>
    </w:div>
    <w:div w:id="648632259">
      <w:bodyDiv w:val="1"/>
      <w:marLeft w:val="0"/>
      <w:marRight w:val="0"/>
      <w:marTop w:val="0"/>
      <w:marBottom w:val="0"/>
      <w:divBdr>
        <w:top w:val="none" w:sz="0" w:space="0" w:color="auto"/>
        <w:left w:val="none" w:sz="0" w:space="0" w:color="auto"/>
        <w:bottom w:val="none" w:sz="0" w:space="0" w:color="auto"/>
        <w:right w:val="none" w:sz="0" w:space="0" w:color="auto"/>
      </w:divBdr>
    </w:div>
    <w:div w:id="701438070">
      <w:bodyDiv w:val="1"/>
      <w:marLeft w:val="0"/>
      <w:marRight w:val="0"/>
      <w:marTop w:val="0"/>
      <w:marBottom w:val="0"/>
      <w:divBdr>
        <w:top w:val="none" w:sz="0" w:space="0" w:color="auto"/>
        <w:left w:val="none" w:sz="0" w:space="0" w:color="auto"/>
        <w:bottom w:val="none" w:sz="0" w:space="0" w:color="auto"/>
        <w:right w:val="none" w:sz="0" w:space="0" w:color="auto"/>
      </w:divBdr>
    </w:div>
    <w:div w:id="788281495">
      <w:bodyDiv w:val="1"/>
      <w:marLeft w:val="0"/>
      <w:marRight w:val="0"/>
      <w:marTop w:val="0"/>
      <w:marBottom w:val="0"/>
      <w:divBdr>
        <w:top w:val="none" w:sz="0" w:space="0" w:color="auto"/>
        <w:left w:val="none" w:sz="0" w:space="0" w:color="auto"/>
        <w:bottom w:val="none" w:sz="0" w:space="0" w:color="auto"/>
        <w:right w:val="none" w:sz="0" w:space="0" w:color="auto"/>
      </w:divBdr>
    </w:div>
    <w:div w:id="802694122">
      <w:bodyDiv w:val="1"/>
      <w:marLeft w:val="0"/>
      <w:marRight w:val="0"/>
      <w:marTop w:val="0"/>
      <w:marBottom w:val="0"/>
      <w:divBdr>
        <w:top w:val="none" w:sz="0" w:space="0" w:color="auto"/>
        <w:left w:val="none" w:sz="0" w:space="0" w:color="auto"/>
        <w:bottom w:val="none" w:sz="0" w:space="0" w:color="auto"/>
        <w:right w:val="none" w:sz="0" w:space="0" w:color="auto"/>
      </w:divBdr>
    </w:div>
    <w:div w:id="870806840">
      <w:bodyDiv w:val="1"/>
      <w:marLeft w:val="0"/>
      <w:marRight w:val="0"/>
      <w:marTop w:val="0"/>
      <w:marBottom w:val="0"/>
      <w:divBdr>
        <w:top w:val="none" w:sz="0" w:space="0" w:color="auto"/>
        <w:left w:val="none" w:sz="0" w:space="0" w:color="auto"/>
        <w:bottom w:val="none" w:sz="0" w:space="0" w:color="auto"/>
        <w:right w:val="none" w:sz="0" w:space="0" w:color="auto"/>
      </w:divBdr>
    </w:div>
    <w:div w:id="994184025">
      <w:bodyDiv w:val="1"/>
      <w:marLeft w:val="0"/>
      <w:marRight w:val="0"/>
      <w:marTop w:val="0"/>
      <w:marBottom w:val="0"/>
      <w:divBdr>
        <w:top w:val="none" w:sz="0" w:space="0" w:color="auto"/>
        <w:left w:val="none" w:sz="0" w:space="0" w:color="auto"/>
        <w:bottom w:val="none" w:sz="0" w:space="0" w:color="auto"/>
        <w:right w:val="none" w:sz="0" w:space="0" w:color="auto"/>
      </w:divBdr>
    </w:div>
    <w:div w:id="1026755792">
      <w:bodyDiv w:val="1"/>
      <w:marLeft w:val="0"/>
      <w:marRight w:val="0"/>
      <w:marTop w:val="0"/>
      <w:marBottom w:val="0"/>
      <w:divBdr>
        <w:top w:val="none" w:sz="0" w:space="0" w:color="auto"/>
        <w:left w:val="none" w:sz="0" w:space="0" w:color="auto"/>
        <w:bottom w:val="none" w:sz="0" w:space="0" w:color="auto"/>
        <w:right w:val="none" w:sz="0" w:space="0" w:color="auto"/>
      </w:divBdr>
    </w:div>
    <w:div w:id="1469395344">
      <w:bodyDiv w:val="1"/>
      <w:marLeft w:val="0"/>
      <w:marRight w:val="0"/>
      <w:marTop w:val="0"/>
      <w:marBottom w:val="0"/>
      <w:divBdr>
        <w:top w:val="none" w:sz="0" w:space="0" w:color="auto"/>
        <w:left w:val="none" w:sz="0" w:space="0" w:color="auto"/>
        <w:bottom w:val="none" w:sz="0" w:space="0" w:color="auto"/>
        <w:right w:val="none" w:sz="0" w:space="0" w:color="auto"/>
      </w:divBdr>
    </w:div>
    <w:div w:id="1481577780">
      <w:bodyDiv w:val="1"/>
      <w:marLeft w:val="0"/>
      <w:marRight w:val="0"/>
      <w:marTop w:val="0"/>
      <w:marBottom w:val="0"/>
      <w:divBdr>
        <w:top w:val="none" w:sz="0" w:space="0" w:color="auto"/>
        <w:left w:val="none" w:sz="0" w:space="0" w:color="auto"/>
        <w:bottom w:val="none" w:sz="0" w:space="0" w:color="auto"/>
        <w:right w:val="none" w:sz="0" w:space="0" w:color="auto"/>
      </w:divBdr>
    </w:div>
    <w:div w:id="1484810376">
      <w:bodyDiv w:val="1"/>
      <w:marLeft w:val="0"/>
      <w:marRight w:val="0"/>
      <w:marTop w:val="0"/>
      <w:marBottom w:val="0"/>
      <w:divBdr>
        <w:top w:val="none" w:sz="0" w:space="0" w:color="auto"/>
        <w:left w:val="none" w:sz="0" w:space="0" w:color="auto"/>
        <w:bottom w:val="none" w:sz="0" w:space="0" w:color="auto"/>
        <w:right w:val="none" w:sz="0" w:space="0" w:color="auto"/>
      </w:divBdr>
    </w:div>
    <w:div w:id="1773084803">
      <w:bodyDiv w:val="1"/>
      <w:marLeft w:val="0"/>
      <w:marRight w:val="0"/>
      <w:marTop w:val="0"/>
      <w:marBottom w:val="0"/>
      <w:divBdr>
        <w:top w:val="none" w:sz="0" w:space="0" w:color="auto"/>
        <w:left w:val="none" w:sz="0" w:space="0" w:color="auto"/>
        <w:bottom w:val="none" w:sz="0" w:space="0" w:color="auto"/>
        <w:right w:val="none" w:sz="0" w:space="0" w:color="auto"/>
      </w:divBdr>
    </w:div>
    <w:div w:id="1776897835">
      <w:bodyDiv w:val="1"/>
      <w:marLeft w:val="0"/>
      <w:marRight w:val="0"/>
      <w:marTop w:val="0"/>
      <w:marBottom w:val="0"/>
      <w:divBdr>
        <w:top w:val="none" w:sz="0" w:space="0" w:color="auto"/>
        <w:left w:val="none" w:sz="0" w:space="0" w:color="auto"/>
        <w:bottom w:val="none" w:sz="0" w:space="0" w:color="auto"/>
        <w:right w:val="none" w:sz="0" w:space="0" w:color="auto"/>
      </w:divBdr>
    </w:div>
    <w:div w:id="1785540111">
      <w:bodyDiv w:val="1"/>
      <w:marLeft w:val="0"/>
      <w:marRight w:val="0"/>
      <w:marTop w:val="0"/>
      <w:marBottom w:val="0"/>
      <w:divBdr>
        <w:top w:val="none" w:sz="0" w:space="0" w:color="auto"/>
        <w:left w:val="none" w:sz="0" w:space="0" w:color="auto"/>
        <w:bottom w:val="none" w:sz="0" w:space="0" w:color="auto"/>
        <w:right w:val="none" w:sz="0" w:space="0" w:color="auto"/>
      </w:divBdr>
    </w:div>
    <w:div w:id="1785922957">
      <w:bodyDiv w:val="1"/>
      <w:marLeft w:val="0"/>
      <w:marRight w:val="0"/>
      <w:marTop w:val="0"/>
      <w:marBottom w:val="0"/>
      <w:divBdr>
        <w:top w:val="none" w:sz="0" w:space="0" w:color="auto"/>
        <w:left w:val="none" w:sz="0" w:space="0" w:color="auto"/>
        <w:bottom w:val="none" w:sz="0" w:space="0" w:color="auto"/>
        <w:right w:val="none" w:sz="0" w:space="0" w:color="auto"/>
      </w:divBdr>
    </w:div>
    <w:div w:id="1791507097">
      <w:bodyDiv w:val="1"/>
      <w:marLeft w:val="0"/>
      <w:marRight w:val="0"/>
      <w:marTop w:val="0"/>
      <w:marBottom w:val="0"/>
      <w:divBdr>
        <w:top w:val="none" w:sz="0" w:space="0" w:color="auto"/>
        <w:left w:val="none" w:sz="0" w:space="0" w:color="auto"/>
        <w:bottom w:val="none" w:sz="0" w:space="0" w:color="auto"/>
        <w:right w:val="none" w:sz="0" w:space="0" w:color="auto"/>
      </w:divBdr>
    </w:div>
    <w:div w:id="1877501701">
      <w:bodyDiv w:val="1"/>
      <w:marLeft w:val="0"/>
      <w:marRight w:val="0"/>
      <w:marTop w:val="0"/>
      <w:marBottom w:val="0"/>
      <w:divBdr>
        <w:top w:val="none" w:sz="0" w:space="0" w:color="auto"/>
        <w:left w:val="none" w:sz="0" w:space="0" w:color="auto"/>
        <w:bottom w:val="none" w:sz="0" w:space="0" w:color="auto"/>
        <w:right w:val="none" w:sz="0" w:space="0" w:color="auto"/>
      </w:divBdr>
    </w:div>
    <w:div w:id="1921983114">
      <w:bodyDiv w:val="1"/>
      <w:marLeft w:val="0"/>
      <w:marRight w:val="0"/>
      <w:marTop w:val="0"/>
      <w:marBottom w:val="0"/>
      <w:divBdr>
        <w:top w:val="none" w:sz="0" w:space="0" w:color="auto"/>
        <w:left w:val="none" w:sz="0" w:space="0" w:color="auto"/>
        <w:bottom w:val="none" w:sz="0" w:space="0" w:color="auto"/>
        <w:right w:val="none" w:sz="0" w:space="0" w:color="auto"/>
      </w:divBdr>
    </w:div>
    <w:div w:id="19572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46E64-EAA6-B344-AB09-63198051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6296</Words>
  <Characters>35893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ITG</Company>
  <LinksUpToDate>false</LinksUpToDate>
  <CharactersWithSpaces>42105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dc:creator>
  <cp:keywords/>
  <dc:description/>
  <cp:lastModifiedBy>Laura diZerega</cp:lastModifiedBy>
  <cp:revision>3</cp:revision>
  <cp:lastPrinted>2021-11-10T21:15:00Z</cp:lastPrinted>
  <dcterms:created xsi:type="dcterms:W3CDTF">2021-12-16T21:19:00Z</dcterms:created>
  <dcterms:modified xsi:type="dcterms:W3CDTF">2021-12-17T19:43:00Z</dcterms:modified>
</cp:coreProperties>
</file>