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8109" w14:textId="4C921E55" w:rsidR="001D00CF" w:rsidRPr="001C156A" w:rsidRDefault="004C21DC" w:rsidP="003A68E2">
      <w:pPr>
        <w:pStyle w:val="Heading1"/>
        <w:spacing w:line="480" w:lineRule="auto"/>
      </w:pPr>
      <w:r w:rsidRPr="003A68E2">
        <w:t xml:space="preserve">Cultural Heritage at </w:t>
      </w:r>
      <w:r w:rsidR="004E6ADB">
        <w:t>R</w:t>
      </w:r>
      <w:r w:rsidR="001D00CF" w:rsidRPr="003A68E2">
        <w:t xml:space="preserve">isk </w:t>
      </w:r>
      <w:r w:rsidRPr="003A68E2">
        <w:t>in Mali:</w:t>
      </w:r>
      <w:r w:rsidR="00A957E7" w:rsidRPr="003A68E2">
        <w:t xml:space="preserve"> </w:t>
      </w:r>
      <w:r w:rsidRPr="003A68E2">
        <w:t xml:space="preserve">The </w:t>
      </w:r>
      <w:r w:rsidR="00E66CED" w:rsidRPr="003A68E2">
        <w:t>D</w:t>
      </w:r>
      <w:r w:rsidRPr="003A68E2">
        <w:t xml:space="preserve">estruction of Timbuktu’s </w:t>
      </w:r>
      <w:r w:rsidR="00E66CED" w:rsidRPr="003A68E2">
        <w:t>M</w:t>
      </w:r>
      <w:r w:rsidRPr="003A68E2">
        <w:t>ausoleums</w:t>
      </w:r>
      <w:r w:rsidR="001D00CF" w:rsidRPr="003A68E2">
        <w:t xml:space="preserve"> of </w:t>
      </w:r>
      <w:r w:rsidR="00E66CED" w:rsidRPr="003A68E2">
        <w:t>S</w:t>
      </w:r>
      <w:r w:rsidR="001D00CF" w:rsidRPr="003A68E2">
        <w:t xml:space="preserve">aints </w:t>
      </w:r>
    </w:p>
    <w:p w14:paraId="5F85C948" w14:textId="6BF70098" w:rsidR="00A957E7" w:rsidRDefault="004C21DC" w:rsidP="00A72E40">
      <w:pPr>
        <w:spacing w:line="480" w:lineRule="auto"/>
        <w:ind w:right="-26"/>
        <w:rPr>
          <w:bCs/>
        </w:rPr>
      </w:pPr>
      <w:r w:rsidRPr="003A68E2">
        <w:rPr>
          <w:bCs/>
        </w:rPr>
        <w:t>Lazare Eloundou Assomo</w:t>
      </w:r>
    </w:p>
    <w:p w14:paraId="7DDEAB8B" w14:textId="6267FC17" w:rsidR="00A72E40" w:rsidRDefault="00A72E40" w:rsidP="00A72E40">
      <w:pPr>
        <w:spacing w:line="480" w:lineRule="auto"/>
        <w:ind w:right="-26"/>
        <w:rPr>
          <w:bCs/>
        </w:rPr>
      </w:pPr>
    </w:p>
    <w:p w14:paraId="68BC3F0A" w14:textId="77777777" w:rsidR="00A72E40" w:rsidRDefault="00A72E40" w:rsidP="00A72E40">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4A3EDD4A" w14:textId="77777777" w:rsidR="00A72E40" w:rsidRPr="00A72E40" w:rsidRDefault="00A72E40" w:rsidP="00A72E40">
      <w:pPr>
        <w:spacing w:line="480" w:lineRule="auto"/>
        <w:ind w:right="-26"/>
        <w:rPr>
          <w:bCs/>
        </w:rPr>
      </w:pPr>
      <w:bookmarkStart w:id="0" w:name="_GoBack"/>
      <w:bookmarkEnd w:id="0"/>
    </w:p>
    <w:p w14:paraId="6A642593" w14:textId="48E5B0C4" w:rsidR="00461815" w:rsidRDefault="007974BB" w:rsidP="00733B79">
      <w:pPr>
        <w:pStyle w:val="Heading2"/>
      </w:pPr>
      <w:r w:rsidRPr="003A68E2">
        <w:t>Keynote</w:t>
      </w:r>
    </w:p>
    <w:p w14:paraId="398F69E0" w14:textId="77777777" w:rsidR="00461815" w:rsidRPr="00461815" w:rsidRDefault="00461815" w:rsidP="00733B79"/>
    <w:p w14:paraId="6142DB57" w14:textId="6B13DF29" w:rsidR="00461815" w:rsidRDefault="00461815" w:rsidP="00733B79">
      <w:pPr>
        <w:pStyle w:val="BodyText"/>
        <w:spacing w:line="480" w:lineRule="auto"/>
      </w:pPr>
      <w:r w:rsidRPr="00160E07">
        <w:t>In Timbuktu, Mali, from January to December 2012, fourteen of the sixteen mausoleums of the saints inscribed on the UNESCO World Heritage List were completely destroyed by extremist groups who then occupied the city.</w:t>
      </w:r>
      <w:r w:rsidRPr="00972DFF">
        <w:t xml:space="preserve"> </w:t>
      </w:r>
      <w:r w:rsidRPr="00C109A5">
        <w:t>This chapter examines the entire process, beginning with the destruction of Timbuktu’s cu</w:t>
      </w:r>
      <w:r w:rsidRPr="0039301F">
        <w:t>ltural heritage</w:t>
      </w:r>
      <w:r w:rsidRPr="00733B79">
        <w:t xml:space="preserve"> to the reconstruction strategy</w:t>
      </w:r>
      <w:r w:rsidRPr="003A68E2">
        <w:t>.</w:t>
      </w:r>
    </w:p>
    <w:p w14:paraId="746513DD" w14:textId="77777777" w:rsidR="0019613C" w:rsidRPr="003A68E2" w:rsidRDefault="0019613C" w:rsidP="00733B79">
      <w:pPr>
        <w:pStyle w:val="BodyText"/>
        <w:spacing w:line="480" w:lineRule="auto"/>
      </w:pPr>
    </w:p>
    <w:p w14:paraId="588582AE" w14:textId="77777777" w:rsidR="00AF3D70" w:rsidRPr="003A68E2" w:rsidRDefault="00AF3D70" w:rsidP="003A68E2">
      <w:pPr>
        <w:pStyle w:val="Heading2"/>
        <w:spacing w:line="480" w:lineRule="auto"/>
      </w:pPr>
      <w:r w:rsidRPr="003A68E2">
        <w:t>Abstract</w:t>
      </w:r>
    </w:p>
    <w:p w14:paraId="5E3696C5" w14:textId="70DC242B" w:rsidR="00461815" w:rsidRPr="003A68E2" w:rsidRDefault="001E20DC" w:rsidP="00461815">
      <w:pPr>
        <w:spacing w:before="69" w:line="480" w:lineRule="auto"/>
        <w:rPr>
          <w:szCs w:val="24"/>
        </w:rPr>
      </w:pPr>
      <w:r>
        <w:rPr>
          <w:szCs w:val="24"/>
        </w:rPr>
        <w:t xml:space="preserve">From January to December 2012, </w:t>
      </w:r>
      <w:r w:rsidR="00FF0C55" w:rsidRPr="003A68E2">
        <w:rPr>
          <w:szCs w:val="24"/>
        </w:rPr>
        <w:t>Mali experienced</w:t>
      </w:r>
      <w:r w:rsidR="00AF3D70" w:rsidRPr="003A68E2">
        <w:rPr>
          <w:szCs w:val="24"/>
        </w:rPr>
        <w:t xml:space="preserve"> serious threats to its rich cultural heritage. In Timbuktu, </w:t>
      </w:r>
      <w:r w:rsidR="00C06A70" w:rsidRPr="003A68E2">
        <w:rPr>
          <w:szCs w:val="24"/>
        </w:rPr>
        <w:t xml:space="preserve">fourteen </w:t>
      </w:r>
      <w:r w:rsidR="00AF3D70" w:rsidRPr="003A68E2">
        <w:rPr>
          <w:szCs w:val="24"/>
        </w:rPr>
        <w:t xml:space="preserve">of the </w:t>
      </w:r>
      <w:r w:rsidR="00C06A70" w:rsidRPr="003A68E2">
        <w:rPr>
          <w:szCs w:val="24"/>
        </w:rPr>
        <w:t xml:space="preserve">sixteen </w:t>
      </w:r>
      <w:r w:rsidR="00AF3D70" w:rsidRPr="003A68E2">
        <w:rPr>
          <w:szCs w:val="24"/>
        </w:rPr>
        <w:t>mausoleums of the saints inscribed on the UNESCO World Heritage List were completely destroyed, three mosques were severely damaged</w:t>
      </w:r>
      <w:r w:rsidR="00CC0FC2">
        <w:rPr>
          <w:szCs w:val="24"/>
        </w:rPr>
        <w:t>,</w:t>
      </w:r>
      <w:r w:rsidR="00AF3D70" w:rsidRPr="003A68E2">
        <w:rPr>
          <w:szCs w:val="24"/>
        </w:rPr>
        <w:t xml:space="preserve"> and 4,203 manuscripts were burned by the extremist groups who </w:t>
      </w:r>
      <w:r w:rsidR="00CC0FC2">
        <w:rPr>
          <w:szCs w:val="24"/>
        </w:rPr>
        <w:t xml:space="preserve">then </w:t>
      </w:r>
      <w:r w:rsidR="00AF3D70" w:rsidRPr="003A68E2">
        <w:rPr>
          <w:szCs w:val="24"/>
        </w:rPr>
        <w:t>occupied the city. In respon</w:t>
      </w:r>
      <w:r w:rsidR="00EB4DE5" w:rsidRPr="003A68E2">
        <w:rPr>
          <w:szCs w:val="24"/>
        </w:rPr>
        <w:t>se</w:t>
      </w:r>
      <w:r w:rsidR="00AF3D70" w:rsidRPr="003A68E2">
        <w:rPr>
          <w:szCs w:val="24"/>
        </w:rPr>
        <w:t xml:space="preserve"> to </w:t>
      </w:r>
      <w:r w:rsidR="00AE15B0">
        <w:rPr>
          <w:szCs w:val="24"/>
        </w:rPr>
        <w:t xml:space="preserve">the </w:t>
      </w:r>
      <w:r w:rsidR="00AF3D70" w:rsidRPr="003A68E2">
        <w:rPr>
          <w:szCs w:val="24"/>
        </w:rPr>
        <w:t>Mali</w:t>
      </w:r>
      <w:r w:rsidR="00AE15B0">
        <w:rPr>
          <w:szCs w:val="24"/>
        </w:rPr>
        <w:t>an government’s</w:t>
      </w:r>
      <w:r w:rsidR="00AF3D70" w:rsidRPr="003A68E2">
        <w:rPr>
          <w:szCs w:val="24"/>
        </w:rPr>
        <w:t xml:space="preserve"> call for </w:t>
      </w:r>
      <w:r w:rsidR="00EB4DE5" w:rsidRPr="003A68E2">
        <w:rPr>
          <w:szCs w:val="24"/>
        </w:rPr>
        <w:t xml:space="preserve">the </w:t>
      </w:r>
      <w:r w:rsidR="00AF3D70" w:rsidRPr="003A68E2">
        <w:rPr>
          <w:szCs w:val="24"/>
        </w:rPr>
        <w:t>international community to stop these deliberate acts of destruction, UNESCO launch</w:t>
      </w:r>
      <w:r w:rsidR="00EB4DE5" w:rsidRPr="003A68E2">
        <w:rPr>
          <w:szCs w:val="24"/>
        </w:rPr>
        <w:t>ed</w:t>
      </w:r>
      <w:r w:rsidR="00AF3D70" w:rsidRPr="003A68E2">
        <w:rPr>
          <w:szCs w:val="24"/>
        </w:rPr>
        <w:t xml:space="preserve"> an awareness-raising campaign on the cultural significance of the mausoleu</w:t>
      </w:r>
      <w:r w:rsidR="00E66CED" w:rsidRPr="003A68E2">
        <w:rPr>
          <w:szCs w:val="24"/>
        </w:rPr>
        <w:t>ms</w:t>
      </w:r>
      <w:r>
        <w:rPr>
          <w:szCs w:val="24"/>
        </w:rPr>
        <w:t xml:space="preserve"> that</w:t>
      </w:r>
      <w:r w:rsidR="00E66CED" w:rsidRPr="003A68E2">
        <w:rPr>
          <w:szCs w:val="24"/>
        </w:rPr>
        <w:t xml:space="preserve"> </w:t>
      </w:r>
      <w:r w:rsidR="00AF3D70" w:rsidRPr="003A68E2">
        <w:rPr>
          <w:szCs w:val="24"/>
        </w:rPr>
        <w:t xml:space="preserve">structure the social and religious life of </w:t>
      </w:r>
      <w:r w:rsidR="00645947" w:rsidRPr="003A68E2">
        <w:rPr>
          <w:szCs w:val="24"/>
        </w:rPr>
        <w:t xml:space="preserve">the </w:t>
      </w:r>
      <w:r w:rsidR="00AF3D70" w:rsidRPr="003A68E2">
        <w:rPr>
          <w:szCs w:val="24"/>
        </w:rPr>
        <w:t>local communities</w:t>
      </w:r>
      <w:r w:rsidR="00442889">
        <w:rPr>
          <w:szCs w:val="24"/>
        </w:rPr>
        <w:t xml:space="preserve">. </w:t>
      </w:r>
      <w:r w:rsidR="00461815">
        <w:rPr>
          <w:szCs w:val="24"/>
        </w:rPr>
        <w:t>UNESCO also</w:t>
      </w:r>
      <w:r w:rsidR="00442889">
        <w:rPr>
          <w:szCs w:val="24"/>
        </w:rPr>
        <w:t xml:space="preserve"> </w:t>
      </w:r>
      <w:r w:rsidR="00AF3D70" w:rsidRPr="003A68E2">
        <w:rPr>
          <w:szCs w:val="24"/>
        </w:rPr>
        <w:lastRenderedPageBreak/>
        <w:t xml:space="preserve">contributed to the adoption of a resolution by the </w:t>
      </w:r>
      <w:r w:rsidR="00645947" w:rsidRPr="003A68E2">
        <w:rPr>
          <w:szCs w:val="24"/>
        </w:rPr>
        <w:t xml:space="preserve">UN </w:t>
      </w:r>
      <w:r w:rsidR="00AF3D70" w:rsidRPr="003A68E2">
        <w:rPr>
          <w:szCs w:val="24"/>
        </w:rPr>
        <w:t>Security Council strongly condemn</w:t>
      </w:r>
      <w:r w:rsidR="00267376" w:rsidRPr="003A68E2">
        <w:rPr>
          <w:szCs w:val="24"/>
        </w:rPr>
        <w:t>ing</w:t>
      </w:r>
      <w:r w:rsidR="00AF3D70" w:rsidRPr="003A68E2">
        <w:rPr>
          <w:szCs w:val="24"/>
        </w:rPr>
        <w:t xml:space="preserve"> the destruction of Malian cultural and religious sites</w:t>
      </w:r>
      <w:r w:rsidR="00442889">
        <w:rPr>
          <w:szCs w:val="24"/>
        </w:rPr>
        <w:t xml:space="preserve"> and </w:t>
      </w:r>
      <w:r w:rsidR="00AF3D70" w:rsidRPr="003A68E2">
        <w:rPr>
          <w:szCs w:val="24"/>
        </w:rPr>
        <w:t>recogniz</w:t>
      </w:r>
      <w:r w:rsidR="00442889">
        <w:rPr>
          <w:szCs w:val="24"/>
        </w:rPr>
        <w:t>ing</w:t>
      </w:r>
      <w:r w:rsidR="00AF3D70" w:rsidRPr="003A68E2">
        <w:rPr>
          <w:szCs w:val="24"/>
        </w:rPr>
        <w:t xml:space="preserve"> the importan</w:t>
      </w:r>
      <w:r w:rsidR="00FA159F">
        <w:rPr>
          <w:szCs w:val="24"/>
        </w:rPr>
        <w:t xml:space="preserve">t role </w:t>
      </w:r>
      <w:r w:rsidR="00AF3D70" w:rsidRPr="003A68E2">
        <w:rPr>
          <w:szCs w:val="24"/>
        </w:rPr>
        <w:t>of local communities in resolv</w:t>
      </w:r>
      <w:r w:rsidR="00442889">
        <w:rPr>
          <w:szCs w:val="24"/>
        </w:rPr>
        <w:t>ing</w:t>
      </w:r>
      <w:r w:rsidR="00AF3D70" w:rsidRPr="003A68E2">
        <w:rPr>
          <w:szCs w:val="24"/>
        </w:rPr>
        <w:t xml:space="preserve"> the Malian conflict. UNESCO was</w:t>
      </w:r>
      <w:r w:rsidR="00461815">
        <w:rPr>
          <w:szCs w:val="24"/>
        </w:rPr>
        <w:t xml:space="preserve"> equally</w:t>
      </w:r>
      <w:r w:rsidR="00AF3D70" w:rsidRPr="003A68E2">
        <w:rPr>
          <w:szCs w:val="24"/>
        </w:rPr>
        <w:t xml:space="preserve"> instrumental in the International Criminal Court</w:t>
      </w:r>
      <w:r w:rsidR="00442889">
        <w:rPr>
          <w:szCs w:val="24"/>
        </w:rPr>
        <w:t>’s</w:t>
      </w:r>
      <w:r w:rsidR="00AF3D70" w:rsidRPr="003A68E2">
        <w:rPr>
          <w:szCs w:val="24"/>
        </w:rPr>
        <w:t xml:space="preserve"> decision to recognize, for the first time in </w:t>
      </w:r>
      <w:r w:rsidR="00267376" w:rsidRPr="003A68E2">
        <w:rPr>
          <w:szCs w:val="24"/>
        </w:rPr>
        <w:t xml:space="preserve">the </w:t>
      </w:r>
      <w:r w:rsidR="00AF3D70" w:rsidRPr="003A68E2">
        <w:rPr>
          <w:szCs w:val="24"/>
        </w:rPr>
        <w:t>history</w:t>
      </w:r>
      <w:r w:rsidR="00267376" w:rsidRPr="003A68E2">
        <w:rPr>
          <w:szCs w:val="24"/>
        </w:rPr>
        <w:t xml:space="preserve"> of international criminal justice</w:t>
      </w:r>
      <w:r w:rsidR="00AF3D70" w:rsidRPr="003A68E2">
        <w:rPr>
          <w:szCs w:val="24"/>
        </w:rPr>
        <w:t xml:space="preserve">, the intentional destruction </w:t>
      </w:r>
      <w:r w:rsidR="00267376" w:rsidRPr="003A68E2">
        <w:rPr>
          <w:szCs w:val="24"/>
        </w:rPr>
        <w:t xml:space="preserve">of cultural heritage </w:t>
      </w:r>
      <w:r w:rsidR="00AF3D70" w:rsidRPr="003A68E2">
        <w:rPr>
          <w:szCs w:val="24"/>
        </w:rPr>
        <w:t>as</w:t>
      </w:r>
      <w:r w:rsidR="00E66CED" w:rsidRPr="003A68E2">
        <w:rPr>
          <w:szCs w:val="24"/>
        </w:rPr>
        <w:t xml:space="preserve"> a</w:t>
      </w:r>
      <w:r w:rsidR="00AF3D70" w:rsidRPr="003A68E2">
        <w:rPr>
          <w:szCs w:val="24"/>
        </w:rPr>
        <w:t xml:space="preserve"> war crime. Th</w:t>
      </w:r>
      <w:r w:rsidR="00E66CED" w:rsidRPr="003A68E2">
        <w:rPr>
          <w:szCs w:val="24"/>
        </w:rPr>
        <w:t>is</w:t>
      </w:r>
      <w:r w:rsidR="00AF3D70" w:rsidRPr="003A68E2">
        <w:rPr>
          <w:szCs w:val="24"/>
        </w:rPr>
        <w:t xml:space="preserve"> chapter examines the entire process</w:t>
      </w:r>
      <w:r w:rsidR="00E66CED" w:rsidRPr="003A68E2">
        <w:rPr>
          <w:szCs w:val="24"/>
        </w:rPr>
        <w:t>, beginning</w:t>
      </w:r>
      <w:r w:rsidR="00FF7812" w:rsidRPr="003A68E2">
        <w:rPr>
          <w:szCs w:val="24"/>
        </w:rPr>
        <w:t xml:space="preserve"> </w:t>
      </w:r>
      <w:r w:rsidR="00E66CED" w:rsidRPr="003A68E2">
        <w:rPr>
          <w:szCs w:val="24"/>
        </w:rPr>
        <w:t>with</w:t>
      </w:r>
      <w:r w:rsidR="00FF7812" w:rsidRPr="003A68E2">
        <w:rPr>
          <w:szCs w:val="24"/>
        </w:rPr>
        <w:t xml:space="preserve"> </w:t>
      </w:r>
      <w:r w:rsidR="00AF3D70" w:rsidRPr="003A68E2">
        <w:rPr>
          <w:szCs w:val="24"/>
        </w:rPr>
        <w:t>the destruction of Timbuktu’s cultural heritage</w:t>
      </w:r>
      <w:r w:rsidR="00C43FE8">
        <w:rPr>
          <w:szCs w:val="24"/>
        </w:rPr>
        <w:t xml:space="preserve"> </w:t>
      </w:r>
      <w:r w:rsidR="00AF3D70" w:rsidRPr="003A68E2">
        <w:rPr>
          <w:szCs w:val="24"/>
        </w:rPr>
        <w:t>from the perspective of local communities</w:t>
      </w:r>
      <w:r w:rsidR="00C43FE8">
        <w:rPr>
          <w:szCs w:val="24"/>
        </w:rPr>
        <w:t xml:space="preserve"> </w:t>
      </w:r>
      <w:r w:rsidR="00AF3D70" w:rsidRPr="003A68E2">
        <w:rPr>
          <w:szCs w:val="24"/>
        </w:rPr>
        <w:t xml:space="preserve">to the adopted reconstruction strategy. </w:t>
      </w:r>
      <w:r w:rsidR="00814C23" w:rsidRPr="003A68E2">
        <w:rPr>
          <w:szCs w:val="24"/>
        </w:rPr>
        <w:t>I</w:t>
      </w:r>
      <w:r w:rsidR="00AF3D70" w:rsidRPr="003A68E2">
        <w:rPr>
          <w:szCs w:val="24"/>
        </w:rPr>
        <w:t xml:space="preserve">t </w:t>
      </w:r>
      <w:r w:rsidR="00814C23" w:rsidRPr="003A68E2">
        <w:rPr>
          <w:szCs w:val="24"/>
        </w:rPr>
        <w:t xml:space="preserve">also </w:t>
      </w:r>
      <w:r w:rsidR="00AF3D70" w:rsidRPr="003A68E2">
        <w:rPr>
          <w:szCs w:val="24"/>
        </w:rPr>
        <w:t>analyzes the reasons behind such mass destruction, considered by local communities an atrocity in the name of ideology</w:t>
      </w:r>
      <w:r w:rsidR="00442889">
        <w:rPr>
          <w:szCs w:val="24"/>
        </w:rPr>
        <w:t xml:space="preserve">, and </w:t>
      </w:r>
      <w:r w:rsidR="00842927" w:rsidRPr="003A68E2">
        <w:rPr>
          <w:szCs w:val="24"/>
        </w:rPr>
        <w:t>examine</w:t>
      </w:r>
      <w:r w:rsidR="00442889">
        <w:rPr>
          <w:szCs w:val="24"/>
        </w:rPr>
        <w:t>s</w:t>
      </w:r>
      <w:r w:rsidR="00842927" w:rsidRPr="003A68E2">
        <w:rPr>
          <w:szCs w:val="24"/>
        </w:rPr>
        <w:t xml:space="preserve"> </w:t>
      </w:r>
      <w:r w:rsidR="00AF3D70" w:rsidRPr="003A68E2">
        <w:rPr>
          <w:szCs w:val="24"/>
        </w:rPr>
        <w:t xml:space="preserve">the </w:t>
      </w:r>
      <w:r w:rsidR="00703793" w:rsidRPr="003A68E2">
        <w:rPr>
          <w:szCs w:val="24"/>
        </w:rPr>
        <w:t>extremist</w:t>
      </w:r>
      <w:r w:rsidR="00AF3D70" w:rsidRPr="003A68E2">
        <w:rPr>
          <w:szCs w:val="24"/>
        </w:rPr>
        <w:t xml:space="preserve"> groups</w:t>
      </w:r>
      <w:r w:rsidR="00842927" w:rsidRPr="003A68E2">
        <w:rPr>
          <w:szCs w:val="24"/>
        </w:rPr>
        <w:t>’</w:t>
      </w:r>
      <w:r w:rsidR="00AF3D70" w:rsidRPr="003A68E2">
        <w:rPr>
          <w:szCs w:val="24"/>
        </w:rPr>
        <w:t xml:space="preserve"> strategy </w:t>
      </w:r>
      <w:r w:rsidR="00842927" w:rsidRPr="003A68E2">
        <w:rPr>
          <w:szCs w:val="24"/>
        </w:rPr>
        <w:t xml:space="preserve">of </w:t>
      </w:r>
      <w:r w:rsidR="00AF3D70" w:rsidRPr="003A68E2">
        <w:rPr>
          <w:szCs w:val="24"/>
        </w:rPr>
        <w:t>spread</w:t>
      </w:r>
      <w:r w:rsidR="00842927" w:rsidRPr="003A68E2">
        <w:rPr>
          <w:szCs w:val="24"/>
        </w:rPr>
        <w:t>ing</w:t>
      </w:r>
      <w:r w:rsidR="00AF3D70" w:rsidRPr="003A68E2">
        <w:rPr>
          <w:szCs w:val="24"/>
        </w:rPr>
        <w:t xml:space="preserve"> terror</w:t>
      </w:r>
      <w:r w:rsidR="00442889">
        <w:rPr>
          <w:szCs w:val="24"/>
        </w:rPr>
        <w:t xml:space="preserve"> by</w:t>
      </w:r>
      <w:r w:rsidR="00AF3D70" w:rsidRPr="003A68E2">
        <w:rPr>
          <w:szCs w:val="24"/>
        </w:rPr>
        <w:t xml:space="preserve"> manipulat</w:t>
      </w:r>
      <w:r w:rsidR="00842927" w:rsidRPr="003A68E2">
        <w:rPr>
          <w:szCs w:val="24"/>
        </w:rPr>
        <w:t>ing</w:t>
      </w:r>
      <w:r w:rsidR="00AF3D70" w:rsidRPr="003A68E2">
        <w:rPr>
          <w:szCs w:val="24"/>
        </w:rPr>
        <w:t xml:space="preserve"> people’s conscience</w:t>
      </w:r>
      <w:r w:rsidR="00842927" w:rsidRPr="003A68E2">
        <w:rPr>
          <w:szCs w:val="24"/>
        </w:rPr>
        <w:t>s</w:t>
      </w:r>
      <w:r w:rsidR="00AF3D70" w:rsidRPr="003A68E2">
        <w:rPr>
          <w:szCs w:val="24"/>
        </w:rPr>
        <w:t xml:space="preserve"> and turn</w:t>
      </w:r>
      <w:r w:rsidR="00842927" w:rsidRPr="003A68E2">
        <w:rPr>
          <w:szCs w:val="24"/>
        </w:rPr>
        <w:t>ing</w:t>
      </w:r>
      <w:r w:rsidR="00AF3D70" w:rsidRPr="003A68E2">
        <w:rPr>
          <w:szCs w:val="24"/>
        </w:rPr>
        <w:t xml:space="preserve"> them into human weapons. Finally, th</w:t>
      </w:r>
      <w:r w:rsidR="00442889">
        <w:rPr>
          <w:szCs w:val="24"/>
        </w:rPr>
        <w:t>is</w:t>
      </w:r>
      <w:r w:rsidR="00AF3D70" w:rsidRPr="003A68E2">
        <w:rPr>
          <w:szCs w:val="24"/>
        </w:rPr>
        <w:t xml:space="preserve"> chapter explains why </w:t>
      </w:r>
      <w:r w:rsidR="00241A5C">
        <w:rPr>
          <w:szCs w:val="24"/>
        </w:rPr>
        <w:t xml:space="preserve">UNESCO’s </w:t>
      </w:r>
      <w:r w:rsidR="00AF3D70" w:rsidRPr="003A68E2">
        <w:rPr>
          <w:szCs w:val="24"/>
        </w:rPr>
        <w:t xml:space="preserve"> </w:t>
      </w:r>
      <w:r w:rsidR="00442889">
        <w:rPr>
          <w:szCs w:val="24"/>
        </w:rPr>
        <w:t xml:space="preserve">reconstruction </w:t>
      </w:r>
      <w:r w:rsidR="00241A5C">
        <w:rPr>
          <w:szCs w:val="24"/>
        </w:rPr>
        <w:t xml:space="preserve">of the </w:t>
      </w:r>
      <w:r w:rsidR="00AF3D70" w:rsidRPr="003A68E2">
        <w:rPr>
          <w:szCs w:val="24"/>
        </w:rPr>
        <w:t xml:space="preserve">mausoleums </w:t>
      </w:r>
      <w:r w:rsidR="00461815">
        <w:rPr>
          <w:szCs w:val="24"/>
        </w:rPr>
        <w:t>w</w:t>
      </w:r>
      <w:r w:rsidR="00461815" w:rsidRPr="003A68E2">
        <w:rPr>
          <w:szCs w:val="24"/>
        </w:rPr>
        <w:t xml:space="preserve">ould not have succeeded </w:t>
      </w:r>
      <w:r w:rsidR="00461815">
        <w:rPr>
          <w:szCs w:val="24"/>
        </w:rPr>
        <w:t xml:space="preserve">without considering the perspectives of local </w:t>
      </w:r>
      <w:r w:rsidR="00461815" w:rsidRPr="003A68E2">
        <w:rPr>
          <w:szCs w:val="24"/>
        </w:rPr>
        <w:t>communities.</w:t>
      </w:r>
    </w:p>
    <w:p w14:paraId="597C77AE" w14:textId="77777777" w:rsidR="0032124F" w:rsidRPr="005115E5" w:rsidRDefault="0032124F" w:rsidP="00461815">
      <w:pPr>
        <w:spacing w:before="69" w:line="480" w:lineRule="auto"/>
        <w:rPr>
          <w:szCs w:val="24"/>
        </w:rPr>
      </w:pPr>
    </w:p>
    <w:p w14:paraId="10990282" w14:textId="4E8DCD0D" w:rsidR="0032124F" w:rsidRPr="005115E5" w:rsidRDefault="0032124F" w:rsidP="003A68E2">
      <w:pPr>
        <w:pStyle w:val="Heading2"/>
        <w:spacing w:line="480" w:lineRule="auto"/>
      </w:pPr>
      <w:r w:rsidRPr="005115E5">
        <w:t>Biography</w:t>
      </w:r>
    </w:p>
    <w:p w14:paraId="180001C5" w14:textId="31003BAC" w:rsidR="00F57705" w:rsidRPr="005115E5" w:rsidRDefault="0032124F">
      <w:pPr>
        <w:spacing w:before="69" w:line="480" w:lineRule="auto"/>
        <w:rPr>
          <w:szCs w:val="24"/>
        </w:rPr>
      </w:pPr>
      <w:r w:rsidRPr="005115E5">
        <w:rPr>
          <w:szCs w:val="24"/>
        </w:rPr>
        <w:t>Lazare Eloundou Assomo is Director</w:t>
      </w:r>
      <w:r w:rsidR="00303C97" w:rsidRPr="005115E5">
        <w:rPr>
          <w:szCs w:val="24"/>
        </w:rPr>
        <w:t xml:space="preserve"> of</w:t>
      </w:r>
      <w:r w:rsidRPr="005115E5">
        <w:rPr>
          <w:szCs w:val="24"/>
        </w:rPr>
        <w:t xml:space="preserve"> Culture and Emergencies</w:t>
      </w:r>
      <w:r w:rsidR="00303C97" w:rsidRPr="005115E5">
        <w:rPr>
          <w:szCs w:val="24"/>
        </w:rPr>
        <w:t xml:space="preserve"> in the</w:t>
      </w:r>
      <w:r w:rsidRPr="005115E5">
        <w:rPr>
          <w:szCs w:val="24"/>
        </w:rPr>
        <w:t xml:space="preserve"> Culture Sector</w:t>
      </w:r>
      <w:r w:rsidR="00303C97" w:rsidRPr="005115E5">
        <w:rPr>
          <w:szCs w:val="24"/>
        </w:rPr>
        <w:t xml:space="preserve"> of</w:t>
      </w:r>
      <w:r w:rsidRPr="005115E5">
        <w:rPr>
          <w:szCs w:val="24"/>
        </w:rPr>
        <w:t xml:space="preserve"> UNESCO</w:t>
      </w:r>
      <w:r w:rsidR="00303C97" w:rsidRPr="005115E5">
        <w:rPr>
          <w:szCs w:val="24"/>
        </w:rPr>
        <w:t>.</w:t>
      </w:r>
    </w:p>
    <w:p w14:paraId="22703C60" w14:textId="77777777" w:rsidR="00CD3DD1" w:rsidRPr="005115E5" w:rsidRDefault="00CD3DD1" w:rsidP="00733B79">
      <w:pPr>
        <w:spacing w:before="69" w:line="480" w:lineRule="auto"/>
      </w:pPr>
    </w:p>
    <w:p w14:paraId="49FB9C47" w14:textId="344EE485" w:rsidR="005C7207" w:rsidRPr="005115E5" w:rsidRDefault="00F60E17" w:rsidP="00733B79">
      <w:pPr>
        <w:spacing w:before="90" w:line="480" w:lineRule="auto"/>
      </w:pPr>
      <w:r>
        <w:rPr>
          <w:szCs w:val="24"/>
        </w:rPr>
        <w:t xml:space="preserve">From January to December 2012, </w:t>
      </w:r>
      <w:r w:rsidR="00E66CED" w:rsidRPr="003A68E2">
        <w:rPr>
          <w:szCs w:val="24"/>
        </w:rPr>
        <w:t xml:space="preserve">Mali experienced </w:t>
      </w:r>
      <w:r w:rsidR="004C21DC" w:rsidRPr="003A68E2">
        <w:rPr>
          <w:szCs w:val="24"/>
        </w:rPr>
        <w:t xml:space="preserve">serious threats to its rich cultural heritage. </w:t>
      </w:r>
      <w:r w:rsidR="008653E4">
        <w:rPr>
          <w:szCs w:val="24"/>
        </w:rPr>
        <w:t>T</w:t>
      </w:r>
      <w:r w:rsidR="00461815">
        <w:rPr>
          <w:szCs w:val="24"/>
        </w:rPr>
        <w:t xml:space="preserve">he country's northern </w:t>
      </w:r>
      <w:r w:rsidR="00461815" w:rsidRPr="003A68E2">
        <w:rPr>
          <w:szCs w:val="24"/>
        </w:rPr>
        <w:t>region,</w:t>
      </w:r>
      <w:r w:rsidR="004C21DC" w:rsidRPr="003A68E2">
        <w:rPr>
          <w:szCs w:val="24"/>
        </w:rPr>
        <w:t xml:space="preserve"> where two</w:t>
      </w:r>
      <w:r w:rsidR="004C21DC" w:rsidRPr="003A68E2">
        <w:rPr>
          <w:position w:val="9"/>
          <w:szCs w:val="24"/>
        </w:rPr>
        <w:t xml:space="preserve"> </w:t>
      </w:r>
      <w:r w:rsidR="004C21DC" w:rsidRPr="003A68E2">
        <w:rPr>
          <w:szCs w:val="24"/>
        </w:rPr>
        <w:t xml:space="preserve">of </w:t>
      </w:r>
      <w:r w:rsidR="005C304F" w:rsidRPr="003A68E2">
        <w:rPr>
          <w:szCs w:val="24"/>
        </w:rPr>
        <w:t xml:space="preserve">the </w:t>
      </w:r>
      <w:r w:rsidR="004C21DC" w:rsidRPr="003A68E2">
        <w:rPr>
          <w:szCs w:val="24"/>
        </w:rPr>
        <w:t xml:space="preserve">four Malian sites inscribed on the </w:t>
      </w:r>
      <w:r w:rsidR="005C304F" w:rsidRPr="003A68E2">
        <w:rPr>
          <w:szCs w:val="24"/>
        </w:rPr>
        <w:t>UN Educational, Scientific and Cultural Organization</w:t>
      </w:r>
      <w:r w:rsidR="000924AE">
        <w:t xml:space="preserve"> (</w:t>
      </w:r>
      <w:r w:rsidR="000924AE" w:rsidRPr="006A073D">
        <w:t>UNESCO</w:t>
      </w:r>
      <w:r w:rsidR="000924AE">
        <w:t>)</w:t>
      </w:r>
      <w:r w:rsidR="005C304F" w:rsidRPr="003A68E2">
        <w:rPr>
          <w:szCs w:val="24"/>
        </w:rPr>
        <w:t xml:space="preserve"> </w:t>
      </w:r>
      <w:r w:rsidR="004C21DC" w:rsidRPr="003A68E2">
        <w:rPr>
          <w:szCs w:val="24"/>
        </w:rPr>
        <w:t>World Heritage List are located, was occupied</w:t>
      </w:r>
      <w:r w:rsidR="00CF3EDA" w:rsidRPr="003A68E2">
        <w:rPr>
          <w:szCs w:val="24"/>
        </w:rPr>
        <w:t xml:space="preserve"> </w:t>
      </w:r>
      <w:r w:rsidR="004C21DC" w:rsidRPr="003A68E2">
        <w:rPr>
          <w:szCs w:val="24"/>
        </w:rPr>
        <w:t>by armed Islamist groups</w:t>
      </w:r>
      <w:r w:rsidR="002A4FB2" w:rsidRPr="003A68E2">
        <w:rPr>
          <w:szCs w:val="24"/>
        </w:rPr>
        <w:t xml:space="preserve">: </w:t>
      </w:r>
      <w:r w:rsidR="009F76E4" w:rsidRPr="003A68E2">
        <w:rPr>
          <w:szCs w:val="24"/>
        </w:rPr>
        <w:t>al-Qaeda in the Islamic Maghreb (</w:t>
      </w:r>
      <w:r w:rsidR="004C21DC" w:rsidRPr="003A68E2">
        <w:rPr>
          <w:szCs w:val="24"/>
        </w:rPr>
        <w:t>AQIM</w:t>
      </w:r>
      <w:r w:rsidR="009F76E4" w:rsidRPr="003A68E2">
        <w:rPr>
          <w:szCs w:val="24"/>
        </w:rPr>
        <w:t>)</w:t>
      </w:r>
      <w:r w:rsidR="004C21DC" w:rsidRPr="003A68E2">
        <w:rPr>
          <w:szCs w:val="24"/>
        </w:rPr>
        <w:t xml:space="preserve">, </w:t>
      </w:r>
      <w:r w:rsidR="006D5056" w:rsidRPr="003A68E2">
        <w:rPr>
          <w:szCs w:val="24"/>
        </w:rPr>
        <w:t xml:space="preserve">the </w:t>
      </w:r>
      <w:r w:rsidR="00054A10" w:rsidRPr="003A68E2">
        <w:rPr>
          <w:szCs w:val="24"/>
        </w:rPr>
        <w:t>Movement for Oneness and Jihad in West Africa (</w:t>
      </w:r>
      <w:r w:rsidR="004C21DC" w:rsidRPr="003A68E2">
        <w:rPr>
          <w:szCs w:val="24"/>
        </w:rPr>
        <w:t>MOJWA</w:t>
      </w:r>
      <w:r w:rsidR="00054A10" w:rsidRPr="003A68E2">
        <w:rPr>
          <w:szCs w:val="24"/>
        </w:rPr>
        <w:t>),</w:t>
      </w:r>
      <w:r w:rsidR="004C21DC" w:rsidRPr="003A68E2">
        <w:rPr>
          <w:szCs w:val="24"/>
        </w:rPr>
        <w:t xml:space="preserve"> and Ansar Dine.</w:t>
      </w:r>
      <w:r w:rsidR="00E66CED" w:rsidRPr="003A68E2">
        <w:rPr>
          <w:szCs w:val="24"/>
        </w:rPr>
        <w:t xml:space="preserve"> </w:t>
      </w:r>
      <w:r w:rsidR="00CF3EDA" w:rsidRPr="003A68E2">
        <w:rPr>
          <w:szCs w:val="24"/>
        </w:rPr>
        <w:t xml:space="preserve">The </w:t>
      </w:r>
      <w:r>
        <w:rPr>
          <w:szCs w:val="24"/>
        </w:rPr>
        <w:t xml:space="preserve">occupied </w:t>
      </w:r>
      <w:r w:rsidR="00CF3EDA" w:rsidRPr="003A68E2">
        <w:rPr>
          <w:szCs w:val="24"/>
        </w:rPr>
        <w:t xml:space="preserve">territory reached as far as the Cliff of Bandiagara, </w:t>
      </w:r>
      <w:r w:rsidR="002A4FB2" w:rsidRPr="003A68E2">
        <w:rPr>
          <w:szCs w:val="24"/>
        </w:rPr>
        <w:t xml:space="preserve">an area known as the </w:t>
      </w:r>
      <w:r w:rsidR="00CF3EDA" w:rsidRPr="003A68E2">
        <w:rPr>
          <w:szCs w:val="24"/>
        </w:rPr>
        <w:t xml:space="preserve">Land of the Dogons. </w:t>
      </w:r>
      <w:r w:rsidR="004C21DC" w:rsidRPr="003A68E2">
        <w:rPr>
          <w:szCs w:val="24"/>
        </w:rPr>
        <w:t xml:space="preserve">During </w:t>
      </w:r>
      <w:r w:rsidR="00CF3EDA" w:rsidRPr="003A68E2">
        <w:rPr>
          <w:szCs w:val="24"/>
        </w:rPr>
        <w:t xml:space="preserve">the </w:t>
      </w:r>
      <w:r w:rsidR="004C21DC" w:rsidRPr="003A68E2">
        <w:rPr>
          <w:szCs w:val="24"/>
        </w:rPr>
        <w:t>occupation, the armed groups attacked and damaged cultural heritage and cultural expressions intentionally and methodically.</w:t>
      </w:r>
      <w:r>
        <w:rPr>
          <w:szCs w:val="24"/>
        </w:rPr>
        <w:t xml:space="preserve">  </w:t>
      </w:r>
      <w:r w:rsidR="004C21DC" w:rsidRPr="003A68E2">
        <w:t>The</w:t>
      </w:r>
      <w:r w:rsidR="00F803BD">
        <w:t>y</w:t>
      </w:r>
      <w:r w:rsidR="00E66CED" w:rsidRPr="003A68E2">
        <w:t xml:space="preserve"> </w:t>
      </w:r>
      <w:r w:rsidR="00F803BD">
        <w:t xml:space="preserve">also seized </w:t>
      </w:r>
      <w:r w:rsidR="004C21DC" w:rsidRPr="003A68E2">
        <w:t>Timbuktu</w:t>
      </w:r>
      <w:r w:rsidR="006D5056" w:rsidRPr="003A68E2">
        <w:t>,</w:t>
      </w:r>
      <w:r w:rsidR="004C21DC" w:rsidRPr="003A68E2">
        <w:t xml:space="preserve"> </w:t>
      </w:r>
      <w:r>
        <w:t>attack</w:t>
      </w:r>
      <w:r w:rsidR="006D5056" w:rsidRPr="003A68E2">
        <w:t>ing</w:t>
      </w:r>
      <w:r w:rsidR="004C21DC" w:rsidRPr="003A68E2">
        <w:t xml:space="preserve"> the city’s tangible and intangible heritage with the aim of spreading fear</w:t>
      </w:r>
      <w:r w:rsidR="00957411">
        <w:t xml:space="preserve"> </w:t>
      </w:r>
      <w:r w:rsidR="004C21DC" w:rsidRPr="003A68E2">
        <w:t>and promoting radical extremism</w:t>
      </w:r>
      <w:r w:rsidR="00A5140B">
        <w:t>. F</w:t>
      </w:r>
      <w:r w:rsidR="004C21DC" w:rsidRPr="003A68E2">
        <w:t xml:space="preserve">ourteen of the city’s sixteen mausoleums of the </w:t>
      </w:r>
      <w:r w:rsidR="004C21DC" w:rsidRPr="003A68E2">
        <w:lastRenderedPageBreak/>
        <w:t>saints inscribed on the World Heritage List were completely destroyed</w:t>
      </w:r>
      <w:r w:rsidR="001B4AEE">
        <w:t>,</w:t>
      </w:r>
      <w:r w:rsidR="00FF7812" w:rsidRPr="003A68E2">
        <w:t xml:space="preserve"> </w:t>
      </w:r>
      <w:r w:rsidR="00E66CED" w:rsidRPr="003A68E2">
        <w:t>t</w:t>
      </w:r>
      <w:r w:rsidR="004C21DC" w:rsidRPr="003A68E2">
        <w:t>hree mosques were severely damaged</w:t>
      </w:r>
      <w:r w:rsidR="001B4AEE">
        <w:t>,</w:t>
      </w:r>
      <w:r w:rsidR="004C21DC" w:rsidRPr="003A68E2">
        <w:t xml:space="preserve"> and 4,203 ancient manuscripts burned. Other </w:t>
      </w:r>
      <w:r w:rsidR="00CA2FEA">
        <w:t xml:space="preserve">tangible </w:t>
      </w:r>
      <w:r w:rsidR="004C21DC" w:rsidRPr="003A68E2">
        <w:t xml:space="preserve">cultural </w:t>
      </w:r>
      <w:r w:rsidR="00CA2FEA">
        <w:t xml:space="preserve">heritage was </w:t>
      </w:r>
      <w:r w:rsidR="004C21DC" w:rsidRPr="003A68E2">
        <w:t xml:space="preserve">also </w:t>
      </w:r>
      <w:r>
        <w:t>damag</w:t>
      </w:r>
      <w:r w:rsidR="004C21DC" w:rsidRPr="003A68E2">
        <w:t xml:space="preserve">ed, such as the El Farouk independence monument, </w:t>
      </w:r>
      <w:r w:rsidR="008653E4">
        <w:t xml:space="preserve">along with </w:t>
      </w:r>
      <w:r w:rsidR="00D0224D" w:rsidRPr="003A68E2">
        <w:t xml:space="preserve">much of the basic services </w:t>
      </w:r>
      <w:r w:rsidR="004C21DC" w:rsidRPr="003A68E2">
        <w:t>infrastructure and houses in the city center</w:t>
      </w:r>
      <w:r>
        <w:t>.</w:t>
      </w:r>
    </w:p>
    <w:p w14:paraId="00BFC355" w14:textId="171899C8" w:rsidR="005C7207" w:rsidRPr="005115E5" w:rsidRDefault="00F60E17" w:rsidP="003A68E2">
      <w:pPr>
        <w:pStyle w:val="BodyText"/>
        <w:spacing w:before="90" w:line="480" w:lineRule="auto"/>
        <w:ind w:right="73" w:firstLine="720"/>
      </w:pPr>
      <w:r>
        <w:t>T</w:t>
      </w:r>
      <w:r w:rsidR="004C21DC" w:rsidRPr="003A68E2">
        <w:t>he government calle</w:t>
      </w:r>
      <w:r w:rsidR="00564119">
        <w:t>d</w:t>
      </w:r>
      <w:r w:rsidR="0001164E">
        <w:t xml:space="preserve"> upon</w:t>
      </w:r>
      <w:r w:rsidR="00521173" w:rsidRPr="003A68E2">
        <w:t xml:space="preserve"> the</w:t>
      </w:r>
      <w:r w:rsidR="00FF7812" w:rsidRPr="003A68E2">
        <w:t xml:space="preserve"> </w:t>
      </w:r>
      <w:r w:rsidR="004C21DC" w:rsidRPr="003A68E2">
        <w:t>international community</w:t>
      </w:r>
      <w:r w:rsidR="009D2DBB">
        <w:t>, and UNESCO in particular,</w:t>
      </w:r>
      <w:r w:rsidR="00564119">
        <w:t xml:space="preserve"> for help</w:t>
      </w:r>
      <w:r w:rsidR="004C21DC" w:rsidRPr="003A68E2">
        <w:t xml:space="preserve">. Nevertheless, armed groups continued their destruction from 30 June to 2 July 2012, while the </w:t>
      </w:r>
      <w:r w:rsidR="0057038C" w:rsidRPr="003A68E2">
        <w:t xml:space="preserve">thirty-sixth </w:t>
      </w:r>
      <w:r w:rsidR="004C21DC" w:rsidRPr="003A68E2">
        <w:t xml:space="preserve">session of </w:t>
      </w:r>
      <w:r w:rsidR="0036386E">
        <w:t>UNESCO’s</w:t>
      </w:r>
      <w:r w:rsidR="0036386E" w:rsidRPr="003A68E2">
        <w:t xml:space="preserve"> </w:t>
      </w:r>
      <w:r w:rsidR="004C21DC" w:rsidRPr="003A68E2">
        <w:t>World Heritage Committee</w:t>
      </w:r>
      <w:r w:rsidR="0036386E">
        <w:t>, co</w:t>
      </w:r>
      <w:r w:rsidR="00564119">
        <w:t>mp</w:t>
      </w:r>
      <w:r w:rsidR="0001164E">
        <w:t>osed of</w:t>
      </w:r>
      <w:r w:rsidR="0036386E">
        <w:t xml:space="preserve"> representatives f</w:t>
      </w:r>
      <w:r w:rsidR="0001164E">
        <w:t>rom</w:t>
      </w:r>
      <w:r w:rsidR="0036386E">
        <w:t xml:space="preserve"> the organization’s member states,</w:t>
      </w:r>
      <w:r w:rsidR="004C21DC" w:rsidRPr="003A68E2">
        <w:t xml:space="preserve"> was being held in Saint Petersburg</w:t>
      </w:r>
      <w:r w:rsidR="0057038C" w:rsidRPr="003A68E2">
        <w:t xml:space="preserve"> </w:t>
      </w:r>
      <w:r w:rsidR="00564119">
        <w:t xml:space="preserve">to </w:t>
      </w:r>
      <w:r w:rsidR="004C21DC" w:rsidRPr="003A68E2">
        <w:t>rais</w:t>
      </w:r>
      <w:r w:rsidR="00564119">
        <w:t>e</w:t>
      </w:r>
      <w:r w:rsidR="004C21DC" w:rsidRPr="003A68E2">
        <w:t xml:space="preserve"> </w:t>
      </w:r>
      <w:r w:rsidR="00521173" w:rsidRPr="003A68E2">
        <w:t xml:space="preserve">awareness of the </w:t>
      </w:r>
      <w:r w:rsidR="00564119">
        <w:t>dramatic situation</w:t>
      </w:r>
      <w:r w:rsidR="0057038C" w:rsidRPr="003A68E2">
        <w:t>.</w:t>
      </w:r>
      <w:r w:rsidR="004C21DC" w:rsidRPr="003A68E2">
        <w:t xml:space="preserve"> The international community was shocked </w:t>
      </w:r>
      <w:r w:rsidR="003D24C1" w:rsidRPr="003A68E2">
        <w:t xml:space="preserve">by </w:t>
      </w:r>
      <w:r w:rsidR="004C21DC" w:rsidRPr="003A68E2">
        <w:t xml:space="preserve">the deliberate destruction of the mausoleums, </w:t>
      </w:r>
      <w:r w:rsidR="00521173" w:rsidRPr="003A68E2">
        <w:t xml:space="preserve">which </w:t>
      </w:r>
      <w:r w:rsidR="004C21DC" w:rsidRPr="003A68E2">
        <w:t>was covered widely in the</w:t>
      </w:r>
      <w:r w:rsidR="00564119">
        <w:t xml:space="preserve"> international</w:t>
      </w:r>
      <w:r w:rsidR="004C21DC" w:rsidRPr="003A68E2">
        <w:t xml:space="preserve"> media.</w:t>
      </w:r>
    </w:p>
    <w:p w14:paraId="61A0AA17" w14:textId="23E86552" w:rsidR="006D525B" w:rsidRPr="005115E5" w:rsidRDefault="0091756D" w:rsidP="003A68E2">
      <w:pPr>
        <w:pStyle w:val="BodyText"/>
        <w:spacing w:before="7" w:line="480" w:lineRule="auto"/>
        <w:ind w:right="118" w:firstLine="720"/>
        <w:rPr>
          <w:sz w:val="22"/>
        </w:rPr>
      </w:pPr>
      <w:r w:rsidRPr="003A68E2">
        <w:t>T</w:t>
      </w:r>
      <w:r w:rsidR="004C21DC" w:rsidRPr="003A68E2">
        <w:t>he World Heritage Committee</w:t>
      </w:r>
      <w:r w:rsidRPr="003A68E2">
        <w:t xml:space="preserve"> plac</w:t>
      </w:r>
      <w:r w:rsidR="003426C8">
        <w:t>ed</w:t>
      </w:r>
      <w:r w:rsidRPr="003A68E2">
        <w:t xml:space="preserve"> </w:t>
      </w:r>
      <w:r w:rsidR="004C21DC" w:rsidRPr="003A68E2">
        <w:t>the two</w:t>
      </w:r>
      <w:r w:rsidR="0092230C" w:rsidRPr="003A68E2">
        <w:t xml:space="preserve"> remaining</w:t>
      </w:r>
      <w:r w:rsidR="004C21DC" w:rsidRPr="003A68E2">
        <w:t xml:space="preserve"> World Heritage </w:t>
      </w:r>
      <w:r w:rsidR="0092230C" w:rsidRPr="003A68E2">
        <w:t>S</w:t>
      </w:r>
      <w:r w:rsidR="004C21DC" w:rsidRPr="003A68E2">
        <w:t xml:space="preserve">ites on </w:t>
      </w:r>
      <w:r w:rsidRPr="003A68E2">
        <w:t xml:space="preserve">UNESCO’s </w:t>
      </w:r>
      <w:r w:rsidR="004C21DC" w:rsidRPr="003A68E2">
        <w:t xml:space="preserve">List of World Heritage in Danger </w:t>
      </w:r>
      <w:r w:rsidR="009D7781">
        <w:t xml:space="preserve">and </w:t>
      </w:r>
      <w:r w:rsidR="004C21DC" w:rsidRPr="003A68E2">
        <w:t>appeal</w:t>
      </w:r>
      <w:r w:rsidR="003426C8">
        <w:t>ed</w:t>
      </w:r>
      <w:r w:rsidR="004C21DC" w:rsidRPr="003A68E2">
        <w:t xml:space="preserve"> to the international community to assist the Malian government and affected local communities.</w:t>
      </w:r>
      <w:r w:rsidRPr="005115E5">
        <w:rPr>
          <w:sz w:val="26"/>
        </w:rPr>
        <w:t xml:space="preserve"> </w:t>
      </w:r>
      <w:r w:rsidR="004C21DC" w:rsidRPr="003A68E2">
        <w:t xml:space="preserve">UNESCO </w:t>
      </w:r>
      <w:r w:rsidR="003F715D">
        <w:t xml:space="preserve">also </w:t>
      </w:r>
      <w:r w:rsidR="0078616C">
        <w:t>launc</w:t>
      </w:r>
      <w:r w:rsidR="000F1A1A">
        <w:t>h</w:t>
      </w:r>
      <w:r w:rsidR="004C21DC" w:rsidRPr="003A68E2">
        <w:t xml:space="preserve">ed a series of initiatives in response to </w:t>
      </w:r>
      <w:r w:rsidRPr="003A68E2">
        <w:t xml:space="preserve">the calls by </w:t>
      </w:r>
      <w:r w:rsidR="004C21DC" w:rsidRPr="003A68E2">
        <w:t>Mali and</w:t>
      </w:r>
      <w:r w:rsidR="000F1A1A">
        <w:t xml:space="preserve"> </w:t>
      </w:r>
      <w:r w:rsidR="004C21DC" w:rsidRPr="003A68E2">
        <w:t xml:space="preserve">the </w:t>
      </w:r>
      <w:r w:rsidR="0001164E">
        <w:t>C</w:t>
      </w:r>
      <w:r w:rsidR="004C21DC" w:rsidRPr="003A68E2">
        <w:t xml:space="preserve">ommittee. </w:t>
      </w:r>
      <w:r w:rsidRPr="003A68E2">
        <w:t>F</w:t>
      </w:r>
      <w:r w:rsidR="004C21DC" w:rsidRPr="003A68E2">
        <w:t xml:space="preserve">irst was the organization of an international </w:t>
      </w:r>
      <w:r w:rsidR="004A0DD1">
        <w:t xml:space="preserve">experts </w:t>
      </w:r>
      <w:r w:rsidR="004C21DC" w:rsidRPr="003A68E2">
        <w:t xml:space="preserve">meeting, </w:t>
      </w:r>
      <w:r w:rsidRPr="003A68E2">
        <w:t xml:space="preserve">held </w:t>
      </w:r>
      <w:r w:rsidR="004C21DC" w:rsidRPr="003A68E2">
        <w:t xml:space="preserve">on 18 February 2013, which resulted in the adoption of a </w:t>
      </w:r>
      <w:r w:rsidR="0041287D" w:rsidRPr="003A68E2">
        <w:rPr>
          <w:i/>
          <w:iCs/>
        </w:rPr>
        <w:t xml:space="preserve">Final Report and </w:t>
      </w:r>
      <w:r w:rsidR="004C21DC" w:rsidRPr="003A68E2">
        <w:rPr>
          <w:i/>
          <w:iCs/>
        </w:rPr>
        <w:t>Action Plan</w:t>
      </w:r>
      <w:r w:rsidR="006D525B" w:rsidRPr="003A68E2">
        <w:rPr>
          <w:i/>
          <w:iCs/>
        </w:rPr>
        <w:t xml:space="preserve"> for the</w:t>
      </w:r>
      <w:r w:rsidR="00FF7812" w:rsidRPr="003A68E2">
        <w:rPr>
          <w:i/>
          <w:iCs/>
        </w:rPr>
        <w:t xml:space="preserve"> </w:t>
      </w:r>
      <w:r w:rsidR="006D525B" w:rsidRPr="003A68E2">
        <w:rPr>
          <w:i/>
          <w:iCs/>
        </w:rPr>
        <w:t>Rehabilitation of Cultural Heritage and the Safeguarding of Ancient Manuscripts of Mali</w:t>
      </w:r>
      <w:r w:rsidR="006D525B" w:rsidRPr="003A68E2">
        <w:t>.</w:t>
      </w:r>
      <w:r w:rsidR="0041287D" w:rsidRPr="003A68E2">
        <w:rPr>
          <w:rStyle w:val="EndnoteReference"/>
        </w:rPr>
        <w:endnoteReference w:id="1"/>
      </w:r>
      <w:r w:rsidR="006D525B" w:rsidRPr="003A68E2">
        <w:t xml:space="preserve"> This </w:t>
      </w:r>
      <w:r w:rsidR="00DB496F" w:rsidRPr="003A68E2">
        <w:t>enabled</w:t>
      </w:r>
      <w:r w:rsidR="006D525B" w:rsidRPr="003A68E2">
        <w:t xml:space="preserve"> planning </w:t>
      </w:r>
      <w:r w:rsidR="00DB496F" w:rsidRPr="003A68E2">
        <w:t xml:space="preserve">for </w:t>
      </w:r>
      <w:r w:rsidR="006D525B" w:rsidRPr="003A68E2">
        <w:t xml:space="preserve">the reconstruction of the destroyed mausoleums, the rehabilitation of the Sidi Yahia and Djingareyber Mosques, </w:t>
      </w:r>
      <w:r w:rsidR="00AA2F67" w:rsidRPr="003A68E2">
        <w:t xml:space="preserve">and </w:t>
      </w:r>
      <w:r w:rsidR="006D525B" w:rsidRPr="003A68E2">
        <w:t xml:space="preserve">the </w:t>
      </w:r>
      <w:r w:rsidR="000F1A1A">
        <w:t xml:space="preserve">conservation and </w:t>
      </w:r>
      <w:r w:rsidR="006D525B" w:rsidRPr="003A68E2">
        <w:t>safeguarding of ancient manuscripts.</w:t>
      </w:r>
    </w:p>
    <w:p w14:paraId="25C9193B" w14:textId="3119E4AE" w:rsidR="00A2665B" w:rsidRPr="005115E5" w:rsidRDefault="003349E9" w:rsidP="003A68E2">
      <w:pPr>
        <w:pStyle w:val="BodyText"/>
        <w:spacing w:before="1" w:line="480" w:lineRule="auto"/>
        <w:ind w:firstLine="720"/>
      </w:pPr>
      <w:r w:rsidRPr="003A68E2">
        <w:t>UNESCO</w:t>
      </w:r>
      <w:r w:rsidR="00FF7812" w:rsidRPr="003A68E2">
        <w:t xml:space="preserve"> </w:t>
      </w:r>
      <w:r w:rsidR="006D525B" w:rsidRPr="003A68E2">
        <w:t xml:space="preserve">also launched an awareness-raising campaign </w:t>
      </w:r>
      <w:r w:rsidR="000F1A1A">
        <w:t>regarding</w:t>
      </w:r>
      <w:r w:rsidR="006D525B" w:rsidRPr="003A68E2">
        <w:t xml:space="preserve"> the cultural</w:t>
      </w:r>
      <w:bookmarkStart w:id="1" w:name="_bookmark0"/>
      <w:bookmarkStart w:id="2" w:name="_bookmark1"/>
      <w:bookmarkEnd w:id="1"/>
      <w:bookmarkEnd w:id="2"/>
      <w:r w:rsidR="006D525B" w:rsidRPr="003A68E2">
        <w:t xml:space="preserve"> significance </w:t>
      </w:r>
      <w:r w:rsidR="000F1A1A">
        <w:t xml:space="preserve">of the mausoleums </w:t>
      </w:r>
      <w:r w:rsidR="00900771" w:rsidRPr="006A073D">
        <w:t xml:space="preserve">to </w:t>
      </w:r>
      <w:r w:rsidR="000F1A1A">
        <w:t xml:space="preserve">the social and religious life of </w:t>
      </w:r>
      <w:r w:rsidR="00900771" w:rsidRPr="006A073D">
        <w:t>Timbuktu</w:t>
      </w:r>
      <w:r w:rsidR="009C656E">
        <w:t>'s</w:t>
      </w:r>
      <w:r w:rsidR="00900771" w:rsidRPr="006A073D">
        <w:t xml:space="preserve"> communities</w:t>
      </w:r>
      <w:r w:rsidR="006D525B" w:rsidRPr="003A68E2">
        <w:t xml:space="preserve">. The campaign contributed to the adoption of a </w:t>
      </w:r>
      <w:r w:rsidR="006250AB" w:rsidRPr="003A68E2">
        <w:t xml:space="preserve">series </w:t>
      </w:r>
      <w:r w:rsidR="006D525B" w:rsidRPr="003A68E2">
        <w:t xml:space="preserve">of resolutions by the </w:t>
      </w:r>
      <w:r w:rsidR="006250AB" w:rsidRPr="003A68E2">
        <w:t xml:space="preserve">UN </w:t>
      </w:r>
      <w:r w:rsidR="006D525B" w:rsidRPr="003A68E2">
        <w:t>Security Council</w:t>
      </w:r>
      <w:r w:rsidR="006250AB" w:rsidRPr="003A68E2">
        <w:t xml:space="preserve"> </w:t>
      </w:r>
      <w:r w:rsidR="006D525B" w:rsidRPr="003A68E2">
        <w:t>strongly condemn</w:t>
      </w:r>
      <w:r w:rsidR="008C79F9">
        <w:t>ing</w:t>
      </w:r>
      <w:r w:rsidR="006D525B" w:rsidRPr="003A68E2">
        <w:t xml:space="preserve"> the</w:t>
      </w:r>
      <w:bookmarkStart w:id="3" w:name="_bookmark5"/>
      <w:bookmarkEnd w:id="3"/>
      <w:r w:rsidR="006D525B" w:rsidRPr="003A68E2">
        <w:t xml:space="preserve"> destruction of Malian cultural and religious sites and urg</w:t>
      </w:r>
      <w:r w:rsidR="008C79F9">
        <w:t>ing</w:t>
      </w:r>
      <w:r w:rsidR="006D525B" w:rsidRPr="003A68E2">
        <w:t xml:space="preserve"> the international</w:t>
      </w:r>
      <w:bookmarkStart w:id="4" w:name="_bookmark6"/>
      <w:bookmarkEnd w:id="4"/>
      <w:r w:rsidR="006D525B" w:rsidRPr="003A68E2">
        <w:t xml:space="preserve"> </w:t>
      </w:r>
      <w:r w:rsidR="006D525B" w:rsidRPr="003A68E2">
        <w:lastRenderedPageBreak/>
        <w:t xml:space="preserve">community to take appropriate </w:t>
      </w:r>
      <w:r w:rsidR="000F1A1A">
        <w:t>action</w:t>
      </w:r>
      <w:r w:rsidR="006D525B" w:rsidRPr="003A68E2">
        <w:t xml:space="preserve">s to ensure the protection of </w:t>
      </w:r>
      <w:r w:rsidR="00683D80">
        <w:t xml:space="preserve">the country’s </w:t>
      </w:r>
      <w:r w:rsidR="00CA2FEA">
        <w:t xml:space="preserve">tangible </w:t>
      </w:r>
      <w:r w:rsidR="006D525B" w:rsidRPr="003A68E2">
        <w:t xml:space="preserve">cultural </w:t>
      </w:r>
      <w:r w:rsidR="00CA2FEA">
        <w:t>heritage</w:t>
      </w:r>
      <w:r w:rsidR="006D525B" w:rsidRPr="003A68E2">
        <w:t>. Among th</w:t>
      </w:r>
      <w:r w:rsidR="000F1A1A">
        <w:t>ese actions</w:t>
      </w:r>
      <w:r w:rsidR="006D525B" w:rsidRPr="003A68E2">
        <w:t xml:space="preserve"> was </w:t>
      </w:r>
      <w:r w:rsidR="006250AB" w:rsidRPr="003A68E2">
        <w:t>r</w:t>
      </w:r>
      <w:r w:rsidR="006D525B" w:rsidRPr="003A68E2">
        <w:t xml:space="preserve">esolution 2100 </w:t>
      </w:r>
      <w:r w:rsidR="006250AB" w:rsidRPr="003A68E2">
        <w:t xml:space="preserve">of </w:t>
      </w:r>
      <w:r w:rsidR="006D525B" w:rsidRPr="003A68E2">
        <w:t>25 April 2013</w:t>
      </w:r>
      <w:r w:rsidR="0079474C">
        <w:t>.</w:t>
      </w:r>
      <w:r w:rsidR="00C256CA">
        <w:rPr>
          <w:rStyle w:val="EndnoteReference"/>
        </w:rPr>
        <w:endnoteReference w:id="2"/>
      </w:r>
      <w:r w:rsidR="0079474C">
        <w:t xml:space="preserve"> This</w:t>
      </w:r>
      <w:r w:rsidR="006D525B" w:rsidRPr="003A68E2">
        <w:t xml:space="preserve"> established the United Nations Multidimensional Integrated Stabilization Mission in Mali (MINUSMA)</w:t>
      </w:r>
      <w:r w:rsidR="0079474C">
        <w:t xml:space="preserve"> and </w:t>
      </w:r>
      <w:r w:rsidR="00CF54FD">
        <w:t xml:space="preserve">outlined </w:t>
      </w:r>
      <w:r w:rsidR="006D525B" w:rsidRPr="003A68E2">
        <w:t xml:space="preserve">support </w:t>
      </w:r>
      <w:r w:rsidR="0079474C">
        <w:t>for</w:t>
      </w:r>
      <w:r w:rsidR="006D525B" w:rsidRPr="003A68E2">
        <w:t xml:space="preserve"> the preservation of cultural sites in partnership with UNESCO. Th</w:t>
      </w:r>
      <w:r w:rsidR="00B06FD0" w:rsidRPr="003A68E2">
        <w:t>e</w:t>
      </w:r>
      <w:r w:rsidR="006D525B" w:rsidRPr="003A68E2">
        <w:t xml:space="preserve"> resolution also recognized the important role </w:t>
      </w:r>
      <w:r w:rsidR="00B06FD0" w:rsidRPr="003A68E2">
        <w:t>p</w:t>
      </w:r>
      <w:r w:rsidR="006D525B" w:rsidRPr="003A68E2">
        <w:t>layed by</w:t>
      </w:r>
      <w:r w:rsidR="00FF7812" w:rsidRPr="003A68E2">
        <w:t xml:space="preserve"> </w:t>
      </w:r>
      <w:r w:rsidR="006D525B" w:rsidRPr="003A68E2">
        <w:t>local population</w:t>
      </w:r>
      <w:r w:rsidR="0079474C">
        <w:t>s</w:t>
      </w:r>
      <w:r w:rsidR="006D525B" w:rsidRPr="003A68E2">
        <w:t xml:space="preserve"> in facilitating efforts to </w:t>
      </w:r>
      <w:r w:rsidR="00CF54FD">
        <w:t xml:space="preserve">establish </w:t>
      </w:r>
      <w:r w:rsidR="0079474C">
        <w:t xml:space="preserve">a </w:t>
      </w:r>
      <w:r w:rsidR="006D525B" w:rsidRPr="003A68E2">
        <w:t>national dialogue to resolve</w:t>
      </w:r>
      <w:r w:rsidR="00FF7812" w:rsidRPr="003A68E2">
        <w:t xml:space="preserve"> </w:t>
      </w:r>
      <w:r w:rsidR="006D525B" w:rsidRPr="003A68E2">
        <w:t xml:space="preserve">the Malian conflict. </w:t>
      </w:r>
      <w:r w:rsidR="0079010D">
        <w:t>T</w:t>
      </w:r>
      <w:r w:rsidR="006D525B" w:rsidRPr="003A68E2">
        <w:t>hese two</w:t>
      </w:r>
      <w:r w:rsidR="0079474C">
        <w:t xml:space="preserve"> </w:t>
      </w:r>
      <w:r w:rsidR="00A5140B">
        <w:t>aspect</w:t>
      </w:r>
      <w:r w:rsidR="006D525B" w:rsidRPr="003A68E2">
        <w:t xml:space="preserve">s of the resolution </w:t>
      </w:r>
      <w:r w:rsidR="0001164E">
        <w:t>positioned the</w:t>
      </w:r>
      <w:r w:rsidR="006D525B" w:rsidRPr="003A68E2">
        <w:t xml:space="preserve"> reconstruction of the mausoleums in Timbuktu as</w:t>
      </w:r>
      <w:r w:rsidR="001B1618">
        <w:t xml:space="preserve"> a</w:t>
      </w:r>
      <w:r w:rsidR="006D525B" w:rsidRPr="003A68E2">
        <w:t xml:space="preserve"> </w:t>
      </w:r>
      <w:r w:rsidR="0079474C">
        <w:t>part of the</w:t>
      </w:r>
      <w:r w:rsidR="006D525B" w:rsidRPr="003A68E2">
        <w:t xml:space="preserve"> peacebuilding process from the community level to the local, national</w:t>
      </w:r>
      <w:r w:rsidR="00B06FD0" w:rsidRPr="003A68E2">
        <w:t>,</w:t>
      </w:r>
      <w:r w:rsidR="006D525B" w:rsidRPr="003A68E2">
        <w:t xml:space="preserve"> and international levels.</w:t>
      </w:r>
    </w:p>
    <w:p w14:paraId="6127701F" w14:textId="2550209C" w:rsidR="006D525B" w:rsidRPr="005115E5" w:rsidRDefault="006D525B" w:rsidP="003A68E2">
      <w:pPr>
        <w:pStyle w:val="BodyText"/>
        <w:spacing w:before="1" w:line="480" w:lineRule="auto"/>
        <w:ind w:firstLine="720"/>
      </w:pPr>
      <w:r w:rsidRPr="003A68E2">
        <w:t xml:space="preserve">UNESCO also cooperated with the International Criminal Court </w:t>
      </w:r>
      <w:r w:rsidR="00E2090D" w:rsidRPr="003A68E2">
        <w:t xml:space="preserve">(ICC) </w:t>
      </w:r>
      <w:r w:rsidRPr="003A68E2">
        <w:t>to facilitate the investigation o</w:t>
      </w:r>
      <w:r w:rsidR="006F455A" w:rsidRPr="003A68E2">
        <w:t>f</w:t>
      </w:r>
      <w:r w:rsidRPr="003A68E2">
        <w:t xml:space="preserve"> </w:t>
      </w:r>
      <w:r w:rsidR="00C6149A">
        <w:t>the</w:t>
      </w:r>
      <w:r w:rsidR="006F455A" w:rsidRPr="003A68E2">
        <w:t xml:space="preserve"> </w:t>
      </w:r>
      <w:r w:rsidRPr="003A68E2">
        <w:t>intentional destruction</w:t>
      </w:r>
      <w:r w:rsidR="0079474C">
        <w:t xml:space="preserve"> of the mausoleums. </w:t>
      </w:r>
      <w:r w:rsidRPr="003A68E2">
        <w:t xml:space="preserve"> </w:t>
      </w:r>
      <w:r w:rsidR="006F455A" w:rsidRPr="003A68E2">
        <w:t xml:space="preserve">This </w:t>
      </w:r>
      <w:r w:rsidRPr="003A68E2">
        <w:t xml:space="preserve">resulted in the confirmation of </w:t>
      </w:r>
      <w:r w:rsidR="0079474C">
        <w:t xml:space="preserve">war crime </w:t>
      </w:r>
      <w:r w:rsidRPr="003A68E2">
        <w:t xml:space="preserve">charges against </w:t>
      </w:r>
      <w:r w:rsidR="005E5E23" w:rsidRPr="003A68E2">
        <w:t>Ahmad a</w:t>
      </w:r>
      <w:r w:rsidRPr="003A68E2">
        <w:t>l</w:t>
      </w:r>
      <w:r w:rsidR="005E5E23" w:rsidRPr="003A68E2">
        <w:t>-</w:t>
      </w:r>
      <w:r w:rsidRPr="003A68E2">
        <w:t xml:space="preserve">Faqi </w:t>
      </w:r>
      <w:r w:rsidR="005E5E23" w:rsidRPr="003A68E2">
        <w:t>a</w:t>
      </w:r>
      <w:r w:rsidRPr="003A68E2">
        <w:t>l</w:t>
      </w:r>
      <w:r w:rsidR="005E5E23" w:rsidRPr="003A68E2">
        <w:t>-</w:t>
      </w:r>
      <w:r w:rsidRPr="003A68E2">
        <w:t xml:space="preserve">Mahdi, </w:t>
      </w:r>
      <w:r w:rsidR="005D306A" w:rsidRPr="003A68E2">
        <w:t xml:space="preserve">a </w:t>
      </w:r>
      <w:r w:rsidRPr="003A68E2">
        <w:t>member of Ansar Dine, who was sentenced</w:t>
      </w:r>
      <w:r w:rsidR="00985AC8">
        <w:t xml:space="preserve"> </w:t>
      </w:r>
      <w:r w:rsidR="00985AC8" w:rsidRPr="003A68E2">
        <w:t>on 27 September 2016</w:t>
      </w:r>
      <w:r w:rsidRPr="003A68E2">
        <w:t xml:space="preserve"> to nine years</w:t>
      </w:r>
      <w:r w:rsidR="0079474C">
        <w:t xml:space="preserve"> in</w:t>
      </w:r>
      <w:r w:rsidRPr="003A68E2">
        <w:t xml:space="preserve"> prison for intentionally directing attacks against historic</w:t>
      </w:r>
      <w:r w:rsidR="00FB0A37" w:rsidRPr="003A68E2">
        <w:t>al</w:t>
      </w:r>
      <w:r w:rsidRPr="003A68E2">
        <w:t xml:space="preserve"> monuments and buildings, including nine mausoleums and one mosque in Timbuktu.</w:t>
      </w:r>
    </w:p>
    <w:p w14:paraId="6B2E4157" w14:textId="77777777" w:rsidR="006D525B" w:rsidRPr="003A68E2" w:rsidRDefault="006D525B">
      <w:pPr>
        <w:pStyle w:val="Heading1"/>
        <w:spacing w:line="480" w:lineRule="auto"/>
        <w:ind w:firstLine="720"/>
      </w:pPr>
    </w:p>
    <w:p w14:paraId="21081952" w14:textId="382A1416" w:rsidR="006D525B" w:rsidRPr="005115E5" w:rsidRDefault="006D525B" w:rsidP="003A68E2">
      <w:pPr>
        <w:pStyle w:val="Heading2"/>
        <w:spacing w:line="480" w:lineRule="auto"/>
        <w:rPr>
          <w:b/>
        </w:rPr>
      </w:pPr>
      <w:r w:rsidRPr="003A68E2">
        <w:t>Understanding Timbuktu’s Cultural Heritage</w:t>
      </w:r>
    </w:p>
    <w:p w14:paraId="4A29D245" w14:textId="376FF6E3" w:rsidR="006D525B" w:rsidRDefault="006D525B" w:rsidP="003A68E2">
      <w:pPr>
        <w:pStyle w:val="BodyText"/>
        <w:spacing w:before="1" w:line="480" w:lineRule="auto"/>
      </w:pPr>
      <w:r w:rsidRPr="003A68E2">
        <w:t xml:space="preserve">Timbuktu is said to have been founded toward the end of </w:t>
      </w:r>
      <w:r w:rsidR="00A5140B">
        <w:t xml:space="preserve">the </w:t>
      </w:r>
      <w:r w:rsidRPr="003A68E2">
        <w:t xml:space="preserve">Hegira </w:t>
      </w:r>
      <w:r w:rsidR="00A5140B">
        <w:t>(Muhammad’s departure from Mecca to Medina in 622</w:t>
      </w:r>
      <w:r w:rsidR="002259C3">
        <w:t>)</w:t>
      </w:r>
      <w:r w:rsidRPr="003A68E2">
        <w:t xml:space="preserve"> by a group of Imakcharen Tuaregs</w:t>
      </w:r>
      <w:r w:rsidR="001E440B" w:rsidRPr="003A68E2">
        <w:t>, a regional tribal group</w:t>
      </w:r>
      <w:r w:rsidRPr="003A68E2">
        <w:t xml:space="preserve">. </w:t>
      </w:r>
      <w:r w:rsidR="00604BB5" w:rsidRPr="003A68E2">
        <w:t xml:space="preserve">With a </w:t>
      </w:r>
      <w:r w:rsidRPr="003A68E2">
        <w:t xml:space="preserve">remarkable geostrategic position </w:t>
      </w:r>
      <w:r w:rsidR="00CD6289" w:rsidRPr="003A68E2">
        <w:t xml:space="preserve">at </w:t>
      </w:r>
      <w:r w:rsidR="002E1884">
        <w:t>the</w:t>
      </w:r>
      <w:r w:rsidRPr="003A68E2">
        <w:t xml:space="preserve"> crossroads between </w:t>
      </w:r>
      <w:r w:rsidR="00CD6289" w:rsidRPr="003A68E2">
        <w:t>s</w:t>
      </w:r>
      <w:r w:rsidRPr="003A68E2">
        <w:t>ub-Saharan and North Africa and along the Niger River, the city develop</w:t>
      </w:r>
      <w:r w:rsidR="00BE445C" w:rsidRPr="003A68E2">
        <w:t>ed</w:t>
      </w:r>
      <w:r w:rsidRPr="003A68E2">
        <w:t xml:space="preserve"> </w:t>
      </w:r>
      <w:r w:rsidR="00BE445C" w:rsidRPr="003A68E2">
        <w:t xml:space="preserve">as part of the </w:t>
      </w:r>
      <w:r w:rsidRPr="003A68E2">
        <w:t xml:space="preserve">trans-Saharan trade route, </w:t>
      </w:r>
      <w:r w:rsidR="00604BB5" w:rsidRPr="003A68E2">
        <w:t>becoming</w:t>
      </w:r>
      <w:r w:rsidRPr="003A68E2">
        <w:t xml:space="preserve"> the most prestigious intellectual and scientific center </w:t>
      </w:r>
      <w:r w:rsidR="00C52761" w:rsidRPr="003A68E2">
        <w:t xml:space="preserve">in what is known as </w:t>
      </w:r>
      <w:r w:rsidRPr="003A68E2">
        <w:t>the African Middle Ages.</w:t>
      </w:r>
      <w:r w:rsidR="00A5140B">
        <w:t>(1400</w:t>
      </w:r>
      <w:r w:rsidR="002259C3">
        <w:t>–</w:t>
      </w:r>
      <w:r w:rsidR="00A5140B">
        <w:t>1800)</w:t>
      </w:r>
      <w:r w:rsidR="00BF63AC">
        <w:t>.</w:t>
      </w:r>
      <w:r w:rsidRPr="003A68E2">
        <w:t xml:space="preserve"> Its prestigious Koranic University of Sankoré attracted numerous scholars, explorers</w:t>
      </w:r>
      <w:r w:rsidR="00C52761" w:rsidRPr="003A68E2">
        <w:t>,</w:t>
      </w:r>
      <w:r w:rsidRPr="003A68E2">
        <w:t xml:space="preserve"> and </w:t>
      </w:r>
      <w:r w:rsidR="00C52761" w:rsidRPr="003A68E2">
        <w:t xml:space="preserve">the </w:t>
      </w:r>
      <w:r w:rsidRPr="003A68E2">
        <w:t>adventurous, and</w:t>
      </w:r>
      <w:r w:rsidR="00A5140B">
        <w:t xml:space="preserve"> b</w:t>
      </w:r>
      <w:r w:rsidRPr="003A68E2">
        <w:t xml:space="preserve">ecame the intellectual </w:t>
      </w:r>
      <w:r w:rsidR="00A5140B">
        <w:t>measure o</w:t>
      </w:r>
      <w:r w:rsidRPr="003A68E2">
        <w:t xml:space="preserve">f West Africa as well as an important center for </w:t>
      </w:r>
      <w:r w:rsidRPr="003A68E2">
        <w:lastRenderedPageBreak/>
        <w:t xml:space="preserve">the propagation of Islam throughout Africa in the </w:t>
      </w:r>
      <w:r w:rsidR="000A2B46" w:rsidRPr="003A68E2">
        <w:t xml:space="preserve">fifteenth </w:t>
      </w:r>
      <w:r w:rsidRPr="003A68E2">
        <w:t xml:space="preserve">and </w:t>
      </w:r>
      <w:r w:rsidR="000A2B46" w:rsidRPr="003A68E2">
        <w:t xml:space="preserve">sixteenth </w:t>
      </w:r>
      <w:r w:rsidRPr="003A68E2">
        <w:t>centuries. Its three great mosques at Djingareyber, Sankoré</w:t>
      </w:r>
      <w:r w:rsidR="000A2B46" w:rsidRPr="003A68E2">
        <w:t>,</w:t>
      </w:r>
      <w:r w:rsidRPr="003A68E2">
        <w:t xml:space="preserve"> and Sidi Yahia recall Timbuktu’s golden age </w:t>
      </w:r>
      <w:r w:rsidR="00EF719B">
        <w:t xml:space="preserve">during the fourteenth and </w:t>
      </w:r>
      <w:r w:rsidR="00BF63AC">
        <w:t>fifteenth centuries</w:t>
      </w:r>
      <w:r w:rsidR="00FB2AA3">
        <w:t xml:space="preserve"> </w:t>
      </w:r>
      <w:r w:rsidRPr="003A68E2">
        <w:rPr>
          <w:b/>
        </w:rPr>
        <w:t xml:space="preserve">(fig. </w:t>
      </w:r>
      <w:r w:rsidR="000A2B46" w:rsidRPr="003A68E2">
        <w:rPr>
          <w:b/>
        </w:rPr>
        <w:t>14.</w:t>
      </w:r>
      <w:r w:rsidRPr="003A68E2">
        <w:rPr>
          <w:b/>
        </w:rPr>
        <w:t>1)</w:t>
      </w:r>
      <w:r w:rsidRPr="003A68E2">
        <w:t>.</w:t>
      </w:r>
      <w:r w:rsidR="00BF63AC">
        <w:rPr>
          <w:rStyle w:val="EndnoteReference"/>
        </w:rPr>
        <w:endnoteReference w:id="3"/>
      </w:r>
      <w:r w:rsidRPr="003A68E2">
        <w:t xml:space="preserve"> </w:t>
      </w:r>
    </w:p>
    <w:p w14:paraId="5D5F2453" w14:textId="0F2C6117" w:rsidR="00BA3B5B" w:rsidRPr="00BA3B5B" w:rsidRDefault="00BA3B5B" w:rsidP="00BA3B5B">
      <w:pPr>
        <w:pStyle w:val="BodyText"/>
        <w:spacing w:before="69" w:line="480" w:lineRule="auto"/>
        <w:ind w:right="297" w:firstLine="720"/>
      </w:pPr>
      <w:r>
        <w:t xml:space="preserve">Established </w:t>
      </w:r>
      <w:r w:rsidRPr="003A68E2">
        <w:t xml:space="preserve">as a municipality in 1958, </w:t>
      </w:r>
      <w:r>
        <w:t>Timbuktu</w:t>
      </w:r>
      <w:r w:rsidRPr="003A68E2">
        <w:t xml:space="preserve"> covers an area of nearly twenty-one square kilometers.</w:t>
      </w:r>
      <w:r w:rsidRPr="003A68E2">
        <w:rPr>
          <w:rStyle w:val="EndnoteReference"/>
        </w:rPr>
        <w:endnoteReference w:id="4"/>
      </w:r>
      <w:r w:rsidRPr="003A68E2">
        <w:t xml:space="preserve"> Before its occupation by extremist groups in 2012, it had about 9,500 houses, and a very diverse and cosmopolitan population comprising Songhoï, Tuareg, Bozo, Somonos, Moorish, Arab, Bambara, Fulani, and Dogon communities, constituting an estimated 54,500 people. It is located mainly along Niger River wetlands, an area well suited to agriculture. </w:t>
      </w:r>
    </w:p>
    <w:p w14:paraId="5F4960D1" w14:textId="0EF9FBC3" w:rsidR="00FB5FDA" w:rsidRDefault="006D525B" w:rsidP="003A68E2">
      <w:pPr>
        <w:pStyle w:val="BodyText"/>
        <w:spacing w:line="480" w:lineRule="auto"/>
        <w:ind w:firstLine="720"/>
      </w:pPr>
      <w:r w:rsidRPr="003A68E2">
        <w:t xml:space="preserve">Timbuktu’s old city, also called Medina, </w:t>
      </w:r>
      <w:r w:rsidR="00B00983">
        <w:t>with</w:t>
      </w:r>
      <w:r w:rsidRPr="003A68E2">
        <w:t xml:space="preserve"> an area of </w:t>
      </w:r>
      <w:r w:rsidR="001F51E1" w:rsidRPr="003A68E2">
        <w:t xml:space="preserve">fifty-four </w:t>
      </w:r>
      <w:r w:rsidR="0046065C" w:rsidRPr="003A68E2">
        <w:t>hectares,</w:t>
      </w:r>
      <w:r w:rsidRPr="003A68E2">
        <w:t xml:space="preserve"> display</w:t>
      </w:r>
      <w:r w:rsidR="002A29A3">
        <w:t>s</w:t>
      </w:r>
      <w:r w:rsidRPr="003A68E2">
        <w:t xml:space="preserve"> a compact</w:t>
      </w:r>
      <w:r w:rsidR="0046065C" w:rsidRPr="003A68E2">
        <w:t>,</w:t>
      </w:r>
      <w:r w:rsidRPr="003A68E2">
        <w:t xml:space="preserve"> irregular plan</w:t>
      </w:r>
      <w:r w:rsidR="002A29A3">
        <w:t xml:space="preserve">, </w:t>
      </w:r>
      <w:r w:rsidR="00B47E24">
        <w:t>includ</w:t>
      </w:r>
      <w:r w:rsidR="00B00983">
        <w:t>ing</w:t>
      </w:r>
      <w:r w:rsidR="00B47E24">
        <w:t xml:space="preserve"> </w:t>
      </w:r>
      <w:r w:rsidRPr="003A68E2">
        <w:t>the Badjindé, Sankoré, Djingareyber</w:t>
      </w:r>
      <w:r w:rsidR="0046065C" w:rsidRPr="003A68E2">
        <w:t>,</w:t>
      </w:r>
      <w:r w:rsidRPr="003A68E2">
        <w:t xml:space="preserve"> and Sareikena districts</w:t>
      </w:r>
      <w:r w:rsidR="008E44CF" w:rsidRPr="003A68E2">
        <w:t xml:space="preserve">, </w:t>
      </w:r>
      <w:r w:rsidR="00B00983">
        <w:t>and</w:t>
      </w:r>
      <w:r w:rsidR="00B47E24">
        <w:t xml:space="preserve"> serv</w:t>
      </w:r>
      <w:r w:rsidR="00B00983">
        <w:t>es</w:t>
      </w:r>
      <w:r w:rsidR="00B47E24">
        <w:t xml:space="preserve"> as </w:t>
      </w:r>
      <w:r w:rsidRPr="003A68E2">
        <w:t>an administrative center</w:t>
      </w:r>
      <w:r w:rsidR="008E44CF" w:rsidRPr="003A68E2">
        <w:t>.</w:t>
      </w:r>
      <w:r w:rsidRPr="003A68E2">
        <w:t xml:space="preserve"> </w:t>
      </w:r>
      <w:r w:rsidR="008E44CF" w:rsidRPr="003A68E2">
        <w:t xml:space="preserve">It </w:t>
      </w:r>
      <w:r w:rsidRPr="003A68E2">
        <w:t>evolv</w:t>
      </w:r>
      <w:r w:rsidR="008E44CF" w:rsidRPr="003A68E2">
        <w:t>ed</w:t>
      </w:r>
      <w:r w:rsidRPr="003A68E2">
        <w:t xml:space="preserve"> around </w:t>
      </w:r>
      <w:r w:rsidR="00787CF3">
        <w:t xml:space="preserve">the </w:t>
      </w:r>
      <w:r w:rsidR="008E44CF" w:rsidRPr="003A68E2">
        <w:t xml:space="preserve">city’s </w:t>
      </w:r>
      <w:r w:rsidRPr="003A68E2">
        <w:t>main public square</w:t>
      </w:r>
      <w:r w:rsidR="008E44CF" w:rsidRPr="003A68E2">
        <w:t>,</w:t>
      </w:r>
      <w:r w:rsidRPr="003A68E2">
        <w:t xml:space="preserve"> Al Farouk</w:t>
      </w:r>
      <w:r w:rsidR="008E44CF" w:rsidRPr="003A68E2">
        <w:t>, now located at its entrance</w:t>
      </w:r>
      <w:r w:rsidRPr="003A68E2">
        <w:t xml:space="preserve">. </w:t>
      </w:r>
      <w:r w:rsidR="00AC0D17" w:rsidRPr="003A68E2">
        <w:t xml:space="preserve">It largely consists of </w:t>
      </w:r>
      <w:r w:rsidRPr="003A68E2">
        <w:t>one to two</w:t>
      </w:r>
      <w:r w:rsidR="00AC0D17" w:rsidRPr="003A68E2">
        <w:t xml:space="preserve"> story </w:t>
      </w:r>
      <w:r w:rsidRPr="003A68E2">
        <w:t xml:space="preserve">buildings overlooking narrow streets </w:t>
      </w:r>
      <w:r w:rsidR="00AC0D17" w:rsidRPr="003A68E2">
        <w:t xml:space="preserve">on </w:t>
      </w:r>
      <w:r w:rsidRPr="003A68E2">
        <w:t xml:space="preserve">one side and interior courtyards </w:t>
      </w:r>
      <w:r w:rsidR="00AC0D17" w:rsidRPr="003A68E2">
        <w:t xml:space="preserve">on </w:t>
      </w:r>
      <w:r w:rsidRPr="003A68E2">
        <w:t>the other. Timbuktu is known for its exceptional earthen architecture, particularly the mosques and mausoleums of saints spread across the city. This architecture has been kept alive for centuries thanks to recurrent traditional maintenance work by local</w:t>
      </w:r>
      <w:r w:rsidR="00BE2739">
        <w:t>s</w:t>
      </w:r>
      <w:r w:rsidR="00BF3EBD" w:rsidRPr="003A68E2">
        <w:t>,</w:t>
      </w:r>
      <w:r w:rsidRPr="003A68E2">
        <w:t xml:space="preserve"> who gather to </w:t>
      </w:r>
      <w:r w:rsidR="00787CF3">
        <w:t>undertake</w:t>
      </w:r>
      <w:r w:rsidRPr="003A68E2">
        <w:t xml:space="preserve"> collective mud replastering</w:t>
      </w:r>
      <w:r w:rsidR="00BF3EBD" w:rsidRPr="003A68E2">
        <w:t>.</w:t>
      </w:r>
      <w:r w:rsidRPr="003A68E2">
        <w:rPr>
          <w:rStyle w:val="EndnoteReference"/>
        </w:rPr>
        <w:endnoteReference w:id="5"/>
      </w:r>
      <w:r w:rsidRPr="003A68E2">
        <w:t xml:space="preserve"> </w:t>
      </w:r>
      <w:r w:rsidR="0058170E">
        <w:t>C</w:t>
      </w:r>
      <w:r w:rsidRPr="003A68E2">
        <w:t xml:space="preserve">arried out under the guidance of the </w:t>
      </w:r>
      <w:r w:rsidR="00E04AA0" w:rsidRPr="003A68E2">
        <w:t>m</w:t>
      </w:r>
      <w:r w:rsidRPr="003A68E2">
        <w:t>ason</w:t>
      </w:r>
      <w:r w:rsidR="00E04AA0" w:rsidRPr="003A68E2">
        <w:t>s</w:t>
      </w:r>
      <w:r w:rsidRPr="003A68E2">
        <w:t xml:space="preserve"> </w:t>
      </w:r>
      <w:r w:rsidR="00E04AA0" w:rsidRPr="003A68E2">
        <w:t>c</w:t>
      </w:r>
      <w:r w:rsidRPr="003A68E2">
        <w:t xml:space="preserve">orporation, </w:t>
      </w:r>
      <w:r w:rsidR="0058170E">
        <w:t xml:space="preserve">this </w:t>
      </w:r>
      <w:r w:rsidR="00B55B08">
        <w:t xml:space="preserve">work </w:t>
      </w:r>
      <w:r w:rsidRPr="003A68E2">
        <w:t xml:space="preserve">has an important spiritual and social meaning for the local community. </w:t>
      </w:r>
    </w:p>
    <w:p w14:paraId="780AB1E1" w14:textId="273C2702" w:rsidR="003105A0" w:rsidRPr="00733B79" w:rsidRDefault="003105A0" w:rsidP="00733B79">
      <w:pPr>
        <w:pStyle w:val="BodyText"/>
        <w:spacing w:before="69" w:line="480" w:lineRule="auto"/>
        <w:ind w:right="297" w:firstLine="720"/>
        <w:rPr>
          <w:sz w:val="26"/>
        </w:rPr>
      </w:pPr>
      <w:r w:rsidRPr="003A68E2">
        <w:t xml:space="preserve">Crafts and tourism represent the main activities and sources of income of </w:t>
      </w:r>
      <w:r>
        <w:t>Timbuktu's</w:t>
      </w:r>
      <w:r w:rsidRPr="003A68E2">
        <w:t xml:space="preserve"> population, thanks not only to the city’s rich and diverse historical and cultural heritage, but also to its dynamic artistic and creative scene. The most prominent crafts are related to textiles (55 percent of craftspersons before 2012 were tailors and 9 percent embroiderers), jewelry (12 percent), </w:t>
      </w:r>
      <w:r>
        <w:t xml:space="preserve">and </w:t>
      </w:r>
      <w:r w:rsidRPr="003A68E2">
        <w:t>shoemaking (5 percent)</w:t>
      </w:r>
      <w:r>
        <w:t>;</w:t>
      </w:r>
      <w:r w:rsidRPr="003A68E2">
        <w:t xml:space="preserve"> others include carpentry, basketry, forging, tapestry making, and arts and crafts related to the conservation of manuscripts. </w:t>
      </w:r>
      <w:r>
        <w:t xml:space="preserve">Before the occupation of </w:t>
      </w:r>
      <w:r>
        <w:lastRenderedPageBreak/>
        <w:t xml:space="preserve">the city, </w:t>
      </w:r>
      <w:r w:rsidRPr="003A68E2">
        <w:t>more than 50 percent of craft businesses in Northern Mali were located in Timbuktu</w:t>
      </w:r>
      <w:r>
        <w:t>.  A</w:t>
      </w:r>
      <w:r w:rsidRPr="003A68E2">
        <w:t xml:space="preserve">nd it is estimated that two-thirds of the population made a living in this sector, with each family counting at least one craftsperson. Other economic activities were agriculture, including the growing of rice, millet, sorghum, and wheat, and the breeding of bovines, ovines, goats, and camels, as well as traditional fishing along the Niger. The booming pre-occupation tourism industry also employed (directly or indirectly) more than five hundred people. </w:t>
      </w:r>
    </w:p>
    <w:p w14:paraId="527DB4AB" w14:textId="149D9B41" w:rsidR="003C7A22" w:rsidRPr="003A68E2" w:rsidRDefault="006D525B" w:rsidP="003A68E2">
      <w:pPr>
        <w:pStyle w:val="BodyText"/>
        <w:spacing w:line="480" w:lineRule="auto"/>
        <w:ind w:firstLine="720"/>
        <w:rPr>
          <w:iCs/>
          <w:sz w:val="26"/>
        </w:rPr>
      </w:pPr>
      <w:r w:rsidRPr="003A68E2">
        <w:t xml:space="preserve">In 1988, three of </w:t>
      </w:r>
      <w:r w:rsidR="007D498B" w:rsidRPr="003A68E2">
        <w:t xml:space="preserve">the city’s </w:t>
      </w:r>
      <w:r w:rsidRPr="003A68E2">
        <w:t>major mosques (Djingareyber, Sidi Yahia</w:t>
      </w:r>
      <w:r w:rsidR="007D498B" w:rsidRPr="003A68E2">
        <w:t>,</w:t>
      </w:r>
      <w:r w:rsidRPr="003A68E2">
        <w:t xml:space="preserve"> and Sankoré) and sixteen of its </w:t>
      </w:r>
      <w:r w:rsidR="007D498B" w:rsidRPr="003A68E2">
        <w:t xml:space="preserve">saint </w:t>
      </w:r>
      <w:r w:rsidRPr="003A68E2">
        <w:t>mausoleums were inscribed on the World Heritage</w:t>
      </w:r>
      <w:r w:rsidR="007D498B" w:rsidRPr="003A68E2">
        <w:t xml:space="preserve"> List.</w:t>
      </w:r>
      <w:r w:rsidRPr="003A68E2">
        <w:rPr>
          <w:rStyle w:val="EndnoteReference"/>
        </w:rPr>
        <w:endnoteReference w:id="6"/>
      </w:r>
      <w:r w:rsidRPr="003A68E2">
        <w:t xml:space="preserve"> These remarkable buildings played a major role in spreading Sufi Islam</w:t>
      </w:r>
      <w:r w:rsidR="00B55B08">
        <w:t xml:space="preserve"> throughout </w:t>
      </w:r>
      <w:r w:rsidRPr="003A68E2">
        <w:t xml:space="preserve">Africa and </w:t>
      </w:r>
      <w:r w:rsidR="002259C3">
        <w:t>are</w:t>
      </w:r>
      <w:r w:rsidR="00B55B08">
        <w:t xml:space="preserve"> testimony</w:t>
      </w:r>
      <w:r w:rsidRPr="003A68E2">
        <w:t xml:space="preserve"> to the golden age of this wealthy</w:t>
      </w:r>
      <w:r w:rsidR="007D498B" w:rsidRPr="003A68E2">
        <w:t>,</w:t>
      </w:r>
      <w:r w:rsidRPr="003A68E2">
        <w:t xml:space="preserve"> spiritual</w:t>
      </w:r>
      <w:r w:rsidR="007D498B" w:rsidRPr="003A68E2">
        <w:t>,</w:t>
      </w:r>
      <w:r w:rsidRPr="003A68E2">
        <w:t xml:space="preserve"> and cultural city.</w:t>
      </w:r>
      <w:r w:rsidR="00FF7812" w:rsidRPr="003A68E2">
        <w:t xml:space="preserve"> </w:t>
      </w:r>
      <w:r w:rsidRPr="003A68E2">
        <w:t xml:space="preserve">The mosques were built between the </w:t>
      </w:r>
      <w:r w:rsidR="007D498B" w:rsidRPr="003A68E2">
        <w:t xml:space="preserve">fourteenth </w:t>
      </w:r>
      <w:r w:rsidRPr="003A68E2">
        <w:t xml:space="preserve">and </w:t>
      </w:r>
      <w:r w:rsidR="007D498B" w:rsidRPr="003A68E2">
        <w:t xml:space="preserve">fifteenth </w:t>
      </w:r>
      <w:r w:rsidRPr="003A68E2">
        <w:t>centur</w:t>
      </w:r>
      <w:r w:rsidR="007D498B" w:rsidRPr="003A68E2">
        <w:t>ies</w:t>
      </w:r>
      <w:r w:rsidRPr="003A68E2">
        <w:t xml:space="preserve"> and were restored for the first time in the </w:t>
      </w:r>
      <w:r w:rsidR="007D498B" w:rsidRPr="003A68E2">
        <w:t>sixteenth</w:t>
      </w:r>
      <w:r w:rsidR="00B55B08">
        <w:t xml:space="preserve"> century</w:t>
      </w:r>
      <w:r w:rsidRPr="003A68E2">
        <w:t>. The Djingareyber Mosque</w:t>
      </w:r>
      <w:r w:rsidR="00935F41" w:rsidRPr="003A68E2">
        <w:t>,</w:t>
      </w:r>
      <w:r w:rsidRPr="003A68E2">
        <w:t xml:space="preserve"> the </w:t>
      </w:r>
      <w:r w:rsidR="00B55B08">
        <w:t>larg</w:t>
      </w:r>
      <w:r w:rsidRPr="003A68E2">
        <w:t>est in the city</w:t>
      </w:r>
      <w:r w:rsidR="00935F41" w:rsidRPr="003A68E2">
        <w:t xml:space="preserve"> and</w:t>
      </w:r>
      <w:r w:rsidR="00FF7812" w:rsidRPr="003A68E2">
        <w:t xml:space="preserve"> </w:t>
      </w:r>
      <w:r w:rsidR="00935F41" w:rsidRPr="003A68E2">
        <w:t xml:space="preserve">known as </w:t>
      </w:r>
      <w:r w:rsidRPr="003A68E2">
        <w:t>the “Friday mosque</w:t>
      </w:r>
      <w:r w:rsidR="00935F41" w:rsidRPr="003A68E2">
        <w:t>,</w:t>
      </w:r>
      <w:r w:rsidRPr="003A68E2">
        <w:t xml:space="preserve">” constitutes one of </w:t>
      </w:r>
      <w:r w:rsidR="006E52E9" w:rsidRPr="003A68E2">
        <w:t xml:space="preserve">Timbuktu’s </w:t>
      </w:r>
      <w:r w:rsidRPr="003A68E2">
        <w:t xml:space="preserve">most visible landmarks. Although of more modest size, the Sankoré and Sidi Yahia are equally important </w:t>
      </w:r>
      <w:r w:rsidRPr="003A68E2">
        <w:rPr>
          <w:b/>
        </w:rPr>
        <w:t xml:space="preserve">(fig. </w:t>
      </w:r>
      <w:r w:rsidR="00CD6534" w:rsidRPr="003A68E2">
        <w:rPr>
          <w:b/>
        </w:rPr>
        <w:t>14.</w:t>
      </w:r>
      <w:r w:rsidRPr="003A68E2">
        <w:rPr>
          <w:b/>
        </w:rPr>
        <w:t>2)</w:t>
      </w:r>
      <w:r w:rsidRPr="003A68E2">
        <w:t>.</w:t>
      </w:r>
    </w:p>
    <w:p w14:paraId="0139CAA5" w14:textId="78E2F927" w:rsidR="00A85839" w:rsidRPr="005115E5" w:rsidRDefault="007C5AC0" w:rsidP="00733B79">
      <w:pPr>
        <w:pStyle w:val="BodyText"/>
        <w:spacing w:line="480" w:lineRule="auto"/>
        <w:ind w:firstLine="720"/>
        <w:rPr>
          <w:i/>
        </w:rPr>
      </w:pPr>
      <w:r w:rsidRPr="003A68E2">
        <w:t>M</w:t>
      </w:r>
      <w:r w:rsidR="006D525B" w:rsidRPr="003A68E2">
        <w:t xml:space="preserve">ausoleums of saints </w:t>
      </w:r>
      <w:r w:rsidRPr="003A68E2">
        <w:t xml:space="preserve">were first </w:t>
      </w:r>
      <w:r w:rsidR="006D525B" w:rsidRPr="003A68E2">
        <w:t xml:space="preserve">built </w:t>
      </w:r>
      <w:r w:rsidRPr="003A68E2">
        <w:t xml:space="preserve">in </w:t>
      </w:r>
      <w:r w:rsidR="006D525B" w:rsidRPr="003A68E2">
        <w:t xml:space="preserve">the </w:t>
      </w:r>
      <w:r w:rsidRPr="003A68E2">
        <w:t xml:space="preserve">thirteenth </w:t>
      </w:r>
      <w:r w:rsidR="006D525B" w:rsidRPr="003A68E2">
        <w:t>century by Timbuktu’s local communitie</w:t>
      </w:r>
      <w:r w:rsidR="00B55B08">
        <w:t>s</w:t>
      </w:r>
      <w:r w:rsidR="006D525B" w:rsidRPr="003A68E2">
        <w:t xml:space="preserve"> as a tribute to their ancestors for their exemplary role in the intellectual, social</w:t>
      </w:r>
      <w:r w:rsidR="00716465" w:rsidRPr="003A68E2">
        <w:t>,</w:t>
      </w:r>
      <w:r w:rsidR="006D525B" w:rsidRPr="003A68E2">
        <w:t xml:space="preserve"> and religious life </w:t>
      </w:r>
      <w:r w:rsidR="00716465" w:rsidRPr="003A68E2">
        <w:t>of the city</w:t>
      </w:r>
      <w:r w:rsidR="00B55B08">
        <w:t>.  These</w:t>
      </w:r>
      <w:r w:rsidR="00716465" w:rsidRPr="003A68E2">
        <w:t xml:space="preserve"> </w:t>
      </w:r>
      <w:r w:rsidR="00B55B08">
        <w:t>were i</w:t>
      </w:r>
      <w:r w:rsidR="006D525B" w:rsidRPr="003A68E2">
        <w:t>nitially places for prayer and invocation of ancestors th</w:t>
      </w:r>
      <w:r w:rsidR="00B55B08">
        <w:t>at</w:t>
      </w:r>
      <w:r w:rsidR="006D525B" w:rsidRPr="003A68E2">
        <w:t xml:space="preserve"> later became pilgrimage sites for devotee</w:t>
      </w:r>
      <w:r w:rsidR="00B55B08">
        <w:t xml:space="preserve">s </w:t>
      </w:r>
      <w:r w:rsidR="003105A0">
        <w:t>f</w:t>
      </w:r>
      <w:r w:rsidR="006D525B" w:rsidRPr="003A68E2">
        <w:t>rom Mali</w:t>
      </w:r>
      <w:r w:rsidR="00B55B08">
        <w:t xml:space="preserve">, </w:t>
      </w:r>
      <w:r w:rsidR="006D525B" w:rsidRPr="003A68E2">
        <w:t>North Africa</w:t>
      </w:r>
      <w:r w:rsidR="00B55B08">
        <w:t>,</w:t>
      </w:r>
      <w:r w:rsidR="006D525B" w:rsidRPr="003A68E2">
        <w:t xml:space="preserve"> and the Middle East.</w:t>
      </w:r>
      <w:r w:rsidR="00B55B08">
        <w:t xml:space="preserve"> </w:t>
      </w:r>
      <w:r w:rsidR="006D525B" w:rsidRPr="003A68E2">
        <w:t>Timbuktu is equally famous for its ancient manuscripts, eloquent proof of the city’s intellectual, cultural</w:t>
      </w:r>
      <w:r w:rsidR="001E6124" w:rsidRPr="003A68E2">
        <w:t>,</w:t>
      </w:r>
      <w:r w:rsidR="006D525B" w:rsidRPr="003A68E2">
        <w:t xml:space="preserve"> and scientific development. </w:t>
      </w:r>
      <w:r w:rsidR="00B55B08">
        <w:t>E</w:t>
      </w:r>
      <w:r w:rsidR="006D525B" w:rsidRPr="003A68E2">
        <w:t xml:space="preserve">stimated to </w:t>
      </w:r>
      <w:r w:rsidR="003105A0">
        <w:t>total</w:t>
      </w:r>
      <w:r w:rsidR="006D525B" w:rsidRPr="003A68E2">
        <w:t xml:space="preserve"> more than </w:t>
      </w:r>
      <w:r w:rsidR="0020752D" w:rsidRPr="003A68E2">
        <w:t>four hundred thousand</w:t>
      </w:r>
      <w:r w:rsidR="006D525B" w:rsidRPr="003A68E2">
        <w:t xml:space="preserve"> volumes, </w:t>
      </w:r>
      <w:r w:rsidR="00B55B08">
        <w:t xml:space="preserve">they are distributed </w:t>
      </w:r>
      <w:r w:rsidR="006D525B" w:rsidRPr="003A68E2">
        <w:t>over the city through its public library, the Ahmed Baba Institute.</w:t>
      </w:r>
    </w:p>
    <w:p w14:paraId="15DF9825" w14:textId="6B9C3740" w:rsidR="006D525B" w:rsidRPr="005115E5" w:rsidRDefault="0001795F" w:rsidP="003A68E2">
      <w:pPr>
        <w:pStyle w:val="BodyText"/>
        <w:spacing w:line="480" w:lineRule="auto"/>
        <w:ind w:right="297" w:firstLine="720"/>
        <w:rPr>
          <w:sz w:val="26"/>
        </w:rPr>
      </w:pPr>
      <w:r w:rsidRPr="003A68E2">
        <w:t>T</w:t>
      </w:r>
      <w:r w:rsidR="006D525B" w:rsidRPr="003A68E2">
        <w:t xml:space="preserve">he importance of </w:t>
      </w:r>
      <w:r w:rsidRPr="003A68E2">
        <w:t>the city’s</w:t>
      </w:r>
      <w:r w:rsidR="00802577" w:rsidRPr="003A68E2">
        <w:t xml:space="preserve"> </w:t>
      </w:r>
      <w:r w:rsidR="006D525B" w:rsidRPr="003A68E2">
        <w:t xml:space="preserve">cultural heritage was  recognized in the </w:t>
      </w:r>
      <w:r w:rsidR="006D525B" w:rsidRPr="003A68E2">
        <w:rPr>
          <w:i/>
        </w:rPr>
        <w:t xml:space="preserve">Peace and Reconciliation Agreement for Mali </w:t>
      </w:r>
      <w:r w:rsidR="006D525B" w:rsidRPr="003A68E2">
        <w:t>signed on 15 May and 20 June 2015.</w:t>
      </w:r>
      <w:r w:rsidR="00802577" w:rsidRPr="003A68E2">
        <w:rPr>
          <w:rStyle w:val="EndnoteReference"/>
          <w:iCs/>
        </w:rPr>
        <w:endnoteReference w:id="7"/>
      </w:r>
      <w:r w:rsidR="006D525B" w:rsidRPr="003A68E2">
        <w:t xml:space="preserve"> </w:t>
      </w:r>
      <w:r w:rsidR="006507AB">
        <w:t>It</w:t>
      </w:r>
      <w:r w:rsidR="006D525B" w:rsidRPr="003A68E2">
        <w:t xml:space="preserve"> includes various </w:t>
      </w:r>
      <w:r w:rsidR="006D525B" w:rsidRPr="003A68E2">
        <w:lastRenderedPageBreak/>
        <w:t>measures aim</w:t>
      </w:r>
      <w:r w:rsidR="00142018" w:rsidRPr="003A68E2">
        <w:t>ed</w:t>
      </w:r>
      <w:r w:rsidR="006D525B" w:rsidRPr="003A68E2">
        <w:t xml:space="preserve"> at promoting better participation of Northern Mali’s communitie</w:t>
      </w:r>
      <w:r w:rsidR="00E8540A">
        <w:t xml:space="preserve">s, </w:t>
      </w:r>
      <w:r w:rsidR="006D525B" w:rsidRPr="003A68E2">
        <w:t>tak</w:t>
      </w:r>
      <w:r w:rsidR="00E8540A">
        <w:t>ing</w:t>
      </w:r>
      <w:r w:rsidR="006D525B" w:rsidRPr="003A68E2">
        <w:t xml:space="preserve"> into account their cultural diversity by establishing a special development zone for the North.</w:t>
      </w:r>
    </w:p>
    <w:p w14:paraId="603F406F" w14:textId="663E3004" w:rsidR="006D525B" w:rsidRPr="003A68E2" w:rsidRDefault="003105A0" w:rsidP="003A68E2">
      <w:pPr>
        <w:pStyle w:val="BodyText"/>
        <w:spacing w:line="480" w:lineRule="auto"/>
        <w:ind w:firstLine="720"/>
      </w:pPr>
      <w:r>
        <w:t xml:space="preserve">The </w:t>
      </w:r>
      <w:r w:rsidR="006D525B" w:rsidRPr="003A68E2">
        <w:t xml:space="preserve">disastrous consequences of </w:t>
      </w:r>
      <w:r>
        <w:t xml:space="preserve">the 2012 </w:t>
      </w:r>
      <w:r w:rsidR="006D525B" w:rsidRPr="003A68E2">
        <w:t xml:space="preserve">attacks on its cultural heritage </w:t>
      </w:r>
      <w:r w:rsidR="00F64184" w:rsidRPr="003A68E2">
        <w:t xml:space="preserve">also </w:t>
      </w:r>
      <w:r w:rsidR="006D525B" w:rsidRPr="003A68E2">
        <w:t xml:space="preserve">led to </w:t>
      </w:r>
      <w:r w:rsidR="004D2637" w:rsidRPr="003A68E2">
        <w:t xml:space="preserve">a </w:t>
      </w:r>
      <w:r w:rsidR="006D525B" w:rsidRPr="003A68E2">
        <w:t xml:space="preserve">significant </w:t>
      </w:r>
      <w:r w:rsidR="004D2637" w:rsidRPr="003A68E2">
        <w:t xml:space="preserve">decline </w:t>
      </w:r>
      <w:r w:rsidR="006D525B" w:rsidRPr="003A68E2">
        <w:t xml:space="preserve">in </w:t>
      </w:r>
      <w:r>
        <w:t>Timbuktu's</w:t>
      </w:r>
      <w:r w:rsidR="004D2637" w:rsidRPr="003A68E2">
        <w:t xml:space="preserve"> economy</w:t>
      </w:r>
      <w:r w:rsidR="006D525B" w:rsidRPr="003A68E2">
        <w:t xml:space="preserve">. Crafts and tourism, </w:t>
      </w:r>
      <w:r w:rsidR="004D2637" w:rsidRPr="003A68E2">
        <w:t xml:space="preserve">previously </w:t>
      </w:r>
      <w:r w:rsidR="006D525B" w:rsidRPr="003A68E2">
        <w:t>compris</w:t>
      </w:r>
      <w:r w:rsidR="004D2637" w:rsidRPr="003A68E2">
        <w:t>ing</w:t>
      </w:r>
      <w:r w:rsidR="006D525B" w:rsidRPr="003A68E2">
        <w:t xml:space="preserve"> the city’s greatest source of income,</w:t>
      </w:r>
      <w:r w:rsidR="00683234" w:rsidRPr="003A68E2">
        <w:t xml:space="preserve"> </w:t>
      </w:r>
      <w:r w:rsidR="006D525B" w:rsidRPr="003A68E2">
        <w:t xml:space="preserve">were </w:t>
      </w:r>
      <w:r w:rsidR="00953CE9">
        <w:t>severely</w:t>
      </w:r>
      <w:r w:rsidR="006D525B" w:rsidRPr="003A68E2">
        <w:t xml:space="preserve"> </w:t>
      </w:r>
      <w:r w:rsidR="00683234" w:rsidRPr="003A68E2">
        <w:t xml:space="preserve">harmed </w:t>
      </w:r>
      <w:r w:rsidR="006D525B" w:rsidRPr="003A68E2">
        <w:t xml:space="preserve">during the occupation </w:t>
      </w:r>
      <w:r w:rsidR="00683234" w:rsidRPr="003A68E2">
        <w:t xml:space="preserve">by the absence </w:t>
      </w:r>
      <w:r w:rsidR="006D525B" w:rsidRPr="003A68E2">
        <w:t xml:space="preserve">of foreign visitors. </w:t>
      </w:r>
      <w:r w:rsidR="00683234" w:rsidRPr="003A68E2">
        <w:t>T</w:t>
      </w:r>
      <w:r w:rsidR="006D525B" w:rsidRPr="003A68E2">
        <w:t xml:space="preserve">he city </w:t>
      </w:r>
      <w:r w:rsidR="00683234" w:rsidRPr="003A68E2">
        <w:t xml:space="preserve">also </w:t>
      </w:r>
      <w:r w:rsidR="006D525B" w:rsidRPr="003A68E2">
        <w:t xml:space="preserve">faced massive displacement </w:t>
      </w:r>
      <w:r w:rsidR="00683234" w:rsidRPr="003A68E2">
        <w:t xml:space="preserve">as </w:t>
      </w:r>
      <w:r w:rsidR="006D525B" w:rsidRPr="003A68E2">
        <w:t xml:space="preserve">its population </w:t>
      </w:r>
      <w:r w:rsidR="00683234" w:rsidRPr="003A68E2">
        <w:t xml:space="preserve">fled the </w:t>
      </w:r>
      <w:r w:rsidR="006D525B" w:rsidRPr="003A68E2">
        <w:t>armed groups</w:t>
      </w:r>
      <w:r w:rsidR="00FB2AA3">
        <w:t xml:space="preserve">, </w:t>
      </w:r>
      <w:r w:rsidR="002259C3">
        <w:t>a</w:t>
      </w:r>
      <w:r w:rsidR="006D525B" w:rsidRPr="003A68E2">
        <w:t>ggravat</w:t>
      </w:r>
      <w:r w:rsidR="00683234" w:rsidRPr="003A68E2">
        <w:t>ing</w:t>
      </w:r>
      <w:r w:rsidR="006D525B" w:rsidRPr="003A68E2">
        <w:t xml:space="preserve"> </w:t>
      </w:r>
      <w:r w:rsidR="00683234" w:rsidRPr="003A68E2">
        <w:t xml:space="preserve">the people’s </w:t>
      </w:r>
      <w:r w:rsidR="006D525B" w:rsidRPr="003A68E2">
        <w:t>trauma, and lower</w:t>
      </w:r>
      <w:r w:rsidR="00683234" w:rsidRPr="003A68E2">
        <w:t>ing</w:t>
      </w:r>
      <w:r w:rsidR="006D525B" w:rsidRPr="003A68E2">
        <w:t xml:space="preserve"> their standard of liv</w:t>
      </w:r>
      <w:r w:rsidR="00683234" w:rsidRPr="003A68E2">
        <w:t>i</w:t>
      </w:r>
      <w:r w:rsidR="006D525B" w:rsidRPr="003A68E2">
        <w:t xml:space="preserve">ng. </w:t>
      </w:r>
    </w:p>
    <w:p w14:paraId="597944A9" w14:textId="77777777" w:rsidR="006D525B" w:rsidRPr="003A68E2" w:rsidRDefault="006D525B" w:rsidP="003A68E2">
      <w:pPr>
        <w:pStyle w:val="BodyText"/>
        <w:spacing w:line="480" w:lineRule="auto"/>
        <w:ind w:firstLine="720"/>
      </w:pPr>
    </w:p>
    <w:p w14:paraId="3DF44947" w14:textId="48C2E115" w:rsidR="006D525B" w:rsidRPr="002A29A3" w:rsidRDefault="00736539">
      <w:pPr>
        <w:pStyle w:val="Heading2"/>
        <w:spacing w:line="480" w:lineRule="auto"/>
      </w:pPr>
      <w:r w:rsidRPr="003A68E2">
        <w:t>The</w:t>
      </w:r>
      <w:r w:rsidR="00565C59" w:rsidRPr="003A68E2">
        <w:t xml:space="preserve"> </w:t>
      </w:r>
      <w:r w:rsidR="006D525B" w:rsidRPr="003A68E2">
        <w:t>Mausoleums</w:t>
      </w:r>
      <w:r w:rsidR="00565C59" w:rsidRPr="003A68E2">
        <w:t xml:space="preserve">: </w:t>
      </w:r>
      <w:r w:rsidR="00AB3C3C" w:rsidRPr="003A68E2">
        <w:t xml:space="preserve">Cultural </w:t>
      </w:r>
      <w:r w:rsidR="00565C59" w:rsidRPr="003A68E2">
        <w:t>Destruction</w:t>
      </w:r>
      <w:r w:rsidR="00AB3C3C" w:rsidRPr="003A68E2">
        <w:t>, Trauma,</w:t>
      </w:r>
      <w:r w:rsidR="00565C59" w:rsidRPr="003A68E2">
        <w:t xml:space="preserve"> and Response</w:t>
      </w:r>
    </w:p>
    <w:p w14:paraId="440B2513" w14:textId="73A8C85B" w:rsidR="004C0CEA" w:rsidRPr="003A68E2" w:rsidRDefault="006D525B">
      <w:pPr>
        <w:pStyle w:val="BodyText"/>
        <w:spacing w:line="480" w:lineRule="auto"/>
      </w:pPr>
      <w:r w:rsidRPr="003A68E2">
        <w:t xml:space="preserve">The UNESCO international expert meeting of 18 February 2013 was instrumental in </w:t>
      </w:r>
      <w:r w:rsidR="00CB5A48" w:rsidRPr="003A68E2">
        <w:t xml:space="preserve">generating a broader awareness of </w:t>
      </w:r>
      <w:r w:rsidRPr="003A68E2">
        <w:t>the strong attachment of Timbuktu</w:t>
      </w:r>
      <w:r w:rsidR="00AA5D3B" w:rsidRPr="003A68E2">
        <w:t>’s</w:t>
      </w:r>
      <w:r w:rsidRPr="003A68E2">
        <w:t xml:space="preserve"> communities to their cultural heritage. </w:t>
      </w:r>
      <w:r w:rsidR="00BA31BC" w:rsidRPr="003A68E2">
        <w:t>T</w:t>
      </w:r>
      <w:r w:rsidRPr="003A68E2">
        <w:t xml:space="preserve">he occupiers </w:t>
      </w:r>
      <w:r w:rsidR="00E8540A">
        <w:t xml:space="preserve">sought </w:t>
      </w:r>
      <w:r w:rsidRPr="003A68E2">
        <w:t xml:space="preserve">to erase all cultural references that linked </w:t>
      </w:r>
      <w:r w:rsidR="00A477CC">
        <w:t xml:space="preserve">its </w:t>
      </w:r>
      <w:r w:rsidRPr="003A68E2">
        <w:t>inhabitants to the religious practices of Sufism</w:t>
      </w:r>
      <w:r w:rsidR="00BA31BC" w:rsidRPr="003A68E2">
        <w:t xml:space="preserve">, </w:t>
      </w:r>
      <w:r w:rsidR="00164FE7">
        <w:t xml:space="preserve">which they banned, and which the </w:t>
      </w:r>
      <w:r w:rsidR="00A477CC">
        <w:t xml:space="preserve">city’s </w:t>
      </w:r>
      <w:r w:rsidR="00164FE7">
        <w:t xml:space="preserve">population </w:t>
      </w:r>
      <w:r w:rsidR="00385546">
        <w:t xml:space="preserve">had </w:t>
      </w:r>
      <w:r w:rsidR="007C4139">
        <w:t>practiced</w:t>
      </w:r>
      <w:r w:rsidR="00BA31BC" w:rsidRPr="003A68E2">
        <w:t xml:space="preserve"> since the ninth century</w:t>
      </w:r>
      <w:r w:rsidRPr="003A68E2">
        <w:t xml:space="preserve">. </w:t>
      </w:r>
      <w:r w:rsidR="004C0CEA" w:rsidRPr="003A68E2">
        <w:t xml:space="preserve">The population </w:t>
      </w:r>
      <w:r w:rsidRPr="003A68E2">
        <w:t xml:space="preserve">interpreted </w:t>
      </w:r>
      <w:r w:rsidR="004C0CEA" w:rsidRPr="003A68E2">
        <w:t xml:space="preserve">these moves </w:t>
      </w:r>
      <w:r w:rsidRPr="003A68E2">
        <w:t xml:space="preserve">by Ansar Dine </w:t>
      </w:r>
      <w:r w:rsidR="004C0CEA" w:rsidRPr="003A68E2">
        <w:t xml:space="preserve">as punitive, </w:t>
      </w:r>
      <w:r w:rsidRPr="003A68E2">
        <w:t xml:space="preserve">and the </w:t>
      </w:r>
      <w:r w:rsidR="004C0CEA" w:rsidRPr="003A68E2">
        <w:t xml:space="preserve">destruction of </w:t>
      </w:r>
      <w:r w:rsidRPr="003A68E2">
        <w:t xml:space="preserve">the mausoleums as a direct attack on their cultural identity. </w:t>
      </w:r>
    </w:p>
    <w:p w14:paraId="3B5E7F9E" w14:textId="05DE0129" w:rsidR="00565C59" w:rsidRPr="005115E5" w:rsidRDefault="006D525B" w:rsidP="003A68E2">
      <w:pPr>
        <w:pStyle w:val="BodyText"/>
        <w:spacing w:line="480" w:lineRule="auto"/>
        <w:ind w:firstLine="720"/>
      </w:pPr>
      <w:r w:rsidRPr="003A68E2">
        <w:t xml:space="preserve">The occupiers </w:t>
      </w:r>
      <w:r w:rsidR="004C0CEA" w:rsidRPr="003A68E2">
        <w:t>attempt</w:t>
      </w:r>
      <w:r w:rsidR="00127BCC">
        <w:t>ed</w:t>
      </w:r>
      <w:r w:rsidR="004C0CEA" w:rsidRPr="003A68E2">
        <w:t xml:space="preserve"> to terrori</w:t>
      </w:r>
      <w:r w:rsidR="00127BCC">
        <w:t>ze</w:t>
      </w:r>
      <w:r w:rsidR="004C0CEA" w:rsidRPr="003A68E2">
        <w:t xml:space="preserve"> the population a</w:t>
      </w:r>
      <w:r w:rsidR="00E8540A">
        <w:t>nd</w:t>
      </w:r>
      <w:r w:rsidR="004C0CEA" w:rsidRPr="003A68E2">
        <w:t xml:space="preserve"> </w:t>
      </w:r>
      <w:r w:rsidRPr="003A68E2">
        <w:t xml:space="preserve">spread an ideology </w:t>
      </w:r>
      <w:r w:rsidR="004C0CEA" w:rsidRPr="003A68E2">
        <w:t xml:space="preserve">of </w:t>
      </w:r>
      <w:r w:rsidRPr="003A68E2">
        <w:t xml:space="preserve">violent extremism and radicalization. </w:t>
      </w:r>
      <w:r w:rsidR="00101A04" w:rsidRPr="003A68E2">
        <w:t>The c</w:t>
      </w:r>
      <w:r w:rsidRPr="003A68E2">
        <w:t xml:space="preserve">ommunities </w:t>
      </w:r>
      <w:r w:rsidR="00101A04" w:rsidRPr="003A68E2">
        <w:t xml:space="preserve">had </w:t>
      </w:r>
      <w:r w:rsidRPr="003A68E2">
        <w:t xml:space="preserve">considered </w:t>
      </w:r>
      <w:r w:rsidR="00101A04" w:rsidRPr="003A68E2">
        <w:t xml:space="preserve">the </w:t>
      </w:r>
      <w:r w:rsidRPr="003A68E2">
        <w:t xml:space="preserve">mausoleums and mosques as </w:t>
      </w:r>
      <w:r w:rsidR="00101A04" w:rsidRPr="003A68E2">
        <w:t xml:space="preserve">central to </w:t>
      </w:r>
      <w:r w:rsidRPr="003A68E2">
        <w:t xml:space="preserve">their identity, </w:t>
      </w:r>
      <w:r w:rsidR="008E4812" w:rsidRPr="003A68E2">
        <w:t xml:space="preserve">linking them </w:t>
      </w:r>
      <w:r w:rsidRPr="003A68E2">
        <w:t>to Timbuktu’s world-renowned history, to their ancestors</w:t>
      </w:r>
      <w:r w:rsidR="007C445D">
        <w:t>,</w:t>
      </w:r>
      <w:r w:rsidRPr="003A68E2">
        <w:t xml:space="preserve"> and to each other. They described mausoleums and ancient manuscripts as the </w:t>
      </w:r>
      <w:r w:rsidR="00A32663" w:rsidRPr="003A68E2">
        <w:t>“</w:t>
      </w:r>
      <w:r w:rsidRPr="003A68E2">
        <w:t>lungs</w:t>
      </w:r>
      <w:r w:rsidR="00A32663" w:rsidRPr="003A68E2">
        <w:t>”</w:t>
      </w:r>
      <w:r w:rsidRPr="003A68E2">
        <w:t xml:space="preserve"> of their social life</w:t>
      </w:r>
      <w:r w:rsidR="00FE01EB">
        <w:t>—</w:t>
      </w:r>
      <w:r w:rsidRPr="003A68E2">
        <w:t xml:space="preserve">without </w:t>
      </w:r>
      <w:r w:rsidR="00A32663" w:rsidRPr="003A68E2">
        <w:t>them</w:t>
      </w:r>
      <w:r w:rsidR="00E8540A">
        <w:t xml:space="preserve">, it would be difficult </w:t>
      </w:r>
      <w:r w:rsidR="00A32663" w:rsidRPr="003A68E2">
        <w:t xml:space="preserve"> </w:t>
      </w:r>
      <w:r w:rsidR="00E8540A">
        <w:t xml:space="preserve">to </w:t>
      </w:r>
      <w:r w:rsidRPr="003A68E2">
        <w:t xml:space="preserve">recover </w:t>
      </w:r>
      <w:r w:rsidR="00A32663" w:rsidRPr="003A68E2">
        <w:t xml:space="preserve">from </w:t>
      </w:r>
      <w:r w:rsidRPr="003A68E2">
        <w:t xml:space="preserve">the trauma caused by the </w:t>
      </w:r>
      <w:r w:rsidR="00A32663" w:rsidRPr="003A68E2">
        <w:t>occupation</w:t>
      </w:r>
      <w:r w:rsidR="00017261">
        <w:t>.</w:t>
      </w:r>
    </w:p>
    <w:p w14:paraId="1115D97E" w14:textId="601EFA6B" w:rsidR="006D525B" w:rsidRPr="005115E5" w:rsidRDefault="00FE01EB" w:rsidP="003A68E2">
      <w:pPr>
        <w:pStyle w:val="BodyText"/>
        <w:spacing w:line="480" w:lineRule="auto"/>
        <w:ind w:firstLine="720"/>
      </w:pPr>
      <w:r>
        <w:t>W</w:t>
      </w:r>
      <w:r w:rsidR="006D525B" w:rsidRPr="003A68E2">
        <w:t>ith this understanding</w:t>
      </w:r>
      <w:r w:rsidR="00017261">
        <w:t>,</w:t>
      </w:r>
      <w:r w:rsidR="006D525B" w:rsidRPr="003A68E2">
        <w:t xml:space="preserve"> it was agreed that a</w:t>
      </w:r>
      <w:r w:rsidR="00A2665B" w:rsidRPr="003A68E2">
        <w:t>n</w:t>
      </w:r>
      <w:r w:rsidR="006D525B" w:rsidRPr="003A68E2">
        <w:t xml:space="preserve"> initial damage assessment mission would be conducted by a joint team of international and Malian experts. Th</w:t>
      </w:r>
      <w:r w:rsidR="009732D8" w:rsidRPr="003A68E2">
        <w:t>is</w:t>
      </w:r>
      <w:r w:rsidR="006D525B" w:rsidRPr="003A68E2">
        <w:t xml:space="preserve"> was undertaken </w:t>
      </w:r>
      <w:r w:rsidR="00727B88" w:rsidRPr="003A68E2">
        <w:t xml:space="preserve">between </w:t>
      </w:r>
      <w:r w:rsidR="006D525B" w:rsidRPr="003A68E2">
        <w:t xml:space="preserve">29 May </w:t>
      </w:r>
      <w:r w:rsidR="00727B88" w:rsidRPr="003A68E2">
        <w:t xml:space="preserve">and </w:t>
      </w:r>
      <w:r w:rsidR="006D525B" w:rsidRPr="003A68E2">
        <w:t>2 June 2013</w:t>
      </w:r>
      <w:r w:rsidR="009732D8" w:rsidRPr="003A68E2">
        <w:t xml:space="preserve"> with</w:t>
      </w:r>
      <w:r w:rsidR="006D525B" w:rsidRPr="003A68E2">
        <w:t xml:space="preserve"> </w:t>
      </w:r>
      <w:r w:rsidR="009732D8" w:rsidRPr="003A68E2">
        <w:t xml:space="preserve">the </w:t>
      </w:r>
      <w:r w:rsidR="006D525B" w:rsidRPr="003A68E2">
        <w:t>objective</w:t>
      </w:r>
      <w:r w:rsidR="009732D8" w:rsidRPr="003A68E2">
        <w:t>s</w:t>
      </w:r>
      <w:r w:rsidR="006D525B" w:rsidRPr="003A68E2">
        <w:t xml:space="preserve"> </w:t>
      </w:r>
      <w:r w:rsidR="009732D8" w:rsidRPr="003A68E2">
        <w:t xml:space="preserve">of first </w:t>
      </w:r>
      <w:r w:rsidR="006D525B" w:rsidRPr="003A68E2">
        <w:t>evaluat</w:t>
      </w:r>
      <w:r w:rsidR="009732D8" w:rsidRPr="003A68E2">
        <w:t>ing</w:t>
      </w:r>
      <w:r w:rsidR="006D525B" w:rsidRPr="003A68E2">
        <w:t xml:space="preserve"> the damage </w:t>
      </w:r>
      <w:r w:rsidR="009732D8" w:rsidRPr="003A68E2">
        <w:t xml:space="preserve">done to </w:t>
      </w:r>
      <w:r w:rsidR="00FF3C3E" w:rsidRPr="003A68E2">
        <w:t xml:space="preserve">the city’s </w:t>
      </w:r>
      <w:r w:rsidR="006D525B" w:rsidRPr="003A68E2">
        <w:t xml:space="preserve">cultural </w:t>
      </w:r>
      <w:r w:rsidR="006D525B" w:rsidRPr="003A68E2">
        <w:lastRenderedPageBreak/>
        <w:t xml:space="preserve">heritage and </w:t>
      </w:r>
      <w:r w:rsidR="009732D8" w:rsidRPr="003A68E2">
        <w:t xml:space="preserve">then </w:t>
      </w:r>
      <w:r w:rsidR="006D525B" w:rsidRPr="003A68E2">
        <w:t>determin</w:t>
      </w:r>
      <w:r w:rsidR="00985F63">
        <w:t>ing</w:t>
      </w:r>
      <w:r w:rsidR="006D525B" w:rsidRPr="003A68E2">
        <w:t xml:space="preserve"> priority actions </w:t>
      </w:r>
      <w:r w:rsidR="009732D8" w:rsidRPr="003A68E2">
        <w:t xml:space="preserve">for its </w:t>
      </w:r>
      <w:r w:rsidR="006D525B" w:rsidRPr="003A68E2">
        <w:t>rehabilitation and conservation.</w:t>
      </w:r>
      <w:r w:rsidR="00FF7812" w:rsidRPr="003A68E2">
        <w:t xml:space="preserve"> </w:t>
      </w:r>
      <w:r w:rsidR="006D525B" w:rsidRPr="003A68E2">
        <w:t xml:space="preserve">Experts from various international organizations, as well as from the Malian Ministry of </w:t>
      </w:r>
      <w:r w:rsidR="00FF3C3E" w:rsidRPr="003A68E2">
        <w:t>C</w:t>
      </w:r>
      <w:r w:rsidR="006D525B" w:rsidRPr="003A68E2">
        <w:t>ulture</w:t>
      </w:r>
      <w:r w:rsidR="00FF3C3E" w:rsidRPr="003A68E2">
        <w:t>,</w:t>
      </w:r>
      <w:r w:rsidR="006D525B" w:rsidRPr="003A68E2">
        <w:t xml:space="preserve"> carried out extensive investigations</w:t>
      </w:r>
      <w:r w:rsidR="00FF3C3E" w:rsidRPr="003A68E2">
        <w:t>,</w:t>
      </w:r>
      <w:r w:rsidR="006D525B" w:rsidRPr="003A68E2">
        <w:t xml:space="preserve"> confirm</w:t>
      </w:r>
      <w:r w:rsidR="00FF3C3E" w:rsidRPr="003A68E2">
        <w:t>ing</w:t>
      </w:r>
      <w:r w:rsidR="006D525B" w:rsidRPr="003A68E2">
        <w:t xml:space="preserve"> the destruction of fourteen mausoleums </w:t>
      </w:r>
      <w:r w:rsidR="00017261">
        <w:t xml:space="preserve">inscribed </w:t>
      </w:r>
      <w:r w:rsidR="006D525B" w:rsidRPr="003A68E2">
        <w:t>on the World Heritage List.</w:t>
      </w:r>
      <w:r w:rsidR="00885EF7" w:rsidRPr="003A68E2">
        <w:rPr>
          <w:rStyle w:val="EndnoteReference"/>
        </w:rPr>
        <w:endnoteReference w:id="8"/>
      </w:r>
      <w:r w:rsidR="006D525B" w:rsidRPr="003A68E2">
        <w:t xml:space="preserve"> Also noted was the destruction of the emblematic El Farouk monument and the loss of </w:t>
      </w:r>
      <w:r w:rsidR="002763F2">
        <w:t>an estimated</w:t>
      </w:r>
      <w:r w:rsidR="002763F2" w:rsidRPr="003A68E2">
        <w:t xml:space="preserve"> </w:t>
      </w:r>
      <w:r w:rsidR="006D525B" w:rsidRPr="003A68E2">
        <w:t xml:space="preserve">4,203 ancient manuscripts. </w:t>
      </w:r>
      <w:r w:rsidR="00AD01B7" w:rsidRPr="003A68E2">
        <w:t xml:space="preserve">Importantly, </w:t>
      </w:r>
      <w:r w:rsidR="00937DE3">
        <w:t>the damage assessment mission</w:t>
      </w:r>
      <w:r w:rsidR="006D525B" w:rsidRPr="003A68E2">
        <w:t xml:space="preserve"> concluded that the trauma </w:t>
      </w:r>
      <w:r w:rsidR="008541F5">
        <w:t>inflicted on local communities</w:t>
      </w:r>
      <w:r w:rsidR="006D525B" w:rsidRPr="003A68E2">
        <w:t xml:space="preserve"> by th</w:t>
      </w:r>
      <w:r w:rsidR="00AD01B7" w:rsidRPr="003A68E2">
        <w:t>is</w:t>
      </w:r>
      <w:r w:rsidR="006D525B" w:rsidRPr="003A68E2">
        <w:t xml:space="preserve"> </w:t>
      </w:r>
      <w:r w:rsidR="00AD01B7" w:rsidRPr="003A68E2">
        <w:t xml:space="preserve">heritage destruction </w:t>
      </w:r>
      <w:r w:rsidR="006D525B" w:rsidRPr="003A68E2">
        <w:t>was equally</w:t>
      </w:r>
      <w:r w:rsidR="00017261">
        <w:t xml:space="preserve"> consequential</w:t>
      </w:r>
      <w:r w:rsidR="006D525B" w:rsidRPr="003A68E2">
        <w:t xml:space="preserve"> </w:t>
      </w:r>
      <w:r w:rsidR="006D525B" w:rsidRPr="003A68E2">
        <w:rPr>
          <w:b/>
        </w:rPr>
        <w:t xml:space="preserve">(fig. </w:t>
      </w:r>
      <w:r w:rsidR="008249BC" w:rsidRPr="003A68E2">
        <w:rPr>
          <w:b/>
        </w:rPr>
        <w:t>14.</w:t>
      </w:r>
      <w:r w:rsidR="006D525B" w:rsidRPr="003A68E2">
        <w:rPr>
          <w:b/>
        </w:rPr>
        <w:t>3)</w:t>
      </w:r>
      <w:r w:rsidR="006D525B" w:rsidRPr="003A68E2">
        <w:t xml:space="preserve">. </w:t>
      </w:r>
    </w:p>
    <w:p w14:paraId="725A811F" w14:textId="1543D584" w:rsidR="006D525B" w:rsidRPr="005115E5" w:rsidRDefault="00017261" w:rsidP="003A68E2">
      <w:pPr>
        <w:pStyle w:val="BodyText"/>
        <w:spacing w:before="69" w:line="480" w:lineRule="auto"/>
        <w:ind w:right="96" w:firstLine="720"/>
        <w:rPr>
          <w:sz w:val="22"/>
        </w:rPr>
      </w:pPr>
      <w:r>
        <w:t xml:space="preserve">Much </w:t>
      </w:r>
      <w:r w:rsidR="006D525B" w:rsidRPr="003A68E2">
        <w:t>work was then carried out</w:t>
      </w:r>
      <w:r w:rsidR="006471F1">
        <w:t xml:space="preserve">, including </w:t>
      </w:r>
      <w:r w:rsidR="00B60F55">
        <w:t xml:space="preserve">the </w:t>
      </w:r>
      <w:r w:rsidR="006D525B" w:rsidRPr="003A68E2">
        <w:t>collecti</w:t>
      </w:r>
      <w:r w:rsidR="00B60F55">
        <w:t>on and consultation of</w:t>
      </w:r>
      <w:r w:rsidR="006D525B" w:rsidRPr="003A68E2">
        <w:t xml:space="preserve"> archives, historical information, architectural and archaeological</w:t>
      </w:r>
      <w:r w:rsidR="006D4C6B" w:rsidRPr="003A68E2">
        <w:t xml:space="preserve"> surveys</w:t>
      </w:r>
      <w:r w:rsidR="006D525B" w:rsidRPr="003A68E2">
        <w:t xml:space="preserve">, </w:t>
      </w:r>
      <w:r w:rsidR="006D4C6B" w:rsidRPr="003A68E2">
        <w:t xml:space="preserve">and </w:t>
      </w:r>
      <w:r w:rsidR="006D525B" w:rsidRPr="003A68E2">
        <w:t>excavation records</w:t>
      </w:r>
      <w:r w:rsidR="006471F1">
        <w:t xml:space="preserve"> </w:t>
      </w:r>
      <w:r>
        <w:t xml:space="preserve">and </w:t>
      </w:r>
      <w:r w:rsidR="00B60F55">
        <w:t xml:space="preserve">the compilation of </w:t>
      </w:r>
      <w:r w:rsidR="006D525B" w:rsidRPr="003A68E2">
        <w:t xml:space="preserve">traditional building practices and techniques, </w:t>
      </w:r>
      <w:r w:rsidR="00B60F55">
        <w:t>through</w:t>
      </w:r>
      <w:r w:rsidR="006D525B" w:rsidRPr="003A68E2">
        <w:t xml:space="preserve"> consultation with the masons corporation, </w:t>
      </w:r>
      <w:r>
        <w:t>whose</w:t>
      </w:r>
      <w:r w:rsidR="00E04AA0" w:rsidRPr="003A68E2">
        <w:t xml:space="preserve"> members </w:t>
      </w:r>
      <w:r w:rsidR="006D525B" w:rsidRPr="003A68E2">
        <w:t>alone possess</w:t>
      </w:r>
      <w:r w:rsidR="00595EA8" w:rsidRPr="003A68E2">
        <w:t>ed</w:t>
      </w:r>
      <w:r w:rsidR="006D525B" w:rsidRPr="003A68E2">
        <w:t xml:space="preserve"> the ancestral knowledge needed to undertake the required </w:t>
      </w:r>
      <w:r w:rsidR="00A86EA4">
        <w:t xml:space="preserve">mausoleum </w:t>
      </w:r>
      <w:r w:rsidR="006D525B" w:rsidRPr="003A68E2">
        <w:t xml:space="preserve">reconstruction. Understanding the </w:t>
      </w:r>
      <w:r w:rsidR="00BC7678">
        <w:t xml:space="preserve">state </w:t>
      </w:r>
      <w:r w:rsidR="006D525B" w:rsidRPr="003A68E2">
        <w:t>of</w:t>
      </w:r>
      <w:r w:rsidR="00BC7678">
        <w:t xml:space="preserve"> thousands of</w:t>
      </w:r>
      <w:r w:rsidR="006D525B" w:rsidRPr="003A68E2">
        <w:t xml:space="preserve"> ancient manuscripts was also part of the damage assessment</w:t>
      </w:r>
      <w:r w:rsidR="00481C18" w:rsidRPr="003A68E2">
        <w:t>:</w:t>
      </w:r>
      <w:r w:rsidR="006D525B" w:rsidRPr="003A68E2">
        <w:t xml:space="preserve"> </w:t>
      </w:r>
      <w:r w:rsidR="002763F2">
        <w:t xml:space="preserve">some </w:t>
      </w:r>
      <w:r w:rsidR="00481C18" w:rsidRPr="003A68E2">
        <w:t xml:space="preserve">three hundred thousand </w:t>
      </w:r>
      <w:r w:rsidR="006D525B" w:rsidRPr="003A68E2">
        <w:t xml:space="preserve">had been </w:t>
      </w:r>
      <w:r w:rsidR="002763F2">
        <w:t>removed from the city</w:t>
      </w:r>
      <w:r w:rsidR="006D525B" w:rsidRPr="003A68E2">
        <w:t xml:space="preserve">, mainly to </w:t>
      </w:r>
      <w:r w:rsidR="00997DCC" w:rsidRPr="003A68E2">
        <w:t xml:space="preserve">Mali’s capital, </w:t>
      </w:r>
      <w:r w:rsidR="006D525B" w:rsidRPr="003A68E2">
        <w:t>Bamako</w:t>
      </w:r>
      <w:r w:rsidR="002763F2">
        <w:t xml:space="preserve">, in addition to the more than </w:t>
      </w:r>
      <w:r w:rsidR="0055439B">
        <w:t xml:space="preserve">four thousand </w:t>
      </w:r>
      <w:r w:rsidR="002763F2">
        <w:t xml:space="preserve">known to be </w:t>
      </w:r>
      <w:r w:rsidR="002763F2" w:rsidRPr="006A073D">
        <w:t>missing</w:t>
      </w:r>
      <w:r w:rsidR="006D525B" w:rsidRPr="003A68E2">
        <w:t xml:space="preserve">. </w:t>
      </w:r>
    </w:p>
    <w:p w14:paraId="442CC23E" w14:textId="2F307E7E" w:rsidR="006D525B" w:rsidRPr="005115E5" w:rsidRDefault="00997DCC" w:rsidP="003A68E2">
      <w:pPr>
        <w:pStyle w:val="BodyText"/>
        <w:spacing w:before="69" w:line="480" w:lineRule="auto"/>
        <w:ind w:right="194" w:firstLine="720"/>
        <w:rPr>
          <w:sz w:val="22"/>
        </w:rPr>
      </w:pPr>
      <w:r w:rsidRPr="003A68E2">
        <w:t>As mentioned, t</w:t>
      </w:r>
      <w:r w:rsidR="006D525B" w:rsidRPr="003A68E2">
        <w:t xml:space="preserve">he destruction of cultural heritage and </w:t>
      </w:r>
      <w:r w:rsidR="00013DB8">
        <w:t xml:space="preserve">the </w:t>
      </w:r>
      <w:r w:rsidR="006D525B" w:rsidRPr="003A68E2">
        <w:t>prohibition on local cultur</w:t>
      </w:r>
      <w:r w:rsidRPr="003A68E2">
        <w:t>al practices</w:t>
      </w:r>
      <w:r w:rsidR="006D525B" w:rsidRPr="003A68E2">
        <w:t xml:space="preserve"> had </w:t>
      </w:r>
      <w:r w:rsidR="00FE52D2" w:rsidRPr="00FF786D">
        <w:t>significantly</w:t>
      </w:r>
      <w:r w:rsidRPr="003A68E2">
        <w:t xml:space="preserve"> harmed </w:t>
      </w:r>
      <w:r w:rsidR="00CE0E63">
        <w:t xml:space="preserve">the </w:t>
      </w:r>
      <w:r w:rsidRPr="003A68E2">
        <w:t xml:space="preserve">large </w:t>
      </w:r>
      <w:r w:rsidR="00CE0E63">
        <w:t xml:space="preserve">proportion </w:t>
      </w:r>
      <w:r w:rsidRPr="003A68E2">
        <w:t xml:space="preserve">of the local economy based on cultural </w:t>
      </w:r>
      <w:r w:rsidR="006D525B" w:rsidRPr="003A68E2">
        <w:t>activities</w:t>
      </w:r>
      <w:r w:rsidRPr="003A68E2">
        <w:t>.</w:t>
      </w:r>
      <w:r w:rsidR="00EB2197" w:rsidRPr="003A68E2">
        <w:t xml:space="preserve"> </w:t>
      </w:r>
      <w:r w:rsidR="006D525B" w:rsidRPr="003A68E2">
        <w:t xml:space="preserve">There </w:t>
      </w:r>
      <w:r w:rsidR="00D465F5">
        <w:t xml:space="preserve">were </w:t>
      </w:r>
      <w:r w:rsidR="006D525B" w:rsidRPr="003A68E2">
        <w:t>no craft or tourism activities in 2012 and 2013</w:t>
      </w:r>
      <w:r w:rsidR="00FE1EFA">
        <w:t>. C</w:t>
      </w:r>
      <w:r w:rsidR="006D525B" w:rsidRPr="003A68E2">
        <w:t xml:space="preserve">raft products available in stores remained unsold, and vandals trashed </w:t>
      </w:r>
      <w:r w:rsidR="00262089" w:rsidRPr="003A68E2">
        <w:t xml:space="preserve">craftspeople’s </w:t>
      </w:r>
      <w:r w:rsidR="006D525B" w:rsidRPr="003A68E2">
        <w:t>installations, equipment</w:t>
      </w:r>
      <w:r w:rsidR="001C4959" w:rsidRPr="003A68E2">
        <w:t>,</w:t>
      </w:r>
      <w:r w:rsidR="006D525B" w:rsidRPr="003A68E2">
        <w:t xml:space="preserve"> and materials. Timbuktu had registered 1,191 </w:t>
      </w:r>
      <w:r w:rsidR="00900696" w:rsidRPr="003A68E2">
        <w:t xml:space="preserve">day trippers </w:t>
      </w:r>
      <w:r w:rsidR="006D525B" w:rsidRPr="003A68E2">
        <w:t xml:space="preserve">and 2,267 overnight stays </w:t>
      </w:r>
      <w:r w:rsidR="00900696" w:rsidRPr="003A68E2">
        <w:t xml:space="preserve">by </w:t>
      </w:r>
      <w:r w:rsidR="006D525B" w:rsidRPr="003A68E2">
        <w:t xml:space="preserve">international and national tourists in 2011, </w:t>
      </w:r>
      <w:r w:rsidR="00900696" w:rsidRPr="003A68E2">
        <w:t xml:space="preserve">compared to </w:t>
      </w:r>
      <w:r w:rsidR="006D525B" w:rsidRPr="003A68E2">
        <w:t xml:space="preserve">none in 2012, </w:t>
      </w:r>
      <w:r w:rsidR="00900696" w:rsidRPr="003A68E2">
        <w:t xml:space="preserve">with all </w:t>
      </w:r>
      <w:r w:rsidR="00FE1EFA">
        <w:t xml:space="preserve">its </w:t>
      </w:r>
      <w:r w:rsidR="006D525B" w:rsidRPr="003A68E2">
        <w:t>hotels close</w:t>
      </w:r>
      <w:r w:rsidR="00900696" w:rsidRPr="003A68E2">
        <w:t>d</w:t>
      </w:r>
      <w:r w:rsidR="006D525B" w:rsidRPr="003A68E2">
        <w:t>.</w:t>
      </w:r>
    </w:p>
    <w:p w14:paraId="29F97A53" w14:textId="3D294853" w:rsidR="006D525B" w:rsidRPr="003A68E2" w:rsidRDefault="00F00BA9" w:rsidP="003A68E2">
      <w:pPr>
        <w:pStyle w:val="BodyText"/>
        <w:spacing w:line="480" w:lineRule="auto"/>
        <w:ind w:right="349" w:firstLine="720"/>
      </w:pPr>
      <w:r w:rsidRPr="003A68E2">
        <w:t>T</w:t>
      </w:r>
      <w:r w:rsidR="006D525B" w:rsidRPr="003A68E2">
        <w:t xml:space="preserve">housands of </w:t>
      </w:r>
      <w:r w:rsidRPr="003A68E2">
        <w:t xml:space="preserve">the city’s </w:t>
      </w:r>
      <w:r w:rsidR="006D525B" w:rsidRPr="003A68E2">
        <w:t xml:space="preserve">inhabitants </w:t>
      </w:r>
      <w:r w:rsidRPr="003A68E2">
        <w:t xml:space="preserve">also </w:t>
      </w:r>
      <w:r w:rsidR="006D525B" w:rsidRPr="003A68E2">
        <w:t>fled to Bamako</w:t>
      </w:r>
      <w:r w:rsidR="00017261">
        <w:t>,</w:t>
      </w:r>
      <w:r w:rsidR="006D525B" w:rsidRPr="003A68E2">
        <w:t xml:space="preserve"> or neighboring countries</w:t>
      </w:r>
      <w:r w:rsidRPr="003A68E2">
        <w:t xml:space="preserve">, </w:t>
      </w:r>
      <w:r w:rsidR="00017261">
        <w:t xml:space="preserve">while </w:t>
      </w:r>
      <w:r w:rsidRPr="003A68E2">
        <w:t xml:space="preserve">others </w:t>
      </w:r>
      <w:r w:rsidR="00D465F5">
        <w:t>stopped working</w:t>
      </w:r>
      <w:r w:rsidR="00544385">
        <w:t xml:space="preserve">. An estimated eighty </w:t>
      </w:r>
      <w:r w:rsidRPr="003A68E2">
        <w:t>percent</w:t>
      </w:r>
      <w:r w:rsidR="006D525B" w:rsidRPr="003A68E2">
        <w:t xml:space="preserve"> of public employees left their position</w:t>
      </w:r>
      <w:r w:rsidRPr="003A68E2">
        <w:t>s</w:t>
      </w:r>
      <w:r w:rsidR="006D525B" w:rsidRPr="003A68E2">
        <w:t xml:space="preserve">, </w:t>
      </w:r>
      <w:r w:rsidR="006D525B" w:rsidRPr="003A68E2">
        <w:lastRenderedPageBreak/>
        <w:t xml:space="preserve">and </w:t>
      </w:r>
      <w:r w:rsidR="00544385">
        <w:t xml:space="preserve">sixty </w:t>
      </w:r>
      <w:r w:rsidRPr="003A68E2">
        <w:t>percent</w:t>
      </w:r>
      <w:r w:rsidR="006D525B" w:rsidRPr="003A68E2">
        <w:t xml:space="preserve"> of crafts</w:t>
      </w:r>
      <w:r w:rsidRPr="003A68E2">
        <w:t>pe</w:t>
      </w:r>
      <w:r w:rsidR="00544385">
        <w:t xml:space="preserve">ople </w:t>
      </w:r>
      <w:r w:rsidRPr="003A68E2">
        <w:t xml:space="preserve">were </w:t>
      </w:r>
      <w:r w:rsidR="006D525B" w:rsidRPr="003A68E2">
        <w:t xml:space="preserve">displaced. </w:t>
      </w:r>
      <w:r w:rsidRPr="003A68E2">
        <w:t xml:space="preserve">Other </w:t>
      </w:r>
      <w:r w:rsidR="006D525B" w:rsidRPr="003A68E2">
        <w:t xml:space="preserve">activities </w:t>
      </w:r>
      <w:r w:rsidRPr="003A68E2">
        <w:t xml:space="preserve">were interrupted </w:t>
      </w:r>
      <w:r w:rsidR="00544385">
        <w:t xml:space="preserve">as well, </w:t>
      </w:r>
      <w:r w:rsidRPr="003A68E2">
        <w:t xml:space="preserve">as </w:t>
      </w:r>
      <w:r w:rsidR="006D525B" w:rsidRPr="003A68E2">
        <w:t>youth and women</w:t>
      </w:r>
      <w:r w:rsidRPr="003A68E2">
        <w:t xml:space="preserve"> fled</w:t>
      </w:r>
      <w:r w:rsidR="006D525B" w:rsidRPr="003A68E2">
        <w:t xml:space="preserve">, </w:t>
      </w:r>
      <w:r w:rsidR="009B7F2B" w:rsidRPr="003A68E2">
        <w:t xml:space="preserve">as did </w:t>
      </w:r>
      <w:r w:rsidR="006D525B" w:rsidRPr="003A68E2">
        <w:t>development actors</w:t>
      </w:r>
      <w:r w:rsidR="00544385">
        <w:t xml:space="preserve"> as a result of </w:t>
      </w:r>
      <w:r w:rsidR="009B7F2B" w:rsidRPr="003A68E2">
        <w:t xml:space="preserve"> </w:t>
      </w:r>
      <w:r w:rsidR="006D525B" w:rsidRPr="003A68E2">
        <w:t xml:space="preserve">the suspension of public development aid and the consequent </w:t>
      </w:r>
      <w:r w:rsidR="00544385">
        <w:t>shutdown of</w:t>
      </w:r>
      <w:r w:rsidR="006D525B" w:rsidRPr="003A68E2">
        <w:t xml:space="preserve"> investment projects.</w:t>
      </w:r>
    </w:p>
    <w:p w14:paraId="62D693AC" w14:textId="74BC0F3B" w:rsidR="006D525B" w:rsidRPr="003A68E2" w:rsidRDefault="00886593" w:rsidP="003A68E2">
      <w:pPr>
        <w:pStyle w:val="BodyText"/>
        <w:spacing w:line="480" w:lineRule="auto"/>
        <w:ind w:right="297" w:firstLine="720"/>
      </w:pPr>
      <w:r w:rsidRPr="003A68E2">
        <w:t>M</w:t>
      </w:r>
      <w:r w:rsidR="006D525B" w:rsidRPr="003A68E2">
        <w:t xml:space="preserve">any </w:t>
      </w:r>
      <w:r w:rsidRPr="003A68E2">
        <w:t xml:space="preserve">public </w:t>
      </w:r>
      <w:r w:rsidR="006D525B" w:rsidRPr="003A68E2">
        <w:t xml:space="preserve">buildings </w:t>
      </w:r>
      <w:r w:rsidRPr="003A68E2">
        <w:t xml:space="preserve">were </w:t>
      </w:r>
      <w:r w:rsidR="006D525B" w:rsidRPr="003A68E2">
        <w:t xml:space="preserve">damaged, </w:t>
      </w:r>
      <w:r w:rsidR="000661FD">
        <w:t xml:space="preserve">with virtually all schools </w:t>
      </w:r>
      <w:r w:rsidR="006D525B" w:rsidRPr="003A68E2">
        <w:t>pillage</w:t>
      </w:r>
      <w:r w:rsidR="000661FD">
        <w:t>d</w:t>
      </w:r>
      <w:r w:rsidRPr="003A68E2">
        <w:t xml:space="preserve"> or </w:t>
      </w:r>
      <w:r w:rsidR="000661FD">
        <w:t>destroyed</w:t>
      </w:r>
      <w:r w:rsidR="006D525B" w:rsidRPr="003A68E2">
        <w:t xml:space="preserve">. </w:t>
      </w:r>
      <w:r w:rsidR="00595E94">
        <w:t>It is</w:t>
      </w:r>
      <w:r w:rsidR="00F77AD0" w:rsidRPr="003A68E2">
        <w:t xml:space="preserve"> </w:t>
      </w:r>
      <w:r w:rsidR="006D525B" w:rsidRPr="003A68E2">
        <w:t xml:space="preserve">estimated </w:t>
      </w:r>
      <w:r w:rsidR="00595E94">
        <w:t xml:space="preserve">that at least </w:t>
      </w:r>
      <w:r w:rsidR="00F77AD0" w:rsidRPr="003A68E2">
        <w:t>ninety-four thousand</w:t>
      </w:r>
      <w:r w:rsidR="006D525B" w:rsidRPr="003A68E2">
        <w:t xml:space="preserve"> children in the region </w:t>
      </w:r>
      <w:r w:rsidR="00F77AD0" w:rsidRPr="003A68E2">
        <w:t xml:space="preserve">were unable to attend </w:t>
      </w:r>
      <w:r w:rsidR="006D525B" w:rsidRPr="003A68E2">
        <w:t>school during the conflict.</w:t>
      </w:r>
      <w:r w:rsidR="00F77AD0" w:rsidRPr="003A68E2">
        <w:rPr>
          <w:rStyle w:val="EndnoteReference"/>
        </w:rPr>
        <w:endnoteReference w:id="9"/>
      </w:r>
      <w:r w:rsidR="006D525B" w:rsidRPr="003A68E2">
        <w:t xml:space="preserve"> In 2013, </w:t>
      </w:r>
      <w:r w:rsidR="00E52661" w:rsidRPr="003A68E2">
        <w:t>about</w:t>
      </w:r>
      <w:r w:rsidR="00FA39BD">
        <w:t xml:space="preserve"> fifty-three</w:t>
      </w:r>
      <w:r w:rsidR="00E52661" w:rsidRPr="003A68E2">
        <w:t xml:space="preserve"> percent</w:t>
      </w:r>
      <w:r w:rsidR="006D525B" w:rsidRPr="003A68E2">
        <w:t xml:space="preserve"> of primary </w:t>
      </w:r>
      <w:r w:rsidR="00E52661" w:rsidRPr="003A68E2">
        <w:t xml:space="preserve">school </w:t>
      </w:r>
      <w:r w:rsidR="006D525B" w:rsidRPr="003A68E2">
        <w:t xml:space="preserve">teachers were </w:t>
      </w:r>
      <w:r w:rsidR="00E52661" w:rsidRPr="003A68E2">
        <w:t xml:space="preserve">still </w:t>
      </w:r>
      <w:r w:rsidR="006D525B" w:rsidRPr="003A68E2">
        <w:t>present</w:t>
      </w:r>
      <w:r w:rsidR="00146574" w:rsidRPr="003A68E2">
        <w:t>,</w:t>
      </w:r>
      <w:r w:rsidR="006D525B" w:rsidRPr="003A68E2">
        <w:t xml:space="preserve"> </w:t>
      </w:r>
      <w:r w:rsidR="0003121B">
        <w:t xml:space="preserve">compared with </w:t>
      </w:r>
      <w:r w:rsidR="00FA39BD">
        <w:t>less than nine</w:t>
      </w:r>
      <w:r w:rsidR="00146574" w:rsidRPr="003A68E2">
        <w:t xml:space="preserve"> percent</w:t>
      </w:r>
      <w:r w:rsidR="006D525B" w:rsidRPr="003A68E2">
        <w:t xml:space="preserve"> </w:t>
      </w:r>
      <w:r w:rsidR="00146574" w:rsidRPr="003A68E2">
        <w:t xml:space="preserve">of </w:t>
      </w:r>
      <w:r w:rsidR="006D525B" w:rsidRPr="003A68E2">
        <w:t xml:space="preserve">secondary school </w:t>
      </w:r>
      <w:r w:rsidR="00146574" w:rsidRPr="003A68E2">
        <w:t xml:space="preserve">teachers </w:t>
      </w:r>
      <w:r w:rsidR="006D525B" w:rsidRPr="003A68E2">
        <w:t xml:space="preserve">and </w:t>
      </w:r>
      <w:r w:rsidR="00FA39BD">
        <w:t>eight</w:t>
      </w:r>
      <w:r w:rsidR="00146574" w:rsidRPr="003A68E2">
        <w:t xml:space="preserve"> percent</w:t>
      </w:r>
      <w:r w:rsidR="006D525B" w:rsidRPr="003A68E2">
        <w:t xml:space="preserve"> </w:t>
      </w:r>
      <w:r w:rsidR="00AB3C3C" w:rsidRPr="003A68E2">
        <w:t xml:space="preserve">of those </w:t>
      </w:r>
      <w:r w:rsidR="00FA39BD">
        <w:t>working in</w:t>
      </w:r>
      <w:r w:rsidR="006D525B" w:rsidRPr="003A68E2">
        <w:t xml:space="preserve"> vocationa</w:t>
      </w:r>
      <w:r w:rsidR="00FA39BD">
        <w:t>l and</w:t>
      </w:r>
      <w:r w:rsidR="006D525B" w:rsidRPr="003A68E2">
        <w:t xml:space="preserve"> technical education.</w:t>
      </w:r>
    </w:p>
    <w:p w14:paraId="5CEC1F4D" w14:textId="77777777" w:rsidR="006D525B" w:rsidRPr="003A68E2" w:rsidRDefault="006D525B" w:rsidP="003A68E2">
      <w:pPr>
        <w:pStyle w:val="BodyText"/>
        <w:spacing w:line="480" w:lineRule="auto"/>
        <w:ind w:firstLine="720"/>
      </w:pPr>
    </w:p>
    <w:p w14:paraId="4322571E" w14:textId="40619B58" w:rsidR="006D525B" w:rsidRPr="003A68E2" w:rsidRDefault="00736539" w:rsidP="003A68E2">
      <w:pPr>
        <w:pStyle w:val="Heading2"/>
        <w:spacing w:line="480" w:lineRule="auto"/>
      </w:pPr>
      <w:r w:rsidRPr="003A68E2">
        <w:t>The</w:t>
      </w:r>
      <w:r w:rsidR="00AB3C3C" w:rsidRPr="003A68E2">
        <w:t xml:space="preserve"> Mausoleums: </w:t>
      </w:r>
      <w:r w:rsidR="006D525B" w:rsidRPr="003A68E2">
        <w:t xml:space="preserve">Reconstruction Strategy </w:t>
      </w:r>
    </w:p>
    <w:p w14:paraId="11A3A6EF" w14:textId="7C4B2C69" w:rsidR="006D525B" w:rsidRPr="005115E5" w:rsidRDefault="006D525B" w:rsidP="003A68E2">
      <w:pPr>
        <w:pStyle w:val="BodyText"/>
        <w:spacing w:line="480" w:lineRule="auto"/>
        <w:rPr>
          <w:b/>
          <w:sz w:val="26"/>
        </w:rPr>
      </w:pPr>
      <w:r w:rsidRPr="003A68E2">
        <w:t xml:space="preserve">In order to guide the reconstruction process, a series of consultations took place </w:t>
      </w:r>
      <w:r w:rsidR="00017261">
        <w:t>among</w:t>
      </w:r>
      <w:r w:rsidRPr="003A68E2">
        <w:t xml:space="preserve"> the main representatives of the local communities and the corporation of traditional masons. The</w:t>
      </w:r>
      <w:r w:rsidR="00EE688C">
        <w:t>se</w:t>
      </w:r>
      <w:r w:rsidRPr="003A68E2">
        <w:t xml:space="preserve"> consultations </w:t>
      </w:r>
      <w:r w:rsidR="00691918">
        <w:t>made possible</w:t>
      </w:r>
      <w:r w:rsidR="00691918" w:rsidRPr="003A68E2">
        <w:t xml:space="preserve"> </w:t>
      </w:r>
      <w:r w:rsidRPr="003A68E2">
        <w:t xml:space="preserve">the compilation of traditional building practices and techniques, collected from the masons corporation, </w:t>
      </w:r>
      <w:r w:rsidR="001C116E">
        <w:t>who</w:t>
      </w:r>
      <w:r w:rsidR="00FA6CC2" w:rsidRPr="003A68E2">
        <w:t xml:space="preserve"> </w:t>
      </w:r>
      <w:r w:rsidRPr="003A68E2">
        <w:t>alone possess</w:t>
      </w:r>
      <w:r w:rsidR="00FA6CC2" w:rsidRPr="003A68E2">
        <w:t>ed</w:t>
      </w:r>
      <w:r w:rsidRPr="003A68E2">
        <w:t xml:space="preserve"> the ancestral kno</w:t>
      </w:r>
      <w:r w:rsidR="00017261">
        <w:t>wledge necessary</w:t>
      </w:r>
      <w:r w:rsidRPr="003A68E2">
        <w:t xml:space="preserve"> to undertake this type of reconstruction. </w:t>
      </w:r>
      <w:r w:rsidR="009D4DEE" w:rsidRPr="003A68E2">
        <w:t>Incorporating the masons in decision</w:t>
      </w:r>
      <w:r w:rsidR="004B72D1">
        <w:t>-</w:t>
      </w:r>
      <w:r w:rsidR="009D4DEE" w:rsidRPr="003A68E2">
        <w:t xml:space="preserve">making </w:t>
      </w:r>
      <w:r w:rsidRPr="003A68E2">
        <w:t>ensure</w:t>
      </w:r>
      <w:r w:rsidR="009D4DEE" w:rsidRPr="003A68E2">
        <w:t>d that</w:t>
      </w:r>
      <w:r w:rsidRPr="003A68E2">
        <w:t xml:space="preserve"> the mausoleums </w:t>
      </w:r>
      <w:r w:rsidR="009D4DEE" w:rsidRPr="003A68E2">
        <w:t xml:space="preserve">would be reconstructed </w:t>
      </w:r>
      <w:r w:rsidR="00017261">
        <w:t>using</w:t>
      </w:r>
      <w:r w:rsidRPr="003A68E2">
        <w:t xml:space="preserve"> traditional techniques to preserve the city’s </w:t>
      </w:r>
      <w:r w:rsidR="00FB2AA3">
        <w:t xml:space="preserve">architectural </w:t>
      </w:r>
      <w:r w:rsidRPr="003A68E2">
        <w:t>integrity. Thanks to data collected during the</w:t>
      </w:r>
      <w:r w:rsidR="001C116E">
        <w:t>se</w:t>
      </w:r>
      <w:r w:rsidRPr="003A68E2">
        <w:t xml:space="preserve"> consultations, </w:t>
      </w:r>
      <w:r w:rsidR="0034252F" w:rsidRPr="003A68E2">
        <w:t xml:space="preserve">knowledge of relevant </w:t>
      </w:r>
      <w:r w:rsidRPr="003A68E2">
        <w:t xml:space="preserve">construction </w:t>
      </w:r>
      <w:r w:rsidR="0034252F" w:rsidRPr="003A68E2">
        <w:t xml:space="preserve">skills </w:t>
      </w:r>
      <w:r w:rsidRPr="003A68E2">
        <w:t xml:space="preserve">was refined, a building site methodology adopted, </w:t>
      </w:r>
      <w:r w:rsidR="001C116E">
        <w:t>and a</w:t>
      </w:r>
      <w:r w:rsidRPr="003A68E2">
        <w:t xml:space="preserve"> proposal </w:t>
      </w:r>
      <w:r w:rsidR="004B72D1">
        <w:t>developed to detail the optimal</w:t>
      </w:r>
      <w:r w:rsidRPr="003A68E2">
        <w:t xml:space="preserve"> architectural state to be obtained </w:t>
      </w:r>
      <w:r w:rsidR="004B72D1">
        <w:t>through</w:t>
      </w:r>
      <w:r w:rsidRPr="003A68E2">
        <w:t xml:space="preserve"> reconstruction. Th</w:t>
      </w:r>
      <w:r w:rsidR="004B72D1">
        <w:t xml:space="preserve">is </w:t>
      </w:r>
      <w:r w:rsidRPr="003A68E2">
        <w:t>data was</w:t>
      </w:r>
      <w:r w:rsidR="004B72D1">
        <w:t xml:space="preserve"> then</w:t>
      </w:r>
      <w:r w:rsidRPr="003A68E2">
        <w:t xml:space="preserve"> </w:t>
      </w:r>
      <w:r w:rsidR="002B321B">
        <w:t xml:space="preserve">incorporated </w:t>
      </w:r>
      <w:r w:rsidRPr="003A68E2">
        <w:t xml:space="preserve">into a reconstruction strategy </w:t>
      </w:r>
      <w:r w:rsidR="00540C00">
        <w:t xml:space="preserve">with local communities </w:t>
      </w:r>
      <w:r w:rsidRPr="003A68E2">
        <w:t xml:space="preserve">at </w:t>
      </w:r>
      <w:r w:rsidR="00540C00">
        <w:t>its</w:t>
      </w:r>
      <w:r w:rsidR="00B1037C">
        <w:t xml:space="preserve"> </w:t>
      </w:r>
      <w:r w:rsidRPr="003A68E2">
        <w:t>heart. The strategy was adopted by the Malian government and</w:t>
      </w:r>
      <w:r w:rsidR="004B72D1">
        <w:t xml:space="preserve"> custodial</w:t>
      </w:r>
      <w:r w:rsidRPr="003A68E2">
        <w:t xml:space="preserve"> </w:t>
      </w:r>
      <w:r w:rsidR="00FB2AA3" w:rsidRPr="003A68E2">
        <w:t>communit</w:t>
      </w:r>
      <w:r w:rsidR="00FB2AA3">
        <w:t xml:space="preserve">ies </w:t>
      </w:r>
      <w:r w:rsidRPr="003A68E2">
        <w:t xml:space="preserve">in February 2014, </w:t>
      </w:r>
      <w:r w:rsidR="00F80AC5">
        <w:t xml:space="preserve">with the latter </w:t>
      </w:r>
      <w:r w:rsidRPr="003A68E2">
        <w:t>acting as the official guide for all stages of reconstruction</w:t>
      </w:r>
      <w:r w:rsidR="00C94006" w:rsidRPr="003A68E2">
        <w:t>,</w:t>
      </w:r>
      <w:r w:rsidRPr="003A68E2">
        <w:t xml:space="preserve"> including </w:t>
      </w:r>
      <w:r w:rsidR="004B72D1">
        <w:t xml:space="preserve">the </w:t>
      </w:r>
      <w:r w:rsidR="00C94006" w:rsidRPr="003A68E2">
        <w:t xml:space="preserve">required </w:t>
      </w:r>
      <w:r w:rsidRPr="003A68E2">
        <w:t>traditional ritual practices.</w:t>
      </w:r>
      <w:r w:rsidR="005941DD" w:rsidRPr="003A68E2">
        <w:rPr>
          <w:rStyle w:val="EndnoteReference"/>
        </w:rPr>
        <w:endnoteReference w:id="10"/>
      </w:r>
    </w:p>
    <w:p w14:paraId="6F61AA3A" w14:textId="42A2B13A" w:rsidR="006D525B" w:rsidRPr="005115E5" w:rsidRDefault="006F2B5D" w:rsidP="00733B79">
      <w:pPr>
        <w:pStyle w:val="BodyText"/>
        <w:spacing w:before="69" w:line="480" w:lineRule="auto"/>
        <w:ind w:right="177" w:firstLine="720"/>
        <w:rPr>
          <w:i/>
        </w:rPr>
      </w:pPr>
      <w:r>
        <w:t>R</w:t>
      </w:r>
      <w:r w:rsidR="006D525B" w:rsidRPr="003A68E2">
        <w:t xml:space="preserve">econstruction was undertaken in two phases. </w:t>
      </w:r>
      <w:r w:rsidR="00FE7E52" w:rsidRPr="003A68E2">
        <w:t>In t</w:t>
      </w:r>
      <w:r w:rsidR="00C94006" w:rsidRPr="003A68E2">
        <w:t xml:space="preserve">he </w:t>
      </w:r>
      <w:r w:rsidR="006D525B" w:rsidRPr="003A68E2">
        <w:t>first</w:t>
      </w:r>
      <w:r w:rsidR="008B4605">
        <w:t xml:space="preserve"> phase</w:t>
      </w:r>
      <w:r w:rsidR="00FE7E52" w:rsidRPr="003A68E2">
        <w:t xml:space="preserve">, </w:t>
      </w:r>
      <w:r w:rsidR="008B4605">
        <w:t>spanning</w:t>
      </w:r>
      <w:r w:rsidR="006D525B" w:rsidRPr="003A68E2">
        <w:t xml:space="preserve"> 14 March</w:t>
      </w:r>
      <w:r w:rsidR="004821A9" w:rsidRPr="003A68E2">
        <w:t xml:space="preserve"> </w:t>
      </w:r>
      <w:r w:rsidR="008B4605">
        <w:t xml:space="preserve"> to 15 </w:t>
      </w:r>
      <w:r w:rsidR="008B4605">
        <w:lastRenderedPageBreak/>
        <w:t>May, 2014</w:t>
      </w:r>
      <w:r w:rsidR="00FE7E52" w:rsidRPr="003A68E2">
        <w:t>,</w:t>
      </w:r>
      <w:r w:rsidR="006D525B" w:rsidRPr="003A68E2">
        <w:t xml:space="preserve"> </w:t>
      </w:r>
      <w:r w:rsidR="00FE7E52" w:rsidRPr="003A68E2">
        <w:t>l</w:t>
      </w:r>
      <w:r w:rsidR="006D525B" w:rsidRPr="003A68E2">
        <w:t xml:space="preserve">ocal masons </w:t>
      </w:r>
      <w:r w:rsidR="001C3690">
        <w:t>applied</w:t>
      </w:r>
      <w:r w:rsidR="008B4605" w:rsidRPr="003A68E2">
        <w:t xml:space="preserve"> </w:t>
      </w:r>
      <w:r w:rsidR="006D525B" w:rsidRPr="003A68E2">
        <w:t>the agreed</w:t>
      </w:r>
      <w:r w:rsidR="008B4605">
        <w:t>-upon</w:t>
      </w:r>
      <w:r w:rsidR="006D525B" w:rsidRPr="003A68E2">
        <w:t xml:space="preserve"> strategy </w:t>
      </w:r>
      <w:r w:rsidR="008B4605">
        <w:t>at</w:t>
      </w:r>
      <w:r w:rsidR="004821A9" w:rsidRPr="003A68E2">
        <w:t xml:space="preserve"> </w:t>
      </w:r>
      <w:r w:rsidR="006D525B" w:rsidRPr="003A68E2">
        <w:t xml:space="preserve">the two mausoleums located near the Djingareyber Mosque (Sheik Baber Baba Idjè and Sheik Mahamane </w:t>
      </w:r>
      <w:r w:rsidR="00C13FF0">
        <w:t>a</w:t>
      </w:r>
      <w:r w:rsidR="006D525B" w:rsidRPr="003A68E2">
        <w:t>l</w:t>
      </w:r>
      <w:r w:rsidR="00C13FF0">
        <w:t>-</w:t>
      </w:r>
      <w:r w:rsidR="006D525B" w:rsidRPr="003A68E2">
        <w:t xml:space="preserve">Fulani mausoleums). This pilot phase refined methodologies </w:t>
      </w:r>
      <w:r w:rsidR="008B4605">
        <w:t xml:space="preserve">for </w:t>
      </w:r>
      <w:r w:rsidR="006D525B" w:rsidRPr="003A68E2">
        <w:t xml:space="preserve">the </w:t>
      </w:r>
      <w:r w:rsidR="007C2FCF" w:rsidRPr="003A68E2">
        <w:t xml:space="preserve">various </w:t>
      </w:r>
      <w:r w:rsidR="006D525B" w:rsidRPr="003A68E2">
        <w:t>steps</w:t>
      </w:r>
      <w:r w:rsidR="008B4605">
        <w:t xml:space="preserve"> </w:t>
      </w:r>
      <w:r w:rsidR="007507A5">
        <w:t>of reconstruction</w:t>
      </w:r>
      <w:r w:rsidR="008B4605">
        <w:t>. It encouraged</w:t>
      </w:r>
      <w:r w:rsidR="006D525B" w:rsidRPr="003A68E2">
        <w:t xml:space="preserve"> </w:t>
      </w:r>
      <w:r w:rsidR="007C2FCF" w:rsidRPr="003A68E2">
        <w:t xml:space="preserve">the </w:t>
      </w:r>
      <w:r w:rsidR="006D525B" w:rsidRPr="003A68E2">
        <w:t>consolidat</w:t>
      </w:r>
      <w:r w:rsidR="007C2FCF" w:rsidRPr="003A68E2">
        <w:t>ion of</w:t>
      </w:r>
      <w:r w:rsidR="006D525B" w:rsidRPr="003A68E2">
        <w:t xml:space="preserve"> approaches and methods while </w:t>
      </w:r>
      <w:r w:rsidR="00BC33D3">
        <w:t xml:space="preserve">also </w:t>
      </w:r>
      <w:r w:rsidR="006D525B" w:rsidRPr="003A68E2">
        <w:t>documenting the entire reconstruction process. The second phase</w:t>
      </w:r>
      <w:r w:rsidR="007F711C">
        <w:t xml:space="preserve"> </w:t>
      </w:r>
      <w:r w:rsidR="006D525B" w:rsidRPr="003A68E2">
        <w:t>correspon</w:t>
      </w:r>
      <w:r w:rsidR="007F711C">
        <w:t>ded</w:t>
      </w:r>
      <w:r w:rsidR="006D525B" w:rsidRPr="003A68E2">
        <w:t xml:space="preserve"> to the reconstruction of the twelve remaining mausoleums between February and September 2015. </w:t>
      </w:r>
      <w:r w:rsidR="007F711C">
        <w:t xml:space="preserve">The </w:t>
      </w:r>
      <w:r w:rsidR="006D525B" w:rsidRPr="003A68E2">
        <w:t xml:space="preserve">mausoleums were sanctified during an inauguration ceremony in Timbuktu on 18 July </w:t>
      </w:r>
      <w:r w:rsidR="007F711C">
        <w:t>2015</w:t>
      </w:r>
      <w:r w:rsidR="00D846D7" w:rsidRPr="003A68E2">
        <w:t xml:space="preserve"> </w:t>
      </w:r>
      <w:r w:rsidR="006D525B" w:rsidRPr="003A68E2">
        <w:t xml:space="preserve">in the presence of the then </w:t>
      </w:r>
      <w:r w:rsidR="00D846D7" w:rsidRPr="003A68E2">
        <w:t>d</w:t>
      </w:r>
      <w:r w:rsidR="006D525B" w:rsidRPr="003A68E2">
        <w:t>irector-</w:t>
      </w:r>
      <w:r w:rsidR="00D846D7" w:rsidRPr="003A68E2">
        <w:t>g</w:t>
      </w:r>
      <w:r w:rsidR="006D525B" w:rsidRPr="003A68E2">
        <w:t xml:space="preserve">eneral of UNESCO, Irina Bokova. </w:t>
      </w:r>
      <w:r w:rsidR="00366C72">
        <w:t>O</w:t>
      </w:r>
      <w:r w:rsidR="006D525B" w:rsidRPr="003A68E2">
        <w:t xml:space="preserve">n 4 February 2016, </w:t>
      </w:r>
      <w:r w:rsidR="0065424A">
        <w:t>a</w:t>
      </w:r>
      <w:r w:rsidR="0065424A" w:rsidRPr="006A073D">
        <w:t xml:space="preserve"> </w:t>
      </w:r>
      <w:r w:rsidR="00B644E8">
        <w:t xml:space="preserve">further </w:t>
      </w:r>
      <w:r w:rsidR="0065424A" w:rsidRPr="006A073D">
        <w:t>consecration ceremony took place</w:t>
      </w:r>
      <w:r w:rsidR="00E96926">
        <w:t xml:space="preserve">—a necessary </w:t>
      </w:r>
      <w:r w:rsidR="00B644E8">
        <w:t xml:space="preserve">ritual for the </w:t>
      </w:r>
      <w:r w:rsidR="006D525B" w:rsidRPr="003A68E2">
        <w:t xml:space="preserve">families </w:t>
      </w:r>
      <w:r w:rsidR="00E96926">
        <w:t>to</w:t>
      </w:r>
      <w:r w:rsidR="006D525B" w:rsidRPr="003A68E2">
        <w:t xml:space="preserve"> fully repossess their mausoleums. According to local religious leaders, such </w:t>
      </w:r>
      <w:r w:rsidR="00045E86" w:rsidRPr="003A68E2">
        <w:t xml:space="preserve">a </w:t>
      </w:r>
      <w:r w:rsidR="00B644E8">
        <w:t xml:space="preserve">consecration </w:t>
      </w:r>
      <w:r w:rsidR="006D525B" w:rsidRPr="003A68E2">
        <w:t xml:space="preserve">ceremony was last held </w:t>
      </w:r>
      <w:r w:rsidR="00045E86" w:rsidRPr="003A68E2">
        <w:t xml:space="preserve">for the Timbuktu mausoleums </w:t>
      </w:r>
      <w:r w:rsidR="006D525B" w:rsidRPr="003A68E2">
        <w:t xml:space="preserve">in the </w:t>
      </w:r>
      <w:r w:rsidR="00045E86" w:rsidRPr="003A68E2">
        <w:t xml:space="preserve">eleventh </w:t>
      </w:r>
      <w:r w:rsidR="006D525B" w:rsidRPr="003A68E2">
        <w:t xml:space="preserve">century, as no </w:t>
      </w:r>
      <w:r w:rsidR="006F3F59">
        <w:t xml:space="preserve">events of </w:t>
      </w:r>
      <w:r w:rsidR="006D525B" w:rsidRPr="003A68E2">
        <w:t>mass destruction had taken place</w:t>
      </w:r>
      <w:r w:rsidR="00045E86" w:rsidRPr="003A68E2">
        <w:t xml:space="preserve"> in </w:t>
      </w:r>
      <w:r w:rsidR="006F3F59">
        <w:t xml:space="preserve">the intervening </w:t>
      </w:r>
      <w:r w:rsidR="00600D31">
        <w:t>milennium</w:t>
      </w:r>
      <w:r w:rsidR="006D525B" w:rsidRPr="003A68E2">
        <w:t xml:space="preserve">. </w:t>
      </w:r>
      <w:r w:rsidR="006F3F59">
        <w:t xml:space="preserve">The </w:t>
      </w:r>
      <w:r w:rsidR="00482B92">
        <w:t xml:space="preserve">consecration </w:t>
      </w:r>
      <w:r w:rsidR="006F3F59">
        <w:t xml:space="preserve">ceremony </w:t>
      </w:r>
      <w:r w:rsidR="006D525B" w:rsidRPr="003A68E2">
        <w:t>was intended to invoke divine mercy</w:t>
      </w:r>
      <w:r w:rsidR="00482B92">
        <w:t xml:space="preserve"> and</w:t>
      </w:r>
      <w:r w:rsidR="00045E86" w:rsidRPr="003A68E2">
        <w:t xml:space="preserve"> </w:t>
      </w:r>
      <w:r w:rsidR="006D525B" w:rsidRPr="003A68E2">
        <w:t>provide the basis for peace, cohesion</w:t>
      </w:r>
      <w:r w:rsidR="00045E86" w:rsidRPr="003A68E2">
        <w:t>,</w:t>
      </w:r>
      <w:r w:rsidR="006D525B" w:rsidRPr="003A68E2">
        <w:t xml:space="preserve"> and tranquility. </w:t>
      </w:r>
      <w:r w:rsidR="006F3F59">
        <w:t>It</w:t>
      </w:r>
      <w:r w:rsidR="006D525B" w:rsidRPr="003A68E2">
        <w:t xml:space="preserve"> began in the early morning with the sacrifice of cows and </w:t>
      </w:r>
      <w:r w:rsidR="007E176F" w:rsidRPr="003A68E2">
        <w:t xml:space="preserve">the </w:t>
      </w:r>
      <w:r w:rsidR="006D525B" w:rsidRPr="003A68E2">
        <w:t>reading of Quranic verses</w:t>
      </w:r>
      <w:r w:rsidR="00AB20D8">
        <w:t>, and</w:t>
      </w:r>
      <w:r w:rsidR="006D525B" w:rsidRPr="003A68E2">
        <w:t xml:space="preserve"> concluded with </w:t>
      </w:r>
      <w:r w:rsidR="00B925AB" w:rsidRPr="003A68E2">
        <w:t>the pronouncement of Al-</w:t>
      </w:r>
      <w:r w:rsidR="006D525B" w:rsidRPr="003A68E2">
        <w:t>Fatiha (prayers</w:t>
      </w:r>
      <w:r w:rsidR="00B925AB" w:rsidRPr="003A68E2">
        <w:t xml:space="preserve"> from the Quran</w:t>
      </w:r>
      <w:r w:rsidR="006D525B" w:rsidRPr="003A68E2">
        <w:t>) by the imam of the Djingareyber Mosque. In Timbuktu, these religious rites also represent the rejection of intolerance, violent extremism</w:t>
      </w:r>
      <w:r w:rsidR="00AB1CF6" w:rsidRPr="003A68E2">
        <w:t>,</w:t>
      </w:r>
      <w:r w:rsidR="006D525B" w:rsidRPr="003A68E2">
        <w:t xml:space="preserve"> and religious fundamentalism. </w:t>
      </w:r>
      <w:r w:rsidR="00AB1CF6" w:rsidRPr="003A68E2">
        <w:t>Th</w:t>
      </w:r>
      <w:r w:rsidR="00482B92">
        <w:t>is</w:t>
      </w:r>
      <w:r w:rsidR="00AB1CF6" w:rsidRPr="003A68E2">
        <w:t xml:space="preserve"> </w:t>
      </w:r>
      <w:r w:rsidR="006D525B" w:rsidRPr="003A68E2">
        <w:t xml:space="preserve">ceremony constituted the last step of Timbuktu’s cultural rebirth after the destruction </w:t>
      </w:r>
      <w:r w:rsidR="00F31FB6" w:rsidRPr="003A68E2">
        <w:t xml:space="preserve">of the mausoleums </w:t>
      </w:r>
      <w:r w:rsidR="006D525B" w:rsidRPr="003A68E2">
        <w:rPr>
          <w:b/>
        </w:rPr>
        <w:t xml:space="preserve">(fig. </w:t>
      </w:r>
      <w:r w:rsidR="00AB1CF6" w:rsidRPr="003A68E2">
        <w:rPr>
          <w:b/>
        </w:rPr>
        <w:t>14.</w:t>
      </w:r>
      <w:r w:rsidR="006D525B" w:rsidRPr="003A68E2">
        <w:rPr>
          <w:b/>
        </w:rPr>
        <w:t>4)</w:t>
      </w:r>
      <w:r w:rsidR="006D525B" w:rsidRPr="003A68E2">
        <w:t xml:space="preserve">. </w:t>
      </w:r>
    </w:p>
    <w:p w14:paraId="10CC52FB" w14:textId="6163CA87" w:rsidR="006D525B" w:rsidRPr="003A68E2" w:rsidRDefault="006D525B" w:rsidP="003A68E2">
      <w:pPr>
        <w:pStyle w:val="BodyText"/>
        <w:spacing w:line="480" w:lineRule="auto"/>
        <w:ind w:firstLine="720"/>
        <w:rPr>
          <w:iCs/>
          <w:sz w:val="26"/>
        </w:rPr>
      </w:pPr>
    </w:p>
    <w:p w14:paraId="4C5D8CC3" w14:textId="1C650AB6" w:rsidR="006D525B" w:rsidRPr="003A68E2" w:rsidRDefault="006D525B">
      <w:pPr>
        <w:pStyle w:val="Heading2"/>
        <w:spacing w:line="480" w:lineRule="auto"/>
      </w:pPr>
      <w:r w:rsidRPr="003A68E2">
        <w:t>International Justice and Communit</w:t>
      </w:r>
      <w:r w:rsidR="00B07F4F">
        <w:t>y Reparations</w:t>
      </w:r>
    </w:p>
    <w:p w14:paraId="4AAB1BD8" w14:textId="3BAF203E" w:rsidR="00040165" w:rsidRDefault="006D525B">
      <w:pPr>
        <w:pStyle w:val="BodyText"/>
        <w:spacing w:before="69" w:line="480" w:lineRule="auto"/>
      </w:pPr>
      <w:r w:rsidRPr="003A68E2">
        <w:t xml:space="preserve">In May 2012, when the first mausoleums of the saints were defaced by Ansar Dine, UNESCO alerted </w:t>
      </w:r>
      <w:r w:rsidR="00AF315F" w:rsidRPr="003A68E2">
        <w:t xml:space="preserve">the </w:t>
      </w:r>
      <w:r w:rsidRPr="003A68E2">
        <w:t xml:space="preserve">Malian government to the importance of enforcing the 1954 Hague Convention </w:t>
      </w:r>
      <w:r w:rsidR="009630E0" w:rsidRPr="003A68E2">
        <w:t>for the Protection of Cultural Property in the Event of Armed Conflict</w:t>
      </w:r>
      <w:r w:rsidR="00AD4D1D">
        <w:t xml:space="preserve">. </w:t>
      </w:r>
      <w:r w:rsidRPr="003A68E2">
        <w:t xml:space="preserve">Mali had been </w:t>
      </w:r>
      <w:r w:rsidR="009630E0" w:rsidRPr="003A68E2">
        <w:t>p</w:t>
      </w:r>
      <w:r w:rsidRPr="003A68E2">
        <w:t xml:space="preserve">arty </w:t>
      </w:r>
      <w:r w:rsidR="00AD4D1D">
        <w:t xml:space="preserve">to this </w:t>
      </w:r>
      <w:r w:rsidR="00AD4D1D">
        <w:lastRenderedPageBreak/>
        <w:t xml:space="preserve">convention </w:t>
      </w:r>
      <w:r w:rsidRPr="003A68E2">
        <w:t>since 1961</w:t>
      </w:r>
      <w:r w:rsidR="009630E0" w:rsidRPr="003A68E2">
        <w:t>,</w:t>
      </w:r>
      <w:r w:rsidRPr="003A68E2">
        <w:t xml:space="preserve"> </w:t>
      </w:r>
      <w:r w:rsidR="007C1203">
        <w:t>making it highly desirable to</w:t>
      </w:r>
      <w:r w:rsidRPr="003A68E2">
        <w:t xml:space="preserve"> ratify </w:t>
      </w:r>
      <w:r w:rsidR="00EE5537">
        <w:t>the convention’s</w:t>
      </w:r>
      <w:r w:rsidR="00EE5537" w:rsidRPr="003A68E2">
        <w:t xml:space="preserve"> </w:t>
      </w:r>
      <w:r w:rsidRPr="003A68E2">
        <w:t xml:space="preserve">1999 Second Protocol, which would allow for the enforcement of its </w:t>
      </w:r>
      <w:r w:rsidR="00942D4A" w:rsidRPr="003A68E2">
        <w:t>Chap</w:t>
      </w:r>
      <w:r w:rsidR="00EE11AF" w:rsidRPr="003A68E2">
        <w:t>t</w:t>
      </w:r>
      <w:r w:rsidR="00942D4A" w:rsidRPr="003A68E2">
        <w:t xml:space="preserve">er 4 </w:t>
      </w:r>
      <w:r w:rsidRPr="003A68E2">
        <w:t xml:space="preserve">provisions on criminal responsibility and jurisdiction. Mali </w:t>
      </w:r>
      <w:r w:rsidR="008459FF" w:rsidRPr="003A68E2">
        <w:t xml:space="preserve">is </w:t>
      </w:r>
      <w:r w:rsidRPr="003A68E2">
        <w:t xml:space="preserve">also a </w:t>
      </w:r>
      <w:r w:rsidR="008459FF" w:rsidRPr="003A68E2">
        <w:t>p</w:t>
      </w:r>
      <w:r w:rsidRPr="003A68E2">
        <w:t>arty to the Rome Statute</w:t>
      </w:r>
      <w:r w:rsidR="008459FF" w:rsidRPr="003A68E2">
        <w:t xml:space="preserve"> of</w:t>
      </w:r>
      <w:r w:rsidR="00B05FE9" w:rsidRPr="003A68E2">
        <w:t xml:space="preserve"> </w:t>
      </w:r>
      <w:r w:rsidR="00E2090D" w:rsidRPr="003A68E2">
        <w:t xml:space="preserve">the </w:t>
      </w:r>
      <w:r w:rsidRPr="003A68E2">
        <w:t>ICC</w:t>
      </w:r>
      <w:r w:rsidR="00040165">
        <w:t>.</w:t>
      </w:r>
      <w:r w:rsidRPr="003A68E2">
        <w:t xml:space="preserve"> </w:t>
      </w:r>
      <w:r w:rsidR="007C1203">
        <w:t>C</w:t>
      </w:r>
      <w:r w:rsidRPr="003A68E2">
        <w:t>onformi</w:t>
      </w:r>
      <w:r w:rsidR="007C1203">
        <w:t xml:space="preserve">ng </w:t>
      </w:r>
      <w:r w:rsidRPr="003A68E2">
        <w:t xml:space="preserve">with </w:t>
      </w:r>
      <w:r w:rsidR="00040165">
        <w:t>its obligations under</w:t>
      </w:r>
      <w:r w:rsidR="00B05FE9" w:rsidRPr="003A68E2">
        <w:t xml:space="preserve"> </w:t>
      </w:r>
      <w:r w:rsidRPr="003A68E2">
        <w:t xml:space="preserve">Article 14 </w:t>
      </w:r>
      <w:r w:rsidR="00040165">
        <w:t>of the statute</w:t>
      </w:r>
      <w:r w:rsidR="00B05FE9" w:rsidRPr="003A68E2">
        <w:t xml:space="preserve">, the </w:t>
      </w:r>
      <w:r w:rsidR="00362959">
        <w:t xml:space="preserve">Malian </w:t>
      </w:r>
      <w:r w:rsidR="00B05FE9" w:rsidRPr="003A68E2">
        <w:t>government referred the situation to the court</w:t>
      </w:r>
      <w:r w:rsidR="00040165" w:rsidRPr="006A073D">
        <w:t xml:space="preserve"> on 13 July 2012</w:t>
      </w:r>
      <w:r w:rsidRPr="003A68E2">
        <w:t>. In its letter, the government considered the destruction of mausoleums, mosques</w:t>
      </w:r>
      <w:r w:rsidR="00B05FE9" w:rsidRPr="003A68E2">
        <w:t>,</w:t>
      </w:r>
      <w:r w:rsidRPr="003A68E2">
        <w:t xml:space="preserve"> and churches </w:t>
      </w:r>
      <w:r w:rsidR="00B05FE9" w:rsidRPr="003A68E2">
        <w:t>“</w:t>
      </w:r>
      <w:r w:rsidRPr="003A68E2">
        <w:t>serious and massive violations of human rights and international humanitarian law</w:t>
      </w:r>
      <w:r w:rsidR="007C2FF1" w:rsidRPr="003A68E2">
        <w:t>.”</w:t>
      </w:r>
      <w:r w:rsidRPr="003A68E2">
        <w:t xml:space="preserve"> Considering these acts to constitute war crimes under the jurisdiction of the ICC, the government requested that those identified be charged </w:t>
      </w:r>
      <w:r w:rsidR="007C2FF1" w:rsidRPr="003A68E2">
        <w:t xml:space="preserve">with </w:t>
      </w:r>
      <w:r w:rsidRPr="003A68E2">
        <w:t>committing these crimes.</w:t>
      </w:r>
    </w:p>
    <w:p w14:paraId="5EC30DB7" w14:textId="3C4C77CC" w:rsidR="00151AE5" w:rsidRPr="003A68E2" w:rsidRDefault="00930C93">
      <w:pPr>
        <w:pStyle w:val="BodyText"/>
        <w:spacing w:before="69" w:line="480" w:lineRule="auto"/>
        <w:ind w:firstLine="720"/>
      </w:pPr>
      <w:r w:rsidRPr="003A68E2">
        <w:t xml:space="preserve">The </w:t>
      </w:r>
      <w:r w:rsidR="00040165">
        <w:t xml:space="preserve">ICC’s </w:t>
      </w:r>
      <w:r w:rsidRPr="003A68E2">
        <w:t xml:space="preserve">Office of the Prosecutor </w:t>
      </w:r>
      <w:r w:rsidR="00701676">
        <w:t xml:space="preserve">duly </w:t>
      </w:r>
      <w:r w:rsidRPr="003A68E2">
        <w:t>opened i</w:t>
      </w:r>
      <w:r w:rsidR="006D525B" w:rsidRPr="003A68E2">
        <w:t xml:space="preserve">nvestigations on 16 January 2013, </w:t>
      </w:r>
      <w:r w:rsidR="00F84901" w:rsidRPr="003A68E2">
        <w:t xml:space="preserve">and the court issued an </w:t>
      </w:r>
      <w:r w:rsidR="006D525B" w:rsidRPr="003A68E2">
        <w:t xml:space="preserve">arrest </w:t>
      </w:r>
      <w:r w:rsidR="00F84901" w:rsidRPr="003A68E2">
        <w:t>warrant for Ahmad al-Mahdi</w:t>
      </w:r>
      <w:r w:rsidR="00F84901" w:rsidRPr="003A68E2" w:rsidDel="00F84901">
        <w:t xml:space="preserve"> </w:t>
      </w:r>
      <w:r w:rsidR="006D525B" w:rsidRPr="003A68E2">
        <w:t>on 18 September 2015 “for war crimes of intentionally directing attacks against historic monuments and building</w:t>
      </w:r>
      <w:r w:rsidR="005C7ECB">
        <w:t>s</w:t>
      </w:r>
      <w:r w:rsidR="006D525B" w:rsidRPr="003A68E2">
        <w:t xml:space="preserve"> dedicated to religion, including nine mausoleums and one mosque in Timbuktu, Mali, committed between 30 June 2012 and 10 July 2012</w:t>
      </w:r>
      <w:r w:rsidR="007C2FF1" w:rsidRPr="003A68E2">
        <w:t>.”</w:t>
      </w:r>
      <w:r w:rsidR="00972DFF">
        <w:rPr>
          <w:rStyle w:val="EndnoteReference"/>
        </w:rPr>
        <w:endnoteReference w:id="11"/>
      </w:r>
      <w:r w:rsidR="006D525B" w:rsidRPr="003A68E2">
        <w:t xml:space="preserve"> Al</w:t>
      </w:r>
      <w:r w:rsidR="0038404F" w:rsidRPr="003A68E2">
        <w:t>-</w:t>
      </w:r>
      <w:r w:rsidR="006D525B" w:rsidRPr="003A68E2">
        <w:t xml:space="preserve">Mahdi was subsequently surrendered to the ICC by the authorities of Niger, and </w:t>
      </w:r>
      <w:r w:rsidR="003A3A8E">
        <w:t>formally charged</w:t>
      </w:r>
      <w:r w:rsidR="006D525B" w:rsidRPr="003A68E2">
        <w:t xml:space="preserve"> on 24 March 2016. The </w:t>
      </w:r>
      <w:r w:rsidR="006A5B58" w:rsidRPr="003A68E2">
        <w:t xml:space="preserve">ICC </w:t>
      </w:r>
      <w:r w:rsidR="006D525B" w:rsidRPr="003A68E2">
        <w:t xml:space="preserve">based </w:t>
      </w:r>
      <w:r w:rsidR="006A5B58" w:rsidRPr="003A68E2">
        <w:t xml:space="preserve">the </w:t>
      </w:r>
      <w:r w:rsidR="006D525B" w:rsidRPr="003A68E2">
        <w:t xml:space="preserve">charges </w:t>
      </w:r>
      <w:r w:rsidR="00151AE5" w:rsidRPr="003A68E2">
        <w:t xml:space="preserve">partly </w:t>
      </w:r>
      <w:r w:rsidR="006D525B" w:rsidRPr="003A68E2">
        <w:t>on UNESCO’s explanation that the mausoleums reflected part of Timbuktu’s history an</w:t>
      </w:r>
      <w:r w:rsidR="00362959">
        <w:t xml:space="preserve">d the city's </w:t>
      </w:r>
      <w:r w:rsidR="006D525B" w:rsidRPr="003A68E2">
        <w:t xml:space="preserve"> role in the expansion of Islam in Africa. In particular, UNESCO considered that the</w:t>
      </w:r>
      <w:r w:rsidR="003A3A8E">
        <w:t xml:space="preserve"> mausoleums</w:t>
      </w:r>
      <w:r w:rsidR="006D525B" w:rsidRPr="003A68E2">
        <w:t xml:space="preserve"> “were of great importance to the people of Timbuktu, who admired them and were attached to them. They reflected their commitment to Islam and played a psychological role to the extent of being perceived as protecting the people of Timbuktu</w:t>
      </w:r>
      <w:r w:rsidR="007C2FF1" w:rsidRPr="003A68E2">
        <w:t>.”</w:t>
      </w:r>
      <w:r w:rsidR="00C109A5">
        <w:rPr>
          <w:rStyle w:val="EndnoteReference"/>
        </w:rPr>
        <w:endnoteReference w:id="12"/>
      </w:r>
      <w:r w:rsidR="006D525B" w:rsidRPr="003A68E2">
        <w:t xml:space="preserve"> </w:t>
      </w:r>
    </w:p>
    <w:p w14:paraId="24F369FF" w14:textId="3390B32F" w:rsidR="006D525B" w:rsidRPr="003A68E2" w:rsidRDefault="00151AE5" w:rsidP="003A68E2">
      <w:pPr>
        <w:pStyle w:val="BodyText"/>
        <w:spacing w:before="69" w:line="480" w:lineRule="auto"/>
        <w:ind w:firstLine="720"/>
      </w:pPr>
      <w:r w:rsidRPr="003A68E2">
        <w:t xml:space="preserve">Al-Mahdi’s </w:t>
      </w:r>
      <w:r w:rsidR="006D525B" w:rsidRPr="003A68E2">
        <w:t>trial took place from 22</w:t>
      </w:r>
      <w:r w:rsidR="00EA489A" w:rsidRPr="003A68E2">
        <w:t xml:space="preserve"> to </w:t>
      </w:r>
      <w:r w:rsidR="006D525B" w:rsidRPr="003A68E2">
        <w:t xml:space="preserve">24 August </w:t>
      </w:r>
      <w:r w:rsidR="0003247D" w:rsidRPr="003A68E2">
        <w:t>2016</w:t>
      </w:r>
      <w:r w:rsidR="003A3A8E">
        <w:t xml:space="preserve">. </w:t>
      </w:r>
      <w:r w:rsidR="00241E8A">
        <w:t>In an unanimous verdict announced o</w:t>
      </w:r>
      <w:r w:rsidR="003A3A8E">
        <w:t xml:space="preserve">n 27 September, </w:t>
      </w:r>
      <w:r w:rsidR="00241E8A">
        <w:t>he was found</w:t>
      </w:r>
      <w:r w:rsidR="003A3A8E">
        <w:t xml:space="preserve"> </w:t>
      </w:r>
      <w:r w:rsidR="006D525B" w:rsidRPr="003A68E2">
        <w:t>guilty</w:t>
      </w:r>
      <w:r w:rsidR="00FF7812" w:rsidRPr="003A68E2">
        <w:t xml:space="preserve"> </w:t>
      </w:r>
      <w:r w:rsidR="006D525B" w:rsidRPr="003A68E2">
        <w:t>of committing “the war crime of intentionally directing attacks against historic monuments and buildings dedicated to religion, including nine mausoleums and one mosque in Timbuktu, Mali, in June and July 2012</w:t>
      </w:r>
      <w:r w:rsidR="0095653F" w:rsidRPr="003A68E2">
        <w:t>.</w:t>
      </w:r>
      <w:r w:rsidR="006D525B" w:rsidRPr="003A68E2">
        <w:t>”</w:t>
      </w:r>
      <w:r w:rsidR="0095653F" w:rsidRPr="003A68E2">
        <w:rPr>
          <w:rStyle w:val="EndnoteReference"/>
        </w:rPr>
        <w:endnoteReference w:id="13"/>
      </w:r>
      <w:r w:rsidR="00323FC8" w:rsidRPr="003A68E2">
        <w:t xml:space="preserve"> He was </w:t>
      </w:r>
      <w:r w:rsidR="006D525B" w:rsidRPr="003A68E2">
        <w:t>sentenced to nine years</w:t>
      </w:r>
      <w:r w:rsidR="00323FC8" w:rsidRPr="003A68E2">
        <w:t>’</w:t>
      </w:r>
      <w:r w:rsidR="006D525B" w:rsidRPr="003A68E2">
        <w:t xml:space="preserve"> </w:t>
      </w:r>
      <w:r w:rsidR="006D525B" w:rsidRPr="003A68E2">
        <w:lastRenderedPageBreak/>
        <w:t>imprisonment. It should be noted that Al</w:t>
      </w:r>
      <w:r w:rsidR="0095653F" w:rsidRPr="003A68E2">
        <w:t>-</w:t>
      </w:r>
      <w:r w:rsidR="006D525B" w:rsidRPr="003A68E2">
        <w:t xml:space="preserve">Mahdi </w:t>
      </w:r>
      <w:r w:rsidR="0095653F" w:rsidRPr="003A68E2">
        <w:t xml:space="preserve">pled guilty to </w:t>
      </w:r>
      <w:r w:rsidR="006D525B" w:rsidRPr="003A68E2">
        <w:t xml:space="preserve">the destruction of the mausoleums, and asked for forgiveness from the people of Timbuktu, which was considered by the </w:t>
      </w:r>
      <w:r w:rsidR="0095653F" w:rsidRPr="003A68E2">
        <w:t xml:space="preserve">court </w:t>
      </w:r>
      <w:r w:rsidR="006D525B" w:rsidRPr="003A68E2">
        <w:t xml:space="preserve">as a mitigating </w:t>
      </w:r>
      <w:r w:rsidR="0095653F" w:rsidRPr="003A68E2">
        <w:t>factor</w:t>
      </w:r>
      <w:r w:rsidR="006D525B" w:rsidRPr="003A68E2">
        <w:t xml:space="preserve">. </w:t>
      </w:r>
    </w:p>
    <w:p w14:paraId="628935BC" w14:textId="6541771C" w:rsidR="00816697" w:rsidRDefault="0095653F" w:rsidP="00733B79">
      <w:pPr>
        <w:pStyle w:val="BodyText"/>
        <w:spacing w:before="69" w:line="480" w:lineRule="auto"/>
        <w:ind w:firstLine="720"/>
      </w:pPr>
      <w:r w:rsidRPr="003A68E2">
        <w:t xml:space="preserve">To aid in </w:t>
      </w:r>
      <w:r w:rsidR="006D525B" w:rsidRPr="003A68E2">
        <w:t>reliev</w:t>
      </w:r>
      <w:r w:rsidRPr="003A68E2">
        <w:t>ing</w:t>
      </w:r>
      <w:r w:rsidR="006D525B" w:rsidRPr="003A68E2">
        <w:t xml:space="preserve"> the suffering caused by </w:t>
      </w:r>
      <w:r w:rsidRPr="003A68E2">
        <w:t xml:space="preserve">al-Mahdi’s </w:t>
      </w:r>
      <w:r w:rsidR="006D525B" w:rsidRPr="003A68E2">
        <w:t>war crime</w:t>
      </w:r>
      <w:r w:rsidRPr="003A68E2">
        <w:t>s</w:t>
      </w:r>
      <w:r w:rsidR="00AB1A7E">
        <w:t xml:space="preserve">, </w:t>
      </w:r>
      <w:r w:rsidR="006D525B" w:rsidRPr="003A68E2">
        <w:t xml:space="preserve">enable Timbuktu’s communities and </w:t>
      </w:r>
      <w:r w:rsidR="00362959">
        <w:t>t</w:t>
      </w:r>
      <w:r w:rsidR="00AB1A7E">
        <w:t>h</w:t>
      </w:r>
      <w:r w:rsidR="00E43DE9">
        <w:t>e</w:t>
      </w:r>
      <w:r w:rsidR="00362959">
        <w:t xml:space="preserve"> directly impacted</w:t>
      </w:r>
      <w:r w:rsidR="006D525B" w:rsidRPr="003A68E2">
        <w:t xml:space="preserve"> </w:t>
      </w:r>
      <w:r w:rsidRPr="003A68E2">
        <w:t xml:space="preserve">families </w:t>
      </w:r>
      <w:r w:rsidR="006D525B" w:rsidRPr="003A68E2">
        <w:t>to recover their dignity</w:t>
      </w:r>
      <w:r w:rsidR="00362959">
        <w:t xml:space="preserve">, and </w:t>
      </w:r>
      <w:r w:rsidR="006D525B" w:rsidRPr="003A68E2">
        <w:t xml:space="preserve">deter </w:t>
      </w:r>
      <w:r w:rsidR="00362959">
        <w:t xml:space="preserve">the likelihood of </w:t>
      </w:r>
      <w:r w:rsidR="006D525B" w:rsidRPr="003A68E2">
        <w:t xml:space="preserve">future violations, the ICC issued a </w:t>
      </w:r>
      <w:r w:rsidR="001B21B8" w:rsidRPr="003A68E2">
        <w:t>r</w:t>
      </w:r>
      <w:r w:rsidR="006D525B" w:rsidRPr="003A68E2">
        <w:t xml:space="preserve">eparations </w:t>
      </w:r>
      <w:r w:rsidR="001B21B8" w:rsidRPr="003A68E2">
        <w:t>o</w:t>
      </w:r>
      <w:r w:rsidR="006D525B" w:rsidRPr="003A68E2">
        <w:t>rder</w:t>
      </w:r>
      <w:r w:rsidRPr="003A68E2">
        <w:t xml:space="preserve"> on 17 August 2017</w:t>
      </w:r>
      <w:r w:rsidR="00CA4905">
        <w:t xml:space="preserve">. The order concluded </w:t>
      </w:r>
      <w:r w:rsidR="002001D3" w:rsidRPr="003A68E2">
        <w:t xml:space="preserve">that </w:t>
      </w:r>
      <w:r w:rsidRPr="003A68E2">
        <w:t xml:space="preserve">the convicted </w:t>
      </w:r>
      <w:r w:rsidR="002001D3" w:rsidRPr="003A68E2">
        <w:t>was liable for</w:t>
      </w:r>
      <w:r w:rsidRPr="003A68E2">
        <w:t xml:space="preserve"> </w:t>
      </w:r>
      <w:r w:rsidR="009C21D9" w:rsidRPr="003A68E2">
        <w:t>€</w:t>
      </w:r>
      <w:r w:rsidR="002001D3" w:rsidRPr="003A68E2">
        <w:t xml:space="preserve">2.7 million in </w:t>
      </w:r>
      <w:r w:rsidR="00EB7282">
        <w:t xml:space="preserve">compensation for </w:t>
      </w:r>
      <w:r w:rsidR="002001D3" w:rsidRPr="003A68E2">
        <w:t xml:space="preserve">individual </w:t>
      </w:r>
      <w:r w:rsidR="00EB7282">
        <w:t xml:space="preserve">economic losses </w:t>
      </w:r>
      <w:r w:rsidR="002001D3" w:rsidRPr="003A68E2">
        <w:t>and collective reparations for the community of Timbuktu.</w:t>
      </w:r>
      <w:r w:rsidRPr="003A68E2">
        <w:rPr>
          <w:rStyle w:val="EndnoteReference"/>
        </w:rPr>
        <w:endnoteReference w:id="14"/>
      </w:r>
      <w:r w:rsidR="002001D3" w:rsidRPr="003A68E2">
        <w:t xml:space="preserve"> Noting that </w:t>
      </w:r>
      <w:r w:rsidR="0023251E" w:rsidRPr="003A68E2">
        <w:t>he</w:t>
      </w:r>
      <w:r w:rsidR="002001D3" w:rsidRPr="003A68E2">
        <w:t xml:space="preserve"> was indigent, the </w:t>
      </w:r>
      <w:r w:rsidR="001B21B8" w:rsidRPr="003A68E2">
        <w:t xml:space="preserve">court </w:t>
      </w:r>
      <w:r w:rsidR="002001D3" w:rsidRPr="003A68E2">
        <w:t>encouraged the Trust Funds for Victims of the ICC</w:t>
      </w:r>
      <w:r w:rsidR="001B21B8" w:rsidRPr="003A68E2">
        <w:t xml:space="preserve"> to </w:t>
      </w:r>
      <w:r w:rsidR="00CA4905">
        <w:t>aid</w:t>
      </w:r>
      <w:r w:rsidR="002001D3" w:rsidRPr="003A68E2">
        <w:t xml:space="preserve"> victims and their families through the provision of assistance </w:t>
      </w:r>
      <w:r w:rsidR="00362959">
        <w:t>that would</w:t>
      </w:r>
      <w:r w:rsidR="002001D3" w:rsidRPr="003A68E2">
        <w:t xml:space="preserve"> complement the reparations award. </w:t>
      </w:r>
    </w:p>
    <w:p w14:paraId="0141AEF9" w14:textId="77777777" w:rsidR="0019613C" w:rsidRPr="003A68E2" w:rsidRDefault="0019613C" w:rsidP="00733B79">
      <w:pPr>
        <w:pStyle w:val="BodyText"/>
        <w:spacing w:before="69" w:line="480" w:lineRule="auto"/>
        <w:ind w:firstLine="720"/>
      </w:pPr>
    </w:p>
    <w:p w14:paraId="2E2375F6" w14:textId="4F7F9A2F" w:rsidR="005C7207" w:rsidRPr="00953CE9" w:rsidRDefault="004C21DC">
      <w:pPr>
        <w:pStyle w:val="Heading2"/>
        <w:spacing w:line="480" w:lineRule="auto"/>
      </w:pPr>
      <w:r w:rsidRPr="003A68E2">
        <w:t xml:space="preserve">Key </w:t>
      </w:r>
      <w:r w:rsidR="005124D7" w:rsidRPr="003A68E2">
        <w:t>L</w:t>
      </w:r>
      <w:r w:rsidRPr="003A68E2">
        <w:t xml:space="preserve">essons </w:t>
      </w:r>
      <w:r w:rsidR="005124D7" w:rsidRPr="003A68E2">
        <w:t>L</w:t>
      </w:r>
      <w:r w:rsidRPr="003A68E2">
        <w:t>earn</w:t>
      </w:r>
      <w:r w:rsidR="005124D7" w:rsidRPr="003A68E2">
        <w:t>ed</w:t>
      </w:r>
    </w:p>
    <w:p w14:paraId="643CC1B0" w14:textId="18E24B95" w:rsidR="005C7207" w:rsidRPr="005115E5" w:rsidRDefault="00476C97" w:rsidP="003A68E2">
      <w:pPr>
        <w:pStyle w:val="BodyText"/>
        <w:spacing w:before="69" w:line="480" w:lineRule="auto"/>
        <w:ind w:right="226"/>
        <w:rPr>
          <w:sz w:val="26"/>
        </w:rPr>
      </w:pPr>
      <w:r w:rsidRPr="003A68E2">
        <w:t>T</w:t>
      </w:r>
      <w:r w:rsidR="004C21DC" w:rsidRPr="003A68E2">
        <w:t xml:space="preserve">he role </w:t>
      </w:r>
      <w:r w:rsidRPr="003A68E2">
        <w:t>that Timbuktu’s</w:t>
      </w:r>
      <w:r w:rsidRPr="003A68E2" w:rsidDel="00476C97">
        <w:t xml:space="preserve"> </w:t>
      </w:r>
      <w:r w:rsidR="004C21DC" w:rsidRPr="003A68E2">
        <w:t>mausoleums play</w:t>
      </w:r>
      <w:r w:rsidRPr="003A68E2">
        <w:t>ed</w:t>
      </w:r>
      <w:r w:rsidR="004C21DC" w:rsidRPr="003A68E2">
        <w:t xml:space="preserve"> in the sociocultural and religious life of </w:t>
      </w:r>
      <w:r w:rsidR="00127DA7" w:rsidRPr="003A68E2">
        <w:t xml:space="preserve">the </w:t>
      </w:r>
      <w:r w:rsidR="004C21DC" w:rsidRPr="003A68E2">
        <w:t>communit</w:t>
      </w:r>
      <w:r w:rsidR="00127DA7" w:rsidRPr="003A68E2">
        <w:t>y</w:t>
      </w:r>
      <w:r w:rsidR="004C21DC" w:rsidRPr="003A68E2">
        <w:t xml:space="preserve"> </w:t>
      </w:r>
      <w:r w:rsidRPr="003A68E2">
        <w:t xml:space="preserve">was </w:t>
      </w:r>
      <w:r w:rsidR="004C21DC" w:rsidRPr="003A68E2">
        <w:t>a vital factor guid</w:t>
      </w:r>
      <w:r w:rsidR="00127DA7" w:rsidRPr="003A68E2">
        <w:t>ing</w:t>
      </w:r>
      <w:r w:rsidR="004C21DC" w:rsidRPr="003A68E2">
        <w:t xml:space="preserve"> the </w:t>
      </w:r>
      <w:r w:rsidR="00033BC4">
        <w:t xml:space="preserve">reconstruction </w:t>
      </w:r>
      <w:r w:rsidR="004C21DC" w:rsidRPr="003A68E2">
        <w:t>decision</w:t>
      </w:r>
      <w:r w:rsidR="00BE4736">
        <w:t>. The</w:t>
      </w:r>
      <w:r w:rsidR="004C21DC" w:rsidRPr="003A68E2">
        <w:t xml:space="preserve"> participation of local communities </w:t>
      </w:r>
      <w:r w:rsidR="00AB32F9">
        <w:t xml:space="preserve">proved </w:t>
      </w:r>
      <w:r w:rsidR="004C21DC" w:rsidRPr="003A68E2">
        <w:t>key to ensur</w:t>
      </w:r>
      <w:r w:rsidRPr="003A68E2">
        <w:t>ing</w:t>
      </w:r>
      <w:r w:rsidR="004C21DC" w:rsidRPr="003A68E2">
        <w:t xml:space="preserve"> that the</w:t>
      </w:r>
      <w:r w:rsidR="00BE4736">
        <w:t xml:space="preserve"> mausoleums</w:t>
      </w:r>
      <w:r w:rsidR="004C21DC" w:rsidRPr="003A68E2">
        <w:t xml:space="preserve"> regain</w:t>
      </w:r>
      <w:r w:rsidR="00127DA7" w:rsidRPr="003A68E2">
        <w:t>ed</w:t>
      </w:r>
      <w:r w:rsidR="004C21DC" w:rsidRPr="003A68E2">
        <w:t xml:space="preserve"> their sacredness after </w:t>
      </w:r>
      <w:r w:rsidR="00BE4736">
        <w:t xml:space="preserve">reconstruction was </w:t>
      </w:r>
      <w:r w:rsidR="009C18A5">
        <w:t>complet</w:t>
      </w:r>
      <w:r w:rsidR="00BE4736">
        <w:t>ed</w:t>
      </w:r>
      <w:r w:rsidR="004C21DC" w:rsidRPr="003A68E2">
        <w:t xml:space="preserve">. Placing the </w:t>
      </w:r>
      <w:r w:rsidR="00BE4736">
        <w:t xml:space="preserve">local </w:t>
      </w:r>
      <w:r w:rsidR="004C21DC" w:rsidRPr="003A68E2">
        <w:t>community at the heart of th</w:t>
      </w:r>
      <w:r w:rsidR="002C0A0E" w:rsidRPr="003A68E2">
        <w:t>e reconstruction</w:t>
      </w:r>
      <w:r w:rsidR="004C21DC" w:rsidRPr="003A68E2">
        <w:t xml:space="preserve"> process </w:t>
      </w:r>
      <w:r w:rsidR="002C0A0E" w:rsidRPr="003A68E2">
        <w:t xml:space="preserve">enabled </w:t>
      </w:r>
      <w:r w:rsidR="00BE4736">
        <w:t>those directly impacted</w:t>
      </w:r>
      <w:r w:rsidR="004C21DC" w:rsidRPr="003A68E2">
        <w:t xml:space="preserve"> </w:t>
      </w:r>
      <w:r w:rsidR="002C0A0E" w:rsidRPr="003A68E2">
        <w:t xml:space="preserve">to </w:t>
      </w:r>
      <w:r w:rsidR="004C21DC" w:rsidRPr="003A68E2">
        <w:t>retake ownership of the</w:t>
      </w:r>
      <w:r w:rsidR="00BE4736">
        <w:t>ir</w:t>
      </w:r>
      <w:r w:rsidR="004C21DC" w:rsidRPr="003A68E2">
        <w:t xml:space="preserve"> mausoleum</w:t>
      </w:r>
      <w:r w:rsidR="002C0A0E" w:rsidRPr="003A68E2">
        <w:t>s</w:t>
      </w:r>
      <w:r w:rsidR="004C21DC" w:rsidRPr="003A68E2">
        <w:t xml:space="preserve"> through </w:t>
      </w:r>
      <w:r w:rsidR="002C0A0E" w:rsidRPr="003A68E2">
        <w:t xml:space="preserve">a </w:t>
      </w:r>
      <w:r w:rsidR="004C21DC" w:rsidRPr="003A68E2">
        <w:t xml:space="preserve">consecration ceremony </w:t>
      </w:r>
      <w:r w:rsidR="002C0A0E" w:rsidRPr="003A68E2">
        <w:t xml:space="preserve">on </w:t>
      </w:r>
      <w:r w:rsidR="004C21DC" w:rsidRPr="003A68E2">
        <w:t>4 February 2016</w:t>
      </w:r>
      <w:r w:rsidR="002C0A0E" w:rsidRPr="003A68E2">
        <w:t>,</w:t>
      </w:r>
      <w:r w:rsidR="004C21DC" w:rsidRPr="003A68E2">
        <w:t xml:space="preserve"> mark</w:t>
      </w:r>
      <w:r w:rsidR="002C0A0E" w:rsidRPr="003A68E2">
        <w:t>ing</w:t>
      </w:r>
      <w:r w:rsidR="004C21DC" w:rsidRPr="003A68E2">
        <w:t xml:space="preserve"> the </w:t>
      </w:r>
      <w:r w:rsidR="002C0A0E" w:rsidRPr="003A68E2">
        <w:t xml:space="preserve">end of the </w:t>
      </w:r>
      <w:r w:rsidR="004C21DC" w:rsidRPr="003A68E2">
        <w:t>final phase of reconstruction.</w:t>
      </w:r>
    </w:p>
    <w:p w14:paraId="24C73B39" w14:textId="468CDE22" w:rsidR="001F3639" w:rsidRDefault="004C21DC">
      <w:pPr>
        <w:pStyle w:val="BodyText"/>
        <w:spacing w:before="69" w:line="480" w:lineRule="auto"/>
        <w:ind w:right="209" w:firstLine="720"/>
      </w:pPr>
      <w:r w:rsidRPr="003A68E2">
        <w:t xml:space="preserve">Preservation of the </w:t>
      </w:r>
      <w:r w:rsidR="00026838" w:rsidRPr="003A68E2">
        <w:t>“o</w:t>
      </w:r>
      <w:r w:rsidRPr="003A68E2">
        <w:t xml:space="preserve">utstanding </w:t>
      </w:r>
      <w:r w:rsidR="00026838" w:rsidRPr="003A68E2">
        <w:t>u</w:t>
      </w:r>
      <w:r w:rsidRPr="003A68E2">
        <w:t xml:space="preserve">niversal </w:t>
      </w:r>
      <w:r w:rsidR="00026838" w:rsidRPr="003A68E2">
        <w:t>v</w:t>
      </w:r>
      <w:r w:rsidRPr="003A68E2">
        <w:t>alue</w:t>
      </w:r>
      <w:r w:rsidR="00026838" w:rsidRPr="003A68E2">
        <w:t>”</w:t>
      </w:r>
      <w:r w:rsidRPr="003A68E2">
        <w:t xml:space="preserve"> of Timbuktu</w:t>
      </w:r>
      <w:r w:rsidR="00D03E67">
        <w:t>'s cultural heritage,</w:t>
      </w:r>
      <w:r w:rsidRPr="003A68E2">
        <w:t xml:space="preserve"> and </w:t>
      </w:r>
      <w:r w:rsidR="00D03E67">
        <w:t xml:space="preserve">the need for its </w:t>
      </w:r>
      <w:r w:rsidRPr="003A68E2">
        <w:t>sustainable conservation</w:t>
      </w:r>
      <w:r w:rsidR="00D03E67">
        <w:t>,</w:t>
      </w:r>
      <w:r w:rsidRPr="003A68E2">
        <w:t xml:space="preserve"> w</w:t>
      </w:r>
      <w:r w:rsidR="000E4D70">
        <w:t>ere</w:t>
      </w:r>
      <w:r w:rsidRPr="003A68E2">
        <w:t xml:space="preserve"> </w:t>
      </w:r>
      <w:r w:rsidR="00026838" w:rsidRPr="003A68E2">
        <w:t>the foundational</w:t>
      </w:r>
      <w:r w:rsidRPr="003A68E2">
        <w:t xml:space="preserve"> principle</w:t>
      </w:r>
      <w:r w:rsidR="000E4D70">
        <w:t>s</w:t>
      </w:r>
      <w:r w:rsidRPr="003A68E2">
        <w:t xml:space="preserve"> </w:t>
      </w:r>
      <w:r w:rsidR="00026838" w:rsidRPr="003A68E2">
        <w:t xml:space="preserve">underlying </w:t>
      </w:r>
      <w:r w:rsidRPr="003A68E2">
        <w:t xml:space="preserve">UNESCO’s reconstruction efforts. </w:t>
      </w:r>
      <w:r w:rsidR="00075DD9">
        <w:t>UNESCO was</w:t>
      </w:r>
      <w:r w:rsidR="00490187" w:rsidRPr="003A68E2">
        <w:t xml:space="preserve"> also aware of the importance of </w:t>
      </w:r>
      <w:r w:rsidRPr="003A68E2">
        <w:t>the post-reconstruction period,</w:t>
      </w:r>
      <w:r w:rsidR="00F57705">
        <w:t xml:space="preserve"> </w:t>
      </w:r>
      <w:r w:rsidR="00490187" w:rsidRPr="003A68E2">
        <w:t xml:space="preserve">and </w:t>
      </w:r>
      <w:r w:rsidRPr="003A68E2">
        <w:t>the</w:t>
      </w:r>
      <w:r w:rsidR="00075DD9">
        <w:t xml:space="preserve"> value in</w:t>
      </w:r>
      <w:r w:rsidRPr="003A68E2">
        <w:t xml:space="preserve"> impro</w:t>
      </w:r>
      <w:r w:rsidR="00075DD9">
        <w:t xml:space="preserve">ving </w:t>
      </w:r>
      <w:r w:rsidRPr="003A68E2">
        <w:t>and perpetuat</w:t>
      </w:r>
      <w:r w:rsidR="00075DD9">
        <w:t>ing</w:t>
      </w:r>
      <w:r w:rsidRPr="003A68E2">
        <w:t xml:space="preserve"> the ancestral </w:t>
      </w:r>
      <w:r w:rsidR="00075DD9">
        <w:t xml:space="preserve">building </w:t>
      </w:r>
      <w:r w:rsidRPr="003A68E2">
        <w:t xml:space="preserve">traditions </w:t>
      </w:r>
      <w:r w:rsidR="00075DD9">
        <w:t xml:space="preserve">essential </w:t>
      </w:r>
      <w:r w:rsidR="00490187" w:rsidRPr="003A68E2">
        <w:t xml:space="preserve">for </w:t>
      </w:r>
      <w:r w:rsidRPr="003A68E2">
        <w:t xml:space="preserve">maintaining the mausoleums. </w:t>
      </w:r>
      <w:r w:rsidR="00BD362D" w:rsidRPr="003A68E2">
        <w:t xml:space="preserve">To this end, </w:t>
      </w:r>
      <w:r w:rsidRPr="003A68E2">
        <w:t xml:space="preserve"> a Maintenance and Conservation Guide </w:t>
      </w:r>
      <w:r w:rsidR="00BD362D" w:rsidRPr="003A68E2">
        <w:t xml:space="preserve">was </w:t>
      </w:r>
      <w:r w:rsidRPr="003A68E2">
        <w:lastRenderedPageBreak/>
        <w:t>distributed to the managers of the mausoleums and to the traditional stewards, the masons</w:t>
      </w:r>
      <w:r w:rsidR="00F4269D">
        <w:t>,</w:t>
      </w:r>
      <w:r w:rsidRPr="003A68E2">
        <w:t xml:space="preserve"> and other workers. Th</w:t>
      </w:r>
      <w:r w:rsidR="00BD362D" w:rsidRPr="003A68E2">
        <w:t>e</w:t>
      </w:r>
      <w:r w:rsidRPr="003A68E2">
        <w:t xml:space="preserve"> </w:t>
      </w:r>
      <w:r w:rsidR="00BD362D" w:rsidRPr="003A68E2">
        <w:t>g</w:t>
      </w:r>
      <w:r w:rsidRPr="003A68E2">
        <w:t>uide contains combinations of methods and techniques strongly inspired by ancient</w:t>
      </w:r>
      <w:r w:rsidR="00492344">
        <w:t xml:space="preserve"> building </w:t>
      </w:r>
      <w:r w:rsidR="00AB32F9">
        <w:t>practices</w:t>
      </w:r>
      <w:r w:rsidR="00310BA5">
        <w:t>,</w:t>
      </w:r>
      <w:r w:rsidRPr="003A68E2">
        <w:t xml:space="preserve"> and enriched by technical</w:t>
      </w:r>
      <w:r w:rsidR="0005764B" w:rsidRPr="003A68E2">
        <w:t xml:space="preserve"> </w:t>
      </w:r>
      <w:r w:rsidRPr="003A68E2">
        <w:t>contributions</w:t>
      </w:r>
      <w:r w:rsidR="00492344">
        <w:t>,</w:t>
      </w:r>
      <w:r w:rsidR="00AB32F9">
        <w:t xml:space="preserve"> to facilitate </w:t>
      </w:r>
      <w:r w:rsidRPr="003A68E2">
        <w:t>adapt</w:t>
      </w:r>
      <w:r w:rsidR="00BD362D" w:rsidRPr="003A68E2">
        <w:t>ation</w:t>
      </w:r>
      <w:r w:rsidRPr="003A68E2">
        <w:t xml:space="preserve"> </w:t>
      </w:r>
      <w:r w:rsidR="00492344">
        <w:t xml:space="preserve">of this knowledge </w:t>
      </w:r>
      <w:r w:rsidRPr="003A68E2">
        <w:t xml:space="preserve">to </w:t>
      </w:r>
      <w:r w:rsidR="005B6DC2">
        <w:t>conditions of</w:t>
      </w:r>
      <w:r w:rsidR="00F57705">
        <w:t xml:space="preserve"> </w:t>
      </w:r>
      <w:r w:rsidRPr="003A68E2">
        <w:t>climate change in the Sahel region.</w:t>
      </w:r>
      <w:r w:rsidR="00037E56" w:rsidRPr="003A68E2">
        <w:t xml:space="preserve"> </w:t>
      </w:r>
    </w:p>
    <w:p w14:paraId="3E37F81B" w14:textId="00EC022D" w:rsidR="006D525B" w:rsidRPr="003A68E2" w:rsidRDefault="00E843EC" w:rsidP="003A68E2">
      <w:pPr>
        <w:pStyle w:val="BodyText"/>
        <w:spacing w:before="69" w:line="480" w:lineRule="auto"/>
        <w:ind w:right="209" w:firstLine="720"/>
      </w:pPr>
      <w:r>
        <w:t>Finally</w:t>
      </w:r>
      <w:r w:rsidR="00830619" w:rsidRPr="003A68E2">
        <w:t xml:space="preserve">, the </w:t>
      </w:r>
      <w:r w:rsidR="000A19DA" w:rsidRPr="003A68E2">
        <w:t xml:space="preserve">sentencing </w:t>
      </w:r>
      <w:r w:rsidR="00830619" w:rsidRPr="003A68E2">
        <w:t xml:space="preserve">of </w:t>
      </w:r>
      <w:r w:rsidR="000A19DA" w:rsidRPr="003A68E2">
        <w:t>a</w:t>
      </w:r>
      <w:r w:rsidR="00830619" w:rsidRPr="003A68E2">
        <w:t>l</w:t>
      </w:r>
      <w:r w:rsidR="000A19DA" w:rsidRPr="003A68E2">
        <w:t>-</w:t>
      </w:r>
      <w:r w:rsidR="00830619" w:rsidRPr="003A68E2">
        <w:t>Mahdi to nine years</w:t>
      </w:r>
      <w:r w:rsidR="000A19DA" w:rsidRPr="003A68E2">
        <w:t xml:space="preserve"> in</w:t>
      </w:r>
      <w:r w:rsidR="00830619" w:rsidRPr="003A68E2">
        <w:t xml:space="preserve"> prison, and the recognition</w:t>
      </w:r>
      <w:r w:rsidR="007974BB" w:rsidRPr="003A68E2">
        <w:t>—</w:t>
      </w:r>
      <w:r w:rsidR="00830619" w:rsidRPr="003A68E2">
        <w:t xml:space="preserve">for the first time in </w:t>
      </w:r>
      <w:r w:rsidR="000A19DA" w:rsidRPr="003A68E2">
        <w:t xml:space="preserve">the </w:t>
      </w:r>
      <w:r w:rsidR="00CA445A" w:rsidRPr="003A68E2">
        <w:t xml:space="preserve">history </w:t>
      </w:r>
      <w:r w:rsidR="000A19DA" w:rsidRPr="003A68E2">
        <w:t>of international criminal justice</w:t>
      </w:r>
      <w:r w:rsidR="007974BB" w:rsidRPr="003A68E2">
        <w:t>—</w:t>
      </w:r>
      <w:r w:rsidR="00830619" w:rsidRPr="003A68E2">
        <w:t>of</w:t>
      </w:r>
      <w:r w:rsidR="00FF7812" w:rsidRPr="003A68E2">
        <w:t xml:space="preserve"> </w:t>
      </w:r>
      <w:r w:rsidR="00830619" w:rsidRPr="003A68E2">
        <w:t xml:space="preserve">the intentional destruction of </w:t>
      </w:r>
      <w:r>
        <w:t>communal</w:t>
      </w:r>
      <w:r w:rsidRPr="003A68E2">
        <w:t xml:space="preserve"> </w:t>
      </w:r>
      <w:r w:rsidR="00830619" w:rsidRPr="003A68E2">
        <w:t xml:space="preserve">cultural heritage as </w:t>
      </w:r>
      <w:r w:rsidR="006E2DC1" w:rsidRPr="003A68E2">
        <w:t xml:space="preserve">a </w:t>
      </w:r>
      <w:r w:rsidR="00830619" w:rsidRPr="003A68E2">
        <w:t xml:space="preserve">war crime, </w:t>
      </w:r>
      <w:r w:rsidR="00A91E33">
        <w:t xml:space="preserve">provides </w:t>
      </w:r>
      <w:r w:rsidR="00644277" w:rsidRPr="003A68E2">
        <w:t>clear recognition</w:t>
      </w:r>
      <w:r w:rsidR="00830619" w:rsidRPr="003A68E2">
        <w:t xml:space="preserve"> that attacks </w:t>
      </w:r>
      <w:r w:rsidR="000E2BF4" w:rsidRPr="003A68E2">
        <w:t xml:space="preserve">on </w:t>
      </w:r>
      <w:r w:rsidR="00644277" w:rsidRPr="003A68E2">
        <w:t xml:space="preserve">cultural heritage </w:t>
      </w:r>
      <w:r w:rsidR="00830619" w:rsidRPr="003A68E2">
        <w:t>are</w:t>
      </w:r>
      <w:r w:rsidR="00644277" w:rsidRPr="003A68E2">
        <w:t xml:space="preserve"> now</w:t>
      </w:r>
      <w:r w:rsidR="00F57705">
        <w:t xml:space="preserve"> </w:t>
      </w:r>
      <w:r w:rsidR="00830619" w:rsidRPr="003A68E2">
        <w:t xml:space="preserve">serious crimes under international law, and that perpetrators must and will be held accountable. </w:t>
      </w:r>
      <w:r w:rsidR="00151A58">
        <w:t xml:space="preserve">The verdict </w:t>
      </w:r>
      <w:r>
        <w:t>signals unequivocallly</w:t>
      </w:r>
      <w:r w:rsidR="00644277" w:rsidRPr="003A68E2">
        <w:t xml:space="preserve"> that there is no impunity when c</w:t>
      </w:r>
      <w:r w:rsidR="00830619" w:rsidRPr="003A68E2">
        <w:t xml:space="preserve">ultural heritage </w:t>
      </w:r>
      <w:r w:rsidR="00644277" w:rsidRPr="003A68E2">
        <w:t>is</w:t>
      </w:r>
      <w:r w:rsidR="00C41999" w:rsidRPr="003A68E2">
        <w:t xml:space="preserve"> </w:t>
      </w:r>
      <w:r w:rsidR="00830619" w:rsidRPr="003A68E2">
        <w:t>attacked and destroyed</w:t>
      </w:r>
      <w:r w:rsidR="00644277" w:rsidRPr="003A68E2">
        <w:t xml:space="preserve">. </w:t>
      </w:r>
    </w:p>
    <w:p w14:paraId="4E47CF57" w14:textId="250A05F9" w:rsidR="00CE46AE" w:rsidRPr="005115E5" w:rsidRDefault="00C41999" w:rsidP="003A68E2">
      <w:pPr>
        <w:pStyle w:val="BodyText"/>
        <w:spacing w:before="69" w:line="480" w:lineRule="auto"/>
        <w:ind w:right="209" w:firstLine="720"/>
      </w:pPr>
      <w:r w:rsidRPr="005115E5">
        <w:t xml:space="preserve">After </w:t>
      </w:r>
      <w:r w:rsidRPr="003A68E2">
        <w:t xml:space="preserve">the </w:t>
      </w:r>
      <w:r w:rsidR="00644277" w:rsidRPr="003A68E2">
        <w:t>occupation of Timbuktu</w:t>
      </w:r>
      <w:r w:rsidR="004C21DC" w:rsidRPr="003A68E2">
        <w:t xml:space="preserve">, it was possible to demonstrate that cultural heritage could play a crucial role in </w:t>
      </w:r>
      <w:r w:rsidRPr="003A68E2">
        <w:t>reconstructi</w:t>
      </w:r>
      <w:r w:rsidR="00F57705">
        <w:t>ng</w:t>
      </w:r>
      <w:r w:rsidR="00644277" w:rsidRPr="003A68E2">
        <w:t xml:space="preserve"> </w:t>
      </w:r>
      <w:r w:rsidR="004C21DC" w:rsidRPr="003A68E2">
        <w:t>a stable</w:t>
      </w:r>
      <w:r w:rsidRPr="003A68E2">
        <w:t xml:space="preserve"> and</w:t>
      </w:r>
      <w:r w:rsidR="004C21DC" w:rsidRPr="003A68E2">
        <w:t xml:space="preserve"> prosperous</w:t>
      </w:r>
      <w:r w:rsidRPr="003A68E2">
        <w:t xml:space="preserve"> </w:t>
      </w:r>
      <w:r w:rsidR="004C21DC" w:rsidRPr="003A68E2">
        <w:t xml:space="preserve">society. The reconstruction of mausoleums helped the </w:t>
      </w:r>
      <w:r w:rsidR="00A91E33">
        <w:t>affected</w:t>
      </w:r>
      <w:r w:rsidR="00A91E33" w:rsidRPr="003A68E2">
        <w:t xml:space="preserve"> </w:t>
      </w:r>
      <w:r w:rsidR="004C21DC" w:rsidRPr="003A68E2">
        <w:t>communitie</w:t>
      </w:r>
      <w:r w:rsidR="006D08D7" w:rsidRPr="003A68E2">
        <w:t>s</w:t>
      </w:r>
      <w:r w:rsidR="004C21DC" w:rsidRPr="003A68E2">
        <w:t xml:space="preserve"> </w:t>
      </w:r>
      <w:r w:rsidR="006D08D7" w:rsidRPr="003A68E2">
        <w:t>restore</w:t>
      </w:r>
      <w:r w:rsidR="004C21DC" w:rsidRPr="003A68E2">
        <w:t xml:space="preserve"> their sense of dignity and autonomy</w:t>
      </w:r>
      <w:r w:rsidR="001C3F3F" w:rsidRPr="003A68E2">
        <w:t xml:space="preserve"> by healing their trauma and wounds</w:t>
      </w:r>
      <w:r w:rsidR="004C21DC" w:rsidRPr="003A68E2">
        <w:t>, mak</w:t>
      </w:r>
      <w:r w:rsidR="00F57705">
        <w:t>ing</w:t>
      </w:r>
      <w:r w:rsidR="004C21DC" w:rsidRPr="003A68E2">
        <w:t xml:space="preserve"> their l</w:t>
      </w:r>
      <w:r w:rsidR="00BD1FC6">
        <w:t>ives</w:t>
      </w:r>
      <w:r w:rsidR="004C21DC" w:rsidRPr="003A68E2">
        <w:t xml:space="preserve"> worth living</w:t>
      </w:r>
      <w:r w:rsidR="003E35FB" w:rsidRPr="003A68E2">
        <w:t>,</w:t>
      </w:r>
      <w:r w:rsidR="004C21DC" w:rsidRPr="003A68E2">
        <w:t xml:space="preserve"> and reinforc</w:t>
      </w:r>
      <w:r w:rsidR="00F57705">
        <w:t>ing</w:t>
      </w:r>
      <w:r w:rsidR="004C21DC" w:rsidRPr="003A68E2">
        <w:t xml:space="preserve"> their social cohesion</w:t>
      </w:r>
      <w:r w:rsidR="006D08D7" w:rsidRPr="003A68E2">
        <w:t>.</w:t>
      </w:r>
      <w:r w:rsidR="00FF7812" w:rsidRPr="003A68E2">
        <w:t xml:space="preserve"> </w:t>
      </w:r>
      <w:r w:rsidR="006D08D7" w:rsidRPr="003A68E2">
        <w:t>P</w:t>
      </w:r>
      <w:r w:rsidR="00644277" w:rsidRPr="003A68E2">
        <w:t xml:space="preserve">lacing the </w:t>
      </w:r>
      <w:r w:rsidR="00666312" w:rsidRPr="003A68E2">
        <w:t xml:space="preserve">local </w:t>
      </w:r>
      <w:r w:rsidR="00644277" w:rsidRPr="003A68E2">
        <w:t xml:space="preserve">communities </w:t>
      </w:r>
      <w:r w:rsidR="006D08D7" w:rsidRPr="003A68E2">
        <w:t>at</w:t>
      </w:r>
      <w:r w:rsidR="00644277" w:rsidRPr="003A68E2">
        <w:t xml:space="preserve"> the heart of the reconstruction process </w:t>
      </w:r>
      <w:r w:rsidR="00F65667" w:rsidRPr="003A68E2">
        <w:t xml:space="preserve">enabled the </w:t>
      </w:r>
      <w:r w:rsidR="00644277" w:rsidRPr="003A68E2">
        <w:t>creati</w:t>
      </w:r>
      <w:r w:rsidR="00F65667" w:rsidRPr="003A68E2">
        <w:t>on</w:t>
      </w:r>
      <w:r w:rsidR="00644277" w:rsidRPr="003A68E2">
        <w:t xml:space="preserve"> </w:t>
      </w:r>
      <w:r w:rsidR="00F65667" w:rsidRPr="003A68E2">
        <w:t xml:space="preserve">of </w:t>
      </w:r>
      <w:r w:rsidR="006D08D7" w:rsidRPr="003A68E2">
        <w:t>a</w:t>
      </w:r>
      <w:r w:rsidR="00644277" w:rsidRPr="003A68E2">
        <w:t xml:space="preserve"> framework of inclusive dialogue</w:t>
      </w:r>
      <w:r w:rsidR="0071668F" w:rsidRPr="003A68E2">
        <w:t xml:space="preserve">. </w:t>
      </w:r>
      <w:r w:rsidR="00BD1FC6">
        <w:t>Although</w:t>
      </w:r>
      <w:r w:rsidR="0071668F" w:rsidRPr="003A68E2">
        <w:t xml:space="preserve"> </w:t>
      </w:r>
      <w:r w:rsidR="00F65667" w:rsidRPr="003A68E2">
        <w:t xml:space="preserve">the </w:t>
      </w:r>
      <w:r w:rsidR="0071668F" w:rsidRPr="003A68E2">
        <w:t xml:space="preserve">communities of Timbuktu </w:t>
      </w:r>
      <w:r w:rsidR="00F65667" w:rsidRPr="003A68E2">
        <w:t xml:space="preserve">were </w:t>
      </w:r>
      <w:r w:rsidR="0071668F" w:rsidRPr="003A68E2">
        <w:t>prevented by Ansar Dine</w:t>
      </w:r>
      <w:r w:rsidR="006D08D7" w:rsidRPr="003A68E2">
        <w:t xml:space="preserve"> </w:t>
      </w:r>
      <w:r w:rsidR="0071668F" w:rsidRPr="003A68E2">
        <w:t xml:space="preserve">from preserving their </w:t>
      </w:r>
      <w:r w:rsidR="0000343E" w:rsidRPr="003A68E2">
        <w:t xml:space="preserve">specific </w:t>
      </w:r>
      <w:r w:rsidR="0071668F" w:rsidRPr="003A68E2">
        <w:t>practice</w:t>
      </w:r>
      <w:r w:rsidR="0000343E" w:rsidRPr="003A68E2">
        <w:t>s</w:t>
      </w:r>
      <w:r w:rsidR="0071668F" w:rsidRPr="003A68E2">
        <w:t xml:space="preserve"> of Islam</w:t>
      </w:r>
      <w:r w:rsidR="00BD1FC6">
        <w:t xml:space="preserve"> </w:t>
      </w:r>
      <w:r w:rsidR="0071668F" w:rsidRPr="003A68E2">
        <w:t>while maintaining their local beliefs and spirituality</w:t>
      </w:r>
      <w:r w:rsidR="00BD1FC6">
        <w:t>, t</w:t>
      </w:r>
      <w:r w:rsidR="0071668F" w:rsidRPr="003A68E2">
        <w:t xml:space="preserve">his UNESCO initiative has proven to be fully consistent with all international efforts to support the national peacebuilding process. </w:t>
      </w:r>
    </w:p>
    <w:p w14:paraId="1C9D97C1" w14:textId="0A7FE137" w:rsidR="00C64648" w:rsidRPr="005115E5" w:rsidRDefault="00C64648" w:rsidP="003A68E2">
      <w:pPr>
        <w:pStyle w:val="BodyText"/>
        <w:spacing w:line="480" w:lineRule="auto"/>
        <w:ind w:right="315" w:firstLine="720"/>
        <w:rPr>
          <w:b/>
          <w:bCs/>
        </w:rPr>
      </w:pPr>
    </w:p>
    <w:p w14:paraId="35877CD5" w14:textId="4E145079" w:rsidR="001B2D6C" w:rsidRPr="005115E5" w:rsidRDefault="001B2D6C" w:rsidP="00733B79">
      <w:pPr>
        <w:pStyle w:val="Heading2"/>
      </w:pPr>
      <w:r w:rsidRPr="005115E5">
        <w:t xml:space="preserve">Figure Captions </w:t>
      </w:r>
    </w:p>
    <w:p w14:paraId="416D8020" w14:textId="78522863" w:rsidR="001B2D6C" w:rsidRPr="005115E5" w:rsidRDefault="001B2D6C">
      <w:pPr>
        <w:pStyle w:val="BodyText"/>
        <w:spacing w:before="225" w:line="480" w:lineRule="auto"/>
        <w:ind w:right="297"/>
      </w:pPr>
      <w:r w:rsidRPr="003A68E2">
        <w:t xml:space="preserve">Figure </w:t>
      </w:r>
      <w:r w:rsidR="0000343E" w:rsidRPr="003A68E2">
        <w:t>14.</w:t>
      </w:r>
      <w:r w:rsidRPr="003A68E2">
        <w:t>1. Aerial photo of Timbucktu</w:t>
      </w:r>
      <w:r w:rsidR="007974BB" w:rsidRPr="003A68E2">
        <w:t>—</w:t>
      </w:r>
      <w:r w:rsidRPr="003A68E2">
        <w:t>© UNESCO/Serge Negre</w:t>
      </w:r>
    </w:p>
    <w:p w14:paraId="704EA7FD" w14:textId="0CAD1894" w:rsidR="00111793" w:rsidRPr="005115E5" w:rsidRDefault="001B2D6C">
      <w:pPr>
        <w:pStyle w:val="BodyText"/>
        <w:spacing w:before="225" w:line="480" w:lineRule="auto"/>
        <w:ind w:right="297"/>
      </w:pPr>
      <w:r w:rsidRPr="003A68E2">
        <w:t xml:space="preserve">Figure </w:t>
      </w:r>
      <w:r w:rsidR="0000343E" w:rsidRPr="003A68E2">
        <w:t>14.</w:t>
      </w:r>
      <w:r w:rsidRPr="003A68E2">
        <w:t xml:space="preserve">2. Djingareyber </w:t>
      </w:r>
      <w:r w:rsidR="005B2CB7">
        <w:t>M</w:t>
      </w:r>
      <w:r w:rsidRPr="003A68E2">
        <w:t>osque</w:t>
      </w:r>
      <w:r w:rsidR="00ED6DF8">
        <w:t>,</w:t>
      </w:r>
      <w:r w:rsidRPr="003A68E2">
        <w:t xml:space="preserve"> built in 1325</w:t>
      </w:r>
      <w:r w:rsidR="007974BB" w:rsidRPr="003A68E2">
        <w:t>—</w:t>
      </w:r>
      <w:r w:rsidRPr="003A68E2">
        <w:t>©UNESCO</w:t>
      </w:r>
    </w:p>
    <w:p w14:paraId="12BAD0EB" w14:textId="6794962B" w:rsidR="00111793" w:rsidRPr="005115E5" w:rsidRDefault="00111793">
      <w:pPr>
        <w:pStyle w:val="BodyText"/>
        <w:spacing w:before="225" w:line="480" w:lineRule="auto"/>
        <w:ind w:right="297"/>
      </w:pPr>
      <w:r w:rsidRPr="003A68E2">
        <w:lastRenderedPageBreak/>
        <w:t xml:space="preserve">Figure </w:t>
      </w:r>
      <w:r w:rsidR="0000343E" w:rsidRPr="003A68E2">
        <w:t>14.</w:t>
      </w:r>
      <w:r w:rsidRPr="003A68E2">
        <w:t>3. Destroyed Alpha Moya mausoleum</w:t>
      </w:r>
      <w:r w:rsidR="007974BB" w:rsidRPr="003A68E2">
        <w:t>—</w:t>
      </w:r>
      <w:r w:rsidRPr="003A68E2">
        <w:t>© UNESCO</w:t>
      </w:r>
    </w:p>
    <w:p w14:paraId="4A4336B5" w14:textId="4410CB52" w:rsidR="00111793" w:rsidRPr="005115E5" w:rsidRDefault="00111793">
      <w:pPr>
        <w:pStyle w:val="BodyText"/>
        <w:spacing w:before="225" w:line="480" w:lineRule="auto"/>
        <w:ind w:right="297"/>
      </w:pPr>
      <w:r w:rsidRPr="003A68E2">
        <w:t xml:space="preserve">Figure </w:t>
      </w:r>
      <w:r w:rsidR="0000343E" w:rsidRPr="003A68E2">
        <w:t>14.</w:t>
      </w:r>
      <w:r w:rsidRPr="003A68E2">
        <w:t>4</w:t>
      </w:r>
      <w:r w:rsidR="00BA5990">
        <w:t>.</w:t>
      </w:r>
      <w:r w:rsidRPr="003A68E2">
        <w:t xml:space="preserve"> Reconstructed Sidi Ben Amar mausoleum</w:t>
      </w:r>
      <w:r w:rsidR="007974BB" w:rsidRPr="003A68E2">
        <w:t>—</w:t>
      </w:r>
      <w:r w:rsidRPr="003A68E2">
        <w:t>© UNESCO</w:t>
      </w:r>
    </w:p>
    <w:p w14:paraId="4C9CEDC7" w14:textId="61CDD073" w:rsidR="001B2D6C" w:rsidRPr="003A68E2" w:rsidRDefault="001B2D6C" w:rsidP="00733B79">
      <w:pPr>
        <w:pStyle w:val="BodyText"/>
        <w:spacing w:line="480" w:lineRule="auto"/>
        <w:ind w:right="315" w:firstLine="720"/>
      </w:pPr>
    </w:p>
    <w:p w14:paraId="2FC2B1FB" w14:textId="1D9721A7" w:rsidR="009D32B6" w:rsidRPr="003A68E2" w:rsidRDefault="009D32B6" w:rsidP="00733B79">
      <w:pPr>
        <w:pStyle w:val="Heading2"/>
        <w:spacing w:line="480" w:lineRule="auto"/>
      </w:pPr>
      <w:r w:rsidRPr="003A68E2">
        <w:t>Selected Readings</w:t>
      </w:r>
    </w:p>
    <w:p w14:paraId="44327BE3" w14:textId="0A157300" w:rsidR="009D32B6" w:rsidRDefault="005F6512" w:rsidP="003A68E2">
      <w:pPr>
        <w:pStyle w:val="BodyText"/>
        <w:spacing w:line="480" w:lineRule="auto"/>
        <w:ind w:right="315" w:firstLine="720"/>
        <w:rPr>
          <w:lang w:bidi="ar-SA"/>
        </w:rPr>
      </w:pPr>
      <w:r>
        <w:rPr>
          <w:lang w:bidi="ar-SA"/>
        </w:rPr>
        <w:t xml:space="preserve">Lazare Eloundou and Ishanlosen Odiaua, </w:t>
      </w:r>
      <w:r w:rsidRPr="0066190C">
        <w:rPr>
          <w:i/>
          <w:lang w:bidi="ar-SA"/>
        </w:rPr>
        <w:t xml:space="preserve">African World Heritage: A Remarkable Diversity </w:t>
      </w:r>
      <w:r>
        <w:rPr>
          <w:lang w:bidi="ar-SA"/>
        </w:rPr>
        <w:t>(Paris: UNESCO, 2012).</w:t>
      </w:r>
    </w:p>
    <w:p w14:paraId="73E98856" w14:textId="61203411" w:rsidR="005F6512" w:rsidRDefault="005F6512" w:rsidP="003A68E2">
      <w:pPr>
        <w:pStyle w:val="BodyText"/>
        <w:spacing w:line="480" w:lineRule="auto"/>
        <w:ind w:right="315" w:firstLine="720"/>
      </w:pPr>
    </w:p>
    <w:p w14:paraId="2B7A4E83" w14:textId="24DA2393" w:rsidR="005F6512" w:rsidRDefault="005F6512" w:rsidP="003A68E2">
      <w:pPr>
        <w:pStyle w:val="BodyText"/>
        <w:spacing w:line="480" w:lineRule="auto"/>
        <w:ind w:right="315" w:firstLine="720"/>
      </w:pPr>
      <w:r>
        <w:t>Emma Charlene Lubaale, "The first cultural-property conviction at the ICC: an analysis of the Mahdi Judgement</w:t>
      </w:r>
      <w:r w:rsidR="00A14134">
        <w:t>.</w:t>
      </w:r>
      <w:r>
        <w:t xml:space="preserve">" </w:t>
      </w:r>
      <w:r w:rsidRPr="00733B79">
        <w:rPr>
          <w:i/>
        </w:rPr>
        <w:t>South African Yearbook on International Law</w:t>
      </w:r>
      <w:r>
        <w:t xml:space="preserve">, no. 1 (2016): 126–64. </w:t>
      </w:r>
    </w:p>
    <w:p w14:paraId="0AF47474" w14:textId="5F24460E" w:rsidR="00706451" w:rsidRDefault="00706451" w:rsidP="003A68E2">
      <w:pPr>
        <w:pStyle w:val="BodyText"/>
        <w:spacing w:line="480" w:lineRule="auto"/>
        <w:ind w:right="315" w:firstLine="720"/>
      </w:pPr>
    </w:p>
    <w:p w14:paraId="0DA05E9B" w14:textId="79DCEC81" w:rsidR="00706451" w:rsidRDefault="00A14134" w:rsidP="003A68E2">
      <w:pPr>
        <w:pStyle w:val="BodyText"/>
        <w:spacing w:line="480" w:lineRule="auto"/>
        <w:ind w:right="315" w:firstLine="720"/>
      </w:pPr>
      <w:r>
        <w:t xml:space="preserve">Jadranka Petrovic, "What Next for Endangered Cultural Heritage? The Timbuktu Crisis and the Reponsibility to Protect." </w:t>
      </w:r>
      <w:r w:rsidRPr="00733B79">
        <w:rPr>
          <w:i/>
        </w:rPr>
        <w:t>New Zealand Journal of Public and International Law</w:t>
      </w:r>
      <w:r>
        <w:t xml:space="preserve"> 11, no. 2 (2013): 381–425.</w:t>
      </w:r>
    </w:p>
    <w:p w14:paraId="2B69FF9C" w14:textId="1C7FC922" w:rsidR="00A14134" w:rsidRDefault="00A14134" w:rsidP="003A68E2">
      <w:pPr>
        <w:pStyle w:val="BodyText"/>
        <w:spacing w:line="480" w:lineRule="auto"/>
        <w:ind w:right="315" w:firstLine="720"/>
      </w:pPr>
    </w:p>
    <w:p w14:paraId="6D53DF70" w14:textId="2D3C200B" w:rsidR="00A14134" w:rsidRPr="003A68E2" w:rsidRDefault="00A14134" w:rsidP="003A68E2">
      <w:pPr>
        <w:pStyle w:val="BodyText"/>
        <w:spacing w:line="480" w:lineRule="auto"/>
        <w:ind w:right="315" w:firstLine="720"/>
      </w:pPr>
      <w:r>
        <w:t xml:space="preserve">Frédéric Foka Taffo, "Al Mahdi's Case before the International Criminal Court: A Landmark Decision in the Protection of Cultural and Religious Sites." </w:t>
      </w:r>
      <w:r w:rsidRPr="00733B79">
        <w:rPr>
          <w:i/>
        </w:rPr>
        <w:t>Conflict Trends</w:t>
      </w:r>
      <w:r w:rsidR="00C67296">
        <w:t>, no. 4 (2016): 42–49.</w:t>
      </w:r>
    </w:p>
    <w:p w14:paraId="3EBAF1E8" w14:textId="1E70C598" w:rsidR="005C7207" w:rsidRPr="001C156A" w:rsidRDefault="00D9427C" w:rsidP="00733B79">
      <w:pPr>
        <w:pStyle w:val="Heading2"/>
      </w:pPr>
      <w:r>
        <w:t>Endnotes</w:t>
      </w:r>
    </w:p>
    <w:p w14:paraId="124695C1" w14:textId="603F92A5" w:rsidR="005C7207" w:rsidRPr="005115E5" w:rsidRDefault="005C7207" w:rsidP="003A68E2">
      <w:pPr>
        <w:pStyle w:val="ListParagraph"/>
        <w:numPr>
          <w:ilvl w:val="0"/>
          <w:numId w:val="1"/>
        </w:numPr>
        <w:spacing w:before="222" w:line="480" w:lineRule="auto"/>
        <w:ind w:left="0" w:right="1281" w:firstLine="0"/>
        <w:rPr>
          <w:rFonts w:ascii="Calibri" w:hAnsi="Calibri"/>
        </w:rPr>
      </w:pPr>
    </w:p>
    <w:sectPr w:rsidR="005C7207" w:rsidRPr="005115E5" w:rsidSect="00C64648">
      <w:footerReference w:type="even" r:id="rId9"/>
      <w:footerReference w:type="default" r:id="rId10"/>
      <w:endnotePr>
        <w:numFmt w:val="decimal"/>
      </w:endnotePr>
      <w:pgSz w:w="12240" w:h="15840"/>
      <w:pgMar w:top="1276" w:right="1300" w:bottom="993" w:left="1280" w:header="0" w:footer="1657"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97E8" w16cex:dateUtc="2021-10-01T21:21:00Z"/>
  <w16cex:commentExtensible w16cex:durableId="250FD914" w16cex:dateUtc="2021-10-12T16:51:00Z"/>
  <w16cex:commentExtensible w16cex:durableId="25058066" w16cex:dateUtc="2021-10-04T20:30:00Z"/>
  <w16cex:commentExtensible w16cex:durableId="25058318" w16cex:dateUtc="2021-10-04T20:41:00Z"/>
  <w16cex:commentExtensible w16cex:durableId="250FDDAA" w16cex:dateUtc="2021-10-12T17:10:00Z"/>
  <w16cex:commentExtensible w16cex:durableId="250584F7" w16cex:dateUtc="2021-10-04T20:49:00Z"/>
  <w16cex:commentExtensible w16cex:durableId="250FDE0D" w16cex:dateUtc="2021-10-12T17:12:00Z"/>
  <w16cex:commentExtensible w16cex:durableId="25058536" w16cex:dateUtc="2021-10-04T20:50:00Z"/>
  <w16cex:commentExtensible w16cex:durableId="25058562" w16cex:dateUtc="2021-10-04T20:51:00Z"/>
  <w16cex:commentExtensible w16cex:durableId="250589F5" w16cex:dateUtc="2021-10-04T21:11:00Z"/>
  <w16cex:commentExtensible w16cex:durableId="25100976" w16cex:dateUtc="2021-10-12T20:17:00Z"/>
  <w16cex:commentExtensible w16cex:durableId="25058F86" w16cex:dateUtc="2021-10-04T21:34:00Z"/>
  <w16cex:commentExtensible w16cex:durableId="25059525" w16cex:dateUtc="2021-10-04T21:58:00Z"/>
  <w16cex:commentExtensible w16cex:durableId="25101032" w16cex:dateUtc="2021-10-12T20:46:00Z"/>
  <w16cex:commentExtensible w16cex:durableId="2505A113" w16cex:dateUtc="2021-10-04T22:49:00Z"/>
  <w16cex:commentExtensible w16cex:durableId="2510116C" w16cex:dateUtc="2021-10-12T20:51:00Z"/>
  <w16cex:commentExtensible w16cex:durableId="25101419" w16cex:dateUtc="2021-10-12T21:03:00Z"/>
  <w16cex:commentExtensible w16cex:durableId="251014CE" w16cex:dateUtc="2021-10-12T21:06:00Z"/>
  <w16cex:commentExtensible w16cex:durableId="2505B9AD" w16cex:dateUtc="2021-10-05T00:34:00Z"/>
  <w16cex:commentExtensible w16cex:durableId="251015EF" w16cex:dateUtc="2021-10-12T21:10:00Z"/>
  <w16cex:commentExtensible w16cex:durableId="2505BD5F" w16cex:dateUtc="2021-10-05T00:50:00Z"/>
  <w16cex:commentExtensible w16cex:durableId="250693A2" w16cex:dateUtc="2021-10-05T16: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24760" w14:textId="77777777" w:rsidR="00C0480F" w:rsidRDefault="00C0480F">
      <w:r>
        <w:separator/>
      </w:r>
    </w:p>
  </w:endnote>
  <w:endnote w:type="continuationSeparator" w:id="0">
    <w:p w14:paraId="5A2518DF" w14:textId="77777777" w:rsidR="00C0480F" w:rsidRDefault="00C0480F">
      <w:r>
        <w:continuationSeparator/>
      </w:r>
    </w:p>
  </w:endnote>
  <w:endnote w:id="1">
    <w:p w14:paraId="612A12E8" w14:textId="41B89FB7" w:rsidR="00685275" w:rsidRPr="0039301F" w:rsidRDefault="0041287D" w:rsidP="00D9427C">
      <w:pPr>
        <w:pStyle w:val="EndnoteText"/>
        <w:spacing w:line="480" w:lineRule="auto"/>
        <w:rPr>
          <w:iCs/>
          <w:sz w:val="24"/>
          <w:szCs w:val="24"/>
        </w:rPr>
      </w:pPr>
      <w:r w:rsidRPr="00A457D6">
        <w:rPr>
          <w:rStyle w:val="EndnoteReference"/>
          <w:sz w:val="24"/>
          <w:szCs w:val="24"/>
        </w:rPr>
        <w:endnoteRef/>
      </w:r>
      <w:r w:rsidRPr="00A457D6">
        <w:rPr>
          <w:sz w:val="24"/>
          <w:szCs w:val="24"/>
        </w:rPr>
        <w:t xml:space="preserve"> </w:t>
      </w:r>
      <w:r w:rsidRPr="00A457D6">
        <w:rPr>
          <w:iCs/>
          <w:sz w:val="24"/>
          <w:szCs w:val="24"/>
        </w:rPr>
        <w:t xml:space="preserve">International Experts Meeting for the Safeguarding of Mali’s Cultural Heritage, </w:t>
      </w:r>
      <w:r w:rsidRPr="00733B79">
        <w:rPr>
          <w:sz w:val="24"/>
          <w:szCs w:val="24"/>
        </w:rPr>
        <w:t>Final Report and Action Plan for the Rehabilitation of Cultural Heritage and the Safeguarding of Ancient Manuscripts in Mali</w:t>
      </w:r>
      <w:r w:rsidRPr="00A457D6">
        <w:rPr>
          <w:iCs/>
          <w:sz w:val="24"/>
          <w:szCs w:val="24"/>
        </w:rPr>
        <w:t xml:space="preserve"> (Paris: UNESCO, 2013). </w:t>
      </w:r>
    </w:p>
  </w:endnote>
  <w:endnote w:id="2">
    <w:p w14:paraId="101483A3" w14:textId="62D40040" w:rsidR="00A457D6" w:rsidRPr="00733B79" w:rsidRDefault="00C256CA" w:rsidP="00733B79">
      <w:pPr>
        <w:pStyle w:val="EndnoteText"/>
        <w:spacing w:line="480" w:lineRule="auto"/>
        <w:rPr>
          <w:sz w:val="24"/>
        </w:rPr>
      </w:pPr>
      <w:r w:rsidRPr="00733B79">
        <w:rPr>
          <w:rStyle w:val="EndnoteReference"/>
          <w:sz w:val="24"/>
        </w:rPr>
        <w:endnoteRef/>
      </w:r>
      <w:r w:rsidRPr="00733B79">
        <w:rPr>
          <w:sz w:val="24"/>
        </w:rPr>
        <w:t xml:space="preserve"> </w:t>
      </w:r>
      <w:r w:rsidR="00A457D6" w:rsidRPr="00733B79">
        <w:rPr>
          <w:sz w:val="24"/>
        </w:rPr>
        <w:t xml:space="preserve">United Nations Security Council. </w:t>
      </w:r>
      <w:r w:rsidR="00A457D6" w:rsidRPr="00733B79">
        <w:rPr>
          <w:i/>
          <w:sz w:val="24"/>
        </w:rPr>
        <w:t>Resolution 2100</w:t>
      </w:r>
      <w:r w:rsidR="00A457D6" w:rsidRPr="00733B79">
        <w:rPr>
          <w:sz w:val="24"/>
        </w:rPr>
        <w:t xml:space="preserve"> (2013): New York, April 2013.</w:t>
      </w:r>
    </w:p>
  </w:endnote>
  <w:endnote w:id="3">
    <w:p w14:paraId="2CFDFBCF" w14:textId="3D46AB51" w:rsidR="00BF63AC" w:rsidRPr="00D9427C" w:rsidRDefault="00BF63AC" w:rsidP="00733B79">
      <w:pPr>
        <w:spacing w:line="480" w:lineRule="auto"/>
        <w:rPr>
          <w:szCs w:val="24"/>
          <w:lang w:bidi="ar-SA"/>
        </w:rPr>
      </w:pPr>
      <w:r w:rsidRPr="00A457D6">
        <w:rPr>
          <w:rStyle w:val="EndnoteReference"/>
        </w:rPr>
        <w:endnoteRef/>
      </w:r>
      <w:r w:rsidRPr="00A457D6">
        <w:t xml:space="preserve"> See the entry for Timbuktu on UNESCO World Heritage List at </w:t>
      </w:r>
      <w:hyperlink r:id="rId1" w:history="1">
        <w:r w:rsidRPr="00733B79">
          <w:rPr>
            <w:color w:val="0000FF"/>
            <w:szCs w:val="24"/>
            <w:u w:val="single"/>
            <w:lang w:bidi="ar-SA"/>
          </w:rPr>
          <w:t>https://whc.unesco.org/en/list/119/</w:t>
        </w:r>
      </w:hyperlink>
      <w:r w:rsidR="00D9427C">
        <w:rPr>
          <w:szCs w:val="24"/>
          <w:lang w:bidi="ar-SA"/>
        </w:rPr>
        <w:t xml:space="preserve"> and Lazare Eloundou and Ishanlosen Odiaua, </w:t>
      </w:r>
      <w:r w:rsidR="00D9427C" w:rsidRPr="00733B79">
        <w:rPr>
          <w:i/>
          <w:szCs w:val="24"/>
          <w:lang w:bidi="ar-SA"/>
        </w:rPr>
        <w:t xml:space="preserve">African World Heritage: A Remarkable Diversity </w:t>
      </w:r>
      <w:r w:rsidR="00D9427C">
        <w:rPr>
          <w:szCs w:val="24"/>
          <w:lang w:bidi="ar-SA"/>
        </w:rPr>
        <w:t xml:space="preserve">(Paris: UNESCO, 2012). </w:t>
      </w:r>
    </w:p>
  </w:endnote>
  <w:endnote w:id="4">
    <w:p w14:paraId="4D0C183D" w14:textId="77777777" w:rsidR="00BA3B5B" w:rsidRPr="003A68E2" w:rsidRDefault="00BA3B5B" w:rsidP="00BA3B5B">
      <w:pPr>
        <w:tabs>
          <w:tab w:val="left" w:pos="495"/>
          <w:tab w:val="left" w:pos="496"/>
        </w:tabs>
        <w:spacing w:line="480" w:lineRule="auto"/>
        <w:ind w:right="797"/>
      </w:pPr>
      <w:r w:rsidRPr="009D32B6">
        <w:rPr>
          <w:rStyle w:val="EndnoteReference"/>
          <w:szCs w:val="24"/>
        </w:rPr>
        <w:endnoteRef/>
      </w:r>
      <w:r w:rsidRPr="003A68E2">
        <w:rPr>
          <w:szCs w:val="24"/>
        </w:rPr>
        <w:t xml:space="preserve"> </w:t>
      </w:r>
      <w:r w:rsidRPr="0066190C">
        <w:rPr>
          <w:szCs w:val="24"/>
        </w:rPr>
        <w:t>World Bank</w:t>
      </w:r>
      <w:r>
        <w:rPr>
          <w:szCs w:val="24"/>
        </w:rPr>
        <w:t xml:space="preserve">, </w:t>
      </w:r>
      <w:r w:rsidRPr="003A68E2">
        <w:rPr>
          <w:i/>
          <w:iCs/>
          <w:szCs w:val="24"/>
        </w:rPr>
        <w:t>Tombouctou aujourd’hui et demain: Stratégie de développement</w:t>
      </w:r>
      <w:r w:rsidRPr="003A68E2">
        <w:rPr>
          <w:szCs w:val="24"/>
        </w:rPr>
        <w:t xml:space="preserve"> </w:t>
      </w:r>
      <w:r>
        <w:rPr>
          <w:szCs w:val="24"/>
        </w:rPr>
        <w:t>(Washington, DC: World Bank</w:t>
      </w:r>
      <w:r w:rsidRPr="003A68E2">
        <w:rPr>
          <w:szCs w:val="24"/>
        </w:rPr>
        <w:t>, 2017</w:t>
      </w:r>
      <w:r>
        <w:rPr>
          <w:szCs w:val="24"/>
        </w:rPr>
        <w:t>)</w:t>
      </w:r>
      <w:r w:rsidRPr="003A68E2">
        <w:rPr>
          <w:szCs w:val="24"/>
        </w:rPr>
        <w:t>.</w:t>
      </w:r>
    </w:p>
  </w:endnote>
  <w:endnote w:id="5">
    <w:p w14:paraId="41C461EA" w14:textId="01E9BDC7" w:rsidR="006D525B" w:rsidRPr="005F6512" w:rsidRDefault="006D525B" w:rsidP="00D9427C">
      <w:pPr>
        <w:tabs>
          <w:tab w:val="left" w:pos="495"/>
          <w:tab w:val="left" w:pos="496"/>
        </w:tabs>
        <w:spacing w:before="224" w:line="480" w:lineRule="auto"/>
      </w:pPr>
      <w:r w:rsidRPr="00A457D6">
        <w:rPr>
          <w:rStyle w:val="EndnoteReference"/>
          <w:szCs w:val="24"/>
        </w:rPr>
        <w:endnoteRef/>
      </w:r>
      <w:r w:rsidRPr="00A457D6">
        <w:rPr>
          <w:szCs w:val="24"/>
        </w:rPr>
        <w:t xml:space="preserve"> </w:t>
      </w:r>
      <w:bookmarkStart w:id="5" w:name="_Hlk73897046"/>
      <w:r w:rsidR="008864F6" w:rsidRPr="00A457D6">
        <w:rPr>
          <w:iCs/>
          <w:szCs w:val="24"/>
        </w:rPr>
        <w:t>Malian Ministry of Culture</w:t>
      </w:r>
      <w:r w:rsidR="009D32B6" w:rsidRPr="00A457D6">
        <w:rPr>
          <w:szCs w:val="24"/>
        </w:rPr>
        <w:t xml:space="preserve">, </w:t>
      </w:r>
      <w:r w:rsidRPr="00A457D6">
        <w:rPr>
          <w:i/>
          <w:iCs/>
          <w:szCs w:val="24"/>
        </w:rPr>
        <w:t>Plan de conservation et de gestion de Tombouctou-Mali 2006</w:t>
      </w:r>
      <w:r w:rsidR="009D32B6" w:rsidRPr="00A457D6">
        <w:rPr>
          <w:i/>
          <w:iCs/>
          <w:szCs w:val="24"/>
        </w:rPr>
        <w:t>–</w:t>
      </w:r>
      <w:r w:rsidRPr="00A457D6">
        <w:rPr>
          <w:i/>
          <w:iCs/>
          <w:szCs w:val="24"/>
        </w:rPr>
        <w:t>2010</w:t>
      </w:r>
      <w:r w:rsidRPr="00A457D6">
        <w:rPr>
          <w:szCs w:val="24"/>
        </w:rPr>
        <w:t xml:space="preserve"> </w:t>
      </w:r>
      <w:r w:rsidR="009D32B6" w:rsidRPr="00A457D6">
        <w:rPr>
          <w:szCs w:val="24"/>
        </w:rPr>
        <w:t>(</w:t>
      </w:r>
      <w:r w:rsidRPr="00A457D6">
        <w:rPr>
          <w:szCs w:val="24"/>
        </w:rPr>
        <w:t>Bamako</w:t>
      </w:r>
      <w:r w:rsidR="009D32B6" w:rsidRPr="00A457D6">
        <w:rPr>
          <w:szCs w:val="24"/>
        </w:rPr>
        <w:t>: Government of Mali</w:t>
      </w:r>
      <w:r w:rsidRPr="00A457D6">
        <w:rPr>
          <w:szCs w:val="24"/>
        </w:rPr>
        <w:t>, 2006</w:t>
      </w:r>
      <w:bookmarkEnd w:id="5"/>
      <w:r w:rsidR="009D32B6" w:rsidRPr="00A457D6">
        <w:rPr>
          <w:szCs w:val="24"/>
        </w:rPr>
        <w:t>)</w:t>
      </w:r>
      <w:r w:rsidR="00A457D6">
        <w:rPr>
          <w:szCs w:val="24"/>
        </w:rPr>
        <w:t xml:space="preserve"> and</w:t>
      </w:r>
      <w:r w:rsidR="00A457D6">
        <w:rPr>
          <w:lang w:val="fr-FR"/>
        </w:rPr>
        <w:t xml:space="preserve"> </w:t>
      </w:r>
      <w:r w:rsidR="00A457D6" w:rsidRPr="005115E5">
        <w:rPr>
          <w:i/>
          <w:lang w:val="fr-FR"/>
        </w:rPr>
        <w:t xml:space="preserve">Etude de faisabilité pour la Redynamisation du </w:t>
      </w:r>
      <w:r w:rsidR="00A457D6" w:rsidRPr="00685275">
        <w:rPr>
          <w:i/>
          <w:lang w:val="fr-FR"/>
        </w:rPr>
        <w:t xml:space="preserve">tissu socio-économique de la ville de </w:t>
      </w:r>
      <w:r w:rsidR="00A457D6" w:rsidRPr="00733B79">
        <w:rPr>
          <w:lang w:val="fr-FR"/>
        </w:rPr>
        <w:t>Tombouctou</w:t>
      </w:r>
      <w:r w:rsidR="00A457D6" w:rsidRPr="00685275">
        <w:rPr>
          <w:lang w:val="fr-FR"/>
        </w:rPr>
        <w:t xml:space="preserve"> (Bamako DNPC, 2006).</w:t>
      </w:r>
    </w:p>
  </w:endnote>
  <w:endnote w:id="6">
    <w:p w14:paraId="626F4C05" w14:textId="60CBED1D" w:rsidR="006D525B" w:rsidRPr="0019613C" w:rsidRDefault="006D525B" w:rsidP="00685275">
      <w:pPr>
        <w:tabs>
          <w:tab w:val="left" w:pos="495"/>
          <w:tab w:val="left" w:pos="496"/>
        </w:tabs>
        <w:spacing w:line="480" w:lineRule="auto"/>
        <w:ind w:right="181"/>
      </w:pPr>
      <w:r w:rsidRPr="0019613C">
        <w:rPr>
          <w:rStyle w:val="EndnoteReference"/>
          <w:szCs w:val="24"/>
        </w:rPr>
        <w:endnoteRef/>
      </w:r>
      <w:r w:rsidRPr="0019613C">
        <w:rPr>
          <w:szCs w:val="24"/>
        </w:rPr>
        <w:t xml:space="preserve"> Evaluation ICOMOS du bien proposé: ville ancienne de Tombouctou</w:t>
      </w:r>
      <w:r w:rsidRPr="0019613C">
        <w:rPr>
          <w:spacing w:val="-4"/>
          <w:szCs w:val="24"/>
        </w:rPr>
        <w:t xml:space="preserve">, </w:t>
      </w:r>
      <w:r w:rsidRPr="0019613C">
        <w:rPr>
          <w:szCs w:val="24"/>
        </w:rPr>
        <w:t>In Liste du patrimoine mondial, n°119, Paris, 1987.</w:t>
      </w:r>
      <w:r w:rsidR="001E12CD" w:rsidRPr="0019613C">
        <w:t xml:space="preserve"> </w:t>
      </w:r>
    </w:p>
  </w:endnote>
  <w:endnote w:id="7">
    <w:p w14:paraId="3DA51778" w14:textId="0A545C76" w:rsidR="00802577" w:rsidRPr="003A68E2" w:rsidRDefault="00802577" w:rsidP="00802577">
      <w:pPr>
        <w:pStyle w:val="EndnoteText"/>
        <w:spacing w:line="480" w:lineRule="auto"/>
        <w:rPr>
          <w:sz w:val="24"/>
          <w:szCs w:val="24"/>
        </w:rPr>
      </w:pPr>
      <w:r w:rsidRPr="0019613C">
        <w:rPr>
          <w:rStyle w:val="EndnoteReference"/>
          <w:sz w:val="24"/>
          <w:szCs w:val="24"/>
        </w:rPr>
        <w:endnoteRef/>
      </w:r>
      <w:r w:rsidRPr="0019613C">
        <w:rPr>
          <w:sz w:val="24"/>
          <w:szCs w:val="24"/>
        </w:rPr>
        <w:t xml:space="preserve"> Accord pour la paix et la réconciliation au Mali, issu du processus d’Alger</w:t>
      </w:r>
      <w:r w:rsidR="0019613C" w:rsidRPr="0019613C">
        <w:rPr>
          <w:sz w:val="24"/>
          <w:szCs w:val="24"/>
        </w:rPr>
        <w:t xml:space="preserve">, </w:t>
      </w:r>
      <w:r w:rsidRPr="0019613C">
        <w:rPr>
          <w:sz w:val="24"/>
          <w:szCs w:val="24"/>
        </w:rPr>
        <w:t xml:space="preserve">Bamako, 15 </w:t>
      </w:r>
      <w:r w:rsidR="001E12CD" w:rsidRPr="0019613C">
        <w:rPr>
          <w:sz w:val="24"/>
          <w:szCs w:val="24"/>
        </w:rPr>
        <w:t xml:space="preserve">May </w:t>
      </w:r>
      <w:r w:rsidRPr="0019613C">
        <w:rPr>
          <w:sz w:val="24"/>
          <w:szCs w:val="24"/>
        </w:rPr>
        <w:t>2015</w:t>
      </w:r>
      <w:r w:rsidR="001E12CD" w:rsidRPr="0019613C">
        <w:rPr>
          <w:sz w:val="24"/>
          <w:szCs w:val="24"/>
        </w:rPr>
        <w:t>.</w:t>
      </w:r>
    </w:p>
  </w:endnote>
  <w:endnote w:id="8">
    <w:p w14:paraId="47394C4F" w14:textId="60B00728" w:rsidR="00885EF7" w:rsidRPr="003A68E2" w:rsidRDefault="00885EF7" w:rsidP="00885EF7">
      <w:pPr>
        <w:pStyle w:val="EndnoteText"/>
        <w:spacing w:line="480" w:lineRule="auto"/>
        <w:rPr>
          <w:sz w:val="24"/>
          <w:szCs w:val="24"/>
        </w:rPr>
      </w:pPr>
      <w:r w:rsidRPr="009D32B6">
        <w:rPr>
          <w:rStyle w:val="EndnoteReference"/>
          <w:sz w:val="24"/>
          <w:szCs w:val="24"/>
        </w:rPr>
        <w:endnoteRef/>
      </w:r>
      <w:r w:rsidRPr="003A68E2">
        <w:rPr>
          <w:sz w:val="24"/>
          <w:szCs w:val="24"/>
        </w:rPr>
        <w:t xml:space="preserve"> </w:t>
      </w:r>
      <w:r w:rsidR="00B759A5">
        <w:rPr>
          <w:iCs/>
          <w:sz w:val="24"/>
          <w:szCs w:val="24"/>
        </w:rPr>
        <w:t>Malian Ministry of Culture</w:t>
      </w:r>
      <w:r w:rsidR="00821B98">
        <w:rPr>
          <w:iCs/>
          <w:sz w:val="24"/>
          <w:szCs w:val="24"/>
        </w:rPr>
        <w:t>,</w:t>
      </w:r>
      <w:r w:rsidR="00821B98" w:rsidRPr="009D32B6">
        <w:rPr>
          <w:iCs/>
          <w:sz w:val="24"/>
          <w:szCs w:val="24"/>
        </w:rPr>
        <w:t xml:space="preserve"> </w:t>
      </w:r>
      <w:r w:rsidRPr="003A68E2">
        <w:rPr>
          <w:i/>
          <w:sz w:val="24"/>
          <w:szCs w:val="24"/>
        </w:rPr>
        <w:t>Rapport de mission en vue de l’évaluation du patrimoine culturel malien et des manuscrits anciens</w:t>
      </w:r>
      <w:r w:rsidRPr="003A68E2">
        <w:rPr>
          <w:iCs/>
          <w:sz w:val="24"/>
          <w:szCs w:val="24"/>
        </w:rPr>
        <w:t xml:space="preserve"> </w:t>
      </w:r>
      <w:r w:rsidR="00821B98">
        <w:rPr>
          <w:iCs/>
          <w:sz w:val="24"/>
          <w:szCs w:val="24"/>
        </w:rPr>
        <w:t>(</w:t>
      </w:r>
      <w:r w:rsidRPr="003A68E2">
        <w:rPr>
          <w:iCs/>
          <w:sz w:val="24"/>
          <w:szCs w:val="24"/>
        </w:rPr>
        <w:t>Bamako</w:t>
      </w:r>
      <w:r w:rsidR="009F706D">
        <w:rPr>
          <w:iCs/>
          <w:sz w:val="24"/>
          <w:szCs w:val="24"/>
        </w:rPr>
        <w:t>:</w:t>
      </w:r>
      <w:r w:rsidR="009F706D" w:rsidRPr="009F706D">
        <w:rPr>
          <w:iCs/>
          <w:sz w:val="24"/>
          <w:szCs w:val="24"/>
        </w:rPr>
        <w:t xml:space="preserve"> </w:t>
      </w:r>
      <w:r w:rsidR="009F706D">
        <w:rPr>
          <w:iCs/>
          <w:sz w:val="24"/>
          <w:szCs w:val="24"/>
        </w:rPr>
        <w:t>Malian Ministry of Culture,</w:t>
      </w:r>
      <w:r w:rsidRPr="003A68E2">
        <w:rPr>
          <w:iCs/>
          <w:sz w:val="24"/>
          <w:szCs w:val="24"/>
        </w:rPr>
        <w:t xml:space="preserve"> </w:t>
      </w:r>
      <w:r w:rsidR="00821B98">
        <w:rPr>
          <w:iCs/>
          <w:sz w:val="24"/>
          <w:szCs w:val="24"/>
        </w:rPr>
        <w:t xml:space="preserve">June </w:t>
      </w:r>
      <w:r w:rsidRPr="003A68E2">
        <w:rPr>
          <w:iCs/>
          <w:sz w:val="24"/>
          <w:szCs w:val="24"/>
        </w:rPr>
        <w:t>2013</w:t>
      </w:r>
      <w:r w:rsidR="00821B98">
        <w:rPr>
          <w:iCs/>
          <w:sz w:val="24"/>
          <w:szCs w:val="24"/>
        </w:rPr>
        <w:t>)</w:t>
      </w:r>
      <w:r w:rsidRPr="003A68E2">
        <w:rPr>
          <w:iCs/>
          <w:sz w:val="24"/>
          <w:szCs w:val="24"/>
        </w:rPr>
        <w:t>.</w:t>
      </w:r>
    </w:p>
  </w:endnote>
  <w:endnote w:id="9">
    <w:p w14:paraId="438DB3AC" w14:textId="7CB94834" w:rsidR="00F77AD0" w:rsidRPr="003A68E2" w:rsidRDefault="00F77AD0" w:rsidP="00F77AD0">
      <w:pPr>
        <w:tabs>
          <w:tab w:val="left" w:pos="495"/>
          <w:tab w:val="left" w:pos="496"/>
        </w:tabs>
        <w:spacing w:line="480" w:lineRule="auto"/>
        <w:ind w:right="130"/>
        <w:rPr>
          <w:rFonts w:ascii="Calibri" w:hAnsi="Calibri"/>
          <w:i/>
          <w:szCs w:val="24"/>
        </w:rPr>
      </w:pPr>
      <w:r w:rsidRPr="0019613C">
        <w:rPr>
          <w:rStyle w:val="EndnoteReference"/>
          <w:szCs w:val="24"/>
        </w:rPr>
        <w:endnoteRef/>
      </w:r>
      <w:r w:rsidRPr="0019613C">
        <w:rPr>
          <w:szCs w:val="24"/>
        </w:rPr>
        <w:t xml:space="preserve"> </w:t>
      </w:r>
      <w:r w:rsidR="00490875" w:rsidRPr="0019613C">
        <w:rPr>
          <w:szCs w:val="24"/>
        </w:rPr>
        <w:t>UNESCO</w:t>
      </w:r>
      <w:r w:rsidR="0019613C">
        <w:rPr>
          <w:szCs w:val="24"/>
        </w:rPr>
        <w:t xml:space="preserve">, </w:t>
      </w:r>
      <w:r w:rsidRPr="0019613C">
        <w:rPr>
          <w:i/>
          <w:szCs w:val="24"/>
        </w:rPr>
        <w:t>Evaluation de l’impact de la crise sur le secteur de l’éducation, à Tombouctou, Gao et</w:t>
      </w:r>
      <w:r w:rsidRPr="003A68E2">
        <w:rPr>
          <w:i/>
          <w:szCs w:val="24"/>
        </w:rPr>
        <w:t xml:space="preserve"> Kidal</w:t>
      </w:r>
      <w:r w:rsidRPr="003A68E2">
        <w:rPr>
          <w:iCs/>
          <w:szCs w:val="24"/>
        </w:rPr>
        <w:t xml:space="preserve"> </w:t>
      </w:r>
      <w:r w:rsidR="00490875">
        <w:rPr>
          <w:iCs/>
          <w:szCs w:val="24"/>
        </w:rPr>
        <w:t xml:space="preserve">(Paris: </w:t>
      </w:r>
      <w:r w:rsidRPr="003A68E2">
        <w:rPr>
          <w:iCs/>
          <w:szCs w:val="24"/>
        </w:rPr>
        <w:t xml:space="preserve">UNESCO, </w:t>
      </w:r>
      <w:r w:rsidR="00490875">
        <w:rPr>
          <w:iCs/>
          <w:szCs w:val="24"/>
        </w:rPr>
        <w:t xml:space="preserve">October </w:t>
      </w:r>
      <w:r w:rsidRPr="003A68E2">
        <w:rPr>
          <w:iCs/>
          <w:szCs w:val="24"/>
        </w:rPr>
        <w:t>2013</w:t>
      </w:r>
      <w:r w:rsidR="00490875">
        <w:rPr>
          <w:iCs/>
          <w:szCs w:val="24"/>
        </w:rPr>
        <w:t>)</w:t>
      </w:r>
      <w:r w:rsidRPr="003A68E2">
        <w:rPr>
          <w:iCs/>
          <w:szCs w:val="24"/>
        </w:rPr>
        <w:t>.</w:t>
      </w:r>
    </w:p>
  </w:endnote>
  <w:endnote w:id="10">
    <w:p w14:paraId="6C6359E3" w14:textId="7E23C10E" w:rsidR="005941DD" w:rsidRPr="003A68E2" w:rsidRDefault="005941DD" w:rsidP="005941DD">
      <w:pPr>
        <w:pStyle w:val="EndnoteText"/>
        <w:spacing w:line="480" w:lineRule="auto"/>
        <w:rPr>
          <w:sz w:val="24"/>
          <w:szCs w:val="24"/>
        </w:rPr>
      </w:pPr>
      <w:r w:rsidRPr="009D32B6">
        <w:rPr>
          <w:rStyle w:val="EndnoteReference"/>
          <w:sz w:val="24"/>
          <w:szCs w:val="24"/>
        </w:rPr>
        <w:endnoteRef/>
      </w:r>
      <w:r w:rsidR="002C573B">
        <w:rPr>
          <w:sz w:val="24"/>
          <w:szCs w:val="24"/>
        </w:rPr>
        <w:t xml:space="preserve"> UNESCO and Malian Ministry of Culture,</w:t>
      </w:r>
      <w:r w:rsidRPr="003A68E2">
        <w:rPr>
          <w:sz w:val="24"/>
          <w:szCs w:val="24"/>
        </w:rPr>
        <w:t xml:space="preserve"> </w:t>
      </w:r>
      <w:r w:rsidRPr="003A68E2">
        <w:rPr>
          <w:i/>
          <w:sz w:val="24"/>
          <w:szCs w:val="24"/>
        </w:rPr>
        <w:t>Stratégie de reconstruction des biens du patrimoine du nord du Mali (Tombouctou, Tombeau des Askia, et autres biens</w:t>
      </w:r>
      <w:r w:rsidRPr="003A68E2">
        <w:rPr>
          <w:i/>
          <w:spacing w:val="-20"/>
          <w:sz w:val="24"/>
          <w:szCs w:val="24"/>
        </w:rPr>
        <w:t xml:space="preserve"> </w:t>
      </w:r>
      <w:r w:rsidRPr="003A68E2">
        <w:rPr>
          <w:i/>
          <w:sz w:val="24"/>
          <w:szCs w:val="24"/>
        </w:rPr>
        <w:t>affectés)</w:t>
      </w:r>
      <w:r w:rsidRPr="003A68E2">
        <w:rPr>
          <w:iCs/>
          <w:sz w:val="24"/>
          <w:szCs w:val="24"/>
        </w:rPr>
        <w:t> </w:t>
      </w:r>
      <w:r w:rsidR="002C573B">
        <w:rPr>
          <w:iCs/>
          <w:sz w:val="24"/>
          <w:szCs w:val="24"/>
        </w:rPr>
        <w:t xml:space="preserve">(Paris: </w:t>
      </w:r>
      <w:r w:rsidRPr="003A68E2">
        <w:rPr>
          <w:iCs/>
          <w:sz w:val="24"/>
          <w:szCs w:val="24"/>
        </w:rPr>
        <w:t>UNESCO, 2014</w:t>
      </w:r>
      <w:r w:rsidR="002C573B">
        <w:rPr>
          <w:iCs/>
          <w:sz w:val="24"/>
          <w:szCs w:val="24"/>
        </w:rPr>
        <w:t>).</w:t>
      </w:r>
    </w:p>
  </w:endnote>
  <w:endnote w:id="11">
    <w:p w14:paraId="5EF27659" w14:textId="16B3276D" w:rsidR="00FF61CA" w:rsidRPr="00733B79" w:rsidRDefault="00972DFF" w:rsidP="00733B79">
      <w:pPr>
        <w:pStyle w:val="EndnoteText"/>
        <w:spacing w:line="480" w:lineRule="auto"/>
        <w:rPr>
          <w:sz w:val="24"/>
          <w:szCs w:val="24"/>
        </w:rPr>
      </w:pPr>
      <w:r w:rsidRPr="00733B79">
        <w:rPr>
          <w:rStyle w:val="EndnoteReference"/>
          <w:sz w:val="24"/>
          <w:szCs w:val="24"/>
        </w:rPr>
        <w:endnoteRef/>
      </w:r>
      <w:r w:rsidRPr="00733B79">
        <w:rPr>
          <w:sz w:val="24"/>
          <w:szCs w:val="24"/>
        </w:rPr>
        <w:t xml:space="preserve"> The </w:t>
      </w:r>
      <w:r>
        <w:rPr>
          <w:sz w:val="24"/>
          <w:szCs w:val="24"/>
        </w:rPr>
        <w:t xml:space="preserve">warrant of arrest in the case </w:t>
      </w:r>
      <w:r w:rsidRPr="00733B79">
        <w:rPr>
          <w:i/>
          <w:sz w:val="24"/>
          <w:szCs w:val="24"/>
        </w:rPr>
        <w:t>The Prosecutor vs. Ahmad Al Faqi Al Mahdi</w:t>
      </w:r>
      <w:r>
        <w:rPr>
          <w:sz w:val="24"/>
          <w:szCs w:val="24"/>
        </w:rPr>
        <w:t xml:space="preserve"> may be viewed in its original French at https://www.icc-cpi.int/Pages/record.aspx?docNo=ICC-01/12-01/15-1-red</w:t>
      </w:r>
    </w:p>
  </w:endnote>
  <w:endnote w:id="12">
    <w:p w14:paraId="05A95612" w14:textId="61E4B0A8" w:rsidR="00C109A5" w:rsidRPr="00733B79" w:rsidRDefault="00C109A5" w:rsidP="00733B79">
      <w:pPr>
        <w:pStyle w:val="EndnoteText"/>
        <w:spacing w:line="480" w:lineRule="auto"/>
        <w:rPr>
          <w:sz w:val="24"/>
          <w:szCs w:val="24"/>
        </w:rPr>
      </w:pPr>
      <w:r w:rsidRPr="00733B79">
        <w:rPr>
          <w:rStyle w:val="EndnoteReference"/>
          <w:sz w:val="24"/>
          <w:szCs w:val="24"/>
        </w:rPr>
        <w:endnoteRef/>
      </w:r>
      <w:r w:rsidRPr="00733B79">
        <w:rPr>
          <w:sz w:val="24"/>
          <w:szCs w:val="24"/>
        </w:rPr>
        <w:t xml:space="preserve"> ICC, </w:t>
      </w:r>
      <w:r w:rsidRPr="00733B79">
        <w:rPr>
          <w:rFonts w:asciiTheme="majorBidi" w:hAnsiTheme="majorBidi" w:cstheme="majorBidi"/>
          <w:i/>
          <w:iCs/>
          <w:sz w:val="24"/>
          <w:szCs w:val="24"/>
        </w:rPr>
        <w:t>Ahmad Al Faqi Al Mahdi</w:t>
      </w:r>
      <w:r w:rsidRPr="00733B79">
        <w:rPr>
          <w:rFonts w:asciiTheme="majorBidi" w:hAnsiTheme="majorBidi" w:cstheme="majorBidi"/>
          <w:sz w:val="24"/>
          <w:szCs w:val="24"/>
        </w:rPr>
        <w:t>, case no. ICC-01/12-01/15, Judgment and Sentence</w:t>
      </w:r>
      <w:r w:rsidRPr="00733B79">
        <w:rPr>
          <w:sz w:val="24"/>
          <w:szCs w:val="24"/>
        </w:rPr>
        <w:t xml:space="preserve">, </w:t>
      </w:r>
      <w:r w:rsidRPr="00733B79">
        <w:rPr>
          <w:rFonts w:asciiTheme="majorBidi" w:hAnsiTheme="majorBidi" w:cstheme="majorBidi"/>
          <w:sz w:val="24"/>
          <w:szCs w:val="24"/>
        </w:rPr>
        <w:t>27 September 2016.</w:t>
      </w:r>
      <w:r w:rsidR="00FF61CA">
        <w:rPr>
          <w:rFonts w:asciiTheme="majorBidi" w:hAnsiTheme="majorBidi" w:cstheme="majorBidi"/>
          <w:sz w:val="24"/>
          <w:szCs w:val="24"/>
        </w:rPr>
        <w:t xml:space="preserve"> See paragraph 78.</w:t>
      </w:r>
    </w:p>
  </w:endnote>
  <w:endnote w:id="13">
    <w:p w14:paraId="3735C347" w14:textId="70B8DE16" w:rsidR="0095653F" w:rsidRPr="009D32B6" w:rsidRDefault="0095653F" w:rsidP="00FF61CA">
      <w:pPr>
        <w:tabs>
          <w:tab w:val="left" w:pos="495"/>
          <w:tab w:val="left" w:pos="496"/>
        </w:tabs>
        <w:spacing w:line="480" w:lineRule="auto"/>
        <w:ind w:right="437"/>
      </w:pPr>
      <w:r w:rsidRPr="00C109A5">
        <w:rPr>
          <w:rStyle w:val="EndnoteReference"/>
          <w:szCs w:val="24"/>
        </w:rPr>
        <w:endnoteRef/>
      </w:r>
      <w:r w:rsidRPr="00C109A5">
        <w:rPr>
          <w:szCs w:val="24"/>
        </w:rPr>
        <w:t xml:space="preserve"> </w:t>
      </w:r>
      <w:r w:rsidR="00193079" w:rsidRPr="00FF61CA">
        <w:rPr>
          <w:szCs w:val="24"/>
        </w:rPr>
        <w:t xml:space="preserve">ICC, </w:t>
      </w:r>
      <w:r w:rsidRPr="00FF61CA">
        <w:rPr>
          <w:rFonts w:asciiTheme="majorBidi" w:hAnsiTheme="majorBidi" w:cstheme="majorBidi"/>
          <w:i/>
          <w:iCs/>
          <w:szCs w:val="24"/>
        </w:rPr>
        <w:t>Ahmad Al Faqi Al Mahdi</w:t>
      </w:r>
      <w:r w:rsidR="00193079" w:rsidRPr="00FF61CA">
        <w:rPr>
          <w:rFonts w:asciiTheme="majorBidi" w:hAnsiTheme="majorBidi" w:cstheme="majorBidi"/>
          <w:szCs w:val="24"/>
        </w:rPr>
        <w:t>,</w:t>
      </w:r>
      <w:r w:rsidRPr="00FF61CA">
        <w:rPr>
          <w:rFonts w:asciiTheme="majorBidi" w:hAnsiTheme="majorBidi" w:cstheme="majorBidi"/>
          <w:szCs w:val="24"/>
        </w:rPr>
        <w:t xml:space="preserve"> </w:t>
      </w:r>
      <w:r w:rsidR="001612D5" w:rsidRPr="00FF61CA">
        <w:rPr>
          <w:rFonts w:asciiTheme="majorBidi" w:hAnsiTheme="majorBidi" w:cstheme="majorBidi"/>
          <w:szCs w:val="24"/>
        </w:rPr>
        <w:t xml:space="preserve">case no. ICC-01/12-01/15, </w:t>
      </w:r>
      <w:r w:rsidRPr="00FF61CA">
        <w:rPr>
          <w:rFonts w:asciiTheme="majorBidi" w:hAnsiTheme="majorBidi" w:cstheme="majorBidi"/>
          <w:szCs w:val="24"/>
        </w:rPr>
        <w:t>Judgment and Sentence</w:t>
      </w:r>
      <w:r w:rsidR="00CE0C15" w:rsidRPr="00FF61CA">
        <w:rPr>
          <w:szCs w:val="24"/>
        </w:rPr>
        <w:t xml:space="preserve">, </w:t>
      </w:r>
      <w:r w:rsidRPr="00FF61CA">
        <w:rPr>
          <w:rFonts w:asciiTheme="majorBidi" w:hAnsiTheme="majorBidi" w:cstheme="majorBidi"/>
          <w:szCs w:val="24"/>
        </w:rPr>
        <w:t>27</w:t>
      </w:r>
      <w:r w:rsidRPr="009D32B6">
        <w:rPr>
          <w:rFonts w:asciiTheme="majorBidi" w:hAnsiTheme="majorBidi" w:cstheme="majorBidi"/>
          <w:szCs w:val="24"/>
        </w:rPr>
        <w:t xml:space="preserve"> September 2016.</w:t>
      </w:r>
    </w:p>
  </w:endnote>
  <w:endnote w:id="14">
    <w:p w14:paraId="74066388" w14:textId="12C9A1A4" w:rsidR="0095653F" w:rsidRPr="009D32B6" w:rsidRDefault="0095653F" w:rsidP="00733B79">
      <w:pPr>
        <w:pStyle w:val="EndnoteText"/>
        <w:spacing w:line="480" w:lineRule="auto"/>
        <w:rPr>
          <w:sz w:val="24"/>
          <w:szCs w:val="24"/>
        </w:rPr>
      </w:pPr>
      <w:r w:rsidRPr="009D32B6">
        <w:rPr>
          <w:rStyle w:val="EndnoteReference"/>
          <w:sz w:val="24"/>
          <w:szCs w:val="24"/>
        </w:rPr>
        <w:endnoteRef/>
      </w:r>
      <w:r w:rsidRPr="009D32B6">
        <w:rPr>
          <w:sz w:val="24"/>
          <w:szCs w:val="24"/>
        </w:rPr>
        <w:t xml:space="preserve"> </w:t>
      </w:r>
      <w:r w:rsidR="00CE0C15">
        <w:rPr>
          <w:sz w:val="24"/>
          <w:szCs w:val="24"/>
        </w:rPr>
        <w:t xml:space="preserve">ICC, </w:t>
      </w:r>
      <w:r w:rsidR="00CE0C15" w:rsidRPr="003A68E2">
        <w:rPr>
          <w:i/>
          <w:iCs/>
          <w:sz w:val="24"/>
          <w:szCs w:val="24"/>
        </w:rPr>
        <w:t>Al Mahdi</w:t>
      </w:r>
      <w:r w:rsidR="00CE0C15">
        <w:rPr>
          <w:sz w:val="24"/>
          <w:szCs w:val="24"/>
        </w:rPr>
        <w:t>,</w:t>
      </w:r>
      <w:r w:rsidR="00CE0C15" w:rsidRPr="00CE0C15">
        <w:rPr>
          <w:sz w:val="24"/>
          <w:szCs w:val="24"/>
        </w:rPr>
        <w:t xml:space="preserve"> </w:t>
      </w:r>
      <w:r w:rsidRPr="009D32B6">
        <w:rPr>
          <w:rFonts w:asciiTheme="majorBidi" w:hAnsiTheme="majorBidi" w:cstheme="majorBidi"/>
          <w:sz w:val="24"/>
          <w:szCs w:val="24"/>
        </w:rPr>
        <w:t>Reparation</w:t>
      </w:r>
      <w:r w:rsidR="00C8415C">
        <w:rPr>
          <w:rFonts w:asciiTheme="majorBidi" w:hAnsiTheme="majorBidi" w:cstheme="majorBidi"/>
          <w:sz w:val="24"/>
          <w:szCs w:val="24"/>
        </w:rPr>
        <w:t>s</w:t>
      </w:r>
      <w:r w:rsidRPr="009D32B6">
        <w:rPr>
          <w:rFonts w:asciiTheme="majorBidi" w:hAnsiTheme="majorBidi" w:cstheme="majorBidi"/>
          <w:sz w:val="24"/>
          <w:szCs w:val="24"/>
        </w:rPr>
        <w:t xml:space="preserve"> Order</w:t>
      </w:r>
      <w:r w:rsidR="00D11AC0">
        <w:rPr>
          <w:rFonts w:asciiTheme="majorBidi" w:hAnsiTheme="majorBidi" w:cstheme="majorBidi"/>
          <w:sz w:val="24"/>
          <w:szCs w:val="24"/>
        </w:rPr>
        <w:t>,</w:t>
      </w:r>
      <w:r w:rsidR="00D11AC0" w:rsidRPr="00D11AC0">
        <w:rPr>
          <w:rFonts w:asciiTheme="majorBidi" w:hAnsiTheme="majorBidi" w:cstheme="majorBidi"/>
          <w:sz w:val="24"/>
          <w:szCs w:val="24"/>
        </w:rPr>
        <w:t xml:space="preserve"> </w:t>
      </w:r>
      <w:r w:rsidRPr="009D32B6">
        <w:rPr>
          <w:rFonts w:asciiTheme="majorBidi" w:hAnsiTheme="majorBidi" w:cstheme="majorBidi"/>
          <w:sz w:val="24"/>
          <w:szCs w:val="24"/>
        </w:rPr>
        <w:t>17 August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1933648"/>
      <w:docPartObj>
        <w:docPartGallery w:val="Page Numbers (Bottom of Page)"/>
        <w:docPartUnique/>
      </w:docPartObj>
    </w:sdtPr>
    <w:sdtEndPr>
      <w:rPr>
        <w:rStyle w:val="PageNumber"/>
      </w:rPr>
    </w:sdtEndPr>
    <w:sdtContent>
      <w:p w14:paraId="051C4D52" w14:textId="0154DCB4" w:rsidR="00A2665B" w:rsidRDefault="00A2665B" w:rsidP="00A762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AE4F12" w14:textId="77777777" w:rsidR="00A2665B" w:rsidRDefault="00A2665B" w:rsidP="003A68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242206"/>
      <w:docPartObj>
        <w:docPartGallery w:val="Page Numbers (Bottom of Page)"/>
        <w:docPartUnique/>
      </w:docPartObj>
    </w:sdtPr>
    <w:sdtEndPr>
      <w:rPr>
        <w:rStyle w:val="PageNumber"/>
      </w:rPr>
    </w:sdtEndPr>
    <w:sdtContent>
      <w:p w14:paraId="0AFEB531" w14:textId="53EF58CC" w:rsidR="00A2665B" w:rsidRDefault="00A2665B" w:rsidP="00A762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3C922DE" w14:textId="77777777" w:rsidR="00FC7D21" w:rsidRDefault="00FC7D21" w:rsidP="003A68E2">
    <w:pPr>
      <w:pStyle w:val="BodyText"/>
      <w:spacing w:line="14" w:lineRule="auto"/>
      <w:ind w:right="360"/>
      <w:rPr>
        <w:sz w:val="20"/>
      </w:rPr>
    </w:pPr>
    <w:r>
      <w:rPr>
        <w:noProof/>
      </w:rPr>
      <mc:AlternateContent>
        <mc:Choice Requires="wps">
          <w:drawing>
            <wp:anchor distT="0" distB="0" distL="114300" distR="114300" simplePos="0" relativeHeight="251657728" behindDoc="1" locked="0" layoutInCell="1" allowOverlap="1" wp14:anchorId="757ABDF8" wp14:editId="649ED67B">
              <wp:simplePos x="0" y="0"/>
              <wp:positionH relativeFrom="margin">
                <wp:align>center</wp:align>
              </wp:positionH>
              <wp:positionV relativeFrom="page">
                <wp:posOffset>9644932</wp:posOffset>
              </wp:positionV>
              <wp:extent cx="223520" cy="180340"/>
              <wp:effectExtent l="0" t="0" r="5080" b="1016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5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D58C" w14:textId="232896D5" w:rsidR="00FC7D21" w:rsidRDefault="00FC7D21">
                          <w:pPr>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57ABDF8" id="_x0000_t202" coordsize="21600,21600" o:spt="202" path="m,l,21600r21600,l21600,xe">
              <v:stroke joinstyle="miter"/>
              <v:path gradientshapeok="t" o:connecttype="rect"/>
            </v:shapetype>
            <v:shape id="Text Box 1" o:spid="_x0000_s1026" type="#_x0000_t202" style="position:absolute;margin-left:0;margin-top:759.45pt;width:17.6pt;height:1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" filled="f" stroked="f">
              <v:path arrowok="t"/>
              <v:textbox inset="0,0,0,0">
                <w:txbxContent>
                  <w:p w14:paraId="00D6D58C" w14:textId="232896D5" w:rsidR="00FC7D21" w:rsidRDefault="00FC7D21">
                    <w:pPr>
                      <w:spacing w:line="245" w:lineRule="exact"/>
                      <w:ind w:left="60"/>
                      <w:rPr>
                        <w:rFonts w:ascii="Calibri"/>
                      </w:rPr>
                    </w:pP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24F0" w14:textId="77777777" w:rsidR="00C0480F" w:rsidRDefault="00C0480F">
      <w:r>
        <w:separator/>
      </w:r>
    </w:p>
  </w:footnote>
  <w:footnote w:type="continuationSeparator" w:id="0">
    <w:p w14:paraId="2172E5AA" w14:textId="77777777" w:rsidR="00C0480F" w:rsidRDefault="00C04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5360F"/>
    <w:multiLevelType w:val="hybridMultilevel"/>
    <w:tmpl w:val="883A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3152A"/>
    <w:multiLevelType w:val="hybridMultilevel"/>
    <w:tmpl w:val="EFFC1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259F8"/>
    <w:multiLevelType w:val="hybridMultilevel"/>
    <w:tmpl w:val="B0AC294C"/>
    <w:lvl w:ilvl="0" w:tplc="95C65A0E">
      <w:numFmt w:val="bullet"/>
      <w:lvlText w:val="-"/>
      <w:lvlJc w:val="left"/>
      <w:pPr>
        <w:ind w:left="496" w:hanging="360"/>
      </w:pPr>
      <w:rPr>
        <w:rFonts w:hint="default"/>
        <w:spacing w:val="-4"/>
        <w:w w:val="100"/>
        <w:lang w:val="en-US" w:eastAsia="en-US" w:bidi="en-US"/>
      </w:rPr>
    </w:lvl>
    <w:lvl w:ilvl="1" w:tplc="459E2B18">
      <w:numFmt w:val="bullet"/>
      <w:lvlText w:val="•"/>
      <w:lvlJc w:val="left"/>
      <w:pPr>
        <w:ind w:left="1382" w:hanging="360"/>
      </w:pPr>
      <w:rPr>
        <w:rFonts w:hint="default"/>
        <w:lang w:val="en-US" w:eastAsia="en-US" w:bidi="en-US"/>
      </w:rPr>
    </w:lvl>
    <w:lvl w:ilvl="2" w:tplc="95763CE2">
      <w:numFmt w:val="bullet"/>
      <w:lvlText w:val="•"/>
      <w:lvlJc w:val="left"/>
      <w:pPr>
        <w:ind w:left="2265" w:hanging="360"/>
      </w:pPr>
      <w:rPr>
        <w:rFonts w:hint="default"/>
        <w:lang w:val="en-US" w:eastAsia="en-US" w:bidi="en-US"/>
      </w:rPr>
    </w:lvl>
    <w:lvl w:ilvl="3" w:tplc="0A92EA22">
      <w:numFmt w:val="bullet"/>
      <w:lvlText w:val="•"/>
      <w:lvlJc w:val="left"/>
      <w:pPr>
        <w:ind w:left="3147" w:hanging="360"/>
      </w:pPr>
      <w:rPr>
        <w:rFonts w:hint="default"/>
        <w:lang w:val="en-US" w:eastAsia="en-US" w:bidi="en-US"/>
      </w:rPr>
    </w:lvl>
    <w:lvl w:ilvl="4" w:tplc="A2029B16">
      <w:numFmt w:val="bullet"/>
      <w:lvlText w:val="•"/>
      <w:lvlJc w:val="left"/>
      <w:pPr>
        <w:ind w:left="4030" w:hanging="360"/>
      </w:pPr>
      <w:rPr>
        <w:rFonts w:hint="default"/>
        <w:lang w:val="en-US" w:eastAsia="en-US" w:bidi="en-US"/>
      </w:rPr>
    </w:lvl>
    <w:lvl w:ilvl="5" w:tplc="17D6F486">
      <w:numFmt w:val="bullet"/>
      <w:lvlText w:val="•"/>
      <w:lvlJc w:val="left"/>
      <w:pPr>
        <w:ind w:left="4913" w:hanging="360"/>
      </w:pPr>
      <w:rPr>
        <w:rFonts w:hint="default"/>
        <w:lang w:val="en-US" w:eastAsia="en-US" w:bidi="en-US"/>
      </w:rPr>
    </w:lvl>
    <w:lvl w:ilvl="6" w:tplc="3C7A8A66">
      <w:numFmt w:val="bullet"/>
      <w:lvlText w:val="•"/>
      <w:lvlJc w:val="left"/>
      <w:pPr>
        <w:ind w:left="5795" w:hanging="360"/>
      </w:pPr>
      <w:rPr>
        <w:rFonts w:hint="default"/>
        <w:lang w:val="en-US" w:eastAsia="en-US" w:bidi="en-US"/>
      </w:rPr>
    </w:lvl>
    <w:lvl w:ilvl="7" w:tplc="EFCC1B2E">
      <w:numFmt w:val="bullet"/>
      <w:lvlText w:val="•"/>
      <w:lvlJc w:val="left"/>
      <w:pPr>
        <w:ind w:left="6678" w:hanging="360"/>
      </w:pPr>
      <w:rPr>
        <w:rFonts w:hint="default"/>
        <w:lang w:val="en-US" w:eastAsia="en-US" w:bidi="en-US"/>
      </w:rPr>
    </w:lvl>
    <w:lvl w:ilvl="8" w:tplc="0F6C0F18">
      <w:numFmt w:val="bullet"/>
      <w:lvlText w:val="•"/>
      <w:lvlJc w:val="left"/>
      <w:pPr>
        <w:ind w:left="7561"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07"/>
    <w:rsid w:val="00001022"/>
    <w:rsid w:val="0000343E"/>
    <w:rsid w:val="0001164E"/>
    <w:rsid w:val="00013D8A"/>
    <w:rsid w:val="00013DB8"/>
    <w:rsid w:val="00017261"/>
    <w:rsid w:val="0001795F"/>
    <w:rsid w:val="00022497"/>
    <w:rsid w:val="0002578E"/>
    <w:rsid w:val="00025817"/>
    <w:rsid w:val="00026838"/>
    <w:rsid w:val="0003121B"/>
    <w:rsid w:val="0003200A"/>
    <w:rsid w:val="0003247D"/>
    <w:rsid w:val="0003308C"/>
    <w:rsid w:val="00033357"/>
    <w:rsid w:val="00033BC4"/>
    <w:rsid w:val="0003568A"/>
    <w:rsid w:val="00036AB0"/>
    <w:rsid w:val="00037E56"/>
    <w:rsid w:val="00040165"/>
    <w:rsid w:val="000423DC"/>
    <w:rsid w:val="00045E86"/>
    <w:rsid w:val="00050F05"/>
    <w:rsid w:val="00053AC7"/>
    <w:rsid w:val="00054A10"/>
    <w:rsid w:val="0005764B"/>
    <w:rsid w:val="00061148"/>
    <w:rsid w:val="000661FD"/>
    <w:rsid w:val="00071676"/>
    <w:rsid w:val="00075DD9"/>
    <w:rsid w:val="000848F1"/>
    <w:rsid w:val="000924AE"/>
    <w:rsid w:val="000A19DA"/>
    <w:rsid w:val="000A2B46"/>
    <w:rsid w:val="000B6E55"/>
    <w:rsid w:val="000C730C"/>
    <w:rsid w:val="000E2BF4"/>
    <w:rsid w:val="000E4D70"/>
    <w:rsid w:val="000E7898"/>
    <w:rsid w:val="000F0291"/>
    <w:rsid w:val="000F0379"/>
    <w:rsid w:val="000F1A1A"/>
    <w:rsid w:val="000F7100"/>
    <w:rsid w:val="00101A04"/>
    <w:rsid w:val="00111793"/>
    <w:rsid w:val="0011328B"/>
    <w:rsid w:val="00121455"/>
    <w:rsid w:val="0012430F"/>
    <w:rsid w:val="00127BCC"/>
    <w:rsid w:val="00127DA7"/>
    <w:rsid w:val="00132CB9"/>
    <w:rsid w:val="00141655"/>
    <w:rsid w:val="00142018"/>
    <w:rsid w:val="00146574"/>
    <w:rsid w:val="00151A58"/>
    <w:rsid w:val="00151AE5"/>
    <w:rsid w:val="00156ADC"/>
    <w:rsid w:val="00156EF6"/>
    <w:rsid w:val="00160E07"/>
    <w:rsid w:val="001611B9"/>
    <w:rsid w:val="001612D5"/>
    <w:rsid w:val="00164FE7"/>
    <w:rsid w:val="001659E8"/>
    <w:rsid w:val="00167C14"/>
    <w:rsid w:val="0017533B"/>
    <w:rsid w:val="00180739"/>
    <w:rsid w:val="00185D6B"/>
    <w:rsid w:val="00193079"/>
    <w:rsid w:val="00193AE0"/>
    <w:rsid w:val="00195869"/>
    <w:rsid w:val="0019613C"/>
    <w:rsid w:val="001A2591"/>
    <w:rsid w:val="001A5208"/>
    <w:rsid w:val="001B1618"/>
    <w:rsid w:val="001B21B8"/>
    <w:rsid w:val="001B2D6C"/>
    <w:rsid w:val="001B4AEE"/>
    <w:rsid w:val="001C116E"/>
    <w:rsid w:val="001C156A"/>
    <w:rsid w:val="001C2454"/>
    <w:rsid w:val="001C3690"/>
    <w:rsid w:val="001C3F3F"/>
    <w:rsid w:val="001C4783"/>
    <w:rsid w:val="001C4959"/>
    <w:rsid w:val="001C4F5A"/>
    <w:rsid w:val="001D00CF"/>
    <w:rsid w:val="001E12CD"/>
    <w:rsid w:val="001E20DC"/>
    <w:rsid w:val="001E440B"/>
    <w:rsid w:val="001E6124"/>
    <w:rsid w:val="001E72F4"/>
    <w:rsid w:val="001F3639"/>
    <w:rsid w:val="001F470C"/>
    <w:rsid w:val="001F51E1"/>
    <w:rsid w:val="001F5BE0"/>
    <w:rsid w:val="002001D3"/>
    <w:rsid w:val="0020752D"/>
    <w:rsid w:val="00212101"/>
    <w:rsid w:val="002259C3"/>
    <w:rsid w:val="002264AC"/>
    <w:rsid w:val="0023251E"/>
    <w:rsid w:val="00237FF4"/>
    <w:rsid w:val="00241A5C"/>
    <w:rsid w:val="00241E8A"/>
    <w:rsid w:val="00247D43"/>
    <w:rsid w:val="00254BF4"/>
    <w:rsid w:val="00255A84"/>
    <w:rsid w:val="00257C62"/>
    <w:rsid w:val="00257DED"/>
    <w:rsid w:val="00262089"/>
    <w:rsid w:val="00267376"/>
    <w:rsid w:val="0027331B"/>
    <w:rsid w:val="002763F2"/>
    <w:rsid w:val="00281270"/>
    <w:rsid w:val="00283120"/>
    <w:rsid w:val="00286EB6"/>
    <w:rsid w:val="0029218E"/>
    <w:rsid w:val="002924CC"/>
    <w:rsid w:val="002A29A3"/>
    <w:rsid w:val="002A45B4"/>
    <w:rsid w:val="002A4FB2"/>
    <w:rsid w:val="002B321B"/>
    <w:rsid w:val="002C0A0E"/>
    <w:rsid w:val="002C4D02"/>
    <w:rsid w:val="002C573B"/>
    <w:rsid w:val="002E1884"/>
    <w:rsid w:val="00302802"/>
    <w:rsid w:val="00303C97"/>
    <w:rsid w:val="00305F4B"/>
    <w:rsid w:val="003105A0"/>
    <w:rsid w:val="00310BA5"/>
    <w:rsid w:val="0032124F"/>
    <w:rsid w:val="00323FC8"/>
    <w:rsid w:val="003349E9"/>
    <w:rsid w:val="00335817"/>
    <w:rsid w:val="00335A05"/>
    <w:rsid w:val="00336F8F"/>
    <w:rsid w:val="0034252F"/>
    <w:rsid w:val="003426C8"/>
    <w:rsid w:val="00345AAE"/>
    <w:rsid w:val="0034661F"/>
    <w:rsid w:val="003479CE"/>
    <w:rsid w:val="00356613"/>
    <w:rsid w:val="0035667D"/>
    <w:rsid w:val="00356E76"/>
    <w:rsid w:val="00362959"/>
    <w:rsid w:val="0036386E"/>
    <w:rsid w:val="00366C72"/>
    <w:rsid w:val="003763B2"/>
    <w:rsid w:val="0038404F"/>
    <w:rsid w:val="00385300"/>
    <w:rsid w:val="00385546"/>
    <w:rsid w:val="003879D9"/>
    <w:rsid w:val="0039301F"/>
    <w:rsid w:val="003A3203"/>
    <w:rsid w:val="003A3A8E"/>
    <w:rsid w:val="003A68E2"/>
    <w:rsid w:val="003B766E"/>
    <w:rsid w:val="003B7EF5"/>
    <w:rsid w:val="003C47E2"/>
    <w:rsid w:val="003C7A22"/>
    <w:rsid w:val="003D0E4A"/>
    <w:rsid w:val="003D24C1"/>
    <w:rsid w:val="003D4A85"/>
    <w:rsid w:val="003D7061"/>
    <w:rsid w:val="003E2FB0"/>
    <w:rsid w:val="003E35FB"/>
    <w:rsid w:val="003E4C3C"/>
    <w:rsid w:val="003F715D"/>
    <w:rsid w:val="0041287D"/>
    <w:rsid w:val="00432F49"/>
    <w:rsid w:val="00433031"/>
    <w:rsid w:val="004406B9"/>
    <w:rsid w:val="00442889"/>
    <w:rsid w:val="00442F91"/>
    <w:rsid w:val="00451433"/>
    <w:rsid w:val="00451839"/>
    <w:rsid w:val="00453E5E"/>
    <w:rsid w:val="004562EE"/>
    <w:rsid w:val="0046065C"/>
    <w:rsid w:val="00461815"/>
    <w:rsid w:val="00467BD0"/>
    <w:rsid w:val="00476C97"/>
    <w:rsid w:val="00480C7E"/>
    <w:rsid w:val="00481BF7"/>
    <w:rsid w:val="00481C18"/>
    <w:rsid w:val="004821A9"/>
    <w:rsid w:val="00482B92"/>
    <w:rsid w:val="00485A2D"/>
    <w:rsid w:val="00486E3A"/>
    <w:rsid w:val="00487184"/>
    <w:rsid w:val="00490187"/>
    <w:rsid w:val="00490875"/>
    <w:rsid w:val="00492344"/>
    <w:rsid w:val="00497920"/>
    <w:rsid w:val="004A0DD1"/>
    <w:rsid w:val="004B72D1"/>
    <w:rsid w:val="004C0CEA"/>
    <w:rsid w:val="004C21DC"/>
    <w:rsid w:val="004C77D7"/>
    <w:rsid w:val="004D2637"/>
    <w:rsid w:val="004E304B"/>
    <w:rsid w:val="004E6ADB"/>
    <w:rsid w:val="004F6BD4"/>
    <w:rsid w:val="00503A96"/>
    <w:rsid w:val="005115E5"/>
    <w:rsid w:val="005124D7"/>
    <w:rsid w:val="005144C7"/>
    <w:rsid w:val="00521173"/>
    <w:rsid w:val="005302D4"/>
    <w:rsid w:val="00536481"/>
    <w:rsid w:val="00540C00"/>
    <w:rsid w:val="00544385"/>
    <w:rsid w:val="00551D80"/>
    <w:rsid w:val="00553202"/>
    <w:rsid w:val="0055439B"/>
    <w:rsid w:val="00560C92"/>
    <w:rsid w:val="00564119"/>
    <w:rsid w:val="00565C59"/>
    <w:rsid w:val="00566E74"/>
    <w:rsid w:val="0057038C"/>
    <w:rsid w:val="00575040"/>
    <w:rsid w:val="00580890"/>
    <w:rsid w:val="0058170E"/>
    <w:rsid w:val="00590265"/>
    <w:rsid w:val="005941DD"/>
    <w:rsid w:val="00595E94"/>
    <w:rsid w:val="00595EA8"/>
    <w:rsid w:val="005A2B8B"/>
    <w:rsid w:val="005B2CB7"/>
    <w:rsid w:val="005B4B18"/>
    <w:rsid w:val="005B6DC2"/>
    <w:rsid w:val="005C304F"/>
    <w:rsid w:val="005C7207"/>
    <w:rsid w:val="005C7ECB"/>
    <w:rsid w:val="005D2BD2"/>
    <w:rsid w:val="005D306A"/>
    <w:rsid w:val="005D578A"/>
    <w:rsid w:val="005E3022"/>
    <w:rsid w:val="005E5E23"/>
    <w:rsid w:val="005E7D17"/>
    <w:rsid w:val="005F6512"/>
    <w:rsid w:val="00600D31"/>
    <w:rsid w:val="00604BB5"/>
    <w:rsid w:val="006152D1"/>
    <w:rsid w:val="006217FA"/>
    <w:rsid w:val="006248B0"/>
    <w:rsid w:val="006250AB"/>
    <w:rsid w:val="00644277"/>
    <w:rsid w:val="00645947"/>
    <w:rsid w:val="006471F1"/>
    <w:rsid w:val="006507AB"/>
    <w:rsid w:val="0065424A"/>
    <w:rsid w:val="00664B38"/>
    <w:rsid w:val="00666312"/>
    <w:rsid w:val="006731BF"/>
    <w:rsid w:val="00677518"/>
    <w:rsid w:val="00680356"/>
    <w:rsid w:val="00683234"/>
    <w:rsid w:val="00683D80"/>
    <w:rsid w:val="00685275"/>
    <w:rsid w:val="0069163C"/>
    <w:rsid w:val="00691918"/>
    <w:rsid w:val="0069307B"/>
    <w:rsid w:val="006A2B24"/>
    <w:rsid w:val="006A4654"/>
    <w:rsid w:val="006A5B58"/>
    <w:rsid w:val="006A62F5"/>
    <w:rsid w:val="006B17D7"/>
    <w:rsid w:val="006B1E3B"/>
    <w:rsid w:val="006B2F94"/>
    <w:rsid w:val="006B3FAC"/>
    <w:rsid w:val="006C3CA3"/>
    <w:rsid w:val="006C78F4"/>
    <w:rsid w:val="006D08D7"/>
    <w:rsid w:val="006D4C6B"/>
    <w:rsid w:val="006D5056"/>
    <w:rsid w:val="006D525B"/>
    <w:rsid w:val="006E2832"/>
    <w:rsid w:val="006E2DC1"/>
    <w:rsid w:val="006E52E9"/>
    <w:rsid w:val="006E7BD7"/>
    <w:rsid w:val="006E7D10"/>
    <w:rsid w:val="006F2B5D"/>
    <w:rsid w:val="006F3F59"/>
    <w:rsid w:val="006F455A"/>
    <w:rsid w:val="006F50A2"/>
    <w:rsid w:val="006F7228"/>
    <w:rsid w:val="00701676"/>
    <w:rsid w:val="00703793"/>
    <w:rsid w:val="00706451"/>
    <w:rsid w:val="00707EE6"/>
    <w:rsid w:val="00714DA6"/>
    <w:rsid w:val="00716465"/>
    <w:rsid w:val="0071668F"/>
    <w:rsid w:val="00716AC5"/>
    <w:rsid w:val="00717BB1"/>
    <w:rsid w:val="0072376D"/>
    <w:rsid w:val="007278FA"/>
    <w:rsid w:val="00727B88"/>
    <w:rsid w:val="00733B79"/>
    <w:rsid w:val="00736539"/>
    <w:rsid w:val="00737BEC"/>
    <w:rsid w:val="00741322"/>
    <w:rsid w:val="007507A5"/>
    <w:rsid w:val="007617F3"/>
    <w:rsid w:val="0076665D"/>
    <w:rsid w:val="007808E5"/>
    <w:rsid w:val="0078091E"/>
    <w:rsid w:val="0078616C"/>
    <w:rsid w:val="00787CF3"/>
    <w:rsid w:val="0079010D"/>
    <w:rsid w:val="0079474C"/>
    <w:rsid w:val="007974BB"/>
    <w:rsid w:val="007B2A4E"/>
    <w:rsid w:val="007B3180"/>
    <w:rsid w:val="007C1203"/>
    <w:rsid w:val="007C2FCF"/>
    <w:rsid w:val="007C2FF1"/>
    <w:rsid w:val="007C4139"/>
    <w:rsid w:val="007C445D"/>
    <w:rsid w:val="007C5AC0"/>
    <w:rsid w:val="007D498B"/>
    <w:rsid w:val="007D6085"/>
    <w:rsid w:val="007E176F"/>
    <w:rsid w:val="007F399F"/>
    <w:rsid w:val="007F41BE"/>
    <w:rsid w:val="007F4EAC"/>
    <w:rsid w:val="007F711C"/>
    <w:rsid w:val="008022AB"/>
    <w:rsid w:val="00802577"/>
    <w:rsid w:val="008058FD"/>
    <w:rsid w:val="00811DCE"/>
    <w:rsid w:val="008128D8"/>
    <w:rsid w:val="00812DB5"/>
    <w:rsid w:val="00814C23"/>
    <w:rsid w:val="00816697"/>
    <w:rsid w:val="00821B98"/>
    <w:rsid w:val="008249BC"/>
    <w:rsid w:val="00830619"/>
    <w:rsid w:val="008327FB"/>
    <w:rsid w:val="00842927"/>
    <w:rsid w:val="008459FF"/>
    <w:rsid w:val="008502FC"/>
    <w:rsid w:val="008541F5"/>
    <w:rsid w:val="00861925"/>
    <w:rsid w:val="008653E4"/>
    <w:rsid w:val="008828C7"/>
    <w:rsid w:val="00882E57"/>
    <w:rsid w:val="00884273"/>
    <w:rsid w:val="00885EF7"/>
    <w:rsid w:val="008864F6"/>
    <w:rsid w:val="00886593"/>
    <w:rsid w:val="0089735C"/>
    <w:rsid w:val="008A479E"/>
    <w:rsid w:val="008B4605"/>
    <w:rsid w:val="008C1FD7"/>
    <w:rsid w:val="008C79F9"/>
    <w:rsid w:val="008D1584"/>
    <w:rsid w:val="008D36E6"/>
    <w:rsid w:val="008E1F14"/>
    <w:rsid w:val="008E44CF"/>
    <w:rsid w:val="008E4812"/>
    <w:rsid w:val="00900696"/>
    <w:rsid w:val="00900771"/>
    <w:rsid w:val="00901E1B"/>
    <w:rsid w:val="00913482"/>
    <w:rsid w:val="0091756D"/>
    <w:rsid w:val="00920DA2"/>
    <w:rsid w:val="00922109"/>
    <w:rsid w:val="0092230C"/>
    <w:rsid w:val="00930C93"/>
    <w:rsid w:val="00935F41"/>
    <w:rsid w:val="00937DE3"/>
    <w:rsid w:val="009400BA"/>
    <w:rsid w:val="00940A72"/>
    <w:rsid w:val="00942D4A"/>
    <w:rsid w:val="00943740"/>
    <w:rsid w:val="00953CE9"/>
    <w:rsid w:val="0095477C"/>
    <w:rsid w:val="009556E9"/>
    <w:rsid w:val="0095653F"/>
    <w:rsid w:val="00957411"/>
    <w:rsid w:val="00960A56"/>
    <w:rsid w:val="009630E0"/>
    <w:rsid w:val="00966AD6"/>
    <w:rsid w:val="00972DFF"/>
    <w:rsid w:val="009732D8"/>
    <w:rsid w:val="0098325D"/>
    <w:rsid w:val="00985AC8"/>
    <w:rsid w:val="00985F63"/>
    <w:rsid w:val="00997DCC"/>
    <w:rsid w:val="009A6C0B"/>
    <w:rsid w:val="009B7F2B"/>
    <w:rsid w:val="009C0D1F"/>
    <w:rsid w:val="009C18A5"/>
    <w:rsid w:val="009C1FEF"/>
    <w:rsid w:val="009C21D9"/>
    <w:rsid w:val="009C656E"/>
    <w:rsid w:val="009C7689"/>
    <w:rsid w:val="009D2DBB"/>
    <w:rsid w:val="009D32B6"/>
    <w:rsid w:val="009D3EE5"/>
    <w:rsid w:val="009D49D9"/>
    <w:rsid w:val="009D4DEE"/>
    <w:rsid w:val="009D61B0"/>
    <w:rsid w:val="009D7781"/>
    <w:rsid w:val="009F706D"/>
    <w:rsid w:val="009F76E4"/>
    <w:rsid w:val="00A067B1"/>
    <w:rsid w:val="00A118DF"/>
    <w:rsid w:val="00A14134"/>
    <w:rsid w:val="00A15356"/>
    <w:rsid w:val="00A2497C"/>
    <w:rsid w:val="00A2665B"/>
    <w:rsid w:val="00A32663"/>
    <w:rsid w:val="00A3660D"/>
    <w:rsid w:val="00A4064E"/>
    <w:rsid w:val="00A43D6A"/>
    <w:rsid w:val="00A457D6"/>
    <w:rsid w:val="00A477CC"/>
    <w:rsid w:val="00A5140B"/>
    <w:rsid w:val="00A72E40"/>
    <w:rsid w:val="00A82833"/>
    <w:rsid w:val="00A85839"/>
    <w:rsid w:val="00A86EA4"/>
    <w:rsid w:val="00A90552"/>
    <w:rsid w:val="00A906D5"/>
    <w:rsid w:val="00A91DA3"/>
    <w:rsid w:val="00A91E33"/>
    <w:rsid w:val="00A957E7"/>
    <w:rsid w:val="00A95A93"/>
    <w:rsid w:val="00A97609"/>
    <w:rsid w:val="00AA213B"/>
    <w:rsid w:val="00AA2F67"/>
    <w:rsid w:val="00AA5BB0"/>
    <w:rsid w:val="00AA5D3B"/>
    <w:rsid w:val="00AA7365"/>
    <w:rsid w:val="00AA7E98"/>
    <w:rsid w:val="00AB1A7E"/>
    <w:rsid w:val="00AB1CF6"/>
    <w:rsid w:val="00AB20D8"/>
    <w:rsid w:val="00AB32F9"/>
    <w:rsid w:val="00AB3C3C"/>
    <w:rsid w:val="00AB5CB5"/>
    <w:rsid w:val="00AC0D17"/>
    <w:rsid w:val="00AC1B99"/>
    <w:rsid w:val="00AC4333"/>
    <w:rsid w:val="00AD01B7"/>
    <w:rsid w:val="00AD0FCF"/>
    <w:rsid w:val="00AD4D1D"/>
    <w:rsid w:val="00AD6C9D"/>
    <w:rsid w:val="00AE15B0"/>
    <w:rsid w:val="00AE4653"/>
    <w:rsid w:val="00AE5FF5"/>
    <w:rsid w:val="00AF315F"/>
    <w:rsid w:val="00AF3D70"/>
    <w:rsid w:val="00B00983"/>
    <w:rsid w:val="00B05BC3"/>
    <w:rsid w:val="00B05FE9"/>
    <w:rsid w:val="00B06FD0"/>
    <w:rsid w:val="00B07F4F"/>
    <w:rsid w:val="00B1037C"/>
    <w:rsid w:val="00B124C2"/>
    <w:rsid w:val="00B22977"/>
    <w:rsid w:val="00B23511"/>
    <w:rsid w:val="00B373D5"/>
    <w:rsid w:val="00B43D53"/>
    <w:rsid w:val="00B47E24"/>
    <w:rsid w:val="00B55B08"/>
    <w:rsid w:val="00B60F55"/>
    <w:rsid w:val="00B63DD8"/>
    <w:rsid w:val="00B644E8"/>
    <w:rsid w:val="00B759A5"/>
    <w:rsid w:val="00B82497"/>
    <w:rsid w:val="00B90C41"/>
    <w:rsid w:val="00B925AB"/>
    <w:rsid w:val="00B93EA9"/>
    <w:rsid w:val="00B948CF"/>
    <w:rsid w:val="00B95E36"/>
    <w:rsid w:val="00BA31BA"/>
    <w:rsid w:val="00BA31BC"/>
    <w:rsid w:val="00BA3B5B"/>
    <w:rsid w:val="00BA46E0"/>
    <w:rsid w:val="00BA5990"/>
    <w:rsid w:val="00BB4DC9"/>
    <w:rsid w:val="00BB6BCC"/>
    <w:rsid w:val="00BC33D3"/>
    <w:rsid w:val="00BC435D"/>
    <w:rsid w:val="00BC7678"/>
    <w:rsid w:val="00BD1FC6"/>
    <w:rsid w:val="00BD362D"/>
    <w:rsid w:val="00BD4896"/>
    <w:rsid w:val="00BE258E"/>
    <w:rsid w:val="00BE2739"/>
    <w:rsid w:val="00BE445C"/>
    <w:rsid w:val="00BE4736"/>
    <w:rsid w:val="00BE699C"/>
    <w:rsid w:val="00BF21A1"/>
    <w:rsid w:val="00BF3EBD"/>
    <w:rsid w:val="00BF63AC"/>
    <w:rsid w:val="00BF7CD2"/>
    <w:rsid w:val="00C00744"/>
    <w:rsid w:val="00C0480F"/>
    <w:rsid w:val="00C06A70"/>
    <w:rsid w:val="00C109A5"/>
    <w:rsid w:val="00C13FF0"/>
    <w:rsid w:val="00C220A9"/>
    <w:rsid w:val="00C225CF"/>
    <w:rsid w:val="00C256CA"/>
    <w:rsid w:val="00C324EC"/>
    <w:rsid w:val="00C340ED"/>
    <w:rsid w:val="00C37496"/>
    <w:rsid w:val="00C4014A"/>
    <w:rsid w:val="00C41999"/>
    <w:rsid w:val="00C43FE8"/>
    <w:rsid w:val="00C52761"/>
    <w:rsid w:val="00C610DB"/>
    <w:rsid w:val="00C6149A"/>
    <w:rsid w:val="00C64648"/>
    <w:rsid w:val="00C64CDB"/>
    <w:rsid w:val="00C67296"/>
    <w:rsid w:val="00C7357C"/>
    <w:rsid w:val="00C74A16"/>
    <w:rsid w:val="00C8117C"/>
    <w:rsid w:val="00C8383E"/>
    <w:rsid w:val="00C8415C"/>
    <w:rsid w:val="00C84994"/>
    <w:rsid w:val="00C86613"/>
    <w:rsid w:val="00C86D0B"/>
    <w:rsid w:val="00C87144"/>
    <w:rsid w:val="00C94006"/>
    <w:rsid w:val="00C96EE2"/>
    <w:rsid w:val="00CA2FEA"/>
    <w:rsid w:val="00CA445A"/>
    <w:rsid w:val="00CA4905"/>
    <w:rsid w:val="00CA53D0"/>
    <w:rsid w:val="00CB5A48"/>
    <w:rsid w:val="00CC0FC2"/>
    <w:rsid w:val="00CC711E"/>
    <w:rsid w:val="00CC7AD4"/>
    <w:rsid w:val="00CD0C75"/>
    <w:rsid w:val="00CD3DD1"/>
    <w:rsid w:val="00CD6289"/>
    <w:rsid w:val="00CD6534"/>
    <w:rsid w:val="00CE0C15"/>
    <w:rsid w:val="00CE0E63"/>
    <w:rsid w:val="00CE3E96"/>
    <w:rsid w:val="00CE46AE"/>
    <w:rsid w:val="00CF3EDA"/>
    <w:rsid w:val="00CF54FD"/>
    <w:rsid w:val="00D0056F"/>
    <w:rsid w:val="00D0224D"/>
    <w:rsid w:val="00D03E67"/>
    <w:rsid w:val="00D11AC0"/>
    <w:rsid w:val="00D147A1"/>
    <w:rsid w:val="00D16F4F"/>
    <w:rsid w:val="00D32245"/>
    <w:rsid w:val="00D41C85"/>
    <w:rsid w:val="00D43BAD"/>
    <w:rsid w:val="00D465F5"/>
    <w:rsid w:val="00D527F5"/>
    <w:rsid w:val="00D554AF"/>
    <w:rsid w:val="00D63269"/>
    <w:rsid w:val="00D846D7"/>
    <w:rsid w:val="00D84EEF"/>
    <w:rsid w:val="00D87E9E"/>
    <w:rsid w:val="00D92CB7"/>
    <w:rsid w:val="00D9427C"/>
    <w:rsid w:val="00D94EF5"/>
    <w:rsid w:val="00DB496F"/>
    <w:rsid w:val="00DD6FBA"/>
    <w:rsid w:val="00E042AE"/>
    <w:rsid w:val="00E04AA0"/>
    <w:rsid w:val="00E1468B"/>
    <w:rsid w:val="00E16232"/>
    <w:rsid w:val="00E208A4"/>
    <w:rsid w:val="00E2090D"/>
    <w:rsid w:val="00E24D73"/>
    <w:rsid w:val="00E25E8B"/>
    <w:rsid w:val="00E43DE9"/>
    <w:rsid w:val="00E4522E"/>
    <w:rsid w:val="00E514A0"/>
    <w:rsid w:val="00E52661"/>
    <w:rsid w:val="00E66CED"/>
    <w:rsid w:val="00E81045"/>
    <w:rsid w:val="00E81923"/>
    <w:rsid w:val="00E843EC"/>
    <w:rsid w:val="00E8540A"/>
    <w:rsid w:val="00E904C8"/>
    <w:rsid w:val="00E90605"/>
    <w:rsid w:val="00E919E3"/>
    <w:rsid w:val="00E96926"/>
    <w:rsid w:val="00EA489A"/>
    <w:rsid w:val="00EB06E1"/>
    <w:rsid w:val="00EB201E"/>
    <w:rsid w:val="00EB2197"/>
    <w:rsid w:val="00EB4DE5"/>
    <w:rsid w:val="00EB6BAA"/>
    <w:rsid w:val="00EB7282"/>
    <w:rsid w:val="00EC7A92"/>
    <w:rsid w:val="00ED6041"/>
    <w:rsid w:val="00ED6DF8"/>
    <w:rsid w:val="00ED7506"/>
    <w:rsid w:val="00ED7604"/>
    <w:rsid w:val="00EE11AF"/>
    <w:rsid w:val="00EE5537"/>
    <w:rsid w:val="00EE688C"/>
    <w:rsid w:val="00EE72AC"/>
    <w:rsid w:val="00EE7A30"/>
    <w:rsid w:val="00EE7F6B"/>
    <w:rsid w:val="00EF47CD"/>
    <w:rsid w:val="00EF719B"/>
    <w:rsid w:val="00F00BA9"/>
    <w:rsid w:val="00F03010"/>
    <w:rsid w:val="00F038B7"/>
    <w:rsid w:val="00F10B70"/>
    <w:rsid w:val="00F12035"/>
    <w:rsid w:val="00F20341"/>
    <w:rsid w:val="00F23DCB"/>
    <w:rsid w:val="00F261B9"/>
    <w:rsid w:val="00F317E9"/>
    <w:rsid w:val="00F31FB6"/>
    <w:rsid w:val="00F33677"/>
    <w:rsid w:val="00F4269D"/>
    <w:rsid w:val="00F4776F"/>
    <w:rsid w:val="00F54BAA"/>
    <w:rsid w:val="00F57705"/>
    <w:rsid w:val="00F60E17"/>
    <w:rsid w:val="00F64184"/>
    <w:rsid w:val="00F65667"/>
    <w:rsid w:val="00F70C08"/>
    <w:rsid w:val="00F75A42"/>
    <w:rsid w:val="00F77AD0"/>
    <w:rsid w:val="00F803BD"/>
    <w:rsid w:val="00F80AC5"/>
    <w:rsid w:val="00F822A9"/>
    <w:rsid w:val="00F84901"/>
    <w:rsid w:val="00F95079"/>
    <w:rsid w:val="00FA0C66"/>
    <w:rsid w:val="00FA159F"/>
    <w:rsid w:val="00FA3244"/>
    <w:rsid w:val="00FA39BD"/>
    <w:rsid w:val="00FA6CC2"/>
    <w:rsid w:val="00FB0A37"/>
    <w:rsid w:val="00FB2AA3"/>
    <w:rsid w:val="00FB5FDA"/>
    <w:rsid w:val="00FC0478"/>
    <w:rsid w:val="00FC7D21"/>
    <w:rsid w:val="00FE01EB"/>
    <w:rsid w:val="00FE1EFA"/>
    <w:rsid w:val="00FE4CCF"/>
    <w:rsid w:val="00FE52D2"/>
    <w:rsid w:val="00FE7E52"/>
    <w:rsid w:val="00FF0C55"/>
    <w:rsid w:val="00FF1DCB"/>
    <w:rsid w:val="00FF3C3E"/>
    <w:rsid w:val="00FF61CA"/>
    <w:rsid w:val="00FF641E"/>
    <w:rsid w:val="00FF7812"/>
    <w:rsid w:val="00FF786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7BD3B"/>
  <w15:docId w15:val="{4C743853-BFAE-4956-9AF3-D802B866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20"/>
    <w:rPr>
      <w:rFonts w:ascii="Times New Roman" w:eastAsia="Times New Roman" w:hAnsi="Times New Roman" w:cs="Times New Roman"/>
      <w:sz w:val="24"/>
      <w:lang w:bidi="en-US"/>
    </w:rPr>
  </w:style>
  <w:style w:type="paragraph" w:styleId="Heading1">
    <w:name w:val="heading 1"/>
    <w:basedOn w:val="Normal"/>
    <w:link w:val="Heading1Char"/>
    <w:uiPriority w:val="9"/>
    <w:qFormat/>
    <w:rsid w:val="00F70C08"/>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822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7D21"/>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5E5E2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48F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Cs w:val="24"/>
    </w:rPr>
  </w:style>
  <w:style w:type="paragraph" w:styleId="ListParagraph">
    <w:name w:val="List Paragraph"/>
    <w:basedOn w:val="Normal"/>
    <w:uiPriority w:val="1"/>
    <w:qFormat/>
    <w:pPr>
      <w:spacing w:before="162"/>
      <w:ind w:left="49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23DC"/>
    <w:pPr>
      <w:tabs>
        <w:tab w:val="center" w:pos="4513"/>
        <w:tab w:val="right" w:pos="9026"/>
      </w:tabs>
    </w:pPr>
  </w:style>
  <w:style w:type="character" w:customStyle="1" w:styleId="HeaderChar">
    <w:name w:val="Header Char"/>
    <w:basedOn w:val="DefaultParagraphFont"/>
    <w:link w:val="Header"/>
    <w:uiPriority w:val="99"/>
    <w:rsid w:val="000423DC"/>
    <w:rPr>
      <w:rFonts w:ascii="Times New Roman" w:eastAsia="Times New Roman" w:hAnsi="Times New Roman" w:cs="Times New Roman"/>
      <w:lang w:bidi="en-US"/>
    </w:rPr>
  </w:style>
  <w:style w:type="paragraph" w:styleId="Footer">
    <w:name w:val="footer"/>
    <w:basedOn w:val="Normal"/>
    <w:link w:val="FooterChar"/>
    <w:uiPriority w:val="99"/>
    <w:unhideWhenUsed/>
    <w:rsid w:val="000423DC"/>
    <w:pPr>
      <w:tabs>
        <w:tab w:val="center" w:pos="4513"/>
        <w:tab w:val="right" w:pos="9026"/>
      </w:tabs>
    </w:pPr>
  </w:style>
  <w:style w:type="character" w:customStyle="1" w:styleId="FooterChar">
    <w:name w:val="Footer Char"/>
    <w:basedOn w:val="DefaultParagraphFont"/>
    <w:link w:val="Footer"/>
    <w:uiPriority w:val="99"/>
    <w:rsid w:val="000423DC"/>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481BF7"/>
    <w:rPr>
      <w:sz w:val="16"/>
      <w:szCs w:val="16"/>
    </w:rPr>
  </w:style>
  <w:style w:type="paragraph" w:styleId="CommentText">
    <w:name w:val="annotation text"/>
    <w:basedOn w:val="Normal"/>
    <w:link w:val="CommentTextChar"/>
    <w:uiPriority w:val="99"/>
    <w:semiHidden/>
    <w:unhideWhenUsed/>
    <w:rsid w:val="00481BF7"/>
    <w:rPr>
      <w:sz w:val="20"/>
      <w:szCs w:val="20"/>
    </w:rPr>
  </w:style>
  <w:style w:type="character" w:customStyle="1" w:styleId="CommentTextChar">
    <w:name w:val="Comment Text Char"/>
    <w:basedOn w:val="DefaultParagraphFont"/>
    <w:link w:val="CommentText"/>
    <w:uiPriority w:val="99"/>
    <w:semiHidden/>
    <w:rsid w:val="00481BF7"/>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81BF7"/>
    <w:rPr>
      <w:b/>
      <w:bCs/>
    </w:rPr>
  </w:style>
  <w:style w:type="character" w:customStyle="1" w:styleId="CommentSubjectChar">
    <w:name w:val="Comment Subject Char"/>
    <w:basedOn w:val="CommentTextChar"/>
    <w:link w:val="CommentSubject"/>
    <w:uiPriority w:val="99"/>
    <w:semiHidden/>
    <w:rsid w:val="00481BF7"/>
    <w:rPr>
      <w:rFonts w:ascii="Times New Roman" w:eastAsia="Times New Roman" w:hAnsi="Times New Roman" w:cs="Times New Roman"/>
      <w:b/>
      <w:bCs/>
      <w:sz w:val="20"/>
      <w:szCs w:val="20"/>
      <w:lang w:bidi="en-US"/>
    </w:rPr>
  </w:style>
  <w:style w:type="paragraph" w:styleId="Revision">
    <w:name w:val="Revision"/>
    <w:hidden/>
    <w:uiPriority w:val="99"/>
    <w:semiHidden/>
    <w:rsid w:val="005B4B18"/>
    <w:pPr>
      <w:widowControl/>
      <w:autoSpaceDE/>
      <w:autoSpaceDN/>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F23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DCB"/>
    <w:rPr>
      <w:rFonts w:ascii="Segoe UI" w:eastAsia="Times New Roman" w:hAnsi="Segoe UI" w:cs="Segoe UI"/>
      <w:sz w:val="18"/>
      <w:szCs w:val="18"/>
      <w:lang w:bidi="en-US"/>
    </w:rPr>
  </w:style>
  <w:style w:type="character" w:customStyle="1" w:styleId="Heading3Char">
    <w:name w:val="Heading 3 Char"/>
    <w:basedOn w:val="DefaultParagraphFont"/>
    <w:link w:val="Heading3"/>
    <w:uiPriority w:val="9"/>
    <w:rsid w:val="00FC7D21"/>
    <w:rPr>
      <w:rFonts w:asciiTheme="majorHAnsi" w:eastAsiaTheme="majorEastAsia" w:hAnsiTheme="majorHAnsi" w:cstheme="majorBidi"/>
      <w:color w:val="243F60" w:themeColor="accent1" w:themeShade="7F"/>
      <w:sz w:val="24"/>
      <w:szCs w:val="24"/>
      <w:lang w:bidi="en-US"/>
    </w:rPr>
  </w:style>
  <w:style w:type="character" w:styleId="Emphasis">
    <w:name w:val="Emphasis"/>
    <w:basedOn w:val="DefaultParagraphFont"/>
    <w:uiPriority w:val="20"/>
    <w:qFormat/>
    <w:rsid w:val="000848F1"/>
    <w:rPr>
      <w:i/>
      <w:iCs/>
    </w:rPr>
  </w:style>
  <w:style w:type="character" w:customStyle="1" w:styleId="Heading5Char">
    <w:name w:val="Heading 5 Char"/>
    <w:basedOn w:val="DefaultParagraphFont"/>
    <w:link w:val="Heading5"/>
    <w:uiPriority w:val="9"/>
    <w:rsid w:val="000848F1"/>
    <w:rPr>
      <w:rFonts w:asciiTheme="majorHAnsi" w:eastAsiaTheme="majorEastAsia" w:hAnsiTheme="majorHAnsi" w:cstheme="majorBidi"/>
      <w:color w:val="365F91" w:themeColor="accent1" w:themeShade="BF"/>
      <w:lang w:bidi="en-US"/>
    </w:rPr>
  </w:style>
  <w:style w:type="paragraph" w:styleId="FootnoteText">
    <w:name w:val="footnote text"/>
    <w:basedOn w:val="Normal"/>
    <w:link w:val="FootnoteTextChar"/>
    <w:uiPriority w:val="99"/>
    <w:unhideWhenUsed/>
    <w:rsid w:val="00C7357C"/>
    <w:rPr>
      <w:sz w:val="20"/>
      <w:szCs w:val="20"/>
    </w:rPr>
  </w:style>
  <w:style w:type="character" w:customStyle="1" w:styleId="FootnoteTextChar">
    <w:name w:val="Footnote Text Char"/>
    <w:basedOn w:val="DefaultParagraphFont"/>
    <w:link w:val="FootnoteText"/>
    <w:uiPriority w:val="99"/>
    <w:rsid w:val="00C7357C"/>
    <w:rPr>
      <w:rFonts w:ascii="Times New Roman" w:eastAsia="Times New Roman" w:hAnsi="Times New Roman" w:cs="Times New Roman"/>
      <w:sz w:val="20"/>
      <w:szCs w:val="20"/>
      <w:lang w:bidi="en-US"/>
    </w:rPr>
  </w:style>
  <w:style w:type="character" w:styleId="FootnoteReference">
    <w:name w:val="footnote reference"/>
    <w:basedOn w:val="DefaultParagraphFont"/>
    <w:uiPriority w:val="99"/>
    <w:semiHidden/>
    <w:unhideWhenUsed/>
    <w:rsid w:val="00C7357C"/>
    <w:rPr>
      <w:vertAlign w:val="superscript"/>
    </w:rPr>
  </w:style>
  <w:style w:type="character" w:customStyle="1" w:styleId="Heading2Char">
    <w:name w:val="Heading 2 Char"/>
    <w:basedOn w:val="DefaultParagraphFont"/>
    <w:link w:val="Heading2"/>
    <w:uiPriority w:val="9"/>
    <w:rsid w:val="00F822A9"/>
    <w:rPr>
      <w:rFonts w:asciiTheme="majorHAnsi" w:eastAsiaTheme="majorEastAsia" w:hAnsiTheme="majorHAnsi" w:cstheme="majorBidi"/>
      <w:color w:val="365F91" w:themeColor="accent1" w:themeShade="BF"/>
      <w:sz w:val="26"/>
      <w:szCs w:val="26"/>
      <w:lang w:bidi="en-US"/>
    </w:rPr>
  </w:style>
  <w:style w:type="paragraph" w:styleId="EndnoteText">
    <w:name w:val="endnote text"/>
    <w:basedOn w:val="Normal"/>
    <w:link w:val="EndnoteTextChar"/>
    <w:uiPriority w:val="99"/>
    <w:semiHidden/>
    <w:unhideWhenUsed/>
    <w:rsid w:val="006D525B"/>
    <w:rPr>
      <w:sz w:val="20"/>
      <w:szCs w:val="20"/>
    </w:rPr>
  </w:style>
  <w:style w:type="character" w:customStyle="1" w:styleId="EndnoteTextChar">
    <w:name w:val="Endnote Text Char"/>
    <w:basedOn w:val="DefaultParagraphFont"/>
    <w:link w:val="EndnoteText"/>
    <w:uiPriority w:val="99"/>
    <w:semiHidden/>
    <w:rsid w:val="006D525B"/>
    <w:rPr>
      <w:rFonts w:ascii="Times New Roman" w:eastAsia="Times New Roman" w:hAnsi="Times New Roman" w:cs="Times New Roman"/>
      <w:sz w:val="20"/>
      <w:szCs w:val="20"/>
      <w:lang w:bidi="en-US"/>
    </w:rPr>
  </w:style>
  <w:style w:type="character" w:styleId="EndnoteReference">
    <w:name w:val="endnote reference"/>
    <w:basedOn w:val="DefaultParagraphFont"/>
    <w:uiPriority w:val="99"/>
    <w:semiHidden/>
    <w:unhideWhenUsed/>
    <w:rsid w:val="006D525B"/>
    <w:rPr>
      <w:vertAlign w:val="superscript"/>
    </w:rPr>
  </w:style>
  <w:style w:type="character" w:styleId="PageNumber">
    <w:name w:val="page number"/>
    <w:basedOn w:val="DefaultParagraphFont"/>
    <w:uiPriority w:val="99"/>
    <w:semiHidden/>
    <w:unhideWhenUsed/>
    <w:rsid w:val="00A2665B"/>
  </w:style>
  <w:style w:type="character" w:customStyle="1" w:styleId="Heading4Char">
    <w:name w:val="Heading 4 Char"/>
    <w:basedOn w:val="DefaultParagraphFont"/>
    <w:link w:val="Heading4"/>
    <w:uiPriority w:val="9"/>
    <w:semiHidden/>
    <w:rsid w:val="005E5E23"/>
    <w:rPr>
      <w:rFonts w:asciiTheme="majorHAnsi" w:eastAsiaTheme="majorEastAsia" w:hAnsiTheme="majorHAnsi" w:cstheme="majorBidi"/>
      <w:i/>
      <w:iCs/>
      <w:color w:val="365F91" w:themeColor="accent1" w:themeShade="BF"/>
      <w:sz w:val="24"/>
      <w:lang w:bidi="en-US"/>
    </w:rPr>
  </w:style>
  <w:style w:type="character" w:customStyle="1" w:styleId="Heading1Char">
    <w:name w:val="Heading 1 Char"/>
    <w:basedOn w:val="DefaultParagraphFont"/>
    <w:link w:val="Heading1"/>
    <w:uiPriority w:val="9"/>
    <w:rsid w:val="00F70C0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F63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7435">
      <w:bodyDiv w:val="1"/>
      <w:marLeft w:val="0"/>
      <w:marRight w:val="0"/>
      <w:marTop w:val="0"/>
      <w:marBottom w:val="0"/>
      <w:divBdr>
        <w:top w:val="none" w:sz="0" w:space="0" w:color="auto"/>
        <w:left w:val="none" w:sz="0" w:space="0" w:color="auto"/>
        <w:bottom w:val="none" w:sz="0" w:space="0" w:color="auto"/>
        <w:right w:val="none" w:sz="0" w:space="0" w:color="auto"/>
      </w:divBdr>
    </w:div>
    <w:div w:id="248127590">
      <w:bodyDiv w:val="1"/>
      <w:marLeft w:val="0"/>
      <w:marRight w:val="0"/>
      <w:marTop w:val="0"/>
      <w:marBottom w:val="0"/>
      <w:divBdr>
        <w:top w:val="none" w:sz="0" w:space="0" w:color="auto"/>
        <w:left w:val="none" w:sz="0" w:space="0" w:color="auto"/>
        <w:bottom w:val="none" w:sz="0" w:space="0" w:color="auto"/>
        <w:right w:val="none" w:sz="0" w:space="0" w:color="auto"/>
      </w:divBdr>
    </w:div>
    <w:div w:id="272978381">
      <w:bodyDiv w:val="1"/>
      <w:marLeft w:val="0"/>
      <w:marRight w:val="0"/>
      <w:marTop w:val="0"/>
      <w:marBottom w:val="0"/>
      <w:divBdr>
        <w:top w:val="none" w:sz="0" w:space="0" w:color="auto"/>
        <w:left w:val="none" w:sz="0" w:space="0" w:color="auto"/>
        <w:bottom w:val="none" w:sz="0" w:space="0" w:color="auto"/>
        <w:right w:val="none" w:sz="0" w:space="0" w:color="auto"/>
      </w:divBdr>
    </w:div>
    <w:div w:id="472909349">
      <w:bodyDiv w:val="1"/>
      <w:marLeft w:val="0"/>
      <w:marRight w:val="0"/>
      <w:marTop w:val="0"/>
      <w:marBottom w:val="0"/>
      <w:divBdr>
        <w:top w:val="none" w:sz="0" w:space="0" w:color="auto"/>
        <w:left w:val="none" w:sz="0" w:space="0" w:color="auto"/>
        <w:bottom w:val="none" w:sz="0" w:space="0" w:color="auto"/>
        <w:right w:val="none" w:sz="0" w:space="0" w:color="auto"/>
      </w:divBdr>
      <w:divsChild>
        <w:div w:id="98264308">
          <w:marLeft w:val="0"/>
          <w:marRight w:val="0"/>
          <w:marTop w:val="0"/>
          <w:marBottom w:val="0"/>
          <w:divBdr>
            <w:top w:val="none" w:sz="0" w:space="0" w:color="auto"/>
            <w:left w:val="none" w:sz="0" w:space="0" w:color="auto"/>
            <w:bottom w:val="none" w:sz="0" w:space="0" w:color="auto"/>
            <w:right w:val="none" w:sz="0" w:space="0" w:color="auto"/>
          </w:divBdr>
          <w:divsChild>
            <w:div w:id="1214853303">
              <w:marLeft w:val="0"/>
              <w:marRight w:val="0"/>
              <w:marTop w:val="0"/>
              <w:marBottom w:val="0"/>
              <w:divBdr>
                <w:top w:val="none" w:sz="0" w:space="0" w:color="auto"/>
                <w:left w:val="none" w:sz="0" w:space="0" w:color="auto"/>
                <w:bottom w:val="none" w:sz="0" w:space="0" w:color="auto"/>
                <w:right w:val="none" w:sz="0" w:space="0" w:color="auto"/>
              </w:divBdr>
              <w:divsChild>
                <w:div w:id="9647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3985">
      <w:bodyDiv w:val="1"/>
      <w:marLeft w:val="0"/>
      <w:marRight w:val="0"/>
      <w:marTop w:val="0"/>
      <w:marBottom w:val="0"/>
      <w:divBdr>
        <w:top w:val="none" w:sz="0" w:space="0" w:color="auto"/>
        <w:left w:val="none" w:sz="0" w:space="0" w:color="auto"/>
        <w:bottom w:val="none" w:sz="0" w:space="0" w:color="auto"/>
        <w:right w:val="none" w:sz="0" w:space="0" w:color="auto"/>
      </w:divBdr>
    </w:div>
    <w:div w:id="901061025">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hc.unesco.org/en/list/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991F3-CACD-D448-B3C6-36022622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3896</Words>
  <Characters>22211</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Eloundou Assomo, Lazare</dc:creator>
  <cp:lastModifiedBy>Laura diZerega</cp:lastModifiedBy>
  <cp:revision>9</cp:revision>
  <cp:lastPrinted>2021-11-16T18:49:00Z</cp:lastPrinted>
  <dcterms:created xsi:type="dcterms:W3CDTF">2021-12-16T03:35:00Z</dcterms:created>
  <dcterms:modified xsi:type="dcterms:W3CDTF">2021-12-17T19:49:00Z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Acrobat PDFMaker 20 for Word</vt:lpwstr>
  </property>
  <property fmtid="{D5CDD505-2E9C-101B-9397-08002B2CF9AE}" pid="4" name="LastSaved">
    <vt:filetime>2021-04-17T00:00:00Z</vt:filetime>
  </property>
</Properties>
</file>