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FB3A94" w14:textId="4A57792E" w:rsidR="00523EF9" w:rsidRPr="003C31B9" w:rsidRDefault="002831A9" w:rsidP="00E266A7">
      <w:pPr>
        <w:pStyle w:val="Heading1"/>
        <w:rPr>
          <w:shd w:val="clear" w:color="auto" w:fill="FFFFFF"/>
        </w:rPr>
      </w:pPr>
      <w:r w:rsidRPr="003C31B9">
        <w:rPr>
          <w:shd w:val="clear" w:color="auto" w:fill="FFFFFF"/>
        </w:rPr>
        <w:t xml:space="preserve">Performative Destruction: </w:t>
      </w:r>
      <w:r w:rsidR="003D60AA">
        <w:rPr>
          <w:shd w:val="clear" w:color="auto" w:fill="FFFFFF"/>
        </w:rPr>
        <w:t>Da’esh</w:t>
      </w:r>
      <w:r w:rsidR="00BB1C6B" w:rsidRPr="003C31B9">
        <w:rPr>
          <w:shd w:val="clear" w:color="auto" w:fill="FFFFFF"/>
        </w:rPr>
        <w:t xml:space="preserve"> </w:t>
      </w:r>
      <w:r w:rsidR="003024D5" w:rsidRPr="003C31B9">
        <w:rPr>
          <w:shd w:val="clear" w:color="auto" w:fill="FFFFFF"/>
        </w:rPr>
        <w:t>(</w:t>
      </w:r>
      <w:r w:rsidRPr="003C31B9">
        <w:rPr>
          <w:shd w:val="clear" w:color="auto" w:fill="FFFFFF"/>
        </w:rPr>
        <w:t>ISIS</w:t>
      </w:r>
      <w:r w:rsidR="003024D5" w:rsidRPr="003C31B9">
        <w:rPr>
          <w:shd w:val="clear" w:color="auto" w:fill="FFFFFF"/>
        </w:rPr>
        <w:t>)</w:t>
      </w:r>
      <w:r w:rsidR="00424AD1" w:rsidRPr="003C31B9">
        <w:rPr>
          <w:shd w:val="clear" w:color="auto" w:fill="FFFFFF"/>
        </w:rPr>
        <w:t xml:space="preserve"> </w:t>
      </w:r>
      <w:r w:rsidR="00CC236A" w:rsidRPr="003C31B9">
        <w:rPr>
          <w:shd w:val="clear" w:color="auto" w:fill="FFFFFF"/>
        </w:rPr>
        <w:t xml:space="preserve">Ideology </w:t>
      </w:r>
      <w:r w:rsidR="00424AD1" w:rsidRPr="003C31B9">
        <w:rPr>
          <w:shd w:val="clear" w:color="auto" w:fill="FFFFFF"/>
        </w:rPr>
        <w:t xml:space="preserve">and the </w:t>
      </w:r>
      <w:r w:rsidR="00C2410A" w:rsidRPr="003C31B9">
        <w:rPr>
          <w:shd w:val="clear" w:color="auto" w:fill="FFFFFF"/>
        </w:rPr>
        <w:t>W</w:t>
      </w:r>
      <w:r w:rsidR="008A6DE5" w:rsidRPr="003C31B9">
        <w:rPr>
          <w:shd w:val="clear" w:color="auto" w:fill="FFFFFF"/>
        </w:rPr>
        <w:t xml:space="preserve">ar on </w:t>
      </w:r>
      <w:r w:rsidR="00C2410A" w:rsidRPr="003C31B9">
        <w:rPr>
          <w:shd w:val="clear" w:color="auto" w:fill="FFFFFF"/>
        </w:rPr>
        <w:t>H</w:t>
      </w:r>
      <w:r w:rsidR="008A6DE5" w:rsidRPr="003C31B9">
        <w:rPr>
          <w:shd w:val="clear" w:color="auto" w:fill="FFFFFF"/>
        </w:rPr>
        <w:t>eritag</w:t>
      </w:r>
      <w:r w:rsidRPr="003C31B9">
        <w:rPr>
          <w:shd w:val="clear" w:color="auto" w:fill="FFFFFF"/>
        </w:rPr>
        <w:t>e</w:t>
      </w:r>
      <w:r w:rsidR="00424AD1" w:rsidRPr="003C31B9">
        <w:rPr>
          <w:shd w:val="clear" w:color="auto" w:fill="FFFFFF"/>
        </w:rPr>
        <w:t xml:space="preserve"> </w:t>
      </w:r>
      <w:r w:rsidRPr="003C31B9">
        <w:rPr>
          <w:shd w:val="clear" w:color="auto" w:fill="FFFFFF"/>
        </w:rPr>
        <w:t>in Iraq</w:t>
      </w:r>
    </w:p>
    <w:p w14:paraId="36C8BE38" w14:textId="17789792" w:rsidR="00E20921" w:rsidRPr="00E20921" w:rsidRDefault="00CB2CAD" w:rsidP="00F4698F">
      <w:pPr>
        <w:spacing w:line="480" w:lineRule="auto"/>
        <w:rPr>
          <w:rFonts w:asciiTheme="majorBidi" w:hAnsiTheme="majorBidi" w:cstheme="majorBidi"/>
          <w:color w:val="000000"/>
          <w:shd w:val="clear" w:color="auto" w:fill="FFFFFF"/>
        </w:rPr>
      </w:pPr>
      <w:r w:rsidRPr="003C31B9">
        <w:rPr>
          <w:rFonts w:asciiTheme="majorBidi" w:hAnsiTheme="majorBidi" w:cstheme="majorBidi"/>
          <w:color w:val="000000"/>
          <w:shd w:val="clear" w:color="auto" w:fill="FFFFFF"/>
        </w:rPr>
        <w:t>Gil J. Stein</w:t>
      </w:r>
      <w:r w:rsidR="00BF138A" w:rsidRPr="003C31B9" w:rsidDel="00BF138A">
        <w:rPr>
          <w:rFonts w:asciiTheme="majorBidi" w:hAnsiTheme="majorBidi" w:cstheme="majorBidi"/>
          <w:color w:val="000000"/>
          <w:shd w:val="clear" w:color="auto" w:fill="FFFFFF"/>
        </w:rPr>
        <w:t xml:space="preserve"> </w:t>
      </w:r>
    </w:p>
    <w:p w14:paraId="5C5E8FD2" w14:textId="777DDA23" w:rsidR="00E20921" w:rsidRDefault="00E20921" w:rsidP="00F4698F">
      <w:pPr>
        <w:spacing w:line="480" w:lineRule="auto"/>
        <w:rPr>
          <w:rFonts w:asciiTheme="majorBidi" w:hAnsiTheme="majorBidi" w:cstheme="majorBidi"/>
        </w:rPr>
      </w:pPr>
    </w:p>
    <w:p w14:paraId="0861F223" w14:textId="77777777" w:rsidR="005E4B15" w:rsidRDefault="005E4B15" w:rsidP="005E4B15">
      <w:pPr>
        <w:spacing w:line="480" w:lineRule="auto"/>
      </w:pPr>
      <w:r w:rsidRPr="00CD6601">
        <w:t xml:space="preserve">© 2022 J. Paul Getty Trust. Originally published in </w:t>
      </w:r>
      <w:r w:rsidRPr="00CD6601">
        <w:rPr>
          <w:i/>
        </w:rPr>
        <w:t>Cultural Heritage and Mass Atrocities</w:t>
      </w:r>
      <w:r w:rsidRPr="00CD6601">
        <w:t xml:space="preserve"> © 2022 J. Paul Getty Trust, www.getty.edu/publicatio</w:t>
      </w:r>
      <w:r>
        <w:t>n</w:t>
      </w:r>
      <w:r w:rsidRPr="00CD6601">
        <w:t xml:space="preserve">s/cultural-heritage-mass-atrocities (licensed under </w:t>
      </w:r>
      <w:hyperlink r:id="rId8" w:history="1">
        <w:r w:rsidRPr="00CD6601">
          <w:rPr>
            <w:rStyle w:val="Hyperlink"/>
          </w:rPr>
          <w:t>CC BY 4.0</w:t>
        </w:r>
      </w:hyperlink>
      <w:r w:rsidRPr="00CD6601">
        <w:t>)</w:t>
      </w:r>
    </w:p>
    <w:p w14:paraId="322674F7" w14:textId="77777777" w:rsidR="005E4B15" w:rsidRDefault="005E4B15" w:rsidP="00F4698F">
      <w:pPr>
        <w:spacing w:line="480" w:lineRule="auto"/>
        <w:rPr>
          <w:rFonts w:asciiTheme="majorBidi" w:hAnsiTheme="majorBidi" w:cstheme="majorBidi"/>
        </w:rPr>
      </w:pPr>
      <w:bookmarkStart w:id="0" w:name="_GoBack"/>
      <w:bookmarkEnd w:id="0"/>
    </w:p>
    <w:p w14:paraId="7BE1D65C" w14:textId="35CD7C34" w:rsidR="00BF138A" w:rsidRPr="003C31B9" w:rsidRDefault="00BF138A" w:rsidP="00E266A7">
      <w:pPr>
        <w:pStyle w:val="Heading2"/>
      </w:pPr>
      <w:r w:rsidRPr="003C31B9">
        <w:t>Keynote</w:t>
      </w:r>
    </w:p>
    <w:p w14:paraId="21E97B6A" w14:textId="760E6831" w:rsidR="00BF138A" w:rsidRDefault="00BF138A" w:rsidP="00BF138A">
      <w:pPr>
        <w:spacing w:line="480" w:lineRule="auto"/>
        <w:rPr>
          <w:rFonts w:asciiTheme="majorBidi" w:hAnsiTheme="majorBidi" w:cstheme="majorBidi"/>
        </w:rPr>
      </w:pPr>
      <w:r w:rsidRPr="003C31B9">
        <w:rPr>
          <w:rFonts w:asciiTheme="majorBidi" w:hAnsiTheme="majorBidi" w:cstheme="majorBidi"/>
        </w:rPr>
        <w:t>From 201</w:t>
      </w:r>
      <w:r>
        <w:rPr>
          <w:rFonts w:asciiTheme="majorBidi" w:hAnsiTheme="majorBidi" w:cstheme="majorBidi"/>
        </w:rPr>
        <w:t>3</w:t>
      </w:r>
      <w:r w:rsidR="00FA5535">
        <w:rPr>
          <w:rFonts w:asciiTheme="majorBidi" w:hAnsiTheme="majorBidi" w:cstheme="majorBidi"/>
        </w:rPr>
        <w:t xml:space="preserve"> to </w:t>
      </w:r>
      <w:r w:rsidRPr="003C31B9">
        <w:rPr>
          <w:rFonts w:asciiTheme="majorBidi" w:hAnsiTheme="majorBidi" w:cstheme="majorBidi"/>
        </w:rPr>
        <w:t>201</w:t>
      </w:r>
      <w:r>
        <w:rPr>
          <w:rFonts w:asciiTheme="majorBidi" w:hAnsiTheme="majorBidi" w:cstheme="majorBidi"/>
        </w:rPr>
        <w:t>9</w:t>
      </w:r>
      <w:r w:rsidRPr="003C31B9">
        <w:rPr>
          <w:rFonts w:asciiTheme="majorBidi" w:hAnsiTheme="majorBidi" w:cstheme="majorBidi"/>
        </w:rPr>
        <w:t xml:space="preserve">, </w:t>
      </w:r>
      <w:r>
        <w:rPr>
          <w:rFonts w:asciiTheme="majorBidi" w:hAnsiTheme="majorBidi" w:cstheme="majorBidi"/>
        </w:rPr>
        <w:t>Da’esh (</w:t>
      </w:r>
      <w:r w:rsidRPr="003C31B9">
        <w:rPr>
          <w:rFonts w:asciiTheme="majorBidi" w:hAnsiTheme="majorBidi" w:cstheme="majorBidi"/>
        </w:rPr>
        <w:t>ISIS</w:t>
      </w:r>
      <w:r>
        <w:rPr>
          <w:rFonts w:asciiTheme="majorBidi" w:hAnsiTheme="majorBidi" w:cstheme="majorBidi"/>
        </w:rPr>
        <w:t>)</w:t>
      </w:r>
      <w:r w:rsidRPr="003C31B9">
        <w:rPr>
          <w:rFonts w:asciiTheme="majorBidi" w:hAnsiTheme="majorBidi" w:cstheme="majorBidi"/>
        </w:rPr>
        <w:t xml:space="preserve"> </w:t>
      </w:r>
      <w:r>
        <w:rPr>
          <w:rFonts w:asciiTheme="majorBidi" w:hAnsiTheme="majorBidi" w:cstheme="majorBidi"/>
        </w:rPr>
        <w:t>waged a violent campaign across much of</w:t>
      </w:r>
      <w:r w:rsidRPr="003C31B9">
        <w:rPr>
          <w:rFonts w:asciiTheme="majorBidi" w:hAnsiTheme="majorBidi" w:cstheme="majorBidi"/>
        </w:rPr>
        <w:t xml:space="preserve"> Syria and Iraq in a dangerous new paradigm of “performative destruction”</w:t>
      </w:r>
      <w:r>
        <w:rPr>
          <w:rFonts w:asciiTheme="majorBidi" w:hAnsiTheme="majorBidi" w:cstheme="majorBidi"/>
        </w:rPr>
        <w:t>—</w:t>
      </w:r>
      <w:r w:rsidRPr="003C31B9">
        <w:rPr>
          <w:rFonts w:asciiTheme="majorBidi" w:hAnsiTheme="majorBidi" w:cstheme="majorBidi"/>
        </w:rPr>
        <w:t xml:space="preserve">a choreographed </w:t>
      </w:r>
      <w:r>
        <w:rPr>
          <w:rFonts w:asciiTheme="majorBidi" w:hAnsiTheme="majorBidi" w:cstheme="majorBidi"/>
        </w:rPr>
        <w:t>combination</w:t>
      </w:r>
      <w:r w:rsidRPr="003C31B9">
        <w:rPr>
          <w:rFonts w:asciiTheme="majorBidi" w:hAnsiTheme="majorBidi" w:cstheme="majorBidi"/>
        </w:rPr>
        <w:t xml:space="preserve"> of cultural and physical genocide, publicized </w:t>
      </w:r>
      <w:r>
        <w:rPr>
          <w:rFonts w:asciiTheme="majorBidi" w:hAnsiTheme="majorBidi" w:cstheme="majorBidi"/>
        </w:rPr>
        <w:t xml:space="preserve">globally </w:t>
      </w:r>
      <w:r w:rsidRPr="003C31B9">
        <w:rPr>
          <w:rFonts w:asciiTheme="majorBidi" w:hAnsiTheme="majorBidi" w:cstheme="majorBidi"/>
        </w:rPr>
        <w:t xml:space="preserve">through the </w:t>
      </w:r>
      <w:r w:rsidR="00F70ED9">
        <w:rPr>
          <w:rFonts w:asciiTheme="majorBidi" w:hAnsiTheme="majorBidi" w:cstheme="majorBidi"/>
        </w:rPr>
        <w:t>Internet</w:t>
      </w:r>
      <w:r>
        <w:rPr>
          <w:rFonts w:asciiTheme="majorBidi" w:hAnsiTheme="majorBidi" w:cstheme="majorBidi"/>
        </w:rPr>
        <w:t xml:space="preserve">. Da’esh framed its actions as a religious </w:t>
      </w:r>
      <w:r w:rsidRPr="003C31B9">
        <w:rPr>
          <w:rFonts w:asciiTheme="majorBidi" w:hAnsiTheme="majorBidi" w:cstheme="majorBidi"/>
        </w:rPr>
        <w:t xml:space="preserve">duty </w:t>
      </w:r>
      <w:r>
        <w:rPr>
          <w:rFonts w:asciiTheme="majorBidi" w:hAnsiTheme="majorBidi" w:cstheme="majorBidi"/>
        </w:rPr>
        <w:t>targeting</w:t>
      </w:r>
      <w:r w:rsidRPr="003C31B9">
        <w:rPr>
          <w:rFonts w:asciiTheme="majorBidi" w:hAnsiTheme="majorBidi" w:cstheme="majorBidi"/>
        </w:rPr>
        <w:t xml:space="preserve"> </w:t>
      </w:r>
      <w:r>
        <w:rPr>
          <w:rFonts w:asciiTheme="majorBidi" w:hAnsiTheme="majorBidi" w:cstheme="majorBidi"/>
        </w:rPr>
        <w:t>people and cultural heritage monuments.</w:t>
      </w:r>
    </w:p>
    <w:p w14:paraId="02C287D6" w14:textId="77777777" w:rsidR="00BF138A" w:rsidRDefault="00BF138A" w:rsidP="00F4698F">
      <w:pPr>
        <w:spacing w:line="480" w:lineRule="auto"/>
        <w:rPr>
          <w:rFonts w:asciiTheme="majorBidi" w:hAnsiTheme="majorBidi" w:cstheme="majorBidi"/>
        </w:rPr>
      </w:pPr>
    </w:p>
    <w:p w14:paraId="3F820661" w14:textId="21C02241" w:rsidR="003C1529" w:rsidRPr="003C31B9" w:rsidRDefault="00084256" w:rsidP="00E266A7">
      <w:pPr>
        <w:pStyle w:val="Heading2"/>
      </w:pPr>
      <w:r w:rsidRPr="003C31B9">
        <w:t>Abstract</w:t>
      </w:r>
    </w:p>
    <w:p w14:paraId="4640A6B1" w14:textId="2F934F09" w:rsidR="00342AE4" w:rsidRDefault="000B2CFA" w:rsidP="00F4698F">
      <w:pPr>
        <w:spacing w:line="480" w:lineRule="auto"/>
        <w:rPr>
          <w:rFonts w:asciiTheme="majorBidi" w:hAnsiTheme="majorBidi" w:cstheme="majorBidi"/>
        </w:rPr>
      </w:pPr>
      <w:r w:rsidRPr="003C31B9">
        <w:rPr>
          <w:rFonts w:asciiTheme="majorBidi" w:hAnsiTheme="majorBidi" w:cstheme="majorBidi"/>
        </w:rPr>
        <w:t xml:space="preserve">The rise of </w:t>
      </w:r>
      <w:r w:rsidR="003D60AA">
        <w:rPr>
          <w:rFonts w:asciiTheme="majorBidi" w:hAnsiTheme="majorBidi" w:cstheme="majorBidi"/>
        </w:rPr>
        <w:t>Da’esh</w:t>
      </w:r>
      <w:r w:rsidRPr="003C31B9">
        <w:rPr>
          <w:rFonts w:asciiTheme="majorBidi" w:hAnsiTheme="majorBidi" w:cstheme="majorBidi"/>
        </w:rPr>
        <w:t xml:space="preserve"> </w:t>
      </w:r>
      <w:r w:rsidR="00E90D45" w:rsidRPr="003C31B9">
        <w:rPr>
          <w:rFonts w:asciiTheme="majorBidi" w:hAnsiTheme="majorBidi" w:cstheme="majorBidi"/>
        </w:rPr>
        <w:t>(</w:t>
      </w:r>
      <w:r w:rsidRPr="003C31B9">
        <w:rPr>
          <w:rFonts w:asciiTheme="majorBidi" w:hAnsiTheme="majorBidi" w:cstheme="majorBidi"/>
        </w:rPr>
        <w:t>ISIS</w:t>
      </w:r>
      <w:r w:rsidR="00551C3E" w:rsidRPr="003C31B9">
        <w:rPr>
          <w:rFonts w:asciiTheme="majorBidi" w:hAnsiTheme="majorBidi" w:cstheme="majorBidi"/>
        </w:rPr>
        <w:t>)</w:t>
      </w:r>
      <w:r w:rsidR="00DB020B" w:rsidRPr="003C31B9">
        <w:rPr>
          <w:rFonts w:asciiTheme="majorBidi" w:hAnsiTheme="majorBidi" w:cstheme="majorBidi"/>
        </w:rPr>
        <w:t xml:space="preserve"> </w:t>
      </w:r>
      <w:r w:rsidRPr="003C31B9">
        <w:rPr>
          <w:rFonts w:asciiTheme="majorBidi" w:hAnsiTheme="majorBidi" w:cstheme="majorBidi"/>
        </w:rPr>
        <w:t xml:space="preserve">and its </w:t>
      </w:r>
      <w:r w:rsidR="00551C3E" w:rsidRPr="003C31B9">
        <w:rPr>
          <w:rFonts w:asciiTheme="majorBidi" w:hAnsiTheme="majorBidi" w:cstheme="majorBidi"/>
        </w:rPr>
        <w:t xml:space="preserve">expansion across </w:t>
      </w:r>
      <w:r w:rsidRPr="003C31B9">
        <w:rPr>
          <w:rFonts w:asciiTheme="majorBidi" w:hAnsiTheme="majorBidi" w:cstheme="majorBidi"/>
        </w:rPr>
        <w:t xml:space="preserve">Syria and Iraq </w:t>
      </w:r>
      <w:r w:rsidR="00C116F2" w:rsidRPr="003C31B9">
        <w:rPr>
          <w:rFonts w:asciiTheme="majorBidi" w:hAnsiTheme="majorBidi" w:cstheme="majorBidi"/>
        </w:rPr>
        <w:t>were</w:t>
      </w:r>
      <w:r w:rsidR="00DC27CE" w:rsidRPr="003C31B9">
        <w:rPr>
          <w:rFonts w:asciiTheme="majorBidi" w:hAnsiTheme="majorBidi" w:cstheme="majorBidi"/>
        </w:rPr>
        <w:t xml:space="preserve"> characterized by well</w:t>
      </w:r>
      <w:r w:rsidR="00CE7759">
        <w:rPr>
          <w:rFonts w:asciiTheme="majorBidi" w:hAnsiTheme="majorBidi" w:cstheme="majorBidi"/>
        </w:rPr>
        <w:t>-</w:t>
      </w:r>
      <w:r w:rsidR="00DC27CE" w:rsidRPr="003C31B9">
        <w:rPr>
          <w:rFonts w:asciiTheme="majorBidi" w:hAnsiTheme="majorBidi" w:cstheme="majorBidi"/>
        </w:rPr>
        <w:t xml:space="preserve">publicized attacks on </w:t>
      </w:r>
      <w:r w:rsidR="00551C3E" w:rsidRPr="003C31B9">
        <w:rPr>
          <w:rFonts w:asciiTheme="majorBidi" w:hAnsiTheme="majorBidi" w:cstheme="majorBidi"/>
        </w:rPr>
        <w:t xml:space="preserve">both </w:t>
      </w:r>
      <w:r w:rsidR="00DE31EB" w:rsidRPr="003C31B9">
        <w:rPr>
          <w:rFonts w:asciiTheme="majorBidi" w:hAnsiTheme="majorBidi" w:cstheme="majorBidi"/>
        </w:rPr>
        <w:t xml:space="preserve">religious groups and </w:t>
      </w:r>
      <w:r w:rsidRPr="003C31B9">
        <w:rPr>
          <w:rFonts w:asciiTheme="majorBidi" w:hAnsiTheme="majorBidi" w:cstheme="majorBidi"/>
        </w:rPr>
        <w:t>cultural heritage</w:t>
      </w:r>
      <w:r w:rsidR="00C2397C">
        <w:rPr>
          <w:rFonts w:asciiTheme="majorBidi" w:hAnsiTheme="majorBidi" w:cstheme="majorBidi"/>
        </w:rPr>
        <w:t xml:space="preserve">, </w:t>
      </w:r>
      <w:r w:rsidR="00551C3E" w:rsidRPr="003C31B9">
        <w:rPr>
          <w:rFonts w:asciiTheme="majorBidi" w:hAnsiTheme="majorBidi" w:cstheme="majorBidi"/>
        </w:rPr>
        <w:t xml:space="preserve">disseminated through </w:t>
      </w:r>
      <w:r w:rsidR="00E96A36" w:rsidRPr="003C31B9">
        <w:rPr>
          <w:rFonts w:asciiTheme="majorBidi" w:hAnsiTheme="majorBidi" w:cstheme="majorBidi"/>
        </w:rPr>
        <w:t>a</w:t>
      </w:r>
      <w:r w:rsidR="00DC27CE" w:rsidRPr="003C31B9">
        <w:rPr>
          <w:rFonts w:asciiTheme="majorBidi" w:hAnsiTheme="majorBidi" w:cstheme="majorBidi"/>
        </w:rPr>
        <w:t xml:space="preserve"> dangerous </w:t>
      </w:r>
      <w:r w:rsidR="005F3457" w:rsidRPr="003C31B9">
        <w:rPr>
          <w:rFonts w:asciiTheme="majorBidi" w:hAnsiTheme="majorBidi" w:cstheme="majorBidi"/>
        </w:rPr>
        <w:t xml:space="preserve">new </w:t>
      </w:r>
      <w:r w:rsidR="00DC27CE" w:rsidRPr="003C31B9">
        <w:rPr>
          <w:rFonts w:asciiTheme="majorBidi" w:hAnsiTheme="majorBidi" w:cstheme="majorBidi"/>
        </w:rPr>
        <w:t xml:space="preserve">paradigm </w:t>
      </w:r>
      <w:r w:rsidR="002A59BF" w:rsidRPr="003C31B9">
        <w:rPr>
          <w:rFonts w:asciiTheme="majorBidi" w:hAnsiTheme="majorBidi" w:cstheme="majorBidi"/>
        </w:rPr>
        <w:t>of “performative destruction</w:t>
      </w:r>
      <w:r w:rsidR="00B535B5">
        <w:rPr>
          <w:rFonts w:asciiTheme="majorBidi" w:hAnsiTheme="majorBidi" w:cstheme="majorBidi"/>
        </w:rPr>
        <w:t>.”</w:t>
      </w:r>
      <w:r w:rsidR="00551C3E" w:rsidRPr="003C31B9">
        <w:rPr>
          <w:rFonts w:asciiTheme="majorBidi" w:hAnsiTheme="majorBidi" w:cstheme="majorBidi"/>
        </w:rPr>
        <w:t xml:space="preserve"> </w:t>
      </w:r>
      <w:r w:rsidR="002A59BF" w:rsidRPr="003C31B9">
        <w:rPr>
          <w:rFonts w:asciiTheme="majorBidi" w:hAnsiTheme="majorBidi" w:cstheme="majorBidi"/>
        </w:rPr>
        <w:t>The p</w:t>
      </w:r>
      <w:r w:rsidR="00E90D45" w:rsidRPr="003C31B9">
        <w:rPr>
          <w:rFonts w:asciiTheme="majorBidi" w:hAnsiTheme="majorBidi" w:cstheme="majorBidi"/>
        </w:rPr>
        <w:t xml:space="preserve">erformative </w:t>
      </w:r>
      <w:r w:rsidR="0025336B" w:rsidRPr="003C31B9">
        <w:rPr>
          <w:rFonts w:asciiTheme="majorBidi" w:hAnsiTheme="majorBidi" w:cstheme="majorBidi"/>
        </w:rPr>
        <w:t>destruction of monuments and sites w</w:t>
      </w:r>
      <w:r w:rsidR="006314D3" w:rsidRPr="003C31B9">
        <w:rPr>
          <w:rFonts w:asciiTheme="majorBidi" w:hAnsiTheme="majorBidi" w:cstheme="majorBidi"/>
        </w:rPr>
        <w:t>as a</w:t>
      </w:r>
      <w:r w:rsidR="0025336B" w:rsidRPr="003C31B9">
        <w:rPr>
          <w:rFonts w:asciiTheme="majorBidi" w:hAnsiTheme="majorBidi" w:cstheme="majorBidi"/>
        </w:rPr>
        <w:t xml:space="preserve"> carefully </w:t>
      </w:r>
      <w:r w:rsidR="00E90D45" w:rsidRPr="003C31B9">
        <w:rPr>
          <w:rFonts w:asciiTheme="majorBidi" w:hAnsiTheme="majorBidi" w:cstheme="majorBidi"/>
        </w:rPr>
        <w:t>choreographed</w:t>
      </w:r>
      <w:r w:rsidR="0025336B" w:rsidRPr="003C31B9">
        <w:rPr>
          <w:rFonts w:asciiTheme="majorBidi" w:hAnsiTheme="majorBidi" w:cstheme="majorBidi"/>
        </w:rPr>
        <w:t xml:space="preserve">, </w:t>
      </w:r>
      <w:r w:rsidR="00F70ED9">
        <w:rPr>
          <w:rFonts w:asciiTheme="majorBidi" w:hAnsiTheme="majorBidi" w:cstheme="majorBidi"/>
        </w:rPr>
        <w:t>Internet</w:t>
      </w:r>
      <w:r w:rsidR="00EA07F5" w:rsidRPr="003C31B9">
        <w:rPr>
          <w:rFonts w:asciiTheme="majorBidi" w:hAnsiTheme="majorBidi" w:cstheme="majorBidi"/>
        </w:rPr>
        <w:t>-propagated</w:t>
      </w:r>
      <w:r w:rsidR="00E90D45" w:rsidRPr="003C31B9">
        <w:rPr>
          <w:rFonts w:asciiTheme="majorBidi" w:hAnsiTheme="majorBidi" w:cstheme="majorBidi"/>
        </w:rPr>
        <w:t>,</w:t>
      </w:r>
      <w:r w:rsidR="0025336B" w:rsidRPr="003C31B9">
        <w:rPr>
          <w:rFonts w:asciiTheme="majorBidi" w:hAnsiTheme="majorBidi" w:cstheme="majorBidi"/>
        </w:rPr>
        <w:t xml:space="preserve"> </w:t>
      </w:r>
      <w:r w:rsidR="00EA07F5" w:rsidRPr="003C31B9">
        <w:rPr>
          <w:rFonts w:asciiTheme="majorBidi" w:hAnsiTheme="majorBidi" w:cstheme="majorBidi"/>
        </w:rPr>
        <w:t xml:space="preserve">public </w:t>
      </w:r>
      <w:r w:rsidR="000D223A" w:rsidRPr="003C31B9">
        <w:rPr>
          <w:rFonts w:asciiTheme="majorBidi" w:hAnsiTheme="majorBidi" w:cstheme="majorBidi"/>
        </w:rPr>
        <w:t>strategy</w:t>
      </w:r>
      <w:r w:rsidR="0025336B" w:rsidRPr="003C31B9">
        <w:rPr>
          <w:rFonts w:asciiTheme="majorBidi" w:hAnsiTheme="majorBidi" w:cstheme="majorBidi"/>
        </w:rPr>
        <w:t xml:space="preserve"> of cultural genocide </w:t>
      </w:r>
      <w:r w:rsidR="008E2E96" w:rsidRPr="003C31B9">
        <w:rPr>
          <w:rFonts w:asciiTheme="majorBidi" w:hAnsiTheme="majorBidi" w:cstheme="majorBidi"/>
        </w:rPr>
        <w:t>combined with acts of</w:t>
      </w:r>
      <w:r w:rsidR="0025336B" w:rsidRPr="003C31B9">
        <w:rPr>
          <w:rFonts w:asciiTheme="majorBidi" w:hAnsiTheme="majorBidi" w:cstheme="majorBidi"/>
        </w:rPr>
        <w:t xml:space="preserve"> </w:t>
      </w:r>
      <w:r w:rsidR="00E81B1D" w:rsidRPr="003C31B9">
        <w:rPr>
          <w:rFonts w:asciiTheme="majorBidi" w:hAnsiTheme="majorBidi" w:cstheme="majorBidi"/>
        </w:rPr>
        <w:t xml:space="preserve">physical </w:t>
      </w:r>
      <w:r w:rsidR="0025336B" w:rsidRPr="003C31B9">
        <w:rPr>
          <w:rFonts w:asciiTheme="majorBidi" w:hAnsiTheme="majorBidi" w:cstheme="majorBidi"/>
        </w:rPr>
        <w:t xml:space="preserve">genocide. </w:t>
      </w:r>
      <w:r w:rsidR="003D60AA">
        <w:rPr>
          <w:rFonts w:asciiTheme="majorBidi" w:hAnsiTheme="majorBidi" w:cstheme="majorBidi"/>
        </w:rPr>
        <w:t>Da’esh</w:t>
      </w:r>
      <w:r w:rsidR="00DF5C92" w:rsidRPr="003C31B9">
        <w:rPr>
          <w:rFonts w:asciiTheme="majorBidi" w:hAnsiTheme="majorBidi" w:cstheme="majorBidi"/>
        </w:rPr>
        <w:t xml:space="preserve">’s </w:t>
      </w:r>
      <w:r w:rsidR="003B1736" w:rsidRPr="003C31B9">
        <w:rPr>
          <w:rFonts w:asciiTheme="majorBidi" w:hAnsiTheme="majorBidi" w:cstheme="majorBidi"/>
        </w:rPr>
        <w:t>war on people and things</w:t>
      </w:r>
      <w:r w:rsidR="00F33069" w:rsidRPr="003C31B9">
        <w:rPr>
          <w:rFonts w:asciiTheme="majorBidi" w:hAnsiTheme="majorBidi" w:cstheme="majorBidi"/>
        </w:rPr>
        <w:t xml:space="preserve"> was effective because it </w:t>
      </w:r>
      <w:r w:rsidR="000C01E3" w:rsidRPr="003C31B9">
        <w:rPr>
          <w:rFonts w:asciiTheme="majorBidi" w:hAnsiTheme="majorBidi" w:cstheme="majorBidi"/>
        </w:rPr>
        <w:t>was embedded</w:t>
      </w:r>
      <w:r w:rsidR="00F33069" w:rsidRPr="003C31B9">
        <w:rPr>
          <w:rFonts w:asciiTheme="majorBidi" w:hAnsiTheme="majorBidi" w:cstheme="majorBidi"/>
        </w:rPr>
        <w:t xml:space="preserve"> in a</w:t>
      </w:r>
      <w:r w:rsidR="009F5230" w:rsidRPr="003C31B9">
        <w:rPr>
          <w:rFonts w:asciiTheme="majorBidi" w:hAnsiTheme="majorBidi" w:cstheme="majorBidi"/>
        </w:rPr>
        <w:t xml:space="preserve">n </w:t>
      </w:r>
      <w:r w:rsidR="00F33069" w:rsidRPr="003C31B9">
        <w:rPr>
          <w:rFonts w:asciiTheme="majorBidi" w:hAnsiTheme="majorBidi" w:cstheme="majorBidi"/>
        </w:rPr>
        <w:t>integrated system</w:t>
      </w:r>
      <w:r w:rsidR="003E6242" w:rsidRPr="003C31B9">
        <w:rPr>
          <w:rFonts w:asciiTheme="majorBidi" w:hAnsiTheme="majorBidi" w:cstheme="majorBidi"/>
        </w:rPr>
        <w:t xml:space="preserve"> </w:t>
      </w:r>
      <w:r w:rsidR="00F33069" w:rsidRPr="003C31B9">
        <w:rPr>
          <w:rFonts w:asciiTheme="majorBidi" w:hAnsiTheme="majorBidi" w:cstheme="majorBidi"/>
        </w:rPr>
        <w:t>combi</w:t>
      </w:r>
      <w:r w:rsidR="00AE4780" w:rsidRPr="003C31B9">
        <w:rPr>
          <w:rFonts w:asciiTheme="majorBidi" w:hAnsiTheme="majorBidi" w:cstheme="majorBidi"/>
        </w:rPr>
        <w:t>ning</w:t>
      </w:r>
      <w:r w:rsidR="00F33069" w:rsidRPr="003C31B9">
        <w:rPr>
          <w:rFonts w:asciiTheme="majorBidi" w:hAnsiTheme="majorBidi" w:cstheme="majorBidi"/>
        </w:rPr>
        <w:t xml:space="preserve"> religious ideology, </w:t>
      </w:r>
      <w:r w:rsidR="00E90D45" w:rsidRPr="003C31B9">
        <w:rPr>
          <w:rFonts w:asciiTheme="majorBidi" w:hAnsiTheme="majorBidi" w:cstheme="majorBidi"/>
        </w:rPr>
        <w:t xml:space="preserve">a </w:t>
      </w:r>
      <w:r w:rsidR="00F33069" w:rsidRPr="003C31B9">
        <w:rPr>
          <w:rFonts w:asciiTheme="majorBidi" w:hAnsiTheme="majorBidi" w:cstheme="majorBidi"/>
        </w:rPr>
        <w:t>politic</w:t>
      </w:r>
      <w:r w:rsidR="00E90D45" w:rsidRPr="003C31B9">
        <w:rPr>
          <w:rFonts w:asciiTheme="majorBidi" w:hAnsiTheme="majorBidi" w:cstheme="majorBidi"/>
        </w:rPr>
        <w:t>al agenda</w:t>
      </w:r>
      <w:r w:rsidR="00F33069" w:rsidRPr="003C31B9">
        <w:rPr>
          <w:rFonts w:asciiTheme="majorBidi" w:hAnsiTheme="majorBidi" w:cstheme="majorBidi"/>
        </w:rPr>
        <w:t xml:space="preserve">, and </w:t>
      </w:r>
      <w:r w:rsidR="00E81B1D" w:rsidRPr="003C31B9">
        <w:rPr>
          <w:rFonts w:asciiTheme="majorBidi" w:hAnsiTheme="majorBidi" w:cstheme="majorBidi"/>
        </w:rPr>
        <w:t>extreme violence</w:t>
      </w:r>
      <w:r w:rsidR="00AE4780" w:rsidRPr="003C31B9">
        <w:rPr>
          <w:rFonts w:asciiTheme="majorBidi" w:hAnsiTheme="majorBidi" w:cstheme="majorBidi"/>
        </w:rPr>
        <w:t>,</w:t>
      </w:r>
      <w:r w:rsidR="00E81B1D" w:rsidRPr="003C31B9">
        <w:rPr>
          <w:rFonts w:asciiTheme="majorBidi" w:hAnsiTheme="majorBidi" w:cstheme="majorBidi"/>
        </w:rPr>
        <w:t xml:space="preserve"> amplified</w:t>
      </w:r>
      <w:r w:rsidR="003B1736" w:rsidRPr="003C31B9">
        <w:rPr>
          <w:rFonts w:asciiTheme="majorBidi" w:hAnsiTheme="majorBidi" w:cstheme="majorBidi"/>
        </w:rPr>
        <w:t xml:space="preserve"> and intensified</w:t>
      </w:r>
      <w:r w:rsidR="00E81B1D" w:rsidRPr="003C31B9">
        <w:rPr>
          <w:rFonts w:asciiTheme="majorBidi" w:hAnsiTheme="majorBidi" w:cstheme="majorBidi"/>
        </w:rPr>
        <w:t xml:space="preserve"> through</w:t>
      </w:r>
      <w:r w:rsidR="008E2E96" w:rsidRPr="003C31B9">
        <w:rPr>
          <w:rFonts w:asciiTheme="majorBidi" w:hAnsiTheme="majorBidi" w:cstheme="majorBidi"/>
        </w:rPr>
        <w:t xml:space="preserve"> the </w:t>
      </w:r>
      <w:r w:rsidR="00F70ED9">
        <w:rPr>
          <w:rFonts w:asciiTheme="majorBidi" w:hAnsiTheme="majorBidi" w:cstheme="majorBidi"/>
        </w:rPr>
        <w:t>Internet</w:t>
      </w:r>
      <w:r w:rsidR="00551C3E" w:rsidRPr="003C31B9">
        <w:rPr>
          <w:rFonts w:asciiTheme="majorBidi" w:hAnsiTheme="majorBidi" w:cstheme="majorBidi"/>
        </w:rPr>
        <w:t xml:space="preserve">. </w:t>
      </w:r>
      <w:r w:rsidR="008E2E96" w:rsidRPr="003C31B9">
        <w:rPr>
          <w:rFonts w:asciiTheme="majorBidi" w:hAnsiTheme="majorBidi" w:cstheme="majorBidi"/>
        </w:rPr>
        <w:t>P</w:t>
      </w:r>
      <w:r w:rsidR="00E90D45" w:rsidRPr="003C31B9">
        <w:rPr>
          <w:rFonts w:asciiTheme="majorBidi" w:hAnsiTheme="majorBidi" w:cstheme="majorBidi"/>
        </w:rPr>
        <w:t xml:space="preserve">olitical </w:t>
      </w:r>
      <w:r w:rsidR="00191031" w:rsidRPr="003C31B9">
        <w:rPr>
          <w:rFonts w:asciiTheme="majorBidi" w:hAnsiTheme="majorBidi" w:cstheme="majorBidi"/>
        </w:rPr>
        <w:t xml:space="preserve">actions were recast </w:t>
      </w:r>
      <w:r w:rsidR="00A53C06" w:rsidRPr="003C31B9">
        <w:rPr>
          <w:rFonts w:asciiTheme="majorBidi" w:hAnsiTheme="majorBidi" w:cstheme="majorBidi"/>
        </w:rPr>
        <w:t xml:space="preserve">as </w:t>
      </w:r>
      <w:r w:rsidR="00E90D45" w:rsidRPr="003C31B9">
        <w:rPr>
          <w:rFonts w:asciiTheme="majorBidi" w:hAnsiTheme="majorBidi" w:cstheme="majorBidi"/>
        </w:rPr>
        <w:t xml:space="preserve">religious </w:t>
      </w:r>
      <w:r w:rsidR="005E646B" w:rsidRPr="003C31B9">
        <w:rPr>
          <w:rFonts w:asciiTheme="majorBidi" w:hAnsiTheme="majorBidi" w:cstheme="majorBidi"/>
        </w:rPr>
        <w:t xml:space="preserve">acts </w:t>
      </w:r>
      <w:r w:rsidR="00A53C06" w:rsidRPr="003C31B9">
        <w:rPr>
          <w:rFonts w:asciiTheme="majorBidi" w:hAnsiTheme="majorBidi" w:cstheme="majorBidi"/>
        </w:rPr>
        <w:t xml:space="preserve">consistent with </w:t>
      </w:r>
      <w:r w:rsidR="003D60AA">
        <w:rPr>
          <w:rFonts w:asciiTheme="majorBidi" w:hAnsiTheme="majorBidi" w:cstheme="majorBidi"/>
        </w:rPr>
        <w:t>Da’esh</w:t>
      </w:r>
      <w:r w:rsidR="00E81B1D" w:rsidRPr="003C31B9">
        <w:rPr>
          <w:rFonts w:asciiTheme="majorBidi" w:hAnsiTheme="majorBidi" w:cstheme="majorBidi"/>
        </w:rPr>
        <w:t>’s</w:t>
      </w:r>
      <w:r w:rsidR="001B7E81" w:rsidRPr="003C31B9">
        <w:rPr>
          <w:rFonts w:asciiTheme="majorBidi" w:hAnsiTheme="majorBidi" w:cstheme="majorBidi"/>
        </w:rPr>
        <w:t xml:space="preserve"> </w:t>
      </w:r>
      <w:r w:rsidR="0023284F">
        <w:rPr>
          <w:rFonts w:asciiTheme="majorBidi" w:hAnsiTheme="majorBidi" w:cstheme="majorBidi"/>
        </w:rPr>
        <w:t>jihadi</w:t>
      </w:r>
      <w:r w:rsidR="00C27F1F" w:rsidRPr="003C31B9">
        <w:rPr>
          <w:rFonts w:asciiTheme="majorBidi" w:hAnsiTheme="majorBidi" w:cstheme="majorBidi"/>
        </w:rPr>
        <w:t xml:space="preserve">st </w:t>
      </w:r>
      <w:r w:rsidR="001B7E81" w:rsidRPr="003C31B9">
        <w:rPr>
          <w:rFonts w:asciiTheme="majorBidi" w:hAnsiTheme="majorBidi" w:cstheme="majorBidi"/>
        </w:rPr>
        <w:t xml:space="preserve">interpretation </w:t>
      </w:r>
      <w:r w:rsidR="005E42D9" w:rsidRPr="003C31B9">
        <w:rPr>
          <w:rFonts w:asciiTheme="majorBidi" w:hAnsiTheme="majorBidi" w:cstheme="majorBidi"/>
        </w:rPr>
        <w:t>of Salafi Islam</w:t>
      </w:r>
      <w:r w:rsidR="002E47BE" w:rsidRPr="003C31B9">
        <w:rPr>
          <w:rFonts w:asciiTheme="majorBidi" w:hAnsiTheme="majorBidi" w:cstheme="majorBidi"/>
        </w:rPr>
        <w:t xml:space="preserve"> </w:t>
      </w:r>
      <w:r w:rsidR="001F3FAC" w:rsidRPr="003C31B9">
        <w:rPr>
          <w:rFonts w:asciiTheme="majorBidi" w:hAnsiTheme="majorBidi" w:cstheme="majorBidi"/>
        </w:rPr>
        <w:t xml:space="preserve">and </w:t>
      </w:r>
      <w:r w:rsidR="00194377">
        <w:rPr>
          <w:rFonts w:asciiTheme="majorBidi" w:hAnsiTheme="majorBidi" w:cstheme="majorBidi"/>
        </w:rPr>
        <w:t>its</w:t>
      </w:r>
      <w:r w:rsidR="00194377" w:rsidRPr="003C31B9">
        <w:rPr>
          <w:rFonts w:asciiTheme="majorBidi" w:hAnsiTheme="majorBidi" w:cstheme="majorBidi"/>
        </w:rPr>
        <w:t xml:space="preserve"> </w:t>
      </w:r>
      <w:r w:rsidR="00E43EBE" w:rsidRPr="003C31B9">
        <w:rPr>
          <w:rFonts w:asciiTheme="majorBidi" w:hAnsiTheme="majorBidi" w:cstheme="majorBidi"/>
        </w:rPr>
        <w:t>mission of re</w:t>
      </w:r>
      <w:r w:rsidR="00E96A36" w:rsidRPr="003C31B9">
        <w:rPr>
          <w:rFonts w:asciiTheme="majorBidi" w:hAnsiTheme="majorBidi" w:cstheme="majorBidi"/>
        </w:rPr>
        <w:t>turning</w:t>
      </w:r>
      <w:r w:rsidR="00A53C06" w:rsidRPr="003C31B9">
        <w:rPr>
          <w:rFonts w:asciiTheme="majorBidi" w:hAnsiTheme="majorBidi" w:cstheme="majorBidi"/>
        </w:rPr>
        <w:t xml:space="preserve"> </w:t>
      </w:r>
      <w:r w:rsidR="00E43EBE" w:rsidRPr="003C31B9">
        <w:rPr>
          <w:rFonts w:asciiTheme="majorBidi" w:hAnsiTheme="majorBidi" w:cstheme="majorBidi"/>
        </w:rPr>
        <w:t xml:space="preserve">to </w:t>
      </w:r>
      <w:r w:rsidR="00F72541" w:rsidRPr="003C31B9">
        <w:rPr>
          <w:rFonts w:asciiTheme="majorBidi" w:hAnsiTheme="majorBidi" w:cstheme="majorBidi"/>
        </w:rPr>
        <w:t xml:space="preserve">an </w:t>
      </w:r>
      <w:r w:rsidR="008F023C" w:rsidRPr="003C31B9">
        <w:rPr>
          <w:rFonts w:asciiTheme="majorBidi" w:hAnsiTheme="majorBidi" w:cstheme="majorBidi"/>
        </w:rPr>
        <w:t xml:space="preserve">idealized </w:t>
      </w:r>
      <w:r w:rsidR="00E43EBE" w:rsidRPr="003C31B9">
        <w:rPr>
          <w:rFonts w:asciiTheme="majorBidi" w:hAnsiTheme="majorBidi" w:cstheme="majorBidi"/>
        </w:rPr>
        <w:t>vision of</w:t>
      </w:r>
      <w:r w:rsidR="00E96A36" w:rsidRPr="003C31B9">
        <w:rPr>
          <w:rFonts w:asciiTheme="majorBidi" w:hAnsiTheme="majorBidi" w:cstheme="majorBidi"/>
        </w:rPr>
        <w:t xml:space="preserve"> Islam in</w:t>
      </w:r>
      <w:r w:rsidR="00E43EBE" w:rsidRPr="003C31B9">
        <w:rPr>
          <w:rFonts w:asciiTheme="majorBidi" w:hAnsiTheme="majorBidi" w:cstheme="majorBidi"/>
        </w:rPr>
        <w:t xml:space="preserve"> its earliest, purest</w:t>
      </w:r>
      <w:r w:rsidR="008E2E96" w:rsidRPr="003C31B9">
        <w:rPr>
          <w:rFonts w:asciiTheme="majorBidi" w:hAnsiTheme="majorBidi" w:cstheme="majorBidi"/>
        </w:rPr>
        <w:t xml:space="preserve"> form</w:t>
      </w:r>
      <w:r w:rsidR="00A53C06" w:rsidRPr="003C31B9">
        <w:rPr>
          <w:rFonts w:asciiTheme="majorBidi" w:hAnsiTheme="majorBidi" w:cstheme="majorBidi"/>
        </w:rPr>
        <w:t xml:space="preserve">. </w:t>
      </w:r>
      <w:r w:rsidR="00AD6A37" w:rsidRPr="003C31B9">
        <w:rPr>
          <w:rFonts w:asciiTheme="majorBidi" w:hAnsiTheme="majorBidi" w:cstheme="majorBidi"/>
        </w:rPr>
        <w:lastRenderedPageBreak/>
        <w:t>Although the</w:t>
      </w:r>
      <w:r w:rsidR="00DF5C92" w:rsidRPr="003C31B9">
        <w:rPr>
          <w:rFonts w:asciiTheme="majorBidi" w:hAnsiTheme="majorBidi" w:cstheme="majorBidi"/>
        </w:rPr>
        <w:t xml:space="preserve"> </w:t>
      </w:r>
      <w:r w:rsidR="006F7792">
        <w:rPr>
          <w:rFonts w:asciiTheme="majorBidi" w:hAnsiTheme="majorBidi" w:cstheme="majorBidi"/>
        </w:rPr>
        <w:t>Da’esh c</w:t>
      </w:r>
      <w:r w:rsidR="00DF5C92" w:rsidRPr="003C31B9">
        <w:rPr>
          <w:rFonts w:asciiTheme="majorBidi" w:hAnsiTheme="majorBidi" w:cstheme="majorBidi"/>
        </w:rPr>
        <w:t xml:space="preserve">aliphate </w:t>
      </w:r>
      <w:r w:rsidR="006F7792">
        <w:rPr>
          <w:rFonts w:asciiTheme="majorBidi" w:hAnsiTheme="majorBidi" w:cstheme="majorBidi"/>
        </w:rPr>
        <w:t>was destroyed as a polity</w:t>
      </w:r>
      <w:r w:rsidR="00DF5C92" w:rsidRPr="003C31B9">
        <w:rPr>
          <w:rFonts w:asciiTheme="majorBidi" w:hAnsiTheme="majorBidi" w:cstheme="majorBidi"/>
        </w:rPr>
        <w:t xml:space="preserve">, </w:t>
      </w:r>
      <w:r w:rsidR="007C56F5">
        <w:rPr>
          <w:rFonts w:asciiTheme="majorBidi" w:hAnsiTheme="majorBidi" w:cstheme="majorBidi"/>
        </w:rPr>
        <w:t>its</w:t>
      </w:r>
      <w:r w:rsidR="007C56F5" w:rsidRPr="003C31B9">
        <w:rPr>
          <w:rFonts w:asciiTheme="majorBidi" w:hAnsiTheme="majorBidi" w:cstheme="majorBidi"/>
        </w:rPr>
        <w:t xml:space="preserve"> </w:t>
      </w:r>
      <w:r w:rsidR="00DF5C92" w:rsidRPr="003C31B9">
        <w:rPr>
          <w:rFonts w:asciiTheme="majorBidi" w:hAnsiTheme="majorBidi" w:cstheme="majorBidi"/>
        </w:rPr>
        <w:t xml:space="preserve">paradigm for </w:t>
      </w:r>
      <w:r w:rsidR="003E6242" w:rsidRPr="003C31B9">
        <w:rPr>
          <w:rFonts w:asciiTheme="majorBidi" w:hAnsiTheme="majorBidi" w:cstheme="majorBidi"/>
        </w:rPr>
        <w:t>viral violence</w:t>
      </w:r>
      <w:r w:rsidR="00DE31EB" w:rsidRPr="003C31B9">
        <w:rPr>
          <w:rFonts w:asciiTheme="majorBidi" w:hAnsiTheme="majorBidi" w:cstheme="majorBidi"/>
        </w:rPr>
        <w:t xml:space="preserve"> </w:t>
      </w:r>
      <w:r w:rsidR="00DF5C92" w:rsidRPr="003C31B9">
        <w:rPr>
          <w:rFonts w:asciiTheme="majorBidi" w:hAnsiTheme="majorBidi" w:cstheme="majorBidi"/>
        </w:rPr>
        <w:t>is a</w:t>
      </w:r>
      <w:r w:rsidR="00E81B1D" w:rsidRPr="003C31B9">
        <w:rPr>
          <w:rFonts w:asciiTheme="majorBidi" w:hAnsiTheme="majorBidi" w:cstheme="majorBidi"/>
        </w:rPr>
        <w:t xml:space="preserve"> highly adaptable</w:t>
      </w:r>
      <w:r w:rsidR="00DF5C92" w:rsidRPr="003C31B9">
        <w:rPr>
          <w:rFonts w:asciiTheme="majorBidi" w:hAnsiTheme="majorBidi" w:cstheme="majorBidi"/>
        </w:rPr>
        <w:t xml:space="preserve"> model that </w:t>
      </w:r>
      <w:r w:rsidR="00E76C25">
        <w:rPr>
          <w:rFonts w:asciiTheme="majorBidi" w:hAnsiTheme="majorBidi" w:cstheme="majorBidi"/>
        </w:rPr>
        <w:t>risks being</w:t>
      </w:r>
      <w:r w:rsidR="00DF5C92" w:rsidRPr="003C31B9">
        <w:rPr>
          <w:rFonts w:asciiTheme="majorBidi" w:hAnsiTheme="majorBidi" w:cstheme="majorBidi"/>
        </w:rPr>
        <w:t xml:space="preserve"> emulated by </w:t>
      </w:r>
      <w:r w:rsidR="003E6242" w:rsidRPr="003C31B9">
        <w:rPr>
          <w:rFonts w:asciiTheme="majorBidi" w:hAnsiTheme="majorBidi" w:cstheme="majorBidi"/>
        </w:rPr>
        <w:t xml:space="preserve">other </w:t>
      </w:r>
      <w:r w:rsidR="00C30F18">
        <w:rPr>
          <w:rFonts w:asciiTheme="majorBidi" w:hAnsiTheme="majorBidi" w:cstheme="majorBidi"/>
        </w:rPr>
        <w:t>nonstate armed</w:t>
      </w:r>
      <w:r w:rsidR="00C30F18" w:rsidRPr="003C31B9">
        <w:rPr>
          <w:rFonts w:asciiTheme="majorBidi" w:hAnsiTheme="majorBidi" w:cstheme="majorBidi"/>
        </w:rPr>
        <w:t xml:space="preserve"> </w:t>
      </w:r>
      <w:r w:rsidR="00DF5C92" w:rsidRPr="003C31B9">
        <w:rPr>
          <w:rFonts w:asciiTheme="majorBidi" w:hAnsiTheme="majorBidi" w:cstheme="majorBidi"/>
        </w:rPr>
        <w:t>groups world</w:t>
      </w:r>
      <w:r w:rsidR="00734554">
        <w:rPr>
          <w:rFonts w:asciiTheme="majorBidi" w:hAnsiTheme="majorBidi" w:cstheme="majorBidi"/>
        </w:rPr>
        <w:t>w</w:t>
      </w:r>
      <w:r w:rsidR="0087754B">
        <w:rPr>
          <w:rFonts w:asciiTheme="majorBidi" w:hAnsiTheme="majorBidi" w:cstheme="majorBidi"/>
        </w:rPr>
        <w:t>ide.</w:t>
      </w:r>
      <w:r w:rsidR="008B098E">
        <w:rPr>
          <w:rFonts w:asciiTheme="majorBidi" w:hAnsiTheme="majorBidi" w:cstheme="majorBidi"/>
        </w:rPr>
        <w:t xml:space="preserve"> </w:t>
      </w:r>
    </w:p>
    <w:p w14:paraId="4EE6F3B7" w14:textId="77777777" w:rsidR="00E20921" w:rsidRDefault="00E20921" w:rsidP="00F4698F">
      <w:pPr>
        <w:spacing w:line="480" w:lineRule="auto"/>
        <w:rPr>
          <w:rFonts w:asciiTheme="majorBidi" w:hAnsiTheme="majorBidi" w:cstheme="majorBidi"/>
        </w:rPr>
      </w:pPr>
    </w:p>
    <w:p w14:paraId="21CA6754" w14:textId="58DAC3D2" w:rsidR="003F65DF" w:rsidRPr="003C31B9" w:rsidRDefault="003F65DF" w:rsidP="00E266A7">
      <w:pPr>
        <w:pStyle w:val="Heading2"/>
      </w:pPr>
      <w:r w:rsidRPr="003C31B9">
        <w:t>Bio</w:t>
      </w:r>
      <w:r w:rsidR="002935D7">
        <w:t>graphy</w:t>
      </w:r>
    </w:p>
    <w:p w14:paraId="29357C14" w14:textId="1A93077C" w:rsidR="00743C64" w:rsidRPr="003C31B9" w:rsidRDefault="00EF22C5" w:rsidP="00F4698F">
      <w:pPr>
        <w:spacing w:line="480" w:lineRule="auto"/>
        <w:ind w:right="-720"/>
        <w:rPr>
          <w:rFonts w:asciiTheme="majorBidi" w:hAnsiTheme="majorBidi" w:cstheme="majorBidi"/>
        </w:rPr>
      </w:pPr>
      <w:r w:rsidRPr="003C31B9">
        <w:rPr>
          <w:rFonts w:asciiTheme="majorBidi" w:hAnsiTheme="majorBidi" w:cstheme="majorBidi"/>
        </w:rPr>
        <w:t>Gil Stein is Professor of Near Eastern Archaeology at the University of Chicago and Director of the Chicago Center for Cultural Heritage Preservation. His research investigates ancient colonialism, the development of earl</w:t>
      </w:r>
      <w:r w:rsidR="00E361C7">
        <w:rPr>
          <w:rFonts w:asciiTheme="majorBidi" w:hAnsiTheme="majorBidi" w:cstheme="majorBidi"/>
        </w:rPr>
        <w:t>y</w:t>
      </w:r>
      <w:r w:rsidRPr="003C31B9">
        <w:rPr>
          <w:rFonts w:asciiTheme="majorBidi" w:hAnsiTheme="majorBidi" w:cstheme="majorBidi"/>
        </w:rPr>
        <w:t xml:space="preserve"> </w:t>
      </w:r>
      <w:r w:rsidR="00EB53D0" w:rsidRPr="003C31B9">
        <w:rPr>
          <w:rFonts w:asciiTheme="majorBidi" w:hAnsiTheme="majorBidi" w:cstheme="majorBidi"/>
        </w:rPr>
        <w:t>urban civilizations</w:t>
      </w:r>
      <w:r w:rsidRPr="003C31B9">
        <w:rPr>
          <w:rFonts w:asciiTheme="majorBidi" w:hAnsiTheme="majorBidi" w:cstheme="majorBidi"/>
        </w:rPr>
        <w:t xml:space="preserve"> in Mesopotamia, and </w:t>
      </w:r>
      <w:r w:rsidR="00EB53D0" w:rsidRPr="003C31B9">
        <w:rPr>
          <w:rFonts w:asciiTheme="majorBidi" w:hAnsiTheme="majorBidi" w:cstheme="majorBidi"/>
        </w:rPr>
        <w:t xml:space="preserve">cultural heritage </w:t>
      </w:r>
      <w:r w:rsidRPr="003C31B9">
        <w:rPr>
          <w:rFonts w:asciiTheme="majorBidi" w:hAnsiTheme="majorBidi" w:cstheme="majorBidi"/>
        </w:rPr>
        <w:t xml:space="preserve">preservation. He has directed </w:t>
      </w:r>
      <w:r w:rsidR="005103FB" w:rsidRPr="003C31B9">
        <w:rPr>
          <w:rFonts w:asciiTheme="majorBidi" w:hAnsiTheme="majorBidi" w:cstheme="majorBidi"/>
        </w:rPr>
        <w:t xml:space="preserve">archaeological </w:t>
      </w:r>
      <w:r w:rsidRPr="003C31B9">
        <w:rPr>
          <w:rFonts w:asciiTheme="majorBidi" w:hAnsiTheme="majorBidi" w:cstheme="majorBidi"/>
        </w:rPr>
        <w:t xml:space="preserve">excavations in Iraq, Syria, and Turkey. Since 2012 he has led </w:t>
      </w:r>
      <w:r w:rsidR="00E361C7">
        <w:rPr>
          <w:rFonts w:asciiTheme="majorBidi" w:hAnsiTheme="majorBidi" w:cstheme="majorBidi"/>
        </w:rPr>
        <w:t>six</w:t>
      </w:r>
      <w:r w:rsidRPr="003C31B9">
        <w:rPr>
          <w:rFonts w:asciiTheme="majorBidi" w:hAnsiTheme="majorBidi" w:cstheme="majorBidi"/>
        </w:rPr>
        <w:t xml:space="preserve"> US State Department</w:t>
      </w:r>
      <w:r w:rsidR="00933491">
        <w:rPr>
          <w:rFonts w:asciiTheme="majorBidi" w:hAnsiTheme="majorBidi" w:cstheme="majorBidi"/>
        </w:rPr>
        <w:t>–</w:t>
      </w:r>
      <w:r w:rsidRPr="003C31B9">
        <w:rPr>
          <w:rFonts w:asciiTheme="majorBidi" w:hAnsiTheme="majorBidi" w:cstheme="majorBidi"/>
        </w:rPr>
        <w:t>funded cultural heritage projects in Afghanistan and Central Asia.</w:t>
      </w:r>
      <w:r w:rsidR="00E361C7">
        <w:rPr>
          <w:rFonts w:asciiTheme="majorBidi" w:hAnsiTheme="majorBidi" w:cstheme="majorBidi"/>
        </w:rPr>
        <w:t xml:space="preserve"> He is lead editor of </w:t>
      </w:r>
      <w:r w:rsidR="00E361C7" w:rsidRPr="00E266A7">
        <w:rPr>
          <w:rFonts w:asciiTheme="majorBidi" w:hAnsiTheme="majorBidi" w:cstheme="majorBidi"/>
          <w:i/>
          <w:iCs/>
        </w:rPr>
        <w:t>Preserving the Cultural Heritage of Afghanistan</w:t>
      </w:r>
      <w:r w:rsidR="00E361C7">
        <w:rPr>
          <w:rFonts w:asciiTheme="majorBidi" w:hAnsiTheme="majorBidi" w:cstheme="majorBidi"/>
        </w:rPr>
        <w:t xml:space="preserve"> (2017).</w:t>
      </w:r>
    </w:p>
    <w:p w14:paraId="42E5D160" w14:textId="77777777" w:rsidR="00E20921" w:rsidRDefault="00E20921" w:rsidP="00F4698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heme="majorBidi" w:hAnsiTheme="majorBidi" w:cstheme="majorBidi"/>
        </w:rPr>
      </w:pPr>
    </w:p>
    <w:p w14:paraId="1BB1ACD9" w14:textId="1592EB21" w:rsidR="003B184E" w:rsidRPr="00DE42B0" w:rsidRDefault="003B184E" w:rsidP="00F4698F">
      <w:pPr>
        <w:spacing w:line="480" w:lineRule="auto"/>
        <w:rPr>
          <w:rFonts w:asciiTheme="majorBidi" w:hAnsiTheme="majorBidi" w:cstheme="majorBidi"/>
        </w:rPr>
      </w:pPr>
    </w:p>
    <w:p w14:paraId="01B8458F" w14:textId="71EA1048" w:rsidR="00C523C7" w:rsidRDefault="007106F9" w:rsidP="00F4698F">
      <w:pPr>
        <w:spacing w:line="480" w:lineRule="auto"/>
        <w:rPr>
          <w:rFonts w:asciiTheme="majorBidi" w:hAnsiTheme="majorBidi" w:cstheme="majorBidi"/>
        </w:rPr>
      </w:pPr>
      <w:r>
        <w:rPr>
          <w:rFonts w:asciiTheme="majorBidi" w:hAnsiTheme="majorBidi" w:cstheme="majorBidi"/>
        </w:rPr>
        <w:t>W</w:t>
      </w:r>
      <w:r w:rsidR="003B184E" w:rsidRPr="003C31B9">
        <w:rPr>
          <w:rFonts w:asciiTheme="majorBidi" w:hAnsiTheme="majorBidi" w:cstheme="majorBidi"/>
        </w:rPr>
        <w:t>ell</w:t>
      </w:r>
      <w:r w:rsidR="00CE7759">
        <w:rPr>
          <w:rFonts w:asciiTheme="majorBidi" w:hAnsiTheme="majorBidi" w:cstheme="majorBidi"/>
        </w:rPr>
        <w:t>-</w:t>
      </w:r>
      <w:r w:rsidR="003B184E" w:rsidRPr="003C31B9">
        <w:rPr>
          <w:rFonts w:asciiTheme="majorBidi" w:hAnsiTheme="majorBidi" w:cstheme="majorBidi"/>
        </w:rPr>
        <w:t>publicized genocidal actions</w:t>
      </w:r>
      <w:r>
        <w:rPr>
          <w:rFonts w:asciiTheme="majorBidi" w:hAnsiTheme="majorBidi" w:cstheme="majorBidi"/>
        </w:rPr>
        <w:t>,</w:t>
      </w:r>
      <w:r w:rsidR="003B184E" w:rsidRPr="003C31B9">
        <w:rPr>
          <w:rFonts w:asciiTheme="majorBidi" w:hAnsiTheme="majorBidi" w:cstheme="majorBidi"/>
        </w:rPr>
        <w:t xml:space="preserve"> combined with ferocious </w:t>
      </w:r>
      <w:r w:rsidR="00EE5EA2" w:rsidRPr="003C31B9">
        <w:rPr>
          <w:rFonts w:asciiTheme="majorBidi" w:hAnsiTheme="majorBidi" w:cstheme="majorBidi"/>
        </w:rPr>
        <w:t xml:space="preserve">iconoclastic </w:t>
      </w:r>
      <w:r w:rsidR="003B184E" w:rsidRPr="003C31B9">
        <w:rPr>
          <w:rFonts w:asciiTheme="majorBidi" w:hAnsiTheme="majorBidi" w:cstheme="majorBidi"/>
        </w:rPr>
        <w:t>attacks on cultural heritage</w:t>
      </w:r>
      <w:r>
        <w:rPr>
          <w:rFonts w:asciiTheme="majorBidi" w:hAnsiTheme="majorBidi" w:cstheme="majorBidi"/>
        </w:rPr>
        <w:t>, characterize t</w:t>
      </w:r>
      <w:r w:rsidRPr="003C31B9">
        <w:rPr>
          <w:rFonts w:asciiTheme="majorBidi" w:hAnsiTheme="majorBidi" w:cstheme="majorBidi"/>
        </w:rPr>
        <w:t xml:space="preserve">he </w:t>
      </w:r>
      <w:r w:rsidR="00327DF4" w:rsidRPr="003C31B9">
        <w:rPr>
          <w:rFonts w:asciiTheme="majorBidi" w:hAnsiTheme="majorBidi" w:cstheme="majorBidi"/>
        </w:rPr>
        <w:t xml:space="preserve">violent expansion of </w:t>
      </w:r>
      <w:r w:rsidR="00327DF4">
        <w:rPr>
          <w:rFonts w:asciiTheme="majorBidi" w:hAnsiTheme="majorBidi" w:cstheme="majorBidi"/>
        </w:rPr>
        <w:t xml:space="preserve">the </w:t>
      </w:r>
      <w:r w:rsidR="00327DF4" w:rsidRPr="003C31B9">
        <w:rPr>
          <w:rFonts w:asciiTheme="majorBidi" w:hAnsiTheme="majorBidi" w:cstheme="majorBidi"/>
        </w:rPr>
        <w:t xml:space="preserve">caliphate </w:t>
      </w:r>
      <w:r w:rsidR="00327DF4">
        <w:rPr>
          <w:rFonts w:asciiTheme="majorBidi" w:hAnsiTheme="majorBidi" w:cstheme="majorBidi"/>
        </w:rPr>
        <w:t xml:space="preserve">of </w:t>
      </w:r>
      <w:r w:rsidRPr="003C31B9">
        <w:rPr>
          <w:rFonts w:asciiTheme="majorBidi" w:hAnsiTheme="majorBidi" w:cstheme="majorBidi"/>
        </w:rPr>
        <w:t>Da’</w:t>
      </w:r>
      <w:r>
        <w:rPr>
          <w:rFonts w:asciiTheme="majorBidi" w:hAnsiTheme="majorBidi" w:cstheme="majorBidi"/>
        </w:rPr>
        <w:t>e</w:t>
      </w:r>
      <w:r w:rsidRPr="003C31B9">
        <w:rPr>
          <w:rFonts w:asciiTheme="majorBidi" w:hAnsiTheme="majorBidi" w:cstheme="majorBidi"/>
        </w:rPr>
        <w:t>sh</w:t>
      </w:r>
      <w:r>
        <w:rPr>
          <w:rFonts w:asciiTheme="majorBidi" w:hAnsiTheme="majorBidi" w:cstheme="majorBidi"/>
        </w:rPr>
        <w:t>,</w:t>
      </w:r>
      <w:r w:rsidRPr="003C31B9">
        <w:rPr>
          <w:rFonts w:asciiTheme="majorBidi" w:hAnsiTheme="majorBidi" w:cstheme="majorBidi"/>
        </w:rPr>
        <w:t xml:space="preserve"> also known as </w:t>
      </w:r>
      <w:r>
        <w:rPr>
          <w:rFonts w:asciiTheme="majorBidi" w:hAnsiTheme="majorBidi" w:cstheme="majorBidi"/>
        </w:rPr>
        <w:t>the Islamic State of Iraq and Syria (</w:t>
      </w:r>
      <w:r w:rsidRPr="003C31B9">
        <w:rPr>
          <w:rFonts w:asciiTheme="majorBidi" w:hAnsiTheme="majorBidi" w:cstheme="majorBidi"/>
        </w:rPr>
        <w:t>ISIS</w:t>
      </w:r>
      <w:r>
        <w:rPr>
          <w:rFonts w:asciiTheme="majorBidi" w:hAnsiTheme="majorBidi" w:cstheme="majorBidi"/>
        </w:rPr>
        <w:t xml:space="preserve"> or</w:t>
      </w:r>
      <w:r w:rsidRPr="003C31B9">
        <w:rPr>
          <w:rFonts w:asciiTheme="majorBidi" w:hAnsiTheme="majorBidi" w:cstheme="majorBidi"/>
        </w:rPr>
        <w:t xml:space="preserve"> ISI</w:t>
      </w:r>
      <w:r>
        <w:rPr>
          <w:rFonts w:asciiTheme="majorBidi" w:hAnsiTheme="majorBidi" w:cstheme="majorBidi"/>
        </w:rPr>
        <w:t>L</w:t>
      </w:r>
      <w:r w:rsidRPr="003C31B9">
        <w:rPr>
          <w:rFonts w:asciiTheme="majorBidi" w:hAnsiTheme="majorBidi" w:cstheme="majorBidi"/>
        </w:rPr>
        <w:t xml:space="preserve">), over </w:t>
      </w:r>
      <w:r>
        <w:rPr>
          <w:rFonts w:asciiTheme="majorBidi" w:hAnsiTheme="majorBidi" w:cstheme="majorBidi"/>
        </w:rPr>
        <w:t>significant areas in the north of both countries</w:t>
      </w:r>
      <w:r w:rsidRPr="003C31B9">
        <w:rPr>
          <w:rFonts w:asciiTheme="majorBidi" w:hAnsiTheme="majorBidi" w:cstheme="majorBidi"/>
        </w:rPr>
        <w:t xml:space="preserve"> from 2013 to 2019</w:t>
      </w:r>
      <w:r w:rsidR="003B184E" w:rsidRPr="003C31B9">
        <w:rPr>
          <w:rFonts w:asciiTheme="majorBidi" w:hAnsiTheme="majorBidi" w:cstheme="majorBidi"/>
        </w:rPr>
        <w:t xml:space="preserve">. These were not </w:t>
      </w:r>
      <w:r w:rsidR="00C31C01">
        <w:rPr>
          <w:rFonts w:asciiTheme="majorBidi" w:hAnsiTheme="majorBidi" w:cstheme="majorBidi"/>
        </w:rPr>
        <w:t>random acts of</w:t>
      </w:r>
      <w:r w:rsidR="00C31C01" w:rsidRPr="003C31B9">
        <w:rPr>
          <w:rFonts w:asciiTheme="majorBidi" w:hAnsiTheme="majorBidi" w:cstheme="majorBidi"/>
        </w:rPr>
        <w:t xml:space="preserve"> </w:t>
      </w:r>
      <w:r w:rsidR="003B184E" w:rsidRPr="003C31B9">
        <w:rPr>
          <w:rFonts w:asciiTheme="majorBidi" w:hAnsiTheme="majorBidi" w:cstheme="majorBidi"/>
        </w:rPr>
        <w:t>atrocit</w:t>
      </w:r>
      <w:r w:rsidR="00C31C01">
        <w:rPr>
          <w:rFonts w:asciiTheme="majorBidi" w:hAnsiTheme="majorBidi" w:cstheme="majorBidi"/>
        </w:rPr>
        <w:t>y</w:t>
      </w:r>
      <w:r w:rsidR="003B184E" w:rsidRPr="003C31B9">
        <w:rPr>
          <w:rFonts w:asciiTheme="majorBidi" w:hAnsiTheme="majorBidi" w:cstheme="majorBidi"/>
        </w:rPr>
        <w:t xml:space="preserve"> but </w:t>
      </w:r>
      <w:r w:rsidR="00245F63">
        <w:rPr>
          <w:rFonts w:asciiTheme="majorBidi" w:hAnsiTheme="majorBidi" w:cstheme="majorBidi"/>
        </w:rPr>
        <w:t>instead</w:t>
      </w:r>
      <w:r w:rsidR="003B184E" w:rsidRPr="003C31B9">
        <w:rPr>
          <w:rFonts w:asciiTheme="majorBidi" w:hAnsiTheme="majorBidi" w:cstheme="majorBidi"/>
        </w:rPr>
        <w:t xml:space="preserve"> formed a coherent</w:t>
      </w:r>
      <w:r w:rsidR="002B3081" w:rsidRPr="003C31B9">
        <w:rPr>
          <w:rFonts w:asciiTheme="majorBidi" w:hAnsiTheme="majorBidi" w:cstheme="majorBidi"/>
        </w:rPr>
        <w:t>,</w:t>
      </w:r>
      <w:r w:rsidR="003B184E" w:rsidRPr="003C31B9">
        <w:rPr>
          <w:rFonts w:asciiTheme="majorBidi" w:hAnsiTheme="majorBidi" w:cstheme="majorBidi"/>
        </w:rPr>
        <w:t xml:space="preserve"> integrated </w:t>
      </w:r>
      <w:r w:rsidR="00677C60">
        <w:rPr>
          <w:rFonts w:asciiTheme="majorBidi" w:hAnsiTheme="majorBidi" w:cstheme="majorBidi"/>
        </w:rPr>
        <w:t>politico-religious</w:t>
      </w:r>
      <w:r w:rsidR="0072398E" w:rsidRPr="003C31B9">
        <w:rPr>
          <w:rFonts w:asciiTheme="majorBidi" w:hAnsiTheme="majorBidi" w:cstheme="majorBidi"/>
        </w:rPr>
        <w:t xml:space="preserve"> </w:t>
      </w:r>
      <w:r w:rsidR="003B184E" w:rsidRPr="003C31B9">
        <w:rPr>
          <w:rFonts w:asciiTheme="majorBidi" w:hAnsiTheme="majorBidi" w:cstheme="majorBidi"/>
        </w:rPr>
        <w:t>strategy</w:t>
      </w:r>
      <w:r w:rsidR="00085664">
        <w:rPr>
          <w:rFonts w:asciiTheme="majorBidi" w:hAnsiTheme="majorBidi" w:cstheme="majorBidi"/>
        </w:rPr>
        <w:t xml:space="preserve"> of violence</w:t>
      </w:r>
      <w:r>
        <w:rPr>
          <w:rFonts w:asciiTheme="majorBidi" w:hAnsiTheme="majorBidi" w:cstheme="majorBidi"/>
        </w:rPr>
        <w:t>,</w:t>
      </w:r>
      <w:r w:rsidR="00085664">
        <w:rPr>
          <w:rFonts w:asciiTheme="majorBidi" w:hAnsiTheme="majorBidi" w:cstheme="majorBidi"/>
        </w:rPr>
        <w:t xml:space="preserve"> communicated and amplified globally through innovative use of the </w:t>
      </w:r>
      <w:r w:rsidR="00F70ED9">
        <w:rPr>
          <w:rFonts w:asciiTheme="majorBidi" w:hAnsiTheme="majorBidi" w:cstheme="majorBidi"/>
        </w:rPr>
        <w:t>Internet</w:t>
      </w:r>
      <w:r w:rsidR="003B184E" w:rsidRPr="003C31B9">
        <w:rPr>
          <w:rFonts w:asciiTheme="majorBidi" w:hAnsiTheme="majorBidi" w:cstheme="majorBidi"/>
        </w:rPr>
        <w:t>.</w:t>
      </w:r>
      <w:r w:rsidR="008B098E">
        <w:rPr>
          <w:rFonts w:asciiTheme="majorBidi" w:hAnsiTheme="majorBidi" w:cstheme="majorBidi"/>
        </w:rPr>
        <w:t xml:space="preserve"> </w:t>
      </w:r>
      <w:r w:rsidR="003B184E" w:rsidRPr="003C31B9">
        <w:rPr>
          <w:rFonts w:asciiTheme="majorBidi" w:hAnsiTheme="majorBidi" w:cstheme="majorBidi"/>
        </w:rPr>
        <w:t xml:space="preserve">In this </w:t>
      </w:r>
      <w:r w:rsidR="00313FC0">
        <w:rPr>
          <w:rFonts w:asciiTheme="majorBidi" w:hAnsiTheme="majorBidi" w:cstheme="majorBidi"/>
        </w:rPr>
        <w:t xml:space="preserve">chapter </w:t>
      </w:r>
      <w:r w:rsidR="003B184E" w:rsidRPr="003C31B9">
        <w:rPr>
          <w:rFonts w:asciiTheme="majorBidi" w:hAnsiTheme="majorBidi" w:cstheme="majorBidi"/>
        </w:rPr>
        <w:t xml:space="preserve">I suggest that </w:t>
      </w:r>
      <w:r w:rsidR="003D60AA">
        <w:rPr>
          <w:rFonts w:asciiTheme="majorBidi" w:hAnsiTheme="majorBidi" w:cstheme="majorBidi"/>
        </w:rPr>
        <w:t>Da’esh</w:t>
      </w:r>
      <w:r w:rsidR="003B184E" w:rsidRPr="003C31B9">
        <w:rPr>
          <w:rFonts w:asciiTheme="majorBidi" w:hAnsiTheme="majorBidi" w:cstheme="majorBidi"/>
        </w:rPr>
        <w:t>’s politics of heritage demolition were central to its very identity</w:t>
      </w:r>
      <w:r w:rsidR="00342AE4">
        <w:rPr>
          <w:rFonts w:asciiTheme="majorBidi" w:hAnsiTheme="majorBidi" w:cstheme="majorBidi"/>
        </w:rPr>
        <w:t>.</w:t>
      </w:r>
      <w:r w:rsidR="002F783A" w:rsidRPr="003C31B9">
        <w:rPr>
          <w:rFonts w:asciiTheme="majorBidi" w:hAnsiTheme="majorBidi" w:cstheme="majorBidi"/>
        </w:rPr>
        <w:t xml:space="preserve"> </w:t>
      </w:r>
      <w:r w:rsidR="00213044">
        <w:rPr>
          <w:rFonts w:asciiTheme="majorBidi" w:hAnsiTheme="majorBidi" w:cstheme="majorBidi"/>
        </w:rPr>
        <w:t xml:space="preserve">Its </w:t>
      </w:r>
      <w:r w:rsidR="002F783A" w:rsidRPr="003C31B9">
        <w:rPr>
          <w:rFonts w:asciiTheme="majorBidi" w:hAnsiTheme="majorBidi" w:cstheme="majorBidi"/>
        </w:rPr>
        <w:t xml:space="preserve">destruction of </w:t>
      </w:r>
      <w:r w:rsidR="00D11EE8" w:rsidRPr="003C31B9">
        <w:rPr>
          <w:rFonts w:asciiTheme="majorBidi" w:hAnsiTheme="majorBidi" w:cstheme="majorBidi"/>
        </w:rPr>
        <w:t xml:space="preserve">cultural </w:t>
      </w:r>
      <w:r w:rsidR="002F783A" w:rsidRPr="003C31B9">
        <w:rPr>
          <w:rFonts w:asciiTheme="majorBidi" w:hAnsiTheme="majorBidi" w:cstheme="majorBidi"/>
        </w:rPr>
        <w:t xml:space="preserve">heritage </w:t>
      </w:r>
      <w:r w:rsidR="00D11EE8" w:rsidRPr="003C31B9">
        <w:rPr>
          <w:rFonts w:asciiTheme="majorBidi" w:hAnsiTheme="majorBidi" w:cstheme="majorBidi"/>
        </w:rPr>
        <w:t xml:space="preserve">monuments </w:t>
      </w:r>
      <w:r w:rsidR="002F783A" w:rsidRPr="003C31B9">
        <w:rPr>
          <w:rFonts w:asciiTheme="majorBidi" w:hAnsiTheme="majorBidi" w:cstheme="majorBidi"/>
        </w:rPr>
        <w:t xml:space="preserve">was a form of </w:t>
      </w:r>
      <w:r w:rsidR="00532AEC">
        <w:rPr>
          <w:rFonts w:asciiTheme="majorBidi" w:hAnsiTheme="majorBidi" w:cstheme="majorBidi"/>
        </w:rPr>
        <w:t>“</w:t>
      </w:r>
      <w:r w:rsidR="002F783A" w:rsidRPr="003C31B9">
        <w:rPr>
          <w:rFonts w:asciiTheme="majorBidi" w:hAnsiTheme="majorBidi" w:cstheme="majorBidi"/>
        </w:rPr>
        <w:t>cultural genocide</w:t>
      </w:r>
      <w:r w:rsidR="00532AEC">
        <w:rPr>
          <w:rFonts w:asciiTheme="majorBidi" w:hAnsiTheme="majorBidi" w:cstheme="majorBidi"/>
        </w:rPr>
        <w:t>”</w:t>
      </w:r>
      <w:r w:rsidR="002F783A" w:rsidRPr="003C31B9">
        <w:rPr>
          <w:rFonts w:asciiTheme="majorBidi" w:hAnsiTheme="majorBidi" w:cstheme="majorBidi"/>
        </w:rPr>
        <w:t xml:space="preserve"> </w:t>
      </w:r>
      <w:r w:rsidR="009B51F6">
        <w:rPr>
          <w:rFonts w:asciiTheme="majorBidi" w:hAnsiTheme="majorBidi" w:cstheme="majorBidi"/>
        </w:rPr>
        <w:t>closely</w:t>
      </w:r>
      <w:r w:rsidR="002F783A" w:rsidRPr="003C31B9">
        <w:rPr>
          <w:rFonts w:asciiTheme="majorBidi" w:hAnsiTheme="majorBidi" w:cstheme="majorBidi"/>
        </w:rPr>
        <w:t xml:space="preserve"> linked to</w:t>
      </w:r>
      <w:r w:rsidR="008E05A2" w:rsidRPr="003C31B9">
        <w:rPr>
          <w:rFonts w:asciiTheme="majorBidi" w:hAnsiTheme="majorBidi" w:cstheme="majorBidi"/>
        </w:rPr>
        <w:t xml:space="preserve"> concurrent </w:t>
      </w:r>
      <w:r w:rsidR="002F783A" w:rsidRPr="003C31B9">
        <w:rPr>
          <w:rFonts w:asciiTheme="majorBidi" w:hAnsiTheme="majorBidi" w:cstheme="majorBidi"/>
        </w:rPr>
        <w:t xml:space="preserve">acts of </w:t>
      </w:r>
      <w:r w:rsidR="00D11EE8" w:rsidRPr="003C31B9">
        <w:rPr>
          <w:rFonts w:asciiTheme="majorBidi" w:hAnsiTheme="majorBidi" w:cstheme="majorBidi"/>
        </w:rPr>
        <w:t>human</w:t>
      </w:r>
      <w:r w:rsidR="002F783A" w:rsidRPr="003C31B9">
        <w:rPr>
          <w:rFonts w:asciiTheme="majorBidi" w:hAnsiTheme="majorBidi" w:cstheme="majorBidi"/>
        </w:rPr>
        <w:t xml:space="preserve"> genocide </w:t>
      </w:r>
      <w:r w:rsidR="008E05A2" w:rsidRPr="003C31B9">
        <w:rPr>
          <w:rFonts w:asciiTheme="majorBidi" w:hAnsiTheme="majorBidi" w:cstheme="majorBidi"/>
        </w:rPr>
        <w:t xml:space="preserve">in attempts to exterminate </w:t>
      </w:r>
      <w:r w:rsidR="00B94DBC">
        <w:rPr>
          <w:rFonts w:asciiTheme="majorBidi" w:hAnsiTheme="majorBidi" w:cstheme="majorBidi"/>
        </w:rPr>
        <w:t xml:space="preserve">its enemies, both Muslim and non-Muslim, </w:t>
      </w:r>
      <w:r w:rsidR="002F783A" w:rsidRPr="003C31B9">
        <w:rPr>
          <w:rFonts w:asciiTheme="majorBidi" w:hAnsiTheme="majorBidi" w:cstheme="majorBidi"/>
        </w:rPr>
        <w:t>in Syria and Iraq.</w:t>
      </w:r>
      <w:r w:rsidR="00085664">
        <w:rPr>
          <w:rFonts w:asciiTheme="majorBidi" w:hAnsiTheme="majorBidi" w:cstheme="majorBidi"/>
        </w:rPr>
        <w:t xml:space="preserve"> </w:t>
      </w:r>
    </w:p>
    <w:p w14:paraId="1BEDEBE3" w14:textId="0CADA7F9" w:rsidR="000B4EC5" w:rsidRDefault="00085664" w:rsidP="00F4698F">
      <w:pPr>
        <w:spacing w:line="480" w:lineRule="auto"/>
        <w:ind w:firstLine="720"/>
        <w:rPr>
          <w:rFonts w:asciiTheme="majorBidi" w:hAnsiTheme="majorBidi" w:cstheme="majorBidi"/>
        </w:rPr>
      </w:pPr>
      <w:r>
        <w:rPr>
          <w:rFonts w:asciiTheme="majorBidi" w:hAnsiTheme="majorBidi" w:cstheme="majorBidi"/>
        </w:rPr>
        <w:t xml:space="preserve">This </w:t>
      </w:r>
      <w:r w:rsidR="004D7490">
        <w:rPr>
          <w:rFonts w:asciiTheme="majorBidi" w:hAnsiTheme="majorBidi" w:cstheme="majorBidi"/>
        </w:rPr>
        <w:t xml:space="preserve">discussion </w:t>
      </w:r>
      <w:r>
        <w:rPr>
          <w:rFonts w:asciiTheme="majorBidi" w:hAnsiTheme="majorBidi" w:cstheme="majorBidi"/>
        </w:rPr>
        <w:t xml:space="preserve">has three parts. </w:t>
      </w:r>
      <w:r w:rsidR="004D7490">
        <w:rPr>
          <w:rFonts w:asciiTheme="majorBidi" w:hAnsiTheme="majorBidi" w:cstheme="majorBidi"/>
        </w:rPr>
        <w:t>I start by showing</w:t>
      </w:r>
      <w:r>
        <w:rPr>
          <w:rFonts w:asciiTheme="majorBidi" w:hAnsiTheme="majorBidi" w:cstheme="majorBidi"/>
        </w:rPr>
        <w:t xml:space="preserve"> that Da’esh’s actions </w:t>
      </w:r>
      <w:r w:rsidR="004D7490">
        <w:rPr>
          <w:rFonts w:asciiTheme="majorBidi" w:hAnsiTheme="majorBidi" w:cstheme="majorBidi"/>
        </w:rPr>
        <w:t>must</w:t>
      </w:r>
      <w:r>
        <w:rPr>
          <w:rFonts w:asciiTheme="majorBidi" w:hAnsiTheme="majorBidi" w:cstheme="majorBidi"/>
        </w:rPr>
        <w:t xml:space="preserve"> be understood</w:t>
      </w:r>
      <w:r w:rsidR="00EA7D67">
        <w:rPr>
          <w:rFonts w:asciiTheme="majorBidi" w:hAnsiTheme="majorBidi" w:cstheme="majorBidi"/>
        </w:rPr>
        <w:t xml:space="preserve"> </w:t>
      </w:r>
      <w:r w:rsidR="00114BC1">
        <w:rPr>
          <w:rFonts w:asciiTheme="majorBidi" w:hAnsiTheme="majorBidi" w:cstheme="majorBidi"/>
        </w:rPr>
        <w:t xml:space="preserve">as deriving from </w:t>
      </w:r>
      <w:r>
        <w:rPr>
          <w:rFonts w:asciiTheme="majorBidi" w:hAnsiTheme="majorBidi" w:cstheme="majorBidi"/>
        </w:rPr>
        <w:t>th</w:t>
      </w:r>
      <w:r w:rsidR="00114BC1">
        <w:rPr>
          <w:rFonts w:asciiTheme="majorBidi" w:hAnsiTheme="majorBidi" w:cstheme="majorBidi"/>
        </w:rPr>
        <w:t>e group’s</w:t>
      </w:r>
      <w:r>
        <w:rPr>
          <w:rFonts w:asciiTheme="majorBidi" w:hAnsiTheme="majorBidi" w:cstheme="majorBidi"/>
        </w:rPr>
        <w:t xml:space="preserve"> </w:t>
      </w:r>
      <w:r w:rsidR="00114BC1">
        <w:rPr>
          <w:rFonts w:asciiTheme="majorBidi" w:hAnsiTheme="majorBidi" w:cstheme="majorBidi"/>
        </w:rPr>
        <w:t xml:space="preserve">religious </w:t>
      </w:r>
      <w:r>
        <w:rPr>
          <w:rFonts w:asciiTheme="majorBidi" w:hAnsiTheme="majorBidi" w:cstheme="majorBidi"/>
        </w:rPr>
        <w:t>ideology of extrem</w:t>
      </w:r>
      <w:r w:rsidR="005419DA">
        <w:rPr>
          <w:rFonts w:asciiTheme="majorBidi" w:hAnsiTheme="majorBidi" w:cstheme="majorBidi"/>
        </w:rPr>
        <w:t xml:space="preserve">ist </w:t>
      </w:r>
      <w:r w:rsidR="0023284F">
        <w:rPr>
          <w:rFonts w:asciiTheme="majorBidi" w:hAnsiTheme="majorBidi" w:cstheme="majorBidi"/>
        </w:rPr>
        <w:t>j</w:t>
      </w:r>
      <w:r>
        <w:rPr>
          <w:rFonts w:asciiTheme="majorBidi" w:hAnsiTheme="majorBidi" w:cstheme="majorBidi"/>
        </w:rPr>
        <w:t xml:space="preserve">ihadi Salafism as a </w:t>
      </w:r>
      <w:r w:rsidR="00114BC1">
        <w:rPr>
          <w:rFonts w:asciiTheme="majorBidi" w:hAnsiTheme="majorBidi" w:cstheme="majorBidi"/>
        </w:rPr>
        <w:t>distinct strand within</w:t>
      </w:r>
      <w:r>
        <w:rPr>
          <w:rFonts w:asciiTheme="majorBidi" w:hAnsiTheme="majorBidi" w:cstheme="majorBidi"/>
        </w:rPr>
        <w:t xml:space="preserve"> Sunni Muslim theology.</w:t>
      </w:r>
      <w:r w:rsidR="008B098E">
        <w:rPr>
          <w:rFonts w:asciiTheme="majorBidi" w:hAnsiTheme="majorBidi" w:cstheme="majorBidi"/>
        </w:rPr>
        <w:t xml:space="preserve"> </w:t>
      </w:r>
      <w:r w:rsidR="004D7490">
        <w:rPr>
          <w:rFonts w:asciiTheme="majorBidi" w:hAnsiTheme="majorBidi" w:cstheme="majorBidi"/>
        </w:rPr>
        <w:t>T</w:t>
      </w:r>
      <w:r>
        <w:rPr>
          <w:rFonts w:asciiTheme="majorBidi" w:hAnsiTheme="majorBidi" w:cstheme="majorBidi"/>
        </w:rPr>
        <w:t>he second section</w:t>
      </w:r>
      <w:r w:rsidR="004D7490">
        <w:rPr>
          <w:rFonts w:asciiTheme="majorBidi" w:hAnsiTheme="majorBidi" w:cstheme="majorBidi"/>
        </w:rPr>
        <w:t xml:space="preserve"> shows how</w:t>
      </w:r>
      <w:r>
        <w:rPr>
          <w:rFonts w:asciiTheme="majorBidi" w:hAnsiTheme="majorBidi" w:cstheme="majorBidi"/>
        </w:rPr>
        <w:t xml:space="preserve"> Da’esh’s </w:t>
      </w:r>
      <w:r w:rsidR="00764870">
        <w:rPr>
          <w:rFonts w:asciiTheme="majorBidi" w:hAnsiTheme="majorBidi" w:cstheme="majorBidi"/>
        </w:rPr>
        <w:t xml:space="preserve">acts of </w:t>
      </w:r>
      <w:r w:rsidR="00414FFE">
        <w:rPr>
          <w:rFonts w:asciiTheme="majorBidi" w:hAnsiTheme="majorBidi" w:cstheme="majorBidi"/>
        </w:rPr>
        <w:lastRenderedPageBreak/>
        <w:t xml:space="preserve">parallel </w:t>
      </w:r>
      <w:r w:rsidR="00677C60">
        <w:rPr>
          <w:rFonts w:asciiTheme="majorBidi" w:hAnsiTheme="majorBidi" w:cstheme="majorBidi"/>
        </w:rPr>
        <w:t>politico-religious</w:t>
      </w:r>
      <w:r w:rsidR="00764870">
        <w:rPr>
          <w:rFonts w:asciiTheme="majorBidi" w:hAnsiTheme="majorBidi" w:cstheme="majorBidi"/>
        </w:rPr>
        <w:t xml:space="preserve"> </w:t>
      </w:r>
      <w:r w:rsidR="004D7490">
        <w:rPr>
          <w:rFonts w:asciiTheme="majorBidi" w:hAnsiTheme="majorBidi" w:cstheme="majorBidi"/>
        </w:rPr>
        <w:t xml:space="preserve">violence against people and </w:t>
      </w:r>
      <w:r w:rsidR="00764870">
        <w:rPr>
          <w:rFonts w:asciiTheme="majorBidi" w:hAnsiTheme="majorBidi" w:cstheme="majorBidi"/>
        </w:rPr>
        <w:t>iconocla</w:t>
      </w:r>
      <w:r w:rsidR="004D7490">
        <w:rPr>
          <w:rFonts w:asciiTheme="majorBidi" w:hAnsiTheme="majorBidi" w:cstheme="majorBidi"/>
        </w:rPr>
        <w:t>stic attacks on</w:t>
      </w:r>
      <w:r w:rsidR="00764870">
        <w:rPr>
          <w:rFonts w:asciiTheme="majorBidi" w:hAnsiTheme="majorBidi" w:cstheme="majorBidi"/>
        </w:rPr>
        <w:t xml:space="preserve"> heritage monuments were publicized in a dangerous new paradigm of </w:t>
      </w:r>
      <w:r w:rsidR="00F70ED9">
        <w:rPr>
          <w:rFonts w:asciiTheme="majorBidi" w:hAnsiTheme="majorBidi" w:cstheme="majorBidi"/>
        </w:rPr>
        <w:t>Internet</w:t>
      </w:r>
      <w:r w:rsidR="00764870">
        <w:rPr>
          <w:rFonts w:asciiTheme="majorBidi" w:hAnsiTheme="majorBidi" w:cstheme="majorBidi"/>
        </w:rPr>
        <w:t>-based “performative destruction</w:t>
      </w:r>
      <w:r w:rsidR="00B535B5">
        <w:rPr>
          <w:rFonts w:asciiTheme="majorBidi" w:hAnsiTheme="majorBidi" w:cstheme="majorBidi"/>
        </w:rPr>
        <w:t>.”</w:t>
      </w:r>
      <w:r w:rsidR="00764870">
        <w:rPr>
          <w:rFonts w:asciiTheme="majorBidi" w:hAnsiTheme="majorBidi" w:cstheme="majorBidi"/>
        </w:rPr>
        <w:t xml:space="preserve"> </w:t>
      </w:r>
      <w:r w:rsidR="004D7490">
        <w:rPr>
          <w:rFonts w:asciiTheme="majorBidi" w:hAnsiTheme="majorBidi" w:cstheme="majorBidi"/>
        </w:rPr>
        <w:t>The third part</w:t>
      </w:r>
      <w:r w:rsidR="00764870">
        <w:rPr>
          <w:rFonts w:asciiTheme="majorBidi" w:hAnsiTheme="majorBidi" w:cstheme="majorBidi"/>
        </w:rPr>
        <w:t xml:space="preserve"> </w:t>
      </w:r>
      <w:r w:rsidR="004D7490">
        <w:rPr>
          <w:rFonts w:asciiTheme="majorBidi" w:hAnsiTheme="majorBidi" w:cstheme="majorBidi"/>
        </w:rPr>
        <w:t>examines</w:t>
      </w:r>
      <w:r w:rsidR="00764870">
        <w:rPr>
          <w:rFonts w:asciiTheme="majorBidi" w:hAnsiTheme="majorBidi" w:cstheme="majorBidi"/>
        </w:rPr>
        <w:t xml:space="preserve"> the human and </w:t>
      </w:r>
      <w:r w:rsidR="001E046E">
        <w:rPr>
          <w:rFonts w:asciiTheme="majorBidi" w:hAnsiTheme="majorBidi" w:cstheme="majorBidi"/>
        </w:rPr>
        <w:t>cultural</w:t>
      </w:r>
      <w:r w:rsidR="00764870">
        <w:rPr>
          <w:rFonts w:asciiTheme="majorBidi" w:hAnsiTheme="majorBidi" w:cstheme="majorBidi"/>
        </w:rPr>
        <w:t xml:space="preserve"> targets of Da’esh’s genocidal actions</w:t>
      </w:r>
      <w:r w:rsidR="004D7490">
        <w:rPr>
          <w:rFonts w:asciiTheme="majorBidi" w:hAnsiTheme="majorBidi" w:cstheme="majorBidi"/>
        </w:rPr>
        <w:t xml:space="preserve"> </w:t>
      </w:r>
      <w:r w:rsidR="00114BC1">
        <w:rPr>
          <w:rFonts w:asciiTheme="majorBidi" w:hAnsiTheme="majorBidi" w:cstheme="majorBidi"/>
        </w:rPr>
        <w:t xml:space="preserve">to emphasize </w:t>
      </w:r>
      <w:r w:rsidR="001E046E">
        <w:rPr>
          <w:rFonts w:asciiTheme="majorBidi" w:hAnsiTheme="majorBidi" w:cstheme="majorBidi"/>
        </w:rPr>
        <w:t>that</w:t>
      </w:r>
      <w:r w:rsidR="000A2C31">
        <w:rPr>
          <w:rFonts w:asciiTheme="majorBidi" w:hAnsiTheme="majorBidi" w:cstheme="majorBidi"/>
        </w:rPr>
        <w:t>—</w:t>
      </w:r>
      <w:r w:rsidR="001E046E">
        <w:rPr>
          <w:rFonts w:asciiTheme="majorBidi" w:hAnsiTheme="majorBidi" w:cstheme="majorBidi"/>
        </w:rPr>
        <w:t>contrary to the widely held western perception</w:t>
      </w:r>
      <w:r w:rsidR="000A2C31">
        <w:rPr>
          <w:rFonts w:asciiTheme="majorBidi" w:hAnsiTheme="majorBidi" w:cstheme="majorBidi"/>
        </w:rPr>
        <w:t>—</w:t>
      </w:r>
      <w:r w:rsidR="001E046E">
        <w:rPr>
          <w:rFonts w:asciiTheme="majorBidi" w:hAnsiTheme="majorBidi" w:cstheme="majorBidi"/>
        </w:rPr>
        <w:t xml:space="preserve">most of the heritage monuments destroyed by Da’esh were shrines sacred to rival Muslim groups, rather than </w:t>
      </w:r>
      <w:r w:rsidR="004D7490">
        <w:rPr>
          <w:rFonts w:asciiTheme="majorBidi" w:hAnsiTheme="majorBidi" w:cstheme="majorBidi"/>
        </w:rPr>
        <w:t xml:space="preserve">ancient or </w:t>
      </w:r>
      <w:r w:rsidR="001E046E">
        <w:rPr>
          <w:rFonts w:asciiTheme="majorBidi" w:hAnsiTheme="majorBidi" w:cstheme="majorBidi"/>
        </w:rPr>
        <w:t xml:space="preserve">pre-Islamic sites. I conclude by </w:t>
      </w:r>
      <w:r w:rsidR="000B4EC5">
        <w:rPr>
          <w:rFonts w:asciiTheme="majorBidi" w:hAnsiTheme="majorBidi" w:cstheme="majorBidi"/>
        </w:rPr>
        <w:t xml:space="preserve">noting </w:t>
      </w:r>
      <w:r w:rsidR="001E046E">
        <w:rPr>
          <w:rFonts w:asciiTheme="majorBidi" w:hAnsiTheme="majorBidi" w:cstheme="majorBidi"/>
        </w:rPr>
        <w:t>that Da’esh’s public destruction of heritage</w:t>
      </w:r>
      <w:r w:rsidR="005067A7">
        <w:rPr>
          <w:rFonts w:asciiTheme="majorBidi" w:hAnsiTheme="majorBidi" w:cstheme="majorBidi"/>
        </w:rPr>
        <w:t xml:space="preserve"> is simply the latest and </w:t>
      </w:r>
      <w:r w:rsidR="0085167F">
        <w:rPr>
          <w:rFonts w:asciiTheme="majorBidi" w:hAnsiTheme="majorBidi" w:cstheme="majorBidi"/>
        </w:rPr>
        <w:t>best</w:t>
      </w:r>
      <w:r w:rsidR="005067A7">
        <w:rPr>
          <w:rFonts w:asciiTheme="majorBidi" w:hAnsiTheme="majorBidi" w:cstheme="majorBidi"/>
        </w:rPr>
        <w:t xml:space="preserve"> publicized</w:t>
      </w:r>
      <w:r w:rsidR="001E046E">
        <w:rPr>
          <w:rFonts w:asciiTheme="majorBidi" w:hAnsiTheme="majorBidi" w:cstheme="majorBidi"/>
        </w:rPr>
        <w:t xml:space="preserve"> </w:t>
      </w:r>
      <w:r w:rsidR="005067A7">
        <w:rPr>
          <w:rFonts w:asciiTheme="majorBidi" w:hAnsiTheme="majorBidi" w:cstheme="majorBidi"/>
        </w:rPr>
        <w:t xml:space="preserve">exemplar of </w:t>
      </w:r>
      <w:r w:rsidR="003A2E64">
        <w:rPr>
          <w:rFonts w:asciiTheme="majorBidi" w:hAnsiTheme="majorBidi" w:cstheme="majorBidi"/>
        </w:rPr>
        <w:t>a</w:t>
      </w:r>
      <w:r w:rsidR="00850F4E">
        <w:rPr>
          <w:rFonts w:asciiTheme="majorBidi" w:hAnsiTheme="majorBidi" w:cstheme="majorBidi"/>
        </w:rPr>
        <w:t xml:space="preserve"> deep </w:t>
      </w:r>
      <w:r w:rsidR="005067A7">
        <w:rPr>
          <w:rFonts w:asciiTheme="majorBidi" w:hAnsiTheme="majorBidi" w:cstheme="majorBidi"/>
        </w:rPr>
        <w:t>historical pattern in which the era</w:t>
      </w:r>
      <w:r w:rsidR="003A2E64">
        <w:rPr>
          <w:rFonts w:asciiTheme="majorBidi" w:hAnsiTheme="majorBidi" w:cstheme="majorBidi"/>
        </w:rPr>
        <w:t>sure</w:t>
      </w:r>
      <w:r w:rsidR="005067A7">
        <w:rPr>
          <w:rFonts w:asciiTheme="majorBidi" w:hAnsiTheme="majorBidi" w:cstheme="majorBidi"/>
        </w:rPr>
        <w:t xml:space="preserve"> of culture is the necessary prelude </w:t>
      </w:r>
      <w:r w:rsidR="00747084">
        <w:rPr>
          <w:rFonts w:asciiTheme="majorBidi" w:hAnsiTheme="majorBidi" w:cstheme="majorBidi"/>
        </w:rPr>
        <w:t xml:space="preserve">or </w:t>
      </w:r>
      <w:r w:rsidR="005C2E63">
        <w:rPr>
          <w:rFonts w:asciiTheme="majorBidi" w:hAnsiTheme="majorBidi" w:cstheme="majorBidi"/>
        </w:rPr>
        <w:t xml:space="preserve">accompaniment </w:t>
      </w:r>
      <w:r w:rsidR="005067A7">
        <w:rPr>
          <w:rFonts w:asciiTheme="majorBidi" w:hAnsiTheme="majorBidi" w:cstheme="majorBidi"/>
        </w:rPr>
        <w:t>to the eradication of people.</w:t>
      </w:r>
      <w:r w:rsidR="000B4EC5">
        <w:rPr>
          <w:rFonts w:asciiTheme="majorBidi" w:hAnsiTheme="majorBidi" w:cstheme="majorBidi"/>
        </w:rPr>
        <w:t xml:space="preserve"> With the advent of </w:t>
      </w:r>
      <w:r w:rsidR="00F70ED9">
        <w:rPr>
          <w:rFonts w:asciiTheme="majorBidi" w:hAnsiTheme="majorBidi" w:cstheme="majorBidi"/>
        </w:rPr>
        <w:t>Internet</w:t>
      </w:r>
      <w:r w:rsidR="000B4EC5">
        <w:rPr>
          <w:rFonts w:asciiTheme="majorBidi" w:hAnsiTheme="majorBidi" w:cstheme="majorBidi"/>
        </w:rPr>
        <w:t>-based performative destruction</w:t>
      </w:r>
      <w:r w:rsidR="00C449D2">
        <w:rPr>
          <w:rFonts w:asciiTheme="majorBidi" w:hAnsiTheme="majorBidi" w:cstheme="majorBidi"/>
        </w:rPr>
        <w:t xml:space="preserve"> and viral violence</w:t>
      </w:r>
      <w:r w:rsidR="000B4EC5">
        <w:rPr>
          <w:rFonts w:asciiTheme="majorBidi" w:hAnsiTheme="majorBidi" w:cstheme="majorBidi"/>
        </w:rPr>
        <w:t>, Da’esh has moved genocide and heritage destruction into new and uncharted terrain.</w:t>
      </w:r>
    </w:p>
    <w:p w14:paraId="0C5C8EBE" w14:textId="77777777" w:rsidR="00E20921" w:rsidRDefault="00E20921" w:rsidP="00F4698F">
      <w:pPr>
        <w:spacing w:line="480" w:lineRule="auto"/>
        <w:rPr>
          <w:rFonts w:asciiTheme="majorBidi" w:hAnsiTheme="majorBidi" w:cstheme="majorBidi"/>
        </w:rPr>
      </w:pPr>
    </w:p>
    <w:p w14:paraId="68256C8B" w14:textId="0C5F50FE" w:rsidR="005067A7" w:rsidRDefault="0004406D" w:rsidP="00E266A7">
      <w:pPr>
        <w:pStyle w:val="Heading2"/>
      </w:pPr>
      <w:r>
        <w:t xml:space="preserve">Da’esh’s </w:t>
      </w:r>
      <w:r w:rsidR="008B4BA7">
        <w:t>I</w:t>
      </w:r>
      <w:r w:rsidR="005067A7">
        <w:t xml:space="preserve">deological </w:t>
      </w:r>
      <w:r w:rsidR="008B4BA7">
        <w:t>R</w:t>
      </w:r>
      <w:r w:rsidR="005067A7">
        <w:t xml:space="preserve">oots </w:t>
      </w:r>
    </w:p>
    <w:p w14:paraId="1B614185" w14:textId="0D90BFDB" w:rsidR="00022F21" w:rsidRDefault="00085664" w:rsidP="00F4698F">
      <w:pPr>
        <w:spacing w:line="480" w:lineRule="auto"/>
        <w:rPr>
          <w:rFonts w:asciiTheme="majorBidi" w:hAnsiTheme="majorBidi" w:cstheme="majorBidi"/>
        </w:rPr>
      </w:pPr>
      <w:r w:rsidRPr="003C31B9">
        <w:rPr>
          <w:rFonts w:asciiTheme="majorBidi" w:hAnsiTheme="majorBidi" w:cstheme="majorBidi"/>
        </w:rPr>
        <w:t>“Da’</w:t>
      </w:r>
      <w:r w:rsidR="00764870">
        <w:rPr>
          <w:rFonts w:asciiTheme="majorBidi" w:hAnsiTheme="majorBidi" w:cstheme="majorBidi"/>
        </w:rPr>
        <w:t>e</w:t>
      </w:r>
      <w:r w:rsidRPr="003C31B9">
        <w:rPr>
          <w:rFonts w:asciiTheme="majorBidi" w:hAnsiTheme="majorBidi" w:cstheme="majorBidi"/>
        </w:rPr>
        <w:t>sh” is the Arabic acronym for “al-Dawla al-Islāmiyya fī’l ʿIrāq wa’l Shām</w:t>
      </w:r>
      <w:r w:rsidR="00B535B5">
        <w:rPr>
          <w:rFonts w:asciiTheme="majorBidi" w:hAnsiTheme="majorBidi" w:cstheme="majorBidi"/>
        </w:rPr>
        <w:t>”</w:t>
      </w:r>
      <w:r w:rsidRPr="003C31B9">
        <w:rPr>
          <w:rFonts w:asciiTheme="majorBidi" w:hAnsiTheme="majorBidi" w:cstheme="majorBidi"/>
        </w:rPr>
        <w:t xml:space="preserve"> </w:t>
      </w:r>
      <w:r w:rsidR="00E30885">
        <w:rPr>
          <w:rFonts w:asciiTheme="majorBidi" w:hAnsiTheme="majorBidi" w:cstheme="majorBidi"/>
        </w:rPr>
        <w:t>(</w:t>
      </w:r>
      <w:r w:rsidRPr="003C31B9">
        <w:rPr>
          <w:rFonts w:asciiTheme="majorBidi" w:hAnsiTheme="majorBidi" w:cstheme="majorBidi"/>
        </w:rPr>
        <w:t>the Islamic State in Iraq and Syria</w:t>
      </w:r>
      <w:r w:rsidR="00E30885">
        <w:rPr>
          <w:rFonts w:asciiTheme="majorBidi" w:hAnsiTheme="majorBidi" w:cstheme="majorBidi"/>
        </w:rPr>
        <w:t>)</w:t>
      </w:r>
      <w:r w:rsidR="00B535B5">
        <w:rPr>
          <w:rFonts w:asciiTheme="majorBidi" w:hAnsiTheme="majorBidi" w:cstheme="majorBidi"/>
        </w:rPr>
        <w:t>.</w:t>
      </w:r>
      <w:r w:rsidRPr="003C31B9">
        <w:rPr>
          <w:rFonts w:asciiTheme="majorBidi" w:hAnsiTheme="majorBidi" w:cstheme="majorBidi"/>
        </w:rPr>
        <w:t xml:space="preserve"> </w:t>
      </w:r>
      <w:r w:rsidR="00EC5C07">
        <w:rPr>
          <w:rFonts w:asciiTheme="majorBidi" w:hAnsiTheme="majorBidi" w:cstheme="majorBidi"/>
        </w:rPr>
        <w:t>F</w:t>
      </w:r>
      <w:r w:rsidRPr="003C31B9">
        <w:rPr>
          <w:rFonts w:asciiTheme="majorBidi" w:hAnsiTheme="majorBidi" w:cstheme="majorBidi"/>
        </w:rPr>
        <w:t xml:space="preserve">ounded in 1999 by Abu Mussaf al-Zarkawi, the organization participated in the insurgency against the US-led occupation of Iraq in 2003. After splitting from </w:t>
      </w:r>
      <w:r w:rsidR="003A58DE" w:rsidRPr="003C31B9">
        <w:rPr>
          <w:rFonts w:asciiTheme="majorBidi" w:hAnsiTheme="majorBidi" w:cstheme="majorBidi"/>
        </w:rPr>
        <w:t>al-Qaeda</w:t>
      </w:r>
      <w:r w:rsidR="003A58DE">
        <w:rPr>
          <w:rFonts w:asciiTheme="majorBidi" w:hAnsiTheme="majorBidi" w:cstheme="majorBidi"/>
        </w:rPr>
        <w:t>,</w:t>
      </w:r>
      <w:r w:rsidR="003A58DE" w:rsidRPr="003C31B9">
        <w:rPr>
          <w:rFonts w:asciiTheme="majorBidi" w:hAnsiTheme="majorBidi" w:cstheme="majorBidi"/>
        </w:rPr>
        <w:t xml:space="preserve"> </w:t>
      </w:r>
      <w:r w:rsidRPr="003C31B9">
        <w:rPr>
          <w:rFonts w:asciiTheme="majorBidi" w:hAnsiTheme="majorBidi" w:cstheme="majorBidi"/>
        </w:rPr>
        <w:t>its parent group</w:t>
      </w:r>
      <w:r w:rsidR="003A58DE">
        <w:rPr>
          <w:rFonts w:asciiTheme="majorBidi" w:hAnsiTheme="majorBidi" w:cstheme="majorBidi"/>
        </w:rPr>
        <w:t>,</w:t>
      </w:r>
      <w:r w:rsidRPr="003C31B9">
        <w:rPr>
          <w:rFonts w:asciiTheme="majorBidi" w:hAnsiTheme="majorBidi" w:cstheme="majorBidi"/>
        </w:rPr>
        <w:t xml:space="preserve"> and changing its leadership and name, </w:t>
      </w:r>
      <w:r w:rsidR="008E415A">
        <w:rPr>
          <w:rFonts w:asciiTheme="majorBidi" w:hAnsiTheme="majorBidi" w:cstheme="majorBidi"/>
        </w:rPr>
        <w:t>Da’esh</w:t>
      </w:r>
      <w:r w:rsidRPr="003C31B9">
        <w:rPr>
          <w:rFonts w:asciiTheme="majorBidi" w:hAnsiTheme="majorBidi" w:cstheme="majorBidi"/>
        </w:rPr>
        <w:t xml:space="preserve"> emerged as a major military, political, and ideological force</w:t>
      </w:r>
      <w:r w:rsidR="00AF29D4">
        <w:rPr>
          <w:rFonts w:asciiTheme="majorBidi" w:hAnsiTheme="majorBidi" w:cstheme="majorBidi"/>
        </w:rPr>
        <w:t>,</w:t>
      </w:r>
      <w:r w:rsidRPr="003C31B9">
        <w:rPr>
          <w:rFonts w:asciiTheme="majorBidi" w:hAnsiTheme="majorBidi" w:cstheme="majorBidi"/>
        </w:rPr>
        <w:t xml:space="preserve"> first in Iraq and then in Syria after the outbreak of the </w:t>
      </w:r>
      <w:r w:rsidR="00333CB6">
        <w:rPr>
          <w:rFonts w:asciiTheme="majorBidi" w:hAnsiTheme="majorBidi" w:cstheme="majorBidi"/>
        </w:rPr>
        <w:t xml:space="preserve">latter’s </w:t>
      </w:r>
      <w:r w:rsidRPr="003C31B9">
        <w:rPr>
          <w:rFonts w:asciiTheme="majorBidi" w:hAnsiTheme="majorBidi" w:cstheme="majorBidi"/>
        </w:rPr>
        <w:t xml:space="preserve">civil war </w:t>
      </w:r>
      <w:r w:rsidR="00AF29D4">
        <w:rPr>
          <w:rFonts w:asciiTheme="majorBidi" w:hAnsiTheme="majorBidi" w:cstheme="majorBidi"/>
        </w:rPr>
        <w:t xml:space="preserve">in </w:t>
      </w:r>
      <w:r w:rsidRPr="003C31B9">
        <w:rPr>
          <w:rFonts w:asciiTheme="majorBidi" w:hAnsiTheme="majorBidi" w:cstheme="majorBidi"/>
        </w:rPr>
        <w:t>2011.</w:t>
      </w:r>
      <w:r w:rsidR="008B098E">
        <w:rPr>
          <w:rFonts w:asciiTheme="majorBidi" w:hAnsiTheme="majorBidi" w:cstheme="majorBidi"/>
        </w:rPr>
        <w:t xml:space="preserve"> </w:t>
      </w:r>
      <w:r w:rsidRPr="003C31B9">
        <w:rPr>
          <w:rFonts w:asciiTheme="majorBidi" w:hAnsiTheme="majorBidi" w:cstheme="majorBidi"/>
        </w:rPr>
        <w:t xml:space="preserve">In 2014, </w:t>
      </w:r>
      <w:r w:rsidR="00EC5C07">
        <w:rPr>
          <w:rFonts w:asciiTheme="majorBidi" w:hAnsiTheme="majorBidi" w:cstheme="majorBidi"/>
        </w:rPr>
        <w:t>Da’esh</w:t>
      </w:r>
      <w:r w:rsidR="00CA4755">
        <w:rPr>
          <w:rFonts w:asciiTheme="majorBidi" w:hAnsiTheme="majorBidi" w:cstheme="majorBidi"/>
        </w:rPr>
        <w:t>’s</w:t>
      </w:r>
      <w:r w:rsidR="00EC5C07">
        <w:rPr>
          <w:rFonts w:asciiTheme="majorBidi" w:hAnsiTheme="majorBidi" w:cstheme="majorBidi"/>
        </w:rPr>
        <w:t xml:space="preserve"> </w:t>
      </w:r>
      <w:r w:rsidRPr="003C31B9">
        <w:rPr>
          <w:rFonts w:asciiTheme="majorBidi" w:hAnsiTheme="majorBidi" w:cstheme="majorBidi"/>
        </w:rPr>
        <w:t>leader, Abu Bakr al-Baghdadi, declared the establishment of a caliphate as a theocratic polity dedicated to restoring the values of the original “rightly guided” caliphs</w:t>
      </w:r>
      <w:r>
        <w:rPr>
          <w:rFonts w:asciiTheme="majorBidi" w:hAnsiTheme="majorBidi" w:cstheme="majorBidi"/>
        </w:rPr>
        <w:t xml:space="preserve"> in the seventh </w:t>
      </w:r>
      <w:r w:rsidRPr="003C31B9">
        <w:rPr>
          <w:rFonts w:asciiTheme="majorBidi" w:hAnsiTheme="majorBidi" w:cstheme="majorBidi"/>
        </w:rPr>
        <w:t>century CE.</w:t>
      </w:r>
      <w:r>
        <w:rPr>
          <w:rFonts w:asciiTheme="majorBidi" w:hAnsiTheme="majorBidi" w:cstheme="majorBidi"/>
        </w:rPr>
        <w:t xml:space="preserve"> </w:t>
      </w:r>
    </w:p>
    <w:p w14:paraId="34DB544A" w14:textId="56B0F562" w:rsidR="001F3B33" w:rsidRPr="003C31B9" w:rsidRDefault="00085664" w:rsidP="00F4698F">
      <w:pPr>
        <w:spacing w:line="480" w:lineRule="auto"/>
        <w:ind w:firstLine="720"/>
        <w:rPr>
          <w:rFonts w:asciiTheme="majorBidi" w:hAnsiTheme="majorBidi" w:cstheme="majorBidi"/>
        </w:rPr>
      </w:pPr>
      <w:r w:rsidRPr="003C31B9">
        <w:rPr>
          <w:rFonts w:asciiTheme="majorBidi" w:hAnsiTheme="majorBidi" w:cstheme="majorBidi"/>
        </w:rPr>
        <w:t xml:space="preserve">By December 2015, </w:t>
      </w:r>
      <w:r w:rsidR="008E415A">
        <w:rPr>
          <w:rFonts w:asciiTheme="majorBidi" w:hAnsiTheme="majorBidi" w:cstheme="majorBidi"/>
        </w:rPr>
        <w:t>Da’esh</w:t>
      </w:r>
      <w:r w:rsidRPr="003C31B9">
        <w:rPr>
          <w:rFonts w:asciiTheme="majorBidi" w:hAnsiTheme="majorBidi" w:cstheme="majorBidi"/>
        </w:rPr>
        <w:t xml:space="preserve"> had conquered a vast area </w:t>
      </w:r>
      <w:r w:rsidR="00EC5C07">
        <w:rPr>
          <w:rFonts w:asciiTheme="majorBidi" w:hAnsiTheme="majorBidi" w:cstheme="majorBidi"/>
        </w:rPr>
        <w:t xml:space="preserve">across northern </w:t>
      </w:r>
      <w:r w:rsidRPr="003C31B9">
        <w:rPr>
          <w:rFonts w:asciiTheme="majorBidi" w:hAnsiTheme="majorBidi" w:cstheme="majorBidi"/>
        </w:rPr>
        <w:t xml:space="preserve">Syria </w:t>
      </w:r>
      <w:r w:rsidR="00EC5C07">
        <w:rPr>
          <w:rFonts w:asciiTheme="majorBidi" w:hAnsiTheme="majorBidi" w:cstheme="majorBidi"/>
        </w:rPr>
        <w:t>and</w:t>
      </w:r>
      <w:r w:rsidRPr="003C31B9">
        <w:rPr>
          <w:rFonts w:asciiTheme="majorBidi" w:hAnsiTheme="majorBidi" w:cstheme="majorBidi"/>
        </w:rPr>
        <w:t xml:space="preserve"> Iraq</w:t>
      </w:r>
      <w:r w:rsidR="00211C95">
        <w:rPr>
          <w:rFonts w:asciiTheme="majorBidi" w:hAnsiTheme="majorBidi" w:cstheme="majorBidi"/>
        </w:rPr>
        <w:t>.</w:t>
      </w:r>
      <w:r w:rsidRPr="003C31B9">
        <w:rPr>
          <w:rFonts w:asciiTheme="majorBidi" w:hAnsiTheme="majorBidi" w:cstheme="majorBidi"/>
        </w:rPr>
        <w:t xml:space="preserve"> </w:t>
      </w:r>
      <w:r w:rsidR="00211C95">
        <w:rPr>
          <w:rFonts w:asciiTheme="majorBidi" w:hAnsiTheme="majorBidi" w:cstheme="majorBidi"/>
        </w:rPr>
        <w:t xml:space="preserve">At its peak, Da’esh </w:t>
      </w:r>
      <w:r w:rsidRPr="003C31B9">
        <w:rPr>
          <w:rFonts w:asciiTheme="majorBidi" w:hAnsiTheme="majorBidi" w:cstheme="majorBidi"/>
        </w:rPr>
        <w:t>controll</w:t>
      </w:r>
      <w:r w:rsidR="00211C95">
        <w:rPr>
          <w:rFonts w:asciiTheme="majorBidi" w:hAnsiTheme="majorBidi" w:cstheme="majorBidi"/>
        </w:rPr>
        <w:t>ed</w:t>
      </w:r>
      <w:r w:rsidRPr="003C31B9">
        <w:rPr>
          <w:rFonts w:asciiTheme="majorBidi" w:hAnsiTheme="majorBidi" w:cstheme="majorBidi"/>
        </w:rPr>
        <w:t xml:space="preserve"> an estimated </w:t>
      </w:r>
      <w:r>
        <w:rPr>
          <w:rFonts w:asciiTheme="majorBidi" w:hAnsiTheme="majorBidi" w:cstheme="majorBidi"/>
        </w:rPr>
        <w:t>eight</w:t>
      </w:r>
      <w:r w:rsidRPr="003C31B9">
        <w:rPr>
          <w:rFonts w:asciiTheme="majorBidi" w:hAnsiTheme="majorBidi" w:cstheme="majorBidi"/>
        </w:rPr>
        <w:t xml:space="preserve"> to </w:t>
      </w:r>
      <w:r>
        <w:rPr>
          <w:rFonts w:asciiTheme="majorBidi" w:hAnsiTheme="majorBidi" w:cstheme="majorBidi"/>
        </w:rPr>
        <w:t>twelve</w:t>
      </w:r>
      <w:r w:rsidRPr="003C31B9">
        <w:rPr>
          <w:rFonts w:asciiTheme="majorBidi" w:hAnsiTheme="majorBidi" w:cstheme="majorBidi"/>
        </w:rPr>
        <w:t> </w:t>
      </w:r>
      <w:r>
        <w:rPr>
          <w:rFonts w:asciiTheme="majorBidi" w:hAnsiTheme="majorBidi" w:cstheme="majorBidi"/>
        </w:rPr>
        <w:t>mi</w:t>
      </w:r>
      <w:r w:rsidR="002718AE" w:rsidRPr="003C31B9">
        <w:rPr>
          <w:rFonts w:asciiTheme="majorBidi" w:hAnsiTheme="majorBidi" w:cstheme="majorBidi"/>
        </w:rPr>
        <w:t xml:space="preserve">llion people </w:t>
      </w:r>
      <w:r w:rsidR="00D253DD" w:rsidRPr="003C31B9">
        <w:rPr>
          <w:rFonts w:asciiTheme="majorBidi" w:hAnsiTheme="majorBidi" w:cstheme="majorBidi"/>
        </w:rPr>
        <w:t xml:space="preserve">in a caliphate </w:t>
      </w:r>
      <w:r w:rsidR="00211C95">
        <w:rPr>
          <w:rFonts w:asciiTheme="majorBidi" w:hAnsiTheme="majorBidi" w:cstheme="majorBidi"/>
        </w:rPr>
        <w:t>that</w:t>
      </w:r>
      <w:r w:rsidR="002718AE" w:rsidRPr="003C31B9">
        <w:rPr>
          <w:rFonts w:asciiTheme="majorBidi" w:hAnsiTheme="majorBidi" w:cstheme="majorBidi"/>
        </w:rPr>
        <w:t xml:space="preserve"> enforced its interpretation of </w:t>
      </w:r>
      <w:r w:rsidR="00D253DD" w:rsidRPr="003C31B9">
        <w:rPr>
          <w:rFonts w:asciiTheme="majorBidi" w:hAnsiTheme="majorBidi" w:cstheme="majorBidi"/>
        </w:rPr>
        <w:t xml:space="preserve">Islamic law </w:t>
      </w:r>
      <w:r w:rsidR="001A3422" w:rsidRPr="003C31B9">
        <w:rPr>
          <w:rFonts w:asciiTheme="majorBidi" w:hAnsiTheme="majorBidi" w:cstheme="majorBidi"/>
        </w:rPr>
        <w:t>until its destruction as a territorial entity in 2019</w:t>
      </w:r>
      <w:r w:rsidR="00D253DD" w:rsidRPr="003C31B9">
        <w:rPr>
          <w:rFonts w:asciiTheme="majorBidi" w:hAnsiTheme="majorBidi" w:cstheme="majorBidi"/>
        </w:rPr>
        <w:t xml:space="preserve">. </w:t>
      </w:r>
      <w:r w:rsidR="003D60AA">
        <w:rPr>
          <w:rFonts w:asciiTheme="majorBidi" w:hAnsiTheme="majorBidi" w:cstheme="majorBidi"/>
        </w:rPr>
        <w:t>Da’esh</w:t>
      </w:r>
      <w:r w:rsidR="000A3E7E" w:rsidRPr="003C31B9">
        <w:rPr>
          <w:rFonts w:asciiTheme="majorBidi" w:hAnsiTheme="majorBidi" w:cstheme="majorBidi"/>
        </w:rPr>
        <w:t xml:space="preserve"> differed </w:t>
      </w:r>
      <w:r w:rsidR="001E498F" w:rsidRPr="003C31B9">
        <w:rPr>
          <w:rFonts w:asciiTheme="majorBidi" w:hAnsiTheme="majorBidi" w:cstheme="majorBidi"/>
        </w:rPr>
        <w:t xml:space="preserve">radically </w:t>
      </w:r>
      <w:r w:rsidR="000A3E7E" w:rsidRPr="003C31B9">
        <w:rPr>
          <w:rFonts w:asciiTheme="majorBidi" w:hAnsiTheme="majorBidi" w:cstheme="majorBidi"/>
        </w:rPr>
        <w:t xml:space="preserve">from other groups in </w:t>
      </w:r>
      <w:r w:rsidR="001E498F" w:rsidRPr="003C31B9">
        <w:rPr>
          <w:rFonts w:asciiTheme="majorBidi" w:hAnsiTheme="majorBidi" w:cstheme="majorBidi"/>
        </w:rPr>
        <w:t xml:space="preserve">its </w:t>
      </w:r>
      <w:r w:rsidR="000A3E7E" w:rsidRPr="003C31B9">
        <w:rPr>
          <w:rFonts w:asciiTheme="majorBidi" w:hAnsiTheme="majorBidi" w:cstheme="majorBidi"/>
        </w:rPr>
        <w:t xml:space="preserve">revolutionary </w:t>
      </w:r>
      <w:r w:rsidR="00677C60">
        <w:rPr>
          <w:rFonts w:asciiTheme="majorBidi" w:hAnsiTheme="majorBidi" w:cstheme="majorBidi"/>
        </w:rPr>
        <w:t>politico-religious</w:t>
      </w:r>
      <w:r w:rsidR="000A3E7E" w:rsidRPr="003C31B9">
        <w:rPr>
          <w:rFonts w:asciiTheme="majorBidi" w:hAnsiTheme="majorBidi" w:cstheme="majorBidi"/>
        </w:rPr>
        <w:t xml:space="preserve"> agenda</w:t>
      </w:r>
      <w:r w:rsidR="001E498F" w:rsidRPr="003C31B9">
        <w:rPr>
          <w:rFonts w:asciiTheme="majorBidi" w:hAnsiTheme="majorBidi" w:cstheme="majorBidi"/>
        </w:rPr>
        <w:t xml:space="preserve"> of </w:t>
      </w:r>
      <w:r w:rsidR="001E498F" w:rsidRPr="003C31B9">
        <w:rPr>
          <w:rFonts w:asciiTheme="majorBidi" w:hAnsiTheme="majorBidi" w:cstheme="majorBidi"/>
        </w:rPr>
        <w:lastRenderedPageBreak/>
        <w:t>restoring the caliphate,</w:t>
      </w:r>
      <w:r w:rsidR="00565463">
        <w:rPr>
          <w:rFonts w:asciiTheme="majorBidi" w:hAnsiTheme="majorBidi" w:cstheme="majorBidi"/>
        </w:rPr>
        <w:t xml:space="preserve"> in</w:t>
      </w:r>
      <w:r w:rsidR="001E498F" w:rsidRPr="003C31B9">
        <w:rPr>
          <w:rFonts w:asciiTheme="majorBidi" w:hAnsiTheme="majorBidi" w:cstheme="majorBidi"/>
        </w:rPr>
        <w:t xml:space="preserve"> </w:t>
      </w:r>
      <w:r w:rsidR="003066C4">
        <w:rPr>
          <w:rFonts w:asciiTheme="majorBidi" w:hAnsiTheme="majorBidi" w:cstheme="majorBidi"/>
        </w:rPr>
        <w:t>the</w:t>
      </w:r>
      <w:r w:rsidR="001E498F" w:rsidRPr="003C31B9">
        <w:rPr>
          <w:rFonts w:asciiTheme="majorBidi" w:hAnsiTheme="majorBidi" w:cstheme="majorBidi"/>
        </w:rPr>
        <w:t xml:space="preserve"> </w:t>
      </w:r>
      <w:r w:rsidR="003066C4">
        <w:rPr>
          <w:rFonts w:asciiTheme="majorBidi" w:hAnsiTheme="majorBidi" w:cstheme="majorBidi"/>
        </w:rPr>
        <w:t xml:space="preserve">enemies it </w:t>
      </w:r>
      <w:r w:rsidR="001E498F" w:rsidRPr="003C31B9">
        <w:rPr>
          <w:rFonts w:asciiTheme="majorBidi" w:hAnsiTheme="majorBidi" w:cstheme="majorBidi"/>
        </w:rPr>
        <w:t>targeted, and</w:t>
      </w:r>
      <w:r w:rsidR="003066C4">
        <w:rPr>
          <w:rFonts w:asciiTheme="majorBidi" w:hAnsiTheme="majorBidi" w:cstheme="majorBidi"/>
        </w:rPr>
        <w:t xml:space="preserve"> in </w:t>
      </w:r>
      <w:r w:rsidR="001E498F" w:rsidRPr="003C31B9">
        <w:rPr>
          <w:rFonts w:asciiTheme="majorBidi" w:hAnsiTheme="majorBidi" w:cstheme="majorBidi"/>
        </w:rPr>
        <w:t xml:space="preserve">its unique focus on </w:t>
      </w:r>
      <w:r w:rsidR="003066C4">
        <w:rPr>
          <w:rFonts w:asciiTheme="majorBidi" w:hAnsiTheme="majorBidi" w:cstheme="majorBidi"/>
        </w:rPr>
        <w:t xml:space="preserve">the </w:t>
      </w:r>
      <w:r w:rsidR="001E498F" w:rsidRPr="003C31B9">
        <w:rPr>
          <w:rFonts w:asciiTheme="majorBidi" w:hAnsiTheme="majorBidi" w:cstheme="majorBidi"/>
        </w:rPr>
        <w:t>performative destruction of people and heritage</w:t>
      </w:r>
      <w:r w:rsidR="000A3E7E" w:rsidRPr="003C31B9">
        <w:rPr>
          <w:rFonts w:asciiTheme="majorBidi" w:hAnsiTheme="majorBidi" w:cstheme="majorBidi"/>
        </w:rPr>
        <w:t>.</w:t>
      </w:r>
      <w:r w:rsidR="008B098E">
        <w:rPr>
          <w:rFonts w:asciiTheme="majorBidi" w:hAnsiTheme="majorBidi" w:cstheme="majorBidi"/>
        </w:rPr>
        <w:t xml:space="preserve"> </w:t>
      </w:r>
      <w:r w:rsidR="00DB4F74">
        <w:rPr>
          <w:rFonts w:asciiTheme="majorBidi" w:hAnsiTheme="majorBidi" w:cstheme="majorBidi"/>
        </w:rPr>
        <w:t>T</w:t>
      </w:r>
      <w:r w:rsidR="00D253DD" w:rsidRPr="003C31B9">
        <w:rPr>
          <w:rFonts w:asciiTheme="majorBidi" w:hAnsiTheme="majorBidi" w:cstheme="majorBidi"/>
        </w:rPr>
        <w:t>h</w:t>
      </w:r>
      <w:r w:rsidR="00B60F6F" w:rsidRPr="003C31B9">
        <w:rPr>
          <w:rFonts w:asciiTheme="majorBidi" w:hAnsiTheme="majorBidi" w:cstheme="majorBidi"/>
        </w:rPr>
        <w:t>is</w:t>
      </w:r>
      <w:r w:rsidR="00D253DD" w:rsidRPr="003C31B9">
        <w:rPr>
          <w:rFonts w:asciiTheme="majorBidi" w:hAnsiTheme="majorBidi" w:cstheme="majorBidi"/>
        </w:rPr>
        <w:t xml:space="preserve"> core </w:t>
      </w:r>
      <w:r w:rsidR="001F3B33" w:rsidRPr="003C31B9">
        <w:rPr>
          <w:rFonts w:asciiTheme="majorBidi" w:hAnsiTheme="majorBidi" w:cstheme="majorBidi"/>
        </w:rPr>
        <w:t>strategy</w:t>
      </w:r>
      <w:r w:rsidR="00D253DD" w:rsidRPr="003C31B9">
        <w:rPr>
          <w:rFonts w:asciiTheme="majorBidi" w:hAnsiTheme="majorBidi" w:cstheme="majorBidi"/>
        </w:rPr>
        <w:t xml:space="preserve"> of </w:t>
      </w:r>
      <w:r w:rsidR="003D60AA">
        <w:rPr>
          <w:rFonts w:asciiTheme="majorBidi" w:hAnsiTheme="majorBidi" w:cstheme="majorBidi"/>
        </w:rPr>
        <w:t>Da’esh</w:t>
      </w:r>
      <w:r w:rsidR="00D253DD" w:rsidRPr="003C31B9">
        <w:rPr>
          <w:rFonts w:asciiTheme="majorBidi" w:hAnsiTheme="majorBidi" w:cstheme="majorBidi"/>
        </w:rPr>
        <w:t xml:space="preserve"> fused politics</w:t>
      </w:r>
      <w:r w:rsidR="00AA072A" w:rsidRPr="003C31B9">
        <w:rPr>
          <w:rFonts w:asciiTheme="majorBidi" w:hAnsiTheme="majorBidi" w:cstheme="majorBidi"/>
        </w:rPr>
        <w:t>,</w:t>
      </w:r>
      <w:r w:rsidR="00D253DD" w:rsidRPr="003C31B9">
        <w:rPr>
          <w:rFonts w:asciiTheme="majorBidi" w:hAnsiTheme="majorBidi" w:cstheme="majorBidi"/>
        </w:rPr>
        <w:t xml:space="preserve"> Islamic fundamentalism</w:t>
      </w:r>
      <w:r w:rsidR="00D33373">
        <w:rPr>
          <w:rFonts w:asciiTheme="majorBidi" w:hAnsiTheme="majorBidi" w:cstheme="majorBidi"/>
        </w:rPr>
        <w:t xml:space="preserve"> espousing </w:t>
      </w:r>
      <w:r w:rsidR="00565463">
        <w:rPr>
          <w:rFonts w:asciiTheme="majorBidi" w:hAnsiTheme="majorBidi" w:cstheme="majorBidi"/>
        </w:rPr>
        <w:t>j</w:t>
      </w:r>
      <w:r w:rsidR="00D33373">
        <w:rPr>
          <w:rFonts w:asciiTheme="majorBidi" w:hAnsiTheme="majorBidi" w:cstheme="majorBidi"/>
        </w:rPr>
        <w:t>ihad (religiously sanctioned war against unbelievers)</w:t>
      </w:r>
      <w:r w:rsidR="00AA072A" w:rsidRPr="003C31B9">
        <w:rPr>
          <w:rFonts w:asciiTheme="majorBidi" w:hAnsiTheme="majorBidi" w:cstheme="majorBidi"/>
        </w:rPr>
        <w:t xml:space="preserve">, and </w:t>
      </w:r>
      <w:r w:rsidR="00A37B5A">
        <w:rPr>
          <w:rFonts w:asciiTheme="majorBidi" w:hAnsiTheme="majorBidi" w:cstheme="majorBidi"/>
        </w:rPr>
        <w:t xml:space="preserve">the </w:t>
      </w:r>
      <w:r w:rsidR="001F3B33" w:rsidRPr="003C31B9">
        <w:rPr>
          <w:rFonts w:asciiTheme="majorBidi" w:hAnsiTheme="majorBidi" w:cstheme="majorBidi"/>
        </w:rPr>
        <w:t xml:space="preserve">use of </w:t>
      </w:r>
      <w:r w:rsidR="00A37B5A">
        <w:rPr>
          <w:rFonts w:asciiTheme="majorBidi" w:hAnsiTheme="majorBidi" w:cstheme="majorBidi"/>
        </w:rPr>
        <w:t xml:space="preserve">the </w:t>
      </w:r>
      <w:r w:rsidR="00F70ED9">
        <w:rPr>
          <w:rFonts w:asciiTheme="majorBidi" w:hAnsiTheme="majorBidi" w:cstheme="majorBidi"/>
        </w:rPr>
        <w:t>Internet</w:t>
      </w:r>
      <w:r w:rsidR="00AA072A" w:rsidRPr="003C31B9">
        <w:rPr>
          <w:rFonts w:asciiTheme="majorBidi" w:hAnsiTheme="majorBidi" w:cstheme="majorBidi"/>
        </w:rPr>
        <w:t xml:space="preserve"> </w:t>
      </w:r>
      <w:r w:rsidR="00D253DD" w:rsidRPr="003C31B9">
        <w:rPr>
          <w:rFonts w:asciiTheme="majorBidi" w:hAnsiTheme="majorBidi" w:cstheme="majorBidi"/>
        </w:rPr>
        <w:t>in an unprecedented way</w:t>
      </w:r>
      <w:r w:rsidR="00DB4F74">
        <w:rPr>
          <w:rFonts w:asciiTheme="majorBidi" w:hAnsiTheme="majorBidi" w:cstheme="majorBidi"/>
        </w:rPr>
        <w:t xml:space="preserve"> </w:t>
      </w:r>
      <w:r w:rsidR="00DB4F74" w:rsidRPr="003C31B9">
        <w:rPr>
          <w:rFonts w:asciiTheme="majorBidi" w:hAnsiTheme="majorBidi" w:cstheme="majorBidi"/>
        </w:rPr>
        <w:t>as a weapon of war</w:t>
      </w:r>
      <w:r w:rsidR="000C3E14">
        <w:rPr>
          <w:rFonts w:asciiTheme="majorBidi" w:hAnsiTheme="majorBidi" w:cstheme="majorBidi"/>
        </w:rPr>
        <w:t xml:space="preserve"> and recruitment tool</w:t>
      </w:r>
      <w:r w:rsidR="00D253DD" w:rsidRPr="003C31B9">
        <w:rPr>
          <w:rFonts w:asciiTheme="majorBidi" w:hAnsiTheme="majorBidi" w:cstheme="majorBidi"/>
        </w:rPr>
        <w:t xml:space="preserve">. </w:t>
      </w:r>
    </w:p>
    <w:p w14:paraId="198120B4" w14:textId="267B24A0" w:rsidR="008B4BA7" w:rsidRDefault="001F3B33" w:rsidP="00F4698F">
      <w:pPr>
        <w:spacing w:line="480" w:lineRule="auto"/>
        <w:ind w:firstLine="720"/>
        <w:rPr>
          <w:rFonts w:asciiTheme="majorBidi" w:hAnsiTheme="majorBidi" w:cstheme="majorBidi"/>
        </w:rPr>
      </w:pPr>
      <w:r w:rsidRPr="003C31B9">
        <w:rPr>
          <w:rFonts w:asciiTheme="majorBidi" w:hAnsiTheme="majorBidi" w:cstheme="majorBidi"/>
        </w:rPr>
        <w:t>T</w:t>
      </w:r>
      <w:r w:rsidR="000D7B4A" w:rsidRPr="003C31B9">
        <w:rPr>
          <w:rFonts w:asciiTheme="majorBidi" w:hAnsiTheme="majorBidi" w:cstheme="majorBidi"/>
        </w:rPr>
        <w:t xml:space="preserve">he </w:t>
      </w:r>
      <w:r w:rsidR="00D253DD" w:rsidRPr="003C31B9">
        <w:rPr>
          <w:rFonts w:asciiTheme="majorBidi" w:hAnsiTheme="majorBidi" w:cstheme="majorBidi"/>
        </w:rPr>
        <w:t xml:space="preserve">political and military </w:t>
      </w:r>
      <w:r w:rsidR="000D7B4A" w:rsidRPr="003C31B9">
        <w:rPr>
          <w:rFonts w:asciiTheme="majorBidi" w:hAnsiTheme="majorBidi" w:cstheme="majorBidi"/>
        </w:rPr>
        <w:t xml:space="preserve">actions of </w:t>
      </w:r>
      <w:r w:rsidR="003D60AA">
        <w:rPr>
          <w:rFonts w:asciiTheme="majorBidi" w:hAnsiTheme="majorBidi" w:cstheme="majorBidi"/>
        </w:rPr>
        <w:t>Da’esh</w:t>
      </w:r>
      <w:r w:rsidR="003066C4">
        <w:rPr>
          <w:rFonts w:asciiTheme="majorBidi" w:hAnsiTheme="majorBidi" w:cstheme="majorBidi"/>
        </w:rPr>
        <w:t xml:space="preserve"> </w:t>
      </w:r>
      <w:r w:rsidR="000D7B4A" w:rsidRPr="003C31B9">
        <w:rPr>
          <w:rFonts w:asciiTheme="majorBidi" w:hAnsiTheme="majorBidi" w:cstheme="majorBidi"/>
        </w:rPr>
        <w:t>can</w:t>
      </w:r>
      <w:r w:rsidR="00D253DD" w:rsidRPr="003C31B9">
        <w:rPr>
          <w:rFonts w:asciiTheme="majorBidi" w:hAnsiTheme="majorBidi" w:cstheme="majorBidi"/>
        </w:rPr>
        <w:t xml:space="preserve"> only </w:t>
      </w:r>
      <w:r w:rsidR="000D7B4A" w:rsidRPr="003C31B9">
        <w:rPr>
          <w:rFonts w:asciiTheme="majorBidi" w:hAnsiTheme="majorBidi" w:cstheme="majorBidi"/>
        </w:rPr>
        <w:t xml:space="preserve">be understood </w:t>
      </w:r>
      <w:r w:rsidR="00D253DD" w:rsidRPr="003C31B9">
        <w:rPr>
          <w:rFonts w:asciiTheme="majorBidi" w:hAnsiTheme="majorBidi" w:cstheme="majorBidi"/>
        </w:rPr>
        <w:t>by</w:t>
      </w:r>
      <w:r w:rsidR="000D7B4A" w:rsidRPr="003C31B9">
        <w:rPr>
          <w:rFonts w:asciiTheme="majorBidi" w:hAnsiTheme="majorBidi" w:cstheme="majorBidi"/>
        </w:rPr>
        <w:t xml:space="preserve"> recognizing </w:t>
      </w:r>
      <w:r w:rsidR="00D253DD" w:rsidRPr="003C31B9">
        <w:rPr>
          <w:rFonts w:asciiTheme="majorBidi" w:hAnsiTheme="majorBidi" w:cstheme="majorBidi"/>
        </w:rPr>
        <w:t xml:space="preserve">the </w:t>
      </w:r>
      <w:r w:rsidR="00921AA5">
        <w:rPr>
          <w:rFonts w:asciiTheme="majorBidi" w:hAnsiTheme="majorBidi" w:cstheme="majorBidi"/>
        </w:rPr>
        <w:t xml:space="preserve">importance </w:t>
      </w:r>
      <w:r w:rsidR="00D253DD" w:rsidRPr="003C31B9">
        <w:rPr>
          <w:rFonts w:asciiTheme="majorBidi" w:hAnsiTheme="majorBidi" w:cstheme="majorBidi"/>
        </w:rPr>
        <w:t>of</w:t>
      </w:r>
      <w:r w:rsidR="000D7B4A" w:rsidRPr="003C31B9">
        <w:rPr>
          <w:rFonts w:asciiTheme="majorBidi" w:hAnsiTheme="majorBidi" w:cstheme="majorBidi"/>
        </w:rPr>
        <w:t xml:space="preserve"> </w:t>
      </w:r>
      <w:r w:rsidR="0023284F">
        <w:rPr>
          <w:rFonts w:asciiTheme="majorBidi" w:hAnsiTheme="majorBidi" w:cstheme="majorBidi"/>
        </w:rPr>
        <w:t>jihadi</w:t>
      </w:r>
      <w:r w:rsidR="000D7B4A" w:rsidRPr="003C31B9">
        <w:rPr>
          <w:rFonts w:asciiTheme="majorBidi" w:hAnsiTheme="majorBidi" w:cstheme="majorBidi"/>
        </w:rPr>
        <w:t xml:space="preserve"> </w:t>
      </w:r>
      <w:r w:rsidR="00C75C99" w:rsidRPr="003C31B9">
        <w:rPr>
          <w:rFonts w:asciiTheme="majorBidi" w:hAnsiTheme="majorBidi" w:cstheme="majorBidi"/>
        </w:rPr>
        <w:t>Salafi</w:t>
      </w:r>
      <w:r w:rsidR="000D7B4A" w:rsidRPr="003C31B9">
        <w:rPr>
          <w:rFonts w:asciiTheme="majorBidi" w:hAnsiTheme="majorBidi" w:cstheme="majorBidi"/>
        </w:rPr>
        <w:t xml:space="preserve">sm </w:t>
      </w:r>
      <w:r w:rsidR="00D253DD" w:rsidRPr="003C31B9">
        <w:rPr>
          <w:rFonts w:asciiTheme="majorBidi" w:hAnsiTheme="majorBidi" w:cstheme="majorBidi"/>
        </w:rPr>
        <w:t>as its core ideology.</w:t>
      </w:r>
      <w:r w:rsidR="0072398E" w:rsidRPr="003C31B9">
        <w:rPr>
          <w:rFonts w:asciiTheme="majorBidi" w:hAnsiTheme="majorBidi" w:cstheme="majorBidi"/>
        </w:rPr>
        <w:t xml:space="preserve"> </w:t>
      </w:r>
      <w:r w:rsidR="00F43B78" w:rsidRPr="003C31B9">
        <w:rPr>
          <w:rFonts w:asciiTheme="majorBidi" w:hAnsiTheme="majorBidi" w:cstheme="majorBidi"/>
        </w:rPr>
        <w:t xml:space="preserve">Salafism is a branch of Sunni Islam whose adherents </w:t>
      </w:r>
      <w:r w:rsidR="00435236" w:rsidRPr="003C31B9">
        <w:rPr>
          <w:rFonts w:asciiTheme="majorBidi" w:hAnsiTheme="majorBidi" w:cstheme="majorBidi"/>
        </w:rPr>
        <w:t>seek</w:t>
      </w:r>
      <w:r w:rsidR="00F43B78" w:rsidRPr="003C31B9">
        <w:rPr>
          <w:rFonts w:asciiTheme="majorBidi" w:hAnsiTheme="majorBidi" w:cstheme="majorBidi"/>
        </w:rPr>
        <w:t xml:space="preserve"> to emulate “the pious predecessors</w:t>
      </w:r>
      <w:r w:rsidR="00BA5842">
        <w:rPr>
          <w:rFonts w:asciiTheme="majorBidi" w:hAnsiTheme="majorBidi" w:cstheme="majorBidi"/>
        </w:rPr>
        <w:t>,</w:t>
      </w:r>
      <w:r w:rsidR="00F43B78" w:rsidRPr="003C31B9">
        <w:rPr>
          <w:rFonts w:asciiTheme="majorBidi" w:hAnsiTheme="majorBidi" w:cstheme="majorBidi"/>
        </w:rPr>
        <w:t>”</w:t>
      </w:r>
      <w:r w:rsidR="00F1041A" w:rsidRPr="003C31B9">
        <w:rPr>
          <w:rFonts w:asciiTheme="majorBidi" w:hAnsiTheme="majorBidi" w:cstheme="majorBidi"/>
        </w:rPr>
        <w:t xml:space="preserve"> </w:t>
      </w:r>
      <w:r w:rsidR="00F43B78" w:rsidRPr="003C31B9">
        <w:rPr>
          <w:rFonts w:asciiTheme="majorBidi" w:hAnsiTheme="majorBidi" w:cstheme="majorBidi"/>
        </w:rPr>
        <w:t>equated with the first Muslim</w:t>
      </w:r>
      <w:r w:rsidR="00435236" w:rsidRPr="003C31B9">
        <w:rPr>
          <w:rFonts w:asciiTheme="majorBidi" w:hAnsiTheme="majorBidi" w:cstheme="majorBidi"/>
        </w:rPr>
        <w:t xml:space="preserve"> communitie</w:t>
      </w:r>
      <w:r w:rsidR="00F43B78" w:rsidRPr="003C31B9">
        <w:rPr>
          <w:rFonts w:asciiTheme="majorBidi" w:hAnsiTheme="majorBidi" w:cstheme="majorBidi"/>
        </w:rPr>
        <w:t>s and the four “righteously guided</w:t>
      </w:r>
      <w:r w:rsidR="000A37ED">
        <w:rPr>
          <w:rFonts w:asciiTheme="majorBidi" w:hAnsiTheme="majorBidi" w:cstheme="majorBidi"/>
        </w:rPr>
        <w:t>”</w:t>
      </w:r>
      <w:r w:rsidR="00F43B78" w:rsidRPr="003C31B9">
        <w:rPr>
          <w:rFonts w:asciiTheme="majorBidi" w:hAnsiTheme="majorBidi" w:cstheme="majorBidi"/>
        </w:rPr>
        <w:t xml:space="preserve"> caliphs</w:t>
      </w:r>
      <w:r w:rsidR="007D0F2F">
        <w:rPr>
          <w:rFonts w:asciiTheme="majorBidi" w:hAnsiTheme="majorBidi" w:cstheme="majorBidi"/>
        </w:rPr>
        <w:t xml:space="preserve"> </w:t>
      </w:r>
      <w:r w:rsidR="00F1041A" w:rsidRPr="003C31B9">
        <w:rPr>
          <w:rFonts w:asciiTheme="majorBidi" w:hAnsiTheme="majorBidi" w:cstheme="majorBidi"/>
        </w:rPr>
        <w:t>who ruled from 632</w:t>
      </w:r>
      <w:r w:rsidR="000A2C31">
        <w:rPr>
          <w:rFonts w:asciiTheme="majorBidi" w:hAnsiTheme="majorBidi" w:cstheme="majorBidi"/>
        </w:rPr>
        <w:t>–</w:t>
      </w:r>
      <w:r w:rsidR="00F1041A" w:rsidRPr="003C31B9">
        <w:rPr>
          <w:rFonts w:asciiTheme="majorBidi" w:hAnsiTheme="majorBidi" w:cstheme="majorBidi"/>
        </w:rPr>
        <w:t xml:space="preserve">61 as </w:t>
      </w:r>
      <w:r w:rsidR="00F43B78" w:rsidRPr="003C31B9">
        <w:rPr>
          <w:rFonts w:asciiTheme="majorBidi" w:hAnsiTheme="majorBidi" w:cstheme="majorBidi"/>
        </w:rPr>
        <w:t xml:space="preserve">the </w:t>
      </w:r>
      <w:r w:rsidR="00FE546D">
        <w:rPr>
          <w:rFonts w:asciiTheme="majorBidi" w:hAnsiTheme="majorBidi" w:cstheme="majorBidi"/>
        </w:rPr>
        <w:t xml:space="preserve">earliest </w:t>
      </w:r>
      <w:r w:rsidR="00F1041A" w:rsidRPr="003C31B9">
        <w:rPr>
          <w:rFonts w:asciiTheme="majorBidi" w:hAnsiTheme="majorBidi" w:cstheme="majorBidi"/>
        </w:rPr>
        <w:t xml:space="preserve">successors to </w:t>
      </w:r>
      <w:r w:rsidR="00F43B78" w:rsidRPr="003C31B9">
        <w:rPr>
          <w:rFonts w:asciiTheme="majorBidi" w:hAnsiTheme="majorBidi" w:cstheme="majorBidi"/>
        </w:rPr>
        <w:t>the Prophet Muhammad</w:t>
      </w:r>
      <w:r w:rsidR="00F1041A" w:rsidRPr="003C31B9">
        <w:rPr>
          <w:rFonts w:asciiTheme="majorBidi" w:hAnsiTheme="majorBidi" w:cstheme="majorBidi"/>
        </w:rPr>
        <w:t>.</w:t>
      </w:r>
      <w:r w:rsidR="008B098E">
        <w:rPr>
          <w:rFonts w:asciiTheme="majorBidi" w:hAnsiTheme="majorBidi" w:cstheme="majorBidi"/>
        </w:rPr>
        <w:t xml:space="preserve"> </w:t>
      </w:r>
      <w:r w:rsidR="009115BA" w:rsidRPr="003C31B9">
        <w:rPr>
          <w:rFonts w:asciiTheme="majorBidi" w:hAnsiTheme="majorBidi" w:cstheme="majorBidi"/>
        </w:rPr>
        <w:t xml:space="preserve">Salifism encompasses several main ideological strands, united by </w:t>
      </w:r>
      <w:r w:rsidR="004C5237" w:rsidRPr="003C31B9">
        <w:rPr>
          <w:rFonts w:asciiTheme="majorBidi" w:hAnsiTheme="majorBidi" w:cstheme="majorBidi"/>
        </w:rPr>
        <w:t>a</w:t>
      </w:r>
      <w:r w:rsidR="009115BA" w:rsidRPr="003C31B9">
        <w:rPr>
          <w:rFonts w:asciiTheme="majorBidi" w:hAnsiTheme="majorBidi" w:cstheme="majorBidi"/>
        </w:rPr>
        <w:t xml:space="preserve"> core </w:t>
      </w:r>
      <w:r w:rsidR="004C5237" w:rsidRPr="003C31B9">
        <w:rPr>
          <w:rFonts w:asciiTheme="majorBidi" w:hAnsiTheme="majorBidi" w:cstheme="majorBidi"/>
        </w:rPr>
        <w:t xml:space="preserve">of </w:t>
      </w:r>
      <w:r w:rsidR="009115BA" w:rsidRPr="003C31B9">
        <w:rPr>
          <w:rFonts w:asciiTheme="majorBidi" w:hAnsiTheme="majorBidi" w:cstheme="majorBidi"/>
        </w:rPr>
        <w:t>shared beliefs</w:t>
      </w:r>
      <w:r w:rsidR="004B430C">
        <w:rPr>
          <w:rFonts w:asciiTheme="majorBidi" w:hAnsiTheme="majorBidi" w:cstheme="majorBidi"/>
        </w:rPr>
        <w:t>.</w:t>
      </w:r>
      <w:r w:rsidR="008B4BA7">
        <w:rPr>
          <w:rStyle w:val="EndnoteReference"/>
          <w:rFonts w:asciiTheme="majorBidi" w:hAnsiTheme="majorBidi" w:cstheme="majorBidi"/>
        </w:rPr>
        <w:endnoteReference w:id="1"/>
      </w:r>
      <w:r w:rsidR="008B4BA7">
        <w:rPr>
          <w:rFonts w:asciiTheme="majorBidi" w:hAnsiTheme="majorBidi" w:cstheme="majorBidi"/>
        </w:rPr>
        <w:t xml:space="preserve"> Salafis seek to</w:t>
      </w:r>
      <w:r w:rsidR="008B4BA7" w:rsidRPr="003C31B9">
        <w:rPr>
          <w:rFonts w:asciiTheme="majorBidi" w:hAnsiTheme="majorBidi" w:cstheme="majorBidi"/>
        </w:rPr>
        <w:t xml:space="preserve"> reviv</w:t>
      </w:r>
      <w:r w:rsidR="008B4BA7">
        <w:rPr>
          <w:rFonts w:asciiTheme="majorBidi" w:hAnsiTheme="majorBidi" w:cstheme="majorBidi"/>
        </w:rPr>
        <w:t>e</w:t>
      </w:r>
      <w:r w:rsidR="008B4BA7" w:rsidRPr="003C31B9">
        <w:rPr>
          <w:rFonts w:asciiTheme="majorBidi" w:hAnsiTheme="majorBidi" w:cstheme="majorBidi"/>
        </w:rPr>
        <w:t xml:space="preserve"> the ideological purity of the </w:t>
      </w:r>
      <w:r w:rsidR="008B4BA7">
        <w:rPr>
          <w:rFonts w:asciiTheme="majorBidi" w:hAnsiTheme="majorBidi" w:cstheme="majorBidi"/>
        </w:rPr>
        <w:t xml:space="preserve">seventh </w:t>
      </w:r>
      <w:r w:rsidR="008B4BA7" w:rsidRPr="003C31B9">
        <w:rPr>
          <w:rFonts w:asciiTheme="majorBidi" w:hAnsiTheme="majorBidi" w:cstheme="majorBidi"/>
        </w:rPr>
        <w:t xml:space="preserve">century pious ancestors. </w:t>
      </w:r>
      <w:r w:rsidR="008B4BA7">
        <w:rPr>
          <w:rFonts w:asciiTheme="majorBidi" w:hAnsiTheme="majorBidi" w:cstheme="majorBidi"/>
        </w:rPr>
        <w:t>They</w:t>
      </w:r>
      <w:r w:rsidR="008B4BA7" w:rsidRPr="003C31B9">
        <w:rPr>
          <w:rFonts w:asciiTheme="majorBidi" w:hAnsiTheme="majorBidi" w:cstheme="majorBidi"/>
        </w:rPr>
        <w:t xml:space="preserve"> believe that the only valid sources of authority are the earliest texts</w:t>
      </w:r>
      <w:r w:rsidR="008B4BA7">
        <w:rPr>
          <w:rFonts w:asciiTheme="majorBidi" w:hAnsiTheme="majorBidi" w:cstheme="majorBidi"/>
        </w:rPr>
        <w:t>—t</w:t>
      </w:r>
      <w:r w:rsidR="008B4BA7" w:rsidRPr="003C31B9">
        <w:rPr>
          <w:rFonts w:asciiTheme="majorBidi" w:hAnsiTheme="majorBidi" w:cstheme="majorBidi"/>
        </w:rPr>
        <w:t xml:space="preserve">he Quran and Sunna </w:t>
      </w:r>
      <w:r w:rsidR="00CE705D">
        <w:rPr>
          <w:rFonts w:asciiTheme="majorBidi" w:hAnsiTheme="majorBidi" w:cstheme="majorBidi"/>
        </w:rPr>
        <w:t xml:space="preserve">(sayings) </w:t>
      </w:r>
      <w:r w:rsidR="008B4BA7" w:rsidRPr="003C31B9">
        <w:rPr>
          <w:rFonts w:asciiTheme="majorBidi" w:hAnsiTheme="majorBidi" w:cstheme="majorBidi"/>
        </w:rPr>
        <w:t xml:space="preserve">of the Prophet Muhammad and </w:t>
      </w:r>
      <w:r w:rsidR="008B4BA7">
        <w:rPr>
          <w:rFonts w:asciiTheme="majorBidi" w:hAnsiTheme="majorBidi" w:cstheme="majorBidi"/>
        </w:rPr>
        <w:t>his</w:t>
      </w:r>
      <w:r w:rsidR="008B4BA7" w:rsidRPr="003C31B9">
        <w:rPr>
          <w:rFonts w:asciiTheme="majorBidi" w:hAnsiTheme="majorBidi" w:cstheme="majorBidi"/>
        </w:rPr>
        <w:t xml:space="preserve"> companions</w:t>
      </w:r>
      <w:r w:rsidR="008B4BA7">
        <w:rPr>
          <w:rFonts w:asciiTheme="majorBidi" w:hAnsiTheme="majorBidi" w:cstheme="majorBidi"/>
        </w:rPr>
        <w:t>—</w:t>
      </w:r>
      <w:r w:rsidR="008B4BA7" w:rsidRPr="003C31B9">
        <w:rPr>
          <w:rFonts w:asciiTheme="majorBidi" w:hAnsiTheme="majorBidi" w:cstheme="majorBidi"/>
        </w:rPr>
        <w:t>rather than later schools of Islamic religious thought. On this basis, Salafis define themselves as the purest Muslim group</w:t>
      </w:r>
      <w:r w:rsidR="008B4BA7">
        <w:rPr>
          <w:rFonts w:asciiTheme="majorBidi" w:hAnsiTheme="majorBidi" w:cstheme="majorBidi"/>
        </w:rPr>
        <w:t>,</w:t>
      </w:r>
      <w:r w:rsidR="008B4BA7" w:rsidRPr="003C31B9">
        <w:rPr>
          <w:rFonts w:asciiTheme="majorBidi" w:hAnsiTheme="majorBidi" w:cstheme="majorBidi"/>
        </w:rPr>
        <w:t xml:space="preserve"> “the sect saved (from hellfire</w:t>
      </w:r>
      <w:r w:rsidR="008B4BA7">
        <w:rPr>
          <w:rFonts w:asciiTheme="majorBidi" w:hAnsiTheme="majorBidi" w:cstheme="majorBidi"/>
        </w:rPr>
        <w:t xml:space="preserve">),” </w:t>
      </w:r>
      <w:r w:rsidR="008B4BA7" w:rsidRPr="003C31B9">
        <w:rPr>
          <w:rFonts w:asciiTheme="majorBidi" w:hAnsiTheme="majorBidi" w:cstheme="majorBidi"/>
        </w:rPr>
        <w:t>distinct, superior, and opposed to non-Muslim</w:t>
      </w:r>
      <w:r w:rsidR="00EB0375">
        <w:rPr>
          <w:rFonts w:asciiTheme="majorBidi" w:hAnsiTheme="majorBidi" w:cstheme="majorBidi"/>
        </w:rPr>
        <w:t xml:space="preserve"> </w:t>
      </w:r>
      <w:r w:rsidR="008B4BA7" w:rsidRPr="003C31B9">
        <w:rPr>
          <w:rFonts w:asciiTheme="majorBidi" w:hAnsiTheme="majorBidi" w:cstheme="majorBidi"/>
        </w:rPr>
        <w:t>and even other Muslim groups</w:t>
      </w:r>
      <w:r w:rsidR="00EB0375">
        <w:rPr>
          <w:rFonts w:asciiTheme="majorBidi" w:hAnsiTheme="majorBidi" w:cstheme="majorBidi"/>
        </w:rPr>
        <w:t>.</w:t>
      </w:r>
      <w:r w:rsidR="008B4BA7">
        <w:rPr>
          <w:rStyle w:val="EndnoteReference"/>
          <w:rFonts w:asciiTheme="majorBidi" w:hAnsiTheme="majorBidi" w:cstheme="majorBidi"/>
        </w:rPr>
        <w:endnoteReference w:id="2"/>
      </w:r>
      <w:r w:rsidR="008B4BA7">
        <w:rPr>
          <w:rFonts w:asciiTheme="majorBidi" w:hAnsiTheme="majorBidi" w:cstheme="majorBidi"/>
        </w:rPr>
        <w:t xml:space="preserve"> </w:t>
      </w:r>
    </w:p>
    <w:p w14:paraId="7218A0BF" w14:textId="1F47B1F9" w:rsidR="008B4BA7" w:rsidRDefault="008B4BA7" w:rsidP="00F4698F">
      <w:pPr>
        <w:spacing w:line="480" w:lineRule="auto"/>
        <w:ind w:firstLine="720"/>
        <w:rPr>
          <w:rFonts w:asciiTheme="majorBidi" w:hAnsiTheme="majorBidi" w:cstheme="majorBidi"/>
        </w:rPr>
      </w:pPr>
      <w:r>
        <w:rPr>
          <w:rFonts w:asciiTheme="majorBidi" w:hAnsiTheme="majorBidi" w:cstheme="majorBidi"/>
        </w:rPr>
        <w:t>Salafis emphasize an imperative</w:t>
      </w:r>
      <w:r w:rsidRPr="003C31B9">
        <w:rPr>
          <w:rFonts w:asciiTheme="majorBidi" w:hAnsiTheme="majorBidi" w:cstheme="majorBidi"/>
        </w:rPr>
        <w:t xml:space="preserve"> to combat polytheism, idolatry</w:t>
      </w:r>
      <w:r>
        <w:rPr>
          <w:rFonts w:asciiTheme="majorBidi" w:hAnsiTheme="majorBidi" w:cstheme="majorBidi"/>
        </w:rPr>
        <w:t xml:space="preserve">, </w:t>
      </w:r>
      <w:r w:rsidRPr="003C31B9">
        <w:rPr>
          <w:rFonts w:asciiTheme="majorBidi" w:hAnsiTheme="majorBidi" w:cstheme="majorBidi"/>
        </w:rPr>
        <w:t xml:space="preserve">unbelief, and all attempts to associate other beings or things with God. This includes uncompromising opposition to the belief in “intermediaries” between </w:t>
      </w:r>
      <w:r w:rsidR="00103834">
        <w:rPr>
          <w:rFonts w:asciiTheme="majorBidi" w:hAnsiTheme="majorBidi" w:cstheme="majorBidi"/>
        </w:rPr>
        <w:t xml:space="preserve">people </w:t>
      </w:r>
      <w:r>
        <w:rPr>
          <w:rFonts w:asciiTheme="majorBidi" w:hAnsiTheme="majorBidi" w:cstheme="majorBidi"/>
        </w:rPr>
        <w:t>and the divine</w:t>
      </w:r>
      <w:r w:rsidRPr="003C31B9">
        <w:rPr>
          <w:rFonts w:asciiTheme="majorBidi" w:hAnsiTheme="majorBidi" w:cstheme="majorBidi"/>
        </w:rPr>
        <w:t>, whether Sufi mystics or Christian clerics</w:t>
      </w:r>
      <w:r>
        <w:rPr>
          <w:rFonts w:asciiTheme="majorBidi" w:hAnsiTheme="majorBidi" w:cstheme="majorBidi"/>
        </w:rPr>
        <w:t>. Salafis seek to r</w:t>
      </w:r>
      <w:r w:rsidRPr="003C31B9">
        <w:rPr>
          <w:rFonts w:asciiTheme="majorBidi" w:hAnsiTheme="majorBidi" w:cstheme="majorBidi"/>
        </w:rPr>
        <w:t>id</w:t>
      </w:r>
      <w:r>
        <w:rPr>
          <w:rFonts w:asciiTheme="majorBidi" w:hAnsiTheme="majorBidi" w:cstheme="majorBidi"/>
        </w:rPr>
        <w:t xml:space="preserve"> I</w:t>
      </w:r>
      <w:r w:rsidRPr="003C31B9">
        <w:rPr>
          <w:rFonts w:asciiTheme="majorBidi" w:hAnsiTheme="majorBidi" w:cstheme="majorBidi"/>
        </w:rPr>
        <w:t>slam of “reprehensible innovations” in religious belief</w:t>
      </w:r>
      <w:r>
        <w:rPr>
          <w:rFonts w:asciiTheme="majorBidi" w:hAnsiTheme="majorBidi" w:cstheme="majorBidi"/>
        </w:rPr>
        <w:t>s</w:t>
      </w:r>
      <w:r w:rsidRPr="003C31B9">
        <w:rPr>
          <w:rFonts w:asciiTheme="majorBidi" w:hAnsiTheme="majorBidi" w:cstheme="majorBidi"/>
        </w:rPr>
        <w:t xml:space="preserve"> and practice</w:t>
      </w:r>
      <w:r>
        <w:rPr>
          <w:rFonts w:asciiTheme="majorBidi" w:hAnsiTheme="majorBidi" w:cstheme="majorBidi"/>
        </w:rPr>
        <w:t xml:space="preserve">s </w:t>
      </w:r>
      <w:r w:rsidRPr="003C31B9">
        <w:rPr>
          <w:rFonts w:asciiTheme="majorBidi" w:hAnsiTheme="majorBidi" w:cstheme="majorBidi"/>
        </w:rPr>
        <w:t>adopted from other faiths</w:t>
      </w:r>
      <w:r>
        <w:rPr>
          <w:rFonts w:asciiTheme="majorBidi" w:hAnsiTheme="majorBidi" w:cstheme="majorBidi"/>
        </w:rPr>
        <w:t>, and</w:t>
      </w:r>
      <w:r w:rsidRPr="003C31B9">
        <w:rPr>
          <w:rFonts w:asciiTheme="majorBidi" w:hAnsiTheme="majorBidi" w:cstheme="majorBidi"/>
        </w:rPr>
        <w:t xml:space="preserve"> therefore focus on the “cleansing” of Islam.</w:t>
      </w:r>
      <w:r>
        <w:rPr>
          <w:rStyle w:val="EndnoteReference"/>
          <w:rFonts w:asciiTheme="majorBidi" w:hAnsiTheme="majorBidi" w:cstheme="majorBidi"/>
        </w:rPr>
        <w:endnoteReference w:id="3"/>
      </w:r>
      <w:r w:rsidRPr="003C31B9">
        <w:rPr>
          <w:rFonts w:asciiTheme="majorBidi" w:hAnsiTheme="majorBidi" w:cstheme="majorBidi"/>
        </w:rPr>
        <w:t xml:space="preserve"> </w:t>
      </w:r>
      <w:r>
        <w:rPr>
          <w:rFonts w:asciiTheme="majorBidi" w:hAnsiTheme="majorBidi" w:cstheme="majorBidi"/>
        </w:rPr>
        <w:t>On that basis</w:t>
      </w:r>
      <w:r w:rsidRPr="003C31B9">
        <w:rPr>
          <w:rFonts w:asciiTheme="majorBidi" w:hAnsiTheme="majorBidi" w:cstheme="majorBidi"/>
        </w:rPr>
        <w:t>, Salafis strongly oppose Shi</w:t>
      </w:r>
      <w:r w:rsidR="009019BF">
        <w:rPr>
          <w:rFonts w:asciiTheme="majorBidi" w:hAnsiTheme="majorBidi" w:cstheme="majorBidi"/>
        </w:rPr>
        <w:t>’</w:t>
      </w:r>
      <w:r w:rsidRPr="003C31B9">
        <w:rPr>
          <w:rFonts w:asciiTheme="majorBidi" w:hAnsiTheme="majorBidi" w:cstheme="majorBidi"/>
        </w:rPr>
        <w:t>ites as “rejectionists</w:t>
      </w:r>
      <w:r w:rsidR="009019BF">
        <w:rPr>
          <w:rFonts w:asciiTheme="majorBidi" w:hAnsiTheme="majorBidi" w:cstheme="majorBidi"/>
        </w:rPr>
        <w:t>”</w:t>
      </w:r>
      <w:r w:rsidRPr="003C31B9">
        <w:rPr>
          <w:rFonts w:asciiTheme="majorBidi" w:hAnsiTheme="majorBidi" w:cstheme="majorBidi"/>
        </w:rPr>
        <w:t xml:space="preserve"> of the first three caliphs.</w:t>
      </w:r>
      <w:r>
        <w:rPr>
          <w:rStyle w:val="EndnoteReference"/>
          <w:rFonts w:asciiTheme="majorBidi" w:hAnsiTheme="majorBidi" w:cstheme="majorBidi"/>
        </w:rPr>
        <w:endnoteReference w:id="4"/>
      </w:r>
      <w:r>
        <w:rPr>
          <w:rFonts w:asciiTheme="majorBidi" w:hAnsiTheme="majorBidi" w:cstheme="majorBidi"/>
        </w:rPr>
        <w:t xml:space="preserve"> </w:t>
      </w:r>
      <w:r w:rsidRPr="003C31B9">
        <w:rPr>
          <w:rFonts w:asciiTheme="majorBidi" w:hAnsiTheme="majorBidi" w:cstheme="majorBidi"/>
        </w:rPr>
        <w:t xml:space="preserve">Although </w:t>
      </w:r>
      <w:r>
        <w:rPr>
          <w:rFonts w:asciiTheme="majorBidi" w:hAnsiTheme="majorBidi" w:cstheme="majorBidi"/>
        </w:rPr>
        <w:t>Da’esh</w:t>
      </w:r>
      <w:r w:rsidRPr="003C31B9">
        <w:rPr>
          <w:rFonts w:asciiTheme="majorBidi" w:hAnsiTheme="majorBidi" w:cstheme="majorBidi"/>
        </w:rPr>
        <w:t xml:space="preserve"> is a Salafi organization, </w:t>
      </w:r>
      <w:r w:rsidR="00103834">
        <w:rPr>
          <w:rFonts w:asciiTheme="majorBidi" w:hAnsiTheme="majorBidi" w:cstheme="majorBidi"/>
        </w:rPr>
        <w:t>it</w:t>
      </w:r>
      <w:r w:rsidR="00103834" w:rsidRPr="003C31B9">
        <w:rPr>
          <w:rFonts w:asciiTheme="majorBidi" w:hAnsiTheme="majorBidi" w:cstheme="majorBidi"/>
        </w:rPr>
        <w:t xml:space="preserve"> </w:t>
      </w:r>
      <w:r w:rsidRPr="003C31B9">
        <w:rPr>
          <w:rFonts w:asciiTheme="majorBidi" w:hAnsiTheme="majorBidi" w:cstheme="majorBidi"/>
        </w:rPr>
        <w:t>adhere</w:t>
      </w:r>
      <w:r w:rsidR="00103834">
        <w:rPr>
          <w:rFonts w:asciiTheme="majorBidi" w:hAnsiTheme="majorBidi" w:cstheme="majorBidi"/>
        </w:rPr>
        <w:t>s</w:t>
      </w:r>
      <w:r w:rsidRPr="003C31B9">
        <w:rPr>
          <w:rFonts w:asciiTheme="majorBidi" w:hAnsiTheme="majorBidi" w:cstheme="majorBidi"/>
        </w:rPr>
        <w:t xml:space="preserve"> to the most extrem</w:t>
      </w:r>
      <w:r w:rsidR="00AA34BC">
        <w:rPr>
          <w:rFonts w:asciiTheme="majorBidi" w:hAnsiTheme="majorBidi" w:cstheme="majorBidi"/>
        </w:rPr>
        <w:t>e</w:t>
      </w:r>
      <w:r w:rsidRPr="003C31B9">
        <w:rPr>
          <w:rFonts w:asciiTheme="majorBidi" w:hAnsiTheme="majorBidi" w:cstheme="majorBidi"/>
        </w:rPr>
        <w:t xml:space="preserve"> strand of this ideology, </w:t>
      </w:r>
      <w:r w:rsidR="00114BFE">
        <w:rPr>
          <w:rFonts w:asciiTheme="majorBidi" w:hAnsiTheme="majorBidi" w:cstheme="majorBidi"/>
        </w:rPr>
        <w:t xml:space="preserve">a position </w:t>
      </w:r>
      <w:r w:rsidRPr="003C31B9">
        <w:rPr>
          <w:rFonts w:asciiTheme="majorBidi" w:hAnsiTheme="majorBidi" w:cstheme="majorBidi"/>
        </w:rPr>
        <w:t xml:space="preserve">not </w:t>
      </w:r>
      <w:r w:rsidR="00286EA0">
        <w:rPr>
          <w:rFonts w:asciiTheme="majorBidi" w:hAnsiTheme="majorBidi" w:cstheme="majorBidi"/>
        </w:rPr>
        <w:t xml:space="preserve">even </w:t>
      </w:r>
      <w:r w:rsidRPr="003C31B9">
        <w:rPr>
          <w:rFonts w:asciiTheme="majorBidi" w:hAnsiTheme="majorBidi" w:cstheme="majorBidi"/>
        </w:rPr>
        <w:t>shared by the majority of other Salafis</w:t>
      </w:r>
      <w:r w:rsidR="00286EA0">
        <w:rPr>
          <w:rFonts w:asciiTheme="majorBidi" w:hAnsiTheme="majorBidi" w:cstheme="majorBidi"/>
        </w:rPr>
        <w:t>, let alone</w:t>
      </w:r>
      <w:r>
        <w:rPr>
          <w:rFonts w:asciiTheme="majorBidi" w:hAnsiTheme="majorBidi" w:cstheme="majorBidi"/>
        </w:rPr>
        <w:t xml:space="preserve"> </w:t>
      </w:r>
      <w:r w:rsidRPr="003C31B9">
        <w:rPr>
          <w:rFonts w:asciiTheme="majorBidi" w:hAnsiTheme="majorBidi" w:cstheme="majorBidi"/>
        </w:rPr>
        <w:t xml:space="preserve">Muslims in general. </w:t>
      </w:r>
    </w:p>
    <w:p w14:paraId="40B193F6" w14:textId="312087A7" w:rsidR="008B4BA7" w:rsidRPr="003C31B9" w:rsidRDefault="008B4BA7" w:rsidP="00F4698F">
      <w:pPr>
        <w:spacing w:line="480" w:lineRule="auto"/>
        <w:ind w:firstLine="720"/>
        <w:rPr>
          <w:rFonts w:asciiTheme="majorBidi" w:hAnsiTheme="majorBidi" w:cstheme="majorBidi"/>
        </w:rPr>
      </w:pPr>
      <w:r w:rsidRPr="003C31B9">
        <w:rPr>
          <w:rFonts w:asciiTheme="majorBidi" w:hAnsiTheme="majorBidi" w:cstheme="majorBidi"/>
        </w:rPr>
        <w:lastRenderedPageBreak/>
        <w:t>Salafi groups fall into three very different categories. The</w:t>
      </w:r>
      <w:r>
        <w:rPr>
          <w:rFonts w:asciiTheme="majorBidi" w:hAnsiTheme="majorBidi" w:cstheme="majorBidi"/>
        </w:rPr>
        <w:t xml:space="preserve"> majority are </w:t>
      </w:r>
      <w:r w:rsidRPr="003C31B9">
        <w:rPr>
          <w:rFonts w:asciiTheme="majorBidi" w:hAnsiTheme="majorBidi" w:cstheme="majorBidi"/>
        </w:rPr>
        <w:t>“quietist” or “scholastic” Salafis, who follow a more traditional outlook, arguing that all forms of overt political organization and violence are forbidden because this can lead to civil strife between Muslims, and</w:t>
      </w:r>
      <w:r w:rsidR="0073502E">
        <w:rPr>
          <w:rFonts w:asciiTheme="majorBidi" w:hAnsiTheme="majorBidi" w:cstheme="majorBidi"/>
        </w:rPr>
        <w:t>,</w:t>
      </w:r>
      <w:r w:rsidRPr="003C31B9">
        <w:rPr>
          <w:rFonts w:asciiTheme="majorBidi" w:hAnsiTheme="majorBidi" w:cstheme="majorBidi"/>
        </w:rPr>
        <w:t xml:space="preserve"> in any case, obedience to Muslim rulers</w:t>
      </w:r>
      <w:r>
        <w:rPr>
          <w:rFonts w:asciiTheme="majorBidi" w:hAnsiTheme="majorBidi" w:cstheme="majorBidi"/>
        </w:rPr>
        <w:t xml:space="preserve">, </w:t>
      </w:r>
      <w:r w:rsidRPr="003C31B9">
        <w:rPr>
          <w:rFonts w:asciiTheme="majorBidi" w:hAnsiTheme="majorBidi" w:cstheme="majorBidi"/>
        </w:rPr>
        <w:t>even unjust ones</w:t>
      </w:r>
      <w:r>
        <w:rPr>
          <w:rFonts w:asciiTheme="majorBidi" w:hAnsiTheme="majorBidi" w:cstheme="majorBidi"/>
        </w:rPr>
        <w:t xml:space="preserve">, </w:t>
      </w:r>
      <w:r w:rsidRPr="003C31B9">
        <w:rPr>
          <w:rFonts w:asciiTheme="majorBidi" w:hAnsiTheme="majorBidi" w:cstheme="majorBidi"/>
        </w:rPr>
        <w:t xml:space="preserve">is religiously mandated. In contrast, the second </w:t>
      </w:r>
      <w:r>
        <w:rPr>
          <w:rFonts w:asciiTheme="majorBidi" w:hAnsiTheme="majorBidi" w:cstheme="majorBidi"/>
        </w:rPr>
        <w:t xml:space="preserve">Salafi </w:t>
      </w:r>
      <w:r w:rsidRPr="003C31B9">
        <w:rPr>
          <w:rFonts w:asciiTheme="majorBidi" w:hAnsiTheme="majorBidi" w:cstheme="majorBidi"/>
        </w:rPr>
        <w:t xml:space="preserve">group, known as </w:t>
      </w:r>
      <w:r w:rsidRPr="00E266A7">
        <w:rPr>
          <w:rFonts w:asciiTheme="majorBidi" w:hAnsiTheme="majorBidi" w:cstheme="majorBidi"/>
          <w:i/>
          <w:iCs/>
        </w:rPr>
        <w:t>hariki</w:t>
      </w:r>
      <w:r w:rsidRPr="003C31B9">
        <w:rPr>
          <w:rFonts w:asciiTheme="majorBidi" w:hAnsiTheme="majorBidi" w:cstheme="majorBidi"/>
        </w:rPr>
        <w:t xml:space="preserve"> (activists), advocate nonviolent political activism in both Muslim and non-Muslim countries. The </w:t>
      </w:r>
      <w:r>
        <w:rPr>
          <w:rFonts w:asciiTheme="majorBidi" w:hAnsiTheme="majorBidi" w:cstheme="majorBidi"/>
        </w:rPr>
        <w:t>third</w:t>
      </w:r>
      <w:r w:rsidR="002F590E">
        <w:rPr>
          <w:rFonts w:asciiTheme="majorBidi" w:hAnsiTheme="majorBidi" w:cstheme="majorBidi"/>
        </w:rPr>
        <w:t xml:space="preserve"> and</w:t>
      </w:r>
      <w:r>
        <w:rPr>
          <w:rFonts w:asciiTheme="majorBidi" w:hAnsiTheme="majorBidi" w:cstheme="majorBidi"/>
        </w:rPr>
        <w:t xml:space="preserve"> </w:t>
      </w:r>
      <w:r w:rsidRPr="003C31B9">
        <w:rPr>
          <w:rFonts w:asciiTheme="majorBidi" w:hAnsiTheme="majorBidi" w:cstheme="majorBidi"/>
        </w:rPr>
        <w:t xml:space="preserve">most radical </w:t>
      </w:r>
      <w:r>
        <w:rPr>
          <w:rFonts w:asciiTheme="majorBidi" w:hAnsiTheme="majorBidi" w:cstheme="majorBidi"/>
        </w:rPr>
        <w:t xml:space="preserve">group </w:t>
      </w:r>
      <w:r w:rsidRPr="003C31B9">
        <w:rPr>
          <w:rFonts w:asciiTheme="majorBidi" w:hAnsiTheme="majorBidi" w:cstheme="majorBidi"/>
        </w:rPr>
        <w:t xml:space="preserve">are the </w:t>
      </w:r>
      <w:r w:rsidR="0023284F">
        <w:rPr>
          <w:rFonts w:asciiTheme="majorBidi" w:hAnsiTheme="majorBidi" w:cstheme="majorBidi"/>
        </w:rPr>
        <w:t>jihadi</w:t>
      </w:r>
      <w:r w:rsidRPr="003C31B9">
        <w:rPr>
          <w:rFonts w:asciiTheme="majorBidi" w:hAnsiTheme="majorBidi" w:cstheme="majorBidi"/>
        </w:rPr>
        <w:t xml:space="preserve"> Salafis</w:t>
      </w:r>
      <w:r w:rsidR="002F590E">
        <w:rPr>
          <w:rFonts w:asciiTheme="majorBidi" w:hAnsiTheme="majorBidi" w:cstheme="majorBidi"/>
        </w:rPr>
        <w:t>,</w:t>
      </w:r>
      <w:r w:rsidRPr="003C31B9">
        <w:rPr>
          <w:rFonts w:asciiTheme="majorBidi" w:hAnsiTheme="majorBidi" w:cstheme="majorBidi"/>
        </w:rPr>
        <w:t xml:space="preserve"> wh</w:t>
      </w:r>
      <w:r>
        <w:rPr>
          <w:rFonts w:asciiTheme="majorBidi" w:hAnsiTheme="majorBidi" w:cstheme="majorBidi"/>
        </w:rPr>
        <w:t xml:space="preserve">o </w:t>
      </w:r>
      <w:r w:rsidRPr="003C31B9">
        <w:rPr>
          <w:rFonts w:asciiTheme="majorBidi" w:hAnsiTheme="majorBidi" w:cstheme="majorBidi"/>
        </w:rPr>
        <w:t>call for “violent action against the existing political order (whether Muslim</w:t>
      </w:r>
      <w:r>
        <w:rPr>
          <w:rFonts w:asciiTheme="majorBidi" w:hAnsiTheme="majorBidi" w:cstheme="majorBidi"/>
        </w:rPr>
        <w:t>, non-Muslim,</w:t>
      </w:r>
      <w:r w:rsidRPr="003C31B9">
        <w:rPr>
          <w:rFonts w:asciiTheme="majorBidi" w:hAnsiTheme="majorBidi" w:cstheme="majorBidi"/>
        </w:rPr>
        <w:t xml:space="preserve"> or secular) and for the establishment of a unitary state in the form of the caliphate</w:t>
      </w:r>
      <w:r>
        <w:rPr>
          <w:rFonts w:asciiTheme="majorBidi" w:hAnsiTheme="majorBidi" w:cstheme="majorBidi"/>
        </w:rPr>
        <w:t>.</w:t>
      </w:r>
      <w:r w:rsidRPr="003C31B9">
        <w:rPr>
          <w:rFonts w:asciiTheme="majorBidi" w:hAnsiTheme="majorBidi" w:cstheme="majorBidi"/>
        </w:rPr>
        <w:t>”</w:t>
      </w:r>
      <w:r>
        <w:rPr>
          <w:rStyle w:val="EndnoteReference"/>
          <w:rFonts w:asciiTheme="majorBidi" w:hAnsiTheme="majorBidi" w:cstheme="majorBidi"/>
        </w:rPr>
        <w:endnoteReference w:id="5"/>
      </w:r>
      <w:r w:rsidRPr="003C31B9">
        <w:rPr>
          <w:rFonts w:asciiTheme="majorBidi" w:hAnsiTheme="majorBidi" w:cstheme="majorBidi"/>
        </w:rPr>
        <w:t xml:space="preserve"> </w:t>
      </w:r>
      <w:r>
        <w:rPr>
          <w:rFonts w:asciiTheme="majorBidi" w:hAnsiTheme="majorBidi" w:cstheme="majorBidi"/>
        </w:rPr>
        <w:t>Da’esh</w:t>
      </w:r>
      <w:r w:rsidRPr="003C31B9">
        <w:rPr>
          <w:rFonts w:asciiTheme="majorBidi" w:hAnsiTheme="majorBidi" w:cstheme="majorBidi"/>
        </w:rPr>
        <w:t xml:space="preserve"> and al-Qaeda are quintessential examples of </w:t>
      </w:r>
      <w:r w:rsidR="0023284F">
        <w:rPr>
          <w:rFonts w:asciiTheme="majorBidi" w:hAnsiTheme="majorBidi" w:cstheme="majorBidi"/>
        </w:rPr>
        <w:t>jihadi</w:t>
      </w:r>
      <w:r w:rsidRPr="003C31B9">
        <w:rPr>
          <w:rFonts w:asciiTheme="majorBidi" w:hAnsiTheme="majorBidi" w:cstheme="majorBidi"/>
        </w:rPr>
        <w:t xml:space="preserve"> Salafi groups. </w:t>
      </w:r>
    </w:p>
    <w:p w14:paraId="449C9788" w14:textId="611246B5" w:rsidR="008B4BA7" w:rsidRPr="003C31B9" w:rsidRDefault="008B4BA7" w:rsidP="00F4698F">
      <w:pPr>
        <w:autoSpaceDE w:val="0"/>
        <w:autoSpaceDN w:val="0"/>
        <w:adjustRightInd w:val="0"/>
        <w:spacing w:line="480" w:lineRule="auto"/>
        <w:ind w:right="144" w:firstLine="720"/>
        <w:rPr>
          <w:rFonts w:asciiTheme="majorBidi" w:hAnsiTheme="majorBidi" w:cstheme="majorBidi"/>
        </w:rPr>
      </w:pPr>
      <w:r>
        <w:rPr>
          <w:rFonts w:asciiTheme="majorBidi" w:hAnsiTheme="majorBidi" w:cstheme="majorBidi"/>
        </w:rPr>
        <w:t>Da’esh</w:t>
      </w:r>
      <w:r w:rsidRPr="003C31B9">
        <w:rPr>
          <w:rFonts w:asciiTheme="majorBidi" w:hAnsiTheme="majorBidi" w:cstheme="majorBidi"/>
        </w:rPr>
        <w:t xml:space="preserve"> is committed to restoring what </w:t>
      </w:r>
      <w:r>
        <w:rPr>
          <w:rFonts w:asciiTheme="majorBidi" w:hAnsiTheme="majorBidi" w:cstheme="majorBidi"/>
        </w:rPr>
        <w:t>adherents</w:t>
      </w:r>
      <w:r w:rsidRPr="003C31B9">
        <w:rPr>
          <w:rFonts w:asciiTheme="majorBidi" w:hAnsiTheme="majorBidi" w:cstheme="majorBidi"/>
        </w:rPr>
        <w:t xml:space="preserve"> see as original Islamic practices through political action, armed violence, and the extermination of those </w:t>
      </w:r>
      <w:r>
        <w:rPr>
          <w:rFonts w:asciiTheme="majorBidi" w:hAnsiTheme="majorBidi" w:cstheme="majorBidi"/>
        </w:rPr>
        <w:t xml:space="preserve">they </w:t>
      </w:r>
      <w:r w:rsidRPr="003C31B9">
        <w:rPr>
          <w:rFonts w:asciiTheme="majorBidi" w:hAnsiTheme="majorBidi" w:cstheme="majorBidi"/>
        </w:rPr>
        <w:t xml:space="preserve">define as enemies. Their principal targets are </w:t>
      </w:r>
      <w:r>
        <w:rPr>
          <w:rFonts w:asciiTheme="majorBidi" w:hAnsiTheme="majorBidi" w:cstheme="majorBidi"/>
        </w:rPr>
        <w:t xml:space="preserve">Middle Eastern </w:t>
      </w:r>
      <w:r w:rsidRPr="003C31B9">
        <w:rPr>
          <w:rFonts w:asciiTheme="majorBidi" w:hAnsiTheme="majorBidi" w:cstheme="majorBidi"/>
        </w:rPr>
        <w:t xml:space="preserve">groups that </w:t>
      </w:r>
      <w:r w:rsidR="00281B40">
        <w:rPr>
          <w:rFonts w:asciiTheme="majorBidi" w:hAnsiTheme="majorBidi" w:cstheme="majorBidi"/>
        </w:rPr>
        <w:t>differ</w:t>
      </w:r>
      <w:r w:rsidR="00281B40" w:rsidRPr="003C31B9">
        <w:rPr>
          <w:rFonts w:asciiTheme="majorBidi" w:hAnsiTheme="majorBidi" w:cstheme="majorBidi"/>
        </w:rPr>
        <w:t xml:space="preserve"> </w:t>
      </w:r>
      <w:r w:rsidR="00F90089">
        <w:rPr>
          <w:rFonts w:asciiTheme="majorBidi" w:hAnsiTheme="majorBidi" w:cstheme="majorBidi"/>
        </w:rPr>
        <w:t xml:space="preserve">the most </w:t>
      </w:r>
      <w:r w:rsidRPr="003C31B9">
        <w:rPr>
          <w:rFonts w:asciiTheme="majorBidi" w:hAnsiTheme="majorBidi" w:cstheme="majorBidi"/>
        </w:rPr>
        <w:t xml:space="preserve">from </w:t>
      </w:r>
      <w:r>
        <w:rPr>
          <w:rFonts w:asciiTheme="majorBidi" w:hAnsiTheme="majorBidi" w:cstheme="majorBidi"/>
        </w:rPr>
        <w:t>Da’esh</w:t>
      </w:r>
      <w:r w:rsidRPr="003C31B9">
        <w:rPr>
          <w:rFonts w:asciiTheme="majorBidi" w:hAnsiTheme="majorBidi" w:cstheme="majorBidi"/>
        </w:rPr>
        <w:t>’s version of Islam</w:t>
      </w:r>
      <w:r w:rsidR="00F90089">
        <w:rPr>
          <w:rFonts w:asciiTheme="majorBidi" w:hAnsiTheme="majorBidi" w:cstheme="majorBidi"/>
        </w:rPr>
        <w:t xml:space="preserve">: that is, </w:t>
      </w:r>
      <w:r w:rsidRPr="003C31B9">
        <w:rPr>
          <w:rFonts w:asciiTheme="majorBidi" w:hAnsiTheme="majorBidi" w:cstheme="majorBidi"/>
        </w:rPr>
        <w:t xml:space="preserve">non-Muslim communities such as Yazidis, Christians, and Jews. However, </w:t>
      </w:r>
      <w:r>
        <w:rPr>
          <w:rFonts w:asciiTheme="majorBidi" w:hAnsiTheme="majorBidi" w:cstheme="majorBidi"/>
        </w:rPr>
        <w:t>Da’esh</w:t>
      </w:r>
      <w:r w:rsidRPr="003C31B9">
        <w:rPr>
          <w:rFonts w:asciiTheme="majorBidi" w:hAnsiTheme="majorBidi" w:cstheme="majorBidi"/>
        </w:rPr>
        <w:t xml:space="preserve">’s enemies also include Muslim groups such as Sufis (seen as polytheists and </w:t>
      </w:r>
      <w:r>
        <w:rPr>
          <w:rFonts w:asciiTheme="majorBidi" w:hAnsiTheme="majorBidi" w:cstheme="majorBidi"/>
        </w:rPr>
        <w:t>believers in false</w:t>
      </w:r>
      <w:r w:rsidRPr="003C31B9">
        <w:rPr>
          <w:rFonts w:asciiTheme="majorBidi" w:hAnsiTheme="majorBidi" w:cstheme="majorBidi"/>
        </w:rPr>
        <w:t xml:space="preserve"> intermediaries between God and </w:t>
      </w:r>
      <w:r w:rsidR="00412ED7">
        <w:rPr>
          <w:rFonts w:asciiTheme="majorBidi" w:hAnsiTheme="majorBidi" w:cstheme="majorBidi"/>
        </w:rPr>
        <w:t>humanity</w:t>
      </w:r>
      <w:r w:rsidRPr="003C31B9">
        <w:rPr>
          <w:rFonts w:asciiTheme="majorBidi" w:hAnsiTheme="majorBidi" w:cstheme="majorBidi"/>
        </w:rPr>
        <w:t xml:space="preserve">), Shi’ites (due to their rejection of the original pure Islam of the </w:t>
      </w:r>
      <w:r>
        <w:rPr>
          <w:rFonts w:asciiTheme="majorBidi" w:hAnsiTheme="majorBidi" w:cstheme="majorBidi"/>
        </w:rPr>
        <w:t xml:space="preserve">first </w:t>
      </w:r>
      <w:r w:rsidRPr="003C31B9">
        <w:rPr>
          <w:rFonts w:asciiTheme="majorBidi" w:hAnsiTheme="majorBidi" w:cstheme="majorBidi"/>
        </w:rPr>
        <w:t xml:space="preserve">caliphs), and even </w:t>
      </w:r>
      <w:r w:rsidR="00781A50">
        <w:rPr>
          <w:rFonts w:asciiTheme="majorBidi" w:hAnsiTheme="majorBidi" w:cstheme="majorBidi"/>
        </w:rPr>
        <w:t xml:space="preserve">the governments of </w:t>
      </w:r>
      <w:r w:rsidRPr="003C31B9">
        <w:rPr>
          <w:rFonts w:asciiTheme="majorBidi" w:hAnsiTheme="majorBidi" w:cstheme="majorBidi"/>
        </w:rPr>
        <w:t xml:space="preserve">modern Sunni Muslim states whose secular or non-Salafi policies are seen as apostasy. </w:t>
      </w:r>
      <w:r>
        <w:rPr>
          <w:rFonts w:asciiTheme="majorBidi" w:hAnsiTheme="majorBidi" w:cstheme="majorBidi"/>
        </w:rPr>
        <w:t>Da’esh</w:t>
      </w:r>
      <w:r w:rsidRPr="003C31B9">
        <w:rPr>
          <w:rFonts w:asciiTheme="majorBidi" w:hAnsiTheme="majorBidi" w:cstheme="majorBidi"/>
        </w:rPr>
        <w:t xml:space="preserve"> targeted not only the people</w:t>
      </w:r>
      <w:r w:rsidR="004F51BD">
        <w:rPr>
          <w:rFonts w:asciiTheme="majorBidi" w:hAnsiTheme="majorBidi" w:cstheme="majorBidi"/>
        </w:rPr>
        <w:t xml:space="preserve"> directly</w:t>
      </w:r>
      <w:r w:rsidRPr="003C31B9">
        <w:rPr>
          <w:rFonts w:asciiTheme="majorBidi" w:hAnsiTheme="majorBidi" w:cstheme="majorBidi"/>
        </w:rPr>
        <w:t xml:space="preserve">, but also the mosques, shrines, and monuments of these </w:t>
      </w:r>
      <w:r>
        <w:rPr>
          <w:rFonts w:asciiTheme="majorBidi" w:hAnsiTheme="majorBidi" w:cstheme="majorBidi"/>
        </w:rPr>
        <w:t xml:space="preserve">enemy </w:t>
      </w:r>
      <w:r w:rsidRPr="003C31B9">
        <w:rPr>
          <w:rFonts w:asciiTheme="majorBidi" w:hAnsiTheme="majorBidi" w:cstheme="majorBidi"/>
        </w:rPr>
        <w:t xml:space="preserve">Muslim groups in order to restore </w:t>
      </w:r>
      <w:r>
        <w:rPr>
          <w:rFonts w:asciiTheme="majorBidi" w:hAnsiTheme="majorBidi" w:cstheme="majorBidi"/>
        </w:rPr>
        <w:t>Islam</w:t>
      </w:r>
      <w:r w:rsidRPr="003C31B9">
        <w:rPr>
          <w:rFonts w:asciiTheme="majorBidi" w:hAnsiTheme="majorBidi" w:cstheme="majorBidi"/>
        </w:rPr>
        <w:t xml:space="preserve"> to its original state of purity. This policy of purification extended to include the destruction of ancient pre-Islamic monuments, also defined as idolatr</w:t>
      </w:r>
      <w:r w:rsidR="00D97CF4">
        <w:rPr>
          <w:rFonts w:asciiTheme="majorBidi" w:hAnsiTheme="majorBidi" w:cstheme="majorBidi"/>
        </w:rPr>
        <w:t>ous</w:t>
      </w:r>
      <w:r w:rsidRPr="003C31B9">
        <w:rPr>
          <w:rFonts w:asciiTheme="majorBidi" w:hAnsiTheme="majorBidi" w:cstheme="majorBidi"/>
        </w:rPr>
        <w:t>.</w:t>
      </w:r>
    </w:p>
    <w:p w14:paraId="6C2FE892" w14:textId="515403CF" w:rsidR="008B4BA7" w:rsidRDefault="008B4BA7" w:rsidP="00F4698F">
      <w:pPr>
        <w:spacing w:line="480" w:lineRule="auto"/>
        <w:ind w:firstLine="720"/>
        <w:rPr>
          <w:rFonts w:asciiTheme="majorBidi" w:hAnsiTheme="majorBidi" w:cstheme="majorBidi"/>
        </w:rPr>
      </w:pPr>
      <w:r w:rsidRPr="003C31B9">
        <w:rPr>
          <w:rFonts w:asciiTheme="majorBidi" w:hAnsiTheme="majorBidi" w:cstheme="majorBidi"/>
        </w:rPr>
        <w:t xml:space="preserve">Overall, </w:t>
      </w:r>
      <w:r>
        <w:rPr>
          <w:rFonts w:asciiTheme="majorBidi" w:hAnsiTheme="majorBidi" w:cstheme="majorBidi"/>
        </w:rPr>
        <w:t>Da’esh</w:t>
      </w:r>
      <w:r w:rsidRPr="003C31B9">
        <w:rPr>
          <w:rFonts w:asciiTheme="majorBidi" w:hAnsiTheme="majorBidi" w:cstheme="majorBidi"/>
        </w:rPr>
        <w:t>’s actions are best understood as deriving from a powerful fusion of religious and political ideologies</w:t>
      </w:r>
      <w:r w:rsidR="004A7200">
        <w:rPr>
          <w:rFonts w:asciiTheme="majorBidi" w:hAnsiTheme="majorBidi" w:cstheme="majorBidi"/>
        </w:rPr>
        <w:t>—</w:t>
      </w:r>
      <w:r w:rsidRPr="003C31B9">
        <w:rPr>
          <w:rFonts w:asciiTheme="majorBidi" w:hAnsiTheme="majorBidi" w:cstheme="majorBidi"/>
        </w:rPr>
        <w:t>deep</w:t>
      </w:r>
      <w:r>
        <w:rPr>
          <w:rFonts w:asciiTheme="majorBidi" w:hAnsiTheme="majorBidi" w:cstheme="majorBidi"/>
        </w:rPr>
        <w:t>ly held</w:t>
      </w:r>
      <w:r w:rsidRPr="003C31B9">
        <w:rPr>
          <w:rFonts w:asciiTheme="majorBidi" w:hAnsiTheme="majorBidi" w:cstheme="majorBidi"/>
        </w:rPr>
        <w:t xml:space="preserve"> beliefs, not simply political expediency. Jihadi Salafi ideology explains why </w:t>
      </w:r>
      <w:r>
        <w:rPr>
          <w:rFonts w:asciiTheme="majorBidi" w:hAnsiTheme="majorBidi" w:cstheme="majorBidi"/>
        </w:rPr>
        <w:t>Da’esh</w:t>
      </w:r>
      <w:r w:rsidRPr="003C31B9">
        <w:rPr>
          <w:rFonts w:asciiTheme="majorBidi" w:hAnsiTheme="majorBidi" w:cstheme="majorBidi"/>
        </w:rPr>
        <w:t xml:space="preserve"> attacked specific people, groups</w:t>
      </w:r>
      <w:r w:rsidR="00472327">
        <w:rPr>
          <w:rFonts w:asciiTheme="majorBidi" w:hAnsiTheme="majorBidi" w:cstheme="majorBidi"/>
        </w:rPr>
        <w:t>,</w:t>
      </w:r>
      <w:r w:rsidRPr="003C31B9">
        <w:rPr>
          <w:rFonts w:asciiTheme="majorBidi" w:hAnsiTheme="majorBidi" w:cstheme="majorBidi"/>
        </w:rPr>
        <w:t xml:space="preserve"> and monuments, </w:t>
      </w:r>
      <w:r>
        <w:rPr>
          <w:rFonts w:asciiTheme="majorBidi" w:hAnsiTheme="majorBidi" w:cstheme="majorBidi"/>
        </w:rPr>
        <w:t xml:space="preserve">and </w:t>
      </w:r>
      <w:r w:rsidRPr="003C31B9">
        <w:rPr>
          <w:rFonts w:asciiTheme="majorBidi" w:hAnsiTheme="majorBidi" w:cstheme="majorBidi"/>
        </w:rPr>
        <w:t>clarif</w:t>
      </w:r>
      <w:r>
        <w:rPr>
          <w:rFonts w:asciiTheme="majorBidi" w:hAnsiTheme="majorBidi" w:cstheme="majorBidi"/>
        </w:rPr>
        <w:t>ies</w:t>
      </w:r>
      <w:r w:rsidRPr="003C31B9">
        <w:rPr>
          <w:rFonts w:asciiTheme="majorBidi" w:hAnsiTheme="majorBidi" w:cstheme="majorBidi"/>
        </w:rPr>
        <w:t xml:space="preserve"> </w:t>
      </w:r>
      <w:r>
        <w:rPr>
          <w:rFonts w:asciiTheme="majorBidi" w:hAnsiTheme="majorBidi" w:cstheme="majorBidi"/>
        </w:rPr>
        <w:t>the discourse</w:t>
      </w:r>
      <w:r w:rsidRPr="003C31B9">
        <w:rPr>
          <w:rFonts w:asciiTheme="majorBidi" w:hAnsiTheme="majorBidi" w:cstheme="majorBidi"/>
        </w:rPr>
        <w:t xml:space="preserve"> </w:t>
      </w:r>
      <w:r>
        <w:rPr>
          <w:rFonts w:asciiTheme="majorBidi" w:hAnsiTheme="majorBidi" w:cstheme="majorBidi"/>
        </w:rPr>
        <w:t xml:space="preserve">used to </w:t>
      </w:r>
      <w:r w:rsidRPr="003C31B9">
        <w:rPr>
          <w:rFonts w:asciiTheme="majorBidi" w:hAnsiTheme="majorBidi" w:cstheme="majorBidi"/>
        </w:rPr>
        <w:t xml:space="preserve">explain these actions in </w:t>
      </w:r>
      <w:r>
        <w:rPr>
          <w:rFonts w:asciiTheme="majorBidi" w:hAnsiTheme="majorBidi" w:cstheme="majorBidi"/>
        </w:rPr>
        <w:t>new</w:t>
      </w:r>
      <w:r w:rsidRPr="003C31B9">
        <w:rPr>
          <w:rFonts w:asciiTheme="majorBidi" w:hAnsiTheme="majorBidi" w:cstheme="majorBidi"/>
        </w:rPr>
        <w:t xml:space="preserve"> forms of messaging. Although the targeting of people and monuments makes sense in political terms, the </w:t>
      </w:r>
      <w:r>
        <w:rPr>
          <w:rFonts w:asciiTheme="majorBidi" w:hAnsiTheme="majorBidi" w:cstheme="majorBidi"/>
        </w:rPr>
        <w:t>religious</w:t>
      </w:r>
      <w:r w:rsidRPr="003C31B9">
        <w:rPr>
          <w:rFonts w:asciiTheme="majorBidi" w:hAnsiTheme="majorBidi" w:cstheme="majorBidi"/>
        </w:rPr>
        <w:t xml:space="preserve"> motivations </w:t>
      </w:r>
      <w:r w:rsidRPr="003C31B9">
        <w:rPr>
          <w:rFonts w:asciiTheme="majorBidi" w:hAnsiTheme="majorBidi" w:cstheme="majorBidi"/>
        </w:rPr>
        <w:lastRenderedPageBreak/>
        <w:t xml:space="preserve">were equally important as </w:t>
      </w:r>
      <w:r w:rsidR="00473F52">
        <w:rPr>
          <w:rFonts w:asciiTheme="majorBidi" w:hAnsiTheme="majorBidi" w:cstheme="majorBidi"/>
        </w:rPr>
        <w:t>a</w:t>
      </w:r>
      <w:r w:rsidR="006C62C8">
        <w:rPr>
          <w:rFonts w:asciiTheme="majorBidi" w:hAnsiTheme="majorBidi" w:cstheme="majorBidi"/>
        </w:rPr>
        <w:t xml:space="preserve"> </w:t>
      </w:r>
      <w:r w:rsidR="00A57045">
        <w:rPr>
          <w:rFonts w:asciiTheme="majorBidi" w:hAnsiTheme="majorBidi" w:cstheme="majorBidi"/>
        </w:rPr>
        <w:t xml:space="preserve">means of </w:t>
      </w:r>
      <w:r w:rsidRPr="003C31B9">
        <w:rPr>
          <w:rFonts w:asciiTheme="majorBidi" w:hAnsiTheme="majorBidi" w:cstheme="majorBidi"/>
        </w:rPr>
        <w:t>legitimiz</w:t>
      </w:r>
      <w:r w:rsidR="00A57045">
        <w:rPr>
          <w:rFonts w:asciiTheme="majorBidi" w:hAnsiTheme="majorBidi" w:cstheme="majorBidi"/>
        </w:rPr>
        <w:t>ing</w:t>
      </w:r>
      <w:r w:rsidRPr="003C31B9">
        <w:rPr>
          <w:rFonts w:asciiTheme="majorBidi" w:hAnsiTheme="majorBidi" w:cstheme="majorBidi"/>
        </w:rPr>
        <w:t xml:space="preserve"> the attacks, allow</w:t>
      </w:r>
      <w:r w:rsidR="00AA2A1A">
        <w:rPr>
          <w:rFonts w:asciiTheme="majorBidi" w:hAnsiTheme="majorBidi" w:cstheme="majorBidi"/>
        </w:rPr>
        <w:t>ing</w:t>
      </w:r>
      <w:r w:rsidRPr="003C31B9">
        <w:rPr>
          <w:rFonts w:asciiTheme="majorBidi" w:hAnsiTheme="majorBidi" w:cstheme="majorBidi"/>
        </w:rPr>
        <w:t xml:space="preserve"> </w:t>
      </w:r>
      <w:r>
        <w:rPr>
          <w:rFonts w:asciiTheme="majorBidi" w:hAnsiTheme="majorBidi" w:cstheme="majorBidi"/>
        </w:rPr>
        <w:t>Da’esh</w:t>
      </w:r>
      <w:r w:rsidRPr="003C31B9">
        <w:rPr>
          <w:rFonts w:asciiTheme="majorBidi" w:hAnsiTheme="majorBidi" w:cstheme="majorBidi"/>
        </w:rPr>
        <w:t xml:space="preserve"> to cast itself as more authentic than other </w:t>
      </w:r>
      <w:r w:rsidR="00C30F18">
        <w:rPr>
          <w:rFonts w:asciiTheme="majorBidi" w:hAnsiTheme="majorBidi" w:cstheme="majorBidi"/>
        </w:rPr>
        <w:t>nonstate armed</w:t>
      </w:r>
      <w:r w:rsidR="00C30F18" w:rsidRPr="003C31B9">
        <w:rPr>
          <w:rFonts w:asciiTheme="majorBidi" w:hAnsiTheme="majorBidi" w:cstheme="majorBidi"/>
        </w:rPr>
        <w:t xml:space="preserve"> </w:t>
      </w:r>
      <w:r w:rsidR="0023284F">
        <w:rPr>
          <w:rFonts w:asciiTheme="majorBidi" w:hAnsiTheme="majorBidi" w:cstheme="majorBidi"/>
        </w:rPr>
        <w:t>jihadi</w:t>
      </w:r>
      <w:r w:rsidRPr="003C31B9">
        <w:rPr>
          <w:rFonts w:asciiTheme="majorBidi" w:hAnsiTheme="majorBidi" w:cstheme="majorBidi"/>
        </w:rPr>
        <w:t xml:space="preserve"> groups. Although attacks on Sufis and Shi’ites do not fit the widely accepted Western narrative that emphasizes </w:t>
      </w:r>
      <w:r>
        <w:rPr>
          <w:rFonts w:asciiTheme="majorBidi" w:hAnsiTheme="majorBidi" w:cstheme="majorBidi"/>
        </w:rPr>
        <w:t>Da’esh</w:t>
      </w:r>
      <w:r w:rsidRPr="003C31B9">
        <w:rPr>
          <w:rFonts w:asciiTheme="majorBidi" w:hAnsiTheme="majorBidi" w:cstheme="majorBidi"/>
        </w:rPr>
        <w:t xml:space="preserve">’s hostility to Christians and Yazidis, the targeting of </w:t>
      </w:r>
      <w:r>
        <w:rPr>
          <w:rFonts w:asciiTheme="majorBidi" w:hAnsiTheme="majorBidi" w:cstheme="majorBidi"/>
        </w:rPr>
        <w:t xml:space="preserve">these </w:t>
      </w:r>
      <w:r w:rsidRPr="003C31B9">
        <w:rPr>
          <w:rFonts w:asciiTheme="majorBidi" w:hAnsiTheme="majorBidi" w:cstheme="majorBidi"/>
        </w:rPr>
        <w:t>Muslim groups</w:t>
      </w:r>
      <w:r>
        <w:rPr>
          <w:rFonts w:asciiTheme="majorBidi" w:hAnsiTheme="majorBidi" w:cstheme="majorBidi"/>
        </w:rPr>
        <w:t xml:space="preserve"> as enemies</w:t>
      </w:r>
      <w:r w:rsidRPr="003C31B9">
        <w:rPr>
          <w:rFonts w:asciiTheme="majorBidi" w:hAnsiTheme="majorBidi" w:cstheme="majorBidi"/>
        </w:rPr>
        <w:t xml:space="preserve"> is also a core element of </w:t>
      </w:r>
      <w:r>
        <w:rPr>
          <w:rFonts w:asciiTheme="majorBidi" w:hAnsiTheme="majorBidi" w:cstheme="majorBidi"/>
        </w:rPr>
        <w:t>Da’esh</w:t>
      </w:r>
      <w:r w:rsidR="006C62C8">
        <w:rPr>
          <w:rFonts w:asciiTheme="majorBidi" w:hAnsiTheme="majorBidi" w:cstheme="majorBidi"/>
        </w:rPr>
        <w:t>’s</w:t>
      </w:r>
      <w:r>
        <w:rPr>
          <w:rFonts w:asciiTheme="majorBidi" w:hAnsiTheme="majorBidi" w:cstheme="majorBidi"/>
        </w:rPr>
        <w:t xml:space="preserve"> ideology. </w:t>
      </w:r>
      <w:r w:rsidRPr="003C31B9">
        <w:rPr>
          <w:rFonts w:asciiTheme="majorBidi" w:hAnsiTheme="majorBidi" w:cstheme="majorBidi"/>
        </w:rPr>
        <w:t xml:space="preserve">While political considerations were clearly important, the core Salafi imperative to combat </w:t>
      </w:r>
      <w:r>
        <w:rPr>
          <w:rFonts w:asciiTheme="majorBidi" w:hAnsiTheme="majorBidi" w:cstheme="majorBidi"/>
        </w:rPr>
        <w:t xml:space="preserve">both modern and ancient </w:t>
      </w:r>
      <w:r w:rsidRPr="003C31B9">
        <w:rPr>
          <w:rFonts w:asciiTheme="majorBidi" w:hAnsiTheme="majorBidi" w:cstheme="majorBidi"/>
        </w:rPr>
        <w:t xml:space="preserve">idolatry provided the religious rationale for </w:t>
      </w:r>
      <w:r>
        <w:rPr>
          <w:rFonts w:asciiTheme="majorBidi" w:hAnsiTheme="majorBidi" w:cstheme="majorBidi"/>
        </w:rPr>
        <w:t>Da’esh</w:t>
      </w:r>
      <w:r w:rsidRPr="003C31B9">
        <w:rPr>
          <w:rFonts w:asciiTheme="majorBidi" w:hAnsiTheme="majorBidi" w:cstheme="majorBidi"/>
        </w:rPr>
        <w:t xml:space="preserve">’s iconoclastic war on pre-Islamic cultural heritage monuments. </w:t>
      </w:r>
    </w:p>
    <w:p w14:paraId="1EB720E6" w14:textId="77777777" w:rsidR="008B4BA7" w:rsidRPr="003C31B9" w:rsidRDefault="008B4BA7" w:rsidP="00F4698F">
      <w:pPr>
        <w:spacing w:line="480" w:lineRule="auto"/>
        <w:ind w:firstLine="720"/>
        <w:rPr>
          <w:rFonts w:asciiTheme="majorBidi" w:hAnsiTheme="majorBidi" w:cstheme="majorBidi"/>
        </w:rPr>
      </w:pPr>
    </w:p>
    <w:p w14:paraId="6F4FA2C0" w14:textId="1F230B18" w:rsidR="008B4BA7" w:rsidRPr="006F7A32" w:rsidRDefault="008B4BA7" w:rsidP="00E266A7">
      <w:pPr>
        <w:pStyle w:val="Heading2"/>
      </w:pPr>
      <w:r>
        <w:t xml:space="preserve">Da’esh </w:t>
      </w:r>
      <w:r w:rsidRPr="006F7A32">
        <w:t>Iconoclasm and Performative Destruction</w:t>
      </w:r>
    </w:p>
    <w:p w14:paraId="08EBF1D7" w14:textId="1E6D6AF7" w:rsidR="008B4BA7" w:rsidRPr="003C31B9" w:rsidRDefault="008B4BA7" w:rsidP="00F4698F">
      <w:pPr>
        <w:autoSpaceDE w:val="0"/>
        <w:autoSpaceDN w:val="0"/>
        <w:adjustRightInd w:val="0"/>
        <w:spacing w:line="480" w:lineRule="auto"/>
        <w:ind w:right="-720"/>
        <w:rPr>
          <w:rFonts w:asciiTheme="majorBidi" w:hAnsiTheme="majorBidi" w:cstheme="majorBidi"/>
        </w:rPr>
      </w:pPr>
      <w:r w:rsidRPr="003C31B9">
        <w:rPr>
          <w:rFonts w:asciiTheme="majorBidi" w:hAnsiTheme="majorBidi" w:cstheme="majorBidi"/>
        </w:rPr>
        <w:t xml:space="preserve">Iconoclasm can be defined as the deliberate destruction of the </w:t>
      </w:r>
      <w:r w:rsidRPr="003C31B9">
        <w:rPr>
          <w:rFonts w:asciiTheme="majorBidi" w:eastAsiaTheme="minorHAnsi" w:hAnsiTheme="majorBidi" w:cstheme="majorBidi"/>
        </w:rPr>
        <w:t xml:space="preserve">material manifestations of cultural heritage because </w:t>
      </w:r>
      <w:r w:rsidRPr="003C31B9">
        <w:rPr>
          <w:rFonts w:asciiTheme="majorBidi" w:hAnsiTheme="majorBidi" w:cstheme="majorBidi"/>
        </w:rPr>
        <w:t xml:space="preserve">they represent </w:t>
      </w:r>
      <w:r w:rsidRPr="003C31B9">
        <w:rPr>
          <w:rFonts w:asciiTheme="majorBidi" w:eastAsiaTheme="minorHAnsi" w:hAnsiTheme="majorBidi" w:cstheme="majorBidi"/>
        </w:rPr>
        <w:t>a particular doctrine or ideology</w:t>
      </w:r>
      <w:r w:rsidRPr="003C31B9">
        <w:rPr>
          <w:rFonts w:asciiTheme="majorBidi" w:hAnsiTheme="majorBidi" w:cstheme="majorBidi"/>
        </w:rPr>
        <w:t>. As such, these objects or monuments stand in opposition to the core beliefs of the group conducting the iconoclastic act</w:t>
      </w:r>
      <w:r w:rsidRPr="003C31B9">
        <w:rPr>
          <w:rFonts w:asciiTheme="majorBidi" w:eastAsiaTheme="minorHAnsi" w:hAnsiTheme="majorBidi" w:cstheme="majorBidi"/>
        </w:rPr>
        <w:t>.</w:t>
      </w:r>
      <w:r w:rsidRPr="003C31B9">
        <w:rPr>
          <w:rFonts w:asciiTheme="majorBidi" w:hAnsiTheme="majorBidi" w:cstheme="majorBidi"/>
        </w:rPr>
        <w:t xml:space="preserve"> I</w:t>
      </w:r>
      <w:r w:rsidRPr="003C31B9">
        <w:rPr>
          <w:rFonts w:asciiTheme="majorBidi" w:eastAsiaTheme="minorHAnsi" w:hAnsiTheme="majorBidi" w:cstheme="majorBidi"/>
        </w:rPr>
        <w:t xml:space="preserve">conoclasm </w:t>
      </w:r>
      <w:r w:rsidRPr="003C31B9">
        <w:rPr>
          <w:rFonts w:asciiTheme="majorBidi" w:hAnsiTheme="majorBidi" w:cstheme="majorBidi"/>
        </w:rPr>
        <w:t>extends</w:t>
      </w:r>
      <w:r w:rsidRPr="003C31B9">
        <w:rPr>
          <w:rFonts w:asciiTheme="majorBidi" w:eastAsiaTheme="minorHAnsi" w:hAnsiTheme="majorBidi" w:cstheme="majorBidi"/>
        </w:rPr>
        <w:t xml:space="preserve"> beyond religious icons</w:t>
      </w:r>
      <w:r w:rsidRPr="003C31B9">
        <w:rPr>
          <w:rFonts w:asciiTheme="majorBidi" w:hAnsiTheme="majorBidi" w:cstheme="majorBidi"/>
        </w:rPr>
        <w:t xml:space="preserve"> to include attacks on ethnic and political symbols</w:t>
      </w:r>
      <w:r w:rsidRPr="003C31B9">
        <w:rPr>
          <w:rFonts w:asciiTheme="majorBidi" w:eastAsiaTheme="minorHAnsi" w:hAnsiTheme="majorBidi" w:cstheme="majorBidi"/>
        </w:rPr>
        <w:t>.</w:t>
      </w:r>
      <w:r>
        <w:rPr>
          <w:rStyle w:val="EndnoteReference"/>
          <w:rFonts w:asciiTheme="majorBidi" w:eastAsiaTheme="minorHAnsi" w:hAnsiTheme="majorBidi" w:cstheme="majorBidi"/>
        </w:rPr>
        <w:endnoteReference w:id="6"/>
      </w:r>
      <w:r w:rsidRPr="003C31B9">
        <w:rPr>
          <w:rFonts w:asciiTheme="majorBidi" w:hAnsiTheme="majorBidi" w:cstheme="majorBidi"/>
        </w:rPr>
        <w:t xml:space="preserve"> It destroys the past and present to create a new vision of the future.</w:t>
      </w:r>
    </w:p>
    <w:p w14:paraId="2FB56E63" w14:textId="19A9998D" w:rsidR="008B4BA7" w:rsidRPr="00901709" w:rsidRDefault="008B4BA7" w:rsidP="00F4698F">
      <w:pPr>
        <w:spacing w:line="480" w:lineRule="auto"/>
        <w:ind w:firstLine="720"/>
        <w:rPr>
          <w:rFonts w:asciiTheme="majorBidi" w:hAnsiTheme="majorBidi" w:cstheme="majorBidi"/>
        </w:rPr>
      </w:pPr>
      <w:r>
        <w:rPr>
          <w:rFonts w:asciiTheme="majorBidi" w:hAnsiTheme="majorBidi" w:cstheme="majorBidi"/>
        </w:rPr>
        <w:t>Da’esh</w:t>
      </w:r>
      <w:r w:rsidR="00A25BD5">
        <w:rPr>
          <w:rFonts w:asciiTheme="majorBidi" w:hAnsiTheme="majorBidi" w:cstheme="majorBidi"/>
        </w:rPr>
        <w:t>’s</w:t>
      </w:r>
      <w:r w:rsidRPr="003C31B9">
        <w:rPr>
          <w:rFonts w:asciiTheme="majorBidi" w:hAnsiTheme="majorBidi" w:cstheme="majorBidi"/>
        </w:rPr>
        <w:t xml:space="preserve"> public statements about iconoclastic acts such as the demolition of monumental sculptures and buildings at the ancient Assyrian capital</w:t>
      </w:r>
      <w:r>
        <w:rPr>
          <w:rFonts w:asciiTheme="majorBidi" w:hAnsiTheme="majorBidi" w:cstheme="majorBidi"/>
        </w:rPr>
        <w:t xml:space="preserve">s at Nimrud and </w:t>
      </w:r>
      <w:r w:rsidRPr="003C31B9">
        <w:rPr>
          <w:rFonts w:asciiTheme="majorBidi" w:hAnsiTheme="majorBidi" w:cstheme="majorBidi"/>
        </w:rPr>
        <w:t xml:space="preserve">Nineveh, adjacent to </w:t>
      </w:r>
      <w:r>
        <w:rPr>
          <w:rFonts w:asciiTheme="majorBidi" w:hAnsiTheme="majorBidi" w:cstheme="majorBidi"/>
        </w:rPr>
        <w:t>the</w:t>
      </w:r>
      <w:r w:rsidRPr="003C31B9">
        <w:rPr>
          <w:rFonts w:asciiTheme="majorBidi" w:hAnsiTheme="majorBidi" w:cstheme="majorBidi"/>
        </w:rPr>
        <w:t xml:space="preserve"> modern Iraqi city of Mosul</w:t>
      </w:r>
      <w:r>
        <w:rPr>
          <w:rFonts w:asciiTheme="majorBidi" w:hAnsiTheme="majorBidi" w:cstheme="majorBidi"/>
        </w:rPr>
        <w:t>,</w:t>
      </w:r>
      <w:r w:rsidRPr="003C31B9">
        <w:rPr>
          <w:rFonts w:asciiTheme="majorBidi" w:hAnsiTheme="majorBidi" w:cstheme="majorBidi"/>
        </w:rPr>
        <w:t xml:space="preserve"> made it clear that the demolition was an action against idolatry:</w:t>
      </w:r>
      <w:r>
        <w:rPr>
          <w:rFonts w:asciiTheme="majorBidi" w:hAnsiTheme="majorBidi" w:cstheme="majorBidi"/>
        </w:rPr>
        <w:t xml:space="preserve"> </w:t>
      </w:r>
      <w:r w:rsidR="00E743DD">
        <w:rPr>
          <w:rFonts w:asciiTheme="majorBidi" w:hAnsiTheme="majorBidi" w:cstheme="majorBidi"/>
          <w:color w:val="000000" w:themeColor="text1"/>
        </w:rPr>
        <w:t>“</w:t>
      </w:r>
      <w:r w:rsidRPr="003C31B9">
        <w:rPr>
          <w:rFonts w:asciiTheme="majorBidi" w:hAnsiTheme="majorBidi" w:cstheme="majorBidi"/>
          <w:color w:val="000000" w:themeColor="text1"/>
        </w:rPr>
        <w:t>Today we destroy and obliterate another landmark of polytheism, which had been held in high esteem by the people, whereas they did not know that these relics are idols and statues which had been worshiped besides God</w:t>
      </w:r>
      <w:r>
        <w:rPr>
          <w:rFonts w:asciiTheme="majorBidi" w:hAnsiTheme="majorBidi" w:cstheme="majorBidi"/>
          <w:color w:val="000000" w:themeColor="text1"/>
        </w:rPr>
        <w:t>.”</w:t>
      </w:r>
      <w:r>
        <w:rPr>
          <w:rStyle w:val="EndnoteReference"/>
          <w:rFonts w:asciiTheme="majorBidi" w:hAnsiTheme="majorBidi" w:cstheme="majorBidi"/>
          <w:color w:val="000000" w:themeColor="text1"/>
        </w:rPr>
        <w:endnoteReference w:id="7"/>
      </w:r>
      <w:r w:rsidRPr="003C31B9">
        <w:rPr>
          <w:rFonts w:asciiTheme="majorBidi" w:hAnsiTheme="majorBidi" w:cstheme="majorBidi"/>
          <w:color w:val="000000" w:themeColor="text1"/>
        </w:rPr>
        <w:t xml:space="preserve"> </w:t>
      </w:r>
    </w:p>
    <w:p w14:paraId="2564F770" w14:textId="27744CD0" w:rsidR="008B4BA7" w:rsidRPr="003C31B9" w:rsidRDefault="008B4BA7" w:rsidP="00F4698F">
      <w:pPr>
        <w:spacing w:line="480" w:lineRule="auto"/>
        <w:rPr>
          <w:rFonts w:asciiTheme="majorBidi" w:hAnsiTheme="majorBidi" w:cstheme="majorBidi"/>
        </w:rPr>
      </w:pPr>
      <w:r>
        <w:rPr>
          <w:rFonts w:asciiTheme="majorBidi" w:hAnsiTheme="majorBidi" w:cstheme="majorBidi"/>
        </w:rPr>
        <w:tab/>
      </w:r>
      <w:r w:rsidRPr="003C31B9">
        <w:rPr>
          <w:rFonts w:asciiTheme="majorBidi" w:hAnsiTheme="majorBidi" w:cstheme="majorBidi"/>
        </w:rPr>
        <w:t>Th</w:t>
      </w:r>
      <w:r w:rsidR="006C62C8">
        <w:rPr>
          <w:rFonts w:asciiTheme="majorBidi" w:hAnsiTheme="majorBidi" w:cstheme="majorBidi"/>
        </w:rPr>
        <w:t>e</w:t>
      </w:r>
      <w:r w:rsidRPr="003C31B9">
        <w:rPr>
          <w:rFonts w:asciiTheme="majorBidi" w:hAnsiTheme="majorBidi" w:cstheme="majorBidi"/>
        </w:rPr>
        <w:t xml:space="preserve"> declaration echoes the </w:t>
      </w:r>
      <w:r w:rsidR="00E743DD">
        <w:rPr>
          <w:rFonts w:asciiTheme="majorBidi" w:hAnsiTheme="majorBidi" w:cstheme="majorBidi"/>
        </w:rPr>
        <w:t>well-</w:t>
      </w:r>
      <w:r w:rsidRPr="003C31B9">
        <w:rPr>
          <w:rFonts w:asciiTheme="majorBidi" w:hAnsiTheme="majorBidi" w:cstheme="majorBidi"/>
        </w:rPr>
        <w:t>known precedent for this kind of widely publicized iconoclastic action</w:t>
      </w:r>
      <w:r w:rsidR="006C62C8">
        <w:rPr>
          <w:rFonts w:asciiTheme="majorBidi" w:hAnsiTheme="majorBidi" w:cstheme="majorBidi"/>
        </w:rPr>
        <w:t xml:space="preserve">, </w:t>
      </w:r>
      <w:r>
        <w:rPr>
          <w:rFonts w:asciiTheme="majorBidi" w:hAnsiTheme="majorBidi" w:cstheme="majorBidi"/>
        </w:rPr>
        <w:t>t</w:t>
      </w:r>
      <w:r w:rsidRPr="003C31B9">
        <w:rPr>
          <w:rFonts w:asciiTheme="majorBidi" w:hAnsiTheme="majorBidi" w:cstheme="majorBidi"/>
        </w:rPr>
        <w:t xml:space="preserve">he Taliban’s destruction </w:t>
      </w:r>
      <w:r>
        <w:rPr>
          <w:rFonts w:asciiTheme="majorBidi" w:hAnsiTheme="majorBidi" w:cstheme="majorBidi"/>
        </w:rPr>
        <w:t>in 2001</w:t>
      </w:r>
      <w:r w:rsidR="006C62C8">
        <w:rPr>
          <w:rFonts w:asciiTheme="majorBidi" w:hAnsiTheme="majorBidi" w:cstheme="majorBidi"/>
        </w:rPr>
        <w:t xml:space="preserve"> </w:t>
      </w:r>
      <w:r w:rsidRPr="003C31B9">
        <w:rPr>
          <w:rFonts w:asciiTheme="majorBidi" w:hAnsiTheme="majorBidi" w:cstheme="majorBidi"/>
        </w:rPr>
        <w:t xml:space="preserve">of the </w:t>
      </w:r>
      <w:r>
        <w:rPr>
          <w:rFonts w:asciiTheme="majorBidi" w:hAnsiTheme="majorBidi" w:cstheme="majorBidi"/>
        </w:rPr>
        <w:t xml:space="preserve">sixth </w:t>
      </w:r>
      <w:r w:rsidRPr="003C31B9">
        <w:rPr>
          <w:rFonts w:asciiTheme="majorBidi" w:hAnsiTheme="majorBidi" w:cstheme="majorBidi"/>
        </w:rPr>
        <w:t>century monumental standing Buddha statues in the Bamiyan valley of Afghanistan.</w:t>
      </w:r>
      <w:r>
        <w:rPr>
          <w:rStyle w:val="EndnoteReference"/>
          <w:rFonts w:asciiTheme="majorBidi" w:hAnsiTheme="majorBidi" w:cstheme="majorBidi"/>
        </w:rPr>
        <w:endnoteReference w:id="8"/>
      </w:r>
      <w:r w:rsidRPr="003C31B9">
        <w:rPr>
          <w:rFonts w:asciiTheme="majorBidi" w:hAnsiTheme="majorBidi" w:cstheme="majorBidi"/>
        </w:rPr>
        <w:t xml:space="preserve"> The Taliban’s edict announcing the destruction of the Buddhas stated that th</w:t>
      </w:r>
      <w:r w:rsidR="00637F91">
        <w:rPr>
          <w:rFonts w:asciiTheme="majorBidi" w:hAnsiTheme="majorBidi" w:cstheme="majorBidi"/>
        </w:rPr>
        <w:t>e</w:t>
      </w:r>
      <w:r w:rsidRPr="003C31B9">
        <w:rPr>
          <w:rFonts w:asciiTheme="majorBidi" w:hAnsiTheme="majorBidi" w:cstheme="majorBidi"/>
        </w:rPr>
        <w:t xml:space="preserve"> action </w:t>
      </w:r>
      <w:r w:rsidR="00637F91">
        <w:rPr>
          <w:rFonts w:asciiTheme="majorBidi" w:hAnsiTheme="majorBidi" w:cstheme="majorBidi"/>
        </w:rPr>
        <w:t xml:space="preserve">had been </w:t>
      </w:r>
      <w:r w:rsidRPr="003C31B9">
        <w:rPr>
          <w:rFonts w:asciiTheme="majorBidi" w:hAnsiTheme="majorBidi" w:cstheme="majorBidi"/>
        </w:rPr>
        <w:t xml:space="preserve">taken due to the characterization of the </w:t>
      </w:r>
      <w:r w:rsidRPr="003C31B9">
        <w:rPr>
          <w:rFonts w:asciiTheme="majorBidi" w:hAnsiTheme="majorBidi" w:cstheme="majorBidi"/>
        </w:rPr>
        <w:lastRenderedPageBreak/>
        <w:t>statues as “idols” and the need to suppress idolatry:</w:t>
      </w:r>
      <w:r>
        <w:rPr>
          <w:rFonts w:asciiTheme="majorBidi" w:hAnsiTheme="majorBidi" w:cstheme="majorBidi"/>
        </w:rPr>
        <w:t xml:space="preserve"> “</w:t>
      </w:r>
      <w:r w:rsidRPr="003C31B9">
        <w:rPr>
          <w:rFonts w:asciiTheme="majorBidi" w:hAnsiTheme="majorBidi" w:cstheme="majorBidi"/>
        </w:rPr>
        <w:t>Edict issued by the Islamic State of Afghanistan, in Kandahar on the 12th of Rabiul-Awwal 1421 (</w:t>
      </w:r>
      <w:r w:rsidR="00637F91">
        <w:rPr>
          <w:rFonts w:asciiTheme="majorBidi" w:hAnsiTheme="majorBidi" w:cstheme="majorBidi"/>
        </w:rPr>
        <w:t xml:space="preserve">26 </w:t>
      </w:r>
      <w:r w:rsidRPr="003C31B9">
        <w:rPr>
          <w:rFonts w:asciiTheme="majorBidi" w:hAnsiTheme="majorBidi" w:cstheme="majorBidi"/>
        </w:rPr>
        <w:t>February 2001): On the basis of consultations between the religious leaders of the Islamic Emirate of Afghanistan, religious judgments of the ulema and rulings of the Supreme Court of the Islamic Emirate of Afghanistan, all statues and non-Islamic shrines located in different parts of the Islamic Emirate of Afghanistan must be destroyed. These statues have been and remain shrines of unbelievers and these unbelievers continue to worship and respect the</w:t>
      </w:r>
      <w:r>
        <w:rPr>
          <w:rFonts w:asciiTheme="majorBidi" w:hAnsiTheme="majorBidi" w:cstheme="majorBidi"/>
        </w:rPr>
        <w:t>m.</w:t>
      </w:r>
      <w:r w:rsidRPr="003C31B9">
        <w:rPr>
          <w:rFonts w:asciiTheme="majorBidi" w:hAnsiTheme="majorBidi" w:cstheme="majorBidi"/>
        </w:rPr>
        <w:t>”</w:t>
      </w:r>
      <w:r>
        <w:rPr>
          <w:rStyle w:val="EndnoteReference"/>
          <w:rFonts w:asciiTheme="majorBidi" w:hAnsiTheme="majorBidi" w:cstheme="majorBidi"/>
        </w:rPr>
        <w:endnoteReference w:id="9"/>
      </w:r>
    </w:p>
    <w:p w14:paraId="3C5780AA" w14:textId="653D585E" w:rsidR="008B4BA7" w:rsidRPr="003C31B9" w:rsidRDefault="008B4BA7" w:rsidP="00E266A7">
      <w:pPr>
        <w:spacing w:line="480" w:lineRule="auto"/>
        <w:ind w:firstLine="720"/>
        <w:rPr>
          <w:rFonts w:asciiTheme="majorBidi" w:hAnsiTheme="majorBidi" w:cstheme="majorBidi"/>
        </w:rPr>
      </w:pPr>
      <w:r w:rsidRPr="003C31B9">
        <w:rPr>
          <w:rFonts w:asciiTheme="majorBidi" w:hAnsiTheme="majorBidi" w:cstheme="majorBidi"/>
        </w:rPr>
        <w:t xml:space="preserve">It is important to </w:t>
      </w:r>
      <w:r>
        <w:rPr>
          <w:rFonts w:asciiTheme="majorBidi" w:hAnsiTheme="majorBidi" w:cstheme="majorBidi"/>
        </w:rPr>
        <w:t>emphasize</w:t>
      </w:r>
      <w:r w:rsidRPr="003C31B9">
        <w:rPr>
          <w:rFonts w:asciiTheme="majorBidi" w:hAnsiTheme="majorBidi" w:cstheme="majorBidi"/>
        </w:rPr>
        <w:t xml:space="preserve"> that </w:t>
      </w:r>
      <w:r>
        <w:rPr>
          <w:rFonts w:asciiTheme="majorBidi" w:hAnsiTheme="majorBidi" w:cstheme="majorBidi"/>
        </w:rPr>
        <w:t>Da’esh</w:t>
      </w:r>
      <w:r w:rsidRPr="003C31B9">
        <w:rPr>
          <w:rFonts w:asciiTheme="majorBidi" w:hAnsiTheme="majorBidi" w:cstheme="majorBidi"/>
        </w:rPr>
        <w:t xml:space="preserve">’s and the Taliban’s focus on destroying pre-Islamic statues or other monuments as “idolatry” has no real historical grounding in the practices of the earliest Muslim “rightly guided” caliphs and does not represent mainstream Sunni Muslim belief or practice. In 2001, after the Taliban announced their edict, Sheikh Yusuf al-Qaradawi, an Egyptian cleric considered one of the most respected religious scholars of the </w:t>
      </w:r>
      <w:r>
        <w:rPr>
          <w:rFonts w:asciiTheme="majorBidi" w:hAnsiTheme="majorBidi" w:cstheme="majorBidi"/>
        </w:rPr>
        <w:t xml:space="preserve">modern </w:t>
      </w:r>
      <w:r w:rsidRPr="003C31B9">
        <w:rPr>
          <w:rFonts w:asciiTheme="majorBidi" w:hAnsiTheme="majorBidi" w:cstheme="majorBidi"/>
        </w:rPr>
        <w:t xml:space="preserve">Arab </w:t>
      </w:r>
      <w:r w:rsidR="00BD4D6D">
        <w:rPr>
          <w:rFonts w:asciiTheme="majorBidi" w:hAnsiTheme="majorBidi" w:cstheme="majorBidi"/>
        </w:rPr>
        <w:t xml:space="preserve">Muslim </w:t>
      </w:r>
      <w:r w:rsidRPr="003C31B9">
        <w:rPr>
          <w:rFonts w:asciiTheme="majorBidi" w:hAnsiTheme="majorBidi" w:cstheme="majorBidi"/>
        </w:rPr>
        <w:t>world</w:t>
      </w:r>
      <w:r w:rsidR="00916AE3">
        <w:rPr>
          <w:rFonts w:asciiTheme="majorBidi" w:hAnsiTheme="majorBidi" w:cstheme="majorBidi"/>
        </w:rPr>
        <w:t>,</w:t>
      </w:r>
      <w:r w:rsidRPr="003C31B9">
        <w:rPr>
          <w:rFonts w:asciiTheme="majorBidi" w:hAnsiTheme="majorBidi" w:cstheme="majorBidi"/>
        </w:rPr>
        <w:t xml:space="preserve"> stated: “The statues made by the elders who came before Islam are part of a historic patrimony. When the Muslims penetrated Afghanistan, in the first century of Hijra, these statues were already there, and they were not destroyed. I advised our brothers of the Taliban movement to reconsider their decision in light of the danger of its negative impact.</w:t>
      </w:r>
      <w:r w:rsidR="00B34CBB">
        <w:rPr>
          <w:rFonts w:asciiTheme="majorBidi" w:hAnsiTheme="majorBidi" w:cstheme="majorBidi"/>
        </w:rPr>
        <w:t>”</w:t>
      </w:r>
      <w:r>
        <w:rPr>
          <w:rStyle w:val="EndnoteReference"/>
          <w:rFonts w:asciiTheme="majorBidi" w:hAnsiTheme="majorBidi" w:cstheme="majorBidi"/>
        </w:rPr>
        <w:endnoteReference w:id="10"/>
      </w:r>
      <w:r>
        <w:rPr>
          <w:rFonts w:asciiTheme="majorBidi" w:hAnsiTheme="majorBidi" w:cstheme="majorBidi"/>
        </w:rPr>
        <w:t xml:space="preserve"> </w:t>
      </w:r>
      <w:r w:rsidRPr="003C31B9">
        <w:rPr>
          <w:rFonts w:asciiTheme="majorBidi" w:hAnsiTheme="majorBidi" w:cstheme="majorBidi"/>
        </w:rPr>
        <w:t xml:space="preserve">Similarly, Sabri Abdel Raouf, </w:t>
      </w:r>
      <w:r w:rsidR="00B34CBB">
        <w:rPr>
          <w:rFonts w:asciiTheme="majorBidi" w:hAnsiTheme="majorBidi" w:cstheme="majorBidi"/>
        </w:rPr>
        <w:t>c</w:t>
      </w:r>
      <w:r w:rsidRPr="003C31B9">
        <w:rPr>
          <w:rFonts w:asciiTheme="majorBidi" w:hAnsiTheme="majorBidi" w:cstheme="majorBidi"/>
        </w:rPr>
        <w:t xml:space="preserve">hief of the Division of Islamic Studies at </w:t>
      </w:r>
      <w:r w:rsidR="00B34CBB">
        <w:rPr>
          <w:rFonts w:asciiTheme="majorBidi" w:hAnsiTheme="majorBidi" w:cstheme="majorBidi"/>
        </w:rPr>
        <w:t>a</w:t>
      </w:r>
      <w:r w:rsidRPr="003C31B9">
        <w:rPr>
          <w:rFonts w:asciiTheme="majorBidi" w:hAnsiTheme="majorBidi" w:cstheme="majorBidi"/>
        </w:rPr>
        <w:t>l-Azhar University</w:t>
      </w:r>
      <w:r>
        <w:rPr>
          <w:rFonts w:asciiTheme="majorBidi" w:hAnsiTheme="majorBidi" w:cstheme="majorBidi"/>
        </w:rPr>
        <w:t xml:space="preserve"> in </w:t>
      </w:r>
      <w:r w:rsidRPr="003C31B9">
        <w:rPr>
          <w:rFonts w:asciiTheme="majorBidi" w:hAnsiTheme="majorBidi" w:cstheme="majorBidi"/>
        </w:rPr>
        <w:t>Cairo, stated that “statues intended for worship can be forbidden as contrary to Islam but statues that are not worshipped are not forbidden</w:t>
      </w:r>
      <w:r>
        <w:rPr>
          <w:rFonts w:asciiTheme="majorBidi" w:hAnsiTheme="majorBidi" w:cstheme="majorBidi"/>
        </w:rPr>
        <w:t>.</w:t>
      </w:r>
      <w:r w:rsidRPr="003C31B9">
        <w:rPr>
          <w:rFonts w:asciiTheme="majorBidi" w:hAnsiTheme="majorBidi" w:cstheme="majorBidi"/>
        </w:rPr>
        <w:t>”</w:t>
      </w:r>
      <w:r>
        <w:rPr>
          <w:rStyle w:val="EndnoteReference"/>
          <w:rFonts w:asciiTheme="majorBidi" w:hAnsiTheme="majorBidi" w:cstheme="majorBidi"/>
        </w:rPr>
        <w:endnoteReference w:id="11"/>
      </w:r>
      <w:r w:rsidRPr="003C31B9">
        <w:rPr>
          <w:rFonts w:asciiTheme="majorBidi" w:hAnsiTheme="majorBidi" w:cstheme="majorBidi"/>
        </w:rPr>
        <w:t xml:space="preserve"> The views of these scholars were incorporated into the 2001 Doha Declaration on Islam and Cultural Heritage:</w:t>
      </w:r>
      <w:r w:rsidR="00FA5535">
        <w:rPr>
          <w:rFonts w:asciiTheme="majorBidi" w:hAnsiTheme="majorBidi" w:cstheme="majorBidi"/>
        </w:rPr>
        <w:t xml:space="preserve"> </w:t>
      </w:r>
      <w:r w:rsidRPr="003C31B9">
        <w:rPr>
          <w:rFonts w:asciiTheme="majorBidi" w:hAnsiTheme="majorBidi" w:cstheme="majorBidi"/>
        </w:rPr>
        <w:t>“The ulam</w:t>
      </w:r>
      <w:r w:rsidR="000C3395">
        <w:rPr>
          <w:rFonts w:asciiTheme="majorBidi" w:hAnsiTheme="majorBidi" w:cstheme="majorBidi"/>
        </w:rPr>
        <w:t>a</w:t>
      </w:r>
      <w:r w:rsidRPr="003C31B9">
        <w:rPr>
          <w:rFonts w:asciiTheme="majorBidi" w:hAnsiTheme="majorBidi" w:cstheme="majorBidi"/>
        </w:rPr>
        <w:t xml:space="preserve"> participating in the Symposium affirmed that the position of Islam with regard to the preservation of the human cultural heritage derives from its appreciation of innate human values and from respect for peoples’ beliefs. They explained that the position of Islam regarding the preservation of the </w:t>
      </w:r>
      <w:r w:rsidRPr="003C31B9">
        <w:rPr>
          <w:rFonts w:asciiTheme="majorBidi" w:hAnsiTheme="majorBidi" w:cstheme="majorBidi"/>
        </w:rPr>
        <w:lastRenderedPageBreak/>
        <w:t>cultural heritage is a firm position of principle which expresses the very essence of the Islamic religion. Any individual or collective behaviour which is at variance with that position in no way reflects the Islamic position as expressed by the ulam</w:t>
      </w:r>
      <w:r w:rsidR="006428D2">
        <w:rPr>
          <w:rFonts w:asciiTheme="majorBidi" w:hAnsiTheme="majorBidi" w:cstheme="majorBidi"/>
        </w:rPr>
        <w:t>a</w:t>
      </w:r>
      <w:r w:rsidRPr="003C31B9">
        <w:rPr>
          <w:rFonts w:asciiTheme="majorBidi" w:hAnsiTheme="majorBidi" w:cstheme="majorBidi"/>
        </w:rPr>
        <w:t xml:space="preserve"> and fuqah</w:t>
      </w:r>
      <w:r w:rsidR="006428D2">
        <w:rPr>
          <w:rFonts w:asciiTheme="majorBidi" w:hAnsiTheme="majorBidi" w:cstheme="majorBidi"/>
        </w:rPr>
        <w:t>a</w:t>
      </w:r>
      <w:r w:rsidRPr="003C31B9">
        <w:rPr>
          <w:rFonts w:asciiTheme="majorBidi" w:hAnsiTheme="majorBidi" w:cstheme="majorBidi"/>
        </w:rPr>
        <w:t xml:space="preserve"> (Islamic jurists) of the umma (</w:t>
      </w:r>
      <w:r>
        <w:rPr>
          <w:rFonts w:asciiTheme="majorBidi" w:hAnsiTheme="majorBidi" w:cstheme="majorBidi"/>
        </w:rPr>
        <w:t>community</w:t>
      </w:r>
      <w:r w:rsidRPr="003C31B9">
        <w:rPr>
          <w:rFonts w:asciiTheme="majorBidi" w:hAnsiTheme="majorBidi" w:cstheme="majorBidi"/>
        </w:rPr>
        <w:t xml:space="preserve"> of Islam)</w:t>
      </w:r>
      <w:r>
        <w:rPr>
          <w:rFonts w:asciiTheme="majorBidi" w:hAnsiTheme="majorBidi" w:cstheme="majorBidi"/>
        </w:rPr>
        <w:t>.”</w:t>
      </w:r>
      <w:r>
        <w:rPr>
          <w:rStyle w:val="EndnoteReference"/>
          <w:rFonts w:asciiTheme="majorBidi" w:hAnsiTheme="majorBidi" w:cstheme="majorBidi"/>
        </w:rPr>
        <w:endnoteReference w:id="12"/>
      </w:r>
      <w:r>
        <w:rPr>
          <w:rFonts w:asciiTheme="majorBidi" w:hAnsiTheme="majorBidi" w:cstheme="majorBidi"/>
        </w:rPr>
        <w:t xml:space="preserve"> </w:t>
      </w:r>
      <w:r w:rsidRPr="003C31B9">
        <w:rPr>
          <w:rFonts w:asciiTheme="majorBidi" w:hAnsiTheme="majorBidi" w:cstheme="majorBidi"/>
        </w:rPr>
        <w:t xml:space="preserve">Clearly, </w:t>
      </w:r>
      <w:r>
        <w:rPr>
          <w:rFonts w:asciiTheme="majorBidi" w:hAnsiTheme="majorBidi" w:cstheme="majorBidi"/>
        </w:rPr>
        <w:t>Da’esh</w:t>
      </w:r>
      <w:r w:rsidRPr="003C31B9">
        <w:rPr>
          <w:rFonts w:asciiTheme="majorBidi" w:hAnsiTheme="majorBidi" w:cstheme="majorBidi"/>
        </w:rPr>
        <w:t>’s commitment to the destruction of pre-Islamic and non-Islamic statues, monuments, and art</w:t>
      </w:r>
      <w:r>
        <w:rPr>
          <w:rFonts w:asciiTheme="majorBidi" w:hAnsiTheme="majorBidi" w:cstheme="majorBidi"/>
        </w:rPr>
        <w:t>—</w:t>
      </w:r>
      <w:r w:rsidRPr="003C31B9">
        <w:rPr>
          <w:rFonts w:asciiTheme="majorBidi" w:hAnsiTheme="majorBidi" w:cstheme="majorBidi"/>
        </w:rPr>
        <w:t>regardless of whether they were actually being worshipped</w:t>
      </w:r>
      <w:r>
        <w:rPr>
          <w:rFonts w:asciiTheme="majorBidi" w:hAnsiTheme="majorBidi" w:cstheme="majorBidi"/>
        </w:rPr>
        <w:t>—</w:t>
      </w:r>
      <w:r w:rsidRPr="003C31B9">
        <w:rPr>
          <w:rFonts w:asciiTheme="majorBidi" w:hAnsiTheme="majorBidi" w:cstheme="majorBidi"/>
        </w:rPr>
        <w:t xml:space="preserve">represents an extreme fundamentalist view at variance with the formally declared beliefs of mainstream Sunni Islam. </w:t>
      </w:r>
    </w:p>
    <w:p w14:paraId="366C570D" w14:textId="35D2F05F" w:rsidR="008B4BA7" w:rsidRPr="003C31B9" w:rsidRDefault="008B4BA7" w:rsidP="00F4698F">
      <w:pPr>
        <w:autoSpaceDE w:val="0"/>
        <w:autoSpaceDN w:val="0"/>
        <w:adjustRightInd w:val="0"/>
        <w:spacing w:line="480" w:lineRule="auto"/>
        <w:ind w:right="-720" w:firstLine="720"/>
        <w:rPr>
          <w:rFonts w:asciiTheme="majorBidi" w:hAnsiTheme="majorBidi" w:cstheme="majorBidi"/>
        </w:rPr>
      </w:pPr>
      <w:r>
        <w:rPr>
          <w:rFonts w:asciiTheme="majorBidi" w:hAnsiTheme="majorBidi" w:cstheme="majorBidi"/>
        </w:rPr>
        <w:t>Da’esh</w:t>
      </w:r>
      <w:r w:rsidRPr="003C31B9">
        <w:rPr>
          <w:rFonts w:asciiTheme="majorBidi" w:hAnsiTheme="majorBidi" w:cstheme="majorBidi"/>
        </w:rPr>
        <w:t xml:space="preserve">’s devastation of both ancient and modern cultural heritage was so effective because it took place in a well-integrated system that combined religious ideology, a political agenda, extreme violence, and </w:t>
      </w:r>
      <w:r w:rsidR="00F70ED9">
        <w:rPr>
          <w:rFonts w:asciiTheme="majorBidi" w:hAnsiTheme="majorBidi" w:cstheme="majorBidi"/>
        </w:rPr>
        <w:t>Internet</w:t>
      </w:r>
      <w:r w:rsidRPr="003C31B9">
        <w:rPr>
          <w:rFonts w:asciiTheme="majorBidi" w:hAnsiTheme="majorBidi" w:cstheme="majorBidi"/>
        </w:rPr>
        <w:t>-based communication</w:t>
      </w:r>
      <w:r>
        <w:rPr>
          <w:rFonts w:asciiTheme="majorBidi" w:hAnsiTheme="majorBidi" w:cstheme="majorBidi"/>
        </w:rPr>
        <w:t xml:space="preserve">. </w:t>
      </w:r>
      <w:r w:rsidRPr="003C31B9">
        <w:rPr>
          <w:rFonts w:asciiTheme="majorBidi" w:hAnsiTheme="majorBidi" w:cstheme="majorBidi"/>
        </w:rPr>
        <w:t xml:space="preserve">Michael Danti describes </w:t>
      </w:r>
      <w:r>
        <w:rPr>
          <w:rFonts w:asciiTheme="majorBidi" w:hAnsiTheme="majorBidi" w:cstheme="majorBidi"/>
        </w:rPr>
        <w:t>Da’esh</w:t>
      </w:r>
      <w:r w:rsidRPr="003C31B9">
        <w:rPr>
          <w:rFonts w:asciiTheme="majorBidi" w:hAnsiTheme="majorBidi" w:cstheme="majorBidi"/>
        </w:rPr>
        <w:t>’s attacks on heritage as “performative destruction” to emphasize their public character</w:t>
      </w:r>
      <w:r>
        <w:rPr>
          <w:rFonts w:asciiTheme="majorBidi" w:hAnsiTheme="majorBidi" w:cstheme="majorBidi"/>
        </w:rPr>
        <w:t xml:space="preserve">: </w:t>
      </w:r>
      <w:r w:rsidRPr="003C31B9">
        <w:rPr>
          <w:rFonts w:asciiTheme="majorBidi" w:hAnsiTheme="majorBidi" w:cstheme="majorBidi"/>
        </w:rPr>
        <w:t>“Performative deliberate destructions are scripted productions with ISIL militants delivering speeches and reciting religious passages on camera, purporting that the targeted heritage is idolatrous or heretical within their interpretation of Islam</w:t>
      </w:r>
      <w:r w:rsidR="00F70ED9">
        <w:rPr>
          <w:rFonts w:asciiTheme="majorBidi" w:hAnsiTheme="majorBidi" w:cstheme="majorBidi"/>
        </w:rPr>
        <w:t>.</w:t>
      </w:r>
      <w:r>
        <w:rPr>
          <w:rFonts w:asciiTheme="majorBidi" w:hAnsiTheme="majorBidi" w:cstheme="majorBidi"/>
        </w:rPr>
        <w:t xml:space="preserve"> … </w:t>
      </w:r>
      <w:r w:rsidRPr="003C31B9">
        <w:rPr>
          <w:rFonts w:asciiTheme="majorBidi" w:hAnsiTheme="majorBidi" w:cstheme="majorBidi"/>
        </w:rPr>
        <w:t xml:space="preserve">These diatribes are followed by meticulously edited film sequences showing destructions of architecture and sculpture using explosives, heavy machinery, and hand tools. Videos and still photos are then posted on the internet with ISIL branding or are featured in the ISIL magazine </w:t>
      </w:r>
      <w:r w:rsidRPr="00E266A7">
        <w:rPr>
          <w:rFonts w:asciiTheme="majorBidi" w:hAnsiTheme="majorBidi" w:cstheme="majorBidi"/>
          <w:i/>
          <w:iCs/>
        </w:rPr>
        <w:t>Dabiq</w:t>
      </w:r>
      <w:r w:rsidRPr="00852A1C">
        <w:rPr>
          <w:rFonts w:asciiTheme="majorBidi" w:hAnsiTheme="majorBidi" w:cstheme="majorBidi"/>
        </w:rPr>
        <w:t>.”</w:t>
      </w:r>
      <w:r w:rsidRPr="00852A1C">
        <w:rPr>
          <w:rStyle w:val="EndnoteReference"/>
          <w:rFonts w:asciiTheme="majorBidi" w:hAnsiTheme="majorBidi" w:cstheme="majorBidi"/>
        </w:rPr>
        <w:endnoteReference w:id="13"/>
      </w:r>
      <w:r w:rsidRPr="00852A1C">
        <w:rPr>
          <w:rFonts w:asciiTheme="majorBidi" w:hAnsiTheme="majorBidi" w:cstheme="majorBidi"/>
        </w:rPr>
        <w:t xml:space="preserve"> </w:t>
      </w:r>
      <w:r w:rsidR="001D0A22">
        <w:rPr>
          <w:rFonts w:asciiTheme="majorBidi" w:hAnsiTheme="majorBidi" w:cstheme="majorBidi"/>
        </w:rPr>
        <w:t>T</w:t>
      </w:r>
      <w:r w:rsidRPr="003C31B9">
        <w:rPr>
          <w:rFonts w:asciiTheme="majorBidi" w:hAnsiTheme="majorBidi" w:cstheme="majorBidi"/>
        </w:rPr>
        <w:t xml:space="preserve">he importance of these actions goes far beyond </w:t>
      </w:r>
      <w:r>
        <w:rPr>
          <w:rFonts w:asciiTheme="majorBidi" w:hAnsiTheme="majorBidi" w:cstheme="majorBidi"/>
        </w:rPr>
        <w:t xml:space="preserve">Da’esh </w:t>
      </w:r>
      <w:r w:rsidRPr="003C31B9">
        <w:rPr>
          <w:rFonts w:asciiTheme="majorBidi" w:hAnsiTheme="majorBidi" w:cstheme="majorBidi"/>
        </w:rPr>
        <w:t xml:space="preserve">and </w:t>
      </w:r>
      <w:r>
        <w:rPr>
          <w:rFonts w:asciiTheme="majorBidi" w:hAnsiTheme="majorBidi" w:cstheme="majorBidi"/>
        </w:rPr>
        <w:t xml:space="preserve">may </w:t>
      </w:r>
      <w:r w:rsidRPr="003C31B9">
        <w:rPr>
          <w:rFonts w:asciiTheme="majorBidi" w:hAnsiTheme="majorBidi" w:cstheme="majorBidi"/>
        </w:rPr>
        <w:t>foreshadow the emergence of a broader-based</w:t>
      </w:r>
      <w:r>
        <w:rPr>
          <w:rFonts w:asciiTheme="majorBidi" w:hAnsiTheme="majorBidi" w:cstheme="majorBidi"/>
        </w:rPr>
        <w:t xml:space="preserve"> </w:t>
      </w:r>
      <w:r w:rsidRPr="003C31B9">
        <w:rPr>
          <w:rFonts w:asciiTheme="majorBidi" w:hAnsiTheme="majorBidi" w:cstheme="majorBidi"/>
        </w:rPr>
        <w:t xml:space="preserve">new paradigm of performative destruction that could threaten people and patrimony in unprecedented ways at a global level. </w:t>
      </w:r>
    </w:p>
    <w:p w14:paraId="7554514E" w14:textId="6618BB81" w:rsidR="008B4BA7" w:rsidRPr="003C31B9" w:rsidRDefault="008B4BA7" w:rsidP="00F4698F">
      <w:pPr>
        <w:spacing w:line="480" w:lineRule="auto"/>
        <w:ind w:firstLine="720"/>
        <w:rPr>
          <w:rFonts w:asciiTheme="majorBidi" w:hAnsiTheme="majorBidi" w:cstheme="majorBidi"/>
        </w:rPr>
      </w:pPr>
      <w:r w:rsidRPr="003C31B9">
        <w:rPr>
          <w:rFonts w:asciiTheme="majorBidi" w:hAnsiTheme="majorBidi" w:cstheme="majorBidi"/>
        </w:rPr>
        <w:t xml:space="preserve"> </w:t>
      </w:r>
      <w:r>
        <w:rPr>
          <w:rFonts w:asciiTheme="majorBidi" w:hAnsiTheme="majorBidi" w:cstheme="majorBidi"/>
        </w:rPr>
        <w:t>Da’esh</w:t>
      </w:r>
      <w:r w:rsidRPr="003C31B9">
        <w:rPr>
          <w:rFonts w:asciiTheme="majorBidi" w:hAnsiTheme="majorBidi" w:cstheme="majorBidi"/>
        </w:rPr>
        <w:t xml:space="preserve">’s performative destruction of objects, monuments, and sites was a religiously and politically motivated public propagandistic act of cultural genocide </w:t>
      </w:r>
      <w:r>
        <w:rPr>
          <w:rFonts w:asciiTheme="majorBidi" w:hAnsiTheme="majorBidi" w:cstheme="majorBidi"/>
        </w:rPr>
        <w:t>accompan</w:t>
      </w:r>
      <w:r w:rsidR="004F6013">
        <w:rPr>
          <w:rFonts w:asciiTheme="majorBidi" w:hAnsiTheme="majorBidi" w:cstheme="majorBidi"/>
        </w:rPr>
        <w:t>ying</w:t>
      </w:r>
      <w:r>
        <w:rPr>
          <w:rFonts w:asciiTheme="majorBidi" w:hAnsiTheme="majorBidi" w:cstheme="majorBidi"/>
        </w:rPr>
        <w:t xml:space="preserve"> </w:t>
      </w:r>
      <w:r w:rsidRPr="003C31B9">
        <w:rPr>
          <w:rFonts w:asciiTheme="majorBidi" w:hAnsiTheme="majorBidi" w:cstheme="majorBidi"/>
        </w:rPr>
        <w:t xml:space="preserve">the destruction of people and communities through </w:t>
      </w:r>
      <w:r w:rsidR="009411A0">
        <w:rPr>
          <w:rFonts w:asciiTheme="majorBidi" w:hAnsiTheme="majorBidi" w:cstheme="majorBidi"/>
        </w:rPr>
        <w:t xml:space="preserve">physical </w:t>
      </w:r>
      <w:r w:rsidRPr="003C31B9">
        <w:rPr>
          <w:rFonts w:asciiTheme="majorBidi" w:hAnsiTheme="majorBidi" w:cstheme="majorBidi"/>
        </w:rPr>
        <w:t>genocide as defined in international law</w:t>
      </w:r>
      <w:r>
        <w:rPr>
          <w:rFonts w:asciiTheme="majorBidi" w:hAnsiTheme="majorBidi" w:cstheme="majorBidi"/>
        </w:rPr>
        <w:t>.</w:t>
      </w:r>
      <w:r>
        <w:rPr>
          <w:rStyle w:val="EndnoteReference"/>
          <w:rFonts w:asciiTheme="majorBidi" w:hAnsiTheme="majorBidi" w:cstheme="majorBidi"/>
        </w:rPr>
        <w:endnoteReference w:id="14"/>
      </w:r>
      <w:r w:rsidRPr="003C31B9">
        <w:rPr>
          <w:rFonts w:asciiTheme="majorBidi" w:hAnsiTheme="majorBidi" w:cstheme="majorBidi"/>
        </w:rPr>
        <w:t xml:space="preserve"> </w:t>
      </w:r>
      <w:r>
        <w:rPr>
          <w:rFonts w:asciiTheme="majorBidi" w:hAnsiTheme="majorBidi" w:cstheme="majorBidi"/>
        </w:rPr>
        <w:t>These</w:t>
      </w:r>
      <w:r w:rsidRPr="003C31B9">
        <w:rPr>
          <w:rFonts w:asciiTheme="majorBidi" w:hAnsiTheme="majorBidi" w:cstheme="majorBidi"/>
        </w:rPr>
        <w:t xml:space="preserve"> attacks were </w:t>
      </w:r>
      <w:r>
        <w:rPr>
          <w:rFonts w:asciiTheme="majorBidi" w:hAnsiTheme="majorBidi" w:cstheme="majorBidi"/>
        </w:rPr>
        <w:t xml:space="preserve">so </w:t>
      </w:r>
      <w:r w:rsidRPr="003C31B9">
        <w:rPr>
          <w:rFonts w:asciiTheme="majorBidi" w:hAnsiTheme="majorBidi" w:cstheme="majorBidi"/>
        </w:rPr>
        <w:t xml:space="preserve">effective because they were embedded in a well-integrated system </w:t>
      </w:r>
      <w:r w:rsidRPr="003C31B9">
        <w:rPr>
          <w:rFonts w:asciiTheme="majorBidi" w:hAnsiTheme="majorBidi" w:cstheme="majorBidi"/>
        </w:rPr>
        <w:lastRenderedPageBreak/>
        <w:t xml:space="preserve">that combined religious ideology, a political agenda, </w:t>
      </w:r>
      <w:r>
        <w:rPr>
          <w:rFonts w:asciiTheme="majorBidi" w:hAnsiTheme="majorBidi" w:cstheme="majorBidi"/>
        </w:rPr>
        <w:t>extreme violence</w:t>
      </w:r>
      <w:r w:rsidRPr="003C31B9">
        <w:rPr>
          <w:rFonts w:asciiTheme="majorBidi" w:hAnsiTheme="majorBidi" w:cstheme="majorBidi"/>
        </w:rPr>
        <w:t>, and sophisticated propaganda</w:t>
      </w:r>
      <w:r>
        <w:rPr>
          <w:rFonts w:asciiTheme="majorBidi" w:hAnsiTheme="majorBidi" w:cstheme="majorBidi"/>
        </w:rPr>
        <w:t>—</w:t>
      </w:r>
      <w:r w:rsidRPr="003C31B9">
        <w:rPr>
          <w:rFonts w:asciiTheme="majorBidi" w:hAnsiTheme="majorBidi" w:cstheme="majorBidi"/>
        </w:rPr>
        <w:t xml:space="preserve">all amplified at a global scale to reach multiple, targeted audiences through </w:t>
      </w:r>
      <w:r w:rsidR="00F70ED9">
        <w:rPr>
          <w:rFonts w:asciiTheme="majorBidi" w:hAnsiTheme="majorBidi" w:cstheme="majorBidi"/>
        </w:rPr>
        <w:t>Internet</w:t>
      </w:r>
      <w:r w:rsidRPr="003C31B9">
        <w:rPr>
          <w:rFonts w:asciiTheme="majorBidi" w:hAnsiTheme="majorBidi" w:cstheme="majorBidi"/>
        </w:rPr>
        <w:t xml:space="preserve"> videos, digital magazines, and other social media. </w:t>
      </w:r>
      <w:r w:rsidR="00992976">
        <w:rPr>
          <w:rFonts w:asciiTheme="majorBidi" w:hAnsiTheme="majorBidi" w:cstheme="majorBidi"/>
        </w:rPr>
        <w:t>N</w:t>
      </w:r>
      <w:r w:rsidRPr="003C31B9">
        <w:rPr>
          <w:rFonts w:asciiTheme="majorBidi" w:hAnsiTheme="majorBidi" w:cstheme="majorBidi"/>
        </w:rPr>
        <w:t xml:space="preserve">onhierarchical channels of </w:t>
      </w:r>
      <w:r w:rsidR="00F70ED9">
        <w:rPr>
          <w:rFonts w:asciiTheme="majorBidi" w:hAnsiTheme="majorBidi" w:cstheme="majorBidi"/>
        </w:rPr>
        <w:t>Internet</w:t>
      </w:r>
      <w:r w:rsidRPr="003C31B9">
        <w:rPr>
          <w:rFonts w:asciiTheme="majorBidi" w:hAnsiTheme="majorBidi" w:cstheme="majorBidi"/>
        </w:rPr>
        <w:t xml:space="preserve"> communication make these messages extremely difficult to counter or suppress. </w:t>
      </w:r>
    </w:p>
    <w:p w14:paraId="6A4E537B" w14:textId="41453E45" w:rsidR="008B4BA7" w:rsidRPr="002935AD" w:rsidRDefault="008B4BA7" w:rsidP="00F4698F">
      <w:pPr>
        <w:autoSpaceDE w:val="0"/>
        <w:autoSpaceDN w:val="0"/>
        <w:adjustRightInd w:val="0"/>
        <w:spacing w:line="480" w:lineRule="auto"/>
        <w:ind w:firstLine="720"/>
        <w:rPr>
          <w:rFonts w:asciiTheme="majorBidi" w:hAnsiTheme="majorBidi" w:cstheme="majorBidi"/>
          <w:color w:val="211D1E"/>
        </w:rPr>
      </w:pPr>
      <w:r w:rsidRPr="003C31B9">
        <w:rPr>
          <w:rFonts w:asciiTheme="majorBidi" w:hAnsiTheme="majorBidi" w:cstheme="majorBidi"/>
          <w:color w:val="211D1E"/>
        </w:rPr>
        <w:t xml:space="preserve">Although public acts of iconoclasm have </w:t>
      </w:r>
      <w:r>
        <w:rPr>
          <w:rFonts w:asciiTheme="majorBidi" w:hAnsiTheme="majorBidi" w:cstheme="majorBidi"/>
          <w:color w:val="211D1E"/>
        </w:rPr>
        <w:t>a long history,</w:t>
      </w:r>
      <w:r>
        <w:rPr>
          <w:rStyle w:val="EndnoteReference"/>
          <w:rFonts w:asciiTheme="majorBidi" w:hAnsiTheme="majorBidi" w:cstheme="majorBidi"/>
          <w:color w:val="211D1E"/>
        </w:rPr>
        <w:endnoteReference w:id="15"/>
      </w:r>
      <w:r w:rsidRPr="003C31B9">
        <w:rPr>
          <w:rFonts w:asciiTheme="majorBidi" w:hAnsiTheme="majorBidi" w:cstheme="majorBidi"/>
          <w:color w:val="211D1E"/>
        </w:rPr>
        <w:t xml:space="preserve"> performative destruction as defined here is qualitatively different, </w:t>
      </w:r>
      <w:r w:rsidR="00441C52">
        <w:rPr>
          <w:rFonts w:asciiTheme="majorBidi" w:hAnsiTheme="majorBidi" w:cstheme="majorBidi"/>
          <w:color w:val="211D1E"/>
        </w:rPr>
        <w:t xml:space="preserve">is </w:t>
      </w:r>
      <w:r w:rsidRPr="003C31B9">
        <w:rPr>
          <w:rFonts w:asciiTheme="majorBidi" w:hAnsiTheme="majorBidi" w:cstheme="majorBidi"/>
          <w:color w:val="211D1E"/>
        </w:rPr>
        <w:t xml:space="preserve">innovative, and has proved to be </w:t>
      </w:r>
      <w:r w:rsidR="00992976">
        <w:rPr>
          <w:rFonts w:asciiTheme="majorBidi" w:hAnsiTheme="majorBidi" w:cstheme="majorBidi"/>
          <w:color w:val="211D1E"/>
        </w:rPr>
        <w:t xml:space="preserve">a </w:t>
      </w:r>
      <w:r w:rsidRPr="003C31B9">
        <w:rPr>
          <w:rFonts w:asciiTheme="majorBidi" w:hAnsiTheme="majorBidi" w:cstheme="majorBidi"/>
          <w:color w:val="211D1E"/>
        </w:rPr>
        <w:t>highly effective</w:t>
      </w:r>
      <w:r>
        <w:rPr>
          <w:rFonts w:asciiTheme="majorBidi" w:hAnsiTheme="majorBidi" w:cstheme="majorBidi"/>
          <w:color w:val="211D1E"/>
        </w:rPr>
        <w:t xml:space="preserve"> </w:t>
      </w:r>
      <w:r w:rsidRPr="003C31B9">
        <w:rPr>
          <w:rFonts w:asciiTheme="majorBidi" w:hAnsiTheme="majorBidi" w:cstheme="majorBidi"/>
          <w:color w:val="211D1E"/>
        </w:rPr>
        <w:t>strategy for propaganda and recruitment at a global scale.</w:t>
      </w:r>
      <w:r>
        <w:rPr>
          <w:rFonts w:asciiTheme="majorBidi" w:hAnsiTheme="majorBidi" w:cstheme="majorBidi"/>
          <w:color w:val="211D1E"/>
        </w:rPr>
        <w:t xml:space="preserve"> </w:t>
      </w:r>
      <w:r w:rsidRPr="003C31B9">
        <w:rPr>
          <w:rFonts w:asciiTheme="majorBidi" w:hAnsiTheme="majorBidi" w:cstheme="majorBidi"/>
          <w:color w:val="211D1E"/>
        </w:rPr>
        <w:t>Publicly broadcast imagery intensifie</w:t>
      </w:r>
      <w:r>
        <w:rPr>
          <w:rFonts w:asciiTheme="majorBidi" w:hAnsiTheme="majorBidi" w:cstheme="majorBidi"/>
          <w:color w:val="211D1E"/>
        </w:rPr>
        <w:t>d</w:t>
      </w:r>
      <w:r w:rsidRPr="003C31B9">
        <w:rPr>
          <w:rFonts w:asciiTheme="majorBidi" w:hAnsiTheme="majorBidi" w:cstheme="majorBidi"/>
          <w:color w:val="211D1E"/>
        </w:rPr>
        <w:t xml:space="preserve"> the visual and emotional impact of victories, killings, and heritage destruction. </w:t>
      </w:r>
      <w:r>
        <w:rPr>
          <w:rFonts w:asciiTheme="majorBidi" w:hAnsiTheme="majorBidi" w:cstheme="majorBidi"/>
          <w:color w:val="211D1E"/>
        </w:rPr>
        <w:t>Da’esh</w:t>
      </w:r>
      <w:r w:rsidRPr="003C31B9">
        <w:rPr>
          <w:rFonts w:asciiTheme="majorBidi" w:hAnsiTheme="majorBidi" w:cstheme="majorBidi"/>
          <w:color w:val="211D1E"/>
        </w:rPr>
        <w:t xml:space="preserve">’s demolitions of cultural heritage monuments and shrines </w:t>
      </w:r>
      <w:r>
        <w:rPr>
          <w:rFonts w:asciiTheme="majorBidi" w:hAnsiTheme="majorBidi" w:cstheme="majorBidi"/>
          <w:color w:val="211D1E"/>
        </w:rPr>
        <w:t>were</w:t>
      </w:r>
      <w:r w:rsidRPr="003C31B9">
        <w:rPr>
          <w:rFonts w:asciiTheme="majorBidi" w:hAnsiTheme="majorBidi" w:cstheme="majorBidi"/>
          <w:color w:val="211D1E"/>
        </w:rPr>
        <w:t xml:space="preserve"> performed as acts of religiously justified cultural genocide linked with the actual killing of targeted ethnicities and faith communities.</w:t>
      </w:r>
      <w:r>
        <w:rPr>
          <w:rFonts w:asciiTheme="majorBidi" w:hAnsiTheme="majorBidi" w:cstheme="majorBidi"/>
          <w:color w:val="211D1E"/>
        </w:rPr>
        <w:t xml:space="preserve"> </w:t>
      </w:r>
      <w:r w:rsidRPr="003C31B9">
        <w:rPr>
          <w:rFonts w:asciiTheme="majorBidi" w:hAnsiTheme="majorBidi" w:cstheme="majorBidi"/>
        </w:rPr>
        <w:t xml:space="preserve">This use of the </w:t>
      </w:r>
      <w:r w:rsidR="00F70ED9">
        <w:rPr>
          <w:rFonts w:asciiTheme="majorBidi" w:hAnsiTheme="majorBidi" w:cstheme="majorBidi"/>
        </w:rPr>
        <w:t>Internet</w:t>
      </w:r>
      <w:r w:rsidRPr="003C31B9">
        <w:rPr>
          <w:rFonts w:asciiTheme="majorBidi" w:hAnsiTheme="majorBidi" w:cstheme="majorBidi"/>
        </w:rPr>
        <w:t xml:space="preserve"> for performative destruction has been characterized as “digitally mediated iconoclasm</w:t>
      </w:r>
      <w:r>
        <w:rPr>
          <w:rFonts w:asciiTheme="majorBidi" w:hAnsiTheme="majorBidi" w:cstheme="majorBidi"/>
        </w:rPr>
        <w:t>”</w:t>
      </w:r>
      <w:r>
        <w:rPr>
          <w:rStyle w:val="EndnoteReference"/>
          <w:rFonts w:asciiTheme="majorBidi" w:hAnsiTheme="majorBidi" w:cstheme="majorBidi"/>
        </w:rPr>
        <w:endnoteReference w:id="16"/>
      </w:r>
      <w:r w:rsidRPr="003C31B9">
        <w:rPr>
          <w:rFonts w:asciiTheme="majorBidi" w:hAnsiTheme="majorBidi" w:cstheme="majorBidi"/>
        </w:rPr>
        <w:t xml:space="preserve"> and</w:t>
      </w:r>
      <w:r w:rsidRPr="003C31B9">
        <w:rPr>
          <w:rFonts w:asciiTheme="majorBidi" w:eastAsiaTheme="minorHAnsi" w:hAnsiTheme="majorBidi" w:cstheme="majorBidi"/>
        </w:rPr>
        <w:t xml:space="preserve"> </w:t>
      </w:r>
      <w:r w:rsidRPr="003C31B9">
        <w:rPr>
          <w:rFonts w:asciiTheme="majorBidi" w:hAnsiTheme="majorBidi" w:cstheme="majorBidi"/>
        </w:rPr>
        <w:t>“socially mediated terrorism”</w:t>
      </w:r>
      <w:r w:rsidR="006F4F49">
        <w:rPr>
          <w:rFonts w:asciiTheme="majorBidi" w:hAnsiTheme="majorBidi" w:cstheme="majorBidi"/>
        </w:rPr>
        <w:t xml:space="preserve">: </w:t>
      </w:r>
      <w:r w:rsidR="00441C52">
        <w:rPr>
          <w:rFonts w:asciiTheme="majorBidi" w:hAnsiTheme="majorBidi" w:cstheme="majorBidi"/>
        </w:rPr>
        <w:t>“</w:t>
      </w:r>
      <w:r w:rsidRPr="003C31B9">
        <w:rPr>
          <w:rFonts w:asciiTheme="majorBidi" w:hAnsiTheme="majorBidi" w:cstheme="majorBidi"/>
        </w:rPr>
        <w:t>the use of social and networked media to increase the impact of violent acts undertaken to further a social, political and/or religious cause with the aim of creating physical, emotional or psychological suffering that extends beyond the immediate audience</w:t>
      </w:r>
      <w:r>
        <w:rPr>
          <w:rFonts w:asciiTheme="majorBidi" w:hAnsiTheme="majorBidi" w:cstheme="majorBidi"/>
        </w:rPr>
        <w:t>.</w:t>
      </w:r>
      <w:r w:rsidRPr="003C31B9">
        <w:rPr>
          <w:rFonts w:asciiTheme="majorBidi" w:hAnsiTheme="majorBidi" w:cstheme="majorBidi"/>
        </w:rPr>
        <w:t>”</w:t>
      </w:r>
      <w:r>
        <w:rPr>
          <w:rStyle w:val="EndnoteReference"/>
          <w:rFonts w:asciiTheme="majorBidi" w:hAnsiTheme="majorBidi" w:cstheme="majorBidi"/>
        </w:rPr>
        <w:endnoteReference w:id="17"/>
      </w:r>
      <w:r w:rsidRPr="003C31B9">
        <w:rPr>
          <w:rFonts w:asciiTheme="majorBidi" w:hAnsiTheme="majorBidi" w:cstheme="majorBidi"/>
        </w:rPr>
        <w:t xml:space="preserve"> </w:t>
      </w:r>
    </w:p>
    <w:p w14:paraId="5794588F" w14:textId="1872B57C" w:rsidR="008B4BA7" w:rsidRPr="003C31B9" w:rsidRDefault="008B4BA7" w:rsidP="00F4698F">
      <w:pPr>
        <w:autoSpaceDE w:val="0"/>
        <w:autoSpaceDN w:val="0"/>
        <w:adjustRightInd w:val="0"/>
        <w:spacing w:line="480" w:lineRule="auto"/>
        <w:ind w:firstLine="720"/>
        <w:rPr>
          <w:rFonts w:asciiTheme="majorBidi" w:hAnsiTheme="majorBidi" w:cstheme="majorBidi"/>
          <w:color w:val="211D1E"/>
        </w:rPr>
      </w:pPr>
      <w:r w:rsidRPr="003C31B9">
        <w:rPr>
          <w:rFonts w:asciiTheme="majorBidi" w:hAnsiTheme="majorBidi" w:cstheme="majorBidi"/>
          <w:color w:val="211D1E"/>
        </w:rPr>
        <w:t xml:space="preserve">In performative destruction, the </w:t>
      </w:r>
      <w:r w:rsidR="00F70ED9">
        <w:rPr>
          <w:rFonts w:asciiTheme="majorBidi" w:hAnsiTheme="majorBidi" w:cstheme="majorBidi"/>
          <w:color w:val="211D1E"/>
        </w:rPr>
        <w:t>Internet</w:t>
      </w:r>
      <w:r w:rsidRPr="003C31B9">
        <w:rPr>
          <w:rFonts w:asciiTheme="majorBidi" w:hAnsiTheme="majorBidi" w:cstheme="majorBidi"/>
          <w:color w:val="211D1E"/>
        </w:rPr>
        <w:t xml:space="preserve"> and social media are used to reach </w:t>
      </w:r>
      <w:r>
        <w:rPr>
          <w:rFonts w:asciiTheme="majorBidi" w:hAnsiTheme="majorBidi" w:cstheme="majorBidi"/>
          <w:color w:val="211D1E"/>
        </w:rPr>
        <w:t>diverse, global</w:t>
      </w:r>
      <w:r w:rsidRPr="003C31B9">
        <w:rPr>
          <w:rFonts w:asciiTheme="majorBidi" w:hAnsiTheme="majorBidi" w:cstheme="majorBidi"/>
          <w:color w:val="211D1E"/>
        </w:rPr>
        <w:t xml:space="preserve"> audiences with targeted messages designed to accomplish multiple goals: </w:t>
      </w:r>
    </w:p>
    <w:p w14:paraId="7116464E" w14:textId="03A9166A" w:rsidR="008B4BA7" w:rsidRPr="00E266A7" w:rsidRDefault="008B4BA7" w:rsidP="00E266A7">
      <w:pPr>
        <w:pStyle w:val="ListParagraph"/>
        <w:numPr>
          <w:ilvl w:val="0"/>
          <w:numId w:val="3"/>
        </w:numPr>
        <w:autoSpaceDE w:val="0"/>
        <w:autoSpaceDN w:val="0"/>
        <w:adjustRightInd w:val="0"/>
        <w:spacing w:line="480" w:lineRule="auto"/>
        <w:rPr>
          <w:rFonts w:asciiTheme="majorBidi" w:hAnsiTheme="majorBidi" w:cstheme="majorBidi"/>
          <w:color w:val="211D1E"/>
        </w:rPr>
      </w:pPr>
      <w:r w:rsidRPr="00E266A7">
        <w:rPr>
          <w:rFonts w:asciiTheme="majorBidi" w:hAnsiTheme="majorBidi" w:cstheme="majorBidi"/>
          <w:color w:val="211D1E"/>
        </w:rPr>
        <w:t xml:space="preserve">Establish </w:t>
      </w:r>
      <w:r w:rsidR="00552C1D">
        <w:rPr>
          <w:rFonts w:asciiTheme="majorBidi" w:hAnsiTheme="majorBidi" w:cstheme="majorBidi"/>
          <w:color w:val="211D1E"/>
        </w:rPr>
        <w:t xml:space="preserve">the </w:t>
      </w:r>
      <w:r w:rsidRPr="00E266A7">
        <w:rPr>
          <w:rFonts w:asciiTheme="majorBidi" w:hAnsiTheme="majorBidi" w:cstheme="majorBidi"/>
          <w:color w:val="211D1E"/>
        </w:rPr>
        <w:t>ideological and political legitimacy of the organization</w:t>
      </w:r>
      <w:r w:rsidR="008E32E4">
        <w:rPr>
          <w:rFonts w:asciiTheme="majorBidi" w:hAnsiTheme="majorBidi" w:cstheme="majorBidi"/>
          <w:color w:val="211D1E"/>
        </w:rPr>
        <w:t>;</w:t>
      </w:r>
    </w:p>
    <w:p w14:paraId="7E940ECD" w14:textId="08CD951C" w:rsidR="008B4BA7" w:rsidRPr="00E266A7" w:rsidRDefault="008B4BA7" w:rsidP="00E266A7">
      <w:pPr>
        <w:pStyle w:val="ListParagraph"/>
        <w:numPr>
          <w:ilvl w:val="0"/>
          <w:numId w:val="3"/>
        </w:numPr>
        <w:autoSpaceDE w:val="0"/>
        <w:autoSpaceDN w:val="0"/>
        <w:adjustRightInd w:val="0"/>
        <w:spacing w:line="480" w:lineRule="auto"/>
        <w:rPr>
          <w:rFonts w:asciiTheme="majorBidi" w:hAnsiTheme="majorBidi" w:cstheme="majorBidi"/>
          <w:color w:val="211D1E"/>
        </w:rPr>
      </w:pPr>
      <w:r w:rsidRPr="00E266A7">
        <w:rPr>
          <w:rFonts w:asciiTheme="majorBidi" w:hAnsiTheme="majorBidi" w:cstheme="majorBidi"/>
          <w:color w:val="211D1E"/>
        </w:rPr>
        <w:t>Recruit followers at local and international levels</w:t>
      </w:r>
      <w:r w:rsidR="008E32E4">
        <w:rPr>
          <w:rFonts w:asciiTheme="majorBidi" w:hAnsiTheme="majorBidi" w:cstheme="majorBidi"/>
          <w:color w:val="211D1E"/>
        </w:rPr>
        <w:t>;</w:t>
      </w:r>
    </w:p>
    <w:p w14:paraId="1108C10B" w14:textId="50A2FE18" w:rsidR="008B4BA7" w:rsidRPr="00E266A7" w:rsidRDefault="008B4BA7" w:rsidP="00E266A7">
      <w:pPr>
        <w:pStyle w:val="ListParagraph"/>
        <w:numPr>
          <w:ilvl w:val="0"/>
          <w:numId w:val="3"/>
        </w:numPr>
        <w:autoSpaceDE w:val="0"/>
        <w:autoSpaceDN w:val="0"/>
        <w:adjustRightInd w:val="0"/>
        <w:spacing w:line="480" w:lineRule="auto"/>
        <w:rPr>
          <w:rFonts w:asciiTheme="majorBidi" w:hAnsiTheme="majorBidi" w:cstheme="majorBidi"/>
          <w:color w:val="211D1E"/>
        </w:rPr>
      </w:pPr>
      <w:r w:rsidRPr="00E266A7">
        <w:rPr>
          <w:rFonts w:asciiTheme="majorBidi" w:hAnsiTheme="majorBidi" w:cstheme="majorBidi"/>
          <w:color w:val="211D1E"/>
        </w:rPr>
        <w:t>Terrorize and demoralize local enemies by amplifying victories and atrocities</w:t>
      </w:r>
      <w:r w:rsidR="008E32E4">
        <w:rPr>
          <w:rFonts w:asciiTheme="majorBidi" w:hAnsiTheme="majorBidi" w:cstheme="majorBidi"/>
          <w:color w:val="211D1E"/>
        </w:rPr>
        <w:t>;</w:t>
      </w:r>
    </w:p>
    <w:p w14:paraId="17E26C22" w14:textId="17FAB291" w:rsidR="008B4BA7" w:rsidRPr="00E266A7" w:rsidRDefault="008B4BA7" w:rsidP="00E266A7">
      <w:pPr>
        <w:pStyle w:val="ListParagraph"/>
        <w:numPr>
          <w:ilvl w:val="0"/>
          <w:numId w:val="3"/>
        </w:numPr>
        <w:autoSpaceDE w:val="0"/>
        <w:autoSpaceDN w:val="0"/>
        <w:adjustRightInd w:val="0"/>
        <w:spacing w:line="480" w:lineRule="auto"/>
        <w:rPr>
          <w:rFonts w:asciiTheme="majorBidi" w:hAnsiTheme="majorBidi" w:cstheme="majorBidi"/>
          <w:color w:val="211D1E"/>
        </w:rPr>
      </w:pPr>
      <w:r w:rsidRPr="00E266A7">
        <w:rPr>
          <w:rFonts w:asciiTheme="majorBidi" w:hAnsiTheme="majorBidi" w:cstheme="majorBidi"/>
          <w:color w:val="211D1E"/>
        </w:rPr>
        <w:t>Promote the group relative to other competing groups</w:t>
      </w:r>
      <w:r w:rsidR="008E32E4">
        <w:rPr>
          <w:rFonts w:asciiTheme="majorBidi" w:hAnsiTheme="majorBidi" w:cstheme="majorBidi"/>
          <w:color w:val="211D1E"/>
        </w:rPr>
        <w:t>; and</w:t>
      </w:r>
    </w:p>
    <w:p w14:paraId="2BE25318" w14:textId="3C01CA99" w:rsidR="008B4BA7" w:rsidRPr="00E266A7" w:rsidRDefault="008B4BA7" w:rsidP="00E266A7">
      <w:pPr>
        <w:pStyle w:val="ListParagraph"/>
        <w:numPr>
          <w:ilvl w:val="0"/>
          <w:numId w:val="3"/>
        </w:numPr>
        <w:autoSpaceDE w:val="0"/>
        <w:autoSpaceDN w:val="0"/>
        <w:adjustRightInd w:val="0"/>
        <w:spacing w:line="480" w:lineRule="auto"/>
        <w:rPr>
          <w:rFonts w:asciiTheme="majorBidi" w:hAnsiTheme="majorBidi" w:cstheme="majorBidi"/>
          <w:color w:val="211D1E"/>
        </w:rPr>
      </w:pPr>
      <w:r w:rsidRPr="00E266A7">
        <w:rPr>
          <w:rFonts w:asciiTheme="majorBidi" w:hAnsiTheme="majorBidi" w:cstheme="majorBidi"/>
          <w:color w:val="211D1E"/>
        </w:rPr>
        <w:t xml:space="preserve">Provoke enemy states through attacks on heritage, while polarizing Western states and the Islamic World. </w:t>
      </w:r>
    </w:p>
    <w:p w14:paraId="0D2D163D" w14:textId="436336ED" w:rsidR="008B4BA7" w:rsidRPr="003C31B9" w:rsidRDefault="00DE366C" w:rsidP="00F4698F">
      <w:pPr>
        <w:autoSpaceDE w:val="0"/>
        <w:autoSpaceDN w:val="0"/>
        <w:adjustRightInd w:val="0"/>
        <w:spacing w:line="480" w:lineRule="auto"/>
        <w:rPr>
          <w:rFonts w:asciiTheme="majorBidi" w:hAnsiTheme="majorBidi" w:cstheme="majorBidi"/>
          <w:color w:val="211D1E"/>
        </w:rPr>
      </w:pPr>
      <w:r>
        <w:rPr>
          <w:rFonts w:asciiTheme="majorBidi" w:hAnsiTheme="majorBidi" w:cstheme="majorBidi"/>
        </w:rPr>
        <w:lastRenderedPageBreak/>
        <w:t xml:space="preserve">Nonstate armed groups </w:t>
      </w:r>
      <w:r w:rsidR="008B4BA7" w:rsidRPr="003C31B9">
        <w:rPr>
          <w:rFonts w:asciiTheme="majorBidi" w:hAnsiTheme="majorBidi" w:cstheme="majorBidi"/>
        </w:rPr>
        <w:t xml:space="preserve">such as </w:t>
      </w:r>
      <w:r w:rsidR="008B4BA7">
        <w:rPr>
          <w:rFonts w:asciiTheme="majorBidi" w:hAnsiTheme="majorBidi" w:cstheme="majorBidi"/>
        </w:rPr>
        <w:t>Da’esh</w:t>
      </w:r>
      <w:r w:rsidR="008B4BA7" w:rsidRPr="003C31B9">
        <w:rPr>
          <w:rFonts w:asciiTheme="majorBidi" w:hAnsiTheme="majorBidi" w:cstheme="majorBidi"/>
        </w:rPr>
        <w:t xml:space="preserve"> require a continuous communicative effort through digital media to legitimize </w:t>
      </w:r>
      <w:r w:rsidR="00963D00">
        <w:rPr>
          <w:rFonts w:asciiTheme="majorBidi" w:hAnsiTheme="majorBidi" w:cstheme="majorBidi"/>
        </w:rPr>
        <w:t>and constantly relegit</w:t>
      </w:r>
      <w:r w:rsidR="003835EE">
        <w:rPr>
          <w:rFonts w:asciiTheme="majorBidi" w:hAnsiTheme="majorBidi" w:cstheme="majorBidi"/>
        </w:rPr>
        <w:t>i</w:t>
      </w:r>
      <w:r w:rsidR="00963D00">
        <w:rPr>
          <w:rFonts w:asciiTheme="majorBidi" w:hAnsiTheme="majorBidi" w:cstheme="majorBidi"/>
        </w:rPr>
        <w:t>m</w:t>
      </w:r>
      <w:r w:rsidR="003835EE">
        <w:rPr>
          <w:rFonts w:asciiTheme="majorBidi" w:hAnsiTheme="majorBidi" w:cstheme="majorBidi"/>
        </w:rPr>
        <w:t>i</w:t>
      </w:r>
      <w:r w:rsidR="00963D00">
        <w:rPr>
          <w:rFonts w:asciiTheme="majorBidi" w:hAnsiTheme="majorBidi" w:cstheme="majorBidi"/>
        </w:rPr>
        <w:t xml:space="preserve">ze </w:t>
      </w:r>
      <w:r w:rsidR="008B4BA7" w:rsidRPr="003C31B9">
        <w:rPr>
          <w:rFonts w:asciiTheme="majorBidi" w:hAnsiTheme="majorBidi" w:cstheme="majorBidi"/>
        </w:rPr>
        <w:t xml:space="preserve">themselves by establishing </w:t>
      </w:r>
      <w:r w:rsidR="002A0865">
        <w:rPr>
          <w:rFonts w:asciiTheme="majorBidi" w:hAnsiTheme="majorBidi" w:cstheme="majorBidi"/>
        </w:rPr>
        <w:t xml:space="preserve">and maintaining </w:t>
      </w:r>
      <w:r w:rsidR="008B4BA7" w:rsidRPr="003C31B9">
        <w:rPr>
          <w:rFonts w:asciiTheme="majorBidi" w:hAnsiTheme="majorBidi" w:cstheme="majorBidi"/>
        </w:rPr>
        <w:t>the greater authenticity of their religious credentials as distinct from rival groups</w:t>
      </w:r>
      <w:r w:rsidR="008B4BA7">
        <w:rPr>
          <w:rFonts w:asciiTheme="majorBidi" w:hAnsiTheme="majorBidi" w:cstheme="majorBidi"/>
        </w:rPr>
        <w:t>.</w:t>
      </w:r>
      <w:r w:rsidR="008B4BA7">
        <w:rPr>
          <w:rStyle w:val="EndnoteReference"/>
          <w:rFonts w:asciiTheme="majorBidi" w:hAnsiTheme="majorBidi" w:cstheme="majorBidi"/>
        </w:rPr>
        <w:endnoteReference w:id="18"/>
      </w:r>
      <w:r w:rsidR="008B4BA7" w:rsidRPr="003C31B9">
        <w:rPr>
          <w:rFonts w:asciiTheme="majorBidi" w:hAnsiTheme="majorBidi" w:cstheme="majorBidi"/>
        </w:rPr>
        <w:t xml:space="preserve"> </w:t>
      </w:r>
      <w:r w:rsidR="008B4BA7" w:rsidRPr="003C31B9">
        <w:rPr>
          <w:rFonts w:asciiTheme="majorBidi" w:hAnsiTheme="majorBidi" w:cstheme="majorBidi"/>
          <w:color w:val="211D1E"/>
        </w:rPr>
        <w:t xml:space="preserve">The viral character of </w:t>
      </w:r>
      <w:r w:rsidR="00F70ED9">
        <w:rPr>
          <w:rFonts w:asciiTheme="majorBidi" w:hAnsiTheme="majorBidi" w:cstheme="majorBidi"/>
          <w:color w:val="211D1E"/>
        </w:rPr>
        <w:t>Internet</w:t>
      </w:r>
      <w:r w:rsidR="008B4BA7" w:rsidRPr="003C31B9">
        <w:rPr>
          <w:rFonts w:asciiTheme="majorBidi" w:hAnsiTheme="majorBidi" w:cstheme="majorBidi"/>
          <w:color w:val="211D1E"/>
        </w:rPr>
        <w:t xml:space="preserve"> </w:t>
      </w:r>
      <w:r w:rsidR="00471F5B">
        <w:rPr>
          <w:rFonts w:asciiTheme="majorBidi" w:hAnsiTheme="majorBidi" w:cstheme="majorBidi"/>
          <w:color w:val="211D1E"/>
        </w:rPr>
        <w:t>communication</w:t>
      </w:r>
      <w:r w:rsidR="006A5BB3">
        <w:rPr>
          <w:rFonts w:asciiTheme="majorBidi" w:hAnsiTheme="majorBidi" w:cstheme="majorBidi"/>
          <w:color w:val="211D1E"/>
        </w:rPr>
        <w:t>, including</w:t>
      </w:r>
      <w:r w:rsidR="00471F5B">
        <w:rPr>
          <w:rFonts w:asciiTheme="majorBidi" w:hAnsiTheme="majorBidi" w:cstheme="majorBidi"/>
          <w:color w:val="211D1E"/>
        </w:rPr>
        <w:t xml:space="preserve"> social </w:t>
      </w:r>
      <w:r w:rsidR="00144B31">
        <w:rPr>
          <w:rFonts w:asciiTheme="majorBidi" w:hAnsiTheme="majorBidi" w:cstheme="majorBidi"/>
          <w:color w:val="211D1E"/>
        </w:rPr>
        <w:t>media</w:t>
      </w:r>
      <w:r w:rsidR="006A5BB3">
        <w:rPr>
          <w:rFonts w:asciiTheme="majorBidi" w:hAnsiTheme="majorBidi" w:cstheme="majorBidi"/>
          <w:color w:val="211D1E"/>
        </w:rPr>
        <w:t>,</w:t>
      </w:r>
      <w:r w:rsidR="00144B31">
        <w:rPr>
          <w:rFonts w:asciiTheme="majorBidi" w:hAnsiTheme="majorBidi" w:cstheme="majorBidi"/>
          <w:color w:val="211D1E"/>
        </w:rPr>
        <w:t xml:space="preserve"> makes such </w:t>
      </w:r>
      <w:r w:rsidR="008B4BA7" w:rsidRPr="003C31B9">
        <w:rPr>
          <w:rFonts w:asciiTheme="majorBidi" w:hAnsiTheme="majorBidi" w:cstheme="majorBidi"/>
          <w:color w:val="211D1E"/>
        </w:rPr>
        <w:t xml:space="preserve">messages extremely difficult to counter or suppress. </w:t>
      </w:r>
    </w:p>
    <w:p w14:paraId="4B3344D8" w14:textId="00E6E591" w:rsidR="008B4BA7" w:rsidRPr="006A2EB4" w:rsidRDefault="008B4BA7" w:rsidP="00F4698F">
      <w:pPr>
        <w:autoSpaceDE w:val="0"/>
        <w:autoSpaceDN w:val="0"/>
        <w:adjustRightInd w:val="0"/>
        <w:spacing w:line="480" w:lineRule="auto"/>
        <w:ind w:firstLine="720"/>
        <w:rPr>
          <w:rFonts w:asciiTheme="majorBidi" w:hAnsiTheme="majorBidi" w:cstheme="majorBidi"/>
        </w:rPr>
      </w:pPr>
      <w:r>
        <w:rPr>
          <w:rFonts w:asciiTheme="majorBidi" w:hAnsiTheme="majorBidi" w:cstheme="majorBidi"/>
        </w:rPr>
        <w:t>T</w:t>
      </w:r>
      <w:r w:rsidRPr="003C31B9">
        <w:rPr>
          <w:rFonts w:asciiTheme="majorBidi" w:hAnsiTheme="majorBidi" w:cstheme="majorBidi"/>
        </w:rPr>
        <w:t xml:space="preserve">he </w:t>
      </w:r>
      <w:r>
        <w:rPr>
          <w:rFonts w:asciiTheme="majorBidi" w:hAnsiTheme="majorBidi" w:cstheme="majorBidi"/>
        </w:rPr>
        <w:t>Da’esh</w:t>
      </w:r>
      <w:r w:rsidRPr="003C31B9">
        <w:rPr>
          <w:rFonts w:asciiTheme="majorBidi" w:hAnsiTheme="majorBidi" w:cstheme="majorBidi"/>
        </w:rPr>
        <w:t xml:space="preserve"> strategy of performative destruction also relied heavily on its online magazine </w:t>
      </w:r>
      <w:r w:rsidRPr="00E266A7">
        <w:rPr>
          <w:rFonts w:asciiTheme="majorBidi" w:hAnsiTheme="majorBidi" w:cstheme="majorBidi"/>
          <w:i/>
          <w:iCs/>
        </w:rPr>
        <w:t>Dabiq</w:t>
      </w:r>
      <w:r w:rsidRPr="003C31B9">
        <w:rPr>
          <w:rFonts w:asciiTheme="majorBidi" w:hAnsiTheme="majorBidi" w:cstheme="majorBidi"/>
        </w:rPr>
        <w:t xml:space="preserve"> to complement online video</w:t>
      </w:r>
      <w:r>
        <w:rPr>
          <w:rFonts w:asciiTheme="majorBidi" w:hAnsiTheme="majorBidi" w:cstheme="majorBidi"/>
        </w:rPr>
        <w:t>s</w:t>
      </w:r>
      <w:r w:rsidRPr="003C31B9">
        <w:rPr>
          <w:rFonts w:asciiTheme="majorBidi" w:hAnsiTheme="majorBidi" w:cstheme="majorBidi"/>
        </w:rPr>
        <w:t xml:space="preserve"> and social media posting</w:t>
      </w:r>
      <w:r>
        <w:rPr>
          <w:rFonts w:asciiTheme="majorBidi" w:hAnsiTheme="majorBidi" w:cstheme="majorBidi"/>
        </w:rPr>
        <w:t>s</w:t>
      </w:r>
      <w:r w:rsidRPr="003C31B9">
        <w:rPr>
          <w:rFonts w:asciiTheme="majorBidi" w:hAnsiTheme="majorBidi" w:cstheme="majorBidi"/>
        </w:rPr>
        <w:t xml:space="preserve"> by explaining and amplifying at greater length the ideological bases for its iconoclastic actions. The name of the magazine is significant</w:t>
      </w:r>
      <w:r w:rsidR="00645D60">
        <w:rPr>
          <w:rFonts w:asciiTheme="majorBidi" w:hAnsiTheme="majorBidi" w:cstheme="majorBidi"/>
        </w:rPr>
        <w:t>:</w:t>
      </w:r>
      <w:r w:rsidRPr="003C31B9">
        <w:rPr>
          <w:rFonts w:asciiTheme="majorBidi" w:hAnsiTheme="majorBidi" w:cstheme="majorBidi"/>
        </w:rPr>
        <w:t xml:space="preserve"> Dabiq is a place in north</w:t>
      </w:r>
      <w:r w:rsidR="00645D60">
        <w:rPr>
          <w:rFonts w:asciiTheme="majorBidi" w:hAnsiTheme="majorBidi" w:cstheme="majorBidi"/>
        </w:rPr>
        <w:t>ern</w:t>
      </w:r>
      <w:r w:rsidRPr="003C31B9">
        <w:rPr>
          <w:rFonts w:asciiTheme="majorBidi" w:hAnsiTheme="majorBidi" w:cstheme="majorBidi"/>
        </w:rPr>
        <w:t xml:space="preserve"> Syria where, according to early Muslim traditions, the final apocalyptic battle between Islam and Christianity will take place</w:t>
      </w:r>
      <w:r>
        <w:rPr>
          <w:rFonts w:asciiTheme="majorBidi" w:hAnsiTheme="majorBidi" w:cstheme="majorBidi"/>
        </w:rPr>
        <w:t>.</w:t>
      </w:r>
      <w:r>
        <w:rPr>
          <w:rStyle w:val="EndnoteReference"/>
          <w:rFonts w:asciiTheme="majorBidi" w:hAnsiTheme="majorBidi" w:cstheme="majorBidi"/>
        </w:rPr>
        <w:endnoteReference w:id="19"/>
      </w:r>
      <w:r w:rsidRPr="003C31B9">
        <w:rPr>
          <w:rFonts w:asciiTheme="majorBidi" w:hAnsiTheme="majorBidi" w:cstheme="majorBidi"/>
        </w:rPr>
        <w:t xml:space="preserve"> Published online in Arabic, English, German, and French from 2014</w:t>
      </w:r>
      <w:r w:rsidR="00C1720B">
        <w:rPr>
          <w:rFonts w:asciiTheme="majorBidi" w:hAnsiTheme="majorBidi" w:cstheme="majorBidi"/>
        </w:rPr>
        <w:t xml:space="preserve"> to </w:t>
      </w:r>
      <w:r w:rsidRPr="003C31B9">
        <w:rPr>
          <w:rFonts w:asciiTheme="majorBidi" w:hAnsiTheme="majorBidi" w:cstheme="majorBidi"/>
        </w:rPr>
        <w:t xml:space="preserve">2016, </w:t>
      </w:r>
      <w:r w:rsidRPr="00E266A7">
        <w:rPr>
          <w:rFonts w:asciiTheme="majorBidi" w:hAnsiTheme="majorBidi" w:cstheme="majorBidi"/>
          <w:i/>
          <w:iCs/>
        </w:rPr>
        <w:t>Dabiq</w:t>
      </w:r>
      <w:r w:rsidRPr="003C31B9">
        <w:rPr>
          <w:rFonts w:asciiTheme="majorBidi" w:hAnsiTheme="majorBidi" w:cstheme="majorBidi"/>
        </w:rPr>
        <w:t xml:space="preserve"> served a number of strategic purposes. </w:t>
      </w:r>
      <w:r>
        <w:rPr>
          <w:rFonts w:asciiTheme="majorBidi" w:hAnsiTheme="majorBidi" w:cstheme="majorBidi"/>
        </w:rPr>
        <w:t>A primary goal</w:t>
      </w:r>
      <w:r w:rsidRPr="003C31B9">
        <w:rPr>
          <w:rFonts w:asciiTheme="majorBidi" w:hAnsiTheme="majorBidi" w:cstheme="majorBidi"/>
        </w:rPr>
        <w:t xml:space="preserve"> was to call on Muslims </w:t>
      </w:r>
      <w:r>
        <w:rPr>
          <w:rFonts w:asciiTheme="majorBidi" w:hAnsiTheme="majorBidi" w:cstheme="majorBidi"/>
        </w:rPr>
        <w:t xml:space="preserve">worldwide </w:t>
      </w:r>
      <w:r w:rsidRPr="003C31B9">
        <w:rPr>
          <w:rFonts w:asciiTheme="majorBidi" w:hAnsiTheme="majorBidi" w:cstheme="majorBidi"/>
        </w:rPr>
        <w:t xml:space="preserve">to support </w:t>
      </w:r>
      <w:r>
        <w:rPr>
          <w:rFonts w:asciiTheme="majorBidi" w:hAnsiTheme="majorBidi" w:cstheme="majorBidi"/>
        </w:rPr>
        <w:t xml:space="preserve">Da’esh </w:t>
      </w:r>
      <w:r w:rsidRPr="003C31B9">
        <w:rPr>
          <w:rFonts w:asciiTheme="majorBidi" w:hAnsiTheme="majorBidi" w:cstheme="majorBidi"/>
        </w:rPr>
        <w:t>by emigrating to Syria and Iraq to join the caliphate.</w:t>
      </w:r>
      <w:r>
        <w:rPr>
          <w:rFonts w:asciiTheme="majorBidi" w:hAnsiTheme="majorBidi" w:cstheme="majorBidi"/>
        </w:rPr>
        <w:t xml:space="preserve"> </w:t>
      </w:r>
      <w:r w:rsidRPr="00E266A7">
        <w:rPr>
          <w:rFonts w:asciiTheme="majorBidi" w:hAnsiTheme="majorBidi" w:cstheme="majorBidi"/>
          <w:i/>
          <w:iCs/>
        </w:rPr>
        <w:t>Dabiq</w:t>
      </w:r>
      <w:r w:rsidRPr="003C31B9">
        <w:rPr>
          <w:rFonts w:asciiTheme="majorBidi" w:hAnsiTheme="majorBidi" w:cstheme="majorBidi"/>
        </w:rPr>
        <w:t xml:space="preserve"> use</w:t>
      </w:r>
      <w:r w:rsidR="000B2387">
        <w:rPr>
          <w:rFonts w:asciiTheme="majorBidi" w:hAnsiTheme="majorBidi" w:cstheme="majorBidi"/>
        </w:rPr>
        <w:t>d</w:t>
      </w:r>
      <w:r w:rsidRPr="003C31B9">
        <w:rPr>
          <w:rFonts w:asciiTheme="majorBidi" w:hAnsiTheme="majorBidi" w:cstheme="majorBidi"/>
        </w:rPr>
        <w:t xml:space="preserve"> carefully written accessible text with high quality graphics </w:t>
      </w:r>
      <w:r w:rsidR="000B2387">
        <w:rPr>
          <w:rFonts w:asciiTheme="majorBidi" w:hAnsiTheme="majorBidi" w:cstheme="majorBidi"/>
        </w:rPr>
        <w:t xml:space="preserve">to </w:t>
      </w:r>
      <w:r w:rsidRPr="003C31B9">
        <w:rPr>
          <w:rFonts w:asciiTheme="majorBidi" w:hAnsiTheme="majorBidi" w:cstheme="majorBidi"/>
        </w:rPr>
        <w:t xml:space="preserve">describe </w:t>
      </w:r>
      <w:r>
        <w:rPr>
          <w:rFonts w:asciiTheme="majorBidi" w:hAnsiTheme="majorBidi" w:cstheme="majorBidi"/>
        </w:rPr>
        <w:t>Da’esh</w:t>
      </w:r>
      <w:r w:rsidRPr="003C31B9">
        <w:rPr>
          <w:rFonts w:asciiTheme="majorBidi" w:hAnsiTheme="majorBidi" w:cstheme="majorBidi"/>
        </w:rPr>
        <w:t>’s success in gaining the support of the Syrian population, report success</w:t>
      </w:r>
      <w:r>
        <w:rPr>
          <w:rFonts w:asciiTheme="majorBidi" w:hAnsiTheme="majorBidi" w:cstheme="majorBidi"/>
        </w:rPr>
        <w:t>ful</w:t>
      </w:r>
      <w:r w:rsidRPr="003C31B9">
        <w:rPr>
          <w:rFonts w:asciiTheme="majorBidi" w:hAnsiTheme="majorBidi" w:cstheme="majorBidi"/>
        </w:rPr>
        <w:t xml:space="preserve"> military operations</w:t>
      </w:r>
      <w:r w:rsidR="000B2387">
        <w:rPr>
          <w:rFonts w:asciiTheme="majorBidi" w:hAnsiTheme="majorBidi" w:cstheme="majorBidi"/>
        </w:rPr>
        <w:t>,</w:t>
      </w:r>
      <w:r w:rsidRPr="003C31B9">
        <w:rPr>
          <w:rFonts w:asciiTheme="majorBidi" w:hAnsiTheme="majorBidi" w:cstheme="majorBidi"/>
        </w:rPr>
        <w:t xml:space="preserve"> and graphically portray its own violence against Shi’ites, Sufis, Yazidis, and other </w:t>
      </w:r>
      <w:r>
        <w:rPr>
          <w:rFonts w:asciiTheme="majorBidi" w:hAnsiTheme="majorBidi" w:cstheme="majorBidi"/>
        </w:rPr>
        <w:t>enemies</w:t>
      </w:r>
      <w:r w:rsidRPr="003C31B9">
        <w:rPr>
          <w:rFonts w:asciiTheme="majorBidi" w:hAnsiTheme="majorBidi" w:cstheme="majorBidi"/>
        </w:rPr>
        <w:t xml:space="preserve">. In fifteen thematic issues, </w:t>
      </w:r>
      <w:r w:rsidRPr="00E266A7">
        <w:rPr>
          <w:rFonts w:asciiTheme="majorBidi" w:hAnsiTheme="majorBidi" w:cstheme="majorBidi"/>
          <w:i/>
          <w:iCs/>
        </w:rPr>
        <w:t>Dabiq</w:t>
      </w:r>
      <w:r w:rsidRPr="003C31B9">
        <w:rPr>
          <w:rFonts w:asciiTheme="majorBidi" w:hAnsiTheme="majorBidi" w:cstheme="majorBidi"/>
        </w:rPr>
        <w:t xml:space="preserve"> used classic Islamic texts to explain and justify the nature of the caliphate, its intentions, legitimacy</w:t>
      </w:r>
      <w:r w:rsidR="008225FD">
        <w:rPr>
          <w:rFonts w:asciiTheme="majorBidi" w:hAnsiTheme="majorBidi" w:cstheme="majorBidi"/>
        </w:rPr>
        <w:t>,</w:t>
      </w:r>
      <w:r w:rsidRPr="003C31B9">
        <w:rPr>
          <w:rFonts w:asciiTheme="majorBidi" w:hAnsiTheme="majorBidi" w:cstheme="majorBidi"/>
        </w:rPr>
        <w:t xml:space="preserve"> and authority over all Muslims</w:t>
      </w:r>
      <w:r>
        <w:rPr>
          <w:rFonts w:asciiTheme="majorBidi" w:hAnsiTheme="majorBidi" w:cstheme="majorBidi"/>
        </w:rPr>
        <w:t>.</w:t>
      </w:r>
      <w:r>
        <w:rPr>
          <w:rStyle w:val="EndnoteReference"/>
          <w:rFonts w:asciiTheme="majorBidi" w:hAnsiTheme="majorBidi" w:cstheme="majorBidi"/>
        </w:rPr>
        <w:endnoteReference w:id="20"/>
      </w:r>
      <w:r w:rsidRPr="003C31B9">
        <w:rPr>
          <w:rFonts w:asciiTheme="majorBidi" w:hAnsiTheme="majorBidi" w:cstheme="majorBidi"/>
          <w:color w:val="000000"/>
        </w:rPr>
        <w:t xml:space="preserve"> </w:t>
      </w:r>
      <w:r w:rsidRPr="00E266A7">
        <w:rPr>
          <w:rFonts w:asciiTheme="majorBidi" w:hAnsiTheme="majorBidi" w:cstheme="majorBidi"/>
          <w:i/>
          <w:iCs/>
          <w:color w:val="000000"/>
        </w:rPr>
        <w:t>Dabiq</w:t>
      </w:r>
      <w:r w:rsidRPr="003C31B9">
        <w:rPr>
          <w:rFonts w:asciiTheme="majorBidi" w:hAnsiTheme="majorBidi" w:cstheme="majorBidi"/>
          <w:color w:val="000000"/>
        </w:rPr>
        <w:t xml:space="preserve"> was aimed at multiple audiences, seeking to communicate with both non-Muslim enemies and potential Muslim supporters </w:t>
      </w:r>
      <w:r>
        <w:rPr>
          <w:rFonts w:asciiTheme="majorBidi" w:hAnsiTheme="majorBidi" w:cstheme="majorBidi"/>
          <w:color w:val="000000"/>
        </w:rPr>
        <w:t>at a global level</w:t>
      </w:r>
      <w:r w:rsidRPr="003C31B9">
        <w:rPr>
          <w:rFonts w:asciiTheme="majorBidi" w:hAnsiTheme="majorBidi" w:cstheme="majorBidi"/>
          <w:color w:val="000000"/>
        </w:rPr>
        <w:t>.</w:t>
      </w:r>
      <w:r>
        <w:rPr>
          <w:rFonts w:asciiTheme="majorBidi" w:hAnsiTheme="majorBidi" w:cstheme="majorBidi"/>
        </w:rPr>
        <w:t xml:space="preserve"> R</w:t>
      </w:r>
      <w:r w:rsidRPr="003C31B9">
        <w:rPr>
          <w:rFonts w:asciiTheme="majorBidi" w:hAnsiTheme="majorBidi" w:cstheme="majorBidi"/>
        </w:rPr>
        <w:t>eaders who could not themselves come to the caliphate</w:t>
      </w:r>
      <w:r>
        <w:rPr>
          <w:rFonts w:asciiTheme="majorBidi" w:hAnsiTheme="majorBidi" w:cstheme="majorBidi"/>
        </w:rPr>
        <w:t xml:space="preserve"> were asked</w:t>
      </w:r>
      <w:r w:rsidRPr="003C31B9">
        <w:rPr>
          <w:rFonts w:asciiTheme="majorBidi" w:hAnsiTheme="majorBidi" w:cstheme="majorBidi"/>
        </w:rPr>
        <w:t xml:space="preserve"> to encourage others to emigrate. Muslims abroad were asked to organize local allegiance pledges, and to publicize them as much as possible</w:t>
      </w:r>
      <w:r w:rsidR="00196787">
        <w:rPr>
          <w:rFonts w:asciiTheme="majorBidi" w:hAnsiTheme="majorBidi" w:cstheme="majorBidi"/>
        </w:rPr>
        <w:t>,</w:t>
      </w:r>
      <w:r w:rsidRPr="003C31B9">
        <w:rPr>
          <w:rFonts w:asciiTheme="majorBidi" w:hAnsiTheme="majorBidi" w:cstheme="majorBidi"/>
        </w:rPr>
        <w:t xml:space="preserve"> </w:t>
      </w:r>
      <w:r w:rsidR="00196787">
        <w:rPr>
          <w:rFonts w:asciiTheme="majorBidi" w:hAnsiTheme="majorBidi" w:cstheme="majorBidi"/>
        </w:rPr>
        <w:t>including</w:t>
      </w:r>
      <w:r w:rsidRPr="003C31B9">
        <w:rPr>
          <w:rFonts w:asciiTheme="majorBidi" w:hAnsiTheme="majorBidi" w:cstheme="majorBidi"/>
        </w:rPr>
        <w:t xml:space="preserve"> </w:t>
      </w:r>
      <w:r w:rsidR="00196787">
        <w:rPr>
          <w:rFonts w:asciiTheme="majorBidi" w:hAnsiTheme="majorBidi" w:cstheme="majorBidi"/>
        </w:rPr>
        <w:t xml:space="preserve">by </w:t>
      </w:r>
      <w:r w:rsidRPr="003C31B9">
        <w:rPr>
          <w:rFonts w:asciiTheme="majorBidi" w:hAnsiTheme="majorBidi" w:cstheme="majorBidi"/>
        </w:rPr>
        <w:t>record</w:t>
      </w:r>
      <w:r w:rsidR="00196787">
        <w:rPr>
          <w:rFonts w:asciiTheme="majorBidi" w:hAnsiTheme="majorBidi" w:cstheme="majorBidi"/>
        </w:rPr>
        <w:t>ing</w:t>
      </w:r>
      <w:r w:rsidRPr="003C31B9">
        <w:rPr>
          <w:rFonts w:asciiTheme="majorBidi" w:hAnsiTheme="majorBidi" w:cstheme="majorBidi"/>
        </w:rPr>
        <w:t xml:space="preserve"> and distribut</w:t>
      </w:r>
      <w:r w:rsidR="00196787">
        <w:rPr>
          <w:rFonts w:asciiTheme="majorBidi" w:hAnsiTheme="majorBidi" w:cstheme="majorBidi"/>
        </w:rPr>
        <w:t>ing</w:t>
      </w:r>
      <w:r w:rsidRPr="003C31B9">
        <w:rPr>
          <w:rFonts w:asciiTheme="majorBidi" w:hAnsiTheme="majorBidi" w:cstheme="majorBidi"/>
        </w:rPr>
        <w:t xml:space="preserve"> </w:t>
      </w:r>
      <w:r w:rsidR="00196787" w:rsidRPr="003C31B9">
        <w:rPr>
          <w:rFonts w:asciiTheme="majorBidi" w:hAnsiTheme="majorBidi" w:cstheme="majorBidi"/>
        </w:rPr>
        <w:t xml:space="preserve">the </w:t>
      </w:r>
      <w:r w:rsidR="00196787">
        <w:rPr>
          <w:rFonts w:asciiTheme="majorBidi" w:hAnsiTheme="majorBidi" w:cstheme="majorBidi"/>
        </w:rPr>
        <w:t>pledges</w:t>
      </w:r>
      <w:r w:rsidR="00196787" w:rsidRPr="003C31B9">
        <w:rPr>
          <w:rFonts w:asciiTheme="majorBidi" w:hAnsiTheme="majorBidi" w:cstheme="majorBidi"/>
        </w:rPr>
        <w:t xml:space="preserve"> </w:t>
      </w:r>
      <w:r w:rsidRPr="003C31B9">
        <w:rPr>
          <w:rFonts w:asciiTheme="majorBidi" w:hAnsiTheme="majorBidi" w:cstheme="majorBidi"/>
        </w:rPr>
        <w:t xml:space="preserve">through </w:t>
      </w:r>
      <w:r>
        <w:rPr>
          <w:rFonts w:asciiTheme="majorBidi" w:hAnsiTheme="majorBidi" w:cstheme="majorBidi"/>
        </w:rPr>
        <w:t xml:space="preserve">social </w:t>
      </w:r>
      <w:r w:rsidRPr="003C31B9">
        <w:rPr>
          <w:rFonts w:asciiTheme="majorBidi" w:hAnsiTheme="majorBidi" w:cstheme="majorBidi"/>
        </w:rPr>
        <w:t>media</w:t>
      </w:r>
      <w:r>
        <w:rPr>
          <w:rFonts w:asciiTheme="majorBidi" w:hAnsiTheme="majorBidi" w:cstheme="majorBidi"/>
        </w:rPr>
        <w:t xml:space="preserve">. </w:t>
      </w:r>
      <w:r w:rsidRPr="00E266A7">
        <w:rPr>
          <w:rFonts w:asciiTheme="majorBidi" w:hAnsiTheme="majorBidi" w:cstheme="majorBidi"/>
          <w:i/>
          <w:iCs/>
        </w:rPr>
        <w:t>Dabiq</w:t>
      </w:r>
      <w:r w:rsidRPr="003C31B9">
        <w:rPr>
          <w:rFonts w:asciiTheme="majorBidi" w:hAnsiTheme="majorBidi" w:cstheme="majorBidi"/>
        </w:rPr>
        <w:t xml:space="preserve"> </w:t>
      </w:r>
      <w:r w:rsidRPr="003C31B9">
        <w:rPr>
          <w:rFonts w:asciiTheme="majorBidi" w:hAnsiTheme="majorBidi" w:cstheme="majorBidi"/>
        </w:rPr>
        <w:lastRenderedPageBreak/>
        <w:t xml:space="preserve">explained that publicized pledges intimidated unbelievers, normalized loyalty to </w:t>
      </w:r>
      <w:r>
        <w:rPr>
          <w:rFonts w:asciiTheme="majorBidi" w:hAnsiTheme="majorBidi" w:cstheme="majorBidi"/>
        </w:rPr>
        <w:t>Da’esh</w:t>
      </w:r>
      <w:r w:rsidR="00834BCD">
        <w:rPr>
          <w:rFonts w:asciiTheme="majorBidi" w:hAnsiTheme="majorBidi" w:cstheme="majorBidi"/>
        </w:rPr>
        <w:t>,</w:t>
      </w:r>
      <w:r w:rsidRPr="003C31B9">
        <w:rPr>
          <w:rFonts w:asciiTheme="majorBidi" w:hAnsiTheme="majorBidi" w:cstheme="majorBidi"/>
        </w:rPr>
        <w:t xml:space="preserve"> and encouraged others to pledge</w:t>
      </w:r>
      <w:r>
        <w:rPr>
          <w:rFonts w:asciiTheme="majorBidi" w:hAnsiTheme="majorBidi" w:cstheme="majorBidi"/>
        </w:rPr>
        <w:t>.</w:t>
      </w:r>
      <w:r>
        <w:rPr>
          <w:rStyle w:val="EndnoteReference"/>
          <w:rFonts w:asciiTheme="majorBidi" w:hAnsiTheme="majorBidi" w:cstheme="majorBidi"/>
        </w:rPr>
        <w:endnoteReference w:id="21"/>
      </w:r>
      <w:r w:rsidRPr="003C31B9">
        <w:rPr>
          <w:rFonts w:asciiTheme="majorBidi" w:hAnsiTheme="majorBidi" w:cstheme="majorBidi"/>
        </w:rPr>
        <w:t xml:space="preserve"> </w:t>
      </w:r>
    </w:p>
    <w:p w14:paraId="540D8E51" w14:textId="59A1BE8B" w:rsidR="008B4BA7" w:rsidRDefault="008B4BA7" w:rsidP="00F4698F">
      <w:pPr>
        <w:spacing w:line="480" w:lineRule="auto"/>
        <w:ind w:firstLine="720"/>
        <w:rPr>
          <w:rFonts w:asciiTheme="majorBidi" w:hAnsiTheme="majorBidi" w:cstheme="majorBidi"/>
        </w:rPr>
      </w:pPr>
      <w:r w:rsidRPr="003C31B9">
        <w:rPr>
          <w:rFonts w:asciiTheme="majorBidi" w:hAnsiTheme="majorBidi" w:cstheme="majorBidi"/>
        </w:rPr>
        <w:t xml:space="preserve">Online magazines, video postings, and the use of social media were seamlessly woven into the core strategies of </w:t>
      </w:r>
      <w:r>
        <w:rPr>
          <w:rFonts w:asciiTheme="majorBidi" w:hAnsiTheme="majorBidi" w:cstheme="majorBidi"/>
        </w:rPr>
        <w:t>Da’esh</w:t>
      </w:r>
      <w:r w:rsidRPr="003C31B9">
        <w:rPr>
          <w:rFonts w:asciiTheme="majorBidi" w:hAnsiTheme="majorBidi" w:cstheme="majorBidi"/>
        </w:rPr>
        <w:t xml:space="preserve">. The US Department of State estimated that </w:t>
      </w:r>
      <w:r>
        <w:rPr>
          <w:rFonts w:asciiTheme="majorBidi" w:hAnsiTheme="majorBidi" w:cstheme="majorBidi"/>
        </w:rPr>
        <w:t xml:space="preserve">at the height of the conflict, </w:t>
      </w:r>
      <w:r w:rsidR="00C505A0">
        <w:rPr>
          <w:rFonts w:asciiTheme="majorBidi" w:hAnsiTheme="majorBidi" w:cstheme="majorBidi"/>
        </w:rPr>
        <w:t>Da’esh’s</w:t>
      </w:r>
      <w:r w:rsidR="00C505A0" w:rsidRPr="003C31B9">
        <w:rPr>
          <w:rFonts w:asciiTheme="majorBidi" w:hAnsiTheme="majorBidi" w:cstheme="majorBidi"/>
        </w:rPr>
        <w:t xml:space="preserve"> </w:t>
      </w:r>
      <w:r w:rsidRPr="003C31B9">
        <w:rPr>
          <w:rFonts w:asciiTheme="majorBidi" w:hAnsiTheme="majorBidi" w:cstheme="majorBidi"/>
        </w:rPr>
        <w:t xml:space="preserve">supporters posted around </w:t>
      </w:r>
      <w:r w:rsidR="00D53B33">
        <w:rPr>
          <w:rFonts w:asciiTheme="majorBidi" w:hAnsiTheme="majorBidi" w:cstheme="majorBidi"/>
        </w:rPr>
        <w:t xml:space="preserve">ninety thousand </w:t>
      </w:r>
      <w:r w:rsidRPr="003C31B9">
        <w:rPr>
          <w:rFonts w:asciiTheme="majorBidi" w:hAnsiTheme="majorBidi" w:cstheme="majorBidi"/>
        </w:rPr>
        <w:t>messages a day online through a variety of platforms, including YouTube, Facebook, Twitter</w:t>
      </w:r>
      <w:r w:rsidR="00D53B33">
        <w:rPr>
          <w:rFonts w:asciiTheme="majorBidi" w:hAnsiTheme="majorBidi" w:cstheme="majorBidi"/>
        </w:rPr>
        <w:t>,</w:t>
      </w:r>
      <w:r w:rsidRPr="003C31B9">
        <w:rPr>
          <w:rFonts w:asciiTheme="majorBidi" w:hAnsiTheme="majorBidi" w:cstheme="majorBidi"/>
        </w:rPr>
        <w:t xml:space="preserve"> and Instagram</w:t>
      </w:r>
      <w:r>
        <w:rPr>
          <w:rFonts w:asciiTheme="majorBidi" w:hAnsiTheme="majorBidi" w:cstheme="majorBidi"/>
        </w:rPr>
        <w:t>.</w:t>
      </w:r>
      <w:r>
        <w:rPr>
          <w:rStyle w:val="EndnoteReference"/>
          <w:rFonts w:asciiTheme="majorBidi" w:hAnsiTheme="majorBidi" w:cstheme="majorBidi"/>
        </w:rPr>
        <w:endnoteReference w:id="22"/>
      </w:r>
      <w:r w:rsidRPr="003C31B9">
        <w:rPr>
          <w:rFonts w:asciiTheme="majorBidi" w:hAnsiTheme="majorBidi" w:cstheme="majorBidi"/>
        </w:rPr>
        <w:t xml:space="preserve"> This transformed </w:t>
      </w:r>
      <w:r>
        <w:rPr>
          <w:rFonts w:asciiTheme="majorBidi" w:hAnsiTheme="majorBidi" w:cstheme="majorBidi"/>
        </w:rPr>
        <w:t xml:space="preserve">the war in </w:t>
      </w:r>
      <w:r w:rsidRPr="003C31B9">
        <w:rPr>
          <w:rFonts w:asciiTheme="majorBidi" w:hAnsiTheme="majorBidi" w:cstheme="majorBidi"/>
        </w:rPr>
        <w:t xml:space="preserve">Syria into </w:t>
      </w:r>
      <w:r>
        <w:rPr>
          <w:rFonts w:asciiTheme="majorBidi" w:hAnsiTheme="majorBidi" w:cstheme="majorBidi"/>
        </w:rPr>
        <w:t>“</w:t>
      </w:r>
      <w:r w:rsidRPr="003C31B9">
        <w:rPr>
          <w:rFonts w:asciiTheme="majorBidi" w:hAnsiTheme="majorBidi" w:cstheme="majorBidi"/>
        </w:rPr>
        <w:t>the most socially mediated conflict in history</w:t>
      </w:r>
      <w:r>
        <w:rPr>
          <w:rFonts w:asciiTheme="majorBidi" w:hAnsiTheme="majorBidi" w:cstheme="majorBidi"/>
        </w:rPr>
        <w:t>.”</w:t>
      </w:r>
      <w:r>
        <w:rPr>
          <w:rStyle w:val="EndnoteReference"/>
          <w:rFonts w:asciiTheme="majorBidi" w:hAnsiTheme="majorBidi" w:cstheme="majorBidi"/>
        </w:rPr>
        <w:endnoteReference w:id="23"/>
      </w:r>
      <w:r w:rsidRPr="003C31B9">
        <w:rPr>
          <w:rFonts w:asciiTheme="majorBidi" w:hAnsiTheme="majorBidi" w:cstheme="majorBidi"/>
        </w:rPr>
        <w:t xml:space="preserve"> </w:t>
      </w:r>
      <w:r>
        <w:rPr>
          <w:rFonts w:asciiTheme="majorBidi" w:hAnsiTheme="majorBidi" w:cstheme="majorBidi"/>
        </w:rPr>
        <w:t>T</w:t>
      </w:r>
      <w:r w:rsidRPr="003C31B9">
        <w:rPr>
          <w:rFonts w:asciiTheme="majorBidi" w:hAnsiTheme="majorBidi" w:cstheme="majorBidi"/>
        </w:rPr>
        <w:t>his novel widespread use of social media and video imagery w</w:t>
      </w:r>
      <w:r>
        <w:rPr>
          <w:rFonts w:asciiTheme="majorBidi" w:hAnsiTheme="majorBidi" w:cstheme="majorBidi"/>
        </w:rPr>
        <w:t>as</w:t>
      </w:r>
      <w:r w:rsidRPr="003C31B9">
        <w:rPr>
          <w:rFonts w:asciiTheme="majorBidi" w:hAnsiTheme="majorBidi" w:cstheme="majorBidi"/>
        </w:rPr>
        <w:t xml:space="preserve"> </w:t>
      </w:r>
      <w:r>
        <w:rPr>
          <w:rFonts w:asciiTheme="majorBidi" w:hAnsiTheme="majorBidi" w:cstheme="majorBidi"/>
        </w:rPr>
        <w:t xml:space="preserve">an </w:t>
      </w:r>
      <w:r w:rsidRPr="003C31B9">
        <w:rPr>
          <w:rFonts w:asciiTheme="majorBidi" w:hAnsiTheme="majorBidi" w:cstheme="majorBidi"/>
        </w:rPr>
        <w:t xml:space="preserve">essential </w:t>
      </w:r>
      <w:r>
        <w:rPr>
          <w:rFonts w:asciiTheme="majorBidi" w:hAnsiTheme="majorBidi" w:cstheme="majorBidi"/>
        </w:rPr>
        <w:t xml:space="preserve">force-multiplier </w:t>
      </w:r>
      <w:r w:rsidRPr="003C31B9">
        <w:rPr>
          <w:rFonts w:asciiTheme="majorBidi" w:hAnsiTheme="majorBidi" w:cstheme="majorBidi"/>
        </w:rPr>
        <w:t>for the emotional, political, and military effectiveness of performative destruction</w:t>
      </w:r>
      <w:r>
        <w:rPr>
          <w:rFonts w:asciiTheme="majorBidi" w:hAnsiTheme="majorBidi" w:cstheme="majorBidi"/>
        </w:rPr>
        <w:t xml:space="preserve"> as a weapon</w:t>
      </w:r>
      <w:r w:rsidR="00F84FD4">
        <w:rPr>
          <w:rFonts w:asciiTheme="majorBidi" w:hAnsiTheme="majorBidi" w:cstheme="majorBidi"/>
        </w:rPr>
        <w:t>. As stated by sociologist Kevin McDonald,</w:t>
      </w:r>
      <w:r w:rsidRPr="003C31B9">
        <w:rPr>
          <w:rFonts w:asciiTheme="majorBidi" w:hAnsiTheme="majorBidi" w:cstheme="majorBidi"/>
        </w:rPr>
        <w:t xml:space="preserve"> “</w:t>
      </w:r>
      <w:r w:rsidR="00F84FD4">
        <w:rPr>
          <w:rFonts w:asciiTheme="majorBidi" w:hAnsiTheme="majorBidi" w:cstheme="majorBidi"/>
        </w:rPr>
        <w:t>w</w:t>
      </w:r>
      <w:r w:rsidRPr="003C31B9">
        <w:rPr>
          <w:rFonts w:asciiTheme="majorBidi" w:hAnsiTheme="majorBidi" w:cstheme="majorBidi"/>
        </w:rPr>
        <w:t>e need to recogni</w:t>
      </w:r>
      <w:r>
        <w:rPr>
          <w:rFonts w:asciiTheme="majorBidi" w:hAnsiTheme="majorBidi" w:cstheme="majorBidi"/>
        </w:rPr>
        <w:t>s</w:t>
      </w:r>
      <w:r w:rsidRPr="003C31B9">
        <w:rPr>
          <w:rFonts w:asciiTheme="majorBidi" w:hAnsiTheme="majorBidi" w:cstheme="majorBidi"/>
        </w:rPr>
        <w:t>e that the camera phone does not simply film contemporary war, it plays an increasingly central role in shaping it.”</w:t>
      </w:r>
      <w:r>
        <w:rPr>
          <w:rStyle w:val="EndnoteReference"/>
          <w:rFonts w:asciiTheme="majorBidi" w:hAnsiTheme="majorBidi" w:cstheme="majorBidi"/>
        </w:rPr>
        <w:endnoteReference w:id="24"/>
      </w:r>
      <w:r w:rsidRPr="003C31B9">
        <w:rPr>
          <w:rFonts w:asciiTheme="majorBidi" w:hAnsiTheme="majorBidi" w:cstheme="majorBidi"/>
        </w:rPr>
        <w:t xml:space="preserve"> </w:t>
      </w:r>
    </w:p>
    <w:p w14:paraId="5687B248" w14:textId="77777777" w:rsidR="008B4BA7" w:rsidRPr="003C31B9" w:rsidRDefault="008B4BA7" w:rsidP="00F4698F">
      <w:pPr>
        <w:spacing w:line="480" w:lineRule="auto"/>
        <w:ind w:firstLine="720"/>
        <w:rPr>
          <w:rFonts w:asciiTheme="majorBidi" w:hAnsiTheme="majorBidi" w:cstheme="majorBidi"/>
        </w:rPr>
      </w:pPr>
    </w:p>
    <w:p w14:paraId="221241B2" w14:textId="4D3EDD1C" w:rsidR="008B4BA7" w:rsidRPr="003C31B9" w:rsidRDefault="008B4BA7" w:rsidP="00E266A7">
      <w:pPr>
        <w:pStyle w:val="Heading2"/>
      </w:pPr>
      <w:r w:rsidRPr="003C31B9">
        <w:t xml:space="preserve">The </w:t>
      </w:r>
      <w:r w:rsidR="008E32E4">
        <w:t>W</w:t>
      </w:r>
      <w:r w:rsidRPr="003C31B9">
        <w:t xml:space="preserve">ar </w:t>
      </w:r>
      <w:r>
        <w:t>a</w:t>
      </w:r>
      <w:r w:rsidRPr="003C31B9">
        <w:t xml:space="preserve">gainst </w:t>
      </w:r>
      <w:r w:rsidR="008E32E4">
        <w:t>P</w:t>
      </w:r>
      <w:r w:rsidRPr="003C31B9">
        <w:t xml:space="preserve">eople: </w:t>
      </w:r>
      <w:r w:rsidR="008E32E4">
        <w:t>G</w:t>
      </w:r>
      <w:r w:rsidRPr="003C31B9">
        <w:t>enocid</w:t>
      </w:r>
      <w:r>
        <w:t>e</w:t>
      </w:r>
      <w:r w:rsidRPr="003C31B9">
        <w:t xml:space="preserve"> against Yazidis, Christian</w:t>
      </w:r>
      <w:r>
        <w:t>s</w:t>
      </w:r>
      <w:r w:rsidRPr="003C31B9">
        <w:t xml:space="preserve">, and </w:t>
      </w:r>
      <w:r>
        <w:t xml:space="preserve">Muslim </w:t>
      </w:r>
      <w:r w:rsidR="008E32E4">
        <w:t>E</w:t>
      </w:r>
      <w:r w:rsidRPr="003C31B9">
        <w:t>nem</w:t>
      </w:r>
      <w:r>
        <w:t>ies</w:t>
      </w:r>
    </w:p>
    <w:p w14:paraId="44484687" w14:textId="6B2FB153" w:rsidR="008B4BA7" w:rsidRPr="003C31B9" w:rsidRDefault="008B4BA7" w:rsidP="00F4698F">
      <w:pPr>
        <w:spacing w:line="480" w:lineRule="auto"/>
        <w:rPr>
          <w:rFonts w:asciiTheme="majorBidi" w:hAnsiTheme="majorBidi" w:cstheme="majorBidi"/>
        </w:rPr>
      </w:pPr>
      <w:r>
        <w:rPr>
          <w:rFonts w:asciiTheme="majorBidi" w:hAnsiTheme="majorBidi" w:cstheme="majorBidi"/>
        </w:rPr>
        <w:t>Da’esh</w:t>
      </w:r>
      <w:r w:rsidRPr="003C31B9">
        <w:rPr>
          <w:rFonts w:asciiTheme="majorBidi" w:hAnsiTheme="majorBidi" w:cstheme="majorBidi"/>
        </w:rPr>
        <w:t xml:space="preserve"> viewed its acts of performative destruction as part of the eternal struggle between monotheism and idolatry, carried out at both ideological and material levels. A key aspect was the </w:t>
      </w:r>
      <w:r w:rsidR="009D7BB2">
        <w:rPr>
          <w:rFonts w:asciiTheme="majorBidi" w:hAnsiTheme="majorBidi" w:cstheme="majorBidi"/>
        </w:rPr>
        <w:t>“</w:t>
      </w:r>
      <w:r w:rsidRPr="003C31B9">
        <w:rPr>
          <w:rFonts w:asciiTheme="majorBidi" w:hAnsiTheme="majorBidi" w:cstheme="majorBidi"/>
        </w:rPr>
        <w:t>purification</w:t>
      </w:r>
      <w:r w:rsidR="009D7BB2">
        <w:rPr>
          <w:rFonts w:asciiTheme="majorBidi" w:hAnsiTheme="majorBidi" w:cstheme="majorBidi"/>
        </w:rPr>
        <w:t>”</w:t>
      </w:r>
      <w:r w:rsidRPr="003C31B9">
        <w:rPr>
          <w:rFonts w:asciiTheme="majorBidi" w:hAnsiTheme="majorBidi" w:cstheme="majorBidi"/>
        </w:rPr>
        <w:t xml:space="preserve"> of the earth from any forms of idolatry or its practitioners</w:t>
      </w:r>
      <w:r w:rsidR="00C346A9">
        <w:rPr>
          <w:rFonts w:asciiTheme="majorBidi" w:hAnsiTheme="majorBidi" w:cstheme="majorBidi"/>
        </w:rPr>
        <w:t>, explaining</w:t>
      </w:r>
      <w:r w:rsidRPr="003C31B9">
        <w:rPr>
          <w:rFonts w:asciiTheme="majorBidi" w:hAnsiTheme="majorBidi" w:cstheme="majorBidi"/>
        </w:rPr>
        <w:t xml:space="preserve"> </w:t>
      </w:r>
      <w:r w:rsidR="00C346A9">
        <w:rPr>
          <w:rFonts w:asciiTheme="majorBidi" w:hAnsiTheme="majorBidi" w:cstheme="majorBidi"/>
        </w:rPr>
        <w:t xml:space="preserve">why </w:t>
      </w:r>
      <w:r>
        <w:rPr>
          <w:rFonts w:asciiTheme="majorBidi" w:hAnsiTheme="majorBidi" w:cstheme="majorBidi"/>
        </w:rPr>
        <w:t>Da’esh</w:t>
      </w:r>
      <w:r w:rsidRPr="003C31B9">
        <w:rPr>
          <w:rFonts w:asciiTheme="majorBidi" w:hAnsiTheme="majorBidi" w:cstheme="majorBidi"/>
        </w:rPr>
        <w:t xml:space="preserve"> barely distinguished between human enemies and material expressions of unbelief, whether modern or ancient</w:t>
      </w:r>
      <w:r w:rsidR="004D11C3">
        <w:rPr>
          <w:rFonts w:asciiTheme="majorBidi" w:hAnsiTheme="majorBidi" w:cstheme="majorBidi"/>
        </w:rPr>
        <w:t>—</w:t>
      </w:r>
      <w:r w:rsidRPr="003C31B9">
        <w:rPr>
          <w:rFonts w:asciiTheme="majorBidi" w:hAnsiTheme="majorBidi" w:cstheme="majorBidi"/>
        </w:rPr>
        <w:t>all were seen as targets for destruction</w:t>
      </w:r>
      <w:r>
        <w:rPr>
          <w:rFonts w:asciiTheme="majorBidi" w:hAnsiTheme="majorBidi" w:cstheme="majorBidi"/>
        </w:rPr>
        <w:t>.</w:t>
      </w:r>
      <w:r>
        <w:rPr>
          <w:rStyle w:val="EndnoteReference"/>
          <w:rFonts w:asciiTheme="majorBidi" w:hAnsiTheme="majorBidi" w:cstheme="majorBidi"/>
        </w:rPr>
        <w:endnoteReference w:id="25"/>
      </w:r>
      <w:r w:rsidRPr="003C31B9">
        <w:rPr>
          <w:rFonts w:asciiTheme="majorBidi" w:hAnsiTheme="majorBidi" w:cstheme="majorBidi"/>
        </w:rPr>
        <w:t xml:space="preserve"> These actions and their religious legitimation were central elements in the way </w:t>
      </w:r>
      <w:r>
        <w:rPr>
          <w:rFonts w:asciiTheme="majorBidi" w:hAnsiTheme="majorBidi" w:cstheme="majorBidi"/>
        </w:rPr>
        <w:t>Da’esh</w:t>
      </w:r>
      <w:r w:rsidRPr="003C31B9">
        <w:rPr>
          <w:rFonts w:asciiTheme="majorBidi" w:hAnsiTheme="majorBidi" w:cstheme="majorBidi"/>
        </w:rPr>
        <w:t xml:space="preserve"> differentiated itself from rival </w:t>
      </w:r>
      <w:r w:rsidR="00E90EBF">
        <w:rPr>
          <w:rFonts w:asciiTheme="majorBidi" w:hAnsiTheme="majorBidi" w:cstheme="majorBidi"/>
        </w:rPr>
        <w:t>nonstate armed</w:t>
      </w:r>
      <w:r w:rsidR="00E90EBF" w:rsidRPr="003C31B9">
        <w:rPr>
          <w:rFonts w:asciiTheme="majorBidi" w:hAnsiTheme="majorBidi" w:cstheme="majorBidi"/>
        </w:rPr>
        <w:t xml:space="preserve"> </w:t>
      </w:r>
      <w:r w:rsidRPr="003C31B9">
        <w:rPr>
          <w:rFonts w:asciiTheme="majorBidi" w:hAnsiTheme="majorBidi" w:cstheme="majorBidi"/>
        </w:rPr>
        <w:t>groups, allowing it to claim a level of extreme ideological purity that also played a key role in recruiting new followers.</w:t>
      </w:r>
      <w:r>
        <w:rPr>
          <w:rFonts w:asciiTheme="majorBidi" w:hAnsiTheme="majorBidi" w:cstheme="majorBidi"/>
        </w:rPr>
        <w:t xml:space="preserve"> </w:t>
      </w:r>
      <w:r w:rsidRPr="003C31B9">
        <w:rPr>
          <w:rFonts w:asciiTheme="majorBidi" w:hAnsiTheme="majorBidi" w:cstheme="majorBidi"/>
        </w:rPr>
        <w:t xml:space="preserve">The consequences of this outlook and its implementation were horrific for </w:t>
      </w:r>
      <w:r>
        <w:rPr>
          <w:rFonts w:asciiTheme="majorBidi" w:hAnsiTheme="majorBidi" w:cstheme="majorBidi"/>
        </w:rPr>
        <w:t>the Yazidi and Christian communities</w:t>
      </w:r>
      <w:r w:rsidRPr="003C31B9">
        <w:rPr>
          <w:rFonts w:asciiTheme="majorBidi" w:hAnsiTheme="majorBidi" w:cstheme="majorBidi"/>
        </w:rPr>
        <w:t xml:space="preserve">, as well as those </w:t>
      </w:r>
      <w:r>
        <w:rPr>
          <w:rFonts w:asciiTheme="majorBidi" w:hAnsiTheme="majorBidi" w:cstheme="majorBidi"/>
        </w:rPr>
        <w:t xml:space="preserve">Sufi and Shi’ite </w:t>
      </w:r>
      <w:r w:rsidRPr="003C31B9">
        <w:rPr>
          <w:rFonts w:asciiTheme="majorBidi" w:hAnsiTheme="majorBidi" w:cstheme="majorBidi"/>
        </w:rPr>
        <w:t xml:space="preserve">Muslim groups that </w:t>
      </w:r>
      <w:r>
        <w:rPr>
          <w:rFonts w:asciiTheme="majorBidi" w:hAnsiTheme="majorBidi" w:cstheme="majorBidi"/>
        </w:rPr>
        <w:t>Da’esh</w:t>
      </w:r>
      <w:r w:rsidRPr="003C31B9">
        <w:rPr>
          <w:rFonts w:asciiTheme="majorBidi" w:hAnsiTheme="majorBidi" w:cstheme="majorBidi"/>
        </w:rPr>
        <w:t xml:space="preserve"> defined as enemies</w:t>
      </w:r>
      <w:r>
        <w:rPr>
          <w:rFonts w:asciiTheme="majorBidi" w:hAnsiTheme="majorBidi" w:cstheme="majorBidi"/>
        </w:rPr>
        <w:t>.</w:t>
      </w:r>
    </w:p>
    <w:p w14:paraId="1F9D69E3" w14:textId="1FB2B09F" w:rsidR="008B4BA7" w:rsidRPr="003C31B9" w:rsidRDefault="008B4BA7" w:rsidP="00F4698F">
      <w:pPr>
        <w:spacing w:line="480" w:lineRule="auto"/>
        <w:ind w:firstLine="720"/>
        <w:rPr>
          <w:rFonts w:asciiTheme="majorBidi" w:hAnsiTheme="majorBidi" w:cstheme="majorBidi"/>
        </w:rPr>
      </w:pPr>
      <w:r>
        <w:rPr>
          <w:rStyle w:val="hgkelc"/>
          <w:rFonts w:asciiTheme="majorBidi" w:hAnsiTheme="majorBidi" w:cstheme="majorBidi"/>
          <w:color w:val="000000" w:themeColor="text1"/>
        </w:rPr>
        <w:lastRenderedPageBreak/>
        <w:t xml:space="preserve">The </w:t>
      </w:r>
      <w:r w:rsidRPr="003C31B9">
        <w:rPr>
          <w:rStyle w:val="hgkelc"/>
          <w:rFonts w:asciiTheme="majorBidi" w:hAnsiTheme="majorBidi" w:cstheme="majorBidi"/>
          <w:color w:val="000000" w:themeColor="text1"/>
        </w:rPr>
        <w:t xml:space="preserve">Yazidis are a Kurdish speaking, heterodox ethnoreligious group </w:t>
      </w:r>
      <w:r>
        <w:rPr>
          <w:rStyle w:val="hgkelc"/>
          <w:rFonts w:asciiTheme="majorBidi" w:hAnsiTheme="majorBidi" w:cstheme="majorBidi"/>
          <w:color w:val="000000" w:themeColor="text1"/>
        </w:rPr>
        <w:t xml:space="preserve">whose </w:t>
      </w:r>
      <w:r w:rsidRPr="003C31B9">
        <w:rPr>
          <w:rStyle w:val="hgkelc"/>
          <w:rFonts w:asciiTheme="majorBidi" w:hAnsiTheme="majorBidi" w:cstheme="majorBidi"/>
          <w:color w:val="000000" w:themeColor="text1"/>
        </w:rPr>
        <w:t xml:space="preserve">heartland </w:t>
      </w:r>
      <w:r>
        <w:rPr>
          <w:rStyle w:val="hgkelc"/>
          <w:rFonts w:asciiTheme="majorBidi" w:hAnsiTheme="majorBidi" w:cstheme="majorBidi"/>
          <w:color w:val="000000" w:themeColor="text1"/>
        </w:rPr>
        <w:t xml:space="preserve">lies in the plains and mountainous areas near </w:t>
      </w:r>
      <w:r w:rsidRPr="003C31B9">
        <w:rPr>
          <w:rStyle w:val="hgkelc"/>
          <w:rFonts w:asciiTheme="majorBidi" w:hAnsiTheme="majorBidi" w:cstheme="majorBidi"/>
          <w:color w:val="000000" w:themeColor="text1"/>
        </w:rPr>
        <w:t xml:space="preserve">Mosul in northern Iraq. The </w:t>
      </w:r>
      <w:r w:rsidRPr="003C31B9">
        <w:rPr>
          <w:rFonts w:asciiTheme="majorBidi" w:hAnsiTheme="majorBidi" w:cstheme="majorBidi"/>
          <w:color w:val="000000" w:themeColor="text1"/>
        </w:rPr>
        <w:t xml:space="preserve">Yazidi faith incorporates elements of </w:t>
      </w:r>
      <w:hyperlink r:id="rId9" w:history="1">
        <w:r w:rsidRPr="003C31B9">
          <w:rPr>
            <w:rStyle w:val="Hyperlink"/>
            <w:rFonts w:asciiTheme="majorBidi" w:hAnsiTheme="majorBidi" w:cstheme="majorBidi"/>
            <w:color w:val="000000" w:themeColor="text1"/>
            <w:u w:val="none"/>
          </w:rPr>
          <w:t>Zoroastrianism</w:t>
        </w:r>
      </w:hyperlink>
      <w:r w:rsidRPr="003C31B9">
        <w:rPr>
          <w:rFonts w:asciiTheme="majorBidi" w:hAnsiTheme="majorBidi" w:cstheme="majorBidi"/>
          <w:color w:val="000000" w:themeColor="text1"/>
        </w:rPr>
        <w:t xml:space="preserve">, Manichaeism, Gnosticism, </w:t>
      </w:r>
      <w:hyperlink r:id="rId10" w:history="1">
        <w:r w:rsidRPr="003C31B9">
          <w:rPr>
            <w:rStyle w:val="Hyperlink"/>
            <w:rFonts w:asciiTheme="majorBidi" w:hAnsiTheme="majorBidi" w:cstheme="majorBidi"/>
            <w:color w:val="000000" w:themeColor="text1"/>
            <w:u w:val="none"/>
          </w:rPr>
          <w:t>Christianity</w:t>
        </w:r>
      </w:hyperlink>
      <w:r w:rsidRPr="003C31B9">
        <w:rPr>
          <w:rFonts w:asciiTheme="majorBidi" w:hAnsiTheme="majorBidi" w:cstheme="majorBidi"/>
          <w:color w:val="000000" w:themeColor="text1"/>
        </w:rPr>
        <w:t xml:space="preserve">, and </w:t>
      </w:r>
      <w:hyperlink r:id="rId11" w:history="1">
        <w:r w:rsidRPr="003C31B9">
          <w:rPr>
            <w:rStyle w:val="Hyperlink"/>
            <w:rFonts w:asciiTheme="majorBidi" w:hAnsiTheme="majorBidi" w:cstheme="majorBidi"/>
            <w:color w:val="000000" w:themeColor="text1"/>
            <w:u w:val="none"/>
          </w:rPr>
          <w:t>Islam</w:t>
        </w:r>
      </w:hyperlink>
      <w:r>
        <w:rPr>
          <w:rStyle w:val="Hyperlink"/>
          <w:rFonts w:asciiTheme="majorBidi" w:hAnsiTheme="majorBidi" w:cstheme="majorBidi"/>
          <w:color w:val="000000" w:themeColor="text1"/>
          <w:u w:val="none"/>
        </w:rPr>
        <w:t>.</w:t>
      </w:r>
      <w:r>
        <w:rPr>
          <w:rStyle w:val="EndnoteReference"/>
          <w:rFonts w:asciiTheme="majorBidi" w:hAnsiTheme="majorBidi" w:cstheme="majorBidi"/>
          <w:color w:val="000000" w:themeColor="text1"/>
        </w:rPr>
        <w:endnoteReference w:id="26"/>
      </w:r>
      <w:r w:rsidRPr="003C31B9">
        <w:rPr>
          <w:rFonts w:asciiTheme="majorBidi" w:hAnsiTheme="majorBidi" w:cstheme="majorBidi"/>
          <w:color w:val="000000" w:themeColor="text1"/>
        </w:rPr>
        <w:t xml:space="preserve"> Due to </w:t>
      </w:r>
      <w:r w:rsidRPr="003C31B9">
        <w:rPr>
          <w:rFonts w:asciiTheme="majorBidi" w:hAnsiTheme="majorBidi" w:cstheme="majorBidi"/>
        </w:rPr>
        <w:t xml:space="preserve">the secretive nature of </w:t>
      </w:r>
      <w:r>
        <w:rPr>
          <w:rFonts w:asciiTheme="majorBidi" w:hAnsiTheme="majorBidi" w:cstheme="majorBidi"/>
        </w:rPr>
        <w:t xml:space="preserve">Yazidi </w:t>
      </w:r>
      <w:r w:rsidRPr="003C31B9">
        <w:rPr>
          <w:rFonts w:asciiTheme="majorBidi" w:hAnsiTheme="majorBidi" w:cstheme="majorBidi"/>
        </w:rPr>
        <w:t xml:space="preserve">religious practices and </w:t>
      </w:r>
      <w:r w:rsidRPr="003C31B9">
        <w:rPr>
          <w:rFonts w:asciiTheme="majorBidi" w:hAnsiTheme="majorBidi" w:cstheme="majorBidi"/>
          <w:color w:val="000000" w:themeColor="text1"/>
        </w:rPr>
        <w:t>their veneration of the Peacock Angel (Tavus Melek in Kurdish),</w:t>
      </w:r>
      <w:r w:rsidRPr="003C31B9">
        <w:rPr>
          <w:rFonts w:asciiTheme="majorBidi" w:hAnsiTheme="majorBidi" w:cstheme="majorBidi"/>
        </w:rPr>
        <w:t xml:space="preserve"> many Christians and especially Muslims have erroneously accused </w:t>
      </w:r>
      <w:r>
        <w:rPr>
          <w:rFonts w:asciiTheme="majorBidi" w:hAnsiTheme="majorBidi" w:cstheme="majorBidi"/>
        </w:rPr>
        <w:t>them</w:t>
      </w:r>
      <w:r w:rsidRPr="003C31B9">
        <w:rPr>
          <w:rFonts w:asciiTheme="majorBidi" w:hAnsiTheme="majorBidi" w:cstheme="majorBidi"/>
        </w:rPr>
        <w:t xml:space="preserve"> of being “devil-worshippers” who are not considered “</w:t>
      </w:r>
      <w:r w:rsidR="00D22AD3">
        <w:rPr>
          <w:rFonts w:asciiTheme="majorBidi" w:hAnsiTheme="majorBidi" w:cstheme="majorBidi"/>
        </w:rPr>
        <w:t>P</w:t>
      </w:r>
      <w:r w:rsidRPr="003C31B9">
        <w:rPr>
          <w:rFonts w:asciiTheme="majorBidi" w:hAnsiTheme="majorBidi" w:cstheme="majorBidi"/>
        </w:rPr>
        <w:t>eople of the Book”</w:t>
      </w:r>
      <w:r>
        <w:rPr>
          <w:rFonts w:asciiTheme="majorBidi" w:hAnsiTheme="majorBidi" w:cstheme="majorBidi"/>
        </w:rPr>
        <w:t>—</w:t>
      </w:r>
      <w:r w:rsidRPr="003C31B9">
        <w:rPr>
          <w:rFonts w:asciiTheme="majorBidi" w:hAnsiTheme="majorBidi" w:cstheme="majorBidi"/>
        </w:rPr>
        <w:t>i.e.</w:t>
      </w:r>
      <w:r w:rsidR="005763C9">
        <w:rPr>
          <w:rFonts w:asciiTheme="majorBidi" w:hAnsiTheme="majorBidi" w:cstheme="majorBidi"/>
        </w:rPr>
        <w:t>,</w:t>
      </w:r>
      <w:r w:rsidRPr="003C31B9">
        <w:rPr>
          <w:rFonts w:asciiTheme="majorBidi" w:hAnsiTheme="majorBidi" w:cstheme="majorBidi"/>
        </w:rPr>
        <w:t xml:space="preserve"> monotheists</w:t>
      </w:r>
      <w:r>
        <w:rPr>
          <w:rFonts w:asciiTheme="majorBidi" w:hAnsiTheme="majorBidi" w:cstheme="majorBidi"/>
        </w:rPr>
        <w:t>.</w:t>
      </w:r>
      <w:r>
        <w:rPr>
          <w:rStyle w:val="EndnoteReference"/>
          <w:rFonts w:asciiTheme="majorBidi" w:hAnsiTheme="majorBidi" w:cstheme="majorBidi"/>
        </w:rPr>
        <w:endnoteReference w:id="27"/>
      </w:r>
      <w:r w:rsidRPr="003C31B9">
        <w:rPr>
          <w:rFonts w:asciiTheme="majorBidi" w:hAnsiTheme="majorBidi" w:cstheme="majorBidi"/>
        </w:rPr>
        <w:t xml:space="preserve"> </w:t>
      </w:r>
    </w:p>
    <w:p w14:paraId="1BDACC29" w14:textId="1A3EC9D6" w:rsidR="00170824" w:rsidRPr="004904D9" w:rsidRDefault="008B4BA7" w:rsidP="00F4698F">
      <w:pPr>
        <w:spacing w:line="480" w:lineRule="auto"/>
        <w:ind w:firstLine="720"/>
        <w:rPr>
          <w:rFonts w:asciiTheme="majorBidi" w:hAnsiTheme="majorBidi" w:cstheme="majorBidi"/>
        </w:rPr>
      </w:pPr>
      <w:r w:rsidRPr="003C31B9">
        <w:rPr>
          <w:rFonts w:asciiTheme="majorBidi" w:hAnsiTheme="majorBidi" w:cstheme="majorBidi"/>
          <w:color w:val="211D1E"/>
        </w:rPr>
        <w:t xml:space="preserve">In public statements disseminated through </w:t>
      </w:r>
      <w:r w:rsidRPr="00E266A7">
        <w:rPr>
          <w:rFonts w:asciiTheme="majorBidi" w:hAnsiTheme="majorBidi" w:cstheme="majorBidi"/>
          <w:i/>
          <w:iCs/>
          <w:color w:val="211D1E"/>
        </w:rPr>
        <w:t>Dabiq</w:t>
      </w:r>
      <w:r w:rsidRPr="003C31B9">
        <w:rPr>
          <w:rFonts w:asciiTheme="majorBidi" w:hAnsiTheme="majorBidi" w:cstheme="majorBidi"/>
          <w:color w:val="211D1E"/>
        </w:rPr>
        <w:t xml:space="preserve"> and other media, </w:t>
      </w:r>
      <w:r>
        <w:rPr>
          <w:rFonts w:asciiTheme="majorBidi" w:hAnsiTheme="majorBidi" w:cstheme="majorBidi"/>
          <w:color w:val="211D1E"/>
        </w:rPr>
        <w:t>Da’esh</w:t>
      </w:r>
      <w:r w:rsidRPr="003C31B9">
        <w:rPr>
          <w:rFonts w:asciiTheme="majorBidi" w:hAnsiTheme="majorBidi" w:cstheme="majorBidi"/>
          <w:color w:val="211D1E"/>
        </w:rPr>
        <w:t xml:space="preserve"> defined the Yazidis as polytheist idolators</w:t>
      </w:r>
      <w:r>
        <w:rPr>
          <w:rStyle w:val="EndnoteReference"/>
          <w:rFonts w:asciiTheme="majorBidi" w:hAnsiTheme="majorBidi" w:cstheme="majorBidi"/>
          <w:color w:val="211D1E"/>
        </w:rPr>
        <w:endnoteReference w:id="28"/>
      </w:r>
      <w:r>
        <w:rPr>
          <w:rFonts w:asciiTheme="majorBidi" w:hAnsiTheme="majorBidi" w:cstheme="majorBidi"/>
          <w:color w:val="211D1E"/>
        </w:rPr>
        <w:t xml:space="preserve"> </w:t>
      </w:r>
      <w:r w:rsidRPr="003C31B9">
        <w:rPr>
          <w:rFonts w:asciiTheme="majorBidi" w:hAnsiTheme="majorBidi" w:cstheme="majorBidi"/>
          <w:color w:val="211D1E"/>
        </w:rPr>
        <w:t xml:space="preserve">and </w:t>
      </w:r>
      <w:r>
        <w:rPr>
          <w:rFonts w:asciiTheme="majorBidi" w:hAnsiTheme="majorBidi" w:cstheme="majorBidi"/>
          <w:color w:val="211D1E"/>
        </w:rPr>
        <w:t>launched</w:t>
      </w:r>
      <w:r w:rsidRPr="003C31B9">
        <w:rPr>
          <w:rFonts w:asciiTheme="majorBidi" w:hAnsiTheme="majorBidi" w:cstheme="majorBidi"/>
          <w:color w:val="211D1E"/>
        </w:rPr>
        <w:t xml:space="preserve"> a </w:t>
      </w:r>
      <w:r>
        <w:rPr>
          <w:rFonts w:asciiTheme="majorBidi" w:hAnsiTheme="majorBidi" w:cstheme="majorBidi"/>
          <w:color w:val="211D1E"/>
        </w:rPr>
        <w:t>campaign</w:t>
      </w:r>
      <w:r w:rsidRPr="003C31B9">
        <w:rPr>
          <w:rFonts w:asciiTheme="majorBidi" w:hAnsiTheme="majorBidi" w:cstheme="majorBidi"/>
          <w:color w:val="211D1E"/>
        </w:rPr>
        <w:t xml:space="preserve"> of ethnic cleansing and genocide against them in 2014. In the initial assault, between </w:t>
      </w:r>
      <w:r w:rsidR="00840943">
        <w:rPr>
          <w:rFonts w:asciiTheme="majorBidi" w:hAnsiTheme="majorBidi" w:cstheme="majorBidi"/>
          <w:color w:val="211D1E"/>
        </w:rPr>
        <w:t xml:space="preserve">ten </w:t>
      </w:r>
      <w:r w:rsidRPr="003C31B9">
        <w:rPr>
          <w:rFonts w:asciiTheme="majorBidi" w:hAnsiTheme="majorBidi" w:cstheme="majorBidi"/>
          <w:color w:val="211D1E"/>
        </w:rPr>
        <w:t xml:space="preserve">and </w:t>
      </w:r>
      <w:r w:rsidR="00840943">
        <w:rPr>
          <w:rFonts w:asciiTheme="majorBidi" w:hAnsiTheme="majorBidi" w:cstheme="majorBidi"/>
          <w:color w:val="211D1E"/>
        </w:rPr>
        <w:t xml:space="preserve">twelve thousand </w:t>
      </w:r>
      <w:r w:rsidRPr="003C31B9">
        <w:rPr>
          <w:rFonts w:asciiTheme="majorBidi" w:hAnsiTheme="majorBidi" w:cstheme="majorBidi"/>
          <w:color w:val="211D1E"/>
        </w:rPr>
        <w:t>Yazidi men, women, and children were killed</w:t>
      </w:r>
      <w:r>
        <w:rPr>
          <w:rFonts w:asciiTheme="majorBidi" w:hAnsiTheme="majorBidi" w:cstheme="majorBidi"/>
          <w:color w:val="211D1E"/>
        </w:rPr>
        <w:t>.</w:t>
      </w:r>
      <w:r>
        <w:rPr>
          <w:rStyle w:val="EndnoteReference"/>
          <w:rFonts w:asciiTheme="majorBidi" w:hAnsiTheme="majorBidi" w:cstheme="majorBidi"/>
          <w:color w:val="211D1E"/>
        </w:rPr>
        <w:endnoteReference w:id="29"/>
      </w:r>
      <w:r w:rsidR="008335AC" w:rsidRPr="003C31B9">
        <w:rPr>
          <w:rFonts w:asciiTheme="majorBidi" w:hAnsiTheme="majorBidi" w:cstheme="majorBidi"/>
          <w:color w:val="211D1E"/>
        </w:rPr>
        <w:t xml:space="preserve"> </w:t>
      </w:r>
      <w:r w:rsidR="00AB2270" w:rsidRPr="003C31B9">
        <w:rPr>
          <w:rFonts w:asciiTheme="majorBidi" w:hAnsiTheme="majorBidi" w:cstheme="majorBidi"/>
          <w:color w:val="211D1E"/>
        </w:rPr>
        <w:t>All victims were abused and tortured</w:t>
      </w:r>
      <w:r w:rsidR="006A0DAE">
        <w:rPr>
          <w:rFonts w:asciiTheme="majorBidi" w:hAnsiTheme="majorBidi" w:cstheme="majorBidi"/>
          <w:color w:val="211D1E"/>
        </w:rPr>
        <w:t>, m</w:t>
      </w:r>
      <w:r w:rsidR="00AB2270" w:rsidRPr="003C31B9">
        <w:rPr>
          <w:rFonts w:asciiTheme="majorBidi" w:hAnsiTheme="majorBidi" w:cstheme="majorBidi"/>
          <w:color w:val="211D1E"/>
        </w:rPr>
        <w:t xml:space="preserve">ale Yazidis above the age of </w:t>
      </w:r>
      <w:r w:rsidR="00D61D8E">
        <w:rPr>
          <w:rFonts w:asciiTheme="majorBidi" w:hAnsiTheme="majorBidi" w:cstheme="majorBidi"/>
          <w:color w:val="211D1E"/>
        </w:rPr>
        <w:t>twelve</w:t>
      </w:r>
      <w:r w:rsidR="00D61D8E" w:rsidRPr="003C31B9">
        <w:rPr>
          <w:rFonts w:asciiTheme="majorBidi" w:hAnsiTheme="majorBidi" w:cstheme="majorBidi"/>
          <w:color w:val="211D1E"/>
        </w:rPr>
        <w:t xml:space="preserve"> </w:t>
      </w:r>
      <w:r w:rsidR="00AB2270" w:rsidRPr="003C31B9">
        <w:rPr>
          <w:rFonts w:asciiTheme="majorBidi" w:hAnsiTheme="majorBidi" w:cstheme="majorBidi"/>
          <w:color w:val="211D1E"/>
        </w:rPr>
        <w:t>were killed</w:t>
      </w:r>
      <w:r w:rsidR="006A0DAE">
        <w:rPr>
          <w:rFonts w:asciiTheme="majorBidi" w:hAnsiTheme="majorBidi" w:cstheme="majorBidi"/>
          <w:color w:val="211D1E"/>
        </w:rPr>
        <w:t>, and f</w:t>
      </w:r>
      <w:r w:rsidR="00AB2270" w:rsidRPr="003C31B9">
        <w:rPr>
          <w:rFonts w:asciiTheme="majorBidi" w:hAnsiTheme="majorBidi" w:cstheme="majorBidi"/>
          <w:color w:val="211D1E"/>
        </w:rPr>
        <w:t xml:space="preserve">emale Yazidis were </w:t>
      </w:r>
      <w:r w:rsidR="00FD473A">
        <w:rPr>
          <w:rFonts w:asciiTheme="majorBidi" w:hAnsiTheme="majorBidi" w:cstheme="majorBidi"/>
          <w:color w:val="211D1E"/>
        </w:rPr>
        <w:t xml:space="preserve">publicly </w:t>
      </w:r>
      <w:r w:rsidR="00AB2270" w:rsidRPr="003C31B9">
        <w:rPr>
          <w:rFonts w:asciiTheme="majorBidi" w:hAnsiTheme="majorBidi" w:cstheme="majorBidi"/>
          <w:color w:val="211D1E"/>
        </w:rPr>
        <w:t>traded in a complex network of sexual slavery. Th</w:t>
      </w:r>
      <w:r w:rsidR="00237A5E" w:rsidRPr="003C31B9">
        <w:rPr>
          <w:rFonts w:asciiTheme="majorBidi" w:hAnsiTheme="majorBidi" w:cstheme="majorBidi"/>
          <w:color w:val="211D1E"/>
        </w:rPr>
        <w:t>e thousands</w:t>
      </w:r>
      <w:r w:rsidR="00AB2270" w:rsidRPr="003C31B9">
        <w:rPr>
          <w:rFonts w:asciiTheme="majorBidi" w:hAnsiTheme="majorBidi" w:cstheme="majorBidi"/>
          <w:color w:val="211D1E"/>
        </w:rPr>
        <w:t xml:space="preserve"> who fled to Mount Sinjar </w:t>
      </w:r>
      <w:r w:rsidR="00AB4B41">
        <w:rPr>
          <w:rFonts w:asciiTheme="majorBidi" w:hAnsiTheme="majorBidi" w:cstheme="majorBidi"/>
          <w:color w:val="211D1E"/>
        </w:rPr>
        <w:t xml:space="preserve">in northern Iraq </w:t>
      </w:r>
      <w:r w:rsidR="00AB2270" w:rsidRPr="003C31B9">
        <w:rPr>
          <w:rFonts w:asciiTheme="majorBidi" w:hAnsiTheme="majorBidi" w:cstheme="majorBidi"/>
          <w:color w:val="211D1E"/>
        </w:rPr>
        <w:t xml:space="preserve">were besieged to ensure </w:t>
      </w:r>
      <w:r w:rsidR="00237A5E" w:rsidRPr="003C31B9">
        <w:rPr>
          <w:rFonts w:asciiTheme="majorBidi" w:hAnsiTheme="majorBidi" w:cstheme="majorBidi"/>
          <w:color w:val="211D1E"/>
        </w:rPr>
        <w:t xml:space="preserve">their </w:t>
      </w:r>
      <w:r w:rsidR="00AB2270" w:rsidRPr="003C31B9">
        <w:rPr>
          <w:rFonts w:asciiTheme="majorBidi" w:hAnsiTheme="majorBidi" w:cstheme="majorBidi"/>
          <w:color w:val="211D1E"/>
        </w:rPr>
        <w:t>death from</w:t>
      </w:r>
      <w:r w:rsidR="00237A5E" w:rsidRPr="003C31B9">
        <w:rPr>
          <w:rFonts w:asciiTheme="majorBidi" w:hAnsiTheme="majorBidi" w:cstheme="majorBidi"/>
          <w:color w:val="211D1E"/>
        </w:rPr>
        <w:t xml:space="preserve"> thirst and </w:t>
      </w:r>
      <w:r w:rsidR="00AB2270" w:rsidRPr="003C31B9">
        <w:rPr>
          <w:rFonts w:asciiTheme="majorBidi" w:hAnsiTheme="majorBidi" w:cstheme="majorBidi"/>
          <w:color w:val="211D1E"/>
        </w:rPr>
        <w:t xml:space="preserve">starvation. In total, more than </w:t>
      </w:r>
      <w:r w:rsidR="0077413E">
        <w:rPr>
          <w:rFonts w:asciiTheme="majorBidi" w:hAnsiTheme="majorBidi" w:cstheme="majorBidi"/>
          <w:color w:val="211D1E"/>
        </w:rPr>
        <w:t>four hundred thousand</w:t>
      </w:r>
      <w:r w:rsidR="00AB2270" w:rsidRPr="003C31B9">
        <w:rPr>
          <w:rFonts w:asciiTheme="majorBidi" w:hAnsiTheme="majorBidi" w:cstheme="majorBidi"/>
          <w:color w:val="211D1E"/>
        </w:rPr>
        <w:t xml:space="preserve"> Yazidis were </w:t>
      </w:r>
      <w:r w:rsidR="00B22FB0">
        <w:rPr>
          <w:rFonts w:asciiTheme="majorBidi" w:hAnsiTheme="majorBidi" w:cstheme="majorBidi"/>
          <w:color w:val="211D1E"/>
        </w:rPr>
        <w:t>enslaved</w:t>
      </w:r>
      <w:r w:rsidR="00FE76E2" w:rsidRPr="003C31B9">
        <w:rPr>
          <w:rFonts w:asciiTheme="majorBidi" w:hAnsiTheme="majorBidi" w:cstheme="majorBidi"/>
          <w:color w:val="211D1E"/>
        </w:rPr>
        <w:t>,</w:t>
      </w:r>
      <w:r w:rsidR="00AB2270" w:rsidRPr="003C31B9">
        <w:rPr>
          <w:rFonts w:asciiTheme="majorBidi" w:hAnsiTheme="majorBidi" w:cstheme="majorBidi"/>
          <w:color w:val="211D1E"/>
        </w:rPr>
        <w:t xml:space="preserve"> driven from their homeland</w:t>
      </w:r>
      <w:r w:rsidR="0077413E">
        <w:rPr>
          <w:rFonts w:asciiTheme="majorBidi" w:hAnsiTheme="majorBidi" w:cstheme="majorBidi"/>
          <w:color w:val="211D1E"/>
        </w:rPr>
        <w:t>,</w:t>
      </w:r>
      <w:r w:rsidR="00AB2270" w:rsidRPr="003C31B9">
        <w:rPr>
          <w:rFonts w:asciiTheme="majorBidi" w:hAnsiTheme="majorBidi" w:cstheme="majorBidi"/>
          <w:color w:val="211D1E"/>
        </w:rPr>
        <w:t xml:space="preserve"> </w:t>
      </w:r>
      <w:r w:rsidR="00FE76E2" w:rsidRPr="003C31B9">
        <w:rPr>
          <w:rFonts w:asciiTheme="majorBidi" w:hAnsiTheme="majorBidi" w:cstheme="majorBidi"/>
          <w:color w:val="211D1E"/>
        </w:rPr>
        <w:t xml:space="preserve">or </w:t>
      </w:r>
      <w:r w:rsidR="007C0B87" w:rsidRPr="003C31B9">
        <w:rPr>
          <w:rFonts w:asciiTheme="majorBidi" w:hAnsiTheme="majorBidi" w:cstheme="majorBidi"/>
          <w:color w:val="211D1E"/>
        </w:rPr>
        <w:t>killed</w:t>
      </w:r>
      <w:r w:rsidR="00AB2270" w:rsidRPr="003C31B9">
        <w:rPr>
          <w:rFonts w:asciiTheme="majorBidi" w:hAnsiTheme="majorBidi" w:cstheme="majorBidi"/>
          <w:color w:val="211D1E"/>
        </w:rPr>
        <w:t>.</w:t>
      </w:r>
      <w:r w:rsidR="0077413E">
        <w:rPr>
          <w:rStyle w:val="EndnoteReference"/>
          <w:rFonts w:asciiTheme="majorBidi" w:hAnsiTheme="majorBidi" w:cstheme="majorBidi"/>
          <w:color w:val="211D1E"/>
        </w:rPr>
        <w:endnoteReference w:id="30"/>
      </w:r>
      <w:r w:rsidR="008B098E">
        <w:rPr>
          <w:rFonts w:asciiTheme="majorBidi" w:hAnsiTheme="majorBidi" w:cstheme="majorBidi"/>
          <w:color w:val="211D1E"/>
        </w:rPr>
        <w:t xml:space="preserve"> </w:t>
      </w:r>
      <w:r w:rsidR="00177B91" w:rsidRPr="003C31B9">
        <w:rPr>
          <w:rFonts w:asciiTheme="majorBidi" w:hAnsiTheme="majorBidi" w:cstheme="majorBidi"/>
        </w:rPr>
        <w:t xml:space="preserve">In </w:t>
      </w:r>
      <w:r w:rsidR="00177B91" w:rsidRPr="00E266A7">
        <w:rPr>
          <w:rFonts w:asciiTheme="majorBidi" w:hAnsiTheme="majorBidi" w:cstheme="majorBidi"/>
          <w:i/>
          <w:iCs/>
        </w:rPr>
        <w:t>Dabiq</w:t>
      </w:r>
      <w:r w:rsidR="00177B91" w:rsidRPr="003C31B9">
        <w:rPr>
          <w:rFonts w:asciiTheme="majorBidi" w:hAnsiTheme="majorBidi" w:cstheme="majorBidi"/>
        </w:rPr>
        <w:t xml:space="preserve">, </w:t>
      </w:r>
      <w:r w:rsidR="003D60AA">
        <w:rPr>
          <w:rFonts w:asciiTheme="majorBidi" w:hAnsiTheme="majorBidi" w:cstheme="majorBidi"/>
        </w:rPr>
        <w:t>Da’esh</w:t>
      </w:r>
      <w:r w:rsidR="00177B91" w:rsidRPr="003C31B9">
        <w:rPr>
          <w:rFonts w:asciiTheme="majorBidi" w:hAnsiTheme="majorBidi" w:cstheme="majorBidi"/>
        </w:rPr>
        <w:t xml:space="preserve"> framed these actions as consistent with Islamic law:</w:t>
      </w:r>
      <w:r w:rsidR="004904D9">
        <w:rPr>
          <w:rFonts w:asciiTheme="majorBidi" w:hAnsiTheme="majorBidi" w:cstheme="majorBidi"/>
        </w:rPr>
        <w:t xml:space="preserve"> </w:t>
      </w:r>
      <w:r w:rsidR="00177B91" w:rsidRPr="003C31B9">
        <w:rPr>
          <w:rFonts w:asciiTheme="majorBidi" w:hAnsiTheme="majorBidi" w:cstheme="majorBidi"/>
        </w:rPr>
        <w:t xml:space="preserve">“Enslaving the families of the </w:t>
      </w:r>
      <w:r w:rsidR="00785EF7">
        <w:rPr>
          <w:rFonts w:asciiTheme="majorBidi" w:hAnsiTheme="majorBidi" w:cstheme="majorBidi"/>
        </w:rPr>
        <w:t>[</w:t>
      </w:r>
      <w:r w:rsidR="00177B91" w:rsidRPr="003C31B9">
        <w:rPr>
          <w:rFonts w:asciiTheme="majorBidi" w:hAnsiTheme="majorBidi" w:cstheme="majorBidi"/>
        </w:rPr>
        <w:t>nonbelievers</w:t>
      </w:r>
      <w:r w:rsidR="00785EF7">
        <w:rPr>
          <w:rFonts w:asciiTheme="majorBidi" w:hAnsiTheme="majorBidi" w:cstheme="majorBidi"/>
        </w:rPr>
        <w:t>]</w:t>
      </w:r>
      <w:r w:rsidR="00177B91" w:rsidRPr="003C31B9">
        <w:rPr>
          <w:rFonts w:asciiTheme="majorBidi" w:hAnsiTheme="majorBidi" w:cstheme="majorBidi"/>
        </w:rPr>
        <w:t xml:space="preserve"> and taking their women as concubines is a firmly established aspect of the Shariah</w:t>
      </w:r>
      <w:r w:rsidR="00785EF7">
        <w:rPr>
          <w:rFonts w:asciiTheme="majorBidi" w:hAnsiTheme="majorBidi" w:cstheme="majorBidi"/>
        </w:rPr>
        <w:t>.</w:t>
      </w:r>
      <w:r w:rsidR="004904D9">
        <w:rPr>
          <w:rFonts w:asciiTheme="majorBidi" w:hAnsiTheme="majorBidi" w:cstheme="majorBidi"/>
        </w:rPr>
        <w:t xml:space="preserve"> …</w:t>
      </w:r>
      <w:r w:rsidR="008B098E">
        <w:rPr>
          <w:rFonts w:asciiTheme="majorBidi" w:hAnsiTheme="majorBidi" w:cstheme="majorBidi"/>
        </w:rPr>
        <w:t xml:space="preserve"> </w:t>
      </w:r>
      <w:r w:rsidR="00177B91" w:rsidRPr="003C31B9">
        <w:rPr>
          <w:rFonts w:asciiTheme="majorBidi" w:hAnsiTheme="majorBidi" w:cstheme="majorBidi"/>
        </w:rPr>
        <w:t>After capture, the Yazidi women and children were then divided according to the Shariah amongst the fighters of the Islamic State</w:t>
      </w:r>
      <w:r w:rsidR="004904D9">
        <w:rPr>
          <w:rFonts w:asciiTheme="majorBidi" w:hAnsiTheme="majorBidi" w:cstheme="majorBidi"/>
        </w:rPr>
        <w:t xml:space="preserve"> </w:t>
      </w:r>
      <w:r w:rsidR="00177B91" w:rsidRPr="003C31B9">
        <w:rPr>
          <w:rFonts w:asciiTheme="majorBidi" w:hAnsiTheme="majorBidi" w:cstheme="majorBidi"/>
        </w:rPr>
        <w:t>…</w:t>
      </w:r>
      <w:r w:rsidR="004904D9">
        <w:rPr>
          <w:rFonts w:asciiTheme="majorBidi" w:hAnsiTheme="majorBidi" w:cstheme="majorBidi"/>
        </w:rPr>
        <w:t xml:space="preserve"> </w:t>
      </w:r>
      <w:r w:rsidR="00177B91" w:rsidRPr="003C31B9">
        <w:rPr>
          <w:rFonts w:asciiTheme="majorBidi" w:hAnsiTheme="majorBidi" w:cstheme="majorBidi"/>
        </w:rPr>
        <w:t>after one fifth of the slaves were transferred to the Islamic State’s authority to be divided as khum</w:t>
      </w:r>
      <w:r w:rsidR="004904D9">
        <w:rPr>
          <w:rFonts w:asciiTheme="majorBidi" w:hAnsiTheme="majorBidi" w:cstheme="majorBidi"/>
        </w:rPr>
        <w:t>s</w:t>
      </w:r>
      <w:r w:rsidR="00E12D24">
        <w:rPr>
          <w:rFonts w:asciiTheme="majorBidi" w:hAnsiTheme="majorBidi" w:cstheme="majorBidi"/>
        </w:rPr>
        <w:t>.</w:t>
      </w:r>
      <w:r w:rsidR="00177B91" w:rsidRPr="003C31B9">
        <w:rPr>
          <w:rFonts w:asciiTheme="majorBidi" w:hAnsiTheme="majorBidi" w:cstheme="majorBidi"/>
        </w:rPr>
        <w:t xml:space="preserve">” </w:t>
      </w:r>
      <w:r w:rsidR="00177B91" w:rsidRPr="00E266A7">
        <w:rPr>
          <w:rFonts w:asciiTheme="majorBidi" w:hAnsiTheme="majorBidi" w:cstheme="majorBidi"/>
          <w:i/>
          <w:iCs/>
        </w:rPr>
        <w:t>Khums</w:t>
      </w:r>
      <w:r w:rsidR="00177B91" w:rsidRPr="003C31B9">
        <w:rPr>
          <w:rFonts w:asciiTheme="majorBidi" w:hAnsiTheme="majorBidi" w:cstheme="majorBidi"/>
        </w:rPr>
        <w:t xml:space="preserve"> is the one-fifth share or tax on the spoils of war owed to the state.</w:t>
      </w:r>
      <w:r w:rsidR="004904D9">
        <w:rPr>
          <w:rFonts w:asciiTheme="majorBidi" w:hAnsiTheme="majorBidi" w:cstheme="majorBidi"/>
        </w:rPr>
        <w:t xml:space="preserve"> </w:t>
      </w:r>
      <w:r w:rsidR="005E1740" w:rsidRPr="003C31B9">
        <w:rPr>
          <w:rFonts w:asciiTheme="majorBidi" w:hAnsiTheme="majorBidi" w:cstheme="majorBidi"/>
        </w:rPr>
        <w:t>According to a 2016 report by the UN High Commissioner for Human Rights, “</w:t>
      </w:r>
      <w:r w:rsidR="008A069D">
        <w:rPr>
          <w:rFonts w:asciiTheme="majorBidi" w:hAnsiTheme="majorBidi" w:cstheme="majorBidi"/>
        </w:rPr>
        <w:t>n</w:t>
      </w:r>
      <w:r w:rsidR="005E1740" w:rsidRPr="003C31B9">
        <w:rPr>
          <w:rFonts w:asciiTheme="majorBidi" w:hAnsiTheme="majorBidi" w:cstheme="majorBidi"/>
        </w:rPr>
        <w:t>o other religious grou</w:t>
      </w:r>
      <w:r w:rsidR="004904D9">
        <w:rPr>
          <w:rFonts w:asciiTheme="majorBidi" w:hAnsiTheme="majorBidi" w:cstheme="majorBidi"/>
        </w:rPr>
        <w:t>p</w:t>
      </w:r>
      <w:r w:rsidR="005E1740" w:rsidRPr="003C31B9">
        <w:rPr>
          <w:rFonts w:asciiTheme="majorBidi" w:hAnsiTheme="majorBidi" w:cstheme="majorBidi"/>
        </w:rPr>
        <w:t xml:space="preserve"> </w:t>
      </w:r>
      <w:r w:rsidR="009F7553">
        <w:rPr>
          <w:rFonts w:asciiTheme="majorBidi" w:hAnsiTheme="majorBidi" w:cstheme="majorBidi"/>
        </w:rPr>
        <w:t xml:space="preserve">present </w:t>
      </w:r>
      <w:r w:rsidR="005E1740" w:rsidRPr="003C31B9">
        <w:rPr>
          <w:rFonts w:asciiTheme="majorBidi" w:hAnsiTheme="majorBidi" w:cstheme="majorBidi"/>
        </w:rPr>
        <w:t xml:space="preserve">in </w:t>
      </w:r>
      <w:r w:rsidR="009F7553">
        <w:rPr>
          <w:rFonts w:asciiTheme="majorBidi" w:hAnsiTheme="majorBidi" w:cstheme="majorBidi"/>
        </w:rPr>
        <w:t>Isis-</w:t>
      </w:r>
      <w:r w:rsidR="005E1740" w:rsidRPr="003C31B9">
        <w:rPr>
          <w:rFonts w:asciiTheme="majorBidi" w:hAnsiTheme="majorBidi" w:cstheme="majorBidi"/>
        </w:rPr>
        <w:t xml:space="preserve">controlled areas </w:t>
      </w:r>
      <w:r w:rsidR="009F7553">
        <w:rPr>
          <w:rFonts w:asciiTheme="majorBidi" w:hAnsiTheme="majorBidi" w:cstheme="majorBidi"/>
        </w:rPr>
        <w:t xml:space="preserve">of Syria and Iraq </w:t>
      </w:r>
      <w:r w:rsidR="005E1740" w:rsidRPr="003C31B9">
        <w:rPr>
          <w:rFonts w:asciiTheme="majorBidi" w:hAnsiTheme="majorBidi" w:cstheme="majorBidi"/>
        </w:rPr>
        <w:t>has been subjected to the destruction that the Yazidis have suffered</w:t>
      </w:r>
      <w:r w:rsidR="00B12C8C">
        <w:rPr>
          <w:rFonts w:asciiTheme="majorBidi" w:hAnsiTheme="majorBidi" w:cstheme="majorBidi"/>
        </w:rPr>
        <w:t>.</w:t>
      </w:r>
      <w:r w:rsidR="005E1740" w:rsidRPr="003C31B9">
        <w:rPr>
          <w:rFonts w:asciiTheme="majorBidi" w:hAnsiTheme="majorBidi" w:cstheme="majorBidi"/>
        </w:rPr>
        <w:t>”</w:t>
      </w:r>
      <w:r w:rsidR="00B12C8C" w:rsidRPr="00E266A7">
        <w:rPr>
          <w:rStyle w:val="EndnoteReference"/>
          <w:rFonts w:asciiTheme="majorBidi" w:hAnsiTheme="majorBidi" w:cstheme="majorBidi"/>
        </w:rPr>
        <w:endnoteReference w:id="31"/>
      </w:r>
    </w:p>
    <w:p w14:paraId="1C576AD3" w14:textId="5095C6D6" w:rsidR="00AB39B2" w:rsidRPr="008F1B0E" w:rsidRDefault="00D2686C" w:rsidP="00F4698F">
      <w:pPr>
        <w:autoSpaceDE w:val="0"/>
        <w:autoSpaceDN w:val="0"/>
        <w:adjustRightInd w:val="0"/>
        <w:spacing w:line="480" w:lineRule="auto"/>
        <w:ind w:firstLine="720"/>
        <w:rPr>
          <w:rFonts w:asciiTheme="majorBidi" w:hAnsiTheme="majorBidi" w:cstheme="majorBidi"/>
          <w:color w:val="211D1E"/>
        </w:rPr>
      </w:pPr>
      <w:r w:rsidRPr="003C31B9">
        <w:rPr>
          <w:rFonts w:asciiTheme="majorBidi" w:hAnsiTheme="majorBidi" w:cstheme="majorBidi"/>
          <w:color w:val="211D1E"/>
        </w:rPr>
        <w:lastRenderedPageBreak/>
        <w:t>Despite</w:t>
      </w:r>
      <w:r w:rsidR="00104A5B" w:rsidRPr="003C31B9">
        <w:rPr>
          <w:rFonts w:asciiTheme="majorBidi" w:hAnsiTheme="majorBidi" w:cstheme="majorBidi"/>
          <w:color w:val="211D1E"/>
        </w:rPr>
        <w:t xml:space="preserve"> the fact that</w:t>
      </w:r>
      <w:r w:rsidR="001A5C9B" w:rsidRPr="003C31B9">
        <w:rPr>
          <w:rFonts w:asciiTheme="majorBidi" w:hAnsiTheme="majorBidi" w:cstheme="majorBidi"/>
          <w:color w:val="211D1E"/>
        </w:rPr>
        <w:t xml:space="preserve"> mainstream Islam considers Christians</w:t>
      </w:r>
      <w:r w:rsidR="000F7C69">
        <w:rPr>
          <w:rFonts w:asciiTheme="majorBidi" w:hAnsiTheme="majorBidi" w:cstheme="majorBidi"/>
          <w:color w:val="211D1E"/>
        </w:rPr>
        <w:t xml:space="preserve"> to be</w:t>
      </w:r>
      <w:r w:rsidR="008F1B0E">
        <w:rPr>
          <w:rFonts w:asciiTheme="majorBidi" w:hAnsiTheme="majorBidi" w:cstheme="majorBidi"/>
          <w:color w:val="211D1E"/>
        </w:rPr>
        <w:t xml:space="preserve"> </w:t>
      </w:r>
      <w:r w:rsidR="00332732">
        <w:rPr>
          <w:rFonts w:asciiTheme="majorBidi" w:hAnsiTheme="majorBidi" w:cstheme="majorBidi"/>
          <w:color w:val="211D1E"/>
        </w:rPr>
        <w:t>P</w:t>
      </w:r>
      <w:r w:rsidR="001A5C9B" w:rsidRPr="003C31B9">
        <w:rPr>
          <w:rFonts w:asciiTheme="majorBidi" w:hAnsiTheme="majorBidi" w:cstheme="majorBidi"/>
          <w:color w:val="211D1E"/>
        </w:rPr>
        <w:t xml:space="preserve">eople of the </w:t>
      </w:r>
      <w:r w:rsidR="00332732">
        <w:rPr>
          <w:rFonts w:asciiTheme="majorBidi" w:hAnsiTheme="majorBidi" w:cstheme="majorBidi"/>
          <w:color w:val="211D1E"/>
        </w:rPr>
        <w:t>B</w:t>
      </w:r>
      <w:r w:rsidR="001A5C9B" w:rsidRPr="003C31B9">
        <w:rPr>
          <w:rFonts w:asciiTheme="majorBidi" w:hAnsiTheme="majorBidi" w:cstheme="majorBidi"/>
          <w:color w:val="211D1E"/>
        </w:rPr>
        <w:t>ook</w:t>
      </w:r>
      <w:r w:rsidR="002C53B3">
        <w:rPr>
          <w:rFonts w:asciiTheme="majorBidi" w:hAnsiTheme="majorBidi" w:cstheme="majorBidi"/>
          <w:color w:val="211D1E"/>
        </w:rPr>
        <w:t>,</w:t>
      </w:r>
      <w:r w:rsidR="001A5C9B" w:rsidRPr="003C31B9">
        <w:rPr>
          <w:rFonts w:asciiTheme="majorBidi" w:hAnsiTheme="majorBidi" w:cstheme="majorBidi"/>
          <w:color w:val="211D1E"/>
        </w:rPr>
        <w:t xml:space="preserve"> who are tolerated within Islam subject to their payment of the </w:t>
      </w:r>
      <w:r w:rsidR="001A5C9B" w:rsidRPr="00E266A7">
        <w:rPr>
          <w:rFonts w:asciiTheme="majorBidi" w:hAnsiTheme="majorBidi" w:cstheme="majorBidi"/>
          <w:i/>
          <w:iCs/>
          <w:color w:val="211D1E"/>
        </w:rPr>
        <w:t>jizya</w:t>
      </w:r>
      <w:r w:rsidR="00104A5B" w:rsidRPr="003C31B9">
        <w:rPr>
          <w:rFonts w:asciiTheme="majorBidi" w:hAnsiTheme="majorBidi" w:cstheme="majorBidi"/>
          <w:color w:val="211D1E"/>
        </w:rPr>
        <w:t xml:space="preserve"> </w:t>
      </w:r>
      <w:r w:rsidR="001A5C9B" w:rsidRPr="003C31B9">
        <w:rPr>
          <w:rFonts w:asciiTheme="majorBidi" w:hAnsiTheme="majorBidi" w:cstheme="majorBidi"/>
          <w:color w:val="211D1E"/>
        </w:rPr>
        <w:t xml:space="preserve">tax on non-Muslims, </w:t>
      </w:r>
      <w:r w:rsidR="003D60AA">
        <w:rPr>
          <w:rFonts w:asciiTheme="majorBidi" w:hAnsiTheme="majorBidi" w:cstheme="majorBidi"/>
          <w:color w:val="211D1E"/>
        </w:rPr>
        <w:t>Da’esh</w:t>
      </w:r>
      <w:r w:rsidR="001A5C9B" w:rsidRPr="003C31B9">
        <w:rPr>
          <w:rFonts w:asciiTheme="majorBidi" w:hAnsiTheme="majorBidi" w:cstheme="majorBidi"/>
          <w:color w:val="211D1E"/>
        </w:rPr>
        <w:t xml:space="preserve"> viewed </w:t>
      </w:r>
      <w:r w:rsidR="00040B4A" w:rsidRPr="003C31B9">
        <w:rPr>
          <w:rFonts w:asciiTheme="majorBidi" w:hAnsiTheme="majorBidi" w:cstheme="majorBidi"/>
          <w:color w:val="211D1E"/>
        </w:rPr>
        <w:t xml:space="preserve">both </w:t>
      </w:r>
      <w:r w:rsidR="00404049">
        <w:rPr>
          <w:rFonts w:asciiTheme="majorBidi" w:hAnsiTheme="majorBidi" w:cstheme="majorBidi"/>
          <w:color w:val="211D1E"/>
        </w:rPr>
        <w:t>W</w:t>
      </w:r>
      <w:r w:rsidR="00040B4A" w:rsidRPr="003C31B9">
        <w:rPr>
          <w:rFonts w:asciiTheme="majorBidi" w:hAnsiTheme="majorBidi" w:cstheme="majorBidi"/>
          <w:color w:val="211D1E"/>
        </w:rPr>
        <w:t xml:space="preserve">estern and local Middle Eastern </w:t>
      </w:r>
      <w:r w:rsidR="001A5C9B" w:rsidRPr="003C31B9">
        <w:rPr>
          <w:rFonts w:asciiTheme="majorBidi" w:hAnsiTheme="majorBidi" w:cstheme="majorBidi"/>
          <w:color w:val="211D1E"/>
        </w:rPr>
        <w:t xml:space="preserve">Christians as </w:t>
      </w:r>
      <w:r w:rsidR="00AB39B2" w:rsidRPr="003C31B9">
        <w:rPr>
          <w:rFonts w:asciiTheme="majorBidi" w:hAnsiTheme="majorBidi" w:cstheme="majorBidi"/>
          <w:color w:val="211D1E"/>
        </w:rPr>
        <w:t>enemies</w:t>
      </w:r>
      <w:r w:rsidR="002D39D4" w:rsidRPr="003C31B9">
        <w:rPr>
          <w:rFonts w:asciiTheme="majorBidi" w:hAnsiTheme="majorBidi" w:cstheme="majorBidi"/>
          <w:color w:val="211D1E"/>
        </w:rPr>
        <w:t>:</w:t>
      </w:r>
      <w:r w:rsidR="008F1B0E">
        <w:rPr>
          <w:rFonts w:asciiTheme="majorBidi" w:hAnsiTheme="majorBidi" w:cstheme="majorBidi"/>
          <w:color w:val="211D1E"/>
        </w:rPr>
        <w:t xml:space="preserve"> </w:t>
      </w:r>
      <w:r w:rsidR="002D39D4" w:rsidRPr="003C31B9">
        <w:rPr>
          <w:rFonts w:asciiTheme="majorBidi" w:hAnsiTheme="majorBidi" w:cstheme="majorBidi"/>
          <w:color w:val="211D1E"/>
        </w:rPr>
        <w:t>“</w:t>
      </w:r>
      <w:r w:rsidR="002D39D4" w:rsidRPr="003C31B9">
        <w:rPr>
          <w:rFonts w:asciiTheme="majorBidi" w:hAnsiTheme="majorBidi" w:cstheme="majorBidi"/>
        </w:rPr>
        <w:t xml:space="preserve">We tell Christians everywhere that the Islamic State will spread, God willing, </w:t>
      </w:r>
      <w:r w:rsidR="00470946">
        <w:rPr>
          <w:rFonts w:asciiTheme="majorBidi" w:hAnsiTheme="majorBidi" w:cstheme="majorBidi"/>
        </w:rPr>
        <w:t>i</w:t>
      </w:r>
      <w:r w:rsidR="002D39D4" w:rsidRPr="003C31B9">
        <w:rPr>
          <w:rFonts w:asciiTheme="majorBidi" w:hAnsiTheme="majorBidi" w:cstheme="majorBidi"/>
        </w:rPr>
        <w:t>t will reach you even if you are in fortresses. Those who embrace Islam or jizya will be safe. But those who refuse</w:t>
      </w:r>
      <w:r w:rsidR="00C615D1">
        <w:rPr>
          <w:rFonts w:asciiTheme="majorBidi" w:hAnsiTheme="majorBidi" w:cstheme="majorBidi"/>
        </w:rPr>
        <w:t xml:space="preserve"> </w:t>
      </w:r>
      <w:r w:rsidR="00404049">
        <w:rPr>
          <w:rFonts w:asciiTheme="majorBidi" w:hAnsiTheme="majorBidi" w:cstheme="majorBidi"/>
        </w:rPr>
        <w:t>…</w:t>
      </w:r>
      <w:r w:rsidR="00C615D1">
        <w:rPr>
          <w:rFonts w:asciiTheme="majorBidi" w:hAnsiTheme="majorBidi" w:cstheme="majorBidi"/>
        </w:rPr>
        <w:t xml:space="preserve"> </w:t>
      </w:r>
      <w:r w:rsidR="002D39D4" w:rsidRPr="003C31B9">
        <w:rPr>
          <w:rFonts w:asciiTheme="majorBidi" w:hAnsiTheme="majorBidi" w:cstheme="majorBidi"/>
        </w:rPr>
        <w:t xml:space="preserve">will have nothing from us but the edge of the sword. The men will be killed, the women and children enslaved, and the money seized. That is Allah and the </w:t>
      </w:r>
      <w:r w:rsidR="00AA35BD">
        <w:rPr>
          <w:rFonts w:asciiTheme="majorBidi" w:hAnsiTheme="majorBidi" w:cstheme="majorBidi"/>
        </w:rPr>
        <w:t>P</w:t>
      </w:r>
      <w:r w:rsidR="002D39D4" w:rsidRPr="003C31B9">
        <w:rPr>
          <w:rFonts w:asciiTheme="majorBidi" w:hAnsiTheme="majorBidi" w:cstheme="majorBidi"/>
        </w:rPr>
        <w:t>rophet’s judgment</w:t>
      </w:r>
      <w:r w:rsidR="00B535B5">
        <w:rPr>
          <w:rFonts w:asciiTheme="majorBidi" w:hAnsiTheme="majorBidi" w:cstheme="majorBidi"/>
        </w:rPr>
        <w:t>.”</w:t>
      </w:r>
      <w:r w:rsidR="00AA35BD" w:rsidRPr="00E266A7">
        <w:rPr>
          <w:rStyle w:val="EndnoteReference"/>
          <w:rFonts w:asciiTheme="majorBidi" w:hAnsiTheme="majorBidi" w:cstheme="majorBidi"/>
        </w:rPr>
        <w:endnoteReference w:id="32"/>
      </w:r>
      <w:r w:rsidR="008B098E">
        <w:rPr>
          <w:rFonts w:asciiTheme="majorBidi" w:hAnsiTheme="majorBidi" w:cstheme="majorBidi"/>
        </w:rPr>
        <w:t xml:space="preserve"> </w:t>
      </w:r>
      <w:r w:rsidR="00040B4A" w:rsidRPr="003C31B9">
        <w:rPr>
          <w:rFonts w:asciiTheme="majorBidi" w:hAnsiTheme="majorBidi" w:cstheme="majorBidi"/>
          <w:color w:val="211D1E"/>
        </w:rPr>
        <w:t xml:space="preserve">Following the earlier language of Osama bin Laden and al-Qaeda, </w:t>
      </w:r>
      <w:r w:rsidR="003D60AA">
        <w:rPr>
          <w:rFonts w:asciiTheme="majorBidi" w:hAnsiTheme="majorBidi" w:cstheme="majorBidi"/>
          <w:color w:val="211D1E"/>
        </w:rPr>
        <w:t>Da’esh</w:t>
      </w:r>
      <w:r w:rsidR="00040B4A" w:rsidRPr="003C31B9">
        <w:rPr>
          <w:rFonts w:asciiTheme="majorBidi" w:hAnsiTheme="majorBidi" w:cstheme="majorBidi"/>
          <w:color w:val="211D1E"/>
        </w:rPr>
        <w:t xml:space="preserve"> labeled Western Christians as “</w:t>
      </w:r>
      <w:r w:rsidR="00A875AC">
        <w:rPr>
          <w:rFonts w:asciiTheme="majorBidi" w:hAnsiTheme="majorBidi" w:cstheme="majorBidi"/>
          <w:color w:val="211D1E"/>
        </w:rPr>
        <w:t>c</w:t>
      </w:r>
      <w:r w:rsidR="00040B4A" w:rsidRPr="003C31B9">
        <w:rPr>
          <w:rFonts w:asciiTheme="majorBidi" w:hAnsiTheme="majorBidi" w:cstheme="majorBidi"/>
          <w:color w:val="211D1E"/>
        </w:rPr>
        <w:t>rusaders</w:t>
      </w:r>
      <w:r w:rsidR="002D39D4" w:rsidRPr="003C31B9">
        <w:rPr>
          <w:rFonts w:asciiTheme="majorBidi" w:hAnsiTheme="majorBidi" w:cstheme="majorBidi"/>
          <w:color w:val="211D1E"/>
        </w:rPr>
        <w:t xml:space="preserve">” who were enemies of Islam to be destroyed. </w:t>
      </w:r>
      <w:r w:rsidR="006D70C3">
        <w:rPr>
          <w:rFonts w:asciiTheme="majorBidi" w:hAnsiTheme="majorBidi" w:cstheme="majorBidi"/>
          <w:color w:val="211D1E"/>
        </w:rPr>
        <w:t xml:space="preserve">The fourth issue of </w:t>
      </w:r>
      <w:r w:rsidR="00AB39B2" w:rsidRPr="00E266A7">
        <w:rPr>
          <w:rFonts w:asciiTheme="majorBidi" w:hAnsiTheme="majorBidi" w:cstheme="majorBidi"/>
          <w:i/>
          <w:iCs/>
          <w:color w:val="211D1E"/>
        </w:rPr>
        <w:t>Dabiq</w:t>
      </w:r>
      <w:r w:rsidR="00AB39B2" w:rsidRPr="003C31B9">
        <w:rPr>
          <w:rFonts w:asciiTheme="majorBidi" w:hAnsiTheme="majorBidi" w:cstheme="majorBidi"/>
          <w:color w:val="211D1E"/>
        </w:rPr>
        <w:t>, titled “The Failed Crusade,” included a</w:t>
      </w:r>
      <w:r w:rsidR="00104A5B" w:rsidRPr="003C31B9">
        <w:rPr>
          <w:rFonts w:asciiTheme="majorBidi" w:hAnsiTheme="majorBidi" w:cstheme="majorBidi"/>
          <w:color w:val="211D1E"/>
        </w:rPr>
        <w:t>n article</w:t>
      </w:r>
      <w:r w:rsidR="00AB39B2" w:rsidRPr="003C31B9">
        <w:rPr>
          <w:rFonts w:asciiTheme="majorBidi" w:hAnsiTheme="majorBidi" w:cstheme="majorBidi"/>
          <w:color w:val="211D1E"/>
        </w:rPr>
        <w:t xml:space="preserve"> asserting that “every Muslim should get out of his house, find a crusader and kill him.”</w:t>
      </w:r>
      <w:r w:rsidR="008B098E">
        <w:rPr>
          <w:rFonts w:asciiTheme="majorBidi" w:hAnsiTheme="majorBidi" w:cstheme="majorBidi"/>
          <w:color w:val="211D1E"/>
        </w:rPr>
        <w:t xml:space="preserve"> </w:t>
      </w:r>
      <w:r w:rsidR="002D39D4" w:rsidRPr="003C31B9">
        <w:rPr>
          <w:rFonts w:asciiTheme="majorBidi" w:hAnsiTheme="majorBidi" w:cstheme="majorBidi"/>
          <w:color w:val="211D1E"/>
        </w:rPr>
        <w:t xml:space="preserve">Syrian and Iraqi Christians, </w:t>
      </w:r>
      <w:r w:rsidR="007A5750">
        <w:rPr>
          <w:rFonts w:asciiTheme="majorBidi" w:hAnsiTheme="majorBidi" w:cstheme="majorBidi"/>
          <w:color w:val="211D1E"/>
        </w:rPr>
        <w:t>especially</w:t>
      </w:r>
      <w:r w:rsidR="002D39D4" w:rsidRPr="003C31B9">
        <w:rPr>
          <w:rFonts w:asciiTheme="majorBidi" w:hAnsiTheme="majorBidi" w:cstheme="majorBidi"/>
          <w:color w:val="211D1E"/>
        </w:rPr>
        <w:t xml:space="preserve"> Syriac</w:t>
      </w:r>
      <w:r w:rsidR="00104A5B" w:rsidRPr="003C31B9">
        <w:rPr>
          <w:rFonts w:asciiTheme="majorBidi" w:hAnsiTheme="majorBidi" w:cstheme="majorBidi"/>
          <w:color w:val="211D1E"/>
        </w:rPr>
        <w:t>-</w:t>
      </w:r>
      <w:r w:rsidR="002D39D4" w:rsidRPr="003C31B9">
        <w:rPr>
          <w:rFonts w:asciiTheme="majorBidi" w:hAnsiTheme="majorBidi" w:cstheme="majorBidi"/>
          <w:color w:val="211D1E"/>
        </w:rPr>
        <w:t>Aramaic</w:t>
      </w:r>
      <w:r w:rsidR="00104A5B" w:rsidRPr="003C31B9">
        <w:rPr>
          <w:rFonts w:asciiTheme="majorBidi" w:hAnsiTheme="majorBidi" w:cstheme="majorBidi"/>
          <w:color w:val="211D1E"/>
        </w:rPr>
        <w:t xml:space="preserve"> s</w:t>
      </w:r>
      <w:r w:rsidR="002D39D4" w:rsidRPr="003C31B9">
        <w:rPr>
          <w:rFonts w:asciiTheme="majorBidi" w:hAnsiTheme="majorBidi" w:cstheme="majorBidi"/>
          <w:color w:val="211D1E"/>
        </w:rPr>
        <w:t xml:space="preserve">peaking Assyrians and Chaldeans, were </w:t>
      </w:r>
      <w:r w:rsidR="008F1B0E">
        <w:rPr>
          <w:rFonts w:asciiTheme="majorBidi" w:hAnsiTheme="majorBidi" w:cstheme="majorBidi"/>
          <w:color w:val="211D1E"/>
        </w:rPr>
        <w:t xml:space="preserve">also </w:t>
      </w:r>
      <w:r w:rsidRPr="003C31B9">
        <w:rPr>
          <w:rFonts w:asciiTheme="majorBidi" w:hAnsiTheme="majorBidi" w:cstheme="majorBidi"/>
          <w:color w:val="211D1E"/>
        </w:rPr>
        <w:t>singled out</w:t>
      </w:r>
      <w:r w:rsidR="002D39D4" w:rsidRPr="003C31B9">
        <w:rPr>
          <w:rFonts w:asciiTheme="majorBidi" w:hAnsiTheme="majorBidi" w:cstheme="majorBidi"/>
          <w:color w:val="211D1E"/>
        </w:rPr>
        <w:t xml:space="preserve"> for persecution, forced conversion, and </w:t>
      </w:r>
      <w:r w:rsidR="008F1B0E">
        <w:rPr>
          <w:rFonts w:asciiTheme="majorBidi" w:hAnsiTheme="majorBidi" w:cstheme="majorBidi"/>
          <w:color w:val="211D1E"/>
        </w:rPr>
        <w:t>extermination</w:t>
      </w:r>
      <w:r w:rsidR="007A5750">
        <w:rPr>
          <w:rFonts w:asciiTheme="majorBidi" w:hAnsiTheme="majorBidi" w:cstheme="majorBidi"/>
          <w:color w:val="211D1E"/>
        </w:rPr>
        <w:t>.</w:t>
      </w:r>
    </w:p>
    <w:p w14:paraId="7D8890E1" w14:textId="6A301111" w:rsidR="006610DE" w:rsidRDefault="00A95D3F" w:rsidP="00F4698F">
      <w:pPr>
        <w:spacing w:line="480" w:lineRule="auto"/>
        <w:ind w:firstLine="720"/>
        <w:rPr>
          <w:rFonts w:asciiTheme="majorBidi" w:eastAsiaTheme="minorHAnsi" w:hAnsiTheme="majorBidi" w:cstheme="majorBidi"/>
        </w:rPr>
      </w:pPr>
      <w:r>
        <w:rPr>
          <w:rFonts w:asciiTheme="majorBidi" w:hAnsiTheme="majorBidi" w:cstheme="majorBidi"/>
        </w:rPr>
        <w:t xml:space="preserve">After </w:t>
      </w:r>
      <w:r w:rsidR="001A5C9B" w:rsidRPr="003C31B9">
        <w:rPr>
          <w:rFonts w:asciiTheme="majorBidi" w:hAnsiTheme="majorBidi" w:cstheme="majorBidi"/>
        </w:rPr>
        <w:t>captur</w:t>
      </w:r>
      <w:r>
        <w:rPr>
          <w:rFonts w:asciiTheme="majorBidi" w:hAnsiTheme="majorBidi" w:cstheme="majorBidi"/>
        </w:rPr>
        <w:t>ing</w:t>
      </w:r>
      <w:r w:rsidR="001A5C9B" w:rsidRPr="003C31B9">
        <w:rPr>
          <w:rFonts w:asciiTheme="majorBidi" w:hAnsiTheme="majorBidi" w:cstheme="majorBidi"/>
        </w:rPr>
        <w:t xml:space="preserve"> Mosul </w:t>
      </w:r>
      <w:r>
        <w:rPr>
          <w:rFonts w:asciiTheme="majorBidi" w:hAnsiTheme="majorBidi" w:cstheme="majorBidi"/>
        </w:rPr>
        <w:t>o</w:t>
      </w:r>
      <w:r w:rsidRPr="003C31B9">
        <w:rPr>
          <w:rFonts w:asciiTheme="majorBidi" w:hAnsiTheme="majorBidi" w:cstheme="majorBidi"/>
        </w:rPr>
        <w:t xml:space="preserve">n </w:t>
      </w:r>
      <w:r>
        <w:rPr>
          <w:rFonts w:asciiTheme="majorBidi" w:hAnsiTheme="majorBidi" w:cstheme="majorBidi"/>
        </w:rPr>
        <w:t xml:space="preserve">10 </w:t>
      </w:r>
      <w:r w:rsidRPr="003C31B9">
        <w:rPr>
          <w:rFonts w:asciiTheme="majorBidi" w:hAnsiTheme="majorBidi" w:cstheme="majorBidi"/>
        </w:rPr>
        <w:t xml:space="preserve">June 2014, </w:t>
      </w:r>
      <w:r>
        <w:rPr>
          <w:rFonts w:asciiTheme="majorBidi" w:hAnsiTheme="majorBidi" w:cstheme="majorBidi"/>
        </w:rPr>
        <w:t>Da’esh</w:t>
      </w:r>
      <w:r w:rsidRPr="003C31B9">
        <w:rPr>
          <w:rFonts w:asciiTheme="majorBidi" w:hAnsiTheme="majorBidi" w:cstheme="majorBidi"/>
        </w:rPr>
        <w:t xml:space="preserve"> </w:t>
      </w:r>
      <w:r w:rsidR="001A5C9B" w:rsidRPr="003C31B9">
        <w:rPr>
          <w:rFonts w:asciiTheme="majorBidi" w:hAnsiTheme="majorBidi" w:cstheme="majorBidi"/>
        </w:rPr>
        <w:t>demand</w:t>
      </w:r>
      <w:r w:rsidR="001B7ACE" w:rsidRPr="003C31B9">
        <w:rPr>
          <w:rFonts w:asciiTheme="majorBidi" w:hAnsiTheme="majorBidi" w:cstheme="majorBidi"/>
        </w:rPr>
        <w:t>ed</w:t>
      </w:r>
      <w:r w:rsidR="001A5C9B" w:rsidRPr="003C31B9">
        <w:rPr>
          <w:rFonts w:asciiTheme="majorBidi" w:hAnsiTheme="majorBidi" w:cstheme="majorBidi"/>
        </w:rPr>
        <w:t xml:space="preserve"> that the Christian</w:t>
      </w:r>
      <w:r w:rsidR="00464900">
        <w:rPr>
          <w:rFonts w:asciiTheme="majorBidi" w:hAnsiTheme="majorBidi" w:cstheme="majorBidi"/>
        </w:rPr>
        <w:t xml:space="preserve"> population</w:t>
      </w:r>
      <w:r w:rsidR="001A5C9B" w:rsidRPr="003C31B9">
        <w:rPr>
          <w:rFonts w:asciiTheme="majorBidi" w:hAnsiTheme="majorBidi" w:cstheme="majorBidi"/>
        </w:rPr>
        <w:t xml:space="preserve"> pay </w:t>
      </w:r>
      <w:r w:rsidR="009265A4" w:rsidRPr="003C31B9">
        <w:rPr>
          <w:rFonts w:asciiTheme="majorBidi" w:hAnsiTheme="majorBidi" w:cstheme="majorBidi"/>
        </w:rPr>
        <w:t xml:space="preserve">the </w:t>
      </w:r>
      <w:r w:rsidR="001A5C9B" w:rsidRPr="00E266A7">
        <w:rPr>
          <w:rFonts w:asciiTheme="majorBidi" w:hAnsiTheme="majorBidi" w:cstheme="majorBidi"/>
          <w:i/>
          <w:iCs/>
        </w:rPr>
        <w:t>jizya</w:t>
      </w:r>
      <w:r w:rsidR="001A5C9B" w:rsidRPr="003C31B9">
        <w:rPr>
          <w:rFonts w:asciiTheme="majorBidi" w:hAnsiTheme="majorBidi" w:cstheme="majorBidi"/>
        </w:rPr>
        <w:t xml:space="preserve"> </w:t>
      </w:r>
      <w:r w:rsidR="00C5597E" w:rsidRPr="003C31B9">
        <w:rPr>
          <w:rFonts w:asciiTheme="majorBidi" w:hAnsiTheme="majorBidi" w:cstheme="majorBidi"/>
        </w:rPr>
        <w:t>as a condition for their safety and permission to remain in the city</w:t>
      </w:r>
      <w:r w:rsidR="001A5C9B" w:rsidRPr="003C31B9">
        <w:rPr>
          <w:rFonts w:asciiTheme="majorBidi" w:hAnsiTheme="majorBidi" w:cstheme="majorBidi"/>
        </w:rPr>
        <w:t xml:space="preserve">. Two days later, </w:t>
      </w:r>
      <w:r w:rsidR="003D60AA">
        <w:rPr>
          <w:rFonts w:asciiTheme="majorBidi" w:hAnsiTheme="majorBidi" w:cstheme="majorBidi"/>
        </w:rPr>
        <w:t>Da’esh</w:t>
      </w:r>
      <w:r w:rsidR="00C5597E" w:rsidRPr="003C31B9">
        <w:rPr>
          <w:rFonts w:asciiTheme="majorBidi" w:hAnsiTheme="majorBidi" w:cstheme="majorBidi"/>
        </w:rPr>
        <w:t xml:space="preserve"> </w:t>
      </w:r>
      <w:r w:rsidR="001A5C9B" w:rsidRPr="003C31B9">
        <w:rPr>
          <w:rFonts w:asciiTheme="majorBidi" w:hAnsiTheme="majorBidi" w:cstheme="majorBidi"/>
        </w:rPr>
        <w:t xml:space="preserve">reneged on this promise, </w:t>
      </w:r>
      <w:r w:rsidR="00C5597E" w:rsidRPr="003C31B9">
        <w:rPr>
          <w:rFonts w:asciiTheme="majorBidi" w:hAnsiTheme="majorBidi" w:cstheme="majorBidi"/>
        </w:rPr>
        <w:t xml:space="preserve">declaring </w:t>
      </w:r>
      <w:r w:rsidR="001A5C9B" w:rsidRPr="003C31B9">
        <w:rPr>
          <w:rFonts w:asciiTheme="majorBidi" w:hAnsiTheme="majorBidi" w:cstheme="majorBidi"/>
        </w:rPr>
        <w:t>instead that Christians would be killed or forced to convert to Islam if they did not leave Mosul by the following week</w:t>
      </w:r>
      <w:r w:rsidR="009265A4" w:rsidRPr="003C31B9">
        <w:rPr>
          <w:rFonts w:asciiTheme="majorBidi" w:hAnsiTheme="majorBidi" w:cstheme="majorBidi"/>
        </w:rPr>
        <w:t xml:space="preserve">. </w:t>
      </w:r>
      <w:r w:rsidR="00C5597E" w:rsidRPr="003C31B9">
        <w:rPr>
          <w:rFonts w:asciiTheme="majorBidi" w:hAnsiTheme="majorBidi" w:cstheme="majorBidi"/>
        </w:rPr>
        <w:t>The local S</w:t>
      </w:r>
      <w:r w:rsidR="001A5C9B" w:rsidRPr="003C31B9">
        <w:rPr>
          <w:rFonts w:asciiTheme="majorBidi" w:hAnsiTheme="majorBidi" w:cstheme="majorBidi"/>
        </w:rPr>
        <w:t>yrian Catholic leader</w:t>
      </w:r>
      <w:r w:rsidR="008A7CE3">
        <w:rPr>
          <w:rFonts w:asciiTheme="majorBidi" w:hAnsiTheme="majorBidi" w:cstheme="majorBidi"/>
        </w:rPr>
        <w:t>,</w:t>
      </w:r>
      <w:r w:rsidR="001A5C9B" w:rsidRPr="003C31B9">
        <w:rPr>
          <w:rFonts w:asciiTheme="majorBidi" w:hAnsiTheme="majorBidi" w:cstheme="majorBidi"/>
        </w:rPr>
        <w:t xml:space="preserve"> Ignatius Yousef Younan</w:t>
      </w:r>
      <w:r w:rsidR="008A7CE3">
        <w:rPr>
          <w:rFonts w:asciiTheme="majorBidi" w:hAnsiTheme="majorBidi" w:cstheme="majorBidi"/>
        </w:rPr>
        <w:t>,</w:t>
      </w:r>
      <w:r w:rsidR="00C5597E" w:rsidRPr="003C31B9">
        <w:rPr>
          <w:rFonts w:asciiTheme="majorBidi" w:hAnsiTheme="majorBidi" w:cstheme="majorBidi"/>
        </w:rPr>
        <w:t xml:space="preserve"> </w:t>
      </w:r>
      <w:r w:rsidR="004904D9">
        <w:rPr>
          <w:rFonts w:asciiTheme="majorBidi" w:hAnsiTheme="majorBidi" w:cstheme="majorBidi"/>
        </w:rPr>
        <w:t>stated</w:t>
      </w:r>
      <w:r w:rsidR="001A5C9B" w:rsidRPr="003C31B9">
        <w:rPr>
          <w:rFonts w:asciiTheme="majorBidi" w:hAnsiTheme="majorBidi" w:cstheme="majorBidi"/>
        </w:rPr>
        <w:t xml:space="preserve"> that at least </w:t>
      </w:r>
      <w:r w:rsidR="008A7CE3">
        <w:rPr>
          <w:rFonts w:asciiTheme="majorBidi" w:hAnsiTheme="majorBidi" w:cstheme="majorBidi"/>
        </w:rPr>
        <w:t>five hundred</w:t>
      </w:r>
      <w:r w:rsidR="008A7CE3" w:rsidRPr="003C31B9">
        <w:rPr>
          <w:rFonts w:asciiTheme="majorBidi" w:hAnsiTheme="majorBidi" w:cstheme="majorBidi"/>
        </w:rPr>
        <w:t xml:space="preserve"> </w:t>
      </w:r>
      <w:r w:rsidR="001A5C9B" w:rsidRPr="003C31B9">
        <w:rPr>
          <w:rFonts w:asciiTheme="majorBidi" w:hAnsiTheme="majorBidi" w:cstheme="majorBidi"/>
        </w:rPr>
        <w:t>Christians from his diocese</w:t>
      </w:r>
      <w:r w:rsidR="00C5597E" w:rsidRPr="003C31B9">
        <w:rPr>
          <w:rFonts w:asciiTheme="majorBidi" w:hAnsiTheme="majorBidi" w:cstheme="majorBidi"/>
        </w:rPr>
        <w:t xml:space="preserve"> </w:t>
      </w:r>
      <w:r w:rsidR="001A5C9B" w:rsidRPr="003C31B9">
        <w:rPr>
          <w:rFonts w:asciiTheme="majorBidi" w:hAnsiTheme="majorBidi" w:cstheme="majorBidi"/>
        </w:rPr>
        <w:t xml:space="preserve">were killed by the militants when they failed to flee </w:t>
      </w:r>
      <w:r w:rsidR="003D60AA">
        <w:rPr>
          <w:rFonts w:asciiTheme="majorBidi" w:hAnsiTheme="majorBidi" w:cstheme="majorBidi"/>
        </w:rPr>
        <w:t>Da’esh</w:t>
      </w:r>
      <w:r w:rsidR="00C5597E" w:rsidRPr="003C31B9">
        <w:rPr>
          <w:rFonts w:asciiTheme="majorBidi" w:hAnsiTheme="majorBidi" w:cstheme="majorBidi"/>
        </w:rPr>
        <w:t xml:space="preserve"> </w:t>
      </w:r>
      <w:r w:rsidR="001A5C9B" w:rsidRPr="003C31B9">
        <w:rPr>
          <w:rFonts w:asciiTheme="majorBidi" w:hAnsiTheme="majorBidi" w:cstheme="majorBidi"/>
        </w:rPr>
        <w:t>territory in time</w:t>
      </w:r>
      <w:r w:rsidR="00B002B7" w:rsidRPr="003C31B9">
        <w:rPr>
          <w:rFonts w:asciiTheme="majorBidi" w:hAnsiTheme="majorBidi" w:cstheme="majorBidi"/>
        </w:rPr>
        <w:t>.</w:t>
      </w:r>
      <w:r w:rsidR="008B098E">
        <w:rPr>
          <w:rFonts w:asciiTheme="majorBidi" w:hAnsiTheme="majorBidi" w:cstheme="majorBidi"/>
        </w:rPr>
        <w:t xml:space="preserve"> </w:t>
      </w:r>
      <w:r w:rsidR="003D60AA">
        <w:rPr>
          <w:rFonts w:asciiTheme="majorBidi" w:hAnsiTheme="majorBidi" w:cstheme="majorBidi"/>
        </w:rPr>
        <w:t>Da’esh</w:t>
      </w:r>
      <w:r w:rsidR="00C65462">
        <w:rPr>
          <w:rFonts w:asciiTheme="majorBidi" w:hAnsiTheme="majorBidi" w:cstheme="majorBidi"/>
        </w:rPr>
        <w:t>’s</w:t>
      </w:r>
      <w:r w:rsidR="00B002B7" w:rsidRPr="003C31B9">
        <w:rPr>
          <w:rFonts w:asciiTheme="majorBidi" w:hAnsiTheme="majorBidi" w:cstheme="majorBidi"/>
        </w:rPr>
        <w:t xml:space="preserve"> </w:t>
      </w:r>
      <w:r w:rsidR="00470E66" w:rsidRPr="003C31B9">
        <w:rPr>
          <w:rFonts w:asciiTheme="majorBidi" w:hAnsiTheme="majorBidi" w:cstheme="majorBidi"/>
        </w:rPr>
        <w:t>actions of expulsion,</w:t>
      </w:r>
      <w:r w:rsidR="009C74C6" w:rsidRPr="003C31B9">
        <w:rPr>
          <w:rFonts w:asciiTheme="majorBidi" w:hAnsiTheme="majorBidi" w:cstheme="majorBidi"/>
        </w:rPr>
        <w:t xml:space="preserve"> expropriation of property, </w:t>
      </w:r>
      <w:r w:rsidR="00C5597E" w:rsidRPr="003C31B9">
        <w:rPr>
          <w:rFonts w:asciiTheme="majorBidi" w:hAnsiTheme="majorBidi" w:cstheme="majorBidi"/>
        </w:rPr>
        <w:t>de</w:t>
      </w:r>
      <w:r w:rsidR="006E17AD" w:rsidRPr="003C31B9">
        <w:rPr>
          <w:rFonts w:asciiTheme="majorBidi" w:hAnsiTheme="majorBidi" w:cstheme="majorBidi"/>
        </w:rPr>
        <w:t>s</w:t>
      </w:r>
      <w:r w:rsidR="00C5597E" w:rsidRPr="003C31B9">
        <w:rPr>
          <w:rFonts w:asciiTheme="majorBidi" w:hAnsiTheme="majorBidi" w:cstheme="majorBidi"/>
        </w:rPr>
        <w:t xml:space="preserve">truction of homes, forced conversions, </w:t>
      </w:r>
      <w:r w:rsidR="009C74C6" w:rsidRPr="003C31B9">
        <w:rPr>
          <w:rFonts w:asciiTheme="majorBidi" w:hAnsiTheme="majorBidi" w:cstheme="majorBidi"/>
        </w:rPr>
        <w:t>and targeted killings</w:t>
      </w:r>
      <w:r w:rsidR="00B002B7" w:rsidRPr="003C31B9">
        <w:rPr>
          <w:rFonts w:asciiTheme="majorBidi" w:hAnsiTheme="majorBidi" w:cstheme="majorBidi"/>
        </w:rPr>
        <w:t xml:space="preserve"> </w:t>
      </w:r>
      <w:r w:rsidR="00C5597E" w:rsidRPr="003C31B9">
        <w:rPr>
          <w:rFonts w:asciiTheme="majorBidi" w:hAnsiTheme="majorBidi" w:cstheme="majorBidi"/>
        </w:rPr>
        <w:t xml:space="preserve">in Mosul and the adjacent Assyrian Christian heartland of the Nineveh </w:t>
      </w:r>
      <w:r w:rsidR="00AE3D3C">
        <w:rPr>
          <w:rFonts w:asciiTheme="majorBidi" w:hAnsiTheme="majorBidi" w:cstheme="majorBidi"/>
        </w:rPr>
        <w:t>P</w:t>
      </w:r>
      <w:r w:rsidR="00C5597E" w:rsidRPr="003C31B9">
        <w:rPr>
          <w:rFonts w:asciiTheme="majorBidi" w:hAnsiTheme="majorBidi" w:cstheme="majorBidi"/>
        </w:rPr>
        <w:t xml:space="preserve">lain </w:t>
      </w:r>
      <w:r w:rsidR="00B002B7" w:rsidRPr="003C31B9">
        <w:rPr>
          <w:rFonts w:asciiTheme="majorBidi" w:hAnsiTheme="majorBidi" w:cstheme="majorBidi"/>
        </w:rPr>
        <w:t xml:space="preserve">vastly accelerated the devastation of the </w:t>
      </w:r>
      <w:r w:rsidR="00C5597E" w:rsidRPr="003C31B9">
        <w:rPr>
          <w:rFonts w:asciiTheme="majorBidi" w:hAnsiTheme="majorBidi" w:cstheme="majorBidi"/>
        </w:rPr>
        <w:t xml:space="preserve">Iraqi </w:t>
      </w:r>
      <w:r w:rsidR="00B002B7" w:rsidRPr="003C31B9">
        <w:rPr>
          <w:rFonts w:asciiTheme="majorBidi" w:hAnsiTheme="majorBidi" w:cstheme="majorBidi"/>
        </w:rPr>
        <w:t>Christian population</w:t>
      </w:r>
      <w:r w:rsidR="00FD473A">
        <w:rPr>
          <w:rFonts w:asciiTheme="majorBidi" w:hAnsiTheme="majorBidi" w:cstheme="majorBidi"/>
        </w:rPr>
        <w:t xml:space="preserve">, which </w:t>
      </w:r>
      <w:r w:rsidR="00F6760A">
        <w:rPr>
          <w:rFonts w:asciiTheme="majorBidi" w:hAnsiTheme="majorBidi" w:cstheme="majorBidi"/>
        </w:rPr>
        <w:t xml:space="preserve">had </w:t>
      </w:r>
      <w:r w:rsidR="00FD473A">
        <w:rPr>
          <w:rFonts w:asciiTheme="majorBidi" w:hAnsiTheme="majorBidi" w:cstheme="majorBidi"/>
        </w:rPr>
        <w:t>declined</w:t>
      </w:r>
      <w:r w:rsidR="00B002B7" w:rsidRPr="003C31B9">
        <w:rPr>
          <w:rFonts w:asciiTheme="majorBidi" w:hAnsiTheme="majorBidi" w:cstheme="majorBidi"/>
        </w:rPr>
        <w:t xml:space="preserve"> from a population of 1.4 million in 2003 to an estimated 150,000</w:t>
      </w:r>
      <w:r w:rsidR="008A7CE3">
        <w:rPr>
          <w:rFonts w:asciiTheme="majorBidi" w:hAnsiTheme="majorBidi" w:cstheme="majorBidi"/>
        </w:rPr>
        <w:t>–</w:t>
      </w:r>
      <w:r w:rsidR="00B002B7" w:rsidRPr="003C31B9">
        <w:rPr>
          <w:rFonts w:asciiTheme="majorBidi" w:hAnsiTheme="majorBidi" w:cstheme="majorBidi"/>
        </w:rPr>
        <w:t xml:space="preserve">275,000 </w:t>
      </w:r>
      <w:r w:rsidR="00396817">
        <w:rPr>
          <w:rFonts w:asciiTheme="majorBidi" w:hAnsiTheme="majorBidi" w:cstheme="majorBidi"/>
        </w:rPr>
        <w:t>by</w:t>
      </w:r>
      <w:r w:rsidR="00B002B7" w:rsidRPr="003C31B9">
        <w:rPr>
          <w:rFonts w:asciiTheme="majorBidi" w:hAnsiTheme="majorBidi" w:cstheme="majorBidi"/>
        </w:rPr>
        <w:t xml:space="preserve"> 2016</w:t>
      </w:r>
      <w:r w:rsidR="0040334F" w:rsidRPr="003C31B9">
        <w:rPr>
          <w:rFonts w:asciiTheme="majorBidi" w:hAnsiTheme="majorBidi" w:cstheme="majorBidi"/>
        </w:rPr>
        <w:t>.</w:t>
      </w:r>
      <w:r w:rsidR="00F6760A">
        <w:rPr>
          <w:rStyle w:val="EndnoteReference"/>
          <w:rFonts w:asciiTheme="majorBidi" w:hAnsiTheme="majorBidi" w:cstheme="majorBidi"/>
        </w:rPr>
        <w:endnoteReference w:id="33"/>
      </w:r>
      <w:r w:rsidR="008B098E">
        <w:rPr>
          <w:rFonts w:asciiTheme="majorBidi" w:hAnsiTheme="majorBidi" w:cstheme="majorBidi"/>
        </w:rPr>
        <w:t xml:space="preserve"> </w:t>
      </w:r>
      <w:r w:rsidR="00931BB2">
        <w:rPr>
          <w:rFonts w:asciiTheme="majorBidi" w:eastAsiaTheme="minorHAnsi" w:hAnsiTheme="majorBidi" w:cstheme="majorBidi"/>
        </w:rPr>
        <w:t xml:space="preserve">In </w:t>
      </w:r>
      <w:r w:rsidR="00EB4D8E">
        <w:rPr>
          <w:rFonts w:asciiTheme="majorBidi" w:eastAsiaTheme="minorHAnsi" w:hAnsiTheme="majorBidi" w:cstheme="majorBidi"/>
        </w:rPr>
        <w:t xml:space="preserve">the </w:t>
      </w:r>
      <w:r w:rsidR="00931BB2">
        <w:rPr>
          <w:rFonts w:asciiTheme="majorBidi" w:eastAsiaTheme="minorHAnsi" w:hAnsiTheme="majorBidi" w:cstheme="majorBidi"/>
        </w:rPr>
        <w:t>latter</w:t>
      </w:r>
      <w:r w:rsidR="00F6760A">
        <w:rPr>
          <w:rFonts w:asciiTheme="majorBidi" w:eastAsiaTheme="minorHAnsi" w:hAnsiTheme="majorBidi" w:cstheme="majorBidi"/>
        </w:rPr>
        <w:t xml:space="preserve"> year</w:t>
      </w:r>
      <w:r w:rsidR="006610DE" w:rsidRPr="003C31B9">
        <w:rPr>
          <w:rFonts w:asciiTheme="majorBidi" w:eastAsiaTheme="minorHAnsi" w:hAnsiTheme="majorBidi" w:cstheme="majorBidi"/>
        </w:rPr>
        <w:t xml:space="preserve">, </w:t>
      </w:r>
      <w:r w:rsidR="006610DE" w:rsidRPr="003C31B9">
        <w:rPr>
          <w:rFonts w:asciiTheme="majorBidi" w:eastAsiaTheme="minorHAnsi" w:hAnsiTheme="majorBidi" w:cstheme="majorBidi"/>
        </w:rPr>
        <w:lastRenderedPageBreak/>
        <w:t xml:space="preserve">the legislative bodies of the European Union, the </w:t>
      </w:r>
      <w:r w:rsidR="00F6760A">
        <w:rPr>
          <w:rFonts w:asciiTheme="majorBidi" w:eastAsiaTheme="minorHAnsi" w:hAnsiTheme="majorBidi" w:cstheme="majorBidi"/>
        </w:rPr>
        <w:t>United Kingdom</w:t>
      </w:r>
      <w:r w:rsidR="00A47710">
        <w:rPr>
          <w:rFonts w:asciiTheme="majorBidi" w:eastAsiaTheme="minorHAnsi" w:hAnsiTheme="majorBidi" w:cstheme="majorBidi"/>
        </w:rPr>
        <w:t xml:space="preserve">, and the </w:t>
      </w:r>
      <w:r w:rsidR="00F6760A">
        <w:rPr>
          <w:rFonts w:asciiTheme="majorBidi" w:eastAsiaTheme="minorHAnsi" w:hAnsiTheme="majorBidi" w:cstheme="majorBidi"/>
        </w:rPr>
        <w:t>United States</w:t>
      </w:r>
      <w:r w:rsidR="006610DE" w:rsidRPr="003C31B9">
        <w:rPr>
          <w:rFonts w:asciiTheme="majorBidi" w:eastAsiaTheme="minorHAnsi" w:hAnsiTheme="majorBidi" w:cstheme="majorBidi"/>
        </w:rPr>
        <w:t xml:space="preserve"> voted unanimously to denounce </w:t>
      </w:r>
      <w:r w:rsidR="003D60AA">
        <w:rPr>
          <w:rFonts w:asciiTheme="majorBidi" w:eastAsiaTheme="minorHAnsi" w:hAnsiTheme="majorBidi" w:cstheme="majorBidi"/>
        </w:rPr>
        <w:t>Da’esh</w:t>
      </w:r>
      <w:r w:rsidR="006610DE" w:rsidRPr="003C31B9">
        <w:rPr>
          <w:rFonts w:asciiTheme="majorBidi" w:eastAsiaTheme="minorHAnsi" w:hAnsiTheme="majorBidi" w:cstheme="majorBidi"/>
        </w:rPr>
        <w:t>’s violence against Iraqi Christians as genocide</w:t>
      </w:r>
      <w:r w:rsidR="0040334F" w:rsidRPr="003C31B9">
        <w:rPr>
          <w:rFonts w:asciiTheme="majorBidi" w:eastAsiaTheme="minorHAnsi" w:hAnsiTheme="majorBidi" w:cstheme="majorBidi"/>
        </w:rPr>
        <w:t>.</w:t>
      </w:r>
      <w:r w:rsidR="00F6760A">
        <w:rPr>
          <w:rStyle w:val="EndnoteReference"/>
          <w:rFonts w:asciiTheme="majorBidi" w:eastAsiaTheme="minorHAnsi" w:hAnsiTheme="majorBidi" w:cstheme="majorBidi"/>
        </w:rPr>
        <w:endnoteReference w:id="34"/>
      </w:r>
      <w:r w:rsidR="00C5597E" w:rsidRPr="003C31B9">
        <w:rPr>
          <w:rFonts w:asciiTheme="majorBidi" w:eastAsiaTheme="minorHAnsi" w:hAnsiTheme="majorBidi" w:cstheme="majorBidi"/>
        </w:rPr>
        <w:t xml:space="preserve"> </w:t>
      </w:r>
    </w:p>
    <w:p w14:paraId="01499571" w14:textId="25A5A439" w:rsidR="0042022C" w:rsidRPr="003C31B9" w:rsidRDefault="003D60AA" w:rsidP="00F4698F">
      <w:pPr>
        <w:spacing w:line="480" w:lineRule="auto"/>
        <w:ind w:firstLine="720"/>
        <w:rPr>
          <w:rFonts w:asciiTheme="majorBidi" w:hAnsiTheme="majorBidi" w:cstheme="majorBidi"/>
        </w:rPr>
      </w:pPr>
      <w:r>
        <w:rPr>
          <w:rFonts w:asciiTheme="majorBidi" w:hAnsiTheme="majorBidi" w:cstheme="majorBidi"/>
        </w:rPr>
        <w:t>Da’esh</w:t>
      </w:r>
      <w:r w:rsidR="00422BDF" w:rsidRPr="003C31B9">
        <w:rPr>
          <w:rFonts w:asciiTheme="majorBidi" w:hAnsiTheme="majorBidi" w:cstheme="majorBidi"/>
        </w:rPr>
        <w:t xml:space="preserve"> targeted </w:t>
      </w:r>
      <w:r w:rsidR="0021749A" w:rsidRPr="003C31B9">
        <w:rPr>
          <w:rFonts w:asciiTheme="majorBidi" w:hAnsiTheme="majorBidi" w:cstheme="majorBidi"/>
        </w:rPr>
        <w:t xml:space="preserve">those </w:t>
      </w:r>
      <w:r w:rsidR="00422BDF" w:rsidRPr="003C31B9">
        <w:rPr>
          <w:rFonts w:asciiTheme="majorBidi" w:hAnsiTheme="majorBidi" w:cstheme="majorBidi"/>
        </w:rPr>
        <w:t>Muslim groups whose beliefs differed from Salafi religious principles</w:t>
      </w:r>
      <w:r w:rsidR="00553625">
        <w:rPr>
          <w:rFonts w:asciiTheme="majorBidi" w:hAnsiTheme="majorBidi" w:cstheme="majorBidi"/>
        </w:rPr>
        <w:t xml:space="preserve">, </w:t>
      </w:r>
      <w:r w:rsidR="00422BDF" w:rsidRPr="003C31B9">
        <w:rPr>
          <w:rFonts w:asciiTheme="majorBidi" w:hAnsiTheme="majorBidi" w:cstheme="majorBidi"/>
        </w:rPr>
        <w:t xml:space="preserve">most notably Sufi and Shi’ite </w:t>
      </w:r>
      <w:r w:rsidR="0021749A" w:rsidRPr="003C31B9">
        <w:rPr>
          <w:rFonts w:asciiTheme="majorBidi" w:hAnsiTheme="majorBidi" w:cstheme="majorBidi"/>
        </w:rPr>
        <w:t>communities</w:t>
      </w:r>
      <w:r w:rsidR="00422BDF" w:rsidRPr="003C31B9">
        <w:rPr>
          <w:rFonts w:asciiTheme="majorBidi" w:hAnsiTheme="majorBidi" w:cstheme="majorBidi"/>
        </w:rPr>
        <w:t>.</w:t>
      </w:r>
      <w:r w:rsidR="00747036" w:rsidRPr="003C31B9">
        <w:rPr>
          <w:rFonts w:asciiTheme="majorBidi" w:hAnsiTheme="majorBidi" w:cstheme="majorBidi"/>
        </w:rPr>
        <w:t xml:space="preserve"> </w:t>
      </w:r>
      <w:r w:rsidR="00BA708E" w:rsidRPr="003C31B9">
        <w:rPr>
          <w:rFonts w:asciiTheme="majorBidi" w:hAnsiTheme="majorBidi" w:cstheme="majorBidi"/>
        </w:rPr>
        <w:t>Sufism is a mystical form of Islam</w:t>
      </w:r>
      <w:r w:rsidR="0021749A" w:rsidRPr="003C31B9">
        <w:rPr>
          <w:rFonts w:asciiTheme="majorBidi" w:hAnsiTheme="majorBidi" w:cstheme="majorBidi"/>
        </w:rPr>
        <w:t xml:space="preserve"> </w:t>
      </w:r>
      <w:r w:rsidR="00BA708E" w:rsidRPr="003C31B9">
        <w:rPr>
          <w:rFonts w:asciiTheme="majorBidi" w:hAnsiTheme="majorBidi" w:cstheme="majorBidi"/>
        </w:rPr>
        <w:t>that emphasizes introspection and spiritual closeness with God</w:t>
      </w:r>
      <w:r w:rsidR="00553625">
        <w:rPr>
          <w:rFonts w:asciiTheme="majorBidi" w:hAnsiTheme="majorBidi" w:cstheme="majorBidi"/>
        </w:rPr>
        <w:t>, and</w:t>
      </w:r>
      <w:r w:rsidR="00EC3A0F" w:rsidRPr="003C31B9">
        <w:rPr>
          <w:rFonts w:asciiTheme="majorBidi" w:hAnsiTheme="majorBidi" w:cstheme="majorBidi"/>
        </w:rPr>
        <w:t xml:space="preserve"> </w:t>
      </w:r>
      <w:r w:rsidR="005F1A24" w:rsidRPr="003C31B9">
        <w:rPr>
          <w:rFonts w:asciiTheme="majorBidi" w:hAnsiTheme="majorBidi" w:cstheme="majorBidi"/>
        </w:rPr>
        <w:t>Sufi</w:t>
      </w:r>
      <w:r w:rsidR="005B1222" w:rsidRPr="003C31B9">
        <w:rPr>
          <w:rFonts w:asciiTheme="majorBidi" w:hAnsiTheme="majorBidi" w:cstheme="majorBidi"/>
        </w:rPr>
        <w:t xml:space="preserve"> </w:t>
      </w:r>
      <w:r w:rsidR="00BA708E" w:rsidRPr="003C31B9">
        <w:rPr>
          <w:rFonts w:asciiTheme="majorBidi" w:hAnsiTheme="majorBidi" w:cstheme="majorBidi"/>
        </w:rPr>
        <w:t>practice includes the veneration of saints, often at their tombs and shrines.</w:t>
      </w:r>
      <w:r w:rsidR="00104A5B" w:rsidRPr="003C31B9">
        <w:rPr>
          <w:rFonts w:asciiTheme="majorBidi" w:hAnsiTheme="majorBidi" w:cstheme="majorBidi"/>
        </w:rPr>
        <w:t xml:space="preserve"> </w:t>
      </w:r>
      <w:r w:rsidR="00706E9D" w:rsidRPr="003C31B9">
        <w:rPr>
          <w:rFonts w:asciiTheme="majorBidi" w:hAnsiTheme="majorBidi" w:cstheme="majorBidi"/>
        </w:rPr>
        <w:t xml:space="preserve">Although </w:t>
      </w:r>
      <w:r w:rsidR="00BE67F9">
        <w:rPr>
          <w:rFonts w:asciiTheme="majorBidi" w:hAnsiTheme="majorBidi" w:cstheme="majorBidi"/>
        </w:rPr>
        <w:t xml:space="preserve">most </w:t>
      </w:r>
      <w:r w:rsidR="00706E9D" w:rsidRPr="003C31B9">
        <w:rPr>
          <w:rFonts w:asciiTheme="majorBidi" w:hAnsiTheme="majorBidi" w:cstheme="majorBidi"/>
        </w:rPr>
        <w:t xml:space="preserve">Sufis are Sunni Muslims, </w:t>
      </w:r>
      <w:r>
        <w:rPr>
          <w:rFonts w:asciiTheme="majorBidi" w:hAnsiTheme="majorBidi" w:cstheme="majorBidi"/>
        </w:rPr>
        <w:t>Da’esh</w:t>
      </w:r>
      <w:r w:rsidR="00706E9D" w:rsidRPr="003C31B9">
        <w:rPr>
          <w:rFonts w:asciiTheme="majorBidi" w:hAnsiTheme="majorBidi" w:cstheme="majorBidi"/>
        </w:rPr>
        <w:t xml:space="preserve"> </w:t>
      </w:r>
      <w:r w:rsidR="00C261A2" w:rsidRPr="003C31B9">
        <w:rPr>
          <w:rFonts w:asciiTheme="majorBidi" w:hAnsiTheme="majorBidi" w:cstheme="majorBidi"/>
        </w:rPr>
        <w:t>violently opposes</w:t>
      </w:r>
      <w:r w:rsidR="00706E9D" w:rsidRPr="003C31B9">
        <w:rPr>
          <w:rFonts w:asciiTheme="majorBidi" w:hAnsiTheme="majorBidi" w:cstheme="majorBidi"/>
        </w:rPr>
        <w:t xml:space="preserve"> Sufis as polytheists or idolaters</w:t>
      </w:r>
      <w:r w:rsidR="00553625" w:rsidRPr="00E266A7">
        <w:rPr>
          <w:rStyle w:val="EndnoteReference"/>
          <w:rFonts w:asciiTheme="majorBidi" w:hAnsiTheme="majorBidi" w:cstheme="majorBidi"/>
        </w:rPr>
        <w:endnoteReference w:id="35"/>
      </w:r>
      <w:r w:rsidR="00C261A2" w:rsidRPr="003C31B9">
        <w:rPr>
          <w:rFonts w:asciiTheme="majorBidi" w:hAnsiTheme="majorBidi" w:cstheme="majorBidi"/>
        </w:rPr>
        <w:t xml:space="preserve"> whose veneration of saints is the false belief in intermediaries between </w:t>
      </w:r>
      <w:r w:rsidR="00553625">
        <w:rPr>
          <w:rFonts w:asciiTheme="majorBidi" w:hAnsiTheme="majorBidi" w:cstheme="majorBidi"/>
        </w:rPr>
        <w:t>humanity</w:t>
      </w:r>
      <w:r w:rsidR="00553625" w:rsidRPr="003C31B9">
        <w:rPr>
          <w:rFonts w:asciiTheme="majorBidi" w:hAnsiTheme="majorBidi" w:cstheme="majorBidi"/>
        </w:rPr>
        <w:t xml:space="preserve"> </w:t>
      </w:r>
      <w:r w:rsidR="00C261A2" w:rsidRPr="003C31B9">
        <w:rPr>
          <w:rFonts w:asciiTheme="majorBidi" w:hAnsiTheme="majorBidi" w:cstheme="majorBidi"/>
        </w:rPr>
        <w:t>and God</w:t>
      </w:r>
      <w:r w:rsidR="00706E9D" w:rsidRPr="003C31B9">
        <w:rPr>
          <w:rFonts w:asciiTheme="majorBidi" w:hAnsiTheme="majorBidi" w:cstheme="majorBidi"/>
        </w:rPr>
        <w:t xml:space="preserve">. </w:t>
      </w:r>
      <w:r w:rsidR="004904D9">
        <w:rPr>
          <w:rFonts w:asciiTheme="majorBidi" w:hAnsiTheme="majorBidi" w:cstheme="majorBidi"/>
        </w:rPr>
        <w:t xml:space="preserve">As early as </w:t>
      </w:r>
      <w:r w:rsidR="00BA708E" w:rsidRPr="003C31B9">
        <w:rPr>
          <w:rFonts w:asciiTheme="majorBidi" w:hAnsiTheme="majorBidi" w:cstheme="majorBidi"/>
        </w:rPr>
        <w:t xml:space="preserve">2016, </w:t>
      </w:r>
      <w:r>
        <w:rPr>
          <w:rFonts w:asciiTheme="majorBidi" w:hAnsiTheme="majorBidi" w:cstheme="majorBidi"/>
        </w:rPr>
        <w:t>Da’esh</w:t>
      </w:r>
      <w:r w:rsidR="00BA708E" w:rsidRPr="003C31B9">
        <w:rPr>
          <w:rFonts w:asciiTheme="majorBidi" w:hAnsiTheme="majorBidi" w:cstheme="majorBidi"/>
        </w:rPr>
        <w:t xml:space="preserve"> </w:t>
      </w:r>
      <w:r w:rsidR="00FB7641">
        <w:rPr>
          <w:rFonts w:asciiTheme="majorBidi" w:hAnsiTheme="majorBidi" w:cstheme="majorBidi"/>
        </w:rPr>
        <w:t>began</w:t>
      </w:r>
      <w:r w:rsidR="00BA708E" w:rsidRPr="003C31B9">
        <w:rPr>
          <w:rFonts w:asciiTheme="majorBidi" w:hAnsiTheme="majorBidi" w:cstheme="majorBidi"/>
        </w:rPr>
        <w:t xml:space="preserve"> systematically raz</w:t>
      </w:r>
      <w:r w:rsidR="00FB7641">
        <w:rPr>
          <w:rFonts w:asciiTheme="majorBidi" w:hAnsiTheme="majorBidi" w:cstheme="majorBidi"/>
        </w:rPr>
        <w:t>ing</w:t>
      </w:r>
      <w:r w:rsidR="00BA708E" w:rsidRPr="003C31B9">
        <w:rPr>
          <w:rFonts w:asciiTheme="majorBidi" w:hAnsiTheme="majorBidi" w:cstheme="majorBidi"/>
        </w:rPr>
        <w:t xml:space="preserve"> the </w:t>
      </w:r>
      <w:r w:rsidR="00BE67F9">
        <w:rPr>
          <w:rFonts w:asciiTheme="majorBidi" w:hAnsiTheme="majorBidi" w:cstheme="majorBidi"/>
        </w:rPr>
        <w:t xml:space="preserve">shrines and </w:t>
      </w:r>
      <w:r w:rsidR="00BA708E" w:rsidRPr="003C31B9">
        <w:rPr>
          <w:rFonts w:asciiTheme="majorBidi" w:hAnsiTheme="majorBidi" w:cstheme="majorBidi"/>
        </w:rPr>
        <w:t>tombs of Sufi saints</w:t>
      </w:r>
      <w:r w:rsidR="009B63B1">
        <w:rPr>
          <w:rFonts w:asciiTheme="majorBidi" w:hAnsiTheme="majorBidi" w:cstheme="majorBidi"/>
        </w:rPr>
        <w:t xml:space="preserve"> in publicized acts of performative destruction</w:t>
      </w:r>
      <w:r w:rsidR="00BA708E" w:rsidRPr="003C31B9">
        <w:rPr>
          <w:rFonts w:asciiTheme="majorBidi" w:hAnsiTheme="majorBidi" w:cstheme="majorBidi"/>
        </w:rPr>
        <w:t xml:space="preserve">. In 2017, </w:t>
      </w:r>
      <w:r w:rsidR="00E50CAE">
        <w:rPr>
          <w:rFonts w:asciiTheme="majorBidi" w:hAnsiTheme="majorBidi" w:cstheme="majorBidi"/>
        </w:rPr>
        <w:t>it</w:t>
      </w:r>
      <w:r w:rsidR="00BA708E" w:rsidRPr="003C31B9">
        <w:rPr>
          <w:rFonts w:asciiTheme="majorBidi" w:hAnsiTheme="majorBidi" w:cstheme="majorBidi"/>
        </w:rPr>
        <w:t xml:space="preserve"> began mass executions of Sufi worshi</w:t>
      </w:r>
      <w:r w:rsidR="005C75A1">
        <w:rPr>
          <w:rFonts w:asciiTheme="majorBidi" w:hAnsiTheme="majorBidi" w:cstheme="majorBidi"/>
        </w:rPr>
        <w:t>p</w:t>
      </w:r>
      <w:r w:rsidR="00BA708E" w:rsidRPr="003C31B9">
        <w:rPr>
          <w:rFonts w:asciiTheme="majorBidi" w:hAnsiTheme="majorBidi" w:cstheme="majorBidi"/>
        </w:rPr>
        <w:t>pers during prayer</w:t>
      </w:r>
      <w:r w:rsidR="0037424D" w:rsidRPr="003C31B9">
        <w:rPr>
          <w:rFonts w:asciiTheme="majorBidi" w:hAnsiTheme="majorBidi" w:cstheme="majorBidi"/>
        </w:rPr>
        <w:t>.</w:t>
      </w:r>
      <w:r w:rsidR="005C75A1">
        <w:rPr>
          <w:rStyle w:val="EndnoteReference"/>
          <w:rFonts w:asciiTheme="majorBidi" w:hAnsiTheme="majorBidi" w:cstheme="majorBidi"/>
        </w:rPr>
        <w:endnoteReference w:id="36"/>
      </w:r>
    </w:p>
    <w:p w14:paraId="3038B782" w14:textId="1A35FA2A" w:rsidR="005B79EF" w:rsidRDefault="003D60AA" w:rsidP="00F4698F">
      <w:pPr>
        <w:spacing w:line="480" w:lineRule="auto"/>
        <w:ind w:firstLine="720"/>
        <w:rPr>
          <w:rFonts w:asciiTheme="majorBidi" w:hAnsiTheme="majorBidi" w:cstheme="majorBidi"/>
        </w:rPr>
      </w:pPr>
      <w:r>
        <w:rPr>
          <w:rFonts w:asciiTheme="majorBidi" w:hAnsiTheme="majorBidi" w:cstheme="majorBidi"/>
        </w:rPr>
        <w:t>Da’esh</w:t>
      </w:r>
      <w:r w:rsidR="005B79EF" w:rsidRPr="003C31B9">
        <w:rPr>
          <w:rFonts w:asciiTheme="majorBidi" w:hAnsiTheme="majorBidi" w:cstheme="majorBidi"/>
        </w:rPr>
        <w:t xml:space="preserve"> </w:t>
      </w:r>
      <w:r w:rsidR="00B57466">
        <w:rPr>
          <w:rFonts w:asciiTheme="majorBidi" w:hAnsiTheme="majorBidi" w:cstheme="majorBidi"/>
        </w:rPr>
        <w:t xml:space="preserve">also </w:t>
      </w:r>
      <w:r w:rsidR="005B79EF" w:rsidRPr="003C31B9">
        <w:rPr>
          <w:rFonts w:asciiTheme="majorBidi" w:hAnsiTheme="majorBidi" w:cstheme="majorBidi"/>
        </w:rPr>
        <w:t>took extreme action against Shi’ites in Iraq</w:t>
      </w:r>
      <w:r w:rsidR="00924A29">
        <w:rPr>
          <w:rFonts w:asciiTheme="majorBidi" w:hAnsiTheme="majorBidi" w:cstheme="majorBidi"/>
        </w:rPr>
        <w:t xml:space="preserve">, </w:t>
      </w:r>
      <w:r w:rsidR="0042022C" w:rsidRPr="003C31B9">
        <w:rPr>
          <w:rFonts w:asciiTheme="majorBidi" w:hAnsiTheme="majorBidi" w:cstheme="majorBidi"/>
        </w:rPr>
        <w:t>consider</w:t>
      </w:r>
      <w:r w:rsidR="00924A29">
        <w:rPr>
          <w:rFonts w:asciiTheme="majorBidi" w:hAnsiTheme="majorBidi" w:cstheme="majorBidi"/>
        </w:rPr>
        <w:t>ing</w:t>
      </w:r>
      <w:r w:rsidR="0042022C" w:rsidRPr="003C31B9">
        <w:rPr>
          <w:rFonts w:asciiTheme="majorBidi" w:hAnsiTheme="majorBidi" w:cstheme="majorBidi"/>
        </w:rPr>
        <w:t xml:space="preserve"> </w:t>
      </w:r>
      <w:r w:rsidR="00924A29">
        <w:rPr>
          <w:rFonts w:asciiTheme="majorBidi" w:hAnsiTheme="majorBidi" w:cstheme="majorBidi"/>
        </w:rPr>
        <w:t xml:space="preserve">them </w:t>
      </w:r>
      <w:r w:rsidR="004622B9">
        <w:rPr>
          <w:rFonts w:asciiTheme="majorBidi" w:hAnsiTheme="majorBidi" w:cstheme="majorBidi"/>
        </w:rPr>
        <w:t>apostates</w:t>
      </w:r>
      <w:r w:rsidR="0042022C" w:rsidRPr="003C31B9">
        <w:rPr>
          <w:rFonts w:asciiTheme="majorBidi" w:hAnsiTheme="majorBidi" w:cstheme="majorBidi"/>
        </w:rPr>
        <w:t xml:space="preserve"> </w:t>
      </w:r>
      <w:r w:rsidR="005C75A1">
        <w:rPr>
          <w:rFonts w:asciiTheme="majorBidi" w:hAnsiTheme="majorBidi" w:cstheme="majorBidi"/>
        </w:rPr>
        <w:t>for</w:t>
      </w:r>
      <w:r w:rsidR="0042022C" w:rsidRPr="003C31B9">
        <w:rPr>
          <w:rFonts w:asciiTheme="majorBidi" w:hAnsiTheme="majorBidi" w:cstheme="majorBidi"/>
        </w:rPr>
        <w:t xml:space="preserve"> their refusal to recognize the legitimacy of the </w:t>
      </w:r>
      <w:r w:rsidR="009B63B1">
        <w:rPr>
          <w:rFonts w:asciiTheme="majorBidi" w:hAnsiTheme="majorBidi" w:cstheme="majorBidi"/>
        </w:rPr>
        <w:t>first three c</w:t>
      </w:r>
      <w:r w:rsidR="0042022C" w:rsidRPr="003C31B9">
        <w:rPr>
          <w:rFonts w:asciiTheme="majorBidi" w:hAnsiTheme="majorBidi" w:cstheme="majorBidi"/>
        </w:rPr>
        <w:t xml:space="preserve">aliphs as successors to the </w:t>
      </w:r>
      <w:r w:rsidR="005C75A1">
        <w:rPr>
          <w:rFonts w:asciiTheme="majorBidi" w:hAnsiTheme="majorBidi" w:cstheme="majorBidi"/>
        </w:rPr>
        <w:t>P</w:t>
      </w:r>
      <w:r w:rsidR="0042022C" w:rsidRPr="003C31B9">
        <w:rPr>
          <w:rFonts w:asciiTheme="majorBidi" w:hAnsiTheme="majorBidi" w:cstheme="majorBidi"/>
        </w:rPr>
        <w:t xml:space="preserve">rophet, and their exclusive acceptance of Ali and his descendants as the legitimate </w:t>
      </w:r>
      <w:r w:rsidR="00924A29">
        <w:rPr>
          <w:rFonts w:asciiTheme="majorBidi" w:hAnsiTheme="majorBidi" w:cstheme="majorBidi"/>
        </w:rPr>
        <w:t>c</w:t>
      </w:r>
      <w:r w:rsidR="0042022C" w:rsidRPr="003C31B9">
        <w:rPr>
          <w:rFonts w:asciiTheme="majorBidi" w:hAnsiTheme="majorBidi" w:cstheme="majorBidi"/>
        </w:rPr>
        <w:t>aliphs</w:t>
      </w:r>
      <w:r w:rsidR="009B63B1">
        <w:rPr>
          <w:rFonts w:asciiTheme="majorBidi" w:hAnsiTheme="majorBidi" w:cstheme="majorBidi"/>
        </w:rPr>
        <w:t>.</w:t>
      </w:r>
      <w:r w:rsidR="00C57656">
        <w:rPr>
          <w:rStyle w:val="EndnoteReference"/>
          <w:rFonts w:asciiTheme="majorBidi" w:hAnsiTheme="majorBidi" w:cstheme="majorBidi"/>
        </w:rPr>
        <w:endnoteReference w:id="37"/>
      </w:r>
      <w:r w:rsidR="008A6F25" w:rsidRPr="003C31B9">
        <w:rPr>
          <w:rFonts w:asciiTheme="majorBidi" w:hAnsiTheme="majorBidi" w:cstheme="majorBidi"/>
        </w:rPr>
        <w:t xml:space="preserve"> </w:t>
      </w:r>
      <w:r w:rsidR="009B63B1">
        <w:rPr>
          <w:rFonts w:asciiTheme="majorBidi" w:hAnsiTheme="majorBidi" w:cstheme="majorBidi"/>
        </w:rPr>
        <w:t>T</w:t>
      </w:r>
      <w:r w:rsidR="008A6F25" w:rsidRPr="003C31B9">
        <w:rPr>
          <w:rFonts w:asciiTheme="majorBidi" w:hAnsiTheme="majorBidi" w:cstheme="majorBidi"/>
        </w:rPr>
        <w:t xml:space="preserve">his view </w:t>
      </w:r>
      <w:r w:rsidR="00C57656">
        <w:rPr>
          <w:rFonts w:asciiTheme="majorBidi" w:hAnsiTheme="majorBidi" w:cstheme="majorBidi"/>
        </w:rPr>
        <w:t>was</w:t>
      </w:r>
      <w:r w:rsidR="00C57656" w:rsidRPr="003C31B9">
        <w:rPr>
          <w:rFonts w:asciiTheme="majorBidi" w:hAnsiTheme="majorBidi" w:cstheme="majorBidi"/>
        </w:rPr>
        <w:t xml:space="preserve"> </w:t>
      </w:r>
      <w:r w:rsidR="008A6F25" w:rsidRPr="003C31B9">
        <w:rPr>
          <w:rFonts w:asciiTheme="majorBidi" w:hAnsiTheme="majorBidi" w:cstheme="majorBidi"/>
        </w:rPr>
        <w:t xml:space="preserve">highlighted in the </w:t>
      </w:r>
      <w:r w:rsidR="00C57656">
        <w:rPr>
          <w:rFonts w:asciiTheme="majorBidi" w:hAnsiTheme="majorBidi" w:cstheme="majorBidi"/>
        </w:rPr>
        <w:t xml:space="preserve">thirteenth edition </w:t>
      </w:r>
      <w:r w:rsidR="008A6F25" w:rsidRPr="003C31B9">
        <w:rPr>
          <w:rFonts w:asciiTheme="majorBidi" w:hAnsiTheme="majorBidi" w:cstheme="majorBidi"/>
        </w:rPr>
        <w:t xml:space="preserve">of </w:t>
      </w:r>
      <w:r w:rsidR="008A6F25" w:rsidRPr="00E266A7">
        <w:rPr>
          <w:rFonts w:asciiTheme="majorBidi" w:hAnsiTheme="majorBidi" w:cstheme="majorBidi"/>
          <w:i/>
          <w:iCs/>
        </w:rPr>
        <w:t>Dabiq</w:t>
      </w:r>
      <w:r w:rsidR="00C57656">
        <w:rPr>
          <w:rFonts w:asciiTheme="majorBidi" w:hAnsiTheme="majorBidi" w:cstheme="majorBidi"/>
        </w:rPr>
        <w:t>,</w:t>
      </w:r>
      <w:r w:rsidR="008A6F25" w:rsidRPr="003C31B9">
        <w:rPr>
          <w:rFonts w:asciiTheme="majorBidi" w:hAnsiTheme="majorBidi" w:cstheme="majorBidi"/>
        </w:rPr>
        <w:t xml:space="preserve"> </w:t>
      </w:r>
      <w:r w:rsidR="00C57656">
        <w:rPr>
          <w:rFonts w:asciiTheme="majorBidi" w:hAnsiTheme="majorBidi" w:cstheme="majorBidi"/>
        </w:rPr>
        <w:t>in</w:t>
      </w:r>
      <w:r w:rsidR="00C57656" w:rsidRPr="00C57656">
        <w:rPr>
          <w:rFonts w:asciiTheme="majorBidi" w:hAnsiTheme="majorBidi" w:cstheme="majorBidi"/>
        </w:rPr>
        <w:t xml:space="preserve"> </w:t>
      </w:r>
      <w:r w:rsidR="00C57656" w:rsidRPr="003C31B9">
        <w:rPr>
          <w:rFonts w:asciiTheme="majorBidi" w:hAnsiTheme="majorBidi" w:cstheme="majorBidi"/>
        </w:rPr>
        <w:t>January 2016</w:t>
      </w:r>
      <w:r w:rsidR="00C57656">
        <w:rPr>
          <w:rFonts w:asciiTheme="majorBidi" w:hAnsiTheme="majorBidi" w:cstheme="majorBidi"/>
        </w:rPr>
        <w:t xml:space="preserve">, </w:t>
      </w:r>
      <w:r w:rsidR="009B5D88">
        <w:rPr>
          <w:rFonts w:asciiTheme="majorBidi" w:hAnsiTheme="majorBidi" w:cstheme="majorBidi"/>
        </w:rPr>
        <w:t>on</w:t>
      </w:r>
      <w:r w:rsidR="00470946">
        <w:rPr>
          <w:rFonts w:asciiTheme="majorBidi" w:hAnsiTheme="majorBidi" w:cstheme="majorBidi"/>
        </w:rPr>
        <w:t xml:space="preserve"> </w:t>
      </w:r>
      <w:r w:rsidR="008A6F25" w:rsidRPr="003C31B9">
        <w:rPr>
          <w:rFonts w:asciiTheme="majorBidi" w:hAnsiTheme="majorBidi" w:cstheme="majorBidi"/>
        </w:rPr>
        <w:t xml:space="preserve">the theme </w:t>
      </w:r>
      <w:r w:rsidR="00C57656">
        <w:rPr>
          <w:rFonts w:asciiTheme="majorBidi" w:eastAsiaTheme="minorHAnsi" w:hAnsiTheme="majorBidi" w:cstheme="majorBidi"/>
        </w:rPr>
        <w:t>“</w:t>
      </w:r>
      <w:r w:rsidR="008A6F25" w:rsidRPr="003C31B9">
        <w:rPr>
          <w:rFonts w:asciiTheme="majorBidi" w:eastAsiaTheme="minorHAnsi" w:hAnsiTheme="majorBidi" w:cstheme="majorBidi"/>
        </w:rPr>
        <w:t xml:space="preserve">The Rafidah </w:t>
      </w:r>
      <w:r w:rsidR="004622B9">
        <w:rPr>
          <w:rFonts w:asciiTheme="majorBidi" w:eastAsiaTheme="minorHAnsi" w:hAnsiTheme="majorBidi" w:cstheme="majorBidi"/>
        </w:rPr>
        <w:t>(</w:t>
      </w:r>
      <w:r w:rsidR="009F7F57">
        <w:rPr>
          <w:rFonts w:asciiTheme="majorBidi" w:eastAsiaTheme="minorHAnsi" w:hAnsiTheme="majorBidi" w:cstheme="majorBidi"/>
        </w:rPr>
        <w:t>‘</w:t>
      </w:r>
      <w:r w:rsidR="004622B9">
        <w:rPr>
          <w:rFonts w:asciiTheme="majorBidi" w:eastAsiaTheme="minorHAnsi" w:hAnsiTheme="majorBidi" w:cstheme="majorBidi"/>
        </w:rPr>
        <w:t>Rejectioni</w:t>
      </w:r>
      <w:r w:rsidR="004020A9">
        <w:rPr>
          <w:rFonts w:asciiTheme="majorBidi" w:eastAsiaTheme="minorHAnsi" w:hAnsiTheme="majorBidi" w:cstheme="majorBidi"/>
        </w:rPr>
        <w:t>s</w:t>
      </w:r>
      <w:r w:rsidR="004622B9">
        <w:rPr>
          <w:rFonts w:asciiTheme="majorBidi" w:eastAsiaTheme="minorHAnsi" w:hAnsiTheme="majorBidi" w:cstheme="majorBidi"/>
        </w:rPr>
        <w:t xml:space="preserve">ts’) </w:t>
      </w:r>
      <w:r w:rsidR="008A6F25" w:rsidRPr="003C31B9">
        <w:rPr>
          <w:rFonts w:asciiTheme="majorBidi" w:eastAsiaTheme="minorHAnsi" w:hAnsiTheme="majorBidi" w:cstheme="majorBidi"/>
        </w:rPr>
        <w:t>from Ibn Saba to the Dajjal.</w:t>
      </w:r>
      <w:r w:rsidR="00C57656">
        <w:rPr>
          <w:rFonts w:asciiTheme="majorBidi" w:eastAsiaTheme="minorHAnsi" w:hAnsiTheme="majorBidi" w:cstheme="majorBidi"/>
        </w:rPr>
        <w:t>”</w:t>
      </w:r>
      <w:r w:rsidR="008B098E">
        <w:rPr>
          <w:rFonts w:asciiTheme="majorBidi" w:eastAsiaTheme="minorHAnsi" w:hAnsiTheme="majorBidi" w:cstheme="majorBidi"/>
        </w:rPr>
        <w:t xml:space="preserve"> </w:t>
      </w:r>
      <w:r w:rsidR="009F7F57">
        <w:rPr>
          <w:rFonts w:asciiTheme="majorBidi" w:hAnsiTheme="majorBidi" w:cstheme="majorBidi"/>
        </w:rPr>
        <w:t>In contrast with</w:t>
      </w:r>
      <w:r w:rsidR="005B79EF" w:rsidRPr="003C31B9">
        <w:rPr>
          <w:rFonts w:asciiTheme="majorBidi" w:hAnsiTheme="majorBidi" w:cstheme="majorBidi"/>
        </w:rPr>
        <w:t xml:space="preserve"> other </w:t>
      </w:r>
      <w:r w:rsidR="00E90EBF">
        <w:rPr>
          <w:rFonts w:asciiTheme="majorBidi" w:hAnsiTheme="majorBidi" w:cstheme="majorBidi"/>
        </w:rPr>
        <w:t>nonstate armed</w:t>
      </w:r>
      <w:r w:rsidR="00E90EBF" w:rsidRPr="003C31B9">
        <w:rPr>
          <w:rFonts w:asciiTheme="majorBidi" w:hAnsiTheme="majorBidi" w:cstheme="majorBidi"/>
        </w:rPr>
        <w:t xml:space="preserve"> </w:t>
      </w:r>
      <w:r w:rsidR="005B79EF" w:rsidRPr="003C31B9">
        <w:rPr>
          <w:rFonts w:asciiTheme="majorBidi" w:hAnsiTheme="majorBidi" w:cstheme="majorBidi"/>
        </w:rPr>
        <w:t>groups such as al-Qaeda</w:t>
      </w:r>
      <w:r w:rsidR="009F7F57">
        <w:rPr>
          <w:rFonts w:asciiTheme="majorBidi" w:hAnsiTheme="majorBidi" w:cstheme="majorBidi"/>
        </w:rPr>
        <w:t>, who</w:t>
      </w:r>
      <w:r w:rsidR="005B79EF" w:rsidRPr="003C31B9">
        <w:rPr>
          <w:rFonts w:asciiTheme="majorBidi" w:hAnsiTheme="majorBidi" w:cstheme="majorBidi"/>
        </w:rPr>
        <w:t xml:space="preserve"> considered attacks on Shi’ite</w:t>
      </w:r>
      <w:r w:rsidR="00B57466">
        <w:rPr>
          <w:rFonts w:asciiTheme="majorBidi" w:hAnsiTheme="majorBidi" w:cstheme="majorBidi"/>
        </w:rPr>
        <w:t>s</w:t>
      </w:r>
      <w:r w:rsidR="005B79EF" w:rsidRPr="003C31B9">
        <w:rPr>
          <w:rFonts w:asciiTheme="majorBidi" w:hAnsiTheme="majorBidi" w:cstheme="majorBidi"/>
        </w:rPr>
        <w:t xml:space="preserve"> detrimental to public support</w:t>
      </w:r>
      <w:r w:rsidR="009B63B1">
        <w:rPr>
          <w:rFonts w:asciiTheme="majorBidi" w:hAnsiTheme="majorBidi" w:cstheme="majorBidi"/>
        </w:rPr>
        <w:t xml:space="preserve"> and</w:t>
      </w:r>
      <w:r w:rsidR="005B79EF" w:rsidRPr="003C31B9">
        <w:rPr>
          <w:rFonts w:asciiTheme="majorBidi" w:hAnsiTheme="majorBidi" w:cstheme="majorBidi"/>
        </w:rPr>
        <w:t xml:space="preserve"> a distraction from its jihad against the West</w:t>
      </w:r>
      <w:r w:rsidR="009B63B1">
        <w:rPr>
          <w:rFonts w:asciiTheme="majorBidi" w:hAnsiTheme="majorBidi" w:cstheme="majorBidi"/>
        </w:rPr>
        <w:t>,</w:t>
      </w:r>
      <w:r w:rsidR="005B79EF" w:rsidRPr="003C31B9">
        <w:rPr>
          <w:rFonts w:asciiTheme="majorBidi" w:hAnsiTheme="majorBidi" w:cstheme="majorBidi"/>
        </w:rPr>
        <w:t xml:space="preserve"> </w:t>
      </w:r>
      <w:r>
        <w:rPr>
          <w:rFonts w:asciiTheme="majorBidi" w:hAnsiTheme="majorBidi" w:cstheme="majorBidi"/>
        </w:rPr>
        <w:t>Da’esh</w:t>
      </w:r>
      <w:r w:rsidR="005B79EF" w:rsidRPr="003C31B9">
        <w:rPr>
          <w:rFonts w:asciiTheme="majorBidi" w:hAnsiTheme="majorBidi" w:cstheme="majorBidi"/>
        </w:rPr>
        <w:t xml:space="preserve"> made </w:t>
      </w:r>
      <w:r w:rsidR="00FB62A1" w:rsidRPr="003C31B9">
        <w:rPr>
          <w:rFonts w:asciiTheme="majorBidi" w:hAnsiTheme="majorBidi" w:cstheme="majorBidi"/>
        </w:rPr>
        <w:t xml:space="preserve">bombings and </w:t>
      </w:r>
      <w:r w:rsidR="005B79EF" w:rsidRPr="003C31B9">
        <w:rPr>
          <w:rFonts w:asciiTheme="majorBidi" w:hAnsiTheme="majorBidi" w:cstheme="majorBidi"/>
        </w:rPr>
        <w:t xml:space="preserve">massacres </w:t>
      </w:r>
      <w:r w:rsidR="00FB62A1" w:rsidRPr="003C31B9">
        <w:rPr>
          <w:rFonts w:asciiTheme="majorBidi" w:hAnsiTheme="majorBidi" w:cstheme="majorBidi"/>
        </w:rPr>
        <w:t>of Shi’</w:t>
      </w:r>
      <w:r w:rsidR="009B63B1">
        <w:rPr>
          <w:rFonts w:asciiTheme="majorBidi" w:hAnsiTheme="majorBidi" w:cstheme="majorBidi"/>
        </w:rPr>
        <w:t>i</w:t>
      </w:r>
      <w:r w:rsidR="00FB62A1" w:rsidRPr="003C31B9">
        <w:rPr>
          <w:rFonts w:asciiTheme="majorBidi" w:hAnsiTheme="majorBidi" w:cstheme="majorBidi"/>
        </w:rPr>
        <w:t xml:space="preserve">tes </w:t>
      </w:r>
      <w:r w:rsidR="005B79EF" w:rsidRPr="003C31B9">
        <w:rPr>
          <w:rFonts w:asciiTheme="majorBidi" w:hAnsiTheme="majorBidi" w:cstheme="majorBidi"/>
        </w:rPr>
        <w:t>a priority, targeting shrines, holy cities</w:t>
      </w:r>
      <w:r w:rsidR="00FD2CDA">
        <w:rPr>
          <w:rFonts w:asciiTheme="majorBidi" w:hAnsiTheme="majorBidi" w:cstheme="majorBidi"/>
        </w:rPr>
        <w:t>,</w:t>
      </w:r>
      <w:r w:rsidR="005B79EF" w:rsidRPr="003C31B9">
        <w:rPr>
          <w:rFonts w:asciiTheme="majorBidi" w:hAnsiTheme="majorBidi" w:cstheme="majorBidi"/>
        </w:rPr>
        <w:t xml:space="preserve"> and pilgrimages.</w:t>
      </w:r>
      <w:r w:rsidR="00FB62A1" w:rsidRPr="003C31B9">
        <w:rPr>
          <w:rFonts w:asciiTheme="majorBidi" w:hAnsiTheme="majorBidi" w:cstheme="majorBidi"/>
        </w:rPr>
        <w:t xml:space="preserve"> In one of its worst atrocities, </w:t>
      </w:r>
      <w:r>
        <w:rPr>
          <w:rFonts w:asciiTheme="majorBidi" w:hAnsiTheme="majorBidi" w:cstheme="majorBidi"/>
        </w:rPr>
        <w:t>Da’esh</w:t>
      </w:r>
      <w:r w:rsidR="00FB62A1" w:rsidRPr="003C31B9">
        <w:rPr>
          <w:rFonts w:asciiTheme="majorBidi" w:hAnsiTheme="majorBidi" w:cstheme="majorBidi"/>
        </w:rPr>
        <w:t xml:space="preserve"> fighters</w:t>
      </w:r>
      <w:r w:rsidR="005B79EF" w:rsidRPr="003C31B9">
        <w:rPr>
          <w:rFonts w:asciiTheme="majorBidi" w:hAnsiTheme="majorBidi" w:cstheme="majorBidi"/>
        </w:rPr>
        <w:t xml:space="preserve"> </w:t>
      </w:r>
      <w:r w:rsidR="00FB62A1" w:rsidRPr="003C31B9">
        <w:rPr>
          <w:rFonts w:asciiTheme="majorBidi" w:hAnsiTheme="majorBidi" w:cstheme="majorBidi"/>
        </w:rPr>
        <w:t>killed</w:t>
      </w:r>
      <w:r w:rsidR="005B79EF" w:rsidRPr="003C31B9">
        <w:rPr>
          <w:rFonts w:asciiTheme="majorBidi" w:hAnsiTheme="majorBidi" w:cstheme="majorBidi"/>
        </w:rPr>
        <w:t xml:space="preserve"> 670 </w:t>
      </w:r>
      <w:r w:rsidR="009B63B1">
        <w:rPr>
          <w:rFonts w:asciiTheme="majorBidi" w:hAnsiTheme="majorBidi" w:cstheme="majorBidi"/>
        </w:rPr>
        <w:t xml:space="preserve">Shi’ite </w:t>
      </w:r>
      <w:r w:rsidR="005B79EF" w:rsidRPr="003C31B9">
        <w:rPr>
          <w:rFonts w:asciiTheme="majorBidi" w:hAnsiTheme="majorBidi" w:cstheme="majorBidi"/>
        </w:rPr>
        <w:t xml:space="preserve">prisoners in a raid </w:t>
      </w:r>
      <w:r w:rsidR="00FD2CDA">
        <w:rPr>
          <w:rFonts w:asciiTheme="majorBidi" w:hAnsiTheme="majorBidi" w:cstheme="majorBidi"/>
        </w:rPr>
        <w:t>on</w:t>
      </w:r>
      <w:r w:rsidR="00FD2CDA" w:rsidRPr="003C31B9">
        <w:rPr>
          <w:rFonts w:asciiTheme="majorBidi" w:hAnsiTheme="majorBidi" w:cstheme="majorBidi"/>
        </w:rPr>
        <w:t xml:space="preserve"> </w:t>
      </w:r>
      <w:r w:rsidR="005B79EF" w:rsidRPr="003C31B9">
        <w:rPr>
          <w:rFonts w:asciiTheme="majorBidi" w:hAnsiTheme="majorBidi" w:cstheme="majorBidi"/>
        </w:rPr>
        <w:t xml:space="preserve">Badush </w:t>
      </w:r>
      <w:r w:rsidR="008A6F25" w:rsidRPr="003C31B9">
        <w:rPr>
          <w:rFonts w:asciiTheme="majorBidi" w:hAnsiTheme="majorBidi" w:cstheme="majorBidi"/>
        </w:rPr>
        <w:t xml:space="preserve">prison northwest of Mosul </w:t>
      </w:r>
      <w:r w:rsidR="005B79EF" w:rsidRPr="003C31B9">
        <w:rPr>
          <w:rFonts w:asciiTheme="majorBidi" w:hAnsiTheme="majorBidi" w:cstheme="majorBidi"/>
        </w:rPr>
        <w:t>in June 2014</w:t>
      </w:r>
      <w:r w:rsidR="00BB65C5" w:rsidRPr="003C31B9">
        <w:rPr>
          <w:rFonts w:asciiTheme="majorBidi" w:hAnsiTheme="majorBidi" w:cstheme="majorBidi"/>
        </w:rPr>
        <w:t>, in addition to bombings and other attacks on Shi’ites in Baghdad</w:t>
      </w:r>
      <w:r w:rsidR="0042022C" w:rsidRPr="003C31B9">
        <w:rPr>
          <w:rFonts w:asciiTheme="majorBidi" w:hAnsiTheme="majorBidi" w:cstheme="majorBidi"/>
        </w:rPr>
        <w:t>.</w:t>
      </w:r>
      <w:r w:rsidR="00FD2CDA">
        <w:rPr>
          <w:rStyle w:val="EndnoteReference"/>
          <w:rFonts w:asciiTheme="majorBidi" w:hAnsiTheme="majorBidi" w:cstheme="majorBidi"/>
        </w:rPr>
        <w:endnoteReference w:id="38"/>
      </w:r>
    </w:p>
    <w:p w14:paraId="31166F6A" w14:textId="77777777" w:rsidR="00E20921" w:rsidRDefault="00E20921" w:rsidP="00F4698F">
      <w:pPr>
        <w:spacing w:line="480" w:lineRule="auto"/>
        <w:rPr>
          <w:rFonts w:asciiTheme="majorBidi" w:hAnsiTheme="majorBidi" w:cstheme="majorBidi"/>
        </w:rPr>
      </w:pPr>
    </w:p>
    <w:p w14:paraId="07FB65E1" w14:textId="08C9A9E4" w:rsidR="009B63B1" w:rsidRPr="003C31B9" w:rsidRDefault="009B63B1" w:rsidP="00E266A7">
      <w:pPr>
        <w:pStyle w:val="Heading2"/>
      </w:pPr>
      <w:r w:rsidRPr="003C31B9">
        <w:t xml:space="preserve">The War </w:t>
      </w:r>
      <w:r w:rsidR="008E32E4">
        <w:t>a</w:t>
      </w:r>
      <w:r w:rsidRPr="003C31B9">
        <w:t xml:space="preserve">gainst Things: </w:t>
      </w:r>
      <w:r>
        <w:t>Da’esh</w:t>
      </w:r>
      <w:r w:rsidRPr="003C31B9">
        <w:t xml:space="preserve"> </w:t>
      </w:r>
      <w:r w:rsidR="008E32E4">
        <w:t>A</w:t>
      </w:r>
      <w:r w:rsidRPr="003C31B9">
        <w:t>ttacks on Modern and Ancient Cultural Heritage</w:t>
      </w:r>
    </w:p>
    <w:p w14:paraId="60F7C0B5" w14:textId="69532F96" w:rsidR="002B7D52" w:rsidRPr="003C31B9" w:rsidRDefault="003D60AA" w:rsidP="00F4698F">
      <w:pPr>
        <w:spacing w:line="480" w:lineRule="auto"/>
        <w:rPr>
          <w:rFonts w:asciiTheme="majorBidi" w:hAnsiTheme="majorBidi" w:cstheme="majorBidi"/>
        </w:rPr>
      </w:pPr>
      <w:r>
        <w:rPr>
          <w:rFonts w:asciiTheme="majorBidi" w:hAnsiTheme="majorBidi" w:cstheme="majorBidi"/>
        </w:rPr>
        <w:t>Da’esh</w:t>
      </w:r>
      <w:r w:rsidR="00451639" w:rsidRPr="003C31B9">
        <w:rPr>
          <w:rFonts w:asciiTheme="majorBidi" w:hAnsiTheme="majorBidi" w:cstheme="majorBidi"/>
        </w:rPr>
        <w:t>’s extreme violence against Christ</w:t>
      </w:r>
      <w:r w:rsidR="00732465" w:rsidRPr="003C31B9">
        <w:rPr>
          <w:rFonts w:asciiTheme="majorBidi" w:hAnsiTheme="majorBidi" w:cstheme="majorBidi"/>
        </w:rPr>
        <w:t>i</w:t>
      </w:r>
      <w:r w:rsidR="00451639" w:rsidRPr="003C31B9">
        <w:rPr>
          <w:rFonts w:asciiTheme="majorBidi" w:hAnsiTheme="majorBidi" w:cstheme="majorBidi"/>
        </w:rPr>
        <w:t xml:space="preserve">ans, Yazidis, and </w:t>
      </w:r>
      <w:r w:rsidR="00470946">
        <w:rPr>
          <w:rFonts w:asciiTheme="majorBidi" w:hAnsiTheme="majorBidi" w:cstheme="majorBidi"/>
        </w:rPr>
        <w:t xml:space="preserve">enemy </w:t>
      </w:r>
      <w:r w:rsidR="00451639" w:rsidRPr="003C31B9">
        <w:rPr>
          <w:rFonts w:asciiTheme="majorBidi" w:hAnsiTheme="majorBidi" w:cstheme="majorBidi"/>
        </w:rPr>
        <w:t>Muslim groups ha</w:t>
      </w:r>
      <w:r w:rsidR="00D30200">
        <w:rPr>
          <w:rFonts w:asciiTheme="majorBidi" w:hAnsiTheme="majorBidi" w:cstheme="majorBidi"/>
        </w:rPr>
        <w:t>s</w:t>
      </w:r>
      <w:r w:rsidR="00451639" w:rsidRPr="003C31B9">
        <w:rPr>
          <w:rFonts w:asciiTheme="majorBidi" w:hAnsiTheme="majorBidi" w:cstheme="majorBidi"/>
        </w:rPr>
        <w:t xml:space="preserve"> been generally recognized as genocide. </w:t>
      </w:r>
      <w:r w:rsidR="002C41E1" w:rsidRPr="003C31B9">
        <w:rPr>
          <w:rFonts w:asciiTheme="majorBidi" w:hAnsiTheme="majorBidi" w:cstheme="majorBidi"/>
        </w:rPr>
        <w:t>These acts did not occur in isolation</w:t>
      </w:r>
      <w:r w:rsidR="00D30200">
        <w:rPr>
          <w:rFonts w:asciiTheme="majorBidi" w:hAnsiTheme="majorBidi" w:cstheme="majorBidi"/>
        </w:rPr>
        <w:t>,</w:t>
      </w:r>
      <w:r w:rsidR="009F7F57">
        <w:rPr>
          <w:rFonts w:asciiTheme="majorBidi" w:hAnsiTheme="majorBidi" w:cstheme="majorBidi"/>
        </w:rPr>
        <w:t xml:space="preserve"> </w:t>
      </w:r>
      <w:r w:rsidR="002C41E1" w:rsidRPr="003C31B9">
        <w:rPr>
          <w:rFonts w:asciiTheme="majorBidi" w:hAnsiTheme="majorBidi" w:cstheme="majorBidi"/>
        </w:rPr>
        <w:t>instead</w:t>
      </w:r>
      <w:r w:rsidR="009B63B1">
        <w:rPr>
          <w:rFonts w:asciiTheme="majorBidi" w:hAnsiTheme="majorBidi" w:cstheme="majorBidi"/>
        </w:rPr>
        <w:t xml:space="preserve"> </w:t>
      </w:r>
      <w:r w:rsidR="00C6280A" w:rsidRPr="003C31B9">
        <w:rPr>
          <w:rFonts w:asciiTheme="majorBidi" w:hAnsiTheme="majorBidi" w:cstheme="majorBidi"/>
        </w:rPr>
        <w:t>accompan</w:t>
      </w:r>
      <w:r w:rsidR="00D30200">
        <w:rPr>
          <w:rFonts w:asciiTheme="majorBidi" w:hAnsiTheme="majorBidi" w:cstheme="majorBidi"/>
        </w:rPr>
        <w:t>ying</w:t>
      </w:r>
      <w:r w:rsidR="002C41E1" w:rsidRPr="003C31B9">
        <w:rPr>
          <w:rFonts w:asciiTheme="majorBidi" w:hAnsiTheme="majorBidi" w:cstheme="majorBidi"/>
        </w:rPr>
        <w:t xml:space="preserve"> </w:t>
      </w:r>
      <w:r w:rsidR="009B63B1">
        <w:rPr>
          <w:rFonts w:asciiTheme="majorBidi" w:hAnsiTheme="majorBidi" w:cstheme="majorBidi"/>
        </w:rPr>
        <w:lastRenderedPageBreak/>
        <w:t>attacks on the</w:t>
      </w:r>
      <w:r w:rsidR="002C41E1" w:rsidRPr="003C31B9">
        <w:rPr>
          <w:rFonts w:asciiTheme="majorBidi" w:hAnsiTheme="majorBidi" w:cstheme="majorBidi"/>
        </w:rPr>
        <w:t xml:space="preserve"> cultural heritage monuments of these groups</w:t>
      </w:r>
      <w:r w:rsidR="00D30200">
        <w:rPr>
          <w:rFonts w:asciiTheme="majorBidi" w:hAnsiTheme="majorBidi" w:cstheme="majorBidi"/>
        </w:rPr>
        <w:t>,</w:t>
      </w:r>
      <w:r w:rsidR="002C41E1" w:rsidRPr="003C31B9">
        <w:rPr>
          <w:rFonts w:asciiTheme="majorBidi" w:hAnsiTheme="majorBidi" w:cstheme="majorBidi"/>
        </w:rPr>
        <w:t xml:space="preserve"> along with the destruction of ancient, pre-Islamic heritage sites and monuments.</w:t>
      </w:r>
      <w:r w:rsidR="00AA761B" w:rsidRPr="003C31B9">
        <w:rPr>
          <w:rFonts w:asciiTheme="majorBidi" w:hAnsiTheme="majorBidi" w:cstheme="majorBidi"/>
        </w:rPr>
        <w:t xml:space="preserve"> </w:t>
      </w:r>
      <w:r>
        <w:rPr>
          <w:rFonts w:asciiTheme="majorBidi" w:hAnsiTheme="majorBidi" w:cstheme="majorBidi"/>
        </w:rPr>
        <w:t>Da’esh</w:t>
      </w:r>
      <w:r w:rsidR="00D30200">
        <w:rPr>
          <w:rFonts w:asciiTheme="majorBidi" w:hAnsiTheme="majorBidi" w:cstheme="majorBidi"/>
        </w:rPr>
        <w:t>’s</w:t>
      </w:r>
      <w:r w:rsidR="0036164E" w:rsidRPr="003C31B9">
        <w:rPr>
          <w:rFonts w:asciiTheme="majorBidi" w:hAnsiTheme="majorBidi" w:cstheme="majorBidi"/>
        </w:rPr>
        <w:t xml:space="preserve"> destruction of cultural heritage took two forms</w:t>
      </w:r>
      <w:r w:rsidR="003D658A">
        <w:rPr>
          <w:rFonts w:asciiTheme="majorBidi" w:hAnsiTheme="majorBidi" w:cstheme="majorBidi"/>
        </w:rPr>
        <w:t xml:space="preserve">: </w:t>
      </w:r>
      <w:r w:rsidR="00D30200">
        <w:rPr>
          <w:rFonts w:asciiTheme="majorBidi" w:hAnsiTheme="majorBidi" w:cstheme="majorBidi"/>
        </w:rPr>
        <w:t xml:space="preserve">the </w:t>
      </w:r>
      <w:r w:rsidR="0036164E" w:rsidRPr="003C31B9">
        <w:rPr>
          <w:rFonts w:asciiTheme="majorBidi" w:hAnsiTheme="majorBidi" w:cstheme="majorBidi"/>
        </w:rPr>
        <w:t xml:space="preserve">looting of </w:t>
      </w:r>
      <w:r w:rsidR="00DB00C7" w:rsidRPr="003C31B9">
        <w:rPr>
          <w:rFonts w:asciiTheme="majorBidi" w:hAnsiTheme="majorBidi" w:cstheme="majorBidi"/>
        </w:rPr>
        <w:t>a</w:t>
      </w:r>
      <w:r w:rsidR="0036164E" w:rsidRPr="003C31B9">
        <w:rPr>
          <w:rFonts w:asciiTheme="majorBidi" w:hAnsiTheme="majorBidi" w:cstheme="majorBidi"/>
        </w:rPr>
        <w:t xml:space="preserve">rtifacts from ancient sites for profit, and the </w:t>
      </w:r>
      <w:r w:rsidR="00DB00C7" w:rsidRPr="003C31B9">
        <w:rPr>
          <w:rFonts w:asciiTheme="majorBidi" w:hAnsiTheme="majorBidi" w:cstheme="majorBidi"/>
        </w:rPr>
        <w:t xml:space="preserve">performative destruction of </w:t>
      </w:r>
      <w:r w:rsidR="002B7D52" w:rsidRPr="003C31B9">
        <w:rPr>
          <w:rFonts w:asciiTheme="majorBidi" w:hAnsiTheme="majorBidi" w:cstheme="majorBidi"/>
        </w:rPr>
        <w:t xml:space="preserve">both </w:t>
      </w:r>
      <w:r w:rsidR="00DB00C7" w:rsidRPr="003C31B9">
        <w:rPr>
          <w:rFonts w:asciiTheme="majorBidi" w:hAnsiTheme="majorBidi" w:cstheme="majorBidi"/>
        </w:rPr>
        <w:t xml:space="preserve">modern </w:t>
      </w:r>
      <w:r w:rsidR="002B7D52" w:rsidRPr="003C31B9">
        <w:rPr>
          <w:rFonts w:asciiTheme="majorBidi" w:hAnsiTheme="majorBidi" w:cstheme="majorBidi"/>
        </w:rPr>
        <w:t xml:space="preserve">and ancient </w:t>
      </w:r>
      <w:r w:rsidR="00DB00C7" w:rsidRPr="003C31B9">
        <w:rPr>
          <w:rFonts w:asciiTheme="majorBidi" w:hAnsiTheme="majorBidi" w:cstheme="majorBidi"/>
        </w:rPr>
        <w:t xml:space="preserve">sites and monuments for </w:t>
      </w:r>
      <w:r w:rsidR="00DA60CD">
        <w:rPr>
          <w:rFonts w:asciiTheme="majorBidi" w:hAnsiTheme="majorBidi" w:cstheme="majorBidi"/>
        </w:rPr>
        <w:t>politico-</w:t>
      </w:r>
      <w:r w:rsidR="00DB00C7" w:rsidRPr="003C31B9">
        <w:rPr>
          <w:rFonts w:asciiTheme="majorBidi" w:hAnsiTheme="majorBidi" w:cstheme="majorBidi"/>
        </w:rPr>
        <w:t xml:space="preserve">religious reasons. Both foci of </w:t>
      </w:r>
      <w:r>
        <w:rPr>
          <w:rFonts w:asciiTheme="majorBidi" w:hAnsiTheme="majorBidi" w:cstheme="majorBidi"/>
        </w:rPr>
        <w:t>Da’esh</w:t>
      </w:r>
      <w:r w:rsidR="00DB00C7" w:rsidRPr="003C31B9">
        <w:rPr>
          <w:rFonts w:asciiTheme="majorBidi" w:hAnsiTheme="majorBidi" w:cstheme="majorBidi"/>
        </w:rPr>
        <w:t xml:space="preserve"> activities stood in stark contrast with earlier patterns of conflict-related damage to ancient cultural heritage in Iraq</w:t>
      </w:r>
      <w:r w:rsidR="00D873AF" w:rsidRPr="003C31B9">
        <w:rPr>
          <w:rFonts w:asciiTheme="majorBidi" w:hAnsiTheme="majorBidi" w:cstheme="majorBidi"/>
        </w:rPr>
        <w:t xml:space="preserve">. </w:t>
      </w:r>
    </w:p>
    <w:p w14:paraId="67F21100" w14:textId="700755F2" w:rsidR="00D400EF" w:rsidRPr="003C31B9" w:rsidRDefault="00D76281" w:rsidP="00F4698F">
      <w:pPr>
        <w:spacing w:line="480" w:lineRule="auto"/>
        <w:ind w:firstLine="720"/>
        <w:rPr>
          <w:rFonts w:asciiTheme="majorBidi" w:hAnsiTheme="majorBidi" w:cstheme="majorBidi"/>
        </w:rPr>
      </w:pPr>
      <w:r>
        <w:rPr>
          <w:rFonts w:asciiTheme="majorBidi" w:hAnsiTheme="majorBidi" w:cstheme="majorBidi"/>
        </w:rPr>
        <w:t xml:space="preserve">From </w:t>
      </w:r>
      <w:r w:rsidR="00921517">
        <w:rPr>
          <w:rFonts w:asciiTheme="majorBidi" w:hAnsiTheme="majorBidi" w:cstheme="majorBidi"/>
        </w:rPr>
        <w:t xml:space="preserve">the </w:t>
      </w:r>
      <w:r>
        <w:rPr>
          <w:rFonts w:asciiTheme="majorBidi" w:hAnsiTheme="majorBidi" w:cstheme="majorBidi"/>
        </w:rPr>
        <w:t xml:space="preserve">1991 </w:t>
      </w:r>
      <w:r w:rsidR="00DB00C7" w:rsidRPr="003C31B9">
        <w:rPr>
          <w:rFonts w:asciiTheme="majorBidi" w:hAnsiTheme="majorBidi" w:cstheme="majorBidi"/>
        </w:rPr>
        <w:t xml:space="preserve">Gulf </w:t>
      </w:r>
      <w:r w:rsidR="00921517">
        <w:rPr>
          <w:rFonts w:asciiTheme="majorBidi" w:hAnsiTheme="majorBidi" w:cstheme="majorBidi"/>
        </w:rPr>
        <w:t>W</w:t>
      </w:r>
      <w:r w:rsidR="00DB00C7" w:rsidRPr="003C31B9">
        <w:rPr>
          <w:rFonts w:asciiTheme="majorBidi" w:hAnsiTheme="majorBidi" w:cstheme="majorBidi"/>
        </w:rPr>
        <w:t>ar</w:t>
      </w:r>
      <w:r w:rsidR="00921517">
        <w:rPr>
          <w:rFonts w:asciiTheme="majorBidi" w:hAnsiTheme="majorBidi" w:cstheme="majorBidi"/>
        </w:rPr>
        <w:t xml:space="preserve"> </w:t>
      </w:r>
      <w:r>
        <w:rPr>
          <w:rFonts w:asciiTheme="majorBidi" w:hAnsiTheme="majorBidi" w:cstheme="majorBidi"/>
        </w:rPr>
        <w:t xml:space="preserve">to </w:t>
      </w:r>
      <w:r w:rsidR="008C6D14">
        <w:rPr>
          <w:rFonts w:asciiTheme="majorBidi" w:hAnsiTheme="majorBidi" w:cstheme="majorBidi"/>
        </w:rPr>
        <w:t xml:space="preserve">the </w:t>
      </w:r>
      <w:r w:rsidR="00DE5DD3">
        <w:rPr>
          <w:rFonts w:asciiTheme="majorBidi" w:hAnsiTheme="majorBidi" w:cstheme="majorBidi"/>
        </w:rPr>
        <w:t xml:space="preserve">aftermath of the </w:t>
      </w:r>
      <w:r>
        <w:rPr>
          <w:rFonts w:asciiTheme="majorBidi" w:hAnsiTheme="majorBidi" w:cstheme="majorBidi"/>
        </w:rPr>
        <w:t xml:space="preserve">2003 </w:t>
      </w:r>
      <w:r w:rsidR="00921517">
        <w:rPr>
          <w:rFonts w:asciiTheme="majorBidi" w:hAnsiTheme="majorBidi" w:cstheme="majorBidi"/>
        </w:rPr>
        <w:t>US invasion</w:t>
      </w:r>
      <w:r w:rsidR="00DB00C7" w:rsidRPr="003C31B9">
        <w:rPr>
          <w:rFonts w:asciiTheme="majorBidi" w:hAnsiTheme="majorBidi" w:cstheme="majorBidi"/>
        </w:rPr>
        <w:t xml:space="preserve"> </w:t>
      </w:r>
      <w:r w:rsidR="00085681">
        <w:rPr>
          <w:rFonts w:asciiTheme="majorBidi" w:hAnsiTheme="majorBidi" w:cstheme="majorBidi"/>
        </w:rPr>
        <w:t>of Iraq</w:t>
      </w:r>
      <w:r w:rsidR="00D873AF" w:rsidRPr="003C31B9">
        <w:rPr>
          <w:rFonts w:asciiTheme="majorBidi" w:hAnsiTheme="majorBidi" w:cstheme="majorBidi"/>
        </w:rPr>
        <w:t xml:space="preserve">, there was little or no </w:t>
      </w:r>
      <w:r w:rsidR="00085681">
        <w:rPr>
          <w:rFonts w:asciiTheme="majorBidi" w:hAnsiTheme="majorBidi" w:cstheme="majorBidi"/>
        </w:rPr>
        <w:t>state-</w:t>
      </w:r>
      <w:r w:rsidR="00D873AF" w:rsidRPr="003C31B9">
        <w:rPr>
          <w:rFonts w:asciiTheme="majorBidi" w:hAnsiTheme="majorBidi" w:cstheme="majorBidi"/>
        </w:rPr>
        <w:t>sponsored destruction of Christian, Yazidi, Sufi, Shi’ite, or ancient heritage sites.</w:t>
      </w:r>
      <w:r w:rsidR="008B098E">
        <w:rPr>
          <w:rFonts w:asciiTheme="majorBidi" w:hAnsiTheme="majorBidi" w:cstheme="majorBidi"/>
        </w:rPr>
        <w:t xml:space="preserve"> </w:t>
      </w:r>
      <w:r w:rsidR="00F40876">
        <w:rPr>
          <w:rFonts w:asciiTheme="majorBidi" w:hAnsiTheme="majorBidi" w:cstheme="majorBidi"/>
        </w:rPr>
        <w:t xml:space="preserve">During this period, </w:t>
      </w:r>
      <w:r w:rsidR="00D873AF" w:rsidRPr="003C31B9">
        <w:rPr>
          <w:rFonts w:asciiTheme="majorBidi" w:hAnsiTheme="majorBidi" w:cstheme="majorBidi"/>
        </w:rPr>
        <w:t>t</w:t>
      </w:r>
      <w:r w:rsidR="00DB00C7" w:rsidRPr="003C31B9">
        <w:rPr>
          <w:rFonts w:asciiTheme="majorBidi" w:hAnsiTheme="majorBidi" w:cstheme="majorBidi"/>
        </w:rPr>
        <w:t xml:space="preserve">he looting of the </w:t>
      </w:r>
      <w:r w:rsidR="00D02F51">
        <w:rPr>
          <w:rFonts w:asciiTheme="majorBidi" w:hAnsiTheme="majorBidi" w:cstheme="majorBidi"/>
        </w:rPr>
        <w:t xml:space="preserve">Iraq Museum in </w:t>
      </w:r>
      <w:r w:rsidR="00DB00C7" w:rsidRPr="003C31B9">
        <w:rPr>
          <w:rFonts w:asciiTheme="majorBidi" w:hAnsiTheme="majorBidi" w:cstheme="majorBidi"/>
        </w:rPr>
        <w:t xml:space="preserve">Baghdad and of numerous </w:t>
      </w:r>
      <w:r w:rsidR="00D873AF" w:rsidRPr="003C31B9">
        <w:rPr>
          <w:rFonts w:asciiTheme="majorBidi" w:hAnsiTheme="majorBidi" w:cstheme="majorBidi"/>
        </w:rPr>
        <w:t xml:space="preserve">ancient </w:t>
      </w:r>
      <w:r w:rsidR="00DB00C7" w:rsidRPr="003C31B9">
        <w:rPr>
          <w:rFonts w:asciiTheme="majorBidi" w:hAnsiTheme="majorBidi" w:cstheme="majorBidi"/>
        </w:rPr>
        <w:t>sites in southern Iraq were economically</w:t>
      </w:r>
      <w:r w:rsidR="00DE5DD3">
        <w:rPr>
          <w:rFonts w:asciiTheme="majorBidi" w:hAnsiTheme="majorBidi" w:cstheme="majorBidi"/>
        </w:rPr>
        <w:t>-</w:t>
      </w:r>
      <w:r w:rsidR="00DB00C7" w:rsidRPr="003C31B9">
        <w:rPr>
          <w:rFonts w:asciiTheme="majorBidi" w:hAnsiTheme="majorBidi" w:cstheme="majorBidi"/>
        </w:rPr>
        <w:t xml:space="preserve">motivated </w:t>
      </w:r>
      <w:r w:rsidR="009F7F57">
        <w:rPr>
          <w:rFonts w:asciiTheme="majorBidi" w:hAnsiTheme="majorBidi" w:cstheme="majorBidi"/>
        </w:rPr>
        <w:t>crimes</w:t>
      </w:r>
      <w:r w:rsidR="00DB00C7" w:rsidRPr="003C31B9">
        <w:rPr>
          <w:rFonts w:asciiTheme="majorBidi" w:hAnsiTheme="majorBidi" w:cstheme="majorBidi"/>
        </w:rPr>
        <w:t xml:space="preserve"> by individuals and gangs.</w:t>
      </w:r>
      <w:r w:rsidR="001058EB">
        <w:rPr>
          <w:rStyle w:val="EndnoteReference"/>
          <w:rFonts w:asciiTheme="majorBidi" w:hAnsiTheme="majorBidi" w:cstheme="majorBidi"/>
        </w:rPr>
        <w:endnoteReference w:id="39"/>
      </w:r>
      <w:r w:rsidR="008B098E">
        <w:rPr>
          <w:rFonts w:asciiTheme="majorBidi" w:hAnsiTheme="majorBidi" w:cstheme="majorBidi"/>
        </w:rPr>
        <w:t xml:space="preserve"> </w:t>
      </w:r>
      <w:r w:rsidR="00D873AF" w:rsidRPr="003C31B9">
        <w:rPr>
          <w:rFonts w:asciiTheme="majorBidi" w:hAnsiTheme="majorBidi" w:cstheme="majorBidi"/>
        </w:rPr>
        <w:t xml:space="preserve">However, </w:t>
      </w:r>
      <w:r w:rsidR="002D0198" w:rsidRPr="003C31B9">
        <w:rPr>
          <w:rFonts w:asciiTheme="majorBidi" w:hAnsiTheme="majorBidi" w:cstheme="majorBidi"/>
        </w:rPr>
        <w:t xml:space="preserve">with the ascendancy of </w:t>
      </w:r>
      <w:r w:rsidR="003D60AA">
        <w:rPr>
          <w:rFonts w:asciiTheme="majorBidi" w:hAnsiTheme="majorBidi" w:cstheme="majorBidi"/>
        </w:rPr>
        <w:t>Da’esh</w:t>
      </w:r>
      <w:r w:rsidR="002D0198" w:rsidRPr="003C31B9">
        <w:rPr>
          <w:rFonts w:asciiTheme="majorBidi" w:hAnsiTheme="majorBidi" w:cstheme="majorBidi"/>
        </w:rPr>
        <w:t xml:space="preserve"> and its establishment of </w:t>
      </w:r>
      <w:r w:rsidR="001058EB">
        <w:rPr>
          <w:rFonts w:asciiTheme="majorBidi" w:hAnsiTheme="majorBidi" w:cstheme="majorBidi"/>
        </w:rPr>
        <w:t>a</w:t>
      </w:r>
      <w:r w:rsidR="001058EB" w:rsidRPr="003C31B9">
        <w:rPr>
          <w:rFonts w:asciiTheme="majorBidi" w:hAnsiTheme="majorBidi" w:cstheme="majorBidi"/>
        </w:rPr>
        <w:t xml:space="preserve"> </w:t>
      </w:r>
      <w:r w:rsidR="002D0198" w:rsidRPr="003C31B9">
        <w:rPr>
          <w:rFonts w:asciiTheme="majorBidi" w:hAnsiTheme="majorBidi" w:cstheme="majorBidi"/>
        </w:rPr>
        <w:t xml:space="preserve">caliphate, </w:t>
      </w:r>
      <w:r w:rsidR="00DB00C7" w:rsidRPr="003C31B9">
        <w:rPr>
          <w:rFonts w:asciiTheme="majorBidi" w:hAnsiTheme="majorBidi" w:cstheme="majorBidi"/>
        </w:rPr>
        <w:t xml:space="preserve">attacks on heritage </w:t>
      </w:r>
      <w:r w:rsidR="002D0198" w:rsidRPr="003C31B9">
        <w:rPr>
          <w:rFonts w:asciiTheme="majorBidi" w:hAnsiTheme="majorBidi" w:cstheme="majorBidi"/>
        </w:rPr>
        <w:t>took a qualitatively</w:t>
      </w:r>
      <w:r w:rsidR="00DB00C7" w:rsidRPr="003C31B9">
        <w:rPr>
          <w:rFonts w:asciiTheme="majorBidi" w:hAnsiTheme="majorBidi" w:cstheme="majorBidi"/>
        </w:rPr>
        <w:t xml:space="preserve"> differen</w:t>
      </w:r>
      <w:r w:rsidR="00D873AF" w:rsidRPr="003C31B9">
        <w:rPr>
          <w:rFonts w:asciiTheme="majorBidi" w:hAnsiTheme="majorBidi" w:cstheme="majorBidi"/>
        </w:rPr>
        <w:t>t</w:t>
      </w:r>
      <w:r w:rsidR="002D0198" w:rsidRPr="003C31B9">
        <w:rPr>
          <w:rFonts w:asciiTheme="majorBidi" w:hAnsiTheme="majorBidi" w:cstheme="majorBidi"/>
        </w:rPr>
        <w:t xml:space="preserve"> form</w:t>
      </w:r>
      <w:r w:rsidR="00D873AF" w:rsidRPr="003C31B9">
        <w:rPr>
          <w:rFonts w:asciiTheme="majorBidi" w:hAnsiTheme="majorBidi" w:cstheme="majorBidi"/>
        </w:rPr>
        <w:t>.</w:t>
      </w:r>
      <w:r w:rsidR="002D0198" w:rsidRPr="003C31B9">
        <w:rPr>
          <w:rFonts w:asciiTheme="majorBidi" w:hAnsiTheme="majorBidi" w:cstheme="majorBidi"/>
        </w:rPr>
        <w:t xml:space="preserve"> This was especially true of looting</w:t>
      </w:r>
      <w:r w:rsidR="001058EB">
        <w:rPr>
          <w:rFonts w:asciiTheme="majorBidi" w:hAnsiTheme="majorBidi" w:cstheme="majorBidi"/>
        </w:rPr>
        <w:t>:</w:t>
      </w:r>
      <w:r w:rsidR="00D873AF" w:rsidRPr="003C31B9">
        <w:rPr>
          <w:rFonts w:asciiTheme="majorBidi" w:hAnsiTheme="majorBidi" w:cstheme="majorBidi"/>
        </w:rPr>
        <w:t xml:space="preserve"> </w:t>
      </w:r>
      <w:r w:rsidR="001058EB">
        <w:rPr>
          <w:rFonts w:asciiTheme="majorBidi" w:hAnsiTheme="majorBidi" w:cstheme="majorBidi"/>
        </w:rPr>
        <w:t>w</w:t>
      </w:r>
      <w:r w:rsidR="00D873AF" w:rsidRPr="003C31B9">
        <w:rPr>
          <w:rFonts w:asciiTheme="majorBidi" w:hAnsiTheme="majorBidi" w:cstheme="majorBidi"/>
        </w:rPr>
        <w:t xml:space="preserve">hat had </w:t>
      </w:r>
      <w:r w:rsidR="00DB00C7" w:rsidRPr="003C31B9">
        <w:rPr>
          <w:rFonts w:asciiTheme="majorBidi" w:hAnsiTheme="majorBidi" w:cstheme="majorBidi"/>
        </w:rPr>
        <w:t xml:space="preserve">formerly </w:t>
      </w:r>
      <w:r w:rsidR="00D873AF" w:rsidRPr="003C31B9">
        <w:rPr>
          <w:rFonts w:asciiTheme="majorBidi" w:hAnsiTheme="majorBidi" w:cstheme="majorBidi"/>
        </w:rPr>
        <w:t xml:space="preserve">been </w:t>
      </w:r>
      <w:r w:rsidR="00DB00C7" w:rsidRPr="003C31B9">
        <w:rPr>
          <w:rFonts w:asciiTheme="majorBidi" w:hAnsiTheme="majorBidi" w:cstheme="majorBidi"/>
        </w:rPr>
        <w:t xml:space="preserve">criminal activities by profit-driven private entities were reinvented as meritorious moral obligations </w:t>
      </w:r>
      <w:r w:rsidR="005B7C04">
        <w:rPr>
          <w:rFonts w:asciiTheme="majorBidi" w:hAnsiTheme="majorBidi" w:cstheme="majorBidi"/>
        </w:rPr>
        <w:t>authorized</w:t>
      </w:r>
      <w:r w:rsidR="00DB00C7" w:rsidRPr="003C31B9">
        <w:rPr>
          <w:rFonts w:asciiTheme="majorBidi" w:hAnsiTheme="majorBidi" w:cstheme="majorBidi"/>
        </w:rPr>
        <w:t xml:space="preserve"> by the central authorities of the caliphate.</w:t>
      </w:r>
      <w:r w:rsidR="008B098E">
        <w:rPr>
          <w:rFonts w:asciiTheme="majorBidi" w:hAnsiTheme="majorBidi" w:cstheme="majorBidi"/>
        </w:rPr>
        <w:t xml:space="preserve"> </w:t>
      </w:r>
      <w:r w:rsidR="00B86D14">
        <w:rPr>
          <w:rFonts w:asciiTheme="majorBidi" w:hAnsiTheme="majorBidi" w:cstheme="majorBidi"/>
        </w:rPr>
        <w:t>Th</w:t>
      </w:r>
      <w:r w:rsidR="00033BBA">
        <w:rPr>
          <w:rFonts w:asciiTheme="majorBidi" w:hAnsiTheme="majorBidi" w:cstheme="majorBidi"/>
        </w:rPr>
        <w:t>is</w:t>
      </w:r>
      <w:r w:rsidR="00B86D14">
        <w:rPr>
          <w:rFonts w:asciiTheme="majorBidi" w:hAnsiTheme="majorBidi" w:cstheme="majorBidi"/>
        </w:rPr>
        <w:t xml:space="preserve"> </w:t>
      </w:r>
      <w:r w:rsidR="003D60AA">
        <w:rPr>
          <w:rFonts w:asciiTheme="majorBidi" w:hAnsiTheme="majorBidi" w:cstheme="majorBidi"/>
        </w:rPr>
        <w:t>Da’esh</w:t>
      </w:r>
      <w:r w:rsidR="00DB00C7" w:rsidRPr="003C31B9">
        <w:rPr>
          <w:rFonts w:asciiTheme="majorBidi" w:hAnsiTheme="majorBidi" w:cstheme="majorBidi"/>
        </w:rPr>
        <w:t>-sanctioned looting w</w:t>
      </w:r>
      <w:r w:rsidR="009B63B1">
        <w:rPr>
          <w:rFonts w:asciiTheme="majorBidi" w:hAnsiTheme="majorBidi" w:cstheme="majorBidi"/>
        </w:rPr>
        <w:t>as</w:t>
      </w:r>
      <w:r w:rsidR="00DB00C7" w:rsidRPr="003C31B9">
        <w:rPr>
          <w:rFonts w:asciiTheme="majorBidi" w:hAnsiTheme="majorBidi" w:cstheme="majorBidi"/>
        </w:rPr>
        <w:t xml:space="preserve"> justified through traditional </w:t>
      </w:r>
      <w:r w:rsidR="00C6280A" w:rsidRPr="003C31B9">
        <w:rPr>
          <w:rFonts w:asciiTheme="majorBidi" w:hAnsiTheme="majorBidi" w:cstheme="majorBidi"/>
        </w:rPr>
        <w:t xml:space="preserve">laws and </w:t>
      </w:r>
      <w:r w:rsidR="00DB00C7" w:rsidRPr="003C31B9">
        <w:rPr>
          <w:rFonts w:asciiTheme="majorBidi" w:hAnsiTheme="majorBidi" w:cstheme="majorBidi"/>
        </w:rPr>
        <w:t xml:space="preserve">practices of </w:t>
      </w:r>
      <w:r w:rsidR="00565463">
        <w:rPr>
          <w:rFonts w:asciiTheme="majorBidi" w:hAnsiTheme="majorBidi" w:cstheme="majorBidi"/>
        </w:rPr>
        <w:t>j</w:t>
      </w:r>
      <w:r w:rsidR="00DB00C7" w:rsidRPr="003C31B9">
        <w:rPr>
          <w:rFonts w:asciiTheme="majorBidi" w:hAnsiTheme="majorBidi" w:cstheme="majorBidi"/>
        </w:rPr>
        <w:t>ihad</w:t>
      </w:r>
      <w:r w:rsidR="00D873AF" w:rsidRPr="003C31B9">
        <w:rPr>
          <w:rFonts w:asciiTheme="majorBidi" w:hAnsiTheme="majorBidi" w:cstheme="majorBidi"/>
        </w:rPr>
        <w:t xml:space="preserve">. </w:t>
      </w:r>
      <w:r w:rsidR="0073145A" w:rsidRPr="003C31B9">
        <w:rPr>
          <w:rFonts w:asciiTheme="majorBidi" w:hAnsiTheme="majorBidi" w:cstheme="majorBidi"/>
        </w:rPr>
        <w:t xml:space="preserve">In both Syria and Iraq, </w:t>
      </w:r>
      <w:r w:rsidR="004E3A6A">
        <w:rPr>
          <w:rFonts w:asciiTheme="majorBidi" w:hAnsiTheme="majorBidi" w:cstheme="majorBidi"/>
        </w:rPr>
        <w:t xml:space="preserve">the </w:t>
      </w:r>
      <w:r w:rsidR="00AF078B">
        <w:rPr>
          <w:rFonts w:asciiTheme="majorBidi" w:hAnsiTheme="majorBidi" w:cstheme="majorBidi"/>
        </w:rPr>
        <w:t>group</w:t>
      </w:r>
      <w:r w:rsidR="00BC1814">
        <w:rPr>
          <w:rFonts w:asciiTheme="majorBidi" w:hAnsiTheme="majorBidi" w:cstheme="majorBidi"/>
        </w:rPr>
        <w:t xml:space="preserve">, at this point </w:t>
      </w:r>
      <w:r w:rsidR="00AF078B">
        <w:rPr>
          <w:rFonts w:asciiTheme="majorBidi" w:hAnsiTheme="majorBidi" w:cstheme="majorBidi"/>
        </w:rPr>
        <w:t xml:space="preserve">acting </w:t>
      </w:r>
      <w:r w:rsidR="00BC1814">
        <w:rPr>
          <w:rFonts w:asciiTheme="majorBidi" w:hAnsiTheme="majorBidi" w:cstheme="majorBidi"/>
        </w:rPr>
        <w:t xml:space="preserve">effectively </w:t>
      </w:r>
      <w:r w:rsidR="00470EC5">
        <w:rPr>
          <w:rFonts w:asciiTheme="majorBidi" w:hAnsiTheme="majorBidi" w:cstheme="majorBidi"/>
        </w:rPr>
        <w:t xml:space="preserve">as </w:t>
      </w:r>
      <w:r w:rsidR="00BC1814">
        <w:rPr>
          <w:rFonts w:asciiTheme="majorBidi" w:hAnsiTheme="majorBidi" w:cstheme="majorBidi"/>
        </w:rPr>
        <w:t>a state,</w:t>
      </w:r>
      <w:r w:rsidR="004E3A6A" w:rsidRPr="003C31B9">
        <w:rPr>
          <w:rFonts w:asciiTheme="majorBidi" w:hAnsiTheme="majorBidi" w:cstheme="majorBidi"/>
        </w:rPr>
        <w:t xml:space="preserve"> </w:t>
      </w:r>
      <w:r w:rsidR="00D873AF" w:rsidRPr="003C31B9">
        <w:rPr>
          <w:rFonts w:asciiTheme="majorBidi" w:hAnsiTheme="majorBidi" w:cstheme="majorBidi"/>
        </w:rPr>
        <w:t>issued official licenses to looters</w:t>
      </w:r>
      <w:r w:rsidR="0081143C" w:rsidRPr="003C31B9">
        <w:rPr>
          <w:rFonts w:asciiTheme="majorBidi" w:hAnsiTheme="majorBidi" w:cstheme="majorBidi"/>
        </w:rPr>
        <w:t xml:space="preserve"> of archaeological heritage sites</w:t>
      </w:r>
      <w:r w:rsidR="00D873AF" w:rsidRPr="003C31B9">
        <w:rPr>
          <w:rFonts w:asciiTheme="majorBidi" w:hAnsiTheme="majorBidi" w:cstheme="majorBidi"/>
        </w:rPr>
        <w:t>, who were obligated to pay 20</w:t>
      </w:r>
      <w:r w:rsidR="00DC7224">
        <w:rPr>
          <w:rFonts w:asciiTheme="majorBidi" w:hAnsiTheme="majorBidi" w:cstheme="majorBidi"/>
        </w:rPr>
        <w:t xml:space="preserve"> percent</w:t>
      </w:r>
      <w:r w:rsidR="00D873AF" w:rsidRPr="003C31B9">
        <w:rPr>
          <w:rFonts w:asciiTheme="majorBidi" w:hAnsiTheme="majorBidi" w:cstheme="majorBidi"/>
        </w:rPr>
        <w:t xml:space="preserve"> of </w:t>
      </w:r>
      <w:r w:rsidR="0073145A" w:rsidRPr="003C31B9">
        <w:rPr>
          <w:rFonts w:asciiTheme="majorBidi" w:hAnsiTheme="majorBidi" w:cstheme="majorBidi"/>
        </w:rPr>
        <w:t xml:space="preserve">their </w:t>
      </w:r>
      <w:r w:rsidR="00D873AF" w:rsidRPr="003C31B9">
        <w:rPr>
          <w:rFonts w:asciiTheme="majorBidi" w:hAnsiTheme="majorBidi" w:cstheme="majorBidi"/>
        </w:rPr>
        <w:t xml:space="preserve">profits to the caliphate as </w:t>
      </w:r>
      <w:r w:rsidR="00DC7224" w:rsidRPr="00E266A7">
        <w:rPr>
          <w:rFonts w:asciiTheme="majorBidi" w:hAnsiTheme="majorBidi" w:cstheme="majorBidi"/>
          <w:i/>
          <w:iCs/>
        </w:rPr>
        <w:t>k</w:t>
      </w:r>
      <w:r w:rsidR="00D873AF" w:rsidRPr="00E266A7">
        <w:rPr>
          <w:rFonts w:asciiTheme="majorBidi" w:hAnsiTheme="majorBidi" w:cstheme="majorBidi"/>
          <w:i/>
          <w:iCs/>
        </w:rPr>
        <w:t>hums</w:t>
      </w:r>
      <w:r w:rsidR="00D873AF" w:rsidRPr="003C31B9">
        <w:rPr>
          <w:rFonts w:asciiTheme="majorBidi" w:hAnsiTheme="majorBidi" w:cstheme="majorBidi"/>
        </w:rPr>
        <w:t>.</w:t>
      </w:r>
      <w:r w:rsidR="00DC7224">
        <w:rPr>
          <w:rStyle w:val="EndnoteReference"/>
          <w:rFonts w:asciiTheme="majorBidi" w:hAnsiTheme="majorBidi" w:cstheme="majorBidi"/>
        </w:rPr>
        <w:endnoteReference w:id="40"/>
      </w:r>
      <w:r w:rsidR="008B098E">
        <w:rPr>
          <w:rFonts w:asciiTheme="majorBidi" w:hAnsiTheme="majorBidi" w:cstheme="majorBidi"/>
        </w:rPr>
        <w:t xml:space="preserve"> </w:t>
      </w:r>
      <w:r w:rsidR="00D873AF" w:rsidRPr="003C31B9">
        <w:rPr>
          <w:rFonts w:asciiTheme="majorBidi" w:hAnsiTheme="majorBidi" w:cstheme="majorBidi"/>
        </w:rPr>
        <w:t xml:space="preserve">Looting became </w:t>
      </w:r>
      <w:r w:rsidR="00DC7224">
        <w:rPr>
          <w:rFonts w:asciiTheme="majorBidi" w:hAnsiTheme="majorBidi" w:cstheme="majorBidi"/>
        </w:rPr>
        <w:t xml:space="preserve">a </w:t>
      </w:r>
      <w:r w:rsidR="00D873AF" w:rsidRPr="003C31B9">
        <w:rPr>
          <w:rFonts w:asciiTheme="majorBidi" w:hAnsiTheme="majorBidi" w:cstheme="majorBidi"/>
        </w:rPr>
        <w:t xml:space="preserve">major source of revenue for </w:t>
      </w:r>
      <w:r w:rsidR="003D60AA">
        <w:rPr>
          <w:rFonts w:asciiTheme="majorBidi" w:hAnsiTheme="majorBidi" w:cstheme="majorBidi"/>
        </w:rPr>
        <w:t>Da’esh</w:t>
      </w:r>
      <w:r w:rsidR="00D873AF" w:rsidRPr="003C31B9">
        <w:rPr>
          <w:rFonts w:asciiTheme="majorBidi" w:hAnsiTheme="majorBidi" w:cstheme="majorBidi"/>
        </w:rPr>
        <w:t>.</w:t>
      </w:r>
      <w:r w:rsidR="00537F52" w:rsidRPr="003C31B9">
        <w:rPr>
          <w:rFonts w:asciiTheme="majorBidi" w:hAnsiTheme="majorBidi" w:cstheme="majorBidi"/>
        </w:rPr>
        <w:t xml:space="preserve"> </w:t>
      </w:r>
      <w:r w:rsidR="008C0B75" w:rsidRPr="003C31B9">
        <w:rPr>
          <w:rFonts w:asciiTheme="majorBidi" w:hAnsiTheme="majorBidi" w:cstheme="majorBidi"/>
        </w:rPr>
        <w:t xml:space="preserve">Officially sanctioned looting complemented </w:t>
      </w:r>
      <w:r w:rsidR="003D60AA">
        <w:rPr>
          <w:rFonts w:asciiTheme="majorBidi" w:hAnsiTheme="majorBidi" w:cstheme="majorBidi"/>
        </w:rPr>
        <w:t>Da’esh</w:t>
      </w:r>
      <w:r w:rsidR="008C0B75" w:rsidRPr="003C31B9">
        <w:rPr>
          <w:rFonts w:asciiTheme="majorBidi" w:hAnsiTheme="majorBidi" w:cstheme="majorBidi"/>
        </w:rPr>
        <w:t>’</w:t>
      </w:r>
      <w:r w:rsidR="002D0198" w:rsidRPr="003C31B9">
        <w:rPr>
          <w:rFonts w:asciiTheme="majorBidi" w:hAnsiTheme="majorBidi" w:cstheme="majorBidi"/>
        </w:rPr>
        <w:t xml:space="preserve">s program of performative destruction of modern and ancient cultural heritage, justified in terms of </w:t>
      </w:r>
      <w:r w:rsidR="0023284F">
        <w:rPr>
          <w:rFonts w:asciiTheme="majorBidi" w:hAnsiTheme="majorBidi" w:cstheme="majorBidi"/>
        </w:rPr>
        <w:t>jihadi</w:t>
      </w:r>
      <w:r w:rsidR="002D0198" w:rsidRPr="003C31B9">
        <w:rPr>
          <w:rFonts w:asciiTheme="majorBidi" w:hAnsiTheme="majorBidi" w:cstheme="majorBidi"/>
        </w:rPr>
        <w:t xml:space="preserve"> Salafist ideology </w:t>
      </w:r>
      <w:r w:rsidR="005B7C04">
        <w:rPr>
          <w:rFonts w:asciiTheme="majorBidi" w:hAnsiTheme="majorBidi" w:cstheme="majorBidi"/>
        </w:rPr>
        <w:t>and</w:t>
      </w:r>
      <w:r w:rsidR="002D0198" w:rsidRPr="003C31B9">
        <w:rPr>
          <w:rFonts w:asciiTheme="majorBidi" w:hAnsiTheme="majorBidi" w:cstheme="majorBidi"/>
        </w:rPr>
        <w:t xml:space="preserve"> the calipha</w:t>
      </w:r>
      <w:r w:rsidR="0073145A" w:rsidRPr="003C31B9">
        <w:rPr>
          <w:rFonts w:asciiTheme="majorBidi" w:hAnsiTheme="majorBidi" w:cstheme="majorBidi"/>
        </w:rPr>
        <w:t>t</w:t>
      </w:r>
      <w:r w:rsidR="002D0198" w:rsidRPr="003C31B9">
        <w:rPr>
          <w:rFonts w:asciiTheme="majorBidi" w:hAnsiTheme="majorBidi" w:cstheme="majorBidi"/>
        </w:rPr>
        <w:t xml:space="preserve">e’s political agenda. </w:t>
      </w:r>
    </w:p>
    <w:p w14:paraId="43F6D640" w14:textId="7D2F53A1" w:rsidR="00847A72" w:rsidRPr="003C31B9" w:rsidRDefault="00B8347D" w:rsidP="00F4698F">
      <w:pPr>
        <w:spacing w:line="480" w:lineRule="auto"/>
        <w:ind w:firstLine="720"/>
        <w:rPr>
          <w:rFonts w:asciiTheme="majorBidi" w:hAnsiTheme="majorBidi" w:cstheme="majorBidi"/>
        </w:rPr>
      </w:pPr>
      <w:r>
        <w:rPr>
          <w:rFonts w:asciiTheme="majorBidi" w:hAnsiTheme="majorBidi" w:cstheme="majorBidi"/>
        </w:rPr>
        <w:t>T</w:t>
      </w:r>
      <w:r w:rsidR="00A018A9" w:rsidRPr="003C31B9">
        <w:rPr>
          <w:rFonts w:asciiTheme="majorBidi" w:hAnsiTheme="majorBidi" w:cstheme="majorBidi"/>
        </w:rPr>
        <w:t>he fight against idolatry, whether modern o</w:t>
      </w:r>
      <w:r w:rsidR="009F631B">
        <w:rPr>
          <w:rFonts w:asciiTheme="majorBidi" w:hAnsiTheme="majorBidi" w:cstheme="majorBidi"/>
        </w:rPr>
        <w:t>r</w:t>
      </w:r>
      <w:r w:rsidR="00A018A9" w:rsidRPr="003C31B9">
        <w:rPr>
          <w:rFonts w:asciiTheme="majorBidi" w:hAnsiTheme="majorBidi" w:cstheme="majorBidi"/>
        </w:rPr>
        <w:t xml:space="preserve"> ancient, was enormously important for </w:t>
      </w:r>
      <w:r w:rsidR="003D60AA">
        <w:rPr>
          <w:rFonts w:asciiTheme="majorBidi" w:hAnsiTheme="majorBidi" w:cstheme="majorBidi"/>
        </w:rPr>
        <w:t>Da’esh</w:t>
      </w:r>
      <w:r w:rsidR="00A018A9" w:rsidRPr="003C31B9">
        <w:rPr>
          <w:rFonts w:asciiTheme="majorBidi" w:hAnsiTheme="majorBidi" w:cstheme="majorBidi"/>
        </w:rPr>
        <w:t xml:space="preserve"> as </w:t>
      </w:r>
      <w:r w:rsidR="00971490">
        <w:rPr>
          <w:rFonts w:asciiTheme="majorBidi" w:hAnsiTheme="majorBidi" w:cstheme="majorBidi"/>
        </w:rPr>
        <w:t>a</w:t>
      </w:r>
      <w:r w:rsidR="00971490" w:rsidRPr="003C31B9">
        <w:rPr>
          <w:rFonts w:asciiTheme="majorBidi" w:hAnsiTheme="majorBidi" w:cstheme="majorBidi"/>
        </w:rPr>
        <w:t xml:space="preserve"> </w:t>
      </w:r>
      <w:r w:rsidR="00A018A9" w:rsidRPr="003C31B9">
        <w:rPr>
          <w:rFonts w:asciiTheme="majorBidi" w:hAnsiTheme="majorBidi" w:cstheme="majorBidi"/>
        </w:rPr>
        <w:t xml:space="preserve">way </w:t>
      </w:r>
      <w:r w:rsidR="00971490">
        <w:rPr>
          <w:rFonts w:asciiTheme="majorBidi" w:hAnsiTheme="majorBidi" w:cstheme="majorBidi"/>
        </w:rPr>
        <w:t xml:space="preserve">to </w:t>
      </w:r>
      <w:r w:rsidR="00A018A9" w:rsidRPr="003C31B9">
        <w:rPr>
          <w:rFonts w:asciiTheme="majorBidi" w:hAnsiTheme="majorBidi" w:cstheme="majorBidi"/>
        </w:rPr>
        <w:t xml:space="preserve">frame </w:t>
      </w:r>
      <w:r w:rsidR="00F10757">
        <w:rPr>
          <w:rFonts w:asciiTheme="majorBidi" w:hAnsiTheme="majorBidi" w:cstheme="majorBidi"/>
        </w:rPr>
        <w:t>its</w:t>
      </w:r>
      <w:r w:rsidR="00F10757" w:rsidRPr="003C31B9">
        <w:rPr>
          <w:rFonts w:asciiTheme="majorBidi" w:hAnsiTheme="majorBidi" w:cstheme="majorBidi"/>
        </w:rPr>
        <w:t xml:space="preserve"> </w:t>
      </w:r>
      <w:r w:rsidR="00A018A9" w:rsidRPr="003C31B9">
        <w:rPr>
          <w:rFonts w:asciiTheme="majorBidi" w:hAnsiTheme="majorBidi" w:cstheme="majorBidi"/>
        </w:rPr>
        <w:t>physical genocide of people and cultural genocide against monuments</w:t>
      </w:r>
      <w:r w:rsidR="00C109DA" w:rsidRPr="003C31B9">
        <w:rPr>
          <w:rFonts w:asciiTheme="majorBidi" w:hAnsiTheme="majorBidi" w:cstheme="majorBidi"/>
        </w:rPr>
        <w:t xml:space="preserve"> within </w:t>
      </w:r>
      <w:r w:rsidR="008E5B91" w:rsidRPr="003C31B9">
        <w:rPr>
          <w:rFonts w:asciiTheme="majorBidi" w:hAnsiTheme="majorBidi" w:cstheme="majorBidi"/>
        </w:rPr>
        <w:t>a</w:t>
      </w:r>
      <w:r w:rsidR="00C109DA" w:rsidRPr="003C31B9">
        <w:rPr>
          <w:rFonts w:asciiTheme="majorBidi" w:hAnsiTheme="majorBidi" w:cstheme="majorBidi"/>
        </w:rPr>
        <w:t xml:space="preserve"> discourse of Islamic piety</w:t>
      </w:r>
      <w:r w:rsidR="00B65B73">
        <w:rPr>
          <w:rFonts w:asciiTheme="majorBidi" w:hAnsiTheme="majorBidi" w:cstheme="majorBidi"/>
        </w:rPr>
        <w:t xml:space="preserve">. As stated by </w:t>
      </w:r>
      <w:r w:rsidR="00B65B73" w:rsidRPr="00B65B73">
        <w:rPr>
          <w:rFonts w:asciiTheme="majorBidi" w:hAnsiTheme="majorBidi" w:cstheme="majorBidi"/>
        </w:rPr>
        <w:t>Christoph Gunther and Tom Bioly</w:t>
      </w:r>
      <w:r w:rsidR="00B65B73">
        <w:rPr>
          <w:rFonts w:asciiTheme="majorBidi" w:hAnsiTheme="majorBidi" w:cstheme="majorBidi"/>
        </w:rPr>
        <w:t>,</w:t>
      </w:r>
      <w:r w:rsidR="009B63B1">
        <w:rPr>
          <w:rFonts w:asciiTheme="majorBidi" w:hAnsiTheme="majorBidi" w:cstheme="majorBidi"/>
        </w:rPr>
        <w:t xml:space="preserve"> </w:t>
      </w:r>
      <w:r w:rsidR="00A018A9" w:rsidRPr="003C31B9">
        <w:rPr>
          <w:rFonts w:asciiTheme="majorBidi" w:hAnsiTheme="majorBidi" w:cstheme="majorBidi"/>
        </w:rPr>
        <w:lastRenderedPageBreak/>
        <w:t xml:space="preserve">“explicitly defining the material representations of its enemy serves as a means to illustrate and sharpen the perceived bipolarity of the situation of conflict, which the Islamic State seeks to fuel. In further suggesting an analogy between themselves and the first generations of Muslims, the followers of the Islamic State claim both legitimacy and authenticity for their actions. This elevates iconoclasm to a virtuous expression of </w:t>
      </w:r>
      <w:r w:rsidR="009B63B1">
        <w:rPr>
          <w:rFonts w:asciiTheme="majorBidi" w:hAnsiTheme="majorBidi" w:cstheme="majorBidi"/>
        </w:rPr>
        <w:t>‘</w:t>
      </w:r>
      <w:r w:rsidR="00A018A9" w:rsidRPr="003C31B9">
        <w:rPr>
          <w:rFonts w:asciiTheme="majorBidi" w:hAnsiTheme="majorBidi" w:cstheme="majorBidi"/>
        </w:rPr>
        <w:t>genuine</w:t>
      </w:r>
      <w:r w:rsidR="009B63B1">
        <w:rPr>
          <w:rFonts w:asciiTheme="majorBidi" w:hAnsiTheme="majorBidi" w:cstheme="majorBidi"/>
        </w:rPr>
        <w:t>’</w:t>
      </w:r>
      <w:r w:rsidR="00A018A9" w:rsidRPr="003C31B9">
        <w:rPr>
          <w:rFonts w:asciiTheme="majorBidi" w:hAnsiTheme="majorBidi" w:cstheme="majorBidi"/>
        </w:rPr>
        <w:t xml:space="preserve"> Islam as well as</w:t>
      </w:r>
      <w:r w:rsidR="000A3F12">
        <w:rPr>
          <w:rFonts w:asciiTheme="majorBidi" w:hAnsiTheme="majorBidi" w:cstheme="majorBidi"/>
        </w:rPr>
        <w:t xml:space="preserve"> to</w:t>
      </w:r>
      <w:r w:rsidR="00A018A9" w:rsidRPr="003C31B9">
        <w:rPr>
          <w:rFonts w:asciiTheme="majorBidi" w:hAnsiTheme="majorBidi" w:cstheme="majorBidi"/>
        </w:rPr>
        <w:t xml:space="preserve"> the struggle for a new system of social orde</w:t>
      </w:r>
      <w:r w:rsidR="009B63B1">
        <w:rPr>
          <w:rFonts w:asciiTheme="majorBidi" w:hAnsiTheme="majorBidi" w:cstheme="majorBidi"/>
        </w:rPr>
        <w:t>r</w:t>
      </w:r>
      <w:r w:rsidR="00227638">
        <w:rPr>
          <w:rFonts w:asciiTheme="majorBidi" w:hAnsiTheme="majorBidi" w:cstheme="majorBidi"/>
        </w:rPr>
        <w:t>.</w:t>
      </w:r>
      <w:r w:rsidR="00A018A9" w:rsidRPr="003C31B9">
        <w:rPr>
          <w:rFonts w:asciiTheme="majorBidi" w:hAnsiTheme="majorBidi" w:cstheme="majorBidi"/>
        </w:rPr>
        <w:t>”</w:t>
      </w:r>
      <w:r w:rsidR="00227638" w:rsidRPr="00E266A7">
        <w:rPr>
          <w:rStyle w:val="EndnoteReference"/>
          <w:rFonts w:asciiTheme="majorBidi" w:hAnsiTheme="majorBidi" w:cstheme="majorBidi"/>
        </w:rPr>
        <w:endnoteReference w:id="41"/>
      </w:r>
    </w:p>
    <w:p w14:paraId="08C3D9CD" w14:textId="28844A63" w:rsidR="00847A72" w:rsidRPr="003C31B9" w:rsidRDefault="00201690" w:rsidP="00F4698F">
      <w:pPr>
        <w:spacing w:line="480" w:lineRule="auto"/>
        <w:ind w:firstLine="720"/>
        <w:rPr>
          <w:rFonts w:asciiTheme="majorBidi" w:hAnsiTheme="majorBidi" w:cstheme="majorBidi"/>
        </w:rPr>
      </w:pPr>
      <w:r w:rsidRPr="003C31B9">
        <w:rPr>
          <w:rFonts w:asciiTheme="majorBidi" w:hAnsiTheme="majorBidi" w:cstheme="majorBidi"/>
        </w:rPr>
        <w:t xml:space="preserve">Western attention has mainly focused on </w:t>
      </w:r>
      <w:r w:rsidR="003D60AA">
        <w:rPr>
          <w:rFonts w:asciiTheme="majorBidi" w:hAnsiTheme="majorBidi" w:cstheme="majorBidi"/>
        </w:rPr>
        <w:t>Da’esh</w:t>
      </w:r>
      <w:r w:rsidRPr="003C31B9">
        <w:rPr>
          <w:rFonts w:asciiTheme="majorBidi" w:hAnsiTheme="majorBidi" w:cstheme="majorBidi"/>
        </w:rPr>
        <w:t>’s performative destruction of ancient heritage sites in Syria and Iraq, such as Palmyra, Hatra, Nineveh, and Nimrud.</w:t>
      </w:r>
      <w:r w:rsidR="003C2DE2">
        <w:rPr>
          <w:rStyle w:val="EndnoteReference"/>
          <w:rFonts w:asciiTheme="majorBidi" w:hAnsiTheme="majorBidi" w:cstheme="majorBidi"/>
        </w:rPr>
        <w:endnoteReference w:id="42"/>
      </w:r>
      <w:r w:rsidR="008B098E">
        <w:rPr>
          <w:rFonts w:asciiTheme="majorBidi" w:hAnsiTheme="majorBidi" w:cstheme="majorBidi"/>
        </w:rPr>
        <w:t xml:space="preserve"> </w:t>
      </w:r>
      <w:r w:rsidR="006F1F81">
        <w:rPr>
          <w:rFonts w:asciiTheme="majorBidi" w:hAnsiTheme="majorBidi" w:cstheme="majorBidi"/>
        </w:rPr>
        <w:t>T</w:t>
      </w:r>
      <w:r w:rsidRPr="003C31B9">
        <w:rPr>
          <w:rFonts w:asciiTheme="majorBidi" w:hAnsiTheme="majorBidi" w:cstheme="majorBidi"/>
        </w:rPr>
        <w:t xml:space="preserve">hese sites seem to have been deliberately targeted as a way to </w:t>
      </w:r>
      <w:r w:rsidR="003D169B" w:rsidRPr="003C31B9">
        <w:rPr>
          <w:rFonts w:asciiTheme="majorBidi" w:hAnsiTheme="majorBidi" w:cstheme="majorBidi"/>
        </w:rPr>
        <w:t xml:space="preserve">send a message to two </w:t>
      </w:r>
      <w:r w:rsidR="007413A2">
        <w:rPr>
          <w:rFonts w:asciiTheme="majorBidi" w:hAnsiTheme="majorBidi" w:cstheme="majorBidi"/>
        </w:rPr>
        <w:t xml:space="preserve">very </w:t>
      </w:r>
      <w:r w:rsidR="003D169B" w:rsidRPr="003C31B9">
        <w:rPr>
          <w:rFonts w:asciiTheme="majorBidi" w:hAnsiTheme="majorBidi" w:cstheme="majorBidi"/>
        </w:rPr>
        <w:t xml:space="preserve">distinct audiences in the </w:t>
      </w:r>
      <w:r w:rsidR="003C2DE2">
        <w:rPr>
          <w:rFonts w:asciiTheme="majorBidi" w:hAnsiTheme="majorBidi" w:cstheme="majorBidi"/>
        </w:rPr>
        <w:t>W</w:t>
      </w:r>
      <w:r w:rsidR="003D169B" w:rsidRPr="003C31B9">
        <w:rPr>
          <w:rFonts w:asciiTheme="majorBidi" w:hAnsiTheme="majorBidi" w:cstheme="majorBidi"/>
        </w:rPr>
        <w:t>est.</w:t>
      </w:r>
      <w:r w:rsidR="008B098E">
        <w:rPr>
          <w:rFonts w:asciiTheme="majorBidi" w:hAnsiTheme="majorBidi" w:cstheme="majorBidi"/>
        </w:rPr>
        <w:t xml:space="preserve"> </w:t>
      </w:r>
      <w:r w:rsidR="003D169B" w:rsidRPr="003C31B9">
        <w:rPr>
          <w:rFonts w:asciiTheme="majorBidi" w:hAnsiTheme="majorBidi" w:cstheme="majorBidi"/>
        </w:rPr>
        <w:t xml:space="preserve">At one level the attacks were meant to </w:t>
      </w:r>
      <w:r w:rsidRPr="003C31B9">
        <w:rPr>
          <w:rFonts w:asciiTheme="majorBidi" w:hAnsiTheme="majorBidi" w:cstheme="majorBidi"/>
        </w:rPr>
        <w:t xml:space="preserve">provoke </w:t>
      </w:r>
      <w:r w:rsidR="00530FF6">
        <w:rPr>
          <w:rFonts w:asciiTheme="majorBidi" w:hAnsiTheme="majorBidi" w:cstheme="majorBidi"/>
        </w:rPr>
        <w:t>W</w:t>
      </w:r>
      <w:r w:rsidRPr="003C31B9">
        <w:rPr>
          <w:rFonts w:asciiTheme="majorBidi" w:hAnsiTheme="majorBidi" w:cstheme="majorBidi"/>
        </w:rPr>
        <w:t>est</w:t>
      </w:r>
      <w:r w:rsidR="003A0636">
        <w:rPr>
          <w:rFonts w:asciiTheme="majorBidi" w:hAnsiTheme="majorBidi" w:cstheme="majorBidi"/>
        </w:rPr>
        <w:t>ern governments and populations</w:t>
      </w:r>
      <w:r w:rsidRPr="003C31B9">
        <w:rPr>
          <w:rFonts w:asciiTheme="majorBidi" w:hAnsiTheme="majorBidi" w:cstheme="majorBidi"/>
        </w:rPr>
        <w:t xml:space="preserve"> </w:t>
      </w:r>
      <w:r w:rsidR="003D169B" w:rsidRPr="003C31B9">
        <w:rPr>
          <w:rFonts w:asciiTheme="majorBidi" w:hAnsiTheme="majorBidi" w:cstheme="majorBidi"/>
        </w:rPr>
        <w:t xml:space="preserve">into overreactions </w:t>
      </w:r>
      <w:r w:rsidRPr="003C31B9">
        <w:rPr>
          <w:rFonts w:asciiTheme="majorBidi" w:hAnsiTheme="majorBidi" w:cstheme="majorBidi"/>
        </w:rPr>
        <w:t>and</w:t>
      </w:r>
      <w:r w:rsidR="003D169B" w:rsidRPr="003C31B9">
        <w:rPr>
          <w:rFonts w:asciiTheme="majorBidi" w:hAnsiTheme="majorBidi" w:cstheme="majorBidi"/>
        </w:rPr>
        <w:t xml:space="preserve"> thereby</w:t>
      </w:r>
      <w:r w:rsidR="005E4DC3">
        <w:rPr>
          <w:rFonts w:asciiTheme="majorBidi" w:hAnsiTheme="majorBidi" w:cstheme="majorBidi"/>
        </w:rPr>
        <w:t xml:space="preserve"> to</w:t>
      </w:r>
      <w:r w:rsidR="003D169B" w:rsidRPr="003C31B9">
        <w:rPr>
          <w:rFonts w:asciiTheme="majorBidi" w:hAnsiTheme="majorBidi" w:cstheme="majorBidi"/>
        </w:rPr>
        <w:t xml:space="preserve"> </w:t>
      </w:r>
      <w:r w:rsidRPr="003C31B9">
        <w:rPr>
          <w:rFonts w:asciiTheme="majorBidi" w:hAnsiTheme="majorBidi" w:cstheme="majorBidi"/>
        </w:rPr>
        <w:t>exacerbate the polarization between Christian and Muslim communities in Europe and North America</w:t>
      </w:r>
      <w:r w:rsidR="003D169B" w:rsidRPr="003C31B9">
        <w:rPr>
          <w:rFonts w:asciiTheme="majorBidi" w:hAnsiTheme="majorBidi" w:cstheme="majorBidi"/>
        </w:rPr>
        <w:t xml:space="preserve">. In tandem, </w:t>
      </w:r>
      <w:r w:rsidR="006A3EDF">
        <w:rPr>
          <w:rFonts w:asciiTheme="majorBidi" w:hAnsiTheme="majorBidi" w:cstheme="majorBidi"/>
        </w:rPr>
        <w:t>they were</w:t>
      </w:r>
      <w:r w:rsidR="003D169B" w:rsidRPr="003C31B9">
        <w:rPr>
          <w:rFonts w:asciiTheme="majorBidi" w:hAnsiTheme="majorBidi" w:cstheme="majorBidi"/>
        </w:rPr>
        <w:t xml:space="preserve"> also intended to inspire European and North American Muslims </w:t>
      </w:r>
      <w:r w:rsidR="006A3EDF">
        <w:rPr>
          <w:rFonts w:asciiTheme="majorBidi" w:hAnsiTheme="majorBidi" w:cstheme="majorBidi"/>
        </w:rPr>
        <w:t xml:space="preserve">and </w:t>
      </w:r>
      <w:r w:rsidR="003F3427">
        <w:rPr>
          <w:rFonts w:asciiTheme="majorBidi" w:hAnsiTheme="majorBidi" w:cstheme="majorBidi"/>
        </w:rPr>
        <w:t xml:space="preserve">ultimately </w:t>
      </w:r>
      <w:r w:rsidRPr="003C31B9">
        <w:rPr>
          <w:rFonts w:asciiTheme="majorBidi" w:hAnsiTheme="majorBidi" w:cstheme="majorBidi"/>
        </w:rPr>
        <w:t xml:space="preserve">recruit </w:t>
      </w:r>
      <w:r w:rsidR="007B248F" w:rsidRPr="003C31B9">
        <w:rPr>
          <w:rFonts w:asciiTheme="majorBidi" w:hAnsiTheme="majorBidi" w:cstheme="majorBidi"/>
        </w:rPr>
        <w:t xml:space="preserve">them as </w:t>
      </w:r>
      <w:r w:rsidR="00B8347D">
        <w:rPr>
          <w:rFonts w:asciiTheme="majorBidi" w:hAnsiTheme="majorBidi" w:cstheme="majorBidi"/>
        </w:rPr>
        <w:t>followers.</w:t>
      </w:r>
    </w:p>
    <w:p w14:paraId="7BA37353" w14:textId="52E4B052" w:rsidR="002F29EF" w:rsidRPr="003C31B9" w:rsidRDefault="007546B7" w:rsidP="00F4698F">
      <w:pPr>
        <w:spacing w:line="480" w:lineRule="auto"/>
        <w:rPr>
          <w:rFonts w:asciiTheme="majorBidi" w:hAnsiTheme="majorBidi" w:cstheme="majorBidi"/>
        </w:rPr>
      </w:pPr>
      <w:r w:rsidRPr="003C31B9">
        <w:rPr>
          <w:rFonts w:asciiTheme="majorBidi" w:hAnsiTheme="majorBidi" w:cstheme="majorBidi"/>
        </w:rPr>
        <w:tab/>
        <w:t>However destructive and shocking they are</w:t>
      </w:r>
      <w:r w:rsidR="007B248F" w:rsidRPr="003C31B9">
        <w:rPr>
          <w:rFonts w:asciiTheme="majorBidi" w:hAnsiTheme="majorBidi" w:cstheme="majorBidi"/>
        </w:rPr>
        <w:t xml:space="preserve"> </w:t>
      </w:r>
      <w:r w:rsidR="004C0DE1">
        <w:rPr>
          <w:rFonts w:asciiTheme="majorBidi" w:hAnsiTheme="majorBidi" w:cstheme="majorBidi"/>
        </w:rPr>
        <w:t>to W</w:t>
      </w:r>
      <w:r w:rsidR="007B248F" w:rsidRPr="003C31B9">
        <w:rPr>
          <w:rFonts w:asciiTheme="majorBidi" w:hAnsiTheme="majorBidi" w:cstheme="majorBidi"/>
        </w:rPr>
        <w:t>estern eyes</w:t>
      </w:r>
      <w:r w:rsidRPr="003C31B9">
        <w:rPr>
          <w:rFonts w:asciiTheme="majorBidi" w:hAnsiTheme="majorBidi" w:cstheme="majorBidi"/>
        </w:rPr>
        <w:t xml:space="preserve">, </w:t>
      </w:r>
      <w:r w:rsidR="004C0DE1">
        <w:rPr>
          <w:rFonts w:asciiTheme="majorBidi" w:hAnsiTheme="majorBidi" w:cstheme="majorBidi"/>
        </w:rPr>
        <w:t xml:space="preserve">such </w:t>
      </w:r>
      <w:r w:rsidRPr="003C31B9">
        <w:rPr>
          <w:rFonts w:asciiTheme="majorBidi" w:hAnsiTheme="majorBidi" w:cstheme="majorBidi"/>
        </w:rPr>
        <w:t xml:space="preserve">attacks </w:t>
      </w:r>
      <w:r w:rsidR="003D169B" w:rsidRPr="003C31B9">
        <w:rPr>
          <w:rFonts w:asciiTheme="majorBidi" w:hAnsiTheme="majorBidi" w:cstheme="majorBidi"/>
        </w:rPr>
        <w:t xml:space="preserve">on </w:t>
      </w:r>
      <w:r w:rsidR="007B248F" w:rsidRPr="003C31B9">
        <w:rPr>
          <w:rFonts w:asciiTheme="majorBidi" w:hAnsiTheme="majorBidi" w:cstheme="majorBidi"/>
        </w:rPr>
        <w:t xml:space="preserve">ancient </w:t>
      </w:r>
      <w:r w:rsidR="003D169B" w:rsidRPr="003C31B9">
        <w:rPr>
          <w:rFonts w:asciiTheme="majorBidi" w:hAnsiTheme="majorBidi" w:cstheme="majorBidi"/>
        </w:rPr>
        <w:t xml:space="preserve">pre-Islamic </w:t>
      </w:r>
      <w:r w:rsidR="007B248F" w:rsidRPr="003C31B9">
        <w:rPr>
          <w:rFonts w:asciiTheme="majorBidi" w:hAnsiTheme="majorBidi" w:cstheme="majorBidi"/>
        </w:rPr>
        <w:t xml:space="preserve">sites and monuments </w:t>
      </w:r>
      <w:r w:rsidRPr="003C31B9">
        <w:rPr>
          <w:rFonts w:asciiTheme="majorBidi" w:hAnsiTheme="majorBidi" w:cstheme="majorBidi"/>
        </w:rPr>
        <w:t>form</w:t>
      </w:r>
      <w:r w:rsidR="00F7695F" w:rsidRPr="003C31B9">
        <w:rPr>
          <w:rFonts w:asciiTheme="majorBidi" w:hAnsiTheme="majorBidi" w:cstheme="majorBidi"/>
        </w:rPr>
        <w:t>ed</w:t>
      </w:r>
      <w:r w:rsidRPr="003C31B9">
        <w:rPr>
          <w:rFonts w:asciiTheme="majorBidi" w:hAnsiTheme="majorBidi" w:cstheme="majorBidi"/>
        </w:rPr>
        <w:t xml:space="preserve"> only a small part of the overall picture of </w:t>
      </w:r>
      <w:r w:rsidR="003D60AA">
        <w:rPr>
          <w:rFonts w:asciiTheme="majorBidi" w:hAnsiTheme="majorBidi" w:cstheme="majorBidi"/>
        </w:rPr>
        <w:t>Da’esh</w:t>
      </w:r>
      <w:r w:rsidR="004845BE" w:rsidRPr="003C31B9">
        <w:rPr>
          <w:rFonts w:asciiTheme="majorBidi" w:hAnsiTheme="majorBidi" w:cstheme="majorBidi"/>
        </w:rPr>
        <w:t>’s</w:t>
      </w:r>
      <w:r w:rsidR="003D169B" w:rsidRPr="003C31B9">
        <w:rPr>
          <w:rFonts w:asciiTheme="majorBidi" w:hAnsiTheme="majorBidi" w:cstheme="majorBidi"/>
        </w:rPr>
        <w:t xml:space="preserve"> program of heritage destruction. Statistics compiled by the American Schools of Oriental Research Cultural Heritage Initiative</w:t>
      </w:r>
      <w:r w:rsidR="004C0DE1">
        <w:rPr>
          <w:rStyle w:val="EndnoteReference"/>
          <w:rFonts w:asciiTheme="majorBidi" w:hAnsiTheme="majorBidi" w:cstheme="majorBidi"/>
        </w:rPr>
        <w:endnoteReference w:id="43"/>
      </w:r>
      <w:r w:rsidR="003D169B" w:rsidRPr="003C31B9">
        <w:rPr>
          <w:rFonts w:asciiTheme="majorBidi" w:hAnsiTheme="majorBidi" w:cstheme="majorBidi"/>
        </w:rPr>
        <w:t xml:space="preserve"> </w:t>
      </w:r>
      <w:r w:rsidR="00F73626" w:rsidRPr="003C31B9">
        <w:rPr>
          <w:rFonts w:asciiTheme="majorBidi" w:hAnsiTheme="majorBidi" w:cstheme="majorBidi"/>
        </w:rPr>
        <w:t>show that at least 6</w:t>
      </w:r>
      <w:r w:rsidR="001B34ED" w:rsidRPr="003C31B9">
        <w:rPr>
          <w:rFonts w:asciiTheme="majorBidi" w:hAnsiTheme="majorBidi" w:cstheme="majorBidi"/>
        </w:rPr>
        <w:t>4</w:t>
      </w:r>
      <w:r w:rsidR="00F73626" w:rsidRPr="003C31B9">
        <w:rPr>
          <w:rFonts w:asciiTheme="majorBidi" w:hAnsiTheme="majorBidi" w:cstheme="majorBidi"/>
        </w:rPr>
        <w:t xml:space="preserve"> percent of the cultural heritage monuments destroyed by </w:t>
      </w:r>
      <w:r w:rsidR="003D60AA">
        <w:rPr>
          <w:rFonts w:asciiTheme="majorBidi" w:hAnsiTheme="majorBidi" w:cstheme="majorBidi"/>
        </w:rPr>
        <w:t>Da’esh</w:t>
      </w:r>
      <w:r w:rsidR="00F73626" w:rsidRPr="003C31B9">
        <w:rPr>
          <w:rFonts w:asciiTheme="majorBidi" w:hAnsiTheme="majorBidi" w:cstheme="majorBidi"/>
        </w:rPr>
        <w:t xml:space="preserve"> as of 2015 were mosques and shrines of Sufi </w:t>
      </w:r>
      <w:r w:rsidR="00434CB7">
        <w:rPr>
          <w:rFonts w:asciiTheme="majorBidi" w:hAnsiTheme="majorBidi" w:cstheme="majorBidi"/>
        </w:rPr>
        <w:t xml:space="preserve">and </w:t>
      </w:r>
      <w:r w:rsidR="00F73626" w:rsidRPr="003C31B9">
        <w:rPr>
          <w:rFonts w:asciiTheme="majorBidi" w:hAnsiTheme="majorBidi" w:cstheme="majorBidi"/>
        </w:rPr>
        <w:t>Shi’ite groups</w:t>
      </w:r>
      <w:r w:rsidR="001C5973">
        <w:rPr>
          <w:rFonts w:asciiTheme="majorBidi" w:hAnsiTheme="majorBidi" w:cstheme="majorBidi"/>
        </w:rPr>
        <w:t>, while only 3</w:t>
      </w:r>
      <w:r w:rsidR="00FC4A5B">
        <w:rPr>
          <w:rFonts w:asciiTheme="majorBidi" w:hAnsiTheme="majorBidi" w:cstheme="majorBidi"/>
        </w:rPr>
        <w:t xml:space="preserve"> percent</w:t>
      </w:r>
      <w:r w:rsidR="001C5973">
        <w:rPr>
          <w:rFonts w:asciiTheme="majorBidi" w:hAnsiTheme="majorBidi" w:cstheme="majorBidi"/>
        </w:rPr>
        <w:t xml:space="preserve"> of the monuments destroyed were </w:t>
      </w:r>
      <w:r w:rsidR="001127C0">
        <w:rPr>
          <w:rFonts w:asciiTheme="majorBidi" w:hAnsiTheme="majorBidi" w:cstheme="majorBidi"/>
        </w:rPr>
        <w:t xml:space="preserve">at </w:t>
      </w:r>
      <w:r w:rsidR="001C5973">
        <w:rPr>
          <w:rFonts w:asciiTheme="majorBidi" w:hAnsiTheme="majorBidi" w:cstheme="majorBidi"/>
        </w:rPr>
        <w:t>ancient, pre-</w:t>
      </w:r>
      <w:r w:rsidR="00FD22F0">
        <w:rPr>
          <w:rFonts w:asciiTheme="majorBidi" w:hAnsiTheme="majorBidi" w:cstheme="majorBidi"/>
        </w:rPr>
        <w:t>I</w:t>
      </w:r>
      <w:r w:rsidR="001C5973">
        <w:rPr>
          <w:rFonts w:asciiTheme="majorBidi" w:hAnsiTheme="majorBidi" w:cstheme="majorBidi"/>
        </w:rPr>
        <w:t>slamic heritage sites</w:t>
      </w:r>
      <w:r w:rsidR="00F7695F" w:rsidRPr="003C31B9">
        <w:rPr>
          <w:rFonts w:asciiTheme="majorBidi" w:hAnsiTheme="majorBidi" w:cstheme="majorBidi"/>
        </w:rPr>
        <w:t xml:space="preserve"> </w:t>
      </w:r>
      <w:r w:rsidR="00F7695F" w:rsidRPr="00A06D50">
        <w:rPr>
          <w:rFonts w:asciiTheme="majorBidi" w:hAnsiTheme="majorBidi" w:cstheme="majorBidi"/>
          <w:b/>
          <w:bCs/>
        </w:rPr>
        <w:t xml:space="preserve">(Table </w:t>
      </w:r>
      <w:r w:rsidR="002C73B1" w:rsidRPr="00A06D50">
        <w:rPr>
          <w:rFonts w:asciiTheme="majorBidi" w:hAnsiTheme="majorBidi" w:cstheme="majorBidi"/>
          <w:b/>
          <w:bCs/>
        </w:rPr>
        <w:t>9.</w:t>
      </w:r>
      <w:r w:rsidR="00F7695F" w:rsidRPr="00A06D50">
        <w:rPr>
          <w:rFonts w:asciiTheme="majorBidi" w:hAnsiTheme="majorBidi" w:cstheme="majorBidi"/>
          <w:b/>
          <w:bCs/>
        </w:rPr>
        <w:t>1)</w:t>
      </w:r>
      <w:r w:rsidR="006F1F81">
        <w:rPr>
          <w:rFonts w:asciiTheme="majorBidi" w:hAnsiTheme="majorBidi" w:cstheme="majorBidi"/>
        </w:rPr>
        <w:t>.</w:t>
      </w:r>
    </w:p>
    <w:p w14:paraId="037BAFE6" w14:textId="242CEC14" w:rsidR="00035578" w:rsidRPr="003C31B9" w:rsidRDefault="002F29EF" w:rsidP="00E266A7">
      <w:pPr>
        <w:spacing w:line="480" w:lineRule="auto"/>
        <w:ind w:firstLine="720"/>
        <w:rPr>
          <w:rFonts w:asciiTheme="majorBidi" w:hAnsiTheme="majorBidi" w:cstheme="majorBidi"/>
        </w:rPr>
      </w:pPr>
      <w:r w:rsidRPr="003C31B9">
        <w:rPr>
          <w:rFonts w:asciiTheme="majorBidi" w:hAnsiTheme="majorBidi" w:cstheme="majorBidi"/>
        </w:rPr>
        <w:t xml:space="preserve">This focus on Sufi and Shi’ite monuments can also be seen in </w:t>
      </w:r>
      <w:r w:rsidR="004A7893">
        <w:rPr>
          <w:rFonts w:asciiTheme="majorBidi" w:hAnsiTheme="majorBidi" w:cstheme="majorBidi"/>
        </w:rPr>
        <w:t>the</w:t>
      </w:r>
      <w:r w:rsidRPr="003C31B9">
        <w:rPr>
          <w:rFonts w:asciiTheme="majorBidi" w:hAnsiTheme="majorBidi" w:cstheme="majorBidi"/>
        </w:rPr>
        <w:t xml:space="preserve"> analysis of cultural heritage destruction in the Old City of Mosul during the period </w:t>
      </w:r>
      <w:r w:rsidR="003B28D1">
        <w:rPr>
          <w:rFonts w:asciiTheme="majorBidi" w:hAnsiTheme="majorBidi" w:cstheme="majorBidi"/>
        </w:rPr>
        <w:t xml:space="preserve">of Da’esh occupation </w:t>
      </w:r>
      <w:r w:rsidRPr="003C31B9">
        <w:rPr>
          <w:rFonts w:asciiTheme="majorBidi" w:hAnsiTheme="majorBidi" w:cstheme="majorBidi"/>
        </w:rPr>
        <w:t>from 2014 until its recapture by Iraqi security forces in July 2017.</w:t>
      </w:r>
      <w:r w:rsidR="003864B8">
        <w:rPr>
          <w:rStyle w:val="EndnoteReference"/>
          <w:rFonts w:asciiTheme="majorBidi" w:hAnsiTheme="majorBidi" w:cstheme="majorBidi"/>
        </w:rPr>
        <w:endnoteReference w:id="44"/>
      </w:r>
      <w:r w:rsidR="008B098E">
        <w:rPr>
          <w:rFonts w:asciiTheme="majorBidi" w:hAnsiTheme="majorBidi" w:cstheme="majorBidi"/>
        </w:rPr>
        <w:t xml:space="preserve"> </w:t>
      </w:r>
      <w:r w:rsidR="003D60AA">
        <w:rPr>
          <w:rFonts w:asciiTheme="majorBidi" w:hAnsiTheme="majorBidi" w:cstheme="majorBidi"/>
        </w:rPr>
        <w:t>Da’esh</w:t>
      </w:r>
      <w:r w:rsidRPr="003C31B9">
        <w:rPr>
          <w:rFonts w:asciiTheme="majorBidi" w:hAnsiTheme="majorBidi" w:cstheme="majorBidi"/>
        </w:rPr>
        <w:t xml:space="preserve"> destroyed or damaged </w:t>
      </w:r>
      <w:r w:rsidR="003864B8">
        <w:rPr>
          <w:rFonts w:asciiTheme="majorBidi" w:hAnsiTheme="majorBidi" w:cstheme="majorBidi"/>
        </w:rPr>
        <w:t>forty-one</w:t>
      </w:r>
      <w:r w:rsidR="003864B8" w:rsidRPr="003C31B9">
        <w:rPr>
          <w:rFonts w:asciiTheme="majorBidi" w:hAnsiTheme="majorBidi" w:cstheme="majorBidi"/>
        </w:rPr>
        <w:t xml:space="preserve"> </w:t>
      </w:r>
      <w:r w:rsidRPr="003C31B9">
        <w:rPr>
          <w:rFonts w:asciiTheme="majorBidi" w:hAnsiTheme="majorBidi" w:cstheme="majorBidi"/>
        </w:rPr>
        <w:lastRenderedPageBreak/>
        <w:t xml:space="preserve">significant </w:t>
      </w:r>
      <w:r w:rsidR="00BF6616" w:rsidRPr="003C31B9">
        <w:rPr>
          <w:rFonts w:asciiTheme="majorBidi" w:hAnsiTheme="majorBidi" w:cstheme="majorBidi"/>
        </w:rPr>
        <w:t xml:space="preserve">modern </w:t>
      </w:r>
      <w:r w:rsidRPr="003C31B9">
        <w:rPr>
          <w:rFonts w:asciiTheme="majorBidi" w:hAnsiTheme="majorBidi" w:cstheme="majorBidi"/>
        </w:rPr>
        <w:t xml:space="preserve">heritage sites </w:t>
      </w:r>
      <w:r w:rsidR="003864B8">
        <w:rPr>
          <w:rFonts w:asciiTheme="majorBidi" w:hAnsiTheme="majorBidi" w:cstheme="majorBidi"/>
        </w:rPr>
        <w:t>in this area of the city</w:t>
      </w:r>
      <w:r w:rsidRPr="003C31B9">
        <w:rPr>
          <w:rFonts w:asciiTheme="majorBidi" w:hAnsiTheme="majorBidi" w:cstheme="majorBidi"/>
        </w:rPr>
        <w:t xml:space="preserve">, and an additional </w:t>
      </w:r>
      <w:r w:rsidR="005759A0" w:rsidRPr="003C31B9">
        <w:rPr>
          <w:rFonts w:asciiTheme="majorBidi" w:hAnsiTheme="majorBidi" w:cstheme="majorBidi"/>
        </w:rPr>
        <w:t>114 sites on the Nineveh Plain</w:t>
      </w:r>
      <w:r w:rsidR="003864B8">
        <w:rPr>
          <w:rFonts w:asciiTheme="majorBidi" w:hAnsiTheme="majorBidi" w:cstheme="majorBidi"/>
        </w:rPr>
        <w:t xml:space="preserve"> to the</w:t>
      </w:r>
      <w:r w:rsidR="005759A0" w:rsidRPr="003C31B9">
        <w:rPr>
          <w:rFonts w:asciiTheme="majorBidi" w:hAnsiTheme="majorBidi" w:cstheme="majorBidi"/>
        </w:rPr>
        <w:t xml:space="preserve"> east</w:t>
      </w:r>
      <w:r w:rsidR="008B098E">
        <w:rPr>
          <w:rFonts w:asciiTheme="majorBidi" w:hAnsiTheme="majorBidi" w:cstheme="majorBidi"/>
        </w:rPr>
        <w:t xml:space="preserve"> </w:t>
      </w:r>
      <w:r w:rsidR="0069481C" w:rsidRPr="00A06D50">
        <w:rPr>
          <w:rFonts w:asciiTheme="majorBidi" w:hAnsiTheme="majorBidi" w:cstheme="majorBidi"/>
          <w:b/>
          <w:bCs/>
        </w:rPr>
        <w:t>(</w:t>
      </w:r>
      <w:r w:rsidR="0069481C" w:rsidRPr="00F111AD">
        <w:rPr>
          <w:rFonts w:asciiTheme="majorBidi" w:hAnsiTheme="majorBidi" w:cstheme="majorBidi"/>
          <w:b/>
          <w:bCs/>
        </w:rPr>
        <w:t xml:space="preserve">Table </w:t>
      </w:r>
      <w:r w:rsidR="002C73B1" w:rsidRPr="00F111AD">
        <w:rPr>
          <w:rFonts w:asciiTheme="majorBidi" w:hAnsiTheme="majorBidi" w:cstheme="majorBidi"/>
          <w:b/>
          <w:bCs/>
        </w:rPr>
        <w:t>9.</w:t>
      </w:r>
      <w:r w:rsidR="0069481C" w:rsidRPr="00F111AD">
        <w:rPr>
          <w:rFonts w:asciiTheme="majorBidi" w:hAnsiTheme="majorBidi" w:cstheme="majorBidi"/>
          <w:b/>
          <w:bCs/>
        </w:rPr>
        <w:t>2</w:t>
      </w:r>
      <w:r w:rsidR="0069481C" w:rsidRPr="00A06D50">
        <w:rPr>
          <w:rFonts w:asciiTheme="majorBidi" w:hAnsiTheme="majorBidi" w:cstheme="majorBidi"/>
          <w:b/>
          <w:bCs/>
        </w:rPr>
        <w:t>)</w:t>
      </w:r>
      <w:r w:rsidR="0069481C">
        <w:rPr>
          <w:rFonts w:asciiTheme="majorBidi" w:hAnsiTheme="majorBidi" w:cstheme="majorBidi"/>
        </w:rPr>
        <w:t>.</w:t>
      </w:r>
      <w:r w:rsidR="003864B8">
        <w:rPr>
          <w:rStyle w:val="EndnoteReference"/>
          <w:rFonts w:asciiTheme="majorBidi" w:hAnsiTheme="majorBidi" w:cstheme="majorBidi"/>
        </w:rPr>
        <w:endnoteReference w:id="45"/>
      </w:r>
    </w:p>
    <w:p w14:paraId="4EA599AA" w14:textId="072F8EC6" w:rsidR="00560147" w:rsidRPr="003C31B9" w:rsidRDefault="00530FF6" w:rsidP="00F4698F">
      <w:pPr>
        <w:spacing w:line="480" w:lineRule="auto"/>
        <w:ind w:firstLine="720"/>
        <w:rPr>
          <w:rFonts w:asciiTheme="majorBidi" w:hAnsiTheme="majorBidi" w:cstheme="majorBidi"/>
        </w:rPr>
      </w:pPr>
      <w:r>
        <w:rPr>
          <w:rFonts w:asciiTheme="majorBidi" w:hAnsiTheme="majorBidi" w:cstheme="majorBidi"/>
        </w:rPr>
        <w:t>Da’esh</w:t>
      </w:r>
      <w:r w:rsidR="001C5973">
        <w:rPr>
          <w:rFonts w:asciiTheme="majorBidi" w:hAnsiTheme="majorBidi" w:cstheme="majorBidi"/>
        </w:rPr>
        <w:t xml:space="preserve"> saw its </w:t>
      </w:r>
      <w:r>
        <w:rPr>
          <w:rFonts w:asciiTheme="majorBidi" w:hAnsiTheme="majorBidi" w:cstheme="majorBidi"/>
        </w:rPr>
        <w:t xml:space="preserve">destruction of Shi’ite and Sufi tombs and cemeteries </w:t>
      </w:r>
      <w:r w:rsidR="001C5973">
        <w:rPr>
          <w:rFonts w:asciiTheme="majorBidi" w:hAnsiTheme="majorBidi" w:cstheme="majorBidi"/>
        </w:rPr>
        <w:t>as fulfilling</w:t>
      </w:r>
      <w:r>
        <w:rPr>
          <w:rFonts w:asciiTheme="majorBidi" w:hAnsiTheme="majorBidi" w:cstheme="majorBidi"/>
        </w:rPr>
        <w:t xml:space="preserve"> the well-established Wahhabi and Salafi doctrine of “</w:t>
      </w:r>
      <w:r w:rsidR="00243A77">
        <w:rPr>
          <w:rFonts w:asciiTheme="majorBidi" w:hAnsiTheme="majorBidi" w:cstheme="majorBidi"/>
        </w:rPr>
        <w:t>t</w:t>
      </w:r>
      <w:r>
        <w:rPr>
          <w:rFonts w:asciiTheme="majorBidi" w:hAnsiTheme="majorBidi" w:cstheme="majorBidi"/>
        </w:rPr>
        <w:t>aswiyat al-</w:t>
      </w:r>
      <w:r w:rsidR="00243A77">
        <w:rPr>
          <w:rFonts w:asciiTheme="majorBidi" w:hAnsiTheme="majorBidi" w:cstheme="majorBidi"/>
        </w:rPr>
        <w:t>q</w:t>
      </w:r>
      <w:r>
        <w:rPr>
          <w:rFonts w:asciiTheme="majorBidi" w:hAnsiTheme="majorBidi" w:cstheme="majorBidi"/>
        </w:rPr>
        <w:t>ubur” (the leveling of graves)</w:t>
      </w:r>
      <w:r w:rsidR="000A2C31">
        <w:rPr>
          <w:rFonts w:asciiTheme="majorBidi" w:hAnsiTheme="majorBidi" w:cstheme="majorBidi"/>
        </w:rPr>
        <w:t>—</w:t>
      </w:r>
      <w:r w:rsidR="001C5973">
        <w:rPr>
          <w:rFonts w:asciiTheme="majorBidi" w:hAnsiTheme="majorBidi" w:cstheme="majorBidi"/>
        </w:rPr>
        <w:t>the</w:t>
      </w:r>
      <w:r>
        <w:rPr>
          <w:rFonts w:asciiTheme="majorBidi" w:hAnsiTheme="majorBidi" w:cstheme="majorBidi"/>
        </w:rPr>
        <w:t xml:space="preserve"> religious duty to destroy burial places if they were used as places of worship, since this is considered a form of idolatry.</w:t>
      </w:r>
      <w:r w:rsidR="00FD3826">
        <w:rPr>
          <w:rStyle w:val="EndnoteReference"/>
          <w:rFonts w:asciiTheme="majorBidi" w:hAnsiTheme="majorBidi" w:cstheme="majorBidi"/>
        </w:rPr>
        <w:endnoteReference w:id="46"/>
      </w:r>
      <w:r>
        <w:rPr>
          <w:rFonts w:asciiTheme="majorBidi" w:hAnsiTheme="majorBidi" w:cstheme="majorBidi"/>
        </w:rPr>
        <w:t xml:space="preserve"> </w:t>
      </w:r>
      <w:r w:rsidR="00BF6616" w:rsidRPr="003C31B9">
        <w:rPr>
          <w:rFonts w:asciiTheme="majorBidi" w:hAnsiTheme="majorBidi" w:cstheme="majorBidi"/>
        </w:rPr>
        <w:t xml:space="preserve">One of the most important heritage shrines destroyed by </w:t>
      </w:r>
      <w:r w:rsidR="003D60AA">
        <w:rPr>
          <w:rFonts w:asciiTheme="majorBidi" w:hAnsiTheme="majorBidi" w:cstheme="majorBidi"/>
        </w:rPr>
        <w:t>Da’esh</w:t>
      </w:r>
      <w:r w:rsidR="00BF6616" w:rsidRPr="003C31B9">
        <w:rPr>
          <w:rFonts w:asciiTheme="majorBidi" w:hAnsiTheme="majorBidi" w:cstheme="majorBidi"/>
        </w:rPr>
        <w:t xml:space="preserve"> </w:t>
      </w:r>
      <w:r w:rsidR="001C5973">
        <w:rPr>
          <w:rFonts w:asciiTheme="majorBidi" w:hAnsiTheme="majorBidi" w:cstheme="majorBidi"/>
        </w:rPr>
        <w:t xml:space="preserve">in Mosul </w:t>
      </w:r>
      <w:r w:rsidR="00BF6616" w:rsidRPr="003C31B9">
        <w:rPr>
          <w:rFonts w:asciiTheme="majorBidi" w:hAnsiTheme="majorBidi" w:cstheme="majorBidi"/>
        </w:rPr>
        <w:t>was Nebi Yunus</w:t>
      </w:r>
      <w:r w:rsidR="000A2C31">
        <w:rPr>
          <w:rFonts w:asciiTheme="majorBidi" w:hAnsiTheme="majorBidi" w:cstheme="majorBidi"/>
        </w:rPr>
        <w:t>—</w:t>
      </w:r>
      <w:r w:rsidR="00BF6616" w:rsidRPr="003C31B9">
        <w:rPr>
          <w:rFonts w:asciiTheme="majorBidi" w:hAnsiTheme="majorBidi" w:cstheme="majorBidi"/>
        </w:rPr>
        <w:t>the tomb of the biblical prophet Jonah</w:t>
      </w:r>
      <w:r w:rsidR="000A2C31">
        <w:rPr>
          <w:rFonts w:asciiTheme="majorBidi" w:hAnsiTheme="majorBidi" w:cstheme="majorBidi"/>
        </w:rPr>
        <w:t>—</w:t>
      </w:r>
      <w:r w:rsidR="00BF6616" w:rsidRPr="003C31B9">
        <w:rPr>
          <w:rFonts w:asciiTheme="majorBidi" w:hAnsiTheme="majorBidi" w:cstheme="majorBidi"/>
        </w:rPr>
        <w:t>a shrine sacred to Muslims, Christians, and Jews.</w:t>
      </w:r>
      <w:r w:rsidR="00D64427">
        <w:rPr>
          <w:rStyle w:val="EndnoteReference"/>
          <w:rFonts w:asciiTheme="majorBidi" w:hAnsiTheme="majorBidi" w:cstheme="majorBidi"/>
        </w:rPr>
        <w:endnoteReference w:id="47"/>
      </w:r>
      <w:r w:rsidR="008B098E">
        <w:rPr>
          <w:rFonts w:asciiTheme="majorBidi" w:hAnsiTheme="majorBidi" w:cstheme="majorBidi"/>
        </w:rPr>
        <w:t xml:space="preserve"> </w:t>
      </w:r>
      <w:r w:rsidR="00D64427">
        <w:rPr>
          <w:rFonts w:asciiTheme="majorBidi" w:hAnsiTheme="majorBidi" w:cstheme="majorBidi"/>
        </w:rPr>
        <w:t>Nevertheless</w:t>
      </w:r>
      <w:r w:rsidR="00560147" w:rsidRPr="003C31B9">
        <w:rPr>
          <w:rFonts w:asciiTheme="majorBidi" w:hAnsiTheme="majorBidi" w:cstheme="majorBidi"/>
        </w:rPr>
        <w:t xml:space="preserve">, </w:t>
      </w:r>
      <w:r w:rsidR="001A5DB1" w:rsidRPr="003C31B9">
        <w:rPr>
          <w:rFonts w:asciiTheme="majorBidi" w:hAnsiTheme="majorBidi" w:cstheme="majorBidi"/>
        </w:rPr>
        <w:t xml:space="preserve">overall, </w:t>
      </w:r>
      <w:r w:rsidR="003D60AA">
        <w:rPr>
          <w:rFonts w:asciiTheme="majorBidi" w:hAnsiTheme="majorBidi" w:cstheme="majorBidi"/>
        </w:rPr>
        <w:t>Da’esh</w:t>
      </w:r>
      <w:r w:rsidR="00560147" w:rsidRPr="003C31B9">
        <w:rPr>
          <w:rFonts w:asciiTheme="majorBidi" w:hAnsiTheme="majorBidi" w:cstheme="majorBidi"/>
        </w:rPr>
        <w:t xml:space="preserve"> focused its performative destruction </w:t>
      </w:r>
      <w:r>
        <w:rPr>
          <w:rFonts w:asciiTheme="majorBidi" w:hAnsiTheme="majorBidi" w:cstheme="majorBidi"/>
        </w:rPr>
        <w:t xml:space="preserve">on </w:t>
      </w:r>
      <w:r w:rsidR="00560147" w:rsidRPr="003C31B9">
        <w:rPr>
          <w:rFonts w:asciiTheme="majorBidi" w:hAnsiTheme="majorBidi" w:cstheme="majorBidi"/>
        </w:rPr>
        <w:t xml:space="preserve">cultural heritage sites </w:t>
      </w:r>
      <w:r w:rsidR="005B1D9F">
        <w:rPr>
          <w:rFonts w:asciiTheme="majorBidi" w:hAnsiTheme="majorBidi" w:cstheme="majorBidi"/>
        </w:rPr>
        <w:t>belonging to</w:t>
      </w:r>
      <w:r w:rsidR="00560147" w:rsidRPr="003C31B9">
        <w:rPr>
          <w:rFonts w:asciiTheme="majorBidi" w:hAnsiTheme="majorBidi" w:cstheme="majorBidi"/>
        </w:rPr>
        <w:t xml:space="preserve"> “enemy” Sh</w:t>
      </w:r>
      <w:r w:rsidR="001C5973">
        <w:rPr>
          <w:rFonts w:asciiTheme="majorBidi" w:hAnsiTheme="majorBidi" w:cstheme="majorBidi"/>
        </w:rPr>
        <w:t>i</w:t>
      </w:r>
      <w:r w:rsidR="00560147" w:rsidRPr="003C31B9">
        <w:rPr>
          <w:rFonts w:asciiTheme="majorBidi" w:hAnsiTheme="majorBidi" w:cstheme="majorBidi"/>
        </w:rPr>
        <w:t xml:space="preserve">’ite and Sunni Sufi </w:t>
      </w:r>
      <w:r w:rsidR="001C5973">
        <w:rPr>
          <w:rFonts w:asciiTheme="majorBidi" w:hAnsiTheme="majorBidi" w:cstheme="majorBidi"/>
        </w:rPr>
        <w:t xml:space="preserve">Muslims far </w:t>
      </w:r>
      <w:r w:rsidR="00560147" w:rsidRPr="003C31B9">
        <w:rPr>
          <w:rFonts w:asciiTheme="majorBidi" w:hAnsiTheme="majorBidi" w:cstheme="majorBidi"/>
        </w:rPr>
        <w:t xml:space="preserve">more than </w:t>
      </w:r>
      <w:r w:rsidR="00D64427">
        <w:rPr>
          <w:rFonts w:asciiTheme="majorBidi" w:hAnsiTheme="majorBidi" w:cstheme="majorBidi"/>
        </w:rPr>
        <w:t xml:space="preserve">on </w:t>
      </w:r>
      <w:r w:rsidR="00560147" w:rsidRPr="003C31B9">
        <w:rPr>
          <w:rFonts w:asciiTheme="majorBidi" w:hAnsiTheme="majorBidi" w:cstheme="majorBidi"/>
        </w:rPr>
        <w:t>Yazidi</w:t>
      </w:r>
      <w:r w:rsidR="001C5973">
        <w:rPr>
          <w:rFonts w:asciiTheme="majorBidi" w:hAnsiTheme="majorBidi" w:cstheme="majorBidi"/>
        </w:rPr>
        <w:t>,</w:t>
      </w:r>
      <w:r w:rsidR="00A4724A" w:rsidRPr="003C31B9">
        <w:rPr>
          <w:rFonts w:asciiTheme="majorBidi" w:hAnsiTheme="majorBidi" w:cstheme="majorBidi"/>
        </w:rPr>
        <w:t xml:space="preserve"> </w:t>
      </w:r>
      <w:r w:rsidR="00560147" w:rsidRPr="003C31B9">
        <w:rPr>
          <w:rFonts w:asciiTheme="majorBidi" w:hAnsiTheme="majorBidi" w:cstheme="majorBidi"/>
        </w:rPr>
        <w:t>Christian</w:t>
      </w:r>
      <w:r w:rsidR="00D64427">
        <w:rPr>
          <w:rFonts w:asciiTheme="majorBidi" w:hAnsiTheme="majorBidi" w:cstheme="majorBidi"/>
        </w:rPr>
        <w:t>,</w:t>
      </w:r>
      <w:r w:rsidR="00560147" w:rsidRPr="003C31B9">
        <w:rPr>
          <w:rFonts w:asciiTheme="majorBidi" w:hAnsiTheme="majorBidi" w:cstheme="majorBidi"/>
        </w:rPr>
        <w:t xml:space="preserve"> </w:t>
      </w:r>
      <w:r w:rsidR="001C5973">
        <w:rPr>
          <w:rFonts w:asciiTheme="majorBidi" w:hAnsiTheme="majorBidi" w:cstheme="majorBidi"/>
        </w:rPr>
        <w:t>or</w:t>
      </w:r>
      <w:r w:rsidR="00560147" w:rsidRPr="003C31B9">
        <w:rPr>
          <w:rFonts w:asciiTheme="majorBidi" w:hAnsiTheme="majorBidi" w:cstheme="majorBidi"/>
        </w:rPr>
        <w:t xml:space="preserve"> ancient pre-Islamic </w:t>
      </w:r>
      <w:r w:rsidR="006769F6">
        <w:rPr>
          <w:rFonts w:asciiTheme="majorBidi" w:hAnsiTheme="majorBidi" w:cstheme="majorBidi"/>
        </w:rPr>
        <w:t>ones</w:t>
      </w:r>
      <w:r w:rsidR="00560147" w:rsidRPr="003C31B9">
        <w:rPr>
          <w:rFonts w:asciiTheme="majorBidi" w:hAnsiTheme="majorBidi" w:cstheme="majorBidi"/>
        </w:rPr>
        <w:t>.</w:t>
      </w:r>
      <w:r w:rsidR="00A4724A" w:rsidRPr="003C31B9">
        <w:rPr>
          <w:rFonts w:asciiTheme="majorBidi" w:hAnsiTheme="majorBidi" w:cstheme="majorBidi"/>
        </w:rPr>
        <w:t xml:space="preserve"> </w:t>
      </w:r>
      <w:r w:rsidR="00BF6616" w:rsidRPr="003C31B9">
        <w:rPr>
          <w:rFonts w:asciiTheme="majorBidi" w:hAnsiTheme="majorBidi" w:cstheme="majorBidi"/>
        </w:rPr>
        <w:t>The</w:t>
      </w:r>
      <w:r w:rsidR="005B1D9F">
        <w:rPr>
          <w:rFonts w:asciiTheme="majorBidi" w:hAnsiTheme="majorBidi" w:cstheme="majorBidi"/>
        </w:rPr>
        <w:t xml:space="preserve"> actions against modern heritage sites </w:t>
      </w:r>
      <w:r w:rsidR="00BF6616" w:rsidRPr="003C31B9">
        <w:rPr>
          <w:rFonts w:asciiTheme="majorBidi" w:hAnsiTheme="majorBidi" w:cstheme="majorBidi"/>
        </w:rPr>
        <w:t xml:space="preserve">took place at the same time as </w:t>
      </w:r>
      <w:r w:rsidR="003D60AA">
        <w:rPr>
          <w:rFonts w:asciiTheme="majorBidi" w:hAnsiTheme="majorBidi" w:cstheme="majorBidi"/>
        </w:rPr>
        <w:t>Da’esh</w:t>
      </w:r>
      <w:r w:rsidR="008943DB">
        <w:rPr>
          <w:rFonts w:asciiTheme="majorBidi" w:hAnsiTheme="majorBidi" w:cstheme="majorBidi"/>
        </w:rPr>
        <w:t>’s</w:t>
      </w:r>
      <w:r w:rsidR="00BF6616" w:rsidRPr="003C31B9">
        <w:rPr>
          <w:rFonts w:asciiTheme="majorBidi" w:hAnsiTheme="majorBidi" w:cstheme="majorBidi"/>
        </w:rPr>
        <w:t xml:space="preserve"> demoli</w:t>
      </w:r>
      <w:r w:rsidR="008943DB">
        <w:rPr>
          <w:rFonts w:asciiTheme="majorBidi" w:hAnsiTheme="majorBidi" w:cstheme="majorBidi"/>
        </w:rPr>
        <w:t>tion of</w:t>
      </w:r>
      <w:r w:rsidR="00BF6616" w:rsidRPr="003C31B9">
        <w:rPr>
          <w:rFonts w:asciiTheme="majorBidi" w:hAnsiTheme="majorBidi" w:cstheme="majorBidi"/>
        </w:rPr>
        <w:t xml:space="preserve"> the monumental</w:t>
      </w:r>
      <w:r w:rsidR="00514320">
        <w:rPr>
          <w:rFonts w:asciiTheme="majorBidi" w:hAnsiTheme="majorBidi" w:cstheme="majorBidi"/>
        </w:rPr>
        <w:t xml:space="preserve"> </w:t>
      </w:r>
      <w:r w:rsidR="00BF6616" w:rsidRPr="003C31B9">
        <w:rPr>
          <w:rFonts w:asciiTheme="majorBidi" w:hAnsiTheme="majorBidi" w:cstheme="majorBidi"/>
        </w:rPr>
        <w:t>winged bulls that adorned the main gates of the ancient</w:t>
      </w:r>
      <w:r w:rsidR="008943DB">
        <w:rPr>
          <w:rFonts w:asciiTheme="majorBidi" w:hAnsiTheme="majorBidi" w:cstheme="majorBidi"/>
        </w:rPr>
        <w:t xml:space="preserve"> eighth- to seventh-</w:t>
      </w:r>
      <w:r w:rsidR="00BF6616" w:rsidRPr="003C31B9">
        <w:rPr>
          <w:rFonts w:asciiTheme="majorBidi" w:hAnsiTheme="majorBidi" w:cstheme="majorBidi"/>
        </w:rPr>
        <w:t>century BC</w:t>
      </w:r>
      <w:r w:rsidR="00192EDF">
        <w:rPr>
          <w:rFonts w:asciiTheme="majorBidi" w:hAnsiTheme="majorBidi" w:cstheme="majorBidi"/>
        </w:rPr>
        <w:t>E</w:t>
      </w:r>
      <w:r w:rsidR="00BF6616" w:rsidRPr="003C31B9">
        <w:rPr>
          <w:rFonts w:asciiTheme="majorBidi" w:hAnsiTheme="majorBidi" w:cstheme="majorBidi"/>
        </w:rPr>
        <w:t xml:space="preserve"> Assyrian capital of Nineveh, </w:t>
      </w:r>
      <w:r>
        <w:rPr>
          <w:rFonts w:asciiTheme="majorBidi" w:hAnsiTheme="majorBidi" w:cstheme="majorBidi"/>
        </w:rPr>
        <w:t>opposite</w:t>
      </w:r>
      <w:r w:rsidR="00BF6616" w:rsidRPr="003C31B9">
        <w:rPr>
          <w:rFonts w:asciiTheme="majorBidi" w:hAnsiTheme="majorBidi" w:cstheme="majorBidi"/>
        </w:rPr>
        <w:t xml:space="preserve"> the Old City</w:t>
      </w:r>
      <w:r>
        <w:rPr>
          <w:rFonts w:asciiTheme="majorBidi" w:hAnsiTheme="majorBidi" w:cstheme="majorBidi"/>
        </w:rPr>
        <w:t xml:space="preserve"> of Mosul</w:t>
      </w:r>
      <w:r w:rsidR="00BF6616" w:rsidRPr="003C31B9">
        <w:rPr>
          <w:rFonts w:asciiTheme="majorBidi" w:hAnsiTheme="majorBidi" w:cstheme="majorBidi"/>
        </w:rPr>
        <w:t>.</w:t>
      </w:r>
      <w:r w:rsidR="00873640">
        <w:rPr>
          <w:rStyle w:val="EndnoteReference"/>
          <w:rFonts w:asciiTheme="majorBidi" w:hAnsiTheme="majorBidi" w:cstheme="majorBidi"/>
        </w:rPr>
        <w:endnoteReference w:id="48"/>
      </w:r>
      <w:r w:rsidR="00BF6616" w:rsidRPr="003C31B9">
        <w:rPr>
          <w:rFonts w:asciiTheme="majorBidi" w:hAnsiTheme="majorBidi" w:cstheme="majorBidi"/>
        </w:rPr>
        <w:t xml:space="preserve"> </w:t>
      </w:r>
    </w:p>
    <w:p w14:paraId="21493AE3" w14:textId="285807EA" w:rsidR="004935FA" w:rsidRPr="003C31B9" w:rsidRDefault="001A5DB1" w:rsidP="00F4698F">
      <w:pPr>
        <w:spacing w:line="480" w:lineRule="auto"/>
        <w:ind w:firstLine="720"/>
        <w:rPr>
          <w:rFonts w:asciiTheme="majorBidi" w:hAnsiTheme="majorBidi" w:cstheme="majorBidi"/>
        </w:rPr>
      </w:pPr>
      <w:r w:rsidRPr="003C31B9">
        <w:rPr>
          <w:rFonts w:asciiTheme="majorBidi" w:hAnsiTheme="majorBidi" w:cstheme="majorBidi"/>
        </w:rPr>
        <w:t>In</w:t>
      </w:r>
      <w:r w:rsidR="00A4724A" w:rsidRPr="003C31B9">
        <w:rPr>
          <w:rFonts w:asciiTheme="majorBidi" w:hAnsiTheme="majorBidi" w:cstheme="majorBidi"/>
        </w:rPr>
        <w:t xml:space="preserve"> all these attacks on </w:t>
      </w:r>
      <w:r w:rsidR="00B74DF1" w:rsidRPr="003C31B9">
        <w:rPr>
          <w:rFonts w:asciiTheme="majorBidi" w:hAnsiTheme="majorBidi" w:cstheme="majorBidi"/>
        </w:rPr>
        <w:t xml:space="preserve">Muslim, Yazidi, Christian, </w:t>
      </w:r>
      <w:r w:rsidR="007C1152">
        <w:rPr>
          <w:rFonts w:asciiTheme="majorBidi" w:hAnsiTheme="majorBidi" w:cstheme="majorBidi"/>
        </w:rPr>
        <w:t xml:space="preserve">and </w:t>
      </w:r>
      <w:r w:rsidR="00B74DF1" w:rsidRPr="003C31B9">
        <w:rPr>
          <w:rFonts w:asciiTheme="majorBidi" w:hAnsiTheme="majorBidi" w:cstheme="majorBidi"/>
        </w:rPr>
        <w:t>ancient heritage monuments</w:t>
      </w:r>
      <w:r w:rsidRPr="003C31B9">
        <w:rPr>
          <w:rFonts w:asciiTheme="majorBidi" w:hAnsiTheme="majorBidi" w:cstheme="majorBidi"/>
        </w:rPr>
        <w:t xml:space="preserve">, </w:t>
      </w:r>
      <w:r w:rsidR="003D60AA">
        <w:rPr>
          <w:rFonts w:asciiTheme="majorBidi" w:hAnsiTheme="majorBidi" w:cstheme="majorBidi"/>
        </w:rPr>
        <w:t>Da’esh</w:t>
      </w:r>
      <w:r w:rsidR="00873640">
        <w:rPr>
          <w:rFonts w:asciiTheme="majorBidi" w:hAnsiTheme="majorBidi" w:cstheme="majorBidi"/>
        </w:rPr>
        <w:t>’s</w:t>
      </w:r>
      <w:r w:rsidR="00A4724A" w:rsidRPr="003C31B9">
        <w:rPr>
          <w:rFonts w:asciiTheme="majorBidi" w:hAnsiTheme="majorBidi" w:cstheme="majorBidi"/>
        </w:rPr>
        <w:t xml:space="preserve"> performative destruction took the same form</w:t>
      </w:r>
      <w:r w:rsidRPr="003C31B9">
        <w:rPr>
          <w:rFonts w:asciiTheme="majorBidi" w:hAnsiTheme="majorBidi" w:cstheme="majorBidi"/>
        </w:rPr>
        <w:t>:</w:t>
      </w:r>
      <w:r w:rsidR="008B098E">
        <w:rPr>
          <w:rFonts w:asciiTheme="majorBidi" w:hAnsiTheme="majorBidi" w:cstheme="majorBidi"/>
        </w:rPr>
        <w:t xml:space="preserve"> </w:t>
      </w:r>
      <w:r w:rsidR="00B74DF1" w:rsidRPr="003C31B9">
        <w:rPr>
          <w:rFonts w:asciiTheme="majorBidi" w:hAnsiTheme="majorBidi" w:cstheme="majorBidi"/>
        </w:rPr>
        <w:t xml:space="preserve">a video record for later posting on the </w:t>
      </w:r>
      <w:r w:rsidR="00F70ED9">
        <w:rPr>
          <w:rFonts w:asciiTheme="majorBidi" w:hAnsiTheme="majorBidi" w:cstheme="majorBidi"/>
        </w:rPr>
        <w:t>Internet</w:t>
      </w:r>
      <w:r w:rsidR="00B74DF1" w:rsidRPr="003C31B9">
        <w:rPr>
          <w:rFonts w:asciiTheme="majorBidi" w:hAnsiTheme="majorBidi" w:cstheme="majorBidi"/>
        </w:rPr>
        <w:t xml:space="preserve"> and social media, </w:t>
      </w:r>
      <w:r w:rsidR="00A4724A" w:rsidRPr="003C31B9">
        <w:rPr>
          <w:rFonts w:asciiTheme="majorBidi" w:hAnsiTheme="majorBidi" w:cstheme="majorBidi"/>
        </w:rPr>
        <w:t>in which a spokesman justif</w:t>
      </w:r>
      <w:r w:rsidR="00B74DF1" w:rsidRPr="003C31B9">
        <w:rPr>
          <w:rFonts w:asciiTheme="majorBidi" w:hAnsiTheme="majorBidi" w:cstheme="majorBidi"/>
        </w:rPr>
        <w:t xml:space="preserve">ied </w:t>
      </w:r>
      <w:r w:rsidR="00A4724A" w:rsidRPr="003C31B9">
        <w:rPr>
          <w:rFonts w:asciiTheme="majorBidi" w:hAnsiTheme="majorBidi" w:cstheme="majorBidi"/>
        </w:rPr>
        <w:t>the action on Islamic religious grounds as a necessary and virtuous act, followed by the actual demolition of the monument</w:t>
      </w:r>
      <w:r w:rsidR="00B74DF1" w:rsidRPr="003C31B9">
        <w:rPr>
          <w:rFonts w:asciiTheme="majorBidi" w:hAnsiTheme="majorBidi" w:cstheme="majorBidi"/>
        </w:rPr>
        <w:t>.</w:t>
      </w:r>
      <w:r w:rsidR="00537F52" w:rsidRPr="003C31B9">
        <w:rPr>
          <w:rFonts w:asciiTheme="majorBidi" w:hAnsiTheme="majorBidi" w:cstheme="majorBidi"/>
        </w:rPr>
        <w:t xml:space="preserve"> </w:t>
      </w:r>
      <w:r w:rsidR="003D60AA">
        <w:rPr>
          <w:rFonts w:asciiTheme="majorBidi" w:hAnsiTheme="majorBidi" w:cstheme="majorBidi"/>
        </w:rPr>
        <w:t>Da’esh</w:t>
      </w:r>
      <w:r w:rsidR="00537F52" w:rsidRPr="003C31B9">
        <w:rPr>
          <w:rFonts w:asciiTheme="majorBidi" w:hAnsiTheme="majorBidi" w:cstheme="majorBidi"/>
        </w:rPr>
        <w:t xml:space="preserve"> defined </w:t>
      </w:r>
      <w:r w:rsidR="002F0BCE">
        <w:rPr>
          <w:rFonts w:asciiTheme="majorBidi" w:hAnsiTheme="majorBidi" w:cstheme="majorBidi"/>
        </w:rPr>
        <w:t xml:space="preserve">this destruction </w:t>
      </w:r>
      <w:r w:rsidR="00E20921">
        <w:rPr>
          <w:rFonts w:asciiTheme="majorBidi" w:hAnsiTheme="majorBidi" w:cstheme="majorBidi"/>
        </w:rPr>
        <w:t xml:space="preserve">of modern heritage </w:t>
      </w:r>
      <w:r w:rsidR="00537F52" w:rsidRPr="003C31B9">
        <w:rPr>
          <w:rFonts w:asciiTheme="majorBidi" w:hAnsiTheme="majorBidi" w:cstheme="majorBidi"/>
        </w:rPr>
        <w:t>sites as religiously</w:t>
      </w:r>
      <w:r w:rsidR="00A5466A">
        <w:rPr>
          <w:rFonts w:asciiTheme="majorBidi" w:hAnsiTheme="majorBidi" w:cstheme="majorBidi"/>
        </w:rPr>
        <w:t>-</w:t>
      </w:r>
      <w:r w:rsidR="00537F52" w:rsidRPr="003C31B9">
        <w:rPr>
          <w:rFonts w:asciiTheme="majorBidi" w:hAnsiTheme="majorBidi" w:cstheme="majorBidi"/>
        </w:rPr>
        <w:t xml:space="preserve">sanctioned opposition to idolatry, using the same </w:t>
      </w:r>
      <w:r w:rsidR="00530FF6">
        <w:rPr>
          <w:rFonts w:asciiTheme="majorBidi" w:hAnsiTheme="majorBidi" w:cstheme="majorBidi"/>
        </w:rPr>
        <w:t>language</w:t>
      </w:r>
      <w:r w:rsidR="00537F52" w:rsidRPr="003C31B9">
        <w:rPr>
          <w:rFonts w:asciiTheme="majorBidi" w:hAnsiTheme="majorBidi" w:cstheme="majorBidi"/>
        </w:rPr>
        <w:t xml:space="preserve"> </w:t>
      </w:r>
      <w:r w:rsidR="000A233C">
        <w:rPr>
          <w:rFonts w:asciiTheme="majorBidi" w:hAnsiTheme="majorBidi" w:cstheme="majorBidi"/>
        </w:rPr>
        <w:t xml:space="preserve">it </w:t>
      </w:r>
      <w:r w:rsidR="00537F52" w:rsidRPr="003C31B9">
        <w:rPr>
          <w:rFonts w:asciiTheme="majorBidi" w:hAnsiTheme="majorBidi" w:cstheme="majorBidi"/>
        </w:rPr>
        <w:t xml:space="preserve">employed to justify genocidal attacks on </w:t>
      </w:r>
      <w:r w:rsidR="00514320">
        <w:rPr>
          <w:rFonts w:asciiTheme="majorBidi" w:hAnsiTheme="majorBidi" w:cstheme="majorBidi"/>
        </w:rPr>
        <w:t xml:space="preserve">modern </w:t>
      </w:r>
      <w:r w:rsidR="00530FF6">
        <w:rPr>
          <w:rFonts w:asciiTheme="majorBidi" w:hAnsiTheme="majorBidi" w:cstheme="majorBidi"/>
        </w:rPr>
        <w:t>enemy groups</w:t>
      </w:r>
      <w:r w:rsidR="00537F52" w:rsidRPr="003C31B9">
        <w:rPr>
          <w:rFonts w:asciiTheme="majorBidi" w:hAnsiTheme="majorBidi" w:cstheme="majorBidi"/>
        </w:rPr>
        <w:t xml:space="preserve">. </w:t>
      </w:r>
      <w:r w:rsidR="003D60AA">
        <w:rPr>
          <w:rFonts w:asciiTheme="majorBidi" w:hAnsiTheme="majorBidi" w:cstheme="majorBidi"/>
        </w:rPr>
        <w:t>Da’esh</w:t>
      </w:r>
      <w:r w:rsidR="00254737">
        <w:rPr>
          <w:rFonts w:asciiTheme="majorBidi" w:hAnsiTheme="majorBidi" w:cstheme="majorBidi"/>
        </w:rPr>
        <w:t>’s innovation was the widely</w:t>
      </w:r>
      <w:r w:rsidR="00A5466A">
        <w:rPr>
          <w:rFonts w:asciiTheme="majorBidi" w:hAnsiTheme="majorBidi" w:cstheme="majorBidi"/>
        </w:rPr>
        <w:t>-</w:t>
      </w:r>
      <w:r w:rsidR="00254737">
        <w:rPr>
          <w:rFonts w:asciiTheme="majorBidi" w:hAnsiTheme="majorBidi" w:cstheme="majorBidi"/>
        </w:rPr>
        <w:t xml:space="preserve">publicized performative </w:t>
      </w:r>
      <w:r w:rsidR="000A233C">
        <w:rPr>
          <w:rFonts w:asciiTheme="majorBidi" w:hAnsiTheme="majorBidi" w:cstheme="majorBidi"/>
        </w:rPr>
        <w:t xml:space="preserve">nature </w:t>
      </w:r>
      <w:r w:rsidR="00254737">
        <w:rPr>
          <w:rFonts w:asciiTheme="majorBidi" w:hAnsiTheme="majorBidi" w:cstheme="majorBidi"/>
        </w:rPr>
        <w:t xml:space="preserve">of these acts. However, </w:t>
      </w:r>
      <w:r w:rsidR="00530FF6">
        <w:rPr>
          <w:rFonts w:asciiTheme="majorBidi" w:hAnsiTheme="majorBidi" w:cstheme="majorBidi"/>
        </w:rPr>
        <w:t xml:space="preserve">one of the </w:t>
      </w:r>
      <w:r w:rsidRPr="003C31B9">
        <w:rPr>
          <w:rFonts w:asciiTheme="majorBidi" w:hAnsiTheme="majorBidi" w:cstheme="majorBidi"/>
        </w:rPr>
        <w:t xml:space="preserve">most </w:t>
      </w:r>
      <w:r w:rsidR="00530FF6">
        <w:rPr>
          <w:rFonts w:asciiTheme="majorBidi" w:hAnsiTheme="majorBidi" w:cstheme="majorBidi"/>
        </w:rPr>
        <w:t>disturbing</w:t>
      </w:r>
      <w:r w:rsidRPr="003C31B9">
        <w:rPr>
          <w:rFonts w:asciiTheme="majorBidi" w:hAnsiTheme="majorBidi" w:cstheme="majorBidi"/>
        </w:rPr>
        <w:t xml:space="preserve"> aspect</w:t>
      </w:r>
      <w:r w:rsidR="00530FF6">
        <w:rPr>
          <w:rFonts w:asciiTheme="majorBidi" w:hAnsiTheme="majorBidi" w:cstheme="majorBidi"/>
        </w:rPr>
        <w:t>s</w:t>
      </w:r>
      <w:r w:rsidRPr="003C31B9">
        <w:rPr>
          <w:rFonts w:asciiTheme="majorBidi" w:hAnsiTheme="majorBidi" w:cstheme="majorBidi"/>
        </w:rPr>
        <w:t xml:space="preserve"> of </w:t>
      </w:r>
      <w:r w:rsidR="00DA1807">
        <w:rPr>
          <w:rFonts w:asciiTheme="majorBidi" w:hAnsiTheme="majorBidi" w:cstheme="majorBidi"/>
        </w:rPr>
        <w:t xml:space="preserve">Da’esh’s </w:t>
      </w:r>
      <w:r w:rsidRPr="003C31B9">
        <w:rPr>
          <w:rFonts w:asciiTheme="majorBidi" w:hAnsiTheme="majorBidi" w:cstheme="majorBidi"/>
        </w:rPr>
        <w:t>p</w:t>
      </w:r>
      <w:r w:rsidR="00537F52" w:rsidRPr="003C31B9">
        <w:rPr>
          <w:rFonts w:asciiTheme="majorBidi" w:hAnsiTheme="majorBidi" w:cstheme="majorBidi"/>
        </w:rPr>
        <w:t xml:space="preserve">erformative destruction framed in Salafi religious discourse was the </w:t>
      </w:r>
      <w:r w:rsidR="001D71B9">
        <w:rPr>
          <w:rFonts w:asciiTheme="majorBidi" w:hAnsiTheme="majorBidi" w:cstheme="majorBidi"/>
        </w:rPr>
        <w:t>concomitant</w:t>
      </w:r>
      <w:r w:rsidR="001D71B9" w:rsidRPr="003C31B9">
        <w:rPr>
          <w:rFonts w:asciiTheme="majorBidi" w:hAnsiTheme="majorBidi" w:cstheme="majorBidi"/>
        </w:rPr>
        <w:t xml:space="preserve"> </w:t>
      </w:r>
      <w:r w:rsidR="00537F52" w:rsidRPr="003C31B9">
        <w:rPr>
          <w:rFonts w:asciiTheme="majorBidi" w:hAnsiTheme="majorBidi" w:cstheme="majorBidi"/>
        </w:rPr>
        <w:t>genocidal destruction of people and things.</w:t>
      </w:r>
    </w:p>
    <w:p w14:paraId="329BF483" w14:textId="77777777" w:rsidR="00E20921" w:rsidRDefault="00E20921" w:rsidP="00F4698F">
      <w:pPr>
        <w:spacing w:line="480" w:lineRule="auto"/>
        <w:rPr>
          <w:rFonts w:asciiTheme="majorBidi" w:hAnsiTheme="majorBidi" w:cstheme="majorBidi"/>
        </w:rPr>
      </w:pPr>
    </w:p>
    <w:p w14:paraId="192F23EC" w14:textId="766F92FE" w:rsidR="0000630A" w:rsidRPr="003C31B9" w:rsidRDefault="003572C8" w:rsidP="00E266A7">
      <w:pPr>
        <w:pStyle w:val="Heading2"/>
      </w:pPr>
      <w:r w:rsidRPr="003C31B9">
        <w:lastRenderedPageBreak/>
        <w:t xml:space="preserve">Conclusions: </w:t>
      </w:r>
      <w:r w:rsidR="00D5255E" w:rsidRPr="003C31B9">
        <w:t xml:space="preserve">Genocide, </w:t>
      </w:r>
      <w:r w:rsidR="0000630A" w:rsidRPr="003C31B9">
        <w:t>Performative Destruction</w:t>
      </w:r>
      <w:r w:rsidR="00D5255E" w:rsidRPr="003C31B9">
        <w:t>,</w:t>
      </w:r>
      <w:r w:rsidR="0000630A" w:rsidRPr="003C31B9">
        <w:t xml:space="preserve"> and the </w:t>
      </w:r>
      <w:r w:rsidR="00A00AB8">
        <w:t>F</w:t>
      </w:r>
      <w:r w:rsidR="0000630A" w:rsidRPr="003C31B9">
        <w:t>uture of Viral Violence</w:t>
      </w:r>
    </w:p>
    <w:p w14:paraId="4713087D" w14:textId="4691EDF3" w:rsidR="008E320E" w:rsidRPr="003C31B9" w:rsidRDefault="0000630A" w:rsidP="00F4698F">
      <w:pPr>
        <w:spacing w:line="480" w:lineRule="auto"/>
        <w:rPr>
          <w:rFonts w:asciiTheme="majorBidi" w:hAnsiTheme="majorBidi" w:cstheme="majorBidi"/>
        </w:rPr>
      </w:pPr>
      <w:r w:rsidRPr="003C31B9">
        <w:rPr>
          <w:rFonts w:asciiTheme="majorBidi" w:hAnsiTheme="majorBidi" w:cstheme="majorBidi"/>
        </w:rPr>
        <w:t>Heritage destruction, cultural genocide</w:t>
      </w:r>
      <w:r w:rsidR="001A3FD1" w:rsidRPr="003C31B9">
        <w:rPr>
          <w:rFonts w:asciiTheme="majorBidi" w:hAnsiTheme="majorBidi" w:cstheme="majorBidi"/>
        </w:rPr>
        <w:t>,</w:t>
      </w:r>
      <w:r w:rsidRPr="003C31B9">
        <w:rPr>
          <w:rFonts w:asciiTheme="majorBidi" w:hAnsiTheme="majorBidi" w:cstheme="majorBidi"/>
        </w:rPr>
        <w:t xml:space="preserve"> and the eradication of ethnic and religious communities are inextricably linked. </w:t>
      </w:r>
      <w:r w:rsidR="00537F52" w:rsidRPr="003C31B9">
        <w:rPr>
          <w:rFonts w:asciiTheme="majorBidi" w:hAnsiTheme="majorBidi" w:cstheme="majorBidi"/>
        </w:rPr>
        <w:t xml:space="preserve">The disturbing connection between </w:t>
      </w:r>
      <w:r w:rsidRPr="003C31B9">
        <w:rPr>
          <w:rFonts w:asciiTheme="majorBidi" w:hAnsiTheme="majorBidi" w:cstheme="majorBidi"/>
        </w:rPr>
        <w:t xml:space="preserve">cultural and physical </w:t>
      </w:r>
      <w:r w:rsidR="00537F52" w:rsidRPr="003C31B9">
        <w:rPr>
          <w:rFonts w:asciiTheme="majorBidi" w:hAnsiTheme="majorBidi" w:cstheme="majorBidi"/>
        </w:rPr>
        <w:t xml:space="preserve">genocide assumed special importance </w:t>
      </w:r>
      <w:r w:rsidR="00A77644" w:rsidRPr="003C31B9">
        <w:rPr>
          <w:rFonts w:asciiTheme="majorBidi" w:hAnsiTheme="majorBidi" w:cstheme="majorBidi"/>
        </w:rPr>
        <w:t>during World War II and its aftermath.</w:t>
      </w:r>
      <w:r w:rsidR="008E320E" w:rsidRPr="003C31B9">
        <w:rPr>
          <w:rFonts w:asciiTheme="majorBidi" w:hAnsiTheme="majorBidi" w:cstheme="majorBidi"/>
        </w:rPr>
        <w:t xml:space="preserve"> Raphael Lemkin, who invented the term “genocide</w:t>
      </w:r>
      <w:r w:rsidR="00B535B5">
        <w:rPr>
          <w:rFonts w:asciiTheme="majorBidi" w:hAnsiTheme="majorBidi" w:cstheme="majorBidi"/>
        </w:rPr>
        <w:t>,”</w:t>
      </w:r>
      <w:r w:rsidR="008E320E" w:rsidRPr="003C31B9">
        <w:rPr>
          <w:rFonts w:asciiTheme="majorBidi" w:hAnsiTheme="majorBidi" w:cstheme="majorBidi"/>
        </w:rPr>
        <w:t xml:space="preserve"> </w:t>
      </w:r>
      <w:r w:rsidR="003572C8" w:rsidRPr="003C31B9">
        <w:rPr>
          <w:rFonts w:asciiTheme="majorBidi" w:hAnsiTheme="majorBidi" w:cstheme="majorBidi"/>
        </w:rPr>
        <w:t>emphasized</w:t>
      </w:r>
      <w:r w:rsidR="008E320E" w:rsidRPr="003C31B9">
        <w:rPr>
          <w:rFonts w:asciiTheme="majorBidi" w:hAnsiTheme="majorBidi" w:cstheme="majorBidi"/>
        </w:rPr>
        <w:t xml:space="preserve"> this linkage in his definition:</w:t>
      </w:r>
      <w:r w:rsidR="003572C8" w:rsidRPr="003C31B9">
        <w:rPr>
          <w:rFonts w:asciiTheme="majorBidi" w:hAnsiTheme="majorBidi" w:cstheme="majorBidi"/>
        </w:rPr>
        <w:t xml:space="preserve"> </w:t>
      </w:r>
      <w:r w:rsidR="008E320E" w:rsidRPr="003C31B9">
        <w:rPr>
          <w:rFonts w:asciiTheme="majorBidi" w:hAnsiTheme="majorBidi" w:cstheme="majorBidi"/>
        </w:rPr>
        <w:t xml:space="preserve">“Genocide </w:t>
      </w:r>
      <w:r w:rsidR="009E063C">
        <w:rPr>
          <w:rFonts w:asciiTheme="majorBidi" w:hAnsiTheme="majorBidi" w:cstheme="majorBidi"/>
        </w:rPr>
        <w:t>…</w:t>
      </w:r>
      <w:r w:rsidR="00877EA7">
        <w:rPr>
          <w:rFonts w:asciiTheme="majorBidi" w:hAnsiTheme="majorBidi" w:cstheme="majorBidi"/>
        </w:rPr>
        <w:t xml:space="preserve"> </w:t>
      </w:r>
      <w:r w:rsidR="008E320E" w:rsidRPr="003C31B9">
        <w:rPr>
          <w:rFonts w:asciiTheme="majorBidi" w:hAnsiTheme="majorBidi" w:cstheme="majorBidi"/>
        </w:rPr>
        <w:t>is</w:t>
      </w:r>
      <w:r w:rsidR="00877EA7">
        <w:rPr>
          <w:rFonts w:asciiTheme="majorBidi" w:hAnsiTheme="majorBidi" w:cstheme="majorBidi"/>
        </w:rPr>
        <w:t xml:space="preserve"> </w:t>
      </w:r>
      <w:r w:rsidR="008E320E" w:rsidRPr="003C31B9">
        <w:rPr>
          <w:rFonts w:asciiTheme="majorBidi" w:hAnsiTheme="majorBidi" w:cstheme="majorBidi"/>
        </w:rPr>
        <w:t>…</w:t>
      </w:r>
      <w:r w:rsidR="009E063C">
        <w:rPr>
          <w:rFonts w:asciiTheme="majorBidi" w:hAnsiTheme="majorBidi" w:cstheme="majorBidi"/>
        </w:rPr>
        <w:t xml:space="preserve"> </w:t>
      </w:r>
      <w:r w:rsidR="008E320E" w:rsidRPr="003C31B9">
        <w:rPr>
          <w:rFonts w:asciiTheme="majorBidi" w:hAnsiTheme="majorBidi" w:cstheme="majorBidi"/>
        </w:rPr>
        <w:t>a coordinated plan of different actions aiming at the destruction of essential foundations of the life of national groups, with the aim of annihilating the groups themselves</w:t>
      </w:r>
      <w:r w:rsidR="00877EA7">
        <w:rPr>
          <w:rFonts w:asciiTheme="majorBidi" w:hAnsiTheme="majorBidi" w:cstheme="majorBidi"/>
        </w:rPr>
        <w:t>.”</w:t>
      </w:r>
      <w:r w:rsidR="00877EA7">
        <w:rPr>
          <w:rStyle w:val="EndnoteReference"/>
          <w:rFonts w:asciiTheme="majorBidi" w:hAnsiTheme="majorBidi" w:cstheme="majorBidi"/>
        </w:rPr>
        <w:endnoteReference w:id="49"/>
      </w:r>
      <w:r w:rsidR="008E320E" w:rsidRPr="003C31B9">
        <w:rPr>
          <w:rFonts w:asciiTheme="majorBidi" w:hAnsiTheme="majorBidi" w:cstheme="majorBidi"/>
        </w:rPr>
        <w:t xml:space="preserve"> For Lemkin, these foundations </w:t>
      </w:r>
      <w:r w:rsidR="00B850F4" w:rsidRPr="003C31B9">
        <w:rPr>
          <w:rFonts w:asciiTheme="majorBidi" w:hAnsiTheme="majorBidi" w:cstheme="majorBidi"/>
        </w:rPr>
        <w:t xml:space="preserve">were both material and cultural. </w:t>
      </w:r>
    </w:p>
    <w:p w14:paraId="7C40F812" w14:textId="4086EA08" w:rsidR="00B850F4" w:rsidRPr="003C31B9" w:rsidRDefault="00B850F4" w:rsidP="00F4698F">
      <w:pPr>
        <w:spacing w:line="480" w:lineRule="auto"/>
        <w:rPr>
          <w:rFonts w:asciiTheme="majorBidi" w:hAnsiTheme="majorBidi" w:cstheme="majorBidi"/>
        </w:rPr>
      </w:pPr>
      <w:r w:rsidRPr="003C31B9">
        <w:rPr>
          <w:rFonts w:asciiTheme="majorBidi" w:hAnsiTheme="majorBidi" w:cstheme="majorBidi"/>
        </w:rPr>
        <w:tab/>
      </w:r>
      <w:r w:rsidR="000840B9">
        <w:rPr>
          <w:rFonts w:asciiTheme="majorBidi" w:hAnsiTheme="majorBidi" w:cstheme="majorBidi"/>
        </w:rPr>
        <w:t>A</w:t>
      </w:r>
      <w:r w:rsidRPr="003C31B9">
        <w:rPr>
          <w:rFonts w:asciiTheme="majorBidi" w:hAnsiTheme="majorBidi" w:cstheme="majorBidi"/>
        </w:rPr>
        <w:t>rchitecture, most notably th</w:t>
      </w:r>
      <w:r w:rsidR="001A3FD1" w:rsidRPr="003C31B9">
        <w:rPr>
          <w:rFonts w:asciiTheme="majorBidi" w:hAnsiTheme="majorBidi" w:cstheme="majorBidi"/>
        </w:rPr>
        <w:t>e</w:t>
      </w:r>
      <w:r w:rsidRPr="003C31B9">
        <w:rPr>
          <w:rFonts w:asciiTheme="majorBidi" w:hAnsiTheme="majorBidi" w:cstheme="majorBidi"/>
        </w:rPr>
        <w:t xml:space="preserve"> structures we </w:t>
      </w:r>
      <w:r w:rsidR="001A3FD1" w:rsidRPr="003C31B9">
        <w:rPr>
          <w:rFonts w:asciiTheme="majorBidi" w:hAnsiTheme="majorBidi" w:cstheme="majorBidi"/>
        </w:rPr>
        <w:t xml:space="preserve">consider </w:t>
      </w:r>
      <w:r w:rsidRPr="003C31B9">
        <w:rPr>
          <w:rFonts w:asciiTheme="majorBidi" w:hAnsiTheme="majorBidi" w:cstheme="majorBidi"/>
        </w:rPr>
        <w:t xml:space="preserve">heritage monuments, </w:t>
      </w:r>
      <w:r w:rsidR="00CC50DD">
        <w:rPr>
          <w:rFonts w:asciiTheme="majorBidi" w:hAnsiTheme="majorBidi" w:cstheme="majorBidi"/>
        </w:rPr>
        <w:t>is</w:t>
      </w:r>
      <w:r w:rsidRPr="003C31B9">
        <w:rPr>
          <w:rFonts w:asciiTheme="majorBidi" w:hAnsiTheme="majorBidi" w:cstheme="majorBidi"/>
        </w:rPr>
        <w:t xml:space="preserve"> emblematic of a culture and encompass</w:t>
      </w:r>
      <w:r w:rsidR="00CC50DD">
        <w:rPr>
          <w:rFonts w:asciiTheme="majorBidi" w:hAnsiTheme="majorBidi" w:cstheme="majorBidi"/>
        </w:rPr>
        <w:t xml:space="preserve">es </w:t>
      </w:r>
      <w:r w:rsidRPr="003C31B9">
        <w:rPr>
          <w:rFonts w:asciiTheme="majorBidi" w:hAnsiTheme="majorBidi" w:cstheme="majorBidi"/>
        </w:rPr>
        <w:t>a complex set of meanings that together play a key role in defining a group’s cultural identity.</w:t>
      </w:r>
      <w:r w:rsidR="008B098E">
        <w:rPr>
          <w:rFonts w:asciiTheme="majorBidi" w:hAnsiTheme="majorBidi" w:cstheme="majorBidi"/>
        </w:rPr>
        <w:t xml:space="preserve"> </w:t>
      </w:r>
      <w:r w:rsidR="00CC50DD">
        <w:rPr>
          <w:rFonts w:asciiTheme="majorBidi" w:hAnsiTheme="majorBidi" w:cstheme="majorBidi"/>
        </w:rPr>
        <w:t>This linkage of the tangible and intangible</w:t>
      </w:r>
      <w:r w:rsidRPr="003C31B9">
        <w:rPr>
          <w:rFonts w:asciiTheme="majorBidi" w:hAnsiTheme="majorBidi" w:cstheme="majorBidi"/>
        </w:rPr>
        <w:t xml:space="preserve"> make</w:t>
      </w:r>
      <w:r w:rsidR="00CC50DD">
        <w:rPr>
          <w:rFonts w:asciiTheme="majorBidi" w:hAnsiTheme="majorBidi" w:cstheme="majorBidi"/>
        </w:rPr>
        <w:t>s</w:t>
      </w:r>
      <w:r w:rsidRPr="003C31B9">
        <w:rPr>
          <w:rFonts w:asciiTheme="majorBidi" w:hAnsiTheme="majorBidi" w:cstheme="majorBidi"/>
        </w:rPr>
        <w:t xml:space="preserve"> culturally</w:t>
      </w:r>
      <w:r w:rsidR="00877EA7">
        <w:rPr>
          <w:rFonts w:asciiTheme="majorBidi" w:hAnsiTheme="majorBidi" w:cstheme="majorBidi"/>
        </w:rPr>
        <w:t>-</w:t>
      </w:r>
      <w:r w:rsidRPr="003C31B9">
        <w:rPr>
          <w:rFonts w:asciiTheme="majorBidi" w:hAnsiTheme="majorBidi" w:cstheme="majorBidi"/>
        </w:rPr>
        <w:t xml:space="preserve">significant architecture extraordinarily valuable to a group while </w:t>
      </w:r>
      <w:r w:rsidR="0021043D" w:rsidRPr="003C31B9">
        <w:rPr>
          <w:rFonts w:asciiTheme="majorBidi" w:hAnsiTheme="majorBidi" w:cstheme="majorBidi"/>
        </w:rPr>
        <w:t>a</w:t>
      </w:r>
      <w:r w:rsidRPr="003C31B9">
        <w:rPr>
          <w:rFonts w:asciiTheme="majorBidi" w:hAnsiTheme="majorBidi" w:cstheme="majorBidi"/>
        </w:rPr>
        <w:t xml:space="preserve">t the same time </w:t>
      </w:r>
      <w:r w:rsidR="0021043D" w:rsidRPr="003C31B9">
        <w:rPr>
          <w:rFonts w:asciiTheme="majorBidi" w:hAnsiTheme="majorBidi" w:cstheme="majorBidi"/>
        </w:rPr>
        <w:t>making</w:t>
      </w:r>
      <w:r w:rsidRPr="003C31B9">
        <w:rPr>
          <w:rFonts w:asciiTheme="majorBidi" w:hAnsiTheme="majorBidi" w:cstheme="majorBidi"/>
        </w:rPr>
        <w:t xml:space="preserve"> </w:t>
      </w:r>
      <w:r w:rsidR="00263D54" w:rsidRPr="003C31B9">
        <w:rPr>
          <w:rFonts w:asciiTheme="majorBidi" w:hAnsiTheme="majorBidi" w:cstheme="majorBidi"/>
        </w:rPr>
        <w:t xml:space="preserve">these </w:t>
      </w:r>
      <w:r w:rsidR="0021043D" w:rsidRPr="003C31B9">
        <w:rPr>
          <w:rFonts w:asciiTheme="majorBidi" w:hAnsiTheme="majorBidi" w:cstheme="majorBidi"/>
        </w:rPr>
        <w:t xml:space="preserve">same </w:t>
      </w:r>
      <w:r w:rsidR="00263D54" w:rsidRPr="003C31B9">
        <w:rPr>
          <w:rFonts w:asciiTheme="majorBidi" w:hAnsiTheme="majorBidi" w:cstheme="majorBidi"/>
        </w:rPr>
        <w:t>structures</w:t>
      </w:r>
      <w:r w:rsidR="009C3E29" w:rsidRPr="003C31B9">
        <w:rPr>
          <w:rFonts w:asciiTheme="majorBidi" w:hAnsiTheme="majorBidi" w:cstheme="majorBidi"/>
        </w:rPr>
        <w:t xml:space="preserve"> extr</w:t>
      </w:r>
      <w:r w:rsidR="009638D5" w:rsidRPr="003C31B9">
        <w:rPr>
          <w:rFonts w:asciiTheme="majorBidi" w:hAnsiTheme="majorBidi" w:cstheme="majorBidi"/>
        </w:rPr>
        <w:t>em</w:t>
      </w:r>
      <w:r w:rsidR="009C3E29" w:rsidRPr="003C31B9">
        <w:rPr>
          <w:rFonts w:asciiTheme="majorBidi" w:hAnsiTheme="majorBidi" w:cstheme="majorBidi"/>
        </w:rPr>
        <w:t>ely</w:t>
      </w:r>
      <w:r w:rsidR="00D5255E" w:rsidRPr="003C31B9">
        <w:rPr>
          <w:rFonts w:asciiTheme="majorBidi" w:hAnsiTheme="majorBidi" w:cstheme="majorBidi"/>
        </w:rPr>
        <w:t xml:space="preserve"> vulnerable</w:t>
      </w:r>
      <w:r w:rsidR="00263D54" w:rsidRPr="003C31B9">
        <w:rPr>
          <w:rFonts w:asciiTheme="majorBidi" w:hAnsiTheme="majorBidi" w:cstheme="majorBidi"/>
        </w:rPr>
        <w:t xml:space="preserve"> </w:t>
      </w:r>
      <w:r w:rsidR="00D5255E" w:rsidRPr="003C31B9">
        <w:rPr>
          <w:rFonts w:asciiTheme="majorBidi" w:hAnsiTheme="majorBidi" w:cstheme="majorBidi"/>
        </w:rPr>
        <w:t xml:space="preserve">to attack by </w:t>
      </w:r>
      <w:r w:rsidR="00263D54" w:rsidRPr="003C31B9">
        <w:rPr>
          <w:rFonts w:asciiTheme="majorBidi" w:hAnsiTheme="majorBidi" w:cstheme="majorBidi"/>
        </w:rPr>
        <w:t>the people who seek to destroy that culture.</w:t>
      </w:r>
      <w:r w:rsidR="008B098E">
        <w:rPr>
          <w:rFonts w:asciiTheme="majorBidi" w:hAnsiTheme="majorBidi" w:cstheme="majorBidi"/>
        </w:rPr>
        <w:t xml:space="preserve"> </w:t>
      </w:r>
      <w:r w:rsidR="00263D54" w:rsidRPr="003C31B9">
        <w:rPr>
          <w:rFonts w:asciiTheme="majorBidi" w:hAnsiTheme="majorBidi" w:cstheme="majorBidi"/>
        </w:rPr>
        <w:t>For that reason, the destruction of culturally</w:t>
      </w:r>
      <w:r w:rsidR="00877EA7">
        <w:rPr>
          <w:rFonts w:asciiTheme="majorBidi" w:hAnsiTheme="majorBidi" w:cstheme="majorBidi"/>
        </w:rPr>
        <w:t>-</w:t>
      </w:r>
      <w:r w:rsidR="00263D54" w:rsidRPr="003C31B9">
        <w:rPr>
          <w:rFonts w:asciiTheme="majorBidi" w:hAnsiTheme="majorBidi" w:cstheme="majorBidi"/>
        </w:rPr>
        <w:t xml:space="preserve">significant monuments </w:t>
      </w:r>
      <w:r w:rsidR="00877EA7">
        <w:rPr>
          <w:rFonts w:asciiTheme="majorBidi" w:hAnsiTheme="majorBidi" w:cstheme="majorBidi"/>
        </w:rPr>
        <w:t xml:space="preserve">has </w:t>
      </w:r>
      <w:r w:rsidR="00263D54" w:rsidRPr="003C31B9">
        <w:rPr>
          <w:rFonts w:asciiTheme="majorBidi" w:hAnsiTheme="majorBidi" w:cstheme="majorBidi"/>
        </w:rPr>
        <w:t>bec</w:t>
      </w:r>
      <w:r w:rsidR="00877EA7">
        <w:rPr>
          <w:rFonts w:asciiTheme="majorBidi" w:hAnsiTheme="majorBidi" w:cstheme="majorBidi"/>
        </w:rPr>
        <w:t>o</w:t>
      </w:r>
      <w:r w:rsidR="00BF6592" w:rsidRPr="003C31B9">
        <w:rPr>
          <w:rFonts w:asciiTheme="majorBidi" w:hAnsiTheme="majorBidi" w:cstheme="majorBidi"/>
        </w:rPr>
        <w:t>me</w:t>
      </w:r>
      <w:r w:rsidR="00263D54" w:rsidRPr="003C31B9">
        <w:rPr>
          <w:rFonts w:asciiTheme="majorBidi" w:hAnsiTheme="majorBidi" w:cstheme="majorBidi"/>
        </w:rPr>
        <w:t xml:space="preserve"> linked to ethnic cleansing, characteriz</w:t>
      </w:r>
      <w:r w:rsidR="00877EA7">
        <w:rPr>
          <w:rFonts w:asciiTheme="majorBidi" w:hAnsiTheme="majorBidi" w:cstheme="majorBidi"/>
        </w:rPr>
        <w:t>ing various</w:t>
      </w:r>
      <w:r w:rsidR="00263D54" w:rsidRPr="003C31B9">
        <w:rPr>
          <w:rFonts w:asciiTheme="majorBidi" w:hAnsiTheme="majorBidi" w:cstheme="majorBidi"/>
        </w:rPr>
        <w:t xml:space="preserve"> </w:t>
      </w:r>
      <w:r w:rsidR="00877EA7">
        <w:rPr>
          <w:rFonts w:asciiTheme="majorBidi" w:hAnsiTheme="majorBidi" w:cstheme="majorBidi"/>
        </w:rPr>
        <w:t xml:space="preserve">twentieth </w:t>
      </w:r>
      <w:r w:rsidR="00BF6592" w:rsidRPr="003C31B9">
        <w:rPr>
          <w:rFonts w:asciiTheme="majorBidi" w:hAnsiTheme="majorBidi" w:cstheme="majorBidi"/>
        </w:rPr>
        <w:t xml:space="preserve">and </w:t>
      </w:r>
      <w:r w:rsidR="00877EA7">
        <w:rPr>
          <w:rFonts w:asciiTheme="majorBidi" w:hAnsiTheme="majorBidi" w:cstheme="majorBidi"/>
        </w:rPr>
        <w:t xml:space="preserve">twenty-first </w:t>
      </w:r>
      <w:r w:rsidR="00263D54" w:rsidRPr="003C31B9">
        <w:rPr>
          <w:rFonts w:asciiTheme="majorBidi" w:hAnsiTheme="majorBidi" w:cstheme="majorBidi"/>
        </w:rPr>
        <w:t>century conflicts.</w:t>
      </w:r>
      <w:r w:rsidR="008E736D">
        <w:rPr>
          <w:rStyle w:val="EndnoteReference"/>
          <w:rFonts w:asciiTheme="majorBidi" w:hAnsiTheme="majorBidi" w:cstheme="majorBidi"/>
        </w:rPr>
        <w:endnoteReference w:id="50"/>
      </w:r>
      <w:r w:rsidR="00263D54" w:rsidRPr="003C31B9">
        <w:rPr>
          <w:rFonts w:asciiTheme="majorBidi" w:hAnsiTheme="majorBidi" w:cstheme="majorBidi"/>
        </w:rPr>
        <w:t xml:space="preserve"> Hannah Arendt</w:t>
      </w:r>
      <w:r w:rsidR="00D5255E" w:rsidRPr="003C31B9">
        <w:rPr>
          <w:rFonts w:asciiTheme="majorBidi" w:hAnsiTheme="majorBidi" w:cstheme="majorBidi"/>
        </w:rPr>
        <w:t xml:space="preserve"> </w:t>
      </w:r>
      <w:r w:rsidR="00263D54" w:rsidRPr="003C31B9">
        <w:rPr>
          <w:rFonts w:asciiTheme="majorBidi" w:hAnsiTheme="majorBidi" w:cstheme="majorBidi"/>
        </w:rPr>
        <w:t>capture</w:t>
      </w:r>
      <w:r w:rsidR="00BF6592" w:rsidRPr="003C31B9">
        <w:rPr>
          <w:rFonts w:asciiTheme="majorBidi" w:hAnsiTheme="majorBidi" w:cstheme="majorBidi"/>
        </w:rPr>
        <w:t>d</w:t>
      </w:r>
      <w:r w:rsidR="00263D54" w:rsidRPr="003C31B9">
        <w:rPr>
          <w:rFonts w:asciiTheme="majorBidi" w:hAnsiTheme="majorBidi" w:cstheme="majorBidi"/>
        </w:rPr>
        <w:t xml:space="preserve"> the fundamental logic </w:t>
      </w:r>
      <w:r w:rsidR="00BA0C20">
        <w:rPr>
          <w:rFonts w:asciiTheme="majorBidi" w:hAnsiTheme="majorBidi" w:cstheme="majorBidi"/>
        </w:rPr>
        <w:t xml:space="preserve">behind the power of </w:t>
      </w:r>
      <w:r w:rsidR="00263D54" w:rsidRPr="003C31B9">
        <w:rPr>
          <w:rFonts w:asciiTheme="majorBidi" w:hAnsiTheme="majorBidi" w:cstheme="majorBidi"/>
        </w:rPr>
        <w:t xml:space="preserve">this connection: </w:t>
      </w:r>
      <w:r w:rsidR="00D5255E" w:rsidRPr="003C31B9">
        <w:rPr>
          <w:rFonts w:asciiTheme="majorBidi" w:hAnsiTheme="majorBidi" w:cstheme="majorBidi"/>
        </w:rPr>
        <w:t>“</w:t>
      </w:r>
      <w:r w:rsidRPr="003C31B9">
        <w:rPr>
          <w:rFonts w:asciiTheme="majorBidi" w:hAnsiTheme="majorBidi" w:cstheme="majorBidi"/>
        </w:rPr>
        <w:t>The whole factual world of human affairs depends for its reality and its continued existence, first, upon the presence of others who have heard and seen and will remember, and second, on the transformation of the intangible into the tangibility of things</w:t>
      </w:r>
      <w:r w:rsidR="009A61BF">
        <w:rPr>
          <w:rFonts w:asciiTheme="majorBidi" w:hAnsiTheme="majorBidi" w:cstheme="majorBidi"/>
        </w:rPr>
        <w:t>.</w:t>
      </w:r>
      <w:r w:rsidR="00D5255E" w:rsidRPr="003C31B9">
        <w:rPr>
          <w:rFonts w:asciiTheme="majorBidi" w:hAnsiTheme="majorBidi" w:cstheme="majorBidi"/>
        </w:rPr>
        <w:t>”</w:t>
      </w:r>
      <w:r w:rsidR="009A61BF">
        <w:rPr>
          <w:rStyle w:val="EndnoteReference"/>
          <w:rFonts w:asciiTheme="majorBidi" w:hAnsiTheme="majorBidi" w:cstheme="majorBidi"/>
        </w:rPr>
        <w:endnoteReference w:id="51"/>
      </w:r>
      <w:r w:rsidR="001D43F5">
        <w:rPr>
          <w:rFonts w:asciiTheme="majorBidi" w:hAnsiTheme="majorBidi" w:cstheme="majorBidi"/>
        </w:rPr>
        <w:t xml:space="preserve"> </w:t>
      </w:r>
      <w:r w:rsidR="00D5255E" w:rsidRPr="003C31B9">
        <w:rPr>
          <w:rFonts w:asciiTheme="majorBidi" w:hAnsiTheme="majorBidi" w:cstheme="majorBidi"/>
        </w:rPr>
        <w:t>This</w:t>
      </w:r>
      <w:r w:rsidRPr="003C31B9">
        <w:rPr>
          <w:rFonts w:asciiTheme="majorBidi" w:hAnsiTheme="majorBidi" w:cstheme="majorBidi"/>
        </w:rPr>
        <w:t xml:space="preserve"> explains why genocid</w:t>
      </w:r>
      <w:r w:rsidR="00D5255E" w:rsidRPr="003C31B9">
        <w:rPr>
          <w:rFonts w:asciiTheme="majorBidi" w:hAnsiTheme="majorBidi" w:cstheme="majorBidi"/>
        </w:rPr>
        <w:t>al campaigns “</w:t>
      </w:r>
      <w:r w:rsidRPr="003C31B9">
        <w:rPr>
          <w:rFonts w:asciiTheme="majorBidi" w:hAnsiTheme="majorBidi" w:cstheme="majorBidi"/>
        </w:rPr>
        <w:t>inevitably wage war on material culture, why buildings are also seen as the enemy, and their death and humiliation every bit as necessary as those of enemy groups</w:t>
      </w:r>
      <w:r w:rsidR="004F5FA1">
        <w:rPr>
          <w:rFonts w:asciiTheme="majorBidi" w:hAnsiTheme="majorBidi" w:cstheme="majorBidi"/>
        </w:rPr>
        <w:t>.</w:t>
      </w:r>
      <w:r w:rsidRPr="003C31B9">
        <w:rPr>
          <w:rFonts w:asciiTheme="majorBidi" w:hAnsiTheme="majorBidi" w:cstheme="majorBidi"/>
        </w:rPr>
        <w:t>”</w:t>
      </w:r>
      <w:r w:rsidR="004F5FA1">
        <w:rPr>
          <w:rStyle w:val="EndnoteReference"/>
          <w:rFonts w:asciiTheme="majorBidi" w:hAnsiTheme="majorBidi" w:cstheme="majorBidi"/>
        </w:rPr>
        <w:endnoteReference w:id="52"/>
      </w:r>
    </w:p>
    <w:p w14:paraId="1E00E3D7" w14:textId="0D891DC7" w:rsidR="003572C8" w:rsidRDefault="00326573" w:rsidP="00F4698F">
      <w:pPr>
        <w:spacing w:line="480" w:lineRule="auto"/>
        <w:rPr>
          <w:rFonts w:asciiTheme="majorBidi" w:hAnsiTheme="majorBidi" w:cstheme="majorBidi"/>
        </w:rPr>
      </w:pPr>
      <w:r w:rsidRPr="003C31B9">
        <w:rPr>
          <w:rFonts w:asciiTheme="majorBidi" w:hAnsiTheme="majorBidi" w:cstheme="majorBidi"/>
        </w:rPr>
        <w:tab/>
        <w:t>This connection</w:t>
      </w:r>
      <w:r w:rsidR="00035578" w:rsidRPr="003C31B9">
        <w:rPr>
          <w:rFonts w:asciiTheme="majorBidi" w:hAnsiTheme="majorBidi" w:cstheme="majorBidi"/>
        </w:rPr>
        <w:t xml:space="preserve"> lies at the heart </w:t>
      </w:r>
      <w:r w:rsidRPr="003C31B9">
        <w:rPr>
          <w:rFonts w:asciiTheme="majorBidi" w:hAnsiTheme="majorBidi" w:cstheme="majorBidi"/>
        </w:rPr>
        <w:t xml:space="preserve">of </w:t>
      </w:r>
      <w:r w:rsidR="003D60AA">
        <w:rPr>
          <w:rFonts w:asciiTheme="majorBidi" w:hAnsiTheme="majorBidi" w:cstheme="majorBidi"/>
        </w:rPr>
        <w:t>Da’esh</w:t>
      </w:r>
      <w:r w:rsidRPr="003C31B9">
        <w:rPr>
          <w:rFonts w:asciiTheme="majorBidi" w:hAnsiTheme="majorBidi" w:cstheme="majorBidi"/>
        </w:rPr>
        <w:t xml:space="preserve">’s performative destruction of cultural heritage </w:t>
      </w:r>
      <w:r w:rsidR="00035578" w:rsidRPr="003C31B9">
        <w:rPr>
          <w:rFonts w:asciiTheme="majorBidi" w:hAnsiTheme="majorBidi" w:cstheme="majorBidi"/>
        </w:rPr>
        <w:t xml:space="preserve">in Syria and Iraq. </w:t>
      </w:r>
      <w:r w:rsidR="00BF6592" w:rsidRPr="003C31B9">
        <w:rPr>
          <w:rFonts w:asciiTheme="majorBidi" w:hAnsiTheme="majorBidi" w:cstheme="majorBidi"/>
        </w:rPr>
        <w:t xml:space="preserve">The uncomfortable truth is that performative destruction works </w:t>
      </w:r>
      <w:r w:rsidR="001F3B1F" w:rsidRPr="003C31B9">
        <w:rPr>
          <w:rFonts w:asciiTheme="majorBidi" w:hAnsiTheme="majorBidi" w:cstheme="majorBidi"/>
        </w:rPr>
        <w:t>disturbingly</w:t>
      </w:r>
      <w:r w:rsidR="00BF6592" w:rsidRPr="003C31B9">
        <w:rPr>
          <w:rFonts w:asciiTheme="majorBidi" w:hAnsiTheme="majorBidi" w:cstheme="majorBidi"/>
        </w:rPr>
        <w:t xml:space="preserve"> well as a tool of propaganda and warfare for extremist groups. It was highly effective as a </w:t>
      </w:r>
      <w:r w:rsidR="00BF6592" w:rsidRPr="003C31B9">
        <w:rPr>
          <w:rFonts w:asciiTheme="majorBidi" w:hAnsiTheme="majorBidi" w:cstheme="majorBidi"/>
        </w:rPr>
        <w:lastRenderedPageBreak/>
        <w:t xml:space="preserve">recruiting tool for </w:t>
      </w:r>
      <w:r w:rsidR="003D60AA">
        <w:rPr>
          <w:rFonts w:asciiTheme="majorBidi" w:hAnsiTheme="majorBidi" w:cstheme="majorBidi"/>
        </w:rPr>
        <w:t>Da’esh</w:t>
      </w:r>
      <w:r w:rsidR="00BF6592" w:rsidRPr="003C31B9">
        <w:rPr>
          <w:rFonts w:asciiTheme="majorBidi" w:hAnsiTheme="majorBidi" w:cstheme="majorBidi"/>
        </w:rPr>
        <w:t xml:space="preserve">, </w:t>
      </w:r>
      <w:r w:rsidR="001F3B1F" w:rsidRPr="003C31B9">
        <w:rPr>
          <w:rFonts w:asciiTheme="majorBidi" w:hAnsiTheme="majorBidi" w:cstheme="majorBidi"/>
        </w:rPr>
        <w:t xml:space="preserve">who used it to </w:t>
      </w:r>
      <w:r w:rsidR="00BF6592" w:rsidRPr="003C31B9">
        <w:rPr>
          <w:rFonts w:asciiTheme="majorBidi" w:hAnsiTheme="majorBidi" w:cstheme="majorBidi"/>
        </w:rPr>
        <w:t xml:space="preserve">attract </w:t>
      </w:r>
      <w:r w:rsidR="009C6CE9" w:rsidRPr="003C31B9">
        <w:rPr>
          <w:rFonts w:asciiTheme="majorBidi" w:hAnsiTheme="majorBidi" w:cstheme="majorBidi"/>
        </w:rPr>
        <w:t xml:space="preserve">roughly </w:t>
      </w:r>
      <w:r w:rsidR="004F5FA1">
        <w:rPr>
          <w:rFonts w:asciiTheme="majorBidi" w:hAnsiTheme="majorBidi" w:cstheme="majorBidi"/>
        </w:rPr>
        <w:t>forty thousand</w:t>
      </w:r>
      <w:r w:rsidR="00BF6592" w:rsidRPr="003C31B9">
        <w:rPr>
          <w:rFonts w:asciiTheme="majorBidi" w:hAnsiTheme="majorBidi" w:cstheme="majorBidi"/>
        </w:rPr>
        <w:t xml:space="preserve"> people </w:t>
      </w:r>
      <w:r w:rsidR="009C6CE9" w:rsidRPr="003C31B9">
        <w:rPr>
          <w:rFonts w:asciiTheme="majorBidi" w:hAnsiTheme="majorBidi" w:cstheme="majorBidi"/>
        </w:rPr>
        <w:t xml:space="preserve">from 110 countries </w:t>
      </w:r>
      <w:r w:rsidR="00BF6592" w:rsidRPr="003C31B9">
        <w:rPr>
          <w:rFonts w:asciiTheme="majorBidi" w:hAnsiTheme="majorBidi" w:cstheme="majorBidi"/>
        </w:rPr>
        <w:t xml:space="preserve">to come to Syria </w:t>
      </w:r>
      <w:r w:rsidR="00CA6371">
        <w:rPr>
          <w:rFonts w:asciiTheme="majorBidi" w:hAnsiTheme="majorBidi" w:cstheme="majorBidi"/>
        </w:rPr>
        <w:t>and</w:t>
      </w:r>
      <w:r w:rsidR="00CA6371" w:rsidRPr="003C31B9">
        <w:rPr>
          <w:rFonts w:asciiTheme="majorBidi" w:hAnsiTheme="majorBidi" w:cstheme="majorBidi"/>
        </w:rPr>
        <w:t xml:space="preserve"> </w:t>
      </w:r>
      <w:r w:rsidR="00BF6592" w:rsidRPr="003C31B9">
        <w:rPr>
          <w:rFonts w:asciiTheme="majorBidi" w:hAnsiTheme="majorBidi" w:cstheme="majorBidi"/>
        </w:rPr>
        <w:t>join the caliphate.</w:t>
      </w:r>
      <w:r w:rsidR="004F5FA1">
        <w:rPr>
          <w:rStyle w:val="EndnoteReference"/>
          <w:rFonts w:asciiTheme="majorBidi" w:hAnsiTheme="majorBidi" w:cstheme="majorBidi"/>
        </w:rPr>
        <w:endnoteReference w:id="53"/>
      </w:r>
      <w:r w:rsidR="00BF6592" w:rsidRPr="003C31B9">
        <w:rPr>
          <w:rFonts w:asciiTheme="majorBidi" w:hAnsiTheme="majorBidi" w:cstheme="majorBidi"/>
        </w:rPr>
        <w:t xml:space="preserve"> </w:t>
      </w:r>
      <w:r w:rsidR="001F568B" w:rsidRPr="003C31B9">
        <w:rPr>
          <w:rFonts w:asciiTheme="majorBidi" w:hAnsiTheme="majorBidi" w:cstheme="majorBidi"/>
        </w:rPr>
        <w:t xml:space="preserve">The global reach of the </w:t>
      </w:r>
      <w:r w:rsidR="00F70ED9">
        <w:rPr>
          <w:rFonts w:asciiTheme="majorBidi" w:hAnsiTheme="majorBidi" w:cstheme="majorBidi"/>
        </w:rPr>
        <w:t>Internet</w:t>
      </w:r>
      <w:r w:rsidR="001F568B" w:rsidRPr="003C31B9">
        <w:rPr>
          <w:rFonts w:asciiTheme="majorBidi" w:hAnsiTheme="majorBidi" w:cstheme="majorBidi"/>
        </w:rPr>
        <w:t xml:space="preserve"> combined with the strong emotional impact of video imagery gave </w:t>
      </w:r>
      <w:r w:rsidR="003D60AA">
        <w:rPr>
          <w:rFonts w:asciiTheme="majorBidi" w:hAnsiTheme="majorBidi" w:cstheme="majorBidi"/>
        </w:rPr>
        <w:t>Da’esh</w:t>
      </w:r>
      <w:r w:rsidR="001F568B" w:rsidRPr="003C31B9">
        <w:rPr>
          <w:rFonts w:asciiTheme="majorBidi" w:hAnsiTheme="majorBidi" w:cstheme="majorBidi"/>
        </w:rPr>
        <w:t xml:space="preserve"> a vastly larger</w:t>
      </w:r>
      <w:r w:rsidR="000416E2">
        <w:rPr>
          <w:rFonts w:asciiTheme="majorBidi" w:hAnsiTheme="majorBidi" w:cstheme="majorBidi"/>
        </w:rPr>
        <w:t xml:space="preserve"> and more</w:t>
      </w:r>
      <w:r w:rsidR="001F3B1F" w:rsidRPr="003C31B9">
        <w:rPr>
          <w:rFonts w:asciiTheme="majorBidi" w:hAnsiTheme="majorBidi" w:cstheme="majorBidi"/>
        </w:rPr>
        <w:t xml:space="preserve"> diverse </w:t>
      </w:r>
      <w:r w:rsidR="001F568B" w:rsidRPr="003C31B9">
        <w:rPr>
          <w:rFonts w:asciiTheme="majorBidi" w:hAnsiTheme="majorBidi" w:cstheme="majorBidi"/>
        </w:rPr>
        <w:t>audience</w:t>
      </w:r>
      <w:r w:rsidR="00097F40">
        <w:rPr>
          <w:rFonts w:asciiTheme="majorBidi" w:hAnsiTheme="majorBidi" w:cstheme="majorBidi"/>
        </w:rPr>
        <w:t xml:space="preserve"> than it could otherwise have achieved</w:t>
      </w:r>
      <w:r w:rsidR="001F568B" w:rsidRPr="003C31B9">
        <w:rPr>
          <w:rFonts w:asciiTheme="majorBidi" w:hAnsiTheme="majorBidi" w:cstheme="majorBidi"/>
        </w:rPr>
        <w:t xml:space="preserve">, and dramatically amplified the intensity of its ideological messages for friends and foes alike. </w:t>
      </w:r>
    </w:p>
    <w:p w14:paraId="7CCA6712" w14:textId="6E8D6636" w:rsidR="00FD34F9" w:rsidRPr="003C31B9" w:rsidRDefault="00FD34F9" w:rsidP="00F4698F">
      <w:pPr>
        <w:spacing w:line="480" w:lineRule="auto"/>
        <w:rPr>
          <w:rFonts w:asciiTheme="majorBidi" w:hAnsiTheme="majorBidi" w:cstheme="majorBidi"/>
        </w:rPr>
      </w:pPr>
      <w:r>
        <w:rPr>
          <w:rFonts w:asciiTheme="majorBidi" w:hAnsiTheme="majorBidi" w:cstheme="majorBidi"/>
        </w:rPr>
        <w:tab/>
        <w:t xml:space="preserve">The paradox of Da’esh’s performative destruction is jarring </w:t>
      </w:r>
      <w:r w:rsidR="00950B86">
        <w:rPr>
          <w:rFonts w:asciiTheme="majorBidi" w:hAnsiTheme="majorBidi" w:cstheme="majorBidi"/>
        </w:rPr>
        <w:t xml:space="preserve">in that </w:t>
      </w:r>
      <w:r>
        <w:rPr>
          <w:rFonts w:asciiTheme="majorBidi" w:hAnsiTheme="majorBidi" w:cstheme="majorBidi"/>
        </w:rPr>
        <w:t xml:space="preserve">it merges the most </w:t>
      </w:r>
      <w:r w:rsidR="00AF222B">
        <w:rPr>
          <w:rFonts w:asciiTheme="majorBidi" w:hAnsiTheme="majorBidi" w:cstheme="majorBidi"/>
        </w:rPr>
        <w:t xml:space="preserve">modern </w:t>
      </w:r>
      <w:r>
        <w:rPr>
          <w:rFonts w:asciiTheme="majorBidi" w:hAnsiTheme="majorBidi" w:cstheme="majorBidi"/>
        </w:rPr>
        <w:t xml:space="preserve">multimedia communication technologies with religious ideologies that explicitly ground themselves </w:t>
      </w:r>
      <w:r w:rsidR="00434533">
        <w:rPr>
          <w:rFonts w:asciiTheme="majorBidi" w:hAnsiTheme="majorBidi" w:cstheme="majorBidi"/>
        </w:rPr>
        <w:t>1,400 years in the past</w:t>
      </w:r>
      <w:r w:rsidR="00950B86">
        <w:rPr>
          <w:rFonts w:asciiTheme="majorBidi" w:hAnsiTheme="majorBidi" w:cstheme="majorBidi"/>
        </w:rPr>
        <w:t>—</w:t>
      </w:r>
      <w:r>
        <w:rPr>
          <w:rFonts w:asciiTheme="majorBidi" w:hAnsiTheme="majorBidi" w:cstheme="majorBidi"/>
        </w:rPr>
        <w:t xml:space="preserve">in the seventh century CE origins of Islam. </w:t>
      </w:r>
      <w:r w:rsidR="007A70AC">
        <w:rPr>
          <w:rFonts w:asciiTheme="majorBidi" w:hAnsiTheme="majorBidi" w:cstheme="majorBidi"/>
        </w:rPr>
        <w:t xml:space="preserve">This </w:t>
      </w:r>
      <w:r w:rsidR="00434533">
        <w:rPr>
          <w:rFonts w:asciiTheme="majorBidi" w:hAnsiTheme="majorBidi" w:cstheme="majorBidi"/>
        </w:rPr>
        <w:t xml:space="preserve">kind of </w:t>
      </w:r>
      <w:r w:rsidR="007A70AC">
        <w:rPr>
          <w:rFonts w:asciiTheme="majorBidi" w:hAnsiTheme="majorBidi" w:cstheme="majorBidi"/>
        </w:rPr>
        <w:t xml:space="preserve">fusion </w:t>
      </w:r>
      <w:r w:rsidR="0060429A">
        <w:rPr>
          <w:rFonts w:asciiTheme="majorBidi" w:hAnsiTheme="majorBidi" w:cstheme="majorBidi"/>
        </w:rPr>
        <w:t xml:space="preserve">has </w:t>
      </w:r>
      <w:r w:rsidR="007A70AC">
        <w:rPr>
          <w:rFonts w:asciiTheme="majorBidi" w:hAnsiTheme="majorBidi" w:cstheme="majorBidi"/>
        </w:rPr>
        <w:t>only bec</w:t>
      </w:r>
      <w:r w:rsidR="0060429A">
        <w:rPr>
          <w:rFonts w:asciiTheme="majorBidi" w:hAnsiTheme="majorBidi" w:cstheme="majorBidi"/>
        </w:rPr>
        <w:t>o</w:t>
      </w:r>
      <w:r w:rsidR="007A70AC">
        <w:rPr>
          <w:rFonts w:asciiTheme="majorBidi" w:hAnsiTheme="majorBidi" w:cstheme="majorBidi"/>
        </w:rPr>
        <w:t xml:space="preserve">me possible within the last two decades. </w:t>
      </w:r>
      <w:r w:rsidR="004B316E">
        <w:rPr>
          <w:rFonts w:asciiTheme="majorBidi" w:hAnsiTheme="majorBidi" w:cstheme="majorBidi"/>
        </w:rPr>
        <w:t>Acts of terrorism and heritage destruction had been publicized by earlier groups</w:t>
      </w:r>
      <w:r w:rsidR="00950B86">
        <w:rPr>
          <w:rFonts w:asciiTheme="majorBidi" w:hAnsiTheme="majorBidi" w:cstheme="majorBidi"/>
        </w:rPr>
        <w:t>,</w:t>
      </w:r>
      <w:r w:rsidR="004B316E">
        <w:rPr>
          <w:rFonts w:asciiTheme="majorBidi" w:hAnsiTheme="majorBidi" w:cstheme="majorBidi"/>
        </w:rPr>
        <w:t xml:space="preserve"> such as the Taliban in their demolition of the Bamiyan Buddhas</w:t>
      </w:r>
      <w:r w:rsidR="00434533">
        <w:rPr>
          <w:rFonts w:asciiTheme="majorBidi" w:hAnsiTheme="majorBidi" w:cstheme="majorBidi"/>
        </w:rPr>
        <w:t xml:space="preserve"> in 2001</w:t>
      </w:r>
      <w:r w:rsidR="004B316E">
        <w:rPr>
          <w:rFonts w:asciiTheme="majorBidi" w:hAnsiTheme="majorBidi" w:cstheme="majorBidi"/>
        </w:rPr>
        <w:t xml:space="preserve">. However, the </w:t>
      </w:r>
      <w:r w:rsidR="00750192">
        <w:rPr>
          <w:rFonts w:asciiTheme="majorBidi" w:hAnsiTheme="majorBidi" w:cstheme="majorBidi"/>
        </w:rPr>
        <w:t xml:space="preserve">viral </w:t>
      </w:r>
      <w:r w:rsidR="00950B86">
        <w:rPr>
          <w:rFonts w:asciiTheme="majorBidi" w:hAnsiTheme="majorBidi" w:cstheme="majorBidi"/>
        </w:rPr>
        <w:t xml:space="preserve">capabilities </w:t>
      </w:r>
      <w:r w:rsidR="004B316E">
        <w:rPr>
          <w:rFonts w:asciiTheme="majorBidi" w:hAnsiTheme="majorBidi" w:cstheme="majorBidi"/>
        </w:rPr>
        <w:t xml:space="preserve">of the </w:t>
      </w:r>
      <w:r w:rsidR="00F70ED9">
        <w:rPr>
          <w:rFonts w:asciiTheme="majorBidi" w:hAnsiTheme="majorBidi" w:cstheme="majorBidi"/>
        </w:rPr>
        <w:t>Internet</w:t>
      </w:r>
      <w:r w:rsidR="004B316E">
        <w:rPr>
          <w:rFonts w:asciiTheme="majorBidi" w:hAnsiTheme="majorBidi" w:cstheme="majorBidi"/>
        </w:rPr>
        <w:t xml:space="preserve"> enabled Da’esh to reach more people than any militant group before</w:t>
      </w:r>
      <w:r w:rsidR="0062340A">
        <w:rPr>
          <w:rFonts w:asciiTheme="majorBidi" w:hAnsiTheme="majorBidi" w:cstheme="majorBidi"/>
        </w:rPr>
        <w:t xml:space="preserve"> </w:t>
      </w:r>
      <w:r w:rsidR="007A70AC">
        <w:rPr>
          <w:rFonts w:asciiTheme="majorBidi" w:hAnsiTheme="majorBidi" w:cstheme="majorBidi"/>
        </w:rPr>
        <w:t xml:space="preserve">and </w:t>
      </w:r>
      <w:r w:rsidR="0062340A">
        <w:rPr>
          <w:rFonts w:asciiTheme="majorBidi" w:hAnsiTheme="majorBidi" w:cstheme="majorBidi"/>
        </w:rPr>
        <w:t xml:space="preserve">to do so </w:t>
      </w:r>
      <w:r w:rsidR="007A70AC">
        <w:rPr>
          <w:rFonts w:asciiTheme="majorBidi" w:hAnsiTheme="majorBidi" w:cstheme="majorBidi"/>
        </w:rPr>
        <w:t>with great effectiveness</w:t>
      </w:r>
      <w:r w:rsidR="004B316E">
        <w:rPr>
          <w:rFonts w:asciiTheme="majorBidi" w:hAnsiTheme="majorBidi" w:cstheme="majorBidi"/>
        </w:rPr>
        <w:t xml:space="preserve">. </w:t>
      </w:r>
      <w:r>
        <w:rPr>
          <w:rFonts w:asciiTheme="majorBidi" w:hAnsiTheme="majorBidi" w:cstheme="majorBidi"/>
        </w:rPr>
        <w:t xml:space="preserve">Da’esh </w:t>
      </w:r>
      <w:r w:rsidR="004B316E">
        <w:rPr>
          <w:rFonts w:asciiTheme="majorBidi" w:hAnsiTheme="majorBidi" w:cstheme="majorBidi"/>
        </w:rPr>
        <w:t xml:space="preserve">showed </w:t>
      </w:r>
      <w:r w:rsidR="008471D3">
        <w:rPr>
          <w:rFonts w:asciiTheme="majorBidi" w:hAnsiTheme="majorBidi" w:cstheme="majorBidi"/>
        </w:rPr>
        <w:t xml:space="preserve">a high degree of </w:t>
      </w:r>
      <w:r w:rsidR="004B316E">
        <w:rPr>
          <w:rFonts w:asciiTheme="majorBidi" w:hAnsiTheme="majorBidi" w:cstheme="majorBidi"/>
        </w:rPr>
        <w:t xml:space="preserve">sophistication in integrating print media (its paper and online magazine </w:t>
      </w:r>
      <w:r w:rsidR="004B316E" w:rsidRPr="00E266A7">
        <w:rPr>
          <w:rFonts w:asciiTheme="majorBidi" w:hAnsiTheme="majorBidi" w:cstheme="majorBidi"/>
          <w:i/>
          <w:iCs/>
        </w:rPr>
        <w:t>Dabiq</w:t>
      </w:r>
      <w:r w:rsidR="004B316E">
        <w:rPr>
          <w:rFonts w:asciiTheme="majorBidi" w:hAnsiTheme="majorBidi" w:cstheme="majorBidi"/>
        </w:rPr>
        <w:t>), well-produced video clips of executions and heritage destruction, and the power of the spoken word</w:t>
      </w:r>
      <w:r w:rsidR="007961AC">
        <w:rPr>
          <w:rFonts w:asciiTheme="majorBidi" w:hAnsiTheme="majorBidi" w:cstheme="majorBidi"/>
        </w:rPr>
        <w:t>—</w:t>
      </w:r>
      <w:r w:rsidR="00434533">
        <w:rPr>
          <w:rFonts w:asciiTheme="majorBidi" w:hAnsiTheme="majorBidi" w:cstheme="majorBidi"/>
        </w:rPr>
        <w:t xml:space="preserve">as can be heard </w:t>
      </w:r>
      <w:r w:rsidR="004B316E">
        <w:rPr>
          <w:rFonts w:asciiTheme="majorBidi" w:hAnsiTheme="majorBidi" w:cstheme="majorBidi"/>
        </w:rPr>
        <w:t xml:space="preserve">in the Quranic recitations </w:t>
      </w:r>
      <w:r w:rsidR="00750192">
        <w:rPr>
          <w:rFonts w:asciiTheme="majorBidi" w:hAnsiTheme="majorBidi" w:cstheme="majorBidi"/>
        </w:rPr>
        <w:t xml:space="preserve">in the video </w:t>
      </w:r>
      <w:r w:rsidR="004B316E">
        <w:rPr>
          <w:rFonts w:asciiTheme="majorBidi" w:hAnsiTheme="majorBidi" w:cstheme="majorBidi"/>
        </w:rPr>
        <w:t xml:space="preserve">soundtracks. </w:t>
      </w:r>
      <w:r w:rsidR="007A70AC">
        <w:rPr>
          <w:rFonts w:asciiTheme="majorBidi" w:hAnsiTheme="majorBidi" w:cstheme="majorBidi"/>
        </w:rPr>
        <w:t xml:space="preserve">Da’esh reached </w:t>
      </w:r>
      <w:r w:rsidR="00434533">
        <w:rPr>
          <w:rFonts w:asciiTheme="majorBidi" w:hAnsiTheme="majorBidi" w:cstheme="majorBidi"/>
        </w:rPr>
        <w:t>large</w:t>
      </w:r>
      <w:r w:rsidR="007A70AC">
        <w:rPr>
          <w:rFonts w:asciiTheme="majorBidi" w:hAnsiTheme="majorBidi" w:cstheme="majorBidi"/>
        </w:rPr>
        <w:t xml:space="preserve"> numbers of people</w:t>
      </w:r>
      <w:r w:rsidR="00CC50DD">
        <w:rPr>
          <w:rFonts w:asciiTheme="majorBidi" w:hAnsiTheme="majorBidi" w:cstheme="majorBidi"/>
        </w:rPr>
        <w:t xml:space="preserve"> comprising </w:t>
      </w:r>
      <w:r w:rsidR="007A70AC">
        <w:rPr>
          <w:rFonts w:asciiTheme="majorBidi" w:hAnsiTheme="majorBidi" w:cstheme="majorBidi"/>
        </w:rPr>
        <w:t xml:space="preserve">very different </w:t>
      </w:r>
      <w:r w:rsidR="007A70AC" w:rsidRPr="009E063C">
        <w:rPr>
          <w:rFonts w:asciiTheme="majorBidi" w:hAnsiTheme="majorBidi" w:cstheme="majorBidi"/>
        </w:rPr>
        <w:t>audiences</w:t>
      </w:r>
      <w:r w:rsidR="007A70AC">
        <w:rPr>
          <w:rFonts w:asciiTheme="majorBidi" w:hAnsiTheme="majorBidi" w:cstheme="majorBidi"/>
        </w:rPr>
        <w:t xml:space="preserve">: supporters to be kept informed, potential supporters to be recruited, and enemies to be polarized and intimidated. The nonhierarchical organization of the </w:t>
      </w:r>
      <w:r w:rsidR="00F70ED9">
        <w:rPr>
          <w:rFonts w:asciiTheme="majorBidi" w:hAnsiTheme="majorBidi" w:cstheme="majorBidi"/>
        </w:rPr>
        <w:t>Internet</w:t>
      </w:r>
      <w:r w:rsidR="007A70AC">
        <w:rPr>
          <w:rFonts w:asciiTheme="majorBidi" w:hAnsiTheme="majorBidi" w:cstheme="majorBidi"/>
        </w:rPr>
        <w:t xml:space="preserve"> made it extremely difficult to block or suppress Da’esh’s messages</w:t>
      </w:r>
      <w:r w:rsidR="003C6265">
        <w:rPr>
          <w:rFonts w:asciiTheme="majorBidi" w:hAnsiTheme="majorBidi" w:cstheme="majorBidi"/>
        </w:rPr>
        <w:t>:</w:t>
      </w:r>
      <w:r w:rsidR="007A70AC">
        <w:rPr>
          <w:rFonts w:asciiTheme="majorBidi" w:hAnsiTheme="majorBidi" w:cstheme="majorBidi"/>
        </w:rPr>
        <w:t xml:space="preserve"> </w:t>
      </w:r>
      <w:r w:rsidR="003C6265">
        <w:rPr>
          <w:rFonts w:asciiTheme="majorBidi" w:hAnsiTheme="majorBidi" w:cstheme="majorBidi"/>
        </w:rPr>
        <w:t>w</w:t>
      </w:r>
      <w:r w:rsidR="007A70AC">
        <w:rPr>
          <w:rFonts w:asciiTheme="majorBidi" w:hAnsiTheme="majorBidi" w:cstheme="majorBidi"/>
        </w:rPr>
        <w:t xml:space="preserve">hen </w:t>
      </w:r>
      <w:r w:rsidR="0060429A">
        <w:rPr>
          <w:rFonts w:asciiTheme="majorBidi" w:hAnsiTheme="majorBidi" w:cstheme="majorBidi"/>
        </w:rPr>
        <w:t>they</w:t>
      </w:r>
      <w:r w:rsidR="007A70AC">
        <w:rPr>
          <w:rFonts w:asciiTheme="majorBidi" w:hAnsiTheme="majorBidi" w:cstheme="majorBidi"/>
        </w:rPr>
        <w:t xml:space="preserve"> were removed from one platform, followers and supporters download</w:t>
      </w:r>
      <w:r w:rsidR="00CC50DD">
        <w:rPr>
          <w:rFonts w:asciiTheme="majorBidi" w:hAnsiTheme="majorBidi" w:cstheme="majorBidi"/>
        </w:rPr>
        <w:t xml:space="preserve">ed </w:t>
      </w:r>
      <w:r w:rsidR="007A70AC">
        <w:rPr>
          <w:rFonts w:asciiTheme="majorBidi" w:hAnsiTheme="majorBidi" w:cstheme="majorBidi"/>
        </w:rPr>
        <w:t>and recirculate</w:t>
      </w:r>
      <w:r w:rsidR="00CC50DD">
        <w:rPr>
          <w:rFonts w:asciiTheme="majorBidi" w:hAnsiTheme="majorBidi" w:cstheme="majorBidi"/>
        </w:rPr>
        <w:t xml:space="preserve">d </w:t>
      </w:r>
      <w:r w:rsidR="007A70AC">
        <w:rPr>
          <w:rFonts w:asciiTheme="majorBidi" w:hAnsiTheme="majorBidi" w:cstheme="majorBidi"/>
        </w:rPr>
        <w:t>the</w:t>
      </w:r>
      <w:r w:rsidR="00434533">
        <w:rPr>
          <w:rFonts w:asciiTheme="majorBidi" w:hAnsiTheme="majorBidi" w:cstheme="majorBidi"/>
        </w:rPr>
        <w:t xml:space="preserve"> </w:t>
      </w:r>
      <w:r w:rsidR="00CC50DD">
        <w:rPr>
          <w:rFonts w:asciiTheme="majorBidi" w:hAnsiTheme="majorBidi" w:cstheme="majorBidi"/>
        </w:rPr>
        <w:t>content</w:t>
      </w:r>
      <w:r w:rsidR="007A70AC">
        <w:rPr>
          <w:rFonts w:asciiTheme="majorBidi" w:hAnsiTheme="majorBidi" w:cstheme="majorBidi"/>
        </w:rPr>
        <w:t xml:space="preserve"> th</w:t>
      </w:r>
      <w:r w:rsidR="007961AC">
        <w:rPr>
          <w:rFonts w:asciiTheme="majorBidi" w:hAnsiTheme="majorBidi" w:cstheme="majorBidi"/>
        </w:rPr>
        <w:t>r</w:t>
      </w:r>
      <w:r w:rsidR="007A70AC">
        <w:rPr>
          <w:rFonts w:asciiTheme="majorBidi" w:hAnsiTheme="majorBidi" w:cstheme="majorBidi"/>
        </w:rPr>
        <w:t xml:space="preserve">ough </w:t>
      </w:r>
      <w:r w:rsidR="0060429A">
        <w:rPr>
          <w:rFonts w:asciiTheme="majorBidi" w:hAnsiTheme="majorBidi" w:cstheme="majorBidi"/>
        </w:rPr>
        <w:t xml:space="preserve">more poorly </w:t>
      </w:r>
      <w:r w:rsidR="007A70AC">
        <w:rPr>
          <w:rFonts w:asciiTheme="majorBidi" w:hAnsiTheme="majorBidi" w:cstheme="majorBidi"/>
        </w:rPr>
        <w:t xml:space="preserve">monitored </w:t>
      </w:r>
      <w:r w:rsidR="009E063C">
        <w:rPr>
          <w:rFonts w:asciiTheme="majorBidi" w:hAnsiTheme="majorBidi" w:cstheme="majorBidi"/>
        </w:rPr>
        <w:t xml:space="preserve">or </w:t>
      </w:r>
      <w:r w:rsidR="0060429A">
        <w:rPr>
          <w:rFonts w:asciiTheme="majorBidi" w:hAnsiTheme="majorBidi" w:cstheme="majorBidi"/>
        </w:rPr>
        <w:t xml:space="preserve">through </w:t>
      </w:r>
      <w:r w:rsidR="009E063C">
        <w:rPr>
          <w:rFonts w:asciiTheme="majorBidi" w:hAnsiTheme="majorBidi" w:cstheme="majorBidi"/>
        </w:rPr>
        <w:t xml:space="preserve">encrypted </w:t>
      </w:r>
      <w:r w:rsidR="00434533">
        <w:rPr>
          <w:rFonts w:asciiTheme="majorBidi" w:hAnsiTheme="majorBidi" w:cstheme="majorBidi"/>
        </w:rPr>
        <w:t xml:space="preserve">forms of social media. The decentralized character of modern violent extremism meshes perfectly with the decentralized organization of the </w:t>
      </w:r>
      <w:r w:rsidR="00F70ED9">
        <w:rPr>
          <w:rFonts w:asciiTheme="majorBidi" w:hAnsiTheme="majorBidi" w:cstheme="majorBidi"/>
        </w:rPr>
        <w:t>Internet</w:t>
      </w:r>
      <w:r w:rsidR="00434533">
        <w:rPr>
          <w:rFonts w:asciiTheme="majorBidi" w:hAnsiTheme="majorBidi" w:cstheme="majorBidi"/>
        </w:rPr>
        <w:t>; and this should be cause for deep concern.</w:t>
      </w:r>
    </w:p>
    <w:p w14:paraId="41AFD283" w14:textId="6936B5EA" w:rsidR="00584FDE" w:rsidRPr="003C31B9" w:rsidRDefault="00035578" w:rsidP="00F4698F">
      <w:pPr>
        <w:spacing w:line="480" w:lineRule="auto"/>
        <w:ind w:firstLine="432"/>
        <w:rPr>
          <w:rFonts w:asciiTheme="majorBidi" w:hAnsiTheme="majorBidi" w:cstheme="majorBidi"/>
        </w:rPr>
      </w:pPr>
      <w:r w:rsidRPr="003C31B9">
        <w:rPr>
          <w:rFonts w:asciiTheme="majorBidi" w:hAnsiTheme="majorBidi" w:cstheme="majorBidi"/>
        </w:rPr>
        <w:lastRenderedPageBreak/>
        <w:t xml:space="preserve">Even after the military defeat of the Islamic State and the </w:t>
      </w:r>
      <w:r w:rsidR="001F3B1F" w:rsidRPr="003C31B9">
        <w:rPr>
          <w:rFonts w:asciiTheme="majorBidi" w:hAnsiTheme="majorBidi" w:cstheme="majorBidi"/>
        </w:rPr>
        <w:t>destruction</w:t>
      </w:r>
      <w:r w:rsidRPr="003C31B9">
        <w:rPr>
          <w:rFonts w:asciiTheme="majorBidi" w:hAnsiTheme="majorBidi" w:cstheme="majorBidi"/>
        </w:rPr>
        <w:t xml:space="preserve"> of the </w:t>
      </w:r>
      <w:r w:rsidR="00A26F80">
        <w:rPr>
          <w:rFonts w:asciiTheme="majorBidi" w:hAnsiTheme="majorBidi" w:cstheme="majorBidi"/>
        </w:rPr>
        <w:t>c</w:t>
      </w:r>
      <w:r w:rsidRPr="003C31B9">
        <w:rPr>
          <w:rFonts w:asciiTheme="majorBidi" w:hAnsiTheme="majorBidi" w:cstheme="majorBidi"/>
        </w:rPr>
        <w:t xml:space="preserve">aliphate as a territorial polity, it is almost certain that this </w:t>
      </w:r>
      <w:r w:rsidR="001015AD">
        <w:rPr>
          <w:rFonts w:asciiTheme="majorBidi" w:hAnsiTheme="majorBidi" w:cstheme="majorBidi"/>
        </w:rPr>
        <w:t xml:space="preserve">innovative </w:t>
      </w:r>
      <w:r w:rsidRPr="003C31B9">
        <w:rPr>
          <w:rFonts w:asciiTheme="majorBidi" w:hAnsiTheme="majorBidi" w:cstheme="majorBidi"/>
        </w:rPr>
        <w:t xml:space="preserve">strategy of viral violence will allow </w:t>
      </w:r>
      <w:r w:rsidR="003D60AA">
        <w:rPr>
          <w:rFonts w:asciiTheme="majorBidi" w:hAnsiTheme="majorBidi" w:cstheme="majorBidi"/>
        </w:rPr>
        <w:t>Da’esh</w:t>
      </w:r>
      <w:r w:rsidRPr="003C31B9">
        <w:rPr>
          <w:rFonts w:asciiTheme="majorBidi" w:hAnsiTheme="majorBidi" w:cstheme="majorBidi"/>
        </w:rPr>
        <w:t xml:space="preserve"> to surviv</w:t>
      </w:r>
      <w:r w:rsidR="001015AD">
        <w:rPr>
          <w:rFonts w:asciiTheme="majorBidi" w:hAnsiTheme="majorBidi" w:cstheme="majorBidi"/>
        </w:rPr>
        <w:t>e, morph,</w:t>
      </w:r>
      <w:r w:rsidRPr="003C31B9">
        <w:rPr>
          <w:rFonts w:asciiTheme="majorBidi" w:hAnsiTheme="majorBidi" w:cstheme="majorBidi"/>
        </w:rPr>
        <w:t xml:space="preserve"> and reorganize in a new decentralized form that will be extremely difficult to counter or suppress</w:t>
      </w:r>
      <w:r w:rsidR="00A26F80">
        <w:rPr>
          <w:rFonts w:asciiTheme="majorBidi" w:hAnsiTheme="majorBidi" w:cstheme="majorBidi"/>
        </w:rPr>
        <w:t>.</w:t>
      </w:r>
      <w:r w:rsidR="00A26F80">
        <w:rPr>
          <w:rStyle w:val="EndnoteReference"/>
          <w:rFonts w:asciiTheme="majorBidi" w:hAnsiTheme="majorBidi" w:cstheme="majorBidi"/>
        </w:rPr>
        <w:endnoteReference w:id="54"/>
      </w:r>
      <w:r w:rsidRPr="003C31B9">
        <w:rPr>
          <w:rFonts w:asciiTheme="majorBidi" w:hAnsiTheme="majorBidi" w:cstheme="majorBidi"/>
        </w:rPr>
        <w:t xml:space="preserve"> </w:t>
      </w:r>
      <w:r w:rsidR="003C529E">
        <w:rPr>
          <w:rFonts w:asciiTheme="majorBidi" w:hAnsiTheme="majorBidi" w:cstheme="majorBidi"/>
        </w:rPr>
        <w:t>I</w:t>
      </w:r>
      <w:r w:rsidR="00584FDE" w:rsidRPr="003C31B9">
        <w:rPr>
          <w:rFonts w:asciiTheme="majorBidi" w:hAnsiTheme="majorBidi" w:cstheme="majorBidi"/>
        </w:rPr>
        <w:t>n their online</w:t>
      </w:r>
      <w:r w:rsidR="003C529E">
        <w:rPr>
          <w:rFonts w:asciiTheme="majorBidi" w:hAnsiTheme="majorBidi" w:cstheme="majorBidi"/>
        </w:rPr>
        <w:t>, post-caliphate</w:t>
      </w:r>
      <w:r w:rsidR="00584FDE" w:rsidRPr="003C31B9">
        <w:rPr>
          <w:rFonts w:asciiTheme="majorBidi" w:hAnsiTheme="majorBidi" w:cstheme="majorBidi"/>
        </w:rPr>
        <w:t xml:space="preserve"> life, </w:t>
      </w:r>
      <w:r w:rsidR="00A26F80">
        <w:rPr>
          <w:rFonts w:asciiTheme="majorBidi" w:hAnsiTheme="majorBidi" w:cstheme="majorBidi"/>
        </w:rPr>
        <w:t>Da’esh</w:t>
      </w:r>
      <w:r w:rsidR="00584FDE" w:rsidRPr="003C31B9">
        <w:rPr>
          <w:rFonts w:asciiTheme="majorBidi" w:hAnsiTheme="majorBidi" w:cstheme="majorBidi"/>
        </w:rPr>
        <w:t xml:space="preserve"> militants have become a community of</w:t>
      </w:r>
      <w:r w:rsidR="008B098E">
        <w:rPr>
          <w:rFonts w:asciiTheme="majorBidi" w:hAnsiTheme="majorBidi" w:cstheme="majorBidi"/>
        </w:rPr>
        <w:t xml:space="preserve"> </w:t>
      </w:r>
    </w:p>
    <w:p w14:paraId="06552012" w14:textId="25EE9296" w:rsidR="00584FDE" w:rsidRPr="003C31B9" w:rsidRDefault="00584FDE" w:rsidP="00F4698F">
      <w:pPr>
        <w:spacing w:line="480" w:lineRule="auto"/>
        <w:ind w:left="432"/>
        <w:rPr>
          <w:rFonts w:asciiTheme="majorBidi" w:eastAsiaTheme="minorHAnsi" w:hAnsiTheme="majorBidi" w:cstheme="majorBidi"/>
          <w:color w:val="211D1E"/>
        </w:rPr>
      </w:pPr>
      <w:r w:rsidRPr="003C31B9">
        <w:rPr>
          <w:rFonts w:asciiTheme="majorBidi" w:eastAsiaTheme="minorHAnsi" w:hAnsiTheme="majorBidi" w:cstheme="majorBidi"/>
          <w:color w:val="211D1E"/>
        </w:rPr>
        <w:t>con</w:t>
      </w:r>
      <w:r w:rsidR="00F4698F">
        <w:rPr>
          <w:rFonts w:asciiTheme="majorBidi" w:eastAsiaTheme="minorHAnsi" w:hAnsiTheme="majorBidi" w:cstheme="majorBidi"/>
          <w:color w:val="211D1E"/>
        </w:rPr>
        <w:t>n</w:t>
      </w:r>
      <w:r w:rsidRPr="003C31B9">
        <w:rPr>
          <w:rFonts w:asciiTheme="majorBidi" w:eastAsiaTheme="minorHAnsi" w:hAnsiTheme="majorBidi" w:cstheme="majorBidi"/>
          <w:color w:val="211D1E"/>
        </w:rPr>
        <w:t xml:space="preserve">ected content creators through the functionalities and reach of social media. During this time, IS’s </w:t>
      </w:r>
      <w:r w:rsidR="006C12C2">
        <w:rPr>
          <w:rFonts w:asciiTheme="majorBidi" w:eastAsiaTheme="minorHAnsi" w:hAnsiTheme="majorBidi" w:cstheme="majorBidi"/>
          <w:color w:val="211D1E"/>
        </w:rPr>
        <w:t xml:space="preserve">[Da’esh’s] </w:t>
      </w:r>
      <w:r w:rsidRPr="003C31B9">
        <w:rPr>
          <w:rFonts w:asciiTheme="majorBidi" w:eastAsiaTheme="minorHAnsi" w:hAnsiTheme="majorBidi" w:cstheme="majorBidi"/>
          <w:color w:val="211D1E"/>
        </w:rPr>
        <w:t>online responsivity to external events and interventions enabled it to make innovations at the collective level, such as multiplatform resource sharing, the move to encrypted messaging and chat rooms, and the use of shoutouts in response to suspensions, meaning that IS remained flexible, potent, and agentic online. Perhaps more significantly, through a combination of the affordances of social media (through which IS could satisfy supporters’ key instrumental, identity, and relational needs), the decentralized nature of the group, and the unique psychological processes that occur through online interactions, IS created a new and innovative form of online, shared social identity</w:t>
      </w:r>
      <w:r w:rsidRPr="00E266A7">
        <w:rPr>
          <w:rFonts w:asciiTheme="majorBidi" w:eastAsiaTheme="minorHAnsi" w:hAnsiTheme="majorBidi" w:cstheme="majorBidi"/>
          <w:color w:val="211D1E"/>
        </w:rPr>
        <w:t>.</w:t>
      </w:r>
      <w:r w:rsidR="001E71B8">
        <w:rPr>
          <w:rStyle w:val="EndnoteReference"/>
          <w:rFonts w:asciiTheme="majorBidi" w:eastAsiaTheme="minorHAnsi" w:hAnsiTheme="majorBidi" w:cstheme="majorBidi"/>
          <w:color w:val="211D1E"/>
        </w:rPr>
        <w:endnoteReference w:id="55"/>
      </w:r>
    </w:p>
    <w:p w14:paraId="4262C5A1" w14:textId="1E2B97E1" w:rsidR="001015AD" w:rsidRDefault="001015AD" w:rsidP="00F4698F">
      <w:pPr>
        <w:spacing w:line="480" w:lineRule="auto"/>
        <w:rPr>
          <w:rFonts w:asciiTheme="majorBidi" w:hAnsiTheme="majorBidi" w:cstheme="majorBidi"/>
        </w:rPr>
      </w:pPr>
      <w:r>
        <w:rPr>
          <w:rFonts w:asciiTheme="majorBidi" w:hAnsiTheme="majorBidi" w:cstheme="majorBidi"/>
        </w:rPr>
        <w:t xml:space="preserve">With the emergence of this new form of virtual community, the destruction of </w:t>
      </w:r>
      <w:r w:rsidR="001E71B8">
        <w:rPr>
          <w:rFonts w:asciiTheme="majorBidi" w:hAnsiTheme="majorBidi" w:cstheme="majorBidi"/>
        </w:rPr>
        <w:t xml:space="preserve">the </w:t>
      </w:r>
      <w:r>
        <w:rPr>
          <w:rFonts w:asciiTheme="majorBidi" w:hAnsiTheme="majorBidi" w:cstheme="majorBidi"/>
        </w:rPr>
        <w:t>caliphate as a territorial entity in 201</w:t>
      </w:r>
      <w:r w:rsidR="000C089D">
        <w:rPr>
          <w:rFonts w:asciiTheme="majorBidi" w:hAnsiTheme="majorBidi" w:cstheme="majorBidi"/>
        </w:rPr>
        <w:t>9</w:t>
      </w:r>
      <w:r>
        <w:rPr>
          <w:rFonts w:asciiTheme="majorBidi" w:hAnsiTheme="majorBidi" w:cstheme="majorBidi"/>
        </w:rPr>
        <w:t xml:space="preserve"> simply means that Da’esh </w:t>
      </w:r>
      <w:r w:rsidR="001D43F5">
        <w:rPr>
          <w:rFonts w:asciiTheme="majorBidi" w:hAnsiTheme="majorBidi" w:cstheme="majorBidi"/>
        </w:rPr>
        <w:t>militants have</w:t>
      </w:r>
      <w:r>
        <w:rPr>
          <w:rFonts w:asciiTheme="majorBidi" w:hAnsiTheme="majorBidi" w:cstheme="majorBidi"/>
        </w:rPr>
        <w:t xml:space="preserve"> migrated to a different environment.</w:t>
      </w:r>
    </w:p>
    <w:p w14:paraId="64A4883B" w14:textId="5218BE11" w:rsidR="00433C82" w:rsidRDefault="00763766" w:rsidP="00F4698F">
      <w:pPr>
        <w:spacing w:line="480" w:lineRule="auto"/>
        <w:ind w:firstLine="720"/>
        <w:rPr>
          <w:rFonts w:asciiTheme="majorBidi" w:hAnsiTheme="majorBidi" w:cstheme="majorBidi"/>
        </w:rPr>
      </w:pPr>
      <w:r w:rsidRPr="003C31B9">
        <w:rPr>
          <w:rFonts w:asciiTheme="majorBidi" w:hAnsiTheme="majorBidi" w:cstheme="majorBidi"/>
        </w:rPr>
        <w:t xml:space="preserve">The </w:t>
      </w:r>
      <w:r w:rsidR="001015AD">
        <w:rPr>
          <w:rFonts w:asciiTheme="majorBidi" w:hAnsiTheme="majorBidi" w:cstheme="majorBidi"/>
        </w:rPr>
        <w:t>flexibility</w:t>
      </w:r>
      <w:r w:rsidR="0024078F" w:rsidRPr="003C31B9">
        <w:rPr>
          <w:rFonts w:asciiTheme="majorBidi" w:hAnsiTheme="majorBidi" w:cstheme="majorBidi"/>
        </w:rPr>
        <w:t xml:space="preserve"> and </w:t>
      </w:r>
      <w:r w:rsidRPr="003C31B9">
        <w:rPr>
          <w:rFonts w:asciiTheme="majorBidi" w:hAnsiTheme="majorBidi" w:cstheme="majorBidi"/>
        </w:rPr>
        <w:t xml:space="preserve">potential power of the performative destruction paradigm is not limited to </w:t>
      </w:r>
      <w:r w:rsidR="003D60AA">
        <w:rPr>
          <w:rFonts w:asciiTheme="majorBidi" w:hAnsiTheme="majorBidi" w:cstheme="majorBidi"/>
        </w:rPr>
        <w:t>Da’esh</w:t>
      </w:r>
      <w:r w:rsidR="0024078F" w:rsidRPr="003C31B9">
        <w:rPr>
          <w:rFonts w:asciiTheme="majorBidi" w:hAnsiTheme="majorBidi" w:cstheme="majorBidi"/>
        </w:rPr>
        <w:t xml:space="preserve"> and other </w:t>
      </w:r>
      <w:r w:rsidR="0023284F">
        <w:rPr>
          <w:rFonts w:asciiTheme="majorBidi" w:hAnsiTheme="majorBidi" w:cstheme="majorBidi"/>
        </w:rPr>
        <w:t>jihadi</w:t>
      </w:r>
      <w:r w:rsidRPr="003C31B9">
        <w:rPr>
          <w:rFonts w:asciiTheme="majorBidi" w:hAnsiTheme="majorBidi" w:cstheme="majorBidi"/>
        </w:rPr>
        <w:t xml:space="preserve"> Islamist groups and messag</w:t>
      </w:r>
      <w:r w:rsidR="0024078F" w:rsidRPr="003C31B9">
        <w:rPr>
          <w:rFonts w:asciiTheme="majorBidi" w:hAnsiTheme="majorBidi" w:cstheme="majorBidi"/>
        </w:rPr>
        <w:t>es</w:t>
      </w:r>
      <w:r w:rsidRPr="003C31B9">
        <w:rPr>
          <w:rFonts w:asciiTheme="majorBidi" w:hAnsiTheme="majorBidi" w:cstheme="majorBidi"/>
        </w:rPr>
        <w:t xml:space="preserve">. </w:t>
      </w:r>
      <w:r w:rsidR="002060D1">
        <w:rPr>
          <w:rFonts w:asciiTheme="majorBidi" w:hAnsiTheme="majorBidi" w:cstheme="majorBidi"/>
        </w:rPr>
        <w:t>I</w:t>
      </w:r>
      <w:r w:rsidR="00035578" w:rsidRPr="003C31B9">
        <w:rPr>
          <w:rFonts w:asciiTheme="majorBidi" w:hAnsiTheme="majorBidi" w:cstheme="majorBidi"/>
        </w:rPr>
        <w:t xml:space="preserve">t is likely that </w:t>
      </w:r>
      <w:r w:rsidR="002060D1">
        <w:rPr>
          <w:rFonts w:asciiTheme="majorBidi" w:hAnsiTheme="majorBidi" w:cstheme="majorBidi"/>
        </w:rPr>
        <w:t xml:space="preserve">a broader range of </w:t>
      </w:r>
      <w:r w:rsidR="00E90EBF">
        <w:rPr>
          <w:rFonts w:asciiTheme="majorBidi" w:hAnsiTheme="majorBidi" w:cstheme="majorBidi"/>
        </w:rPr>
        <w:t>nonstate armed</w:t>
      </w:r>
      <w:r w:rsidR="00E90EBF" w:rsidRPr="003C31B9">
        <w:rPr>
          <w:rFonts w:asciiTheme="majorBidi" w:hAnsiTheme="majorBidi" w:cstheme="majorBidi"/>
        </w:rPr>
        <w:t xml:space="preserve"> </w:t>
      </w:r>
      <w:r w:rsidR="002060D1">
        <w:rPr>
          <w:rFonts w:asciiTheme="majorBidi" w:hAnsiTheme="majorBidi" w:cstheme="majorBidi"/>
        </w:rPr>
        <w:t>extremis</w:t>
      </w:r>
      <w:r w:rsidR="00035578" w:rsidRPr="003C31B9">
        <w:rPr>
          <w:rFonts w:asciiTheme="majorBidi" w:hAnsiTheme="majorBidi" w:cstheme="majorBidi"/>
        </w:rPr>
        <w:t xml:space="preserve">t groups in other parts of the world will also emulate the </w:t>
      </w:r>
      <w:r w:rsidRPr="003C31B9">
        <w:rPr>
          <w:rFonts w:asciiTheme="majorBidi" w:hAnsiTheme="majorBidi" w:cstheme="majorBidi"/>
        </w:rPr>
        <w:t xml:space="preserve">core elements of the </w:t>
      </w:r>
      <w:r w:rsidR="00F70ED9">
        <w:rPr>
          <w:rFonts w:asciiTheme="majorBidi" w:hAnsiTheme="majorBidi" w:cstheme="majorBidi"/>
        </w:rPr>
        <w:t>Internet</w:t>
      </w:r>
      <w:r w:rsidR="00100AA9" w:rsidRPr="003C31B9">
        <w:rPr>
          <w:rFonts w:asciiTheme="majorBidi" w:hAnsiTheme="majorBidi" w:cstheme="majorBidi"/>
        </w:rPr>
        <w:t xml:space="preserve">-based </w:t>
      </w:r>
      <w:r w:rsidR="00035578" w:rsidRPr="003C31B9">
        <w:rPr>
          <w:rFonts w:asciiTheme="majorBidi" w:hAnsiTheme="majorBidi" w:cstheme="majorBidi"/>
        </w:rPr>
        <w:t>performative destruction paradigm and adapt it to their own local conditions</w:t>
      </w:r>
      <w:r w:rsidR="00104A8E" w:rsidRPr="003C31B9">
        <w:rPr>
          <w:rFonts w:asciiTheme="majorBidi" w:hAnsiTheme="majorBidi" w:cstheme="majorBidi"/>
        </w:rPr>
        <w:t>, ideologies,</w:t>
      </w:r>
      <w:r w:rsidRPr="003C31B9">
        <w:rPr>
          <w:rFonts w:asciiTheme="majorBidi" w:hAnsiTheme="majorBidi" w:cstheme="majorBidi"/>
        </w:rPr>
        <w:t xml:space="preserve"> and goals</w:t>
      </w:r>
      <w:r w:rsidR="00035578" w:rsidRPr="003C31B9">
        <w:rPr>
          <w:rFonts w:asciiTheme="majorBidi" w:hAnsiTheme="majorBidi" w:cstheme="majorBidi"/>
        </w:rPr>
        <w:t>.</w:t>
      </w:r>
      <w:r w:rsidR="00946D4D">
        <w:rPr>
          <w:rStyle w:val="EndnoteReference"/>
          <w:rFonts w:asciiTheme="majorBidi" w:hAnsiTheme="majorBidi" w:cstheme="majorBidi"/>
        </w:rPr>
        <w:endnoteReference w:id="56"/>
      </w:r>
      <w:r w:rsidR="004F1C4A" w:rsidRPr="003C31B9">
        <w:rPr>
          <w:rFonts w:asciiTheme="majorBidi" w:hAnsiTheme="majorBidi" w:cstheme="majorBidi"/>
        </w:rPr>
        <w:t xml:space="preserve"> </w:t>
      </w:r>
      <w:r w:rsidR="00035578" w:rsidRPr="003C31B9">
        <w:rPr>
          <w:rFonts w:asciiTheme="majorBidi" w:hAnsiTheme="majorBidi" w:cstheme="majorBidi"/>
        </w:rPr>
        <w:t xml:space="preserve">Governments, international security structures, and the </w:t>
      </w:r>
      <w:r w:rsidR="00035578" w:rsidRPr="003C31B9">
        <w:rPr>
          <w:rFonts w:asciiTheme="majorBidi" w:hAnsiTheme="majorBidi" w:cstheme="majorBidi"/>
        </w:rPr>
        <w:lastRenderedPageBreak/>
        <w:t xml:space="preserve">heritage community will need to develop innovative new </w:t>
      </w:r>
      <w:r w:rsidR="003572C8" w:rsidRPr="003C31B9">
        <w:rPr>
          <w:rFonts w:asciiTheme="majorBidi" w:hAnsiTheme="majorBidi" w:cstheme="majorBidi"/>
        </w:rPr>
        <w:t xml:space="preserve">legal and policy </w:t>
      </w:r>
      <w:r w:rsidR="00035578" w:rsidRPr="003C31B9">
        <w:rPr>
          <w:rFonts w:asciiTheme="majorBidi" w:hAnsiTheme="majorBidi" w:cstheme="majorBidi"/>
        </w:rPr>
        <w:t>strategies to confront and hopefully neutralize this emerging threat.</w:t>
      </w:r>
    </w:p>
    <w:p w14:paraId="382464A6" w14:textId="08AE422D" w:rsidR="007F49BD" w:rsidRDefault="007F49BD" w:rsidP="00F4698F">
      <w:pPr>
        <w:snapToGrid w:val="0"/>
        <w:spacing w:line="480" w:lineRule="auto"/>
        <w:contextualSpacing/>
        <w:rPr>
          <w:rFonts w:asciiTheme="majorBidi" w:hAnsiTheme="majorBidi" w:cstheme="majorBidi"/>
        </w:rPr>
      </w:pPr>
    </w:p>
    <w:p w14:paraId="202D5BA4" w14:textId="244AE0E3" w:rsidR="000751B6" w:rsidRDefault="000751B6" w:rsidP="00F4698F">
      <w:pPr>
        <w:snapToGrid w:val="0"/>
        <w:spacing w:line="480" w:lineRule="auto"/>
        <w:contextualSpacing/>
        <w:rPr>
          <w:rFonts w:asciiTheme="majorBidi" w:hAnsiTheme="majorBidi" w:cstheme="majorBidi"/>
        </w:rPr>
      </w:pPr>
      <w:r>
        <w:rPr>
          <w:rFonts w:asciiTheme="majorBidi" w:hAnsiTheme="majorBidi" w:cstheme="majorBidi"/>
        </w:rPr>
        <w:t>Table Captions</w:t>
      </w:r>
    </w:p>
    <w:p w14:paraId="0F517536" w14:textId="765793CA" w:rsidR="000751B6" w:rsidRPr="001512E0" w:rsidRDefault="000751B6" w:rsidP="000751B6">
      <w:pPr>
        <w:snapToGrid w:val="0"/>
        <w:spacing w:line="480" w:lineRule="auto"/>
        <w:contextualSpacing/>
        <w:rPr>
          <w:rFonts w:asciiTheme="majorBidi" w:hAnsiTheme="majorBidi" w:cstheme="majorBidi"/>
        </w:rPr>
      </w:pPr>
      <w:r w:rsidRPr="003C31B9">
        <w:rPr>
          <w:rFonts w:asciiTheme="majorBidi" w:hAnsiTheme="majorBidi" w:cstheme="majorBidi"/>
        </w:rPr>
        <w:t xml:space="preserve">Table </w:t>
      </w:r>
      <w:r>
        <w:rPr>
          <w:rFonts w:asciiTheme="majorBidi" w:hAnsiTheme="majorBidi" w:cstheme="majorBidi"/>
        </w:rPr>
        <w:t>9.</w:t>
      </w:r>
      <w:r w:rsidRPr="00F42505">
        <w:rPr>
          <w:rFonts w:asciiTheme="majorBidi" w:hAnsiTheme="majorBidi" w:cstheme="majorBidi"/>
        </w:rPr>
        <w:t>1.</w:t>
      </w:r>
      <w:r w:rsidRPr="001512E0">
        <w:rPr>
          <w:rFonts w:asciiTheme="majorBidi" w:hAnsiTheme="majorBidi" w:cstheme="majorBidi"/>
        </w:rPr>
        <w:t xml:space="preserve"> Main Patterns of Da’esh destruction of </w:t>
      </w:r>
      <w:r w:rsidR="00950337" w:rsidRPr="001512E0">
        <w:rPr>
          <w:rFonts w:asciiTheme="majorBidi" w:hAnsiTheme="majorBidi" w:cstheme="majorBidi"/>
        </w:rPr>
        <w:t>c</w:t>
      </w:r>
      <w:r w:rsidRPr="001512E0">
        <w:rPr>
          <w:rFonts w:asciiTheme="majorBidi" w:hAnsiTheme="majorBidi" w:cstheme="majorBidi"/>
        </w:rPr>
        <w:t xml:space="preserve">ultural </w:t>
      </w:r>
      <w:r w:rsidR="00950337" w:rsidRPr="001512E0">
        <w:rPr>
          <w:rFonts w:asciiTheme="majorBidi" w:hAnsiTheme="majorBidi" w:cstheme="majorBidi"/>
        </w:rPr>
        <w:t>h</w:t>
      </w:r>
      <w:r w:rsidRPr="001512E0">
        <w:rPr>
          <w:rFonts w:asciiTheme="majorBidi" w:hAnsiTheme="majorBidi" w:cstheme="majorBidi"/>
        </w:rPr>
        <w:t xml:space="preserve">eritage </w:t>
      </w:r>
      <w:r w:rsidR="00950337" w:rsidRPr="001512E0">
        <w:rPr>
          <w:rFonts w:asciiTheme="majorBidi" w:hAnsiTheme="majorBidi" w:cstheme="majorBidi"/>
        </w:rPr>
        <w:t>s</w:t>
      </w:r>
      <w:r w:rsidRPr="001512E0">
        <w:rPr>
          <w:rFonts w:asciiTheme="majorBidi" w:hAnsiTheme="majorBidi" w:cstheme="majorBidi"/>
        </w:rPr>
        <w:t>ites in Iraq and Syria</w:t>
      </w:r>
    </w:p>
    <w:p w14:paraId="67A22F3E" w14:textId="25502031" w:rsidR="000751B6" w:rsidRDefault="000751B6" w:rsidP="000751B6">
      <w:pPr>
        <w:snapToGrid w:val="0"/>
        <w:spacing w:line="480" w:lineRule="auto"/>
        <w:contextualSpacing/>
        <w:rPr>
          <w:rFonts w:asciiTheme="majorBidi" w:hAnsiTheme="majorBidi" w:cstheme="majorBidi"/>
        </w:rPr>
      </w:pPr>
      <w:r w:rsidRPr="001512E0">
        <w:rPr>
          <w:rFonts w:asciiTheme="majorBidi" w:hAnsiTheme="majorBidi" w:cstheme="majorBidi"/>
        </w:rPr>
        <w:t>(</w:t>
      </w:r>
      <w:r w:rsidR="001512E0">
        <w:rPr>
          <w:rFonts w:asciiTheme="majorBidi" w:hAnsiTheme="majorBidi" w:cstheme="majorBidi"/>
        </w:rPr>
        <w:t>d</w:t>
      </w:r>
      <w:r w:rsidRPr="00E266A7">
        <w:rPr>
          <w:rFonts w:asciiTheme="majorBidi" w:hAnsiTheme="majorBidi" w:cstheme="majorBidi"/>
        </w:rPr>
        <w:t xml:space="preserve">ata from </w:t>
      </w:r>
      <w:r w:rsidR="001512E0" w:rsidRPr="00F42505">
        <w:rPr>
          <w:rFonts w:asciiTheme="majorBidi" w:hAnsiTheme="majorBidi" w:cstheme="majorBidi"/>
        </w:rPr>
        <w:t>Michael</w:t>
      </w:r>
      <w:r w:rsidR="001512E0" w:rsidRPr="001512E0">
        <w:rPr>
          <w:rFonts w:asciiTheme="majorBidi" w:hAnsiTheme="majorBidi" w:cstheme="majorBidi"/>
        </w:rPr>
        <w:t xml:space="preserve"> Danti, </w:t>
      </w:r>
      <w:r w:rsidR="001512E0">
        <w:rPr>
          <w:rFonts w:asciiTheme="majorBidi" w:hAnsiTheme="majorBidi" w:cstheme="majorBidi"/>
        </w:rPr>
        <w:t>“</w:t>
      </w:r>
      <w:r w:rsidR="001512E0" w:rsidRPr="001512E0">
        <w:rPr>
          <w:rFonts w:asciiTheme="majorBidi" w:hAnsiTheme="majorBidi" w:cstheme="majorBidi"/>
        </w:rPr>
        <w:t xml:space="preserve">Ground-Based Observations of Cultural Heritage </w:t>
      </w:r>
      <w:r w:rsidR="001512E0" w:rsidRPr="00F42505">
        <w:rPr>
          <w:rFonts w:asciiTheme="majorBidi" w:hAnsiTheme="majorBidi" w:cstheme="majorBidi"/>
        </w:rPr>
        <w:t>Incidents in Syria and Iraq</w:t>
      </w:r>
      <w:r w:rsidR="001512E0" w:rsidRPr="001512E0">
        <w:rPr>
          <w:rFonts w:asciiTheme="majorBidi" w:hAnsiTheme="majorBidi" w:cstheme="majorBidi"/>
        </w:rPr>
        <w:t xml:space="preserve">,” </w:t>
      </w:r>
      <w:r w:rsidR="001512E0" w:rsidRPr="00E266A7">
        <w:rPr>
          <w:rFonts w:asciiTheme="majorBidi" w:hAnsiTheme="majorBidi" w:cstheme="majorBidi"/>
          <w:i/>
          <w:iCs/>
        </w:rPr>
        <w:t>Near Eastern Archaeology</w:t>
      </w:r>
      <w:r w:rsidR="001512E0" w:rsidRPr="00F42505">
        <w:rPr>
          <w:rFonts w:asciiTheme="majorBidi" w:hAnsiTheme="majorBidi" w:cstheme="majorBidi"/>
        </w:rPr>
        <w:t xml:space="preserve"> 78, no. 3 (2015): </w:t>
      </w:r>
      <w:r w:rsidRPr="00E266A7">
        <w:rPr>
          <w:rFonts w:asciiTheme="majorBidi" w:hAnsiTheme="majorBidi" w:cstheme="majorBidi"/>
        </w:rPr>
        <w:t xml:space="preserve">137, </w:t>
      </w:r>
      <w:r w:rsidR="002058A5">
        <w:rPr>
          <w:rFonts w:asciiTheme="majorBidi" w:hAnsiTheme="majorBidi" w:cstheme="majorBidi"/>
        </w:rPr>
        <w:t>Figure</w:t>
      </w:r>
      <w:r w:rsidRPr="00E266A7">
        <w:rPr>
          <w:rFonts w:asciiTheme="majorBidi" w:hAnsiTheme="majorBidi" w:cstheme="majorBidi"/>
        </w:rPr>
        <w:t xml:space="preserve"> 12)</w:t>
      </w:r>
    </w:p>
    <w:p w14:paraId="212A9643" w14:textId="009CEED8" w:rsidR="000751B6" w:rsidRDefault="000751B6" w:rsidP="000751B6">
      <w:pPr>
        <w:snapToGrid w:val="0"/>
        <w:spacing w:line="480" w:lineRule="auto"/>
        <w:contextualSpacing/>
        <w:rPr>
          <w:rFonts w:asciiTheme="majorBidi" w:hAnsiTheme="majorBidi" w:cstheme="majorBidi"/>
        </w:rPr>
      </w:pPr>
      <w:r>
        <w:rPr>
          <w:rFonts w:asciiTheme="majorBidi" w:hAnsiTheme="majorBidi" w:cstheme="majorBidi"/>
        </w:rPr>
        <w:t xml:space="preserve">Table 9.2. </w:t>
      </w:r>
      <w:r w:rsidRPr="003C31B9">
        <w:rPr>
          <w:rFonts w:asciiTheme="majorBidi" w:hAnsiTheme="majorBidi" w:cstheme="majorBidi"/>
        </w:rPr>
        <w:t xml:space="preserve">Patterns of </w:t>
      </w:r>
      <w:r w:rsidR="001512E0">
        <w:rPr>
          <w:rFonts w:asciiTheme="majorBidi" w:hAnsiTheme="majorBidi" w:cstheme="majorBidi"/>
        </w:rPr>
        <w:t>c</w:t>
      </w:r>
      <w:r w:rsidRPr="003C31B9">
        <w:rPr>
          <w:rFonts w:asciiTheme="majorBidi" w:hAnsiTheme="majorBidi" w:cstheme="majorBidi"/>
        </w:rPr>
        <w:t xml:space="preserve">ultural </w:t>
      </w:r>
      <w:r w:rsidR="001512E0">
        <w:rPr>
          <w:rFonts w:asciiTheme="majorBidi" w:hAnsiTheme="majorBidi" w:cstheme="majorBidi"/>
        </w:rPr>
        <w:t>h</w:t>
      </w:r>
      <w:r w:rsidRPr="003C31B9">
        <w:rPr>
          <w:rFonts w:asciiTheme="majorBidi" w:hAnsiTheme="majorBidi" w:cstheme="majorBidi"/>
        </w:rPr>
        <w:t xml:space="preserve">eritage </w:t>
      </w:r>
      <w:r w:rsidR="001512E0">
        <w:rPr>
          <w:rFonts w:asciiTheme="majorBidi" w:hAnsiTheme="majorBidi" w:cstheme="majorBidi"/>
        </w:rPr>
        <w:t>s</w:t>
      </w:r>
      <w:r w:rsidRPr="003C31B9">
        <w:rPr>
          <w:rFonts w:asciiTheme="majorBidi" w:hAnsiTheme="majorBidi" w:cstheme="majorBidi"/>
        </w:rPr>
        <w:t xml:space="preserve">ite </w:t>
      </w:r>
      <w:r w:rsidR="001512E0">
        <w:rPr>
          <w:rFonts w:asciiTheme="majorBidi" w:hAnsiTheme="majorBidi" w:cstheme="majorBidi"/>
        </w:rPr>
        <w:t>d</w:t>
      </w:r>
      <w:r w:rsidRPr="003C31B9">
        <w:rPr>
          <w:rFonts w:asciiTheme="majorBidi" w:hAnsiTheme="majorBidi" w:cstheme="majorBidi"/>
        </w:rPr>
        <w:t xml:space="preserve">estruction in the Old City of Mosul and on the Nineveh </w:t>
      </w:r>
      <w:r w:rsidR="00AE3D3C">
        <w:rPr>
          <w:rFonts w:asciiTheme="majorBidi" w:hAnsiTheme="majorBidi" w:cstheme="majorBidi"/>
        </w:rPr>
        <w:t>P</w:t>
      </w:r>
      <w:r w:rsidRPr="003C31B9">
        <w:rPr>
          <w:rFonts w:asciiTheme="majorBidi" w:hAnsiTheme="majorBidi" w:cstheme="majorBidi"/>
        </w:rPr>
        <w:t>lain east of the city</w:t>
      </w:r>
      <w:r w:rsidR="001512E0">
        <w:rPr>
          <w:rFonts w:asciiTheme="majorBidi" w:hAnsiTheme="majorBidi" w:cstheme="majorBidi"/>
        </w:rPr>
        <w:t>,</w:t>
      </w:r>
      <w:r w:rsidRPr="003C31B9">
        <w:rPr>
          <w:rFonts w:asciiTheme="majorBidi" w:hAnsiTheme="majorBidi" w:cstheme="majorBidi"/>
        </w:rPr>
        <w:t xml:space="preserve"> </w:t>
      </w:r>
      <w:r w:rsidRPr="00F42505">
        <w:rPr>
          <w:rFonts w:asciiTheme="majorBidi" w:hAnsiTheme="majorBidi" w:cstheme="majorBidi"/>
        </w:rPr>
        <w:t>2014</w:t>
      </w:r>
      <w:r w:rsidR="001512E0" w:rsidRPr="00BC0520">
        <w:rPr>
          <w:rFonts w:asciiTheme="majorBidi" w:hAnsiTheme="majorBidi" w:cstheme="majorBidi"/>
        </w:rPr>
        <w:t>–</w:t>
      </w:r>
      <w:r w:rsidRPr="00BC0520">
        <w:rPr>
          <w:rFonts w:asciiTheme="majorBidi" w:hAnsiTheme="majorBidi" w:cstheme="majorBidi"/>
        </w:rPr>
        <w:t xml:space="preserve">17 </w:t>
      </w:r>
      <w:r w:rsidRPr="00E266A7">
        <w:rPr>
          <w:rFonts w:asciiTheme="majorBidi" w:hAnsiTheme="majorBidi" w:cstheme="majorBidi"/>
        </w:rPr>
        <w:t>(</w:t>
      </w:r>
      <w:r w:rsidR="00BC0520">
        <w:rPr>
          <w:rFonts w:asciiTheme="majorBidi" w:hAnsiTheme="majorBidi" w:cstheme="majorBidi"/>
        </w:rPr>
        <w:t>d</w:t>
      </w:r>
      <w:r w:rsidRPr="00E266A7">
        <w:rPr>
          <w:rFonts w:asciiTheme="majorBidi" w:hAnsiTheme="majorBidi" w:cstheme="majorBidi"/>
        </w:rPr>
        <w:t xml:space="preserve">ata from </w:t>
      </w:r>
      <w:r w:rsidR="00E424B4" w:rsidRPr="00387A88">
        <w:t>RASHID International</w:t>
      </w:r>
      <w:r w:rsidR="00BC0520">
        <w:rPr>
          <w:rFonts w:asciiTheme="majorBidi" w:hAnsiTheme="majorBidi" w:cstheme="majorBidi"/>
          <w:color w:val="000000" w:themeColor="text1"/>
        </w:rPr>
        <w:t xml:space="preserve">, </w:t>
      </w:r>
      <w:r w:rsidR="00BC0520" w:rsidRPr="00742165">
        <w:rPr>
          <w:rFonts w:asciiTheme="majorBidi" w:hAnsiTheme="majorBidi" w:cstheme="majorBidi"/>
          <w:i/>
          <w:iCs/>
          <w:color w:val="000000" w:themeColor="text1"/>
        </w:rPr>
        <w:t>The Intentional Destruction of Cultural Heritage in Iraq as a Violation of Human Rights</w:t>
      </w:r>
      <w:r w:rsidR="00BC0520" w:rsidRPr="003C31B9">
        <w:rPr>
          <w:rFonts w:asciiTheme="majorBidi" w:hAnsiTheme="majorBidi" w:cstheme="majorBidi"/>
          <w:color w:val="000000" w:themeColor="text1"/>
        </w:rPr>
        <w:t xml:space="preserve"> </w:t>
      </w:r>
      <w:r w:rsidR="005C5ED7">
        <w:rPr>
          <w:rFonts w:asciiTheme="majorBidi" w:hAnsiTheme="majorBidi" w:cstheme="majorBidi"/>
        </w:rPr>
        <w:t xml:space="preserve">(Munich: </w:t>
      </w:r>
      <w:r w:rsidR="00BC0520" w:rsidRPr="003C31B9">
        <w:rPr>
          <w:rFonts w:asciiTheme="majorBidi" w:hAnsiTheme="majorBidi" w:cstheme="majorBidi"/>
        </w:rPr>
        <w:t>RASHID</w:t>
      </w:r>
      <w:r w:rsidR="00BC0520">
        <w:rPr>
          <w:rFonts w:asciiTheme="majorBidi" w:hAnsiTheme="majorBidi" w:cstheme="majorBidi"/>
        </w:rPr>
        <w:t xml:space="preserve"> International</w:t>
      </w:r>
      <w:r w:rsidR="005C5ED7">
        <w:rPr>
          <w:rFonts w:asciiTheme="majorBidi" w:hAnsiTheme="majorBidi" w:cstheme="majorBidi"/>
        </w:rPr>
        <w:t xml:space="preserve">, </w:t>
      </w:r>
      <w:r w:rsidR="00E424B4">
        <w:rPr>
          <w:rFonts w:asciiTheme="majorBidi" w:hAnsiTheme="majorBidi" w:cstheme="majorBidi"/>
        </w:rPr>
        <w:t xml:space="preserve">August </w:t>
      </w:r>
      <w:r w:rsidR="00BC0520">
        <w:rPr>
          <w:rFonts w:asciiTheme="majorBidi" w:hAnsiTheme="majorBidi" w:cstheme="majorBidi"/>
        </w:rPr>
        <w:t>2017)</w:t>
      </w:r>
      <w:r w:rsidR="005C5ED7" w:rsidRPr="00E266A7">
        <w:rPr>
          <w:rFonts w:asciiTheme="majorBidi" w:hAnsiTheme="majorBidi" w:cstheme="majorBidi"/>
        </w:rPr>
        <w:t>,</w:t>
      </w:r>
      <w:r w:rsidR="00A03D7C">
        <w:rPr>
          <w:rFonts w:asciiTheme="majorBidi" w:hAnsiTheme="majorBidi" w:cstheme="majorBidi"/>
        </w:rPr>
        <w:t xml:space="preserve"> 9,</w:t>
      </w:r>
      <w:r w:rsidRPr="00E266A7">
        <w:rPr>
          <w:rFonts w:asciiTheme="majorBidi" w:hAnsiTheme="majorBidi" w:cstheme="majorBidi"/>
        </w:rPr>
        <w:t xml:space="preserve"> </w:t>
      </w:r>
      <w:r w:rsidR="005C5ED7">
        <w:rPr>
          <w:rFonts w:asciiTheme="majorBidi" w:hAnsiTheme="majorBidi" w:cstheme="majorBidi"/>
        </w:rPr>
        <w:t>T</w:t>
      </w:r>
      <w:r w:rsidRPr="00E266A7">
        <w:rPr>
          <w:rFonts w:asciiTheme="majorBidi" w:hAnsiTheme="majorBidi" w:cstheme="majorBidi"/>
        </w:rPr>
        <w:t>able 1)</w:t>
      </w:r>
    </w:p>
    <w:p w14:paraId="281CA429" w14:textId="5FC6F784" w:rsidR="000751B6" w:rsidRDefault="000751B6" w:rsidP="00F4698F">
      <w:pPr>
        <w:snapToGrid w:val="0"/>
        <w:spacing w:line="480" w:lineRule="auto"/>
        <w:contextualSpacing/>
        <w:rPr>
          <w:rFonts w:asciiTheme="majorBidi" w:hAnsiTheme="majorBidi" w:cstheme="majorBidi"/>
        </w:rPr>
      </w:pPr>
    </w:p>
    <w:p w14:paraId="6F1270CC" w14:textId="77777777" w:rsidR="00545BE9" w:rsidRDefault="00545BE9" w:rsidP="00F4698F">
      <w:pPr>
        <w:snapToGrid w:val="0"/>
        <w:spacing w:line="480" w:lineRule="auto"/>
        <w:contextualSpacing/>
        <w:rPr>
          <w:rFonts w:asciiTheme="majorBidi" w:hAnsiTheme="majorBidi" w:cstheme="majorBidi"/>
        </w:rPr>
      </w:pPr>
    </w:p>
    <w:p w14:paraId="67329E6C" w14:textId="39E4CEA3" w:rsidR="00F4698F" w:rsidRPr="003C31B9" w:rsidRDefault="00F4698F" w:rsidP="00E266A7">
      <w:pPr>
        <w:pStyle w:val="Heading2"/>
      </w:pPr>
      <w:r w:rsidRPr="003C31B9">
        <w:t>Suggested Readings</w:t>
      </w:r>
    </w:p>
    <w:p w14:paraId="1BF48AA6" w14:textId="7FA632DF" w:rsidR="00F4698F" w:rsidRDefault="00E05762" w:rsidP="00F4698F">
      <w:pPr>
        <w:snapToGrid w:val="0"/>
        <w:spacing w:before="100" w:beforeAutospacing="1" w:after="100" w:afterAutospacing="1" w:line="480" w:lineRule="auto"/>
        <w:contextualSpacing/>
        <w:rPr>
          <w:rFonts w:asciiTheme="majorBidi" w:hAnsiTheme="majorBidi" w:cstheme="majorBidi"/>
        </w:rPr>
      </w:pPr>
      <w:r>
        <w:rPr>
          <w:rFonts w:asciiTheme="majorBidi" w:hAnsiTheme="majorBidi" w:cstheme="majorBidi"/>
        </w:rPr>
        <w:t xml:space="preserve">Stephane J. </w:t>
      </w:r>
      <w:r w:rsidRPr="003C31B9">
        <w:rPr>
          <w:rFonts w:asciiTheme="majorBidi" w:hAnsiTheme="majorBidi" w:cstheme="majorBidi"/>
        </w:rPr>
        <w:t>Baele, K</w:t>
      </w:r>
      <w:r>
        <w:rPr>
          <w:rFonts w:asciiTheme="majorBidi" w:hAnsiTheme="majorBidi" w:cstheme="majorBidi"/>
        </w:rPr>
        <w:t>atharine</w:t>
      </w:r>
      <w:r w:rsidRPr="003C31B9">
        <w:rPr>
          <w:rFonts w:asciiTheme="majorBidi" w:hAnsiTheme="majorBidi" w:cstheme="majorBidi"/>
        </w:rPr>
        <w:t xml:space="preserve"> A. Boyd</w:t>
      </w:r>
      <w:r>
        <w:rPr>
          <w:rFonts w:asciiTheme="majorBidi" w:hAnsiTheme="majorBidi" w:cstheme="majorBidi"/>
        </w:rPr>
        <w:t>,</w:t>
      </w:r>
      <w:r w:rsidRPr="003C31B9">
        <w:rPr>
          <w:rFonts w:asciiTheme="majorBidi" w:hAnsiTheme="majorBidi" w:cstheme="majorBidi"/>
        </w:rPr>
        <w:t xml:space="preserve"> and T</w:t>
      </w:r>
      <w:r>
        <w:rPr>
          <w:rFonts w:asciiTheme="majorBidi" w:hAnsiTheme="majorBidi" w:cstheme="majorBidi"/>
        </w:rPr>
        <w:t>ravis</w:t>
      </w:r>
      <w:r w:rsidRPr="003C31B9">
        <w:rPr>
          <w:rFonts w:asciiTheme="majorBidi" w:hAnsiTheme="majorBidi" w:cstheme="majorBidi"/>
        </w:rPr>
        <w:t xml:space="preserve"> G. Coan</w:t>
      </w:r>
      <w:r>
        <w:rPr>
          <w:rFonts w:asciiTheme="majorBidi" w:hAnsiTheme="majorBidi" w:cstheme="majorBidi"/>
        </w:rPr>
        <w:t>,</w:t>
      </w:r>
      <w:r w:rsidRPr="003C31B9">
        <w:rPr>
          <w:rFonts w:asciiTheme="majorBidi" w:hAnsiTheme="majorBidi" w:cstheme="majorBidi"/>
        </w:rPr>
        <w:t xml:space="preserve"> </w:t>
      </w:r>
      <w:r w:rsidR="00F4698F" w:rsidRPr="003C31B9">
        <w:rPr>
          <w:rFonts w:asciiTheme="majorBidi" w:hAnsiTheme="majorBidi" w:cstheme="majorBidi"/>
        </w:rPr>
        <w:t>eds.</w:t>
      </w:r>
      <w:r>
        <w:rPr>
          <w:rFonts w:asciiTheme="majorBidi" w:hAnsiTheme="majorBidi" w:cstheme="majorBidi"/>
        </w:rPr>
        <w:t>,</w:t>
      </w:r>
      <w:r w:rsidR="00F4698F">
        <w:rPr>
          <w:rFonts w:asciiTheme="majorBidi" w:hAnsiTheme="majorBidi" w:cstheme="majorBidi"/>
        </w:rPr>
        <w:t xml:space="preserve"> </w:t>
      </w:r>
      <w:r w:rsidR="00F4698F" w:rsidRPr="0032093F">
        <w:rPr>
          <w:rFonts w:asciiTheme="majorBidi" w:hAnsiTheme="majorBidi" w:cstheme="majorBidi"/>
          <w:i/>
          <w:iCs/>
        </w:rPr>
        <w:t>ISIS Propaganda</w:t>
      </w:r>
      <w:r>
        <w:rPr>
          <w:rFonts w:asciiTheme="majorBidi" w:hAnsiTheme="majorBidi" w:cstheme="majorBidi"/>
          <w:i/>
          <w:iCs/>
        </w:rPr>
        <w:t>:</w:t>
      </w:r>
      <w:r w:rsidR="00F4698F" w:rsidRPr="0032093F">
        <w:rPr>
          <w:rFonts w:asciiTheme="majorBidi" w:hAnsiTheme="majorBidi" w:cstheme="majorBidi"/>
          <w:i/>
          <w:iCs/>
        </w:rPr>
        <w:t xml:space="preserve"> A Full-Spectrum Extremist Message</w:t>
      </w:r>
      <w:r w:rsidR="00F4698F" w:rsidRPr="003C31B9">
        <w:rPr>
          <w:rFonts w:asciiTheme="majorBidi" w:hAnsiTheme="majorBidi" w:cstheme="majorBidi"/>
        </w:rPr>
        <w:t xml:space="preserve"> </w:t>
      </w:r>
      <w:r w:rsidR="00F4698F">
        <w:rPr>
          <w:rFonts w:asciiTheme="majorBidi" w:hAnsiTheme="majorBidi" w:cstheme="majorBidi"/>
        </w:rPr>
        <w:t>(</w:t>
      </w:r>
      <w:r w:rsidR="00F4698F" w:rsidRPr="003C31B9">
        <w:rPr>
          <w:rFonts w:asciiTheme="majorBidi" w:hAnsiTheme="majorBidi" w:cstheme="majorBidi"/>
        </w:rPr>
        <w:t>New York</w:t>
      </w:r>
      <w:r w:rsidR="00F4698F">
        <w:rPr>
          <w:rFonts w:asciiTheme="majorBidi" w:hAnsiTheme="majorBidi" w:cstheme="majorBidi"/>
        </w:rPr>
        <w:t>:</w:t>
      </w:r>
      <w:r w:rsidR="00F4698F" w:rsidRPr="003C31B9">
        <w:rPr>
          <w:rFonts w:asciiTheme="majorBidi" w:hAnsiTheme="majorBidi" w:cstheme="majorBidi"/>
        </w:rPr>
        <w:t xml:space="preserve"> Oxford University Press</w:t>
      </w:r>
      <w:r w:rsidR="00F4698F">
        <w:rPr>
          <w:rFonts w:asciiTheme="majorBidi" w:hAnsiTheme="majorBidi" w:cstheme="majorBidi"/>
        </w:rPr>
        <w:t xml:space="preserve"> 2020)</w:t>
      </w:r>
      <w:r w:rsidR="008B4BA7">
        <w:rPr>
          <w:rFonts w:asciiTheme="majorBidi" w:hAnsiTheme="majorBidi" w:cstheme="majorBidi"/>
        </w:rPr>
        <w:t>.</w:t>
      </w:r>
    </w:p>
    <w:p w14:paraId="3CFB351D" w14:textId="77777777" w:rsidR="008B4BA7" w:rsidRPr="003C31B9" w:rsidRDefault="008B4BA7" w:rsidP="00F4698F">
      <w:pPr>
        <w:snapToGrid w:val="0"/>
        <w:spacing w:before="100" w:beforeAutospacing="1" w:after="100" w:afterAutospacing="1" w:line="480" w:lineRule="auto"/>
        <w:contextualSpacing/>
        <w:rPr>
          <w:rFonts w:asciiTheme="majorBidi" w:hAnsiTheme="majorBidi" w:cstheme="majorBidi"/>
        </w:rPr>
      </w:pPr>
    </w:p>
    <w:p w14:paraId="0F77CDFC" w14:textId="38ED131D" w:rsidR="00F4698F" w:rsidRPr="003C31B9" w:rsidRDefault="00F4698F" w:rsidP="00F4698F">
      <w:pPr>
        <w:autoSpaceDE w:val="0"/>
        <w:autoSpaceDN w:val="0"/>
        <w:adjustRightInd w:val="0"/>
        <w:spacing w:line="480" w:lineRule="auto"/>
        <w:ind w:right="-720"/>
        <w:rPr>
          <w:rFonts w:asciiTheme="majorBidi" w:hAnsiTheme="majorBidi" w:cstheme="majorBidi"/>
        </w:rPr>
      </w:pPr>
      <w:r>
        <w:rPr>
          <w:rFonts w:asciiTheme="majorBidi" w:hAnsiTheme="majorBidi" w:cstheme="majorBidi"/>
        </w:rPr>
        <w:t xml:space="preserve">Michael </w:t>
      </w:r>
      <w:r w:rsidRPr="003C31B9">
        <w:rPr>
          <w:rFonts w:asciiTheme="majorBidi" w:hAnsiTheme="majorBidi" w:cstheme="majorBidi"/>
        </w:rPr>
        <w:t>Danti</w:t>
      </w:r>
      <w:r w:rsidR="00A320A4">
        <w:rPr>
          <w:rFonts w:asciiTheme="majorBidi" w:hAnsiTheme="majorBidi" w:cstheme="majorBidi"/>
        </w:rPr>
        <w:t>,</w:t>
      </w:r>
      <w:r>
        <w:rPr>
          <w:rFonts w:asciiTheme="majorBidi" w:hAnsiTheme="majorBidi" w:cstheme="majorBidi"/>
        </w:rPr>
        <w:t xml:space="preserve"> </w:t>
      </w:r>
      <w:r w:rsidR="001265A7">
        <w:rPr>
          <w:rFonts w:asciiTheme="majorBidi" w:hAnsiTheme="majorBidi" w:cstheme="majorBidi"/>
        </w:rPr>
        <w:t>“</w:t>
      </w:r>
      <w:r w:rsidRPr="003C31B9">
        <w:rPr>
          <w:rFonts w:asciiTheme="majorBidi" w:hAnsiTheme="majorBidi" w:cstheme="majorBidi"/>
        </w:rPr>
        <w:t>Ground-Based Observations of Cultural Heritage Incidents in Syria and Iraq</w:t>
      </w:r>
      <w:r w:rsidR="001265A7">
        <w:rPr>
          <w:rFonts w:asciiTheme="majorBidi" w:hAnsiTheme="majorBidi" w:cstheme="majorBidi"/>
        </w:rPr>
        <w:t>,”</w:t>
      </w:r>
      <w:r w:rsidRPr="003C31B9">
        <w:rPr>
          <w:rFonts w:asciiTheme="majorBidi" w:hAnsiTheme="majorBidi" w:cstheme="majorBidi"/>
        </w:rPr>
        <w:t xml:space="preserve"> </w:t>
      </w:r>
      <w:r w:rsidRPr="0032093F">
        <w:rPr>
          <w:rFonts w:asciiTheme="majorBidi" w:hAnsiTheme="majorBidi" w:cstheme="majorBidi"/>
          <w:i/>
          <w:iCs/>
        </w:rPr>
        <w:t>Near Eastern Archaeology</w:t>
      </w:r>
      <w:r w:rsidRPr="003C31B9">
        <w:rPr>
          <w:rFonts w:asciiTheme="majorBidi" w:hAnsiTheme="majorBidi" w:cstheme="majorBidi"/>
        </w:rPr>
        <w:t xml:space="preserve"> 78</w:t>
      </w:r>
      <w:r w:rsidR="002907D8">
        <w:rPr>
          <w:rFonts w:asciiTheme="majorBidi" w:hAnsiTheme="majorBidi" w:cstheme="majorBidi"/>
        </w:rPr>
        <w:t>,</w:t>
      </w:r>
      <w:r>
        <w:rPr>
          <w:rFonts w:asciiTheme="majorBidi" w:hAnsiTheme="majorBidi" w:cstheme="majorBidi"/>
        </w:rPr>
        <w:t xml:space="preserve"> no. </w:t>
      </w:r>
      <w:r w:rsidRPr="003C31B9">
        <w:rPr>
          <w:rFonts w:asciiTheme="majorBidi" w:hAnsiTheme="majorBidi" w:cstheme="majorBidi"/>
        </w:rPr>
        <w:t>3</w:t>
      </w:r>
      <w:r>
        <w:rPr>
          <w:rFonts w:asciiTheme="majorBidi" w:hAnsiTheme="majorBidi" w:cstheme="majorBidi"/>
        </w:rPr>
        <w:t xml:space="preserve"> (2015)</w:t>
      </w:r>
      <w:r w:rsidRPr="003C31B9">
        <w:rPr>
          <w:rFonts w:asciiTheme="majorBidi" w:hAnsiTheme="majorBidi" w:cstheme="majorBidi"/>
        </w:rPr>
        <w:t>: 132</w:t>
      </w:r>
      <w:r>
        <w:rPr>
          <w:rFonts w:asciiTheme="majorBidi" w:hAnsiTheme="majorBidi" w:cstheme="majorBidi"/>
        </w:rPr>
        <w:t>–</w:t>
      </w:r>
      <w:r w:rsidRPr="003C31B9">
        <w:rPr>
          <w:rFonts w:asciiTheme="majorBidi" w:hAnsiTheme="majorBidi" w:cstheme="majorBidi"/>
        </w:rPr>
        <w:t>41.</w:t>
      </w:r>
    </w:p>
    <w:p w14:paraId="400ED95F" w14:textId="77777777" w:rsidR="008B4BA7" w:rsidRDefault="008B4BA7" w:rsidP="00F4698F">
      <w:pPr>
        <w:spacing w:line="480" w:lineRule="auto"/>
        <w:rPr>
          <w:rFonts w:asciiTheme="majorBidi" w:hAnsiTheme="majorBidi" w:cstheme="majorBidi"/>
        </w:rPr>
      </w:pPr>
    </w:p>
    <w:p w14:paraId="0226018F" w14:textId="15570AAD" w:rsidR="00F4698F" w:rsidRPr="003C31B9" w:rsidRDefault="007E74F5" w:rsidP="00F4698F">
      <w:pPr>
        <w:spacing w:line="480" w:lineRule="auto"/>
        <w:rPr>
          <w:rFonts w:asciiTheme="majorBidi" w:hAnsiTheme="majorBidi" w:cstheme="majorBidi"/>
        </w:rPr>
      </w:pPr>
      <w:r w:rsidRPr="00426530">
        <w:rPr>
          <w:rFonts w:asciiTheme="majorBidi" w:hAnsiTheme="majorBidi" w:cstheme="majorBidi"/>
        </w:rPr>
        <w:t>Christoph Gunther and Tom Bioly</w:t>
      </w:r>
      <w:r>
        <w:rPr>
          <w:rFonts w:asciiTheme="majorBidi" w:hAnsiTheme="majorBidi" w:cstheme="majorBidi"/>
        </w:rPr>
        <w:t>,</w:t>
      </w:r>
      <w:r w:rsidR="008B098E">
        <w:rPr>
          <w:rFonts w:asciiTheme="majorBidi" w:hAnsiTheme="majorBidi" w:cstheme="majorBidi"/>
        </w:rPr>
        <w:t xml:space="preserve"> </w:t>
      </w:r>
      <w:r w:rsidR="00F4698F" w:rsidRPr="003C31B9">
        <w:rPr>
          <w:rFonts w:asciiTheme="majorBidi" w:hAnsiTheme="majorBidi" w:cstheme="majorBidi"/>
        </w:rPr>
        <w:t xml:space="preserve">“Testimonies for a </w:t>
      </w:r>
      <w:r w:rsidR="00C15F6C">
        <w:rPr>
          <w:rFonts w:asciiTheme="majorBidi" w:hAnsiTheme="majorBidi" w:cstheme="majorBidi"/>
        </w:rPr>
        <w:t>N</w:t>
      </w:r>
      <w:r w:rsidR="00F4698F" w:rsidRPr="003C31B9">
        <w:rPr>
          <w:rFonts w:asciiTheme="majorBidi" w:hAnsiTheme="majorBidi" w:cstheme="majorBidi"/>
        </w:rPr>
        <w:t xml:space="preserve">ew </w:t>
      </w:r>
      <w:r w:rsidR="00C15F6C">
        <w:rPr>
          <w:rFonts w:asciiTheme="majorBidi" w:hAnsiTheme="majorBidi" w:cstheme="majorBidi"/>
        </w:rPr>
        <w:t>S</w:t>
      </w:r>
      <w:r w:rsidR="00F4698F" w:rsidRPr="003C31B9">
        <w:rPr>
          <w:rFonts w:asciiTheme="majorBidi" w:hAnsiTheme="majorBidi" w:cstheme="majorBidi"/>
        </w:rPr>
        <w:t xml:space="preserve">ocial </w:t>
      </w:r>
      <w:r w:rsidR="00C15F6C">
        <w:rPr>
          <w:rFonts w:asciiTheme="majorBidi" w:hAnsiTheme="majorBidi" w:cstheme="majorBidi"/>
        </w:rPr>
        <w:t>O</w:t>
      </w:r>
      <w:r w:rsidR="00F4698F" w:rsidRPr="003C31B9">
        <w:rPr>
          <w:rFonts w:asciiTheme="majorBidi" w:hAnsiTheme="majorBidi" w:cstheme="majorBidi"/>
        </w:rPr>
        <w:t>rder</w:t>
      </w:r>
      <w:r w:rsidR="00C15F6C">
        <w:rPr>
          <w:rFonts w:asciiTheme="majorBidi" w:hAnsiTheme="majorBidi" w:cstheme="majorBidi"/>
        </w:rPr>
        <w:t>:</w:t>
      </w:r>
      <w:r w:rsidR="00F4698F" w:rsidRPr="003C31B9">
        <w:rPr>
          <w:rFonts w:asciiTheme="majorBidi" w:hAnsiTheme="majorBidi" w:cstheme="majorBidi"/>
        </w:rPr>
        <w:t xml:space="preserve"> The Islamic State</w:t>
      </w:r>
      <w:r w:rsidR="00C15F6C">
        <w:rPr>
          <w:rFonts w:asciiTheme="majorBidi" w:hAnsiTheme="majorBidi" w:cstheme="majorBidi"/>
        </w:rPr>
        <w:t>’</w:t>
      </w:r>
      <w:r w:rsidR="00F4698F" w:rsidRPr="003C31B9">
        <w:rPr>
          <w:rFonts w:asciiTheme="majorBidi" w:hAnsiTheme="majorBidi" w:cstheme="majorBidi"/>
        </w:rPr>
        <w:t xml:space="preserve">s </w:t>
      </w:r>
      <w:r w:rsidR="00C15F6C">
        <w:rPr>
          <w:rFonts w:asciiTheme="majorBidi" w:hAnsiTheme="majorBidi" w:cstheme="majorBidi"/>
        </w:rPr>
        <w:t>I</w:t>
      </w:r>
      <w:r w:rsidR="00F4698F" w:rsidRPr="003C31B9">
        <w:rPr>
          <w:rFonts w:asciiTheme="majorBidi" w:hAnsiTheme="majorBidi" w:cstheme="majorBidi"/>
        </w:rPr>
        <w:t xml:space="preserve">conic </w:t>
      </w:r>
      <w:r w:rsidR="00C15F6C">
        <w:rPr>
          <w:rFonts w:asciiTheme="majorBidi" w:hAnsiTheme="majorBidi" w:cstheme="majorBidi"/>
        </w:rPr>
        <w:t>I</w:t>
      </w:r>
      <w:r w:rsidR="00F4698F" w:rsidRPr="003C31B9">
        <w:rPr>
          <w:rFonts w:asciiTheme="majorBidi" w:hAnsiTheme="majorBidi" w:cstheme="majorBidi"/>
        </w:rPr>
        <w:t>conoclasm</w:t>
      </w:r>
      <w:r w:rsidR="00C15F6C">
        <w:rPr>
          <w:rFonts w:asciiTheme="majorBidi" w:hAnsiTheme="majorBidi" w:cstheme="majorBidi"/>
        </w:rPr>
        <w:t>,</w:t>
      </w:r>
      <w:r w:rsidR="00F4698F" w:rsidRPr="003C31B9">
        <w:rPr>
          <w:rFonts w:asciiTheme="majorBidi" w:hAnsiTheme="majorBidi" w:cstheme="majorBidi"/>
        </w:rPr>
        <w:t>”</w:t>
      </w:r>
      <w:r w:rsidR="008B098E">
        <w:rPr>
          <w:rFonts w:asciiTheme="majorBidi" w:hAnsiTheme="majorBidi" w:cstheme="majorBidi"/>
        </w:rPr>
        <w:t xml:space="preserve"> </w:t>
      </w:r>
      <w:r w:rsidR="00F4698F">
        <w:rPr>
          <w:rFonts w:asciiTheme="majorBidi" w:hAnsiTheme="majorBidi" w:cstheme="majorBidi"/>
        </w:rPr>
        <w:t xml:space="preserve">in </w:t>
      </w:r>
      <w:r w:rsidR="00F4698F" w:rsidRPr="0032093F">
        <w:rPr>
          <w:rFonts w:asciiTheme="majorBidi" w:hAnsiTheme="majorBidi" w:cstheme="majorBidi"/>
          <w:i/>
          <w:iCs/>
        </w:rPr>
        <w:t>Image Testimonies</w:t>
      </w:r>
      <w:r w:rsidR="00C15F6C">
        <w:rPr>
          <w:rFonts w:asciiTheme="majorBidi" w:hAnsiTheme="majorBidi" w:cstheme="majorBidi"/>
          <w:i/>
          <w:iCs/>
        </w:rPr>
        <w:t>:</w:t>
      </w:r>
      <w:r w:rsidR="00F4698F" w:rsidRPr="0032093F">
        <w:rPr>
          <w:rFonts w:asciiTheme="majorBidi" w:hAnsiTheme="majorBidi" w:cstheme="majorBidi"/>
          <w:i/>
          <w:iCs/>
        </w:rPr>
        <w:t xml:space="preserve"> Witnessing in Times of Social Media</w:t>
      </w:r>
      <w:r w:rsidR="00F4698F" w:rsidRPr="003C31B9">
        <w:rPr>
          <w:rFonts w:asciiTheme="majorBidi" w:hAnsiTheme="majorBidi" w:cstheme="majorBidi"/>
        </w:rPr>
        <w:t xml:space="preserve">, </w:t>
      </w:r>
      <w:r w:rsidR="00F4698F">
        <w:rPr>
          <w:rFonts w:asciiTheme="majorBidi" w:hAnsiTheme="majorBidi" w:cstheme="majorBidi"/>
        </w:rPr>
        <w:t xml:space="preserve">ed. </w:t>
      </w:r>
      <w:r w:rsidR="00F4698F" w:rsidRPr="003C31B9">
        <w:rPr>
          <w:rFonts w:asciiTheme="majorBidi" w:hAnsiTheme="majorBidi" w:cstheme="majorBidi"/>
        </w:rPr>
        <w:t>Kerstin Schankweiler, Verena Straub, and Tobias Wendl</w:t>
      </w:r>
      <w:r w:rsidR="00F4698F">
        <w:rPr>
          <w:rFonts w:asciiTheme="majorBidi" w:hAnsiTheme="majorBidi" w:cstheme="majorBidi"/>
        </w:rPr>
        <w:t xml:space="preserve"> (</w:t>
      </w:r>
      <w:r w:rsidR="00F4698F" w:rsidRPr="003C31B9">
        <w:rPr>
          <w:rFonts w:asciiTheme="majorBidi" w:hAnsiTheme="majorBidi" w:cstheme="majorBidi"/>
        </w:rPr>
        <w:t>London</w:t>
      </w:r>
      <w:r w:rsidR="00C15F6C">
        <w:rPr>
          <w:rFonts w:asciiTheme="majorBidi" w:hAnsiTheme="majorBidi" w:cstheme="majorBidi"/>
        </w:rPr>
        <w:t>:</w:t>
      </w:r>
      <w:r w:rsidR="00F4698F" w:rsidRPr="003C31B9">
        <w:rPr>
          <w:rFonts w:asciiTheme="majorBidi" w:hAnsiTheme="majorBidi" w:cstheme="majorBidi"/>
        </w:rPr>
        <w:t xml:space="preserve"> Routledge</w:t>
      </w:r>
      <w:r w:rsidR="00C15F6C">
        <w:rPr>
          <w:rFonts w:asciiTheme="majorBidi" w:hAnsiTheme="majorBidi" w:cstheme="majorBidi"/>
        </w:rPr>
        <w:t>,</w:t>
      </w:r>
      <w:r w:rsidR="00F4698F">
        <w:rPr>
          <w:rFonts w:asciiTheme="majorBidi" w:hAnsiTheme="majorBidi" w:cstheme="majorBidi"/>
        </w:rPr>
        <w:t xml:space="preserve"> 2019)</w:t>
      </w:r>
      <w:r w:rsidR="00C15F6C">
        <w:rPr>
          <w:rFonts w:asciiTheme="majorBidi" w:hAnsiTheme="majorBidi" w:cstheme="majorBidi"/>
        </w:rPr>
        <w:t xml:space="preserve">, </w:t>
      </w:r>
      <w:r w:rsidR="00F4698F">
        <w:rPr>
          <w:rFonts w:asciiTheme="majorBidi" w:hAnsiTheme="majorBidi" w:cstheme="majorBidi"/>
        </w:rPr>
        <w:t>154–66.</w:t>
      </w:r>
    </w:p>
    <w:p w14:paraId="73F8C7F3" w14:textId="77777777" w:rsidR="008B4BA7" w:rsidRDefault="008B4BA7" w:rsidP="00F4698F">
      <w:pPr>
        <w:spacing w:line="480" w:lineRule="auto"/>
        <w:rPr>
          <w:rFonts w:asciiTheme="majorBidi" w:hAnsiTheme="majorBidi" w:cstheme="majorBidi"/>
        </w:rPr>
      </w:pPr>
    </w:p>
    <w:p w14:paraId="07168998" w14:textId="25EEE559" w:rsidR="00F4698F" w:rsidRPr="003C31B9" w:rsidRDefault="00F4698F" w:rsidP="00F4698F">
      <w:pPr>
        <w:spacing w:line="480" w:lineRule="auto"/>
        <w:rPr>
          <w:rFonts w:asciiTheme="majorBidi" w:hAnsiTheme="majorBidi" w:cstheme="majorBidi"/>
        </w:rPr>
      </w:pPr>
      <w:r>
        <w:rPr>
          <w:rFonts w:asciiTheme="majorBidi" w:hAnsiTheme="majorBidi" w:cstheme="majorBidi"/>
        </w:rPr>
        <w:t>B</w:t>
      </w:r>
      <w:r w:rsidR="00B9433B">
        <w:rPr>
          <w:rFonts w:asciiTheme="majorBidi" w:hAnsiTheme="majorBidi" w:cstheme="majorBidi"/>
        </w:rPr>
        <w:t>ernard</w:t>
      </w:r>
      <w:r>
        <w:rPr>
          <w:rFonts w:asciiTheme="majorBidi" w:hAnsiTheme="majorBidi" w:cstheme="majorBidi"/>
        </w:rPr>
        <w:t xml:space="preserve"> </w:t>
      </w:r>
      <w:r w:rsidRPr="003C31B9">
        <w:rPr>
          <w:rFonts w:asciiTheme="majorBidi" w:hAnsiTheme="majorBidi" w:cstheme="majorBidi"/>
        </w:rPr>
        <w:t>Haykel</w:t>
      </w:r>
      <w:r w:rsidR="00B9433B">
        <w:rPr>
          <w:rFonts w:asciiTheme="majorBidi" w:hAnsiTheme="majorBidi" w:cstheme="majorBidi"/>
        </w:rPr>
        <w:t>,</w:t>
      </w:r>
      <w:r>
        <w:rPr>
          <w:rFonts w:asciiTheme="majorBidi" w:hAnsiTheme="majorBidi" w:cstheme="majorBidi"/>
        </w:rPr>
        <w:t xml:space="preserve"> </w:t>
      </w:r>
      <w:r w:rsidR="00BC4213">
        <w:rPr>
          <w:rFonts w:asciiTheme="majorBidi" w:hAnsiTheme="majorBidi" w:cstheme="majorBidi"/>
        </w:rPr>
        <w:t>“</w:t>
      </w:r>
      <w:r w:rsidRPr="003C31B9">
        <w:rPr>
          <w:rFonts w:asciiTheme="majorBidi" w:hAnsiTheme="majorBidi" w:cstheme="majorBidi"/>
        </w:rPr>
        <w:t xml:space="preserve">On the </w:t>
      </w:r>
      <w:r w:rsidR="00B9433B">
        <w:rPr>
          <w:rFonts w:asciiTheme="majorBidi" w:hAnsiTheme="majorBidi" w:cstheme="majorBidi"/>
        </w:rPr>
        <w:t>N</w:t>
      </w:r>
      <w:r w:rsidRPr="003C31B9">
        <w:rPr>
          <w:rFonts w:asciiTheme="majorBidi" w:hAnsiTheme="majorBidi" w:cstheme="majorBidi"/>
        </w:rPr>
        <w:t xml:space="preserve">ature of Salafi </w:t>
      </w:r>
      <w:r w:rsidR="00B9433B">
        <w:rPr>
          <w:rFonts w:asciiTheme="majorBidi" w:hAnsiTheme="majorBidi" w:cstheme="majorBidi"/>
        </w:rPr>
        <w:t>T</w:t>
      </w:r>
      <w:r w:rsidRPr="003C31B9">
        <w:rPr>
          <w:rFonts w:asciiTheme="majorBidi" w:hAnsiTheme="majorBidi" w:cstheme="majorBidi"/>
        </w:rPr>
        <w:t xml:space="preserve">hought and </w:t>
      </w:r>
      <w:r w:rsidR="00B9433B">
        <w:rPr>
          <w:rFonts w:asciiTheme="majorBidi" w:hAnsiTheme="majorBidi" w:cstheme="majorBidi"/>
        </w:rPr>
        <w:t>A</w:t>
      </w:r>
      <w:r w:rsidRPr="003C31B9">
        <w:rPr>
          <w:rFonts w:asciiTheme="majorBidi" w:hAnsiTheme="majorBidi" w:cstheme="majorBidi"/>
        </w:rPr>
        <w:t>ction</w:t>
      </w:r>
      <w:r w:rsidR="00B9433B">
        <w:rPr>
          <w:rFonts w:asciiTheme="majorBidi" w:hAnsiTheme="majorBidi" w:cstheme="majorBidi"/>
        </w:rPr>
        <w:t>,</w:t>
      </w:r>
      <w:r w:rsidR="00BC4213">
        <w:rPr>
          <w:rFonts w:asciiTheme="majorBidi" w:hAnsiTheme="majorBidi" w:cstheme="majorBidi"/>
        </w:rPr>
        <w:t>”</w:t>
      </w:r>
      <w:r w:rsidR="008B098E">
        <w:rPr>
          <w:rFonts w:asciiTheme="majorBidi" w:hAnsiTheme="majorBidi" w:cstheme="majorBidi"/>
        </w:rPr>
        <w:t xml:space="preserve"> </w:t>
      </w:r>
      <w:r>
        <w:rPr>
          <w:rFonts w:asciiTheme="majorBidi" w:hAnsiTheme="majorBidi" w:cstheme="majorBidi"/>
        </w:rPr>
        <w:t>in</w:t>
      </w:r>
      <w:r w:rsidR="008B098E">
        <w:rPr>
          <w:rFonts w:asciiTheme="majorBidi" w:hAnsiTheme="majorBidi" w:cstheme="majorBidi"/>
        </w:rPr>
        <w:t xml:space="preserve"> </w:t>
      </w:r>
      <w:r w:rsidRPr="00CB58B6">
        <w:rPr>
          <w:rFonts w:asciiTheme="majorBidi" w:hAnsiTheme="majorBidi" w:cstheme="majorBidi"/>
          <w:i/>
          <w:iCs/>
        </w:rPr>
        <w:t>Global Salafism: Islam’s New Religious Movement</w:t>
      </w:r>
      <w:r>
        <w:rPr>
          <w:rFonts w:asciiTheme="majorBidi" w:hAnsiTheme="majorBidi" w:cstheme="majorBidi"/>
        </w:rPr>
        <w:t xml:space="preserve">, ed. </w:t>
      </w:r>
      <w:r w:rsidRPr="003C31B9">
        <w:rPr>
          <w:rFonts w:asciiTheme="majorBidi" w:hAnsiTheme="majorBidi" w:cstheme="majorBidi"/>
        </w:rPr>
        <w:t>Roel Meijer</w:t>
      </w:r>
      <w:r>
        <w:rPr>
          <w:rFonts w:asciiTheme="majorBidi" w:hAnsiTheme="majorBidi" w:cstheme="majorBidi"/>
        </w:rPr>
        <w:t xml:space="preserve"> (</w:t>
      </w:r>
      <w:r w:rsidRPr="003C31B9">
        <w:rPr>
          <w:rFonts w:asciiTheme="majorBidi" w:hAnsiTheme="majorBidi" w:cstheme="majorBidi"/>
        </w:rPr>
        <w:t>N</w:t>
      </w:r>
      <w:r>
        <w:rPr>
          <w:rFonts w:asciiTheme="majorBidi" w:hAnsiTheme="majorBidi" w:cstheme="majorBidi"/>
        </w:rPr>
        <w:t>ew York:</w:t>
      </w:r>
      <w:r w:rsidRPr="003C31B9">
        <w:rPr>
          <w:rFonts w:asciiTheme="majorBidi" w:hAnsiTheme="majorBidi" w:cstheme="majorBidi"/>
        </w:rPr>
        <w:t xml:space="preserve"> Columbia University Press</w:t>
      </w:r>
      <w:r>
        <w:rPr>
          <w:rFonts w:asciiTheme="majorBidi" w:hAnsiTheme="majorBidi" w:cstheme="majorBidi"/>
        </w:rPr>
        <w:t>, 2009)</w:t>
      </w:r>
      <w:r w:rsidR="003C635F">
        <w:rPr>
          <w:rFonts w:asciiTheme="majorBidi" w:hAnsiTheme="majorBidi" w:cstheme="majorBidi"/>
        </w:rPr>
        <w:t>,</w:t>
      </w:r>
      <w:r>
        <w:rPr>
          <w:rFonts w:asciiTheme="majorBidi" w:hAnsiTheme="majorBidi" w:cstheme="majorBidi"/>
        </w:rPr>
        <w:t xml:space="preserve"> 33–57.</w:t>
      </w:r>
    </w:p>
    <w:p w14:paraId="66CB42AB" w14:textId="77777777" w:rsidR="008B4BA7" w:rsidRDefault="008B4BA7" w:rsidP="00F4698F">
      <w:pPr>
        <w:autoSpaceDE w:val="0"/>
        <w:autoSpaceDN w:val="0"/>
        <w:adjustRightInd w:val="0"/>
        <w:spacing w:line="480" w:lineRule="auto"/>
        <w:ind w:right="-720"/>
        <w:rPr>
          <w:rFonts w:asciiTheme="majorBidi" w:hAnsiTheme="majorBidi" w:cstheme="majorBidi"/>
        </w:rPr>
      </w:pPr>
    </w:p>
    <w:p w14:paraId="06A93A02" w14:textId="4CD882F8" w:rsidR="00F4698F" w:rsidRDefault="00F4698F" w:rsidP="00F4698F">
      <w:pPr>
        <w:autoSpaceDE w:val="0"/>
        <w:autoSpaceDN w:val="0"/>
        <w:adjustRightInd w:val="0"/>
        <w:spacing w:line="480" w:lineRule="auto"/>
        <w:ind w:right="-720"/>
        <w:rPr>
          <w:rFonts w:asciiTheme="majorBidi" w:hAnsiTheme="majorBidi" w:cstheme="majorBidi"/>
        </w:rPr>
      </w:pPr>
      <w:r>
        <w:rPr>
          <w:rFonts w:asciiTheme="majorBidi" w:hAnsiTheme="majorBidi" w:cstheme="majorBidi"/>
        </w:rPr>
        <w:t>J</w:t>
      </w:r>
      <w:r w:rsidR="003C635F">
        <w:rPr>
          <w:rFonts w:asciiTheme="majorBidi" w:hAnsiTheme="majorBidi" w:cstheme="majorBidi"/>
        </w:rPr>
        <w:t>ack</w:t>
      </w:r>
      <w:r>
        <w:rPr>
          <w:rFonts w:asciiTheme="majorBidi" w:hAnsiTheme="majorBidi" w:cstheme="majorBidi"/>
        </w:rPr>
        <w:t xml:space="preserve"> </w:t>
      </w:r>
      <w:r w:rsidRPr="003C31B9">
        <w:rPr>
          <w:rFonts w:asciiTheme="majorBidi" w:hAnsiTheme="majorBidi" w:cstheme="majorBidi"/>
        </w:rPr>
        <w:t>Moore</w:t>
      </w:r>
      <w:r w:rsidR="00F07C0D">
        <w:rPr>
          <w:rFonts w:asciiTheme="majorBidi" w:hAnsiTheme="majorBidi" w:cstheme="majorBidi"/>
        </w:rPr>
        <w:t>,</w:t>
      </w:r>
      <w:r>
        <w:rPr>
          <w:rFonts w:asciiTheme="majorBidi" w:hAnsiTheme="majorBidi" w:cstheme="majorBidi"/>
        </w:rPr>
        <w:t xml:space="preserve"> </w:t>
      </w:r>
      <w:r w:rsidR="003C635F">
        <w:rPr>
          <w:rFonts w:asciiTheme="majorBidi" w:hAnsiTheme="majorBidi" w:cstheme="majorBidi"/>
        </w:rPr>
        <w:t>“</w:t>
      </w:r>
      <w:r w:rsidRPr="003C31B9">
        <w:rPr>
          <w:rFonts w:asciiTheme="majorBidi" w:hAnsiTheme="majorBidi" w:cstheme="majorBidi"/>
        </w:rPr>
        <w:t>European Parliament Recognizes ISIS Killing of Religious Minorities as Genocide</w:t>
      </w:r>
      <w:r w:rsidR="003C635F">
        <w:rPr>
          <w:rFonts w:asciiTheme="majorBidi" w:hAnsiTheme="majorBidi" w:cstheme="majorBidi"/>
        </w:rPr>
        <w:t>,”</w:t>
      </w:r>
      <w:r w:rsidRPr="003C31B9">
        <w:rPr>
          <w:rFonts w:asciiTheme="majorBidi" w:hAnsiTheme="majorBidi" w:cstheme="majorBidi"/>
        </w:rPr>
        <w:t xml:space="preserve"> </w:t>
      </w:r>
      <w:r w:rsidRPr="00CB58B6">
        <w:rPr>
          <w:rFonts w:asciiTheme="majorBidi" w:hAnsiTheme="majorBidi" w:cstheme="majorBidi"/>
          <w:i/>
          <w:iCs/>
        </w:rPr>
        <w:t>Newsweek</w:t>
      </w:r>
      <w:r w:rsidR="003C635F">
        <w:rPr>
          <w:rFonts w:asciiTheme="majorBidi" w:hAnsiTheme="majorBidi" w:cstheme="majorBidi"/>
        </w:rPr>
        <w:t>,</w:t>
      </w:r>
      <w:r w:rsidRPr="003C31B9">
        <w:rPr>
          <w:rFonts w:asciiTheme="majorBidi" w:hAnsiTheme="majorBidi" w:cstheme="majorBidi"/>
        </w:rPr>
        <w:t xml:space="preserve"> </w:t>
      </w:r>
      <w:r w:rsidR="003C635F">
        <w:rPr>
          <w:rFonts w:asciiTheme="majorBidi" w:hAnsiTheme="majorBidi" w:cstheme="majorBidi"/>
        </w:rPr>
        <w:t xml:space="preserve">4 </w:t>
      </w:r>
      <w:r w:rsidRPr="003C31B9">
        <w:rPr>
          <w:rFonts w:asciiTheme="majorBidi" w:hAnsiTheme="majorBidi" w:cstheme="majorBidi"/>
        </w:rPr>
        <w:t>Feb</w:t>
      </w:r>
      <w:r w:rsidR="003C635F">
        <w:rPr>
          <w:rFonts w:asciiTheme="majorBidi" w:hAnsiTheme="majorBidi" w:cstheme="majorBidi"/>
        </w:rPr>
        <w:t>ruary</w:t>
      </w:r>
      <w:r w:rsidRPr="003C31B9">
        <w:rPr>
          <w:rFonts w:asciiTheme="majorBidi" w:hAnsiTheme="majorBidi" w:cstheme="majorBidi"/>
        </w:rPr>
        <w:t xml:space="preserve"> 2016.</w:t>
      </w:r>
    </w:p>
    <w:p w14:paraId="0524D4D1" w14:textId="77777777" w:rsidR="008B4BA7" w:rsidRDefault="008B4BA7" w:rsidP="00F4698F">
      <w:pPr>
        <w:autoSpaceDE w:val="0"/>
        <w:autoSpaceDN w:val="0"/>
        <w:adjustRightInd w:val="0"/>
        <w:spacing w:line="480" w:lineRule="auto"/>
        <w:ind w:right="-720"/>
        <w:rPr>
          <w:rFonts w:asciiTheme="majorBidi" w:eastAsiaTheme="minorHAnsi" w:hAnsiTheme="majorBidi" w:cstheme="majorBidi"/>
          <w:color w:val="000000"/>
        </w:rPr>
      </w:pPr>
    </w:p>
    <w:p w14:paraId="25230229" w14:textId="78DF7D90" w:rsidR="00F4698F" w:rsidRDefault="00F4698F" w:rsidP="00F4698F">
      <w:pPr>
        <w:autoSpaceDE w:val="0"/>
        <w:autoSpaceDN w:val="0"/>
        <w:adjustRightInd w:val="0"/>
        <w:spacing w:line="480" w:lineRule="auto"/>
        <w:ind w:right="-720"/>
        <w:rPr>
          <w:rFonts w:asciiTheme="majorBidi" w:hAnsiTheme="majorBidi" w:cstheme="majorBidi"/>
        </w:rPr>
      </w:pPr>
      <w:r>
        <w:rPr>
          <w:rFonts w:asciiTheme="majorBidi" w:eastAsiaTheme="minorHAnsi" w:hAnsiTheme="majorBidi" w:cstheme="majorBidi"/>
          <w:color w:val="000000"/>
        </w:rPr>
        <w:t>Claire S</w:t>
      </w:r>
      <w:r w:rsidRPr="003C31B9">
        <w:rPr>
          <w:rFonts w:asciiTheme="majorBidi" w:eastAsiaTheme="minorHAnsi" w:hAnsiTheme="majorBidi" w:cstheme="majorBidi"/>
          <w:color w:val="000000"/>
        </w:rPr>
        <w:t>mith, Heather Burke, Cherie de Leiuen, and Gary Jackson</w:t>
      </w:r>
      <w:r w:rsidR="00A77EE6">
        <w:rPr>
          <w:rFonts w:asciiTheme="majorBidi" w:eastAsiaTheme="minorHAnsi" w:hAnsiTheme="majorBidi" w:cstheme="majorBidi"/>
          <w:color w:val="000000"/>
        </w:rPr>
        <w:t>,</w:t>
      </w:r>
      <w:r>
        <w:rPr>
          <w:rFonts w:asciiTheme="majorBidi" w:eastAsiaTheme="minorHAnsi" w:hAnsiTheme="majorBidi" w:cstheme="majorBidi"/>
          <w:color w:val="000000"/>
        </w:rPr>
        <w:t xml:space="preserve"> </w:t>
      </w:r>
      <w:r w:rsidR="00A77EE6">
        <w:rPr>
          <w:rFonts w:asciiTheme="majorBidi" w:hAnsiTheme="majorBidi" w:cstheme="majorBidi"/>
        </w:rPr>
        <w:t>“</w:t>
      </w:r>
      <w:r w:rsidRPr="003C31B9">
        <w:rPr>
          <w:rFonts w:asciiTheme="majorBidi" w:hAnsiTheme="majorBidi" w:cstheme="majorBidi"/>
        </w:rPr>
        <w:t>The Islamic State’s Symbolic War:</w:t>
      </w:r>
      <w:r w:rsidR="008B098E">
        <w:rPr>
          <w:rFonts w:asciiTheme="majorBidi" w:hAnsiTheme="majorBidi" w:cstheme="majorBidi"/>
        </w:rPr>
        <w:t xml:space="preserve"> </w:t>
      </w:r>
      <w:r w:rsidRPr="003C31B9">
        <w:rPr>
          <w:rFonts w:asciiTheme="majorBidi" w:hAnsiTheme="majorBidi" w:cstheme="majorBidi"/>
        </w:rPr>
        <w:t>Da’esh’s Socially Mediated Terrorism as a Threat to Cultural Heritage</w:t>
      </w:r>
      <w:r w:rsidR="00CF565E">
        <w:rPr>
          <w:rFonts w:asciiTheme="majorBidi" w:hAnsiTheme="majorBidi" w:cstheme="majorBidi"/>
        </w:rPr>
        <w:t>,”</w:t>
      </w:r>
      <w:r w:rsidRPr="003C31B9">
        <w:rPr>
          <w:rFonts w:asciiTheme="majorBidi" w:hAnsiTheme="majorBidi" w:cstheme="majorBidi"/>
        </w:rPr>
        <w:t xml:space="preserve"> </w:t>
      </w:r>
      <w:r w:rsidRPr="00CB58B6">
        <w:rPr>
          <w:rFonts w:asciiTheme="majorBidi" w:hAnsiTheme="majorBidi" w:cstheme="majorBidi"/>
          <w:i/>
          <w:iCs/>
        </w:rPr>
        <w:t>Journal of Social Archaeology</w:t>
      </w:r>
      <w:r w:rsidRPr="00CB58B6">
        <w:rPr>
          <w:rFonts w:asciiTheme="majorBidi" w:hAnsiTheme="majorBidi" w:cstheme="majorBidi"/>
        </w:rPr>
        <w:t xml:space="preserve"> </w:t>
      </w:r>
      <w:r w:rsidRPr="003C31B9">
        <w:rPr>
          <w:rFonts w:asciiTheme="majorBidi" w:hAnsiTheme="majorBidi" w:cstheme="majorBidi"/>
        </w:rPr>
        <w:t>16</w:t>
      </w:r>
      <w:r>
        <w:rPr>
          <w:rFonts w:asciiTheme="majorBidi" w:hAnsiTheme="majorBidi" w:cstheme="majorBidi"/>
        </w:rPr>
        <w:t xml:space="preserve"> (2016)</w:t>
      </w:r>
      <w:r w:rsidRPr="003C31B9">
        <w:rPr>
          <w:rFonts w:asciiTheme="majorBidi" w:hAnsiTheme="majorBidi" w:cstheme="majorBidi"/>
        </w:rPr>
        <w:t>: 164</w:t>
      </w:r>
      <w:r>
        <w:rPr>
          <w:rFonts w:asciiTheme="majorBidi" w:hAnsiTheme="majorBidi" w:cstheme="majorBidi"/>
        </w:rPr>
        <w:t>–</w:t>
      </w:r>
      <w:r w:rsidRPr="003C31B9">
        <w:rPr>
          <w:rFonts w:asciiTheme="majorBidi" w:hAnsiTheme="majorBidi" w:cstheme="majorBidi"/>
        </w:rPr>
        <w:t>88</w:t>
      </w:r>
      <w:r>
        <w:rPr>
          <w:rFonts w:asciiTheme="majorBidi" w:hAnsiTheme="majorBidi" w:cstheme="majorBidi"/>
        </w:rPr>
        <w:t>.</w:t>
      </w:r>
    </w:p>
    <w:p w14:paraId="1D33D5F4" w14:textId="77777777" w:rsidR="007F49BD" w:rsidRDefault="007F49BD" w:rsidP="00F4698F">
      <w:pPr>
        <w:spacing w:line="480" w:lineRule="auto"/>
        <w:rPr>
          <w:rFonts w:asciiTheme="majorBidi" w:hAnsiTheme="majorBidi" w:cstheme="majorBidi"/>
        </w:rPr>
      </w:pPr>
    </w:p>
    <w:p w14:paraId="26106EFA" w14:textId="172CE85C" w:rsidR="00E55A40" w:rsidRPr="00ED1C1C" w:rsidRDefault="00FD6BB5" w:rsidP="00F4698F">
      <w:pPr>
        <w:spacing w:line="480" w:lineRule="auto"/>
      </w:pPr>
      <w:r>
        <w:t xml:space="preserve"> </w:t>
      </w:r>
    </w:p>
    <w:sectPr w:rsidR="00E55A40" w:rsidRPr="00ED1C1C" w:rsidSect="000A2C31">
      <w:footerReference w:type="even" r:id="rId12"/>
      <w:footerReference w:type="default" r:id="rId13"/>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911B30" w14:textId="77777777" w:rsidR="007E429B" w:rsidRDefault="007E429B" w:rsidP="00211F6E">
      <w:r>
        <w:separator/>
      </w:r>
    </w:p>
  </w:endnote>
  <w:endnote w:type="continuationSeparator" w:id="0">
    <w:p w14:paraId="62E9FB70" w14:textId="77777777" w:rsidR="007E429B" w:rsidRDefault="007E429B" w:rsidP="00211F6E">
      <w:r>
        <w:continuationSeparator/>
      </w:r>
    </w:p>
  </w:endnote>
  <w:endnote w:id="1">
    <w:p w14:paraId="7820AE2D" w14:textId="758F533A" w:rsidR="008B4BA7" w:rsidRPr="00E266A7" w:rsidRDefault="008B4BA7" w:rsidP="00E266A7">
      <w:pPr>
        <w:spacing w:line="480" w:lineRule="auto"/>
      </w:pPr>
      <w:r w:rsidRPr="004B0F52">
        <w:rPr>
          <w:rStyle w:val="EndnoteReference"/>
        </w:rPr>
        <w:endnoteRef/>
      </w:r>
      <w:r w:rsidRPr="00F42505">
        <w:t xml:space="preserve"> </w:t>
      </w:r>
      <w:r w:rsidR="00BC4213" w:rsidRPr="00E266A7">
        <w:t xml:space="preserve">Bernard Haykel, “On the Nature of Salafi Thought and Action,” in </w:t>
      </w:r>
      <w:r w:rsidR="00BC4213" w:rsidRPr="00E266A7">
        <w:rPr>
          <w:i/>
          <w:iCs/>
        </w:rPr>
        <w:t>Global Salafism: Islam’s New Religious Movement</w:t>
      </w:r>
      <w:r w:rsidR="00BC4213" w:rsidRPr="00E266A7">
        <w:t xml:space="preserve">, ed. Roel Meijer (New York: Columbia University Press, 2009), </w:t>
      </w:r>
      <w:r w:rsidRPr="00E266A7">
        <w:t>38–</w:t>
      </w:r>
      <w:r w:rsidRPr="00E646D6">
        <w:t>39</w:t>
      </w:r>
      <w:r w:rsidRPr="00191BC4">
        <w:t xml:space="preserve">; </w:t>
      </w:r>
      <w:r w:rsidR="00BC4213" w:rsidRPr="00191BC4">
        <w:t xml:space="preserve">and </w:t>
      </w:r>
      <w:r w:rsidR="00E646D6" w:rsidRPr="00191BC4">
        <w:rPr>
          <w:i/>
          <w:iCs/>
        </w:rPr>
        <w:t>Oxford Research Encyclopedia of Religion</w:t>
      </w:r>
      <w:r w:rsidR="00E646D6">
        <w:t>, s.v.,</w:t>
      </w:r>
      <w:r w:rsidR="00E646D6" w:rsidRPr="00191BC4" w:rsidDel="00E646D6">
        <w:t xml:space="preserve"> </w:t>
      </w:r>
      <w:r w:rsidR="00E646D6" w:rsidRPr="000A5FA1">
        <w:t xml:space="preserve">“Salafism,” </w:t>
      </w:r>
      <w:r w:rsidR="00E646D6">
        <w:t xml:space="preserve">by </w:t>
      </w:r>
      <w:r w:rsidRPr="00191BC4">
        <w:t xml:space="preserve">Joas </w:t>
      </w:r>
      <w:r w:rsidR="00E646D6" w:rsidRPr="004C66B7">
        <w:t>Wagemakers,</w:t>
      </w:r>
      <w:r w:rsidR="00E646D6" w:rsidRPr="00E646D6">
        <w:t xml:space="preserve"> </w:t>
      </w:r>
      <w:r w:rsidR="00E646D6">
        <w:t xml:space="preserve">5 August </w:t>
      </w:r>
      <w:r w:rsidR="00E646D6" w:rsidRPr="004C66B7">
        <w:t>2016</w:t>
      </w:r>
      <w:r w:rsidR="00084E90">
        <w:t xml:space="preserve">, </w:t>
      </w:r>
      <w:r w:rsidR="00084E90" w:rsidRPr="00084E90">
        <w:t>https://oxfordre.com/religion/view/10.1093/acrefore/9780199340378.001.0001/acrefore-9780199340378-e-255</w:t>
      </w:r>
      <w:r w:rsidRPr="00191BC4">
        <w:t>.</w:t>
      </w:r>
    </w:p>
  </w:endnote>
  <w:endnote w:id="2">
    <w:p w14:paraId="705BA0B3" w14:textId="6A035BCF" w:rsidR="008B4BA7" w:rsidRPr="00E266A7" w:rsidRDefault="008B4BA7" w:rsidP="00E266A7">
      <w:pPr>
        <w:pStyle w:val="EndnoteText"/>
        <w:spacing w:line="480" w:lineRule="auto"/>
        <w:rPr>
          <w:sz w:val="24"/>
          <w:szCs w:val="24"/>
        </w:rPr>
      </w:pPr>
      <w:r w:rsidRPr="00E266A7">
        <w:rPr>
          <w:rStyle w:val="EndnoteReference"/>
          <w:sz w:val="24"/>
          <w:szCs w:val="24"/>
        </w:rPr>
        <w:endnoteRef/>
      </w:r>
      <w:r w:rsidRPr="00E266A7">
        <w:rPr>
          <w:sz w:val="24"/>
          <w:szCs w:val="24"/>
        </w:rPr>
        <w:t xml:space="preserve"> Wagemakers.</w:t>
      </w:r>
    </w:p>
  </w:endnote>
  <w:endnote w:id="3">
    <w:p w14:paraId="0C494AA3" w14:textId="1D61D3D6" w:rsidR="008B4BA7" w:rsidRPr="00F42505" w:rsidRDefault="008B4BA7" w:rsidP="00E266A7">
      <w:pPr>
        <w:pStyle w:val="EndnoteText"/>
        <w:spacing w:line="480" w:lineRule="auto"/>
        <w:rPr>
          <w:sz w:val="24"/>
          <w:szCs w:val="24"/>
        </w:rPr>
      </w:pPr>
      <w:r w:rsidRPr="00E266A7">
        <w:rPr>
          <w:rStyle w:val="EndnoteReference"/>
          <w:sz w:val="24"/>
          <w:szCs w:val="24"/>
        </w:rPr>
        <w:endnoteRef/>
      </w:r>
      <w:r w:rsidRPr="00E266A7">
        <w:rPr>
          <w:sz w:val="24"/>
          <w:szCs w:val="24"/>
        </w:rPr>
        <w:t xml:space="preserve"> Wagemakers.</w:t>
      </w:r>
    </w:p>
  </w:endnote>
  <w:endnote w:id="4">
    <w:p w14:paraId="07A1E9FD" w14:textId="13A0A1A0" w:rsidR="008B4BA7" w:rsidRPr="00F42505" w:rsidRDefault="008B4BA7" w:rsidP="00E266A7">
      <w:pPr>
        <w:pStyle w:val="EndnoteText"/>
        <w:spacing w:line="480" w:lineRule="auto"/>
        <w:rPr>
          <w:sz w:val="24"/>
          <w:szCs w:val="24"/>
        </w:rPr>
      </w:pPr>
      <w:r w:rsidRPr="00F42505">
        <w:rPr>
          <w:rStyle w:val="EndnoteReference"/>
          <w:sz w:val="24"/>
          <w:szCs w:val="24"/>
        </w:rPr>
        <w:endnoteRef/>
      </w:r>
      <w:r w:rsidRPr="00F42505">
        <w:rPr>
          <w:sz w:val="24"/>
          <w:szCs w:val="24"/>
        </w:rPr>
        <w:t xml:space="preserve"> </w:t>
      </w:r>
      <w:r w:rsidRPr="00E266A7">
        <w:rPr>
          <w:sz w:val="24"/>
          <w:szCs w:val="24"/>
        </w:rPr>
        <w:t xml:space="preserve">Haykel, “On the </w:t>
      </w:r>
      <w:r w:rsidR="0005551C" w:rsidRPr="00E266A7">
        <w:rPr>
          <w:sz w:val="24"/>
          <w:szCs w:val="24"/>
        </w:rPr>
        <w:t>N</w:t>
      </w:r>
      <w:r w:rsidRPr="00E266A7">
        <w:rPr>
          <w:sz w:val="24"/>
          <w:szCs w:val="24"/>
        </w:rPr>
        <w:t xml:space="preserve">ature of Salafi </w:t>
      </w:r>
      <w:r w:rsidR="0005551C" w:rsidRPr="00E266A7">
        <w:rPr>
          <w:sz w:val="24"/>
          <w:szCs w:val="24"/>
        </w:rPr>
        <w:t>T</w:t>
      </w:r>
      <w:r w:rsidRPr="00E266A7">
        <w:rPr>
          <w:sz w:val="24"/>
          <w:szCs w:val="24"/>
        </w:rPr>
        <w:t>hought,</w:t>
      </w:r>
      <w:r w:rsidR="0005551C" w:rsidRPr="00E266A7">
        <w:rPr>
          <w:sz w:val="24"/>
          <w:szCs w:val="24"/>
        </w:rPr>
        <w:t>”</w:t>
      </w:r>
      <w:r w:rsidRPr="00E266A7">
        <w:rPr>
          <w:sz w:val="24"/>
          <w:szCs w:val="24"/>
        </w:rPr>
        <w:t xml:space="preserve"> 41.</w:t>
      </w:r>
    </w:p>
  </w:endnote>
  <w:endnote w:id="5">
    <w:p w14:paraId="61AA309B" w14:textId="1D228E8B" w:rsidR="008B4BA7" w:rsidRPr="00F42505" w:rsidRDefault="008B4BA7" w:rsidP="00E266A7">
      <w:pPr>
        <w:pStyle w:val="EndnoteText"/>
        <w:spacing w:line="480" w:lineRule="auto"/>
        <w:rPr>
          <w:sz w:val="24"/>
          <w:szCs w:val="24"/>
        </w:rPr>
      </w:pPr>
      <w:r w:rsidRPr="00F42505">
        <w:rPr>
          <w:rStyle w:val="EndnoteReference"/>
          <w:sz w:val="24"/>
          <w:szCs w:val="24"/>
        </w:rPr>
        <w:endnoteRef/>
      </w:r>
      <w:r w:rsidRPr="00F42505">
        <w:rPr>
          <w:sz w:val="24"/>
          <w:szCs w:val="24"/>
        </w:rPr>
        <w:t xml:space="preserve"> </w:t>
      </w:r>
      <w:r w:rsidRPr="00E266A7">
        <w:rPr>
          <w:sz w:val="24"/>
          <w:szCs w:val="24"/>
        </w:rPr>
        <w:t>Haykel, 48</w:t>
      </w:r>
      <w:r w:rsidR="00313684" w:rsidRPr="00E266A7">
        <w:rPr>
          <w:sz w:val="24"/>
          <w:szCs w:val="24"/>
        </w:rPr>
        <w:t>, 49</w:t>
      </w:r>
      <w:r w:rsidRPr="00E266A7">
        <w:rPr>
          <w:sz w:val="24"/>
          <w:szCs w:val="24"/>
        </w:rPr>
        <w:t>.</w:t>
      </w:r>
    </w:p>
  </w:endnote>
  <w:endnote w:id="6">
    <w:p w14:paraId="6364BD4C" w14:textId="48EBCAA5" w:rsidR="008B4BA7" w:rsidRPr="004B0F52" w:rsidRDefault="008B4BA7" w:rsidP="00E266A7">
      <w:pPr>
        <w:spacing w:line="480" w:lineRule="auto"/>
      </w:pPr>
      <w:r w:rsidRPr="00F42505">
        <w:rPr>
          <w:rStyle w:val="EndnoteReference"/>
        </w:rPr>
        <w:endnoteRef/>
      </w:r>
      <w:r w:rsidRPr="00F42505">
        <w:t xml:space="preserve"> </w:t>
      </w:r>
      <w:r w:rsidRPr="00E266A7">
        <w:rPr>
          <w:color w:val="000000" w:themeColor="text1"/>
        </w:rPr>
        <w:t xml:space="preserve">Leslie Brubaker, “Making and </w:t>
      </w:r>
      <w:r w:rsidR="0012259D" w:rsidRPr="00E266A7">
        <w:rPr>
          <w:color w:val="000000" w:themeColor="text1"/>
        </w:rPr>
        <w:t>B</w:t>
      </w:r>
      <w:r w:rsidRPr="00E266A7">
        <w:rPr>
          <w:color w:val="000000" w:themeColor="text1"/>
        </w:rPr>
        <w:t xml:space="preserve">reaking </w:t>
      </w:r>
      <w:r w:rsidR="0012259D" w:rsidRPr="00E266A7">
        <w:rPr>
          <w:color w:val="000000" w:themeColor="text1"/>
        </w:rPr>
        <w:t>I</w:t>
      </w:r>
      <w:r w:rsidRPr="00E266A7">
        <w:rPr>
          <w:color w:val="000000" w:themeColor="text1"/>
        </w:rPr>
        <w:t xml:space="preserve">mages and </w:t>
      </w:r>
      <w:r w:rsidR="0012259D" w:rsidRPr="00E266A7">
        <w:rPr>
          <w:color w:val="000000" w:themeColor="text1"/>
        </w:rPr>
        <w:t>M</w:t>
      </w:r>
      <w:r w:rsidRPr="00E266A7">
        <w:rPr>
          <w:color w:val="000000" w:themeColor="text1"/>
        </w:rPr>
        <w:t xml:space="preserve">eaning in Byzantium and </w:t>
      </w:r>
      <w:r w:rsidR="0012259D" w:rsidRPr="00E266A7">
        <w:rPr>
          <w:color w:val="000000" w:themeColor="text1"/>
        </w:rPr>
        <w:t>E</w:t>
      </w:r>
      <w:r w:rsidRPr="00E266A7">
        <w:rPr>
          <w:color w:val="000000" w:themeColor="text1"/>
        </w:rPr>
        <w:t xml:space="preserve">arly Islam,” in </w:t>
      </w:r>
      <w:r w:rsidRPr="00E266A7">
        <w:rPr>
          <w:i/>
          <w:iCs/>
          <w:color w:val="000000" w:themeColor="text1"/>
        </w:rPr>
        <w:t>Striking Images</w:t>
      </w:r>
      <w:r w:rsidR="0012259D" w:rsidRPr="00E266A7">
        <w:rPr>
          <w:i/>
          <w:iCs/>
          <w:color w:val="000000" w:themeColor="text1"/>
        </w:rPr>
        <w:t>:</w:t>
      </w:r>
      <w:r w:rsidRPr="00E266A7">
        <w:rPr>
          <w:i/>
          <w:iCs/>
          <w:color w:val="000000" w:themeColor="text1"/>
        </w:rPr>
        <w:t xml:space="preserve"> Iconoclasms Past and Present</w:t>
      </w:r>
      <w:r w:rsidRPr="00E266A7">
        <w:rPr>
          <w:color w:val="000000" w:themeColor="text1"/>
        </w:rPr>
        <w:t xml:space="preserve">, </w:t>
      </w:r>
      <w:r w:rsidR="0012259D" w:rsidRPr="00E266A7">
        <w:rPr>
          <w:color w:val="000000" w:themeColor="text1"/>
        </w:rPr>
        <w:t xml:space="preserve">ed. </w:t>
      </w:r>
      <w:r w:rsidRPr="00E266A7">
        <w:rPr>
          <w:color w:val="000000" w:themeColor="text1"/>
        </w:rPr>
        <w:t>Stacy Boldrick, Leslie Brubaker, and Richard Clay (</w:t>
      </w:r>
      <w:r w:rsidR="00763F0B" w:rsidRPr="00E266A7">
        <w:rPr>
          <w:color w:val="000000" w:themeColor="text1"/>
        </w:rPr>
        <w:t xml:space="preserve">Farnham, UK: </w:t>
      </w:r>
      <w:r w:rsidRPr="00E266A7">
        <w:rPr>
          <w:color w:val="000000" w:themeColor="text1"/>
        </w:rPr>
        <w:t xml:space="preserve">Ashgate, 2013), 13–24; </w:t>
      </w:r>
      <w:r w:rsidR="00AF6A07">
        <w:rPr>
          <w:color w:val="000000" w:themeColor="text1"/>
        </w:rPr>
        <w:t xml:space="preserve">and </w:t>
      </w:r>
      <w:r w:rsidRPr="00F42505">
        <w:rPr>
          <w:rStyle w:val="authors"/>
        </w:rPr>
        <w:t>José Antonio González Zarandona, César Albarrán-Torres</w:t>
      </w:r>
      <w:r w:rsidR="001D2E3F" w:rsidRPr="004B0F52">
        <w:rPr>
          <w:rStyle w:val="authors"/>
        </w:rPr>
        <w:t>,</w:t>
      </w:r>
      <w:r w:rsidRPr="004B0F52">
        <w:rPr>
          <w:rStyle w:val="authors"/>
        </w:rPr>
        <w:t xml:space="preserve"> </w:t>
      </w:r>
      <w:r w:rsidR="001D2E3F" w:rsidRPr="004B0F52">
        <w:rPr>
          <w:rStyle w:val="authors"/>
        </w:rPr>
        <w:t xml:space="preserve">and </w:t>
      </w:r>
      <w:r w:rsidRPr="004B0F52">
        <w:rPr>
          <w:rStyle w:val="authors"/>
        </w:rPr>
        <w:t>Benjamin Isakhan</w:t>
      </w:r>
      <w:r w:rsidR="00A32177" w:rsidRPr="004B0F52">
        <w:rPr>
          <w:rStyle w:val="authors"/>
        </w:rPr>
        <w:t>,</w:t>
      </w:r>
      <w:r w:rsidRPr="004B0F52">
        <w:t xml:space="preserve"> “</w:t>
      </w:r>
      <w:r w:rsidRPr="004B0F52">
        <w:rPr>
          <w:rStyle w:val="arttitle"/>
        </w:rPr>
        <w:t>Digitally Mediated Iconoclasm: the Islamic State and the War on Cultural Heritage</w:t>
      </w:r>
      <w:r w:rsidR="001D2E3F" w:rsidRPr="004B0F52">
        <w:rPr>
          <w:rStyle w:val="arttitle"/>
        </w:rPr>
        <w:t>,</w:t>
      </w:r>
      <w:r w:rsidRPr="004B0F52">
        <w:rPr>
          <w:rStyle w:val="arttitle"/>
        </w:rPr>
        <w:t>”</w:t>
      </w:r>
      <w:r w:rsidRPr="004B0F52">
        <w:t xml:space="preserve"> </w:t>
      </w:r>
      <w:r w:rsidRPr="004B0F52">
        <w:rPr>
          <w:rStyle w:val="serialtitle"/>
          <w:i/>
          <w:iCs/>
        </w:rPr>
        <w:t>International Journal of Heritage Studies</w:t>
      </w:r>
      <w:r w:rsidRPr="004B0F52">
        <w:t xml:space="preserve"> </w:t>
      </w:r>
      <w:r w:rsidRPr="004B0F52">
        <w:rPr>
          <w:rStyle w:val="volumeissue"/>
        </w:rPr>
        <w:t>24</w:t>
      </w:r>
      <w:r w:rsidR="001D2E3F" w:rsidRPr="004B0F52">
        <w:rPr>
          <w:rStyle w:val="volumeissue"/>
        </w:rPr>
        <w:t xml:space="preserve">, no. </w:t>
      </w:r>
      <w:r w:rsidRPr="004B0F52">
        <w:rPr>
          <w:rStyle w:val="volumeissue"/>
        </w:rPr>
        <w:t>6</w:t>
      </w:r>
      <w:r w:rsidR="001D2E3F" w:rsidRPr="004B0F52">
        <w:rPr>
          <w:rStyle w:val="Date1"/>
        </w:rPr>
        <w:t xml:space="preserve"> (2018)</w:t>
      </w:r>
      <w:r w:rsidR="001D2E3F" w:rsidRPr="004B0F52">
        <w:rPr>
          <w:rStyle w:val="volumeissue"/>
        </w:rPr>
        <w:t>:</w:t>
      </w:r>
      <w:r w:rsidRPr="004B0F52">
        <w:t xml:space="preserve"> </w:t>
      </w:r>
      <w:r w:rsidR="004C66B7">
        <w:rPr>
          <w:rStyle w:val="pagerange"/>
        </w:rPr>
        <w:t>651–52</w:t>
      </w:r>
      <w:r w:rsidR="00D61768" w:rsidRPr="004B0F52">
        <w:rPr>
          <w:rStyle w:val="pagerange"/>
        </w:rPr>
        <w:t>.</w:t>
      </w:r>
    </w:p>
  </w:endnote>
  <w:endnote w:id="7">
    <w:p w14:paraId="62698F89" w14:textId="03917D2B" w:rsidR="008B4BA7" w:rsidRPr="00E266A7" w:rsidRDefault="008B4BA7" w:rsidP="00E266A7">
      <w:pPr>
        <w:spacing w:line="480" w:lineRule="auto"/>
        <w:rPr>
          <w:color w:val="000000" w:themeColor="text1"/>
        </w:rPr>
      </w:pPr>
      <w:r w:rsidRPr="00F42505">
        <w:rPr>
          <w:rStyle w:val="EndnoteReference"/>
        </w:rPr>
        <w:endnoteRef/>
      </w:r>
      <w:r w:rsidRPr="00F42505">
        <w:t xml:space="preserve"> </w:t>
      </w:r>
      <w:r w:rsidRPr="00E266A7">
        <w:rPr>
          <w:color w:val="000000" w:themeColor="text1"/>
        </w:rPr>
        <w:t>Ninawa Media Office, “Fa's al-Khali</w:t>
      </w:r>
      <w:r w:rsidR="00AF6A07">
        <w:rPr>
          <w:color w:val="000000" w:themeColor="text1"/>
        </w:rPr>
        <w:t>l</w:t>
      </w:r>
      <w:r w:rsidRPr="00E266A7">
        <w:rPr>
          <w:color w:val="000000" w:themeColor="text1"/>
        </w:rPr>
        <w:t xml:space="preserve">” (The Axe of the Khalil), Iraq, </w:t>
      </w:r>
      <w:r w:rsidR="007E74F5" w:rsidRPr="00E266A7">
        <w:rPr>
          <w:color w:val="000000" w:themeColor="text1"/>
        </w:rPr>
        <w:t>2016, v</w:t>
      </w:r>
      <w:r w:rsidRPr="00E266A7">
        <w:rPr>
          <w:color w:val="000000" w:themeColor="text1"/>
        </w:rPr>
        <w:t xml:space="preserve">ideo. Quoted </w:t>
      </w:r>
      <w:r w:rsidR="007E74F5" w:rsidRPr="00E266A7">
        <w:rPr>
          <w:color w:val="000000" w:themeColor="text1"/>
        </w:rPr>
        <w:t xml:space="preserve">in </w:t>
      </w:r>
      <w:r w:rsidRPr="00E266A7">
        <w:t xml:space="preserve">Christoph Gunther and Tom Bioly, </w:t>
      </w:r>
      <w:r w:rsidR="00087F7A" w:rsidRPr="00E266A7">
        <w:t xml:space="preserve">“Testimonies for a New Social Order: The Islamic State’s Iconic Iconoclasm,” in </w:t>
      </w:r>
      <w:r w:rsidR="00087F7A" w:rsidRPr="00E266A7">
        <w:rPr>
          <w:i/>
          <w:iCs/>
        </w:rPr>
        <w:t>Image Testimonies: Witnessing in Times of Social Media</w:t>
      </w:r>
      <w:r w:rsidR="00087F7A" w:rsidRPr="00E266A7">
        <w:t>, ed. Kerstin Schankweiler, Verena Straub, and Tobias Wendl (London: Routledge, 2019)</w:t>
      </w:r>
      <w:r w:rsidRPr="00E266A7">
        <w:t>, 154–66.</w:t>
      </w:r>
    </w:p>
  </w:endnote>
  <w:endnote w:id="8">
    <w:p w14:paraId="4811DB84" w14:textId="7F7B8D32" w:rsidR="008B4BA7" w:rsidRPr="00E266A7" w:rsidRDefault="008B4BA7" w:rsidP="00E266A7">
      <w:pPr>
        <w:autoSpaceDE w:val="0"/>
        <w:autoSpaceDN w:val="0"/>
        <w:adjustRightInd w:val="0"/>
        <w:spacing w:line="480" w:lineRule="auto"/>
        <w:ind w:left="720" w:right="-720" w:hanging="720"/>
      </w:pPr>
      <w:r w:rsidRPr="00F42505">
        <w:rPr>
          <w:rStyle w:val="EndnoteReference"/>
        </w:rPr>
        <w:endnoteRef/>
      </w:r>
      <w:r w:rsidRPr="00F42505">
        <w:t xml:space="preserve"> </w:t>
      </w:r>
      <w:r w:rsidRPr="00E266A7">
        <w:t>Finbarr Barry Flood, “Between Cult and Culture: Bamiyan, Islamic Iconoclasm, and the Museum</w:t>
      </w:r>
      <w:r w:rsidR="002331C6" w:rsidRPr="00E266A7">
        <w:t>,</w:t>
      </w:r>
      <w:r w:rsidRPr="00E266A7">
        <w:t>”</w:t>
      </w:r>
    </w:p>
    <w:p w14:paraId="3F11BABA" w14:textId="2AB1F3D3" w:rsidR="008B4BA7" w:rsidRPr="00F42505" w:rsidRDefault="008B4BA7" w:rsidP="00E266A7">
      <w:pPr>
        <w:autoSpaceDE w:val="0"/>
        <w:autoSpaceDN w:val="0"/>
        <w:adjustRightInd w:val="0"/>
        <w:spacing w:line="480" w:lineRule="auto"/>
        <w:ind w:right="-720"/>
      </w:pPr>
      <w:r w:rsidRPr="00E266A7">
        <w:rPr>
          <w:i/>
          <w:iCs/>
        </w:rPr>
        <w:t>Art Bulletin</w:t>
      </w:r>
      <w:r w:rsidRPr="00E266A7">
        <w:t xml:space="preserve"> 84, </w:t>
      </w:r>
      <w:r w:rsidR="002331C6" w:rsidRPr="00E266A7">
        <w:t>n</w:t>
      </w:r>
      <w:r w:rsidRPr="00E266A7">
        <w:t xml:space="preserve">o. 4 (2002): 641–59; Francesco Francioni and Federico Lenzerini, </w:t>
      </w:r>
      <w:r w:rsidR="00BD506D" w:rsidRPr="00E266A7">
        <w:t>“</w:t>
      </w:r>
      <w:r w:rsidRPr="00E266A7">
        <w:t>The Destruction of the Buddhas of Bamiyan and International Law</w:t>
      </w:r>
      <w:r w:rsidR="00BD506D" w:rsidRPr="00E266A7">
        <w:t>,”</w:t>
      </w:r>
      <w:r w:rsidRPr="00E266A7">
        <w:t xml:space="preserve"> </w:t>
      </w:r>
      <w:r w:rsidRPr="00E266A7">
        <w:rPr>
          <w:i/>
          <w:iCs/>
        </w:rPr>
        <w:t>European Journal of International Law</w:t>
      </w:r>
      <w:r w:rsidRPr="00E266A7">
        <w:t xml:space="preserve"> 14, no. 4 (2003): 619–51; </w:t>
      </w:r>
      <w:r w:rsidR="006123E3" w:rsidRPr="00E266A7">
        <w:t xml:space="preserve">and </w:t>
      </w:r>
      <w:r w:rsidRPr="00E266A7">
        <w:t xml:space="preserve">Llewelyn Morgan, </w:t>
      </w:r>
      <w:r w:rsidRPr="00E266A7">
        <w:rPr>
          <w:i/>
          <w:iCs/>
        </w:rPr>
        <w:t>The Buddhas of Bamiyan</w:t>
      </w:r>
      <w:r w:rsidRPr="00E266A7">
        <w:t xml:space="preserve"> (Cambridge</w:t>
      </w:r>
      <w:r w:rsidR="006123E3" w:rsidRPr="00E266A7">
        <w:t>, MA</w:t>
      </w:r>
      <w:r w:rsidRPr="00E266A7">
        <w:t>: Harvard University Press, 2012).</w:t>
      </w:r>
    </w:p>
  </w:endnote>
  <w:endnote w:id="9">
    <w:p w14:paraId="18074D50" w14:textId="44EBB0D4" w:rsidR="008B4BA7" w:rsidRPr="00F42505" w:rsidRDefault="008B4BA7" w:rsidP="00E266A7">
      <w:pPr>
        <w:pStyle w:val="EndnoteText"/>
        <w:spacing w:line="480" w:lineRule="auto"/>
        <w:rPr>
          <w:sz w:val="24"/>
          <w:szCs w:val="24"/>
        </w:rPr>
      </w:pPr>
      <w:r w:rsidRPr="00F42505">
        <w:rPr>
          <w:rStyle w:val="EndnoteReference"/>
          <w:sz w:val="24"/>
          <w:szCs w:val="24"/>
        </w:rPr>
        <w:endnoteRef/>
      </w:r>
      <w:r w:rsidRPr="00F42505">
        <w:rPr>
          <w:sz w:val="24"/>
          <w:szCs w:val="24"/>
        </w:rPr>
        <w:t xml:space="preserve"> See the </w:t>
      </w:r>
      <w:r w:rsidRPr="00E266A7">
        <w:rPr>
          <w:sz w:val="24"/>
          <w:szCs w:val="24"/>
        </w:rPr>
        <w:t>unofficial translation published in Flood</w:t>
      </w:r>
      <w:r w:rsidR="00D36C99" w:rsidRPr="00E266A7">
        <w:rPr>
          <w:sz w:val="24"/>
          <w:szCs w:val="24"/>
        </w:rPr>
        <w:t>,</w:t>
      </w:r>
      <w:r w:rsidRPr="00E266A7">
        <w:rPr>
          <w:sz w:val="24"/>
          <w:szCs w:val="24"/>
        </w:rPr>
        <w:t xml:space="preserve"> 655</w:t>
      </w:r>
      <w:r w:rsidR="00D36C99" w:rsidRPr="00E266A7">
        <w:rPr>
          <w:sz w:val="24"/>
          <w:szCs w:val="24"/>
        </w:rPr>
        <w:t>.</w:t>
      </w:r>
    </w:p>
  </w:endnote>
  <w:endnote w:id="10">
    <w:p w14:paraId="17C31188" w14:textId="6438F86D" w:rsidR="008B4BA7" w:rsidRPr="00781BA2" w:rsidRDefault="008B4BA7" w:rsidP="00E266A7">
      <w:pPr>
        <w:pStyle w:val="EndnoteText"/>
        <w:spacing w:line="480" w:lineRule="auto"/>
        <w:rPr>
          <w:sz w:val="24"/>
          <w:szCs w:val="24"/>
        </w:rPr>
      </w:pPr>
      <w:r w:rsidRPr="00F42505">
        <w:rPr>
          <w:rStyle w:val="EndnoteReference"/>
          <w:sz w:val="24"/>
          <w:szCs w:val="24"/>
        </w:rPr>
        <w:endnoteRef/>
      </w:r>
      <w:r w:rsidRPr="00F42505">
        <w:rPr>
          <w:sz w:val="24"/>
          <w:szCs w:val="24"/>
        </w:rPr>
        <w:t xml:space="preserve"> Quoted in </w:t>
      </w:r>
      <w:r w:rsidRPr="0060429A">
        <w:rPr>
          <w:rFonts w:eastAsiaTheme="minorHAnsi"/>
          <w:sz w:val="24"/>
          <w:szCs w:val="24"/>
        </w:rPr>
        <w:t>Mounir Bouchenaki,</w:t>
      </w:r>
      <w:r w:rsidRPr="00E266A7">
        <w:rPr>
          <w:rFonts w:eastAsiaTheme="minorHAnsi"/>
          <w:sz w:val="24"/>
          <w:szCs w:val="24"/>
        </w:rPr>
        <w:t xml:space="preserve"> “Safeguarding the Buddha Statues in Bamiyan and the </w:t>
      </w:r>
      <w:r w:rsidR="00481589" w:rsidRPr="00E266A7">
        <w:rPr>
          <w:rFonts w:eastAsiaTheme="minorHAnsi"/>
          <w:sz w:val="24"/>
          <w:szCs w:val="24"/>
        </w:rPr>
        <w:t>S</w:t>
      </w:r>
      <w:r w:rsidRPr="00E266A7">
        <w:rPr>
          <w:rFonts w:eastAsiaTheme="minorHAnsi"/>
          <w:sz w:val="24"/>
          <w:szCs w:val="24"/>
        </w:rPr>
        <w:t xml:space="preserve">ustainable Protection of Afghan Cultural Heritage,” in </w:t>
      </w:r>
      <w:r w:rsidRPr="00E266A7">
        <w:rPr>
          <w:rFonts w:eastAsiaTheme="minorHAnsi"/>
          <w:i/>
          <w:iCs/>
          <w:sz w:val="24"/>
          <w:szCs w:val="24"/>
        </w:rPr>
        <w:t>The Future of the Bamiyan Buddha Statues</w:t>
      </w:r>
      <w:r w:rsidR="00A2615B" w:rsidRPr="00E266A7">
        <w:rPr>
          <w:rFonts w:eastAsiaTheme="minorHAnsi"/>
          <w:i/>
          <w:iCs/>
          <w:sz w:val="24"/>
          <w:szCs w:val="24"/>
        </w:rPr>
        <w:t>:</w:t>
      </w:r>
      <w:r w:rsidRPr="00E266A7">
        <w:rPr>
          <w:rFonts w:eastAsiaTheme="minorHAnsi"/>
          <w:i/>
          <w:iCs/>
          <w:sz w:val="24"/>
          <w:szCs w:val="24"/>
        </w:rPr>
        <w:t xml:space="preserve"> Heritage Reconstruction in Theory and Practice</w:t>
      </w:r>
      <w:r w:rsidR="00AC1694" w:rsidRPr="00E266A7">
        <w:rPr>
          <w:rFonts w:eastAsiaTheme="minorHAnsi"/>
          <w:iCs/>
          <w:sz w:val="24"/>
          <w:szCs w:val="24"/>
        </w:rPr>
        <w:t>,</w:t>
      </w:r>
      <w:r w:rsidRPr="00E266A7">
        <w:rPr>
          <w:rFonts w:eastAsiaTheme="minorHAnsi"/>
          <w:sz w:val="24"/>
          <w:szCs w:val="24"/>
        </w:rPr>
        <w:t xml:space="preserve"> ed. M</w:t>
      </w:r>
      <w:r w:rsidR="00457A01">
        <w:rPr>
          <w:rFonts w:eastAsiaTheme="minorHAnsi"/>
          <w:sz w:val="24"/>
          <w:szCs w:val="24"/>
        </w:rPr>
        <w:t>asanori</w:t>
      </w:r>
      <w:r w:rsidRPr="00E266A7">
        <w:rPr>
          <w:rFonts w:eastAsiaTheme="minorHAnsi"/>
          <w:sz w:val="24"/>
          <w:szCs w:val="24"/>
        </w:rPr>
        <w:t xml:space="preserve"> Nagaoka (</w:t>
      </w:r>
      <w:r w:rsidR="001967B5" w:rsidRPr="00630320">
        <w:rPr>
          <w:rFonts w:eastAsiaTheme="minorHAnsi"/>
          <w:sz w:val="24"/>
          <w:szCs w:val="24"/>
        </w:rPr>
        <w:t>Cham, Switzerland and Paris</w:t>
      </w:r>
      <w:r w:rsidR="001967B5">
        <w:rPr>
          <w:rFonts w:eastAsiaTheme="minorHAnsi"/>
          <w:sz w:val="24"/>
          <w:szCs w:val="24"/>
        </w:rPr>
        <w:t>:</w:t>
      </w:r>
      <w:r w:rsidR="001967B5" w:rsidRPr="00781BA2">
        <w:rPr>
          <w:rFonts w:eastAsiaTheme="minorHAnsi"/>
          <w:sz w:val="24"/>
          <w:szCs w:val="24"/>
        </w:rPr>
        <w:t xml:space="preserve"> </w:t>
      </w:r>
      <w:r w:rsidRPr="00781BA2">
        <w:rPr>
          <w:rFonts w:eastAsiaTheme="minorHAnsi"/>
          <w:sz w:val="24"/>
          <w:szCs w:val="24"/>
        </w:rPr>
        <w:t>Springer and UNESCO</w:t>
      </w:r>
      <w:r w:rsidR="001967B5">
        <w:rPr>
          <w:rFonts w:eastAsiaTheme="minorHAnsi"/>
          <w:sz w:val="24"/>
          <w:szCs w:val="24"/>
        </w:rPr>
        <w:t>,</w:t>
      </w:r>
      <w:r w:rsidRPr="00781BA2">
        <w:rPr>
          <w:rFonts w:eastAsiaTheme="minorHAnsi"/>
          <w:sz w:val="24"/>
          <w:szCs w:val="24"/>
        </w:rPr>
        <w:t xml:space="preserve"> 2020), 24.</w:t>
      </w:r>
    </w:p>
  </w:endnote>
  <w:endnote w:id="11">
    <w:p w14:paraId="5B5C55DD" w14:textId="50E24DC6" w:rsidR="008B4BA7" w:rsidRPr="00E266A7" w:rsidRDefault="008B4BA7" w:rsidP="00E266A7">
      <w:pPr>
        <w:pStyle w:val="EndnoteText"/>
        <w:spacing w:line="480" w:lineRule="auto"/>
        <w:rPr>
          <w:sz w:val="24"/>
          <w:szCs w:val="24"/>
        </w:rPr>
      </w:pPr>
      <w:r w:rsidRPr="00F42505">
        <w:rPr>
          <w:rStyle w:val="EndnoteReference"/>
          <w:sz w:val="24"/>
          <w:szCs w:val="24"/>
        </w:rPr>
        <w:endnoteRef/>
      </w:r>
      <w:r w:rsidRPr="00F42505">
        <w:rPr>
          <w:sz w:val="24"/>
          <w:szCs w:val="24"/>
        </w:rPr>
        <w:t xml:space="preserve"> </w:t>
      </w:r>
      <w:r w:rsidRPr="0060429A">
        <w:rPr>
          <w:rFonts w:eastAsiaTheme="minorHAnsi"/>
          <w:sz w:val="24"/>
          <w:szCs w:val="24"/>
        </w:rPr>
        <w:t>Bouchenaki,</w:t>
      </w:r>
      <w:r w:rsidRPr="00E266A7">
        <w:rPr>
          <w:rFonts w:eastAsiaTheme="minorHAnsi"/>
          <w:sz w:val="24"/>
          <w:szCs w:val="24"/>
        </w:rPr>
        <w:t xml:space="preserve"> 24.</w:t>
      </w:r>
    </w:p>
  </w:endnote>
  <w:endnote w:id="12">
    <w:p w14:paraId="060800FE" w14:textId="0912E2BC" w:rsidR="008B4BA7" w:rsidRPr="0060429A" w:rsidRDefault="008B4BA7" w:rsidP="00E266A7">
      <w:pPr>
        <w:autoSpaceDE w:val="0"/>
        <w:autoSpaceDN w:val="0"/>
        <w:adjustRightInd w:val="0"/>
        <w:spacing w:line="480" w:lineRule="auto"/>
        <w:ind w:right="-720"/>
      </w:pPr>
      <w:r w:rsidRPr="00F42505">
        <w:rPr>
          <w:rStyle w:val="EndnoteReference"/>
        </w:rPr>
        <w:endnoteRef/>
      </w:r>
      <w:r w:rsidRPr="00F42505">
        <w:t xml:space="preserve"> </w:t>
      </w:r>
      <w:r w:rsidRPr="0060429A">
        <w:t xml:space="preserve">UNESCO, </w:t>
      </w:r>
      <w:r w:rsidR="00D24570" w:rsidRPr="00781BA2">
        <w:t>“</w:t>
      </w:r>
      <w:r w:rsidRPr="00781BA2">
        <w:rPr>
          <w:iCs/>
        </w:rPr>
        <w:t xml:space="preserve">Proceedings of the Doha Conference of </w:t>
      </w:r>
      <w:r w:rsidRPr="00E266A7">
        <w:rPr>
          <w:iCs/>
        </w:rPr>
        <w:t>Ulama on Islam and Cultural Heritage</w:t>
      </w:r>
      <w:r w:rsidR="00D24570" w:rsidRPr="00E266A7">
        <w:t>”</w:t>
      </w:r>
      <w:r w:rsidRPr="00E266A7">
        <w:t xml:space="preserve"> </w:t>
      </w:r>
      <w:r w:rsidR="007C02C9" w:rsidRPr="00E266A7">
        <w:t>(</w:t>
      </w:r>
      <w:r w:rsidRPr="00E266A7">
        <w:t>Doha, Qatar</w:t>
      </w:r>
      <w:r w:rsidR="00D24570" w:rsidRPr="00E266A7">
        <w:t>,</w:t>
      </w:r>
      <w:r w:rsidRPr="00E266A7">
        <w:t xml:space="preserve"> 30</w:t>
      </w:r>
      <w:r w:rsidR="00D24570" w:rsidRPr="00E266A7">
        <w:t>–</w:t>
      </w:r>
      <w:r w:rsidRPr="00E266A7">
        <w:t>31 December 2001</w:t>
      </w:r>
      <w:r w:rsidR="007C02C9" w:rsidRPr="00E266A7">
        <w:t xml:space="preserve">), </w:t>
      </w:r>
      <w:r w:rsidRPr="00E266A7">
        <w:t>2005</w:t>
      </w:r>
      <w:r w:rsidR="007C02C9" w:rsidRPr="00E266A7">
        <w:t xml:space="preserve">, </w:t>
      </w:r>
      <w:r w:rsidRPr="00E266A7">
        <w:t>8</w:t>
      </w:r>
      <w:r w:rsidR="007C02C9" w:rsidRPr="00E266A7">
        <w:t>,</w:t>
      </w:r>
      <w:r w:rsidRPr="00E266A7">
        <w:t xml:space="preserve"> </w:t>
      </w:r>
      <w:r w:rsidR="007C02C9" w:rsidRPr="00E266A7">
        <w:t>https://unesdoc.unesco.org/ark:/48223/pf0000140834.</w:t>
      </w:r>
    </w:p>
  </w:endnote>
  <w:endnote w:id="13">
    <w:p w14:paraId="74E6ACE5" w14:textId="3840F8CF" w:rsidR="008B4BA7" w:rsidRPr="00F42505" w:rsidRDefault="008B4BA7" w:rsidP="00E266A7">
      <w:pPr>
        <w:pStyle w:val="EndnoteText"/>
        <w:spacing w:line="480" w:lineRule="auto"/>
        <w:rPr>
          <w:sz w:val="24"/>
          <w:szCs w:val="24"/>
        </w:rPr>
      </w:pPr>
      <w:r w:rsidRPr="00F42505">
        <w:rPr>
          <w:rStyle w:val="EndnoteReference"/>
          <w:sz w:val="24"/>
          <w:szCs w:val="24"/>
        </w:rPr>
        <w:endnoteRef/>
      </w:r>
      <w:r w:rsidRPr="00F42505">
        <w:rPr>
          <w:sz w:val="24"/>
          <w:szCs w:val="24"/>
        </w:rPr>
        <w:t xml:space="preserve"> </w:t>
      </w:r>
      <w:r w:rsidRPr="00E266A7">
        <w:rPr>
          <w:sz w:val="24"/>
          <w:szCs w:val="24"/>
        </w:rPr>
        <w:t xml:space="preserve">Michael Danti, </w:t>
      </w:r>
      <w:r w:rsidR="0071757B" w:rsidRPr="00E266A7">
        <w:rPr>
          <w:sz w:val="24"/>
          <w:szCs w:val="24"/>
        </w:rPr>
        <w:t>“</w:t>
      </w:r>
      <w:r w:rsidRPr="00E266A7">
        <w:rPr>
          <w:sz w:val="24"/>
          <w:szCs w:val="24"/>
        </w:rPr>
        <w:t>Ground-Based Observations of Cultural Heritage Incidents in Syria and Iraq</w:t>
      </w:r>
      <w:r w:rsidR="0071757B" w:rsidRPr="00E266A7">
        <w:rPr>
          <w:sz w:val="24"/>
          <w:szCs w:val="24"/>
        </w:rPr>
        <w:t>,”</w:t>
      </w:r>
      <w:r w:rsidRPr="00E266A7">
        <w:rPr>
          <w:sz w:val="24"/>
          <w:szCs w:val="24"/>
        </w:rPr>
        <w:t xml:space="preserve"> </w:t>
      </w:r>
      <w:r w:rsidRPr="00E266A7">
        <w:rPr>
          <w:i/>
          <w:iCs/>
          <w:sz w:val="24"/>
          <w:szCs w:val="24"/>
        </w:rPr>
        <w:t>Near Eastern Archaeology</w:t>
      </w:r>
      <w:r w:rsidRPr="00E266A7">
        <w:rPr>
          <w:sz w:val="24"/>
          <w:szCs w:val="24"/>
        </w:rPr>
        <w:t xml:space="preserve"> 78, no. 3 (2015): 138.</w:t>
      </w:r>
    </w:p>
  </w:endnote>
  <w:endnote w:id="14">
    <w:p w14:paraId="422E42CE" w14:textId="0A6C4EF6" w:rsidR="008B4BA7" w:rsidRPr="00E266A7" w:rsidRDefault="008B4BA7" w:rsidP="00E266A7">
      <w:pPr>
        <w:autoSpaceDE w:val="0"/>
        <w:autoSpaceDN w:val="0"/>
        <w:adjustRightInd w:val="0"/>
        <w:spacing w:line="480" w:lineRule="auto"/>
        <w:ind w:right="-720"/>
      </w:pPr>
      <w:r w:rsidRPr="00F42505">
        <w:rPr>
          <w:rStyle w:val="EndnoteReference"/>
        </w:rPr>
        <w:endnoteRef/>
      </w:r>
      <w:r w:rsidRPr="00F42505">
        <w:t xml:space="preserve"> </w:t>
      </w:r>
      <w:r w:rsidRPr="00E266A7">
        <w:t xml:space="preserve">Thomas Weiss and Nina Connelly, </w:t>
      </w:r>
      <w:r w:rsidRPr="00E266A7">
        <w:rPr>
          <w:i/>
          <w:iCs/>
        </w:rPr>
        <w:t>Cultural Cleansing and Mass Atrocities: Protecting Cultural Heritage in Armed Conflict Zones</w:t>
      </w:r>
      <w:r w:rsidRPr="00E266A7">
        <w:t xml:space="preserve"> (Los Angeles: J. Paul Getty Trust</w:t>
      </w:r>
      <w:r w:rsidR="00C62C95" w:rsidRPr="00E266A7">
        <w:t>, 2017</w:t>
      </w:r>
      <w:r w:rsidR="00C62C95" w:rsidRPr="00E266A7">
        <w:rPr>
          <w:color w:val="000000"/>
        </w:rPr>
        <w:t>), Occasional Papers in Cultural Heritage Policy no. 1</w:t>
      </w:r>
      <w:r w:rsidRPr="00E266A7">
        <w:rPr>
          <w:color w:val="000000"/>
        </w:rPr>
        <w:t xml:space="preserve">; </w:t>
      </w:r>
      <w:r w:rsidR="003E7764" w:rsidRPr="00E266A7">
        <w:rPr>
          <w:color w:val="000000"/>
        </w:rPr>
        <w:t xml:space="preserve">and </w:t>
      </w:r>
      <w:r w:rsidRPr="00E266A7">
        <w:t xml:space="preserve">Edward C. Luck, </w:t>
      </w:r>
      <w:r w:rsidRPr="00E266A7">
        <w:rPr>
          <w:i/>
          <w:iCs/>
        </w:rPr>
        <w:t>Cultural Genocide and the Protection of Cultural Heritage</w:t>
      </w:r>
      <w:r w:rsidRPr="00E266A7">
        <w:t xml:space="preserve"> (Los Angeles: J. Paul Getty Trust</w:t>
      </w:r>
      <w:r w:rsidR="00E838DF">
        <w:t>,</w:t>
      </w:r>
      <w:r w:rsidRPr="00E266A7">
        <w:t xml:space="preserve"> 2018)</w:t>
      </w:r>
      <w:r w:rsidR="003E7764" w:rsidRPr="00E266A7">
        <w:t>, Occasional Papers in Cultural Heritage Policy no. 2</w:t>
      </w:r>
      <w:r w:rsidRPr="00E266A7">
        <w:t>.</w:t>
      </w:r>
    </w:p>
  </w:endnote>
  <w:endnote w:id="15">
    <w:p w14:paraId="4EC34978" w14:textId="617E689E" w:rsidR="008B4BA7" w:rsidRPr="00E266A7" w:rsidRDefault="008B4BA7" w:rsidP="00E266A7">
      <w:pPr>
        <w:autoSpaceDE w:val="0"/>
        <w:autoSpaceDN w:val="0"/>
        <w:adjustRightInd w:val="0"/>
        <w:spacing w:line="480" w:lineRule="auto"/>
      </w:pPr>
      <w:r w:rsidRPr="00F42505">
        <w:rPr>
          <w:rStyle w:val="EndnoteReference"/>
        </w:rPr>
        <w:endnoteRef/>
      </w:r>
      <w:r w:rsidRPr="00F42505">
        <w:t xml:space="preserve"> </w:t>
      </w:r>
      <w:r w:rsidRPr="004B0F52">
        <w:t>See</w:t>
      </w:r>
      <w:r w:rsidR="0053387D" w:rsidRPr="004B0F52">
        <w:t>,</w:t>
      </w:r>
      <w:r w:rsidRPr="004B0F52">
        <w:t xml:space="preserve"> e.g., </w:t>
      </w:r>
      <w:r w:rsidRPr="00E266A7">
        <w:rPr>
          <w:color w:val="000000" w:themeColor="text1"/>
        </w:rPr>
        <w:t>Brubaker</w:t>
      </w:r>
      <w:r w:rsidR="00DE50D4" w:rsidRPr="00E266A7">
        <w:rPr>
          <w:color w:val="000000" w:themeColor="text1"/>
        </w:rPr>
        <w:t>,</w:t>
      </w:r>
      <w:r w:rsidRPr="00E266A7">
        <w:rPr>
          <w:color w:val="000000" w:themeColor="text1"/>
        </w:rPr>
        <w:t xml:space="preserve"> </w:t>
      </w:r>
      <w:r w:rsidR="00DE50D4" w:rsidRPr="00E266A7">
        <w:rPr>
          <w:color w:val="000000" w:themeColor="text1"/>
        </w:rPr>
        <w:t>“</w:t>
      </w:r>
      <w:r w:rsidR="0053387D" w:rsidRPr="00E266A7">
        <w:rPr>
          <w:color w:val="000000" w:themeColor="text1"/>
        </w:rPr>
        <w:t>Making and Breaking Images”</w:t>
      </w:r>
      <w:r w:rsidR="006E70A4">
        <w:rPr>
          <w:color w:val="000000" w:themeColor="text1"/>
        </w:rPr>
        <w:t>; and</w:t>
      </w:r>
      <w:r w:rsidRPr="00E266A7">
        <w:rPr>
          <w:color w:val="000000" w:themeColor="text1"/>
        </w:rPr>
        <w:t xml:space="preserve"> </w:t>
      </w:r>
      <w:r w:rsidRPr="00E266A7">
        <w:t>Natalie Naomi May, ed.</w:t>
      </w:r>
      <w:r w:rsidR="00DE50D4" w:rsidRPr="00E266A7">
        <w:t>,</w:t>
      </w:r>
      <w:r w:rsidRPr="00E266A7">
        <w:t xml:space="preserve"> </w:t>
      </w:r>
      <w:r w:rsidRPr="00E266A7">
        <w:rPr>
          <w:i/>
          <w:iCs/>
        </w:rPr>
        <w:t>Iconoclasm and Text Destruction in the Ancient Near East and Beyond</w:t>
      </w:r>
      <w:r w:rsidRPr="00E266A7">
        <w:t xml:space="preserve"> (Chicago: Oriental Institute of the University of Chicago, 2012)</w:t>
      </w:r>
      <w:r w:rsidR="0004351B" w:rsidRPr="00E266A7">
        <w:t>,</w:t>
      </w:r>
      <w:r w:rsidR="00CF0C88" w:rsidRPr="00E266A7">
        <w:t xml:space="preserve"> Oriental Institute Seminars no. 8</w:t>
      </w:r>
      <w:r w:rsidRPr="00E266A7">
        <w:t>.</w:t>
      </w:r>
    </w:p>
  </w:endnote>
  <w:endnote w:id="16">
    <w:p w14:paraId="414433F1" w14:textId="5FC4EB45" w:rsidR="008B4BA7" w:rsidRPr="004B0F52" w:rsidRDefault="008B4BA7" w:rsidP="00E266A7">
      <w:pPr>
        <w:pStyle w:val="EndnoteText"/>
        <w:spacing w:line="480" w:lineRule="auto"/>
        <w:rPr>
          <w:sz w:val="24"/>
          <w:szCs w:val="24"/>
        </w:rPr>
      </w:pPr>
      <w:r w:rsidRPr="00F42505">
        <w:rPr>
          <w:rStyle w:val="EndnoteReference"/>
          <w:sz w:val="24"/>
          <w:szCs w:val="24"/>
        </w:rPr>
        <w:endnoteRef/>
      </w:r>
      <w:r w:rsidRPr="00F42505">
        <w:rPr>
          <w:sz w:val="24"/>
          <w:szCs w:val="24"/>
        </w:rPr>
        <w:t xml:space="preserve"> See Zarandona</w:t>
      </w:r>
      <w:r w:rsidR="00D11383">
        <w:rPr>
          <w:sz w:val="24"/>
          <w:szCs w:val="24"/>
        </w:rPr>
        <w:t>,</w:t>
      </w:r>
      <w:r w:rsidRPr="00F42505">
        <w:rPr>
          <w:sz w:val="24"/>
          <w:szCs w:val="24"/>
        </w:rPr>
        <w:t xml:space="preserve"> </w:t>
      </w:r>
      <w:r w:rsidR="00D11383" w:rsidRPr="00D11383">
        <w:rPr>
          <w:sz w:val="24"/>
          <w:szCs w:val="24"/>
        </w:rPr>
        <w:t>Albarrán-Torres, and Isakhan</w:t>
      </w:r>
      <w:r w:rsidR="008E29F1" w:rsidRPr="004B0F52">
        <w:rPr>
          <w:sz w:val="24"/>
          <w:szCs w:val="24"/>
        </w:rPr>
        <w:t>,</w:t>
      </w:r>
      <w:r w:rsidRPr="004B0F52">
        <w:rPr>
          <w:sz w:val="24"/>
          <w:szCs w:val="24"/>
        </w:rPr>
        <w:t xml:space="preserve"> </w:t>
      </w:r>
      <w:r w:rsidR="008E29F1" w:rsidRPr="004B0F52">
        <w:rPr>
          <w:sz w:val="24"/>
          <w:szCs w:val="24"/>
        </w:rPr>
        <w:t>“</w:t>
      </w:r>
      <w:r w:rsidR="008E29F1" w:rsidRPr="004B0F52">
        <w:rPr>
          <w:rStyle w:val="arttitle"/>
          <w:sz w:val="24"/>
          <w:szCs w:val="24"/>
        </w:rPr>
        <w:t>Digitally Mediated Iconoclasm</w:t>
      </w:r>
      <w:r w:rsidR="008E29F1" w:rsidRPr="004B0F52">
        <w:rPr>
          <w:sz w:val="24"/>
          <w:szCs w:val="24"/>
        </w:rPr>
        <w:t>.”</w:t>
      </w:r>
    </w:p>
  </w:endnote>
  <w:endnote w:id="17">
    <w:p w14:paraId="2B330729" w14:textId="21B1BD18" w:rsidR="008B4BA7" w:rsidRPr="00F42505" w:rsidRDefault="008B4BA7" w:rsidP="00E266A7">
      <w:pPr>
        <w:autoSpaceDE w:val="0"/>
        <w:autoSpaceDN w:val="0"/>
        <w:adjustRightInd w:val="0"/>
        <w:spacing w:line="480" w:lineRule="auto"/>
      </w:pPr>
      <w:r w:rsidRPr="00F42505">
        <w:rPr>
          <w:rStyle w:val="EndnoteReference"/>
        </w:rPr>
        <w:endnoteRef/>
      </w:r>
      <w:r w:rsidRPr="00F42505">
        <w:t xml:space="preserve"> </w:t>
      </w:r>
      <w:r w:rsidRPr="00E266A7">
        <w:rPr>
          <w:rFonts w:eastAsiaTheme="minorHAnsi"/>
          <w:color w:val="000000"/>
        </w:rPr>
        <w:t>Claire Smith</w:t>
      </w:r>
      <w:r w:rsidR="00E50A94" w:rsidRPr="00E266A7">
        <w:rPr>
          <w:rFonts w:eastAsiaTheme="minorHAnsi"/>
          <w:color w:val="000000"/>
        </w:rPr>
        <w:t xml:space="preserve"> et al.</w:t>
      </w:r>
      <w:r w:rsidRPr="00E266A7">
        <w:t>, “The Islamic State’s Symbolic War: Da’esh’s Socially Mediated Terrorism as a Threat to Cultural Heritage</w:t>
      </w:r>
      <w:r w:rsidR="00D42226" w:rsidRPr="00E266A7">
        <w:t>,”</w:t>
      </w:r>
      <w:r w:rsidRPr="00E266A7">
        <w:t xml:space="preserve"> </w:t>
      </w:r>
      <w:r w:rsidRPr="00E266A7">
        <w:rPr>
          <w:i/>
          <w:iCs/>
        </w:rPr>
        <w:t>Journal of Social Archaeology</w:t>
      </w:r>
      <w:r w:rsidRPr="00E266A7">
        <w:t xml:space="preserve"> 16 (2016):</w:t>
      </w:r>
      <w:r w:rsidR="00D42226" w:rsidRPr="00E266A7">
        <w:t xml:space="preserve"> </w:t>
      </w:r>
      <w:r w:rsidRPr="00E266A7">
        <w:t xml:space="preserve">173; Claire Smith, </w:t>
      </w:r>
      <w:r w:rsidR="00D42226" w:rsidRPr="00E266A7">
        <w:t>“</w:t>
      </w:r>
      <w:r w:rsidRPr="00E266A7">
        <w:t xml:space="preserve">Social </w:t>
      </w:r>
      <w:r w:rsidR="00DE266F" w:rsidRPr="00E266A7">
        <w:t>M</w:t>
      </w:r>
      <w:r w:rsidRPr="00E266A7">
        <w:t xml:space="preserve">edia and the </w:t>
      </w:r>
      <w:r w:rsidR="00D42226" w:rsidRPr="00E266A7">
        <w:t>D</w:t>
      </w:r>
      <w:r w:rsidRPr="00E266A7">
        <w:t xml:space="preserve">estruction of World Heritage </w:t>
      </w:r>
      <w:r w:rsidR="00C64B4A" w:rsidRPr="00E266A7">
        <w:t>S</w:t>
      </w:r>
      <w:r w:rsidRPr="00E266A7">
        <w:t xml:space="preserve">ites as </w:t>
      </w:r>
      <w:r w:rsidR="00C64B4A" w:rsidRPr="00E266A7">
        <w:t>G</w:t>
      </w:r>
      <w:r w:rsidRPr="00E266A7">
        <w:t xml:space="preserve">lobal </w:t>
      </w:r>
      <w:r w:rsidR="00C64B4A" w:rsidRPr="00E266A7">
        <w:t>P</w:t>
      </w:r>
      <w:r w:rsidRPr="00E266A7">
        <w:t>ropaganda</w:t>
      </w:r>
      <w:r w:rsidR="00C64B4A" w:rsidRPr="00E266A7">
        <w:t>,”</w:t>
      </w:r>
      <w:r w:rsidRPr="00E266A7">
        <w:t xml:space="preserve"> </w:t>
      </w:r>
      <w:r w:rsidR="00F86F1F">
        <w:t xml:space="preserve">in </w:t>
      </w:r>
      <w:r w:rsidRPr="00191BC4">
        <w:rPr>
          <w:i/>
          <w:iCs/>
        </w:rPr>
        <w:t xml:space="preserve">Proceedings of II International Conference on Best Practices in World Heritage: </w:t>
      </w:r>
      <w:r w:rsidR="00C64B4A" w:rsidRPr="00191BC4">
        <w:rPr>
          <w:i/>
          <w:iCs/>
        </w:rPr>
        <w:t>P</w:t>
      </w:r>
      <w:r w:rsidRPr="00191BC4">
        <w:rPr>
          <w:i/>
          <w:iCs/>
        </w:rPr>
        <w:t>eople and Communities</w:t>
      </w:r>
      <w:r w:rsidR="00C64B4A" w:rsidRPr="00191BC4">
        <w:rPr>
          <w:i/>
          <w:iCs/>
        </w:rPr>
        <w:t>,</w:t>
      </w:r>
      <w:r w:rsidRPr="00191BC4">
        <w:rPr>
          <w:i/>
          <w:iCs/>
        </w:rPr>
        <w:t xml:space="preserve"> Mahon, Spain, </w:t>
      </w:r>
      <w:r w:rsidR="00C64B4A" w:rsidRPr="00191BC4">
        <w:rPr>
          <w:i/>
          <w:iCs/>
        </w:rPr>
        <w:t xml:space="preserve">9 </w:t>
      </w:r>
      <w:r w:rsidRPr="00191BC4">
        <w:rPr>
          <w:i/>
          <w:iCs/>
        </w:rPr>
        <w:t>April</w:t>
      </w:r>
      <w:r w:rsidR="00C64B4A" w:rsidRPr="00191BC4">
        <w:rPr>
          <w:i/>
          <w:iCs/>
        </w:rPr>
        <w:t xml:space="preserve">–2 </w:t>
      </w:r>
      <w:r w:rsidRPr="00191BC4">
        <w:rPr>
          <w:i/>
          <w:iCs/>
        </w:rPr>
        <w:t>May 2015</w:t>
      </w:r>
      <w:r w:rsidR="007C1591" w:rsidRPr="00E266A7">
        <w:t>,</w:t>
      </w:r>
      <w:r w:rsidR="002522D5" w:rsidRPr="00E266A7">
        <w:t xml:space="preserve"> </w:t>
      </w:r>
      <w:r w:rsidR="00C054F3">
        <w:t xml:space="preserve">ed. </w:t>
      </w:r>
      <w:r w:rsidRPr="00191BC4">
        <w:t>A</w:t>
      </w:r>
      <w:r w:rsidR="007C1591" w:rsidRPr="00191BC4">
        <w:t>licia</w:t>
      </w:r>
      <w:r w:rsidRPr="00191BC4">
        <w:t xml:space="preserve"> Castillo Mena</w:t>
      </w:r>
      <w:r w:rsidR="00C054F3">
        <w:t xml:space="preserve"> (</w:t>
      </w:r>
      <w:r w:rsidRPr="00191BC4">
        <w:t>Madrid</w:t>
      </w:r>
      <w:r w:rsidR="00C054F3">
        <w:t>:</w:t>
      </w:r>
      <w:r w:rsidRPr="00191BC4">
        <w:t xml:space="preserve"> Universidad Complutense de Madrid</w:t>
      </w:r>
      <w:r w:rsidR="00C054F3">
        <w:t>,</w:t>
      </w:r>
      <w:r w:rsidRPr="00191BC4">
        <w:t xml:space="preserve"> 2016)</w:t>
      </w:r>
      <w:r w:rsidR="00A838B3">
        <w:t>,</w:t>
      </w:r>
      <w:r w:rsidRPr="00191BC4">
        <w:t xml:space="preserve"> 27</w:t>
      </w:r>
      <w:r w:rsidR="00A838B3">
        <w:softHyphen/>
        <w:t>–</w:t>
      </w:r>
      <w:r w:rsidRPr="00191BC4">
        <w:t>49</w:t>
      </w:r>
      <w:r w:rsidRPr="00C054F3">
        <w:t>;</w:t>
      </w:r>
      <w:r w:rsidRPr="00E266A7">
        <w:t xml:space="preserve"> </w:t>
      </w:r>
      <w:r w:rsidR="009666CD" w:rsidRPr="00E266A7">
        <w:t xml:space="preserve">and </w:t>
      </w:r>
      <w:r w:rsidRPr="00F42505">
        <w:rPr>
          <w:rFonts w:eastAsiaTheme="minorHAnsi"/>
          <w:color w:val="000000"/>
        </w:rPr>
        <w:t>Claire Smit</w:t>
      </w:r>
      <w:r w:rsidRPr="004B0F52">
        <w:rPr>
          <w:rFonts w:eastAsiaTheme="minorHAnsi"/>
          <w:color w:val="000000"/>
        </w:rPr>
        <w:t>h</w:t>
      </w:r>
      <w:r w:rsidR="009666CD" w:rsidRPr="004B0F52">
        <w:rPr>
          <w:rFonts w:eastAsiaTheme="minorHAnsi"/>
          <w:color w:val="000000"/>
        </w:rPr>
        <w:t xml:space="preserve"> et al.</w:t>
      </w:r>
      <w:r w:rsidRPr="004B0F52">
        <w:rPr>
          <w:rFonts w:eastAsiaTheme="minorHAnsi"/>
          <w:color w:val="000000"/>
        </w:rPr>
        <w:t xml:space="preserve">, </w:t>
      </w:r>
      <w:r w:rsidR="009666CD" w:rsidRPr="00E266A7">
        <w:t>“</w:t>
      </w:r>
      <w:r w:rsidRPr="00E266A7">
        <w:t>The Manipulation of Social, Cultural and Religious Values in Socially Mediated Terrorism</w:t>
      </w:r>
      <w:r w:rsidR="009666CD" w:rsidRPr="00E266A7">
        <w:t>,”</w:t>
      </w:r>
      <w:r w:rsidRPr="00E266A7">
        <w:t xml:space="preserve"> </w:t>
      </w:r>
      <w:r w:rsidRPr="00E266A7">
        <w:rPr>
          <w:i/>
          <w:iCs/>
        </w:rPr>
        <w:t>Religions</w:t>
      </w:r>
      <w:r w:rsidRPr="00E266A7">
        <w:t xml:space="preserve"> 9, no. 5</w:t>
      </w:r>
      <w:r w:rsidR="00A40154" w:rsidRPr="00E266A7">
        <w:t xml:space="preserve"> (2018):</w:t>
      </w:r>
      <w:r w:rsidRPr="00E266A7">
        <w:t xml:space="preserve"> 168.</w:t>
      </w:r>
    </w:p>
  </w:endnote>
  <w:endnote w:id="18">
    <w:p w14:paraId="3A6FED25" w14:textId="77777777" w:rsidR="008B4BA7" w:rsidRPr="00E266A7" w:rsidRDefault="008B4BA7" w:rsidP="00E266A7">
      <w:pPr>
        <w:autoSpaceDE w:val="0"/>
        <w:autoSpaceDN w:val="0"/>
        <w:adjustRightInd w:val="0"/>
        <w:spacing w:line="480" w:lineRule="auto"/>
      </w:pPr>
      <w:r w:rsidRPr="00F42505">
        <w:rPr>
          <w:rStyle w:val="EndnoteReference"/>
        </w:rPr>
        <w:endnoteRef/>
      </w:r>
      <w:r w:rsidRPr="00F42505">
        <w:t xml:space="preserve"> </w:t>
      </w:r>
      <w:r w:rsidRPr="00E266A7">
        <w:t xml:space="preserve">Carsten Bockstette, </w:t>
      </w:r>
      <w:r w:rsidRPr="00E266A7">
        <w:rPr>
          <w:i/>
          <w:iCs/>
        </w:rPr>
        <w:t>Jihadist Terrorist Use of Strategic Communication Management</w:t>
      </w:r>
    </w:p>
    <w:p w14:paraId="60C37B51" w14:textId="13AD7432" w:rsidR="008B4BA7" w:rsidRPr="00E266A7" w:rsidRDefault="008B4BA7" w:rsidP="00E266A7">
      <w:pPr>
        <w:autoSpaceDE w:val="0"/>
        <w:autoSpaceDN w:val="0"/>
        <w:adjustRightInd w:val="0"/>
        <w:spacing w:line="480" w:lineRule="auto"/>
      </w:pPr>
      <w:r w:rsidRPr="00E266A7">
        <w:rPr>
          <w:i/>
          <w:iCs/>
        </w:rPr>
        <w:t>Techniques</w:t>
      </w:r>
      <w:r w:rsidRPr="00E266A7">
        <w:t xml:space="preserve"> </w:t>
      </w:r>
      <w:r w:rsidR="00D74859" w:rsidRPr="00E266A7">
        <w:t>(</w:t>
      </w:r>
      <w:r w:rsidRPr="00E266A7">
        <w:t>Garmisch-Partenkirchen</w:t>
      </w:r>
      <w:r w:rsidR="00D74859" w:rsidRPr="00E266A7">
        <w:t>, Germany</w:t>
      </w:r>
      <w:r w:rsidRPr="00E266A7">
        <w:t xml:space="preserve">: George C. Marshall European Center for Security Studies, 2008), </w:t>
      </w:r>
      <w:r w:rsidR="00D74859" w:rsidRPr="00E266A7">
        <w:t xml:space="preserve">Marshall Center Occasional Paper Series no. 20, </w:t>
      </w:r>
      <w:r w:rsidRPr="00E266A7">
        <w:t xml:space="preserve">12; </w:t>
      </w:r>
      <w:r w:rsidR="00D74859" w:rsidRPr="00E266A7">
        <w:t xml:space="preserve">and </w:t>
      </w:r>
      <w:r w:rsidR="00A80F02" w:rsidRPr="00E266A7">
        <w:rPr>
          <w:rFonts w:eastAsiaTheme="minorHAnsi"/>
          <w:color w:val="000000"/>
        </w:rPr>
        <w:t>Smith et al.</w:t>
      </w:r>
      <w:r w:rsidR="00A80F02" w:rsidRPr="00E266A7">
        <w:t>, “The Islamic State’s Symbolic War</w:t>
      </w:r>
      <w:r w:rsidRPr="00E266A7">
        <w:t>,</w:t>
      </w:r>
      <w:r w:rsidR="00A80F02" w:rsidRPr="00E266A7">
        <w:t>”</w:t>
      </w:r>
      <w:r w:rsidRPr="00E266A7">
        <w:t xml:space="preserve"> 177.</w:t>
      </w:r>
    </w:p>
  </w:endnote>
  <w:endnote w:id="19">
    <w:p w14:paraId="57FD2F4C" w14:textId="71F8A8E6" w:rsidR="008B4BA7" w:rsidRPr="00F42505" w:rsidRDefault="008B4BA7" w:rsidP="00E266A7">
      <w:pPr>
        <w:autoSpaceDE w:val="0"/>
        <w:autoSpaceDN w:val="0"/>
        <w:adjustRightInd w:val="0"/>
        <w:spacing w:line="480" w:lineRule="auto"/>
        <w:ind w:right="-720"/>
      </w:pPr>
      <w:r w:rsidRPr="00F42505">
        <w:rPr>
          <w:rStyle w:val="EndnoteReference"/>
        </w:rPr>
        <w:endnoteRef/>
      </w:r>
      <w:r w:rsidRPr="00F42505">
        <w:t xml:space="preserve"> </w:t>
      </w:r>
      <w:r w:rsidRPr="00E266A7">
        <w:t xml:space="preserve">Jean-Pierre Filiu, </w:t>
      </w:r>
      <w:r w:rsidRPr="00E266A7">
        <w:rPr>
          <w:i/>
          <w:iCs/>
        </w:rPr>
        <w:t>Apocalypse in Islam</w:t>
      </w:r>
      <w:r w:rsidRPr="00E266A7">
        <w:t xml:space="preserve">, trans. MB DeBevoise </w:t>
      </w:r>
      <w:r w:rsidR="00A80F02" w:rsidRPr="00E266A7">
        <w:t>(</w:t>
      </w:r>
      <w:r w:rsidRPr="00E266A7">
        <w:t>Berkeley: University of California Press, 2011</w:t>
      </w:r>
      <w:r w:rsidR="00A80F02" w:rsidRPr="00E266A7">
        <w:t>)</w:t>
      </w:r>
      <w:r w:rsidRPr="00E266A7">
        <w:t xml:space="preserve">; Harleen Gambhir, </w:t>
      </w:r>
      <w:r w:rsidR="00A80F02" w:rsidRPr="00E266A7">
        <w:t>“</w:t>
      </w:r>
      <w:r w:rsidRPr="00E266A7">
        <w:t>Dabiq: The Strategic Messaging of the Islamic State</w:t>
      </w:r>
      <w:r w:rsidR="00A80F02" w:rsidRPr="00E266A7">
        <w:t xml:space="preserve">,” </w:t>
      </w:r>
      <w:r w:rsidRPr="00E266A7">
        <w:rPr>
          <w:i/>
          <w:iCs/>
        </w:rPr>
        <w:t>Backgrounder</w:t>
      </w:r>
      <w:r w:rsidR="00371FD2" w:rsidRPr="00E266A7">
        <w:t>,</w:t>
      </w:r>
      <w:r w:rsidRPr="00E266A7">
        <w:t xml:space="preserve"> Institute for the Study of War</w:t>
      </w:r>
      <w:r w:rsidR="00371FD2" w:rsidRPr="00E266A7">
        <w:t xml:space="preserve"> (ISW),</w:t>
      </w:r>
      <w:r w:rsidRPr="00E266A7">
        <w:t xml:space="preserve"> </w:t>
      </w:r>
      <w:r w:rsidR="00371FD2" w:rsidRPr="00E266A7">
        <w:t xml:space="preserve">15 August 2014, </w:t>
      </w:r>
      <w:r w:rsidR="00732B8B" w:rsidRPr="00E266A7">
        <w:t xml:space="preserve">see </w:t>
      </w:r>
      <w:r w:rsidR="00371FD2" w:rsidRPr="00E266A7">
        <w:t>www.understandingwar.org</w:t>
      </w:r>
      <w:r w:rsidRPr="00E266A7">
        <w:t xml:space="preserve">; </w:t>
      </w:r>
      <w:r w:rsidRPr="00E266A7">
        <w:rPr>
          <w:rFonts w:eastAsiaTheme="minorHAnsi"/>
        </w:rPr>
        <w:t xml:space="preserve">Michael Pregill, </w:t>
      </w:r>
      <w:r w:rsidR="00100720" w:rsidRPr="00E266A7">
        <w:rPr>
          <w:rFonts w:eastAsiaTheme="minorHAnsi"/>
        </w:rPr>
        <w:t>“</w:t>
      </w:r>
      <w:r w:rsidRPr="00E266A7">
        <w:rPr>
          <w:rFonts w:eastAsiaTheme="minorHAnsi"/>
        </w:rPr>
        <w:t>ISIS, Eschatology, and Exegesis: The Propaganda of Dabiq and the Sectarian Rhetoric of Militant Shi’ism</w:t>
      </w:r>
      <w:r w:rsidR="003D6F45" w:rsidRPr="00E266A7">
        <w:rPr>
          <w:rFonts w:eastAsiaTheme="minorHAnsi"/>
        </w:rPr>
        <w:t>,”</w:t>
      </w:r>
      <w:r w:rsidRPr="00E266A7">
        <w:rPr>
          <w:rFonts w:eastAsiaTheme="minorHAnsi"/>
        </w:rPr>
        <w:t xml:space="preserve"> </w:t>
      </w:r>
      <w:r w:rsidRPr="00E266A7">
        <w:rPr>
          <w:rFonts w:eastAsiaTheme="minorHAnsi"/>
          <w:i/>
          <w:iCs/>
        </w:rPr>
        <w:t>Mizan</w:t>
      </w:r>
      <w:r w:rsidRPr="00E266A7">
        <w:rPr>
          <w:rFonts w:eastAsiaTheme="minorHAnsi"/>
        </w:rPr>
        <w:t xml:space="preserve"> </w:t>
      </w:r>
      <w:r w:rsidR="007959B7" w:rsidRPr="00E266A7">
        <w:rPr>
          <w:rFonts w:eastAsiaTheme="minorHAnsi"/>
        </w:rPr>
        <w:t>1</w:t>
      </w:r>
      <w:r w:rsidRPr="00E266A7">
        <w:rPr>
          <w:rFonts w:eastAsiaTheme="minorHAnsi"/>
        </w:rPr>
        <w:t xml:space="preserve">, no.1 </w:t>
      </w:r>
      <w:r w:rsidR="007959B7" w:rsidRPr="00E266A7">
        <w:rPr>
          <w:rFonts w:eastAsiaTheme="minorHAnsi"/>
        </w:rPr>
        <w:t>(</w:t>
      </w:r>
      <w:r w:rsidRPr="00E266A7">
        <w:rPr>
          <w:rFonts w:eastAsiaTheme="minorHAnsi"/>
        </w:rPr>
        <w:t>2016</w:t>
      </w:r>
      <w:r w:rsidR="007959B7" w:rsidRPr="00E266A7">
        <w:rPr>
          <w:rFonts w:eastAsiaTheme="minorHAnsi"/>
        </w:rPr>
        <w:t>)</w:t>
      </w:r>
      <w:r w:rsidR="003D6F45" w:rsidRPr="00E266A7">
        <w:rPr>
          <w:rFonts w:eastAsiaTheme="minorHAnsi"/>
        </w:rPr>
        <w:t>,</w:t>
      </w:r>
      <w:r w:rsidRPr="00E266A7">
        <w:rPr>
          <w:rFonts w:eastAsiaTheme="minorHAnsi"/>
        </w:rPr>
        <w:t xml:space="preserve"> </w:t>
      </w:r>
      <w:r w:rsidR="003D6F45" w:rsidRPr="00E266A7">
        <w:rPr>
          <w:rFonts w:eastAsiaTheme="minorHAnsi"/>
        </w:rPr>
        <w:t>www.mizanproject.org/journal-issue/the-islamic-state-in-historical-and-comparative-</w:t>
      </w:r>
      <w:r w:rsidR="003D6F45" w:rsidRPr="00E266A7">
        <w:t xml:space="preserve">perspective/; </w:t>
      </w:r>
      <w:r w:rsidRPr="00E266A7">
        <w:t>Michael WS Ryan, “Hot Issue: Dabiq</w:t>
      </w:r>
      <w:r w:rsidR="00D92169" w:rsidRPr="00E266A7">
        <w:t>—</w:t>
      </w:r>
      <w:r w:rsidRPr="00E266A7">
        <w:t>What Islamic State’s New Magazine Tells Us about Their Strategic Direction, Recruitment Patterns and Guerrilla Doctrine</w:t>
      </w:r>
      <w:r w:rsidR="007F23D4">
        <w:t>,</w:t>
      </w:r>
      <w:r w:rsidRPr="00E266A7">
        <w:t>”</w:t>
      </w:r>
      <w:r w:rsidRPr="00E266A7">
        <w:rPr>
          <w:i/>
          <w:iCs/>
        </w:rPr>
        <w:t xml:space="preserve"> Hot </w:t>
      </w:r>
      <w:r w:rsidR="007A3CD9" w:rsidRPr="00E266A7">
        <w:rPr>
          <w:i/>
          <w:iCs/>
        </w:rPr>
        <w:t>I</w:t>
      </w:r>
      <w:r w:rsidRPr="00E266A7">
        <w:rPr>
          <w:i/>
          <w:iCs/>
        </w:rPr>
        <w:t>ssues</w:t>
      </w:r>
      <w:r w:rsidR="00636D24" w:rsidRPr="00E266A7">
        <w:t>,</w:t>
      </w:r>
      <w:r w:rsidR="00EA5F23" w:rsidRPr="00E266A7">
        <w:t xml:space="preserve"> </w:t>
      </w:r>
      <w:r w:rsidR="007A3CD9" w:rsidRPr="00E266A7">
        <w:t xml:space="preserve">1 August </w:t>
      </w:r>
      <w:r w:rsidR="00EA5F23" w:rsidRPr="00E266A7">
        <w:t>2014,</w:t>
      </w:r>
      <w:r w:rsidRPr="00E266A7">
        <w:t xml:space="preserve"> </w:t>
      </w:r>
      <w:r w:rsidR="006B5FD2" w:rsidRPr="00E266A7">
        <w:t>https://jamestown.org/program/hot-issue-dabiq-what-islamic-states-new-magazine-tells-us-about-their-strategic-direction-recruitment-patterns-and-guerrilla-doctrine/</w:t>
      </w:r>
      <w:r w:rsidRPr="00E266A7">
        <w:t xml:space="preserve">; </w:t>
      </w:r>
      <w:r w:rsidR="007A3CD9" w:rsidRPr="00E266A7">
        <w:t xml:space="preserve">and </w:t>
      </w:r>
      <w:r w:rsidRPr="00E266A7">
        <w:t xml:space="preserve">David J. Wasserstein, </w:t>
      </w:r>
      <w:r w:rsidRPr="00E266A7">
        <w:rPr>
          <w:i/>
          <w:iCs/>
        </w:rPr>
        <w:t>Black Banners of ISIS</w:t>
      </w:r>
      <w:r w:rsidR="008E0523" w:rsidRPr="00E266A7">
        <w:rPr>
          <w:i/>
          <w:iCs/>
        </w:rPr>
        <w:t>: The Roots of the New Caliphate</w:t>
      </w:r>
      <w:r w:rsidR="008E0523" w:rsidRPr="00E266A7">
        <w:t xml:space="preserve"> (</w:t>
      </w:r>
      <w:r w:rsidRPr="00E266A7">
        <w:t>New Haven</w:t>
      </w:r>
      <w:r w:rsidR="008E0523" w:rsidRPr="00E266A7">
        <w:t>, CT</w:t>
      </w:r>
      <w:r w:rsidRPr="00E266A7">
        <w:t>: Yale University Press</w:t>
      </w:r>
      <w:r w:rsidR="008E0523" w:rsidRPr="00E266A7">
        <w:t xml:space="preserve">, </w:t>
      </w:r>
      <w:r w:rsidRPr="00E266A7">
        <w:t>2017), 177–96.</w:t>
      </w:r>
    </w:p>
  </w:endnote>
  <w:endnote w:id="20">
    <w:p w14:paraId="2A25736C" w14:textId="4A94448F" w:rsidR="008B4BA7" w:rsidRPr="00F42505" w:rsidRDefault="008B4BA7" w:rsidP="00E266A7">
      <w:pPr>
        <w:pStyle w:val="EndnoteText"/>
        <w:spacing w:line="480" w:lineRule="auto"/>
        <w:rPr>
          <w:sz w:val="24"/>
          <w:szCs w:val="24"/>
        </w:rPr>
      </w:pPr>
      <w:r w:rsidRPr="00F42505">
        <w:rPr>
          <w:rStyle w:val="EndnoteReference"/>
          <w:sz w:val="24"/>
          <w:szCs w:val="24"/>
        </w:rPr>
        <w:endnoteRef/>
      </w:r>
      <w:r w:rsidRPr="00F42505">
        <w:rPr>
          <w:sz w:val="24"/>
          <w:szCs w:val="24"/>
        </w:rPr>
        <w:t xml:space="preserve"> </w:t>
      </w:r>
      <w:r w:rsidRPr="00E266A7">
        <w:rPr>
          <w:sz w:val="24"/>
          <w:szCs w:val="24"/>
        </w:rPr>
        <w:t xml:space="preserve">Gambhir; </w:t>
      </w:r>
      <w:r w:rsidR="00D92169" w:rsidRPr="00E266A7">
        <w:rPr>
          <w:sz w:val="24"/>
          <w:szCs w:val="24"/>
        </w:rPr>
        <w:t xml:space="preserve">and </w:t>
      </w:r>
      <w:r w:rsidRPr="00E266A7">
        <w:rPr>
          <w:sz w:val="24"/>
          <w:szCs w:val="24"/>
        </w:rPr>
        <w:t>Ryan</w:t>
      </w:r>
      <w:r w:rsidR="00AC03E5" w:rsidRPr="00E266A7">
        <w:rPr>
          <w:sz w:val="24"/>
          <w:szCs w:val="24"/>
        </w:rPr>
        <w:t>.</w:t>
      </w:r>
    </w:p>
  </w:endnote>
  <w:endnote w:id="21">
    <w:p w14:paraId="6B9978FA" w14:textId="3516FA97" w:rsidR="008B4BA7" w:rsidRPr="00F42505" w:rsidRDefault="008B4BA7" w:rsidP="00E266A7">
      <w:pPr>
        <w:pStyle w:val="EndnoteText"/>
        <w:spacing w:line="480" w:lineRule="auto"/>
        <w:rPr>
          <w:sz w:val="24"/>
          <w:szCs w:val="24"/>
        </w:rPr>
      </w:pPr>
      <w:r w:rsidRPr="00F42505">
        <w:rPr>
          <w:rStyle w:val="EndnoteReference"/>
          <w:sz w:val="24"/>
          <w:szCs w:val="24"/>
        </w:rPr>
        <w:endnoteRef/>
      </w:r>
      <w:r w:rsidRPr="00F42505">
        <w:rPr>
          <w:sz w:val="24"/>
          <w:szCs w:val="24"/>
        </w:rPr>
        <w:t xml:space="preserve"> </w:t>
      </w:r>
      <w:r w:rsidRPr="00E266A7">
        <w:rPr>
          <w:sz w:val="24"/>
          <w:szCs w:val="24"/>
        </w:rPr>
        <w:t>Gambhir, 1–2.</w:t>
      </w:r>
    </w:p>
  </w:endnote>
  <w:endnote w:id="22">
    <w:p w14:paraId="0675B4B4" w14:textId="135E0914" w:rsidR="008B4BA7" w:rsidRPr="00E266A7" w:rsidRDefault="008B4BA7" w:rsidP="00E266A7">
      <w:pPr>
        <w:autoSpaceDE w:val="0"/>
        <w:autoSpaceDN w:val="0"/>
        <w:adjustRightInd w:val="0"/>
        <w:spacing w:line="480" w:lineRule="auto"/>
        <w:rPr>
          <w:rFonts w:eastAsiaTheme="minorHAnsi"/>
        </w:rPr>
      </w:pPr>
      <w:r w:rsidRPr="00F42505">
        <w:rPr>
          <w:rStyle w:val="EndnoteReference"/>
        </w:rPr>
        <w:endnoteRef/>
      </w:r>
      <w:r w:rsidRPr="00F42505">
        <w:t xml:space="preserve"> </w:t>
      </w:r>
      <w:r w:rsidRPr="00E266A7">
        <w:rPr>
          <w:rFonts w:eastAsiaTheme="minorHAnsi"/>
        </w:rPr>
        <w:t xml:space="preserve">JM Berger and Jonathon Morgan, </w:t>
      </w:r>
      <w:r w:rsidRPr="00E266A7">
        <w:rPr>
          <w:rFonts w:eastAsiaTheme="minorHAnsi"/>
          <w:i/>
          <w:iCs/>
        </w:rPr>
        <w:t xml:space="preserve">The ISIS Twitter </w:t>
      </w:r>
      <w:r w:rsidR="00A55CF7" w:rsidRPr="00E266A7">
        <w:rPr>
          <w:rFonts w:eastAsiaTheme="minorHAnsi"/>
          <w:i/>
          <w:iCs/>
        </w:rPr>
        <w:t>C</w:t>
      </w:r>
      <w:r w:rsidRPr="00E266A7">
        <w:rPr>
          <w:rFonts w:eastAsiaTheme="minorHAnsi"/>
          <w:i/>
          <w:iCs/>
        </w:rPr>
        <w:t xml:space="preserve">ensus: Defining and </w:t>
      </w:r>
      <w:r w:rsidR="00A55CF7" w:rsidRPr="00E266A7">
        <w:rPr>
          <w:rFonts w:eastAsiaTheme="minorHAnsi"/>
          <w:i/>
          <w:iCs/>
        </w:rPr>
        <w:t>D</w:t>
      </w:r>
      <w:r w:rsidRPr="00E266A7">
        <w:rPr>
          <w:rFonts w:eastAsiaTheme="minorHAnsi"/>
          <w:i/>
          <w:iCs/>
        </w:rPr>
        <w:t xml:space="preserve">escribing the </w:t>
      </w:r>
      <w:r w:rsidR="00A55CF7" w:rsidRPr="00E266A7">
        <w:rPr>
          <w:rFonts w:eastAsiaTheme="minorHAnsi"/>
          <w:i/>
          <w:iCs/>
        </w:rPr>
        <w:t>P</w:t>
      </w:r>
      <w:r w:rsidRPr="00E266A7">
        <w:rPr>
          <w:rFonts w:eastAsiaTheme="minorHAnsi"/>
          <w:i/>
          <w:iCs/>
        </w:rPr>
        <w:t>opulation</w:t>
      </w:r>
      <w:r w:rsidRPr="00E266A7">
        <w:rPr>
          <w:rFonts w:eastAsiaTheme="minorHAnsi"/>
        </w:rPr>
        <w:t xml:space="preserve"> </w:t>
      </w:r>
      <w:r w:rsidRPr="00E266A7">
        <w:rPr>
          <w:rFonts w:eastAsiaTheme="minorHAnsi"/>
          <w:i/>
          <w:iCs/>
        </w:rPr>
        <w:t xml:space="preserve">of ISIS </w:t>
      </w:r>
      <w:r w:rsidR="00A55CF7" w:rsidRPr="00E266A7">
        <w:rPr>
          <w:rFonts w:eastAsiaTheme="minorHAnsi"/>
          <w:i/>
          <w:iCs/>
        </w:rPr>
        <w:t>S</w:t>
      </w:r>
      <w:r w:rsidRPr="00E266A7">
        <w:rPr>
          <w:rFonts w:eastAsiaTheme="minorHAnsi"/>
          <w:i/>
          <w:iCs/>
        </w:rPr>
        <w:t>upporters on Twitter</w:t>
      </w:r>
      <w:r w:rsidR="00A55CF7" w:rsidRPr="00E266A7">
        <w:rPr>
          <w:rFonts w:eastAsiaTheme="minorHAnsi"/>
        </w:rPr>
        <w:t xml:space="preserve"> (</w:t>
      </w:r>
      <w:r w:rsidRPr="00E266A7">
        <w:rPr>
          <w:rFonts w:eastAsiaTheme="minorHAnsi"/>
        </w:rPr>
        <w:t>Washington, DC: Brookings Institution, 2015</w:t>
      </w:r>
      <w:r w:rsidR="00A55CF7" w:rsidRPr="00E266A7">
        <w:rPr>
          <w:rFonts w:eastAsiaTheme="minorHAnsi"/>
        </w:rPr>
        <w:t>)</w:t>
      </w:r>
      <w:r w:rsidRPr="00E266A7">
        <w:rPr>
          <w:rFonts w:eastAsiaTheme="minorHAnsi"/>
        </w:rPr>
        <w:t>,</w:t>
      </w:r>
      <w:r w:rsidR="00A55CF7" w:rsidRPr="00E266A7">
        <w:rPr>
          <w:rFonts w:eastAsiaTheme="minorHAnsi"/>
        </w:rPr>
        <w:t xml:space="preserve"> Brookings Project on US Relations with the Islamic World, Analysis Paper no. 20, </w:t>
      </w:r>
      <w:r w:rsidRPr="00E266A7">
        <w:rPr>
          <w:rFonts w:eastAsiaTheme="minorHAnsi"/>
        </w:rPr>
        <w:t>2.</w:t>
      </w:r>
    </w:p>
  </w:endnote>
  <w:endnote w:id="23">
    <w:p w14:paraId="628C2642" w14:textId="198EF92B" w:rsidR="008B4BA7" w:rsidRPr="00F42505" w:rsidRDefault="008B4BA7" w:rsidP="00E266A7">
      <w:pPr>
        <w:pStyle w:val="EndnoteText"/>
        <w:spacing w:line="480" w:lineRule="auto"/>
        <w:rPr>
          <w:sz w:val="24"/>
          <w:szCs w:val="24"/>
        </w:rPr>
      </w:pPr>
      <w:r w:rsidRPr="00F42505">
        <w:rPr>
          <w:rStyle w:val="EndnoteReference"/>
          <w:sz w:val="24"/>
          <w:szCs w:val="24"/>
        </w:rPr>
        <w:endnoteRef/>
      </w:r>
      <w:r w:rsidRPr="00F42505">
        <w:rPr>
          <w:sz w:val="24"/>
          <w:szCs w:val="24"/>
        </w:rPr>
        <w:t xml:space="preserve"> </w:t>
      </w:r>
      <w:r w:rsidRPr="00E266A7">
        <w:rPr>
          <w:sz w:val="24"/>
          <w:szCs w:val="24"/>
        </w:rPr>
        <w:t>Smith et al</w:t>
      </w:r>
      <w:r w:rsidR="00790171" w:rsidRPr="00E266A7">
        <w:rPr>
          <w:sz w:val="24"/>
          <w:szCs w:val="24"/>
        </w:rPr>
        <w:t>.</w:t>
      </w:r>
      <w:r w:rsidR="0025701B" w:rsidRPr="00E266A7">
        <w:rPr>
          <w:sz w:val="24"/>
          <w:szCs w:val="24"/>
        </w:rPr>
        <w:t>,</w:t>
      </w:r>
      <w:r w:rsidR="00790171" w:rsidRPr="00E266A7">
        <w:rPr>
          <w:sz w:val="24"/>
          <w:szCs w:val="24"/>
        </w:rPr>
        <w:t xml:space="preserve"> “The Islamic State’s Symbolic War,”</w:t>
      </w:r>
      <w:r w:rsidRPr="00E266A7">
        <w:rPr>
          <w:sz w:val="24"/>
          <w:szCs w:val="24"/>
        </w:rPr>
        <w:t xml:space="preserve"> 172.</w:t>
      </w:r>
    </w:p>
  </w:endnote>
  <w:endnote w:id="24">
    <w:p w14:paraId="38AD3ABC" w14:textId="085144CD" w:rsidR="008B4BA7" w:rsidRPr="00E266A7" w:rsidRDefault="008B4BA7" w:rsidP="00E266A7">
      <w:pPr>
        <w:autoSpaceDE w:val="0"/>
        <w:autoSpaceDN w:val="0"/>
        <w:adjustRightInd w:val="0"/>
        <w:spacing w:line="480" w:lineRule="auto"/>
        <w:ind w:right="-720"/>
      </w:pPr>
      <w:r w:rsidRPr="00F42505">
        <w:rPr>
          <w:rStyle w:val="EndnoteReference"/>
        </w:rPr>
        <w:endnoteRef/>
      </w:r>
      <w:r w:rsidRPr="00F42505">
        <w:t xml:space="preserve"> </w:t>
      </w:r>
      <w:r w:rsidRPr="00E266A7">
        <w:t xml:space="preserve">Kevin McDonald, </w:t>
      </w:r>
      <w:r w:rsidR="00CD145C" w:rsidRPr="00E266A7">
        <w:t>“</w:t>
      </w:r>
      <w:r w:rsidRPr="00E266A7">
        <w:t xml:space="preserve">ISIS </w:t>
      </w:r>
      <w:r w:rsidR="00CD145C" w:rsidRPr="00E266A7">
        <w:t>J</w:t>
      </w:r>
      <w:r w:rsidRPr="00E266A7">
        <w:t xml:space="preserve">ihadis’ </w:t>
      </w:r>
      <w:r w:rsidR="00CD145C" w:rsidRPr="00E266A7">
        <w:t>U</w:t>
      </w:r>
      <w:r w:rsidRPr="00E266A7">
        <w:t xml:space="preserve">se of </w:t>
      </w:r>
      <w:r w:rsidR="00CD145C" w:rsidRPr="00E266A7">
        <w:t>S</w:t>
      </w:r>
      <w:r w:rsidRPr="00E266A7">
        <w:t xml:space="preserve">ocial </w:t>
      </w:r>
      <w:r w:rsidR="00CD145C" w:rsidRPr="00E266A7">
        <w:t>M</w:t>
      </w:r>
      <w:r w:rsidRPr="00E266A7">
        <w:t xml:space="preserve">edia and ‘the </w:t>
      </w:r>
      <w:r w:rsidR="00CD145C" w:rsidRPr="00E266A7">
        <w:t>M</w:t>
      </w:r>
      <w:r w:rsidRPr="00E266A7">
        <w:t xml:space="preserve">ask’ </w:t>
      </w:r>
      <w:r w:rsidR="00CD145C" w:rsidRPr="00E266A7">
        <w:t>R</w:t>
      </w:r>
      <w:r w:rsidRPr="00E266A7">
        <w:t xml:space="preserve">eveals a </w:t>
      </w:r>
      <w:r w:rsidR="00CD145C" w:rsidRPr="00E266A7">
        <w:t>N</w:t>
      </w:r>
      <w:r w:rsidRPr="00E266A7">
        <w:t xml:space="preserve">ew </w:t>
      </w:r>
      <w:r w:rsidR="00CD145C" w:rsidRPr="00E266A7">
        <w:t>G</w:t>
      </w:r>
      <w:r w:rsidRPr="00E266A7">
        <w:t>rammar of </w:t>
      </w:r>
      <w:r w:rsidR="00CD145C" w:rsidRPr="00E266A7">
        <w:t>V</w:t>
      </w:r>
      <w:r w:rsidRPr="00E266A7">
        <w:t>iolence</w:t>
      </w:r>
      <w:r w:rsidR="00CD145C" w:rsidRPr="00E266A7">
        <w:t>,”</w:t>
      </w:r>
      <w:r w:rsidRPr="00E266A7">
        <w:t xml:space="preserve"> </w:t>
      </w:r>
      <w:r w:rsidRPr="00E266A7">
        <w:rPr>
          <w:i/>
          <w:iCs/>
        </w:rPr>
        <w:t>Conversation</w:t>
      </w:r>
      <w:r w:rsidR="00CD145C" w:rsidRPr="00E266A7">
        <w:t>,</w:t>
      </w:r>
      <w:r w:rsidRPr="00E266A7">
        <w:rPr>
          <w:i/>
          <w:iCs/>
        </w:rPr>
        <w:t xml:space="preserve"> </w:t>
      </w:r>
      <w:r w:rsidR="000A121E" w:rsidRPr="00E266A7">
        <w:t xml:space="preserve">24 June 2014, </w:t>
      </w:r>
      <w:r w:rsidR="00CD145C" w:rsidRPr="00E266A7">
        <w:t>https://theconversation.com/isis-jihadis-use-of-social-media-and-the-mask-reveals-a-new-grammar-of-violence-28355</w:t>
      </w:r>
      <w:r w:rsidRPr="00E266A7">
        <w:t>.</w:t>
      </w:r>
    </w:p>
  </w:endnote>
  <w:endnote w:id="25">
    <w:p w14:paraId="2BE3342E" w14:textId="30C9238C" w:rsidR="008B4BA7" w:rsidRPr="00F42505" w:rsidRDefault="008B4BA7" w:rsidP="00E266A7">
      <w:pPr>
        <w:pStyle w:val="EndnoteText"/>
        <w:spacing w:line="480" w:lineRule="auto"/>
        <w:rPr>
          <w:sz w:val="24"/>
          <w:szCs w:val="24"/>
        </w:rPr>
      </w:pPr>
      <w:r w:rsidRPr="00F42505">
        <w:rPr>
          <w:rStyle w:val="EndnoteReference"/>
          <w:sz w:val="24"/>
          <w:szCs w:val="24"/>
        </w:rPr>
        <w:endnoteRef/>
      </w:r>
      <w:r w:rsidRPr="00F42505">
        <w:rPr>
          <w:sz w:val="24"/>
          <w:szCs w:val="24"/>
        </w:rPr>
        <w:t xml:space="preserve"> </w:t>
      </w:r>
      <w:r w:rsidRPr="00E266A7">
        <w:rPr>
          <w:sz w:val="24"/>
          <w:szCs w:val="24"/>
        </w:rPr>
        <w:t>Gunther and Bioly</w:t>
      </w:r>
      <w:r w:rsidR="00A16C20" w:rsidRPr="00F42505">
        <w:rPr>
          <w:sz w:val="24"/>
          <w:szCs w:val="24"/>
        </w:rPr>
        <w:t>,</w:t>
      </w:r>
      <w:r w:rsidRPr="00E266A7">
        <w:rPr>
          <w:sz w:val="24"/>
          <w:szCs w:val="24"/>
        </w:rPr>
        <w:t xml:space="preserve"> </w:t>
      </w:r>
      <w:r w:rsidR="00A16C20" w:rsidRPr="00F42505">
        <w:rPr>
          <w:sz w:val="24"/>
          <w:szCs w:val="24"/>
        </w:rPr>
        <w:t xml:space="preserve">“Testimonies for a </w:t>
      </w:r>
      <w:r w:rsidR="00A16C20" w:rsidRPr="004B0F52">
        <w:rPr>
          <w:sz w:val="24"/>
          <w:szCs w:val="24"/>
        </w:rPr>
        <w:t>New Social Order</w:t>
      </w:r>
      <w:r w:rsidRPr="00E266A7">
        <w:rPr>
          <w:sz w:val="24"/>
          <w:szCs w:val="24"/>
        </w:rPr>
        <w:t>,</w:t>
      </w:r>
      <w:r w:rsidR="00A16C20" w:rsidRPr="00F42505">
        <w:rPr>
          <w:sz w:val="24"/>
          <w:szCs w:val="24"/>
        </w:rPr>
        <w:t>”</w:t>
      </w:r>
      <w:r w:rsidRPr="00E266A7">
        <w:rPr>
          <w:sz w:val="24"/>
          <w:szCs w:val="24"/>
        </w:rPr>
        <w:t xml:space="preserve"> 154.</w:t>
      </w:r>
    </w:p>
  </w:endnote>
  <w:endnote w:id="26">
    <w:p w14:paraId="6DD413C9" w14:textId="15328D27" w:rsidR="008B4BA7" w:rsidRPr="00F42505" w:rsidRDefault="008B4BA7" w:rsidP="00E266A7">
      <w:pPr>
        <w:snapToGrid w:val="0"/>
        <w:spacing w:before="100" w:beforeAutospacing="1" w:after="100" w:afterAutospacing="1" w:line="480" w:lineRule="auto"/>
        <w:contextualSpacing/>
      </w:pPr>
      <w:r w:rsidRPr="00F42505">
        <w:rPr>
          <w:rStyle w:val="EndnoteReference"/>
        </w:rPr>
        <w:endnoteRef/>
      </w:r>
      <w:r w:rsidRPr="00F42505">
        <w:t xml:space="preserve"> </w:t>
      </w:r>
      <w:r w:rsidRPr="00E266A7">
        <w:rPr>
          <w:i/>
          <w:iCs/>
        </w:rPr>
        <w:t>Encyclopædia Iranica</w:t>
      </w:r>
      <w:r w:rsidRPr="00E266A7">
        <w:t>, </w:t>
      </w:r>
      <w:r w:rsidR="003A5DB9" w:rsidRPr="00F42505">
        <w:t xml:space="preserve">s.v. </w:t>
      </w:r>
      <w:r w:rsidR="003A5DB9" w:rsidRPr="004B0F52">
        <w:t xml:space="preserve">“Yazidis,” by Christine Allison, </w:t>
      </w:r>
      <w:r w:rsidRPr="00E266A7">
        <w:t>2004</w:t>
      </w:r>
      <w:r w:rsidR="003A5DB9" w:rsidRPr="00F42505">
        <w:t>,</w:t>
      </w:r>
      <w:r w:rsidRPr="00E266A7">
        <w:t xml:space="preserve"> </w:t>
      </w:r>
      <w:r w:rsidR="003A5DB9" w:rsidRPr="00E266A7">
        <w:t>http://www.iranicaonline.org/articles/yazidis-i-general-1</w:t>
      </w:r>
      <w:r w:rsidRPr="00E266A7">
        <w:t>.</w:t>
      </w:r>
    </w:p>
  </w:endnote>
  <w:endnote w:id="27">
    <w:p w14:paraId="203DD03E" w14:textId="1B500238" w:rsidR="008B4BA7" w:rsidRPr="00E266A7" w:rsidRDefault="008B4BA7" w:rsidP="00E266A7">
      <w:pPr>
        <w:autoSpaceDE w:val="0"/>
        <w:autoSpaceDN w:val="0"/>
        <w:adjustRightInd w:val="0"/>
        <w:spacing w:line="480" w:lineRule="auto"/>
        <w:rPr>
          <w:rFonts w:eastAsiaTheme="minorHAnsi"/>
        </w:rPr>
      </w:pPr>
      <w:r w:rsidRPr="00F42505">
        <w:rPr>
          <w:rStyle w:val="EndnoteReference"/>
        </w:rPr>
        <w:endnoteRef/>
      </w:r>
      <w:r w:rsidRPr="00F42505">
        <w:t xml:space="preserve"> </w:t>
      </w:r>
      <w:r w:rsidRPr="00E266A7">
        <w:rPr>
          <w:rFonts w:eastAsiaTheme="minorHAnsi"/>
        </w:rPr>
        <w:t xml:space="preserve">Valeria Cetorelli and Sareta Ashraph, </w:t>
      </w:r>
      <w:r w:rsidRPr="00E266A7">
        <w:rPr>
          <w:rFonts w:eastAsiaTheme="minorHAnsi"/>
          <w:i/>
          <w:iCs/>
        </w:rPr>
        <w:t xml:space="preserve">A </w:t>
      </w:r>
      <w:r w:rsidR="00AD3CC6" w:rsidRPr="00F42505">
        <w:rPr>
          <w:rFonts w:eastAsiaTheme="minorHAnsi"/>
          <w:i/>
          <w:iCs/>
        </w:rPr>
        <w:t>D</w:t>
      </w:r>
      <w:r w:rsidRPr="00E266A7">
        <w:rPr>
          <w:rFonts w:eastAsiaTheme="minorHAnsi"/>
          <w:i/>
          <w:iCs/>
        </w:rPr>
        <w:t xml:space="preserve">emographic </w:t>
      </w:r>
      <w:r w:rsidR="00AD3CC6" w:rsidRPr="00F42505">
        <w:rPr>
          <w:rFonts w:eastAsiaTheme="minorHAnsi"/>
          <w:i/>
          <w:iCs/>
        </w:rPr>
        <w:t>D</w:t>
      </w:r>
      <w:r w:rsidRPr="00E266A7">
        <w:rPr>
          <w:rFonts w:eastAsiaTheme="minorHAnsi"/>
          <w:i/>
          <w:iCs/>
        </w:rPr>
        <w:t xml:space="preserve">ocumentation of ISIS’s </w:t>
      </w:r>
      <w:r w:rsidR="00AD3CC6" w:rsidRPr="00F42505">
        <w:rPr>
          <w:rFonts w:eastAsiaTheme="minorHAnsi"/>
          <w:i/>
          <w:iCs/>
        </w:rPr>
        <w:t>A</w:t>
      </w:r>
      <w:r w:rsidRPr="00E266A7">
        <w:rPr>
          <w:rFonts w:eastAsiaTheme="minorHAnsi"/>
          <w:i/>
          <w:iCs/>
        </w:rPr>
        <w:t xml:space="preserve">ttack on the Yazidi </w:t>
      </w:r>
      <w:r w:rsidR="00AD3CC6" w:rsidRPr="00F42505">
        <w:rPr>
          <w:rFonts w:eastAsiaTheme="minorHAnsi"/>
          <w:i/>
          <w:iCs/>
        </w:rPr>
        <w:t>V</w:t>
      </w:r>
      <w:r w:rsidRPr="00E266A7">
        <w:rPr>
          <w:rFonts w:eastAsiaTheme="minorHAnsi"/>
          <w:i/>
          <w:iCs/>
        </w:rPr>
        <w:t>illage of Kocho</w:t>
      </w:r>
      <w:r w:rsidRPr="00E266A7">
        <w:rPr>
          <w:rFonts w:eastAsiaTheme="minorHAnsi"/>
        </w:rPr>
        <w:t xml:space="preserve"> </w:t>
      </w:r>
      <w:r w:rsidR="00AD3CC6" w:rsidRPr="00F42505">
        <w:rPr>
          <w:rFonts w:eastAsiaTheme="minorHAnsi"/>
        </w:rPr>
        <w:t>(</w:t>
      </w:r>
      <w:r w:rsidRPr="00E266A7">
        <w:rPr>
          <w:rFonts w:eastAsiaTheme="minorHAnsi"/>
        </w:rPr>
        <w:t xml:space="preserve">London: </w:t>
      </w:r>
      <w:r w:rsidR="00AD3CC6" w:rsidRPr="00F42505">
        <w:rPr>
          <w:rFonts w:eastAsiaTheme="minorHAnsi"/>
        </w:rPr>
        <w:t>L</w:t>
      </w:r>
      <w:r w:rsidR="00AD3CC6" w:rsidRPr="004B0F52">
        <w:rPr>
          <w:rFonts w:eastAsiaTheme="minorHAnsi"/>
        </w:rPr>
        <w:t xml:space="preserve">ondon School of Economics and Political Science, </w:t>
      </w:r>
      <w:r w:rsidRPr="00E266A7">
        <w:rPr>
          <w:rFonts w:eastAsiaTheme="minorHAnsi"/>
        </w:rPr>
        <w:t>2019), 8.</w:t>
      </w:r>
    </w:p>
  </w:endnote>
  <w:endnote w:id="28">
    <w:p w14:paraId="19C31D1A" w14:textId="114B7D69" w:rsidR="008B4BA7" w:rsidRPr="00F42505" w:rsidRDefault="008B4BA7" w:rsidP="00E266A7">
      <w:pPr>
        <w:pStyle w:val="EndnoteText"/>
        <w:spacing w:line="480" w:lineRule="auto"/>
        <w:rPr>
          <w:sz w:val="24"/>
          <w:szCs w:val="24"/>
        </w:rPr>
      </w:pPr>
      <w:r w:rsidRPr="00F42505">
        <w:rPr>
          <w:rStyle w:val="EndnoteReference"/>
          <w:sz w:val="24"/>
          <w:szCs w:val="24"/>
        </w:rPr>
        <w:endnoteRef/>
      </w:r>
      <w:r w:rsidRPr="00F42505">
        <w:rPr>
          <w:sz w:val="24"/>
          <w:szCs w:val="24"/>
        </w:rPr>
        <w:t xml:space="preserve"> </w:t>
      </w:r>
      <w:r w:rsidRPr="00E266A7">
        <w:rPr>
          <w:i/>
          <w:iCs/>
          <w:color w:val="211D1E"/>
          <w:sz w:val="24"/>
          <w:szCs w:val="24"/>
        </w:rPr>
        <w:t>Dabiq</w:t>
      </w:r>
      <w:r w:rsidRPr="00E266A7">
        <w:rPr>
          <w:color w:val="211D1E"/>
          <w:sz w:val="24"/>
          <w:szCs w:val="24"/>
        </w:rPr>
        <w:t xml:space="preserve"> </w:t>
      </w:r>
      <w:r w:rsidR="00C47E44" w:rsidRPr="00F42505">
        <w:rPr>
          <w:color w:val="211D1E"/>
          <w:sz w:val="24"/>
          <w:szCs w:val="24"/>
        </w:rPr>
        <w:t>i</w:t>
      </w:r>
      <w:r w:rsidRPr="00E266A7">
        <w:rPr>
          <w:color w:val="211D1E"/>
          <w:sz w:val="24"/>
          <w:szCs w:val="24"/>
        </w:rPr>
        <w:t xml:space="preserve">ssue </w:t>
      </w:r>
      <w:r w:rsidR="00C47E44" w:rsidRPr="00F42505">
        <w:rPr>
          <w:color w:val="211D1E"/>
          <w:sz w:val="24"/>
          <w:szCs w:val="24"/>
        </w:rPr>
        <w:t xml:space="preserve">no. </w:t>
      </w:r>
      <w:r w:rsidRPr="00E266A7">
        <w:rPr>
          <w:color w:val="211D1E"/>
          <w:sz w:val="24"/>
          <w:szCs w:val="24"/>
        </w:rPr>
        <w:t xml:space="preserve">4, </w:t>
      </w:r>
      <w:r w:rsidR="00C47E44" w:rsidRPr="00F42505">
        <w:rPr>
          <w:color w:val="211D1E"/>
          <w:sz w:val="24"/>
          <w:szCs w:val="24"/>
        </w:rPr>
        <w:t>“</w:t>
      </w:r>
      <w:r w:rsidRPr="00E266A7">
        <w:rPr>
          <w:color w:val="211D1E"/>
          <w:sz w:val="24"/>
          <w:szCs w:val="24"/>
        </w:rPr>
        <w:t>The Revival of Slavery Before the Hour</w:t>
      </w:r>
      <w:r w:rsidR="00C47E44" w:rsidRPr="00F42505">
        <w:rPr>
          <w:color w:val="211D1E"/>
          <w:sz w:val="24"/>
          <w:szCs w:val="24"/>
        </w:rPr>
        <w:t>,</w:t>
      </w:r>
      <w:r w:rsidR="00C47E44" w:rsidRPr="004B0F52">
        <w:rPr>
          <w:color w:val="211D1E"/>
          <w:sz w:val="24"/>
          <w:szCs w:val="24"/>
        </w:rPr>
        <w:t>” October 2014.</w:t>
      </w:r>
    </w:p>
  </w:endnote>
  <w:endnote w:id="29">
    <w:p w14:paraId="4DAE636F" w14:textId="7701D2C0" w:rsidR="001E6F19" w:rsidRPr="004B0F52" w:rsidRDefault="008B4BA7" w:rsidP="00F42505">
      <w:pPr>
        <w:spacing w:line="480" w:lineRule="auto"/>
      </w:pPr>
      <w:r w:rsidRPr="00F42505">
        <w:rPr>
          <w:rStyle w:val="EndnoteReference"/>
        </w:rPr>
        <w:endnoteRef/>
      </w:r>
      <w:r w:rsidRPr="00F42505">
        <w:t xml:space="preserve"> </w:t>
      </w:r>
      <w:r w:rsidR="00D61D8E" w:rsidRPr="00E266A7">
        <w:rPr>
          <w:color w:val="211D1E"/>
        </w:rPr>
        <w:t>Cetorelli and Ashraph</w:t>
      </w:r>
      <w:r w:rsidR="00C47E44" w:rsidRPr="00E266A7">
        <w:rPr>
          <w:color w:val="211D1E"/>
        </w:rPr>
        <w:t>,</w:t>
      </w:r>
      <w:r w:rsidR="00D61D8E" w:rsidRPr="00E266A7">
        <w:rPr>
          <w:color w:val="211D1E"/>
        </w:rPr>
        <w:t xml:space="preserve"> </w:t>
      </w:r>
      <w:r w:rsidR="00C47E44" w:rsidRPr="00F42505">
        <w:rPr>
          <w:rFonts w:eastAsiaTheme="minorHAnsi"/>
          <w:i/>
          <w:iCs/>
        </w:rPr>
        <w:t xml:space="preserve">A </w:t>
      </w:r>
      <w:r w:rsidR="00C47E44" w:rsidRPr="004B0F52">
        <w:rPr>
          <w:rFonts w:eastAsiaTheme="minorHAnsi"/>
          <w:i/>
          <w:iCs/>
        </w:rPr>
        <w:t>Demographic Documentation of ISIS’s Attack</w:t>
      </w:r>
      <w:r w:rsidR="00C47E44" w:rsidRPr="004B0F52">
        <w:rPr>
          <w:rFonts w:eastAsiaTheme="minorHAnsi"/>
        </w:rPr>
        <w:t>,</w:t>
      </w:r>
      <w:r w:rsidR="00C47E44" w:rsidRPr="004B0F52">
        <w:rPr>
          <w:rFonts w:eastAsiaTheme="minorHAnsi"/>
          <w:i/>
          <w:iCs/>
        </w:rPr>
        <w:t xml:space="preserve"> </w:t>
      </w:r>
      <w:r w:rsidR="00D61D8E" w:rsidRPr="00E266A7">
        <w:rPr>
          <w:color w:val="211D1E"/>
        </w:rPr>
        <w:t xml:space="preserve">6; </w:t>
      </w:r>
      <w:r w:rsidR="00D10E7E">
        <w:rPr>
          <w:color w:val="211D1E"/>
        </w:rPr>
        <w:t xml:space="preserve">and </w:t>
      </w:r>
      <w:r w:rsidR="001E6F19" w:rsidRPr="00F42505">
        <w:t>RASHID International, Endangered Archaeology in the Middle East and North Africa</w:t>
      </w:r>
    </w:p>
    <w:p w14:paraId="361BC955" w14:textId="7E969A0B" w:rsidR="008B4BA7" w:rsidRPr="00E266A7" w:rsidRDefault="001E6F19" w:rsidP="00E266A7">
      <w:pPr>
        <w:pStyle w:val="EndnoteText"/>
        <w:spacing w:line="480" w:lineRule="auto"/>
        <w:rPr>
          <w:sz w:val="24"/>
          <w:szCs w:val="24"/>
        </w:rPr>
      </w:pPr>
      <w:r w:rsidRPr="004B0F52">
        <w:rPr>
          <w:sz w:val="24"/>
          <w:szCs w:val="24"/>
        </w:rPr>
        <w:t xml:space="preserve">(Eamena), and Yazda, </w:t>
      </w:r>
      <w:r w:rsidRPr="004B0F52">
        <w:rPr>
          <w:i/>
          <w:iCs/>
          <w:sz w:val="24"/>
          <w:szCs w:val="24"/>
        </w:rPr>
        <w:t>Destroying the Soul of the Yazidis: Cultural Heritage Destruction During the Islamic State’s Genocide against the Yazidis</w:t>
      </w:r>
      <w:r w:rsidRPr="004B0F52">
        <w:rPr>
          <w:sz w:val="24"/>
          <w:szCs w:val="24"/>
        </w:rPr>
        <w:t xml:space="preserve"> (Munich: RASHID International, August 2019), 25, https://rashid-international.org/publications/reports/</w:t>
      </w:r>
      <w:r w:rsidR="00D61D8E" w:rsidRPr="00E266A7">
        <w:rPr>
          <w:color w:val="211D1E"/>
          <w:sz w:val="24"/>
          <w:szCs w:val="24"/>
        </w:rPr>
        <w:t>.</w:t>
      </w:r>
    </w:p>
  </w:endnote>
  <w:endnote w:id="30">
    <w:p w14:paraId="39620F52" w14:textId="791EC694" w:rsidR="0077413E" w:rsidRPr="00E266A7" w:rsidRDefault="0077413E" w:rsidP="00E266A7">
      <w:pPr>
        <w:pStyle w:val="EndnoteText"/>
        <w:spacing w:line="480" w:lineRule="auto"/>
        <w:rPr>
          <w:sz w:val="24"/>
          <w:szCs w:val="24"/>
        </w:rPr>
      </w:pPr>
      <w:r w:rsidRPr="00E266A7">
        <w:rPr>
          <w:rStyle w:val="EndnoteReference"/>
          <w:sz w:val="24"/>
          <w:szCs w:val="24"/>
        </w:rPr>
        <w:endnoteRef/>
      </w:r>
      <w:r w:rsidRPr="00E266A7">
        <w:rPr>
          <w:sz w:val="24"/>
          <w:szCs w:val="24"/>
        </w:rPr>
        <w:t xml:space="preserve"> </w:t>
      </w:r>
      <w:r w:rsidR="005D193C" w:rsidRPr="00F42505">
        <w:rPr>
          <w:sz w:val="24"/>
          <w:szCs w:val="24"/>
        </w:rPr>
        <w:t>RASHID International</w:t>
      </w:r>
      <w:r w:rsidR="00E424B4" w:rsidRPr="004B0F52">
        <w:rPr>
          <w:sz w:val="24"/>
          <w:szCs w:val="24"/>
        </w:rPr>
        <w:t xml:space="preserve"> et al.,</w:t>
      </w:r>
      <w:r w:rsidR="005D193C" w:rsidRPr="00E266A7">
        <w:rPr>
          <w:color w:val="211D1E"/>
          <w:sz w:val="24"/>
          <w:szCs w:val="24"/>
        </w:rPr>
        <w:t xml:space="preserve"> </w:t>
      </w:r>
      <w:r w:rsidRPr="00E266A7">
        <w:rPr>
          <w:color w:val="211D1E"/>
          <w:sz w:val="24"/>
          <w:szCs w:val="24"/>
        </w:rPr>
        <w:t>25</w:t>
      </w:r>
      <w:r w:rsidR="005D193C" w:rsidRPr="00F42505">
        <w:rPr>
          <w:color w:val="211D1E"/>
          <w:sz w:val="24"/>
          <w:szCs w:val="24"/>
        </w:rPr>
        <w:t>.</w:t>
      </w:r>
    </w:p>
  </w:endnote>
  <w:endnote w:id="31">
    <w:p w14:paraId="2FD68E96" w14:textId="62063101" w:rsidR="00B12C8C" w:rsidRPr="00E266A7" w:rsidRDefault="00B12C8C" w:rsidP="00E266A7">
      <w:pPr>
        <w:pStyle w:val="EndnoteText"/>
        <w:spacing w:line="480" w:lineRule="auto"/>
        <w:rPr>
          <w:sz w:val="24"/>
          <w:szCs w:val="24"/>
        </w:rPr>
      </w:pPr>
      <w:r w:rsidRPr="00E266A7">
        <w:rPr>
          <w:rStyle w:val="EndnoteReference"/>
          <w:sz w:val="24"/>
          <w:szCs w:val="24"/>
        </w:rPr>
        <w:endnoteRef/>
      </w:r>
      <w:r w:rsidRPr="00E266A7">
        <w:rPr>
          <w:sz w:val="24"/>
          <w:szCs w:val="24"/>
        </w:rPr>
        <w:t xml:space="preserve"> </w:t>
      </w:r>
      <w:r w:rsidR="00901E34" w:rsidRPr="00F42505">
        <w:rPr>
          <w:color w:val="211D1E"/>
          <w:sz w:val="24"/>
          <w:szCs w:val="24"/>
        </w:rPr>
        <w:t>Qu</w:t>
      </w:r>
      <w:r w:rsidR="00901E34" w:rsidRPr="004B0F52">
        <w:rPr>
          <w:color w:val="211D1E"/>
          <w:sz w:val="24"/>
          <w:szCs w:val="24"/>
        </w:rPr>
        <w:t xml:space="preserve">oted in </w:t>
      </w:r>
      <w:r w:rsidR="00CC5CC3" w:rsidRPr="004B0F52">
        <w:rPr>
          <w:color w:val="211D1E"/>
          <w:sz w:val="24"/>
          <w:szCs w:val="24"/>
        </w:rPr>
        <w:t xml:space="preserve">Patrick Wintour, </w:t>
      </w:r>
      <w:r w:rsidR="00901E34" w:rsidRPr="004B0F52">
        <w:rPr>
          <w:color w:val="211D1E"/>
          <w:sz w:val="24"/>
          <w:szCs w:val="24"/>
        </w:rPr>
        <w:t xml:space="preserve">“UN </w:t>
      </w:r>
      <w:r w:rsidR="00D22FCE" w:rsidRPr="004B0F52">
        <w:rPr>
          <w:color w:val="211D1E"/>
          <w:sz w:val="24"/>
          <w:szCs w:val="24"/>
        </w:rPr>
        <w:t>C</w:t>
      </w:r>
      <w:r w:rsidR="00901E34" w:rsidRPr="004B0F52">
        <w:rPr>
          <w:color w:val="211D1E"/>
          <w:sz w:val="24"/>
          <w:szCs w:val="24"/>
        </w:rPr>
        <w:t>ondemns ISIS Genocide against Yazidis in Iraq and Syria,</w:t>
      </w:r>
      <w:r w:rsidR="00ED2037" w:rsidRPr="004B0F52">
        <w:rPr>
          <w:color w:val="211D1E"/>
          <w:sz w:val="24"/>
          <w:szCs w:val="24"/>
        </w:rPr>
        <w:t>”</w:t>
      </w:r>
      <w:r w:rsidRPr="00E266A7">
        <w:rPr>
          <w:sz w:val="24"/>
          <w:szCs w:val="24"/>
        </w:rPr>
        <w:t xml:space="preserve"> </w:t>
      </w:r>
      <w:r w:rsidRPr="00E266A7">
        <w:rPr>
          <w:i/>
          <w:iCs/>
          <w:sz w:val="24"/>
          <w:szCs w:val="24"/>
        </w:rPr>
        <w:t>Guardian</w:t>
      </w:r>
      <w:r w:rsidRPr="00E266A7">
        <w:rPr>
          <w:sz w:val="24"/>
          <w:szCs w:val="24"/>
        </w:rPr>
        <w:t xml:space="preserve">, </w:t>
      </w:r>
      <w:r w:rsidR="001979EE" w:rsidRPr="00E266A7">
        <w:rPr>
          <w:sz w:val="24"/>
          <w:szCs w:val="24"/>
        </w:rPr>
        <w:t xml:space="preserve">16 </w:t>
      </w:r>
      <w:r w:rsidRPr="00E266A7">
        <w:rPr>
          <w:sz w:val="24"/>
          <w:szCs w:val="24"/>
        </w:rPr>
        <w:t>June 2016</w:t>
      </w:r>
      <w:r w:rsidR="001979EE" w:rsidRPr="00F42505">
        <w:rPr>
          <w:sz w:val="24"/>
          <w:szCs w:val="24"/>
        </w:rPr>
        <w:t>.</w:t>
      </w:r>
    </w:p>
  </w:endnote>
  <w:endnote w:id="32">
    <w:p w14:paraId="7A7E66CA" w14:textId="0D4CBA98" w:rsidR="00AA35BD" w:rsidRPr="00E266A7" w:rsidRDefault="00AA35BD" w:rsidP="00E266A7">
      <w:pPr>
        <w:pStyle w:val="EndnoteText"/>
        <w:spacing w:line="480" w:lineRule="auto"/>
        <w:rPr>
          <w:sz w:val="24"/>
          <w:szCs w:val="24"/>
        </w:rPr>
      </w:pPr>
      <w:r w:rsidRPr="00E266A7">
        <w:rPr>
          <w:rStyle w:val="EndnoteReference"/>
          <w:sz w:val="24"/>
          <w:szCs w:val="24"/>
        </w:rPr>
        <w:endnoteRef/>
      </w:r>
      <w:r w:rsidRPr="00E266A7">
        <w:rPr>
          <w:sz w:val="24"/>
          <w:szCs w:val="24"/>
        </w:rPr>
        <w:t xml:space="preserve"> ISIS video quoted in </w:t>
      </w:r>
      <w:r w:rsidR="00F86F1F" w:rsidRPr="00F86F1F">
        <w:rPr>
          <w:sz w:val="24"/>
          <w:szCs w:val="24"/>
        </w:rPr>
        <w:t>Kareem Shaheen</w:t>
      </w:r>
      <w:r w:rsidR="00F86F1F">
        <w:rPr>
          <w:sz w:val="24"/>
          <w:szCs w:val="24"/>
        </w:rPr>
        <w:t>,</w:t>
      </w:r>
      <w:r w:rsidR="00F86F1F" w:rsidRPr="00F86F1F">
        <w:rPr>
          <w:sz w:val="24"/>
          <w:szCs w:val="24"/>
        </w:rPr>
        <w:t xml:space="preserve"> </w:t>
      </w:r>
      <w:r w:rsidR="00F86F1F">
        <w:rPr>
          <w:sz w:val="24"/>
          <w:szCs w:val="24"/>
        </w:rPr>
        <w:t>“</w:t>
      </w:r>
      <w:r w:rsidR="00F86F1F" w:rsidRPr="00F86F1F">
        <w:rPr>
          <w:sz w:val="24"/>
          <w:szCs w:val="24"/>
        </w:rPr>
        <w:t xml:space="preserve">Isis </w:t>
      </w:r>
      <w:r w:rsidR="00F86F1F">
        <w:rPr>
          <w:sz w:val="24"/>
          <w:szCs w:val="24"/>
        </w:rPr>
        <w:t>b</w:t>
      </w:r>
      <w:r w:rsidR="00F86F1F" w:rsidRPr="00F86F1F">
        <w:rPr>
          <w:sz w:val="24"/>
          <w:szCs w:val="24"/>
        </w:rPr>
        <w:t xml:space="preserve">lows </w:t>
      </w:r>
      <w:r w:rsidR="00F86F1F">
        <w:rPr>
          <w:sz w:val="24"/>
          <w:szCs w:val="24"/>
        </w:rPr>
        <w:t>U</w:t>
      </w:r>
      <w:r w:rsidR="00F86F1F" w:rsidRPr="00F86F1F">
        <w:rPr>
          <w:sz w:val="24"/>
          <w:szCs w:val="24"/>
        </w:rPr>
        <w:t>p Arch of Triumph in 2,000-</w:t>
      </w:r>
      <w:r w:rsidR="00F86F1F">
        <w:rPr>
          <w:sz w:val="24"/>
          <w:szCs w:val="24"/>
        </w:rPr>
        <w:t>Y</w:t>
      </w:r>
      <w:r w:rsidR="00F86F1F" w:rsidRPr="00F86F1F">
        <w:rPr>
          <w:sz w:val="24"/>
          <w:szCs w:val="24"/>
        </w:rPr>
        <w:t>ear-</w:t>
      </w:r>
      <w:r w:rsidR="00F86F1F">
        <w:rPr>
          <w:sz w:val="24"/>
          <w:szCs w:val="24"/>
        </w:rPr>
        <w:t>O</w:t>
      </w:r>
      <w:r w:rsidR="00F86F1F" w:rsidRPr="00F86F1F">
        <w:rPr>
          <w:sz w:val="24"/>
          <w:szCs w:val="24"/>
        </w:rPr>
        <w:t xml:space="preserve">ld </w:t>
      </w:r>
      <w:r w:rsidR="00F86F1F">
        <w:rPr>
          <w:sz w:val="24"/>
          <w:szCs w:val="24"/>
        </w:rPr>
        <w:t>C</w:t>
      </w:r>
      <w:r w:rsidR="00F86F1F" w:rsidRPr="00F86F1F">
        <w:rPr>
          <w:sz w:val="24"/>
          <w:szCs w:val="24"/>
        </w:rPr>
        <w:t>ity of Palmyra</w:t>
      </w:r>
      <w:r w:rsidR="00F86F1F">
        <w:rPr>
          <w:sz w:val="24"/>
          <w:szCs w:val="24"/>
        </w:rPr>
        <w:t xml:space="preserve">,” </w:t>
      </w:r>
      <w:r w:rsidR="00F86F1F">
        <w:rPr>
          <w:i/>
          <w:iCs/>
          <w:sz w:val="24"/>
          <w:szCs w:val="24"/>
        </w:rPr>
        <w:t>Guardian</w:t>
      </w:r>
      <w:r w:rsidR="00F86F1F">
        <w:rPr>
          <w:sz w:val="24"/>
          <w:szCs w:val="24"/>
        </w:rPr>
        <w:t xml:space="preserve">, </w:t>
      </w:r>
      <w:r w:rsidR="00F86F1F" w:rsidRPr="00F86F1F">
        <w:rPr>
          <w:sz w:val="24"/>
          <w:szCs w:val="24"/>
        </w:rPr>
        <w:t>5 October 2015</w:t>
      </w:r>
      <w:r w:rsidR="00F86F1F">
        <w:rPr>
          <w:sz w:val="24"/>
          <w:szCs w:val="24"/>
        </w:rPr>
        <w:t>,</w:t>
      </w:r>
      <w:r w:rsidR="00F86F1F" w:rsidRPr="00F86F1F">
        <w:rPr>
          <w:sz w:val="24"/>
          <w:szCs w:val="24"/>
        </w:rPr>
        <w:t xml:space="preserve"> https://www.theguardian.com/world/2015/oct/05/isis-blows-up-another-monument-in-2000-year-old-city-of-palmyra</w:t>
      </w:r>
      <w:r w:rsidRPr="00E266A7">
        <w:rPr>
          <w:sz w:val="24"/>
          <w:szCs w:val="24"/>
        </w:rPr>
        <w:t xml:space="preserve">; </w:t>
      </w:r>
      <w:r w:rsidR="0025701B" w:rsidRPr="00E266A7">
        <w:rPr>
          <w:sz w:val="24"/>
          <w:szCs w:val="24"/>
        </w:rPr>
        <w:t xml:space="preserve">and </w:t>
      </w:r>
      <w:r w:rsidRPr="00E266A7">
        <w:rPr>
          <w:sz w:val="24"/>
          <w:szCs w:val="24"/>
        </w:rPr>
        <w:t>Smith et al</w:t>
      </w:r>
      <w:r w:rsidR="0025701B" w:rsidRPr="00E266A7">
        <w:rPr>
          <w:sz w:val="24"/>
          <w:szCs w:val="24"/>
        </w:rPr>
        <w:t>.</w:t>
      </w:r>
      <w:r w:rsidR="00ED2037" w:rsidRPr="00F42505">
        <w:rPr>
          <w:sz w:val="24"/>
          <w:szCs w:val="24"/>
        </w:rPr>
        <w:t>,</w:t>
      </w:r>
      <w:r w:rsidRPr="00E266A7">
        <w:rPr>
          <w:sz w:val="24"/>
          <w:szCs w:val="24"/>
        </w:rPr>
        <w:t xml:space="preserve"> </w:t>
      </w:r>
      <w:r w:rsidR="0025701B" w:rsidRPr="00E266A7">
        <w:rPr>
          <w:sz w:val="24"/>
          <w:szCs w:val="24"/>
        </w:rPr>
        <w:t xml:space="preserve">“The Islamic State’s Symbolic War,” </w:t>
      </w:r>
      <w:r w:rsidRPr="00E266A7">
        <w:rPr>
          <w:sz w:val="24"/>
          <w:szCs w:val="24"/>
        </w:rPr>
        <w:t>178–79</w:t>
      </w:r>
      <w:r w:rsidR="0025701B" w:rsidRPr="00E266A7">
        <w:rPr>
          <w:sz w:val="24"/>
          <w:szCs w:val="24"/>
        </w:rPr>
        <w:t>.</w:t>
      </w:r>
    </w:p>
  </w:endnote>
  <w:endnote w:id="33">
    <w:p w14:paraId="7EBBEF0E" w14:textId="202CF3B6" w:rsidR="00F6760A" w:rsidRPr="00E266A7" w:rsidRDefault="00F6760A" w:rsidP="00E266A7">
      <w:pPr>
        <w:pStyle w:val="EndnoteText"/>
        <w:spacing w:line="480" w:lineRule="auto"/>
        <w:rPr>
          <w:sz w:val="24"/>
          <w:szCs w:val="24"/>
        </w:rPr>
      </w:pPr>
      <w:r w:rsidRPr="00E266A7">
        <w:rPr>
          <w:rStyle w:val="EndnoteReference"/>
          <w:sz w:val="24"/>
          <w:szCs w:val="24"/>
        </w:rPr>
        <w:endnoteRef/>
      </w:r>
      <w:r w:rsidRPr="00E266A7">
        <w:rPr>
          <w:sz w:val="24"/>
          <w:szCs w:val="24"/>
        </w:rPr>
        <w:t xml:space="preserve"> </w:t>
      </w:r>
      <w:r w:rsidR="00BF1A18" w:rsidRPr="00F42505">
        <w:rPr>
          <w:sz w:val="24"/>
          <w:szCs w:val="24"/>
        </w:rPr>
        <w:t xml:space="preserve">Counter Extremism Project, </w:t>
      </w:r>
      <w:r w:rsidR="00BF1A18" w:rsidRPr="004B0F52">
        <w:rPr>
          <w:i/>
          <w:iCs/>
          <w:sz w:val="24"/>
          <w:szCs w:val="24"/>
        </w:rPr>
        <w:t>ISIS’s Persecution of Religions</w:t>
      </w:r>
      <w:r w:rsidR="00BF1A18" w:rsidRPr="004B0F52">
        <w:rPr>
          <w:sz w:val="24"/>
          <w:szCs w:val="24"/>
        </w:rPr>
        <w:t xml:space="preserve"> </w:t>
      </w:r>
      <w:r w:rsidR="00CB55A5">
        <w:rPr>
          <w:sz w:val="24"/>
          <w:szCs w:val="24"/>
        </w:rPr>
        <w:t>(</w:t>
      </w:r>
      <w:r w:rsidR="00CB55A5" w:rsidRPr="00F42505">
        <w:rPr>
          <w:sz w:val="24"/>
          <w:szCs w:val="24"/>
        </w:rPr>
        <w:t>Counter Extremism Project</w:t>
      </w:r>
      <w:r w:rsidR="00CB55A5">
        <w:rPr>
          <w:sz w:val="24"/>
          <w:szCs w:val="24"/>
        </w:rPr>
        <w:t>,</w:t>
      </w:r>
      <w:r w:rsidR="00CB55A5" w:rsidRPr="004B0F52">
        <w:rPr>
          <w:sz w:val="24"/>
          <w:szCs w:val="24"/>
        </w:rPr>
        <w:t xml:space="preserve"> </w:t>
      </w:r>
      <w:r w:rsidR="00BF1A18" w:rsidRPr="004B0F52">
        <w:rPr>
          <w:sz w:val="24"/>
          <w:szCs w:val="24"/>
        </w:rPr>
        <w:t>May 2017</w:t>
      </w:r>
      <w:r w:rsidR="00CB55A5">
        <w:rPr>
          <w:sz w:val="24"/>
          <w:szCs w:val="24"/>
        </w:rPr>
        <w:t>)</w:t>
      </w:r>
      <w:r w:rsidR="00BF1A18" w:rsidRPr="004B0F52">
        <w:rPr>
          <w:sz w:val="24"/>
          <w:szCs w:val="24"/>
        </w:rPr>
        <w:t>, https://www.counterextremism.com/sites/default/files/ISIS%27s%20Persecution%20of%20Religions_053017.pdf.</w:t>
      </w:r>
    </w:p>
  </w:endnote>
  <w:endnote w:id="34">
    <w:p w14:paraId="2DA70AB3" w14:textId="29DE4399" w:rsidR="00F6760A" w:rsidRPr="00E266A7" w:rsidRDefault="00F6760A" w:rsidP="00E266A7">
      <w:pPr>
        <w:pStyle w:val="EndnoteText"/>
        <w:spacing w:line="480" w:lineRule="auto"/>
        <w:rPr>
          <w:sz w:val="24"/>
          <w:szCs w:val="24"/>
        </w:rPr>
      </w:pPr>
      <w:r w:rsidRPr="00E266A7">
        <w:rPr>
          <w:rStyle w:val="EndnoteReference"/>
          <w:sz w:val="24"/>
          <w:szCs w:val="24"/>
        </w:rPr>
        <w:endnoteRef/>
      </w:r>
      <w:r w:rsidRPr="00E266A7">
        <w:rPr>
          <w:sz w:val="24"/>
          <w:szCs w:val="24"/>
        </w:rPr>
        <w:t xml:space="preserve"> </w:t>
      </w:r>
      <w:r w:rsidR="00A67B9D" w:rsidRPr="00F42505">
        <w:rPr>
          <w:rFonts w:eastAsiaTheme="minorHAnsi"/>
          <w:sz w:val="24"/>
          <w:szCs w:val="24"/>
        </w:rPr>
        <w:t xml:space="preserve">F. Brinley Bruton, </w:t>
      </w:r>
      <w:r w:rsidR="00A67B9D" w:rsidRPr="004B0F52">
        <w:rPr>
          <w:rFonts w:eastAsiaTheme="minorHAnsi"/>
          <w:sz w:val="24"/>
          <w:szCs w:val="24"/>
        </w:rPr>
        <w:t>“Kerry: ISIS Is Committing Genocide against Yazidis, Christians and Shiite Muslims,” NBC News, 17 March 2016, http://www.nbcnews.com/storyline/isis-terror/kerry-designate-is is-atrocities-genocide-n540706</w:t>
      </w:r>
      <w:r w:rsidRPr="00E266A7">
        <w:rPr>
          <w:rFonts w:eastAsiaTheme="minorHAnsi"/>
          <w:sz w:val="24"/>
          <w:szCs w:val="24"/>
        </w:rPr>
        <w:t xml:space="preserve">; </w:t>
      </w:r>
      <w:r w:rsidR="00B628CF" w:rsidRPr="00F42505">
        <w:rPr>
          <w:rFonts w:eastAsiaTheme="minorHAnsi"/>
          <w:sz w:val="24"/>
          <w:szCs w:val="24"/>
        </w:rPr>
        <w:t xml:space="preserve">Michael Kaplan, </w:t>
      </w:r>
      <w:r w:rsidR="00B628CF" w:rsidRPr="004B0F52">
        <w:rPr>
          <w:rFonts w:eastAsiaTheme="minorHAnsi"/>
          <w:sz w:val="24"/>
          <w:szCs w:val="24"/>
        </w:rPr>
        <w:t xml:space="preserve">“ISIS Genocide against Christians, Yazidis? European Parliament Recognizes Islamic State Targeting Religious Minorities,” </w:t>
      </w:r>
      <w:r w:rsidR="00B628CF" w:rsidRPr="00E266A7">
        <w:rPr>
          <w:rFonts w:eastAsiaTheme="minorHAnsi"/>
          <w:i/>
          <w:iCs/>
          <w:sz w:val="24"/>
          <w:szCs w:val="24"/>
        </w:rPr>
        <w:t>International Business Times</w:t>
      </w:r>
      <w:r w:rsidR="00B628CF" w:rsidRPr="00F42505">
        <w:rPr>
          <w:rFonts w:eastAsiaTheme="minorHAnsi"/>
          <w:sz w:val="24"/>
          <w:szCs w:val="24"/>
        </w:rPr>
        <w:t>,</w:t>
      </w:r>
      <w:r w:rsidR="00B628CF" w:rsidRPr="004B0F52">
        <w:rPr>
          <w:rFonts w:eastAsiaTheme="minorHAnsi"/>
          <w:sz w:val="24"/>
          <w:szCs w:val="24"/>
        </w:rPr>
        <w:t xml:space="preserve"> 4 February 2016, http://www.ibtimes.com/is is-genocide-against-christians-yazidis-european-parliament-recognizes-islamic-state-2294384</w:t>
      </w:r>
      <w:r w:rsidRPr="00E266A7">
        <w:rPr>
          <w:rFonts w:eastAsiaTheme="minorHAnsi"/>
          <w:sz w:val="24"/>
          <w:szCs w:val="24"/>
        </w:rPr>
        <w:t>;</w:t>
      </w:r>
      <w:r w:rsidR="00D450C3" w:rsidRPr="00F42505">
        <w:rPr>
          <w:rFonts w:eastAsiaTheme="minorHAnsi"/>
          <w:sz w:val="24"/>
          <w:szCs w:val="24"/>
        </w:rPr>
        <w:t xml:space="preserve"> and</w:t>
      </w:r>
      <w:r w:rsidRPr="00E266A7">
        <w:rPr>
          <w:rFonts w:eastAsiaTheme="minorHAnsi"/>
          <w:sz w:val="24"/>
          <w:szCs w:val="24"/>
        </w:rPr>
        <w:t xml:space="preserve"> </w:t>
      </w:r>
      <w:r w:rsidR="00F07C0D" w:rsidRPr="00E266A7">
        <w:rPr>
          <w:rFonts w:eastAsiaTheme="minorHAnsi"/>
          <w:sz w:val="24"/>
          <w:szCs w:val="24"/>
        </w:rPr>
        <w:t xml:space="preserve">Jack Moore, “European Parliament Recognizes ISIS Killing of Religious Minorities as Genocide,” </w:t>
      </w:r>
      <w:r w:rsidR="00F07C0D" w:rsidRPr="00E266A7">
        <w:rPr>
          <w:rFonts w:eastAsiaTheme="minorHAnsi"/>
          <w:i/>
          <w:iCs/>
          <w:sz w:val="24"/>
          <w:szCs w:val="24"/>
        </w:rPr>
        <w:t>Newsweek</w:t>
      </w:r>
      <w:r w:rsidR="00F07C0D" w:rsidRPr="00E266A7">
        <w:rPr>
          <w:rFonts w:eastAsiaTheme="minorHAnsi"/>
          <w:sz w:val="24"/>
          <w:szCs w:val="24"/>
        </w:rPr>
        <w:t>, 4 February 2016.</w:t>
      </w:r>
    </w:p>
  </w:endnote>
  <w:endnote w:id="35">
    <w:p w14:paraId="146F1DDB" w14:textId="55E9198D" w:rsidR="00553625" w:rsidRPr="00E266A7" w:rsidRDefault="00553625" w:rsidP="00E266A7">
      <w:pPr>
        <w:pStyle w:val="EndnoteText"/>
        <w:spacing w:line="480" w:lineRule="auto"/>
        <w:rPr>
          <w:sz w:val="24"/>
          <w:szCs w:val="24"/>
        </w:rPr>
      </w:pPr>
      <w:r w:rsidRPr="00E266A7">
        <w:rPr>
          <w:rStyle w:val="EndnoteReference"/>
          <w:sz w:val="24"/>
          <w:szCs w:val="24"/>
        </w:rPr>
        <w:endnoteRef/>
      </w:r>
      <w:r w:rsidRPr="00E266A7">
        <w:rPr>
          <w:sz w:val="24"/>
          <w:szCs w:val="24"/>
        </w:rPr>
        <w:t xml:space="preserve"> </w:t>
      </w:r>
      <w:r w:rsidR="005D0B61" w:rsidRPr="00E266A7">
        <w:rPr>
          <w:sz w:val="24"/>
          <w:szCs w:val="24"/>
        </w:rPr>
        <w:t>Haykel, “On the Nature of Salafi Thought,” 41.</w:t>
      </w:r>
    </w:p>
  </w:endnote>
  <w:endnote w:id="36">
    <w:p w14:paraId="1FA07FD8" w14:textId="0B186550" w:rsidR="005C75A1" w:rsidRPr="00E266A7" w:rsidRDefault="005C75A1" w:rsidP="00E266A7">
      <w:pPr>
        <w:pStyle w:val="EndnoteText"/>
        <w:spacing w:line="480" w:lineRule="auto"/>
        <w:rPr>
          <w:sz w:val="24"/>
          <w:szCs w:val="24"/>
        </w:rPr>
      </w:pPr>
      <w:r w:rsidRPr="00E266A7">
        <w:rPr>
          <w:rStyle w:val="EndnoteReference"/>
          <w:sz w:val="24"/>
          <w:szCs w:val="24"/>
        </w:rPr>
        <w:endnoteRef/>
      </w:r>
      <w:r w:rsidRPr="00E266A7">
        <w:rPr>
          <w:sz w:val="24"/>
          <w:szCs w:val="24"/>
        </w:rPr>
        <w:t xml:space="preserve"> Counter Extremism Project</w:t>
      </w:r>
      <w:r w:rsidR="00D20B59" w:rsidRPr="00E266A7">
        <w:rPr>
          <w:sz w:val="24"/>
          <w:szCs w:val="24"/>
        </w:rPr>
        <w:t>,</w:t>
      </w:r>
      <w:r w:rsidRPr="00E266A7">
        <w:rPr>
          <w:sz w:val="24"/>
          <w:szCs w:val="24"/>
        </w:rPr>
        <w:t xml:space="preserve"> </w:t>
      </w:r>
      <w:r w:rsidR="00D20B59" w:rsidRPr="00F42505">
        <w:rPr>
          <w:i/>
          <w:iCs/>
          <w:sz w:val="24"/>
          <w:szCs w:val="24"/>
        </w:rPr>
        <w:t>ISIS</w:t>
      </w:r>
      <w:r w:rsidR="00D20B59" w:rsidRPr="004B0F52">
        <w:rPr>
          <w:i/>
          <w:iCs/>
          <w:sz w:val="24"/>
          <w:szCs w:val="24"/>
        </w:rPr>
        <w:t>’s Persecution of Religions</w:t>
      </w:r>
      <w:r w:rsidR="00D20B59" w:rsidRPr="004B0F52">
        <w:rPr>
          <w:sz w:val="24"/>
          <w:szCs w:val="24"/>
        </w:rPr>
        <w:t>.</w:t>
      </w:r>
    </w:p>
  </w:endnote>
  <w:endnote w:id="37">
    <w:p w14:paraId="240086D1" w14:textId="37BB55CC" w:rsidR="00C57656" w:rsidRPr="00E266A7" w:rsidRDefault="00C57656" w:rsidP="00E266A7">
      <w:pPr>
        <w:pStyle w:val="EndnoteText"/>
        <w:spacing w:line="480" w:lineRule="auto"/>
        <w:rPr>
          <w:sz w:val="24"/>
          <w:szCs w:val="24"/>
        </w:rPr>
      </w:pPr>
      <w:r w:rsidRPr="00E266A7">
        <w:rPr>
          <w:rStyle w:val="EndnoteReference"/>
          <w:sz w:val="24"/>
          <w:szCs w:val="24"/>
        </w:rPr>
        <w:endnoteRef/>
      </w:r>
      <w:r w:rsidRPr="00E266A7">
        <w:rPr>
          <w:sz w:val="24"/>
          <w:szCs w:val="24"/>
        </w:rPr>
        <w:t xml:space="preserve"> </w:t>
      </w:r>
      <w:r w:rsidR="005D0B61" w:rsidRPr="00F42505">
        <w:rPr>
          <w:sz w:val="24"/>
          <w:szCs w:val="24"/>
        </w:rPr>
        <w:t>Haykel</w:t>
      </w:r>
      <w:r w:rsidR="005D0B61" w:rsidRPr="004B0F52">
        <w:rPr>
          <w:sz w:val="24"/>
          <w:szCs w:val="24"/>
        </w:rPr>
        <w:t>, “On the Nature of Salafi Thought,”</w:t>
      </w:r>
      <w:r w:rsidR="005D0B61" w:rsidRPr="00E266A7">
        <w:rPr>
          <w:sz w:val="24"/>
          <w:szCs w:val="24"/>
        </w:rPr>
        <w:t xml:space="preserve"> </w:t>
      </w:r>
      <w:r w:rsidRPr="00E266A7">
        <w:rPr>
          <w:sz w:val="24"/>
          <w:szCs w:val="24"/>
        </w:rPr>
        <w:t>41</w:t>
      </w:r>
      <w:r w:rsidR="005D0B61" w:rsidRPr="00F42505">
        <w:rPr>
          <w:sz w:val="24"/>
          <w:szCs w:val="24"/>
        </w:rPr>
        <w:t>.</w:t>
      </w:r>
    </w:p>
  </w:endnote>
  <w:endnote w:id="38">
    <w:p w14:paraId="79298EA3" w14:textId="047DB6E1" w:rsidR="00FD2CDA" w:rsidRPr="00E266A7" w:rsidRDefault="00FD2CDA" w:rsidP="00E266A7">
      <w:pPr>
        <w:pStyle w:val="EndnoteText"/>
        <w:spacing w:line="480" w:lineRule="auto"/>
        <w:rPr>
          <w:sz w:val="24"/>
          <w:szCs w:val="24"/>
        </w:rPr>
      </w:pPr>
      <w:r w:rsidRPr="00E266A7">
        <w:rPr>
          <w:rStyle w:val="EndnoteReference"/>
          <w:sz w:val="24"/>
          <w:szCs w:val="24"/>
        </w:rPr>
        <w:endnoteRef/>
      </w:r>
      <w:r w:rsidRPr="00E266A7">
        <w:rPr>
          <w:sz w:val="24"/>
          <w:szCs w:val="24"/>
        </w:rPr>
        <w:t xml:space="preserve"> </w:t>
      </w:r>
      <w:r w:rsidR="00E37758" w:rsidRPr="00F42505">
        <w:rPr>
          <w:sz w:val="24"/>
          <w:szCs w:val="24"/>
        </w:rPr>
        <w:t xml:space="preserve">Lizzie Dearden, </w:t>
      </w:r>
      <w:r w:rsidR="00E37758" w:rsidRPr="004B0F52">
        <w:rPr>
          <w:sz w:val="24"/>
          <w:szCs w:val="24"/>
        </w:rPr>
        <w:t xml:space="preserve">“Baghdad Bombing: Iraqis Remind World </w:t>
      </w:r>
      <w:r w:rsidR="004105D2" w:rsidRPr="004B0F52">
        <w:rPr>
          <w:sz w:val="24"/>
          <w:szCs w:val="24"/>
        </w:rPr>
        <w:t>T</w:t>
      </w:r>
      <w:r w:rsidR="00E37758" w:rsidRPr="004B0F52">
        <w:rPr>
          <w:sz w:val="24"/>
          <w:szCs w:val="24"/>
        </w:rPr>
        <w:t xml:space="preserve">hat Most of ISIS’ Victims Are Muslims after </w:t>
      </w:r>
      <w:r w:rsidR="004105D2" w:rsidRPr="004B0F52">
        <w:rPr>
          <w:sz w:val="24"/>
          <w:szCs w:val="24"/>
        </w:rPr>
        <w:t>M</w:t>
      </w:r>
      <w:r w:rsidR="00E37758" w:rsidRPr="004B0F52">
        <w:rPr>
          <w:sz w:val="24"/>
          <w:szCs w:val="24"/>
        </w:rPr>
        <w:t xml:space="preserve">ore than 160 </w:t>
      </w:r>
      <w:r w:rsidR="004105D2" w:rsidRPr="004B0F52">
        <w:rPr>
          <w:sz w:val="24"/>
          <w:szCs w:val="24"/>
        </w:rPr>
        <w:t>K</w:t>
      </w:r>
      <w:r w:rsidR="00E37758" w:rsidRPr="004B0F52">
        <w:rPr>
          <w:sz w:val="24"/>
          <w:szCs w:val="24"/>
        </w:rPr>
        <w:t>illed</w:t>
      </w:r>
      <w:r w:rsidR="004105D2" w:rsidRPr="004B0F52">
        <w:rPr>
          <w:sz w:val="24"/>
          <w:szCs w:val="24"/>
        </w:rPr>
        <w:t>,</w:t>
      </w:r>
      <w:r w:rsidR="00E37758" w:rsidRPr="004B0F52">
        <w:rPr>
          <w:sz w:val="24"/>
          <w:szCs w:val="24"/>
        </w:rPr>
        <w:t xml:space="preserve">” </w:t>
      </w:r>
      <w:r w:rsidR="00E37758" w:rsidRPr="00E266A7">
        <w:rPr>
          <w:i/>
          <w:iCs/>
          <w:sz w:val="24"/>
          <w:szCs w:val="24"/>
        </w:rPr>
        <w:t>Independent</w:t>
      </w:r>
      <w:r w:rsidR="004105D2" w:rsidRPr="00F42505">
        <w:rPr>
          <w:sz w:val="24"/>
          <w:szCs w:val="24"/>
        </w:rPr>
        <w:t>,</w:t>
      </w:r>
      <w:r w:rsidR="00E37758" w:rsidRPr="004B0F52">
        <w:rPr>
          <w:sz w:val="24"/>
          <w:szCs w:val="24"/>
        </w:rPr>
        <w:t xml:space="preserve"> 5 July 2016</w:t>
      </w:r>
      <w:r w:rsidR="00274587" w:rsidRPr="004B0F52">
        <w:rPr>
          <w:sz w:val="24"/>
          <w:szCs w:val="24"/>
        </w:rPr>
        <w:t xml:space="preserve">, </w:t>
      </w:r>
      <w:r w:rsidR="00E37758" w:rsidRPr="004B0F52">
        <w:rPr>
          <w:sz w:val="24"/>
          <w:szCs w:val="24"/>
        </w:rPr>
        <w:t>https://www.independent.co.uk/news/world/middle-east/baghdad-bombing-attack-isis-islamic-state-iraq-ramadan-shia-most-victims-muslims-killed-a7120086.html</w:t>
      </w:r>
      <w:r w:rsidR="0013724F" w:rsidRPr="004B0F52">
        <w:rPr>
          <w:sz w:val="24"/>
          <w:szCs w:val="24"/>
        </w:rPr>
        <w:t>.</w:t>
      </w:r>
    </w:p>
  </w:endnote>
  <w:endnote w:id="39">
    <w:p w14:paraId="725E1887" w14:textId="1AA45DDB" w:rsidR="001058EB" w:rsidRPr="00E266A7" w:rsidRDefault="001058EB" w:rsidP="00E266A7">
      <w:pPr>
        <w:pStyle w:val="EndnoteText"/>
        <w:spacing w:line="480" w:lineRule="auto"/>
        <w:rPr>
          <w:sz w:val="24"/>
          <w:szCs w:val="24"/>
        </w:rPr>
      </w:pPr>
      <w:r w:rsidRPr="00E266A7">
        <w:rPr>
          <w:rStyle w:val="EndnoteReference"/>
          <w:sz w:val="24"/>
          <w:szCs w:val="24"/>
        </w:rPr>
        <w:endnoteRef/>
      </w:r>
      <w:r w:rsidRPr="00E266A7">
        <w:rPr>
          <w:sz w:val="24"/>
          <w:szCs w:val="24"/>
        </w:rPr>
        <w:t xml:space="preserve"> </w:t>
      </w:r>
      <w:r w:rsidR="000E7D17" w:rsidRPr="00F42505">
        <w:rPr>
          <w:sz w:val="24"/>
          <w:szCs w:val="24"/>
        </w:rPr>
        <w:t xml:space="preserve">Matthew Bogdanos, </w:t>
      </w:r>
      <w:r w:rsidR="000E7D17" w:rsidRPr="004B0F52">
        <w:rPr>
          <w:sz w:val="24"/>
          <w:szCs w:val="24"/>
        </w:rPr>
        <w:t xml:space="preserve">“Casualties of War: The Truth about the Iraq Museum,” </w:t>
      </w:r>
      <w:r w:rsidR="000E7D17" w:rsidRPr="00E266A7">
        <w:rPr>
          <w:i/>
          <w:iCs/>
          <w:sz w:val="24"/>
          <w:szCs w:val="24"/>
        </w:rPr>
        <w:t>American Journal of Archaaeology</w:t>
      </w:r>
      <w:r w:rsidR="000E7D17" w:rsidRPr="00F42505">
        <w:rPr>
          <w:sz w:val="24"/>
          <w:szCs w:val="24"/>
        </w:rPr>
        <w:t xml:space="preserve"> 109, no. 3 (2005): 477</w:t>
      </w:r>
      <w:r w:rsidR="000E7D17" w:rsidRPr="004B0F52">
        <w:rPr>
          <w:sz w:val="24"/>
          <w:szCs w:val="24"/>
        </w:rPr>
        <w:t>–526.</w:t>
      </w:r>
    </w:p>
  </w:endnote>
  <w:endnote w:id="40">
    <w:p w14:paraId="0C63A794" w14:textId="55DA3877" w:rsidR="00DC7224" w:rsidRPr="00E266A7" w:rsidRDefault="00DC7224" w:rsidP="00E266A7">
      <w:pPr>
        <w:pStyle w:val="EndnoteText"/>
        <w:spacing w:line="480" w:lineRule="auto"/>
        <w:rPr>
          <w:sz w:val="24"/>
          <w:szCs w:val="24"/>
        </w:rPr>
      </w:pPr>
      <w:r w:rsidRPr="00E266A7">
        <w:rPr>
          <w:rStyle w:val="EndnoteReference"/>
          <w:sz w:val="24"/>
          <w:szCs w:val="24"/>
        </w:rPr>
        <w:endnoteRef/>
      </w:r>
      <w:r w:rsidRPr="00E266A7">
        <w:rPr>
          <w:sz w:val="24"/>
          <w:szCs w:val="24"/>
        </w:rPr>
        <w:t xml:space="preserve"> </w:t>
      </w:r>
      <w:r w:rsidR="00E1326E" w:rsidRPr="00F42505">
        <w:rPr>
          <w:sz w:val="24"/>
          <w:szCs w:val="24"/>
        </w:rPr>
        <w:t>Andrew Lawler</w:t>
      </w:r>
      <w:r w:rsidR="00E1326E" w:rsidRPr="004B0F52">
        <w:rPr>
          <w:sz w:val="24"/>
          <w:szCs w:val="24"/>
        </w:rPr>
        <w:t xml:space="preserve">, “War, More than ISIS, Is Destroying Syria’s Ancient Sites,” </w:t>
      </w:r>
      <w:r w:rsidR="00E1326E" w:rsidRPr="00E266A7">
        <w:rPr>
          <w:i/>
          <w:iCs/>
          <w:sz w:val="24"/>
          <w:szCs w:val="24"/>
        </w:rPr>
        <w:t>National Geographic</w:t>
      </w:r>
      <w:r w:rsidR="00E1326E" w:rsidRPr="00F42505">
        <w:rPr>
          <w:sz w:val="24"/>
          <w:szCs w:val="24"/>
        </w:rPr>
        <w:t>,</w:t>
      </w:r>
      <w:r w:rsidR="00E1326E" w:rsidRPr="004B0F52">
        <w:rPr>
          <w:sz w:val="24"/>
          <w:szCs w:val="24"/>
        </w:rPr>
        <w:t xml:space="preserve"> 25 November 2015, https://www.nationalgeographic.com/history/article/151125-isis-syria-satellite-images-looting-archaeology.</w:t>
      </w:r>
    </w:p>
  </w:endnote>
  <w:endnote w:id="41">
    <w:p w14:paraId="1034DAD7" w14:textId="01FC46A5" w:rsidR="00227638" w:rsidRPr="00E266A7" w:rsidRDefault="00227638" w:rsidP="00E266A7">
      <w:pPr>
        <w:pStyle w:val="EndnoteText"/>
        <w:spacing w:line="480" w:lineRule="auto"/>
        <w:rPr>
          <w:sz w:val="24"/>
          <w:szCs w:val="24"/>
        </w:rPr>
      </w:pPr>
      <w:r w:rsidRPr="00E266A7">
        <w:rPr>
          <w:rStyle w:val="EndnoteReference"/>
          <w:sz w:val="24"/>
          <w:szCs w:val="24"/>
        </w:rPr>
        <w:endnoteRef/>
      </w:r>
      <w:r w:rsidRPr="00E266A7">
        <w:rPr>
          <w:sz w:val="24"/>
          <w:szCs w:val="24"/>
        </w:rPr>
        <w:t xml:space="preserve"> Gunther and Bioly</w:t>
      </w:r>
      <w:r w:rsidR="00B53C98" w:rsidRPr="00F42505">
        <w:rPr>
          <w:sz w:val="24"/>
          <w:szCs w:val="24"/>
        </w:rPr>
        <w:t>,</w:t>
      </w:r>
      <w:r w:rsidRPr="00E266A7">
        <w:rPr>
          <w:sz w:val="24"/>
          <w:szCs w:val="24"/>
        </w:rPr>
        <w:t xml:space="preserve"> </w:t>
      </w:r>
      <w:r w:rsidR="00A16C20" w:rsidRPr="00F42505">
        <w:rPr>
          <w:sz w:val="24"/>
          <w:szCs w:val="24"/>
        </w:rPr>
        <w:t xml:space="preserve">“Testimonies for a </w:t>
      </w:r>
      <w:r w:rsidR="00A16C20" w:rsidRPr="004B0F52">
        <w:rPr>
          <w:sz w:val="24"/>
          <w:szCs w:val="24"/>
        </w:rPr>
        <w:t>New Social Order</w:t>
      </w:r>
      <w:r w:rsidR="00A16C20" w:rsidRPr="00E266A7">
        <w:rPr>
          <w:sz w:val="24"/>
          <w:szCs w:val="24"/>
        </w:rPr>
        <w:t xml:space="preserve">,” </w:t>
      </w:r>
      <w:r w:rsidRPr="00E266A7">
        <w:rPr>
          <w:sz w:val="24"/>
          <w:szCs w:val="24"/>
        </w:rPr>
        <w:t>161.</w:t>
      </w:r>
    </w:p>
  </w:endnote>
  <w:endnote w:id="42">
    <w:p w14:paraId="2472650D" w14:textId="48F21AA7" w:rsidR="003C2DE2" w:rsidRPr="0060429A" w:rsidRDefault="003C2DE2" w:rsidP="00E266A7">
      <w:pPr>
        <w:spacing w:line="480" w:lineRule="auto"/>
      </w:pPr>
      <w:r w:rsidRPr="00F42505">
        <w:rPr>
          <w:rStyle w:val="EndnoteReference"/>
        </w:rPr>
        <w:endnoteRef/>
      </w:r>
      <w:r w:rsidRPr="0060429A">
        <w:t xml:space="preserve"> </w:t>
      </w:r>
      <w:r w:rsidR="00AA6C0F" w:rsidRPr="004B0F52">
        <w:t>RASHID International</w:t>
      </w:r>
      <w:r w:rsidR="00C24954" w:rsidRPr="004B0F52">
        <w:t xml:space="preserve">, </w:t>
      </w:r>
      <w:r w:rsidR="00C24954" w:rsidRPr="004B0F52">
        <w:rPr>
          <w:i/>
          <w:iCs/>
        </w:rPr>
        <w:t>The Intentional Destruction of Cultural Heritage in Iraq as a Violation of Human Rights</w:t>
      </w:r>
      <w:r w:rsidR="00C24954" w:rsidRPr="004B0F52">
        <w:t xml:space="preserve"> (Munich: RASHID International, 2017).</w:t>
      </w:r>
      <w:r w:rsidR="00986B96" w:rsidRPr="004B0F52">
        <w:t xml:space="preserve"> </w:t>
      </w:r>
    </w:p>
  </w:endnote>
  <w:endnote w:id="43">
    <w:p w14:paraId="4FB546A6" w14:textId="4FA89CEF" w:rsidR="004C0DE1" w:rsidRPr="00E266A7" w:rsidRDefault="004C0DE1" w:rsidP="00E266A7">
      <w:pPr>
        <w:pStyle w:val="EndnoteText"/>
        <w:spacing w:line="480" w:lineRule="auto"/>
        <w:rPr>
          <w:sz w:val="24"/>
          <w:szCs w:val="24"/>
        </w:rPr>
      </w:pPr>
      <w:r w:rsidRPr="00E266A7">
        <w:rPr>
          <w:rStyle w:val="EndnoteReference"/>
          <w:sz w:val="24"/>
          <w:szCs w:val="24"/>
        </w:rPr>
        <w:endnoteRef/>
      </w:r>
      <w:r w:rsidRPr="00E266A7">
        <w:rPr>
          <w:sz w:val="24"/>
          <w:szCs w:val="24"/>
        </w:rPr>
        <w:t xml:space="preserve"> </w:t>
      </w:r>
      <w:r w:rsidR="00781BA2" w:rsidRPr="00781BA2">
        <w:rPr>
          <w:sz w:val="24"/>
          <w:szCs w:val="24"/>
        </w:rPr>
        <w:t>American Schools of Oriental Research</w:t>
      </w:r>
      <w:r w:rsidRPr="00E266A7">
        <w:rPr>
          <w:sz w:val="24"/>
          <w:szCs w:val="24"/>
        </w:rPr>
        <w:t>, “Cultural Heritage Initiative,” http://www.asor.org/chi/.</w:t>
      </w:r>
    </w:p>
  </w:endnote>
  <w:endnote w:id="44">
    <w:p w14:paraId="2602BCF2" w14:textId="6BF75312" w:rsidR="003864B8" w:rsidRPr="00E266A7" w:rsidRDefault="003864B8" w:rsidP="00E266A7">
      <w:pPr>
        <w:pStyle w:val="EndnoteText"/>
        <w:spacing w:line="480" w:lineRule="auto"/>
        <w:rPr>
          <w:sz w:val="24"/>
          <w:szCs w:val="24"/>
        </w:rPr>
      </w:pPr>
      <w:r w:rsidRPr="00E266A7">
        <w:rPr>
          <w:rStyle w:val="EndnoteReference"/>
          <w:sz w:val="24"/>
          <w:szCs w:val="24"/>
        </w:rPr>
        <w:endnoteRef/>
      </w:r>
      <w:r w:rsidRPr="00E266A7">
        <w:rPr>
          <w:sz w:val="24"/>
          <w:szCs w:val="24"/>
        </w:rPr>
        <w:t xml:space="preserve"> </w:t>
      </w:r>
      <w:r w:rsidR="00C53A67" w:rsidRPr="00F42505">
        <w:rPr>
          <w:sz w:val="24"/>
          <w:szCs w:val="24"/>
        </w:rPr>
        <w:t>RASHID International</w:t>
      </w:r>
      <w:r w:rsidR="00C53A67" w:rsidRPr="004B0F52">
        <w:rPr>
          <w:sz w:val="24"/>
          <w:szCs w:val="24"/>
        </w:rPr>
        <w:t xml:space="preserve">, </w:t>
      </w:r>
      <w:r w:rsidR="00C24954" w:rsidRPr="004B0F52">
        <w:rPr>
          <w:i/>
          <w:iCs/>
          <w:sz w:val="24"/>
          <w:szCs w:val="24"/>
        </w:rPr>
        <w:t>Intentional Destruction of Cultural Heritage</w:t>
      </w:r>
      <w:r w:rsidR="00C24954" w:rsidRPr="00E266A7">
        <w:rPr>
          <w:sz w:val="24"/>
          <w:szCs w:val="24"/>
        </w:rPr>
        <w:t>.</w:t>
      </w:r>
      <w:r w:rsidRPr="00E266A7">
        <w:rPr>
          <w:sz w:val="24"/>
          <w:szCs w:val="24"/>
        </w:rPr>
        <w:t xml:space="preserve"> </w:t>
      </w:r>
      <w:r w:rsidR="00C24954" w:rsidRPr="00E266A7">
        <w:rPr>
          <w:sz w:val="24"/>
          <w:szCs w:val="24"/>
        </w:rPr>
        <w:t>S</w:t>
      </w:r>
      <w:r w:rsidRPr="00E266A7">
        <w:rPr>
          <w:sz w:val="24"/>
          <w:szCs w:val="24"/>
        </w:rPr>
        <w:t xml:space="preserve">ee also </w:t>
      </w:r>
      <w:r w:rsidR="00272EC6" w:rsidRPr="00F42505">
        <w:rPr>
          <w:sz w:val="24"/>
          <w:szCs w:val="24"/>
        </w:rPr>
        <w:t>Roger</w:t>
      </w:r>
      <w:r w:rsidR="00272EC6" w:rsidRPr="004B0F52">
        <w:rPr>
          <w:sz w:val="24"/>
          <w:szCs w:val="24"/>
        </w:rPr>
        <w:t xml:space="preserve"> Matthews et al.,</w:t>
      </w:r>
      <w:r w:rsidR="008B4028" w:rsidRPr="004B0F52">
        <w:rPr>
          <w:sz w:val="24"/>
          <w:szCs w:val="24"/>
        </w:rPr>
        <w:t xml:space="preserve"> </w:t>
      </w:r>
      <w:r w:rsidR="00272EC6" w:rsidRPr="004B0F52">
        <w:rPr>
          <w:sz w:val="24"/>
          <w:szCs w:val="24"/>
        </w:rPr>
        <w:t xml:space="preserve">“Heritage and Cultural Healing: Iraq in a Post-Daesh Era,” </w:t>
      </w:r>
      <w:r w:rsidR="00272EC6" w:rsidRPr="00E266A7">
        <w:rPr>
          <w:i/>
          <w:iCs/>
          <w:sz w:val="24"/>
          <w:szCs w:val="24"/>
        </w:rPr>
        <w:t>International Journal of Heritage Studies</w:t>
      </w:r>
      <w:r w:rsidR="00272EC6" w:rsidRPr="00F42505">
        <w:rPr>
          <w:sz w:val="24"/>
          <w:szCs w:val="24"/>
        </w:rPr>
        <w:t xml:space="preserve"> 26, no. 2</w:t>
      </w:r>
      <w:r w:rsidR="00272EC6" w:rsidRPr="004B0F52">
        <w:rPr>
          <w:sz w:val="24"/>
          <w:szCs w:val="24"/>
        </w:rPr>
        <w:t xml:space="preserve"> (2020): 120–41.</w:t>
      </w:r>
    </w:p>
  </w:endnote>
  <w:endnote w:id="45">
    <w:p w14:paraId="5424E102" w14:textId="75A92866" w:rsidR="003864B8" w:rsidRPr="00E266A7" w:rsidRDefault="003864B8" w:rsidP="00E266A7">
      <w:pPr>
        <w:pStyle w:val="EndnoteText"/>
        <w:spacing w:line="480" w:lineRule="auto"/>
        <w:rPr>
          <w:sz w:val="24"/>
          <w:szCs w:val="24"/>
        </w:rPr>
      </w:pPr>
      <w:r w:rsidRPr="00E266A7">
        <w:rPr>
          <w:rStyle w:val="EndnoteReference"/>
          <w:sz w:val="24"/>
          <w:szCs w:val="24"/>
        </w:rPr>
        <w:endnoteRef/>
      </w:r>
      <w:r w:rsidRPr="00E266A7">
        <w:rPr>
          <w:sz w:val="24"/>
          <w:szCs w:val="24"/>
        </w:rPr>
        <w:t xml:space="preserve"> </w:t>
      </w:r>
      <w:r w:rsidR="00AA6C0F" w:rsidRPr="00F42505">
        <w:rPr>
          <w:sz w:val="24"/>
          <w:szCs w:val="24"/>
        </w:rPr>
        <w:t>RASHID International</w:t>
      </w:r>
      <w:r w:rsidR="00AA6C0F" w:rsidRPr="004B0F52">
        <w:rPr>
          <w:sz w:val="24"/>
          <w:szCs w:val="24"/>
        </w:rPr>
        <w:t>,</w:t>
      </w:r>
      <w:r w:rsidRPr="00E266A7">
        <w:rPr>
          <w:sz w:val="24"/>
          <w:szCs w:val="24"/>
        </w:rPr>
        <w:t xml:space="preserve"> 9 </w:t>
      </w:r>
      <w:r w:rsidR="008A412A" w:rsidRPr="00F42505">
        <w:rPr>
          <w:sz w:val="24"/>
          <w:szCs w:val="24"/>
        </w:rPr>
        <w:t>(</w:t>
      </w:r>
      <w:r w:rsidRPr="00E266A7">
        <w:rPr>
          <w:sz w:val="24"/>
          <w:szCs w:val="24"/>
        </w:rPr>
        <w:t>Table 1</w:t>
      </w:r>
      <w:r w:rsidR="008A412A" w:rsidRPr="00F42505">
        <w:rPr>
          <w:sz w:val="24"/>
          <w:szCs w:val="24"/>
        </w:rPr>
        <w:t>)</w:t>
      </w:r>
      <w:r w:rsidR="008A412A" w:rsidRPr="004B0F52">
        <w:rPr>
          <w:sz w:val="24"/>
          <w:szCs w:val="24"/>
        </w:rPr>
        <w:t>,</w:t>
      </w:r>
      <w:r w:rsidRPr="00E266A7">
        <w:rPr>
          <w:sz w:val="24"/>
          <w:szCs w:val="24"/>
        </w:rPr>
        <w:t xml:space="preserve"> and annex</w:t>
      </w:r>
      <w:r w:rsidR="00AA6C0F" w:rsidRPr="00F42505">
        <w:rPr>
          <w:sz w:val="24"/>
          <w:szCs w:val="24"/>
        </w:rPr>
        <w:t>.</w:t>
      </w:r>
    </w:p>
  </w:endnote>
  <w:endnote w:id="46">
    <w:p w14:paraId="6BAD4A8A" w14:textId="72D7BCA4" w:rsidR="00FD3826" w:rsidRPr="00E266A7" w:rsidRDefault="00FD3826" w:rsidP="00E266A7">
      <w:pPr>
        <w:pStyle w:val="EndnoteText"/>
        <w:spacing w:line="480" w:lineRule="auto"/>
        <w:rPr>
          <w:sz w:val="24"/>
          <w:szCs w:val="24"/>
        </w:rPr>
      </w:pPr>
      <w:r w:rsidRPr="00E266A7">
        <w:rPr>
          <w:rStyle w:val="EndnoteReference"/>
          <w:sz w:val="24"/>
          <w:szCs w:val="24"/>
        </w:rPr>
        <w:endnoteRef/>
      </w:r>
      <w:r w:rsidRPr="00E266A7">
        <w:rPr>
          <w:sz w:val="24"/>
          <w:szCs w:val="24"/>
        </w:rPr>
        <w:t xml:space="preserve"> </w:t>
      </w:r>
      <w:r w:rsidR="000920B0" w:rsidRPr="00F42505">
        <w:rPr>
          <w:sz w:val="24"/>
          <w:szCs w:val="24"/>
        </w:rPr>
        <w:t>Miroslav Melcak</w:t>
      </w:r>
      <w:r w:rsidR="000920B0" w:rsidRPr="004B0F52">
        <w:rPr>
          <w:sz w:val="24"/>
          <w:szCs w:val="24"/>
        </w:rPr>
        <w:t xml:space="preserve"> and Ondrej Beranek, “ISIS’s Destruction of Mosul’s Historical Monuments: Between Media Spectacle and Religious Doctrine,” </w:t>
      </w:r>
      <w:r w:rsidR="000920B0" w:rsidRPr="00E266A7">
        <w:rPr>
          <w:i/>
          <w:iCs/>
          <w:sz w:val="24"/>
          <w:szCs w:val="24"/>
        </w:rPr>
        <w:t>International Journal of Islamic Architecture</w:t>
      </w:r>
      <w:r w:rsidR="000920B0" w:rsidRPr="00F42505">
        <w:rPr>
          <w:sz w:val="24"/>
          <w:szCs w:val="24"/>
        </w:rPr>
        <w:t xml:space="preserve"> 6, no.</w:t>
      </w:r>
      <w:r w:rsidR="000920B0" w:rsidRPr="004B0F52">
        <w:rPr>
          <w:sz w:val="24"/>
          <w:szCs w:val="24"/>
        </w:rPr>
        <w:t xml:space="preserve"> 2 (2017): 389–415.</w:t>
      </w:r>
    </w:p>
  </w:endnote>
  <w:endnote w:id="47">
    <w:p w14:paraId="7274559D" w14:textId="046BADA0" w:rsidR="00D64427" w:rsidRPr="00E266A7" w:rsidRDefault="00D64427" w:rsidP="00E266A7">
      <w:pPr>
        <w:pStyle w:val="EndnoteText"/>
        <w:spacing w:line="480" w:lineRule="auto"/>
        <w:rPr>
          <w:sz w:val="24"/>
          <w:szCs w:val="24"/>
        </w:rPr>
      </w:pPr>
      <w:r w:rsidRPr="00E266A7">
        <w:rPr>
          <w:rStyle w:val="EndnoteReference"/>
          <w:sz w:val="24"/>
          <w:szCs w:val="24"/>
        </w:rPr>
        <w:endnoteRef/>
      </w:r>
      <w:r w:rsidRPr="00E266A7">
        <w:rPr>
          <w:sz w:val="24"/>
          <w:szCs w:val="24"/>
        </w:rPr>
        <w:t xml:space="preserve"> </w:t>
      </w:r>
      <w:r w:rsidR="00DE5863" w:rsidRPr="00F42505">
        <w:rPr>
          <w:sz w:val="24"/>
          <w:szCs w:val="24"/>
        </w:rPr>
        <w:t>Sigal Samuel, Sara Farhan, and Atoor Lawandow, “ISIS Destroyed Jonah’s Tomb, but Not Its Message</w:t>
      </w:r>
      <w:r w:rsidR="00DE5863" w:rsidRPr="004B0F52">
        <w:rPr>
          <w:sz w:val="24"/>
          <w:szCs w:val="24"/>
        </w:rPr>
        <w:t xml:space="preserve">,” </w:t>
      </w:r>
      <w:r w:rsidR="00DE5863" w:rsidRPr="00E266A7">
        <w:rPr>
          <w:i/>
          <w:iCs/>
          <w:sz w:val="24"/>
          <w:szCs w:val="24"/>
        </w:rPr>
        <w:t>Atlantic</w:t>
      </w:r>
      <w:r w:rsidR="0059633E" w:rsidRPr="00F42505">
        <w:rPr>
          <w:sz w:val="24"/>
          <w:szCs w:val="24"/>
        </w:rPr>
        <w:t>,</w:t>
      </w:r>
      <w:r w:rsidR="00DE5863" w:rsidRPr="004B0F52">
        <w:rPr>
          <w:sz w:val="24"/>
          <w:szCs w:val="24"/>
        </w:rPr>
        <w:t xml:space="preserve"> 24 July 2017, https://www.theatlantic.com/international/archive/2017/07/tomb-of-jonah-mosul-isis/534414/.</w:t>
      </w:r>
    </w:p>
  </w:endnote>
  <w:endnote w:id="48">
    <w:p w14:paraId="3D89D697" w14:textId="47241079" w:rsidR="00873640" w:rsidRPr="00E266A7" w:rsidRDefault="00873640" w:rsidP="00E266A7">
      <w:pPr>
        <w:pStyle w:val="EndnoteText"/>
        <w:spacing w:line="480" w:lineRule="auto"/>
        <w:rPr>
          <w:sz w:val="24"/>
          <w:szCs w:val="24"/>
        </w:rPr>
      </w:pPr>
      <w:r w:rsidRPr="00E266A7">
        <w:rPr>
          <w:rStyle w:val="EndnoteReference"/>
          <w:sz w:val="24"/>
          <w:szCs w:val="24"/>
        </w:rPr>
        <w:endnoteRef/>
      </w:r>
      <w:r w:rsidRPr="00E266A7">
        <w:rPr>
          <w:sz w:val="24"/>
          <w:szCs w:val="24"/>
        </w:rPr>
        <w:t xml:space="preserve"> </w:t>
      </w:r>
      <w:r w:rsidR="00A320A4" w:rsidRPr="00F42505">
        <w:rPr>
          <w:sz w:val="24"/>
          <w:szCs w:val="24"/>
        </w:rPr>
        <w:t>Michael Danti, Scott Branting, and Susan</w:t>
      </w:r>
      <w:r w:rsidR="00A320A4" w:rsidRPr="004B0F52">
        <w:rPr>
          <w:sz w:val="24"/>
          <w:szCs w:val="24"/>
        </w:rPr>
        <w:t xml:space="preserve"> Penacho, “The American Schools of Oriental Research Cultural Heritage Initiatives: Monitoring Cultural Heritage in Syria and Northern Iraq by Geospatial Imagery,</w:t>
      </w:r>
      <w:r w:rsidR="00F549C2" w:rsidRPr="004B0F52">
        <w:rPr>
          <w:sz w:val="24"/>
          <w:szCs w:val="24"/>
        </w:rPr>
        <w:t>”</w:t>
      </w:r>
      <w:r w:rsidR="00A320A4" w:rsidRPr="004B0F52">
        <w:rPr>
          <w:sz w:val="24"/>
          <w:szCs w:val="24"/>
        </w:rPr>
        <w:t xml:space="preserve"> </w:t>
      </w:r>
      <w:r w:rsidR="00A320A4" w:rsidRPr="00E266A7">
        <w:rPr>
          <w:i/>
          <w:iCs/>
          <w:sz w:val="24"/>
          <w:szCs w:val="24"/>
        </w:rPr>
        <w:t>Geosciences</w:t>
      </w:r>
      <w:r w:rsidR="00A320A4" w:rsidRPr="00F42505">
        <w:rPr>
          <w:sz w:val="24"/>
          <w:szCs w:val="24"/>
        </w:rPr>
        <w:t xml:space="preserve"> 7, no. 95</w:t>
      </w:r>
      <w:r w:rsidR="00A320A4" w:rsidRPr="004B0F52">
        <w:rPr>
          <w:sz w:val="24"/>
          <w:szCs w:val="24"/>
        </w:rPr>
        <w:t xml:space="preserve"> (2017)</w:t>
      </w:r>
      <w:r w:rsidRPr="00E266A7">
        <w:rPr>
          <w:sz w:val="24"/>
          <w:szCs w:val="24"/>
        </w:rPr>
        <w:t xml:space="preserve">; </w:t>
      </w:r>
      <w:r w:rsidR="00C24954" w:rsidRPr="00E266A7">
        <w:rPr>
          <w:sz w:val="24"/>
          <w:szCs w:val="24"/>
        </w:rPr>
        <w:t xml:space="preserve">and </w:t>
      </w:r>
      <w:r w:rsidR="00C43D4D" w:rsidRPr="00F42505">
        <w:rPr>
          <w:sz w:val="24"/>
          <w:szCs w:val="24"/>
        </w:rPr>
        <w:t>RASHID International</w:t>
      </w:r>
      <w:r w:rsidR="00C24954" w:rsidRPr="004B0F52">
        <w:rPr>
          <w:sz w:val="24"/>
          <w:szCs w:val="24"/>
        </w:rPr>
        <w:t xml:space="preserve">, </w:t>
      </w:r>
      <w:r w:rsidR="00C24954" w:rsidRPr="004B0F52">
        <w:rPr>
          <w:i/>
          <w:iCs/>
          <w:sz w:val="24"/>
          <w:szCs w:val="24"/>
        </w:rPr>
        <w:t>Intentional Destruction of Cultural Heritage</w:t>
      </w:r>
      <w:r w:rsidR="00C24954" w:rsidRPr="004B0F52">
        <w:rPr>
          <w:sz w:val="24"/>
          <w:szCs w:val="24"/>
        </w:rPr>
        <w:t>.</w:t>
      </w:r>
    </w:p>
  </w:endnote>
  <w:endnote w:id="49">
    <w:p w14:paraId="04751C79" w14:textId="10568D04" w:rsidR="00877EA7" w:rsidRPr="00E266A7" w:rsidRDefault="00877EA7" w:rsidP="00E266A7">
      <w:pPr>
        <w:pStyle w:val="EndnoteText"/>
        <w:spacing w:line="480" w:lineRule="auto"/>
        <w:rPr>
          <w:sz w:val="24"/>
          <w:szCs w:val="24"/>
        </w:rPr>
      </w:pPr>
      <w:r w:rsidRPr="00E266A7">
        <w:rPr>
          <w:rStyle w:val="EndnoteReference"/>
          <w:sz w:val="24"/>
          <w:szCs w:val="24"/>
        </w:rPr>
        <w:endnoteRef/>
      </w:r>
      <w:r w:rsidRPr="00E266A7">
        <w:rPr>
          <w:sz w:val="24"/>
          <w:szCs w:val="24"/>
        </w:rPr>
        <w:t xml:space="preserve"> </w:t>
      </w:r>
      <w:r w:rsidR="00244532" w:rsidRPr="00F42505">
        <w:rPr>
          <w:sz w:val="24"/>
          <w:szCs w:val="24"/>
        </w:rPr>
        <w:t xml:space="preserve">Raphael Lemkin, </w:t>
      </w:r>
      <w:r w:rsidR="00244532" w:rsidRPr="00E266A7">
        <w:rPr>
          <w:i/>
          <w:iCs/>
          <w:sz w:val="24"/>
          <w:szCs w:val="24"/>
        </w:rPr>
        <w:t>Axis Rule in Occupied Europe: Laws of Occupation, Analysis of Government, Proposals for Redress</w:t>
      </w:r>
      <w:r w:rsidR="00244532" w:rsidRPr="00F42505">
        <w:rPr>
          <w:sz w:val="24"/>
          <w:szCs w:val="24"/>
        </w:rPr>
        <w:t xml:space="preserve"> (Washington</w:t>
      </w:r>
      <w:r w:rsidR="00244532" w:rsidRPr="004B0F52">
        <w:rPr>
          <w:sz w:val="24"/>
          <w:szCs w:val="24"/>
        </w:rPr>
        <w:t>, DC: Carnegie Endowment for International Peace, 1944),</w:t>
      </w:r>
      <w:r w:rsidR="008E736D" w:rsidRPr="00E266A7">
        <w:rPr>
          <w:sz w:val="24"/>
          <w:szCs w:val="24"/>
        </w:rPr>
        <w:t xml:space="preserve"> </w:t>
      </w:r>
      <w:r w:rsidRPr="00E266A7">
        <w:rPr>
          <w:sz w:val="24"/>
          <w:szCs w:val="24"/>
        </w:rPr>
        <w:t>79.</w:t>
      </w:r>
    </w:p>
  </w:endnote>
  <w:endnote w:id="50">
    <w:p w14:paraId="2866509F" w14:textId="0E1DF4A4" w:rsidR="008E736D" w:rsidRPr="00E266A7" w:rsidRDefault="008E736D" w:rsidP="00E266A7">
      <w:pPr>
        <w:pStyle w:val="EndnoteText"/>
        <w:spacing w:line="480" w:lineRule="auto"/>
        <w:rPr>
          <w:sz w:val="24"/>
          <w:szCs w:val="24"/>
        </w:rPr>
      </w:pPr>
      <w:r w:rsidRPr="00E266A7">
        <w:rPr>
          <w:rStyle w:val="EndnoteReference"/>
          <w:sz w:val="24"/>
          <w:szCs w:val="24"/>
        </w:rPr>
        <w:endnoteRef/>
      </w:r>
      <w:r w:rsidRPr="00E266A7">
        <w:rPr>
          <w:sz w:val="24"/>
          <w:szCs w:val="24"/>
        </w:rPr>
        <w:t xml:space="preserve"> </w:t>
      </w:r>
      <w:r w:rsidR="00705189" w:rsidRPr="00F42505">
        <w:rPr>
          <w:sz w:val="24"/>
          <w:szCs w:val="24"/>
        </w:rPr>
        <w:t xml:space="preserve">Robert </w:t>
      </w:r>
      <w:r w:rsidR="00705189" w:rsidRPr="004B0F52">
        <w:rPr>
          <w:sz w:val="24"/>
          <w:szCs w:val="24"/>
        </w:rPr>
        <w:t xml:space="preserve">Bevan, </w:t>
      </w:r>
      <w:r w:rsidR="00705189" w:rsidRPr="004B0F52">
        <w:rPr>
          <w:i/>
          <w:iCs/>
          <w:sz w:val="24"/>
          <w:szCs w:val="24"/>
        </w:rPr>
        <w:t>The Destruction of Memory: Architecture at War</w:t>
      </w:r>
      <w:r w:rsidR="00705189" w:rsidRPr="004B0F52">
        <w:rPr>
          <w:sz w:val="24"/>
          <w:szCs w:val="24"/>
        </w:rPr>
        <w:t xml:space="preserve"> (London: Reaktion, 2006),</w:t>
      </w:r>
      <w:r w:rsidRPr="00E266A7">
        <w:rPr>
          <w:sz w:val="24"/>
          <w:szCs w:val="24"/>
        </w:rPr>
        <w:t xml:space="preserve"> 203</w:t>
      </w:r>
      <w:r w:rsidR="00705189" w:rsidRPr="00F42505">
        <w:rPr>
          <w:sz w:val="24"/>
          <w:szCs w:val="24"/>
        </w:rPr>
        <w:t>.</w:t>
      </w:r>
    </w:p>
  </w:endnote>
  <w:endnote w:id="51">
    <w:p w14:paraId="6715A7CF" w14:textId="636C92AA" w:rsidR="009A61BF" w:rsidRPr="00E266A7" w:rsidRDefault="009A61BF" w:rsidP="00E266A7">
      <w:pPr>
        <w:pStyle w:val="EndnoteText"/>
        <w:spacing w:line="480" w:lineRule="auto"/>
        <w:rPr>
          <w:sz w:val="24"/>
          <w:szCs w:val="24"/>
        </w:rPr>
      </w:pPr>
      <w:r w:rsidRPr="00E266A7">
        <w:rPr>
          <w:rStyle w:val="EndnoteReference"/>
          <w:sz w:val="24"/>
          <w:szCs w:val="24"/>
        </w:rPr>
        <w:endnoteRef/>
      </w:r>
      <w:r w:rsidRPr="00E266A7">
        <w:rPr>
          <w:sz w:val="24"/>
          <w:szCs w:val="24"/>
        </w:rPr>
        <w:t xml:space="preserve"> </w:t>
      </w:r>
      <w:r w:rsidR="002C0D34" w:rsidRPr="00F42505">
        <w:rPr>
          <w:sz w:val="24"/>
          <w:szCs w:val="24"/>
        </w:rPr>
        <w:t xml:space="preserve">Hannah </w:t>
      </w:r>
      <w:r w:rsidR="002C0D34" w:rsidRPr="004B0F52">
        <w:rPr>
          <w:sz w:val="24"/>
          <w:szCs w:val="24"/>
        </w:rPr>
        <w:t xml:space="preserve">Arendt, </w:t>
      </w:r>
      <w:r w:rsidR="002C0D34" w:rsidRPr="004B0F52">
        <w:rPr>
          <w:i/>
          <w:iCs/>
          <w:sz w:val="24"/>
          <w:szCs w:val="24"/>
        </w:rPr>
        <w:t>The Human Condition: A Study of the Central Dilemma Facing Modern Man</w:t>
      </w:r>
      <w:r w:rsidR="002C0D34" w:rsidRPr="004B0F52">
        <w:rPr>
          <w:sz w:val="24"/>
          <w:szCs w:val="24"/>
        </w:rPr>
        <w:t xml:space="preserve"> (Chicago: University of Chicago Press, 1958), </w:t>
      </w:r>
      <w:r w:rsidRPr="00E266A7">
        <w:rPr>
          <w:sz w:val="24"/>
          <w:szCs w:val="24"/>
        </w:rPr>
        <w:t>13.</w:t>
      </w:r>
    </w:p>
  </w:endnote>
  <w:endnote w:id="52">
    <w:p w14:paraId="148E4B7E" w14:textId="523EBC27" w:rsidR="004F5FA1" w:rsidRPr="00E266A7" w:rsidRDefault="004F5FA1" w:rsidP="00E266A7">
      <w:pPr>
        <w:pStyle w:val="EndnoteText"/>
        <w:spacing w:line="480" w:lineRule="auto"/>
        <w:rPr>
          <w:sz w:val="24"/>
          <w:szCs w:val="24"/>
        </w:rPr>
      </w:pPr>
      <w:r w:rsidRPr="00E266A7">
        <w:rPr>
          <w:rStyle w:val="EndnoteReference"/>
          <w:sz w:val="24"/>
          <w:szCs w:val="24"/>
        </w:rPr>
        <w:endnoteRef/>
      </w:r>
      <w:r w:rsidRPr="00E266A7">
        <w:rPr>
          <w:sz w:val="24"/>
          <w:szCs w:val="24"/>
        </w:rPr>
        <w:t xml:space="preserve"> </w:t>
      </w:r>
      <w:r w:rsidR="000B3B0B" w:rsidRPr="00F42505">
        <w:rPr>
          <w:sz w:val="24"/>
          <w:szCs w:val="24"/>
        </w:rPr>
        <w:t xml:space="preserve">Steven </w:t>
      </w:r>
      <w:r w:rsidR="000B3B0B" w:rsidRPr="004B0F52">
        <w:rPr>
          <w:sz w:val="24"/>
          <w:szCs w:val="24"/>
        </w:rPr>
        <w:t xml:space="preserve">Matthewman, </w:t>
      </w:r>
      <w:r w:rsidR="00C76254">
        <w:rPr>
          <w:sz w:val="24"/>
          <w:szCs w:val="24"/>
        </w:rPr>
        <w:t>r</w:t>
      </w:r>
      <w:r w:rsidR="000B3B0B" w:rsidRPr="004B0F52">
        <w:rPr>
          <w:sz w:val="24"/>
          <w:szCs w:val="24"/>
        </w:rPr>
        <w:t xml:space="preserve">eview of </w:t>
      </w:r>
      <w:r w:rsidR="000B3B0B" w:rsidRPr="00E266A7">
        <w:rPr>
          <w:i/>
          <w:iCs/>
          <w:sz w:val="24"/>
          <w:szCs w:val="24"/>
        </w:rPr>
        <w:t>The Destruction of Memory: Architecture at War</w:t>
      </w:r>
      <w:r w:rsidR="00C76254">
        <w:rPr>
          <w:sz w:val="24"/>
          <w:szCs w:val="24"/>
        </w:rPr>
        <w:t xml:space="preserve">, by </w:t>
      </w:r>
      <w:r w:rsidR="00C76254" w:rsidRPr="004B0F52">
        <w:rPr>
          <w:sz w:val="24"/>
          <w:szCs w:val="24"/>
        </w:rPr>
        <w:t>Robert Bevan</w:t>
      </w:r>
      <w:r w:rsidR="00C76254">
        <w:rPr>
          <w:sz w:val="24"/>
          <w:szCs w:val="24"/>
        </w:rPr>
        <w:t>,</w:t>
      </w:r>
      <w:r w:rsidR="000B3B0B" w:rsidRPr="004B0F52">
        <w:rPr>
          <w:sz w:val="24"/>
          <w:szCs w:val="24"/>
        </w:rPr>
        <w:t xml:space="preserve"> </w:t>
      </w:r>
      <w:r w:rsidR="000B3B0B" w:rsidRPr="004B0F52">
        <w:rPr>
          <w:i/>
          <w:iCs/>
          <w:sz w:val="24"/>
          <w:szCs w:val="24"/>
        </w:rPr>
        <w:t>Journal of Sociology</w:t>
      </w:r>
      <w:r w:rsidR="000B3B0B" w:rsidRPr="004B0F52">
        <w:rPr>
          <w:sz w:val="24"/>
          <w:szCs w:val="24"/>
        </w:rPr>
        <w:t xml:space="preserve"> 43, no. 3 (2007):</w:t>
      </w:r>
      <w:r w:rsidRPr="00E266A7">
        <w:rPr>
          <w:sz w:val="24"/>
          <w:szCs w:val="24"/>
        </w:rPr>
        <w:t xml:space="preserve"> 319.</w:t>
      </w:r>
    </w:p>
  </w:endnote>
  <w:endnote w:id="53">
    <w:p w14:paraId="1A327661" w14:textId="56D04C3F" w:rsidR="004F5FA1" w:rsidRPr="00E266A7" w:rsidRDefault="004F5FA1" w:rsidP="00E266A7">
      <w:pPr>
        <w:pStyle w:val="EndnoteText"/>
        <w:spacing w:line="480" w:lineRule="auto"/>
        <w:rPr>
          <w:sz w:val="24"/>
          <w:szCs w:val="24"/>
        </w:rPr>
      </w:pPr>
      <w:r w:rsidRPr="00E266A7">
        <w:rPr>
          <w:rStyle w:val="EndnoteReference"/>
          <w:sz w:val="24"/>
          <w:szCs w:val="24"/>
        </w:rPr>
        <w:endnoteRef/>
      </w:r>
      <w:r w:rsidRPr="00E266A7">
        <w:rPr>
          <w:sz w:val="24"/>
          <w:szCs w:val="24"/>
        </w:rPr>
        <w:t xml:space="preserve"> </w:t>
      </w:r>
      <w:r w:rsidR="00982A89" w:rsidRPr="00F42505">
        <w:rPr>
          <w:sz w:val="24"/>
          <w:szCs w:val="24"/>
        </w:rPr>
        <w:t xml:space="preserve">Richard Barrett, </w:t>
      </w:r>
      <w:r w:rsidR="00982A89" w:rsidRPr="00E266A7">
        <w:rPr>
          <w:i/>
          <w:iCs/>
          <w:sz w:val="24"/>
          <w:szCs w:val="24"/>
        </w:rPr>
        <w:t>Beyond the Caliphate: Foreign Fighters and the Threat of Returnees</w:t>
      </w:r>
      <w:r w:rsidR="00982A89" w:rsidRPr="004B0F52">
        <w:rPr>
          <w:sz w:val="24"/>
          <w:szCs w:val="24"/>
        </w:rPr>
        <w:t xml:space="preserve"> </w:t>
      </w:r>
      <w:r w:rsidR="002A5B01">
        <w:rPr>
          <w:sz w:val="24"/>
          <w:szCs w:val="24"/>
        </w:rPr>
        <w:t>(</w:t>
      </w:r>
      <w:r w:rsidR="00982A89" w:rsidRPr="004B0F52">
        <w:rPr>
          <w:sz w:val="24"/>
          <w:szCs w:val="24"/>
        </w:rPr>
        <w:t xml:space="preserve">Soufan Center </w:t>
      </w:r>
      <w:r w:rsidR="00A658F6" w:rsidRPr="004B0F52">
        <w:rPr>
          <w:sz w:val="24"/>
          <w:szCs w:val="24"/>
        </w:rPr>
        <w:t>and Global Strategy Network,</w:t>
      </w:r>
      <w:r w:rsidR="00982A89" w:rsidRPr="004B0F52">
        <w:rPr>
          <w:sz w:val="24"/>
          <w:szCs w:val="24"/>
        </w:rPr>
        <w:t xml:space="preserve"> </w:t>
      </w:r>
      <w:r w:rsidR="00A658F6" w:rsidRPr="004B0F52">
        <w:rPr>
          <w:sz w:val="24"/>
          <w:szCs w:val="24"/>
        </w:rPr>
        <w:t xml:space="preserve">October </w:t>
      </w:r>
      <w:r w:rsidR="00982A89" w:rsidRPr="004B0F52">
        <w:rPr>
          <w:sz w:val="24"/>
          <w:szCs w:val="24"/>
        </w:rPr>
        <w:t>2017</w:t>
      </w:r>
      <w:r w:rsidR="002A5B01">
        <w:rPr>
          <w:sz w:val="24"/>
          <w:szCs w:val="24"/>
        </w:rPr>
        <w:t>)</w:t>
      </w:r>
      <w:r w:rsidR="00982A89" w:rsidRPr="004B0F52">
        <w:rPr>
          <w:sz w:val="24"/>
          <w:szCs w:val="24"/>
        </w:rPr>
        <w:t>, 7, https://thesoufancenter.org/research/beyond-caliphate/</w:t>
      </w:r>
      <w:r w:rsidR="00407127" w:rsidRPr="004B0F52">
        <w:rPr>
          <w:sz w:val="24"/>
          <w:szCs w:val="24"/>
        </w:rPr>
        <w:t>.</w:t>
      </w:r>
      <w:r w:rsidRPr="00E266A7">
        <w:rPr>
          <w:sz w:val="24"/>
          <w:szCs w:val="24"/>
        </w:rPr>
        <w:t xml:space="preserve"> </w:t>
      </w:r>
      <w:r w:rsidR="00407127" w:rsidRPr="00F42505">
        <w:rPr>
          <w:sz w:val="24"/>
          <w:szCs w:val="24"/>
        </w:rPr>
        <w:t>S</w:t>
      </w:r>
      <w:r w:rsidRPr="00E266A7">
        <w:rPr>
          <w:sz w:val="24"/>
          <w:szCs w:val="24"/>
        </w:rPr>
        <w:t xml:space="preserve">ee also </w:t>
      </w:r>
      <w:r w:rsidR="00751677" w:rsidRPr="00E266A7">
        <w:rPr>
          <w:sz w:val="24"/>
          <w:szCs w:val="24"/>
        </w:rPr>
        <w:t xml:space="preserve">Meirav Mishali-Ram, “Foreign Fighters and Transnational Jihad in Syria,” </w:t>
      </w:r>
      <w:r w:rsidR="00751677" w:rsidRPr="00E266A7">
        <w:rPr>
          <w:i/>
          <w:iCs/>
          <w:sz w:val="24"/>
          <w:szCs w:val="24"/>
        </w:rPr>
        <w:t xml:space="preserve">Studies in Conflict and Terrorism </w:t>
      </w:r>
      <w:r w:rsidR="00751677" w:rsidRPr="00E266A7">
        <w:rPr>
          <w:sz w:val="24"/>
          <w:szCs w:val="24"/>
        </w:rPr>
        <w:t>41, no. 3 (2018): 169–90.</w:t>
      </w:r>
    </w:p>
  </w:endnote>
  <w:endnote w:id="54">
    <w:p w14:paraId="2CE97706" w14:textId="1842DF3D" w:rsidR="00A26F80" w:rsidRPr="00E266A7" w:rsidRDefault="00A26F80" w:rsidP="00E266A7">
      <w:pPr>
        <w:pStyle w:val="EndnoteText"/>
        <w:spacing w:line="480" w:lineRule="auto"/>
        <w:rPr>
          <w:sz w:val="24"/>
          <w:szCs w:val="24"/>
        </w:rPr>
      </w:pPr>
      <w:r w:rsidRPr="00E266A7">
        <w:rPr>
          <w:rStyle w:val="EndnoteReference"/>
          <w:sz w:val="24"/>
          <w:szCs w:val="24"/>
        </w:rPr>
        <w:endnoteRef/>
      </w:r>
      <w:r w:rsidRPr="00E266A7">
        <w:rPr>
          <w:sz w:val="24"/>
          <w:szCs w:val="24"/>
        </w:rPr>
        <w:t xml:space="preserve"> </w:t>
      </w:r>
      <w:r w:rsidR="00A71576" w:rsidRPr="00F42505">
        <w:rPr>
          <w:sz w:val="24"/>
          <w:szCs w:val="24"/>
        </w:rPr>
        <w:t xml:space="preserve">See, </w:t>
      </w:r>
      <w:r w:rsidR="00DD0658">
        <w:rPr>
          <w:sz w:val="24"/>
          <w:szCs w:val="24"/>
        </w:rPr>
        <w:t>e.g.</w:t>
      </w:r>
      <w:r w:rsidR="00A71576" w:rsidRPr="00F42505">
        <w:rPr>
          <w:sz w:val="24"/>
          <w:szCs w:val="24"/>
        </w:rPr>
        <w:t>,</w:t>
      </w:r>
      <w:r w:rsidRPr="00E266A7">
        <w:rPr>
          <w:sz w:val="24"/>
          <w:szCs w:val="24"/>
        </w:rPr>
        <w:t xml:space="preserve"> </w:t>
      </w:r>
      <w:r w:rsidR="00A71576" w:rsidRPr="00F42505">
        <w:rPr>
          <w:sz w:val="24"/>
          <w:szCs w:val="24"/>
        </w:rPr>
        <w:t xml:space="preserve">Tobias </w:t>
      </w:r>
      <w:r w:rsidR="00A71576" w:rsidRPr="004B0F52">
        <w:rPr>
          <w:sz w:val="24"/>
          <w:szCs w:val="24"/>
        </w:rPr>
        <w:t>Borck</w:t>
      </w:r>
      <w:r w:rsidR="00794D82" w:rsidRPr="004B0F52">
        <w:rPr>
          <w:sz w:val="24"/>
          <w:szCs w:val="24"/>
        </w:rPr>
        <w:t xml:space="preserve"> </w:t>
      </w:r>
      <w:r w:rsidR="00A71576" w:rsidRPr="004B0F52">
        <w:rPr>
          <w:sz w:val="24"/>
          <w:szCs w:val="24"/>
        </w:rPr>
        <w:t>and Jonathan Githens-Mazer, “Countering Islamic State’s Propaganda</w:t>
      </w:r>
      <w:r w:rsidR="001B6FEA" w:rsidRPr="004B0F52">
        <w:rPr>
          <w:sz w:val="24"/>
          <w:szCs w:val="24"/>
        </w:rPr>
        <w:t>:</w:t>
      </w:r>
      <w:r w:rsidR="00A71576" w:rsidRPr="004B0F52">
        <w:rPr>
          <w:sz w:val="24"/>
          <w:szCs w:val="24"/>
        </w:rPr>
        <w:t xml:space="preserve"> Challenges and Opportunities,” in </w:t>
      </w:r>
      <w:r w:rsidR="00A71576" w:rsidRPr="004B0F52">
        <w:rPr>
          <w:i/>
          <w:iCs/>
          <w:sz w:val="24"/>
          <w:szCs w:val="24"/>
        </w:rPr>
        <w:t>ISIS Propaganda</w:t>
      </w:r>
      <w:r w:rsidR="00480D9A" w:rsidRPr="004B0F52">
        <w:rPr>
          <w:i/>
          <w:iCs/>
          <w:sz w:val="24"/>
          <w:szCs w:val="24"/>
        </w:rPr>
        <w:t>:</w:t>
      </w:r>
      <w:r w:rsidR="00A71576" w:rsidRPr="004B0F52">
        <w:rPr>
          <w:i/>
          <w:iCs/>
          <w:sz w:val="24"/>
          <w:szCs w:val="24"/>
        </w:rPr>
        <w:t xml:space="preserve"> A Full-Spectrum Extremist Message</w:t>
      </w:r>
      <w:r w:rsidR="00480D9A" w:rsidRPr="004B0F52">
        <w:rPr>
          <w:sz w:val="24"/>
          <w:szCs w:val="24"/>
        </w:rPr>
        <w:t>, ed.</w:t>
      </w:r>
      <w:r w:rsidR="00A71576" w:rsidRPr="004B0F52">
        <w:rPr>
          <w:sz w:val="24"/>
          <w:szCs w:val="24"/>
        </w:rPr>
        <w:t xml:space="preserve"> Stephane J. Baele, Katharine A. Boyd</w:t>
      </w:r>
      <w:r w:rsidR="00480D9A" w:rsidRPr="004B0F52">
        <w:rPr>
          <w:sz w:val="24"/>
          <w:szCs w:val="24"/>
        </w:rPr>
        <w:t>,</w:t>
      </w:r>
      <w:r w:rsidR="00A71576" w:rsidRPr="004B0F52">
        <w:rPr>
          <w:sz w:val="24"/>
          <w:szCs w:val="24"/>
        </w:rPr>
        <w:t xml:space="preserve"> and Travis G. Coan</w:t>
      </w:r>
      <w:r w:rsidR="00480D9A" w:rsidRPr="004B0F52">
        <w:rPr>
          <w:sz w:val="24"/>
          <w:szCs w:val="24"/>
        </w:rPr>
        <w:t xml:space="preserve"> </w:t>
      </w:r>
      <w:r w:rsidR="00A71576" w:rsidRPr="004B0F52">
        <w:rPr>
          <w:sz w:val="24"/>
          <w:szCs w:val="24"/>
        </w:rPr>
        <w:t>(New York: Oxford University Press, 2020), 219</w:t>
      </w:r>
      <w:r w:rsidR="008E11C2" w:rsidRPr="004B0F52">
        <w:rPr>
          <w:sz w:val="24"/>
          <w:szCs w:val="24"/>
        </w:rPr>
        <w:t>–</w:t>
      </w:r>
      <w:r w:rsidR="00A71576" w:rsidRPr="004B0F52">
        <w:rPr>
          <w:sz w:val="24"/>
          <w:szCs w:val="24"/>
        </w:rPr>
        <w:t>41</w:t>
      </w:r>
      <w:r w:rsidRPr="00E266A7">
        <w:rPr>
          <w:sz w:val="24"/>
          <w:szCs w:val="24"/>
        </w:rPr>
        <w:t xml:space="preserve">; </w:t>
      </w:r>
      <w:r w:rsidR="0097200A" w:rsidRPr="00E266A7">
        <w:rPr>
          <w:sz w:val="24"/>
          <w:szCs w:val="24"/>
        </w:rPr>
        <w:t xml:space="preserve">and </w:t>
      </w:r>
      <w:r w:rsidR="0072725E" w:rsidRPr="00F42505">
        <w:rPr>
          <w:sz w:val="24"/>
          <w:szCs w:val="24"/>
        </w:rPr>
        <w:t>Thomas Hegghammer, “The Future of Jihadism in Europe: A Pessimistic View,</w:t>
      </w:r>
      <w:r w:rsidR="0072725E" w:rsidRPr="004B0F52">
        <w:rPr>
          <w:sz w:val="24"/>
          <w:szCs w:val="24"/>
        </w:rPr>
        <w:t xml:space="preserve">” </w:t>
      </w:r>
      <w:r w:rsidR="0072725E" w:rsidRPr="00E266A7">
        <w:rPr>
          <w:i/>
          <w:iCs/>
          <w:sz w:val="24"/>
          <w:szCs w:val="24"/>
        </w:rPr>
        <w:t>Perspectives on Terrorism</w:t>
      </w:r>
      <w:r w:rsidR="0072725E" w:rsidRPr="00F42505">
        <w:rPr>
          <w:sz w:val="24"/>
          <w:szCs w:val="24"/>
        </w:rPr>
        <w:t xml:space="preserve"> 10, no. 6 (2016)</w:t>
      </w:r>
      <w:r w:rsidR="0072725E" w:rsidRPr="004B0F52">
        <w:rPr>
          <w:sz w:val="24"/>
          <w:szCs w:val="24"/>
        </w:rPr>
        <w:t>, https://www.universiteitleiden.nl/perspectives-on-terrorism</w:t>
      </w:r>
      <w:r w:rsidRPr="00E266A7">
        <w:rPr>
          <w:sz w:val="24"/>
          <w:szCs w:val="24"/>
        </w:rPr>
        <w:t>.</w:t>
      </w:r>
    </w:p>
  </w:endnote>
  <w:endnote w:id="55">
    <w:p w14:paraId="1EAFAEC6" w14:textId="5E88207C" w:rsidR="001E71B8" w:rsidRPr="00E266A7" w:rsidRDefault="001E71B8" w:rsidP="00E266A7">
      <w:pPr>
        <w:pStyle w:val="EndnoteText"/>
        <w:spacing w:line="480" w:lineRule="auto"/>
        <w:rPr>
          <w:sz w:val="24"/>
          <w:szCs w:val="24"/>
        </w:rPr>
      </w:pPr>
      <w:r w:rsidRPr="00E266A7">
        <w:rPr>
          <w:rStyle w:val="EndnoteReference"/>
          <w:sz w:val="24"/>
          <w:szCs w:val="24"/>
        </w:rPr>
        <w:endnoteRef/>
      </w:r>
      <w:r w:rsidRPr="00E266A7">
        <w:rPr>
          <w:sz w:val="24"/>
          <w:szCs w:val="24"/>
        </w:rPr>
        <w:t xml:space="preserve"> </w:t>
      </w:r>
      <w:r w:rsidR="008B4028" w:rsidRPr="00F42505">
        <w:rPr>
          <w:sz w:val="24"/>
          <w:szCs w:val="24"/>
        </w:rPr>
        <w:t>Laura Wakeford and Laura Smith</w:t>
      </w:r>
      <w:r w:rsidR="008B4028" w:rsidRPr="004B0F52">
        <w:rPr>
          <w:sz w:val="24"/>
          <w:szCs w:val="24"/>
        </w:rPr>
        <w:t>, “Islamic State’s Propaganda and Social Media: Dissemination, Support, and Resilience</w:t>
      </w:r>
      <w:r w:rsidR="00EA172D" w:rsidRPr="004B0F52">
        <w:rPr>
          <w:sz w:val="24"/>
          <w:szCs w:val="24"/>
        </w:rPr>
        <w:t>,</w:t>
      </w:r>
      <w:r w:rsidR="008B4028" w:rsidRPr="004B0F52">
        <w:rPr>
          <w:sz w:val="24"/>
          <w:szCs w:val="24"/>
        </w:rPr>
        <w:t xml:space="preserve">” </w:t>
      </w:r>
      <w:r w:rsidR="00EA172D" w:rsidRPr="004B0F52">
        <w:rPr>
          <w:sz w:val="24"/>
          <w:szCs w:val="24"/>
        </w:rPr>
        <w:t xml:space="preserve">in </w:t>
      </w:r>
      <w:r w:rsidR="00EA172D" w:rsidRPr="004B0F52">
        <w:rPr>
          <w:i/>
          <w:iCs/>
          <w:sz w:val="24"/>
          <w:szCs w:val="24"/>
        </w:rPr>
        <w:t>ISIS Propaganda</w:t>
      </w:r>
      <w:r w:rsidR="00EA172D" w:rsidRPr="004B0F52">
        <w:rPr>
          <w:sz w:val="24"/>
          <w:szCs w:val="24"/>
        </w:rPr>
        <w:t>, ed. Baele, Boyd, and Coan</w:t>
      </w:r>
      <w:r w:rsidR="00F32230">
        <w:rPr>
          <w:sz w:val="24"/>
          <w:szCs w:val="24"/>
        </w:rPr>
        <w:t xml:space="preserve">, </w:t>
      </w:r>
      <w:r w:rsidR="00F32230" w:rsidRPr="00F32230">
        <w:rPr>
          <w:sz w:val="24"/>
          <w:szCs w:val="24"/>
        </w:rPr>
        <w:t>155</w:t>
      </w:r>
      <w:r w:rsidR="00F32230">
        <w:rPr>
          <w:sz w:val="24"/>
          <w:szCs w:val="24"/>
        </w:rPr>
        <w:t>–</w:t>
      </w:r>
      <w:r w:rsidR="00F32230" w:rsidRPr="00F32230">
        <w:rPr>
          <w:sz w:val="24"/>
          <w:szCs w:val="24"/>
        </w:rPr>
        <w:t>87</w:t>
      </w:r>
      <w:r w:rsidR="00FB6DE1" w:rsidRPr="00F42505">
        <w:rPr>
          <w:sz w:val="24"/>
          <w:szCs w:val="24"/>
        </w:rPr>
        <w:t>.</w:t>
      </w:r>
    </w:p>
  </w:endnote>
  <w:endnote w:id="56">
    <w:p w14:paraId="6560D68B" w14:textId="15BA68BD" w:rsidR="00946D4D" w:rsidRPr="00E266A7" w:rsidRDefault="00946D4D" w:rsidP="00E266A7">
      <w:pPr>
        <w:pStyle w:val="EndnoteText"/>
        <w:spacing w:line="480" w:lineRule="auto"/>
        <w:rPr>
          <w:sz w:val="24"/>
          <w:szCs w:val="24"/>
        </w:rPr>
      </w:pPr>
      <w:r w:rsidRPr="00E266A7">
        <w:rPr>
          <w:rStyle w:val="EndnoteReference"/>
          <w:sz w:val="24"/>
          <w:szCs w:val="24"/>
        </w:rPr>
        <w:endnoteRef/>
      </w:r>
      <w:r w:rsidR="008B4028" w:rsidRPr="00F42505">
        <w:rPr>
          <w:sz w:val="24"/>
          <w:szCs w:val="24"/>
        </w:rPr>
        <w:t xml:space="preserve"> </w:t>
      </w:r>
      <w:r w:rsidR="004B0F52">
        <w:rPr>
          <w:sz w:val="24"/>
          <w:szCs w:val="24"/>
        </w:rPr>
        <w:t>S</w:t>
      </w:r>
      <w:r w:rsidRPr="00E266A7">
        <w:rPr>
          <w:sz w:val="24"/>
          <w:szCs w:val="24"/>
        </w:rPr>
        <w:t>ee</w:t>
      </w:r>
      <w:r w:rsidR="004B0F52">
        <w:rPr>
          <w:sz w:val="24"/>
          <w:szCs w:val="24"/>
        </w:rPr>
        <w:t>, for example,</w:t>
      </w:r>
      <w:r w:rsidRPr="00E266A7">
        <w:rPr>
          <w:sz w:val="24"/>
          <w:szCs w:val="24"/>
        </w:rPr>
        <w:t xml:space="preserve"> </w:t>
      </w:r>
      <w:r w:rsidR="004B0F52">
        <w:rPr>
          <w:sz w:val="24"/>
          <w:szCs w:val="24"/>
        </w:rPr>
        <w:t xml:space="preserve">the </w:t>
      </w:r>
      <w:r w:rsidRPr="00E266A7">
        <w:rPr>
          <w:sz w:val="24"/>
          <w:szCs w:val="24"/>
        </w:rPr>
        <w:t>discussion in Smith et al</w:t>
      </w:r>
      <w:r w:rsidR="00FB6DE1" w:rsidRPr="00F42505">
        <w:rPr>
          <w:rFonts w:eastAsiaTheme="minorHAnsi"/>
          <w:color w:val="000000"/>
          <w:sz w:val="24"/>
          <w:szCs w:val="24"/>
        </w:rPr>
        <w:t>.</w:t>
      </w:r>
      <w:r w:rsidR="00FB6DE1" w:rsidRPr="004B0F52">
        <w:rPr>
          <w:rFonts w:eastAsiaTheme="minorHAnsi"/>
          <w:color w:val="000000"/>
          <w:sz w:val="24"/>
          <w:szCs w:val="24"/>
        </w:rPr>
        <w:t xml:space="preserve">, </w:t>
      </w:r>
      <w:r w:rsidR="00FB6DE1" w:rsidRPr="004B0F52">
        <w:rPr>
          <w:sz w:val="24"/>
          <w:szCs w:val="24"/>
        </w:rPr>
        <w:t>“Manipulation of Social, Cultural and Religious Values”</w:t>
      </w:r>
      <w:r w:rsidRPr="00E266A7">
        <w:rPr>
          <w:sz w:val="24"/>
          <w:szCs w:val="24"/>
        </w:rPr>
        <w:t>;</w:t>
      </w:r>
      <w:r w:rsidR="00FB6DE1" w:rsidRPr="00E266A7">
        <w:rPr>
          <w:sz w:val="24"/>
          <w:szCs w:val="24"/>
        </w:rPr>
        <w:t xml:space="preserve"> and</w:t>
      </w:r>
      <w:r w:rsidRPr="00E266A7">
        <w:rPr>
          <w:sz w:val="24"/>
          <w:szCs w:val="24"/>
        </w:rPr>
        <w:t xml:space="preserve"> </w:t>
      </w:r>
      <w:r w:rsidR="00844D30">
        <w:rPr>
          <w:sz w:val="24"/>
          <w:szCs w:val="24"/>
        </w:rPr>
        <w:t xml:space="preserve">in </w:t>
      </w:r>
      <w:r w:rsidR="004B0F52" w:rsidRPr="00E266A7">
        <w:rPr>
          <w:sz w:val="24"/>
          <w:szCs w:val="24"/>
        </w:rPr>
        <w:t>Paul Gill</w:t>
      </w:r>
      <w:r w:rsidR="008A7574">
        <w:rPr>
          <w:sz w:val="24"/>
          <w:szCs w:val="24"/>
        </w:rPr>
        <w:t xml:space="preserve"> </w:t>
      </w:r>
      <w:r w:rsidR="00844D30">
        <w:rPr>
          <w:sz w:val="24"/>
          <w:szCs w:val="24"/>
        </w:rPr>
        <w:t>et al.,</w:t>
      </w:r>
      <w:r w:rsidR="004B0F52" w:rsidRPr="00E266A7">
        <w:rPr>
          <w:sz w:val="24"/>
          <w:szCs w:val="24"/>
        </w:rPr>
        <w:t xml:space="preserve"> “Terrorist Propaganda </w:t>
      </w:r>
      <w:r w:rsidR="00844D30">
        <w:rPr>
          <w:sz w:val="24"/>
          <w:szCs w:val="24"/>
        </w:rPr>
        <w:t>a</w:t>
      </w:r>
      <w:r w:rsidR="004B0F52" w:rsidRPr="00E266A7">
        <w:rPr>
          <w:sz w:val="24"/>
          <w:szCs w:val="24"/>
        </w:rPr>
        <w:t>fter the Islamic State: Learning, Emulation, and Imitation</w:t>
      </w:r>
      <w:r w:rsidR="00844D30">
        <w:rPr>
          <w:sz w:val="24"/>
          <w:szCs w:val="24"/>
        </w:rPr>
        <w:t>,”</w:t>
      </w:r>
      <w:r w:rsidR="004B0F52" w:rsidRPr="00E266A7">
        <w:rPr>
          <w:sz w:val="24"/>
          <w:szCs w:val="24"/>
        </w:rPr>
        <w:t xml:space="preserve"> in </w:t>
      </w:r>
      <w:r w:rsidR="004B0F52" w:rsidRPr="00E266A7">
        <w:rPr>
          <w:i/>
          <w:iCs/>
          <w:sz w:val="24"/>
          <w:szCs w:val="24"/>
        </w:rPr>
        <w:t>ISIS Propaganda</w:t>
      </w:r>
      <w:r w:rsidR="00844D30">
        <w:rPr>
          <w:sz w:val="24"/>
          <w:szCs w:val="24"/>
        </w:rPr>
        <w:t xml:space="preserve">, ed. </w:t>
      </w:r>
      <w:r w:rsidR="004B0F52" w:rsidRPr="00E266A7">
        <w:rPr>
          <w:sz w:val="24"/>
          <w:szCs w:val="24"/>
        </w:rPr>
        <w:t>Baele, Boyd</w:t>
      </w:r>
      <w:r w:rsidR="00844D30">
        <w:rPr>
          <w:sz w:val="24"/>
          <w:szCs w:val="24"/>
        </w:rPr>
        <w:t>,</w:t>
      </w:r>
      <w:r w:rsidR="004B0F52" w:rsidRPr="00E266A7">
        <w:rPr>
          <w:sz w:val="24"/>
          <w:szCs w:val="24"/>
        </w:rPr>
        <w:t xml:space="preserve"> </w:t>
      </w:r>
      <w:r w:rsidR="00A230CE">
        <w:rPr>
          <w:sz w:val="24"/>
          <w:szCs w:val="24"/>
        </w:rPr>
        <w:t xml:space="preserve">and </w:t>
      </w:r>
      <w:r w:rsidR="004B0F52" w:rsidRPr="00E266A7">
        <w:rPr>
          <w:sz w:val="24"/>
          <w:szCs w:val="24"/>
        </w:rPr>
        <w:t>Coan, 242</w:t>
      </w:r>
      <w:r w:rsidR="00844D30">
        <w:rPr>
          <w:sz w:val="24"/>
          <w:szCs w:val="24"/>
        </w:rPr>
        <w:t>–</w:t>
      </w:r>
      <w:r w:rsidR="004B0F52" w:rsidRPr="00E266A7">
        <w:rPr>
          <w:sz w:val="24"/>
          <w:szCs w:val="24"/>
        </w:rPr>
        <w:t>64.</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nion Pro">
    <w:panose1 w:val="020B0604020202020204"/>
    <w:charset w:val="00"/>
    <w:family w:val="roman"/>
    <w:notTrueType/>
    <w:pitch w:val="variable"/>
    <w:sig w:usb0="6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66150779"/>
      <w:docPartObj>
        <w:docPartGallery w:val="Page Numbers (Bottom of Page)"/>
        <w:docPartUnique/>
      </w:docPartObj>
    </w:sdtPr>
    <w:sdtEndPr>
      <w:rPr>
        <w:rStyle w:val="PageNumber"/>
      </w:rPr>
    </w:sdtEndPr>
    <w:sdtContent>
      <w:p w14:paraId="7EA46BEF" w14:textId="5FA22869" w:rsidR="00024D59" w:rsidRDefault="00024D59" w:rsidP="00FC4F7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5EAE01B" w14:textId="77777777" w:rsidR="00024D59" w:rsidRDefault="00024D59" w:rsidP="00FC4F7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33211454"/>
      <w:docPartObj>
        <w:docPartGallery w:val="Page Numbers (Bottom of Page)"/>
        <w:docPartUnique/>
      </w:docPartObj>
    </w:sdtPr>
    <w:sdtEndPr>
      <w:rPr>
        <w:rStyle w:val="PageNumber"/>
      </w:rPr>
    </w:sdtEndPr>
    <w:sdtContent>
      <w:p w14:paraId="304F8A8A" w14:textId="1B6393BC" w:rsidR="00024D59" w:rsidRDefault="00024D59" w:rsidP="00FC4F7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F49BD">
          <w:rPr>
            <w:rStyle w:val="PageNumber"/>
            <w:noProof/>
          </w:rPr>
          <w:t>28</w:t>
        </w:r>
        <w:r>
          <w:rPr>
            <w:rStyle w:val="PageNumber"/>
          </w:rPr>
          <w:fldChar w:fldCharType="end"/>
        </w:r>
      </w:p>
    </w:sdtContent>
  </w:sdt>
  <w:p w14:paraId="7E702BDC" w14:textId="77777777" w:rsidR="00024D59" w:rsidRDefault="00024D59" w:rsidP="00FC4F7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5A7E02" w14:textId="77777777" w:rsidR="007E429B" w:rsidRDefault="007E429B" w:rsidP="00211F6E">
      <w:r>
        <w:separator/>
      </w:r>
    </w:p>
  </w:footnote>
  <w:footnote w:type="continuationSeparator" w:id="0">
    <w:p w14:paraId="59E20E5A" w14:textId="77777777" w:rsidR="007E429B" w:rsidRDefault="007E429B" w:rsidP="00211F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F1EE0"/>
    <w:multiLevelType w:val="hybridMultilevel"/>
    <w:tmpl w:val="65CEE98E"/>
    <w:lvl w:ilvl="0" w:tplc="33FE162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FA1616"/>
    <w:multiLevelType w:val="hybridMultilevel"/>
    <w:tmpl w:val="780A7248"/>
    <w:lvl w:ilvl="0" w:tplc="0A0AA3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DE42569"/>
    <w:multiLevelType w:val="hybridMultilevel"/>
    <w:tmpl w:val="ED4E5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CAD"/>
    <w:rsid w:val="00004398"/>
    <w:rsid w:val="0000630A"/>
    <w:rsid w:val="000120D7"/>
    <w:rsid w:val="000171AF"/>
    <w:rsid w:val="0002002B"/>
    <w:rsid w:val="00022F21"/>
    <w:rsid w:val="00024D59"/>
    <w:rsid w:val="00026B2E"/>
    <w:rsid w:val="00027EE9"/>
    <w:rsid w:val="00030430"/>
    <w:rsid w:val="00033BBA"/>
    <w:rsid w:val="00033E35"/>
    <w:rsid w:val="00033E96"/>
    <w:rsid w:val="00034A10"/>
    <w:rsid w:val="00035578"/>
    <w:rsid w:val="00040B4A"/>
    <w:rsid w:val="000415B3"/>
    <w:rsid w:val="000416E2"/>
    <w:rsid w:val="000422F8"/>
    <w:rsid w:val="0004351B"/>
    <w:rsid w:val="0004406D"/>
    <w:rsid w:val="00054C1C"/>
    <w:rsid w:val="0005551C"/>
    <w:rsid w:val="0006577B"/>
    <w:rsid w:val="00070A6F"/>
    <w:rsid w:val="000717CE"/>
    <w:rsid w:val="000751B6"/>
    <w:rsid w:val="00081602"/>
    <w:rsid w:val="000840B9"/>
    <w:rsid w:val="00084256"/>
    <w:rsid w:val="00084E90"/>
    <w:rsid w:val="00085664"/>
    <w:rsid w:val="00085681"/>
    <w:rsid w:val="00087F7A"/>
    <w:rsid w:val="000920B0"/>
    <w:rsid w:val="00093118"/>
    <w:rsid w:val="00093D9B"/>
    <w:rsid w:val="00095EF2"/>
    <w:rsid w:val="00097F40"/>
    <w:rsid w:val="000A121E"/>
    <w:rsid w:val="000A233C"/>
    <w:rsid w:val="000A2882"/>
    <w:rsid w:val="000A2C31"/>
    <w:rsid w:val="000A37ED"/>
    <w:rsid w:val="000A3E7E"/>
    <w:rsid w:val="000A3F12"/>
    <w:rsid w:val="000A4173"/>
    <w:rsid w:val="000A6ADF"/>
    <w:rsid w:val="000A6F58"/>
    <w:rsid w:val="000B2387"/>
    <w:rsid w:val="000B2CFA"/>
    <w:rsid w:val="000B2D9B"/>
    <w:rsid w:val="000B3B0B"/>
    <w:rsid w:val="000B4EC5"/>
    <w:rsid w:val="000B67B5"/>
    <w:rsid w:val="000C01E3"/>
    <w:rsid w:val="000C089D"/>
    <w:rsid w:val="000C08BE"/>
    <w:rsid w:val="000C1D26"/>
    <w:rsid w:val="000C3395"/>
    <w:rsid w:val="000C3E14"/>
    <w:rsid w:val="000D1D94"/>
    <w:rsid w:val="000D223A"/>
    <w:rsid w:val="000D4AE1"/>
    <w:rsid w:val="000D4CCA"/>
    <w:rsid w:val="000D5EC3"/>
    <w:rsid w:val="000D6DD4"/>
    <w:rsid w:val="000D7B4A"/>
    <w:rsid w:val="000E41B8"/>
    <w:rsid w:val="000E7D17"/>
    <w:rsid w:val="000F0CF3"/>
    <w:rsid w:val="000F3104"/>
    <w:rsid w:val="000F3FC7"/>
    <w:rsid w:val="000F457F"/>
    <w:rsid w:val="000F56AE"/>
    <w:rsid w:val="000F7C69"/>
    <w:rsid w:val="00100720"/>
    <w:rsid w:val="00100AA9"/>
    <w:rsid w:val="00100B14"/>
    <w:rsid w:val="001015AD"/>
    <w:rsid w:val="00103834"/>
    <w:rsid w:val="00103A11"/>
    <w:rsid w:val="00103A2F"/>
    <w:rsid w:val="00104A5B"/>
    <w:rsid w:val="00104A8E"/>
    <w:rsid w:val="00104CBD"/>
    <w:rsid w:val="001058EB"/>
    <w:rsid w:val="001065DF"/>
    <w:rsid w:val="0010737B"/>
    <w:rsid w:val="00111CBC"/>
    <w:rsid w:val="00111F4B"/>
    <w:rsid w:val="001127C0"/>
    <w:rsid w:val="0011432C"/>
    <w:rsid w:val="00114BC1"/>
    <w:rsid w:val="00114BFE"/>
    <w:rsid w:val="0012259D"/>
    <w:rsid w:val="00122846"/>
    <w:rsid w:val="001265A7"/>
    <w:rsid w:val="001324A5"/>
    <w:rsid w:val="001353EE"/>
    <w:rsid w:val="0013724F"/>
    <w:rsid w:val="001377E2"/>
    <w:rsid w:val="00140F6C"/>
    <w:rsid w:val="00141453"/>
    <w:rsid w:val="00142036"/>
    <w:rsid w:val="00144B31"/>
    <w:rsid w:val="00145501"/>
    <w:rsid w:val="0014716F"/>
    <w:rsid w:val="00147D0E"/>
    <w:rsid w:val="001503BE"/>
    <w:rsid w:val="001512E0"/>
    <w:rsid w:val="00151FCB"/>
    <w:rsid w:val="001527C0"/>
    <w:rsid w:val="0015612A"/>
    <w:rsid w:val="00165428"/>
    <w:rsid w:val="00166E71"/>
    <w:rsid w:val="00170824"/>
    <w:rsid w:val="00171BA8"/>
    <w:rsid w:val="00172D6C"/>
    <w:rsid w:val="00174417"/>
    <w:rsid w:val="0017620E"/>
    <w:rsid w:val="0017641B"/>
    <w:rsid w:val="00177B91"/>
    <w:rsid w:val="00183139"/>
    <w:rsid w:val="00184C94"/>
    <w:rsid w:val="00185226"/>
    <w:rsid w:val="00185F9C"/>
    <w:rsid w:val="00187D4C"/>
    <w:rsid w:val="00191031"/>
    <w:rsid w:val="00191BC4"/>
    <w:rsid w:val="00191C44"/>
    <w:rsid w:val="0019278F"/>
    <w:rsid w:val="00192EDF"/>
    <w:rsid w:val="00193806"/>
    <w:rsid w:val="00194377"/>
    <w:rsid w:val="00196787"/>
    <w:rsid w:val="001967B5"/>
    <w:rsid w:val="001972D2"/>
    <w:rsid w:val="001975A6"/>
    <w:rsid w:val="001979EE"/>
    <w:rsid w:val="001A3422"/>
    <w:rsid w:val="001A3FD1"/>
    <w:rsid w:val="001A5C9B"/>
    <w:rsid w:val="001A5DB1"/>
    <w:rsid w:val="001A626F"/>
    <w:rsid w:val="001A659D"/>
    <w:rsid w:val="001B08D8"/>
    <w:rsid w:val="001B0A33"/>
    <w:rsid w:val="001B34ED"/>
    <w:rsid w:val="001B69D9"/>
    <w:rsid w:val="001B6FEA"/>
    <w:rsid w:val="001B7ACE"/>
    <w:rsid w:val="001B7E81"/>
    <w:rsid w:val="001C1AFF"/>
    <w:rsid w:val="001C449D"/>
    <w:rsid w:val="001C5973"/>
    <w:rsid w:val="001C5E93"/>
    <w:rsid w:val="001C6EC3"/>
    <w:rsid w:val="001D0A22"/>
    <w:rsid w:val="001D1BC2"/>
    <w:rsid w:val="001D2E3F"/>
    <w:rsid w:val="001D43F5"/>
    <w:rsid w:val="001D71B9"/>
    <w:rsid w:val="001E046E"/>
    <w:rsid w:val="001E498F"/>
    <w:rsid w:val="001E6F19"/>
    <w:rsid w:val="001E71B8"/>
    <w:rsid w:val="001F016F"/>
    <w:rsid w:val="001F23EE"/>
    <w:rsid w:val="001F2695"/>
    <w:rsid w:val="001F3B1F"/>
    <w:rsid w:val="001F3B33"/>
    <w:rsid w:val="001F3FAC"/>
    <w:rsid w:val="001F568B"/>
    <w:rsid w:val="001F56B8"/>
    <w:rsid w:val="00201690"/>
    <w:rsid w:val="002035DE"/>
    <w:rsid w:val="002058A5"/>
    <w:rsid w:val="002060D1"/>
    <w:rsid w:val="0021043D"/>
    <w:rsid w:val="00211C95"/>
    <w:rsid w:val="00211F6E"/>
    <w:rsid w:val="00213044"/>
    <w:rsid w:val="002158FA"/>
    <w:rsid w:val="0021749A"/>
    <w:rsid w:val="00221A8D"/>
    <w:rsid w:val="00223A62"/>
    <w:rsid w:val="00226848"/>
    <w:rsid w:val="00227638"/>
    <w:rsid w:val="0023284F"/>
    <w:rsid w:val="002331C6"/>
    <w:rsid w:val="002379A5"/>
    <w:rsid w:val="00237A5E"/>
    <w:rsid w:val="0024078F"/>
    <w:rsid w:val="00241346"/>
    <w:rsid w:val="00243A77"/>
    <w:rsid w:val="00244532"/>
    <w:rsid w:val="00244545"/>
    <w:rsid w:val="002455F3"/>
    <w:rsid w:val="00245F63"/>
    <w:rsid w:val="00251390"/>
    <w:rsid w:val="002522D5"/>
    <w:rsid w:val="0025336B"/>
    <w:rsid w:val="00254737"/>
    <w:rsid w:val="00254E5F"/>
    <w:rsid w:val="002566C8"/>
    <w:rsid w:val="0025701B"/>
    <w:rsid w:val="00260F34"/>
    <w:rsid w:val="00262427"/>
    <w:rsid w:val="00263D54"/>
    <w:rsid w:val="00263E87"/>
    <w:rsid w:val="002718AE"/>
    <w:rsid w:val="00272EC6"/>
    <w:rsid w:val="00274587"/>
    <w:rsid w:val="00275084"/>
    <w:rsid w:val="00280D09"/>
    <w:rsid w:val="00281B40"/>
    <w:rsid w:val="002825F5"/>
    <w:rsid w:val="002831A9"/>
    <w:rsid w:val="00283655"/>
    <w:rsid w:val="00286EA0"/>
    <w:rsid w:val="002907D8"/>
    <w:rsid w:val="00292C09"/>
    <w:rsid w:val="002935AD"/>
    <w:rsid w:val="002935D7"/>
    <w:rsid w:val="00294380"/>
    <w:rsid w:val="00294D7F"/>
    <w:rsid w:val="002A082F"/>
    <w:rsid w:val="002A0865"/>
    <w:rsid w:val="002A0F79"/>
    <w:rsid w:val="002A59BF"/>
    <w:rsid w:val="002A5B01"/>
    <w:rsid w:val="002A75C4"/>
    <w:rsid w:val="002B140F"/>
    <w:rsid w:val="002B3081"/>
    <w:rsid w:val="002B4A81"/>
    <w:rsid w:val="002B7B63"/>
    <w:rsid w:val="002B7D52"/>
    <w:rsid w:val="002C09F6"/>
    <w:rsid w:val="002C0D34"/>
    <w:rsid w:val="002C261E"/>
    <w:rsid w:val="002C2AB4"/>
    <w:rsid w:val="002C401F"/>
    <w:rsid w:val="002C41E1"/>
    <w:rsid w:val="002C53B3"/>
    <w:rsid w:val="002C71D4"/>
    <w:rsid w:val="002C73B1"/>
    <w:rsid w:val="002D0198"/>
    <w:rsid w:val="002D0CEF"/>
    <w:rsid w:val="002D10D0"/>
    <w:rsid w:val="002D2984"/>
    <w:rsid w:val="002D2C19"/>
    <w:rsid w:val="002D2F43"/>
    <w:rsid w:val="002D39D4"/>
    <w:rsid w:val="002D4C1F"/>
    <w:rsid w:val="002D4D9D"/>
    <w:rsid w:val="002D540C"/>
    <w:rsid w:val="002D59B0"/>
    <w:rsid w:val="002D6805"/>
    <w:rsid w:val="002E2480"/>
    <w:rsid w:val="002E47BE"/>
    <w:rsid w:val="002E50C9"/>
    <w:rsid w:val="002E52E9"/>
    <w:rsid w:val="002E7C87"/>
    <w:rsid w:val="002F0BCE"/>
    <w:rsid w:val="002F1CA7"/>
    <w:rsid w:val="002F29EF"/>
    <w:rsid w:val="002F4236"/>
    <w:rsid w:val="002F590E"/>
    <w:rsid w:val="002F6E29"/>
    <w:rsid w:val="002F783A"/>
    <w:rsid w:val="003024D5"/>
    <w:rsid w:val="00303635"/>
    <w:rsid w:val="003066C4"/>
    <w:rsid w:val="00313684"/>
    <w:rsid w:val="00313FC0"/>
    <w:rsid w:val="0032030E"/>
    <w:rsid w:val="0032093F"/>
    <w:rsid w:val="00321C72"/>
    <w:rsid w:val="0032533C"/>
    <w:rsid w:val="00326573"/>
    <w:rsid w:val="003270D5"/>
    <w:rsid w:val="003275CA"/>
    <w:rsid w:val="00327DF4"/>
    <w:rsid w:val="00332732"/>
    <w:rsid w:val="00333CB6"/>
    <w:rsid w:val="00340B79"/>
    <w:rsid w:val="00342AE4"/>
    <w:rsid w:val="003445C2"/>
    <w:rsid w:val="00350F0F"/>
    <w:rsid w:val="003514A9"/>
    <w:rsid w:val="00356918"/>
    <w:rsid w:val="003572C8"/>
    <w:rsid w:val="00360384"/>
    <w:rsid w:val="0036164E"/>
    <w:rsid w:val="00371FD2"/>
    <w:rsid w:val="00372005"/>
    <w:rsid w:val="0037423A"/>
    <w:rsid w:val="0037424D"/>
    <w:rsid w:val="00375368"/>
    <w:rsid w:val="003811AB"/>
    <w:rsid w:val="003820C6"/>
    <w:rsid w:val="003835EE"/>
    <w:rsid w:val="003856CF"/>
    <w:rsid w:val="003864B8"/>
    <w:rsid w:val="00386A43"/>
    <w:rsid w:val="00393F31"/>
    <w:rsid w:val="00393FC6"/>
    <w:rsid w:val="003946E9"/>
    <w:rsid w:val="00396817"/>
    <w:rsid w:val="003A0636"/>
    <w:rsid w:val="003A1557"/>
    <w:rsid w:val="003A2E64"/>
    <w:rsid w:val="003A51B0"/>
    <w:rsid w:val="003A58B9"/>
    <w:rsid w:val="003A58DE"/>
    <w:rsid w:val="003A59EE"/>
    <w:rsid w:val="003A5DB9"/>
    <w:rsid w:val="003B1736"/>
    <w:rsid w:val="003B184E"/>
    <w:rsid w:val="003B28D1"/>
    <w:rsid w:val="003B303F"/>
    <w:rsid w:val="003B5E51"/>
    <w:rsid w:val="003B7DDD"/>
    <w:rsid w:val="003C046B"/>
    <w:rsid w:val="003C0E82"/>
    <w:rsid w:val="003C1529"/>
    <w:rsid w:val="003C2DE2"/>
    <w:rsid w:val="003C31B9"/>
    <w:rsid w:val="003C371E"/>
    <w:rsid w:val="003C3F32"/>
    <w:rsid w:val="003C529E"/>
    <w:rsid w:val="003C6265"/>
    <w:rsid w:val="003C635F"/>
    <w:rsid w:val="003C6B6E"/>
    <w:rsid w:val="003C75BC"/>
    <w:rsid w:val="003D169B"/>
    <w:rsid w:val="003D2E08"/>
    <w:rsid w:val="003D60AA"/>
    <w:rsid w:val="003D658A"/>
    <w:rsid w:val="003D6F45"/>
    <w:rsid w:val="003E2289"/>
    <w:rsid w:val="003E623F"/>
    <w:rsid w:val="003E6242"/>
    <w:rsid w:val="003E7764"/>
    <w:rsid w:val="003F3427"/>
    <w:rsid w:val="003F4AC6"/>
    <w:rsid w:val="003F5F78"/>
    <w:rsid w:val="003F65DF"/>
    <w:rsid w:val="003F7029"/>
    <w:rsid w:val="003F724F"/>
    <w:rsid w:val="004020A9"/>
    <w:rsid w:val="0040334F"/>
    <w:rsid w:val="00403FE6"/>
    <w:rsid w:val="00404049"/>
    <w:rsid w:val="00407127"/>
    <w:rsid w:val="004105D2"/>
    <w:rsid w:val="00412AEA"/>
    <w:rsid w:val="00412ED7"/>
    <w:rsid w:val="004144D2"/>
    <w:rsid w:val="00414808"/>
    <w:rsid w:val="00414FFE"/>
    <w:rsid w:val="0041697D"/>
    <w:rsid w:val="0042022C"/>
    <w:rsid w:val="0042047E"/>
    <w:rsid w:val="004215C5"/>
    <w:rsid w:val="004225F8"/>
    <w:rsid w:val="004229BD"/>
    <w:rsid w:val="00422BDF"/>
    <w:rsid w:val="00424AD1"/>
    <w:rsid w:val="0042503B"/>
    <w:rsid w:val="00426BB6"/>
    <w:rsid w:val="00426E30"/>
    <w:rsid w:val="004272B6"/>
    <w:rsid w:val="0043267A"/>
    <w:rsid w:val="00433C82"/>
    <w:rsid w:val="00434533"/>
    <w:rsid w:val="00434CB7"/>
    <w:rsid w:val="00435236"/>
    <w:rsid w:val="00436576"/>
    <w:rsid w:val="004408DA"/>
    <w:rsid w:val="00441C52"/>
    <w:rsid w:val="00442C1F"/>
    <w:rsid w:val="00443377"/>
    <w:rsid w:val="00443F36"/>
    <w:rsid w:val="00447E10"/>
    <w:rsid w:val="00450BAE"/>
    <w:rsid w:val="00451639"/>
    <w:rsid w:val="00454281"/>
    <w:rsid w:val="00454FE6"/>
    <w:rsid w:val="00455439"/>
    <w:rsid w:val="00457A01"/>
    <w:rsid w:val="00461173"/>
    <w:rsid w:val="004622B9"/>
    <w:rsid w:val="004640B3"/>
    <w:rsid w:val="00464900"/>
    <w:rsid w:val="00470946"/>
    <w:rsid w:val="00470E66"/>
    <w:rsid w:val="00470EC5"/>
    <w:rsid w:val="0047143E"/>
    <w:rsid w:val="00471F5B"/>
    <w:rsid w:val="00472327"/>
    <w:rsid w:val="0047312B"/>
    <w:rsid w:val="00473F52"/>
    <w:rsid w:val="0047615C"/>
    <w:rsid w:val="00477020"/>
    <w:rsid w:val="00480CA4"/>
    <w:rsid w:val="00480D9A"/>
    <w:rsid w:val="00481589"/>
    <w:rsid w:val="00481F79"/>
    <w:rsid w:val="004845BE"/>
    <w:rsid w:val="004847C0"/>
    <w:rsid w:val="00484C23"/>
    <w:rsid w:val="004860D5"/>
    <w:rsid w:val="00487FB9"/>
    <w:rsid w:val="004904D9"/>
    <w:rsid w:val="00490A8B"/>
    <w:rsid w:val="004912B8"/>
    <w:rsid w:val="00491CF7"/>
    <w:rsid w:val="00492326"/>
    <w:rsid w:val="004935FA"/>
    <w:rsid w:val="00493D03"/>
    <w:rsid w:val="00496605"/>
    <w:rsid w:val="00496A26"/>
    <w:rsid w:val="004A57D7"/>
    <w:rsid w:val="004A7200"/>
    <w:rsid w:val="004A780D"/>
    <w:rsid w:val="004A7893"/>
    <w:rsid w:val="004B0F52"/>
    <w:rsid w:val="004B1433"/>
    <w:rsid w:val="004B316E"/>
    <w:rsid w:val="004B39A3"/>
    <w:rsid w:val="004B430C"/>
    <w:rsid w:val="004B49EA"/>
    <w:rsid w:val="004C0DE1"/>
    <w:rsid w:val="004C1086"/>
    <w:rsid w:val="004C258B"/>
    <w:rsid w:val="004C4FA5"/>
    <w:rsid w:val="004C5237"/>
    <w:rsid w:val="004C66B7"/>
    <w:rsid w:val="004C66EF"/>
    <w:rsid w:val="004C6D40"/>
    <w:rsid w:val="004C7DE3"/>
    <w:rsid w:val="004D0A20"/>
    <w:rsid w:val="004D0CD5"/>
    <w:rsid w:val="004D11C3"/>
    <w:rsid w:val="004D13F8"/>
    <w:rsid w:val="004D26D8"/>
    <w:rsid w:val="004D3BB4"/>
    <w:rsid w:val="004D7490"/>
    <w:rsid w:val="004E3A6A"/>
    <w:rsid w:val="004E4CC0"/>
    <w:rsid w:val="004E685F"/>
    <w:rsid w:val="004F0352"/>
    <w:rsid w:val="004F1117"/>
    <w:rsid w:val="004F1C4A"/>
    <w:rsid w:val="004F4807"/>
    <w:rsid w:val="004F4DCA"/>
    <w:rsid w:val="004F51BD"/>
    <w:rsid w:val="004F5FA1"/>
    <w:rsid w:val="004F6013"/>
    <w:rsid w:val="004F7889"/>
    <w:rsid w:val="005019A1"/>
    <w:rsid w:val="00502BDB"/>
    <w:rsid w:val="0050644C"/>
    <w:rsid w:val="005067A7"/>
    <w:rsid w:val="00506813"/>
    <w:rsid w:val="00506A0B"/>
    <w:rsid w:val="005103FB"/>
    <w:rsid w:val="005127EB"/>
    <w:rsid w:val="00512BAA"/>
    <w:rsid w:val="00512DB3"/>
    <w:rsid w:val="00514320"/>
    <w:rsid w:val="005208C8"/>
    <w:rsid w:val="005225F6"/>
    <w:rsid w:val="005238E3"/>
    <w:rsid w:val="00523EF9"/>
    <w:rsid w:val="005248C7"/>
    <w:rsid w:val="005254A0"/>
    <w:rsid w:val="00526914"/>
    <w:rsid w:val="00526EFC"/>
    <w:rsid w:val="005271A7"/>
    <w:rsid w:val="00530FF6"/>
    <w:rsid w:val="00532620"/>
    <w:rsid w:val="00532AEC"/>
    <w:rsid w:val="0053387D"/>
    <w:rsid w:val="00534FF8"/>
    <w:rsid w:val="00535015"/>
    <w:rsid w:val="00535380"/>
    <w:rsid w:val="00536FA5"/>
    <w:rsid w:val="00537F52"/>
    <w:rsid w:val="0054060D"/>
    <w:rsid w:val="005419DA"/>
    <w:rsid w:val="00545BE9"/>
    <w:rsid w:val="00551C3E"/>
    <w:rsid w:val="00551EB0"/>
    <w:rsid w:val="00552C1D"/>
    <w:rsid w:val="00553625"/>
    <w:rsid w:val="00553890"/>
    <w:rsid w:val="00555E6D"/>
    <w:rsid w:val="00556B7A"/>
    <w:rsid w:val="00557AC3"/>
    <w:rsid w:val="00560147"/>
    <w:rsid w:val="005611E6"/>
    <w:rsid w:val="005632A5"/>
    <w:rsid w:val="00565463"/>
    <w:rsid w:val="00571298"/>
    <w:rsid w:val="00572A09"/>
    <w:rsid w:val="0057335C"/>
    <w:rsid w:val="005754AC"/>
    <w:rsid w:val="005759A0"/>
    <w:rsid w:val="005763C9"/>
    <w:rsid w:val="00584297"/>
    <w:rsid w:val="0058471A"/>
    <w:rsid w:val="00584FDE"/>
    <w:rsid w:val="00591462"/>
    <w:rsid w:val="005952BB"/>
    <w:rsid w:val="00595F08"/>
    <w:rsid w:val="0059633E"/>
    <w:rsid w:val="005A0CA5"/>
    <w:rsid w:val="005A53C7"/>
    <w:rsid w:val="005A5CC5"/>
    <w:rsid w:val="005A6E5D"/>
    <w:rsid w:val="005B1222"/>
    <w:rsid w:val="005B1D9F"/>
    <w:rsid w:val="005B4E21"/>
    <w:rsid w:val="005B58BB"/>
    <w:rsid w:val="005B6503"/>
    <w:rsid w:val="005B79EF"/>
    <w:rsid w:val="005B7C04"/>
    <w:rsid w:val="005C2E63"/>
    <w:rsid w:val="005C4336"/>
    <w:rsid w:val="005C4A13"/>
    <w:rsid w:val="005C58C7"/>
    <w:rsid w:val="005C58DF"/>
    <w:rsid w:val="005C5ED7"/>
    <w:rsid w:val="005C7077"/>
    <w:rsid w:val="005C75A1"/>
    <w:rsid w:val="005D0B61"/>
    <w:rsid w:val="005D0F92"/>
    <w:rsid w:val="005D193C"/>
    <w:rsid w:val="005D209C"/>
    <w:rsid w:val="005E00FC"/>
    <w:rsid w:val="005E1357"/>
    <w:rsid w:val="005E1740"/>
    <w:rsid w:val="005E358B"/>
    <w:rsid w:val="005E4296"/>
    <w:rsid w:val="005E42D9"/>
    <w:rsid w:val="005E4B15"/>
    <w:rsid w:val="005E4DC3"/>
    <w:rsid w:val="005E5744"/>
    <w:rsid w:val="005E646B"/>
    <w:rsid w:val="005E749A"/>
    <w:rsid w:val="005F1A24"/>
    <w:rsid w:val="005F2693"/>
    <w:rsid w:val="005F31CD"/>
    <w:rsid w:val="005F3457"/>
    <w:rsid w:val="00601CB6"/>
    <w:rsid w:val="00601F7B"/>
    <w:rsid w:val="006022B4"/>
    <w:rsid w:val="0060429A"/>
    <w:rsid w:val="00604AD4"/>
    <w:rsid w:val="00604BEF"/>
    <w:rsid w:val="00606395"/>
    <w:rsid w:val="00606EA9"/>
    <w:rsid w:val="006123E3"/>
    <w:rsid w:val="0061280E"/>
    <w:rsid w:val="006132F1"/>
    <w:rsid w:val="0062086F"/>
    <w:rsid w:val="006223FC"/>
    <w:rsid w:val="0062340A"/>
    <w:rsid w:val="006243B4"/>
    <w:rsid w:val="00624CC1"/>
    <w:rsid w:val="0062597A"/>
    <w:rsid w:val="00630140"/>
    <w:rsid w:val="00630685"/>
    <w:rsid w:val="006314D3"/>
    <w:rsid w:val="00634658"/>
    <w:rsid w:val="006357BC"/>
    <w:rsid w:val="00636D24"/>
    <w:rsid w:val="00636ED0"/>
    <w:rsid w:val="00637F91"/>
    <w:rsid w:val="006428D2"/>
    <w:rsid w:val="00645D60"/>
    <w:rsid w:val="00652911"/>
    <w:rsid w:val="006610DE"/>
    <w:rsid w:val="006614DA"/>
    <w:rsid w:val="00662E76"/>
    <w:rsid w:val="00665304"/>
    <w:rsid w:val="006769F6"/>
    <w:rsid w:val="00677AE4"/>
    <w:rsid w:val="00677C60"/>
    <w:rsid w:val="00682BBA"/>
    <w:rsid w:val="00686A4C"/>
    <w:rsid w:val="00693E11"/>
    <w:rsid w:val="0069481C"/>
    <w:rsid w:val="00696BF3"/>
    <w:rsid w:val="006A0DAE"/>
    <w:rsid w:val="006A1A18"/>
    <w:rsid w:val="006A2EB4"/>
    <w:rsid w:val="006A3EDF"/>
    <w:rsid w:val="006A4A6E"/>
    <w:rsid w:val="006A5324"/>
    <w:rsid w:val="006A5BB3"/>
    <w:rsid w:val="006B1923"/>
    <w:rsid w:val="006B298D"/>
    <w:rsid w:val="006B523D"/>
    <w:rsid w:val="006B5FD2"/>
    <w:rsid w:val="006B7206"/>
    <w:rsid w:val="006C12C2"/>
    <w:rsid w:val="006C62C8"/>
    <w:rsid w:val="006C7984"/>
    <w:rsid w:val="006C7EDB"/>
    <w:rsid w:val="006D0CF9"/>
    <w:rsid w:val="006D46CA"/>
    <w:rsid w:val="006D4E3F"/>
    <w:rsid w:val="006D5B8C"/>
    <w:rsid w:val="006D64DA"/>
    <w:rsid w:val="006D70C3"/>
    <w:rsid w:val="006D7295"/>
    <w:rsid w:val="006E17AD"/>
    <w:rsid w:val="006E611C"/>
    <w:rsid w:val="006E70A4"/>
    <w:rsid w:val="006F1F81"/>
    <w:rsid w:val="006F4F49"/>
    <w:rsid w:val="006F5B9D"/>
    <w:rsid w:val="006F7792"/>
    <w:rsid w:val="006F7A32"/>
    <w:rsid w:val="00701E7F"/>
    <w:rsid w:val="00704CA2"/>
    <w:rsid w:val="00705189"/>
    <w:rsid w:val="00706E9D"/>
    <w:rsid w:val="0070728C"/>
    <w:rsid w:val="007106F9"/>
    <w:rsid w:val="00716C48"/>
    <w:rsid w:val="0071757B"/>
    <w:rsid w:val="00720114"/>
    <w:rsid w:val="0072398E"/>
    <w:rsid w:val="00726745"/>
    <w:rsid w:val="0072725E"/>
    <w:rsid w:val="0073004A"/>
    <w:rsid w:val="0073145A"/>
    <w:rsid w:val="00732465"/>
    <w:rsid w:val="00732B8B"/>
    <w:rsid w:val="00734167"/>
    <w:rsid w:val="00734554"/>
    <w:rsid w:val="00734F8B"/>
    <w:rsid w:val="0073502E"/>
    <w:rsid w:val="00735840"/>
    <w:rsid w:val="00735A8B"/>
    <w:rsid w:val="0074028F"/>
    <w:rsid w:val="007413A2"/>
    <w:rsid w:val="00742165"/>
    <w:rsid w:val="007432D6"/>
    <w:rsid w:val="00743C64"/>
    <w:rsid w:val="00745260"/>
    <w:rsid w:val="00747036"/>
    <w:rsid w:val="00747084"/>
    <w:rsid w:val="0074749F"/>
    <w:rsid w:val="007476CC"/>
    <w:rsid w:val="00750192"/>
    <w:rsid w:val="00751677"/>
    <w:rsid w:val="007546B7"/>
    <w:rsid w:val="00763766"/>
    <w:rsid w:val="00763B75"/>
    <w:rsid w:val="00763F0B"/>
    <w:rsid w:val="00764870"/>
    <w:rsid w:val="00767143"/>
    <w:rsid w:val="00767218"/>
    <w:rsid w:val="007710A4"/>
    <w:rsid w:val="0077413E"/>
    <w:rsid w:val="007749B6"/>
    <w:rsid w:val="00781A50"/>
    <w:rsid w:val="00781BA2"/>
    <w:rsid w:val="00785708"/>
    <w:rsid w:val="00785EF7"/>
    <w:rsid w:val="00790171"/>
    <w:rsid w:val="00791525"/>
    <w:rsid w:val="00792D2C"/>
    <w:rsid w:val="00794D82"/>
    <w:rsid w:val="007959B7"/>
    <w:rsid w:val="00795F21"/>
    <w:rsid w:val="007961AC"/>
    <w:rsid w:val="007A3CD9"/>
    <w:rsid w:val="007A5750"/>
    <w:rsid w:val="007A60F3"/>
    <w:rsid w:val="007A68E6"/>
    <w:rsid w:val="007A70AC"/>
    <w:rsid w:val="007B04BC"/>
    <w:rsid w:val="007B248F"/>
    <w:rsid w:val="007B2E56"/>
    <w:rsid w:val="007B36AF"/>
    <w:rsid w:val="007B375A"/>
    <w:rsid w:val="007B7E9D"/>
    <w:rsid w:val="007C02C9"/>
    <w:rsid w:val="007C0B87"/>
    <w:rsid w:val="007C1152"/>
    <w:rsid w:val="007C1591"/>
    <w:rsid w:val="007C4EC5"/>
    <w:rsid w:val="007C56F5"/>
    <w:rsid w:val="007C688A"/>
    <w:rsid w:val="007D0F2F"/>
    <w:rsid w:val="007D30C9"/>
    <w:rsid w:val="007D51CA"/>
    <w:rsid w:val="007D6B18"/>
    <w:rsid w:val="007E0B16"/>
    <w:rsid w:val="007E2844"/>
    <w:rsid w:val="007E3970"/>
    <w:rsid w:val="007E429B"/>
    <w:rsid w:val="007E5BD0"/>
    <w:rsid w:val="007E6918"/>
    <w:rsid w:val="007E6E21"/>
    <w:rsid w:val="007E7043"/>
    <w:rsid w:val="007E74F5"/>
    <w:rsid w:val="007F23D4"/>
    <w:rsid w:val="007F3FDA"/>
    <w:rsid w:val="007F4634"/>
    <w:rsid w:val="007F49BD"/>
    <w:rsid w:val="007F6C12"/>
    <w:rsid w:val="00803F89"/>
    <w:rsid w:val="00804BB0"/>
    <w:rsid w:val="00805BAA"/>
    <w:rsid w:val="00806016"/>
    <w:rsid w:val="00806680"/>
    <w:rsid w:val="00810B14"/>
    <w:rsid w:val="0081143C"/>
    <w:rsid w:val="0081213A"/>
    <w:rsid w:val="008147D1"/>
    <w:rsid w:val="008225FD"/>
    <w:rsid w:val="008251C8"/>
    <w:rsid w:val="00830368"/>
    <w:rsid w:val="008335AC"/>
    <w:rsid w:val="00834BCD"/>
    <w:rsid w:val="00836C31"/>
    <w:rsid w:val="00840943"/>
    <w:rsid w:val="00842F9F"/>
    <w:rsid w:val="00844D30"/>
    <w:rsid w:val="00846DCD"/>
    <w:rsid w:val="008471D3"/>
    <w:rsid w:val="00847435"/>
    <w:rsid w:val="00847A72"/>
    <w:rsid w:val="00847B40"/>
    <w:rsid w:val="00850BFA"/>
    <w:rsid w:val="00850F4E"/>
    <w:rsid w:val="0085167F"/>
    <w:rsid w:val="008524A4"/>
    <w:rsid w:val="00852A1C"/>
    <w:rsid w:val="00852A2D"/>
    <w:rsid w:val="00860D98"/>
    <w:rsid w:val="008629BE"/>
    <w:rsid w:val="00873640"/>
    <w:rsid w:val="00875D28"/>
    <w:rsid w:val="0087674A"/>
    <w:rsid w:val="0087754B"/>
    <w:rsid w:val="00877EA7"/>
    <w:rsid w:val="008823E0"/>
    <w:rsid w:val="00883083"/>
    <w:rsid w:val="00894397"/>
    <w:rsid w:val="008943DB"/>
    <w:rsid w:val="008A069D"/>
    <w:rsid w:val="008A18C8"/>
    <w:rsid w:val="008A412A"/>
    <w:rsid w:val="008A5250"/>
    <w:rsid w:val="008A5BC4"/>
    <w:rsid w:val="008A6A01"/>
    <w:rsid w:val="008A6DE5"/>
    <w:rsid w:val="008A6F25"/>
    <w:rsid w:val="008A6FBF"/>
    <w:rsid w:val="008A7574"/>
    <w:rsid w:val="008A7CE3"/>
    <w:rsid w:val="008B08DF"/>
    <w:rsid w:val="008B098E"/>
    <w:rsid w:val="008B4028"/>
    <w:rsid w:val="008B4BA7"/>
    <w:rsid w:val="008B6173"/>
    <w:rsid w:val="008B7EB8"/>
    <w:rsid w:val="008C0B75"/>
    <w:rsid w:val="008C3F7A"/>
    <w:rsid w:val="008C53D4"/>
    <w:rsid w:val="008C6D14"/>
    <w:rsid w:val="008D0C13"/>
    <w:rsid w:val="008D36E2"/>
    <w:rsid w:val="008D5804"/>
    <w:rsid w:val="008E04AE"/>
    <w:rsid w:val="008E0523"/>
    <w:rsid w:val="008E05A2"/>
    <w:rsid w:val="008E08A3"/>
    <w:rsid w:val="008E11C2"/>
    <w:rsid w:val="008E29F1"/>
    <w:rsid w:val="008E2E96"/>
    <w:rsid w:val="008E320E"/>
    <w:rsid w:val="008E32E4"/>
    <w:rsid w:val="008E3E1C"/>
    <w:rsid w:val="008E415A"/>
    <w:rsid w:val="008E5B91"/>
    <w:rsid w:val="008E5BB5"/>
    <w:rsid w:val="008E736D"/>
    <w:rsid w:val="008F023C"/>
    <w:rsid w:val="008F0FAC"/>
    <w:rsid w:val="008F10B9"/>
    <w:rsid w:val="008F17BD"/>
    <w:rsid w:val="008F1B0E"/>
    <w:rsid w:val="008F6282"/>
    <w:rsid w:val="008F67FA"/>
    <w:rsid w:val="00901709"/>
    <w:rsid w:val="009019BF"/>
    <w:rsid w:val="00901E34"/>
    <w:rsid w:val="00903D21"/>
    <w:rsid w:val="00905C82"/>
    <w:rsid w:val="0091036A"/>
    <w:rsid w:val="009115BA"/>
    <w:rsid w:val="0091272B"/>
    <w:rsid w:val="009141A1"/>
    <w:rsid w:val="009153E5"/>
    <w:rsid w:val="00916910"/>
    <w:rsid w:val="00916AE3"/>
    <w:rsid w:val="00921517"/>
    <w:rsid w:val="0092173A"/>
    <w:rsid w:val="00921AA5"/>
    <w:rsid w:val="00922D14"/>
    <w:rsid w:val="00922F1E"/>
    <w:rsid w:val="00924A29"/>
    <w:rsid w:val="009251F1"/>
    <w:rsid w:val="009265A4"/>
    <w:rsid w:val="00931BB2"/>
    <w:rsid w:val="00933491"/>
    <w:rsid w:val="0093712D"/>
    <w:rsid w:val="009411A0"/>
    <w:rsid w:val="00942AB5"/>
    <w:rsid w:val="009433B7"/>
    <w:rsid w:val="00944E30"/>
    <w:rsid w:val="00946D4D"/>
    <w:rsid w:val="00950337"/>
    <w:rsid w:val="00950B86"/>
    <w:rsid w:val="00953585"/>
    <w:rsid w:val="00953D9D"/>
    <w:rsid w:val="00955D8F"/>
    <w:rsid w:val="00955E8D"/>
    <w:rsid w:val="009563F0"/>
    <w:rsid w:val="0096000B"/>
    <w:rsid w:val="009638D5"/>
    <w:rsid w:val="00963D00"/>
    <w:rsid w:val="00965412"/>
    <w:rsid w:val="00965502"/>
    <w:rsid w:val="009666CD"/>
    <w:rsid w:val="009673C9"/>
    <w:rsid w:val="009675FF"/>
    <w:rsid w:val="00967D2A"/>
    <w:rsid w:val="0097094A"/>
    <w:rsid w:val="00971490"/>
    <w:rsid w:val="0097200A"/>
    <w:rsid w:val="009747C4"/>
    <w:rsid w:val="00982129"/>
    <w:rsid w:val="00982A89"/>
    <w:rsid w:val="00982BA7"/>
    <w:rsid w:val="00984385"/>
    <w:rsid w:val="0098471E"/>
    <w:rsid w:val="00984899"/>
    <w:rsid w:val="00986B96"/>
    <w:rsid w:val="009872B8"/>
    <w:rsid w:val="00992976"/>
    <w:rsid w:val="00993D25"/>
    <w:rsid w:val="0099749E"/>
    <w:rsid w:val="009A3F22"/>
    <w:rsid w:val="009A5EC2"/>
    <w:rsid w:val="009A61BF"/>
    <w:rsid w:val="009B0E5B"/>
    <w:rsid w:val="009B51F6"/>
    <w:rsid w:val="009B5D88"/>
    <w:rsid w:val="009B63B1"/>
    <w:rsid w:val="009B6C09"/>
    <w:rsid w:val="009B714A"/>
    <w:rsid w:val="009C0176"/>
    <w:rsid w:val="009C1A15"/>
    <w:rsid w:val="009C23CA"/>
    <w:rsid w:val="009C3A5B"/>
    <w:rsid w:val="009C3E29"/>
    <w:rsid w:val="009C6CE9"/>
    <w:rsid w:val="009C6D9B"/>
    <w:rsid w:val="009C6FA2"/>
    <w:rsid w:val="009C70DF"/>
    <w:rsid w:val="009C74C6"/>
    <w:rsid w:val="009C7E0A"/>
    <w:rsid w:val="009D11E9"/>
    <w:rsid w:val="009D13D1"/>
    <w:rsid w:val="009D58EC"/>
    <w:rsid w:val="009D6B22"/>
    <w:rsid w:val="009D7BB2"/>
    <w:rsid w:val="009E063C"/>
    <w:rsid w:val="009E0D23"/>
    <w:rsid w:val="009E17D0"/>
    <w:rsid w:val="009E4D12"/>
    <w:rsid w:val="009E4F3D"/>
    <w:rsid w:val="009F1FE3"/>
    <w:rsid w:val="009F5230"/>
    <w:rsid w:val="009F631B"/>
    <w:rsid w:val="009F7553"/>
    <w:rsid w:val="009F7F57"/>
    <w:rsid w:val="00A00AB8"/>
    <w:rsid w:val="00A018A9"/>
    <w:rsid w:val="00A0317A"/>
    <w:rsid w:val="00A03D7C"/>
    <w:rsid w:val="00A04AA7"/>
    <w:rsid w:val="00A06D50"/>
    <w:rsid w:val="00A0718A"/>
    <w:rsid w:val="00A075BD"/>
    <w:rsid w:val="00A07AFC"/>
    <w:rsid w:val="00A116E1"/>
    <w:rsid w:val="00A125D1"/>
    <w:rsid w:val="00A14587"/>
    <w:rsid w:val="00A16C20"/>
    <w:rsid w:val="00A2239B"/>
    <w:rsid w:val="00A230CE"/>
    <w:rsid w:val="00A23E37"/>
    <w:rsid w:val="00A25BD5"/>
    <w:rsid w:val="00A2615B"/>
    <w:rsid w:val="00A26F80"/>
    <w:rsid w:val="00A320A4"/>
    <w:rsid w:val="00A32177"/>
    <w:rsid w:val="00A366B1"/>
    <w:rsid w:val="00A36A0B"/>
    <w:rsid w:val="00A36F39"/>
    <w:rsid w:val="00A37B5A"/>
    <w:rsid w:val="00A40154"/>
    <w:rsid w:val="00A44220"/>
    <w:rsid w:val="00A4724A"/>
    <w:rsid w:val="00A47710"/>
    <w:rsid w:val="00A516B1"/>
    <w:rsid w:val="00A51DF7"/>
    <w:rsid w:val="00A53C06"/>
    <w:rsid w:val="00A54353"/>
    <w:rsid w:val="00A5466A"/>
    <w:rsid w:val="00A54A25"/>
    <w:rsid w:val="00A55CF7"/>
    <w:rsid w:val="00A569A4"/>
    <w:rsid w:val="00A57045"/>
    <w:rsid w:val="00A5710D"/>
    <w:rsid w:val="00A61664"/>
    <w:rsid w:val="00A658F6"/>
    <w:rsid w:val="00A6750A"/>
    <w:rsid w:val="00A67B9D"/>
    <w:rsid w:val="00A70D2B"/>
    <w:rsid w:val="00A71576"/>
    <w:rsid w:val="00A744B1"/>
    <w:rsid w:val="00A77644"/>
    <w:rsid w:val="00A77EE6"/>
    <w:rsid w:val="00A80F02"/>
    <w:rsid w:val="00A82760"/>
    <w:rsid w:val="00A838B3"/>
    <w:rsid w:val="00A84490"/>
    <w:rsid w:val="00A861B2"/>
    <w:rsid w:val="00A875AC"/>
    <w:rsid w:val="00A91EF5"/>
    <w:rsid w:val="00A94535"/>
    <w:rsid w:val="00A95CAA"/>
    <w:rsid w:val="00A95D3F"/>
    <w:rsid w:val="00A968CF"/>
    <w:rsid w:val="00AA06CF"/>
    <w:rsid w:val="00AA072A"/>
    <w:rsid w:val="00AA2A1A"/>
    <w:rsid w:val="00AA30C0"/>
    <w:rsid w:val="00AA34BC"/>
    <w:rsid w:val="00AA35BD"/>
    <w:rsid w:val="00AA6C0F"/>
    <w:rsid w:val="00AA761B"/>
    <w:rsid w:val="00AB148A"/>
    <w:rsid w:val="00AB1E49"/>
    <w:rsid w:val="00AB2270"/>
    <w:rsid w:val="00AB39B2"/>
    <w:rsid w:val="00AB4B41"/>
    <w:rsid w:val="00AB569A"/>
    <w:rsid w:val="00AB6CEC"/>
    <w:rsid w:val="00AB6EB6"/>
    <w:rsid w:val="00AB75A6"/>
    <w:rsid w:val="00AB7C2E"/>
    <w:rsid w:val="00AB7D7F"/>
    <w:rsid w:val="00AC03E5"/>
    <w:rsid w:val="00AC1694"/>
    <w:rsid w:val="00AC70D2"/>
    <w:rsid w:val="00AD0B54"/>
    <w:rsid w:val="00AD29A3"/>
    <w:rsid w:val="00AD3CC6"/>
    <w:rsid w:val="00AD6A37"/>
    <w:rsid w:val="00AE0681"/>
    <w:rsid w:val="00AE2023"/>
    <w:rsid w:val="00AE3714"/>
    <w:rsid w:val="00AE3D3C"/>
    <w:rsid w:val="00AE3E8D"/>
    <w:rsid w:val="00AE4780"/>
    <w:rsid w:val="00AE53CB"/>
    <w:rsid w:val="00AE58C6"/>
    <w:rsid w:val="00AF078B"/>
    <w:rsid w:val="00AF222B"/>
    <w:rsid w:val="00AF29D4"/>
    <w:rsid w:val="00AF5B6B"/>
    <w:rsid w:val="00AF6328"/>
    <w:rsid w:val="00AF6A07"/>
    <w:rsid w:val="00B002B7"/>
    <w:rsid w:val="00B00AD8"/>
    <w:rsid w:val="00B010FE"/>
    <w:rsid w:val="00B01AF0"/>
    <w:rsid w:val="00B01BDF"/>
    <w:rsid w:val="00B03C21"/>
    <w:rsid w:val="00B043A4"/>
    <w:rsid w:val="00B07A19"/>
    <w:rsid w:val="00B10C39"/>
    <w:rsid w:val="00B11126"/>
    <w:rsid w:val="00B12C8C"/>
    <w:rsid w:val="00B13E1F"/>
    <w:rsid w:val="00B205A7"/>
    <w:rsid w:val="00B20928"/>
    <w:rsid w:val="00B22FB0"/>
    <w:rsid w:val="00B302E4"/>
    <w:rsid w:val="00B34CBB"/>
    <w:rsid w:val="00B408CD"/>
    <w:rsid w:val="00B4121E"/>
    <w:rsid w:val="00B41BD5"/>
    <w:rsid w:val="00B444E0"/>
    <w:rsid w:val="00B44989"/>
    <w:rsid w:val="00B44B28"/>
    <w:rsid w:val="00B45E05"/>
    <w:rsid w:val="00B46991"/>
    <w:rsid w:val="00B47009"/>
    <w:rsid w:val="00B50887"/>
    <w:rsid w:val="00B50B8D"/>
    <w:rsid w:val="00B535B5"/>
    <w:rsid w:val="00B53C98"/>
    <w:rsid w:val="00B55434"/>
    <w:rsid w:val="00B57466"/>
    <w:rsid w:val="00B6055A"/>
    <w:rsid w:val="00B60F6F"/>
    <w:rsid w:val="00B628CF"/>
    <w:rsid w:val="00B63661"/>
    <w:rsid w:val="00B64ECC"/>
    <w:rsid w:val="00B65B73"/>
    <w:rsid w:val="00B74DF1"/>
    <w:rsid w:val="00B76832"/>
    <w:rsid w:val="00B80885"/>
    <w:rsid w:val="00B8347D"/>
    <w:rsid w:val="00B850F4"/>
    <w:rsid w:val="00B85149"/>
    <w:rsid w:val="00B85261"/>
    <w:rsid w:val="00B86341"/>
    <w:rsid w:val="00B86D14"/>
    <w:rsid w:val="00B87129"/>
    <w:rsid w:val="00B87435"/>
    <w:rsid w:val="00B91368"/>
    <w:rsid w:val="00B91A2E"/>
    <w:rsid w:val="00B9433B"/>
    <w:rsid w:val="00B94DBC"/>
    <w:rsid w:val="00BA01D3"/>
    <w:rsid w:val="00BA0C20"/>
    <w:rsid w:val="00BA1B41"/>
    <w:rsid w:val="00BA2155"/>
    <w:rsid w:val="00BA25FC"/>
    <w:rsid w:val="00BA3304"/>
    <w:rsid w:val="00BA5842"/>
    <w:rsid w:val="00BA6E73"/>
    <w:rsid w:val="00BA708E"/>
    <w:rsid w:val="00BB1C6B"/>
    <w:rsid w:val="00BB65C5"/>
    <w:rsid w:val="00BC0520"/>
    <w:rsid w:val="00BC1814"/>
    <w:rsid w:val="00BC4213"/>
    <w:rsid w:val="00BC47B6"/>
    <w:rsid w:val="00BC62DD"/>
    <w:rsid w:val="00BD4D6D"/>
    <w:rsid w:val="00BD506D"/>
    <w:rsid w:val="00BE2753"/>
    <w:rsid w:val="00BE3377"/>
    <w:rsid w:val="00BE4C67"/>
    <w:rsid w:val="00BE67F9"/>
    <w:rsid w:val="00BF0A5D"/>
    <w:rsid w:val="00BF138A"/>
    <w:rsid w:val="00BF168A"/>
    <w:rsid w:val="00BF1A18"/>
    <w:rsid w:val="00BF28A5"/>
    <w:rsid w:val="00BF5D8E"/>
    <w:rsid w:val="00BF6592"/>
    <w:rsid w:val="00BF6616"/>
    <w:rsid w:val="00C017E9"/>
    <w:rsid w:val="00C03F7B"/>
    <w:rsid w:val="00C054F3"/>
    <w:rsid w:val="00C109DA"/>
    <w:rsid w:val="00C116F2"/>
    <w:rsid w:val="00C126E0"/>
    <w:rsid w:val="00C13471"/>
    <w:rsid w:val="00C13D8F"/>
    <w:rsid w:val="00C15F6C"/>
    <w:rsid w:val="00C1720B"/>
    <w:rsid w:val="00C21D0C"/>
    <w:rsid w:val="00C22B36"/>
    <w:rsid w:val="00C2397C"/>
    <w:rsid w:val="00C2410A"/>
    <w:rsid w:val="00C24954"/>
    <w:rsid w:val="00C261A2"/>
    <w:rsid w:val="00C27F1F"/>
    <w:rsid w:val="00C27F20"/>
    <w:rsid w:val="00C307B5"/>
    <w:rsid w:val="00C30F18"/>
    <w:rsid w:val="00C3149F"/>
    <w:rsid w:val="00C316CE"/>
    <w:rsid w:val="00C31C01"/>
    <w:rsid w:val="00C346A9"/>
    <w:rsid w:val="00C34B1B"/>
    <w:rsid w:val="00C37791"/>
    <w:rsid w:val="00C37905"/>
    <w:rsid w:val="00C414F4"/>
    <w:rsid w:val="00C42BC4"/>
    <w:rsid w:val="00C43D4D"/>
    <w:rsid w:val="00C449D2"/>
    <w:rsid w:val="00C47E44"/>
    <w:rsid w:val="00C50220"/>
    <w:rsid w:val="00C505A0"/>
    <w:rsid w:val="00C523C7"/>
    <w:rsid w:val="00C526E0"/>
    <w:rsid w:val="00C52B91"/>
    <w:rsid w:val="00C53A67"/>
    <w:rsid w:val="00C54BE7"/>
    <w:rsid w:val="00C5597E"/>
    <w:rsid w:val="00C5680C"/>
    <w:rsid w:val="00C57656"/>
    <w:rsid w:val="00C6086E"/>
    <w:rsid w:val="00C615D1"/>
    <w:rsid w:val="00C6280A"/>
    <w:rsid w:val="00C62C95"/>
    <w:rsid w:val="00C64B4A"/>
    <w:rsid w:val="00C65462"/>
    <w:rsid w:val="00C75C99"/>
    <w:rsid w:val="00C76254"/>
    <w:rsid w:val="00C771D7"/>
    <w:rsid w:val="00C84811"/>
    <w:rsid w:val="00C92CCA"/>
    <w:rsid w:val="00C94988"/>
    <w:rsid w:val="00CA4755"/>
    <w:rsid w:val="00CA48BF"/>
    <w:rsid w:val="00CA5C95"/>
    <w:rsid w:val="00CA6371"/>
    <w:rsid w:val="00CB2A92"/>
    <w:rsid w:val="00CB2CAD"/>
    <w:rsid w:val="00CB5026"/>
    <w:rsid w:val="00CB55A5"/>
    <w:rsid w:val="00CB58B6"/>
    <w:rsid w:val="00CC0338"/>
    <w:rsid w:val="00CC0E24"/>
    <w:rsid w:val="00CC107C"/>
    <w:rsid w:val="00CC1B00"/>
    <w:rsid w:val="00CC236A"/>
    <w:rsid w:val="00CC31C0"/>
    <w:rsid w:val="00CC36C2"/>
    <w:rsid w:val="00CC3D0A"/>
    <w:rsid w:val="00CC50DD"/>
    <w:rsid w:val="00CC5CC3"/>
    <w:rsid w:val="00CC7198"/>
    <w:rsid w:val="00CD145C"/>
    <w:rsid w:val="00CD7BEB"/>
    <w:rsid w:val="00CD7CA5"/>
    <w:rsid w:val="00CE357B"/>
    <w:rsid w:val="00CE58C7"/>
    <w:rsid w:val="00CE705D"/>
    <w:rsid w:val="00CE7759"/>
    <w:rsid w:val="00CF0C88"/>
    <w:rsid w:val="00CF565E"/>
    <w:rsid w:val="00CF6F5A"/>
    <w:rsid w:val="00D00B4A"/>
    <w:rsid w:val="00D02045"/>
    <w:rsid w:val="00D023C3"/>
    <w:rsid w:val="00D02F51"/>
    <w:rsid w:val="00D04994"/>
    <w:rsid w:val="00D060DF"/>
    <w:rsid w:val="00D10E7E"/>
    <w:rsid w:val="00D11383"/>
    <w:rsid w:val="00D11EE8"/>
    <w:rsid w:val="00D12276"/>
    <w:rsid w:val="00D13E75"/>
    <w:rsid w:val="00D13E87"/>
    <w:rsid w:val="00D20B47"/>
    <w:rsid w:val="00D20B59"/>
    <w:rsid w:val="00D22AD3"/>
    <w:rsid w:val="00D22FCE"/>
    <w:rsid w:val="00D23838"/>
    <w:rsid w:val="00D23EEF"/>
    <w:rsid w:val="00D24570"/>
    <w:rsid w:val="00D253DD"/>
    <w:rsid w:val="00D2686C"/>
    <w:rsid w:val="00D30200"/>
    <w:rsid w:val="00D33373"/>
    <w:rsid w:val="00D36C18"/>
    <w:rsid w:val="00D36C99"/>
    <w:rsid w:val="00D400EF"/>
    <w:rsid w:val="00D42226"/>
    <w:rsid w:val="00D450C3"/>
    <w:rsid w:val="00D45FB5"/>
    <w:rsid w:val="00D50DAC"/>
    <w:rsid w:val="00D510A3"/>
    <w:rsid w:val="00D5255E"/>
    <w:rsid w:val="00D53B33"/>
    <w:rsid w:val="00D53BA1"/>
    <w:rsid w:val="00D54418"/>
    <w:rsid w:val="00D56466"/>
    <w:rsid w:val="00D61768"/>
    <w:rsid w:val="00D61D8E"/>
    <w:rsid w:val="00D64427"/>
    <w:rsid w:val="00D64B04"/>
    <w:rsid w:val="00D65687"/>
    <w:rsid w:val="00D74859"/>
    <w:rsid w:val="00D76281"/>
    <w:rsid w:val="00D7680D"/>
    <w:rsid w:val="00D76F76"/>
    <w:rsid w:val="00D77A04"/>
    <w:rsid w:val="00D8345B"/>
    <w:rsid w:val="00D85BE1"/>
    <w:rsid w:val="00D86AAC"/>
    <w:rsid w:val="00D873AF"/>
    <w:rsid w:val="00D92169"/>
    <w:rsid w:val="00D9399D"/>
    <w:rsid w:val="00D95D38"/>
    <w:rsid w:val="00D97CF4"/>
    <w:rsid w:val="00DA1807"/>
    <w:rsid w:val="00DA60CD"/>
    <w:rsid w:val="00DA7154"/>
    <w:rsid w:val="00DA76FE"/>
    <w:rsid w:val="00DB00C7"/>
    <w:rsid w:val="00DB020B"/>
    <w:rsid w:val="00DB0642"/>
    <w:rsid w:val="00DB1A95"/>
    <w:rsid w:val="00DB3F1A"/>
    <w:rsid w:val="00DB44B1"/>
    <w:rsid w:val="00DB4F74"/>
    <w:rsid w:val="00DB71C7"/>
    <w:rsid w:val="00DC27CE"/>
    <w:rsid w:val="00DC2962"/>
    <w:rsid w:val="00DC7224"/>
    <w:rsid w:val="00DC79EC"/>
    <w:rsid w:val="00DD0548"/>
    <w:rsid w:val="00DD0658"/>
    <w:rsid w:val="00DD20FA"/>
    <w:rsid w:val="00DD254E"/>
    <w:rsid w:val="00DD6C52"/>
    <w:rsid w:val="00DD6CBD"/>
    <w:rsid w:val="00DD7C5F"/>
    <w:rsid w:val="00DD7F1C"/>
    <w:rsid w:val="00DE0A6F"/>
    <w:rsid w:val="00DE1353"/>
    <w:rsid w:val="00DE266F"/>
    <w:rsid w:val="00DE29EC"/>
    <w:rsid w:val="00DE31EB"/>
    <w:rsid w:val="00DE366C"/>
    <w:rsid w:val="00DE3E1B"/>
    <w:rsid w:val="00DE4272"/>
    <w:rsid w:val="00DE42B0"/>
    <w:rsid w:val="00DE50D4"/>
    <w:rsid w:val="00DE5863"/>
    <w:rsid w:val="00DE5DD3"/>
    <w:rsid w:val="00DF0717"/>
    <w:rsid w:val="00DF5C92"/>
    <w:rsid w:val="00DF5D0B"/>
    <w:rsid w:val="00DF730B"/>
    <w:rsid w:val="00DF7F39"/>
    <w:rsid w:val="00E03489"/>
    <w:rsid w:val="00E05283"/>
    <w:rsid w:val="00E05762"/>
    <w:rsid w:val="00E05B4F"/>
    <w:rsid w:val="00E12D24"/>
    <w:rsid w:val="00E1326E"/>
    <w:rsid w:val="00E20921"/>
    <w:rsid w:val="00E220BB"/>
    <w:rsid w:val="00E266A7"/>
    <w:rsid w:val="00E270AD"/>
    <w:rsid w:val="00E307B6"/>
    <w:rsid w:val="00E30885"/>
    <w:rsid w:val="00E3265E"/>
    <w:rsid w:val="00E361C7"/>
    <w:rsid w:val="00E3641C"/>
    <w:rsid w:val="00E367F5"/>
    <w:rsid w:val="00E3689C"/>
    <w:rsid w:val="00E37758"/>
    <w:rsid w:val="00E424B4"/>
    <w:rsid w:val="00E42C36"/>
    <w:rsid w:val="00E43EBE"/>
    <w:rsid w:val="00E45028"/>
    <w:rsid w:val="00E45050"/>
    <w:rsid w:val="00E50A94"/>
    <w:rsid w:val="00E50CAE"/>
    <w:rsid w:val="00E50FDA"/>
    <w:rsid w:val="00E55A40"/>
    <w:rsid w:val="00E646D6"/>
    <w:rsid w:val="00E704F8"/>
    <w:rsid w:val="00E711C3"/>
    <w:rsid w:val="00E72A90"/>
    <w:rsid w:val="00E743DD"/>
    <w:rsid w:val="00E74E26"/>
    <w:rsid w:val="00E76BFF"/>
    <w:rsid w:val="00E76C25"/>
    <w:rsid w:val="00E777CE"/>
    <w:rsid w:val="00E81B1D"/>
    <w:rsid w:val="00E81F9D"/>
    <w:rsid w:val="00E8241B"/>
    <w:rsid w:val="00E828F6"/>
    <w:rsid w:val="00E838DF"/>
    <w:rsid w:val="00E9051B"/>
    <w:rsid w:val="00E90D45"/>
    <w:rsid w:val="00E90EBF"/>
    <w:rsid w:val="00E920F5"/>
    <w:rsid w:val="00E96A36"/>
    <w:rsid w:val="00EA07F5"/>
    <w:rsid w:val="00EA172D"/>
    <w:rsid w:val="00EA49A2"/>
    <w:rsid w:val="00EA5F23"/>
    <w:rsid w:val="00EA79EA"/>
    <w:rsid w:val="00EA7D67"/>
    <w:rsid w:val="00EB0375"/>
    <w:rsid w:val="00EB174A"/>
    <w:rsid w:val="00EB299A"/>
    <w:rsid w:val="00EB2CF2"/>
    <w:rsid w:val="00EB4D8E"/>
    <w:rsid w:val="00EB53D0"/>
    <w:rsid w:val="00EB7507"/>
    <w:rsid w:val="00EB7B83"/>
    <w:rsid w:val="00EC1FAD"/>
    <w:rsid w:val="00EC3A0F"/>
    <w:rsid w:val="00EC41B6"/>
    <w:rsid w:val="00EC4D34"/>
    <w:rsid w:val="00EC5C07"/>
    <w:rsid w:val="00EC73C2"/>
    <w:rsid w:val="00ED169D"/>
    <w:rsid w:val="00ED1C1C"/>
    <w:rsid w:val="00ED2037"/>
    <w:rsid w:val="00ED2842"/>
    <w:rsid w:val="00ED3C90"/>
    <w:rsid w:val="00ED4C5F"/>
    <w:rsid w:val="00ED78A2"/>
    <w:rsid w:val="00EE148A"/>
    <w:rsid w:val="00EE4279"/>
    <w:rsid w:val="00EE5EA2"/>
    <w:rsid w:val="00EE69DA"/>
    <w:rsid w:val="00EF16EF"/>
    <w:rsid w:val="00EF22C5"/>
    <w:rsid w:val="00F012C3"/>
    <w:rsid w:val="00F020BA"/>
    <w:rsid w:val="00F0641D"/>
    <w:rsid w:val="00F07C0D"/>
    <w:rsid w:val="00F1041A"/>
    <w:rsid w:val="00F10757"/>
    <w:rsid w:val="00F111AD"/>
    <w:rsid w:val="00F116DD"/>
    <w:rsid w:val="00F12439"/>
    <w:rsid w:val="00F12F3D"/>
    <w:rsid w:val="00F134AC"/>
    <w:rsid w:val="00F173FE"/>
    <w:rsid w:val="00F21C9A"/>
    <w:rsid w:val="00F24751"/>
    <w:rsid w:val="00F26568"/>
    <w:rsid w:val="00F2758D"/>
    <w:rsid w:val="00F27A7F"/>
    <w:rsid w:val="00F32230"/>
    <w:rsid w:val="00F32B4F"/>
    <w:rsid w:val="00F33069"/>
    <w:rsid w:val="00F3315C"/>
    <w:rsid w:val="00F347B4"/>
    <w:rsid w:val="00F34D51"/>
    <w:rsid w:val="00F35EBF"/>
    <w:rsid w:val="00F378E0"/>
    <w:rsid w:val="00F40876"/>
    <w:rsid w:val="00F418D7"/>
    <w:rsid w:val="00F42505"/>
    <w:rsid w:val="00F43B78"/>
    <w:rsid w:val="00F4698F"/>
    <w:rsid w:val="00F4719B"/>
    <w:rsid w:val="00F47458"/>
    <w:rsid w:val="00F50D1F"/>
    <w:rsid w:val="00F516FD"/>
    <w:rsid w:val="00F54537"/>
    <w:rsid w:val="00F549C2"/>
    <w:rsid w:val="00F55224"/>
    <w:rsid w:val="00F608C4"/>
    <w:rsid w:val="00F60E54"/>
    <w:rsid w:val="00F61D14"/>
    <w:rsid w:val="00F61D38"/>
    <w:rsid w:val="00F6345F"/>
    <w:rsid w:val="00F63972"/>
    <w:rsid w:val="00F6760A"/>
    <w:rsid w:val="00F70ED9"/>
    <w:rsid w:val="00F72541"/>
    <w:rsid w:val="00F73626"/>
    <w:rsid w:val="00F7695F"/>
    <w:rsid w:val="00F77AC2"/>
    <w:rsid w:val="00F84FD4"/>
    <w:rsid w:val="00F85C1E"/>
    <w:rsid w:val="00F86F1F"/>
    <w:rsid w:val="00F90089"/>
    <w:rsid w:val="00F917B6"/>
    <w:rsid w:val="00F91DED"/>
    <w:rsid w:val="00F93311"/>
    <w:rsid w:val="00F93F2A"/>
    <w:rsid w:val="00F96D42"/>
    <w:rsid w:val="00FA1D2A"/>
    <w:rsid w:val="00FA2130"/>
    <w:rsid w:val="00FA4B88"/>
    <w:rsid w:val="00FA5535"/>
    <w:rsid w:val="00FA5B87"/>
    <w:rsid w:val="00FA6251"/>
    <w:rsid w:val="00FB2EA0"/>
    <w:rsid w:val="00FB30DB"/>
    <w:rsid w:val="00FB3297"/>
    <w:rsid w:val="00FB3CFF"/>
    <w:rsid w:val="00FB62A1"/>
    <w:rsid w:val="00FB6BC0"/>
    <w:rsid w:val="00FB6DE1"/>
    <w:rsid w:val="00FB7641"/>
    <w:rsid w:val="00FC160B"/>
    <w:rsid w:val="00FC27A2"/>
    <w:rsid w:val="00FC35CB"/>
    <w:rsid w:val="00FC4A5B"/>
    <w:rsid w:val="00FC4BB4"/>
    <w:rsid w:val="00FC4F79"/>
    <w:rsid w:val="00FD22F0"/>
    <w:rsid w:val="00FD27D3"/>
    <w:rsid w:val="00FD2CDA"/>
    <w:rsid w:val="00FD34F9"/>
    <w:rsid w:val="00FD3826"/>
    <w:rsid w:val="00FD3DE5"/>
    <w:rsid w:val="00FD473A"/>
    <w:rsid w:val="00FD5935"/>
    <w:rsid w:val="00FD6BB5"/>
    <w:rsid w:val="00FE26A1"/>
    <w:rsid w:val="00FE2B96"/>
    <w:rsid w:val="00FE379A"/>
    <w:rsid w:val="00FE546D"/>
    <w:rsid w:val="00FE5FF9"/>
    <w:rsid w:val="00FE613B"/>
    <w:rsid w:val="00FE76E2"/>
    <w:rsid w:val="00FF01F3"/>
    <w:rsid w:val="00FF1E0B"/>
    <w:rsid w:val="00FF44BF"/>
    <w:rsid w:val="00FF58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AFFFE"/>
  <w15:chartTrackingRefBased/>
  <w15:docId w15:val="{BB76C57E-39AC-7F4A-9660-1E8C19271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0F6C"/>
    <w:rPr>
      <w:rFonts w:ascii="Times New Roman" w:eastAsia="Times New Roman" w:hAnsi="Times New Roman" w:cs="Times New Roman"/>
    </w:rPr>
  </w:style>
  <w:style w:type="paragraph" w:styleId="Heading1">
    <w:name w:val="heading 1"/>
    <w:basedOn w:val="Normal"/>
    <w:link w:val="Heading1Char"/>
    <w:uiPriority w:val="9"/>
    <w:qFormat/>
    <w:rsid w:val="00C5680C"/>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BF138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35C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F28A5"/>
  </w:style>
  <w:style w:type="character" w:styleId="Hyperlink">
    <w:name w:val="Hyperlink"/>
    <w:basedOn w:val="DefaultParagraphFont"/>
    <w:uiPriority w:val="99"/>
    <w:unhideWhenUsed/>
    <w:rsid w:val="00C42BC4"/>
    <w:rPr>
      <w:color w:val="0000FF"/>
      <w:u w:val="single"/>
    </w:rPr>
  </w:style>
  <w:style w:type="paragraph" w:styleId="Footer">
    <w:name w:val="footer"/>
    <w:basedOn w:val="Normal"/>
    <w:link w:val="FooterChar"/>
    <w:uiPriority w:val="99"/>
    <w:unhideWhenUsed/>
    <w:rsid w:val="00211F6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211F6E"/>
  </w:style>
  <w:style w:type="character" w:styleId="PageNumber">
    <w:name w:val="page number"/>
    <w:basedOn w:val="DefaultParagraphFont"/>
    <w:uiPriority w:val="99"/>
    <w:semiHidden/>
    <w:unhideWhenUsed/>
    <w:rsid w:val="00211F6E"/>
  </w:style>
  <w:style w:type="paragraph" w:styleId="Header">
    <w:name w:val="header"/>
    <w:basedOn w:val="Normal"/>
    <w:link w:val="HeaderChar"/>
    <w:uiPriority w:val="99"/>
    <w:unhideWhenUsed/>
    <w:rsid w:val="00211F6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211F6E"/>
  </w:style>
  <w:style w:type="character" w:customStyle="1" w:styleId="UnresolvedMention1">
    <w:name w:val="Unresolved Mention1"/>
    <w:basedOn w:val="DefaultParagraphFont"/>
    <w:uiPriority w:val="99"/>
    <w:semiHidden/>
    <w:unhideWhenUsed/>
    <w:rsid w:val="009747C4"/>
    <w:rPr>
      <w:color w:val="605E5C"/>
      <w:shd w:val="clear" w:color="auto" w:fill="E1DFDD"/>
    </w:rPr>
  </w:style>
  <w:style w:type="character" w:styleId="FollowedHyperlink">
    <w:name w:val="FollowedHyperlink"/>
    <w:basedOn w:val="DefaultParagraphFont"/>
    <w:uiPriority w:val="99"/>
    <w:semiHidden/>
    <w:unhideWhenUsed/>
    <w:rsid w:val="00806016"/>
    <w:rPr>
      <w:color w:val="954F72" w:themeColor="followedHyperlink"/>
      <w:u w:val="single"/>
    </w:rPr>
  </w:style>
  <w:style w:type="paragraph" w:styleId="ListParagraph">
    <w:name w:val="List Paragraph"/>
    <w:basedOn w:val="Normal"/>
    <w:uiPriority w:val="34"/>
    <w:qFormat/>
    <w:rsid w:val="00C22B36"/>
    <w:pPr>
      <w:ind w:left="720"/>
      <w:contextualSpacing/>
    </w:pPr>
    <w:rPr>
      <w:rFonts w:asciiTheme="minorHAnsi" w:eastAsiaTheme="minorHAnsi" w:hAnsiTheme="minorHAnsi" w:cstheme="minorBidi"/>
    </w:rPr>
  </w:style>
  <w:style w:type="character" w:customStyle="1" w:styleId="hgkelc">
    <w:name w:val="hgkelc"/>
    <w:basedOn w:val="DefaultParagraphFont"/>
    <w:rsid w:val="00F43B78"/>
  </w:style>
  <w:style w:type="paragraph" w:customStyle="1" w:styleId="Default">
    <w:name w:val="Default"/>
    <w:rsid w:val="004C258B"/>
    <w:pPr>
      <w:autoSpaceDE w:val="0"/>
      <w:autoSpaceDN w:val="0"/>
      <w:adjustRightInd w:val="0"/>
    </w:pPr>
    <w:rPr>
      <w:rFonts w:ascii="Minion Pro" w:hAnsi="Minion Pro" w:cs="Minion Pro"/>
      <w:color w:val="000000"/>
    </w:rPr>
  </w:style>
  <w:style w:type="character" w:customStyle="1" w:styleId="acopre">
    <w:name w:val="acopre"/>
    <w:basedOn w:val="DefaultParagraphFont"/>
    <w:rsid w:val="00435236"/>
  </w:style>
  <w:style w:type="paragraph" w:styleId="NormalWeb">
    <w:name w:val="Normal (Web)"/>
    <w:basedOn w:val="Normal"/>
    <w:uiPriority w:val="99"/>
    <w:unhideWhenUsed/>
    <w:rsid w:val="00B76832"/>
    <w:pPr>
      <w:spacing w:before="100" w:beforeAutospacing="1" w:after="100" w:afterAutospacing="1"/>
    </w:pPr>
  </w:style>
  <w:style w:type="character" w:styleId="Emphasis">
    <w:name w:val="Emphasis"/>
    <w:basedOn w:val="DefaultParagraphFont"/>
    <w:uiPriority w:val="20"/>
    <w:qFormat/>
    <w:rsid w:val="00B76832"/>
    <w:rPr>
      <w:i/>
      <w:iCs/>
    </w:rPr>
  </w:style>
  <w:style w:type="character" w:customStyle="1" w:styleId="Heading1Char">
    <w:name w:val="Heading 1 Char"/>
    <w:basedOn w:val="DefaultParagraphFont"/>
    <w:link w:val="Heading1"/>
    <w:uiPriority w:val="9"/>
    <w:rsid w:val="00C5680C"/>
    <w:rPr>
      <w:rFonts w:ascii="Times New Roman" w:eastAsia="Times New Roman" w:hAnsi="Times New Roman" w:cs="Times New Roman"/>
      <w:b/>
      <w:bCs/>
      <w:kern w:val="36"/>
      <w:sz w:val="48"/>
      <w:szCs w:val="48"/>
    </w:rPr>
  </w:style>
  <w:style w:type="character" w:customStyle="1" w:styleId="fn">
    <w:name w:val="fn"/>
    <w:basedOn w:val="DefaultParagraphFont"/>
    <w:rsid w:val="00326573"/>
  </w:style>
  <w:style w:type="character" w:customStyle="1" w:styleId="Subtitle1">
    <w:name w:val="Subtitle1"/>
    <w:basedOn w:val="DefaultParagraphFont"/>
    <w:rsid w:val="00326573"/>
  </w:style>
  <w:style w:type="character" w:customStyle="1" w:styleId="a-size-extra-large">
    <w:name w:val="a-size-extra-large"/>
    <w:basedOn w:val="DefaultParagraphFont"/>
    <w:rsid w:val="0021749A"/>
  </w:style>
  <w:style w:type="paragraph" w:customStyle="1" w:styleId="c-dek">
    <w:name w:val="c-dek"/>
    <w:basedOn w:val="Normal"/>
    <w:rsid w:val="00BF6616"/>
    <w:pPr>
      <w:spacing w:before="100" w:beforeAutospacing="1" w:after="100" w:afterAutospacing="1"/>
    </w:pPr>
  </w:style>
  <w:style w:type="paragraph" w:styleId="HTMLAddress">
    <w:name w:val="HTML Address"/>
    <w:basedOn w:val="Normal"/>
    <w:link w:val="HTMLAddressChar"/>
    <w:uiPriority w:val="99"/>
    <w:unhideWhenUsed/>
    <w:rsid w:val="00BF6616"/>
    <w:rPr>
      <w:i/>
      <w:iCs/>
    </w:rPr>
  </w:style>
  <w:style w:type="character" w:customStyle="1" w:styleId="HTMLAddressChar">
    <w:name w:val="HTML Address Char"/>
    <w:basedOn w:val="DefaultParagraphFont"/>
    <w:link w:val="HTMLAddress"/>
    <w:uiPriority w:val="99"/>
    <w:rsid w:val="00BF6616"/>
    <w:rPr>
      <w:rFonts w:ascii="Times New Roman" w:eastAsia="Times New Roman" w:hAnsi="Times New Roman" w:cs="Times New Roman"/>
      <w:i/>
      <w:iCs/>
    </w:rPr>
  </w:style>
  <w:style w:type="character" w:customStyle="1" w:styleId="c-bylineauthor">
    <w:name w:val="c-byline__author"/>
    <w:basedOn w:val="DefaultParagraphFont"/>
    <w:rsid w:val="00BF6616"/>
  </w:style>
  <w:style w:type="character" w:customStyle="1" w:styleId="nlmarticle-title">
    <w:name w:val="nlm_article-title"/>
    <w:basedOn w:val="DefaultParagraphFont"/>
    <w:rsid w:val="00BF6592"/>
  </w:style>
  <w:style w:type="character" w:customStyle="1" w:styleId="Heading3Char">
    <w:name w:val="Heading 3 Char"/>
    <w:basedOn w:val="DefaultParagraphFont"/>
    <w:link w:val="Heading3"/>
    <w:uiPriority w:val="9"/>
    <w:rsid w:val="00FC35CB"/>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6F1F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uthors">
    <w:name w:val="authors"/>
    <w:basedOn w:val="DefaultParagraphFont"/>
    <w:rsid w:val="00FD6BB5"/>
  </w:style>
  <w:style w:type="character" w:customStyle="1" w:styleId="Date1">
    <w:name w:val="Date1"/>
    <w:basedOn w:val="DefaultParagraphFont"/>
    <w:rsid w:val="00FD6BB5"/>
  </w:style>
  <w:style w:type="character" w:customStyle="1" w:styleId="arttitle">
    <w:name w:val="art_title"/>
    <w:basedOn w:val="DefaultParagraphFont"/>
    <w:rsid w:val="00FD6BB5"/>
  </w:style>
  <w:style w:type="character" w:customStyle="1" w:styleId="serialtitle">
    <w:name w:val="serial_title"/>
    <w:basedOn w:val="DefaultParagraphFont"/>
    <w:rsid w:val="00FD6BB5"/>
  </w:style>
  <w:style w:type="character" w:customStyle="1" w:styleId="volumeissue">
    <w:name w:val="volume_issue"/>
    <w:basedOn w:val="DefaultParagraphFont"/>
    <w:rsid w:val="00FD6BB5"/>
  </w:style>
  <w:style w:type="character" w:customStyle="1" w:styleId="pagerange">
    <w:name w:val="page_range"/>
    <w:basedOn w:val="DefaultParagraphFont"/>
    <w:rsid w:val="00FD6BB5"/>
  </w:style>
  <w:style w:type="character" w:customStyle="1" w:styleId="doilink">
    <w:name w:val="doi_link"/>
    <w:basedOn w:val="DefaultParagraphFont"/>
    <w:rsid w:val="00FD6BB5"/>
  </w:style>
  <w:style w:type="paragraph" w:styleId="FootnoteText">
    <w:name w:val="footnote text"/>
    <w:basedOn w:val="Normal"/>
    <w:link w:val="FootnoteTextChar"/>
    <w:uiPriority w:val="99"/>
    <w:semiHidden/>
    <w:unhideWhenUsed/>
    <w:rsid w:val="00BA5842"/>
    <w:rPr>
      <w:sz w:val="20"/>
      <w:szCs w:val="20"/>
    </w:rPr>
  </w:style>
  <w:style w:type="character" w:customStyle="1" w:styleId="FootnoteTextChar">
    <w:name w:val="Footnote Text Char"/>
    <w:basedOn w:val="DefaultParagraphFont"/>
    <w:link w:val="FootnoteText"/>
    <w:uiPriority w:val="99"/>
    <w:semiHidden/>
    <w:rsid w:val="00BA5842"/>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BA5842"/>
    <w:rPr>
      <w:vertAlign w:val="superscript"/>
    </w:rPr>
  </w:style>
  <w:style w:type="paragraph" w:styleId="BalloonText">
    <w:name w:val="Balloon Text"/>
    <w:basedOn w:val="Normal"/>
    <w:link w:val="BalloonTextChar"/>
    <w:uiPriority w:val="99"/>
    <w:semiHidden/>
    <w:unhideWhenUsed/>
    <w:rsid w:val="00BA6E73"/>
    <w:rPr>
      <w:sz w:val="18"/>
      <w:szCs w:val="18"/>
    </w:rPr>
  </w:style>
  <w:style w:type="character" w:customStyle="1" w:styleId="BalloonTextChar">
    <w:name w:val="Balloon Text Char"/>
    <w:basedOn w:val="DefaultParagraphFont"/>
    <w:link w:val="BalloonText"/>
    <w:uiPriority w:val="99"/>
    <w:semiHidden/>
    <w:rsid w:val="00BA6E73"/>
    <w:rPr>
      <w:rFonts w:ascii="Times New Roman" w:eastAsia="Times New Roman" w:hAnsi="Times New Roman" w:cs="Times New Roman"/>
      <w:sz w:val="18"/>
      <w:szCs w:val="18"/>
    </w:rPr>
  </w:style>
  <w:style w:type="character" w:customStyle="1" w:styleId="Heading2Char">
    <w:name w:val="Heading 2 Char"/>
    <w:basedOn w:val="DefaultParagraphFont"/>
    <w:link w:val="Heading2"/>
    <w:uiPriority w:val="9"/>
    <w:rsid w:val="00BF138A"/>
    <w:rPr>
      <w:rFonts w:asciiTheme="majorHAnsi" w:eastAsiaTheme="majorEastAsia" w:hAnsiTheme="majorHAnsi" w:cstheme="majorBidi"/>
      <w:color w:val="2F5496" w:themeColor="accent1" w:themeShade="BF"/>
      <w:sz w:val="26"/>
      <w:szCs w:val="26"/>
    </w:rPr>
  </w:style>
  <w:style w:type="paragraph" w:styleId="EndnoteText">
    <w:name w:val="endnote text"/>
    <w:basedOn w:val="Normal"/>
    <w:link w:val="EndnoteTextChar"/>
    <w:uiPriority w:val="99"/>
    <w:semiHidden/>
    <w:unhideWhenUsed/>
    <w:rsid w:val="008B4BA7"/>
    <w:rPr>
      <w:sz w:val="20"/>
      <w:szCs w:val="20"/>
    </w:rPr>
  </w:style>
  <w:style w:type="character" w:customStyle="1" w:styleId="EndnoteTextChar">
    <w:name w:val="Endnote Text Char"/>
    <w:basedOn w:val="DefaultParagraphFont"/>
    <w:link w:val="EndnoteText"/>
    <w:uiPriority w:val="99"/>
    <w:semiHidden/>
    <w:rsid w:val="008B4BA7"/>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8B4BA7"/>
    <w:rPr>
      <w:vertAlign w:val="superscript"/>
    </w:rPr>
  </w:style>
  <w:style w:type="character" w:styleId="CommentReference">
    <w:name w:val="annotation reference"/>
    <w:basedOn w:val="DefaultParagraphFont"/>
    <w:uiPriority w:val="99"/>
    <w:semiHidden/>
    <w:unhideWhenUsed/>
    <w:rsid w:val="00CD145C"/>
    <w:rPr>
      <w:sz w:val="16"/>
      <w:szCs w:val="16"/>
    </w:rPr>
  </w:style>
  <w:style w:type="paragraph" w:styleId="CommentText">
    <w:name w:val="annotation text"/>
    <w:basedOn w:val="Normal"/>
    <w:link w:val="CommentTextChar"/>
    <w:uiPriority w:val="99"/>
    <w:semiHidden/>
    <w:unhideWhenUsed/>
    <w:rsid w:val="00CD145C"/>
    <w:rPr>
      <w:sz w:val="20"/>
      <w:szCs w:val="20"/>
    </w:rPr>
  </w:style>
  <w:style w:type="character" w:customStyle="1" w:styleId="CommentTextChar">
    <w:name w:val="Comment Text Char"/>
    <w:basedOn w:val="DefaultParagraphFont"/>
    <w:link w:val="CommentText"/>
    <w:uiPriority w:val="99"/>
    <w:semiHidden/>
    <w:rsid w:val="00CD145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D145C"/>
    <w:rPr>
      <w:b/>
      <w:bCs/>
    </w:rPr>
  </w:style>
  <w:style w:type="character" w:customStyle="1" w:styleId="CommentSubjectChar">
    <w:name w:val="Comment Subject Char"/>
    <w:basedOn w:val="CommentTextChar"/>
    <w:link w:val="CommentSubject"/>
    <w:uiPriority w:val="99"/>
    <w:semiHidden/>
    <w:rsid w:val="00CD145C"/>
    <w:rPr>
      <w:rFonts w:ascii="Times New Roman" w:eastAsia="Times New Roman" w:hAnsi="Times New Roman" w:cs="Times New Roman"/>
      <w:b/>
      <w:bCs/>
      <w:sz w:val="20"/>
      <w:szCs w:val="20"/>
    </w:rPr>
  </w:style>
  <w:style w:type="paragraph" w:styleId="Revision">
    <w:name w:val="Revision"/>
    <w:hidden/>
    <w:uiPriority w:val="99"/>
    <w:semiHidden/>
    <w:rsid w:val="00E266A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85678">
      <w:bodyDiv w:val="1"/>
      <w:marLeft w:val="0"/>
      <w:marRight w:val="0"/>
      <w:marTop w:val="0"/>
      <w:marBottom w:val="0"/>
      <w:divBdr>
        <w:top w:val="none" w:sz="0" w:space="0" w:color="auto"/>
        <w:left w:val="none" w:sz="0" w:space="0" w:color="auto"/>
        <w:bottom w:val="none" w:sz="0" w:space="0" w:color="auto"/>
        <w:right w:val="none" w:sz="0" w:space="0" w:color="auto"/>
      </w:divBdr>
    </w:div>
    <w:div w:id="156576373">
      <w:bodyDiv w:val="1"/>
      <w:marLeft w:val="0"/>
      <w:marRight w:val="0"/>
      <w:marTop w:val="0"/>
      <w:marBottom w:val="0"/>
      <w:divBdr>
        <w:top w:val="none" w:sz="0" w:space="0" w:color="auto"/>
        <w:left w:val="none" w:sz="0" w:space="0" w:color="auto"/>
        <w:bottom w:val="none" w:sz="0" w:space="0" w:color="auto"/>
        <w:right w:val="none" w:sz="0" w:space="0" w:color="auto"/>
      </w:divBdr>
    </w:div>
    <w:div w:id="242380415">
      <w:bodyDiv w:val="1"/>
      <w:marLeft w:val="0"/>
      <w:marRight w:val="0"/>
      <w:marTop w:val="0"/>
      <w:marBottom w:val="0"/>
      <w:divBdr>
        <w:top w:val="none" w:sz="0" w:space="0" w:color="auto"/>
        <w:left w:val="none" w:sz="0" w:space="0" w:color="auto"/>
        <w:bottom w:val="none" w:sz="0" w:space="0" w:color="auto"/>
        <w:right w:val="none" w:sz="0" w:space="0" w:color="auto"/>
      </w:divBdr>
    </w:div>
    <w:div w:id="242955814">
      <w:bodyDiv w:val="1"/>
      <w:marLeft w:val="0"/>
      <w:marRight w:val="0"/>
      <w:marTop w:val="0"/>
      <w:marBottom w:val="0"/>
      <w:divBdr>
        <w:top w:val="none" w:sz="0" w:space="0" w:color="auto"/>
        <w:left w:val="none" w:sz="0" w:space="0" w:color="auto"/>
        <w:bottom w:val="none" w:sz="0" w:space="0" w:color="auto"/>
        <w:right w:val="none" w:sz="0" w:space="0" w:color="auto"/>
      </w:divBdr>
    </w:div>
    <w:div w:id="327557413">
      <w:bodyDiv w:val="1"/>
      <w:marLeft w:val="0"/>
      <w:marRight w:val="0"/>
      <w:marTop w:val="0"/>
      <w:marBottom w:val="0"/>
      <w:divBdr>
        <w:top w:val="none" w:sz="0" w:space="0" w:color="auto"/>
        <w:left w:val="none" w:sz="0" w:space="0" w:color="auto"/>
        <w:bottom w:val="none" w:sz="0" w:space="0" w:color="auto"/>
        <w:right w:val="none" w:sz="0" w:space="0" w:color="auto"/>
      </w:divBdr>
    </w:div>
    <w:div w:id="430588635">
      <w:bodyDiv w:val="1"/>
      <w:marLeft w:val="0"/>
      <w:marRight w:val="0"/>
      <w:marTop w:val="0"/>
      <w:marBottom w:val="0"/>
      <w:divBdr>
        <w:top w:val="none" w:sz="0" w:space="0" w:color="auto"/>
        <w:left w:val="none" w:sz="0" w:space="0" w:color="auto"/>
        <w:bottom w:val="none" w:sz="0" w:space="0" w:color="auto"/>
        <w:right w:val="none" w:sz="0" w:space="0" w:color="auto"/>
      </w:divBdr>
      <w:divsChild>
        <w:div w:id="597906335">
          <w:marLeft w:val="0"/>
          <w:marRight w:val="0"/>
          <w:marTop w:val="0"/>
          <w:marBottom w:val="0"/>
          <w:divBdr>
            <w:top w:val="none" w:sz="0" w:space="0" w:color="auto"/>
            <w:left w:val="none" w:sz="0" w:space="0" w:color="auto"/>
            <w:bottom w:val="none" w:sz="0" w:space="0" w:color="auto"/>
            <w:right w:val="none" w:sz="0" w:space="0" w:color="auto"/>
          </w:divBdr>
        </w:div>
      </w:divsChild>
    </w:div>
    <w:div w:id="446388794">
      <w:bodyDiv w:val="1"/>
      <w:marLeft w:val="0"/>
      <w:marRight w:val="0"/>
      <w:marTop w:val="0"/>
      <w:marBottom w:val="0"/>
      <w:divBdr>
        <w:top w:val="none" w:sz="0" w:space="0" w:color="auto"/>
        <w:left w:val="none" w:sz="0" w:space="0" w:color="auto"/>
        <w:bottom w:val="none" w:sz="0" w:space="0" w:color="auto"/>
        <w:right w:val="none" w:sz="0" w:space="0" w:color="auto"/>
      </w:divBdr>
    </w:div>
    <w:div w:id="580068425">
      <w:bodyDiv w:val="1"/>
      <w:marLeft w:val="0"/>
      <w:marRight w:val="0"/>
      <w:marTop w:val="0"/>
      <w:marBottom w:val="0"/>
      <w:divBdr>
        <w:top w:val="none" w:sz="0" w:space="0" w:color="auto"/>
        <w:left w:val="none" w:sz="0" w:space="0" w:color="auto"/>
        <w:bottom w:val="none" w:sz="0" w:space="0" w:color="auto"/>
        <w:right w:val="none" w:sz="0" w:space="0" w:color="auto"/>
      </w:divBdr>
    </w:div>
    <w:div w:id="609360643">
      <w:bodyDiv w:val="1"/>
      <w:marLeft w:val="0"/>
      <w:marRight w:val="0"/>
      <w:marTop w:val="0"/>
      <w:marBottom w:val="0"/>
      <w:divBdr>
        <w:top w:val="none" w:sz="0" w:space="0" w:color="auto"/>
        <w:left w:val="none" w:sz="0" w:space="0" w:color="auto"/>
        <w:bottom w:val="none" w:sz="0" w:space="0" w:color="auto"/>
        <w:right w:val="none" w:sz="0" w:space="0" w:color="auto"/>
      </w:divBdr>
    </w:div>
    <w:div w:id="634526719">
      <w:bodyDiv w:val="1"/>
      <w:marLeft w:val="0"/>
      <w:marRight w:val="0"/>
      <w:marTop w:val="0"/>
      <w:marBottom w:val="0"/>
      <w:divBdr>
        <w:top w:val="none" w:sz="0" w:space="0" w:color="auto"/>
        <w:left w:val="none" w:sz="0" w:space="0" w:color="auto"/>
        <w:bottom w:val="none" w:sz="0" w:space="0" w:color="auto"/>
        <w:right w:val="none" w:sz="0" w:space="0" w:color="auto"/>
      </w:divBdr>
    </w:div>
    <w:div w:id="645210208">
      <w:bodyDiv w:val="1"/>
      <w:marLeft w:val="0"/>
      <w:marRight w:val="0"/>
      <w:marTop w:val="0"/>
      <w:marBottom w:val="0"/>
      <w:divBdr>
        <w:top w:val="none" w:sz="0" w:space="0" w:color="auto"/>
        <w:left w:val="none" w:sz="0" w:space="0" w:color="auto"/>
        <w:bottom w:val="none" w:sz="0" w:space="0" w:color="auto"/>
        <w:right w:val="none" w:sz="0" w:space="0" w:color="auto"/>
      </w:divBdr>
    </w:div>
    <w:div w:id="650595505">
      <w:bodyDiv w:val="1"/>
      <w:marLeft w:val="0"/>
      <w:marRight w:val="0"/>
      <w:marTop w:val="0"/>
      <w:marBottom w:val="0"/>
      <w:divBdr>
        <w:top w:val="none" w:sz="0" w:space="0" w:color="auto"/>
        <w:left w:val="none" w:sz="0" w:space="0" w:color="auto"/>
        <w:bottom w:val="none" w:sz="0" w:space="0" w:color="auto"/>
        <w:right w:val="none" w:sz="0" w:space="0" w:color="auto"/>
      </w:divBdr>
    </w:div>
    <w:div w:id="819924878">
      <w:bodyDiv w:val="1"/>
      <w:marLeft w:val="0"/>
      <w:marRight w:val="0"/>
      <w:marTop w:val="0"/>
      <w:marBottom w:val="0"/>
      <w:divBdr>
        <w:top w:val="none" w:sz="0" w:space="0" w:color="auto"/>
        <w:left w:val="none" w:sz="0" w:space="0" w:color="auto"/>
        <w:bottom w:val="none" w:sz="0" w:space="0" w:color="auto"/>
        <w:right w:val="none" w:sz="0" w:space="0" w:color="auto"/>
      </w:divBdr>
    </w:div>
    <w:div w:id="842551206">
      <w:bodyDiv w:val="1"/>
      <w:marLeft w:val="0"/>
      <w:marRight w:val="0"/>
      <w:marTop w:val="0"/>
      <w:marBottom w:val="0"/>
      <w:divBdr>
        <w:top w:val="none" w:sz="0" w:space="0" w:color="auto"/>
        <w:left w:val="none" w:sz="0" w:space="0" w:color="auto"/>
        <w:bottom w:val="none" w:sz="0" w:space="0" w:color="auto"/>
        <w:right w:val="none" w:sz="0" w:space="0" w:color="auto"/>
      </w:divBdr>
    </w:div>
    <w:div w:id="988828385">
      <w:bodyDiv w:val="1"/>
      <w:marLeft w:val="0"/>
      <w:marRight w:val="0"/>
      <w:marTop w:val="0"/>
      <w:marBottom w:val="0"/>
      <w:divBdr>
        <w:top w:val="none" w:sz="0" w:space="0" w:color="auto"/>
        <w:left w:val="none" w:sz="0" w:space="0" w:color="auto"/>
        <w:bottom w:val="none" w:sz="0" w:space="0" w:color="auto"/>
        <w:right w:val="none" w:sz="0" w:space="0" w:color="auto"/>
      </w:divBdr>
    </w:div>
    <w:div w:id="990862524">
      <w:bodyDiv w:val="1"/>
      <w:marLeft w:val="0"/>
      <w:marRight w:val="0"/>
      <w:marTop w:val="0"/>
      <w:marBottom w:val="0"/>
      <w:divBdr>
        <w:top w:val="none" w:sz="0" w:space="0" w:color="auto"/>
        <w:left w:val="none" w:sz="0" w:space="0" w:color="auto"/>
        <w:bottom w:val="none" w:sz="0" w:space="0" w:color="auto"/>
        <w:right w:val="none" w:sz="0" w:space="0" w:color="auto"/>
      </w:divBdr>
    </w:div>
    <w:div w:id="1006395310">
      <w:bodyDiv w:val="1"/>
      <w:marLeft w:val="0"/>
      <w:marRight w:val="0"/>
      <w:marTop w:val="0"/>
      <w:marBottom w:val="0"/>
      <w:divBdr>
        <w:top w:val="none" w:sz="0" w:space="0" w:color="auto"/>
        <w:left w:val="none" w:sz="0" w:space="0" w:color="auto"/>
        <w:bottom w:val="none" w:sz="0" w:space="0" w:color="auto"/>
        <w:right w:val="none" w:sz="0" w:space="0" w:color="auto"/>
      </w:divBdr>
    </w:div>
    <w:div w:id="1028216554">
      <w:bodyDiv w:val="1"/>
      <w:marLeft w:val="0"/>
      <w:marRight w:val="0"/>
      <w:marTop w:val="0"/>
      <w:marBottom w:val="0"/>
      <w:divBdr>
        <w:top w:val="none" w:sz="0" w:space="0" w:color="auto"/>
        <w:left w:val="none" w:sz="0" w:space="0" w:color="auto"/>
        <w:bottom w:val="none" w:sz="0" w:space="0" w:color="auto"/>
        <w:right w:val="none" w:sz="0" w:space="0" w:color="auto"/>
      </w:divBdr>
    </w:div>
    <w:div w:id="1035543276">
      <w:bodyDiv w:val="1"/>
      <w:marLeft w:val="0"/>
      <w:marRight w:val="0"/>
      <w:marTop w:val="0"/>
      <w:marBottom w:val="0"/>
      <w:divBdr>
        <w:top w:val="none" w:sz="0" w:space="0" w:color="auto"/>
        <w:left w:val="none" w:sz="0" w:space="0" w:color="auto"/>
        <w:bottom w:val="none" w:sz="0" w:space="0" w:color="auto"/>
        <w:right w:val="none" w:sz="0" w:space="0" w:color="auto"/>
      </w:divBdr>
    </w:div>
    <w:div w:id="1036542336">
      <w:bodyDiv w:val="1"/>
      <w:marLeft w:val="0"/>
      <w:marRight w:val="0"/>
      <w:marTop w:val="0"/>
      <w:marBottom w:val="0"/>
      <w:divBdr>
        <w:top w:val="none" w:sz="0" w:space="0" w:color="auto"/>
        <w:left w:val="none" w:sz="0" w:space="0" w:color="auto"/>
        <w:bottom w:val="none" w:sz="0" w:space="0" w:color="auto"/>
        <w:right w:val="none" w:sz="0" w:space="0" w:color="auto"/>
      </w:divBdr>
    </w:div>
    <w:div w:id="1108890427">
      <w:bodyDiv w:val="1"/>
      <w:marLeft w:val="0"/>
      <w:marRight w:val="0"/>
      <w:marTop w:val="0"/>
      <w:marBottom w:val="0"/>
      <w:divBdr>
        <w:top w:val="none" w:sz="0" w:space="0" w:color="auto"/>
        <w:left w:val="none" w:sz="0" w:space="0" w:color="auto"/>
        <w:bottom w:val="none" w:sz="0" w:space="0" w:color="auto"/>
        <w:right w:val="none" w:sz="0" w:space="0" w:color="auto"/>
      </w:divBdr>
    </w:div>
    <w:div w:id="1136489894">
      <w:bodyDiv w:val="1"/>
      <w:marLeft w:val="0"/>
      <w:marRight w:val="0"/>
      <w:marTop w:val="0"/>
      <w:marBottom w:val="0"/>
      <w:divBdr>
        <w:top w:val="none" w:sz="0" w:space="0" w:color="auto"/>
        <w:left w:val="none" w:sz="0" w:space="0" w:color="auto"/>
        <w:bottom w:val="none" w:sz="0" w:space="0" w:color="auto"/>
        <w:right w:val="none" w:sz="0" w:space="0" w:color="auto"/>
      </w:divBdr>
    </w:div>
    <w:div w:id="1138838234">
      <w:bodyDiv w:val="1"/>
      <w:marLeft w:val="0"/>
      <w:marRight w:val="0"/>
      <w:marTop w:val="0"/>
      <w:marBottom w:val="0"/>
      <w:divBdr>
        <w:top w:val="none" w:sz="0" w:space="0" w:color="auto"/>
        <w:left w:val="none" w:sz="0" w:space="0" w:color="auto"/>
        <w:bottom w:val="none" w:sz="0" w:space="0" w:color="auto"/>
        <w:right w:val="none" w:sz="0" w:space="0" w:color="auto"/>
      </w:divBdr>
    </w:div>
    <w:div w:id="1157064847">
      <w:bodyDiv w:val="1"/>
      <w:marLeft w:val="0"/>
      <w:marRight w:val="0"/>
      <w:marTop w:val="0"/>
      <w:marBottom w:val="0"/>
      <w:divBdr>
        <w:top w:val="none" w:sz="0" w:space="0" w:color="auto"/>
        <w:left w:val="none" w:sz="0" w:space="0" w:color="auto"/>
        <w:bottom w:val="none" w:sz="0" w:space="0" w:color="auto"/>
        <w:right w:val="none" w:sz="0" w:space="0" w:color="auto"/>
      </w:divBdr>
    </w:div>
    <w:div w:id="1175346182">
      <w:bodyDiv w:val="1"/>
      <w:marLeft w:val="0"/>
      <w:marRight w:val="0"/>
      <w:marTop w:val="0"/>
      <w:marBottom w:val="0"/>
      <w:divBdr>
        <w:top w:val="none" w:sz="0" w:space="0" w:color="auto"/>
        <w:left w:val="none" w:sz="0" w:space="0" w:color="auto"/>
        <w:bottom w:val="none" w:sz="0" w:space="0" w:color="auto"/>
        <w:right w:val="none" w:sz="0" w:space="0" w:color="auto"/>
      </w:divBdr>
    </w:div>
    <w:div w:id="1202858087">
      <w:bodyDiv w:val="1"/>
      <w:marLeft w:val="0"/>
      <w:marRight w:val="0"/>
      <w:marTop w:val="0"/>
      <w:marBottom w:val="0"/>
      <w:divBdr>
        <w:top w:val="none" w:sz="0" w:space="0" w:color="auto"/>
        <w:left w:val="none" w:sz="0" w:space="0" w:color="auto"/>
        <w:bottom w:val="none" w:sz="0" w:space="0" w:color="auto"/>
        <w:right w:val="none" w:sz="0" w:space="0" w:color="auto"/>
      </w:divBdr>
    </w:div>
    <w:div w:id="1203443299">
      <w:bodyDiv w:val="1"/>
      <w:marLeft w:val="0"/>
      <w:marRight w:val="0"/>
      <w:marTop w:val="0"/>
      <w:marBottom w:val="0"/>
      <w:divBdr>
        <w:top w:val="none" w:sz="0" w:space="0" w:color="auto"/>
        <w:left w:val="none" w:sz="0" w:space="0" w:color="auto"/>
        <w:bottom w:val="none" w:sz="0" w:space="0" w:color="auto"/>
        <w:right w:val="none" w:sz="0" w:space="0" w:color="auto"/>
      </w:divBdr>
    </w:div>
    <w:div w:id="1266308481">
      <w:bodyDiv w:val="1"/>
      <w:marLeft w:val="0"/>
      <w:marRight w:val="0"/>
      <w:marTop w:val="0"/>
      <w:marBottom w:val="0"/>
      <w:divBdr>
        <w:top w:val="none" w:sz="0" w:space="0" w:color="auto"/>
        <w:left w:val="none" w:sz="0" w:space="0" w:color="auto"/>
        <w:bottom w:val="none" w:sz="0" w:space="0" w:color="auto"/>
        <w:right w:val="none" w:sz="0" w:space="0" w:color="auto"/>
      </w:divBdr>
      <w:divsChild>
        <w:div w:id="678966161">
          <w:marLeft w:val="0"/>
          <w:marRight w:val="0"/>
          <w:marTop w:val="0"/>
          <w:marBottom w:val="0"/>
          <w:divBdr>
            <w:top w:val="none" w:sz="0" w:space="0" w:color="auto"/>
            <w:left w:val="none" w:sz="0" w:space="0" w:color="auto"/>
            <w:bottom w:val="none" w:sz="0" w:space="0" w:color="auto"/>
            <w:right w:val="none" w:sz="0" w:space="0" w:color="auto"/>
          </w:divBdr>
        </w:div>
      </w:divsChild>
    </w:div>
    <w:div w:id="1334800961">
      <w:bodyDiv w:val="1"/>
      <w:marLeft w:val="0"/>
      <w:marRight w:val="0"/>
      <w:marTop w:val="0"/>
      <w:marBottom w:val="0"/>
      <w:divBdr>
        <w:top w:val="none" w:sz="0" w:space="0" w:color="auto"/>
        <w:left w:val="none" w:sz="0" w:space="0" w:color="auto"/>
        <w:bottom w:val="none" w:sz="0" w:space="0" w:color="auto"/>
        <w:right w:val="none" w:sz="0" w:space="0" w:color="auto"/>
      </w:divBdr>
      <w:divsChild>
        <w:div w:id="1942376017">
          <w:marLeft w:val="0"/>
          <w:marRight w:val="0"/>
          <w:marTop w:val="0"/>
          <w:marBottom w:val="0"/>
          <w:divBdr>
            <w:top w:val="none" w:sz="0" w:space="0" w:color="auto"/>
            <w:left w:val="none" w:sz="0" w:space="0" w:color="auto"/>
            <w:bottom w:val="none" w:sz="0" w:space="0" w:color="auto"/>
            <w:right w:val="none" w:sz="0" w:space="0" w:color="auto"/>
          </w:divBdr>
        </w:div>
        <w:div w:id="597300498">
          <w:marLeft w:val="0"/>
          <w:marRight w:val="0"/>
          <w:marTop w:val="0"/>
          <w:marBottom w:val="0"/>
          <w:divBdr>
            <w:top w:val="none" w:sz="0" w:space="0" w:color="auto"/>
            <w:left w:val="none" w:sz="0" w:space="0" w:color="auto"/>
            <w:bottom w:val="none" w:sz="0" w:space="0" w:color="auto"/>
            <w:right w:val="none" w:sz="0" w:space="0" w:color="auto"/>
          </w:divBdr>
        </w:div>
      </w:divsChild>
    </w:div>
    <w:div w:id="1344162581">
      <w:bodyDiv w:val="1"/>
      <w:marLeft w:val="0"/>
      <w:marRight w:val="0"/>
      <w:marTop w:val="0"/>
      <w:marBottom w:val="0"/>
      <w:divBdr>
        <w:top w:val="none" w:sz="0" w:space="0" w:color="auto"/>
        <w:left w:val="none" w:sz="0" w:space="0" w:color="auto"/>
        <w:bottom w:val="none" w:sz="0" w:space="0" w:color="auto"/>
        <w:right w:val="none" w:sz="0" w:space="0" w:color="auto"/>
      </w:divBdr>
    </w:div>
    <w:div w:id="1414233128">
      <w:bodyDiv w:val="1"/>
      <w:marLeft w:val="0"/>
      <w:marRight w:val="0"/>
      <w:marTop w:val="0"/>
      <w:marBottom w:val="0"/>
      <w:divBdr>
        <w:top w:val="none" w:sz="0" w:space="0" w:color="auto"/>
        <w:left w:val="none" w:sz="0" w:space="0" w:color="auto"/>
        <w:bottom w:val="none" w:sz="0" w:space="0" w:color="auto"/>
        <w:right w:val="none" w:sz="0" w:space="0" w:color="auto"/>
      </w:divBdr>
      <w:divsChild>
        <w:div w:id="347370526">
          <w:marLeft w:val="0"/>
          <w:marRight w:val="0"/>
          <w:marTop w:val="0"/>
          <w:marBottom w:val="0"/>
          <w:divBdr>
            <w:top w:val="none" w:sz="0" w:space="0" w:color="auto"/>
            <w:left w:val="none" w:sz="0" w:space="0" w:color="auto"/>
            <w:bottom w:val="none" w:sz="0" w:space="0" w:color="auto"/>
            <w:right w:val="none" w:sz="0" w:space="0" w:color="auto"/>
          </w:divBdr>
        </w:div>
        <w:div w:id="1366715876">
          <w:marLeft w:val="0"/>
          <w:marRight w:val="0"/>
          <w:marTop w:val="0"/>
          <w:marBottom w:val="0"/>
          <w:divBdr>
            <w:top w:val="none" w:sz="0" w:space="0" w:color="auto"/>
            <w:left w:val="none" w:sz="0" w:space="0" w:color="auto"/>
            <w:bottom w:val="none" w:sz="0" w:space="0" w:color="auto"/>
            <w:right w:val="none" w:sz="0" w:space="0" w:color="auto"/>
          </w:divBdr>
        </w:div>
        <w:div w:id="1780487613">
          <w:marLeft w:val="0"/>
          <w:marRight w:val="0"/>
          <w:marTop w:val="0"/>
          <w:marBottom w:val="0"/>
          <w:divBdr>
            <w:top w:val="none" w:sz="0" w:space="0" w:color="auto"/>
            <w:left w:val="none" w:sz="0" w:space="0" w:color="auto"/>
            <w:bottom w:val="none" w:sz="0" w:space="0" w:color="auto"/>
            <w:right w:val="none" w:sz="0" w:space="0" w:color="auto"/>
          </w:divBdr>
        </w:div>
        <w:div w:id="292179312">
          <w:marLeft w:val="0"/>
          <w:marRight w:val="0"/>
          <w:marTop w:val="0"/>
          <w:marBottom w:val="0"/>
          <w:divBdr>
            <w:top w:val="none" w:sz="0" w:space="0" w:color="auto"/>
            <w:left w:val="none" w:sz="0" w:space="0" w:color="auto"/>
            <w:bottom w:val="none" w:sz="0" w:space="0" w:color="auto"/>
            <w:right w:val="none" w:sz="0" w:space="0" w:color="auto"/>
          </w:divBdr>
        </w:div>
      </w:divsChild>
    </w:div>
    <w:div w:id="1464931417">
      <w:bodyDiv w:val="1"/>
      <w:marLeft w:val="0"/>
      <w:marRight w:val="0"/>
      <w:marTop w:val="0"/>
      <w:marBottom w:val="0"/>
      <w:divBdr>
        <w:top w:val="none" w:sz="0" w:space="0" w:color="auto"/>
        <w:left w:val="none" w:sz="0" w:space="0" w:color="auto"/>
        <w:bottom w:val="none" w:sz="0" w:space="0" w:color="auto"/>
        <w:right w:val="none" w:sz="0" w:space="0" w:color="auto"/>
      </w:divBdr>
    </w:div>
    <w:div w:id="1465201401">
      <w:bodyDiv w:val="1"/>
      <w:marLeft w:val="0"/>
      <w:marRight w:val="0"/>
      <w:marTop w:val="0"/>
      <w:marBottom w:val="0"/>
      <w:divBdr>
        <w:top w:val="none" w:sz="0" w:space="0" w:color="auto"/>
        <w:left w:val="none" w:sz="0" w:space="0" w:color="auto"/>
        <w:bottom w:val="none" w:sz="0" w:space="0" w:color="auto"/>
        <w:right w:val="none" w:sz="0" w:space="0" w:color="auto"/>
      </w:divBdr>
    </w:div>
    <w:div w:id="1466318010">
      <w:bodyDiv w:val="1"/>
      <w:marLeft w:val="0"/>
      <w:marRight w:val="0"/>
      <w:marTop w:val="0"/>
      <w:marBottom w:val="0"/>
      <w:divBdr>
        <w:top w:val="none" w:sz="0" w:space="0" w:color="auto"/>
        <w:left w:val="none" w:sz="0" w:space="0" w:color="auto"/>
        <w:bottom w:val="none" w:sz="0" w:space="0" w:color="auto"/>
        <w:right w:val="none" w:sz="0" w:space="0" w:color="auto"/>
      </w:divBdr>
    </w:div>
    <w:div w:id="1492528251">
      <w:bodyDiv w:val="1"/>
      <w:marLeft w:val="0"/>
      <w:marRight w:val="0"/>
      <w:marTop w:val="0"/>
      <w:marBottom w:val="0"/>
      <w:divBdr>
        <w:top w:val="none" w:sz="0" w:space="0" w:color="auto"/>
        <w:left w:val="none" w:sz="0" w:space="0" w:color="auto"/>
        <w:bottom w:val="none" w:sz="0" w:space="0" w:color="auto"/>
        <w:right w:val="none" w:sz="0" w:space="0" w:color="auto"/>
      </w:divBdr>
    </w:div>
    <w:div w:id="1494181950">
      <w:bodyDiv w:val="1"/>
      <w:marLeft w:val="0"/>
      <w:marRight w:val="0"/>
      <w:marTop w:val="0"/>
      <w:marBottom w:val="0"/>
      <w:divBdr>
        <w:top w:val="none" w:sz="0" w:space="0" w:color="auto"/>
        <w:left w:val="none" w:sz="0" w:space="0" w:color="auto"/>
        <w:bottom w:val="none" w:sz="0" w:space="0" w:color="auto"/>
        <w:right w:val="none" w:sz="0" w:space="0" w:color="auto"/>
      </w:divBdr>
      <w:divsChild>
        <w:div w:id="21633668">
          <w:marLeft w:val="0"/>
          <w:marRight w:val="0"/>
          <w:marTop w:val="0"/>
          <w:marBottom w:val="0"/>
          <w:divBdr>
            <w:top w:val="none" w:sz="0" w:space="0" w:color="auto"/>
            <w:left w:val="none" w:sz="0" w:space="0" w:color="auto"/>
            <w:bottom w:val="none" w:sz="0" w:space="0" w:color="auto"/>
            <w:right w:val="none" w:sz="0" w:space="0" w:color="auto"/>
          </w:divBdr>
          <w:divsChild>
            <w:div w:id="1915626592">
              <w:marLeft w:val="0"/>
              <w:marRight w:val="0"/>
              <w:marTop w:val="0"/>
              <w:marBottom w:val="0"/>
              <w:divBdr>
                <w:top w:val="none" w:sz="0" w:space="0" w:color="auto"/>
                <w:left w:val="none" w:sz="0" w:space="0" w:color="auto"/>
                <w:bottom w:val="none" w:sz="0" w:space="0" w:color="auto"/>
                <w:right w:val="none" w:sz="0" w:space="0" w:color="auto"/>
              </w:divBdr>
              <w:divsChild>
                <w:div w:id="41539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416299">
      <w:bodyDiv w:val="1"/>
      <w:marLeft w:val="0"/>
      <w:marRight w:val="0"/>
      <w:marTop w:val="0"/>
      <w:marBottom w:val="0"/>
      <w:divBdr>
        <w:top w:val="none" w:sz="0" w:space="0" w:color="auto"/>
        <w:left w:val="none" w:sz="0" w:space="0" w:color="auto"/>
        <w:bottom w:val="none" w:sz="0" w:space="0" w:color="auto"/>
        <w:right w:val="none" w:sz="0" w:space="0" w:color="auto"/>
      </w:divBdr>
      <w:divsChild>
        <w:div w:id="1311908185">
          <w:marLeft w:val="0"/>
          <w:marRight w:val="0"/>
          <w:marTop w:val="0"/>
          <w:marBottom w:val="0"/>
          <w:divBdr>
            <w:top w:val="none" w:sz="0" w:space="0" w:color="auto"/>
            <w:left w:val="none" w:sz="0" w:space="0" w:color="auto"/>
            <w:bottom w:val="none" w:sz="0" w:space="0" w:color="auto"/>
            <w:right w:val="none" w:sz="0" w:space="0" w:color="auto"/>
          </w:divBdr>
        </w:div>
      </w:divsChild>
    </w:div>
    <w:div w:id="1543201535">
      <w:bodyDiv w:val="1"/>
      <w:marLeft w:val="0"/>
      <w:marRight w:val="0"/>
      <w:marTop w:val="0"/>
      <w:marBottom w:val="0"/>
      <w:divBdr>
        <w:top w:val="none" w:sz="0" w:space="0" w:color="auto"/>
        <w:left w:val="none" w:sz="0" w:space="0" w:color="auto"/>
        <w:bottom w:val="none" w:sz="0" w:space="0" w:color="auto"/>
        <w:right w:val="none" w:sz="0" w:space="0" w:color="auto"/>
      </w:divBdr>
    </w:div>
    <w:div w:id="1604729831">
      <w:bodyDiv w:val="1"/>
      <w:marLeft w:val="0"/>
      <w:marRight w:val="0"/>
      <w:marTop w:val="0"/>
      <w:marBottom w:val="0"/>
      <w:divBdr>
        <w:top w:val="none" w:sz="0" w:space="0" w:color="auto"/>
        <w:left w:val="none" w:sz="0" w:space="0" w:color="auto"/>
        <w:bottom w:val="none" w:sz="0" w:space="0" w:color="auto"/>
        <w:right w:val="none" w:sz="0" w:space="0" w:color="auto"/>
      </w:divBdr>
    </w:div>
    <w:div w:id="1667708079">
      <w:bodyDiv w:val="1"/>
      <w:marLeft w:val="0"/>
      <w:marRight w:val="0"/>
      <w:marTop w:val="0"/>
      <w:marBottom w:val="0"/>
      <w:divBdr>
        <w:top w:val="none" w:sz="0" w:space="0" w:color="auto"/>
        <w:left w:val="none" w:sz="0" w:space="0" w:color="auto"/>
        <w:bottom w:val="none" w:sz="0" w:space="0" w:color="auto"/>
        <w:right w:val="none" w:sz="0" w:space="0" w:color="auto"/>
      </w:divBdr>
    </w:div>
    <w:div w:id="1693875021">
      <w:bodyDiv w:val="1"/>
      <w:marLeft w:val="0"/>
      <w:marRight w:val="0"/>
      <w:marTop w:val="0"/>
      <w:marBottom w:val="0"/>
      <w:divBdr>
        <w:top w:val="none" w:sz="0" w:space="0" w:color="auto"/>
        <w:left w:val="none" w:sz="0" w:space="0" w:color="auto"/>
        <w:bottom w:val="none" w:sz="0" w:space="0" w:color="auto"/>
        <w:right w:val="none" w:sz="0" w:space="0" w:color="auto"/>
      </w:divBdr>
    </w:div>
    <w:div w:id="1756392031">
      <w:bodyDiv w:val="1"/>
      <w:marLeft w:val="0"/>
      <w:marRight w:val="0"/>
      <w:marTop w:val="0"/>
      <w:marBottom w:val="0"/>
      <w:divBdr>
        <w:top w:val="none" w:sz="0" w:space="0" w:color="auto"/>
        <w:left w:val="none" w:sz="0" w:space="0" w:color="auto"/>
        <w:bottom w:val="none" w:sz="0" w:space="0" w:color="auto"/>
        <w:right w:val="none" w:sz="0" w:space="0" w:color="auto"/>
      </w:divBdr>
    </w:div>
    <w:div w:id="1785691002">
      <w:bodyDiv w:val="1"/>
      <w:marLeft w:val="0"/>
      <w:marRight w:val="0"/>
      <w:marTop w:val="0"/>
      <w:marBottom w:val="0"/>
      <w:divBdr>
        <w:top w:val="none" w:sz="0" w:space="0" w:color="auto"/>
        <w:left w:val="none" w:sz="0" w:space="0" w:color="auto"/>
        <w:bottom w:val="none" w:sz="0" w:space="0" w:color="auto"/>
        <w:right w:val="none" w:sz="0" w:space="0" w:color="auto"/>
      </w:divBdr>
    </w:div>
    <w:div w:id="1809593020">
      <w:bodyDiv w:val="1"/>
      <w:marLeft w:val="0"/>
      <w:marRight w:val="0"/>
      <w:marTop w:val="0"/>
      <w:marBottom w:val="0"/>
      <w:divBdr>
        <w:top w:val="none" w:sz="0" w:space="0" w:color="auto"/>
        <w:left w:val="none" w:sz="0" w:space="0" w:color="auto"/>
        <w:bottom w:val="none" w:sz="0" w:space="0" w:color="auto"/>
        <w:right w:val="none" w:sz="0" w:space="0" w:color="auto"/>
      </w:divBdr>
    </w:div>
    <w:div w:id="1892304200">
      <w:bodyDiv w:val="1"/>
      <w:marLeft w:val="0"/>
      <w:marRight w:val="0"/>
      <w:marTop w:val="0"/>
      <w:marBottom w:val="0"/>
      <w:divBdr>
        <w:top w:val="none" w:sz="0" w:space="0" w:color="auto"/>
        <w:left w:val="none" w:sz="0" w:space="0" w:color="auto"/>
        <w:bottom w:val="none" w:sz="0" w:space="0" w:color="auto"/>
        <w:right w:val="none" w:sz="0" w:space="0" w:color="auto"/>
      </w:divBdr>
    </w:div>
    <w:div w:id="1932809740">
      <w:bodyDiv w:val="1"/>
      <w:marLeft w:val="0"/>
      <w:marRight w:val="0"/>
      <w:marTop w:val="0"/>
      <w:marBottom w:val="0"/>
      <w:divBdr>
        <w:top w:val="none" w:sz="0" w:space="0" w:color="auto"/>
        <w:left w:val="none" w:sz="0" w:space="0" w:color="auto"/>
        <w:bottom w:val="none" w:sz="0" w:space="0" w:color="auto"/>
        <w:right w:val="none" w:sz="0" w:space="0" w:color="auto"/>
      </w:divBdr>
    </w:div>
    <w:div w:id="2041736524">
      <w:bodyDiv w:val="1"/>
      <w:marLeft w:val="0"/>
      <w:marRight w:val="0"/>
      <w:marTop w:val="0"/>
      <w:marBottom w:val="0"/>
      <w:divBdr>
        <w:top w:val="none" w:sz="0" w:space="0" w:color="auto"/>
        <w:left w:val="none" w:sz="0" w:space="0" w:color="auto"/>
        <w:bottom w:val="none" w:sz="0" w:space="0" w:color="auto"/>
        <w:right w:val="none" w:sz="0" w:space="0" w:color="auto"/>
      </w:divBdr>
    </w:div>
    <w:div w:id="2074694341">
      <w:bodyDiv w:val="1"/>
      <w:marLeft w:val="0"/>
      <w:marRight w:val="0"/>
      <w:marTop w:val="0"/>
      <w:marBottom w:val="0"/>
      <w:divBdr>
        <w:top w:val="none" w:sz="0" w:space="0" w:color="auto"/>
        <w:left w:val="none" w:sz="0" w:space="0" w:color="auto"/>
        <w:bottom w:val="none" w:sz="0" w:space="0" w:color="auto"/>
        <w:right w:val="none" w:sz="0" w:space="0" w:color="auto"/>
      </w:divBdr>
    </w:div>
    <w:div w:id="2103531377">
      <w:bodyDiv w:val="1"/>
      <w:marLeft w:val="0"/>
      <w:marRight w:val="0"/>
      <w:marTop w:val="0"/>
      <w:marBottom w:val="0"/>
      <w:divBdr>
        <w:top w:val="none" w:sz="0" w:space="0" w:color="auto"/>
        <w:left w:val="none" w:sz="0" w:space="0" w:color="auto"/>
        <w:bottom w:val="none" w:sz="0" w:space="0" w:color="auto"/>
        <w:right w:val="none" w:sz="0" w:space="0" w:color="auto"/>
      </w:divBdr>
    </w:div>
    <w:div w:id="2106922988">
      <w:bodyDiv w:val="1"/>
      <w:marLeft w:val="0"/>
      <w:marRight w:val="0"/>
      <w:marTop w:val="0"/>
      <w:marBottom w:val="0"/>
      <w:divBdr>
        <w:top w:val="none" w:sz="0" w:space="0" w:color="auto"/>
        <w:left w:val="none" w:sz="0" w:space="0" w:color="auto"/>
        <w:bottom w:val="none" w:sz="0" w:space="0" w:color="auto"/>
        <w:right w:val="none" w:sz="0" w:space="0" w:color="auto"/>
      </w:divBdr>
    </w:div>
    <w:div w:id="2131851236">
      <w:bodyDiv w:val="1"/>
      <w:marLeft w:val="0"/>
      <w:marRight w:val="0"/>
      <w:marTop w:val="0"/>
      <w:marBottom w:val="0"/>
      <w:divBdr>
        <w:top w:val="none" w:sz="0" w:space="0" w:color="auto"/>
        <w:left w:val="none" w:sz="0" w:space="0" w:color="auto"/>
        <w:bottom w:val="none" w:sz="0" w:space="0" w:color="auto"/>
        <w:right w:val="none" w:sz="0" w:space="0" w:color="auto"/>
      </w:divBdr>
    </w:div>
    <w:div w:id="213458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ncient.eu/isla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ancient.eu/christianity/" TargetMode="External"/><Relationship Id="rId4" Type="http://schemas.openxmlformats.org/officeDocument/2006/relationships/settings" Target="settings.xml"/><Relationship Id="rId9" Type="http://schemas.openxmlformats.org/officeDocument/2006/relationships/hyperlink" Target="https://www.ancient.eu/zoroastrianis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59F4A9-67A7-1246-8C2D-DFB89FBAD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29</Pages>
  <Words>6246</Words>
  <Characters>35607</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 J. Stein</dc:creator>
  <cp:keywords/>
  <dc:description/>
  <cp:lastModifiedBy>Laura diZerega</cp:lastModifiedBy>
  <cp:revision>7</cp:revision>
  <cp:lastPrinted>2021-11-16T17:44:00Z</cp:lastPrinted>
  <dcterms:created xsi:type="dcterms:W3CDTF">2021-12-09T18:36:00Z</dcterms:created>
  <dcterms:modified xsi:type="dcterms:W3CDTF">2021-12-17T19:47:00Z</dcterms:modified>
</cp:coreProperties>
</file>