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2F8CB" w14:textId="6BACF5A5" w:rsidR="00841581" w:rsidRPr="001D0FD0" w:rsidRDefault="00A16D22" w:rsidP="001D0FD0">
      <w:pPr>
        <w:pStyle w:val="Heading1"/>
      </w:pPr>
      <w:r w:rsidRPr="001D0FD0">
        <w:t>Engaging Non</w:t>
      </w:r>
      <w:r w:rsidR="0015255E" w:rsidRPr="001D0FD0">
        <w:t>s</w:t>
      </w:r>
      <w:r w:rsidRPr="001D0FD0">
        <w:t>tate Armed Groups in the</w:t>
      </w:r>
      <w:r w:rsidR="008F5A1D" w:rsidRPr="001D0FD0">
        <w:t xml:space="preserve"> </w:t>
      </w:r>
      <w:r w:rsidRPr="001D0FD0">
        <w:t>Protection of Cultural Heritage</w:t>
      </w:r>
    </w:p>
    <w:p w14:paraId="78D5F22F" w14:textId="2EC34423" w:rsidR="00A16D22" w:rsidRPr="009D1813" w:rsidRDefault="00A16D22" w:rsidP="00510953">
      <w:pPr>
        <w:spacing w:line="480" w:lineRule="auto"/>
        <w:contextualSpacing/>
        <w:rPr>
          <w:rFonts w:ascii="Times New Roman" w:hAnsi="Times New Roman" w:cs="Times New Roman"/>
          <w:bCs/>
        </w:rPr>
      </w:pPr>
      <w:r w:rsidRPr="009D1813">
        <w:rPr>
          <w:rFonts w:ascii="Times New Roman" w:hAnsi="Times New Roman" w:cs="Times New Roman"/>
          <w:bCs/>
        </w:rPr>
        <w:t>Jennifer M. Welsh</w:t>
      </w:r>
    </w:p>
    <w:p w14:paraId="2F19F4E7" w14:textId="01E37DEE" w:rsidR="00396B79" w:rsidRDefault="00396B79" w:rsidP="005865EE">
      <w:pPr>
        <w:spacing w:line="480" w:lineRule="auto"/>
        <w:rPr>
          <w:rFonts w:ascii="Times New Roman" w:hAnsi="Times New Roman" w:cs="Times New Roman"/>
        </w:rPr>
      </w:pPr>
    </w:p>
    <w:p w14:paraId="587179A6" w14:textId="77777777" w:rsidR="009147AE" w:rsidRDefault="009147AE" w:rsidP="009147AE">
      <w:pPr>
        <w:spacing w:line="480" w:lineRule="auto"/>
        <w:rPr>
          <w:rFonts w:ascii="Times New Roman" w:hAnsi="Times New Roman" w:cs="Times New Roman"/>
        </w:rPr>
      </w:pPr>
      <w:r w:rsidRPr="00CD6601">
        <w:rPr>
          <w:rFonts w:ascii="Times New Roman" w:hAnsi="Times New Roman" w:cs="Times New Roman"/>
        </w:rPr>
        <w:t>© 2022 J. P</w:t>
      </w:r>
      <w:bookmarkStart w:id="0" w:name="_GoBack"/>
      <w:bookmarkEnd w:id="0"/>
      <w:r w:rsidRPr="00CD6601">
        <w:rPr>
          <w:rFonts w:ascii="Times New Roman" w:hAnsi="Times New Roman" w:cs="Times New Roman"/>
        </w:rPr>
        <w:t xml:space="preserve">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0F62B2C9" w14:textId="77777777" w:rsidR="009147AE" w:rsidRPr="009A5117" w:rsidRDefault="009147AE" w:rsidP="005865EE">
      <w:pPr>
        <w:spacing w:line="480" w:lineRule="auto"/>
        <w:rPr>
          <w:rFonts w:ascii="Times New Roman" w:hAnsi="Times New Roman" w:cs="Times New Roman"/>
        </w:rPr>
      </w:pPr>
    </w:p>
    <w:p w14:paraId="16C1D15F" w14:textId="289D2179" w:rsidR="002304E2" w:rsidRDefault="002304E2" w:rsidP="001D0FD0">
      <w:pPr>
        <w:pStyle w:val="Heading2"/>
      </w:pPr>
      <w:r w:rsidRPr="001D0FD0">
        <w:t>Keynote</w:t>
      </w:r>
    </w:p>
    <w:p w14:paraId="1419D061" w14:textId="4DC8D89B" w:rsidR="008F5A1D" w:rsidRDefault="00291455" w:rsidP="00510953">
      <w:pPr>
        <w:spacing w:line="480" w:lineRule="auto"/>
        <w:contextualSpacing/>
        <w:rPr>
          <w:rFonts w:ascii="Times New Roman" w:hAnsi="Times New Roman" w:cs="Times New Roman"/>
          <w:bCs/>
        </w:rPr>
      </w:pPr>
      <w:r w:rsidRPr="00291455">
        <w:rPr>
          <w:rFonts w:ascii="Times New Roman" w:hAnsi="Times New Roman" w:cs="Times New Roman"/>
          <w:bCs/>
        </w:rPr>
        <w:t xml:space="preserve">This chapter examines </w:t>
      </w:r>
      <w:r>
        <w:rPr>
          <w:rFonts w:ascii="Times New Roman" w:hAnsi="Times New Roman" w:cs="Times New Roman"/>
          <w:bCs/>
        </w:rPr>
        <w:t>n</w:t>
      </w:r>
      <w:r w:rsidRPr="00291455">
        <w:rPr>
          <w:rFonts w:ascii="Times New Roman" w:hAnsi="Times New Roman" w:cs="Times New Roman"/>
          <w:bCs/>
        </w:rPr>
        <w:t>on</w:t>
      </w:r>
      <w:r>
        <w:rPr>
          <w:rFonts w:ascii="Times New Roman" w:hAnsi="Times New Roman" w:cs="Times New Roman"/>
          <w:bCs/>
        </w:rPr>
        <w:t>s</w:t>
      </w:r>
      <w:r w:rsidRPr="00291455">
        <w:rPr>
          <w:rFonts w:ascii="Times New Roman" w:hAnsi="Times New Roman" w:cs="Times New Roman"/>
          <w:bCs/>
        </w:rPr>
        <w:t xml:space="preserve">tate </w:t>
      </w:r>
      <w:r>
        <w:rPr>
          <w:rFonts w:ascii="Times New Roman" w:hAnsi="Times New Roman" w:cs="Times New Roman"/>
          <w:bCs/>
        </w:rPr>
        <w:t>a</w:t>
      </w:r>
      <w:r w:rsidRPr="00291455">
        <w:rPr>
          <w:rFonts w:ascii="Times New Roman" w:hAnsi="Times New Roman" w:cs="Times New Roman"/>
          <w:bCs/>
        </w:rPr>
        <w:t xml:space="preserve">rmed </w:t>
      </w:r>
      <w:r>
        <w:rPr>
          <w:rFonts w:ascii="Times New Roman" w:hAnsi="Times New Roman" w:cs="Times New Roman"/>
          <w:bCs/>
        </w:rPr>
        <w:t>g</w:t>
      </w:r>
      <w:r w:rsidRPr="00291455">
        <w:rPr>
          <w:rFonts w:ascii="Times New Roman" w:hAnsi="Times New Roman" w:cs="Times New Roman"/>
          <w:bCs/>
        </w:rPr>
        <w:t>roups (NSAGs) as both a threat to and potential protector of cultural heritage. It establishes the legal obligations of these entities, and suggests strategies for encouraging restraint in NSAG</w:t>
      </w:r>
      <w:r w:rsidR="00FC601C">
        <w:rPr>
          <w:rFonts w:ascii="Times New Roman" w:hAnsi="Times New Roman" w:cs="Times New Roman"/>
          <w:bCs/>
        </w:rPr>
        <w:t>s’</w:t>
      </w:r>
      <w:r w:rsidRPr="00291455">
        <w:rPr>
          <w:rFonts w:ascii="Times New Roman" w:hAnsi="Times New Roman" w:cs="Times New Roman"/>
          <w:bCs/>
        </w:rPr>
        <w:t xml:space="preserve"> behavior that are based on both a clear understanding of their goals, structure, and community ties, as well as greater willing</w:t>
      </w:r>
      <w:r w:rsidR="00FC601C">
        <w:rPr>
          <w:rFonts w:ascii="Times New Roman" w:hAnsi="Times New Roman" w:cs="Times New Roman"/>
          <w:bCs/>
        </w:rPr>
        <w:t>n</w:t>
      </w:r>
      <w:r w:rsidRPr="00291455">
        <w:rPr>
          <w:rFonts w:ascii="Times New Roman" w:hAnsi="Times New Roman" w:cs="Times New Roman"/>
          <w:bCs/>
        </w:rPr>
        <w:t>ess to engage with their members.</w:t>
      </w:r>
    </w:p>
    <w:p w14:paraId="5DE6AE5A" w14:textId="77777777" w:rsidR="00291455" w:rsidRDefault="00291455">
      <w:pPr>
        <w:spacing w:line="480" w:lineRule="auto"/>
        <w:contextualSpacing/>
        <w:rPr>
          <w:rFonts w:ascii="Times New Roman" w:hAnsi="Times New Roman" w:cs="Times New Roman"/>
          <w:bCs/>
        </w:rPr>
      </w:pPr>
    </w:p>
    <w:p w14:paraId="531171C9" w14:textId="010C52DB" w:rsidR="00C00187" w:rsidRDefault="00CD6395" w:rsidP="001D0FD0">
      <w:pPr>
        <w:pStyle w:val="Heading2"/>
      </w:pPr>
      <w:r w:rsidRPr="001D0FD0">
        <w:t>Abstract</w:t>
      </w:r>
    </w:p>
    <w:p w14:paraId="451CDF0C" w14:textId="257633E6" w:rsidR="00C00187" w:rsidRPr="005865EE" w:rsidRDefault="008F7B89" w:rsidP="005865EE">
      <w:pPr>
        <w:spacing w:line="480" w:lineRule="auto"/>
        <w:rPr>
          <w:rFonts w:ascii="Times New Roman" w:hAnsi="Times New Roman" w:cs="Times New Roman"/>
        </w:rPr>
      </w:pPr>
      <w:r>
        <w:rPr>
          <w:rFonts w:ascii="Times New Roman" w:hAnsi="Times New Roman" w:cs="Times New Roman"/>
        </w:rPr>
        <w:t>N</w:t>
      </w:r>
      <w:r w:rsidR="006B23AD">
        <w:rPr>
          <w:rFonts w:ascii="Times New Roman" w:hAnsi="Times New Roman" w:cs="Times New Roman"/>
        </w:rPr>
        <w:t>onstate</w:t>
      </w:r>
      <w:r w:rsidR="00C00187" w:rsidRPr="005865EE">
        <w:rPr>
          <w:rFonts w:ascii="Times New Roman" w:hAnsi="Times New Roman" w:cs="Times New Roman"/>
        </w:rPr>
        <w:t xml:space="preserve"> armed groups (NSAGs) </w:t>
      </w:r>
      <w:r>
        <w:rPr>
          <w:rFonts w:ascii="Times New Roman" w:hAnsi="Times New Roman" w:cs="Times New Roman"/>
        </w:rPr>
        <w:t xml:space="preserve">should be </w:t>
      </w:r>
      <w:r w:rsidRPr="00734A81">
        <w:rPr>
          <w:rFonts w:ascii="Times New Roman" w:hAnsi="Times New Roman" w:cs="Times New Roman"/>
        </w:rPr>
        <w:t>consider</w:t>
      </w:r>
      <w:r>
        <w:rPr>
          <w:rFonts w:ascii="Times New Roman" w:hAnsi="Times New Roman" w:cs="Times New Roman"/>
        </w:rPr>
        <w:t>ed</w:t>
      </w:r>
      <w:r w:rsidRPr="00734A81">
        <w:rPr>
          <w:rFonts w:ascii="Times New Roman" w:hAnsi="Times New Roman" w:cs="Times New Roman"/>
        </w:rPr>
        <w:t xml:space="preserve"> </w:t>
      </w:r>
      <w:r w:rsidR="00C00187" w:rsidRPr="005865EE">
        <w:rPr>
          <w:rFonts w:ascii="Times New Roman" w:hAnsi="Times New Roman" w:cs="Times New Roman"/>
        </w:rPr>
        <w:t xml:space="preserve">a critical </w:t>
      </w:r>
      <w:r w:rsidR="00C00187" w:rsidRPr="00734A81">
        <w:rPr>
          <w:rFonts w:ascii="Times New Roman" w:hAnsi="Times New Roman" w:cs="Times New Roman"/>
        </w:rPr>
        <w:t xml:space="preserve">part of any strategy to </w:t>
      </w:r>
      <w:r w:rsidR="00C00187" w:rsidRPr="005865EE">
        <w:rPr>
          <w:rFonts w:ascii="Times New Roman" w:hAnsi="Times New Roman" w:cs="Times New Roman"/>
        </w:rPr>
        <w:t xml:space="preserve">enhance the protection of cultural heritage in contemporary situations of violent conflict. </w:t>
      </w:r>
      <w:r w:rsidR="00C2602A">
        <w:rPr>
          <w:rFonts w:ascii="Times New Roman" w:hAnsi="Times New Roman" w:cs="Times New Roman"/>
        </w:rPr>
        <w:t xml:space="preserve">The chapter </w:t>
      </w:r>
      <w:r w:rsidR="00C00187" w:rsidRPr="00734A81">
        <w:rPr>
          <w:rFonts w:ascii="Times New Roman" w:hAnsi="Times New Roman" w:cs="Times New Roman"/>
        </w:rPr>
        <w:t xml:space="preserve">begins by </w:t>
      </w:r>
      <w:r w:rsidR="00D54178">
        <w:rPr>
          <w:rFonts w:ascii="Times New Roman" w:hAnsi="Times New Roman" w:cs="Times New Roman"/>
        </w:rPr>
        <w:t>distinguishing these groups according to their goals, structure</w:t>
      </w:r>
      <w:r w:rsidR="00C2602A">
        <w:rPr>
          <w:rFonts w:ascii="Times New Roman" w:hAnsi="Times New Roman" w:cs="Times New Roman"/>
        </w:rPr>
        <w:t>,</w:t>
      </w:r>
      <w:r w:rsidR="00D54178">
        <w:rPr>
          <w:rFonts w:ascii="Times New Roman" w:hAnsi="Times New Roman" w:cs="Times New Roman"/>
        </w:rPr>
        <w:t xml:space="preserve"> and behavior, </w:t>
      </w:r>
      <w:r w:rsidR="00C00187" w:rsidRPr="005865EE">
        <w:rPr>
          <w:rFonts w:ascii="Times New Roman" w:hAnsi="Times New Roman" w:cs="Times New Roman"/>
        </w:rPr>
        <w:t>and</w:t>
      </w:r>
      <w:r w:rsidR="00182801" w:rsidRPr="00734A81">
        <w:rPr>
          <w:rFonts w:ascii="Times New Roman" w:hAnsi="Times New Roman" w:cs="Times New Roman"/>
        </w:rPr>
        <w:t xml:space="preserve"> </w:t>
      </w:r>
      <w:r w:rsidR="00D54178">
        <w:rPr>
          <w:rFonts w:ascii="Times New Roman" w:hAnsi="Times New Roman" w:cs="Times New Roman"/>
        </w:rPr>
        <w:t xml:space="preserve">goes on to </w:t>
      </w:r>
      <w:r w:rsidR="00182801" w:rsidRPr="00734A81">
        <w:rPr>
          <w:rFonts w:ascii="Times New Roman" w:hAnsi="Times New Roman" w:cs="Times New Roman"/>
        </w:rPr>
        <w:t xml:space="preserve">show that </w:t>
      </w:r>
      <w:r w:rsidR="00C00187" w:rsidRPr="005865EE">
        <w:rPr>
          <w:rFonts w:ascii="Times New Roman" w:hAnsi="Times New Roman" w:cs="Times New Roman"/>
        </w:rPr>
        <w:t>whi</w:t>
      </w:r>
      <w:r w:rsidR="00182801" w:rsidRPr="00734A81">
        <w:rPr>
          <w:rFonts w:ascii="Times New Roman" w:hAnsi="Times New Roman" w:cs="Times New Roman"/>
        </w:rPr>
        <w:t>le</w:t>
      </w:r>
      <w:r w:rsidR="00C00187" w:rsidRPr="005865EE">
        <w:rPr>
          <w:rFonts w:ascii="Times New Roman" w:hAnsi="Times New Roman" w:cs="Times New Roman"/>
        </w:rPr>
        <w:t xml:space="preserve"> </w:t>
      </w:r>
      <w:r w:rsidR="00D54178">
        <w:rPr>
          <w:rFonts w:ascii="Times New Roman" w:hAnsi="Times New Roman" w:cs="Times New Roman"/>
        </w:rPr>
        <w:t xml:space="preserve">some of </w:t>
      </w:r>
      <w:r w:rsidR="00C00187" w:rsidRPr="005865EE">
        <w:rPr>
          <w:rFonts w:ascii="Times New Roman" w:hAnsi="Times New Roman" w:cs="Times New Roman"/>
        </w:rPr>
        <w:t xml:space="preserve">these groups </w:t>
      </w:r>
      <w:r w:rsidR="00C00187" w:rsidRPr="00734A81">
        <w:rPr>
          <w:rFonts w:ascii="Times New Roman" w:hAnsi="Times New Roman" w:cs="Times New Roman"/>
        </w:rPr>
        <w:t>pose a serious threat to cultural heritage</w:t>
      </w:r>
      <w:r w:rsidR="00182801" w:rsidRPr="00734A81">
        <w:rPr>
          <w:rFonts w:ascii="Times New Roman" w:hAnsi="Times New Roman" w:cs="Times New Roman"/>
        </w:rPr>
        <w:t>, othe</w:t>
      </w:r>
      <w:r w:rsidR="00D54178">
        <w:rPr>
          <w:rFonts w:ascii="Times New Roman" w:hAnsi="Times New Roman" w:cs="Times New Roman"/>
        </w:rPr>
        <w:t xml:space="preserve">rs </w:t>
      </w:r>
      <w:r w:rsidR="00182801" w:rsidRPr="00734A81">
        <w:rPr>
          <w:rFonts w:ascii="Times New Roman" w:hAnsi="Times New Roman" w:cs="Times New Roman"/>
        </w:rPr>
        <w:t>have proven pivot</w:t>
      </w:r>
      <w:r w:rsidR="00734A81">
        <w:rPr>
          <w:rFonts w:ascii="Times New Roman" w:hAnsi="Times New Roman" w:cs="Times New Roman"/>
        </w:rPr>
        <w:t>al</w:t>
      </w:r>
      <w:r w:rsidR="00182801" w:rsidRPr="00734A81">
        <w:rPr>
          <w:rFonts w:ascii="Times New Roman" w:hAnsi="Times New Roman" w:cs="Times New Roman"/>
        </w:rPr>
        <w:t xml:space="preserve"> to its protection and preservation.</w:t>
      </w:r>
      <w:r w:rsidR="00C00187" w:rsidRPr="00734A81">
        <w:rPr>
          <w:rFonts w:ascii="Times New Roman" w:hAnsi="Times New Roman" w:cs="Times New Roman"/>
        </w:rPr>
        <w:t xml:space="preserve"> </w:t>
      </w:r>
      <w:r w:rsidR="00C00187" w:rsidRPr="005865EE">
        <w:rPr>
          <w:rFonts w:ascii="Times New Roman" w:hAnsi="Times New Roman" w:cs="Times New Roman"/>
        </w:rPr>
        <w:t>I</w:t>
      </w:r>
      <w:r w:rsidR="00182801" w:rsidRPr="00734A81">
        <w:rPr>
          <w:rFonts w:ascii="Times New Roman" w:hAnsi="Times New Roman" w:cs="Times New Roman"/>
        </w:rPr>
        <w:t>t also</w:t>
      </w:r>
      <w:r w:rsidR="00C00187" w:rsidRPr="005865EE">
        <w:rPr>
          <w:rFonts w:ascii="Times New Roman" w:hAnsi="Times New Roman" w:cs="Times New Roman"/>
        </w:rPr>
        <w:t xml:space="preserve"> emphasize</w:t>
      </w:r>
      <w:r w:rsidR="00182801" w:rsidRPr="00734A81">
        <w:rPr>
          <w:rFonts w:ascii="Times New Roman" w:hAnsi="Times New Roman" w:cs="Times New Roman"/>
        </w:rPr>
        <w:t>s</w:t>
      </w:r>
      <w:r w:rsidR="00C00187" w:rsidRPr="005865EE">
        <w:rPr>
          <w:rFonts w:ascii="Times New Roman" w:hAnsi="Times New Roman" w:cs="Times New Roman"/>
        </w:rPr>
        <w:t xml:space="preserve"> that NSAGs do not operate in a </w:t>
      </w:r>
      <w:r w:rsidR="00182801" w:rsidRPr="00734A81">
        <w:rPr>
          <w:rFonts w:ascii="Times New Roman" w:hAnsi="Times New Roman" w:cs="Times New Roman"/>
        </w:rPr>
        <w:t xml:space="preserve">legal </w:t>
      </w:r>
      <w:r w:rsidR="00C00187" w:rsidRPr="005865EE">
        <w:rPr>
          <w:rFonts w:ascii="Times New Roman" w:hAnsi="Times New Roman" w:cs="Times New Roman"/>
        </w:rPr>
        <w:t xml:space="preserve">vacuum, but are bound in meaningful ways by a range of obligations under </w:t>
      </w:r>
      <w:r w:rsidR="001D5D7D">
        <w:rPr>
          <w:rFonts w:ascii="Times New Roman" w:hAnsi="Times New Roman" w:cs="Times New Roman"/>
        </w:rPr>
        <w:t>international humanitarian law</w:t>
      </w:r>
      <w:r w:rsidR="001D5D7D" w:rsidRPr="00734A81">
        <w:rPr>
          <w:rFonts w:ascii="Times New Roman" w:hAnsi="Times New Roman" w:cs="Times New Roman"/>
        </w:rPr>
        <w:t xml:space="preserve"> </w:t>
      </w:r>
      <w:r w:rsidR="00182801" w:rsidRPr="00734A81">
        <w:rPr>
          <w:rFonts w:ascii="Times New Roman" w:hAnsi="Times New Roman" w:cs="Times New Roman"/>
        </w:rPr>
        <w:t xml:space="preserve">and their individual members </w:t>
      </w:r>
      <w:r w:rsidR="00C00187" w:rsidRPr="005865EE">
        <w:rPr>
          <w:rFonts w:ascii="Times New Roman" w:hAnsi="Times New Roman" w:cs="Times New Roman"/>
        </w:rPr>
        <w:t>subject to international criminal law</w:t>
      </w:r>
      <w:r w:rsidR="00AC3AA1">
        <w:rPr>
          <w:rFonts w:ascii="Times New Roman" w:hAnsi="Times New Roman" w:cs="Times New Roman"/>
        </w:rPr>
        <w:t>.</w:t>
      </w:r>
      <w:r w:rsidR="00AC3AA1" w:rsidRPr="00AC3AA1">
        <w:rPr>
          <w:rFonts w:ascii="Times New Roman" w:hAnsi="Times New Roman" w:cs="Times New Roman"/>
        </w:rPr>
        <w:t xml:space="preserve"> </w:t>
      </w:r>
      <w:r w:rsidR="00AC3AA1">
        <w:rPr>
          <w:rFonts w:ascii="Times New Roman" w:hAnsi="Times New Roman" w:cs="Times New Roman"/>
        </w:rPr>
        <w:t xml:space="preserve">Nevertheless, </w:t>
      </w:r>
      <w:r w:rsidR="00AC3AA1" w:rsidRPr="009D1813">
        <w:rPr>
          <w:rFonts w:ascii="Times New Roman" w:hAnsi="Times New Roman" w:cs="Times New Roman"/>
        </w:rPr>
        <w:t>the primary challenge in protecting cultural heritage is</w:t>
      </w:r>
      <w:r w:rsidR="00AC3AA1">
        <w:rPr>
          <w:rFonts w:ascii="Times New Roman" w:hAnsi="Times New Roman" w:cs="Times New Roman"/>
        </w:rPr>
        <w:t xml:space="preserve"> less</w:t>
      </w:r>
      <w:r w:rsidR="00AC3AA1" w:rsidRPr="009D1813">
        <w:rPr>
          <w:rFonts w:ascii="Times New Roman" w:hAnsi="Times New Roman" w:cs="Times New Roman"/>
        </w:rPr>
        <w:t xml:space="preserve"> the creation of new rules to regulate the behavior of NSAGs, </w:t>
      </w:r>
      <w:r w:rsidR="00AC3AA1">
        <w:rPr>
          <w:rFonts w:ascii="Times New Roman" w:hAnsi="Times New Roman" w:cs="Times New Roman"/>
        </w:rPr>
        <w:t>and more the need to</w:t>
      </w:r>
      <w:r w:rsidR="00AC3AA1" w:rsidRPr="009D1813">
        <w:rPr>
          <w:rFonts w:ascii="Times New Roman" w:hAnsi="Times New Roman" w:cs="Times New Roman"/>
        </w:rPr>
        <w:t xml:space="preserve"> ensur</w:t>
      </w:r>
      <w:r w:rsidR="00AC3AA1">
        <w:rPr>
          <w:rFonts w:ascii="Times New Roman" w:hAnsi="Times New Roman" w:cs="Times New Roman"/>
        </w:rPr>
        <w:t>e</w:t>
      </w:r>
      <w:r w:rsidR="00AC3AA1" w:rsidRPr="009D1813">
        <w:rPr>
          <w:rFonts w:ascii="Times New Roman" w:hAnsi="Times New Roman" w:cs="Times New Roman"/>
        </w:rPr>
        <w:t xml:space="preserve"> compliance with </w:t>
      </w:r>
      <w:r w:rsidR="00AC3AA1" w:rsidRPr="009D1813">
        <w:rPr>
          <w:rFonts w:ascii="Times New Roman" w:hAnsi="Times New Roman" w:cs="Times New Roman"/>
        </w:rPr>
        <w:lastRenderedPageBreak/>
        <w:t xml:space="preserve">already existing obligations. </w:t>
      </w:r>
      <w:r w:rsidR="00C00187" w:rsidRPr="005865EE">
        <w:rPr>
          <w:rFonts w:ascii="Times New Roman" w:hAnsi="Times New Roman" w:cs="Times New Roman"/>
        </w:rPr>
        <w:t xml:space="preserve">The </w:t>
      </w:r>
      <w:r w:rsidR="00D54178">
        <w:rPr>
          <w:rFonts w:ascii="Times New Roman" w:hAnsi="Times New Roman" w:cs="Times New Roman"/>
        </w:rPr>
        <w:t xml:space="preserve">chapter </w:t>
      </w:r>
      <w:r w:rsidR="00AC3AA1">
        <w:rPr>
          <w:rFonts w:ascii="Times New Roman" w:hAnsi="Times New Roman" w:cs="Times New Roman"/>
        </w:rPr>
        <w:t xml:space="preserve">therefore </w:t>
      </w:r>
      <w:r w:rsidR="00E11888">
        <w:rPr>
          <w:rFonts w:ascii="Times New Roman" w:hAnsi="Times New Roman" w:cs="Times New Roman"/>
        </w:rPr>
        <w:t xml:space="preserve">moves on to </w:t>
      </w:r>
      <w:r w:rsidR="00C00187" w:rsidRPr="005865EE">
        <w:rPr>
          <w:rFonts w:ascii="Times New Roman" w:hAnsi="Times New Roman" w:cs="Times New Roman"/>
        </w:rPr>
        <w:t xml:space="preserve">examine recent political science literature on belligerent conduct, as well as the ICRC’s “Roots of Restraint” project, </w:t>
      </w:r>
      <w:r w:rsidR="00AD6F2C">
        <w:rPr>
          <w:rFonts w:ascii="Times New Roman" w:hAnsi="Times New Roman" w:cs="Times New Roman"/>
        </w:rPr>
        <w:t xml:space="preserve">to suggest </w:t>
      </w:r>
      <w:r w:rsidR="00C00187" w:rsidRPr="005865EE">
        <w:rPr>
          <w:rFonts w:ascii="Times New Roman" w:hAnsi="Times New Roman" w:cs="Times New Roman"/>
        </w:rPr>
        <w:t xml:space="preserve">potential ways in which the behavior of NSAGs can be directed or changed to enhance respect for laws and norms relating to the protection of cultural heritage. </w:t>
      </w:r>
      <w:r w:rsidR="00AD6F2C">
        <w:rPr>
          <w:rFonts w:ascii="Times New Roman" w:hAnsi="Times New Roman" w:cs="Times New Roman"/>
        </w:rPr>
        <w:t>These efforts will necessitate a deeper understanding of not only the inner workings of NSAGs</w:t>
      </w:r>
      <w:r w:rsidR="00810B2A">
        <w:rPr>
          <w:rFonts w:ascii="Times New Roman" w:hAnsi="Times New Roman" w:cs="Times New Roman"/>
        </w:rPr>
        <w:t>—</w:t>
      </w:r>
      <w:r w:rsidR="00AD6F2C">
        <w:rPr>
          <w:rFonts w:ascii="Times New Roman" w:hAnsi="Times New Roman" w:cs="Times New Roman"/>
        </w:rPr>
        <w:t>in order to identify sources of authority, beliefs, and influence</w:t>
      </w:r>
      <w:r w:rsidR="00810B2A">
        <w:rPr>
          <w:rFonts w:ascii="Times New Roman" w:hAnsi="Times New Roman" w:cs="Times New Roman"/>
        </w:rPr>
        <w:t>—</w:t>
      </w:r>
      <w:r w:rsidR="00AD6F2C">
        <w:rPr>
          <w:rFonts w:ascii="Times New Roman" w:hAnsi="Times New Roman" w:cs="Times New Roman"/>
        </w:rPr>
        <w:t xml:space="preserve">but also the local communities in which many of these groups are embedded. </w:t>
      </w:r>
      <w:r w:rsidR="00AC3AA1">
        <w:rPr>
          <w:rFonts w:ascii="Times New Roman" w:hAnsi="Times New Roman" w:cs="Times New Roman"/>
        </w:rPr>
        <w:t>A</w:t>
      </w:r>
      <w:r w:rsidR="00182801" w:rsidRPr="00734A81">
        <w:rPr>
          <w:rFonts w:ascii="Times New Roman" w:hAnsi="Times New Roman" w:cs="Times New Roman"/>
        </w:rPr>
        <w:t xml:space="preserve">s the chapter concludes, </w:t>
      </w:r>
      <w:r w:rsidR="00AC3AA1">
        <w:rPr>
          <w:rFonts w:ascii="Times New Roman" w:hAnsi="Times New Roman" w:cs="Times New Roman"/>
        </w:rPr>
        <w:t xml:space="preserve">however, </w:t>
      </w:r>
      <w:r w:rsidR="00182801" w:rsidRPr="00734A81">
        <w:rPr>
          <w:rFonts w:ascii="Times New Roman" w:hAnsi="Times New Roman" w:cs="Times New Roman"/>
        </w:rPr>
        <w:t xml:space="preserve">there are </w:t>
      </w:r>
      <w:r w:rsidR="00734A81">
        <w:rPr>
          <w:rFonts w:ascii="Times New Roman" w:hAnsi="Times New Roman" w:cs="Times New Roman"/>
        </w:rPr>
        <w:t xml:space="preserve">formidable </w:t>
      </w:r>
      <w:r w:rsidR="00C00187" w:rsidRPr="005865EE">
        <w:rPr>
          <w:rFonts w:ascii="Times New Roman" w:hAnsi="Times New Roman" w:cs="Times New Roman"/>
        </w:rPr>
        <w:t>challenges confronting efforts to engage with NSAGs</w:t>
      </w:r>
      <w:r w:rsidR="00AC3AA1">
        <w:rPr>
          <w:rFonts w:ascii="Times New Roman" w:hAnsi="Times New Roman" w:cs="Times New Roman"/>
        </w:rPr>
        <w:t>. These</w:t>
      </w:r>
      <w:r w:rsidR="00C00187" w:rsidRPr="005865EE">
        <w:rPr>
          <w:rFonts w:ascii="Times New Roman" w:hAnsi="Times New Roman" w:cs="Times New Roman"/>
        </w:rPr>
        <w:t xml:space="preserve"> </w:t>
      </w:r>
      <w:r w:rsidR="00AC3AA1">
        <w:rPr>
          <w:rFonts w:ascii="Times New Roman" w:hAnsi="Times New Roman" w:cs="Times New Roman"/>
        </w:rPr>
        <w:t xml:space="preserve">include </w:t>
      </w:r>
      <w:r w:rsidR="00C00187" w:rsidRPr="005865EE">
        <w:rPr>
          <w:rFonts w:ascii="Times New Roman" w:hAnsi="Times New Roman" w:cs="Times New Roman"/>
        </w:rPr>
        <w:t xml:space="preserve">the effects of counterterrorism policies that </w:t>
      </w:r>
      <w:r w:rsidR="00182801" w:rsidRPr="00734A81">
        <w:rPr>
          <w:rFonts w:ascii="Times New Roman" w:hAnsi="Times New Roman" w:cs="Times New Roman"/>
        </w:rPr>
        <w:t xml:space="preserve">have </w:t>
      </w:r>
      <w:r w:rsidR="00C00187" w:rsidRPr="005865EE">
        <w:rPr>
          <w:rFonts w:ascii="Times New Roman" w:hAnsi="Times New Roman" w:cs="Times New Roman"/>
        </w:rPr>
        <w:t>constrain</w:t>
      </w:r>
      <w:r w:rsidR="00182801" w:rsidRPr="00734A81">
        <w:rPr>
          <w:rFonts w:ascii="Times New Roman" w:hAnsi="Times New Roman" w:cs="Times New Roman"/>
        </w:rPr>
        <w:t xml:space="preserve">ed the capacity and willingness </w:t>
      </w:r>
      <w:r w:rsidR="00EC6E38">
        <w:rPr>
          <w:rFonts w:ascii="Times New Roman" w:hAnsi="Times New Roman" w:cs="Times New Roman"/>
        </w:rPr>
        <w:t xml:space="preserve">to </w:t>
      </w:r>
      <w:r w:rsidR="00C00187" w:rsidRPr="005865EE">
        <w:rPr>
          <w:rFonts w:ascii="Times New Roman" w:hAnsi="Times New Roman" w:cs="Times New Roman"/>
        </w:rPr>
        <w:t>enter into dialogue with s</w:t>
      </w:r>
      <w:r w:rsidR="00734A81" w:rsidRPr="00734A81">
        <w:rPr>
          <w:rFonts w:ascii="Times New Roman" w:hAnsi="Times New Roman" w:cs="Times New Roman"/>
        </w:rPr>
        <w:t>uch entities</w:t>
      </w:r>
      <w:r w:rsidR="00182801" w:rsidRPr="00734A81">
        <w:rPr>
          <w:rFonts w:ascii="Times New Roman" w:hAnsi="Times New Roman" w:cs="Times New Roman"/>
        </w:rPr>
        <w:t xml:space="preserve"> a</w:t>
      </w:r>
      <w:r w:rsidR="00734A81" w:rsidRPr="00734A81">
        <w:rPr>
          <w:rFonts w:ascii="Times New Roman" w:hAnsi="Times New Roman" w:cs="Times New Roman"/>
        </w:rPr>
        <w:t>s well as</w:t>
      </w:r>
      <w:r w:rsidR="00182801" w:rsidRPr="00734A81">
        <w:rPr>
          <w:rFonts w:ascii="Times New Roman" w:hAnsi="Times New Roman" w:cs="Times New Roman"/>
        </w:rPr>
        <w:t xml:space="preserve"> the longstanding reluctance of states and state-based organi</w:t>
      </w:r>
      <w:r w:rsidR="00734A81">
        <w:rPr>
          <w:rFonts w:ascii="Times New Roman" w:hAnsi="Times New Roman" w:cs="Times New Roman"/>
        </w:rPr>
        <w:t>z</w:t>
      </w:r>
      <w:r w:rsidR="00182801" w:rsidRPr="00734A81">
        <w:rPr>
          <w:rFonts w:ascii="Times New Roman" w:hAnsi="Times New Roman" w:cs="Times New Roman"/>
        </w:rPr>
        <w:t>ations</w:t>
      </w:r>
      <w:r w:rsidR="00734A81" w:rsidRPr="00734A81">
        <w:rPr>
          <w:rFonts w:ascii="Times New Roman" w:hAnsi="Times New Roman" w:cs="Times New Roman"/>
        </w:rPr>
        <w:t xml:space="preserve"> to </w:t>
      </w:r>
      <w:r w:rsidR="00734A81" w:rsidRPr="005865EE">
        <w:rPr>
          <w:rFonts w:ascii="Times New Roman" w:hAnsi="Times New Roman" w:cs="Times New Roman"/>
        </w:rPr>
        <w:t>undertake actions or commitments that they believe might legitimize NSAGs</w:t>
      </w:r>
      <w:r w:rsidR="00182801" w:rsidRPr="00734A81">
        <w:rPr>
          <w:rFonts w:ascii="Times New Roman" w:hAnsi="Times New Roman" w:cs="Times New Roman"/>
        </w:rPr>
        <w:t xml:space="preserve">. </w:t>
      </w:r>
    </w:p>
    <w:p w14:paraId="44A4960C" w14:textId="77777777" w:rsidR="00CD6395" w:rsidRPr="00127EF2" w:rsidRDefault="00CD6395" w:rsidP="005865EE">
      <w:pPr>
        <w:spacing w:line="480" w:lineRule="auto"/>
      </w:pPr>
    </w:p>
    <w:p w14:paraId="5666807D" w14:textId="6F4D3A21" w:rsidR="00E36122" w:rsidRPr="009D1813" w:rsidRDefault="00E36122" w:rsidP="001D0FD0">
      <w:pPr>
        <w:pStyle w:val="Heading2"/>
      </w:pPr>
      <w:r w:rsidRPr="001D0FD0">
        <w:t>Bio</w:t>
      </w:r>
      <w:r w:rsidR="008F5A1D" w:rsidRPr="001D0FD0">
        <w:t>graphy</w:t>
      </w:r>
    </w:p>
    <w:p w14:paraId="7729C69E" w14:textId="79166384" w:rsidR="00E36122" w:rsidRPr="009D1813" w:rsidRDefault="00E36122" w:rsidP="00510953">
      <w:pPr>
        <w:spacing w:line="480" w:lineRule="auto"/>
        <w:contextualSpacing/>
        <w:rPr>
          <w:rFonts w:ascii="Times New Roman" w:hAnsi="Times New Roman" w:cs="Times New Roman"/>
          <w:bCs/>
        </w:rPr>
      </w:pPr>
      <w:r w:rsidRPr="009D1813">
        <w:rPr>
          <w:rFonts w:ascii="Times New Roman" w:hAnsi="Times New Roman" w:cs="Times New Roman"/>
          <w:bCs/>
        </w:rPr>
        <w:t>Jennifer M. Welsh is the Canada 150 Research Chair in Global Governance and Security at McGill University. She was previously Chair in International Relations at the European University Institute</w:t>
      </w:r>
      <w:r w:rsidR="00AD1C94">
        <w:rPr>
          <w:rFonts w:ascii="Times New Roman" w:hAnsi="Times New Roman" w:cs="Times New Roman"/>
          <w:bCs/>
        </w:rPr>
        <w:t>,</w:t>
      </w:r>
      <w:r w:rsidRPr="009D1813">
        <w:rPr>
          <w:rFonts w:ascii="Times New Roman" w:hAnsi="Times New Roman" w:cs="Times New Roman"/>
          <w:bCs/>
        </w:rPr>
        <w:t xml:space="preserve"> and Professor in International Relations at the University of Oxford, where she cofounded the Oxford Institute for Ethics, Law and Armed Conflict. From 2013</w:t>
      </w:r>
      <w:r w:rsidR="009A30F1" w:rsidRPr="009D1813">
        <w:rPr>
          <w:rFonts w:ascii="Times New Roman" w:hAnsi="Times New Roman" w:cs="Times New Roman"/>
          <w:bCs/>
        </w:rPr>
        <w:t xml:space="preserve"> to </w:t>
      </w:r>
      <w:r w:rsidRPr="009D1813">
        <w:rPr>
          <w:rFonts w:ascii="Times New Roman" w:hAnsi="Times New Roman" w:cs="Times New Roman"/>
          <w:bCs/>
        </w:rPr>
        <w:t>2016 she served as the Special Adviser on the Responsibility to Protect</w:t>
      </w:r>
      <w:r w:rsidR="00B97B9A" w:rsidRPr="00B97B9A">
        <w:rPr>
          <w:rFonts w:ascii="Times New Roman" w:hAnsi="Times New Roman" w:cs="Times New Roman"/>
          <w:bCs/>
        </w:rPr>
        <w:t xml:space="preserve"> </w:t>
      </w:r>
      <w:r w:rsidR="00B97B9A" w:rsidRPr="009D1813">
        <w:rPr>
          <w:rFonts w:ascii="Times New Roman" w:hAnsi="Times New Roman" w:cs="Times New Roman"/>
          <w:bCs/>
        </w:rPr>
        <w:t xml:space="preserve">to UN </w:t>
      </w:r>
      <w:r w:rsidR="0054491E">
        <w:rPr>
          <w:rFonts w:ascii="Times New Roman" w:hAnsi="Times New Roman" w:cs="Times New Roman"/>
          <w:bCs/>
        </w:rPr>
        <w:t>S</w:t>
      </w:r>
      <w:r w:rsidR="00B97B9A" w:rsidRPr="009D1813">
        <w:rPr>
          <w:rFonts w:ascii="Times New Roman" w:hAnsi="Times New Roman" w:cs="Times New Roman"/>
          <w:bCs/>
        </w:rPr>
        <w:t>ecretary</w:t>
      </w:r>
      <w:r w:rsidR="00B97B9A">
        <w:rPr>
          <w:rFonts w:ascii="Times New Roman" w:hAnsi="Times New Roman" w:cs="Times New Roman"/>
          <w:bCs/>
        </w:rPr>
        <w:t>-</w:t>
      </w:r>
      <w:r w:rsidR="0054491E">
        <w:rPr>
          <w:rFonts w:ascii="Times New Roman" w:hAnsi="Times New Roman" w:cs="Times New Roman"/>
          <w:bCs/>
        </w:rPr>
        <w:t>G</w:t>
      </w:r>
      <w:r w:rsidR="00B97B9A" w:rsidRPr="009D1813">
        <w:rPr>
          <w:rFonts w:ascii="Times New Roman" w:hAnsi="Times New Roman" w:cs="Times New Roman"/>
          <w:bCs/>
        </w:rPr>
        <w:t>eneral Ban Ki-moon</w:t>
      </w:r>
      <w:r w:rsidRPr="009D1813">
        <w:rPr>
          <w:rFonts w:ascii="Times New Roman" w:hAnsi="Times New Roman" w:cs="Times New Roman"/>
          <w:bCs/>
        </w:rPr>
        <w:t xml:space="preserve">. She has published several books and articles on humanitarian intervention, the </w:t>
      </w:r>
      <w:r w:rsidR="0046724A">
        <w:rPr>
          <w:rFonts w:ascii="Times New Roman" w:hAnsi="Times New Roman" w:cs="Times New Roman"/>
          <w:bCs/>
        </w:rPr>
        <w:t>“</w:t>
      </w:r>
      <w:r w:rsidRPr="009D1813">
        <w:rPr>
          <w:rFonts w:ascii="Times New Roman" w:hAnsi="Times New Roman" w:cs="Times New Roman"/>
          <w:bCs/>
        </w:rPr>
        <w:t>responsibility to protect</w:t>
      </w:r>
      <w:r w:rsidR="0046724A">
        <w:rPr>
          <w:rFonts w:ascii="Times New Roman" w:hAnsi="Times New Roman" w:cs="Times New Roman"/>
          <w:bCs/>
        </w:rPr>
        <w:t>”</w:t>
      </w:r>
      <w:r w:rsidRPr="009D1813">
        <w:rPr>
          <w:rFonts w:ascii="Times New Roman" w:hAnsi="Times New Roman" w:cs="Times New Roman"/>
          <w:bCs/>
        </w:rPr>
        <w:t xml:space="preserve"> in international society, the UN Security Council, norm conflict and contestation, and Canadian foreign policy.</w:t>
      </w:r>
    </w:p>
    <w:p w14:paraId="4413FEA9" w14:textId="5E28EBAF" w:rsidR="00E36122" w:rsidRDefault="00E36122" w:rsidP="00510953">
      <w:pPr>
        <w:spacing w:line="480" w:lineRule="auto"/>
        <w:contextualSpacing/>
        <w:rPr>
          <w:rFonts w:ascii="Times New Roman" w:hAnsi="Times New Roman" w:cs="Times New Roman"/>
          <w:bCs/>
        </w:rPr>
      </w:pPr>
    </w:p>
    <w:p w14:paraId="62E68F09" w14:textId="77777777" w:rsidR="00BD7A62" w:rsidRPr="009D1813" w:rsidRDefault="00BD7A62">
      <w:pPr>
        <w:spacing w:line="480" w:lineRule="auto"/>
        <w:contextualSpacing/>
        <w:rPr>
          <w:rFonts w:ascii="Times New Roman" w:hAnsi="Times New Roman" w:cs="Times New Roman"/>
          <w:bCs/>
        </w:rPr>
      </w:pPr>
    </w:p>
    <w:p w14:paraId="5A98359A" w14:textId="156E290F" w:rsidR="008F5A1D" w:rsidRPr="009D1813" w:rsidRDefault="00A16D22">
      <w:pPr>
        <w:pStyle w:val="PI"/>
        <w:ind w:firstLine="0"/>
        <w:contextualSpacing/>
      </w:pPr>
      <w:r w:rsidRPr="009D1813">
        <w:lastRenderedPageBreak/>
        <w:t xml:space="preserve">Many of the core norms that seek to regulate the conduct of belligerents in armed conflict, or of </w:t>
      </w:r>
      <w:r w:rsidR="00B6144F" w:rsidRPr="009D1813">
        <w:t xml:space="preserve">the </w:t>
      </w:r>
      <w:r w:rsidRPr="009D1813">
        <w:t>perpetrators of atrocity crimes, originally focused on the behavior of sove</w:t>
      </w:r>
      <w:r w:rsidR="006F1711" w:rsidRPr="009D1813">
        <w:t xml:space="preserve">reign states. </w:t>
      </w:r>
      <w:r w:rsidR="00DA6E48">
        <w:t>It</w:t>
      </w:r>
      <w:r w:rsidR="00C00187">
        <w:t xml:space="preserve"> is s</w:t>
      </w:r>
      <w:r w:rsidR="00B6144F" w:rsidRPr="009D1813">
        <w:t>tates and their representatives</w:t>
      </w:r>
      <w:r w:rsidR="00DA6E48">
        <w:t>, after all,</w:t>
      </w:r>
      <w:r w:rsidR="00C00187">
        <w:t xml:space="preserve"> that</w:t>
      </w:r>
      <w:r w:rsidR="00B6144F" w:rsidRPr="009D1813">
        <w:t xml:space="preserve"> make and enforce international law</w:t>
      </w:r>
      <w:r w:rsidR="001D391D" w:rsidRPr="009D1813">
        <w:t xml:space="preserve"> and thus it is their </w:t>
      </w:r>
      <w:r w:rsidR="00B6144F" w:rsidRPr="009D1813">
        <w:t xml:space="preserve">rights and responsibilities that are of primary concern. </w:t>
      </w:r>
      <w:r w:rsidR="001D391D" w:rsidRPr="009D1813">
        <w:t xml:space="preserve">But in </w:t>
      </w:r>
      <w:r w:rsidR="00B6144F" w:rsidRPr="009D1813">
        <w:t xml:space="preserve">addition, </w:t>
      </w:r>
      <w:r w:rsidR="006225DA" w:rsidRPr="009D1813">
        <w:t>national</w:t>
      </w:r>
      <w:r w:rsidR="001D391D" w:rsidRPr="009D1813">
        <w:t xml:space="preserve"> governments have long resisted any moves that might e</w:t>
      </w:r>
      <w:r w:rsidR="004B4A6D" w:rsidRPr="009D1813">
        <w:t>mpower</w:t>
      </w:r>
      <w:r w:rsidR="001D391D" w:rsidRPr="009D1813">
        <w:t xml:space="preserve"> actors seeking to challeng</w:t>
      </w:r>
      <w:r w:rsidR="0080740F" w:rsidRPr="009D1813">
        <w:t>e</w:t>
      </w:r>
      <w:r w:rsidR="001D391D" w:rsidRPr="009D1813">
        <w:t xml:space="preserve"> state authority or the domestic political status quo. As a result, the </w:t>
      </w:r>
      <w:r w:rsidR="00B6144F" w:rsidRPr="009D1813">
        <w:t>laws of war</w:t>
      </w:r>
      <w:r w:rsidR="001D391D" w:rsidRPr="009D1813">
        <w:t>, from their earliest incarnation,</w:t>
      </w:r>
      <w:r w:rsidR="00B6144F" w:rsidRPr="009D1813">
        <w:t xml:space="preserve"> sought to set boundaries around those who can legitimately fight by insisting that only sovereigns have the “right authority” to wage war</w:t>
      </w:r>
      <w:r w:rsidR="001D391D" w:rsidRPr="009D1813">
        <w:t>.</w:t>
      </w:r>
      <w:r w:rsidR="004907F0" w:rsidRPr="009D1813">
        <w:rPr>
          <w:rStyle w:val="EndnoteReference"/>
        </w:rPr>
        <w:endnoteReference w:id="1"/>
      </w:r>
      <w:r w:rsidR="001D391D" w:rsidRPr="009D1813">
        <w:t xml:space="preserve"> </w:t>
      </w:r>
      <w:r w:rsidR="00E4546A" w:rsidRPr="009D1813">
        <w:t xml:space="preserve">It </w:t>
      </w:r>
      <w:r w:rsidR="00B6144F" w:rsidRPr="009D1813">
        <w:t xml:space="preserve">was not until the adoption of the Additional Protocols in 1977 that </w:t>
      </w:r>
      <w:r w:rsidR="006B23AD">
        <w:t>nonstate</w:t>
      </w:r>
      <w:r w:rsidR="00B6144F" w:rsidRPr="009D1813">
        <w:t xml:space="preserve"> </w:t>
      </w:r>
      <w:r w:rsidR="0080740F" w:rsidRPr="009D1813">
        <w:t xml:space="preserve">actors </w:t>
      </w:r>
      <w:r w:rsidR="00B6144F" w:rsidRPr="009D1813">
        <w:t>fighting in civil wars incurred obligations to comply with the Geneva Conventions—</w:t>
      </w:r>
      <w:r w:rsidR="004B4A6D" w:rsidRPr="009D1813">
        <w:t xml:space="preserve">a delay due </w:t>
      </w:r>
      <w:r w:rsidR="00B6144F" w:rsidRPr="009D1813">
        <w:t xml:space="preserve">in large part </w:t>
      </w:r>
      <w:r w:rsidR="004B4A6D" w:rsidRPr="009D1813">
        <w:t xml:space="preserve">to </w:t>
      </w:r>
      <w:r w:rsidR="00B6144F" w:rsidRPr="009D1813">
        <w:t>states’ reluctance to legitimize such entities</w:t>
      </w:r>
      <w:r w:rsidR="008F5A1D" w:rsidRPr="009D1813">
        <w:t>.</w:t>
      </w:r>
    </w:p>
    <w:p w14:paraId="3EE113E0" w14:textId="6B1F8A2C" w:rsidR="00B7199E" w:rsidRPr="009D1813" w:rsidRDefault="00B54E51">
      <w:pPr>
        <w:pStyle w:val="PI"/>
        <w:ind w:firstLine="720"/>
        <w:contextualSpacing/>
      </w:pPr>
      <w:r w:rsidRPr="009D1813">
        <w:t xml:space="preserve">Over </w:t>
      </w:r>
      <w:r w:rsidR="006F1711" w:rsidRPr="009D1813">
        <w:t>time</w:t>
      </w:r>
      <w:r w:rsidRPr="009D1813">
        <w:t>, however,</w:t>
      </w:r>
      <w:r w:rsidR="006F1711" w:rsidRPr="009D1813">
        <w:t xml:space="preserve"> the</w:t>
      </w:r>
      <w:r w:rsidR="00A16D22" w:rsidRPr="009D1813">
        <w:t xml:space="preserve"> legal and normative </w:t>
      </w:r>
      <w:r w:rsidRPr="009D1813">
        <w:t xml:space="preserve">backdrop to armed conflict </w:t>
      </w:r>
      <w:r w:rsidR="00A16D22" w:rsidRPr="009D1813">
        <w:t xml:space="preserve">has </w:t>
      </w:r>
      <w:r w:rsidRPr="009D1813">
        <w:t xml:space="preserve">evolved </w:t>
      </w:r>
      <w:r w:rsidR="00A16D22" w:rsidRPr="009D1813">
        <w:t>to include a broader set of actors</w:t>
      </w:r>
      <w:r w:rsidR="001D391D" w:rsidRPr="009D1813">
        <w:t xml:space="preserve">, </w:t>
      </w:r>
      <w:r w:rsidR="00A16D22" w:rsidRPr="009D1813">
        <w:t xml:space="preserve">as a result of </w:t>
      </w:r>
      <w:r w:rsidR="006F1711" w:rsidRPr="009D1813">
        <w:t xml:space="preserve">both </w:t>
      </w:r>
      <w:r w:rsidR="00A16D22" w:rsidRPr="009D1813">
        <w:t>the changing nature of war</w:t>
      </w:r>
      <w:r w:rsidR="004B4A6D" w:rsidRPr="009D1813">
        <w:t xml:space="preserve"> </w:t>
      </w:r>
      <w:r w:rsidR="006F1711" w:rsidRPr="009D1813">
        <w:t xml:space="preserve">and </w:t>
      </w:r>
      <w:r w:rsidR="00DF06C5" w:rsidRPr="009D1813">
        <w:t>the development of international criminal law</w:t>
      </w:r>
      <w:r w:rsidR="00A16D22" w:rsidRPr="009D1813">
        <w:t xml:space="preserve">. This chapter will </w:t>
      </w:r>
      <w:r w:rsidR="005D1AB3" w:rsidRPr="009D1813">
        <w:t xml:space="preserve">concentrate </w:t>
      </w:r>
      <w:r w:rsidR="00A16D22" w:rsidRPr="009D1813">
        <w:t xml:space="preserve">on </w:t>
      </w:r>
      <w:r w:rsidR="007D67C9">
        <w:t>a</w:t>
      </w:r>
      <w:r w:rsidR="007D67C9" w:rsidRPr="009D1813">
        <w:t xml:space="preserve"> </w:t>
      </w:r>
      <w:r w:rsidRPr="009D1813">
        <w:t xml:space="preserve">particular set of actors, </w:t>
      </w:r>
      <w:r w:rsidR="006B23AD">
        <w:t>nonstate</w:t>
      </w:r>
      <w:r w:rsidR="00A16D22" w:rsidRPr="009D1813">
        <w:t xml:space="preserve"> armed groups (NSAGs)</w:t>
      </w:r>
      <w:r w:rsidRPr="009D1813">
        <w:t>,</w:t>
      </w:r>
      <w:r w:rsidR="00A16D22" w:rsidRPr="009D1813">
        <w:t xml:space="preserve"> as </w:t>
      </w:r>
      <w:r w:rsidR="003B616D">
        <w:t>a</w:t>
      </w:r>
      <w:r w:rsidR="003B616D" w:rsidRPr="009D1813">
        <w:t xml:space="preserve"> </w:t>
      </w:r>
      <w:r w:rsidR="00A16D22" w:rsidRPr="009D1813">
        <w:t xml:space="preserve">critical </w:t>
      </w:r>
      <w:r w:rsidR="00684AAB">
        <w:t>“</w:t>
      </w:r>
      <w:r w:rsidR="00A16D22" w:rsidRPr="009D1813">
        <w:t>constituency</w:t>
      </w:r>
      <w:r w:rsidR="00684AAB">
        <w:t>”</w:t>
      </w:r>
      <w:r w:rsidR="00A16D22" w:rsidRPr="009D1813">
        <w:t xml:space="preserve"> for any endeavor that seeks to enhance the protection of cultural heritage in contemporary situations of violent conflict. </w:t>
      </w:r>
      <w:r w:rsidR="007D68D8" w:rsidRPr="009D1813">
        <w:t>It examines the growing literature from political science and civil war studies on the motives, structure, and behavior of NSAGs, and draws out implications for those seeking to develop strategies to limit the destruction of cultural property</w:t>
      </w:r>
      <w:r w:rsidR="00C25437" w:rsidRPr="009D1813">
        <w:t>.</w:t>
      </w:r>
      <w:r w:rsidR="00D06AE5" w:rsidRPr="009D1813">
        <w:t xml:space="preserve"> </w:t>
      </w:r>
      <w:r w:rsidR="00DD08A3">
        <w:t>T</w:t>
      </w:r>
      <w:r w:rsidR="00D06AE5" w:rsidRPr="009D1813">
        <w:t xml:space="preserve">he discussion reveals that while both law and practice have evolved in ways that acknowledge the importance of understanding and, in some cases, engaging with </w:t>
      </w:r>
      <w:r w:rsidR="006B23AD">
        <w:t>nonstate</w:t>
      </w:r>
      <w:r w:rsidR="008529DE" w:rsidRPr="009D1813">
        <w:t xml:space="preserve"> armed group</w:t>
      </w:r>
      <w:r w:rsidR="00D06AE5" w:rsidRPr="009D1813">
        <w:t xml:space="preserve">s, the long-standing reluctance of states to undertake actions or commitments that </w:t>
      </w:r>
      <w:r w:rsidR="008529DE" w:rsidRPr="009D1813">
        <w:t xml:space="preserve">they believe </w:t>
      </w:r>
      <w:r w:rsidR="00D06AE5" w:rsidRPr="009D1813">
        <w:t xml:space="preserve">might legitimize </w:t>
      </w:r>
      <w:r w:rsidR="008529DE" w:rsidRPr="009D1813">
        <w:t xml:space="preserve">such entities, or challenge </w:t>
      </w:r>
      <w:r w:rsidR="008529DE" w:rsidRPr="009D1813">
        <w:lastRenderedPageBreak/>
        <w:t>the authority of existing government</w:t>
      </w:r>
      <w:r w:rsidR="00D06AE5" w:rsidRPr="009D1813">
        <w:t>s</w:t>
      </w:r>
      <w:r w:rsidR="008529DE" w:rsidRPr="009D1813">
        <w:t xml:space="preserve">, remains a formidable constraint. This reluctance also extends to state-based organizations, such as the United Nations and its agencies. </w:t>
      </w:r>
    </w:p>
    <w:p w14:paraId="2D527947" w14:textId="423BCBEB" w:rsidR="008F5A1D" w:rsidRPr="009D1813" w:rsidRDefault="0080740F">
      <w:pPr>
        <w:pStyle w:val="PI"/>
        <w:ind w:firstLine="720"/>
        <w:contextualSpacing/>
        <w:rPr>
          <w:bCs/>
        </w:rPr>
      </w:pPr>
      <w:r w:rsidRPr="009D1813">
        <w:t>Conflict data reveal that the incidence and nature of armed conflict ha</w:t>
      </w:r>
      <w:r w:rsidR="00757121" w:rsidRPr="009D1813">
        <w:t>ve</w:t>
      </w:r>
      <w:r w:rsidRPr="009D1813">
        <w:t xml:space="preserve"> changed significantly over the last two decades. </w:t>
      </w:r>
      <w:r w:rsidR="004B4A6D" w:rsidRPr="009D1813">
        <w:t xml:space="preserve">While for much of the post-1945 period the phenomenon of interstate war has been on </w:t>
      </w:r>
      <w:r w:rsidR="00B54E51" w:rsidRPr="009D1813">
        <w:t xml:space="preserve">a steady </w:t>
      </w:r>
      <w:r w:rsidR="004B4A6D" w:rsidRPr="009D1813">
        <w:t xml:space="preserve">decline, the same cannot be said for wars within states. </w:t>
      </w:r>
      <w:r w:rsidRPr="009D1813">
        <w:t xml:space="preserve">Between 2001 and 2016, </w:t>
      </w:r>
      <w:r w:rsidR="004B4A6D" w:rsidRPr="009D1813">
        <w:t xml:space="preserve">for example, </w:t>
      </w:r>
      <w:r w:rsidRPr="009D1813">
        <w:t xml:space="preserve">the number of non-international armed conflicts </w:t>
      </w:r>
      <w:r w:rsidR="004F7229">
        <w:t xml:space="preserve">more than </w:t>
      </w:r>
      <w:r w:rsidRPr="009D1813">
        <w:t xml:space="preserve">doubled, from fewer than </w:t>
      </w:r>
      <w:r w:rsidR="004253F7">
        <w:t xml:space="preserve">thirty </w:t>
      </w:r>
      <w:r w:rsidRPr="009D1813">
        <w:t xml:space="preserve">to more than </w:t>
      </w:r>
      <w:r w:rsidR="004253F7">
        <w:t>seventy</w:t>
      </w:r>
      <w:r w:rsidR="004F1CEB" w:rsidRPr="009D1813">
        <w:t>.</w:t>
      </w:r>
      <w:r w:rsidR="005A5AA8" w:rsidRPr="009D1813">
        <w:rPr>
          <w:rStyle w:val="EndnoteReference"/>
        </w:rPr>
        <w:endnoteReference w:id="2"/>
      </w:r>
      <w:r w:rsidRPr="009D1813">
        <w:t xml:space="preserve"> Moreover, research </w:t>
      </w:r>
      <w:r w:rsidR="007B4E72" w:rsidRPr="009D1813">
        <w:t xml:space="preserve">organized </w:t>
      </w:r>
      <w:r w:rsidRPr="009D1813">
        <w:t xml:space="preserve">by the </w:t>
      </w:r>
      <w:r w:rsidR="00656A3A" w:rsidRPr="009D1813">
        <w:t xml:space="preserve">International Committee of the Red Cross (ICRC) indicates that </w:t>
      </w:r>
      <w:r w:rsidR="007B4E72" w:rsidRPr="009D1813">
        <w:t xml:space="preserve">today’s </w:t>
      </w:r>
      <w:r w:rsidR="00656A3A" w:rsidRPr="009D1813">
        <w:t xml:space="preserve">armed conflicts are characterized by a proliferation of NSAGs, </w:t>
      </w:r>
      <w:r w:rsidR="00A54E78" w:rsidRPr="009D1813">
        <w:t xml:space="preserve">with more such groups emerging in the last decade than the </w:t>
      </w:r>
      <w:r w:rsidR="00C900E7">
        <w:t>previous</w:t>
      </w:r>
      <w:r w:rsidR="00C900E7" w:rsidRPr="009D1813">
        <w:t xml:space="preserve"> </w:t>
      </w:r>
      <w:r w:rsidR="00A54E78" w:rsidRPr="009D1813">
        <w:t>seven decades combined.</w:t>
      </w:r>
      <w:r w:rsidR="004907F0" w:rsidRPr="009D1813">
        <w:rPr>
          <w:rStyle w:val="EndnoteReference"/>
        </w:rPr>
        <w:endnoteReference w:id="3"/>
      </w:r>
      <w:r w:rsidR="00A54E78" w:rsidRPr="009D1813">
        <w:t xml:space="preserve"> An</w:t>
      </w:r>
      <w:r w:rsidR="00656A3A" w:rsidRPr="009D1813">
        <w:t xml:space="preserve"> increasing number are </w:t>
      </w:r>
      <w:r w:rsidR="00C900E7">
        <w:t xml:space="preserve">also </w:t>
      </w:r>
      <w:r w:rsidR="00656A3A" w:rsidRPr="009D1813">
        <w:t>highly decentralized</w:t>
      </w:r>
      <w:r w:rsidR="007B4E72" w:rsidRPr="009D1813">
        <w:t xml:space="preserve"> and enter into constantly shifting alliances at the local, national</w:t>
      </w:r>
      <w:r w:rsidR="00C900E7">
        <w:t>,</w:t>
      </w:r>
      <w:r w:rsidR="007B4E72" w:rsidRPr="009D1813">
        <w:t xml:space="preserve"> or international level</w:t>
      </w:r>
      <w:r w:rsidR="00B54E51" w:rsidRPr="009D1813">
        <w:t>,</w:t>
      </w:r>
      <w:r w:rsidR="00556390" w:rsidRPr="009D1813">
        <w:rPr>
          <w:rStyle w:val="EndnoteReference"/>
        </w:rPr>
        <w:endnoteReference w:id="4"/>
      </w:r>
      <w:r w:rsidR="00B54E51" w:rsidRPr="009D1813">
        <w:t xml:space="preserve"> </w:t>
      </w:r>
      <w:r w:rsidR="00757121" w:rsidRPr="009D1813">
        <w:t xml:space="preserve">thereby defying analysts’ attempts to </w:t>
      </w:r>
      <w:r w:rsidR="00B54E51" w:rsidRPr="009D1813">
        <w:t>categorize the shape of many of today’s armed conflicts</w:t>
      </w:r>
      <w:r w:rsidR="007B4E72" w:rsidRPr="009D1813">
        <w:t xml:space="preserve">. </w:t>
      </w:r>
      <w:r w:rsidR="00B54E51" w:rsidRPr="009D1813">
        <w:t xml:space="preserve">Only </w:t>
      </w:r>
      <w:r w:rsidR="007B4E72" w:rsidRPr="009D1813">
        <w:t xml:space="preserve">one-third of contemporary </w:t>
      </w:r>
      <w:r w:rsidR="00B54E51" w:rsidRPr="009D1813">
        <w:t xml:space="preserve">wars </w:t>
      </w:r>
      <w:r w:rsidR="007B4E72" w:rsidRPr="009D1813">
        <w:t xml:space="preserve">are fought between two belligerent parties, while close to half feature between three and nine opposing forces and </w:t>
      </w:r>
      <w:r w:rsidR="004B4A6D" w:rsidRPr="009D1813">
        <w:t>just over</w:t>
      </w:r>
      <w:r w:rsidR="007B4E72" w:rsidRPr="009D1813">
        <w:t xml:space="preserve"> </w:t>
      </w:r>
      <w:r w:rsidR="00254973" w:rsidRPr="009D1813">
        <w:t xml:space="preserve">twenty </w:t>
      </w:r>
      <w:r w:rsidR="007B4E72" w:rsidRPr="009D1813">
        <w:t xml:space="preserve">percent have more than ten </w:t>
      </w:r>
      <w:r w:rsidR="00B54E51" w:rsidRPr="009D1813">
        <w:t>parties to the conflict</w:t>
      </w:r>
      <w:r w:rsidR="007B4E72" w:rsidRPr="009D1813">
        <w:t>.</w:t>
      </w:r>
      <w:r w:rsidR="00556390" w:rsidRPr="009D1813">
        <w:rPr>
          <w:rStyle w:val="EndnoteReference"/>
        </w:rPr>
        <w:endnoteReference w:id="5"/>
      </w:r>
      <w:r w:rsidR="007B4E72" w:rsidRPr="009D1813">
        <w:t xml:space="preserve"> </w:t>
      </w:r>
      <w:r w:rsidR="00757121" w:rsidRPr="009D1813">
        <w:t xml:space="preserve">Just one year </w:t>
      </w:r>
      <w:r w:rsidR="00C900E7">
        <w:t xml:space="preserve">chosen </w:t>
      </w:r>
      <w:r w:rsidR="00757121" w:rsidRPr="009D1813">
        <w:t xml:space="preserve">from </w:t>
      </w:r>
      <w:r w:rsidR="00C900E7">
        <w:t xml:space="preserve">the </w:t>
      </w:r>
      <w:r w:rsidR="00757121" w:rsidRPr="009D1813">
        <w:t xml:space="preserve">decade-long conflict in Syria </w:t>
      </w:r>
      <w:r w:rsidR="00B72921">
        <w:t>conveys</w:t>
      </w:r>
      <w:r w:rsidR="00C900E7" w:rsidRPr="009D1813">
        <w:t xml:space="preserve"> </w:t>
      </w:r>
      <w:r w:rsidR="00757121" w:rsidRPr="009D1813">
        <w:t xml:space="preserve">the complexity of </w:t>
      </w:r>
      <w:r w:rsidR="00F22A80" w:rsidRPr="009D1813">
        <w:t xml:space="preserve">twenty-first </w:t>
      </w:r>
      <w:r w:rsidR="00757121" w:rsidRPr="009D1813">
        <w:t>century conflict landscapes:</w:t>
      </w:r>
      <w:r w:rsidR="00F22A80" w:rsidRPr="009D1813">
        <w:t xml:space="preserve"> </w:t>
      </w:r>
      <w:r w:rsidR="004A1B2B" w:rsidRPr="009D1813">
        <w:t xml:space="preserve">in 2014 </w:t>
      </w:r>
      <w:r w:rsidR="007B4E72" w:rsidRPr="009D1813">
        <w:t xml:space="preserve">over </w:t>
      </w:r>
      <w:r w:rsidR="00C900E7">
        <w:t>one thousand</w:t>
      </w:r>
      <w:r w:rsidR="007B4E72" w:rsidRPr="009D1813">
        <w:t xml:space="preserve"> armed groups were </w:t>
      </w:r>
      <w:r w:rsidR="00757121" w:rsidRPr="009D1813">
        <w:t>engaged in hostilities</w:t>
      </w:r>
      <w:r w:rsidR="007B4E72" w:rsidRPr="009D1813">
        <w:t>.</w:t>
      </w:r>
      <w:r w:rsidR="005444FB" w:rsidRPr="009D1813">
        <w:rPr>
          <w:rStyle w:val="EndnoteReference"/>
        </w:rPr>
        <w:endnoteReference w:id="6"/>
      </w:r>
      <w:r w:rsidR="007B4E72" w:rsidRPr="009D1813">
        <w:t xml:space="preserve"> </w:t>
      </w:r>
    </w:p>
    <w:p w14:paraId="0ECF2AB8" w14:textId="7388DDC9" w:rsidR="0022324D" w:rsidRPr="009D1813" w:rsidRDefault="007B4E72">
      <w:pPr>
        <w:spacing w:line="480" w:lineRule="auto"/>
        <w:ind w:left="-5" w:right="63" w:firstLine="725"/>
        <w:contextualSpacing/>
        <w:rPr>
          <w:rFonts w:ascii="Times New Roman" w:hAnsi="Times New Roman" w:cs="Times New Roman"/>
          <w:bCs/>
        </w:rPr>
      </w:pPr>
      <w:r w:rsidRPr="009D1813">
        <w:rPr>
          <w:rFonts w:ascii="Times New Roman" w:hAnsi="Times New Roman" w:cs="Times New Roman"/>
        </w:rPr>
        <w:t xml:space="preserve">Many of </w:t>
      </w:r>
      <w:r w:rsidR="00757121" w:rsidRPr="009D1813">
        <w:rPr>
          <w:rFonts w:ascii="Times New Roman" w:hAnsi="Times New Roman" w:cs="Times New Roman"/>
        </w:rPr>
        <w:t>these</w:t>
      </w:r>
      <w:r w:rsidR="00B54E51" w:rsidRPr="009D1813">
        <w:rPr>
          <w:rFonts w:ascii="Times New Roman" w:hAnsi="Times New Roman" w:cs="Times New Roman"/>
        </w:rPr>
        <w:t xml:space="preserve"> </w:t>
      </w:r>
      <w:r w:rsidRPr="009D1813">
        <w:rPr>
          <w:rFonts w:ascii="Times New Roman" w:hAnsi="Times New Roman" w:cs="Times New Roman"/>
        </w:rPr>
        <w:t xml:space="preserve">decentralized </w:t>
      </w:r>
      <w:r w:rsidR="00A54E78" w:rsidRPr="009D1813">
        <w:rPr>
          <w:rFonts w:ascii="Times New Roman" w:hAnsi="Times New Roman" w:cs="Times New Roman"/>
        </w:rPr>
        <w:t xml:space="preserve">NSAGs </w:t>
      </w:r>
      <w:r w:rsidRPr="009D1813">
        <w:rPr>
          <w:rFonts w:ascii="Times New Roman" w:hAnsi="Times New Roman" w:cs="Times New Roman"/>
        </w:rPr>
        <w:t>emerged from the 2011 Arab Spring popular protests, the insurgencies in Iraq, Syria, Ukraine, and Afghanistan, and among self-proclaimed jihadi groups in Africa, South Asia, and the Middle East</w:t>
      </w:r>
      <w:r w:rsidR="00B54E51" w:rsidRPr="009D1813">
        <w:rPr>
          <w:rFonts w:ascii="Times New Roman" w:hAnsi="Times New Roman" w:cs="Times New Roman"/>
        </w:rPr>
        <w:t>.</w:t>
      </w:r>
      <w:r w:rsidR="00DB4FB3" w:rsidRPr="009D1813">
        <w:rPr>
          <w:rFonts w:ascii="Times New Roman" w:hAnsi="Times New Roman" w:cs="Times New Roman"/>
        </w:rPr>
        <w:t xml:space="preserve"> </w:t>
      </w:r>
      <w:r w:rsidR="00582142" w:rsidRPr="009D1813">
        <w:rPr>
          <w:rFonts w:ascii="Times New Roman" w:hAnsi="Times New Roman" w:cs="Times New Roman"/>
        </w:rPr>
        <w:t xml:space="preserve">In </w:t>
      </w:r>
      <w:r w:rsidR="00DB4FB3" w:rsidRPr="009D1813">
        <w:rPr>
          <w:rFonts w:ascii="Times New Roman" w:hAnsi="Times New Roman" w:cs="Times New Roman"/>
        </w:rPr>
        <w:t xml:space="preserve">2017, approximately </w:t>
      </w:r>
      <w:r w:rsidR="00513C46">
        <w:rPr>
          <w:rFonts w:ascii="Times New Roman" w:hAnsi="Times New Roman" w:cs="Times New Roman"/>
        </w:rPr>
        <w:t>forty</w:t>
      </w:r>
      <w:r w:rsidR="00513C46" w:rsidRPr="009D1813">
        <w:rPr>
          <w:rFonts w:ascii="Times New Roman" w:hAnsi="Times New Roman" w:cs="Times New Roman"/>
        </w:rPr>
        <w:t xml:space="preserve"> </w:t>
      </w:r>
      <w:r w:rsidR="00DB4FB3" w:rsidRPr="009D1813">
        <w:rPr>
          <w:rFonts w:ascii="Times New Roman" w:hAnsi="Times New Roman" w:cs="Times New Roman"/>
        </w:rPr>
        <w:t xml:space="preserve">percent of states experiencing armed conflict were confronting jihadi groups, </w:t>
      </w:r>
      <w:r w:rsidR="006225DA" w:rsidRPr="009D1813">
        <w:rPr>
          <w:rFonts w:ascii="Times New Roman" w:hAnsi="Times New Roman" w:cs="Times New Roman"/>
        </w:rPr>
        <w:t>as</w:t>
      </w:r>
      <w:r w:rsidR="00DB4FB3" w:rsidRPr="009D1813">
        <w:rPr>
          <w:rFonts w:ascii="Times New Roman" w:hAnsi="Times New Roman" w:cs="Times New Roman"/>
        </w:rPr>
        <w:t xml:space="preserve"> new recruits fill</w:t>
      </w:r>
      <w:r w:rsidR="006225DA" w:rsidRPr="009D1813">
        <w:rPr>
          <w:rFonts w:ascii="Times New Roman" w:hAnsi="Times New Roman" w:cs="Times New Roman"/>
        </w:rPr>
        <w:t>ed</w:t>
      </w:r>
      <w:r w:rsidR="00DB4FB3" w:rsidRPr="009D1813">
        <w:rPr>
          <w:rFonts w:ascii="Times New Roman" w:hAnsi="Times New Roman" w:cs="Times New Roman"/>
        </w:rPr>
        <w:t xml:space="preserve"> their ranks for a variety of motives</w:t>
      </w:r>
      <w:r w:rsidR="00310D23">
        <w:rPr>
          <w:rFonts w:ascii="Times New Roman" w:hAnsi="Times New Roman" w:cs="Times New Roman"/>
        </w:rPr>
        <w:t xml:space="preserve">, </w:t>
      </w:r>
      <w:r w:rsidR="00DB4FB3" w:rsidRPr="009D1813">
        <w:rPr>
          <w:rFonts w:ascii="Times New Roman" w:hAnsi="Times New Roman" w:cs="Times New Roman"/>
        </w:rPr>
        <w:t>including humiliation, perceived injustices, and corruption</w:t>
      </w:r>
      <w:r w:rsidR="00A801C0" w:rsidRPr="009D1813">
        <w:rPr>
          <w:rFonts w:ascii="Times New Roman" w:hAnsi="Times New Roman" w:cs="Times New Roman"/>
        </w:rPr>
        <w:t>.</w:t>
      </w:r>
      <w:r w:rsidR="00A801C0" w:rsidRPr="009D1813">
        <w:rPr>
          <w:rStyle w:val="EndnoteReference"/>
          <w:rFonts w:ascii="Times New Roman" w:hAnsi="Times New Roman" w:cs="Times New Roman"/>
        </w:rPr>
        <w:endnoteReference w:id="7"/>
      </w:r>
      <w:r w:rsidR="00DB4FB3" w:rsidRPr="009D1813">
        <w:rPr>
          <w:rFonts w:ascii="Times New Roman" w:hAnsi="Times New Roman" w:cs="Times New Roman"/>
          <w:position w:val="8"/>
        </w:rPr>
        <w:t xml:space="preserve"> </w:t>
      </w:r>
      <w:r w:rsidR="00DB4FB3" w:rsidRPr="009D1813">
        <w:rPr>
          <w:rFonts w:ascii="Times New Roman" w:hAnsi="Times New Roman" w:cs="Times New Roman"/>
        </w:rPr>
        <w:t xml:space="preserve">Within these contexts, armed </w:t>
      </w:r>
      <w:r w:rsidR="004A1B2B" w:rsidRPr="009D1813">
        <w:rPr>
          <w:rFonts w:ascii="Times New Roman" w:hAnsi="Times New Roman" w:cs="Times New Roman"/>
        </w:rPr>
        <w:t xml:space="preserve">groups have </w:t>
      </w:r>
      <w:r w:rsidR="00757121" w:rsidRPr="009D1813">
        <w:rPr>
          <w:rFonts w:ascii="Times New Roman" w:hAnsi="Times New Roman" w:cs="Times New Roman"/>
        </w:rPr>
        <w:t xml:space="preserve">perpetrated </w:t>
      </w:r>
      <w:r w:rsidR="004B4A6D" w:rsidRPr="009D1813">
        <w:rPr>
          <w:rFonts w:ascii="Times New Roman" w:hAnsi="Times New Roman" w:cs="Times New Roman"/>
        </w:rPr>
        <w:t xml:space="preserve">exceptionally </w:t>
      </w:r>
      <w:r w:rsidR="004A1B2B" w:rsidRPr="009D1813">
        <w:rPr>
          <w:rFonts w:ascii="Times New Roman" w:hAnsi="Times New Roman" w:cs="Times New Roman"/>
        </w:rPr>
        <w:t xml:space="preserve">brutal forms of violence and </w:t>
      </w:r>
      <w:r w:rsidR="004A1B2B" w:rsidRPr="009D1813">
        <w:rPr>
          <w:rFonts w:ascii="Times New Roman" w:hAnsi="Times New Roman" w:cs="Times New Roman"/>
        </w:rPr>
        <w:lastRenderedPageBreak/>
        <w:t>destruction that</w:t>
      </w:r>
      <w:r w:rsidR="0022324D" w:rsidRPr="009D1813">
        <w:rPr>
          <w:rFonts w:ascii="Times New Roman" w:hAnsi="Times New Roman" w:cs="Times New Roman"/>
        </w:rPr>
        <w:t xml:space="preserve"> place inordinate </w:t>
      </w:r>
      <w:r w:rsidR="004B4A6D" w:rsidRPr="009D1813">
        <w:rPr>
          <w:rFonts w:ascii="Times New Roman" w:hAnsi="Times New Roman" w:cs="Times New Roman"/>
        </w:rPr>
        <w:t>stress</w:t>
      </w:r>
      <w:r w:rsidR="00AB620F">
        <w:rPr>
          <w:rFonts w:ascii="Times New Roman" w:hAnsi="Times New Roman" w:cs="Times New Roman"/>
        </w:rPr>
        <w:t xml:space="preserve"> </w:t>
      </w:r>
      <w:r w:rsidR="0022324D" w:rsidRPr="009D1813">
        <w:rPr>
          <w:rFonts w:ascii="Times New Roman" w:hAnsi="Times New Roman" w:cs="Times New Roman"/>
        </w:rPr>
        <w:t xml:space="preserve">on </w:t>
      </w:r>
      <w:r w:rsidR="004B4A6D" w:rsidRPr="009D1813">
        <w:rPr>
          <w:rFonts w:ascii="Times New Roman" w:hAnsi="Times New Roman" w:cs="Times New Roman"/>
        </w:rPr>
        <w:t xml:space="preserve">the </w:t>
      </w:r>
      <w:r w:rsidR="004A1B2B" w:rsidRPr="009D1813">
        <w:rPr>
          <w:rFonts w:ascii="Times New Roman" w:hAnsi="Times New Roman" w:cs="Times New Roman"/>
        </w:rPr>
        <w:t xml:space="preserve">existing frameworks for regulating </w:t>
      </w:r>
      <w:r w:rsidR="00E47BF7" w:rsidRPr="009D1813">
        <w:rPr>
          <w:rFonts w:ascii="Times New Roman" w:hAnsi="Times New Roman" w:cs="Times New Roman"/>
        </w:rPr>
        <w:t>armed conflict.</w:t>
      </w:r>
      <w:r w:rsidR="00531C34" w:rsidRPr="009D1813">
        <w:rPr>
          <w:rStyle w:val="EndnoteReference"/>
          <w:rFonts w:ascii="Times New Roman" w:hAnsi="Times New Roman" w:cs="Times New Roman"/>
        </w:rPr>
        <w:endnoteReference w:id="8"/>
      </w:r>
      <w:r w:rsidR="00F22A80" w:rsidRPr="009D1813">
        <w:rPr>
          <w:rFonts w:ascii="Times New Roman" w:hAnsi="Times New Roman" w:cs="Times New Roman"/>
        </w:rPr>
        <w:t xml:space="preserve"> </w:t>
      </w:r>
    </w:p>
    <w:p w14:paraId="69E3E244" w14:textId="6D45AD06" w:rsidR="004A1B2B" w:rsidRDefault="0022324D">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 xml:space="preserve">Sovereign states, however, also bear </w:t>
      </w:r>
      <w:r w:rsidR="00961AE5" w:rsidRPr="009D1813">
        <w:rPr>
          <w:rFonts w:ascii="Times New Roman" w:hAnsi="Times New Roman" w:cs="Times New Roman"/>
        </w:rPr>
        <w:t>a share of the</w:t>
      </w:r>
      <w:r w:rsidRPr="009D1813">
        <w:rPr>
          <w:rFonts w:ascii="Times New Roman" w:hAnsi="Times New Roman" w:cs="Times New Roman"/>
        </w:rPr>
        <w:t xml:space="preserve"> responsibility for the erosion of</w:t>
      </w:r>
      <w:r w:rsidR="004A1B2B" w:rsidRPr="009D1813">
        <w:rPr>
          <w:rFonts w:ascii="Times New Roman" w:hAnsi="Times New Roman" w:cs="Times New Roman"/>
        </w:rPr>
        <w:t xml:space="preserve"> norms</w:t>
      </w:r>
      <w:r w:rsidR="00E47BF7" w:rsidRPr="009D1813">
        <w:rPr>
          <w:rFonts w:ascii="Times New Roman" w:hAnsi="Times New Roman" w:cs="Times New Roman"/>
        </w:rPr>
        <w:t xml:space="preserve"> of conduct in war</w:t>
      </w:r>
      <w:r w:rsidRPr="009D1813">
        <w:rPr>
          <w:rFonts w:ascii="Times New Roman" w:hAnsi="Times New Roman" w:cs="Times New Roman"/>
        </w:rPr>
        <w:t xml:space="preserve"> and the ethic of restraint that underpins them</w:t>
      </w:r>
      <w:r w:rsidR="004A1B2B" w:rsidRPr="009D1813">
        <w:rPr>
          <w:rFonts w:ascii="Times New Roman" w:hAnsi="Times New Roman" w:cs="Times New Roman"/>
        </w:rPr>
        <w:t xml:space="preserve">. </w:t>
      </w:r>
      <w:r w:rsidRPr="009D1813">
        <w:rPr>
          <w:rFonts w:ascii="Times New Roman" w:hAnsi="Times New Roman" w:cs="Times New Roman"/>
        </w:rPr>
        <w:t xml:space="preserve">In response to the threat posed by NSAGs, some </w:t>
      </w:r>
      <w:r w:rsidR="006225DA" w:rsidRPr="009D1813">
        <w:rPr>
          <w:rFonts w:ascii="Times New Roman" w:hAnsi="Times New Roman" w:cs="Times New Roman"/>
        </w:rPr>
        <w:t xml:space="preserve">state representatives </w:t>
      </w:r>
      <w:r w:rsidRPr="009D1813">
        <w:rPr>
          <w:rFonts w:ascii="Times New Roman" w:hAnsi="Times New Roman" w:cs="Times New Roman"/>
        </w:rPr>
        <w:t xml:space="preserve">have proclaimed </w:t>
      </w:r>
      <w:r w:rsidR="004A1B2B" w:rsidRPr="009D1813">
        <w:rPr>
          <w:rFonts w:ascii="Times New Roman" w:hAnsi="Times New Roman" w:cs="Times New Roman"/>
        </w:rPr>
        <w:t xml:space="preserve">the desire to see fighters from </w:t>
      </w:r>
      <w:r w:rsidR="00615798">
        <w:rPr>
          <w:rFonts w:ascii="Times New Roman" w:hAnsi="Times New Roman" w:cs="Times New Roman"/>
        </w:rPr>
        <w:t xml:space="preserve">the </w:t>
      </w:r>
      <w:r w:rsidR="004A1B2B" w:rsidRPr="009D1813">
        <w:rPr>
          <w:rFonts w:ascii="Times New Roman" w:hAnsi="Times New Roman" w:cs="Times New Roman"/>
        </w:rPr>
        <w:t xml:space="preserve">Islamic State </w:t>
      </w:r>
      <w:r w:rsidR="00615798" w:rsidRPr="00573E86">
        <w:rPr>
          <w:rFonts w:ascii="Times New Roman" w:eastAsia="Assistant" w:hAnsi="Times New Roman" w:cs="Times New Roman"/>
        </w:rPr>
        <w:t xml:space="preserve">of Iraq and </w:t>
      </w:r>
      <w:r w:rsidR="00615798">
        <w:rPr>
          <w:rFonts w:ascii="Times New Roman" w:eastAsia="Assistant" w:hAnsi="Times New Roman" w:cs="Times New Roman"/>
        </w:rPr>
        <w:t xml:space="preserve">Syria </w:t>
      </w:r>
      <w:r w:rsidR="00615798" w:rsidRPr="00573E86">
        <w:rPr>
          <w:rFonts w:ascii="Times New Roman" w:eastAsia="Assistant" w:hAnsi="Times New Roman" w:cs="Times New Roman"/>
        </w:rPr>
        <w:t>(ISI</w:t>
      </w:r>
      <w:r w:rsidR="00615798">
        <w:rPr>
          <w:rFonts w:ascii="Times New Roman" w:eastAsia="Assistant" w:hAnsi="Times New Roman" w:cs="Times New Roman"/>
        </w:rPr>
        <w:t>S</w:t>
      </w:r>
      <w:r w:rsidR="00615798" w:rsidRPr="00573E86">
        <w:rPr>
          <w:rFonts w:ascii="Times New Roman" w:eastAsia="Assistant" w:hAnsi="Times New Roman" w:cs="Times New Roman"/>
        </w:rPr>
        <w:t xml:space="preserve">, </w:t>
      </w:r>
      <w:r w:rsidR="00615798">
        <w:rPr>
          <w:rFonts w:ascii="Times New Roman" w:eastAsia="Assistant" w:hAnsi="Times New Roman" w:cs="Times New Roman"/>
        </w:rPr>
        <w:t xml:space="preserve">also known as </w:t>
      </w:r>
      <w:r w:rsidR="00615798" w:rsidRPr="00573E86">
        <w:rPr>
          <w:rFonts w:ascii="Times New Roman" w:eastAsia="Assistant" w:hAnsi="Times New Roman" w:cs="Times New Roman"/>
        </w:rPr>
        <w:t>ISI</w:t>
      </w:r>
      <w:r w:rsidR="00615798">
        <w:rPr>
          <w:rFonts w:ascii="Times New Roman" w:eastAsia="Assistant" w:hAnsi="Times New Roman" w:cs="Times New Roman"/>
        </w:rPr>
        <w:t>L</w:t>
      </w:r>
      <w:r w:rsidR="00615798" w:rsidRPr="00573E86">
        <w:rPr>
          <w:rFonts w:ascii="Times New Roman" w:eastAsia="Assistant" w:hAnsi="Times New Roman" w:cs="Times New Roman"/>
        </w:rPr>
        <w:t xml:space="preserve"> or Da’esh)</w:t>
      </w:r>
      <w:r w:rsidR="004A1B2B" w:rsidRPr="009D1813">
        <w:rPr>
          <w:rFonts w:ascii="Times New Roman" w:hAnsi="Times New Roman" w:cs="Times New Roman"/>
        </w:rPr>
        <w:t xml:space="preserve"> killed rather than detained or prosecuted</w:t>
      </w:r>
      <w:r w:rsidRPr="009D1813">
        <w:rPr>
          <w:rFonts w:ascii="Times New Roman" w:hAnsi="Times New Roman" w:cs="Times New Roman"/>
        </w:rPr>
        <w:t xml:space="preserve">, thus </w:t>
      </w:r>
      <w:r w:rsidR="004A1B2B" w:rsidRPr="009D1813">
        <w:rPr>
          <w:rFonts w:ascii="Times New Roman" w:hAnsi="Times New Roman" w:cs="Times New Roman"/>
        </w:rPr>
        <w:t>depart</w:t>
      </w:r>
      <w:r w:rsidRPr="009D1813">
        <w:rPr>
          <w:rFonts w:ascii="Times New Roman" w:hAnsi="Times New Roman" w:cs="Times New Roman"/>
        </w:rPr>
        <w:t>ing</w:t>
      </w:r>
      <w:r w:rsidR="004A1B2B" w:rsidRPr="009D1813">
        <w:rPr>
          <w:rFonts w:ascii="Times New Roman" w:hAnsi="Times New Roman" w:cs="Times New Roman"/>
        </w:rPr>
        <w:t xml:space="preserve"> from longstanding international law on the treatment of captured or surrendered fighters.</w:t>
      </w:r>
      <w:r w:rsidR="00A801C0" w:rsidRPr="009D1813">
        <w:rPr>
          <w:rStyle w:val="EndnoteReference"/>
          <w:rFonts w:ascii="Times New Roman" w:hAnsi="Times New Roman" w:cs="Times New Roman"/>
        </w:rPr>
        <w:endnoteReference w:id="9"/>
      </w:r>
      <w:r w:rsidR="004A1B2B" w:rsidRPr="009D1813">
        <w:rPr>
          <w:rFonts w:ascii="Times New Roman" w:hAnsi="Times New Roman" w:cs="Times New Roman"/>
        </w:rPr>
        <w:t xml:space="preserve"> In addition, some powerful states are increasingly “outsourcing</w:t>
      </w:r>
      <w:r w:rsidR="00961AE5" w:rsidRPr="009D1813">
        <w:rPr>
          <w:rFonts w:ascii="Times New Roman" w:hAnsi="Times New Roman" w:cs="Times New Roman"/>
        </w:rPr>
        <w:t>”</w:t>
      </w:r>
      <w:r w:rsidR="004A1B2B" w:rsidRPr="009D1813">
        <w:rPr>
          <w:rFonts w:ascii="Times New Roman" w:hAnsi="Times New Roman" w:cs="Times New Roman"/>
        </w:rPr>
        <w:t xml:space="preserve"> warfare to human </w:t>
      </w:r>
      <w:r w:rsidR="006225DA" w:rsidRPr="009D1813">
        <w:rPr>
          <w:rFonts w:ascii="Times New Roman" w:hAnsi="Times New Roman" w:cs="Times New Roman"/>
        </w:rPr>
        <w:t>or</w:t>
      </w:r>
      <w:r w:rsidR="004A1B2B" w:rsidRPr="009D1813">
        <w:rPr>
          <w:rFonts w:ascii="Times New Roman" w:hAnsi="Times New Roman" w:cs="Times New Roman"/>
        </w:rPr>
        <w:t xml:space="preserve"> technological “surrogates” to keep </w:t>
      </w:r>
      <w:r w:rsidR="00DB4FB3" w:rsidRPr="009D1813">
        <w:rPr>
          <w:rFonts w:ascii="Times New Roman" w:hAnsi="Times New Roman" w:cs="Times New Roman"/>
        </w:rPr>
        <w:t xml:space="preserve">their </w:t>
      </w:r>
      <w:r w:rsidR="004A1B2B" w:rsidRPr="009D1813">
        <w:rPr>
          <w:rFonts w:ascii="Times New Roman" w:hAnsi="Times New Roman" w:cs="Times New Roman"/>
        </w:rPr>
        <w:t xml:space="preserve">distance from the battlefield and </w:t>
      </w:r>
      <w:r w:rsidR="006225DA" w:rsidRPr="009D1813">
        <w:rPr>
          <w:rFonts w:ascii="Times New Roman" w:hAnsi="Times New Roman" w:cs="Times New Roman"/>
        </w:rPr>
        <w:t>less</w:t>
      </w:r>
      <w:r w:rsidR="00A94D9D" w:rsidRPr="009D1813">
        <w:rPr>
          <w:rFonts w:ascii="Times New Roman" w:hAnsi="Times New Roman" w:cs="Times New Roman"/>
        </w:rPr>
        <w:t>e</w:t>
      </w:r>
      <w:r w:rsidR="006225DA" w:rsidRPr="009D1813">
        <w:rPr>
          <w:rFonts w:ascii="Times New Roman" w:hAnsi="Times New Roman" w:cs="Times New Roman"/>
        </w:rPr>
        <w:t>n</w:t>
      </w:r>
      <w:r w:rsidR="004A1B2B" w:rsidRPr="009D1813">
        <w:rPr>
          <w:rFonts w:ascii="Times New Roman" w:hAnsi="Times New Roman" w:cs="Times New Roman"/>
        </w:rPr>
        <w:t xml:space="preserve"> the domestic costs of direct involvement.</w:t>
      </w:r>
      <w:r w:rsidR="00B42C97" w:rsidRPr="009D1813">
        <w:rPr>
          <w:rStyle w:val="EndnoteReference"/>
          <w:rFonts w:ascii="Times New Roman" w:hAnsi="Times New Roman" w:cs="Times New Roman"/>
        </w:rPr>
        <w:endnoteReference w:id="10"/>
      </w:r>
      <w:r w:rsidR="004A1B2B" w:rsidRPr="009D1813">
        <w:rPr>
          <w:rFonts w:ascii="Times New Roman" w:hAnsi="Times New Roman" w:cs="Times New Roman"/>
        </w:rPr>
        <w:t xml:space="preserve"> This </w:t>
      </w:r>
      <w:r w:rsidR="00961AE5" w:rsidRPr="009D1813">
        <w:rPr>
          <w:rFonts w:ascii="Times New Roman" w:hAnsi="Times New Roman" w:cs="Times New Roman"/>
        </w:rPr>
        <w:t xml:space="preserve">has translated into </w:t>
      </w:r>
      <w:r w:rsidR="004A1B2B" w:rsidRPr="009D1813">
        <w:rPr>
          <w:rFonts w:ascii="Times New Roman" w:hAnsi="Times New Roman" w:cs="Times New Roman"/>
        </w:rPr>
        <w:t>logistical, training, intelligence, advisory, and air support to direct parties to a conflict</w:t>
      </w:r>
      <w:r w:rsidR="00961AE5" w:rsidRPr="009D1813">
        <w:rPr>
          <w:rFonts w:ascii="Times New Roman" w:hAnsi="Times New Roman" w:cs="Times New Roman"/>
        </w:rPr>
        <w:t>, which</w:t>
      </w:r>
      <w:r w:rsidR="004A7D0C">
        <w:rPr>
          <w:rFonts w:ascii="Times New Roman" w:hAnsi="Times New Roman" w:cs="Times New Roman"/>
        </w:rPr>
        <w:t>—</w:t>
      </w:r>
      <w:r w:rsidR="00961AE5" w:rsidRPr="009D1813">
        <w:rPr>
          <w:rFonts w:ascii="Times New Roman" w:hAnsi="Times New Roman" w:cs="Times New Roman"/>
        </w:rPr>
        <w:t>though often directed at state military forces</w:t>
      </w:r>
      <w:r w:rsidR="004A7D0C">
        <w:rPr>
          <w:rFonts w:ascii="Times New Roman" w:hAnsi="Times New Roman" w:cs="Times New Roman"/>
        </w:rPr>
        <w:t>—</w:t>
      </w:r>
      <w:r w:rsidR="00961AE5" w:rsidRPr="009D1813">
        <w:rPr>
          <w:rFonts w:ascii="Times New Roman" w:hAnsi="Times New Roman" w:cs="Times New Roman"/>
        </w:rPr>
        <w:t>can</w:t>
      </w:r>
      <w:r w:rsidR="004A1B2B" w:rsidRPr="009D1813">
        <w:rPr>
          <w:rFonts w:ascii="Times New Roman" w:hAnsi="Times New Roman" w:cs="Times New Roman"/>
        </w:rPr>
        <w:t xml:space="preserve"> flow to private security companies, </w:t>
      </w:r>
      <w:r w:rsidR="006B23AD">
        <w:rPr>
          <w:rFonts w:ascii="Times New Roman" w:hAnsi="Times New Roman" w:cs="Times New Roman"/>
        </w:rPr>
        <w:t>nonstate</w:t>
      </w:r>
      <w:r w:rsidR="004A1B2B" w:rsidRPr="009D1813">
        <w:rPr>
          <w:rFonts w:ascii="Times New Roman" w:hAnsi="Times New Roman" w:cs="Times New Roman"/>
        </w:rPr>
        <w:t xml:space="preserve"> armed groups, militias, or </w:t>
      </w:r>
      <w:r w:rsidR="006225DA" w:rsidRPr="009D1813">
        <w:rPr>
          <w:rFonts w:ascii="Times New Roman" w:hAnsi="Times New Roman" w:cs="Times New Roman"/>
        </w:rPr>
        <w:t xml:space="preserve">even </w:t>
      </w:r>
      <w:r w:rsidR="004A1B2B" w:rsidRPr="009D1813">
        <w:rPr>
          <w:rFonts w:ascii="Times New Roman" w:hAnsi="Times New Roman" w:cs="Times New Roman"/>
        </w:rPr>
        <w:t xml:space="preserve">community vigilantes. </w:t>
      </w:r>
      <w:r w:rsidR="00961AE5" w:rsidRPr="009D1813">
        <w:rPr>
          <w:rFonts w:ascii="Times New Roman" w:hAnsi="Times New Roman" w:cs="Times New Roman"/>
        </w:rPr>
        <w:t xml:space="preserve">These various </w:t>
      </w:r>
      <w:r w:rsidR="004A1B2B" w:rsidRPr="009D1813">
        <w:rPr>
          <w:rFonts w:ascii="Times New Roman" w:hAnsi="Times New Roman" w:cs="Times New Roman"/>
        </w:rPr>
        <w:t xml:space="preserve">forms of outsourcing </w:t>
      </w:r>
      <w:r w:rsidR="00DB4FB3" w:rsidRPr="009D1813">
        <w:rPr>
          <w:rFonts w:ascii="Times New Roman" w:hAnsi="Times New Roman" w:cs="Times New Roman"/>
        </w:rPr>
        <w:t xml:space="preserve">amplify </w:t>
      </w:r>
      <w:r w:rsidR="004A1B2B" w:rsidRPr="009D1813">
        <w:rPr>
          <w:rFonts w:ascii="Times New Roman" w:hAnsi="Times New Roman" w:cs="Times New Roman"/>
        </w:rPr>
        <w:t xml:space="preserve">the trend toward diluted responsibility for battlefield conduct, as state sponsors evade accountability for their </w:t>
      </w:r>
      <w:r w:rsidR="006225DA" w:rsidRPr="009D1813">
        <w:rPr>
          <w:rFonts w:ascii="Times New Roman" w:hAnsi="Times New Roman" w:cs="Times New Roman"/>
        </w:rPr>
        <w:t xml:space="preserve">proxies’ </w:t>
      </w:r>
      <w:r w:rsidR="004A1B2B" w:rsidRPr="009D1813">
        <w:rPr>
          <w:rFonts w:ascii="Times New Roman" w:hAnsi="Times New Roman" w:cs="Times New Roman"/>
        </w:rPr>
        <w:t>actions</w:t>
      </w:r>
      <w:r w:rsidR="00E47BF7" w:rsidRPr="009D1813">
        <w:rPr>
          <w:rFonts w:ascii="Times New Roman" w:hAnsi="Times New Roman" w:cs="Times New Roman"/>
        </w:rPr>
        <w:t xml:space="preserve">, </w:t>
      </w:r>
      <w:r w:rsidR="004A1B2B" w:rsidRPr="009D1813">
        <w:rPr>
          <w:rFonts w:ascii="Times New Roman" w:hAnsi="Times New Roman" w:cs="Times New Roman"/>
        </w:rPr>
        <w:t>despite the</w:t>
      </w:r>
      <w:r w:rsidR="006225DA" w:rsidRPr="009D1813">
        <w:rPr>
          <w:rFonts w:ascii="Times New Roman" w:hAnsi="Times New Roman" w:cs="Times New Roman"/>
        </w:rPr>
        <w:t xml:space="preserve"> ongoing</w:t>
      </w:r>
      <w:r w:rsidR="004A1B2B" w:rsidRPr="009D1813">
        <w:rPr>
          <w:rFonts w:ascii="Times New Roman" w:hAnsi="Times New Roman" w:cs="Times New Roman"/>
        </w:rPr>
        <w:t xml:space="preserve"> legal obligation </w:t>
      </w:r>
      <w:r w:rsidR="006225DA" w:rsidRPr="009D1813">
        <w:rPr>
          <w:rFonts w:ascii="Times New Roman" w:hAnsi="Times New Roman" w:cs="Times New Roman"/>
        </w:rPr>
        <w:t xml:space="preserve">of the former </w:t>
      </w:r>
      <w:r w:rsidR="004A1B2B" w:rsidRPr="009D1813">
        <w:rPr>
          <w:rFonts w:ascii="Times New Roman" w:hAnsi="Times New Roman" w:cs="Times New Roman"/>
        </w:rPr>
        <w:t xml:space="preserve">to ensure respect for </w:t>
      </w:r>
      <w:r w:rsidR="000B7FFC">
        <w:rPr>
          <w:rFonts w:ascii="Times New Roman" w:hAnsi="Times New Roman" w:cs="Times New Roman"/>
        </w:rPr>
        <w:t>international humanitarian law (</w:t>
      </w:r>
      <w:r w:rsidR="004A1B2B" w:rsidRPr="009D1813">
        <w:rPr>
          <w:rFonts w:ascii="Times New Roman" w:hAnsi="Times New Roman" w:cs="Times New Roman"/>
        </w:rPr>
        <w:t>IHL</w:t>
      </w:r>
      <w:r w:rsidR="000B7FFC">
        <w:rPr>
          <w:rFonts w:ascii="Times New Roman" w:hAnsi="Times New Roman" w:cs="Times New Roman"/>
        </w:rPr>
        <w:t>)</w:t>
      </w:r>
      <w:r w:rsidR="00734798" w:rsidRPr="009D1813">
        <w:rPr>
          <w:rFonts w:ascii="Times New Roman" w:hAnsi="Times New Roman" w:cs="Times New Roman"/>
        </w:rPr>
        <w:t>.</w:t>
      </w:r>
      <w:r w:rsidR="00782680" w:rsidRPr="009D1813">
        <w:rPr>
          <w:rStyle w:val="EndnoteReference"/>
          <w:rFonts w:ascii="Times New Roman" w:hAnsi="Times New Roman" w:cs="Times New Roman"/>
        </w:rPr>
        <w:endnoteReference w:id="11"/>
      </w:r>
      <w:r w:rsidR="00734798" w:rsidRPr="009D1813">
        <w:rPr>
          <w:rFonts w:ascii="Times New Roman" w:hAnsi="Times New Roman" w:cs="Times New Roman"/>
        </w:rPr>
        <w:t xml:space="preserve"> </w:t>
      </w:r>
    </w:p>
    <w:p w14:paraId="162852EE" w14:textId="35BD5ADA" w:rsidR="00B7199E" w:rsidRPr="009D1813" w:rsidRDefault="00B7199E">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The discussion </w:t>
      </w:r>
      <w:r>
        <w:rPr>
          <w:rFonts w:ascii="Times New Roman" w:hAnsi="Times New Roman" w:cs="Times New Roman"/>
        </w:rPr>
        <w:t xml:space="preserve">of these issues </w:t>
      </w:r>
      <w:r w:rsidR="00B72327">
        <w:rPr>
          <w:rFonts w:ascii="Times New Roman" w:hAnsi="Times New Roman" w:cs="Times New Roman"/>
        </w:rPr>
        <w:t xml:space="preserve">in the chapter </w:t>
      </w:r>
      <w:r w:rsidRPr="009D1813">
        <w:rPr>
          <w:rFonts w:ascii="Times New Roman" w:hAnsi="Times New Roman" w:cs="Times New Roman"/>
        </w:rPr>
        <w:t xml:space="preserve">proceeds as follows. </w:t>
      </w:r>
      <w:r>
        <w:rPr>
          <w:rFonts w:ascii="Times New Roman" w:hAnsi="Times New Roman" w:cs="Times New Roman"/>
        </w:rPr>
        <w:t xml:space="preserve">The first section explains </w:t>
      </w:r>
      <w:r w:rsidRPr="009D1813">
        <w:rPr>
          <w:rFonts w:ascii="Times New Roman" w:hAnsi="Times New Roman" w:cs="Times New Roman"/>
        </w:rPr>
        <w:t xml:space="preserve">how the category of NSAG must be further disaggregated, given the significant differences in the central purposes of such groups, the types of authority and hierarchy within their organizational structures, and the range of their ideological commitments. </w:t>
      </w:r>
      <w:r w:rsidR="00D30CEB">
        <w:rPr>
          <w:rFonts w:ascii="Times New Roman" w:hAnsi="Times New Roman" w:cs="Times New Roman"/>
        </w:rPr>
        <w:t>Next, I show that while s</w:t>
      </w:r>
      <w:r w:rsidRPr="009D1813">
        <w:rPr>
          <w:rFonts w:ascii="Times New Roman" w:hAnsi="Times New Roman" w:cs="Times New Roman"/>
        </w:rPr>
        <w:t xml:space="preserve">ome NSAGs have brazenly challenged the legal and normative framework designed to protect populations and cultural heritage in situations of violent conflict, others have proved crucial to the safety and preservation of cultural property. </w:t>
      </w:r>
      <w:r>
        <w:rPr>
          <w:rFonts w:ascii="Times New Roman" w:hAnsi="Times New Roman" w:cs="Times New Roman"/>
        </w:rPr>
        <w:t>The</w:t>
      </w:r>
      <w:r w:rsidR="00D30CEB">
        <w:rPr>
          <w:rFonts w:ascii="Times New Roman" w:hAnsi="Times New Roman" w:cs="Times New Roman"/>
        </w:rPr>
        <w:t xml:space="preserve"> third</w:t>
      </w:r>
      <w:r>
        <w:rPr>
          <w:rFonts w:ascii="Times New Roman" w:hAnsi="Times New Roman" w:cs="Times New Roman"/>
        </w:rPr>
        <w:t xml:space="preserve"> s</w:t>
      </w:r>
      <w:r w:rsidRPr="009D1813">
        <w:rPr>
          <w:rFonts w:ascii="Times New Roman" w:hAnsi="Times New Roman" w:cs="Times New Roman"/>
        </w:rPr>
        <w:t>ection</w:t>
      </w:r>
      <w:r>
        <w:rPr>
          <w:rFonts w:ascii="Times New Roman" w:hAnsi="Times New Roman" w:cs="Times New Roman"/>
        </w:rPr>
        <w:t xml:space="preserve"> </w:t>
      </w:r>
      <w:r w:rsidRPr="009D1813">
        <w:rPr>
          <w:rFonts w:ascii="Times New Roman" w:hAnsi="Times New Roman" w:cs="Times New Roman"/>
        </w:rPr>
        <w:t>demonstrate</w:t>
      </w:r>
      <w:r>
        <w:rPr>
          <w:rFonts w:ascii="Times New Roman" w:hAnsi="Times New Roman" w:cs="Times New Roman"/>
        </w:rPr>
        <w:t>s</w:t>
      </w:r>
      <w:r w:rsidRPr="009D1813">
        <w:rPr>
          <w:rFonts w:ascii="Times New Roman" w:hAnsi="Times New Roman" w:cs="Times New Roman"/>
        </w:rPr>
        <w:t xml:space="preserve"> that </w:t>
      </w:r>
      <w:r w:rsidRPr="009D1813">
        <w:rPr>
          <w:rFonts w:ascii="Times New Roman" w:hAnsi="Times New Roman" w:cs="Times New Roman"/>
        </w:rPr>
        <w:lastRenderedPageBreak/>
        <w:t xml:space="preserve">NSAGs </w:t>
      </w:r>
      <w:r w:rsidR="00F359BE">
        <w:rPr>
          <w:rFonts w:ascii="Times New Roman" w:hAnsi="Times New Roman" w:cs="Times New Roman"/>
        </w:rPr>
        <w:t xml:space="preserve">and their individual members </w:t>
      </w:r>
      <w:r w:rsidRPr="009D1813">
        <w:rPr>
          <w:rFonts w:ascii="Times New Roman" w:hAnsi="Times New Roman" w:cs="Times New Roman"/>
        </w:rPr>
        <w:t>do not operate in a legal vacuum</w:t>
      </w:r>
      <w:r w:rsidR="00F359BE">
        <w:rPr>
          <w:rFonts w:ascii="Times New Roman" w:hAnsi="Times New Roman" w:cs="Times New Roman"/>
        </w:rPr>
        <w:t>,</w:t>
      </w:r>
      <w:r w:rsidRPr="009D1813">
        <w:rPr>
          <w:rFonts w:ascii="Times New Roman" w:hAnsi="Times New Roman" w:cs="Times New Roman"/>
        </w:rPr>
        <w:t xml:space="preserve"> but </w:t>
      </w:r>
      <w:r w:rsidR="00F359BE">
        <w:rPr>
          <w:rFonts w:ascii="Times New Roman" w:hAnsi="Times New Roman" w:cs="Times New Roman"/>
        </w:rPr>
        <w:t xml:space="preserve">rather </w:t>
      </w:r>
      <w:r w:rsidRPr="009D1813">
        <w:rPr>
          <w:rFonts w:ascii="Times New Roman" w:hAnsi="Times New Roman" w:cs="Times New Roman"/>
        </w:rPr>
        <w:t xml:space="preserve">are bound in meaningful ways by a considerable range of obligations under international humanitarian law, international criminal law, and the legal instruments relating specifically to cultural heritage. </w:t>
      </w:r>
      <w:r>
        <w:rPr>
          <w:rFonts w:ascii="Times New Roman" w:hAnsi="Times New Roman" w:cs="Times New Roman"/>
        </w:rPr>
        <w:t>T</w:t>
      </w:r>
      <w:r w:rsidRPr="009D1813">
        <w:rPr>
          <w:rFonts w:ascii="Times New Roman" w:hAnsi="Times New Roman" w:cs="Times New Roman"/>
        </w:rPr>
        <w:t xml:space="preserve">he </w:t>
      </w:r>
      <w:r w:rsidR="00327989">
        <w:rPr>
          <w:rFonts w:ascii="Times New Roman" w:hAnsi="Times New Roman" w:cs="Times New Roman"/>
        </w:rPr>
        <w:t>next</w:t>
      </w:r>
      <w:r w:rsidRPr="009D1813">
        <w:rPr>
          <w:rFonts w:ascii="Times New Roman" w:hAnsi="Times New Roman" w:cs="Times New Roman"/>
        </w:rPr>
        <w:t xml:space="preserve"> section, drawing on the </w:t>
      </w:r>
      <w:r w:rsidR="007E215E">
        <w:rPr>
          <w:rFonts w:ascii="Times New Roman" w:hAnsi="Times New Roman" w:cs="Times New Roman"/>
        </w:rPr>
        <w:t xml:space="preserve">ICRC’s </w:t>
      </w:r>
      <w:r w:rsidR="00EB7B1A" w:rsidRPr="00127EF2">
        <w:rPr>
          <w:rFonts w:ascii="Times New Roman" w:hAnsi="Times New Roman" w:cs="Times New Roman"/>
          <w:i/>
          <w:iCs/>
        </w:rPr>
        <w:t>Roots of Restraint</w:t>
      </w:r>
      <w:r w:rsidRPr="00127EF2">
        <w:rPr>
          <w:rFonts w:ascii="Times New Roman" w:hAnsi="Times New Roman" w:cs="Times New Roman"/>
          <w:i/>
          <w:iCs/>
        </w:rPr>
        <w:t xml:space="preserve"> </w:t>
      </w:r>
      <w:r w:rsidR="007E215E" w:rsidRPr="00127EF2">
        <w:rPr>
          <w:rFonts w:ascii="Times New Roman" w:hAnsi="Times New Roman" w:cs="Times New Roman"/>
          <w:i/>
          <w:iCs/>
        </w:rPr>
        <w:t>in War</w:t>
      </w:r>
      <w:r w:rsidR="007E215E">
        <w:rPr>
          <w:rFonts w:ascii="Times New Roman" w:hAnsi="Times New Roman" w:cs="Times New Roman"/>
        </w:rPr>
        <w:t xml:space="preserve"> </w:t>
      </w:r>
      <w:r w:rsidRPr="009D1813">
        <w:rPr>
          <w:rFonts w:ascii="Times New Roman" w:hAnsi="Times New Roman" w:cs="Times New Roman"/>
        </w:rPr>
        <w:t>project</w:t>
      </w:r>
      <w:r w:rsidR="002E2F26">
        <w:rPr>
          <w:rFonts w:ascii="Times New Roman" w:hAnsi="Times New Roman" w:cs="Times New Roman"/>
        </w:rPr>
        <w:t xml:space="preserve"> and report</w:t>
      </w:r>
      <w:r w:rsidRPr="009D1813">
        <w:rPr>
          <w:rFonts w:ascii="Times New Roman" w:hAnsi="Times New Roman" w:cs="Times New Roman"/>
        </w:rPr>
        <w:t>, argue</w:t>
      </w:r>
      <w:r>
        <w:rPr>
          <w:rFonts w:ascii="Times New Roman" w:hAnsi="Times New Roman" w:cs="Times New Roman"/>
        </w:rPr>
        <w:t>s</w:t>
      </w:r>
      <w:r w:rsidRPr="009D1813">
        <w:rPr>
          <w:rFonts w:ascii="Times New Roman" w:hAnsi="Times New Roman" w:cs="Times New Roman"/>
        </w:rPr>
        <w:t xml:space="preserve"> that rather than formulating one general recipe to address the challenges posed by NSAGs, we should situate such groups on a spectrum, and employ a deeper understanding of the variation in their structures and behavior to inform the development of tailored strategies aimed at protecting cultural heritage. </w:t>
      </w:r>
      <w:r>
        <w:rPr>
          <w:rFonts w:ascii="Times New Roman" w:hAnsi="Times New Roman" w:cs="Times New Roman"/>
        </w:rPr>
        <w:t xml:space="preserve">The chapter concludes with a </w:t>
      </w:r>
      <w:r w:rsidRPr="009D1813">
        <w:rPr>
          <w:rFonts w:ascii="Times New Roman" w:hAnsi="Times New Roman" w:cs="Times New Roman"/>
        </w:rPr>
        <w:t>discuss</w:t>
      </w:r>
      <w:r>
        <w:rPr>
          <w:rFonts w:ascii="Times New Roman" w:hAnsi="Times New Roman" w:cs="Times New Roman"/>
        </w:rPr>
        <w:t>ion of</w:t>
      </w:r>
      <w:r w:rsidRPr="009D1813">
        <w:rPr>
          <w:rFonts w:ascii="Times New Roman" w:hAnsi="Times New Roman" w:cs="Times New Roman"/>
        </w:rPr>
        <w:t xml:space="preserve"> the challenges confronting efforts to engage with NSAGs, including the effects of </w:t>
      </w:r>
      <w:r>
        <w:rPr>
          <w:rFonts w:ascii="Times New Roman" w:hAnsi="Times New Roman" w:cs="Times New Roman"/>
        </w:rPr>
        <w:t>counterterrorism</w:t>
      </w:r>
      <w:r w:rsidRPr="009D1813">
        <w:rPr>
          <w:rFonts w:ascii="Times New Roman" w:hAnsi="Times New Roman" w:cs="Times New Roman"/>
        </w:rPr>
        <w:t xml:space="preserve"> policies that have affected the willingness of both states and nongovernmental organizations</w:t>
      </w:r>
      <w:r>
        <w:rPr>
          <w:rFonts w:ascii="Times New Roman" w:hAnsi="Times New Roman" w:cs="Times New Roman"/>
        </w:rPr>
        <w:t xml:space="preserve"> (NGOs)</w:t>
      </w:r>
      <w:r w:rsidRPr="009D1813">
        <w:rPr>
          <w:rFonts w:ascii="Times New Roman" w:hAnsi="Times New Roman" w:cs="Times New Roman"/>
        </w:rPr>
        <w:t xml:space="preserve"> to enter into </w:t>
      </w:r>
      <w:r w:rsidR="00E20DE0">
        <w:rPr>
          <w:rFonts w:ascii="Times New Roman" w:hAnsi="Times New Roman" w:cs="Times New Roman"/>
        </w:rPr>
        <w:t xml:space="preserve">a </w:t>
      </w:r>
      <w:r w:rsidRPr="009D1813">
        <w:rPr>
          <w:rFonts w:ascii="Times New Roman" w:hAnsi="Times New Roman" w:cs="Times New Roman"/>
        </w:rPr>
        <w:t xml:space="preserve">dialogue with such groups. Although existing law does not itself prohibit contact or dialogue, </w:t>
      </w:r>
      <w:r>
        <w:rPr>
          <w:rFonts w:ascii="Times New Roman" w:hAnsi="Times New Roman" w:cs="Times New Roman"/>
        </w:rPr>
        <w:t>counterterrorism</w:t>
      </w:r>
      <w:r w:rsidRPr="009D1813">
        <w:rPr>
          <w:rFonts w:ascii="Times New Roman" w:hAnsi="Times New Roman" w:cs="Times New Roman"/>
        </w:rPr>
        <w:t xml:space="preserve"> measures ha</w:t>
      </w:r>
      <w:r>
        <w:rPr>
          <w:rFonts w:ascii="Times New Roman" w:hAnsi="Times New Roman" w:cs="Times New Roman"/>
        </w:rPr>
        <w:t>ve had the indirect effect</w:t>
      </w:r>
      <w:r w:rsidRPr="009D1813">
        <w:rPr>
          <w:rFonts w:ascii="Times New Roman" w:hAnsi="Times New Roman" w:cs="Times New Roman"/>
        </w:rPr>
        <w:t xml:space="preserve"> </w:t>
      </w:r>
      <w:r>
        <w:rPr>
          <w:rFonts w:ascii="Times New Roman" w:hAnsi="Times New Roman" w:cs="Times New Roman"/>
        </w:rPr>
        <w:t xml:space="preserve">of </w:t>
      </w:r>
      <w:r w:rsidRPr="009D1813">
        <w:rPr>
          <w:rFonts w:ascii="Times New Roman" w:hAnsi="Times New Roman" w:cs="Times New Roman"/>
        </w:rPr>
        <w:t>limit</w:t>
      </w:r>
      <w:r>
        <w:rPr>
          <w:rFonts w:ascii="Times New Roman" w:hAnsi="Times New Roman" w:cs="Times New Roman"/>
        </w:rPr>
        <w:t>ing</w:t>
      </w:r>
      <w:r w:rsidRPr="009D1813">
        <w:rPr>
          <w:rFonts w:ascii="Times New Roman" w:hAnsi="Times New Roman" w:cs="Times New Roman"/>
        </w:rPr>
        <w:t xml:space="preserve"> efforts to engage NSAGs on issues related to the protection of populations and, by extension, could limit the strategies of those seeking to protect cultural heritage. </w:t>
      </w:r>
    </w:p>
    <w:p w14:paraId="4CD2BA06" w14:textId="0A949109" w:rsidR="004A1B2B" w:rsidRPr="009D1813" w:rsidRDefault="004A1B2B">
      <w:pPr>
        <w:widowControl w:val="0"/>
        <w:autoSpaceDE w:val="0"/>
        <w:autoSpaceDN w:val="0"/>
        <w:adjustRightInd w:val="0"/>
        <w:spacing w:line="480" w:lineRule="auto"/>
        <w:contextualSpacing/>
        <w:rPr>
          <w:rFonts w:ascii="Times New Roman" w:hAnsi="Times New Roman" w:cs="Times New Roman"/>
        </w:rPr>
      </w:pPr>
    </w:p>
    <w:p w14:paraId="008CB0C2" w14:textId="2AA87F5A" w:rsidR="00734798" w:rsidRPr="009D1813" w:rsidRDefault="00734798" w:rsidP="001D0FD0">
      <w:pPr>
        <w:pStyle w:val="Heading2"/>
      </w:pPr>
      <w:r w:rsidRPr="001D0FD0">
        <w:t>Deconstructing</w:t>
      </w:r>
      <w:r w:rsidRPr="009D1813">
        <w:t xml:space="preserve"> the </w:t>
      </w:r>
      <w:r w:rsidR="00907A39">
        <w:t>C</w:t>
      </w:r>
      <w:r w:rsidRPr="009D1813">
        <w:t>ategory of NSAG</w:t>
      </w:r>
    </w:p>
    <w:p w14:paraId="15F598B4" w14:textId="1D2A7B7C" w:rsidR="00AA6D63" w:rsidRPr="009D1813" w:rsidRDefault="00E47BF7" w:rsidP="00510953">
      <w:pPr>
        <w:spacing w:line="480" w:lineRule="auto"/>
        <w:ind w:left="-5" w:right="63"/>
        <w:contextualSpacing/>
        <w:rPr>
          <w:rFonts w:ascii="Times New Roman" w:hAnsi="Times New Roman" w:cs="Times New Roman"/>
        </w:rPr>
      </w:pPr>
      <w:r w:rsidRPr="009D1813">
        <w:rPr>
          <w:rFonts w:ascii="Times New Roman" w:hAnsi="Times New Roman" w:cs="Times New Roman"/>
        </w:rPr>
        <w:t xml:space="preserve">As a first step to understanding </w:t>
      </w:r>
      <w:r w:rsidR="00734798" w:rsidRPr="009D1813">
        <w:rPr>
          <w:rFonts w:ascii="Times New Roman" w:hAnsi="Times New Roman" w:cs="Times New Roman"/>
        </w:rPr>
        <w:t>how NSAGs</w:t>
      </w:r>
      <w:r w:rsidRPr="009D1813">
        <w:rPr>
          <w:rFonts w:ascii="Times New Roman" w:hAnsi="Times New Roman" w:cs="Times New Roman"/>
        </w:rPr>
        <w:t xml:space="preserve"> (and their sponsors) </w:t>
      </w:r>
      <w:r w:rsidR="00734798" w:rsidRPr="009D1813">
        <w:rPr>
          <w:rFonts w:ascii="Times New Roman" w:hAnsi="Times New Roman" w:cs="Times New Roman"/>
        </w:rPr>
        <w:t>might challenge the protection of cultural heritage, and how such challenges could be mitigated, i</w:t>
      </w:r>
      <w:r w:rsidRPr="009D1813">
        <w:rPr>
          <w:rFonts w:ascii="Times New Roman" w:hAnsi="Times New Roman" w:cs="Times New Roman"/>
        </w:rPr>
        <w:t>t is crucial</w:t>
      </w:r>
      <w:r w:rsidR="00734798" w:rsidRPr="009D1813">
        <w:rPr>
          <w:rFonts w:ascii="Times New Roman" w:hAnsi="Times New Roman" w:cs="Times New Roman"/>
        </w:rPr>
        <w:t xml:space="preserve"> to </w:t>
      </w:r>
      <w:r w:rsidR="00A54E78" w:rsidRPr="009D1813">
        <w:rPr>
          <w:rFonts w:ascii="Times New Roman" w:hAnsi="Times New Roman" w:cs="Times New Roman"/>
        </w:rPr>
        <w:t>unpack this category</w:t>
      </w:r>
      <w:r w:rsidR="00961AE5" w:rsidRPr="009D1813">
        <w:rPr>
          <w:rFonts w:ascii="Times New Roman" w:hAnsi="Times New Roman" w:cs="Times New Roman"/>
        </w:rPr>
        <w:t xml:space="preserve"> and identify its many variants</w:t>
      </w:r>
      <w:r w:rsidR="00A54E78" w:rsidRPr="009D1813">
        <w:rPr>
          <w:rFonts w:ascii="Times New Roman" w:hAnsi="Times New Roman" w:cs="Times New Roman"/>
        </w:rPr>
        <w:t xml:space="preserve">. </w:t>
      </w:r>
      <w:r w:rsidR="00EE5932">
        <w:rPr>
          <w:rFonts w:ascii="Times New Roman" w:hAnsi="Times New Roman" w:cs="Times New Roman"/>
        </w:rPr>
        <w:t xml:space="preserve">Here </w:t>
      </w:r>
      <w:r w:rsidR="00A54E78" w:rsidRPr="009D1813">
        <w:rPr>
          <w:rFonts w:ascii="Times New Roman" w:hAnsi="Times New Roman" w:cs="Times New Roman"/>
        </w:rPr>
        <w:t xml:space="preserve">I </w:t>
      </w:r>
      <w:r w:rsidR="002477D7" w:rsidRPr="009D1813">
        <w:rPr>
          <w:rFonts w:ascii="Times New Roman" w:hAnsi="Times New Roman" w:cs="Times New Roman"/>
        </w:rPr>
        <w:t xml:space="preserve">adopt </w:t>
      </w:r>
      <w:r w:rsidR="00C16D37">
        <w:rPr>
          <w:rFonts w:ascii="Times New Roman" w:hAnsi="Times New Roman" w:cs="Times New Roman"/>
        </w:rPr>
        <w:t xml:space="preserve">NGO </w:t>
      </w:r>
      <w:r w:rsidR="00A54E78" w:rsidRPr="009D1813">
        <w:rPr>
          <w:rFonts w:ascii="Times New Roman" w:hAnsi="Times New Roman" w:cs="Times New Roman"/>
        </w:rPr>
        <w:t>Geneva Call</w:t>
      </w:r>
      <w:r w:rsidR="002477D7" w:rsidRPr="009D1813">
        <w:rPr>
          <w:rFonts w:ascii="Times New Roman" w:hAnsi="Times New Roman" w:cs="Times New Roman"/>
        </w:rPr>
        <w:t>’s</w:t>
      </w:r>
      <w:r w:rsidR="00A54E78" w:rsidRPr="009D1813">
        <w:rPr>
          <w:rFonts w:ascii="Times New Roman" w:hAnsi="Times New Roman" w:cs="Times New Roman"/>
        </w:rPr>
        <w:t xml:space="preserve"> </w:t>
      </w:r>
      <w:r w:rsidR="002477D7" w:rsidRPr="009D1813">
        <w:rPr>
          <w:rFonts w:ascii="Times New Roman" w:hAnsi="Times New Roman" w:cs="Times New Roman"/>
        </w:rPr>
        <w:t>definition of a</w:t>
      </w:r>
      <w:r w:rsidR="00503AB0">
        <w:rPr>
          <w:rFonts w:ascii="Times New Roman" w:hAnsi="Times New Roman" w:cs="Times New Roman"/>
        </w:rPr>
        <w:t>n</w:t>
      </w:r>
      <w:r w:rsidR="002477D7" w:rsidRPr="009D1813">
        <w:rPr>
          <w:rFonts w:ascii="Times New Roman" w:hAnsi="Times New Roman" w:cs="Times New Roman"/>
        </w:rPr>
        <w:t xml:space="preserve"> </w:t>
      </w:r>
      <w:r w:rsidR="00A54E78" w:rsidRPr="009D1813">
        <w:rPr>
          <w:rFonts w:ascii="Times New Roman" w:hAnsi="Times New Roman" w:cs="Times New Roman"/>
        </w:rPr>
        <w:t>NSAG as “any organized group with a basic structure of command operating outside state control that uses force to achieve its political or allegedly political objectives.</w:t>
      </w:r>
      <w:r w:rsidR="00DC1DCB" w:rsidRPr="009D1813">
        <w:rPr>
          <w:rFonts w:ascii="Times New Roman" w:hAnsi="Times New Roman" w:cs="Times New Roman"/>
        </w:rPr>
        <w:t>”</w:t>
      </w:r>
      <w:r w:rsidR="00260701" w:rsidRPr="009D1813">
        <w:rPr>
          <w:rStyle w:val="EndnoteReference"/>
          <w:rFonts w:ascii="Times New Roman" w:hAnsi="Times New Roman" w:cs="Times New Roman"/>
        </w:rPr>
        <w:endnoteReference w:id="12"/>
      </w:r>
      <w:r w:rsidR="00A54E78" w:rsidRPr="009D1813">
        <w:rPr>
          <w:rFonts w:ascii="Times New Roman" w:hAnsi="Times New Roman" w:cs="Times New Roman"/>
        </w:rPr>
        <w:t xml:space="preserve"> </w:t>
      </w:r>
      <w:r w:rsidR="002477D7" w:rsidRPr="009D1813">
        <w:rPr>
          <w:rFonts w:ascii="Times New Roman" w:hAnsi="Times New Roman" w:cs="Times New Roman"/>
        </w:rPr>
        <w:t>Note that i</w:t>
      </w:r>
      <w:r w:rsidR="00A54E78" w:rsidRPr="009D1813">
        <w:rPr>
          <w:rFonts w:ascii="Times New Roman" w:hAnsi="Times New Roman" w:cs="Times New Roman"/>
        </w:rPr>
        <w:t xml:space="preserve">n order to distinguish NSAGs from drug cartels or criminal gangs, </w:t>
      </w:r>
      <w:r w:rsidR="00961AE5" w:rsidRPr="009D1813">
        <w:rPr>
          <w:rFonts w:ascii="Times New Roman" w:hAnsi="Times New Roman" w:cs="Times New Roman"/>
        </w:rPr>
        <w:t xml:space="preserve">we need to </w:t>
      </w:r>
      <w:r w:rsidR="00A54E78" w:rsidRPr="009D1813">
        <w:rPr>
          <w:rFonts w:ascii="Times New Roman" w:hAnsi="Times New Roman" w:cs="Times New Roman"/>
        </w:rPr>
        <w:t>move beyond the general criterion of any actor that challenges the state’s monopoly on the use of legitimate violence, to include the strategic use of violence</w:t>
      </w:r>
      <w:r w:rsidR="006225DA" w:rsidRPr="009D1813">
        <w:rPr>
          <w:rFonts w:ascii="Times New Roman" w:hAnsi="Times New Roman" w:cs="Times New Roman"/>
        </w:rPr>
        <w:t xml:space="preserve"> for </w:t>
      </w:r>
      <w:r w:rsidR="006225DA" w:rsidRPr="009D1813">
        <w:rPr>
          <w:rFonts w:ascii="Times New Roman" w:hAnsi="Times New Roman" w:cs="Times New Roman"/>
          <w:i/>
          <w:iCs/>
        </w:rPr>
        <w:t xml:space="preserve">political </w:t>
      </w:r>
      <w:r w:rsidR="006225DA" w:rsidRPr="009D1813">
        <w:rPr>
          <w:rFonts w:ascii="Times New Roman" w:hAnsi="Times New Roman" w:cs="Times New Roman"/>
        </w:rPr>
        <w:t>ends</w:t>
      </w:r>
      <w:r w:rsidR="00DB1837" w:rsidRPr="009D1813">
        <w:rPr>
          <w:rFonts w:ascii="Times New Roman" w:hAnsi="Times New Roman" w:cs="Times New Roman"/>
        </w:rPr>
        <w:t>.</w:t>
      </w:r>
    </w:p>
    <w:p w14:paraId="75550581" w14:textId="1261E0C1" w:rsidR="00082C6C" w:rsidRDefault="00961AE5" w:rsidP="00510953">
      <w:pPr>
        <w:spacing w:after="9" w:line="480" w:lineRule="auto"/>
        <w:ind w:left="-5" w:right="63" w:firstLine="725"/>
        <w:contextualSpacing/>
        <w:rPr>
          <w:rFonts w:ascii="Times New Roman" w:hAnsi="Times New Roman" w:cs="Times New Roman"/>
        </w:rPr>
      </w:pPr>
      <w:r w:rsidRPr="009D1813">
        <w:rPr>
          <w:rFonts w:ascii="Times New Roman" w:hAnsi="Times New Roman" w:cs="Times New Roman"/>
        </w:rPr>
        <w:lastRenderedPageBreak/>
        <w:t>Similarly</w:t>
      </w:r>
      <w:r w:rsidR="00DB1837" w:rsidRPr="009D1813">
        <w:rPr>
          <w:rFonts w:ascii="Times New Roman" w:hAnsi="Times New Roman" w:cs="Times New Roman"/>
        </w:rPr>
        <w:t>, i</w:t>
      </w:r>
      <w:r w:rsidR="00747ACB" w:rsidRPr="009D1813">
        <w:rPr>
          <w:rFonts w:ascii="Times New Roman" w:hAnsi="Times New Roman" w:cs="Times New Roman"/>
        </w:rPr>
        <w:t xml:space="preserve">n </w:t>
      </w:r>
      <w:r w:rsidR="00DB1837" w:rsidRPr="009D1813">
        <w:rPr>
          <w:rFonts w:ascii="Times New Roman" w:hAnsi="Times New Roman" w:cs="Times New Roman"/>
        </w:rPr>
        <w:t xml:space="preserve">differentiating NSAGs, we might begin by recognizing the </w:t>
      </w:r>
      <w:r w:rsidR="002477D7" w:rsidRPr="009D1813">
        <w:rPr>
          <w:rFonts w:ascii="Times New Roman" w:hAnsi="Times New Roman" w:cs="Times New Roman"/>
        </w:rPr>
        <w:t xml:space="preserve">various </w:t>
      </w:r>
      <w:r w:rsidR="00DB1837" w:rsidRPr="009D1813">
        <w:rPr>
          <w:rFonts w:ascii="Times New Roman" w:hAnsi="Times New Roman" w:cs="Times New Roman"/>
        </w:rPr>
        <w:t xml:space="preserve">types of political objective that shape their behavior. These can range </w:t>
      </w:r>
      <w:r w:rsidR="00747ACB" w:rsidRPr="009D1813">
        <w:rPr>
          <w:rFonts w:ascii="Times New Roman" w:hAnsi="Times New Roman" w:cs="Times New Roman"/>
        </w:rPr>
        <w:t xml:space="preserve">from </w:t>
      </w:r>
      <w:r w:rsidR="00DB1837" w:rsidRPr="009D1813">
        <w:rPr>
          <w:rFonts w:ascii="Times New Roman" w:hAnsi="Times New Roman" w:cs="Times New Roman"/>
        </w:rPr>
        <w:t xml:space="preserve">the </w:t>
      </w:r>
      <w:r w:rsidR="00747ACB" w:rsidRPr="009D1813">
        <w:rPr>
          <w:rFonts w:ascii="Times New Roman" w:hAnsi="Times New Roman" w:cs="Times New Roman"/>
        </w:rPr>
        <w:t>push</w:t>
      </w:r>
      <w:r w:rsidR="00DB1837" w:rsidRPr="009D1813">
        <w:rPr>
          <w:rFonts w:ascii="Times New Roman" w:hAnsi="Times New Roman" w:cs="Times New Roman"/>
        </w:rPr>
        <w:t xml:space="preserve"> </w:t>
      </w:r>
      <w:r w:rsidR="00747ACB" w:rsidRPr="009D1813">
        <w:rPr>
          <w:rFonts w:ascii="Times New Roman" w:hAnsi="Times New Roman" w:cs="Times New Roman"/>
        </w:rPr>
        <w:t xml:space="preserve">for </w:t>
      </w:r>
      <w:r w:rsidR="00DB1837" w:rsidRPr="009D1813">
        <w:rPr>
          <w:rFonts w:ascii="Times New Roman" w:hAnsi="Times New Roman" w:cs="Times New Roman"/>
        </w:rPr>
        <w:t xml:space="preserve">particular </w:t>
      </w:r>
      <w:r w:rsidR="00747ACB" w:rsidRPr="009D1813">
        <w:rPr>
          <w:rFonts w:ascii="Times New Roman" w:hAnsi="Times New Roman" w:cs="Times New Roman"/>
        </w:rPr>
        <w:t>government reform</w:t>
      </w:r>
      <w:r w:rsidR="00DB1837" w:rsidRPr="009D1813">
        <w:rPr>
          <w:rFonts w:ascii="Times New Roman" w:hAnsi="Times New Roman" w:cs="Times New Roman"/>
        </w:rPr>
        <w:t>s</w:t>
      </w:r>
      <w:r w:rsidR="00747ACB" w:rsidRPr="009D1813">
        <w:rPr>
          <w:rFonts w:ascii="Times New Roman" w:hAnsi="Times New Roman" w:cs="Times New Roman"/>
        </w:rPr>
        <w:t xml:space="preserve"> (</w:t>
      </w:r>
      <w:r w:rsidR="000F087A" w:rsidRPr="009D1813">
        <w:rPr>
          <w:rFonts w:ascii="Times New Roman" w:hAnsi="Times New Roman" w:cs="Times New Roman"/>
        </w:rPr>
        <w:t>e.g.,</w:t>
      </w:r>
      <w:r w:rsidR="00747ACB" w:rsidRPr="009D1813">
        <w:rPr>
          <w:rFonts w:ascii="Times New Roman" w:hAnsi="Times New Roman" w:cs="Times New Roman"/>
        </w:rPr>
        <w:t xml:space="preserve"> the </w:t>
      </w:r>
      <w:r w:rsidR="00C07F73" w:rsidRPr="00C07F73">
        <w:rPr>
          <w:rFonts w:ascii="Times New Roman" w:hAnsi="Times New Roman" w:cs="Times New Roman"/>
        </w:rPr>
        <w:t>Revolutionary Armed Forces of Colombia</w:t>
      </w:r>
      <w:r w:rsidR="00C07F73">
        <w:rPr>
          <w:rFonts w:ascii="Times New Roman" w:hAnsi="Times New Roman" w:cs="Times New Roman"/>
        </w:rPr>
        <w:t>, or FARC</w:t>
      </w:r>
      <w:r w:rsidR="00747ACB" w:rsidRPr="009D1813">
        <w:rPr>
          <w:rFonts w:ascii="Times New Roman" w:hAnsi="Times New Roman" w:cs="Times New Roman"/>
        </w:rPr>
        <w:t xml:space="preserve">), to secession </w:t>
      </w:r>
      <w:r w:rsidR="00DB1837" w:rsidRPr="009D1813">
        <w:rPr>
          <w:rFonts w:ascii="Times New Roman" w:hAnsi="Times New Roman" w:cs="Times New Roman"/>
        </w:rPr>
        <w:t xml:space="preserve">and new state creation </w:t>
      </w:r>
      <w:r w:rsidR="00747ACB" w:rsidRPr="009D1813">
        <w:rPr>
          <w:rFonts w:ascii="Times New Roman" w:hAnsi="Times New Roman" w:cs="Times New Roman"/>
        </w:rPr>
        <w:t>(</w:t>
      </w:r>
      <w:r w:rsidR="000F4845">
        <w:rPr>
          <w:rFonts w:ascii="Times New Roman" w:hAnsi="Times New Roman" w:cs="Times New Roman"/>
        </w:rPr>
        <w:t>e.g.</w:t>
      </w:r>
      <w:r w:rsidR="00384EF7">
        <w:rPr>
          <w:rFonts w:ascii="Times New Roman" w:hAnsi="Times New Roman" w:cs="Times New Roman"/>
        </w:rPr>
        <w:t>,</w:t>
      </w:r>
      <w:r w:rsidR="000F4845">
        <w:rPr>
          <w:rFonts w:ascii="Times New Roman" w:hAnsi="Times New Roman" w:cs="Times New Roman"/>
        </w:rPr>
        <w:t xml:space="preserve"> </w:t>
      </w:r>
      <w:r w:rsidR="00747ACB" w:rsidRPr="009D1813">
        <w:rPr>
          <w:rFonts w:ascii="Times New Roman" w:hAnsi="Times New Roman" w:cs="Times New Roman"/>
        </w:rPr>
        <w:t xml:space="preserve">the </w:t>
      </w:r>
      <w:r w:rsidR="00837A33" w:rsidRPr="00837A33">
        <w:rPr>
          <w:rFonts w:ascii="Times New Roman" w:hAnsi="Times New Roman" w:cs="Times New Roman"/>
        </w:rPr>
        <w:t>Liberation Tigers of Tamil Eelam</w:t>
      </w:r>
      <w:r w:rsidR="00747ACB" w:rsidRPr="009D1813">
        <w:rPr>
          <w:rFonts w:ascii="Times New Roman" w:hAnsi="Times New Roman" w:cs="Times New Roman"/>
        </w:rPr>
        <w:t xml:space="preserve"> in Sri Lanka), to regime overthrow (</w:t>
      </w:r>
      <w:r w:rsidR="000F4845">
        <w:rPr>
          <w:rFonts w:ascii="Times New Roman" w:hAnsi="Times New Roman" w:cs="Times New Roman"/>
        </w:rPr>
        <w:t xml:space="preserve">e.g., </w:t>
      </w:r>
      <w:r w:rsidR="00747ACB" w:rsidRPr="009D1813">
        <w:rPr>
          <w:rFonts w:ascii="Times New Roman" w:hAnsi="Times New Roman" w:cs="Times New Roman"/>
        </w:rPr>
        <w:t>the Houthis in Yemen), to the creation of a new territorial and political order (</w:t>
      </w:r>
      <w:r w:rsidR="000F4845">
        <w:rPr>
          <w:rFonts w:ascii="Times New Roman" w:hAnsi="Times New Roman" w:cs="Times New Roman"/>
        </w:rPr>
        <w:t xml:space="preserve">e.g., </w:t>
      </w:r>
      <w:r w:rsidR="00747ACB" w:rsidRPr="009D1813">
        <w:rPr>
          <w:rFonts w:ascii="Times New Roman" w:hAnsi="Times New Roman" w:cs="Times New Roman"/>
        </w:rPr>
        <w:t xml:space="preserve">the case of </w:t>
      </w:r>
      <w:r w:rsidR="008957F2">
        <w:rPr>
          <w:rFonts w:ascii="Times New Roman" w:hAnsi="Times New Roman" w:cs="Times New Roman"/>
        </w:rPr>
        <w:t>ISIS</w:t>
      </w:r>
      <w:r w:rsidR="00747ACB" w:rsidRPr="009D1813">
        <w:rPr>
          <w:rFonts w:ascii="Times New Roman" w:hAnsi="Times New Roman" w:cs="Times New Roman"/>
        </w:rPr>
        <w:t xml:space="preserve">). </w:t>
      </w:r>
      <w:r w:rsidR="00DB1837" w:rsidRPr="009D1813">
        <w:rPr>
          <w:rFonts w:ascii="Times New Roman" w:hAnsi="Times New Roman" w:cs="Times New Roman"/>
        </w:rPr>
        <w:t xml:space="preserve">As </w:t>
      </w:r>
      <w:r w:rsidRPr="009D1813">
        <w:rPr>
          <w:rFonts w:ascii="Times New Roman" w:hAnsi="Times New Roman" w:cs="Times New Roman"/>
        </w:rPr>
        <w:t xml:space="preserve">I suggest </w:t>
      </w:r>
      <w:r w:rsidR="00DB1837" w:rsidRPr="009D1813">
        <w:rPr>
          <w:rFonts w:ascii="Times New Roman" w:hAnsi="Times New Roman" w:cs="Times New Roman"/>
        </w:rPr>
        <w:t>below, t</w:t>
      </w:r>
      <w:r w:rsidR="00747ACB" w:rsidRPr="009D1813">
        <w:rPr>
          <w:rFonts w:ascii="Times New Roman" w:hAnsi="Times New Roman" w:cs="Times New Roman"/>
        </w:rPr>
        <w:t xml:space="preserve">he more concrete the overall political objective, the more likely </w:t>
      </w:r>
      <w:r w:rsidR="00E47BF7" w:rsidRPr="009D1813">
        <w:rPr>
          <w:rFonts w:ascii="Times New Roman" w:hAnsi="Times New Roman" w:cs="Times New Roman"/>
        </w:rPr>
        <w:t>a</w:t>
      </w:r>
      <w:r w:rsidR="00503AB0">
        <w:rPr>
          <w:rFonts w:ascii="Times New Roman" w:hAnsi="Times New Roman" w:cs="Times New Roman"/>
        </w:rPr>
        <w:t>n</w:t>
      </w:r>
      <w:r w:rsidR="00E47BF7" w:rsidRPr="009D1813">
        <w:rPr>
          <w:rFonts w:ascii="Times New Roman" w:hAnsi="Times New Roman" w:cs="Times New Roman"/>
        </w:rPr>
        <w:t xml:space="preserve"> NSAG </w:t>
      </w:r>
      <w:r w:rsidR="00747ACB" w:rsidRPr="009D1813">
        <w:rPr>
          <w:rFonts w:ascii="Times New Roman" w:hAnsi="Times New Roman" w:cs="Times New Roman"/>
        </w:rPr>
        <w:t xml:space="preserve">is to engage with </w:t>
      </w:r>
      <w:r w:rsidR="00DB1837" w:rsidRPr="009D1813">
        <w:rPr>
          <w:rFonts w:ascii="Times New Roman" w:hAnsi="Times New Roman" w:cs="Times New Roman"/>
        </w:rPr>
        <w:t xml:space="preserve">other actors </w:t>
      </w:r>
      <w:r w:rsidR="00747ACB" w:rsidRPr="009D1813">
        <w:rPr>
          <w:rFonts w:ascii="Times New Roman" w:hAnsi="Times New Roman" w:cs="Times New Roman"/>
        </w:rPr>
        <w:t xml:space="preserve">if such engagement contributes to achieving </w:t>
      </w:r>
      <w:r w:rsidR="00E47BF7" w:rsidRPr="009D1813">
        <w:rPr>
          <w:rFonts w:ascii="Times New Roman" w:hAnsi="Times New Roman" w:cs="Times New Roman"/>
        </w:rPr>
        <w:t xml:space="preserve">its overarching </w:t>
      </w:r>
      <w:r w:rsidR="00747ACB" w:rsidRPr="009D1813">
        <w:rPr>
          <w:rFonts w:ascii="Times New Roman" w:hAnsi="Times New Roman" w:cs="Times New Roman"/>
        </w:rPr>
        <w:t>goal</w:t>
      </w:r>
      <w:r w:rsidR="00E47BF7" w:rsidRPr="009D1813">
        <w:rPr>
          <w:rFonts w:ascii="Times New Roman" w:hAnsi="Times New Roman" w:cs="Times New Roman"/>
        </w:rPr>
        <w:t>s</w:t>
      </w:r>
      <w:r w:rsidR="00416183" w:rsidRPr="009D1813">
        <w:rPr>
          <w:rFonts w:ascii="Times New Roman" w:hAnsi="Times New Roman" w:cs="Times New Roman"/>
        </w:rPr>
        <w:t>.</w:t>
      </w:r>
      <w:r w:rsidR="00F97BF2" w:rsidRPr="009D1813">
        <w:rPr>
          <w:rStyle w:val="EndnoteReference"/>
          <w:rFonts w:ascii="Times New Roman" w:hAnsi="Times New Roman" w:cs="Times New Roman"/>
        </w:rPr>
        <w:endnoteReference w:id="13"/>
      </w:r>
      <w:r w:rsidR="00DB1837" w:rsidRPr="009D1813">
        <w:rPr>
          <w:rFonts w:ascii="Times New Roman" w:hAnsi="Times New Roman" w:cs="Times New Roman"/>
        </w:rPr>
        <w:t xml:space="preserve"> </w:t>
      </w:r>
      <w:r w:rsidR="006225DA" w:rsidRPr="009D1813">
        <w:rPr>
          <w:rFonts w:ascii="Times New Roman" w:hAnsi="Times New Roman" w:cs="Times New Roman"/>
        </w:rPr>
        <w:t xml:space="preserve">Entities </w:t>
      </w:r>
      <w:r w:rsidR="00DB1837" w:rsidRPr="009D1813">
        <w:rPr>
          <w:rFonts w:ascii="Times New Roman" w:hAnsi="Times New Roman" w:cs="Times New Roman"/>
        </w:rPr>
        <w:t>oriented toward independent statehood</w:t>
      </w:r>
      <w:r w:rsidRPr="009D1813">
        <w:rPr>
          <w:rFonts w:ascii="Times New Roman" w:hAnsi="Times New Roman" w:cs="Times New Roman"/>
        </w:rPr>
        <w:t>, for example,</w:t>
      </w:r>
      <w:r w:rsidR="00DB1837" w:rsidRPr="009D1813">
        <w:rPr>
          <w:rFonts w:ascii="Times New Roman" w:hAnsi="Times New Roman" w:cs="Times New Roman"/>
        </w:rPr>
        <w:t xml:space="preserve"> are particularly concerned with recognition by the international community and thus often </w:t>
      </w:r>
      <w:r w:rsidR="006225DA" w:rsidRPr="009D1813">
        <w:rPr>
          <w:rFonts w:ascii="Times New Roman" w:hAnsi="Times New Roman" w:cs="Times New Roman"/>
        </w:rPr>
        <w:t xml:space="preserve">demonstrate </w:t>
      </w:r>
      <w:r w:rsidR="00E47BF7" w:rsidRPr="009D1813">
        <w:rPr>
          <w:rFonts w:ascii="Times New Roman" w:hAnsi="Times New Roman" w:cs="Times New Roman"/>
        </w:rPr>
        <w:t xml:space="preserve">openness to political negotiation and </w:t>
      </w:r>
      <w:r w:rsidR="00AA6D63" w:rsidRPr="009D1813">
        <w:rPr>
          <w:rFonts w:ascii="Times New Roman" w:hAnsi="Times New Roman" w:cs="Times New Roman"/>
        </w:rPr>
        <w:t>compliance with international humanitarian law</w:t>
      </w:r>
      <w:r w:rsidR="00DB1837" w:rsidRPr="009D1813">
        <w:rPr>
          <w:rFonts w:ascii="Times New Roman" w:hAnsi="Times New Roman" w:cs="Times New Roman"/>
        </w:rPr>
        <w:t>.</w:t>
      </w:r>
      <w:r w:rsidR="001D30B9" w:rsidRPr="009D1813">
        <w:rPr>
          <w:rStyle w:val="EndnoteReference"/>
          <w:rFonts w:ascii="Times New Roman" w:hAnsi="Times New Roman" w:cs="Times New Roman"/>
        </w:rPr>
        <w:endnoteReference w:id="14"/>
      </w:r>
      <w:r w:rsidR="00DB1837" w:rsidRPr="009D1813">
        <w:rPr>
          <w:rFonts w:ascii="Times New Roman" w:hAnsi="Times New Roman" w:cs="Times New Roman"/>
        </w:rPr>
        <w:t xml:space="preserve"> </w:t>
      </w:r>
      <w:r w:rsidR="00747ACB" w:rsidRPr="009D1813">
        <w:rPr>
          <w:rFonts w:ascii="Times New Roman" w:hAnsi="Times New Roman" w:cs="Times New Roman"/>
        </w:rPr>
        <w:t xml:space="preserve">Conversely, the lack of a clear political objective can frustrate </w:t>
      </w:r>
      <w:r w:rsidR="006225DA" w:rsidRPr="009D1813">
        <w:rPr>
          <w:rFonts w:ascii="Times New Roman" w:hAnsi="Times New Roman" w:cs="Times New Roman"/>
        </w:rPr>
        <w:t>attempts at</w:t>
      </w:r>
      <w:r w:rsidR="00DB1837" w:rsidRPr="009D1813">
        <w:rPr>
          <w:rFonts w:ascii="Times New Roman" w:hAnsi="Times New Roman" w:cs="Times New Roman"/>
        </w:rPr>
        <w:t xml:space="preserve"> </w:t>
      </w:r>
      <w:r w:rsidR="00747ACB" w:rsidRPr="009D1813">
        <w:rPr>
          <w:rFonts w:ascii="Times New Roman" w:hAnsi="Times New Roman" w:cs="Times New Roman"/>
        </w:rPr>
        <w:t xml:space="preserve">political </w:t>
      </w:r>
      <w:r w:rsidRPr="009D1813">
        <w:rPr>
          <w:rFonts w:ascii="Times New Roman" w:hAnsi="Times New Roman" w:cs="Times New Roman"/>
        </w:rPr>
        <w:t>dial</w:t>
      </w:r>
      <w:r w:rsidR="005B58F1" w:rsidRPr="009D1813">
        <w:rPr>
          <w:rFonts w:ascii="Times New Roman" w:hAnsi="Times New Roman" w:cs="Times New Roman"/>
        </w:rPr>
        <w:t>ogue</w:t>
      </w:r>
      <w:r w:rsidR="00747ACB" w:rsidRPr="009D1813">
        <w:rPr>
          <w:rFonts w:ascii="Times New Roman" w:hAnsi="Times New Roman" w:cs="Times New Roman"/>
        </w:rPr>
        <w:t xml:space="preserve"> </w:t>
      </w:r>
      <w:r w:rsidR="006225DA" w:rsidRPr="009D1813">
        <w:rPr>
          <w:rFonts w:ascii="Times New Roman" w:hAnsi="Times New Roman" w:cs="Times New Roman"/>
        </w:rPr>
        <w:t xml:space="preserve">with NSAGs </w:t>
      </w:r>
      <w:r w:rsidR="00747ACB" w:rsidRPr="009D1813">
        <w:rPr>
          <w:rFonts w:ascii="Times New Roman" w:hAnsi="Times New Roman" w:cs="Times New Roman"/>
        </w:rPr>
        <w:t>and often intensifies the nature of the violence used</w:t>
      </w:r>
      <w:r w:rsidR="006225DA" w:rsidRPr="009D1813">
        <w:rPr>
          <w:rFonts w:ascii="Times New Roman" w:hAnsi="Times New Roman" w:cs="Times New Roman"/>
        </w:rPr>
        <w:t xml:space="preserve"> by </w:t>
      </w:r>
      <w:r w:rsidR="0018383E">
        <w:rPr>
          <w:rFonts w:ascii="Times New Roman" w:hAnsi="Times New Roman" w:cs="Times New Roman"/>
        </w:rPr>
        <w:t xml:space="preserve">and against </w:t>
      </w:r>
      <w:r w:rsidR="006225DA" w:rsidRPr="009D1813">
        <w:rPr>
          <w:rFonts w:ascii="Times New Roman" w:hAnsi="Times New Roman" w:cs="Times New Roman"/>
        </w:rPr>
        <w:t>them</w:t>
      </w:r>
      <w:r w:rsidR="00747ACB" w:rsidRPr="009D1813">
        <w:rPr>
          <w:rFonts w:ascii="Times New Roman" w:hAnsi="Times New Roman" w:cs="Times New Roman"/>
        </w:rPr>
        <w:t>.</w:t>
      </w:r>
    </w:p>
    <w:p w14:paraId="19276CE8" w14:textId="4B6DCCD1" w:rsidR="00690F22" w:rsidRPr="009D1813" w:rsidRDefault="00082C6C">
      <w:pPr>
        <w:spacing w:after="9" w:line="480" w:lineRule="auto"/>
        <w:ind w:left="-5" w:right="63" w:firstLine="725"/>
        <w:contextualSpacing/>
        <w:rPr>
          <w:rFonts w:ascii="Times New Roman" w:hAnsi="Times New Roman" w:cs="Times New Roman"/>
        </w:rPr>
      </w:pPr>
      <w:r>
        <w:rPr>
          <w:rFonts w:ascii="Times New Roman" w:hAnsi="Times New Roman" w:cs="Times New Roman"/>
        </w:rPr>
        <w:t xml:space="preserve">A second feature of NSAGs is </w:t>
      </w:r>
      <w:r w:rsidR="00690F22" w:rsidRPr="009D1813">
        <w:rPr>
          <w:rFonts w:ascii="Times New Roman" w:hAnsi="Times New Roman" w:cs="Times New Roman"/>
        </w:rPr>
        <w:t>var</w:t>
      </w:r>
      <w:r>
        <w:rPr>
          <w:rFonts w:ascii="Times New Roman" w:hAnsi="Times New Roman" w:cs="Times New Roman"/>
        </w:rPr>
        <w:t>iation</w:t>
      </w:r>
      <w:r w:rsidR="00690F22" w:rsidRPr="009D1813">
        <w:rPr>
          <w:rFonts w:ascii="Times New Roman" w:hAnsi="Times New Roman" w:cs="Times New Roman"/>
        </w:rPr>
        <w:t xml:space="preserve"> in the nature of the relationship between their political </w:t>
      </w:r>
      <w:r w:rsidR="00E34E6F">
        <w:rPr>
          <w:rFonts w:ascii="Times New Roman" w:hAnsi="Times New Roman" w:cs="Times New Roman"/>
        </w:rPr>
        <w:t xml:space="preserve">and military </w:t>
      </w:r>
      <w:r w:rsidR="00690F22" w:rsidRPr="009D1813">
        <w:rPr>
          <w:rFonts w:ascii="Times New Roman" w:hAnsi="Times New Roman" w:cs="Times New Roman"/>
        </w:rPr>
        <w:t xml:space="preserve">wings, with some groups having parallel organizations (e.g., Sinn Féin and the </w:t>
      </w:r>
      <w:r w:rsidR="00E34E6F">
        <w:rPr>
          <w:rFonts w:ascii="Times New Roman" w:hAnsi="Times New Roman" w:cs="Times New Roman"/>
        </w:rPr>
        <w:t>Irish Republican Army</w:t>
      </w:r>
      <w:r w:rsidR="00E34E6F" w:rsidRPr="009D1813">
        <w:rPr>
          <w:rFonts w:ascii="Times New Roman" w:hAnsi="Times New Roman" w:cs="Times New Roman"/>
        </w:rPr>
        <w:t xml:space="preserve"> </w:t>
      </w:r>
      <w:r w:rsidR="00690F22" w:rsidRPr="009D1813">
        <w:rPr>
          <w:rFonts w:ascii="Times New Roman" w:hAnsi="Times New Roman" w:cs="Times New Roman"/>
        </w:rPr>
        <w:t>in Northern Ireland), others featuring political and military branches within the same organization (</w:t>
      </w:r>
      <w:r w:rsidR="000F4845">
        <w:rPr>
          <w:rFonts w:ascii="Times New Roman" w:hAnsi="Times New Roman" w:cs="Times New Roman"/>
        </w:rPr>
        <w:t xml:space="preserve">e.g., </w:t>
      </w:r>
      <w:r w:rsidR="00690F22" w:rsidRPr="009D1813">
        <w:rPr>
          <w:rFonts w:ascii="Times New Roman" w:hAnsi="Times New Roman" w:cs="Times New Roman"/>
        </w:rPr>
        <w:t xml:space="preserve">the </w:t>
      </w:r>
      <w:r w:rsidR="00962A67" w:rsidRPr="00962A67">
        <w:rPr>
          <w:rFonts w:ascii="Times New Roman" w:hAnsi="Times New Roman" w:cs="Times New Roman"/>
        </w:rPr>
        <w:t>Sudan People</w:t>
      </w:r>
      <w:r w:rsidR="007B67C3">
        <w:rPr>
          <w:rFonts w:ascii="Times New Roman" w:hAnsi="Times New Roman" w:cs="Times New Roman"/>
        </w:rPr>
        <w:t>’</w:t>
      </w:r>
      <w:r w:rsidR="00962A67" w:rsidRPr="00962A67">
        <w:rPr>
          <w:rFonts w:ascii="Times New Roman" w:hAnsi="Times New Roman" w:cs="Times New Roman"/>
        </w:rPr>
        <w:t>s Liberation Movement</w:t>
      </w:r>
      <w:r w:rsidR="00962A67">
        <w:rPr>
          <w:rFonts w:ascii="Times New Roman" w:hAnsi="Times New Roman" w:cs="Times New Roman"/>
        </w:rPr>
        <w:t>/Army</w:t>
      </w:r>
      <w:r w:rsidR="00935B7D">
        <w:rPr>
          <w:rFonts w:ascii="Times New Roman" w:hAnsi="Times New Roman" w:cs="Times New Roman"/>
        </w:rPr>
        <w:t>,</w:t>
      </w:r>
      <w:r w:rsidR="00640AD9">
        <w:rPr>
          <w:rFonts w:ascii="Times New Roman" w:hAnsi="Times New Roman" w:cs="Times New Roman"/>
        </w:rPr>
        <w:t xml:space="preserve"> </w:t>
      </w:r>
      <w:r w:rsidR="00690F22" w:rsidRPr="009D1813">
        <w:rPr>
          <w:rFonts w:ascii="Times New Roman" w:hAnsi="Times New Roman" w:cs="Times New Roman"/>
        </w:rPr>
        <w:t>SPLM/A</w:t>
      </w:r>
      <w:r w:rsidR="00935B7D">
        <w:rPr>
          <w:rFonts w:ascii="Times New Roman" w:hAnsi="Times New Roman" w:cs="Times New Roman"/>
        </w:rPr>
        <w:t>,</w:t>
      </w:r>
      <w:r w:rsidR="00690F22" w:rsidRPr="009D1813">
        <w:rPr>
          <w:rFonts w:ascii="Times New Roman" w:hAnsi="Times New Roman" w:cs="Times New Roman"/>
        </w:rPr>
        <w:t xml:space="preserve"> in South Sudan), and others having fully integrated politico-military structures (</w:t>
      </w:r>
      <w:r w:rsidR="000F4845">
        <w:rPr>
          <w:rFonts w:ascii="Times New Roman" w:hAnsi="Times New Roman" w:cs="Times New Roman"/>
        </w:rPr>
        <w:t xml:space="preserve">e.g., </w:t>
      </w:r>
      <w:r w:rsidR="00690F22" w:rsidRPr="009D1813">
        <w:rPr>
          <w:rFonts w:ascii="Times New Roman" w:hAnsi="Times New Roman" w:cs="Times New Roman"/>
        </w:rPr>
        <w:t xml:space="preserve">the </w:t>
      </w:r>
      <w:r w:rsidR="00640AD9" w:rsidRPr="00640AD9">
        <w:rPr>
          <w:rFonts w:ascii="Times New Roman" w:hAnsi="Times New Roman" w:cs="Times New Roman"/>
        </w:rPr>
        <w:t>Farabundo Martí National Liberation Front</w:t>
      </w:r>
      <w:r w:rsidR="00640AD9">
        <w:rPr>
          <w:rFonts w:ascii="Times New Roman" w:hAnsi="Times New Roman" w:cs="Times New Roman"/>
        </w:rPr>
        <w:t xml:space="preserve"> </w:t>
      </w:r>
      <w:r w:rsidR="00690F22" w:rsidRPr="009D1813">
        <w:rPr>
          <w:rFonts w:ascii="Times New Roman" w:hAnsi="Times New Roman" w:cs="Times New Roman"/>
        </w:rPr>
        <w:t>in El Salvador). Those NSAGs with separate political and military structures have been found to be less violent toward civilians, more likely to comply with international humanitarian law, and more open to political negotiation.</w:t>
      </w:r>
      <w:r w:rsidR="00690F22" w:rsidRPr="009D1813">
        <w:rPr>
          <w:rStyle w:val="EndnoteReference"/>
          <w:rFonts w:ascii="Times New Roman" w:hAnsi="Times New Roman" w:cs="Times New Roman"/>
        </w:rPr>
        <w:endnoteReference w:id="15"/>
      </w:r>
    </w:p>
    <w:p w14:paraId="13C742B9" w14:textId="6E2E1655" w:rsidR="00600AA8" w:rsidRPr="00127EF2" w:rsidRDefault="005942B4">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r>
      <w:r w:rsidR="00747ACB" w:rsidRPr="00127EF2">
        <w:rPr>
          <w:rFonts w:ascii="Times New Roman" w:hAnsi="Times New Roman" w:cs="Times New Roman"/>
          <w:sz w:val="24"/>
          <w:szCs w:val="24"/>
          <w:lang w:val="en-US"/>
        </w:rPr>
        <w:t xml:space="preserve">The </w:t>
      </w:r>
      <w:r w:rsidR="00614022">
        <w:rPr>
          <w:rFonts w:ascii="Times New Roman" w:hAnsi="Times New Roman" w:cs="Times New Roman"/>
          <w:sz w:val="24"/>
          <w:szCs w:val="24"/>
          <w:lang w:val="en-US"/>
        </w:rPr>
        <w:t>third</w:t>
      </w:r>
      <w:r w:rsidR="00614022" w:rsidRPr="00127EF2">
        <w:rPr>
          <w:rFonts w:ascii="Times New Roman" w:hAnsi="Times New Roman" w:cs="Times New Roman"/>
          <w:sz w:val="24"/>
          <w:szCs w:val="24"/>
          <w:lang w:val="en-US"/>
        </w:rPr>
        <w:t xml:space="preserve"> </w:t>
      </w:r>
      <w:r w:rsidR="00747ACB" w:rsidRPr="00127EF2">
        <w:rPr>
          <w:rFonts w:ascii="Times New Roman" w:hAnsi="Times New Roman" w:cs="Times New Roman"/>
          <w:sz w:val="24"/>
          <w:szCs w:val="24"/>
          <w:lang w:val="en-US"/>
        </w:rPr>
        <w:t xml:space="preserve">axis along which NSAGs vary is organizational type. Some </w:t>
      </w:r>
      <w:r w:rsidR="00AA6D63" w:rsidRPr="00127EF2">
        <w:rPr>
          <w:rFonts w:ascii="Times New Roman" w:hAnsi="Times New Roman" w:cs="Times New Roman"/>
          <w:sz w:val="24"/>
          <w:szCs w:val="24"/>
          <w:lang w:val="en-US"/>
        </w:rPr>
        <w:t xml:space="preserve">groups </w:t>
      </w:r>
      <w:r w:rsidR="00747ACB" w:rsidRPr="00127EF2">
        <w:rPr>
          <w:rFonts w:ascii="Times New Roman" w:hAnsi="Times New Roman" w:cs="Times New Roman"/>
          <w:sz w:val="24"/>
          <w:szCs w:val="24"/>
          <w:lang w:val="en-US"/>
        </w:rPr>
        <w:t xml:space="preserve">have state-like features, with clear command </w:t>
      </w:r>
      <w:r w:rsidR="00DB1837" w:rsidRPr="00127EF2">
        <w:rPr>
          <w:rFonts w:ascii="Times New Roman" w:hAnsi="Times New Roman" w:cs="Times New Roman"/>
          <w:sz w:val="24"/>
          <w:szCs w:val="24"/>
          <w:lang w:val="en-US"/>
        </w:rPr>
        <w:t xml:space="preserve">structures </w:t>
      </w:r>
      <w:r w:rsidR="00747ACB" w:rsidRPr="00127EF2">
        <w:rPr>
          <w:rFonts w:ascii="Times New Roman" w:hAnsi="Times New Roman" w:cs="Times New Roman"/>
          <w:sz w:val="24"/>
          <w:szCs w:val="24"/>
          <w:lang w:val="en-US"/>
        </w:rPr>
        <w:t xml:space="preserve">and a leadership that exercises effective control </w:t>
      </w:r>
      <w:r w:rsidR="00AA6D63" w:rsidRPr="00127EF2">
        <w:rPr>
          <w:rFonts w:ascii="Times New Roman" w:hAnsi="Times New Roman" w:cs="Times New Roman"/>
          <w:sz w:val="24"/>
          <w:szCs w:val="24"/>
          <w:lang w:val="en-US"/>
        </w:rPr>
        <w:t xml:space="preserve">over </w:t>
      </w:r>
      <w:r w:rsidR="00AA6D63" w:rsidRPr="00127EF2">
        <w:rPr>
          <w:rFonts w:ascii="Times New Roman" w:hAnsi="Times New Roman" w:cs="Times New Roman"/>
          <w:sz w:val="24"/>
          <w:szCs w:val="24"/>
          <w:lang w:val="en-US"/>
        </w:rPr>
        <w:lastRenderedPageBreak/>
        <w:t>the rank and file</w:t>
      </w:r>
      <w:r w:rsidR="00F02B8B">
        <w:rPr>
          <w:rFonts w:ascii="Times New Roman" w:hAnsi="Times New Roman" w:cs="Times New Roman"/>
          <w:sz w:val="24"/>
          <w:szCs w:val="24"/>
          <w:lang w:val="en-US"/>
        </w:rPr>
        <w:t>,</w:t>
      </w:r>
      <w:r w:rsidR="00640402" w:rsidRPr="00127EF2">
        <w:rPr>
          <w:rFonts w:ascii="Times New Roman" w:hAnsi="Times New Roman" w:cs="Times New Roman"/>
          <w:sz w:val="24"/>
          <w:szCs w:val="24"/>
          <w:lang w:val="en-US"/>
        </w:rPr>
        <w:t xml:space="preserve"> particularly through indoctrination, training</w:t>
      </w:r>
      <w:r w:rsidR="00AA6D63" w:rsidRPr="00127EF2">
        <w:rPr>
          <w:rFonts w:ascii="Times New Roman" w:hAnsi="Times New Roman" w:cs="Times New Roman"/>
          <w:sz w:val="24"/>
          <w:szCs w:val="24"/>
          <w:lang w:val="en-US"/>
        </w:rPr>
        <w:t>,</w:t>
      </w:r>
      <w:r w:rsidR="00640402" w:rsidRPr="00127EF2">
        <w:rPr>
          <w:rFonts w:ascii="Times New Roman" w:hAnsi="Times New Roman" w:cs="Times New Roman"/>
          <w:sz w:val="24"/>
          <w:szCs w:val="24"/>
          <w:lang w:val="en-US"/>
        </w:rPr>
        <w:t xml:space="preserve"> and the exercise of military discipline</w:t>
      </w:r>
      <w:r w:rsidR="00747ACB" w:rsidRPr="00127EF2">
        <w:rPr>
          <w:rFonts w:ascii="Times New Roman" w:hAnsi="Times New Roman" w:cs="Times New Roman"/>
          <w:sz w:val="24"/>
          <w:szCs w:val="24"/>
          <w:lang w:val="en-US"/>
        </w:rPr>
        <w:t xml:space="preserve">. </w:t>
      </w:r>
      <w:r w:rsidR="00E47BF7" w:rsidRPr="00127EF2">
        <w:rPr>
          <w:rFonts w:ascii="Times New Roman" w:hAnsi="Times New Roman" w:cs="Times New Roman"/>
          <w:sz w:val="24"/>
          <w:szCs w:val="24"/>
          <w:lang w:val="en-US"/>
        </w:rPr>
        <w:t>M</w:t>
      </w:r>
      <w:r w:rsidR="00747ACB" w:rsidRPr="00127EF2">
        <w:rPr>
          <w:rFonts w:ascii="Times New Roman" w:hAnsi="Times New Roman" w:cs="Times New Roman"/>
          <w:sz w:val="24"/>
          <w:szCs w:val="24"/>
          <w:lang w:val="en-US"/>
        </w:rPr>
        <w:t>any anticolonial and secessionist movements have organized themselves in this hierar</w:t>
      </w:r>
      <w:r w:rsidR="00DB1837" w:rsidRPr="00127EF2">
        <w:rPr>
          <w:rFonts w:ascii="Times New Roman" w:hAnsi="Times New Roman" w:cs="Times New Roman"/>
          <w:sz w:val="24"/>
          <w:szCs w:val="24"/>
          <w:lang w:val="en-US"/>
        </w:rPr>
        <w:t xml:space="preserve">chical </w:t>
      </w:r>
      <w:r w:rsidR="00747ACB" w:rsidRPr="00127EF2">
        <w:rPr>
          <w:rFonts w:ascii="Times New Roman" w:hAnsi="Times New Roman" w:cs="Times New Roman"/>
          <w:sz w:val="24"/>
          <w:szCs w:val="24"/>
          <w:lang w:val="en-US"/>
        </w:rPr>
        <w:t xml:space="preserve">fashion </w:t>
      </w:r>
      <w:r w:rsidR="00E47BF7" w:rsidRPr="00127EF2">
        <w:rPr>
          <w:rFonts w:ascii="Times New Roman" w:hAnsi="Times New Roman" w:cs="Times New Roman"/>
          <w:sz w:val="24"/>
          <w:szCs w:val="24"/>
          <w:lang w:val="en-US"/>
        </w:rPr>
        <w:t xml:space="preserve">precisely </w:t>
      </w:r>
      <w:r w:rsidR="00747ACB" w:rsidRPr="00127EF2">
        <w:rPr>
          <w:rFonts w:ascii="Times New Roman" w:hAnsi="Times New Roman" w:cs="Times New Roman"/>
          <w:sz w:val="24"/>
          <w:szCs w:val="24"/>
          <w:lang w:val="en-US"/>
        </w:rPr>
        <w:t>in order to demonstrate their approximation to sovereign states.</w:t>
      </w:r>
      <w:r w:rsidR="00EE6978" w:rsidRPr="00127EF2">
        <w:rPr>
          <w:rStyle w:val="EndnoteReference"/>
          <w:rFonts w:ascii="Times New Roman" w:hAnsi="Times New Roman" w:cs="Times New Roman"/>
          <w:sz w:val="24"/>
          <w:szCs w:val="24"/>
          <w:lang w:val="en-US"/>
        </w:rPr>
        <w:endnoteReference w:id="16"/>
      </w:r>
      <w:r w:rsidR="00747ACB" w:rsidRPr="00127EF2">
        <w:rPr>
          <w:rFonts w:ascii="Times New Roman" w:hAnsi="Times New Roman" w:cs="Times New Roman"/>
          <w:sz w:val="24"/>
          <w:szCs w:val="24"/>
          <w:lang w:val="en-US"/>
        </w:rPr>
        <w:t xml:space="preserve"> </w:t>
      </w:r>
      <w:r w:rsidR="00961AE5" w:rsidRPr="00127EF2">
        <w:rPr>
          <w:rFonts w:ascii="Times New Roman" w:hAnsi="Times New Roman" w:cs="Times New Roman"/>
          <w:sz w:val="24"/>
          <w:szCs w:val="24"/>
          <w:lang w:val="en-US"/>
        </w:rPr>
        <w:t xml:space="preserve">Most </w:t>
      </w:r>
      <w:r w:rsidR="00747ACB" w:rsidRPr="00127EF2">
        <w:rPr>
          <w:rFonts w:ascii="Times New Roman" w:hAnsi="Times New Roman" w:cs="Times New Roman"/>
          <w:sz w:val="24"/>
          <w:szCs w:val="24"/>
          <w:lang w:val="en-US"/>
        </w:rPr>
        <w:t>NSAGs</w:t>
      </w:r>
      <w:r w:rsidR="00961AE5" w:rsidRPr="00127EF2">
        <w:rPr>
          <w:rFonts w:ascii="Times New Roman" w:hAnsi="Times New Roman" w:cs="Times New Roman"/>
          <w:sz w:val="24"/>
          <w:szCs w:val="24"/>
          <w:lang w:val="en-US"/>
        </w:rPr>
        <w:t>, however,</w:t>
      </w:r>
      <w:r w:rsidR="00747ACB" w:rsidRPr="00127EF2">
        <w:rPr>
          <w:rFonts w:ascii="Times New Roman" w:hAnsi="Times New Roman" w:cs="Times New Roman"/>
          <w:sz w:val="24"/>
          <w:szCs w:val="24"/>
          <w:lang w:val="en-US"/>
        </w:rPr>
        <w:t xml:space="preserve"> are </w:t>
      </w:r>
      <w:r w:rsidR="00640402" w:rsidRPr="00127EF2">
        <w:rPr>
          <w:rFonts w:ascii="Times New Roman" w:hAnsi="Times New Roman" w:cs="Times New Roman"/>
          <w:sz w:val="24"/>
          <w:szCs w:val="24"/>
          <w:lang w:val="en-US"/>
        </w:rPr>
        <w:t xml:space="preserve">either </w:t>
      </w:r>
      <w:r w:rsidR="00747ACB" w:rsidRPr="00127EF2">
        <w:rPr>
          <w:rFonts w:ascii="Times New Roman" w:hAnsi="Times New Roman" w:cs="Times New Roman"/>
          <w:sz w:val="24"/>
          <w:szCs w:val="24"/>
          <w:lang w:val="en-US"/>
        </w:rPr>
        <w:t xml:space="preserve">divided into competing factions </w:t>
      </w:r>
      <w:r w:rsidR="00DB1837" w:rsidRPr="00127EF2">
        <w:rPr>
          <w:rFonts w:ascii="Times New Roman" w:hAnsi="Times New Roman" w:cs="Times New Roman"/>
          <w:sz w:val="24"/>
          <w:szCs w:val="24"/>
          <w:lang w:val="en-US"/>
        </w:rPr>
        <w:t xml:space="preserve">or </w:t>
      </w:r>
      <w:r w:rsidR="00640402" w:rsidRPr="00127EF2">
        <w:rPr>
          <w:rFonts w:ascii="Times New Roman" w:hAnsi="Times New Roman" w:cs="Times New Roman"/>
          <w:sz w:val="24"/>
          <w:szCs w:val="24"/>
          <w:lang w:val="en-US"/>
        </w:rPr>
        <w:t xml:space="preserve">participate in loose coalitions </w:t>
      </w:r>
      <w:r w:rsidR="00747ACB" w:rsidRPr="00127EF2">
        <w:rPr>
          <w:rFonts w:ascii="Times New Roman" w:hAnsi="Times New Roman" w:cs="Times New Roman"/>
          <w:sz w:val="24"/>
          <w:szCs w:val="24"/>
          <w:lang w:val="en-US"/>
        </w:rPr>
        <w:t xml:space="preserve">with ambiguous lines of command and weak control by the </w:t>
      </w:r>
      <w:r w:rsidR="00F44270">
        <w:rPr>
          <w:rFonts w:ascii="Times New Roman" w:hAnsi="Times New Roman" w:cs="Times New Roman"/>
          <w:sz w:val="24"/>
          <w:szCs w:val="24"/>
          <w:lang w:val="en-US"/>
        </w:rPr>
        <w:t>“</w:t>
      </w:r>
      <w:r w:rsidR="00747ACB" w:rsidRPr="00127EF2">
        <w:rPr>
          <w:rFonts w:ascii="Times New Roman" w:hAnsi="Times New Roman" w:cs="Times New Roman"/>
          <w:sz w:val="24"/>
          <w:szCs w:val="24"/>
          <w:lang w:val="en-US"/>
        </w:rPr>
        <w:t>cent</w:t>
      </w:r>
      <w:r w:rsidR="00AE2F36" w:rsidRPr="00127EF2">
        <w:rPr>
          <w:rFonts w:ascii="Times New Roman" w:hAnsi="Times New Roman" w:cs="Times New Roman"/>
          <w:sz w:val="24"/>
          <w:szCs w:val="24"/>
          <w:lang w:val="en-US"/>
        </w:rPr>
        <w:t>e</w:t>
      </w:r>
      <w:r w:rsidR="00747ACB" w:rsidRPr="00127EF2">
        <w:rPr>
          <w:rFonts w:ascii="Times New Roman" w:hAnsi="Times New Roman" w:cs="Times New Roman"/>
          <w:sz w:val="24"/>
          <w:szCs w:val="24"/>
          <w:lang w:val="en-US"/>
        </w:rPr>
        <w:t>r</w:t>
      </w:r>
      <w:r w:rsidR="00F44270">
        <w:rPr>
          <w:rFonts w:ascii="Times New Roman" w:hAnsi="Times New Roman" w:cs="Times New Roman"/>
          <w:sz w:val="24"/>
          <w:szCs w:val="24"/>
          <w:lang w:val="en-US"/>
        </w:rPr>
        <w:t>.”</w:t>
      </w:r>
      <w:r w:rsidR="00EF0B18" w:rsidRPr="00127EF2">
        <w:rPr>
          <w:rStyle w:val="EndnoteReference"/>
          <w:rFonts w:ascii="Times New Roman" w:hAnsi="Times New Roman" w:cs="Times New Roman"/>
          <w:sz w:val="24"/>
          <w:szCs w:val="24"/>
          <w:lang w:val="en-US"/>
        </w:rPr>
        <w:endnoteReference w:id="17"/>
      </w:r>
      <w:r w:rsidR="00747ACB" w:rsidRPr="00127EF2">
        <w:rPr>
          <w:rFonts w:ascii="Times New Roman" w:hAnsi="Times New Roman" w:cs="Times New Roman"/>
          <w:sz w:val="24"/>
          <w:szCs w:val="24"/>
          <w:lang w:val="en-US"/>
        </w:rPr>
        <w:t xml:space="preserve"> </w:t>
      </w:r>
      <w:r w:rsidR="00600AA8" w:rsidRPr="00127EF2">
        <w:rPr>
          <w:rFonts w:ascii="Times New Roman" w:hAnsi="Times New Roman" w:cs="Times New Roman"/>
          <w:sz w:val="24"/>
          <w:szCs w:val="24"/>
          <w:lang w:val="en-US"/>
        </w:rPr>
        <w:t xml:space="preserve">Common rules of behavior in this context are either inconsistent or nonexistent, and subcommanders frequently exercise considerable authority and discretion. </w:t>
      </w:r>
      <w:r w:rsidR="00747ACB" w:rsidRPr="00127EF2">
        <w:rPr>
          <w:rFonts w:ascii="Times New Roman" w:hAnsi="Times New Roman" w:cs="Times New Roman"/>
          <w:sz w:val="24"/>
          <w:szCs w:val="24"/>
          <w:lang w:val="en-US"/>
        </w:rPr>
        <w:t>In</w:t>
      </w:r>
      <w:r w:rsidR="00961AE5" w:rsidRPr="00127EF2">
        <w:rPr>
          <w:rFonts w:ascii="Times New Roman" w:hAnsi="Times New Roman" w:cs="Times New Roman"/>
          <w:sz w:val="24"/>
          <w:szCs w:val="24"/>
          <w:lang w:val="en-US"/>
        </w:rPr>
        <w:t>deed</w:t>
      </w:r>
      <w:r w:rsidR="00747ACB" w:rsidRPr="00127EF2">
        <w:rPr>
          <w:rFonts w:ascii="Times New Roman" w:hAnsi="Times New Roman" w:cs="Times New Roman"/>
          <w:sz w:val="24"/>
          <w:szCs w:val="24"/>
          <w:lang w:val="en-US"/>
        </w:rPr>
        <w:t>, some NSAGs consciously embrace fragmentation and rely on loosely allied self-managing units in order to strengthen their resilience and protect themselves from decisive attacks on their core organization</w:t>
      </w:r>
      <w:r w:rsidR="00133610" w:rsidRPr="00127EF2">
        <w:rPr>
          <w:rFonts w:ascii="Times New Roman" w:hAnsi="Times New Roman" w:cs="Times New Roman"/>
          <w:sz w:val="24"/>
          <w:szCs w:val="24"/>
          <w:lang w:val="en-US"/>
        </w:rPr>
        <w:t>.</w:t>
      </w:r>
      <w:r w:rsidR="007600D1" w:rsidRPr="00127EF2">
        <w:rPr>
          <w:rStyle w:val="EndnoteReference"/>
          <w:rFonts w:ascii="Times New Roman" w:hAnsi="Times New Roman" w:cs="Times New Roman"/>
          <w:sz w:val="24"/>
          <w:szCs w:val="24"/>
          <w:lang w:val="en-US"/>
        </w:rPr>
        <w:endnoteReference w:id="18"/>
      </w:r>
      <w:r w:rsidR="00640402" w:rsidRPr="00127EF2">
        <w:rPr>
          <w:rFonts w:ascii="Times New Roman" w:hAnsi="Times New Roman" w:cs="Times New Roman"/>
          <w:sz w:val="24"/>
          <w:szCs w:val="24"/>
          <w:lang w:val="en-US"/>
        </w:rPr>
        <w:t xml:space="preserve"> </w:t>
      </w:r>
      <w:r w:rsidR="00600AA8" w:rsidRPr="00127EF2">
        <w:rPr>
          <w:rFonts w:ascii="Times New Roman" w:hAnsi="Times New Roman" w:cs="Times New Roman"/>
          <w:sz w:val="24"/>
          <w:szCs w:val="24"/>
          <w:lang w:val="en-US"/>
        </w:rPr>
        <w:t xml:space="preserve">This </w:t>
      </w:r>
      <w:r w:rsidR="00961AE5" w:rsidRPr="00127EF2">
        <w:rPr>
          <w:rFonts w:ascii="Times New Roman" w:hAnsi="Times New Roman" w:cs="Times New Roman"/>
          <w:sz w:val="24"/>
          <w:szCs w:val="24"/>
          <w:lang w:val="en-US"/>
        </w:rPr>
        <w:t xml:space="preserve">is particularly true </w:t>
      </w:r>
      <w:r w:rsidR="00600AA8" w:rsidRPr="00127EF2">
        <w:rPr>
          <w:rFonts w:ascii="Times New Roman" w:hAnsi="Times New Roman" w:cs="Times New Roman"/>
          <w:sz w:val="24"/>
          <w:szCs w:val="24"/>
          <w:lang w:val="en-US"/>
        </w:rPr>
        <w:t xml:space="preserve">for </w:t>
      </w:r>
      <w:r w:rsidR="00382365">
        <w:rPr>
          <w:rFonts w:ascii="Times New Roman" w:hAnsi="Times New Roman" w:cs="Times New Roman"/>
          <w:sz w:val="24"/>
          <w:szCs w:val="24"/>
          <w:lang w:val="en-US"/>
        </w:rPr>
        <w:t>a</w:t>
      </w:r>
      <w:r w:rsidR="00600AA8" w:rsidRPr="00127EF2">
        <w:rPr>
          <w:rFonts w:ascii="Times New Roman" w:hAnsi="Times New Roman" w:cs="Times New Roman"/>
          <w:sz w:val="24"/>
          <w:szCs w:val="24"/>
          <w:lang w:val="en-US"/>
        </w:rPr>
        <w:t xml:space="preserve">l-Qaeda, which consists of more than </w:t>
      </w:r>
      <w:r w:rsidR="00303A0E" w:rsidRPr="00127EF2">
        <w:rPr>
          <w:rFonts w:ascii="Times New Roman" w:hAnsi="Times New Roman" w:cs="Times New Roman"/>
          <w:sz w:val="24"/>
          <w:szCs w:val="24"/>
          <w:lang w:val="en-US"/>
        </w:rPr>
        <w:t>forty</w:t>
      </w:r>
      <w:r w:rsidR="00AE2F36" w:rsidRPr="00127EF2">
        <w:rPr>
          <w:rFonts w:ascii="Times New Roman" w:hAnsi="Times New Roman" w:cs="Times New Roman"/>
          <w:sz w:val="24"/>
          <w:szCs w:val="24"/>
          <w:lang w:val="en-US"/>
        </w:rPr>
        <w:t xml:space="preserve"> </w:t>
      </w:r>
      <w:r w:rsidR="00600AA8" w:rsidRPr="00127EF2">
        <w:rPr>
          <w:rFonts w:ascii="Times New Roman" w:hAnsi="Times New Roman" w:cs="Times New Roman"/>
          <w:sz w:val="24"/>
          <w:szCs w:val="24"/>
          <w:lang w:val="en-US"/>
        </w:rPr>
        <w:t>distinct groups, each with its own structure and history, and</w:t>
      </w:r>
      <w:r w:rsidR="00AE2F36" w:rsidRPr="00127EF2">
        <w:rPr>
          <w:rFonts w:ascii="Times New Roman" w:hAnsi="Times New Roman" w:cs="Times New Roman"/>
          <w:sz w:val="24"/>
          <w:szCs w:val="24"/>
          <w:lang w:val="en-US"/>
        </w:rPr>
        <w:t>—</w:t>
      </w:r>
      <w:r w:rsidR="00600AA8" w:rsidRPr="00127EF2">
        <w:rPr>
          <w:rFonts w:ascii="Times New Roman" w:hAnsi="Times New Roman" w:cs="Times New Roman"/>
          <w:sz w:val="24"/>
          <w:szCs w:val="24"/>
          <w:lang w:val="en-US"/>
        </w:rPr>
        <w:t>despite sharing a common identity</w:t>
      </w:r>
      <w:r w:rsidR="00AE2F36" w:rsidRPr="00127EF2">
        <w:rPr>
          <w:rFonts w:ascii="Times New Roman" w:hAnsi="Times New Roman" w:cs="Times New Roman"/>
          <w:sz w:val="24"/>
          <w:szCs w:val="24"/>
          <w:lang w:val="en-US"/>
        </w:rPr>
        <w:t>—</w:t>
      </w:r>
      <w:r w:rsidR="00961AE5" w:rsidRPr="00127EF2">
        <w:rPr>
          <w:rFonts w:ascii="Times New Roman" w:hAnsi="Times New Roman" w:cs="Times New Roman"/>
          <w:sz w:val="24"/>
          <w:szCs w:val="24"/>
          <w:lang w:val="en-US"/>
        </w:rPr>
        <w:t>exhibiting</w:t>
      </w:r>
      <w:r w:rsidR="00600AA8" w:rsidRPr="00127EF2">
        <w:rPr>
          <w:rFonts w:ascii="Times New Roman" w:hAnsi="Times New Roman" w:cs="Times New Roman"/>
          <w:sz w:val="24"/>
          <w:szCs w:val="24"/>
          <w:lang w:val="en-US"/>
        </w:rPr>
        <w:t xml:space="preserve"> significant variation in the patterns of violence and </w:t>
      </w:r>
      <w:r w:rsidR="00961AE5" w:rsidRPr="00127EF2">
        <w:rPr>
          <w:rFonts w:ascii="Times New Roman" w:hAnsi="Times New Roman" w:cs="Times New Roman"/>
          <w:sz w:val="24"/>
          <w:szCs w:val="24"/>
          <w:lang w:val="en-US"/>
        </w:rPr>
        <w:t xml:space="preserve">behavior vis-à-vis </w:t>
      </w:r>
      <w:r w:rsidR="00600AA8" w:rsidRPr="00127EF2">
        <w:rPr>
          <w:rFonts w:ascii="Times New Roman" w:hAnsi="Times New Roman" w:cs="Times New Roman"/>
          <w:sz w:val="24"/>
          <w:szCs w:val="24"/>
          <w:lang w:val="en-US"/>
        </w:rPr>
        <w:t>external actors.</w:t>
      </w:r>
      <w:r w:rsidR="00556390" w:rsidRPr="00127EF2">
        <w:rPr>
          <w:rStyle w:val="EndnoteReference"/>
          <w:rFonts w:ascii="Times New Roman" w:hAnsi="Times New Roman" w:cs="Times New Roman"/>
          <w:sz w:val="24"/>
          <w:szCs w:val="24"/>
          <w:lang w:val="en-US"/>
        </w:rPr>
        <w:endnoteReference w:id="19"/>
      </w:r>
    </w:p>
    <w:p w14:paraId="4AD949A2" w14:textId="381AE133" w:rsidR="00135606" w:rsidRPr="009D1813" w:rsidRDefault="00640402">
      <w:pPr>
        <w:spacing w:line="480" w:lineRule="auto"/>
        <w:ind w:firstLine="720"/>
        <w:contextualSpacing/>
        <w:rPr>
          <w:rFonts w:ascii="Times New Roman" w:hAnsi="Times New Roman" w:cs="Times New Roman"/>
        </w:rPr>
      </w:pPr>
      <w:r w:rsidRPr="009D1813">
        <w:rPr>
          <w:rFonts w:ascii="Times New Roman" w:hAnsi="Times New Roman" w:cs="Times New Roman"/>
        </w:rPr>
        <w:t>The degree to which NSAGs are “vertically integrated”</w:t>
      </w:r>
      <w:r w:rsidR="004E2287" w:rsidRPr="009D1813">
        <w:rPr>
          <w:rStyle w:val="EndnoteReference"/>
          <w:rFonts w:ascii="Times New Roman" w:hAnsi="Times New Roman" w:cs="Times New Roman"/>
        </w:rPr>
        <w:endnoteReference w:id="20"/>
      </w:r>
      <w:r w:rsidRPr="009D1813">
        <w:rPr>
          <w:rFonts w:ascii="Times New Roman" w:hAnsi="Times New Roman" w:cs="Times New Roman"/>
        </w:rPr>
        <w:t xml:space="preserve"> or horizontally organized is </w:t>
      </w:r>
      <w:r w:rsidR="00600AA8" w:rsidRPr="009D1813">
        <w:rPr>
          <w:rFonts w:ascii="Times New Roman" w:hAnsi="Times New Roman" w:cs="Times New Roman"/>
        </w:rPr>
        <w:t xml:space="preserve">thus </w:t>
      </w:r>
      <w:r w:rsidR="00135606" w:rsidRPr="009D1813">
        <w:rPr>
          <w:rFonts w:ascii="Times New Roman" w:hAnsi="Times New Roman" w:cs="Times New Roman"/>
        </w:rPr>
        <w:t>a</w:t>
      </w:r>
      <w:r w:rsidR="00600AA8" w:rsidRPr="009D1813">
        <w:rPr>
          <w:rFonts w:ascii="Times New Roman" w:hAnsi="Times New Roman" w:cs="Times New Roman"/>
        </w:rPr>
        <w:t xml:space="preserve"> </w:t>
      </w:r>
      <w:r w:rsidRPr="009D1813">
        <w:rPr>
          <w:rFonts w:ascii="Times New Roman" w:hAnsi="Times New Roman" w:cs="Times New Roman"/>
        </w:rPr>
        <w:t xml:space="preserve">critical factor affecting an individual combatant’s understanding of and respect for norms of restraint. </w:t>
      </w:r>
      <w:r w:rsidR="00135606" w:rsidRPr="009D1813">
        <w:rPr>
          <w:rFonts w:ascii="Times New Roman" w:hAnsi="Times New Roman" w:cs="Times New Roman"/>
        </w:rPr>
        <w:t xml:space="preserve">But analysts have </w:t>
      </w:r>
      <w:r w:rsidR="00DE45B9" w:rsidRPr="009D1813">
        <w:rPr>
          <w:rFonts w:ascii="Times New Roman" w:hAnsi="Times New Roman" w:cs="Times New Roman"/>
        </w:rPr>
        <w:t xml:space="preserve">pried open </w:t>
      </w:r>
      <w:r w:rsidR="00135606" w:rsidRPr="009D1813">
        <w:rPr>
          <w:rFonts w:ascii="Times New Roman" w:hAnsi="Times New Roman" w:cs="Times New Roman"/>
        </w:rPr>
        <w:t>the</w:t>
      </w:r>
      <w:r w:rsidR="000C4F4E">
        <w:rPr>
          <w:rFonts w:ascii="Times New Roman" w:hAnsi="Times New Roman" w:cs="Times New Roman"/>
        </w:rPr>
        <w:t xml:space="preserve"> </w:t>
      </w:r>
      <w:r w:rsidR="00135606" w:rsidRPr="009D1813">
        <w:rPr>
          <w:rFonts w:ascii="Times New Roman" w:hAnsi="Times New Roman" w:cs="Times New Roman"/>
        </w:rPr>
        <w:t xml:space="preserve">black box of the NSAG </w:t>
      </w:r>
      <w:r w:rsidR="00DE45B9" w:rsidRPr="009D1813">
        <w:rPr>
          <w:rFonts w:ascii="Times New Roman" w:hAnsi="Times New Roman" w:cs="Times New Roman"/>
        </w:rPr>
        <w:t>even</w:t>
      </w:r>
      <w:r w:rsidR="00135606" w:rsidRPr="009D1813">
        <w:rPr>
          <w:rFonts w:ascii="Times New Roman" w:hAnsi="Times New Roman" w:cs="Times New Roman"/>
        </w:rPr>
        <w:t xml:space="preserve"> further, to examine the potential differences between leaders and followers. Research on leaders, for example, has </w:t>
      </w:r>
      <w:r w:rsidR="00CC6963">
        <w:rPr>
          <w:rFonts w:ascii="Times New Roman" w:hAnsi="Times New Roman" w:cs="Times New Roman"/>
        </w:rPr>
        <w:t>explored</w:t>
      </w:r>
      <w:r w:rsidR="00CC6963" w:rsidRPr="009D1813">
        <w:rPr>
          <w:rFonts w:ascii="Times New Roman" w:hAnsi="Times New Roman" w:cs="Times New Roman"/>
        </w:rPr>
        <w:t xml:space="preserve"> </w:t>
      </w:r>
      <w:r w:rsidR="00135606" w:rsidRPr="009D1813">
        <w:rPr>
          <w:rFonts w:ascii="Times New Roman" w:hAnsi="Times New Roman" w:cs="Times New Roman"/>
        </w:rPr>
        <w:t xml:space="preserve">whether </w:t>
      </w:r>
      <w:r w:rsidR="00987B25">
        <w:rPr>
          <w:rFonts w:ascii="Times New Roman" w:hAnsi="Times New Roman" w:cs="Times New Roman"/>
        </w:rPr>
        <w:t>they</w:t>
      </w:r>
      <w:r w:rsidR="00135606" w:rsidRPr="009D1813">
        <w:rPr>
          <w:rFonts w:ascii="Times New Roman" w:hAnsi="Times New Roman" w:cs="Times New Roman"/>
        </w:rPr>
        <w:t xml:space="preserve"> are simply instrumentalizing conflict to access power or resources and whether they are playing a</w:t>
      </w:r>
      <w:r w:rsidR="000C4F4E">
        <w:rPr>
          <w:rFonts w:ascii="Times New Roman" w:hAnsi="Times New Roman" w:cs="Times New Roman"/>
        </w:rPr>
        <w:t xml:space="preserve"> </w:t>
      </w:r>
      <w:r w:rsidR="000F4845">
        <w:rPr>
          <w:rFonts w:ascii="Times New Roman" w:hAnsi="Times New Roman" w:cs="Times New Roman"/>
        </w:rPr>
        <w:t>“</w:t>
      </w:r>
      <w:r w:rsidR="00135606" w:rsidRPr="009D1813">
        <w:rPr>
          <w:rFonts w:ascii="Times New Roman" w:hAnsi="Times New Roman" w:cs="Times New Roman"/>
        </w:rPr>
        <w:t>game</w:t>
      </w:r>
      <w:r w:rsidR="000F4845">
        <w:rPr>
          <w:rFonts w:ascii="Times New Roman" w:hAnsi="Times New Roman" w:cs="Times New Roman"/>
        </w:rPr>
        <w:t>”</w:t>
      </w:r>
      <w:r w:rsidR="00135606" w:rsidRPr="009D1813">
        <w:rPr>
          <w:rFonts w:ascii="Times New Roman" w:hAnsi="Times New Roman" w:cs="Times New Roman"/>
        </w:rPr>
        <w:t xml:space="preserve"> of survival</w:t>
      </w:r>
      <w:r w:rsidR="00AE2F36" w:rsidRPr="009D1813">
        <w:rPr>
          <w:rFonts w:ascii="Times New Roman" w:hAnsi="Times New Roman" w:cs="Times New Roman"/>
        </w:rPr>
        <w:t>—</w:t>
      </w:r>
      <w:r w:rsidR="00135606" w:rsidRPr="009D1813">
        <w:rPr>
          <w:rFonts w:ascii="Times New Roman" w:hAnsi="Times New Roman" w:cs="Times New Roman"/>
        </w:rPr>
        <w:t xml:space="preserve">in which case they are </w:t>
      </w:r>
      <w:r w:rsidR="003503B3" w:rsidRPr="009D1813">
        <w:rPr>
          <w:rFonts w:ascii="Times New Roman" w:hAnsi="Times New Roman" w:cs="Times New Roman"/>
        </w:rPr>
        <w:t>likely</w:t>
      </w:r>
      <w:r w:rsidR="00135606" w:rsidRPr="009D1813">
        <w:rPr>
          <w:rFonts w:ascii="Times New Roman" w:hAnsi="Times New Roman" w:cs="Times New Roman"/>
        </w:rPr>
        <w:t xml:space="preserve"> to </w:t>
      </w:r>
      <w:r w:rsidR="003503B3" w:rsidRPr="009D1813">
        <w:rPr>
          <w:rFonts w:ascii="Times New Roman" w:hAnsi="Times New Roman" w:cs="Times New Roman"/>
        </w:rPr>
        <w:t>be resistant to efforts at negotiation</w:t>
      </w:r>
      <w:r w:rsidR="00135606" w:rsidRPr="009D1813">
        <w:rPr>
          <w:rFonts w:ascii="Times New Roman" w:hAnsi="Times New Roman" w:cs="Times New Roman"/>
        </w:rPr>
        <w:t>.</w:t>
      </w:r>
      <w:r w:rsidR="00EF0B18" w:rsidRPr="009D1813">
        <w:rPr>
          <w:rStyle w:val="EndnoteReference"/>
          <w:rFonts w:ascii="Times New Roman" w:hAnsi="Times New Roman" w:cs="Times New Roman"/>
        </w:rPr>
        <w:endnoteReference w:id="21"/>
      </w:r>
      <w:r w:rsidR="00135606" w:rsidRPr="009D1813">
        <w:rPr>
          <w:rFonts w:ascii="Times New Roman" w:hAnsi="Times New Roman" w:cs="Times New Roman"/>
        </w:rPr>
        <w:t xml:space="preserve"> Research on followers has sought to determine which individuals are most likely to fight</w:t>
      </w:r>
      <w:r w:rsidR="00836407" w:rsidRPr="009D1813">
        <w:rPr>
          <w:rFonts w:ascii="Times New Roman" w:hAnsi="Times New Roman" w:cs="Times New Roman"/>
        </w:rPr>
        <w:t xml:space="preserve">, </w:t>
      </w:r>
      <w:r w:rsidR="00135606" w:rsidRPr="009D1813">
        <w:rPr>
          <w:rFonts w:ascii="Times New Roman" w:hAnsi="Times New Roman" w:cs="Times New Roman"/>
        </w:rPr>
        <w:t>the factors that enable their mobilization into armed groups</w:t>
      </w:r>
      <w:r w:rsidR="003503B3" w:rsidRPr="009D1813">
        <w:rPr>
          <w:rFonts w:ascii="Times New Roman" w:hAnsi="Times New Roman" w:cs="Times New Roman"/>
        </w:rPr>
        <w:t>,</w:t>
      </w:r>
      <w:r w:rsidR="00671059" w:rsidRPr="009D1813">
        <w:rPr>
          <w:rStyle w:val="EndnoteReference"/>
          <w:rFonts w:ascii="Times New Roman" w:hAnsi="Times New Roman" w:cs="Times New Roman"/>
        </w:rPr>
        <w:endnoteReference w:id="22"/>
      </w:r>
      <w:r w:rsidR="003503B3" w:rsidRPr="009D1813">
        <w:rPr>
          <w:rFonts w:ascii="Times New Roman" w:hAnsi="Times New Roman" w:cs="Times New Roman"/>
        </w:rPr>
        <w:t xml:space="preserve"> and how </w:t>
      </w:r>
      <w:r w:rsidR="00135606" w:rsidRPr="009D1813">
        <w:rPr>
          <w:rFonts w:ascii="Times New Roman" w:hAnsi="Times New Roman" w:cs="Times New Roman"/>
        </w:rPr>
        <w:t>specific modes of recruitment may be connected to the way in which NSAGs treat civilian</w:t>
      </w:r>
      <w:r w:rsidR="00836407" w:rsidRPr="009D1813">
        <w:rPr>
          <w:rFonts w:ascii="Times New Roman" w:hAnsi="Times New Roman" w:cs="Times New Roman"/>
        </w:rPr>
        <w:t xml:space="preserve"> populations</w:t>
      </w:r>
      <w:r w:rsidR="00135606" w:rsidRPr="009D1813">
        <w:rPr>
          <w:rFonts w:ascii="Times New Roman" w:hAnsi="Times New Roman" w:cs="Times New Roman"/>
        </w:rPr>
        <w:t xml:space="preserve">. </w:t>
      </w:r>
      <w:r w:rsidR="00DE45B9" w:rsidRPr="009D1813">
        <w:rPr>
          <w:rFonts w:ascii="Times New Roman" w:hAnsi="Times New Roman" w:cs="Times New Roman"/>
        </w:rPr>
        <w:t>The f</w:t>
      </w:r>
      <w:r w:rsidR="00135606" w:rsidRPr="009D1813">
        <w:rPr>
          <w:rFonts w:ascii="Times New Roman" w:hAnsi="Times New Roman" w:cs="Times New Roman"/>
        </w:rPr>
        <w:t xml:space="preserve">indings </w:t>
      </w:r>
      <w:r w:rsidR="00DE45B9" w:rsidRPr="009D1813">
        <w:rPr>
          <w:rFonts w:ascii="Times New Roman" w:hAnsi="Times New Roman" w:cs="Times New Roman"/>
        </w:rPr>
        <w:t xml:space="preserve">indicate </w:t>
      </w:r>
      <w:r w:rsidR="00135606" w:rsidRPr="009D1813">
        <w:rPr>
          <w:rFonts w:ascii="Times New Roman" w:hAnsi="Times New Roman" w:cs="Times New Roman"/>
        </w:rPr>
        <w:t>that NSAG</w:t>
      </w:r>
      <w:r w:rsidR="00836407" w:rsidRPr="009D1813">
        <w:rPr>
          <w:rFonts w:ascii="Times New Roman" w:hAnsi="Times New Roman" w:cs="Times New Roman"/>
        </w:rPr>
        <w:t>s that are</w:t>
      </w:r>
      <w:r w:rsidR="00135606" w:rsidRPr="009D1813">
        <w:rPr>
          <w:rFonts w:ascii="Times New Roman" w:hAnsi="Times New Roman" w:cs="Times New Roman"/>
        </w:rPr>
        <w:t xml:space="preserve"> made up </w:t>
      </w:r>
      <w:r w:rsidR="00836407" w:rsidRPr="009D1813">
        <w:rPr>
          <w:rFonts w:ascii="Times New Roman" w:hAnsi="Times New Roman" w:cs="Times New Roman"/>
        </w:rPr>
        <w:t xml:space="preserve">mainly </w:t>
      </w:r>
      <w:r w:rsidR="00135606" w:rsidRPr="009D1813">
        <w:rPr>
          <w:rFonts w:ascii="Times New Roman" w:hAnsi="Times New Roman" w:cs="Times New Roman"/>
        </w:rPr>
        <w:t xml:space="preserve">of </w:t>
      </w:r>
      <w:r w:rsidR="0006699B" w:rsidRPr="009D1813">
        <w:rPr>
          <w:rFonts w:ascii="Times New Roman" w:hAnsi="Times New Roman" w:cs="Times New Roman"/>
        </w:rPr>
        <w:t>“</w:t>
      </w:r>
      <w:r w:rsidR="00135606" w:rsidRPr="009D1813">
        <w:rPr>
          <w:rFonts w:ascii="Times New Roman" w:hAnsi="Times New Roman" w:cs="Times New Roman"/>
        </w:rPr>
        <w:t>consumers</w:t>
      </w:r>
      <w:r w:rsidR="0006699B" w:rsidRPr="009D1813">
        <w:rPr>
          <w:rFonts w:ascii="Times New Roman" w:hAnsi="Times New Roman" w:cs="Times New Roman"/>
        </w:rPr>
        <w:t>”</w:t>
      </w:r>
      <w:r w:rsidR="00AE2F36" w:rsidRPr="009D1813">
        <w:rPr>
          <w:rFonts w:ascii="Times New Roman" w:hAnsi="Times New Roman" w:cs="Times New Roman"/>
        </w:rPr>
        <w:t>—</w:t>
      </w:r>
      <w:r w:rsidR="006225DA" w:rsidRPr="009D1813">
        <w:rPr>
          <w:rFonts w:ascii="Times New Roman" w:hAnsi="Times New Roman" w:cs="Times New Roman"/>
        </w:rPr>
        <w:t>those who pursue economic gain</w:t>
      </w:r>
      <w:r w:rsidR="00AE2F36" w:rsidRPr="009D1813">
        <w:rPr>
          <w:rFonts w:ascii="Times New Roman" w:hAnsi="Times New Roman" w:cs="Times New Roman"/>
        </w:rPr>
        <w:t>—</w:t>
      </w:r>
      <w:r w:rsidR="00836407" w:rsidRPr="009D1813">
        <w:rPr>
          <w:rFonts w:ascii="Times New Roman" w:hAnsi="Times New Roman" w:cs="Times New Roman"/>
        </w:rPr>
        <w:t xml:space="preserve">are much more likely to </w:t>
      </w:r>
      <w:r w:rsidR="00135606" w:rsidRPr="009D1813">
        <w:rPr>
          <w:rFonts w:ascii="Times New Roman" w:hAnsi="Times New Roman" w:cs="Times New Roman"/>
        </w:rPr>
        <w:t>mistreat civilian</w:t>
      </w:r>
      <w:r w:rsidR="00836407" w:rsidRPr="009D1813">
        <w:rPr>
          <w:rFonts w:ascii="Times New Roman" w:hAnsi="Times New Roman" w:cs="Times New Roman"/>
        </w:rPr>
        <w:t xml:space="preserve"> populations and use </w:t>
      </w:r>
      <w:r w:rsidR="00836407" w:rsidRPr="009D1813">
        <w:rPr>
          <w:rFonts w:ascii="Times New Roman" w:hAnsi="Times New Roman" w:cs="Times New Roman"/>
        </w:rPr>
        <w:lastRenderedPageBreak/>
        <w:t>indiscriminate violence</w:t>
      </w:r>
      <w:r w:rsidR="006225DA" w:rsidRPr="009D1813">
        <w:rPr>
          <w:rFonts w:ascii="Times New Roman" w:hAnsi="Times New Roman" w:cs="Times New Roman"/>
        </w:rPr>
        <w:t xml:space="preserve"> than</w:t>
      </w:r>
      <w:r w:rsidR="00135606" w:rsidRPr="009D1813">
        <w:rPr>
          <w:rFonts w:ascii="Times New Roman" w:hAnsi="Times New Roman" w:cs="Times New Roman"/>
        </w:rPr>
        <w:t xml:space="preserve"> </w:t>
      </w:r>
      <w:r w:rsidR="00BF7BA3">
        <w:rPr>
          <w:rFonts w:ascii="Times New Roman" w:hAnsi="Times New Roman" w:cs="Times New Roman"/>
        </w:rPr>
        <w:t>those</w:t>
      </w:r>
      <w:r w:rsidR="00836407" w:rsidRPr="009D1813">
        <w:rPr>
          <w:rFonts w:ascii="Times New Roman" w:hAnsi="Times New Roman" w:cs="Times New Roman"/>
        </w:rPr>
        <w:t xml:space="preserve"> </w:t>
      </w:r>
      <w:r w:rsidR="00BF7BA3">
        <w:rPr>
          <w:rFonts w:ascii="Times New Roman" w:hAnsi="Times New Roman" w:cs="Times New Roman"/>
        </w:rPr>
        <w:t xml:space="preserve">consisting </w:t>
      </w:r>
      <w:r w:rsidR="00135606" w:rsidRPr="009D1813">
        <w:rPr>
          <w:rFonts w:ascii="Times New Roman" w:hAnsi="Times New Roman" w:cs="Times New Roman"/>
        </w:rPr>
        <w:t xml:space="preserve">of </w:t>
      </w:r>
      <w:r w:rsidR="00BF7BA3">
        <w:rPr>
          <w:rFonts w:ascii="Times New Roman" w:hAnsi="Times New Roman" w:cs="Times New Roman"/>
        </w:rPr>
        <w:t xml:space="preserve">individuals </w:t>
      </w:r>
      <w:r w:rsidR="00836407" w:rsidRPr="009D1813">
        <w:rPr>
          <w:rFonts w:ascii="Times New Roman" w:hAnsi="Times New Roman" w:cs="Times New Roman"/>
        </w:rPr>
        <w:t xml:space="preserve">more invested in a particular </w:t>
      </w:r>
      <w:r w:rsidR="002477D7" w:rsidRPr="009D1813">
        <w:rPr>
          <w:rFonts w:ascii="Times New Roman" w:hAnsi="Times New Roman" w:cs="Times New Roman"/>
        </w:rPr>
        <w:t xml:space="preserve">political </w:t>
      </w:r>
      <w:r w:rsidR="00836407" w:rsidRPr="009D1813">
        <w:rPr>
          <w:rFonts w:ascii="Times New Roman" w:hAnsi="Times New Roman" w:cs="Times New Roman"/>
        </w:rPr>
        <w:t>cause.</w:t>
      </w:r>
      <w:r w:rsidR="00671059" w:rsidRPr="009D1813">
        <w:rPr>
          <w:rStyle w:val="EndnoteReference"/>
          <w:rFonts w:ascii="Times New Roman" w:hAnsi="Times New Roman" w:cs="Times New Roman"/>
        </w:rPr>
        <w:endnoteReference w:id="23"/>
      </w:r>
    </w:p>
    <w:p w14:paraId="34A61CC0" w14:textId="5DA73AA2" w:rsidR="00747ACB" w:rsidRPr="009D1813" w:rsidRDefault="00135606">
      <w:pPr>
        <w:spacing w:after="9" w:line="480" w:lineRule="auto"/>
        <w:ind w:left="-5" w:right="63" w:firstLine="725"/>
        <w:contextualSpacing/>
        <w:rPr>
          <w:rFonts w:ascii="Times New Roman" w:hAnsi="Times New Roman" w:cs="Times New Roman"/>
        </w:rPr>
      </w:pPr>
      <w:r w:rsidRPr="009D1813">
        <w:rPr>
          <w:rFonts w:ascii="Times New Roman" w:hAnsi="Times New Roman" w:cs="Times New Roman"/>
        </w:rPr>
        <w:t xml:space="preserve">A </w:t>
      </w:r>
      <w:r w:rsidR="007258F2">
        <w:rPr>
          <w:rFonts w:ascii="Times New Roman" w:hAnsi="Times New Roman" w:cs="Times New Roman"/>
        </w:rPr>
        <w:t>fourth</w:t>
      </w:r>
      <w:r w:rsidR="007258F2" w:rsidRPr="009D1813">
        <w:rPr>
          <w:rFonts w:ascii="Times New Roman" w:hAnsi="Times New Roman" w:cs="Times New Roman"/>
        </w:rPr>
        <w:t xml:space="preserve"> </w:t>
      </w:r>
      <w:r w:rsidR="00600AA8" w:rsidRPr="009D1813">
        <w:rPr>
          <w:rFonts w:ascii="Times New Roman" w:hAnsi="Times New Roman" w:cs="Times New Roman"/>
        </w:rPr>
        <w:t>differentiating feature</w:t>
      </w:r>
      <w:r w:rsidRPr="009D1813">
        <w:rPr>
          <w:rFonts w:ascii="Times New Roman" w:hAnsi="Times New Roman" w:cs="Times New Roman"/>
        </w:rPr>
        <w:t xml:space="preserve"> of NSAGs is</w:t>
      </w:r>
      <w:r w:rsidR="00E47BF7" w:rsidRPr="009D1813">
        <w:rPr>
          <w:rFonts w:ascii="Times New Roman" w:hAnsi="Times New Roman" w:cs="Times New Roman"/>
        </w:rPr>
        <w:t xml:space="preserve"> </w:t>
      </w:r>
      <w:r w:rsidR="00600AA8" w:rsidRPr="009D1813">
        <w:rPr>
          <w:rFonts w:ascii="Times New Roman" w:hAnsi="Times New Roman" w:cs="Times New Roman"/>
        </w:rPr>
        <w:t>th</w:t>
      </w:r>
      <w:r w:rsidRPr="009D1813">
        <w:rPr>
          <w:rFonts w:ascii="Times New Roman" w:hAnsi="Times New Roman" w:cs="Times New Roman"/>
        </w:rPr>
        <w:t>eir</w:t>
      </w:r>
      <w:r w:rsidR="00600AA8" w:rsidRPr="009D1813">
        <w:rPr>
          <w:rFonts w:ascii="Times New Roman" w:hAnsi="Times New Roman" w:cs="Times New Roman"/>
        </w:rPr>
        <w:t xml:space="preserve"> </w:t>
      </w:r>
      <w:r w:rsidR="00E47BF7" w:rsidRPr="009D1813">
        <w:rPr>
          <w:rFonts w:ascii="Times New Roman" w:hAnsi="Times New Roman" w:cs="Times New Roman"/>
        </w:rPr>
        <w:t xml:space="preserve">level </w:t>
      </w:r>
      <w:r w:rsidR="00600AA8" w:rsidRPr="009D1813">
        <w:rPr>
          <w:rFonts w:ascii="Times New Roman" w:hAnsi="Times New Roman" w:cs="Times New Roman"/>
        </w:rPr>
        <w:t>of community</w:t>
      </w:r>
      <w:r w:rsidR="00A82B2F">
        <w:rPr>
          <w:rFonts w:ascii="Times New Roman" w:hAnsi="Times New Roman" w:cs="Times New Roman"/>
        </w:rPr>
        <w:t xml:space="preserve"> </w:t>
      </w:r>
      <w:r w:rsidR="00600AA8" w:rsidRPr="009D1813">
        <w:rPr>
          <w:rFonts w:ascii="Times New Roman" w:hAnsi="Times New Roman" w:cs="Times New Roman"/>
        </w:rPr>
        <w:t>embeddedness</w:t>
      </w:r>
      <w:r w:rsidR="002D6A77">
        <w:rPr>
          <w:rFonts w:ascii="Times New Roman" w:hAnsi="Times New Roman" w:cs="Times New Roman"/>
        </w:rPr>
        <w:t>—</w:t>
      </w:r>
      <w:r w:rsidR="00DE45B9" w:rsidRPr="009D1813">
        <w:rPr>
          <w:rFonts w:ascii="Times New Roman" w:hAnsi="Times New Roman" w:cs="Times New Roman"/>
        </w:rPr>
        <w:t xml:space="preserve">i.e., </w:t>
      </w:r>
      <w:r w:rsidR="00600AA8" w:rsidRPr="009D1813">
        <w:rPr>
          <w:rFonts w:ascii="Times New Roman" w:hAnsi="Times New Roman" w:cs="Times New Roman"/>
        </w:rPr>
        <w:t xml:space="preserve">whether their strength and longevity </w:t>
      </w:r>
      <w:r w:rsidR="000F4845">
        <w:rPr>
          <w:rFonts w:ascii="Times New Roman" w:hAnsi="Times New Roman" w:cs="Times New Roman"/>
        </w:rPr>
        <w:t>are</w:t>
      </w:r>
      <w:r w:rsidR="00600AA8" w:rsidRPr="009D1813">
        <w:rPr>
          <w:rFonts w:ascii="Times New Roman" w:hAnsi="Times New Roman" w:cs="Times New Roman"/>
        </w:rPr>
        <w:t xml:space="preserve"> dependent on </w:t>
      </w:r>
      <w:r w:rsidR="00E47BF7" w:rsidRPr="009D1813">
        <w:rPr>
          <w:rFonts w:ascii="Times New Roman" w:hAnsi="Times New Roman" w:cs="Times New Roman"/>
        </w:rPr>
        <w:t xml:space="preserve">a </w:t>
      </w:r>
      <w:r w:rsidR="00600AA8" w:rsidRPr="009D1813">
        <w:rPr>
          <w:rFonts w:ascii="Times New Roman" w:hAnsi="Times New Roman" w:cs="Times New Roman"/>
        </w:rPr>
        <w:t>local community, or whether they are largely self-sustaining. At one end of the spectrum</w:t>
      </w:r>
      <w:r w:rsidR="008D74C9" w:rsidRPr="009D1813">
        <w:rPr>
          <w:rFonts w:ascii="Times New Roman" w:hAnsi="Times New Roman" w:cs="Times New Roman"/>
        </w:rPr>
        <w:t xml:space="preserve"> is </w:t>
      </w:r>
      <w:r w:rsidR="008957F2">
        <w:rPr>
          <w:rFonts w:ascii="Times New Roman" w:hAnsi="Times New Roman" w:cs="Times New Roman"/>
        </w:rPr>
        <w:t>ISIS</w:t>
      </w:r>
      <w:r w:rsidR="008D74C9" w:rsidRPr="009D1813">
        <w:rPr>
          <w:rFonts w:ascii="Times New Roman" w:hAnsi="Times New Roman" w:cs="Times New Roman"/>
        </w:rPr>
        <w:t xml:space="preserve">, which </w:t>
      </w:r>
      <w:r w:rsidR="00600AA8" w:rsidRPr="009D1813">
        <w:rPr>
          <w:rFonts w:ascii="Times New Roman" w:hAnsi="Times New Roman" w:cs="Times New Roman"/>
        </w:rPr>
        <w:t>has relied heavily on foreign fighters and extra-community sources of funding</w:t>
      </w:r>
      <w:r w:rsidR="00AC65CD" w:rsidRPr="009D1813">
        <w:rPr>
          <w:rFonts w:ascii="Times New Roman" w:hAnsi="Times New Roman" w:cs="Times New Roman"/>
        </w:rPr>
        <w:t>, or the Lord</w:t>
      </w:r>
      <w:r w:rsidR="00E4546A" w:rsidRPr="009D1813">
        <w:rPr>
          <w:rFonts w:ascii="Times New Roman" w:hAnsi="Times New Roman" w:cs="Times New Roman"/>
        </w:rPr>
        <w:t>’</w:t>
      </w:r>
      <w:r w:rsidR="00AC65CD" w:rsidRPr="009D1813">
        <w:rPr>
          <w:rFonts w:ascii="Times New Roman" w:hAnsi="Times New Roman" w:cs="Times New Roman"/>
        </w:rPr>
        <w:t>s Resistance Army</w:t>
      </w:r>
      <w:r w:rsidR="00987B25">
        <w:rPr>
          <w:rFonts w:ascii="Times New Roman" w:hAnsi="Times New Roman" w:cs="Times New Roman"/>
        </w:rPr>
        <w:t xml:space="preserve"> of </w:t>
      </w:r>
      <w:r w:rsidR="00666C22">
        <w:rPr>
          <w:rFonts w:ascii="Times New Roman" w:hAnsi="Times New Roman" w:cs="Times New Roman"/>
        </w:rPr>
        <w:t>c</w:t>
      </w:r>
      <w:r w:rsidR="00987B25">
        <w:rPr>
          <w:rFonts w:ascii="Times New Roman" w:hAnsi="Times New Roman" w:cs="Times New Roman"/>
        </w:rPr>
        <w:t>entral Africa</w:t>
      </w:r>
      <w:r w:rsidR="00AC65CD" w:rsidRPr="009D1813">
        <w:rPr>
          <w:rFonts w:ascii="Times New Roman" w:hAnsi="Times New Roman" w:cs="Times New Roman"/>
        </w:rPr>
        <w:t>, wh</w:t>
      </w:r>
      <w:r w:rsidR="008D74C9" w:rsidRPr="009D1813">
        <w:rPr>
          <w:rFonts w:ascii="Times New Roman" w:hAnsi="Times New Roman" w:cs="Times New Roman"/>
        </w:rPr>
        <w:t>ich</w:t>
      </w:r>
      <w:r w:rsidR="00AC65CD" w:rsidRPr="009D1813">
        <w:rPr>
          <w:rFonts w:ascii="Times New Roman" w:hAnsi="Times New Roman" w:cs="Times New Roman"/>
        </w:rPr>
        <w:t xml:space="preserve"> do</w:t>
      </w:r>
      <w:r w:rsidR="008D74C9" w:rsidRPr="009D1813">
        <w:rPr>
          <w:rFonts w:ascii="Times New Roman" w:hAnsi="Times New Roman" w:cs="Times New Roman"/>
        </w:rPr>
        <w:t>es</w:t>
      </w:r>
      <w:r w:rsidR="00AC65CD" w:rsidRPr="009D1813">
        <w:rPr>
          <w:rFonts w:ascii="Times New Roman" w:hAnsi="Times New Roman" w:cs="Times New Roman"/>
        </w:rPr>
        <w:t xml:space="preserve"> not attempt to hold territory</w:t>
      </w:r>
      <w:r w:rsidR="008D74C9" w:rsidRPr="009D1813">
        <w:rPr>
          <w:rFonts w:ascii="Times New Roman" w:hAnsi="Times New Roman" w:cs="Times New Roman"/>
        </w:rPr>
        <w:t xml:space="preserve"> or establish deep connections to local communities</w:t>
      </w:r>
      <w:r w:rsidR="00AC65CD" w:rsidRPr="009D1813">
        <w:rPr>
          <w:rFonts w:ascii="Times New Roman" w:hAnsi="Times New Roman" w:cs="Times New Roman"/>
        </w:rPr>
        <w:t xml:space="preserve">. This contrasts with those NSAGs </w:t>
      </w:r>
      <w:r w:rsidR="003503B3" w:rsidRPr="009D1813">
        <w:rPr>
          <w:rFonts w:ascii="Times New Roman" w:hAnsi="Times New Roman" w:cs="Times New Roman"/>
        </w:rPr>
        <w:t>that</w:t>
      </w:r>
      <w:r w:rsidR="00AC65CD" w:rsidRPr="009D1813">
        <w:rPr>
          <w:rFonts w:ascii="Times New Roman" w:hAnsi="Times New Roman" w:cs="Times New Roman"/>
        </w:rPr>
        <w:t xml:space="preserve"> draw their support from a particular sector of the community and </w:t>
      </w:r>
      <w:r w:rsidR="006225DA" w:rsidRPr="009D1813">
        <w:rPr>
          <w:rFonts w:ascii="Times New Roman" w:hAnsi="Times New Roman" w:cs="Times New Roman"/>
        </w:rPr>
        <w:t xml:space="preserve">hence </w:t>
      </w:r>
      <w:r w:rsidR="00AC65CD" w:rsidRPr="009D1813">
        <w:rPr>
          <w:rFonts w:ascii="Times New Roman" w:hAnsi="Times New Roman" w:cs="Times New Roman"/>
        </w:rPr>
        <w:t xml:space="preserve">try to </w:t>
      </w:r>
      <w:r w:rsidR="00DE45B9" w:rsidRPr="009D1813">
        <w:rPr>
          <w:rFonts w:ascii="Times New Roman" w:hAnsi="Times New Roman" w:cs="Times New Roman"/>
        </w:rPr>
        <w:t xml:space="preserve">enhance their legitimacy </w:t>
      </w:r>
      <w:r w:rsidR="00AC65CD" w:rsidRPr="009D1813">
        <w:rPr>
          <w:rFonts w:ascii="Times New Roman" w:hAnsi="Times New Roman" w:cs="Times New Roman"/>
        </w:rPr>
        <w:t>by providing social services and other governance functions</w:t>
      </w:r>
      <w:r w:rsidR="00DE45B9" w:rsidRPr="009D1813">
        <w:rPr>
          <w:rFonts w:ascii="Times New Roman" w:hAnsi="Times New Roman" w:cs="Times New Roman"/>
        </w:rPr>
        <w:t xml:space="preserve"> to that population</w:t>
      </w:r>
      <w:r w:rsidR="00AC65CD" w:rsidRPr="009D1813">
        <w:rPr>
          <w:rFonts w:ascii="Times New Roman" w:hAnsi="Times New Roman" w:cs="Times New Roman"/>
        </w:rPr>
        <w:t>.</w:t>
      </w:r>
      <w:r w:rsidR="00AF1D04" w:rsidRPr="009D1813">
        <w:rPr>
          <w:rStyle w:val="EndnoteReference"/>
          <w:rFonts w:ascii="Times New Roman" w:hAnsi="Times New Roman" w:cs="Times New Roman"/>
        </w:rPr>
        <w:endnoteReference w:id="24"/>
      </w:r>
      <w:r w:rsidR="00AC65CD" w:rsidRPr="009D1813">
        <w:rPr>
          <w:rFonts w:ascii="Times New Roman" w:hAnsi="Times New Roman" w:cs="Times New Roman"/>
        </w:rPr>
        <w:t xml:space="preserve"> </w:t>
      </w:r>
      <w:r w:rsidR="006225DA" w:rsidRPr="009D1813">
        <w:rPr>
          <w:rFonts w:ascii="Times New Roman" w:hAnsi="Times New Roman" w:cs="Times New Roman"/>
        </w:rPr>
        <w:t xml:space="preserve">The </w:t>
      </w:r>
      <w:r w:rsidR="004D7E49" w:rsidRPr="009D1813">
        <w:rPr>
          <w:rFonts w:ascii="Times New Roman" w:hAnsi="Times New Roman" w:cs="Times New Roman"/>
        </w:rPr>
        <w:t xml:space="preserve">extent of </w:t>
      </w:r>
      <w:r w:rsidR="00E4546A" w:rsidRPr="009D1813">
        <w:rPr>
          <w:rFonts w:ascii="Times New Roman" w:hAnsi="Times New Roman" w:cs="Times New Roman"/>
        </w:rPr>
        <w:t>this</w:t>
      </w:r>
      <w:r w:rsidR="000C4F4E">
        <w:rPr>
          <w:rFonts w:ascii="Times New Roman" w:hAnsi="Times New Roman" w:cs="Times New Roman"/>
        </w:rPr>
        <w:t xml:space="preserve"> “</w:t>
      </w:r>
      <w:r w:rsidR="004D7E49" w:rsidRPr="009D1813">
        <w:rPr>
          <w:rFonts w:ascii="Times New Roman" w:hAnsi="Times New Roman" w:cs="Times New Roman"/>
        </w:rPr>
        <w:t>rebel governance</w:t>
      </w:r>
      <w:r w:rsidR="00D74090">
        <w:rPr>
          <w:rFonts w:ascii="Times New Roman" w:hAnsi="Times New Roman" w:cs="Times New Roman"/>
        </w:rPr>
        <w:t>”</w:t>
      </w:r>
      <w:r w:rsidR="004D7E49" w:rsidRPr="009D1813">
        <w:rPr>
          <w:rFonts w:ascii="Times New Roman" w:hAnsi="Times New Roman" w:cs="Times New Roman"/>
        </w:rPr>
        <w:t xml:space="preserve"> </w:t>
      </w:r>
      <w:r w:rsidR="006225DA" w:rsidRPr="009D1813">
        <w:rPr>
          <w:rFonts w:ascii="Times New Roman" w:hAnsi="Times New Roman" w:cs="Times New Roman"/>
        </w:rPr>
        <w:t xml:space="preserve">has been shown to </w:t>
      </w:r>
      <w:r w:rsidR="004D7E49" w:rsidRPr="009D1813">
        <w:rPr>
          <w:rFonts w:ascii="Times New Roman" w:hAnsi="Times New Roman" w:cs="Times New Roman"/>
        </w:rPr>
        <w:t>influence the nature of NSAG</w:t>
      </w:r>
      <w:r w:rsidR="002322D9">
        <w:rPr>
          <w:rFonts w:ascii="Times New Roman" w:hAnsi="Times New Roman" w:cs="Times New Roman"/>
        </w:rPr>
        <w:t>–</w:t>
      </w:r>
      <w:r w:rsidR="004D7E49" w:rsidRPr="009D1813">
        <w:rPr>
          <w:rFonts w:ascii="Times New Roman" w:hAnsi="Times New Roman" w:cs="Times New Roman"/>
        </w:rPr>
        <w:t>civilian relations, with some groups having either predatory or parasitic relationships with local populations, and others more symbiotic and constructive ties.</w:t>
      </w:r>
      <w:r w:rsidR="00DF2AC0" w:rsidRPr="009D1813">
        <w:rPr>
          <w:rStyle w:val="EndnoteReference"/>
          <w:rFonts w:ascii="Times New Roman" w:hAnsi="Times New Roman" w:cs="Times New Roman"/>
        </w:rPr>
        <w:endnoteReference w:id="25"/>
      </w:r>
      <w:r w:rsidR="004D7E49" w:rsidRPr="009D1813">
        <w:rPr>
          <w:rFonts w:ascii="Times New Roman" w:hAnsi="Times New Roman" w:cs="Times New Roman"/>
        </w:rPr>
        <w:t xml:space="preserve"> At </w:t>
      </w:r>
      <w:r w:rsidR="00AC65CD" w:rsidRPr="009D1813">
        <w:rPr>
          <w:rFonts w:ascii="Times New Roman" w:hAnsi="Times New Roman" w:cs="Times New Roman"/>
        </w:rPr>
        <w:t xml:space="preserve">the far end of the spectrum are </w:t>
      </w:r>
      <w:r w:rsidR="004D7E49" w:rsidRPr="009D1813">
        <w:rPr>
          <w:rFonts w:ascii="Times New Roman" w:hAnsi="Times New Roman" w:cs="Times New Roman"/>
        </w:rPr>
        <w:t xml:space="preserve">NSAGs </w:t>
      </w:r>
      <w:r w:rsidR="00544B06" w:rsidRPr="009D1813">
        <w:rPr>
          <w:rFonts w:ascii="Times New Roman" w:hAnsi="Times New Roman" w:cs="Times New Roman"/>
        </w:rPr>
        <w:t>explicitly formed to defend community interests</w:t>
      </w:r>
      <w:r w:rsidR="00544B06">
        <w:rPr>
          <w:rFonts w:ascii="Times New Roman" w:hAnsi="Times New Roman" w:cs="Times New Roman"/>
        </w:rPr>
        <w:t>,</w:t>
      </w:r>
      <w:r w:rsidR="00544B06" w:rsidRPr="009D1813">
        <w:rPr>
          <w:rFonts w:ascii="Times New Roman" w:hAnsi="Times New Roman" w:cs="Times New Roman"/>
        </w:rPr>
        <w:t xml:space="preserve"> </w:t>
      </w:r>
      <w:r w:rsidR="00AC65CD" w:rsidRPr="009D1813">
        <w:rPr>
          <w:rFonts w:ascii="Times New Roman" w:hAnsi="Times New Roman" w:cs="Times New Roman"/>
        </w:rPr>
        <w:t xml:space="preserve">such as </w:t>
      </w:r>
      <w:r w:rsidR="00742FCA" w:rsidRPr="009D1813">
        <w:rPr>
          <w:rFonts w:ascii="Times New Roman" w:hAnsi="Times New Roman" w:cs="Times New Roman"/>
        </w:rPr>
        <w:t xml:space="preserve">South Sudan’s </w:t>
      </w:r>
      <w:r w:rsidR="00DB4FB3" w:rsidRPr="009D1813">
        <w:rPr>
          <w:rFonts w:ascii="Times New Roman" w:hAnsi="Times New Roman" w:cs="Times New Roman"/>
        </w:rPr>
        <w:t>T</w:t>
      </w:r>
      <w:r w:rsidR="00742FCA" w:rsidRPr="009D1813">
        <w:rPr>
          <w:rFonts w:ascii="Times New Roman" w:hAnsi="Times New Roman" w:cs="Times New Roman"/>
        </w:rPr>
        <w:t xml:space="preserve">itweng, </w:t>
      </w:r>
      <w:r w:rsidR="00DB4FB3" w:rsidRPr="009D1813">
        <w:rPr>
          <w:rFonts w:ascii="Times New Roman" w:hAnsi="Times New Roman" w:cs="Times New Roman"/>
        </w:rPr>
        <w:t>G</w:t>
      </w:r>
      <w:r w:rsidR="00742FCA" w:rsidRPr="009D1813">
        <w:rPr>
          <w:rFonts w:ascii="Times New Roman" w:hAnsi="Times New Roman" w:cs="Times New Roman"/>
        </w:rPr>
        <w:t>elweng</w:t>
      </w:r>
      <w:r w:rsidR="00544B06">
        <w:rPr>
          <w:rFonts w:ascii="Times New Roman" w:hAnsi="Times New Roman" w:cs="Times New Roman"/>
        </w:rPr>
        <w:t>,</w:t>
      </w:r>
      <w:r w:rsidR="00742FCA" w:rsidRPr="009D1813">
        <w:rPr>
          <w:rFonts w:ascii="Times New Roman" w:hAnsi="Times New Roman" w:cs="Times New Roman"/>
        </w:rPr>
        <w:t xml:space="preserve"> and </w:t>
      </w:r>
      <w:r w:rsidR="00DB4FB3" w:rsidRPr="009D1813">
        <w:rPr>
          <w:rFonts w:ascii="Times New Roman" w:hAnsi="Times New Roman" w:cs="Times New Roman"/>
        </w:rPr>
        <w:t>G</w:t>
      </w:r>
      <w:r w:rsidR="00742FCA" w:rsidRPr="009D1813">
        <w:rPr>
          <w:rFonts w:ascii="Times New Roman" w:hAnsi="Times New Roman" w:cs="Times New Roman"/>
        </w:rPr>
        <w:t>ojam armed cattle-keeping groups</w:t>
      </w:r>
      <w:r w:rsidR="00AC65CD" w:rsidRPr="009D1813">
        <w:rPr>
          <w:rFonts w:ascii="Times New Roman" w:hAnsi="Times New Roman" w:cs="Times New Roman"/>
        </w:rPr>
        <w:t>.</w:t>
      </w:r>
      <w:r w:rsidR="0006699B" w:rsidRPr="009D1813">
        <w:rPr>
          <w:rFonts w:ascii="Times New Roman" w:hAnsi="Times New Roman" w:cs="Times New Roman"/>
        </w:rPr>
        <w:t xml:space="preserve"> Overall</w:t>
      </w:r>
      <w:r w:rsidR="006225DA" w:rsidRPr="009D1813">
        <w:rPr>
          <w:rFonts w:ascii="Times New Roman" w:hAnsi="Times New Roman" w:cs="Times New Roman"/>
        </w:rPr>
        <w:t>,</w:t>
      </w:r>
      <w:r w:rsidR="00AC65CD" w:rsidRPr="009D1813">
        <w:rPr>
          <w:rFonts w:ascii="Times New Roman" w:hAnsi="Times New Roman" w:cs="Times New Roman"/>
        </w:rPr>
        <w:t xml:space="preserve"> </w:t>
      </w:r>
      <w:r w:rsidR="00E4546A" w:rsidRPr="009D1813">
        <w:rPr>
          <w:rFonts w:ascii="Times New Roman" w:hAnsi="Times New Roman" w:cs="Times New Roman"/>
        </w:rPr>
        <w:t xml:space="preserve">the </w:t>
      </w:r>
      <w:r w:rsidR="00AC65CD" w:rsidRPr="009D1813">
        <w:rPr>
          <w:rFonts w:ascii="Times New Roman" w:hAnsi="Times New Roman" w:cs="Times New Roman"/>
        </w:rPr>
        <w:t>degree of community</w:t>
      </w:r>
      <w:r w:rsidR="00A82B2F">
        <w:rPr>
          <w:rFonts w:ascii="Times New Roman" w:hAnsi="Times New Roman" w:cs="Times New Roman"/>
        </w:rPr>
        <w:t xml:space="preserve"> </w:t>
      </w:r>
      <w:r w:rsidR="00AC65CD" w:rsidRPr="009D1813">
        <w:rPr>
          <w:rFonts w:ascii="Times New Roman" w:hAnsi="Times New Roman" w:cs="Times New Roman"/>
        </w:rPr>
        <w:t xml:space="preserve">embeddedness </w:t>
      </w:r>
      <w:r w:rsidR="006225DA" w:rsidRPr="009D1813">
        <w:rPr>
          <w:rFonts w:ascii="Times New Roman" w:hAnsi="Times New Roman" w:cs="Times New Roman"/>
        </w:rPr>
        <w:t xml:space="preserve">can </w:t>
      </w:r>
      <w:r w:rsidR="00AC65CD" w:rsidRPr="009D1813">
        <w:rPr>
          <w:rFonts w:ascii="Times New Roman" w:hAnsi="Times New Roman" w:cs="Times New Roman"/>
        </w:rPr>
        <w:t>have a</w:t>
      </w:r>
      <w:r w:rsidR="006225DA" w:rsidRPr="009D1813">
        <w:rPr>
          <w:rFonts w:ascii="Times New Roman" w:hAnsi="Times New Roman" w:cs="Times New Roman"/>
        </w:rPr>
        <w:t xml:space="preserve"> significant</w:t>
      </w:r>
      <w:r w:rsidR="00AC65CD" w:rsidRPr="009D1813">
        <w:rPr>
          <w:rFonts w:ascii="Times New Roman" w:hAnsi="Times New Roman" w:cs="Times New Roman"/>
        </w:rPr>
        <w:t xml:space="preserve"> impact on the propensity of NSAGs to resort to lethal violence against civilians </w:t>
      </w:r>
      <w:r w:rsidR="00DB4FB3" w:rsidRPr="009D1813">
        <w:rPr>
          <w:rFonts w:ascii="Times New Roman" w:hAnsi="Times New Roman" w:cs="Times New Roman"/>
        </w:rPr>
        <w:t>and the destruction of civilian infrastructure</w:t>
      </w:r>
      <w:r w:rsidR="00E4546A" w:rsidRPr="009D1813">
        <w:rPr>
          <w:rFonts w:ascii="Times New Roman" w:hAnsi="Times New Roman" w:cs="Times New Roman"/>
        </w:rPr>
        <w:t>.</w:t>
      </w:r>
    </w:p>
    <w:p w14:paraId="5A331832" w14:textId="7857364F" w:rsidR="006225DA" w:rsidRPr="00127EF2" w:rsidRDefault="005942B4">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r>
      <w:r w:rsidR="00747ACB" w:rsidRPr="00127EF2">
        <w:rPr>
          <w:rFonts w:ascii="Times New Roman" w:hAnsi="Times New Roman" w:cs="Times New Roman"/>
          <w:sz w:val="24"/>
          <w:szCs w:val="24"/>
          <w:lang w:val="en-US"/>
        </w:rPr>
        <w:t xml:space="preserve">The presence and strength of ideology is </w:t>
      </w:r>
      <w:r w:rsidR="00AC65CD" w:rsidRPr="00127EF2">
        <w:rPr>
          <w:rFonts w:ascii="Times New Roman" w:hAnsi="Times New Roman" w:cs="Times New Roman"/>
          <w:sz w:val="24"/>
          <w:szCs w:val="24"/>
          <w:lang w:val="en-US"/>
        </w:rPr>
        <w:t xml:space="preserve">a </w:t>
      </w:r>
      <w:r w:rsidR="007258F2">
        <w:rPr>
          <w:rFonts w:ascii="Times New Roman" w:hAnsi="Times New Roman" w:cs="Times New Roman"/>
          <w:sz w:val="24"/>
          <w:szCs w:val="24"/>
          <w:lang w:val="en-US"/>
        </w:rPr>
        <w:t>fifth</w:t>
      </w:r>
      <w:r w:rsidR="007258F2" w:rsidRPr="00127EF2">
        <w:rPr>
          <w:rFonts w:ascii="Times New Roman" w:hAnsi="Times New Roman" w:cs="Times New Roman"/>
          <w:sz w:val="24"/>
          <w:szCs w:val="24"/>
          <w:lang w:val="en-US"/>
        </w:rPr>
        <w:t xml:space="preserve"> </w:t>
      </w:r>
      <w:r w:rsidR="00747ACB" w:rsidRPr="00127EF2">
        <w:rPr>
          <w:rFonts w:ascii="Times New Roman" w:hAnsi="Times New Roman" w:cs="Times New Roman"/>
          <w:sz w:val="24"/>
          <w:szCs w:val="24"/>
          <w:lang w:val="en-US"/>
        </w:rPr>
        <w:t>differentiating factor</w:t>
      </w:r>
      <w:r w:rsidR="00E47BF7" w:rsidRPr="00127EF2">
        <w:rPr>
          <w:rFonts w:ascii="Times New Roman" w:hAnsi="Times New Roman" w:cs="Times New Roman"/>
          <w:sz w:val="24"/>
          <w:szCs w:val="24"/>
          <w:lang w:val="en-US"/>
        </w:rPr>
        <w:t xml:space="preserve"> among NSAGs</w:t>
      </w:r>
      <w:r w:rsidR="00747ACB" w:rsidRPr="00127EF2">
        <w:rPr>
          <w:rFonts w:ascii="Times New Roman" w:hAnsi="Times New Roman" w:cs="Times New Roman"/>
          <w:sz w:val="24"/>
          <w:szCs w:val="24"/>
          <w:lang w:val="en-US"/>
        </w:rPr>
        <w:t xml:space="preserve">, as ideologies </w:t>
      </w:r>
      <w:r w:rsidR="006225DA" w:rsidRPr="00127EF2">
        <w:rPr>
          <w:rFonts w:ascii="Times New Roman" w:hAnsi="Times New Roman" w:cs="Times New Roman"/>
          <w:sz w:val="24"/>
          <w:szCs w:val="24"/>
          <w:lang w:val="en-US"/>
        </w:rPr>
        <w:t xml:space="preserve">can </w:t>
      </w:r>
      <w:r w:rsidR="00747ACB" w:rsidRPr="00127EF2">
        <w:rPr>
          <w:rFonts w:ascii="Times New Roman" w:hAnsi="Times New Roman" w:cs="Times New Roman"/>
          <w:sz w:val="24"/>
          <w:szCs w:val="24"/>
          <w:lang w:val="en-US"/>
        </w:rPr>
        <w:t xml:space="preserve">both </w:t>
      </w:r>
      <w:r w:rsidR="006225DA" w:rsidRPr="00127EF2">
        <w:rPr>
          <w:rFonts w:ascii="Times New Roman" w:hAnsi="Times New Roman" w:cs="Times New Roman"/>
          <w:sz w:val="24"/>
          <w:szCs w:val="24"/>
          <w:lang w:val="en-US"/>
        </w:rPr>
        <w:t xml:space="preserve">motivate and justify behavior. </w:t>
      </w:r>
      <w:r w:rsidR="00DB4FB3" w:rsidRPr="00127EF2">
        <w:rPr>
          <w:rFonts w:ascii="Times New Roman" w:hAnsi="Times New Roman" w:cs="Times New Roman"/>
          <w:sz w:val="24"/>
          <w:szCs w:val="24"/>
          <w:lang w:val="en-US"/>
        </w:rPr>
        <w:t xml:space="preserve">Although </w:t>
      </w:r>
      <w:r w:rsidR="00AC65CD" w:rsidRPr="00127EF2">
        <w:rPr>
          <w:rFonts w:ascii="Times New Roman" w:hAnsi="Times New Roman" w:cs="Times New Roman"/>
          <w:sz w:val="24"/>
          <w:szCs w:val="24"/>
          <w:lang w:val="en-US"/>
        </w:rPr>
        <w:t xml:space="preserve">much of the early </w:t>
      </w:r>
      <w:r w:rsidR="00DE45B9" w:rsidRPr="00127EF2">
        <w:rPr>
          <w:rFonts w:ascii="Times New Roman" w:hAnsi="Times New Roman" w:cs="Times New Roman"/>
          <w:sz w:val="24"/>
          <w:szCs w:val="24"/>
          <w:lang w:val="en-US"/>
        </w:rPr>
        <w:t>scholarship</w:t>
      </w:r>
      <w:r w:rsidR="00AC65CD" w:rsidRPr="00127EF2">
        <w:rPr>
          <w:rFonts w:ascii="Times New Roman" w:hAnsi="Times New Roman" w:cs="Times New Roman"/>
          <w:sz w:val="24"/>
          <w:szCs w:val="24"/>
          <w:lang w:val="en-US"/>
        </w:rPr>
        <w:t xml:space="preserve"> on the microfoundations of civil conflict downplayed the role of ideology</w:t>
      </w:r>
      <w:r w:rsidR="00D436BE" w:rsidRPr="00127EF2">
        <w:rPr>
          <w:rFonts w:ascii="Times New Roman" w:hAnsi="Times New Roman" w:cs="Times New Roman"/>
          <w:sz w:val="24"/>
          <w:szCs w:val="24"/>
          <w:lang w:val="en-US"/>
        </w:rPr>
        <w:t xml:space="preserve"> as a </w:t>
      </w:r>
      <w:r w:rsidR="006225DA" w:rsidRPr="00127EF2">
        <w:rPr>
          <w:rFonts w:ascii="Times New Roman" w:hAnsi="Times New Roman" w:cs="Times New Roman"/>
          <w:sz w:val="24"/>
          <w:szCs w:val="24"/>
          <w:lang w:val="en-US"/>
        </w:rPr>
        <w:t>driver</w:t>
      </w:r>
      <w:r w:rsidR="00D436BE" w:rsidRPr="00127EF2">
        <w:rPr>
          <w:rFonts w:ascii="Times New Roman" w:hAnsi="Times New Roman" w:cs="Times New Roman"/>
          <w:sz w:val="24"/>
          <w:szCs w:val="24"/>
          <w:lang w:val="en-US"/>
        </w:rPr>
        <w:t xml:space="preserve"> for violence against civilians or civilian infrastructure</w:t>
      </w:r>
      <w:r w:rsidR="00B80BFF" w:rsidRPr="00127EF2">
        <w:rPr>
          <w:rFonts w:ascii="Times New Roman" w:hAnsi="Times New Roman" w:cs="Times New Roman"/>
          <w:sz w:val="24"/>
          <w:szCs w:val="24"/>
          <w:lang w:val="en-US"/>
        </w:rPr>
        <w:t>,</w:t>
      </w:r>
      <w:r w:rsidR="00A2763C" w:rsidRPr="00127EF2">
        <w:rPr>
          <w:rStyle w:val="EndnoteReference"/>
          <w:rFonts w:ascii="Times New Roman" w:hAnsi="Times New Roman" w:cs="Times New Roman"/>
          <w:sz w:val="24"/>
          <w:szCs w:val="24"/>
          <w:lang w:val="en-US"/>
        </w:rPr>
        <w:endnoteReference w:id="26"/>
      </w:r>
      <w:r w:rsidR="00AC65CD" w:rsidRPr="00127EF2">
        <w:rPr>
          <w:rFonts w:ascii="Times New Roman" w:hAnsi="Times New Roman" w:cs="Times New Roman"/>
          <w:sz w:val="24"/>
          <w:szCs w:val="24"/>
          <w:lang w:val="en-US"/>
        </w:rPr>
        <w:t xml:space="preserve"> in favor</w:t>
      </w:r>
      <w:r w:rsidR="008D74C9" w:rsidRPr="00127EF2">
        <w:rPr>
          <w:rFonts w:ascii="Times New Roman" w:hAnsi="Times New Roman" w:cs="Times New Roman"/>
          <w:sz w:val="24"/>
          <w:szCs w:val="24"/>
          <w:lang w:val="en-US"/>
        </w:rPr>
        <w:t xml:space="preserve"> of economic or other instrumental motives for violence</w:t>
      </w:r>
      <w:r w:rsidR="00AC65CD" w:rsidRPr="00127EF2">
        <w:rPr>
          <w:rFonts w:ascii="Times New Roman" w:hAnsi="Times New Roman" w:cs="Times New Roman"/>
          <w:sz w:val="24"/>
          <w:szCs w:val="24"/>
          <w:lang w:val="en-US"/>
        </w:rPr>
        <w:t xml:space="preserve">, more recent </w:t>
      </w:r>
      <w:r w:rsidR="00DE45B9" w:rsidRPr="00127EF2">
        <w:rPr>
          <w:rFonts w:ascii="Times New Roman" w:hAnsi="Times New Roman" w:cs="Times New Roman"/>
          <w:sz w:val="24"/>
          <w:szCs w:val="24"/>
          <w:lang w:val="en-US"/>
        </w:rPr>
        <w:t xml:space="preserve">political science research </w:t>
      </w:r>
      <w:r w:rsidR="00AC65CD" w:rsidRPr="00127EF2">
        <w:rPr>
          <w:rFonts w:ascii="Times New Roman" w:hAnsi="Times New Roman" w:cs="Times New Roman"/>
          <w:sz w:val="24"/>
          <w:szCs w:val="24"/>
          <w:lang w:val="en-US"/>
        </w:rPr>
        <w:t>has re</w:t>
      </w:r>
      <w:r w:rsidR="008D74C9" w:rsidRPr="00127EF2">
        <w:rPr>
          <w:rFonts w:ascii="Times New Roman" w:hAnsi="Times New Roman" w:cs="Times New Roman"/>
          <w:sz w:val="24"/>
          <w:szCs w:val="24"/>
          <w:lang w:val="en-US"/>
        </w:rPr>
        <w:t>asserted</w:t>
      </w:r>
      <w:r w:rsidR="00AC65CD" w:rsidRPr="00127EF2">
        <w:rPr>
          <w:rFonts w:ascii="Times New Roman" w:hAnsi="Times New Roman" w:cs="Times New Roman"/>
          <w:sz w:val="24"/>
          <w:szCs w:val="24"/>
          <w:lang w:val="en-US"/>
        </w:rPr>
        <w:t xml:space="preserve"> the significance</w:t>
      </w:r>
      <w:r w:rsidR="00E47BF7" w:rsidRPr="00127EF2">
        <w:rPr>
          <w:rFonts w:ascii="Times New Roman" w:hAnsi="Times New Roman" w:cs="Times New Roman"/>
          <w:sz w:val="24"/>
          <w:szCs w:val="24"/>
          <w:lang w:val="en-US"/>
        </w:rPr>
        <w:t xml:space="preserve"> of ideology</w:t>
      </w:r>
      <w:r w:rsidR="008D74C9" w:rsidRPr="00127EF2">
        <w:rPr>
          <w:rFonts w:ascii="Times New Roman" w:hAnsi="Times New Roman" w:cs="Times New Roman"/>
          <w:sz w:val="24"/>
          <w:szCs w:val="24"/>
          <w:lang w:val="en-US"/>
        </w:rPr>
        <w:t>.</w:t>
      </w:r>
      <w:r w:rsidR="00D766AC" w:rsidRPr="00127EF2">
        <w:rPr>
          <w:rStyle w:val="EndnoteReference"/>
          <w:rFonts w:ascii="Times New Roman" w:hAnsi="Times New Roman" w:cs="Times New Roman"/>
          <w:sz w:val="24"/>
          <w:szCs w:val="24"/>
          <w:lang w:val="en-US"/>
        </w:rPr>
        <w:endnoteReference w:id="27"/>
      </w:r>
      <w:r w:rsidR="008D74C9" w:rsidRPr="00127EF2">
        <w:rPr>
          <w:rFonts w:ascii="Times New Roman" w:hAnsi="Times New Roman" w:cs="Times New Roman"/>
          <w:sz w:val="24"/>
          <w:szCs w:val="24"/>
          <w:lang w:val="en-US"/>
        </w:rPr>
        <w:t xml:space="preserve"> </w:t>
      </w:r>
      <w:r w:rsidR="00DE45B9" w:rsidRPr="00127EF2">
        <w:rPr>
          <w:rFonts w:ascii="Times New Roman" w:hAnsi="Times New Roman" w:cs="Times New Roman"/>
          <w:sz w:val="24"/>
          <w:szCs w:val="24"/>
          <w:lang w:val="en-US"/>
        </w:rPr>
        <w:t>More specifically, we no</w:t>
      </w:r>
      <w:r w:rsidR="005B58F1" w:rsidRPr="00127EF2">
        <w:rPr>
          <w:rFonts w:ascii="Times New Roman" w:hAnsi="Times New Roman" w:cs="Times New Roman"/>
          <w:sz w:val="24"/>
          <w:szCs w:val="24"/>
          <w:lang w:val="en-US"/>
        </w:rPr>
        <w:t xml:space="preserve">w understand how </w:t>
      </w:r>
      <w:r w:rsidR="006225DA" w:rsidRPr="00127EF2">
        <w:rPr>
          <w:rFonts w:ascii="Times New Roman" w:hAnsi="Times New Roman" w:cs="Times New Roman"/>
          <w:sz w:val="24"/>
          <w:szCs w:val="24"/>
          <w:lang w:val="en-US"/>
        </w:rPr>
        <w:t xml:space="preserve">ideology </w:t>
      </w:r>
      <w:r w:rsidR="005B58F1" w:rsidRPr="00127EF2">
        <w:rPr>
          <w:rFonts w:ascii="Times New Roman" w:hAnsi="Times New Roman" w:cs="Times New Roman"/>
          <w:sz w:val="24"/>
          <w:szCs w:val="24"/>
          <w:lang w:val="en-US"/>
        </w:rPr>
        <w:t xml:space="preserve">can </w:t>
      </w:r>
      <w:r w:rsidR="006225DA" w:rsidRPr="00127EF2">
        <w:rPr>
          <w:rFonts w:ascii="Times New Roman" w:hAnsi="Times New Roman" w:cs="Times New Roman"/>
          <w:sz w:val="24"/>
          <w:szCs w:val="24"/>
          <w:lang w:val="en-US"/>
        </w:rPr>
        <w:t>impact both the deeper structural context and more immediate situational incentives facing members of armed groups, and thus exerts both indirect and direct effects</w:t>
      </w:r>
      <w:r w:rsidR="00206A05">
        <w:rPr>
          <w:rFonts w:ascii="Times New Roman" w:hAnsi="Times New Roman" w:cs="Times New Roman"/>
          <w:sz w:val="24"/>
          <w:szCs w:val="24"/>
          <w:lang w:val="en-US"/>
        </w:rPr>
        <w:t>.</w:t>
      </w:r>
      <w:r w:rsidR="006225DA" w:rsidRPr="00127EF2">
        <w:rPr>
          <w:rFonts w:ascii="Times New Roman" w:hAnsi="Times New Roman" w:cs="Times New Roman"/>
          <w:sz w:val="24"/>
          <w:szCs w:val="24"/>
          <w:lang w:val="en-US"/>
        </w:rPr>
        <w:t xml:space="preserve"> </w:t>
      </w:r>
      <w:r w:rsidR="00187BC1">
        <w:rPr>
          <w:rFonts w:ascii="Times New Roman" w:hAnsi="Times New Roman" w:cs="Times New Roman"/>
          <w:sz w:val="24"/>
          <w:szCs w:val="24"/>
          <w:lang w:val="en-US"/>
        </w:rPr>
        <w:t>I</w:t>
      </w:r>
      <w:r w:rsidR="006225DA" w:rsidRPr="00127EF2">
        <w:rPr>
          <w:rFonts w:ascii="Times New Roman" w:hAnsi="Times New Roman" w:cs="Times New Roman"/>
          <w:sz w:val="24"/>
          <w:szCs w:val="24"/>
          <w:lang w:val="en-US"/>
        </w:rPr>
        <w:t>t can socialize combatants into a cohesive collective that is then better able to execute difficult orders and prevent individual</w:t>
      </w:r>
      <w:r w:rsidR="000C4F4E">
        <w:rPr>
          <w:rFonts w:ascii="Times New Roman" w:hAnsi="Times New Roman" w:cs="Times New Roman"/>
          <w:sz w:val="24"/>
          <w:szCs w:val="24"/>
          <w:lang w:val="en-US"/>
        </w:rPr>
        <w:t xml:space="preserve"> “</w:t>
      </w:r>
      <w:r w:rsidR="006225DA" w:rsidRPr="00127EF2">
        <w:rPr>
          <w:rFonts w:ascii="Times New Roman" w:hAnsi="Times New Roman" w:cs="Times New Roman"/>
          <w:sz w:val="24"/>
          <w:szCs w:val="24"/>
          <w:lang w:val="en-US"/>
        </w:rPr>
        <w:t>defection</w:t>
      </w:r>
      <w:r w:rsidR="00206A05">
        <w:rPr>
          <w:rFonts w:ascii="Times New Roman" w:hAnsi="Times New Roman" w:cs="Times New Roman"/>
          <w:sz w:val="24"/>
          <w:szCs w:val="24"/>
          <w:lang w:val="en-US"/>
        </w:rPr>
        <w:t>,</w:t>
      </w:r>
      <w:r w:rsidR="00E045C3">
        <w:rPr>
          <w:rFonts w:ascii="Times New Roman" w:hAnsi="Times New Roman" w:cs="Times New Roman"/>
          <w:sz w:val="24"/>
          <w:szCs w:val="24"/>
          <w:lang w:val="en-US"/>
        </w:rPr>
        <w:t>”</w:t>
      </w:r>
      <w:r w:rsidR="006225DA" w:rsidRPr="00127EF2">
        <w:rPr>
          <w:rFonts w:ascii="Times New Roman" w:hAnsi="Times New Roman" w:cs="Times New Roman"/>
          <w:sz w:val="24"/>
          <w:szCs w:val="24"/>
          <w:lang w:val="en-US"/>
        </w:rPr>
        <w:t xml:space="preserve"> an</w:t>
      </w:r>
      <w:r w:rsidR="005A75A8">
        <w:rPr>
          <w:rFonts w:ascii="Times New Roman" w:hAnsi="Times New Roman" w:cs="Times New Roman"/>
          <w:sz w:val="24"/>
          <w:szCs w:val="24"/>
          <w:lang w:val="en-US"/>
        </w:rPr>
        <w:t>d</w:t>
      </w:r>
      <w:r w:rsidR="006225DA" w:rsidRPr="00127EF2">
        <w:rPr>
          <w:rFonts w:ascii="Times New Roman" w:hAnsi="Times New Roman" w:cs="Times New Roman"/>
          <w:sz w:val="24"/>
          <w:szCs w:val="24"/>
          <w:lang w:val="en-US"/>
        </w:rPr>
        <w:t xml:space="preserve"> it can directly define the normative commitments of combatants which </w:t>
      </w:r>
      <w:r w:rsidR="00DE45B9" w:rsidRPr="00127EF2">
        <w:rPr>
          <w:rFonts w:ascii="Times New Roman" w:hAnsi="Times New Roman" w:cs="Times New Roman"/>
          <w:sz w:val="24"/>
          <w:szCs w:val="24"/>
          <w:lang w:val="en-US"/>
        </w:rPr>
        <w:t>shape</w:t>
      </w:r>
      <w:r w:rsidR="006225DA" w:rsidRPr="00127EF2">
        <w:rPr>
          <w:rFonts w:ascii="Times New Roman" w:hAnsi="Times New Roman" w:cs="Times New Roman"/>
          <w:sz w:val="24"/>
          <w:szCs w:val="24"/>
          <w:lang w:val="en-US"/>
        </w:rPr>
        <w:t xml:space="preserve"> their interpretation of their context and influence their actions and responses.</w:t>
      </w:r>
      <w:r w:rsidR="00904D42" w:rsidRPr="00127EF2">
        <w:rPr>
          <w:rStyle w:val="EndnoteReference"/>
          <w:rFonts w:ascii="Times New Roman" w:hAnsi="Times New Roman" w:cs="Times New Roman"/>
          <w:sz w:val="24"/>
          <w:szCs w:val="24"/>
          <w:lang w:val="en-US"/>
        </w:rPr>
        <w:endnoteReference w:id="28"/>
      </w:r>
      <w:r w:rsidR="006225DA" w:rsidRPr="00127EF2">
        <w:rPr>
          <w:rFonts w:ascii="Times New Roman" w:hAnsi="Times New Roman" w:cs="Times New Roman"/>
          <w:sz w:val="24"/>
          <w:szCs w:val="24"/>
          <w:lang w:val="en-US"/>
        </w:rPr>
        <w:t xml:space="preserve"> </w:t>
      </w:r>
      <w:r w:rsidR="001212E4">
        <w:rPr>
          <w:rFonts w:ascii="Times New Roman" w:hAnsi="Times New Roman" w:cs="Times New Roman"/>
          <w:sz w:val="24"/>
          <w:szCs w:val="24"/>
          <w:lang w:val="en-US"/>
        </w:rPr>
        <w:t>In brief,</w:t>
      </w:r>
      <w:r w:rsidR="005A75A8" w:rsidRPr="00127EF2">
        <w:rPr>
          <w:rFonts w:ascii="Times New Roman" w:hAnsi="Times New Roman" w:cs="Times New Roman"/>
          <w:sz w:val="24"/>
          <w:szCs w:val="24"/>
          <w:lang w:val="en-US"/>
        </w:rPr>
        <w:t xml:space="preserve"> </w:t>
      </w:r>
      <w:r w:rsidR="006225DA" w:rsidRPr="00127EF2">
        <w:rPr>
          <w:rFonts w:ascii="Times New Roman" w:hAnsi="Times New Roman" w:cs="Times New Roman"/>
          <w:sz w:val="24"/>
          <w:szCs w:val="24"/>
          <w:lang w:val="en-US"/>
        </w:rPr>
        <w:t xml:space="preserve">ideas help members of NSAGs </w:t>
      </w:r>
      <w:r w:rsidR="006225DA" w:rsidRPr="00127EF2">
        <w:rPr>
          <w:rFonts w:ascii="Times New Roman" w:hAnsi="Times New Roman" w:cs="Times New Roman"/>
          <w:sz w:val="24"/>
          <w:szCs w:val="24"/>
          <w:lang w:val="en-US"/>
        </w:rPr>
        <w:lastRenderedPageBreak/>
        <w:t>determine who</w:t>
      </w:r>
      <w:r w:rsidR="00510DA5">
        <w:rPr>
          <w:rFonts w:ascii="Times New Roman" w:hAnsi="Times New Roman" w:cs="Times New Roman"/>
          <w:sz w:val="24"/>
          <w:szCs w:val="24"/>
          <w:lang w:val="en-US"/>
        </w:rPr>
        <w:t xml:space="preserve"> is</w:t>
      </w:r>
      <w:r w:rsidR="006225DA" w:rsidRPr="00127EF2">
        <w:rPr>
          <w:rFonts w:ascii="Times New Roman" w:hAnsi="Times New Roman" w:cs="Times New Roman"/>
          <w:sz w:val="24"/>
          <w:szCs w:val="24"/>
          <w:lang w:val="en-US"/>
        </w:rPr>
        <w:t xml:space="preserve"> a friend and who</w:t>
      </w:r>
      <w:r w:rsidR="00510DA5">
        <w:rPr>
          <w:rFonts w:ascii="Times New Roman" w:hAnsi="Times New Roman" w:cs="Times New Roman"/>
          <w:sz w:val="24"/>
          <w:szCs w:val="24"/>
          <w:lang w:val="en-US"/>
        </w:rPr>
        <w:t xml:space="preserve"> is</w:t>
      </w:r>
      <w:r w:rsidR="006225DA" w:rsidRPr="00127EF2">
        <w:rPr>
          <w:rFonts w:ascii="Times New Roman" w:hAnsi="Times New Roman" w:cs="Times New Roman"/>
          <w:sz w:val="24"/>
          <w:szCs w:val="24"/>
          <w:lang w:val="en-US"/>
        </w:rPr>
        <w:t xml:space="preserve"> an enemy, who and what gets protected, and against whom or what violence can be used.</w:t>
      </w:r>
      <w:r w:rsidR="003561C8" w:rsidRPr="00127EF2">
        <w:rPr>
          <w:rStyle w:val="EndnoteReference"/>
          <w:rFonts w:ascii="Times New Roman" w:hAnsi="Times New Roman" w:cs="Times New Roman"/>
          <w:sz w:val="24"/>
          <w:szCs w:val="24"/>
          <w:lang w:val="en-US"/>
        </w:rPr>
        <w:endnoteReference w:id="29"/>
      </w:r>
    </w:p>
    <w:p w14:paraId="11C0158B" w14:textId="0D498027" w:rsidR="005942B4" w:rsidRPr="00127EF2" w:rsidRDefault="005942B4">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r>
      <w:r w:rsidR="00AC65CD" w:rsidRPr="00127EF2">
        <w:rPr>
          <w:rFonts w:ascii="Times New Roman" w:hAnsi="Times New Roman" w:cs="Times New Roman"/>
          <w:sz w:val="24"/>
          <w:szCs w:val="24"/>
          <w:lang w:val="en-US"/>
        </w:rPr>
        <w:t>F</w:t>
      </w:r>
      <w:r w:rsidR="00747ACB" w:rsidRPr="00127EF2">
        <w:rPr>
          <w:rFonts w:ascii="Times New Roman" w:hAnsi="Times New Roman" w:cs="Times New Roman"/>
          <w:sz w:val="24"/>
          <w:szCs w:val="24"/>
          <w:lang w:val="en-US"/>
        </w:rPr>
        <w:t>or violent extremists, such as those that have operated in Syria, Iraq</w:t>
      </w:r>
      <w:r w:rsidR="008B2C7B" w:rsidRPr="00127EF2">
        <w:rPr>
          <w:rFonts w:ascii="Times New Roman" w:hAnsi="Times New Roman" w:cs="Times New Roman"/>
          <w:sz w:val="24"/>
          <w:szCs w:val="24"/>
          <w:lang w:val="en-US"/>
        </w:rPr>
        <w:t>,</w:t>
      </w:r>
      <w:r w:rsidR="00747ACB" w:rsidRPr="00127EF2">
        <w:rPr>
          <w:rFonts w:ascii="Times New Roman" w:hAnsi="Times New Roman" w:cs="Times New Roman"/>
          <w:sz w:val="24"/>
          <w:szCs w:val="24"/>
          <w:lang w:val="en-US"/>
        </w:rPr>
        <w:t xml:space="preserve"> and Afghanistan,</w:t>
      </w:r>
      <w:r w:rsidR="00E7558B" w:rsidRPr="00127EF2">
        <w:rPr>
          <w:rFonts w:ascii="Times New Roman" w:hAnsi="Times New Roman" w:cs="Times New Roman"/>
          <w:sz w:val="24"/>
          <w:szCs w:val="24"/>
          <w:lang w:val="en-US"/>
        </w:rPr>
        <w:t xml:space="preserve"> “a</w:t>
      </w:r>
      <w:r w:rsidR="00747ACB" w:rsidRPr="00127EF2">
        <w:rPr>
          <w:rFonts w:ascii="Times New Roman" w:hAnsi="Times New Roman" w:cs="Times New Roman"/>
          <w:sz w:val="24"/>
          <w:szCs w:val="24"/>
          <w:lang w:val="en-US"/>
        </w:rPr>
        <w:t>trocity-justifying ideologies</w:t>
      </w:r>
      <w:r w:rsidR="00DE45B9" w:rsidRPr="00127EF2">
        <w:rPr>
          <w:rFonts w:ascii="Times New Roman" w:hAnsi="Times New Roman" w:cs="Times New Roman"/>
          <w:sz w:val="24"/>
          <w:szCs w:val="24"/>
          <w:lang w:val="en-US"/>
        </w:rPr>
        <w:t>”</w:t>
      </w:r>
      <w:r w:rsidR="006225DA" w:rsidRPr="00127EF2">
        <w:rPr>
          <w:rFonts w:ascii="Times New Roman" w:hAnsi="Times New Roman" w:cs="Times New Roman"/>
          <w:sz w:val="24"/>
          <w:szCs w:val="24"/>
          <w:lang w:val="en-US"/>
        </w:rPr>
        <w:t xml:space="preserve"> </w:t>
      </w:r>
      <w:r w:rsidR="00E47BF7" w:rsidRPr="00127EF2">
        <w:rPr>
          <w:rFonts w:ascii="Times New Roman" w:hAnsi="Times New Roman" w:cs="Times New Roman"/>
          <w:sz w:val="24"/>
          <w:szCs w:val="24"/>
          <w:lang w:val="en-US"/>
        </w:rPr>
        <w:t xml:space="preserve">can </w:t>
      </w:r>
      <w:r w:rsidR="00747ACB" w:rsidRPr="00127EF2">
        <w:rPr>
          <w:rFonts w:ascii="Times New Roman" w:hAnsi="Times New Roman" w:cs="Times New Roman"/>
          <w:sz w:val="24"/>
          <w:szCs w:val="24"/>
          <w:lang w:val="en-US"/>
        </w:rPr>
        <w:t xml:space="preserve">provide a powerful resource for </w:t>
      </w:r>
      <w:r w:rsidR="0044706A">
        <w:rPr>
          <w:rFonts w:ascii="Times New Roman" w:hAnsi="Times New Roman" w:cs="Times New Roman"/>
          <w:sz w:val="24"/>
          <w:szCs w:val="24"/>
          <w:lang w:val="en-US"/>
        </w:rPr>
        <w:t>individuals</w:t>
      </w:r>
      <w:r w:rsidR="0044706A" w:rsidRPr="00127EF2">
        <w:rPr>
          <w:rFonts w:ascii="Times New Roman" w:hAnsi="Times New Roman" w:cs="Times New Roman"/>
          <w:sz w:val="24"/>
          <w:szCs w:val="24"/>
          <w:lang w:val="en-US"/>
        </w:rPr>
        <w:t xml:space="preserve"> </w:t>
      </w:r>
      <w:r w:rsidR="00747ACB" w:rsidRPr="00127EF2">
        <w:rPr>
          <w:rFonts w:ascii="Times New Roman" w:hAnsi="Times New Roman" w:cs="Times New Roman"/>
          <w:sz w:val="24"/>
          <w:szCs w:val="24"/>
          <w:lang w:val="en-US"/>
        </w:rPr>
        <w:t>in</w:t>
      </w:r>
      <w:r w:rsidR="00AC65CD" w:rsidRPr="00127EF2">
        <w:rPr>
          <w:rFonts w:ascii="Times New Roman" w:hAnsi="Times New Roman" w:cs="Times New Roman"/>
          <w:sz w:val="24"/>
          <w:szCs w:val="24"/>
          <w:lang w:val="en-US"/>
        </w:rPr>
        <w:t xml:space="preserve"> leadership positions within NSAGs</w:t>
      </w:r>
      <w:r w:rsidR="006225DA" w:rsidRPr="00127EF2">
        <w:rPr>
          <w:rFonts w:ascii="Times New Roman" w:hAnsi="Times New Roman" w:cs="Times New Roman"/>
          <w:sz w:val="24"/>
          <w:szCs w:val="24"/>
          <w:lang w:val="en-US"/>
        </w:rPr>
        <w:t>,</w:t>
      </w:r>
      <w:r w:rsidR="00AC65CD" w:rsidRPr="00127EF2">
        <w:rPr>
          <w:rFonts w:ascii="Times New Roman" w:hAnsi="Times New Roman" w:cs="Times New Roman"/>
          <w:sz w:val="24"/>
          <w:szCs w:val="24"/>
          <w:lang w:val="en-US"/>
        </w:rPr>
        <w:t xml:space="preserve"> </w:t>
      </w:r>
      <w:r w:rsidR="00747ACB" w:rsidRPr="00127EF2">
        <w:rPr>
          <w:rFonts w:ascii="Times New Roman" w:hAnsi="Times New Roman" w:cs="Times New Roman"/>
          <w:sz w:val="24"/>
          <w:szCs w:val="24"/>
          <w:lang w:val="en-US"/>
        </w:rPr>
        <w:t>as well as for those who carry out the</w:t>
      </w:r>
      <w:r w:rsidR="006225DA" w:rsidRPr="00127EF2">
        <w:rPr>
          <w:rFonts w:ascii="Times New Roman" w:hAnsi="Times New Roman" w:cs="Times New Roman"/>
          <w:sz w:val="24"/>
          <w:szCs w:val="24"/>
          <w:lang w:val="en-US"/>
        </w:rPr>
        <w:t>ir orders.</w:t>
      </w:r>
      <w:r w:rsidR="00D766AC" w:rsidRPr="00127EF2">
        <w:rPr>
          <w:rStyle w:val="EndnoteReference"/>
          <w:rFonts w:ascii="Times New Roman" w:hAnsi="Times New Roman" w:cs="Times New Roman"/>
          <w:sz w:val="24"/>
          <w:szCs w:val="24"/>
          <w:lang w:val="en-US"/>
        </w:rPr>
        <w:endnoteReference w:id="30"/>
      </w:r>
      <w:r w:rsidR="006225DA" w:rsidRPr="00127EF2">
        <w:rPr>
          <w:rFonts w:ascii="Times New Roman" w:hAnsi="Times New Roman" w:cs="Times New Roman"/>
          <w:sz w:val="24"/>
          <w:szCs w:val="24"/>
          <w:lang w:val="en-US"/>
        </w:rPr>
        <w:t xml:space="preserve"> These </w:t>
      </w:r>
      <w:r w:rsidR="000608F9" w:rsidRPr="00127EF2">
        <w:rPr>
          <w:rFonts w:ascii="Times New Roman" w:hAnsi="Times New Roman" w:cs="Times New Roman"/>
          <w:sz w:val="24"/>
          <w:szCs w:val="24"/>
          <w:lang w:val="en-US"/>
        </w:rPr>
        <w:t xml:space="preserve">exclusionary </w:t>
      </w:r>
      <w:r w:rsidR="006225DA" w:rsidRPr="00127EF2">
        <w:rPr>
          <w:rFonts w:ascii="Times New Roman" w:hAnsi="Times New Roman" w:cs="Times New Roman"/>
          <w:sz w:val="24"/>
          <w:szCs w:val="24"/>
          <w:lang w:val="en-US"/>
        </w:rPr>
        <w:t>ideologies justify the targeting or even extermination of members of particular groups</w:t>
      </w:r>
      <w:r w:rsidR="00562D5C" w:rsidRPr="00127EF2">
        <w:rPr>
          <w:rFonts w:ascii="Times New Roman" w:hAnsi="Times New Roman" w:cs="Times New Roman"/>
          <w:sz w:val="24"/>
          <w:szCs w:val="24"/>
          <w:lang w:val="en-US"/>
        </w:rPr>
        <w:t>—</w:t>
      </w:r>
      <w:r w:rsidR="006225DA" w:rsidRPr="00127EF2">
        <w:rPr>
          <w:rFonts w:ascii="Times New Roman" w:hAnsi="Times New Roman" w:cs="Times New Roman"/>
          <w:sz w:val="24"/>
          <w:szCs w:val="24"/>
          <w:lang w:val="en-US"/>
        </w:rPr>
        <w:t>along with key symbols of the</w:t>
      </w:r>
      <w:r w:rsidR="00E975A8">
        <w:rPr>
          <w:rFonts w:ascii="Times New Roman" w:hAnsi="Times New Roman" w:cs="Times New Roman"/>
          <w:sz w:val="24"/>
          <w:szCs w:val="24"/>
          <w:lang w:val="en-US"/>
        </w:rPr>
        <w:t>ir</w:t>
      </w:r>
      <w:r w:rsidR="006225DA" w:rsidRPr="00127EF2">
        <w:rPr>
          <w:rFonts w:ascii="Times New Roman" w:hAnsi="Times New Roman" w:cs="Times New Roman"/>
          <w:sz w:val="24"/>
          <w:szCs w:val="24"/>
          <w:lang w:val="en-US"/>
        </w:rPr>
        <w:t xml:space="preserve"> culture. In</w:t>
      </w:r>
      <w:r w:rsidR="005B58F1" w:rsidRPr="00127EF2">
        <w:rPr>
          <w:rFonts w:ascii="Times New Roman" w:hAnsi="Times New Roman" w:cs="Times New Roman"/>
          <w:sz w:val="24"/>
          <w:szCs w:val="24"/>
          <w:lang w:val="en-US"/>
        </w:rPr>
        <w:t xml:space="preserve"> fact</w:t>
      </w:r>
      <w:r w:rsidR="006225DA" w:rsidRPr="00127EF2">
        <w:rPr>
          <w:rFonts w:ascii="Times New Roman" w:hAnsi="Times New Roman" w:cs="Times New Roman"/>
          <w:sz w:val="24"/>
          <w:szCs w:val="24"/>
          <w:lang w:val="en-US"/>
        </w:rPr>
        <w:t>, t</w:t>
      </w:r>
      <w:r w:rsidR="00D436BE" w:rsidRPr="00127EF2">
        <w:rPr>
          <w:rFonts w:ascii="Times New Roman" w:hAnsi="Times New Roman" w:cs="Times New Roman"/>
          <w:sz w:val="24"/>
          <w:szCs w:val="24"/>
          <w:lang w:val="en-US"/>
        </w:rPr>
        <w:t xml:space="preserve">here is </w:t>
      </w:r>
      <w:r w:rsidR="006225DA" w:rsidRPr="00127EF2">
        <w:rPr>
          <w:rFonts w:ascii="Times New Roman" w:hAnsi="Times New Roman" w:cs="Times New Roman"/>
          <w:sz w:val="24"/>
          <w:szCs w:val="24"/>
          <w:lang w:val="en-US"/>
        </w:rPr>
        <w:t xml:space="preserve">mounting </w:t>
      </w:r>
      <w:r w:rsidR="00D436BE" w:rsidRPr="00127EF2">
        <w:rPr>
          <w:rFonts w:ascii="Times New Roman" w:hAnsi="Times New Roman" w:cs="Times New Roman"/>
          <w:sz w:val="24"/>
          <w:szCs w:val="24"/>
          <w:lang w:val="en-US"/>
        </w:rPr>
        <w:t xml:space="preserve">evidence that </w:t>
      </w:r>
      <w:r w:rsidR="00DB4FB3" w:rsidRPr="00127EF2">
        <w:rPr>
          <w:rFonts w:ascii="Times New Roman" w:hAnsi="Times New Roman" w:cs="Times New Roman"/>
          <w:sz w:val="24"/>
          <w:szCs w:val="24"/>
          <w:lang w:val="en-US"/>
        </w:rPr>
        <w:t xml:space="preserve">we </w:t>
      </w:r>
      <w:r w:rsidR="00D436BE" w:rsidRPr="00127EF2">
        <w:rPr>
          <w:rFonts w:ascii="Times New Roman" w:hAnsi="Times New Roman" w:cs="Times New Roman"/>
          <w:sz w:val="24"/>
          <w:szCs w:val="24"/>
          <w:lang w:val="en-US"/>
        </w:rPr>
        <w:t xml:space="preserve">can only account for the variation in belligerents’ proclivity to engage in mass killing and </w:t>
      </w:r>
      <w:r w:rsidR="00DB4FB3" w:rsidRPr="00127EF2">
        <w:rPr>
          <w:rFonts w:ascii="Times New Roman" w:hAnsi="Times New Roman" w:cs="Times New Roman"/>
          <w:sz w:val="24"/>
          <w:szCs w:val="24"/>
          <w:lang w:val="en-US"/>
        </w:rPr>
        <w:t xml:space="preserve">other </w:t>
      </w:r>
      <w:r w:rsidR="00D436BE" w:rsidRPr="00127EF2">
        <w:rPr>
          <w:rFonts w:ascii="Times New Roman" w:hAnsi="Times New Roman" w:cs="Times New Roman"/>
          <w:sz w:val="24"/>
          <w:szCs w:val="24"/>
          <w:lang w:val="en-US"/>
        </w:rPr>
        <w:t>atrocit</w:t>
      </w:r>
      <w:r w:rsidR="00DB4FB3" w:rsidRPr="00127EF2">
        <w:rPr>
          <w:rFonts w:ascii="Times New Roman" w:hAnsi="Times New Roman" w:cs="Times New Roman"/>
          <w:sz w:val="24"/>
          <w:szCs w:val="24"/>
          <w:lang w:val="en-US"/>
        </w:rPr>
        <w:t>ies</w:t>
      </w:r>
      <w:r w:rsidR="00D436BE" w:rsidRPr="00127EF2">
        <w:rPr>
          <w:rFonts w:ascii="Times New Roman" w:hAnsi="Times New Roman" w:cs="Times New Roman"/>
          <w:sz w:val="24"/>
          <w:szCs w:val="24"/>
          <w:lang w:val="en-US"/>
        </w:rPr>
        <w:t xml:space="preserve"> </w:t>
      </w:r>
      <w:r w:rsidR="00C12F9D" w:rsidRPr="00127EF2">
        <w:rPr>
          <w:rFonts w:ascii="Times New Roman" w:hAnsi="Times New Roman" w:cs="Times New Roman"/>
          <w:sz w:val="24"/>
          <w:szCs w:val="24"/>
          <w:lang w:val="en-US"/>
        </w:rPr>
        <w:t>by analy</w:t>
      </w:r>
      <w:r w:rsidR="00562D5C" w:rsidRPr="00127EF2">
        <w:rPr>
          <w:rFonts w:ascii="Times New Roman" w:hAnsi="Times New Roman" w:cs="Times New Roman"/>
          <w:sz w:val="24"/>
          <w:szCs w:val="24"/>
          <w:lang w:val="en-US"/>
        </w:rPr>
        <w:t>z</w:t>
      </w:r>
      <w:r w:rsidR="00C12F9D" w:rsidRPr="00127EF2">
        <w:rPr>
          <w:rFonts w:ascii="Times New Roman" w:hAnsi="Times New Roman" w:cs="Times New Roman"/>
          <w:sz w:val="24"/>
          <w:szCs w:val="24"/>
          <w:lang w:val="en-US"/>
        </w:rPr>
        <w:t xml:space="preserve">ing </w:t>
      </w:r>
      <w:r w:rsidR="006225DA" w:rsidRPr="00127EF2">
        <w:rPr>
          <w:rFonts w:ascii="Times New Roman" w:hAnsi="Times New Roman" w:cs="Times New Roman"/>
          <w:sz w:val="24"/>
          <w:szCs w:val="24"/>
          <w:lang w:val="en-US"/>
        </w:rPr>
        <w:t xml:space="preserve">these </w:t>
      </w:r>
      <w:r w:rsidR="00D436BE" w:rsidRPr="00127EF2">
        <w:rPr>
          <w:rFonts w:ascii="Times New Roman" w:hAnsi="Times New Roman" w:cs="Times New Roman"/>
          <w:sz w:val="24"/>
          <w:szCs w:val="24"/>
          <w:lang w:val="en-US"/>
        </w:rPr>
        <w:t>preexisting negative attitudes and beliefs toward a targeted group.</w:t>
      </w:r>
      <w:r w:rsidR="00C823EE" w:rsidRPr="00127EF2">
        <w:rPr>
          <w:rStyle w:val="EndnoteReference"/>
          <w:rFonts w:ascii="Times New Roman" w:hAnsi="Times New Roman" w:cs="Times New Roman"/>
          <w:sz w:val="24"/>
          <w:szCs w:val="24"/>
          <w:lang w:val="en-US"/>
        </w:rPr>
        <w:endnoteReference w:id="31"/>
      </w:r>
      <w:r w:rsidR="00D436BE" w:rsidRPr="00127EF2">
        <w:rPr>
          <w:rFonts w:ascii="Times New Roman" w:hAnsi="Times New Roman" w:cs="Times New Roman"/>
          <w:sz w:val="24"/>
          <w:szCs w:val="24"/>
          <w:lang w:val="en-US"/>
        </w:rPr>
        <w:t xml:space="preserve"> </w:t>
      </w:r>
    </w:p>
    <w:p w14:paraId="16407240" w14:textId="23E07FE2" w:rsidR="00AC65CD" w:rsidRPr="00127EF2" w:rsidRDefault="005942B4">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r>
      <w:r w:rsidR="00AA6D63" w:rsidRPr="00127EF2">
        <w:rPr>
          <w:rFonts w:ascii="Times New Roman" w:hAnsi="Times New Roman" w:cs="Times New Roman"/>
          <w:sz w:val="24"/>
          <w:szCs w:val="24"/>
          <w:lang w:val="en-US"/>
        </w:rPr>
        <w:t xml:space="preserve">Ideology is </w:t>
      </w:r>
      <w:r w:rsidR="00E7558B" w:rsidRPr="00127EF2">
        <w:rPr>
          <w:rFonts w:ascii="Times New Roman" w:hAnsi="Times New Roman" w:cs="Times New Roman"/>
          <w:sz w:val="24"/>
          <w:szCs w:val="24"/>
          <w:lang w:val="en-US"/>
        </w:rPr>
        <w:t xml:space="preserve">therefore </w:t>
      </w:r>
      <w:r w:rsidR="00AA6D63" w:rsidRPr="00127EF2">
        <w:rPr>
          <w:rFonts w:ascii="Times New Roman" w:hAnsi="Times New Roman" w:cs="Times New Roman"/>
          <w:sz w:val="24"/>
          <w:szCs w:val="24"/>
          <w:lang w:val="en-US"/>
        </w:rPr>
        <w:t xml:space="preserve">a particularly </w:t>
      </w:r>
      <w:r w:rsidR="00E7558B" w:rsidRPr="00127EF2">
        <w:rPr>
          <w:rFonts w:ascii="Times New Roman" w:hAnsi="Times New Roman" w:cs="Times New Roman"/>
          <w:sz w:val="24"/>
          <w:szCs w:val="24"/>
          <w:lang w:val="en-US"/>
        </w:rPr>
        <w:t xml:space="preserve">crucial </w:t>
      </w:r>
      <w:r w:rsidR="006C0C02" w:rsidRPr="00127EF2">
        <w:rPr>
          <w:rFonts w:ascii="Times New Roman" w:hAnsi="Times New Roman" w:cs="Times New Roman"/>
          <w:sz w:val="24"/>
          <w:szCs w:val="24"/>
          <w:lang w:val="en-US"/>
        </w:rPr>
        <w:t>element</w:t>
      </w:r>
      <w:r w:rsidR="00AA6D63" w:rsidRPr="00127EF2">
        <w:rPr>
          <w:rFonts w:ascii="Times New Roman" w:hAnsi="Times New Roman" w:cs="Times New Roman"/>
          <w:sz w:val="24"/>
          <w:szCs w:val="24"/>
          <w:lang w:val="en-US"/>
        </w:rPr>
        <w:t xml:space="preserve"> for </w:t>
      </w:r>
      <w:r w:rsidR="006C0C02" w:rsidRPr="00127EF2">
        <w:rPr>
          <w:rFonts w:ascii="Times New Roman" w:hAnsi="Times New Roman" w:cs="Times New Roman"/>
          <w:sz w:val="24"/>
          <w:szCs w:val="24"/>
          <w:lang w:val="en-US"/>
        </w:rPr>
        <w:t>discerning the</w:t>
      </w:r>
      <w:r w:rsidR="000C4F4E">
        <w:rPr>
          <w:rFonts w:ascii="Times New Roman" w:hAnsi="Times New Roman" w:cs="Times New Roman"/>
          <w:sz w:val="24"/>
          <w:szCs w:val="24"/>
          <w:lang w:val="en-US"/>
        </w:rPr>
        <w:t xml:space="preserve"> “</w:t>
      </w:r>
      <w:r w:rsidR="006C0C02" w:rsidRPr="00127EF2">
        <w:rPr>
          <w:rFonts w:ascii="Times New Roman" w:hAnsi="Times New Roman" w:cs="Times New Roman"/>
          <w:sz w:val="24"/>
          <w:szCs w:val="24"/>
          <w:lang w:val="en-US"/>
        </w:rPr>
        <w:t>why</w:t>
      </w:r>
      <w:r w:rsidR="00D74090">
        <w:rPr>
          <w:rFonts w:ascii="Times New Roman" w:hAnsi="Times New Roman" w:cs="Times New Roman"/>
          <w:sz w:val="24"/>
          <w:szCs w:val="24"/>
          <w:lang w:val="en-US"/>
        </w:rPr>
        <w:t>”</w:t>
      </w:r>
      <w:r w:rsidR="006C0C02" w:rsidRPr="00127EF2">
        <w:rPr>
          <w:rFonts w:ascii="Times New Roman" w:hAnsi="Times New Roman" w:cs="Times New Roman"/>
          <w:sz w:val="24"/>
          <w:szCs w:val="24"/>
          <w:lang w:val="en-US"/>
        </w:rPr>
        <w:t xml:space="preserve"> and</w:t>
      </w:r>
      <w:r w:rsidR="000C4F4E">
        <w:rPr>
          <w:rFonts w:ascii="Times New Roman" w:hAnsi="Times New Roman" w:cs="Times New Roman"/>
          <w:sz w:val="24"/>
          <w:szCs w:val="24"/>
          <w:lang w:val="en-US"/>
        </w:rPr>
        <w:t xml:space="preserve"> “</w:t>
      </w:r>
      <w:r w:rsidR="006C0C02" w:rsidRPr="00127EF2">
        <w:rPr>
          <w:rFonts w:ascii="Times New Roman" w:hAnsi="Times New Roman" w:cs="Times New Roman"/>
          <w:sz w:val="24"/>
          <w:szCs w:val="24"/>
          <w:lang w:val="en-US"/>
        </w:rPr>
        <w:t>how</w:t>
      </w:r>
      <w:r w:rsidR="00D74090">
        <w:rPr>
          <w:rFonts w:ascii="Times New Roman" w:hAnsi="Times New Roman" w:cs="Times New Roman"/>
          <w:sz w:val="24"/>
          <w:szCs w:val="24"/>
          <w:lang w:val="en-US"/>
        </w:rPr>
        <w:t>”</w:t>
      </w:r>
      <w:r w:rsidR="006C0C02" w:rsidRPr="00127EF2">
        <w:rPr>
          <w:rFonts w:ascii="Times New Roman" w:hAnsi="Times New Roman" w:cs="Times New Roman"/>
          <w:sz w:val="24"/>
          <w:szCs w:val="24"/>
          <w:lang w:val="en-US"/>
        </w:rPr>
        <w:t xml:space="preserve"> of attacks on cultural heritage, since such acts </w:t>
      </w:r>
      <w:r w:rsidR="00667BA2">
        <w:rPr>
          <w:rFonts w:ascii="Times New Roman" w:hAnsi="Times New Roman" w:cs="Times New Roman"/>
          <w:sz w:val="24"/>
          <w:szCs w:val="24"/>
          <w:lang w:val="en-US"/>
        </w:rPr>
        <w:t>do</w:t>
      </w:r>
      <w:r w:rsidR="00667BA2" w:rsidRPr="00127EF2">
        <w:rPr>
          <w:rFonts w:ascii="Times New Roman" w:hAnsi="Times New Roman" w:cs="Times New Roman"/>
          <w:sz w:val="24"/>
          <w:szCs w:val="24"/>
          <w:lang w:val="en-US"/>
        </w:rPr>
        <w:t xml:space="preserve"> </w:t>
      </w:r>
      <w:r w:rsidR="006C0C02" w:rsidRPr="00127EF2">
        <w:rPr>
          <w:rFonts w:ascii="Times New Roman" w:hAnsi="Times New Roman" w:cs="Times New Roman"/>
          <w:sz w:val="24"/>
          <w:szCs w:val="24"/>
          <w:lang w:val="en-US"/>
        </w:rPr>
        <w:t xml:space="preserve">not always take the form of collateral damage from poorly executed military strikes, but rather represent a subcategory of </w:t>
      </w:r>
      <w:r w:rsidR="00E47BF7" w:rsidRPr="00127EF2">
        <w:rPr>
          <w:rFonts w:ascii="Times New Roman" w:hAnsi="Times New Roman" w:cs="Times New Roman"/>
          <w:sz w:val="24"/>
          <w:szCs w:val="24"/>
          <w:lang w:val="en-US"/>
        </w:rPr>
        <w:t xml:space="preserve">conflict </w:t>
      </w:r>
      <w:r w:rsidR="006C0C02" w:rsidRPr="00127EF2">
        <w:rPr>
          <w:rFonts w:ascii="Times New Roman" w:hAnsi="Times New Roman" w:cs="Times New Roman"/>
          <w:sz w:val="24"/>
          <w:szCs w:val="24"/>
          <w:lang w:val="en-US"/>
        </w:rPr>
        <w:t xml:space="preserve">behavior that is both deliberate </w:t>
      </w:r>
      <w:r w:rsidR="006C0C02" w:rsidRPr="00127EF2">
        <w:rPr>
          <w:rFonts w:ascii="Times New Roman" w:hAnsi="Times New Roman" w:cs="Times New Roman"/>
          <w:i/>
          <w:iCs/>
          <w:sz w:val="24"/>
          <w:szCs w:val="24"/>
          <w:lang w:val="en-US"/>
        </w:rPr>
        <w:t xml:space="preserve">and </w:t>
      </w:r>
      <w:r w:rsidR="006C0C02" w:rsidRPr="00127EF2">
        <w:rPr>
          <w:rFonts w:ascii="Times New Roman" w:hAnsi="Times New Roman" w:cs="Times New Roman"/>
          <w:sz w:val="24"/>
          <w:szCs w:val="24"/>
          <w:lang w:val="en-US"/>
        </w:rPr>
        <w:t xml:space="preserve">public. </w:t>
      </w:r>
      <w:r w:rsidR="0059655D" w:rsidRPr="00127EF2">
        <w:rPr>
          <w:rFonts w:ascii="Times New Roman" w:hAnsi="Times New Roman" w:cs="Times New Roman"/>
          <w:sz w:val="24"/>
          <w:szCs w:val="24"/>
          <w:lang w:val="en-US"/>
        </w:rPr>
        <w:t>Extreme forms of violence or destruction present a puzzle for many analysts of civil conflict, as they frequently entail costs</w:t>
      </w:r>
      <w:r w:rsidR="00E4546A" w:rsidRPr="00127EF2">
        <w:rPr>
          <w:rFonts w:ascii="Times New Roman" w:hAnsi="Times New Roman" w:cs="Times New Roman"/>
          <w:sz w:val="24"/>
          <w:szCs w:val="24"/>
          <w:lang w:val="en-US"/>
        </w:rPr>
        <w:t xml:space="preserve"> </w:t>
      </w:r>
      <w:r w:rsidR="0059655D" w:rsidRPr="00127EF2">
        <w:rPr>
          <w:rFonts w:ascii="Times New Roman" w:hAnsi="Times New Roman" w:cs="Times New Roman"/>
          <w:sz w:val="24"/>
          <w:szCs w:val="24"/>
          <w:lang w:val="en-US"/>
        </w:rPr>
        <w:t>for perpetrators</w:t>
      </w:r>
      <w:r w:rsidR="00562D5C" w:rsidRPr="00127EF2">
        <w:rPr>
          <w:rFonts w:ascii="Times New Roman" w:hAnsi="Times New Roman" w:cs="Times New Roman"/>
          <w:sz w:val="24"/>
          <w:szCs w:val="24"/>
          <w:lang w:val="en-US"/>
        </w:rPr>
        <w:t>—</w:t>
      </w:r>
      <w:r w:rsidR="0059655D" w:rsidRPr="00127EF2">
        <w:rPr>
          <w:rFonts w:ascii="Times New Roman" w:hAnsi="Times New Roman" w:cs="Times New Roman"/>
          <w:sz w:val="24"/>
          <w:szCs w:val="24"/>
          <w:lang w:val="en-US"/>
        </w:rPr>
        <w:t>in terms of lost credibility or retaliation</w:t>
      </w:r>
      <w:r w:rsidR="00562D5C" w:rsidRPr="00127EF2">
        <w:rPr>
          <w:rFonts w:ascii="Times New Roman" w:hAnsi="Times New Roman" w:cs="Times New Roman"/>
          <w:sz w:val="24"/>
          <w:szCs w:val="24"/>
          <w:lang w:val="en-US"/>
        </w:rPr>
        <w:t>—</w:t>
      </w:r>
      <w:r w:rsidR="0059655D" w:rsidRPr="00127EF2">
        <w:rPr>
          <w:rFonts w:ascii="Times New Roman" w:hAnsi="Times New Roman" w:cs="Times New Roman"/>
          <w:sz w:val="24"/>
          <w:szCs w:val="24"/>
          <w:lang w:val="en-US"/>
        </w:rPr>
        <w:t xml:space="preserve">or provoke moral outrage that fuels resistance. In </w:t>
      </w:r>
      <w:r w:rsidR="006C0C02" w:rsidRPr="00127EF2">
        <w:rPr>
          <w:rFonts w:ascii="Times New Roman" w:hAnsi="Times New Roman" w:cs="Times New Roman"/>
          <w:sz w:val="24"/>
          <w:szCs w:val="24"/>
          <w:lang w:val="en-US"/>
        </w:rPr>
        <w:t xml:space="preserve">explaining why belligerents </w:t>
      </w:r>
      <w:r w:rsidR="0059655D" w:rsidRPr="00127EF2">
        <w:rPr>
          <w:rFonts w:ascii="Times New Roman" w:hAnsi="Times New Roman" w:cs="Times New Roman"/>
          <w:sz w:val="24"/>
          <w:szCs w:val="24"/>
          <w:lang w:val="en-US"/>
        </w:rPr>
        <w:t xml:space="preserve">nonetheless </w:t>
      </w:r>
      <w:r w:rsidR="006C0C02" w:rsidRPr="00127EF2">
        <w:rPr>
          <w:rFonts w:ascii="Times New Roman" w:hAnsi="Times New Roman" w:cs="Times New Roman"/>
          <w:sz w:val="24"/>
          <w:szCs w:val="24"/>
          <w:lang w:val="en-US"/>
        </w:rPr>
        <w:t xml:space="preserve">engage in time-consuming and costly displays of “extra-lethal” violence </w:t>
      </w:r>
      <w:r w:rsidR="00EE33F4" w:rsidRPr="00127EF2">
        <w:rPr>
          <w:rFonts w:ascii="Times New Roman" w:hAnsi="Times New Roman" w:cs="Times New Roman"/>
          <w:sz w:val="24"/>
          <w:szCs w:val="24"/>
          <w:lang w:val="en-US"/>
        </w:rPr>
        <w:t>or “extreme atrocity</w:t>
      </w:r>
      <w:r w:rsidR="000A79AE" w:rsidRPr="00127EF2">
        <w:rPr>
          <w:rFonts w:ascii="Times New Roman" w:hAnsi="Times New Roman" w:cs="Times New Roman"/>
          <w:sz w:val="24"/>
          <w:szCs w:val="24"/>
          <w:lang w:val="en-US"/>
        </w:rPr>
        <w:t>,”</w:t>
      </w:r>
      <w:r w:rsidR="0067481C" w:rsidRPr="00127EF2">
        <w:rPr>
          <w:rStyle w:val="EndnoteReference"/>
          <w:rFonts w:ascii="Times New Roman" w:hAnsi="Times New Roman" w:cs="Times New Roman"/>
          <w:sz w:val="24"/>
          <w:szCs w:val="24"/>
          <w:lang w:val="en-US"/>
        </w:rPr>
        <w:endnoteReference w:id="32"/>
      </w:r>
      <w:r w:rsidR="006C0C02" w:rsidRPr="00127EF2">
        <w:rPr>
          <w:rFonts w:ascii="Times New Roman" w:hAnsi="Times New Roman" w:cs="Times New Roman"/>
          <w:sz w:val="24"/>
          <w:szCs w:val="24"/>
          <w:lang w:val="en-US"/>
        </w:rPr>
        <w:t xml:space="preserve"> scholars have </w:t>
      </w:r>
      <w:r w:rsidR="00DB4FB3" w:rsidRPr="00127EF2">
        <w:rPr>
          <w:rFonts w:ascii="Times New Roman" w:hAnsi="Times New Roman" w:cs="Times New Roman"/>
          <w:sz w:val="24"/>
          <w:szCs w:val="24"/>
          <w:lang w:val="en-US"/>
        </w:rPr>
        <w:t xml:space="preserve">argued </w:t>
      </w:r>
      <w:r w:rsidR="006C0C02" w:rsidRPr="00127EF2">
        <w:rPr>
          <w:rFonts w:ascii="Times New Roman" w:hAnsi="Times New Roman" w:cs="Times New Roman"/>
          <w:sz w:val="24"/>
          <w:szCs w:val="24"/>
          <w:lang w:val="en-US"/>
        </w:rPr>
        <w:t>that certain war-time behaviors are “performative”</w:t>
      </w:r>
      <w:r w:rsidR="0059655D" w:rsidRPr="00127EF2">
        <w:rPr>
          <w:rFonts w:ascii="Times New Roman" w:hAnsi="Times New Roman" w:cs="Times New Roman"/>
          <w:sz w:val="24"/>
          <w:szCs w:val="24"/>
          <w:lang w:val="en-US"/>
        </w:rPr>
        <w:t xml:space="preserve">: they are </w:t>
      </w:r>
      <w:r w:rsidR="006C0C02" w:rsidRPr="00127EF2">
        <w:rPr>
          <w:rFonts w:ascii="Times New Roman" w:hAnsi="Times New Roman" w:cs="Times New Roman"/>
          <w:sz w:val="24"/>
          <w:szCs w:val="24"/>
          <w:lang w:val="en-US"/>
        </w:rPr>
        <w:t xml:space="preserve">designed to produce particular effects for </w:t>
      </w:r>
      <w:r w:rsidR="00DB4FB3" w:rsidRPr="00127EF2">
        <w:rPr>
          <w:rFonts w:ascii="Times New Roman" w:hAnsi="Times New Roman" w:cs="Times New Roman"/>
          <w:sz w:val="24"/>
          <w:szCs w:val="24"/>
          <w:lang w:val="en-US"/>
        </w:rPr>
        <w:t xml:space="preserve">both </w:t>
      </w:r>
      <w:r w:rsidR="006C0C02" w:rsidRPr="00127EF2">
        <w:rPr>
          <w:rFonts w:ascii="Times New Roman" w:hAnsi="Times New Roman" w:cs="Times New Roman"/>
          <w:sz w:val="24"/>
          <w:szCs w:val="24"/>
          <w:lang w:val="en-US"/>
        </w:rPr>
        <w:t>local and international audiences</w:t>
      </w:r>
      <w:r w:rsidR="00DB4FB3" w:rsidRPr="00127EF2">
        <w:rPr>
          <w:rFonts w:ascii="Times New Roman" w:hAnsi="Times New Roman" w:cs="Times New Roman"/>
          <w:sz w:val="24"/>
          <w:szCs w:val="24"/>
          <w:lang w:val="en-US"/>
        </w:rPr>
        <w:t xml:space="preserve">, </w:t>
      </w:r>
      <w:r w:rsidR="00F43E64" w:rsidRPr="00127EF2">
        <w:rPr>
          <w:rFonts w:ascii="Times New Roman" w:hAnsi="Times New Roman" w:cs="Times New Roman"/>
          <w:sz w:val="24"/>
          <w:szCs w:val="24"/>
          <w:lang w:val="en-US"/>
        </w:rPr>
        <w:t>such as</w:t>
      </w:r>
      <w:r w:rsidR="006C0C02" w:rsidRPr="00127EF2">
        <w:rPr>
          <w:rFonts w:ascii="Times New Roman" w:hAnsi="Times New Roman" w:cs="Times New Roman"/>
          <w:sz w:val="24"/>
          <w:szCs w:val="24"/>
          <w:lang w:val="en-US"/>
        </w:rPr>
        <w:t xml:space="preserve"> enhanc</w:t>
      </w:r>
      <w:r w:rsidR="00F43E64" w:rsidRPr="00127EF2">
        <w:rPr>
          <w:rFonts w:ascii="Times New Roman" w:hAnsi="Times New Roman" w:cs="Times New Roman"/>
          <w:sz w:val="24"/>
          <w:szCs w:val="24"/>
          <w:lang w:val="en-US"/>
        </w:rPr>
        <w:t>ing</w:t>
      </w:r>
      <w:r w:rsidR="006C0C02" w:rsidRPr="00127EF2">
        <w:rPr>
          <w:rFonts w:ascii="Times New Roman" w:hAnsi="Times New Roman" w:cs="Times New Roman"/>
          <w:sz w:val="24"/>
          <w:szCs w:val="24"/>
          <w:lang w:val="en-US"/>
        </w:rPr>
        <w:t xml:space="preserve"> the power and prestige of perpetrators</w:t>
      </w:r>
      <w:r w:rsidR="0067481C" w:rsidRPr="00127EF2">
        <w:rPr>
          <w:rStyle w:val="EndnoteReference"/>
          <w:rFonts w:ascii="Times New Roman" w:hAnsi="Times New Roman" w:cs="Times New Roman"/>
          <w:sz w:val="24"/>
          <w:szCs w:val="24"/>
          <w:lang w:val="en-US"/>
        </w:rPr>
        <w:endnoteReference w:id="33"/>
      </w:r>
      <w:r w:rsidR="006C0C02" w:rsidRPr="00127EF2">
        <w:rPr>
          <w:rFonts w:ascii="Times New Roman" w:hAnsi="Times New Roman" w:cs="Times New Roman"/>
          <w:sz w:val="24"/>
          <w:szCs w:val="24"/>
          <w:lang w:val="en-US"/>
        </w:rPr>
        <w:t xml:space="preserve"> or </w:t>
      </w:r>
      <w:r w:rsidR="00F43E64" w:rsidRPr="00127EF2">
        <w:rPr>
          <w:rFonts w:ascii="Times New Roman" w:hAnsi="Times New Roman" w:cs="Times New Roman"/>
          <w:sz w:val="24"/>
          <w:szCs w:val="24"/>
          <w:lang w:val="en-US"/>
        </w:rPr>
        <w:t xml:space="preserve">proving </w:t>
      </w:r>
      <w:r w:rsidR="00D436BE" w:rsidRPr="00127EF2">
        <w:rPr>
          <w:rFonts w:ascii="Times New Roman" w:hAnsi="Times New Roman" w:cs="Times New Roman"/>
          <w:sz w:val="24"/>
          <w:szCs w:val="24"/>
          <w:lang w:val="en-US"/>
        </w:rPr>
        <w:t>loyalty to the group</w:t>
      </w:r>
      <w:r w:rsidR="00086567" w:rsidRPr="00127EF2">
        <w:rPr>
          <w:rFonts w:ascii="Times New Roman" w:hAnsi="Times New Roman" w:cs="Times New Roman"/>
          <w:sz w:val="24"/>
          <w:szCs w:val="24"/>
          <w:lang w:val="en-US"/>
        </w:rPr>
        <w:t>.</w:t>
      </w:r>
      <w:r w:rsidR="0067481C" w:rsidRPr="00127EF2">
        <w:rPr>
          <w:rStyle w:val="EndnoteReference"/>
          <w:rFonts w:ascii="Times New Roman" w:hAnsi="Times New Roman" w:cs="Times New Roman"/>
          <w:sz w:val="24"/>
          <w:szCs w:val="24"/>
          <w:lang w:val="en-US"/>
        </w:rPr>
        <w:endnoteReference w:id="34"/>
      </w:r>
      <w:r w:rsidR="006C0C02" w:rsidRPr="00127EF2">
        <w:rPr>
          <w:rFonts w:ascii="Times New Roman" w:hAnsi="Times New Roman" w:cs="Times New Roman"/>
          <w:sz w:val="24"/>
          <w:szCs w:val="24"/>
          <w:lang w:val="en-US"/>
        </w:rPr>
        <w:t xml:space="preserve"> </w:t>
      </w:r>
      <w:r w:rsidR="005B58F1" w:rsidRPr="00127EF2">
        <w:rPr>
          <w:rFonts w:ascii="Times New Roman" w:hAnsi="Times New Roman" w:cs="Times New Roman"/>
          <w:sz w:val="24"/>
          <w:szCs w:val="24"/>
          <w:lang w:val="en-US"/>
        </w:rPr>
        <w:t xml:space="preserve">Understood in this way, the public displays of extreme violence (such as beheadings or crucifixion) that constitute </w:t>
      </w:r>
      <w:r w:rsidR="008957F2">
        <w:rPr>
          <w:rFonts w:ascii="Times New Roman" w:hAnsi="Times New Roman" w:cs="Times New Roman"/>
          <w:sz w:val="24"/>
          <w:szCs w:val="24"/>
          <w:lang w:val="en-US"/>
        </w:rPr>
        <w:t>ISIS</w:t>
      </w:r>
      <w:r w:rsidR="005B58F1" w:rsidRPr="00127EF2">
        <w:rPr>
          <w:rFonts w:ascii="Times New Roman" w:hAnsi="Times New Roman" w:cs="Times New Roman"/>
          <w:sz w:val="24"/>
          <w:szCs w:val="24"/>
          <w:lang w:val="en-US"/>
        </w:rPr>
        <w:t xml:space="preserve">’s </w:t>
      </w:r>
      <w:r w:rsidR="0059655D" w:rsidRPr="00127EF2">
        <w:rPr>
          <w:rFonts w:ascii="Times New Roman" w:hAnsi="Times New Roman" w:cs="Times New Roman"/>
          <w:sz w:val="24"/>
          <w:szCs w:val="24"/>
          <w:lang w:val="en-US"/>
        </w:rPr>
        <w:t xml:space="preserve">“global </w:t>
      </w:r>
      <w:r w:rsidR="005B58F1" w:rsidRPr="00127EF2">
        <w:rPr>
          <w:rFonts w:ascii="Times New Roman" w:hAnsi="Times New Roman" w:cs="Times New Roman"/>
          <w:sz w:val="24"/>
          <w:szCs w:val="24"/>
          <w:lang w:val="en-US"/>
        </w:rPr>
        <w:t xml:space="preserve">spectacle” are </w:t>
      </w:r>
      <w:r w:rsidR="00EE33F4" w:rsidRPr="00127EF2">
        <w:rPr>
          <w:rFonts w:ascii="Times New Roman" w:hAnsi="Times New Roman" w:cs="Times New Roman"/>
          <w:sz w:val="24"/>
          <w:szCs w:val="24"/>
          <w:lang w:val="en-US"/>
        </w:rPr>
        <w:t xml:space="preserve">neither instances of random brutality nor exceptional evil, but rather </w:t>
      </w:r>
      <w:r w:rsidR="00F43E64" w:rsidRPr="00127EF2">
        <w:rPr>
          <w:rFonts w:ascii="Times New Roman" w:hAnsi="Times New Roman" w:cs="Times New Roman"/>
          <w:sz w:val="24"/>
          <w:szCs w:val="24"/>
          <w:lang w:val="en-US"/>
        </w:rPr>
        <w:t xml:space="preserve">strategic </w:t>
      </w:r>
      <w:r w:rsidR="00EE33F4" w:rsidRPr="00127EF2">
        <w:rPr>
          <w:rFonts w:ascii="Times New Roman" w:hAnsi="Times New Roman" w:cs="Times New Roman"/>
          <w:sz w:val="24"/>
          <w:szCs w:val="24"/>
          <w:lang w:val="en-US"/>
        </w:rPr>
        <w:t>practice</w:t>
      </w:r>
      <w:r w:rsidR="005B58F1" w:rsidRPr="00127EF2">
        <w:rPr>
          <w:rFonts w:ascii="Times New Roman" w:hAnsi="Times New Roman" w:cs="Times New Roman"/>
          <w:sz w:val="24"/>
          <w:szCs w:val="24"/>
          <w:lang w:val="en-US"/>
        </w:rPr>
        <w:t>s</w:t>
      </w:r>
      <w:r w:rsidR="00EE33F4" w:rsidRPr="00127EF2">
        <w:rPr>
          <w:rFonts w:ascii="Times New Roman" w:hAnsi="Times New Roman" w:cs="Times New Roman"/>
          <w:sz w:val="24"/>
          <w:szCs w:val="24"/>
          <w:lang w:val="en-US"/>
        </w:rPr>
        <w:t xml:space="preserve"> </w:t>
      </w:r>
      <w:r w:rsidR="0059655D" w:rsidRPr="00127EF2">
        <w:rPr>
          <w:rFonts w:ascii="Times New Roman" w:hAnsi="Times New Roman" w:cs="Times New Roman"/>
          <w:sz w:val="24"/>
          <w:szCs w:val="24"/>
          <w:lang w:val="en-US"/>
        </w:rPr>
        <w:t>aimed at unsettling audiences through their transgression of prevailing norms</w:t>
      </w:r>
      <w:r w:rsidR="00B86B58">
        <w:rPr>
          <w:rFonts w:ascii="Times New Roman" w:hAnsi="Times New Roman" w:cs="Times New Roman"/>
          <w:sz w:val="24"/>
          <w:szCs w:val="24"/>
          <w:lang w:val="en-US"/>
        </w:rPr>
        <w:t>,</w:t>
      </w:r>
      <w:r w:rsidR="0059655D" w:rsidRPr="00127EF2">
        <w:rPr>
          <w:rFonts w:ascii="Times New Roman" w:hAnsi="Times New Roman" w:cs="Times New Roman"/>
          <w:sz w:val="24"/>
          <w:szCs w:val="24"/>
          <w:lang w:val="en-US"/>
        </w:rPr>
        <w:t xml:space="preserve"> and forcing them to confront the reality of a new political order.</w:t>
      </w:r>
      <w:r w:rsidR="00124F16" w:rsidRPr="00127EF2">
        <w:rPr>
          <w:rStyle w:val="EndnoteReference"/>
          <w:rFonts w:ascii="Times New Roman" w:hAnsi="Times New Roman" w:cs="Times New Roman"/>
          <w:sz w:val="24"/>
          <w:szCs w:val="24"/>
          <w:lang w:val="en-US"/>
        </w:rPr>
        <w:endnoteReference w:id="35"/>
      </w:r>
      <w:r w:rsidR="000608F9" w:rsidRPr="00127EF2">
        <w:rPr>
          <w:rFonts w:ascii="Times New Roman" w:hAnsi="Times New Roman" w:cs="Times New Roman"/>
          <w:sz w:val="24"/>
          <w:szCs w:val="24"/>
          <w:lang w:val="en-US"/>
        </w:rPr>
        <w:t xml:space="preserve"> </w:t>
      </w:r>
    </w:p>
    <w:p w14:paraId="416B4F25" w14:textId="7D1736CD" w:rsidR="00F62A39" w:rsidRPr="00127EF2" w:rsidRDefault="005942B4">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lastRenderedPageBreak/>
        <w:tab/>
      </w:r>
      <w:r w:rsidR="005A59B1" w:rsidRPr="00127EF2">
        <w:rPr>
          <w:rFonts w:ascii="Times New Roman" w:hAnsi="Times New Roman" w:cs="Times New Roman"/>
          <w:sz w:val="24"/>
          <w:szCs w:val="24"/>
          <w:lang w:val="en-US"/>
        </w:rPr>
        <w:t xml:space="preserve">In sum, NSAGs </w:t>
      </w:r>
      <w:r w:rsidR="00F43E64" w:rsidRPr="00127EF2">
        <w:rPr>
          <w:rFonts w:ascii="Times New Roman" w:hAnsi="Times New Roman" w:cs="Times New Roman"/>
          <w:sz w:val="24"/>
          <w:szCs w:val="24"/>
          <w:lang w:val="en-US"/>
        </w:rPr>
        <w:t xml:space="preserve">differ </w:t>
      </w:r>
      <w:r w:rsidR="005A59B1" w:rsidRPr="00127EF2">
        <w:rPr>
          <w:rFonts w:ascii="Times New Roman" w:hAnsi="Times New Roman" w:cs="Times New Roman"/>
          <w:sz w:val="24"/>
          <w:szCs w:val="24"/>
          <w:lang w:val="en-US"/>
        </w:rPr>
        <w:t xml:space="preserve">considerably in their </w:t>
      </w:r>
      <w:r w:rsidR="00135606" w:rsidRPr="00127EF2">
        <w:rPr>
          <w:rFonts w:ascii="Times New Roman" w:hAnsi="Times New Roman" w:cs="Times New Roman"/>
          <w:sz w:val="24"/>
          <w:szCs w:val="24"/>
          <w:lang w:val="en-US"/>
        </w:rPr>
        <w:t xml:space="preserve">core purposes, </w:t>
      </w:r>
      <w:r w:rsidR="00690F22" w:rsidRPr="00127EF2">
        <w:rPr>
          <w:rFonts w:ascii="Times New Roman" w:hAnsi="Times New Roman" w:cs="Times New Roman"/>
          <w:sz w:val="24"/>
          <w:szCs w:val="24"/>
          <w:lang w:val="en-US"/>
        </w:rPr>
        <w:t xml:space="preserve">the relationship between their military and political leadership, their </w:t>
      </w:r>
      <w:r w:rsidR="005A59B1" w:rsidRPr="00127EF2">
        <w:rPr>
          <w:rFonts w:ascii="Times New Roman" w:hAnsi="Times New Roman" w:cs="Times New Roman"/>
          <w:sz w:val="24"/>
          <w:szCs w:val="24"/>
          <w:lang w:val="en-US"/>
        </w:rPr>
        <w:t xml:space="preserve">organizational structure, </w:t>
      </w:r>
      <w:r w:rsidR="00690F22" w:rsidRPr="00127EF2">
        <w:rPr>
          <w:rFonts w:ascii="Times New Roman" w:hAnsi="Times New Roman" w:cs="Times New Roman"/>
          <w:sz w:val="24"/>
          <w:szCs w:val="24"/>
          <w:lang w:val="en-US"/>
        </w:rPr>
        <w:t xml:space="preserve">their </w:t>
      </w:r>
      <w:r w:rsidR="005A59B1" w:rsidRPr="00127EF2">
        <w:rPr>
          <w:rFonts w:ascii="Times New Roman" w:hAnsi="Times New Roman" w:cs="Times New Roman"/>
          <w:sz w:val="24"/>
          <w:szCs w:val="24"/>
          <w:lang w:val="en-US"/>
        </w:rPr>
        <w:t>degree of community</w:t>
      </w:r>
      <w:r w:rsidR="00A82B2F">
        <w:rPr>
          <w:rFonts w:ascii="Times New Roman" w:hAnsi="Times New Roman" w:cs="Times New Roman"/>
          <w:sz w:val="24"/>
          <w:szCs w:val="24"/>
          <w:lang w:val="en-US"/>
        </w:rPr>
        <w:t xml:space="preserve"> </w:t>
      </w:r>
      <w:r w:rsidR="005A59B1" w:rsidRPr="00127EF2">
        <w:rPr>
          <w:rFonts w:ascii="Times New Roman" w:hAnsi="Times New Roman" w:cs="Times New Roman"/>
          <w:sz w:val="24"/>
          <w:szCs w:val="24"/>
          <w:lang w:val="en-US"/>
        </w:rPr>
        <w:t xml:space="preserve">embeddedness, </w:t>
      </w:r>
      <w:r w:rsidR="00690F22" w:rsidRPr="00127EF2">
        <w:rPr>
          <w:rFonts w:ascii="Times New Roman" w:hAnsi="Times New Roman" w:cs="Times New Roman"/>
          <w:sz w:val="24"/>
          <w:szCs w:val="24"/>
          <w:lang w:val="en-US"/>
        </w:rPr>
        <w:t xml:space="preserve">and </w:t>
      </w:r>
      <w:r w:rsidR="00135606" w:rsidRPr="00127EF2">
        <w:rPr>
          <w:rFonts w:ascii="Times New Roman" w:hAnsi="Times New Roman" w:cs="Times New Roman"/>
          <w:sz w:val="24"/>
          <w:szCs w:val="24"/>
          <w:lang w:val="en-US"/>
        </w:rPr>
        <w:t xml:space="preserve">the </w:t>
      </w:r>
      <w:r w:rsidR="005A59B1" w:rsidRPr="00127EF2">
        <w:rPr>
          <w:rFonts w:ascii="Times New Roman" w:hAnsi="Times New Roman" w:cs="Times New Roman"/>
          <w:sz w:val="24"/>
          <w:szCs w:val="24"/>
          <w:lang w:val="en-US"/>
        </w:rPr>
        <w:t xml:space="preserve">nature of </w:t>
      </w:r>
      <w:r w:rsidR="00135606" w:rsidRPr="00127EF2">
        <w:rPr>
          <w:rFonts w:ascii="Times New Roman" w:hAnsi="Times New Roman" w:cs="Times New Roman"/>
          <w:sz w:val="24"/>
          <w:szCs w:val="24"/>
          <w:lang w:val="en-US"/>
        </w:rPr>
        <w:t xml:space="preserve">their </w:t>
      </w:r>
      <w:r w:rsidR="005A59B1" w:rsidRPr="00127EF2">
        <w:rPr>
          <w:rFonts w:ascii="Times New Roman" w:hAnsi="Times New Roman" w:cs="Times New Roman"/>
          <w:sz w:val="24"/>
          <w:szCs w:val="24"/>
          <w:lang w:val="en-US"/>
        </w:rPr>
        <w:t xml:space="preserve">ideological commitment. These factors in turn influence how </w:t>
      </w:r>
      <w:r w:rsidR="00E47BF7" w:rsidRPr="00127EF2">
        <w:rPr>
          <w:rFonts w:ascii="Times New Roman" w:hAnsi="Times New Roman" w:cs="Times New Roman"/>
          <w:sz w:val="24"/>
          <w:szCs w:val="24"/>
          <w:lang w:val="en-US"/>
        </w:rPr>
        <w:t xml:space="preserve">NSAGs </w:t>
      </w:r>
      <w:r w:rsidR="005A59B1" w:rsidRPr="00127EF2">
        <w:rPr>
          <w:rFonts w:ascii="Times New Roman" w:hAnsi="Times New Roman" w:cs="Times New Roman"/>
          <w:sz w:val="24"/>
          <w:szCs w:val="24"/>
          <w:lang w:val="en-US"/>
        </w:rPr>
        <w:t xml:space="preserve">engage strategically and tactically with legal and normative frameworks for regulating conduct in war. Some groups </w:t>
      </w:r>
      <w:r w:rsidR="00747ACB" w:rsidRPr="00127EF2">
        <w:rPr>
          <w:rFonts w:ascii="Times New Roman" w:hAnsi="Times New Roman" w:cs="Times New Roman"/>
          <w:sz w:val="24"/>
          <w:szCs w:val="24"/>
          <w:lang w:val="en-US"/>
        </w:rPr>
        <w:t xml:space="preserve">consciously attempt to adhere to principles of international humanitarian law, such as those that have signed </w:t>
      </w:r>
      <w:r w:rsidR="00E4546A" w:rsidRPr="00127EF2">
        <w:rPr>
          <w:rFonts w:ascii="Times New Roman" w:hAnsi="Times New Roman" w:cs="Times New Roman"/>
          <w:sz w:val="24"/>
          <w:szCs w:val="24"/>
          <w:lang w:val="en-US"/>
        </w:rPr>
        <w:t xml:space="preserve">pledges </w:t>
      </w:r>
      <w:r w:rsidR="00747ACB" w:rsidRPr="00127EF2">
        <w:rPr>
          <w:rFonts w:ascii="Times New Roman" w:hAnsi="Times New Roman" w:cs="Times New Roman"/>
          <w:sz w:val="24"/>
          <w:szCs w:val="24"/>
          <w:lang w:val="en-US"/>
        </w:rPr>
        <w:t>brokered by Geneva Call,</w:t>
      </w:r>
      <w:r w:rsidR="00F62A39" w:rsidRPr="00127EF2">
        <w:rPr>
          <w:rStyle w:val="EndnoteReference"/>
          <w:rFonts w:ascii="Times New Roman" w:hAnsi="Times New Roman" w:cs="Times New Roman"/>
          <w:sz w:val="24"/>
          <w:szCs w:val="24"/>
          <w:lang w:val="en-US"/>
        </w:rPr>
        <w:endnoteReference w:id="36"/>
      </w:r>
      <w:r w:rsidR="00F62A39" w:rsidRPr="00127EF2">
        <w:rPr>
          <w:rFonts w:ascii="Times New Roman" w:hAnsi="Times New Roman" w:cs="Times New Roman"/>
          <w:sz w:val="24"/>
          <w:szCs w:val="24"/>
          <w:lang w:val="en-US"/>
        </w:rPr>
        <w:t xml:space="preserve"> while others, such as </w:t>
      </w:r>
      <w:r w:rsidR="008957F2">
        <w:rPr>
          <w:rFonts w:ascii="Times New Roman" w:hAnsi="Times New Roman" w:cs="Times New Roman"/>
          <w:sz w:val="24"/>
          <w:szCs w:val="24"/>
          <w:lang w:val="en-US"/>
        </w:rPr>
        <w:t>ISIS</w:t>
      </w:r>
      <w:r w:rsidR="00F62A39" w:rsidRPr="00127EF2">
        <w:rPr>
          <w:rFonts w:ascii="Times New Roman" w:hAnsi="Times New Roman" w:cs="Times New Roman"/>
          <w:sz w:val="24"/>
          <w:szCs w:val="24"/>
          <w:lang w:val="en-US"/>
        </w:rPr>
        <w:t xml:space="preserve">, intentionally flout international legal obligations—either for </w:t>
      </w:r>
      <w:r w:rsidR="00B85E7E">
        <w:rPr>
          <w:rFonts w:ascii="Times New Roman" w:hAnsi="Times New Roman" w:cs="Times New Roman"/>
          <w:sz w:val="24"/>
          <w:szCs w:val="24"/>
          <w:lang w:val="en-US"/>
        </w:rPr>
        <w:t xml:space="preserve">the </w:t>
      </w:r>
      <w:r w:rsidR="00F62A39" w:rsidRPr="00127EF2">
        <w:rPr>
          <w:rFonts w:ascii="Times New Roman" w:hAnsi="Times New Roman" w:cs="Times New Roman"/>
          <w:sz w:val="24"/>
          <w:szCs w:val="24"/>
          <w:lang w:val="en-US"/>
        </w:rPr>
        <w:t>ideological reasons suggested above or to coerce opponents or populations under their control. All five of the dimensions discussed here should also be understood as fluid and dynamic. The nature and behavior of NSAGs can shift across both space—the geography of a conflict—and time—the lifespan of a conflict. When considering whether and how to engage with NSAGs, it is therefore essential not only to develop a tailored approach, depending on the type of actor, by also to regularly reassess these factors and how they might be shaping the</w:t>
      </w:r>
      <w:r w:rsidR="00471740">
        <w:rPr>
          <w:rFonts w:ascii="Times New Roman" w:hAnsi="Times New Roman" w:cs="Times New Roman"/>
          <w:sz w:val="24"/>
          <w:szCs w:val="24"/>
          <w:lang w:val="en-US"/>
        </w:rPr>
        <w:t>ir</w:t>
      </w:r>
      <w:r w:rsidR="00F62A39" w:rsidRPr="00127EF2">
        <w:rPr>
          <w:rFonts w:ascii="Times New Roman" w:hAnsi="Times New Roman" w:cs="Times New Roman"/>
          <w:sz w:val="24"/>
          <w:szCs w:val="24"/>
          <w:lang w:val="en-US"/>
        </w:rPr>
        <w:t xml:space="preserve"> behavior.</w:t>
      </w:r>
    </w:p>
    <w:p w14:paraId="0C213C81" w14:textId="721AE56C"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p>
    <w:p w14:paraId="0CE041CB" w14:textId="3550E1F9" w:rsidR="00F62A39" w:rsidRPr="00127EF2" w:rsidRDefault="00F62A39" w:rsidP="001D0FD0">
      <w:pPr>
        <w:pStyle w:val="Heading2"/>
      </w:pPr>
      <w:r w:rsidRPr="00127EF2">
        <w:t xml:space="preserve">The Engagement of </w:t>
      </w:r>
      <w:r w:rsidRPr="001D0FD0">
        <w:t>NSAGs</w:t>
      </w:r>
      <w:r w:rsidRPr="00127EF2">
        <w:t xml:space="preserve"> with Cultural Heritage</w:t>
      </w:r>
    </w:p>
    <w:p w14:paraId="315740A2" w14:textId="5F2F7994" w:rsidR="00F62A39" w:rsidRPr="00127EF2" w:rsidRDefault="00F62A39" w:rsidP="00510953">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 xml:space="preserve">It has been a convenient diversionary tactic of many national governments to depict NSAGs as the primary perpetrators of war crimes and therefore as </w:t>
      </w:r>
      <w:r w:rsidRPr="00127EF2">
        <w:rPr>
          <w:rFonts w:ascii="Times New Roman" w:hAnsi="Times New Roman" w:cs="Times New Roman"/>
          <w:i/>
          <w:iCs/>
          <w:sz w:val="24"/>
          <w:szCs w:val="24"/>
          <w:lang w:val="en-US"/>
        </w:rPr>
        <w:t xml:space="preserve">the </w:t>
      </w:r>
      <w:r w:rsidRPr="00127EF2">
        <w:rPr>
          <w:rFonts w:ascii="Times New Roman" w:hAnsi="Times New Roman" w:cs="Times New Roman"/>
          <w:sz w:val="24"/>
          <w:szCs w:val="24"/>
          <w:lang w:val="en-US"/>
        </w:rPr>
        <w:t xml:space="preserve">key problem when it comes to such atrocities. During my tenure as </w:t>
      </w:r>
      <w:r w:rsidR="00162CC3">
        <w:rPr>
          <w:rFonts w:ascii="Times New Roman" w:hAnsi="Times New Roman" w:cs="Times New Roman"/>
          <w:sz w:val="24"/>
          <w:szCs w:val="24"/>
          <w:lang w:val="en-US"/>
        </w:rPr>
        <w:t>s</w:t>
      </w:r>
      <w:r w:rsidRPr="00127EF2">
        <w:rPr>
          <w:rFonts w:ascii="Times New Roman" w:hAnsi="Times New Roman" w:cs="Times New Roman"/>
          <w:sz w:val="24"/>
          <w:szCs w:val="24"/>
          <w:lang w:val="en-US"/>
        </w:rPr>
        <w:t xml:space="preserve">pecial </w:t>
      </w:r>
      <w:r w:rsidR="00162CC3">
        <w:rPr>
          <w:rFonts w:ascii="Times New Roman" w:hAnsi="Times New Roman" w:cs="Times New Roman"/>
          <w:sz w:val="24"/>
          <w:szCs w:val="24"/>
          <w:lang w:val="en-US"/>
        </w:rPr>
        <w:t>a</w:t>
      </w:r>
      <w:r w:rsidRPr="00127EF2">
        <w:rPr>
          <w:rFonts w:ascii="Times New Roman" w:hAnsi="Times New Roman" w:cs="Times New Roman"/>
          <w:sz w:val="24"/>
          <w:szCs w:val="24"/>
          <w:lang w:val="en-US"/>
        </w:rPr>
        <w:t xml:space="preserve">dviser to the UN </w:t>
      </w:r>
      <w:r w:rsidR="0054491E">
        <w:rPr>
          <w:rFonts w:ascii="Times New Roman" w:hAnsi="Times New Roman" w:cs="Times New Roman"/>
          <w:sz w:val="24"/>
          <w:szCs w:val="24"/>
          <w:lang w:val="en-US"/>
        </w:rPr>
        <w:t>S</w:t>
      </w:r>
      <w:r w:rsidRPr="0054491E">
        <w:rPr>
          <w:rFonts w:ascii="Times New Roman" w:hAnsi="Times New Roman" w:cs="Times New Roman"/>
          <w:sz w:val="24"/>
          <w:szCs w:val="24"/>
          <w:lang w:val="en-US"/>
        </w:rPr>
        <w:t xml:space="preserve">ecretary-General on the </w:t>
      </w:r>
      <w:r w:rsidR="00162CC3">
        <w:rPr>
          <w:rFonts w:ascii="Times New Roman" w:hAnsi="Times New Roman" w:cs="Times New Roman"/>
          <w:sz w:val="24"/>
          <w:szCs w:val="24"/>
          <w:lang w:val="en-US"/>
        </w:rPr>
        <w:t>r</w:t>
      </w:r>
      <w:r w:rsidRPr="00127EF2">
        <w:rPr>
          <w:rFonts w:ascii="Times New Roman" w:hAnsi="Times New Roman" w:cs="Times New Roman"/>
          <w:sz w:val="24"/>
          <w:szCs w:val="24"/>
          <w:lang w:val="en-US"/>
        </w:rPr>
        <w:t xml:space="preserve">esponsibility to </w:t>
      </w:r>
      <w:r w:rsidR="00162CC3">
        <w:rPr>
          <w:rFonts w:ascii="Times New Roman" w:hAnsi="Times New Roman" w:cs="Times New Roman"/>
          <w:sz w:val="24"/>
          <w:szCs w:val="24"/>
          <w:lang w:val="en-US"/>
        </w:rPr>
        <w:t>p</w:t>
      </w:r>
      <w:r w:rsidRPr="00127EF2">
        <w:rPr>
          <w:rFonts w:ascii="Times New Roman" w:hAnsi="Times New Roman" w:cs="Times New Roman"/>
          <w:sz w:val="24"/>
          <w:szCs w:val="24"/>
          <w:lang w:val="en-US"/>
        </w:rPr>
        <w:t>rotect, I was frequently encouraged by state diplomats to focus on understanding and addressing the challenge posed by these</w:t>
      </w:r>
      <w:r w:rsidR="000C4F4E">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bad actors</w:t>
      </w:r>
      <w:r w:rsidR="00F44270">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Yet it is worth remembering that states themselves are still responsible for many violations of IHL. Moreover, even when concentrating exclusively on NSAGs, we should resist the temptation to categorize all as potential perpetrators, particularly when it comes to attacks on cultural heritage. </w:t>
      </w:r>
    </w:p>
    <w:p w14:paraId="67F221BB" w14:textId="0B313A7B"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lastRenderedPageBreak/>
        <w:tab/>
        <w:t>Instead, following the analysis conducted by Geneva Call, two broad categories of NSAG</w:t>
      </w:r>
      <w:r w:rsidR="00910BE7">
        <w:rPr>
          <w:rFonts w:ascii="Times New Roman" w:hAnsi="Times New Roman" w:cs="Times New Roman"/>
          <w:sz w:val="24"/>
          <w:szCs w:val="24"/>
          <w:lang w:val="en-US"/>
        </w:rPr>
        <w:t xml:space="preserve"> can be identified</w:t>
      </w:r>
      <w:r w:rsidRPr="00127EF2">
        <w:rPr>
          <w:rFonts w:ascii="Times New Roman" w:hAnsi="Times New Roman" w:cs="Times New Roman"/>
          <w:sz w:val="24"/>
          <w:szCs w:val="24"/>
          <w:lang w:val="en-US"/>
        </w:rPr>
        <w:t xml:space="preserve">: those </w:t>
      </w:r>
      <w:r w:rsidR="00C81474">
        <w:rPr>
          <w:rFonts w:ascii="Times New Roman" w:hAnsi="Times New Roman" w:cs="Times New Roman"/>
          <w:sz w:val="24"/>
          <w:szCs w:val="24"/>
          <w:lang w:val="en-US"/>
        </w:rPr>
        <w:t>which</w:t>
      </w:r>
      <w:r w:rsidR="00C81474" w:rsidRPr="00127EF2">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destroy such heritage as a matter of policy and deliberate method of warfare</w:t>
      </w:r>
      <w:r w:rsidR="00B87D0F">
        <w:rPr>
          <w:rFonts w:ascii="Times New Roman" w:hAnsi="Times New Roman" w:cs="Times New Roman"/>
          <w:sz w:val="24"/>
          <w:szCs w:val="24"/>
          <w:lang w:val="en-US"/>
        </w:rPr>
        <w:t xml:space="preserve">, </w:t>
      </w:r>
      <w:r w:rsidR="007D4234">
        <w:rPr>
          <w:rFonts w:ascii="Times New Roman" w:hAnsi="Times New Roman" w:cs="Times New Roman"/>
          <w:sz w:val="24"/>
          <w:szCs w:val="24"/>
          <w:lang w:val="en-US"/>
        </w:rPr>
        <w:t xml:space="preserve">which the </w:t>
      </w:r>
      <w:r w:rsidR="009851C0">
        <w:rPr>
          <w:rFonts w:ascii="Times New Roman" w:hAnsi="Times New Roman" w:cs="Times New Roman"/>
          <w:sz w:val="24"/>
          <w:szCs w:val="24"/>
          <w:lang w:val="en-US"/>
        </w:rPr>
        <w:t>organization</w:t>
      </w:r>
      <w:r w:rsidR="007D4234">
        <w:rPr>
          <w:rFonts w:ascii="Times New Roman" w:hAnsi="Times New Roman" w:cs="Times New Roman"/>
          <w:sz w:val="24"/>
          <w:szCs w:val="24"/>
          <w:lang w:val="en-US"/>
        </w:rPr>
        <w:t xml:space="preserve"> refers to as </w:t>
      </w:r>
      <w:r w:rsidRPr="00127EF2">
        <w:rPr>
          <w:rFonts w:ascii="Times New Roman" w:hAnsi="Times New Roman" w:cs="Times New Roman"/>
          <w:sz w:val="24"/>
          <w:szCs w:val="24"/>
          <w:lang w:val="en-US"/>
        </w:rPr>
        <w:t>the</w:t>
      </w:r>
      <w:r w:rsidR="000C4F4E">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destructive trend</w:t>
      </w:r>
      <w:r w:rsidR="000C4F4E">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and those </w:t>
      </w:r>
      <w:r w:rsidR="00C81474">
        <w:rPr>
          <w:rFonts w:ascii="Times New Roman" w:hAnsi="Times New Roman" w:cs="Times New Roman"/>
          <w:sz w:val="24"/>
          <w:szCs w:val="24"/>
          <w:lang w:val="en-US"/>
        </w:rPr>
        <w:t>which</w:t>
      </w:r>
      <w:r w:rsidR="00C81474" w:rsidRPr="00127EF2">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have demonstrated appreciation for cultural heritage and in some cases have taken conscious actions to protect it</w:t>
      </w:r>
      <w:r w:rsidR="008E2B15">
        <w:rPr>
          <w:rFonts w:ascii="Times New Roman" w:hAnsi="Times New Roman" w:cs="Times New Roman"/>
          <w:sz w:val="24"/>
          <w:szCs w:val="24"/>
          <w:lang w:val="en-US"/>
        </w:rPr>
        <w:t>—</w:t>
      </w:r>
      <w:r w:rsidRPr="00127EF2">
        <w:rPr>
          <w:rFonts w:ascii="Times New Roman" w:hAnsi="Times New Roman" w:cs="Times New Roman"/>
          <w:sz w:val="24"/>
          <w:szCs w:val="24"/>
          <w:lang w:val="en-US"/>
        </w:rPr>
        <w:t>the</w:t>
      </w:r>
      <w:r w:rsidR="000C4F4E">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non-destructive trend</w:t>
      </w:r>
      <w:r w:rsidR="008E2B15">
        <w:rPr>
          <w:rFonts w:ascii="Times New Roman" w:hAnsi="Times New Roman" w:cs="Times New Roman"/>
          <w:sz w:val="24"/>
          <w:szCs w:val="24"/>
          <w:lang w:val="en-US"/>
        </w:rPr>
        <w:t>.</w:t>
      </w:r>
      <w:r w:rsidR="000C4F4E">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w:t>
      </w:r>
      <w:r w:rsidR="003C560A">
        <w:rPr>
          <w:rFonts w:ascii="Times New Roman" w:hAnsi="Times New Roman" w:cs="Times New Roman"/>
          <w:sz w:val="24"/>
          <w:szCs w:val="24"/>
          <w:lang w:val="en-US"/>
        </w:rPr>
        <w:t>I</w:t>
      </w:r>
      <w:r w:rsidRPr="00127EF2">
        <w:rPr>
          <w:rFonts w:ascii="Times New Roman" w:hAnsi="Times New Roman" w:cs="Times New Roman"/>
          <w:sz w:val="24"/>
          <w:szCs w:val="24"/>
          <w:lang w:val="en-US"/>
        </w:rPr>
        <w:t>n the</w:t>
      </w:r>
      <w:r w:rsidR="006439F2">
        <w:rPr>
          <w:rFonts w:ascii="Times New Roman" w:hAnsi="Times New Roman" w:cs="Times New Roman"/>
          <w:sz w:val="24"/>
          <w:szCs w:val="24"/>
          <w:lang w:val="en-US"/>
        </w:rPr>
        <w:t xml:space="preserve"> latter</w:t>
      </w:r>
      <w:r w:rsidRPr="00127EF2">
        <w:rPr>
          <w:rFonts w:ascii="Times New Roman" w:hAnsi="Times New Roman" w:cs="Times New Roman"/>
          <w:sz w:val="24"/>
          <w:szCs w:val="24"/>
          <w:lang w:val="en-US"/>
        </w:rPr>
        <w:t xml:space="preserve"> case, particular military tactics or ignorance of obligations under IHL may still expose cultural heritage to incidental damage.</w:t>
      </w:r>
      <w:r w:rsidRPr="00127EF2">
        <w:rPr>
          <w:rStyle w:val="EndnoteReference"/>
          <w:rFonts w:ascii="Times New Roman" w:hAnsi="Times New Roman" w:cs="Times New Roman"/>
          <w:sz w:val="24"/>
          <w:szCs w:val="24"/>
          <w:lang w:val="en-US"/>
        </w:rPr>
        <w:endnoteReference w:id="37"/>
      </w:r>
    </w:p>
    <w:p w14:paraId="3AEBA938" w14:textId="7381396E"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t xml:space="preserve">The destructive acts of those in the first category, such as </w:t>
      </w:r>
      <w:r w:rsidR="00615798">
        <w:rPr>
          <w:rFonts w:ascii="Times New Roman" w:hAnsi="Times New Roman" w:cs="Times New Roman"/>
          <w:sz w:val="24"/>
          <w:szCs w:val="24"/>
          <w:lang w:val="en-US"/>
        </w:rPr>
        <w:t>ISIS</w:t>
      </w:r>
      <w:r w:rsidRPr="00127EF2">
        <w:rPr>
          <w:rFonts w:ascii="Times New Roman" w:hAnsi="Times New Roman" w:cs="Times New Roman"/>
          <w:sz w:val="24"/>
          <w:szCs w:val="24"/>
          <w:lang w:val="en-US"/>
        </w:rPr>
        <w:t xml:space="preserve"> or radical Islamists in the Sahel, </w:t>
      </w:r>
      <w:r w:rsidR="00857348">
        <w:rPr>
          <w:rFonts w:ascii="Times New Roman" w:hAnsi="Times New Roman" w:cs="Times New Roman"/>
          <w:sz w:val="24"/>
          <w:szCs w:val="24"/>
          <w:lang w:val="en-US"/>
        </w:rPr>
        <w:t>are</w:t>
      </w:r>
      <w:r w:rsidRPr="00127EF2">
        <w:rPr>
          <w:rFonts w:ascii="Times New Roman" w:hAnsi="Times New Roman" w:cs="Times New Roman"/>
          <w:sz w:val="24"/>
          <w:szCs w:val="24"/>
          <w:lang w:val="en-US"/>
        </w:rPr>
        <w:t xml:space="preserve"> most often ideologically motivated and justified on religious grounds. </w:t>
      </w:r>
      <w:r w:rsidR="00BC380E">
        <w:rPr>
          <w:rFonts w:ascii="Times New Roman" w:hAnsi="Times New Roman" w:cs="Times New Roman"/>
          <w:sz w:val="24"/>
          <w:szCs w:val="24"/>
          <w:lang w:val="en-US"/>
        </w:rPr>
        <w:t>A</w:t>
      </w:r>
      <w:r w:rsidRPr="00127EF2">
        <w:rPr>
          <w:rFonts w:ascii="Times New Roman" w:hAnsi="Times New Roman" w:cs="Times New Roman"/>
          <w:sz w:val="24"/>
          <w:szCs w:val="24"/>
          <w:lang w:val="en-US"/>
        </w:rPr>
        <w:t>ttacks on statues, shrines, or temples are driven by the conviction that the worshipping of these objects is idolatrous or impious, and that prevailing religious or cultural beliefs which are heretical must be erased in favor of a more perfect or</w:t>
      </w:r>
      <w:r w:rsidR="000C4F4E">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true</w:t>
      </w:r>
      <w:r w:rsidR="000C4F4E">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interpretation of Islam. To borrow from the words of </w:t>
      </w:r>
      <w:r w:rsidR="004A79AB" w:rsidRPr="003A1628">
        <w:rPr>
          <w:rFonts w:ascii="Times New Roman" w:hAnsi="Times New Roman" w:cs="Times New Roman"/>
          <w:sz w:val="24"/>
          <w:szCs w:val="24"/>
          <w:lang w:val="en-US"/>
        </w:rPr>
        <w:t>Irina B</w:t>
      </w:r>
      <w:r w:rsidR="00730F13">
        <w:rPr>
          <w:rFonts w:ascii="Times New Roman" w:hAnsi="Times New Roman" w:cs="Times New Roman"/>
          <w:sz w:val="24"/>
          <w:szCs w:val="24"/>
          <w:lang w:val="en-US"/>
        </w:rPr>
        <w:t>o</w:t>
      </w:r>
      <w:r w:rsidR="004A79AB" w:rsidRPr="003A1628">
        <w:rPr>
          <w:rFonts w:ascii="Times New Roman" w:hAnsi="Times New Roman" w:cs="Times New Roman"/>
          <w:sz w:val="24"/>
          <w:szCs w:val="24"/>
          <w:lang w:val="en-US"/>
        </w:rPr>
        <w:t>kova</w:t>
      </w:r>
      <w:r w:rsidR="004A79AB">
        <w:rPr>
          <w:rFonts w:ascii="Times New Roman" w:hAnsi="Times New Roman" w:cs="Times New Roman"/>
          <w:sz w:val="24"/>
          <w:szCs w:val="24"/>
          <w:lang w:val="en-US"/>
        </w:rPr>
        <w:t xml:space="preserve">, the </w:t>
      </w:r>
      <w:r w:rsidR="008174CD">
        <w:rPr>
          <w:rFonts w:ascii="Times New Roman" w:hAnsi="Times New Roman" w:cs="Times New Roman"/>
          <w:sz w:val="24"/>
          <w:szCs w:val="24"/>
          <w:lang w:val="en-US"/>
        </w:rPr>
        <w:t xml:space="preserve">former </w:t>
      </w:r>
      <w:r w:rsidR="004A79AB">
        <w:rPr>
          <w:rFonts w:ascii="Times New Roman" w:hAnsi="Times New Roman" w:cs="Times New Roman"/>
          <w:sz w:val="24"/>
          <w:szCs w:val="24"/>
          <w:lang w:val="en-US"/>
        </w:rPr>
        <w:t>director-general</w:t>
      </w:r>
      <w:r w:rsidR="008174CD">
        <w:rPr>
          <w:rFonts w:ascii="Times New Roman" w:hAnsi="Times New Roman" w:cs="Times New Roman"/>
          <w:sz w:val="24"/>
          <w:szCs w:val="24"/>
          <w:lang w:val="en-US"/>
        </w:rPr>
        <w:t xml:space="preserve"> of the </w:t>
      </w:r>
      <w:r w:rsidR="008174CD" w:rsidRPr="008174CD">
        <w:rPr>
          <w:rFonts w:ascii="Times New Roman" w:hAnsi="Times New Roman" w:cs="Times New Roman"/>
          <w:sz w:val="24"/>
          <w:szCs w:val="24"/>
          <w:lang w:val="en-US"/>
        </w:rPr>
        <w:t xml:space="preserve">UN Educational, Scientific and Cultural Organization </w:t>
      </w:r>
      <w:r w:rsidR="008174CD">
        <w:rPr>
          <w:rFonts w:ascii="Times New Roman" w:hAnsi="Times New Roman" w:cs="Times New Roman"/>
          <w:sz w:val="24"/>
          <w:szCs w:val="24"/>
          <w:lang w:val="en-US"/>
        </w:rPr>
        <w:t>(UNESCO)</w:t>
      </w:r>
      <w:r w:rsidRPr="00127EF2">
        <w:rPr>
          <w:rFonts w:ascii="Times New Roman" w:hAnsi="Times New Roman" w:cs="Times New Roman"/>
          <w:sz w:val="24"/>
          <w:szCs w:val="24"/>
          <w:lang w:val="en-US"/>
        </w:rPr>
        <w:t xml:space="preserve">, the destruction of mosques, mausoleums, </w:t>
      </w:r>
      <w:r w:rsidR="00214C58">
        <w:rPr>
          <w:rFonts w:ascii="Times New Roman" w:hAnsi="Times New Roman" w:cs="Times New Roman"/>
          <w:sz w:val="24"/>
          <w:szCs w:val="24"/>
          <w:lang w:val="en-US"/>
        </w:rPr>
        <w:t xml:space="preserve">and </w:t>
      </w:r>
      <w:r w:rsidRPr="00127EF2">
        <w:rPr>
          <w:rFonts w:ascii="Times New Roman" w:hAnsi="Times New Roman" w:cs="Times New Roman"/>
          <w:sz w:val="24"/>
          <w:szCs w:val="24"/>
          <w:lang w:val="en-US"/>
        </w:rPr>
        <w:t xml:space="preserve">tombs </w:t>
      </w:r>
      <w:r w:rsidR="00214C58">
        <w:rPr>
          <w:rFonts w:ascii="Times New Roman" w:hAnsi="Times New Roman" w:cs="Times New Roman"/>
          <w:sz w:val="24"/>
          <w:szCs w:val="24"/>
          <w:lang w:val="en-US"/>
        </w:rPr>
        <w:t>is</w:t>
      </w:r>
      <w:r w:rsidR="00214C58" w:rsidRPr="00127EF2">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part of a larger campaign of “cultural cleansing,” in which alternative or diverse cultural beliefs and practices are denied.</w:t>
      </w:r>
      <w:r w:rsidRPr="00127EF2">
        <w:rPr>
          <w:rStyle w:val="EndnoteReference"/>
          <w:rFonts w:ascii="Times New Roman" w:hAnsi="Times New Roman" w:cs="Times New Roman"/>
          <w:sz w:val="24"/>
          <w:szCs w:val="24"/>
          <w:lang w:val="en-US"/>
        </w:rPr>
        <w:endnoteReference w:id="38"/>
      </w:r>
      <w:r w:rsidRPr="00127EF2">
        <w:rPr>
          <w:rFonts w:ascii="Times New Roman" w:hAnsi="Times New Roman" w:cs="Times New Roman"/>
          <w:sz w:val="24"/>
          <w:szCs w:val="24"/>
          <w:lang w:val="en-US"/>
        </w:rPr>
        <w:t xml:space="preserve"> But as suggested above, such attacks can also be theatrical and aimed at alternative audiences: the international community and potential recruits. For the former, the destruction of cultural heritage—as in Mosul</w:t>
      </w:r>
      <w:r w:rsidR="00C05478">
        <w:rPr>
          <w:rFonts w:ascii="Times New Roman" w:hAnsi="Times New Roman" w:cs="Times New Roman"/>
          <w:sz w:val="24"/>
          <w:szCs w:val="24"/>
          <w:lang w:val="en-US"/>
        </w:rPr>
        <w:t xml:space="preserve"> in</w:t>
      </w:r>
      <w:r w:rsidR="00001302">
        <w:rPr>
          <w:rFonts w:ascii="Times New Roman" w:hAnsi="Times New Roman" w:cs="Times New Roman"/>
          <w:sz w:val="24"/>
          <w:szCs w:val="24"/>
          <w:lang w:val="en-US"/>
        </w:rPr>
        <w:t xml:space="preserve"> Iraq</w:t>
      </w:r>
      <w:r w:rsidRPr="00127EF2">
        <w:rPr>
          <w:rFonts w:ascii="Times New Roman" w:hAnsi="Times New Roman" w:cs="Times New Roman"/>
          <w:sz w:val="24"/>
          <w:szCs w:val="24"/>
          <w:lang w:val="en-US"/>
        </w:rPr>
        <w:t xml:space="preserve"> or Palmyra</w:t>
      </w:r>
      <w:r w:rsidR="00C05478">
        <w:rPr>
          <w:rFonts w:ascii="Times New Roman" w:hAnsi="Times New Roman" w:cs="Times New Roman"/>
          <w:sz w:val="24"/>
          <w:szCs w:val="24"/>
          <w:lang w:val="en-US"/>
        </w:rPr>
        <w:t xml:space="preserve"> in</w:t>
      </w:r>
      <w:r w:rsidR="00001302">
        <w:rPr>
          <w:rFonts w:ascii="Times New Roman" w:hAnsi="Times New Roman" w:cs="Times New Roman"/>
          <w:sz w:val="24"/>
          <w:szCs w:val="24"/>
          <w:lang w:val="en-US"/>
        </w:rPr>
        <w:t xml:space="preserve"> Syria</w:t>
      </w:r>
      <w:r w:rsidRPr="00127EF2">
        <w:rPr>
          <w:rFonts w:ascii="Times New Roman" w:hAnsi="Times New Roman" w:cs="Times New Roman"/>
          <w:sz w:val="24"/>
          <w:szCs w:val="24"/>
          <w:lang w:val="en-US"/>
        </w:rPr>
        <w:t>—represents an “act of defiance” against the outside world that calls into question the power and authority of the international community, and its norms and principles.</w:t>
      </w:r>
      <w:r w:rsidRPr="00127EF2">
        <w:rPr>
          <w:rStyle w:val="EndnoteReference"/>
          <w:rFonts w:ascii="Times New Roman" w:hAnsi="Times New Roman" w:cs="Times New Roman"/>
          <w:sz w:val="24"/>
          <w:szCs w:val="24"/>
          <w:lang w:val="en-US"/>
        </w:rPr>
        <w:endnoteReference w:id="39"/>
      </w:r>
      <w:r w:rsidRPr="00127EF2">
        <w:rPr>
          <w:rFonts w:ascii="Times New Roman" w:hAnsi="Times New Roman" w:cs="Times New Roman"/>
          <w:sz w:val="24"/>
          <w:szCs w:val="24"/>
          <w:lang w:val="en-US"/>
        </w:rPr>
        <w:t xml:space="preserve"> </w:t>
      </w:r>
      <w:r w:rsidR="00F941E6">
        <w:rPr>
          <w:rFonts w:ascii="Times New Roman" w:hAnsi="Times New Roman" w:cs="Times New Roman"/>
          <w:sz w:val="24"/>
          <w:szCs w:val="24"/>
          <w:lang w:val="en-US"/>
        </w:rPr>
        <w:t>F</w:t>
      </w:r>
      <w:r w:rsidRPr="00127EF2">
        <w:rPr>
          <w:rFonts w:ascii="Times New Roman" w:hAnsi="Times New Roman" w:cs="Times New Roman"/>
          <w:sz w:val="24"/>
          <w:szCs w:val="24"/>
          <w:lang w:val="en-US"/>
        </w:rPr>
        <w:t xml:space="preserve">or the latter audience, the demolition of high-profile monuments is a means of proving strength and success, which serves as a magnet for prospective fighters. Finally, some violations of the rules and norms surrounding </w:t>
      </w:r>
      <w:r w:rsidR="00C90A9B">
        <w:rPr>
          <w:rFonts w:ascii="Times New Roman" w:hAnsi="Times New Roman" w:cs="Times New Roman"/>
          <w:sz w:val="24"/>
          <w:szCs w:val="24"/>
          <w:lang w:val="en-US"/>
        </w:rPr>
        <w:t xml:space="preserve">the </w:t>
      </w:r>
      <w:r w:rsidRPr="00127EF2">
        <w:rPr>
          <w:rFonts w:ascii="Times New Roman" w:hAnsi="Times New Roman" w:cs="Times New Roman"/>
          <w:sz w:val="24"/>
          <w:szCs w:val="24"/>
          <w:lang w:val="en-US"/>
        </w:rPr>
        <w:t>protection of cultural heritage stem more directly from economic incentives. In conflict contexts from Iraq to Somalia, looting and trad</w:t>
      </w:r>
      <w:r w:rsidR="00B616B1">
        <w:rPr>
          <w:rFonts w:ascii="Times New Roman" w:hAnsi="Times New Roman" w:cs="Times New Roman"/>
          <w:sz w:val="24"/>
          <w:szCs w:val="24"/>
          <w:lang w:val="en-US"/>
        </w:rPr>
        <w:t>ing</w:t>
      </w:r>
      <w:r w:rsidRPr="00127EF2">
        <w:rPr>
          <w:rFonts w:ascii="Times New Roman" w:hAnsi="Times New Roman" w:cs="Times New Roman"/>
          <w:sz w:val="24"/>
          <w:szCs w:val="24"/>
          <w:lang w:val="en-US"/>
        </w:rPr>
        <w:t xml:space="preserve"> </w:t>
      </w:r>
      <w:r w:rsidR="004E1277">
        <w:rPr>
          <w:rFonts w:ascii="Times New Roman" w:hAnsi="Times New Roman" w:cs="Times New Roman"/>
          <w:sz w:val="24"/>
          <w:szCs w:val="24"/>
          <w:lang w:val="en-US"/>
        </w:rPr>
        <w:t xml:space="preserve">in </w:t>
      </w:r>
      <w:r w:rsidRPr="00127EF2">
        <w:rPr>
          <w:rFonts w:ascii="Times New Roman" w:hAnsi="Times New Roman" w:cs="Times New Roman"/>
          <w:sz w:val="24"/>
          <w:szCs w:val="24"/>
          <w:lang w:val="en-US"/>
        </w:rPr>
        <w:t xml:space="preserve">antiquities are key sources of revenue for NSAGs to prolong their fighting. Even if </w:t>
      </w:r>
      <w:r w:rsidR="00C90A9B">
        <w:rPr>
          <w:rFonts w:ascii="Times New Roman" w:hAnsi="Times New Roman" w:cs="Times New Roman"/>
          <w:sz w:val="24"/>
          <w:szCs w:val="24"/>
          <w:lang w:val="en-US"/>
        </w:rPr>
        <w:t xml:space="preserve">valuable </w:t>
      </w:r>
      <w:r w:rsidRPr="00127EF2">
        <w:rPr>
          <w:rFonts w:ascii="Times New Roman" w:hAnsi="Times New Roman" w:cs="Times New Roman"/>
          <w:sz w:val="24"/>
          <w:szCs w:val="24"/>
          <w:lang w:val="en-US"/>
        </w:rPr>
        <w:t>objects themselves are not destroyed, illegal excavations can result in destruction of the</w:t>
      </w:r>
      <w:r w:rsidR="00C90A9B">
        <w:rPr>
          <w:rFonts w:ascii="Times New Roman" w:hAnsi="Times New Roman" w:cs="Times New Roman"/>
          <w:sz w:val="24"/>
          <w:szCs w:val="24"/>
          <w:lang w:val="en-US"/>
        </w:rPr>
        <w:t>ir</w:t>
      </w:r>
      <w:r w:rsidRPr="00127EF2">
        <w:rPr>
          <w:rFonts w:ascii="Times New Roman" w:hAnsi="Times New Roman" w:cs="Times New Roman"/>
          <w:sz w:val="24"/>
          <w:szCs w:val="24"/>
          <w:lang w:val="en-US"/>
        </w:rPr>
        <w:t xml:space="preserve"> “contextual background</w:t>
      </w:r>
      <w:r w:rsidR="00C90A9B">
        <w:rPr>
          <w:rFonts w:ascii="Times New Roman" w:hAnsi="Times New Roman" w:cs="Times New Roman"/>
          <w:sz w:val="24"/>
          <w:szCs w:val="24"/>
          <w:lang w:val="en-US"/>
        </w:rPr>
        <w:t>.</w:t>
      </w:r>
      <w:r w:rsidRPr="00127EF2">
        <w:rPr>
          <w:rFonts w:ascii="Times New Roman" w:hAnsi="Times New Roman" w:cs="Times New Roman"/>
          <w:sz w:val="24"/>
          <w:szCs w:val="24"/>
          <w:lang w:val="en-US"/>
        </w:rPr>
        <w:t>”</w:t>
      </w:r>
      <w:r w:rsidRPr="00127EF2">
        <w:rPr>
          <w:rStyle w:val="EndnoteReference"/>
          <w:rFonts w:ascii="Times New Roman" w:hAnsi="Times New Roman" w:cs="Times New Roman"/>
          <w:sz w:val="24"/>
          <w:szCs w:val="24"/>
          <w:lang w:val="en-US"/>
        </w:rPr>
        <w:endnoteReference w:id="40"/>
      </w:r>
    </w:p>
    <w:p w14:paraId="256FFD88" w14:textId="3F853655"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t xml:space="preserve">Turning to the non-destructive trend, there are </w:t>
      </w:r>
      <w:r w:rsidR="00857348">
        <w:rPr>
          <w:rFonts w:ascii="Times New Roman" w:hAnsi="Times New Roman" w:cs="Times New Roman"/>
          <w:sz w:val="24"/>
          <w:szCs w:val="24"/>
          <w:lang w:val="en-US"/>
        </w:rPr>
        <w:t xml:space="preserve">many </w:t>
      </w:r>
      <w:r w:rsidRPr="00127EF2">
        <w:rPr>
          <w:rFonts w:ascii="Times New Roman" w:hAnsi="Times New Roman" w:cs="Times New Roman"/>
          <w:sz w:val="24"/>
          <w:szCs w:val="24"/>
          <w:lang w:val="en-US"/>
        </w:rPr>
        <w:t>striking examples in which NSAGs have either expressly committed to be bound by laws and norms relating to the protection of cultural heritage and thus willingly agreed to restrain their actions, or in which members of such groups have established special departments or procedures to catalogue and safeguard antiquities, and secured sites with armed guards or reinforcements such as sandbags. In Sudan in the 1980s, for example, the high command of the SPLM/A issued a directive to its rank and file to respect cultural property (including religious monuments), while in the Philippines, members of the National Democratic Front agreed with the government in Manila to be bound by IHL—including provisions on historic</w:t>
      </w:r>
      <w:r w:rsidR="003C5759">
        <w:rPr>
          <w:rFonts w:ascii="Times New Roman" w:hAnsi="Times New Roman" w:cs="Times New Roman"/>
          <w:sz w:val="24"/>
          <w:szCs w:val="24"/>
          <w:lang w:val="en-US"/>
        </w:rPr>
        <w:t>al</w:t>
      </w:r>
      <w:r w:rsidRPr="00127EF2">
        <w:rPr>
          <w:rFonts w:ascii="Times New Roman" w:hAnsi="Times New Roman" w:cs="Times New Roman"/>
          <w:sz w:val="24"/>
          <w:szCs w:val="24"/>
          <w:lang w:val="en-US"/>
        </w:rPr>
        <w:t xml:space="preserve"> monuments, cultural objects, and places of worship. Kurdish Peshmerga fighting in Iraq were also trained in the need to protect cultural heritage and were given a</w:t>
      </w:r>
      <w:r w:rsidR="000C4F4E">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Guide to Mosul Heritage</w:t>
      </w:r>
      <w:r w:rsidR="000C4F4E">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prior to their military operations. In Libya, the Free Libyan Army (the precursor to the country’s National Transition Council) took steps to protect the National Museum of Tripoli during the fighting that followed the fall of </w:t>
      </w:r>
      <w:r w:rsidR="009A6D0B" w:rsidRPr="00680376">
        <w:rPr>
          <w:rFonts w:ascii="Times New Roman" w:hAnsi="Times New Roman" w:cs="Times New Roman"/>
          <w:sz w:val="24"/>
          <w:lang w:val="en-US"/>
        </w:rPr>
        <w:t>Muammar Gaddafi</w:t>
      </w:r>
      <w:r w:rsidRPr="003941A0">
        <w:rPr>
          <w:rFonts w:ascii="Times New Roman" w:hAnsi="Times New Roman" w:cs="Times New Roman"/>
          <w:sz w:val="24"/>
          <w:szCs w:val="24"/>
        </w:rPr>
        <w:t xml:space="preserve">. In a similar way, the commanders of the Free Syrian Army </w:t>
      </w:r>
      <w:r w:rsidR="00857348">
        <w:rPr>
          <w:rFonts w:ascii="Times New Roman" w:hAnsi="Times New Roman" w:cs="Times New Roman"/>
          <w:sz w:val="24"/>
          <w:szCs w:val="24"/>
        </w:rPr>
        <w:t xml:space="preserve">have </w:t>
      </w:r>
      <w:r w:rsidRPr="003941A0">
        <w:rPr>
          <w:rFonts w:ascii="Times New Roman" w:hAnsi="Times New Roman" w:cs="Times New Roman"/>
          <w:sz w:val="24"/>
          <w:szCs w:val="24"/>
        </w:rPr>
        <w:t xml:space="preserve">deployed personnel and established protective measures for key archaeological sites as well as the Umayyad </w:t>
      </w:r>
      <w:r w:rsidR="009C60C0">
        <w:rPr>
          <w:rFonts w:ascii="Times New Roman" w:hAnsi="Times New Roman" w:cs="Times New Roman"/>
          <w:sz w:val="24"/>
          <w:szCs w:val="24"/>
          <w:lang w:val="en-US"/>
        </w:rPr>
        <w:t>Great M</w:t>
      </w:r>
      <w:r w:rsidRPr="00127EF2">
        <w:rPr>
          <w:rFonts w:ascii="Times New Roman" w:hAnsi="Times New Roman" w:cs="Times New Roman"/>
          <w:sz w:val="24"/>
          <w:szCs w:val="24"/>
          <w:lang w:val="en-US"/>
        </w:rPr>
        <w:t xml:space="preserve">osque </w:t>
      </w:r>
      <w:r w:rsidR="009C60C0">
        <w:rPr>
          <w:rFonts w:ascii="Times New Roman" w:hAnsi="Times New Roman" w:cs="Times New Roman"/>
          <w:sz w:val="24"/>
          <w:szCs w:val="24"/>
          <w:lang w:val="en-US"/>
        </w:rPr>
        <w:t>of</w:t>
      </w:r>
      <w:r w:rsidR="009C60C0" w:rsidRPr="00127EF2">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 xml:space="preserve">Aleppo. </w:t>
      </w:r>
    </w:p>
    <w:p w14:paraId="2E393F53" w14:textId="18F8AD17"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r>
      <w:r w:rsidR="003B160B">
        <w:rPr>
          <w:rFonts w:ascii="Times New Roman" w:hAnsi="Times New Roman" w:cs="Times New Roman"/>
          <w:sz w:val="24"/>
          <w:szCs w:val="24"/>
          <w:lang w:val="en-US"/>
        </w:rPr>
        <w:t>T</w:t>
      </w:r>
      <w:r w:rsidRPr="00127EF2">
        <w:rPr>
          <w:rFonts w:ascii="Times New Roman" w:hAnsi="Times New Roman" w:cs="Times New Roman"/>
          <w:sz w:val="24"/>
          <w:szCs w:val="24"/>
          <w:lang w:val="en-US"/>
        </w:rPr>
        <w:t xml:space="preserve">hese examples indicate how some NSAGs are potentially part of the </w:t>
      </w:r>
      <w:r w:rsidRPr="00127EF2">
        <w:rPr>
          <w:rFonts w:ascii="Times New Roman" w:hAnsi="Times New Roman" w:cs="Times New Roman"/>
          <w:i/>
          <w:iCs/>
          <w:sz w:val="24"/>
          <w:szCs w:val="24"/>
          <w:lang w:val="en-US"/>
        </w:rPr>
        <w:t>solution</w:t>
      </w:r>
      <w:r w:rsidRPr="00127EF2">
        <w:rPr>
          <w:rFonts w:ascii="Times New Roman" w:hAnsi="Times New Roman" w:cs="Times New Roman"/>
          <w:sz w:val="24"/>
          <w:szCs w:val="24"/>
          <w:lang w:val="en-US"/>
        </w:rPr>
        <w:t xml:space="preserve"> to protecting cultural heritage. At the same time, a general recognition of the values underpinning the regime of protection on the part of armed group members often proves insufficient. Cultural sites have suffered collateral damage when they are situated in strategic military locations (as was the case for some valuable sites in Aleppo), or when NSAGs fail to fulfill the obligation to take precautions to protect cultural heritage. In addition, many of the interviews conducted by Geneva Call for its study of attacks on cultural heritage revealed a lack of clarity on the part of armed groups as to when and whether sites could be used for military purposes and how to operationalize the principle of military necessity. To take just one illustration: the </w:t>
      </w:r>
      <w:r w:rsidR="008071D8" w:rsidRPr="003A1628">
        <w:rPr>
          <w:rFonts w:ascii="Times New Roman" w:hAnsi="Times New Roman" w:cs="Times New Roman"/>
          <w:sz w:val="24"/>
          <w:szCs w:val="24"/>
          <w:lang w:val="en-US"/>
        </w:rPr>
        <w:t>Crac des Chevaliers</w:t>
      </w:r>
      <w:r w:rsidR="008071D8">
        <w:rPr>
          <w:rFonts w:ascii="Times New Roman" w:hAnsi="Times New Roman" w:cs="Times New Roman"/>
          <w:sz w:val="24"/>
          <w:szCs w:val="24"/>
          <w:lang w:val="en-US"/>
        </w:rPr>
        <w:t>, a</w:t>
      </w:r>
      <w:r w:rsidR="008071D8" w:rsidRPr="008071D8">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 xml:space="preserve">medieval Crusader fortress near Homs </w:t>
      </w:r>
      <w:r w:rsidR="00D52290">
        <w:rPr>
          <w:rFonts w:ascii="Times New Roman" w:hAnsi="Times New Roman" w:cs="Times New Roman"/>
          <w:sz w:val="24"/>
          <w:szCs w:val="24"/>
          <w:lang w:val="en-US"/>
        </w:rPr>
        <w:t>in Syria</w:t>
      </w:r>
      <w:r w:rsidR="00880C9E">
        <w:rPr>
          <w:rFonts w:ascii="Times New Roman" w:hAnsi="Times New Roman" w:cs="Times New Roman"/>
          <w:sz w:val="24"/>
          <w:szCs w:val="24"/>
          <w:lang w:val="en-US"/>
        </w:rPr>
        <w:t>,</w:t>
      </w:r>
      <w:r w:rsidR="00D52290">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was used as a military base by NSAGs in the summer of 2013 but then quickly became a target of government-led bombardment. Finally, discussions with NSAGs indicate that some are simply unaware of the Blue Shield emblem used to denote cultural heritage</w:t>
      </w:r>
      <w:r w:rsidR="008D65F3">
        <w:rPr>
          <w:rFonts w:ascii="Times New Roman" w:hAnsi="Times New Roman" w:cs="Times New Roman"/>
          <w:sz w:val="24"/>
          <w:szCs w:val="24"/>
          <w:lang w:val="en-US"/>
        </w:rPr>
        <w:t xml:space="preserve">, as established by the </w:t>
      </w:r>
      <w:r w:rsidR="008D65F3" w:rsidRPr="008D65F3">
        <w:rPr>
          <w:rFonts w:ascii="Times New Roman" w:hAnsi="Times New Roman" w:cs="Times New Roman"/>
          <w:sz w:val="24"/>
          <w:szCs w:val="24"/>
          <w:lang w:val="en-US"/>
        </w:rPr>
        <w:t>1954 Hague Convention for the Protection of Cultural Property in the Event of Armed Conflict</w:t>
      </w:r>
      <w:r w:rsidR="008D65F3">
        <w:rPr>
          <w:rFonts w:ascii="Times New Roman" w:hAnsi="Times New Roman" w:cs="Times New Roman"/>
          <w:sz w:val="24"/>
          <w:szCs w:val="24"/>
          <w:lang w:val="en-US"/>
        </w:rPr>
        <w:t>,</w:t>
      </w:r>
      <w:r w:rsidRPr="00127EF2">
        <w:rPr>
          <w:rFonts w:ascii="Times New Roman" w:hAnsi="Times New Roman" w:cs="Times New Roman"/>
          <w:sz w:val="24"/>
          <w:szCs w:val="24"/>
          <w:lang w:val="en-US"/>
        </w:rPr>
        <w:t xml:space="preserve"> or are unsure of the obligations associated with it.</w:t>
      </w:r>
    </w:p>
    <w:p w14:paraId="7BDD6D8F" w14:textId="41847649"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r w:rsidRPr="00127EF2">
        <w:rPr>
          <w:rFonts w:ascii="Times New Roman" w:hAnsi="Times New Roman" w:cs="Times New Roman"/>
          <w:sz w:val="24"/>
          <w:szCs w:val="24"/>
          <w:lang w:val="en-US"/>
        </w:rPr>
        <w:tab/>
        <w:t xml:space="preserve">The discussion above suggests that some NSAGs are and will remain key culprits in attacks on cultural heritage, particularly if they are ideologically motivated to engage in “extreme atrocity” or are indifferent to the alienating effects of their actions on local and international audiences. But it also points to the potential to enhance the respect of some NSAGs for rules and norms protecting cultural heritage through different strategies of engagement (discussed further below). This is particularly true for those NSAGs fighting for the rights of national, ethnic, and religious minorities—and </w:t>
      </w:r>
      <w:r w:rsidR="008B48BD">
        <w:rPr>
          <w:rFonts w:ascii="Times New Roman" w:hAnsi="Times New Roman" w:cs="Times New Roman"/>
          <w:sz w:val="24"/>
          <w:szCs w:val="24"/>
          <w:lang w:val="en-US"/>
        </w:rPr>
        <w:t xml:space="preserve">which </w:t>
      </w:r>
      <w:r w:rsidRPr="00127EF2">
        <w:rPr>
          <w:rFonts w:ascii="Times New Roman" w:hAnsi="Times New Roman" w:cs="Times New Roman"/>
          <w:sz w:val="24"/>
          <w:szCs w:val="24"/>
          <w:lang w:val="en-US"/>
        </w:rPr>
        <w:t>are therefore likely to be aware of the symbolic value of cultural heritage—as well as groups seeking international recognition for their claims. Political scientists such as Hyeran Jo have identified a subset of rebel groups that exhibit a greater tendency</w:t>
      </w:r>
      <w:r w:rsidR="0076255C">
        <w:rPr>
          <w:rFonts w:ascii="Times New Roman" w:hAnsi="Times New Roman" w:cs="Times New Roman"/>
          <w:sz w:val="24"/>
          <w:szCs w:val="24"/>
          <w:lang w:val="en-US"/>
        </w:rPr>
        <w:t xml:space="preserve"> to</w:t>
      </w:r>
      <w:r w:rsidRPr="00127EF2">
        <w:rPr>
          <w:rFonts w:ascii="Times New Roman" w:hAnsi="Times New Roman" w:cs="Times New Roman"/>
          <w:sz w:val="24"/>
          <w:szCs w:val="24"/>
          <w:lang w:val="en-US"/>
        </w:rPr>
        <w:t xml:space="preserve"> comply with the laws of war, either because their local norms are consistent with global norms or because compliance is instrumentally valuable in enhancing the legitimacy of their armed struggle. </w:t>
      </w:r>
      <w:r w:rsidR="00857348">
        <w:rPr>
          <w:rFonts w:ascii="Times New Roman" w:hAnsi="Times New Roman" w:cs="Times New Roman"/>
          <w:sz w:val="24"/>
          <w:szCs w:val="24"/>
          <w:lang w:val="en-US"/>
        </w:rPr>
        <w:t>These</w:t>
      </w:r>
      <w:r w:rsidRPr="00127EF2">
        <w:rPr>
          <w:rFonts w:ascii="Times New Roman" w:hAnsi="Times New Roman" w:cs="Times New Roman"/>
          <w:sz w:val="24"/>
          <w:szCs w:val="24"/>
          <w:lang w:val="en-US"/>
        </w:rPr>
        <w:t xml:space="preserve"> “legitimacy seeking” NSAGs, </w:t>
      </w:r>
      <w:r w:rsidR="00FA7794">
        <w:rPr>
          <w:rFonts w:ascii="Times New Roman" w:hAnsi="Times New Roman" w:cs="Times New Roman"/>
          <w:sz w:val="24"/>
          <w:szCs w:val="24"/>
          <w:lang w:val="en-US"/>
        </w:rPr>
        <w:t>wh</w:t>
      </w:r>
      <w:r w:rsidR="00857348">
        <w:rPr>
          <w:rFonts w:ascii="Times New Roman" w:hAnsi="Times New Roman" w:cs="Times New Roman"/>
          <w:sz w:val="24"/>
          <w:szCs w:val="24"/>
          <w:lang w:val="en-US"/>
        </w:rPr>
        <w:t>o</w:t>
      </w:r>
      <w:r w:rsidR="00FA7794" w:rsidRPr="00127EF2">
        <w:rPr>
          <w:rFonts w:ascii="Times New Roman" w:hAnsi="Times New Roman" w:cs="Times New Roman"/>
          <w:sz w:val="24"/>
          <w:szCs w:val="24"/>
          <w:lang w:val="en-US"/>
        </w:rPr>
        <w:t xml:space="preserve"> </w:t>
      </w:r>
      <w:r w:rsidRPr="00127EF2">
        <w:rPr>
          <w:rFonts w:ascii="Times New Roman" w:hAnsi="Times New Roman" w:cs="Times New Roman"/>
          <w:sz w:val="24"/>
          <w:szCs w:val="24"/>
          <w:lang w:val="en-US"/>
        </w:rPr>
        <w:t xml:space="preserve">make strategic calculations in the context of a larger political environment, </w:t>
      </w:r>
      <w:r w:rsidR="00857348">
        <w:rPr>
          <w:rFonts w:ascii="Times New Roman" w:hAnsi="Times New Roman" w:cs="Times New Roman"/>
          <w:sz w:val="24"/>
          <w:szCs w:val="24"/>
          <w:lang w:val="en-US"/>
        </w:rPr>
        <w:t xml:space="preserve">are thus more open to the overtures of </w:t>
      </w:r>
      <w:r w:rsidRPr="00127EF2">
        <w:rPr>
          <w:rFonts w:ascii="Times New Roman" w:hAnsi="Times New Roman" w:cs="Times New Roman"/>
          <w:sz w:val="24"/>
          <w:szCs w:val="24"/>
          <w:lang w:val="en-US"/>
        </w:rPr>
        <w:t xml:space="preserve">humanitarian organizations or other international agents of international law </w:t>
      </w:r>
      <w:r w:rsidR="00AC3AA1">
        <w:rPr>
          <w:rFonts w:ascii="Times New Roman" w:hAnsi="Times New Roman" w:cs="Times New Roman"/>
          <w:sz w:val="24"/>
          <w:szCs w:val="24"/>
          <w:lang w:val="en-US"/>
        </w:rPr>
        <w:t xml:space="preserve">as they seek to </w:t>
      </w:r>
      <w:r w:rsidRPr="00127EF2">
        <w:rPr>
          <w:rFonts w:ascii="Times New Roman" w:hAnsi="Times New Roman" w:cs="Times New Roman"/>
          <w:sz w:val="24"/>
          <w:szCs w:val="24"/>
          <w:lang w:val="en-US"/>
        </w:rPr>
        <w:t>encourag</w:t>
      </w:r>
      <w:r w:rsidR="00857348">
        <w:rPr>
          <w:rFonts w:ascii="Times New Roman" w:hAnsi="Times New Roman" w:cs="Times New Roman"/>
          <w:sz w:val="24"/>
          <w:szCs w:val="24"/>
          <w:lang w:val="en-US"/>
        </w:rPr>
        <w:t>e</w:t>
      </w:r>
      <w:r w:rsidRPr="00127EF2">
        <w:rPr>
          <w:rFonts w:ascii="Times New Roman" w:hAnsi="Times New Roman" w:cs="Times New Roman"/>
          <w:sz w:val="24"/>
          <w:szCs w:val="24"/>
          <w:lang w:val="en-US"/>
        </w:rPr>
        <w:t xml:space="preserve"> restraint and respect for IHL.</w:t>
      </w:r>
      <w:r w:rsidRPr="00127EF2">
        <w:rPr>
          <w:rStyle w:val="EndnoteReference"/>
          <w:rFonts w:ascii="Times New Roman" w:hAnsi="Times New Roman" w:cs="Times New Roman"/>
          <w:sz w:val="24"/>
          <w:szCs w:val="24"/>
          <w:lang w:val="en-US"/>
        </w:rPr>
        <w:endnoteReference w:id="41"/>
      </w:r>
    </w:p>
    <w:p w14:paraId="4AD484E4" w14:textId="77777777" w:rsidR="00F62A39" w:rsidRPr="00127EF2" w:rsidRDefault="00F62A39">
      <w:pPr>
        <w:pStyle w:val="ListParagraph"/>
        <w:tabs>
          <w:tab w:val="left" w:pos="720"/>
          <w:tab w:val="left" w:pos="1080"/>
        </w:tabs>
        <w:spacing w:line="480" w:lineRule="auto"/>
        <w:ind w:left="0"/>
        <w:rPr>
          <w:rFonts w:ascii="Times New Roman" w:hAnsi="Times New Roman" w:cs="Times New Roman"/>
          <w:sz w:val="24"/>
          <w:szCs w:val="24"/>
          <w:lang w:val="en-US"/>
        </w:rPr>
      </w:pPr>
    </w:p>
    <w:p w14:paraId="43A3F96B" w14:textId="77777777" w:rsidR="00C46790" w:rsidRDefault="00F62A39" w:rsidP="001D0FD0">
      <w:pPr>
        <w:pStyle w:val="Heading2"/>
      </w:pPr>
      <w:r w:rsidRPr="009D1813">
        <w:t xml:space="preserve">The Responsibilities and </w:t>
      </w:r>
      <w:r w:rsidRPr="001D0FD0">
        <w:t>Obligations</w:t>
      </w:r>
      <w:r w:rsidRPr="009D1813">
        <w:t xml:space="preserve"> of NSAGs</w:t>
      </w:r>
    </w:p>
    <w:p w14:paraId="5F0B3571" w14:textId="449AFAE6" w:rsidR="00F62A39" w:rsidRPr="009D1813" w:rsidRDefault="00F62A39" w:rsidP="00510953">
      <w:pPr>
        <w:spacing w:line="480" w:lineRule="auto"/>
        <w:contextualSpacing/>
        <w:rPr>
          <w:rFonts w:ascii="Times New Roman" w:hAnsi="Times New Roman" w:cs="Times New Roman"/>
        </w:rPr>
      </w:pPr>
      <w:r w:rsidRPr="009D1813">
        <w:rPr>
          <w:rFonts w:ascii="Times New Roman" w:hAnsi="Times New Roman" w:cs="Times New Roman"/>
        </w:rPr>
        <w:t>Although NSAGs are frequently depicted as being outside the boundaries of the international community, they do not operate beyond the reach of the law. They are bound by a considerable range of relevant obligations under existing IHL</w:t>
      </w:r>
      <w:r w:rsidR="00857348">
        <w:rPr>
          <w:rFonts w:ascii="Times New Roman" w:hAnsi="Times New Roman" w:cs="Times New Roman"/>
        </w:rPr>
        <w:t>,</w:t>
      </w:r>
      <w:r w:rsidRPr="009D1813">
        <w:rPr>
          <w:rFonts w:ascii="Times New Roman" w:hAnsi="Times New Roman" w:cs="Times New Roman"/>
        </w:rPr>
        <w:t xml:space="preserve"> and </w:t>
      </w:r>
      <w:r w:rsidRPr="009D1813">
        <w:rPr>
          <w:rFonts w:ascii="Times New Roman" w:hAnsi="Times New Roman" w:cs="Times New Roman"/>
          <w:iCs/>
        </w:rPr>
        <w:t>individual members</w:t>
      </w:r>
      <w:r w:rsidRPr="009D1813">
        <w:rPr>
          <w:rFonts w:ascii="Times New Roman" w:hAnsi="Times New Roman" w:cs="Times New Roman"/>
        </w:rPr>
        <w:t xml:space="preserve"> of such groups can be subject to international criminal law in cases where they commit international crimes.</w:t>
      </w:r>
      <w:r w:rsidR="00C15E8A">
        <w:rPr>
          <w:rFonts w:ascii="Times New Roman" w:hAnsi="Times New Roman" w:cs="Times New Roman"/>
        </w:rPr>
        <w:t xml:space="preserve"> The discussion in this section addresses the law of armed conflict before analyzing the legal regime protecting cultural heritage.</w:t>
      </w:r>
    </w:p>
    <w:p w14:paraId="185CDA67" w14:textId="11BA95B4" w:rsidR="00F62A39" w:rsidRPr="009D1813" w:rsidRDefault="00C15E8A">
      <w:pPr>
        <w:pStyle w:val="CommentText"/>
        <w:spacing w:line="480" w:lineRule="auto"/>
        <w:contextualSpacing/>
        <w:rPr>
          <w:rFonts w:ascii="Times New Roman" w:hAnsi="Times New Roman" w:cs="Times New Roman"/>
          <w:sz w:val="24"/>
          <w:szCs w:val="24"/>
        </w:rPr>
      </w:pPr>
      <w:r>
        <w:tab/>
      </w:r>
      <w:r w:rsidR="00F62A39" w:rsidRPr="009D1813">
        <w:rPr>
          <w:rFonts w:ascii="Times New Roman" w:hAnsi="Times New Roman" w:cs="Times New Roman"/>
          <w:sz w:val="24"/>
          <w:szCs w:val="24"/>
        </w:rPr>
        <w:t xml:space="preserve">Common Article 3 of the Geneva Conventions binds </w:t>
      </w:r>
      <w:r w:rsidR="00F62A39" w:rsidRPr="009D1813">
        <w:rPr>
          <w:rFonts w:ascii="Times New Roman" w:hAnsi="Times New Roman" w:cs="Times New Roman"/>
          <w:iCs/>
          <w:sz w:val="24"/>
          <w:szCs w:val="24"/>
        </w:rPr>
        <w:t xml:space="preserve">all </w:t>
      </w:r>
      <w:r w:rsidR="00F62A39" w:rsidRPr="009D1813">
        <w:rPr>
          <w:rFonts w:ascii="Times New Roman" w:hAnsi="Times New Roman" w:cs="Times New Roman"/>
          <w:sz w:val="24"/>
          <w:szCs w:val="24"/>
        </w:rPr>
        <w:t>parties to a non-international armed conflict to refrain from using violence against individuals taking no active part in hostilities. Additional Protocol II also requires NSAGs to respect and protect civilian populations</w:t>
      </w:r>
      <w:r w:rsidR="001A3EDE">
        <w:rPr>
          <w:rFonts w:ascii="Times New Roman" w:hAnsi="Times New Roman" w:cs="Times New Roman"/>
          <w:sz w:val="24"/>
          <w:szCs w:val="24"/>
        </w:rPr>
        <w:t>,</w:t>
      </w:r>
      <w:r w:rsidR="00F62A39" w:rsidRPr="009D1813">
        <w:rPr>
          <w:rFonts w:ascii="Times New Roman" w:hAnsi="Times New Roman" w:cs="Times New Roman"/>
          <w:sz w:val="24"/>
          <w:szCs w:val="24"/>
        </w:rPr>
        <w:t xml:space="preserve"> and contains specific rules relating to the protection of cultural objects. While the </w:t>
      </w:r>
      <w:r w:rsidR="001A3EDE">
        <w:rPr>
          <w:rFonts w:ascii="Times New Roman" w:hAnsi="Times New Roman" w:cs="Times New Roman"/>
          <w:sz w:val="24"/>
          <w:szCs w:val="24"/>
        </w:rPr>
        <w:t>p</w:t>
      </w:r>
      <w:r w:rsidR="00F62A39" w:rsidRPr="009D1813">
        <w:rPr>
          <w:rFonts w:ascii="Times New Roman" w:hAnsi="Times New Roman" w:cs="Times New Roman"/>
          <w:sz w:val="24"/>
          <w:szCs w:val="24"/>
        </w:rPr>
        <w:t xml:space="preserve">rotocol </w:t>
      </w:r>
      <w:r w:rsidR="00857348">
        <w:rPr>
          <w:rFonts w:ascii="Times New Roman" w:hAnsi="Times New Roman" w:cs="Times New Roman"/>
          <w:sz w:val="24"/>
          <w:szCs w:val="24"/>
        </w:rPr>
        <w:t xml:space="preserve">has traditionally </w:t>
      </w:r>
      <w:r w:rsidR="00F62A39" w:rsidRPr="009D1813">
        <w:rPr>
          <w:rFonts w:ascii="Times New Roman" w:hAnsi="Times New Roman" w:cs="Times New Roman"/>
          <w:sz w:val="24"/>
          <w:szCs w:val="24"/>
        </w:rPr>
        <w:t>applie</w:t>
      </w:r>
      <w:r w:rsidR="00740CD5">
        <w:rPr>
          <w:rFonts w:ascii="Times New Roman" w:hAnsi="Times New Roman" w:cs="Times New Roman"/>
          <w:sz w:val="24"/>
          <w:szCs w:val="24"/>
        </w:rPr>
        <w:t>d</w:t>
      </w:r>
      <w:r w:rsidR="00F62A39" w:rsidRPr="009D1813">
        <w:rPr>
          <w:rFonts w:ascii="Times New Roman" w:hAnsi="Times New Roman" w:cs="Times New Roman"/>
          <w:sz w:val="24"/>
          <w:szCs w:val="24"/>
        </w:rPr>
        <w:t xml:space="preserve"> </w:t>
      </w:r>
      <w:r w:rsidR="00857348">
        <w:rPr>
          <w:rFonts w:ascii="Times New Roman" w:hAnsi="Times New Roman" w:cs="Times New Roman"/>
          <w:sz w:val="24"/>
          <w:szCs w:val="24"/>
        </w:rPr>
        <w:t xml:space="preserve">only </w:t>
      </w:r>
      <w:r w:rsidR="00F62A39" w:rsidRPr="009D1813">
        <w:rPr>
          <w:rFonts w:ascii="Times New Roman" w:hAnsi="Times New Roman" w:cs="Times New Roman"/>
          <w:sz w:val="24"/>
          <w:szCs w:val="24"/>
        </w:rPr>
        <w:t xml:space="preserve">to situations in which such groups control territory, many of its provisions are now recognized to form part of customary </w:t>
      </w:r>
      <w:r w:rsidR="001A3EDE">
        <w:rPr>
          <w:rFonts w:ascii="Times New Roman" w:hAnsi="Times New Roman" w:cs="Times New Roman"/>
          <w:sz w:val="24"/>
          <w:szCs w:val="24"/>
        </w:rPr>
        <w:t xml:space="preserve">international </w:t>
      </w:r>
      <w:r w:rsidR="00F62A39" w:rsidRPr="009D1813">
        <w:rPr>
          <w:rFonts w:ascii="Times New Roman" w:hAnsi="Times New Roman" w:cs="Times New Roman"/>
          <w:sz w:val="24"/>
          <w:szCs w:val="24"/>
        </w:rPr>
        <w:t>law and are thus also applicable where NSAGs are not in full control.</w:t>
      </w:r>
      <w:r w:rsidR="00F62A39" w:rsidRPr="009D1813">
        <w:rPr>
          <w:rStyle w:val="EndnoteReference"/>
          <w:rFonts w:ascii="Times New Roman" w:hAnsi="Times New Roman" w:cs="Times New Roman"/>
          <w:sz w:val="24"/>
          <w:szCs w:val="24"/>
        </w:rPr>
        <w:endnoteReference w:id="42"/>
      </w:r>
      <w:r w:rsidR="00F62A39" w:rsidRPr="009D1813">
        <w:rPr>
          <w:rFonts w:ascii="Times New Roman" w:hAnsi="Times New Roman" w:cs="Times New Roman"/>
          <w:sz w:val="24"/>
          <w:szCs w:val="24"/>
        </w:rPr>
        <w:t xml:space="preserve"> More generally, many aspects of IHL applicable to international armed conflict, as a matter of treaty law, are now also considered to apply in non-international armed conflict and therefore also to NSAGs as a matter of customary law</w:t>
      </w:r>
      <w:r w:rsidR="004A7D0C">
        <w:rPr>
          <w:rFonts w:ascii="Times New Roman" w:hAnsi="Times New Roman" w:cs="Times New Roman"/>
          <w:sz w:val="24"/>
          <w:szCs w:val="24"/>
        </w:rPr>
        <w:t>—</w:t>
      </w:r>
      <w:r w:rsidR="00F62A39" w:rsidRPr="009D1813">
        <w:rPr>
          <w:rFonts w:ascii="Times New Roman" w:hAnsi="Times New Roman" w:cs="Times New Roman"/>
          <w:sz w:val="24"/>
          <w:szCs w:val="24"/>
        </w:rPr>
        <w:t>regardless of whether such groups control territory. This includes aspects of the Geneva Conventions that relate to prohibitions on the destruction of cultural property.</w:t>
      </w:r>
      <w:r w:rsidR="00F62A39" w:rsidRPr="009D1813">
        <w:rPr>
          <w:rStyle w:val="EndnoteReference"/>
          <w:rFonts w:ascii="Times New Roman" w:hAnsi="Times New Roman" w:cs="Times New Roman"/>
          <w:sz w:val="24"/>
          <w:szCs w:val="24"/>
        </w:rPr>
        <w:endnoteReference w:id="43"/>
      </w:r>
    </w:p>
    <w:p w14:paraId="2C88FA10" w14:textId="207552C6" w:rsidR="00F62A39" w:rsidRPr="009D1813" w:rsidRDefault="00F62A39">
      <w:pPr>
        <w:pStyle w:val="CommentText"/>
        <w:spacing w:line="480" w:lineRule="auto"/>
        <w:ind w:firstLine="720"/>
        <w:contextualSpacing/>
        <w:rPr>
          <w:rFonts w:ascii="Times New Roman" w:hAnsi="Times New Roman" w:cs="Times New Roman"/>
          <w:sz w:val="24"/>
          <w:szCs w:val="24"/>
        </w:rPr>
      </w:pPr>
      <w:r w:rsidRPr="009D1813">
        <w:rPr>
          <w:rFonts w:ascii="Times New Roman" w:hAnsi="Times New Roman" w:cs="Times New Roman"/>
          <w:sz w:val="24"/>
          <w:szCs w:val="24"/>
        </w:rPr>
        <w:t xml:space="preserve">In addition, while international human rights law is still relatively limited with respect to NSAGs, given that it is focused on obligations of the </w:t>
      </w:r>
      <w:r w:rsidRPr="009D1813">
        <w:rPr>
          <w:rFonts w:ascii="Times New Roman" w:hAnsi="Times New Roman" w:cs="Times New Roman"/>
          <w:i/>
          <w:iCs/>
          <w:sz w:val="24"/>
          <w:szCs w:val="24"/>
        </w:rPr>
        <w:t>state</w:t>
      </w:r>
      <w:r w:rsidRPr="009D1813">
        <w:rPr>
          <w:rFonts w:ascii="Times New Roman" w:hAnsi="Times New Roman" w:cs="Times New Roman"/>
          <w:sz w:val="24"/>
          <w:szCs w:val="24"/>
        </w:rPr>
        <w:t xml:space="preserve"> toward individuals within its jurisdiction, developments in international criminal law—particularly the broadening of the scope of crimes against humanity and war crimes to include acts committed in non-international armed conflict—have provided possibilities for establishing individual criminal responsibility for members of such groups.</w:t>
      </w:r>
      <w:r w:rsidRPr="009D1813">
        <w:rPr>
          <w:rStyle w:val="EndnoteReference"/>
          <w:rFonts w:ascii="Times New Roman" w:hAnsi="Times New Roman" w:cs="Times New Roman"/>
          <w:sz w:val="24"/>
          <w:szCs w:val="24"/>
        </w:rPr>
        <w:endnoteReference w:id="44"/>
      </w:r>
      <w:r w:rsidRPr="009D1813">
        <w:rPr>
          <w:rFonts w:ascii="Times New Roman" w:hAnsi="Times New Roman" w:cs="Times New Roman"/>
          <w:sz w:val="24"/>
          <w:szCs w:val="24"/>
        </w:rPr>
        <w:t xml:space="preserve"> In the context of Syria, the</w:t>
      </w:r>
      <w:r w:rsidR="006D43B8">
        <w:rPr>
          <w:rFonts w:ascii="Times New Roman" w:hAnsi="Times New Roman" w:cs="Times New Roman"/>
          <w:sz w:val="24"/>
          <w:szCs w:val="24"/>
        </w:rPr>
        <w:t xml:space="preserve"> </w:t>
      </w:r>
      <w:r w:rsidR="004146A8">
        <w:rPr>
          <w:rFonts w:ascii="Times New Roman" w:hAnsi="Times New Roman" w:cs="Times New Roman"/>
          <w:sz w:val="24"/>
          <w:szCs w:val="24"/>
        </w:rPr>
        <w:t xml:space="preserve">2016 report of the </w:t>
      </w:r>
      <w:r w:rsidRPr="009D1813">
        <w:rPr>
          <w:rFonts w:ascii="Times New Roman" w:hAnsi="Times New Roman" w:cs="Times New Roman"/>
          <w:sz w:val="24"/>
          <w:szCs w:val="24"/>
        </w:rPr>
        <w:t>Independent International Commission of Inquiry</w:t>
      </w:r>
      <w:r w:rsidR="00DD6F7A">
        <w:rPr>
          <w:rFonts w:ascii="Times New Roman" w:hAnsi="Times New Roman" w:cs="Times New Roman"/>
          <w:sz w:val="24"/>
          <w:szCs w:val="24"/>
        </w:rPr>
        <w:t>, established by the UN Human Rights Council,</w:t>
      </w:r>
      <w:r w:rsidRPr="009D1813">
        <w:rPr>
          <w:rFonts w:ascii="Times New Roman" w:hAnsi="Times New Roman" w:cs="Times New Roman"/>
          <w:sz w:val="24"/>
          <w:szCs w:val="24"/>
        </w:rPr>
        <w:t xml:space="preserve"> therefore emphasized the need for all groups to be held accountable </w:t>
      </w:r>
      <w:r w:rsidR="00B11E78">
        <w:rPr>
          <w:rFonts w:ascii="Times New Roman" w:hAnsi="Times New Roman" w:cs="Times New Roman"/>
          <w:sz w:val="24"/>
          <w:szCs w:val="24"/>
        </w:rPr>
        <w:t>for</w:t>
      </w:r>
      <w:r w:rsidR="00B11E78" w:rsidRPr="009D1813">
        <w:rPr>
          <w:rFonts w:ascii="Times New Roman" w:hAnsi="Times New Roman" w:cs="Times New Roman"/>
          <w:sz w:val="24"/>
          <w:szCs w:val="24"/>
        </w:rPr>
        <w:t xml:space="preserve"> </w:t>
      </w:r>
      <w:r w:rsidRPr="009D1813">
        <w:rPr>
          <w:rFonts w:ascii="Times New Roman" w:hAnsi="Times New Roman" w:cs="Times New Roman"/>
          <w:sz w:val="24"/>
          <w:szCs w:val="24"/>
        </w:rPr>
        <w:t>violations of IHL that amounted to war crimes</w:t>
      </w:r>
      <w:r w:rsidR="00770B90">
        <w:rPr>
          <w:rFonts w:ascii="Times New Roman" w:hAnsi="Times New Roman" w:cs="Times New Roman"/>
          <w:sz w:val="24"/>
          <w:szCs w:val="24"/>
        </w:rPr>
        <w:t>.</w:t>
      </w:r>
      <w:r w:rsidRPr="009D1813">
        <w:rPr>
          <w:rStyle w:val="EndnoteReference"/>
          <w:rFonts w:ascii="Times New Roman" w:hAnsi="Times New Roman" w:cs="Times New Roman"/>
          <w:sz w:val="24"/>
          <w:szCs w:val="24"/>
        </w:rPr>
        <w:endnoteReference w:id="45"/>
      </w:r>
      <w:r w:rsidR="00770B90">
        <w:rPr>
          <w:rFonts w:ascii="Times New Roman" w:hAnsi="Times New Roman" w:cs="Times New Roman"/>
          <w:sz w:val="24"/>
          <w:szCs w:val="24"/>
        </w:rPr>
        <w:t xml:space="preserve"> This includes, </w:t>
      </w:r>
      <w:r w:rsidRPr="009D1813">
        <w:rPr>
          <w:rFonts w:ascii="Times New Roman" w:hAnsi="Times New Roman" w:cs="Times New Roman"/>
          <w:sz w:val="24"/>
          <w:szCs w:val="24"/>
        </w:rPr>
        <w:t xml:space="preserve">for example, those </w:t>
      </w:r>
      <w:r w:rsidR="004555A2">
        <w:rPr>
          <w:rFonts w:ascii="Times New Roman" w:hAnsi="Times New Roman" w:cs="Times New Roman"/>
          <w:sz w:val="24"/>
          <w:szCs w:val="24"/>
        </w:rPr>
        <w:t xml:space="preserve">offenses </w:t>
      </w:r>
      <w:r w:rsidRPr="009D1813">
        <w:rPr>
          <w:rFonts w:ascii="Times New Roman" w:hAnsi="Times New Roman" w:cs="Times New Roman"/>
          <w:sz w:val="24"/>
          <w:szCs w:val="24"/>
        </w:rPr>
        <w:t>specified in Art</w:t>
      </w:r>
      <w:r w:rsidR="009D461A">
        <w:rPr>
          <w:rFonts w:ascii="Times New Roman" w:hAnsi="Times New Roman" w:cs="Times New Roman"/>
          <w:sz w:val="24"/>
          <w:szCs w:val="24"/>
        </w:rPr>
        <w:t>icles</w:t>
      </w:r>
      <w:r w:rsidRPr="009D1813">
        <w:rPr>
          <w:rFonts w:ascii="Times New Roman" w:hAnsi="Times New Roman" w:cs="Times New Roman"/>
          <w:sz w:val="24"/>
          <w:szCs w:val="24"/>
        </w:rPr>
        <w:t xml:space="preserve"> 8</w:t>
      </w:r>
      <w:r w:rsidR="0086527F">
        <w:rPr>
          <w:rFonts w:ascii="Times New Roman" w:hAnsi="Times New Roman" w:cs="Times New Roman"/>
          <w:sz w:val="24"/>
          <w:szCs w:val="24"/>
        </w:rPr>
        <w:t>.</w:t>
      </w:r>
      <w:r w:rsidRPr="009D1813">
        <w:rPr>
          <w:rFonts w:ascii="Times New Roman" w:hAnsi="Times New Roman" w:cs="Times New Roman"/>
          <w:sz w:val="24"/>
          <w:szCs w:val="24"/>
        </w:rPr>
        <w:t>2</w:t>
      </w:r>
      <w:r w:rsidR="0086527F">
        <w:rPr>
          <w:rFonts w:ascii="Times New Roman" w:hAnsi="Times New Roman" w:cs="Times New Roman"/>
          <w:sz w:val="24"/>
          <w:szCs w:val="24"/>
        </w:rPr>
        <w:t>.</w:t>
      </w:r>
      <w:r w:rsidRPr="009D1813">
        <w:rPr>
          <w:rFonts w:ascii="Times New Roman" w:hAnsi="Times New Roman" w:cs="Times New Roman"/>
          <w:sz w:val="24"/>
          <w:szCs w:val="24"/>
        </w:rPr>
        <w:t>c and 8</w:t>
      </w:r>
      <w:r w:rsidR="0086527F">
        <w:rPr>
          <w:rFonts w:ascii="Times New Roman" w:hAnsi="Times New Roman" w:cs="Times New Roman"/>
          <w:sz w:val="24"/>
          <w:szCs w:val="24"/>
        </w:rPr>
        <w:t>.</w:t>
      </w:r>
      <w:r w:rsidRPr="009D1813">
        <w:rPr>
          <w:rFonts w:ascii="Times New Roman" w:hAnsi="Times New Roman" w:cs="Times New Roman"/>
          <w:sz w:val="24"/>
          <w:szCs w:val="24"/>
        </w:rPr>
        <w:t>2</w:t>
      </w:r>
      <w:r w:rsidR="0086527F">
        <w:rPr>
          <w:rFonts w:ascii="Times New Roman" w:hAnsi="Times New Roman" w:cs="Times New Roman"/>
          <w:sz w:val="24"/>
          <w:szCs w:val="24"/>
        </w:rPr>
        <w:t>.</w:t>
      </w:r>
      <w:r w:rsidRPr="009D1813">
        <w:rPr>
          <w:rFonts w:ascii="Times New Roman" w:hAnsi="Times New Roman" w:cs="Times New Roman"/>
          <w:sz w:val="24"/>
          <w:szCs w:val="24"/>
        </w:rPr>
        <w:t xml:space="preserve">e of the </w:t>
      </w:r>
      <w:r w:rsidR="00977294">
        <w:rPr>
          <w:rFonts w:ascii="Times New Roman" w:hAnsi="Times New Roman" w:cs="Times New Roman"/>
          <w:sz w:val="24"/>
          <w:szCs w:val="24"/>
        </w:rPr>
        <w:t>Rome Statute of the International Criminal Court (</w:t>
      </w:r>
      <w:r w:rsidRPr="009D1813">
        <w:rPr>
          <w:rFonts w:ascii="Times New Roman" w:hAnsi="Times New Roman" w:cs="Times New Roman"/>
          <w:sz w:val="24"/>
          <w:szCs w:val="24"/>
        </w:rPr>
        <w:t>ICC</w:t>
      </w:r>
      <w:r w:rsidR="00977294">
        <w:rPr>
          <w:rFonts w:ascii="Times New Roman" w:hAnsi="Times New Roman" w:cs="Times New Roman"/>
          <w:sz w:val="24"/>
          <w:szCs w:val="24"/>
        </w:rPr>
        <w:t>)</w:t>
      </w:r>
      <w:r w:rsidR="004555A2">
        <w:rPr>
          <w:rFonts w:ascii="Times New Roman" w:hAnsi="Times New Roman" w:cs="Times New Roman"/>
          <w:sz w:val="24"/>
          <w:szCs w:val="24"/>
        </w:rPr>
        <w:t>, which appl</w:t>
      </w:r>
      <w:r w:rsidR="00E41055">
        <w:rPr>
          <w:rFonts w:ascii="Times New Roman" w:hAnsi="Times New Roman" w:cs="Times New Roman"/>
          <w:sz w:val="24"/>
          <w:szCs w:val="24"/>
        </w:rPr>
        <w:t>y</w:t>
      </w:r>
      <w:r w:rsidR="004555A2">
        <w:rPr>
          <w:rFonts w:ascii="Times New Roman" w:hAnsi="Times New Roman" w:cs="Times New Roman"/>
          <w:sz w:val="24"/>
          <w:szCs w:val="24"/>
        </w:rPr>
        <w:t xml:space="preserve"> to confli</w:t>
      </w:r>
      <w:r w:rsidR="000E1894">
        <w:rPr>
          <w:rFonts w:ascii="Times New Roman" w:hAnsi="Times New Roman" w:cs="Times New Roman"/>
          <w:sz w:val="24"/>
          <w:szCs w:val="24"/>
        </w:rPr>
        <w:t>c</w:t>
      </w:r>
      <w:r w:rsidR="004555A2">
        <w:rPr>
          <w:rFonts w:ascii="Times New Roman" w:hAnsi="Times New Roman" w:cs="Times New Roman"/>
          <w:sz w:val="24"/>
          <w:szCs w:val="24"/>
        </w:rPr>
        <w:t>ts “</w:t>
      </w:r>
      <w:r w:rsidR="004555A2" w:rsidRPr="004555A2">
        <w:rPr>
          <w:rFonts w:ascii="Times New Roman" w:hAnsi="Times New Roman" w:cs="Times New Roman"/>
          <w:sz w:val="24"/>
          <w:szCs w:val="24"/>
        </w:rPr>
        <w:t>not of an international character</w:t>
      </w:r>
      <w:r w:rsidRPr="009D1813">
        <w:rPr>
          <w:rFonts w:ascii="Times New Roman" w:hAnsi="Times New Roman" w:cs="Times New Roman"/>
          <w:sz w:val="24"/>
          <w:szCs w:val="24"/>
        </w:rPr>
        <w:t>.</w:t>
      </w:r>
      <w:r w:rsidR="004555A2">
        <w:rPr>
          <w:rFonts w:ascii="Times New Roman" w:hAnsi="Times New Roman" w:cs="Times New Roman"/>
          <w:sz w:val="24"/>
          <w:szCs w:val="24"/>
        </w:rPr>
        <w:t>”</w:t>
      </w:r>
      <w:r w:rsidRPr="009D1813">
        <w:rPr>
          <w:rFonts w:ascii="Times New Roman" w:hAnsi="Times New Roman" w:cs="Times New Roman"/>
          <w:sz w:val="24"/>
          <w:szCs w:val="24"/>
        </w:rPr>
        <w:t xml:space="preserve"> These steps</w:t>
      </w:r>
      <w:r w:rsidR="00B4267A">
        <w:rPr>
          <w:rFonts w:ascii="Times New Roman" w:hAnsi="Times New Roman" w:cs="Times New Roman"/>
          <w:sz w:val="24"/>
          <w:szCs w:val="24"/>
        </w:rPr>
        <w:t xml:space="preserve"> and </w:t>
      </w:r>
      <w:r w:rsidRPr="009D1813">
        <w:rPr>
          <w:rFonts w:ascii="Times New Roman" w:hAnsi="Times New Roman" w:cs="Times New Roman"/>
          <w:sz w:val="24"/>
          <w:szCs w:val="24"/>
        </w:rPr>
        <w:t>others</w:t>
      </w:r>
      <w:r w:rsidR="00B4267A">
        <w:rPr>
          <w:rFonts w:ascii="Times New Roman" w:hAnsi="Times New Roman" w:cs="Times New Roman"/>
          <w:sz w:val="24"/>
          <w:szCs w:val="24"/>
        </w:rPr>
        <w:t xml:space="preserve"> </w:t>
      </w:r>
      <w:r w:rsidRPr="009D1813">
        <w:rPr>
          <w:rFonts w:ascii="Times New Roman" w:hAnsi="Times New Roman" w:cs="Times New Roman"/>
          <w:sz w:val="24"/>
          <w:szCs w:val="24"/>
        </w:rPr>
        <w:t xml:space="preserve">have helped to address what was previously a notable imbalance in the impunity enjoyed by </w:t>
      </w:r>
      <w:r w:rsidR="006B23AD">
        <w:rPr>
          <w:rFonts w:ascii="Times New Roman" w:hAnsi="Times New Roman" w:cs="Times New Roman"/>
          <w:sz w:val="24"/>
          <w:szCs w:val="24"/>
        </w:rPr>
        <w:t>nonstate</w:t>
      </w:r>
      <w:r w:rsidRPr="009D1813">
        <w:rPr>
          <w:rFonts w:ascii="Times New Roman" w:hAnsi="Times New Roman" w:cs="Times New Roman"/>
          <w:sz w:val="24"/>
          <w:szCs w:val="24"/>
        </w:rPr>
        <w:t xml:space="preserve"> and state actors. It is now the gravity of the crime, rather than the requirement of statehood, that has become crucial for criminal accountability.</w:t>
      </w:r>
      <w:r w:rsidRPr="009D1813">
        <w:rPr>
          <w:rStyle w:val="EndnoteReference"/>
          <w:rFonts w:ascii="Times New Roman" w:hAnsi="Times New Roman" w:cs="Times New Roman"/>
          <w:sz w:val="24"/>
          <w:szCs w:val="24"/>
        </w:rPr>
        <w:endnoteReference w:id="46"/>
      </w:r>
      <w:r w:rsidRPr="009D1813">
        <w:rPr>
          <w:rFonts w:ascii="Times New Roman" w:hAnsi="Times New Roman" w:cs="Times New Roman"/>
          <w:sz w:val="24"/>
          <w:szCs w:val="24"/>
        </w:rPr>
        <w:t xml:space="preserve"> It should also be noted that international criminal law establishes the responsibility of individual members of </w:t>
      </w:r>
      <w:r w:rsidR="006B23AD">
        <w:rPr>
          <w:rFonts w:ascii="Times New Roman" w:hAnsi="Times New Roman" w:cs="Times New Roman"/>
          <w:sz w:val="24"/>
          <w:szCs w:val="24"/>
        </w:rPr>
        <w:t>nonstate</w:t>
      </w:r>
      <w:r w:rsidRPr="009D1813">
        <w:rPr>
          <w:rFonts w:ascii="Times New Roman" w:hAnsi="Times New Roman" w:cs="Times New Roman"/>
          <w:sz w:val="24"/>
          <w:szCs w:val="24"/>
        </w:rPr>
        <w:t xml:space="preserve"> armed groups for international crimes not committed in the context of armed conflict (and thus outside the ambit of IHL), including genocide and crimes against humanity.</w:t>
      </w:r>
    </w:p>
    <w:p w14:paraId="15CF3AF4" w14:textId="31DD40A9" w:rsidR="00F62A39" w:rsidRPr="009D1813" w:rsidRDefault="00F62A39">
      <w:pPr>
        <w:pStyle w:val="CommentText"/>
        <w:spacing w:line="480" w:lineRule="auto"/>
        <w:ind w:firstLine="720"/>
        <w:contextualSpacing/>
        <w:rPr>
          <w:rFonts w:ascii="Times New Roman" w:hAnsi="Times New Roman" w:cs="Times New Roman"/>
          <w:sz w:val="24"/>
          <w:szCs w:val="24"/>
        </w:rPr>
      </w:pPr>
      <w:r w:rsidRPr="009D1813">
        <w:rPr>
          <w:rFonts w:ascii="Times New Roman" w:hAnsi="Times New Roman" w:cs="Times New Roman"/>
          <w:sz w:val="24"/>
          <w:szCs w:val="24"/>
        </w:rPr>
        <w:t xml:space="preserve">In situations where international criminal law cannot be applied or where the protection of populations requires more than general compliance with </w:t>
      </w:r>
      <w:r w:rsidR="00364DC1">
        <w:rPr>
          <w:rFonts w:ascii="Times New Roman" w:hAnsi="Times New Roman" w:cs="Times New Roman"/>
          <w:sz w:val="24"/>
          <w:szCs w:val="24"/>
        </w:rPr>
        <w:t>c</w:t>
      </w:r>
      <w:r w:rsidRPr="009D1813">
        <w:rPr>
          <w:rFonts w:ascii="Times New Roman" w:hAnsi="Times New Roman" w:cs="Times New Roman"/>
          <w:sz w:val="24"/>
          <w:szCs w:val="24"/>
        </w:rPr>
        <w:t>ommon Article 3, the task of establishing responsibility is more complex. Agreement to restrain behavior and assume responsibilities will then depend on the consent and compliance of members of NSAGs themselves,</w:t>
      </w:r>
      <w:r w:rsidRPr="009D1813">
        <w:rPr>
          <w:rStyle w:val="EndnoteReference"/>
          <w:rFonts w:ascii="Times New Roman" w:hAnsi="Times New Roman" w:cs="Times New Roman"/>
          <w:sz w:val="24"/>
          <w:szCs w:val="24"/>
        </w:rPr>
        <w:endnoteReference w:id="47"/>
      </w:r>
      <w:r w:rsidRPr="009D1813">
        <w:rPr>
          <w:rFonts w:ascii="Times New Roman" w:hAnsi="Times New Roman" w:cs="Times New Roman"/>
          <w:sz w:val="24"/>
          <w:szCs w:val="24"/>
        </w:rPr>
        <w:t xml:space="preserve"> a fact that has fostered the attempts by Geneva Call to encourage NSAGs to sign its public pledges</w:t>
      </w:r>
      <w:r w:rsidR="003E454F">
        <w:rPr>
          <w:rFonts w:ascii="Times New Roman" w:hAnsi="Times New Roman" w:cs="Times New Roman"/>
          <w:sz w:val="24"/>
          <w:szCs w:val="24"/>
        </w:rPr>
        <w:t xml:space="preserve">, called </w:t>
      </w:r>
      <w:r w:rsidR="00771531">
        <w:rPr>
          <w:rFonts w:ascii="Times New Roman" w:hAnsi="Times New Roman" w:cs="Times New Roman"/>
          <w:sz w:val="24"/>
          <w:szCs w:val="24"/>
        </w:rPr>
        <w:t>d</w:t>
      </w:r>
      <w:r w:rsidRPr="009D1813">
        <w:rPr>
          <w:rFonts w:ascii="Times New Roman" w:hAnsi="Times New Roman" w:cs="Times New Roman"/>
          <w:sz w:val="24"/>
          <w:szCs w:val="24"/>
        </w:rPr>
        <w:t xml:space="preserve">eeds of </w:t>
      </w:r>
      <w:r w:rsidR="00771531">
        <w:rPr>
          <w:rFonts w:ascii="Times New Roman" w:hAnsi="Times New Roman" w:cs="Times New Roman"/>
          <w:sz w:val="24"/>
          <w:szCs w:val="24"/>
        </w:rPr>
        <w:t>c</w:t>
      </w:r>
      <w:r w:rsidRPr="009D1813">
        <w:rPr>
          <w:rFonts w:ascii="Times New Roman" w:hAnsi="Times New Roman" w:cs="Times New Roman"/>
          <w:sz w:val="24"/>
          <w:szCs w:val="24"/>
        </w:rPr>
        <w:t>ommitment</w:t>
      </w:r>
      <w:r w:rsidR="003E454F">
        <w:rPr>
          <w:rFonts w:ascii="Times New Roman" w:hAnsi="Times New Roman" w:cs="Times New Roman"/>
          <w:sz w:val="24"/>
          <w:szCs w:val="24"/>
        </w:rPr>
        <w:t>,</w:t>
      </w:r>
      <w:r w:rsidRPr="009D1813">
        <w:rPr>
          <w:rFonts w:ascii="Times New Roman" w:hAnsi="Times New Roman" w:cs="Times New Roman"/>
          <w:sz w:val="24"/>
          <w:szCs w:val="24"/>
        </w:rPr>
        <w:t xml:space="preserve"> to follow the principles of IHL.</w:t>
      </w:r>
      <w:r w:rsidRPr="009D1813">
        <w:rPr>
          <w:rFonts w:ascii="Times New Roman" w:hAnsi="Times New Roman" w:cs="Times New Roman"/>
          <w:position w:val="10"/>
          <w:sz w:val="24"/>
          <w:szCs w:val="24"/>
        </w:rPr>
        <w:t xml:space="preserve"> </w:t>
      </w:r>
      <w:r w:rsidRPr="009D1813">
        <w:rPr>
          <w:rFonts w:ascii="Times New Roman" w:hAnsi="Times New Roman" w:cs="Times New Roman"/>
          <w:sz w:val="24"/>
          <w:szCs w:val="24"/>
        </w:rPr>
        <w:t>S</w:t>
      </w:r>
      <w:r w:rsidR="004B359D">
        <w:rPr>
          <w:rFonts w:ascii="Times New Roman" w:hAnsi="Times New Roman" w:cs="Times New Roman"/>
          <w:sz w:val="24"/>
          <w:szCs w:val="24"/>
        </w:rPr>
        <w:t>k</w:t>
      </w:r>
      <w:r w:rsidRPr="009D1813">
        <w:rPr>
          <w:rFonts w:ascii="Times New Roman" w:hAnsi="Times New Roman" w:cs="Times New Roman"/>
          <w:sz w:val="24"/>
          <w:szCs w:val="24"/>
        </w:rPr>
        <w:t>eptics of this approach might argue that by attributing responsibilities to NSAGs, the international community is headed down a slippery slope of not only legitimizing such actors but also endowing them with state-like attributes—a move that some states with secessionist movements strongly resist. But organizations like Geneva Call insist that this further step is not implied. Its engagement with NSAGs is directed at setting expectations for behavior with respect to a population and civilian infrastructure over which a</w:t>
      </w:r>
      <w:r w:rsidR="00503AB0">
        <w:rPr>
          <w:rFonts w:ascii="Times New Roman" w:hAnsi="Times New Roman" w:cs="Times New Roman"/>
          <w:sz w:val="24"/>
          <w:szCs w:val="24"/>
        </w:rPr>
        <w:t>n</w:t>
      </w:r>
      <w:r w:rsidRPr="009D1813">
        <w:rPr>
          <w:rFonts w:ascii="Times New Roman" w:hAnsi="Times New Roman" w:cs="Times New Roman"/>
          <w:sz w:val="24"/>
          <w:szCs w:val="24"/>
        </w:rPr>
        <w:t xml:space="preserve"> NSAG exercises a measure of control, rather </w:t>
      </w:r>
      <w:r w:rsidR="00F37EE6">
        <w:rPr>
          <w:rFonts w:ascii="Times New Roman" w:hAnsi="Times New Roman" w:cs="Times New Roman"/>
          <w:sz w:val="24"/>
          <w:szCs w:val="24"/>
        </w:rPr>
        <w:t xml:space="preserve">than </w:t>
      </w:r>
      <w:r w:rsidRPr="009D1813">
        <w:rPr>
          <w:rFonts w:ascii="Times New Roman" w:hAnsi="Times New Roman" w:cs="Times New Roman"/>
          <w:sz w:val="24"/>
          <w:szCs w:val="24"/>
        </w:rPr>
        <w:t>to pass judgment on the rightness or wrongness of that control.</w:t>
      </w:r>
      <w:r w:rsidRPr="009D1813">
        <w:rPr>
          <w:rStyle w:val="EndnoteReference"/>
          <w:rFonts w:ascii="Times New Roman" w:hAnsi="Times New Roman" w:cs="Times New Roman"/>
          <w:sz w:val="24"/>
          <w:szCs w:val="24"/>
        </w:rPr>
        <w:endnoteReference w:id="48"/>
      </w:r>
    </w:p>
    <w:p w14:paraId="7FE49F76" w14:textId="46634738" w:rsidR="00F62A39" w:rsidRPr="009D1813" w:rsidRDefault="00C339BF">
      <w:pPr>
        <w:spacing w:line="480" w:lineRule="auto"/>
        <w:contextualSpacing/>
        <w:rPr>
          <w:rFonts w:ascii="Times New Roman" w:hAnsi="Times New Roman" w:cs="Times New Roman"/>
        </w:rPr>
      </w:pPr>
      <w:r>
        <w:rPr>
          <w:rFonts w:ascii="Times New Roman" w:hAnsi="Times New Roman" w:cs="Times New Roman"/>
        </w:rPr>
        <w:tab/>
      </w:r>
      <w:r w:rsidR="00F62A39" w:rsidRPr="009D1813">
        <w:rPr>
          <w:rFonts w:ascii="Times New Roman" w:hAnsi="Times New Roman" w:cs="Times New Roman"/>
        </w:rPr>
        <w:t xml:space="preserve">On first sight, the legal framework regarding the protection of cultural heritage appears to apply more explicitly and directly to NSAGs than does the general legal regime for armed conflict. </w:t>
      </w:r>
      <w:r w:rsidR="003A0F31">
        <w:rPr>
          <w:rFonts w:ascii="Times New Roman" w:hAnsi="Times New Roman" w:cs="Times New Roman"/>
        </w:rPr>
        <w:t>Article 19 of t</w:t>
      </w:r>
      <w:r w:rsidR="00F62A39" w:rsidRPr="009D1813">
        <w:rPr>
          <w:rFonts w:ascii="Times New Roman" w:hAnsi="Times New Roman" w:cs="Times New Roman"/>
        </w:rPr>
        <w:t xml:space="preserve">he 1954 Hague Convention enunciates core obligations for all parties in non-international armed conflict—state </w:t>
      </w:r>
      <w:r w:rsidR="00BA1673">
        <w:rPr>
          <w:rFonts w:ascii="Times New Roman" w:hAnsi="Times New Roman" w:cs="Times New Roman"/>
        </w:rPr>
        <w:t xml:space="preserve">and </w:t>
      </w:r>
      <w:r w:rsidR="006B23AD">
        <w:rPr>
          <w:rFonts w:ascii="Times New Roman" w:hAnsi="Times New Roman" w:cs="Times New Roman"/>
        </w:rPr>
        <w:t>nonstate</w:t>
      </w:r>
      <w:r w:rsidR="00DE5F3C">
        <w:rPr>
          <w:rFonts w:ascii="Times New Roman" w:hAnsi="Times New Roman" w:cs="Times New Roman"/>
        </w:rPr>
        <w:t>—</w:t>
      </w:r>
      <w:r w:rsidR="00C62117">
        <w:rPr>
          <w:rFonts w:ascii="Times New Roman" w:hAnsi="Times New Roman" w:cs="Times New Roman"/>
        </w:rPr>
        <w:t xml:space="preserve">while </w:t>
      </w:r>
      <w:r w:rsidR="003F71CC">
        <w:rPr>
          <w:rFonts w:ascii="Times New Roman" w:hAnsi="Times New Roman" w:cs="Times New Roman"/>
        </w:rPr>
        <w:t>A</w:t>
      </w:r>
      <w:r w:rsidR="00DE5F3C">
        <w:rPr>
          <w:rFonts w:ascii="Times New Roman" w:hAnsi="Times New Roman" w:cs="Times New Roman"/>
        </w:rPr>
        <w:t xml:space="preserve">rticle 4 outlines those </w:t>
      </w:r>
      <w:r w:rsidR="00F62A39" w:rsidRPr="009D1813">
        <w:rPr>
          <w:rFonts w:ascii="Times New Roman" w:hAnsi="Times New Roman" w:cs="Times New Roman"/>
        </w:rPr>
        <w:t>relating to the prohibition of the use of cultural property in ways that might expose it to damage; the prohibition of acts of hostility or reprisal against cultural property; and the obligation to take precautionary measures to prohibit, prevent or cease acts of theft, misappropriation, or vandalism.</w:t>
      </w:r>
    </w:p>
    <w:p w14:paraId="71A285C6" w14:textId="19999F25" w:rsidR="00F62A39" w:rsidRPr="009D1813" w:rsidRDefault="00F62A39">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Nevertheless, when digging a bit deeper, one finds structural asymmetries in </w:t>
      </w:r>
      <w:r w:rsidR="0012138C">
        <w:rPr>
          <w:rFonts w:ascii="Times New Roman" w:hAnsi="Times New Roman" w:cs="Times New Roman"/>
        </w:rPr>
        <w:t>the</w:t>
      </w:r>
      <w:r w:rsidR="0012138C" w:rsidRPr="009D1813">
        <w:rPr>
          <w:rFonts w:ascii="Times New Roman" w:hAnsi="Times New Roman" w:cs="Times New Roman"/>
        </w:rPr>
        <w:t xml:space="preserve"> </w:t>
      </w:r>
      <w:r w:rsidR="0012138C">
        <w:rPr>
          <w:rFonts w:ascii="Times New Roman" w:hAnsi="Times New Roman" w:cs="Times New Roman"/>
        </w:rPr>
        <w:t>c</w:t>
      </w:r>
      <w:r w:rsidRPr="009D1813">
        <w:rPr>
          <w:rFonts w:ascii="Times New Roman" w:hAnsi="Times New Roman" w:cs="Times New Roman"/>
        </w:rPr>
        <w:t xml:space="preserve">onvention which result in more limited provisions for </w:t>
      </w:r>
      <w:r w:rsidR="006B23AD">
        <w:rPr>
          <w:rFonts w:ascii="Times New Roman" w:hAnsi="Times New Roman" w:cs="Times New Roman"/>
        </w:rPr>
        <w:t>nonstate</w:t>
      </w:r>
      <w:r w:rsidRPr="009D1813">
        <w:rPr>
          <w:rFonts w:ascii="Times New Roman" w:hAnsi="Times New Roman" w:cs="Times New Roman"/>
        </w:rPr>
        <w:t xml:space="preserve"> than for </w:t>
      </w:r>
      <w:r w:rsidR="000378B5">
        <w:rPr>
          <w:rFonts w:ascii="Times New Roman" w:hAnsi="Times New Roman" w:cs="Times New Roman"/>
        </w:rPr>
        <w:t>s</w:t>
      </w:r>
      <w:r w:rsidRPr="009D1813">
        <w:rPr>
          <w:rFonts w:ascii="Times New Roman" w:hAnsi="Times New Roman" w:cs="Times New Roman"/>
        </w:rPr>
        <w:t xml:space="preserve">tate parties. </w:t>
      </w:r>
      <w:r w:rsidR="00091120">
        <w:rPr>
          <w:rFonts w:ascii="Times New Roman" w:hAnsi="Times New Roman" w:cs="Times New Roman"/>
        </w:rPr>
        <w:t>F</w:t>
      </w:r>
      <w:r w:rsidRPr="009D1813">
        <w:rPr>
          <w:rFonts w:ascii="Times New Roman" w:hAnsi="Times New Roman" w:cs="Times New Roman"/>
        </w:rPr>
        <w:t xml:space="preserve">or example, Article 7’s provisions on training and safeguarding measures apply only to </w:t>
      </w:r>
      <w:r w:rsidR="00007601">
        <w:rPr>
          <w:rFonts w:ascii="Times New Roman" w:hAnsi="Times New Roman" w:cs="Times New Roman"/>
        </w:rPr>
        <w:t>s</w:t>
      </w:r>
      <w:r w:rsidRPr="009D1813">
        <w:rPr>
          <w:rFonts w:ascii="Times New Roman" w:hAnsi="Times New Roman" w:cs="Times New Roman"/>
        </w:rPr>
        <w:t>tate</w:t>
      </w:r>
      <w:r w:rsidR="00317C32">
        <w:rPr>
          <w:rFonts w:ascii="Times New Roman" w:hAnsi="Times New Roman" w:cs="Times New Roman"/>
        </w:rPr>
        <w:t>s</w:t>
      </w:r>
      <w:r w:rsidRPr="009D1813">
        <w:rPr>
          <w:rFonts w:ascii="Times New Roman" w:hAnsi="Times New Roman" w:cs="Times New Roman"/>
        </w:rPr>
        <w:t>, and there are no mechanisms for the exchange of information between warring parties with respect to the location of cultural property. The latter gap places NSAGs at a distinct disadvantage vis-à-vis national governments</w:t>
      </w:r>
      <w:r w:rsidR="00176037">
        <w:rPr>
          <w:rFonts w:ascii="Times New Roman" w:hAnsi="Times New Roman" w:cs="Times New Roman"/>
        </w:rPr>
        <w:t xml:space="preserve"> in terms of compliance</w:t>
      </w:r>
      <w:r w:rsidRPr="009D1813">
        <w:rPr>
          <w:rFonts w:ascii="Times New Roman" w:hAnsi="Times New Roman" w:cs="Times New Roman"/>
        </w:rPr>
        <w:t xml:space="preserve">, since knowing “the location of cultural property is a prerequisite to ensuring respect for its integrity.” Similarly, </w:t>
      </w:r>
      <w:r w:rsidR="00F4103D">
        <w:rPr>
          <w:rFonts w:ascii="Times New Roman" w:hAnsi="Times New Roman" w:cs="Times New Roman"/>
        </w:rPr>
        <w:t>A</w:t>
      </w:r>
      <w:r w:rsidRPr="009D1813">
        <w:rPr>
          <w:rFonts w:ascii="Times New Roman" w:hAnsi="Times New Roman" w:cs="Times New Roman"/>
        </w:rPr>
        <w:t xml:space="preserve">rticle 28 is ambiguous as to whether NSAGs have the same obligations as </w:t>
      </w:r>
      <w:r w:rsidR="00007601">
        <w:rPr>
          <w:rFonts w:ascii="Times New Roman" w:hAnsi="Times New Roman" w:cs="Times New Roman"/>
        </w:rPr>
        <w:t>s</w:t>
      </w:r>
      <w:r w:rsidRPr="009D1813">
        <w:rPr>
          <w:rFonts w:ascii="Times New Roman" w:hAnsi="Times New Roman" w:cs="Times New Roman"/>
        </w:rPr>
        <w:t xml:space="preserve">tate parties when it comes to prosecuting individuals that have breached the </w:t>
      </w:r>
      <w:r w:rsidR="00007601">
        <w:rPr>
          <w:rFonts w:ascii="Times New Roman" w:hAnsi="Times New Roman" w:cs="Times New Roman"/>
        </w:rPr>
        <w:t>c</w:t>
      </w:r>
      <w:r w:rsidRPr="009D1813">
        <w:rPr>
          <w:rFonts w:ascii="Times New Roman" w:hAnsi="Times New Roman" w:cs="Times New Roman"/>
        </w:rPr>
        <w:t xml:space="preserve">onvention. Finally, Article 23 stipulates that only </w:t>
      </w:r>
      <w:r w:rsidR="00007601">
        <w:rPr>
          <w:rFonts w:ascii="Times New Roman" w:hAnsi="Times New Roman" w:cs="Times New Roman"/>
        </w:rPr>
        <w:t>s</w:t>
      </w:r>
      <w:r w:rsidRPr="009D1813">
        <w:rPr>
          <w:rFonts w:ascii="Times New Roman" w:hAnsi="Times New Roman" w:cs="Times New Roman"/>
        </w:rPr>
        <w:t>tate parties can call upon UNESCO for “technical assistance” in organizing the protection of their cultural property. This has created a “unidirectional” means of communication between NSAGs and UNESCO that exposes the former to difficulty when they require specialist advice or assistance</w:t>
      </w:r>
      <w:r w:rsidR="004E4C65">
        <w:rPr>
          <w:rFonts w:ascii="Times New Roman" w:hAnsi="Times New Roman" w:cs="Times New Roman"/>
        </w:rPr>
        <w:t>,</w:t>
      </w:r>
      <w:r w:rsidRPr="009D1813">
        <w:rPr>
          <w:rFonts w:ascii="Times New Roman" w:hAnsi="Times New Roman" w:cs="Times New Roman"/>
        </w:rPr>
        <w:t xml:space="preserve"> as was the case in Mali in 2012–13, for example, with respect to the protection of rare manuscripts.</w:t>
      </w:r>
      <w:r w:rsidR="003E19EA">
        <w:rPr>
          <w:rStyle w:val="EndnoteReference"/>
          <w:rFonts w:ascii="Times New Roman" w:hAnsi="Times New Roman" w:cs="Times New Roman"/>
        </w:rPr>
        <w:endnoteReference w:id="49"/>
      </w:r>
    </w:p>
    <w:p w14:paraId="5B893D5E" w14:textId="0B84A5B3" w:rsidR="00F62A39" w:rsidRPr="009D1813" w:rsidRDefault="00F62A39">
      <w:pPr>
        <w:spacing w:line="480" w:lineRule="auto"/>
        <w:ind w:firstLine="720"/>
        <w:contextualSpacing/>
        <w:rPr>
          <w:rFonts w:ascii="Times New Roman" w:hAnsi="Times New Roman" w:cs="Times New Roman"/>
        </w:rPr>
      </w:pPr>
      <w:r w:rsidRPr="009D1813">
        <w:rPr>
          <w:rFonts w:ascii="Times New Roman" w:hAnsi="Times New Roman" w:cs="Times New Roman"/>
        </w:rPr>
        <w:t>The 1999 Second Protocol to the Hague Convention reaffirms the application of its rules to non-international armed conflict and contains a number of “enhanced protection” obligations that are directly relevant to NSAGs.</w:t>
      </w:r>
      <w:r w:rsidRPr="009D1813">
        <w:rPr>
          <w:rStyle w:val="EndnoteReference"/>
          <w:rFonts w:ascii="Times New Roman" w:hAnsi="Times New Roman" w:cs="Times New Roman"/>
        </w:rPr>
        <w:endnoteReference w:id="50"/>
      </w:r>
      <w:r w:rsidRPr="009D1813">
        <w:rPr>
          <w:rFonts w:ascii="Times New Roman" w:hAnsi="Times New Roman" w:cs="Times New Roman"/>
        </w:rPr>
        <w:t xml:space="preserve"> Most notably, unlike the Additional Protocols to the Geneva Conventions, this </w:t>
      </w:r>
      <w:r w:rsidR="00BD77B2">
        <w:rPr>
          <w:rFonts w:ascii="Times New Roman" w:hAnsi="Times New Roman" w:cs="Times New Roman"/>
        </w:rPr>
        <w:t xml:space="preserve">one </w:t>
      </w:r>
      <w:r w:rsidRPr="009D1813">
        <w:rPr>
          <w:rFonts w:ascii="Times New Roman" w:hAnsi="Times New Roman" w:cs="Times New Roman"/>
        </w:rPr>
        <w:t xml:space="preserve">applies to all such groups even if they do not control a portion of a </w:t>
      </w:r>
      <w:r w:rsidR="00B703EA">
        <w:rPr>
          <w:rFonts w:ascii="Times New Roman" w:hAnsi="Times New Roman" w:cs="Times New Roman"/>
        </w:rPr>
        <w:t>state</w:t>
      </w:r>
      <w:r w:rsidRPr="009D1813">
        <w:rPr>
          <w:rFonts w:ascii="Times New Roman" w:hAnsi="Times New Roman" w:cs="Times New Roman"/>
        </w:rPr>
        <w:t xml:space="preserve"> party’s territory or if the conflict only involves NSAGs. Furthermore, Article 15</w:t>
      </w:r>
      <w:r w:rsidR="00824BA3">
        <w:rPr>
          <w:rFonts w:ascii="Times New Roman" w:hAnsi="Times New Roman" w:cs="Times New Roman"/>
        </w:rPr>
        <w:t>.</w:t>
      </w:r>
      <w:r w:rsidRPr="009D1813">
        <w:rPr>
          <w:rFonts w:ascii="Times New Roman" w:hAnsi="Times New Roman" w:cs="Times New Roman"/>
        </w:rPr>
        <w:t>1 of the Second Protocol identifies a subset of conduct in violation of its rules that gives rise to universal criminal jurisdiction; as a result, a member of a</w:t>
      </w:r>
      <w:r w:rsidR="00503AB0">
        <w:rPr>
          <w:rFonts w:ascii="Times New Roman" w:hAnsi="Times New Roman" w:cs="Times New Roman"/>
        </w:rPr>
        <w:t>n</w:t>
      </w:r>
      <w:r w:rsidRPr="009D1813">
        <w:rPr>
          <w:rFonts w:ascii="Times New Roman" w:hAnsi="Times New Roman" w:cs="Times New Roman"/>
        </w:rPr>
        <w:t xml:space="preserve"> NSAG that has allegedly committed such acts can be prosecuted or extradited by the </w:t>
      </w:r>
      <w:r w:rsidR="00B703EA">
        <w:rPr>
          <w:rFonts w:ascii="Times New Roman" w:hAnsi="Times New Roman" w:cs="Times New Roman"/>
        </w:rPr>
        <w:t>state</w:t>
      </w:r>
      <w:r w:rsidRPr="009D1813">
        <w:rPr>
          <w:rFonts w:ascii="Times New Roman" w:hAnsi="Times New Roman" w:cs="Times New Roman"/>
        </w:rPr>
        <w:t xml:space="preserve"> party on the territory of which the individual in question is situated.</w:t>
      </w:r>
      <w:r w:rsidRPr="009D1813">
        <w:rPr>
          <w:rStyle w:val="EndnoteReference"/>
          <w:rFonts w:ascii="Times New Roman" w:hAnsi="Times New Roman" w:cs="Times New Roman"/>
        </w:rPr>
        <w:endnoteReference w:id="51"/>
      </w:r>
      <w:r w:rsidRPr="009D1813">
        <w:rPr>
          <w:rFonts w:ascii="Times New Roman" w:hAnsi="Times New Roman" w:cs="Times New Roman"/>
        </w:rPr>
        <w:t xml:space="preserve"> </w:t>
      </w:r>
      <w:r w:rsidR="00A74C62">
        <w:rPr>
          <w:rFonts w:ascii="Times New Roman" w:hAnsi="Times New Roman" w:cs="Times New Roman"/>
        </w:rPr>
        <w:t>A</w:t>
      </w:r>
      <w:r w:rsidRPr="009D1813">
        <w:rPr>
          <w:rFonts w:ascii="Times New Roman" w:hAnsi="Times New Roman" w:cs="Times New Roman"/>
        </w:rPr>
        <w:t>rticle 15</w:t>
      </w:r>
      <w:r w:rsidR="00A74C62">
        <w:rPr>
          <w:rFonts w:ascii="Times New Roman" w:hAnsi="Times New Roman" w:cs="Times New Roman"/>
        </w:rPr>
        <w:t>.</w:t>
      </w:r>
      <w:r w:rsidRPr="009D1813">
        <w:rPr>
          <w:rFonts w:ascii="Times New Roman" w:hAnsi="Times New Roman" w:cs="Times New Roman"/>
        </w:rPr>
        <w:t>2 extends the principle of command responsibility to the leaders of NSAGs, by enabling them to be held criminally responsible for the failure to exercise control over criminal actions that they knew</w:t>
      </w:r>
      <w:r w:rsidR="00637445">
        <w:rPr>
          <w:rFonts w:ascii="Times New Roman" w:hAnsi="Times New Roman" w:cs="Times New Roman"/>
        </w:rPr>
        <w:t xml:space="preserve">, </w:t>
      </w:r>
      <w:r w:rsidRPr="009D1813">
        <w:rPr>
          <w:rFonts w:ascii="Times New Roman" w:hAnsi="Times New Roman" w:cs="Times New Roman"/>
        </w:rPr>
        <w:t>or had reason to know</w:t>
      </w:r>
      <w:r w:rsidR="00637445">
        <w:rPr>
          <w:rFonts w:ascii="Times New Roman" w:hAnsi="Times New Roman" w:cs="Times New Roman"/>
        </w:rPr>
        <w:t>,</w:t>
      </w:r>
      <w:r w:rsidRPr="009D1813">
        <w:rPr>
          <w:rFonts w:ascii="Times New Roman" w:hAnsi="Times New Roman" w:cs="Times New Roman"/>
        </w:rPr>
        <w:t xml:space="preserve"> were being committed by forces under their control. Nonetheless, some of the asymmetries established in the 1954 </w:t>
      </w:r>
      <w:r w:rsidR="003A0F31">
        <w:rPr>
          <w:rFonts w:ascii="Times New Roman" w:hAnsi="Times New Roman" w:cs="Times New Roman"/>
        </w:rPr>
        <w:t>c</w:t>
      </w:r>
      <w:r w:rsidRPr="009D1813">
        <w:rPr>
          <w:rFonts w:ascii="Times New Roman" w:hAnsi="Times New Roman" w:cs="Times New Roman"/>
        </w:rPr>
        <w:t xml:space="preserve">onvention have echoes in the more recent </w:t>
      </w:r>
      <w:r w:rsidR="00637445">
        <w:rPr>
          <w:rFonts w:ascii="Times New Roman" w:hAnsi="Times New Roman" w:cs="Times New Roman"/>
        </w:rPr>
        <w:t>p</w:t>
      </w:r>
      <w:r w:rsidRPr="009D1813">
        <w:rPr>
          <w:rFonts w:ascii="Times New Roman" w:hAnsi="Times New Roman" w:cs="Times New Roman"/>
        </w:rPr>
        <w:t xml:space="preserve">rotocol, including the lack of an explicit right for NSAGs to request technical assistance from UNESCO, and the lack of access for NSAGs to a special </w:t>
      </w:r>
      <w:r w:rsidR="00E8241E">
        <w:rPr>
          <w:rFonts w:ascii="Times New Roman" w:hAnsi="Times New Roman" w:cs="Times New Roman"/>
        </w:rPr>
        <w:t>f</w:t>
      </w:r>
      <w:r w:rsidRPr="009D1813">
        <w:rPr>
          <w:rFonts w:ascii="Times New Roman" w:hAnsi="Times New Roman" w:cs="Times New Roman"/>
        </w:rPr>
        <w:t xml:space="preserve">und established by the </w:t>
      </w:r>
      <w:r w:rsidR="00E8241E">
        <w:rPr>
          <w:rFonts w:ascii="Times New Roman" w:hAnsi="Times New Roman" w:cs="Times New Roman"/>
        </w:rPr>
        <w:t>p</w:t>
      </w:r>
      <w:r w:rsidRPr="009D1813">
        <w:rPr>
          <w:rFonts w:ascii="Times New Roman" w:hAnsi="Times New Roman" w:cs="Times New Roman"/>
        </w:rPr>
        <w:t>rotocol to assist with undertaking safeguarding measures for cultural property (Articles 29 and 32).</w:t>
      </w:r>
    </w:p>
    <w:p w14:paraId="65C18E60" w14:textId="72C9BB29" w:rsidR="00F62A39" w:rsidRPr="009D1813" w:rsidRDefault="00F62A39">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Beyond the 1954 </w:t>
      </w:r>
      <w:r w:rsidR="003A0F31">
        <w:rPr>
          <w:rFonts w:ascii="Times New Roman" w:hAnsi="Times New Roman" w:cs="Times New Roman"/>
        </w:rPr>
        <w:t>c</w:t>
      </w:r>
      <w:r w:rsidRPr="009D1813">
        <w:rPr>
          <w:rFonts w:ascii="Times New Roman" w:hAnsi="Times New Roman" w:cs="Times New Roman"/>
        </w:rPr>
        <w:t xml:space="preserve">onvention and </w:t>
      </w:r>
      <w:r w:rsidR="00F9078B">
        <w:rPr>
          <w:rFonts w:ascii="Times New Roman" w:hAnsi="Times New Roman" w:cs="Times New Roman"/>
        </w:rPr>
        <w:t xml:space="preserve">1999 Second </w:t>
      </w:r>
      <w:r w:rsidRPr="009D1813">
        <w:rPr>
          <w:rFonts w:ascii="Times New Roman" w:hAnsi="Times New Roman" w:cs="Times New Roman"/>
        </w:rPr>
        <w:t xml:space="preserve">Protocol, other </w:t>
      </w:r>
      <w:r w:rsidR="00A52958">
        <w:rPr>
          <w:rFonts w:ascii="Times New Roman" w:hAnsi="Times New Roman" w:cs="Times New Roman"/>
        </w:rPr>
        <w:t>hard</w:t>
      </w:r>
      <w:r w:rsidR="00A52958" w:rsidRPr="009D1813">
        <w:rPr>
          <w:rFonts w:ascii="Times New Roman" w:hAnsi="Times New Roman" w:cs="Times New Roman"/>
        </w:rPr>
        <w:t xml:space="preserve"> </w:t>
      </w:r>
      <w:r w:rsidRPr="009D1813">
        <w:rPr>
          <w:rFonts w:ascii="Times New Roman" w:hAnsi="Times New Roman" w:cs="Times New Roman"/>
        </w:rPr>
        <w:t>and soft law instruments relat</w:t>
      </w:r>
      <w:r w:rsidR="0058721C">
        <w:rPr>
          <w:rFonts w:ascii="Times New Roman" w:hAnsi="Times New Roman" w:cs="Times New Roman"/>
        </w:rPr>
        <w:t>e</w:t>
      </w:r>
      <w:r w:rsidRPr="009D1813">
        <w:rPr>
          <w:rFonts w:ascii="Times New Roman" w:hAnsi="Times New Roman" w:cs="Times New Roman"/>
        </w:rPr>
        <w:t xml:space="preserve"> to the protection of cultural property and heritage that create varying obligations for NSAGs. In addition, as noted above, significant advances in international criminal law, through the jurisprudence of the International Criminal Tribunal for the </w:t>
      </w:r>
      <w:r w:rsidR="00300F6B">
        <w:rPr>
          <w:rFonts w:ascii="Times New Roman" w:hAnsi="Times New Roman" w:cs="Times New Roman"/>
        </w:rPr>
        <w:t>f</w:t>
      </w:r>
      <w:r w:rsidRPr="009D1813">
        <w:rPr>
          <w:rFonts w:ascii="Times New Roman" w:hAnsi="Times New Roman" w:cs="Times New Roman"/>
        </w:rPr>
        <w:t xml:space="preserve">ormer Yugoslavia (ICTY) and the </w:t>
      </w:r>
      <w:r w:rsidR="00977294">
        <w:rPr>
          <w:rFonts w:ascii="Times New Roman" w:hAnsi="Times New Roman" w:cs="Times New Roman"/>
        </w:rPr>
        <w:t xml:space="preserve">ICC’s </w:t>
      </w:r>
      <w:r w:rsidRPr="009D1813">
        <w:rPr>
          <w:rFonts w:ascii="Times New Roman" w:hAnsi="Times New Roman" w:cs="Times New Roman"/>
        </w:rPr>
        <w:t>Rome Statute, now establish that attacks by members of NSAGs on cultural heritage can constitute a war crime (in both non-international and international armed conflicts); can be considered a crime against humanity when they amount to “persecution” against an identifiable group; or can be deemed to demonstrate the intent to commit genocide.</w:t>
      </w:r>
      <w:r w:rsidRPr="009D1813">
        <w:rPr>
          <w:rStyle w:val="EndnoteReference"/>
          <w:rFonts w:ascii="Times New Roman" w:hAnsi="Times New Roman" w:cs="Times New Roman"/>
        </w:rPr>
        <w:endnoteReference w:id="52"/>
      </w:r>
      <w:r w:rsidRPr="009D1813">
        <w:rPr>
          <w:rFonts w:ascii="Times New Roman" w:hAnsi="Times New Roman" w:cs="Times New Roman"/>
        </w:rPr>
        <w:t xml:space="preserve"> Lastly, it is worth underscoring the moves taken by the UN Security Council to request that all parties to conflicts—</w:t>
      </w:r>
      <w:r w:rsidR="0002395C">
        <w:rPr>
          <w:rFonts w:ascii="Times New Roman" w:hAnsi="Times New Roman" w:cs="Times New Roman"/>
        </w:rPr>
        <w:t>s</w:t>
      </w:r>
      <w:r w:rsidRPr="009D1813">
        <w:rPr>
          <w:rFonts w:ascii="Times New Roman" w:hAnsi="Times New Roman" w:cs="Times New Roman"/>
        </w:rPr>
        <w:t xml:space="preserve">tate and </w:t>
      </w:r>
      <w:r w:rsidR="006B23AD">
        <w:rPr>
          <w:rFonts w:ascii="Times New Roman" w:hAnsi="Times New Roman" w:cs="Times New Roman"/>
        </w:rPr>
        <w:t>nonstate</w:t>
      </w:r>
      <w:r w:rsidRPr="009D1813">
        <w:rPr>
          <w:rFonts w:ascii="Times New Roman" w:hAnsi="Times New Roman" w:cs="Times New Roman"/>
        </w:rPr>
        <w:t>—halt damage to cultural heritage (</w:t>
      </w:r>
      <w:r w:rsidR="00D25376">
        <w:rPr>
          <w:rFonts w:ascii="Times New Roman" w:hAnsi="Times New Roman" w:cs="Times New Roman"/>
        </w:rPr>
        <w:t>e.g.,</w:t>
      </w:r>
      <w:r w:rsidRPr="009D1813">
        <w:rPr>
          <w:rFonts w:ascii="Times New Roman" w:hAnsi="Times New Roman" w:cs="Times New Roman"/>
        </w:rPr>
        <w:t xml:space="preserve"> </w:t>
      </w:r>
      <w:r w:rsidR="00D25376">
        <w:rPr>
          <w:rFonts w:ascii="Times New Roman" w:hAnsi="Times New Roman" w:cs="Times New Roman"/>
        </w:rPr>
        <w:t>r</w:t>
      </w:r>
      <w:r w:rsidRPr="009D1813">
        <w:rPr>
          <w:rFonts w:ascii="Times New Roman" w:hAnsi="Times New Roman" w:cs="Times New Roman"/>
        </w:rPr>
        <w:t>esolution 2056 in relation to Mali</w:t>
      </w:r>
      <w:r w:rsidRPr="009D1813">
        <w:rPr>
          <w:rStyle w:val="EndnoteReference"/>
          <w:rFonts w:ascii="Times New Roman" w:hAnsi="Times New Roman" w:cs="Times New Roman"/>
        </w:rPr>
        <w:endnoteReference w:id="53"/>
      </w:r>
      <w:r w:rsidRPr="009D1813">
        <w:rPr>
          <w:rFonts w:ascii="Times New Roman" w:hAnsi="Times New Roman" w:cs="Times New Roman"/>
        </w:rPr>
        <w:t>) or take proactive steps to protect cultural property (</w:t>
      </w:r>
      <w:r w:rsidR="00AC3AA1">
        <w:rPr>
          <w:rFonts w:ascii="Times New Roman" w:hAnsi="Times New Roman" w:cs="Times New Roman"/>
        </w:rPr>
        <w:t xml:space="preserve">e.g., </w:t>
      </w:r>
      <w:r w:rsidR="00D25376">
        <w:rPr>
          <w:rFonts w:ascii="Times New Roman" w:hAnsi="Times New Roman" w:cs="Times New Roman"/>
        </w:rPr>
        <w:t>r</w:t>
      </w:r>
      <w:r w:rsidRPr="009D1813">
        <w:rPr>
          <w:rFonts w:ascii="Times New Roman" w:hAnsi="Times New Roman" w:cs="Times New Roman"/>
        </w:rPr>
        <w:t xml:space="preserve">esolution 2139 in </w:t>
      </w:r>
      <w:r w:rsidR="00705DE6">
        <w:rPr>
          <w:rFonts w:ascii="Times New Roman" w:hAnsi="Times New Roman" w:cs="Times New Roman"/>
        </w:rPr>
        <w:t>regard</w:t>
      </w:r>
      <w:r w:rsidR="00705DE6" w:rsidRPr="009D1813">
        <w:rPr>
          <w:rFonts w:ascii="Times New Roman" w:hAnsi="Times New Roman" w:cs="Times New Roman"/>
        </w:rPr>
        <w:t xml:space="preserve"> </w:t>
      </w:r>
      <w:r w:rsidRPr="009D1813">
        <w:rPr>
          <w:rFonts w:ascii="Times New Roman" w:hAnsi="Times New Roman" w:cs="Times New Roman"/>
        </w:rPr>
        <w:t>to Syria).</w:t>
      </w:r>
    </w:p>
    <w:p w14:paraId="732F3FD0" w14:textId="4AC88358" w:rsidR="00F62A39" w:rsidRPr="009D1813" w:rsidRDefault="00F62A39">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This overview of the legal framework suggests that the primary challenge in protecting cultural heritage is not the creation of new rules to regulate the behavior of NSAGs, but rather ensuring compliance with already existing obligations. While ideally some of the imbalance between </w:t>
      </w:r>
      <w:r w:rsidR="0002395C">
        <w:rPr>
          <w:rFonts w:ascii="Times New Roman" w:hAnsi="Times New Roman" w:cs="Times New Roman"/>
        </w:rPr>
        <w:t>s</w:t>
      </w:r>
      <w:r w:rsidRPr="009D1813">
        <w:rPr>
          <w:rFonts w:ascii="Times New Roman" w:hAnsi="Times New Roman" w:cs="Times New Roman"/>
        </w:rPr>
        <w:t xml:space="preserve">tate and </w:t>
      </w:r>
      <w:r w:rsidR="006B23AD">
        <w:rPr>
          <w:rFonts w:ascii="Times New Roman" w:hAnsi="Times New Roman" w:cs="Times New Roman"/>
        </w:rPr>
        <w:t>nonstate</w:t>
      </w:r>
      <w:r w:rsidRPr="009D1813">
        <w:rPr>
          <w:rFonts w:ascii="Times New Roman" w:hAnsi="Times New Roman" w:cs="Times New Roman"/>
        </w:rPr>
        <w:t xml:space="preserve"> rights and obligations should be rectified—much in the same way that lawyers are pressing for harmonization in the rules applying to international and non-international armed conflict</w:t>
      </w:r>
      <w:r w:rsidRPr="009D1813">
        <w:rPr>
          <w:rStyle w:val="EndnoteReference"/>
          <w:rFonts w:ascii="Times New Roman" w:hAnsi="Times New Roman" w:cs="Times New Roman"/>
        </w:rPr>
        <w:endnoteReference w:id="54"/>
      </w:r>
      <w:r w:rsidRPr="009D1813">
        <w:rPr>
          <w:rFonts w:ascii="Times New Roman" w:hAnsi="Times New Roman" w:cs="Times New Roman"/>
        </w:rPr>
        <w:t>—the more urgent task is to develop strategies and tactics for encouraging and enabling NSAGs to adopt safeguarding measures and exercise restraint in their belligerent conduct.</w:t>
      </w:r>
    </w:p>
    <w:p w14:paraId="38440CF6" w14:textId="77777777" w:rsidR="003F365F" w:rsidRDefault="00F62A39" w:rsidP="001D0FD0">
      <w:pPr>
        <w:pStyle w:val="Heading2"/>
      </w:pPr>
      <w:r w:rsidRPr="009D1813">
        <w:br/>
        <w:t xml:space="preserve">Understanding Sources and </w:t>
      </w:r>
      <w:r w:rsidRPr="001D0FD0">
        <w:t>Possibilities</w:t>
      </w:r>
      <w:r w:rsidRPr="009D1813">
        <w:t xml:space="preserve"> for Restraint</w:t>
      </w:r>
    </w:p>
    <w:p w14:paraId="33C238EC" w14:textId="1F9B70A4" w:rsidR="00F62A39" w:rsidRPr="009D1813" w:rsidRDefault="00F62A39" w:rsidP="00510953">
      <w:pPr>
        <w:widowControl w:val="0"/>
        <w:autoSpaceDE w:val="0"/>
        <w:autoSpaceDN w:val="0"/>
        <w:adjustRightInd w:val="0"/>
        <w:spacing w:line="480" w:lineRule="auto"/>
        <w:contextualSpacing/>
        <w:rPr>
          <w:rFonts w:ascii="Times New Roman" w:hAnsi="Times New Roman" w:cs="Times New Roman"/>
        </w:rPr>
      </w:pPr>
      <w:r w:rsidRPr="009D1813">
        <w:rPr>
          <w:rFonts w:ascii="Times New Roman" w:hAnsi="Times New Roman" w:cs="Times New Roman"/>
        </w:rPr>
        <w:t>The discussion thus far has highlighted two main openings for engagement with NSAGs with respect to the protection of cultural heritage: the fact that not all NSAGs are alike and that some have strong motivations for modifying destructive behavior; and</w:t>
      </w:r>
      <w:r w:rsidR="00287F51">
        <w:rPr>
          <w:rFonts w:ascii="Times New Roman" w:hAnsi="Times New Roman" w:cs="Times New Roman"/>
        </w:rPr>
        <w:t xml:space="preserve"> </w:t>
      </w:r>
      <w:r w:rsidRPr="009D1813">
        <w:rPr>
          <w:rFonts w:ascii="Times New Roman" w:hAnsi="Times New Roman" w:cs="Times New Roman"/>
        </w:rPr>
        <w:t xml:space="preserve">that such groups can be held accountable for breaches of international humanitarian </w:t>
      </w:r>
      <w:r w:rsidR="00722156">
        <w:rPr>
          <w:rFonts w:ascii="Times New Roman" w:hAnsi="Times New Roman" w:cs="Times New Roman"/>
        </w:rPr>
        <w:t xml:space="preserve">law </w:t>
      </w:r>
      <w:r w:rsidRPr="009D1813">
        <w:rPr>
          <w:rFonts w:ascii="Times New Roman" w:hAnsi="Times New Roman" w:cs="Times New Roman"/>
        </w:rPr>
        <w:t xml:space="preserve">and their individual members for violations of international criminal law. For almost two decades, the ICRC has built on these insights to intensify its efforts to persuade belligerents to comply with the legal and normative regime regulating armed conflict. The first ICRC-sponsored study on this theme, </w:t>
      </w:r>
      <w:r w:rsidRPr="009D1813">
        <w:rPr>
          <w:rFonts w:ascii="Times New Roman" w:hAnsi="Times New Roman" w:cs="Times New Roman"/>
          <w:i/>
          <w:iCs/>
        </w:rPr>
        <w:t>The Roots of Behavio</w:t>
      </w:r>
      <w:r w:rsidR="00932E63">
        <w:rPr>
          <w:rFonts w:ascii="Times New Roman" w:hAnsi="Times New Roman" w:cs="Times New Roman"/>
          <w:i/>
          <w:iCs/>
        </w:rPr>
        <w:t>u</w:t>
      </w:r>
      <w:r w:rsidRPr="009D1813">
        <w:rPr>
          <w:rFonts w:ascii="Times New Roman" w:hAnsi="Times New Roman" w:cs="Times New Roman"/>
          <w:i/>
          <w:iCs/>
        </w:rPr>
        <w:t>r in War</w:t>
      </w:r>
      <w:r w:rsidRPr="009D1813">
        <w:rPr>
          <w:rFonts w:ascii="Times New Roman" w:hAnsi="Times New Roman" w:cs="Times New Roman"/>
          <w:iCs/>
        </w:rPr>
        <w:t>,</w:t>
      </w:r>
      <w:r w:rsidRPr="009D1813">
        <w:rPr>
          <w:rStyle w:val="EndnoteReference"/>
          <w:rFonts w:ascii="Times New Roman" w:hAnsi="Times New Roman" w:cs="Times New Roman"/>
          <w:iCs/>
        </w:rPr>
        <w:endnoteReference w:id="55"/>
      </w:r>
      <w:r w:rsidRPr="009D1813">
        <w:rPr>
          <w:rFonts w:ascii="Times New Roman" w:hAnsi="Times New Roman" w:cs="Times New Roman"/>
          <w:position w:val="8"/>
        </w:rPr>
        <w:t xml:space="preserve"> </w:t>
      </w:r>
      <w:r w:rsidRPr="009D1813">
        <w:rPr>
          <w:rFonts w:ascii="Times New Roman" w:hAnsi="Times New Roman" w:cs="Times New Roman"/>
        </w:rPr>
        <w:t>explored the social and psychological processes that condition the behavior of fighters during armed conflict, including the pressures of group conformity. The findings of this initial wave of research led the ICRC to expand its focus from boosting awareness of the law to ensuring</w:t>
      </w:r>
      <w:r w:rsidR="00A52958">
        <w:rPr>
          <w:rFonts w:ascii="Times New Roman" w:hAnsi="Times New Roman" w:cs="Times New Roman"/>
        </w:rPr>
        <w:t xml:space="preserve"> that</w:t>
      </w:r>
      <w:r w:rsidRPr="009D1813">
        <w:rPr>
          <w:rFonts w:ascii="Times New Roman" w:hAnsi="Times New Roman" w:cs="Times New Roman"/>
        </w:rPr>
        <w:t xml:space="preserve"> it was better integrated into the inner workings of armed forces and armed groups, including through doctrine, training, and measures for sanctioning breaches of legal frameworks. But despite the merits of this “integrated approach,” </w:t>
      </w:r>
      <w:r w:rsidR="00A52958">
        <w:rPr>
          <w:rFonts w:ascii="Times New Roman" w:hAnsi="Times New Roman" w:cs="Times New Roman"/>
        </w:rPr>
        <w:t>the ICRC</w:t>
      </w:r>
      <w:r w:rsidR="00A52958" w:rsidRPr="009D1813">
        <w:rPr>
          <w:rFonts w:ascii="Times New Roman" w:hAnsi="Times New Roman" w:cs="Times New Roman"/>
        </w:rPr>
        <w:t xml:space="preserve"> </w:t>
      </w:r>
      <w:r w:rsidRPr="009D1813">
        <w:rPr>
          <w:rFonts w:ascii="Times New Roman" w:hAnsi="Times New Roman" w:cs="Times New Roman"/>
        </w:rPr>
        <w:t>continued to pursue modifications in levels of violence through the lens of legal obligation, without sufficient attention to more local norms or values that underpin the behavior of conflict parties, and to the degree of variation in levels of restraint exhibited by belligerents. Moreover, while the integrated approach had some traction in conflict parties with a vertical or hierarchical structure, it struggled to address the increasingly horizontal and decentralized structure of many NSAGs.</w:t>
      </w:r>
      <w:r w:rsidRPr="009D1813">
        <w:rPr>
          <w:rStyle w:val="EndnoteReference"/>
          <w:rFonts w:ascii="Times New Roman" w:hAnsi="Times New Roman" w:cs="Times New Roman"/>
        </w:rPr>
        <w:endnoteReference w:id="56"/>
      </w:r>
    </w:p>
    <w:p w14:paraId="007E191A" w14:textId="7A0F6142" w:rsidR="00F62A39" w:rsidRPr="009D1813" w:rsidRDefault="00F62A39" w:rsidP="00510953">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The most recent research sponsored</w:t>
      </w:r>
      <w:r w:rsidR="00B071EA">
        <w:rPr>
          <w:rFonts w:ascii="Times New Roman" w:hAnsi="Times New Roman" w:cs="Times New Roman"/>
        </w:rPr>
        <w:t xml:space="preserve"> by</w:t>
      </w:r>
      <w:r w:rsidRPr="009D1813">
        <w:rPr>
          <w:rFonts w:ascii="Times New Roman" w:hAnsi="Times New Roman" w:cs="Times New Roman"/>
        </w:rPr>
        <w:t xml:space="preserve"> the ICRC has therefore focused more squarely on how restraint is</w:t>
      </w:r>
      <w:r w:rsidR="00B071EA">
        <w:rPr>
          <w:rFonts w:ascii="Times New Roman" w:hAnsi="Times New Roman" w:cs="Times New Roman"/>
        </w:rPr>
        <w:t>,</w:t>
      </w:r>
      <w:r w:rsidRPr="009D1813">
        <w:rPr>
          <w:rFonts w:ascii="Times New Roman" w:hAnsi="Times New Roman" w:cs="Times New Roman"/>
        </w:rPr>
        <w:t xml:space="preserve"> or could be</w:t>
      </w:r>
      <w:r w:rsidR="00B071EA">
        <w:rPr>
          <w:rFonts w:ascii="Times New Roman" w:hAnsi="Times New Roman" w:cs="Times New Roman"/>
        </w:rPr>
        <w:t>,</w:t>
      </w:r>
      <w:r w:rsidRPr="009D1813">
        <w:rPr>
          <w:rFonts w:ascii="Times New Roman" w:hAnsi="Times New Roman" w:cs="Times New Roman"/>
        </w:rPr>
        <w:t xml:space="preserve"> generated in different types of armed actor</w:t>
      </w:r>
      <w:r w:rsidR="00E143EA">
        <w:rPr>
          <w:rFonts w:ascii="Times New Roman" w:hAnsi="Times New Roman" w:cs="Times New Roman"/>
        </w:rPr>
        <w:t>s</w:t>
      </w:r>
      <w:r w:rsidRPr="009D1813">
        <w:rPr>
          <w:rFonts w:ascii="Times New Roman" w:hAnsi="Times New Roman" w:cs="Times New Roman"/>
        </w:rPr>
        <w:t>.</w:t>
      </w:r>
      <w:r w:rsidRPr="009D1813">
        <w:rPr>
          <w:rStyle w:val="EndnoteReference"/>
          <w:rFonts w:ascii="Times New Roman" w:hAnsi="Times New Roman" w:cs="Times New Roman"/>
        </w:rPr>
        <w:endnoteReference w:id="57"/>
      </w:r>
      <w:r w:rsidRPr="009D1813">
        <w:rPr>
          <w:rFonts w:ascii="Times New Roman" w:hAnsi="Times New Roman" w:cs="Times New Roman"/>
        </w:rPr>
        <w:t xml:space="preserve"> In so doing, it builds on a new wave of conflict studies that goes beyond describing and explaining different types or </w:t>
      </w:r>
      <w:r w:rsidR="000C4F4E">
        <w:rPr>
          <w:rFonts w:ascii="Times New Roman" w:hAnsi="Times New Roman" w:cs="Times New Roman"/>
        </w:rPr>
        <w:t>“</w:t>
      </w:r>
      <w:r w:rsidRPr="009D1813">
        <w:rPr>
          <w:rFonts w:ascii="Times New Roman" w:hAnsi="Times New Roman" w:cs="Times New Roman"/>
        </w:rPr>
        <w:t>repertoires</w:t>
      </w:r>
      <w:r w:rsidR="000C4F4E">
        <w:rPr>
          <w:rFonts w:ascii="Times New Roman" w:hAnsi="Times New Roman" w:cs="Times New Roman"/>
        </w:rPr>
        <w:t>”</w:t>
      </w:r>
      <w:r w:rsidRPr="009D1813">
        <w:rPr>
          <w:rFonts w:ascii="Times New Roman" w:hAnsi="Times New Roman" w:cs="Times New Roman"/>
        </w:rPr>
        <w:t xml:space="preserve"> of violence in war and instead treats restraint as the “outcome of interest.”</w:t>
      </w:r>
      <w:r w:rsidRPr="009D1813">
        <w:rPr>
          <w:rStyle w:val="EndnoteReference"/>
          <w:rFonts w:ascii="Times New Roman" w:hAnsi="Times New Roman" w:cs="Times New Roman"/>
        </w:rPr>
        <w:endnoteReference w:id="58"/>
      </w:r>
      <w:r w:rsidRPr="009D1813">
        <w:rPr>
          <w:rFonts w:ascii="Times New Roman" w:hAnsi="Times New Roman" w:cs="Times New Roman"/>
        </w:rPr>
        <w:t xml:space="preserve"> While to date this scholarship has mostly considered state forces and has not yet generated a parsimonious causal explanation for how restraint is achieved,</w:t>
      </w:r>
      <w:r w:rsidRPr="009D1813">
        <w:rPr>
          <w:rStyle w:val="EndnoteReference"/>
          <w:rFonts w:ascii="Times New Roman" w:hAnsi="Times New Roman" w:cs="Times New Roman"/>
        </w:rPr>
        <w:endnoteReference w:id="59"/>
      </w:r>
      <w:r w:rsidRPr="009D1813">
        <w:rPr>
          <w:rFonts w:ascii="Times New Roman" w:hAnsi="Times New Roman" w:cs="Times New Roman"/>
        </w:rPr>
        <w:t xml:space="preserve"> the ICRC’s </w:t>
      </w:r>
      <w:r w:rsidRPr="002E2F26">
        <w:rPr>
          <w:rFonts w:ascii="Times New Roman" w:hAnsi="Times New Roman" w:cs="Times New Roman"/>
          <w:i/>
          <w:iCs/>
        </w:rPr>
        <w:t>Roots of Restraint in War</w:t>
      </w:r>
      <w:r w:rsidRPr="009D1813">
        <w:rPr>
          <w:rFonts w:ascii="Times New Roman" w:hAnsi="Times New Roman" w:cs="Times New Roman"/>
          <w:i/>
          <w:iCs/>
        </w:rPr>
        <w:t xml:space="preserve"> </w:t>
      </w:r>
      <w:r w:rsidRPr="009D1813">
        <w:rPr>
          <w:rFonts w:ascii="Times New Roman" w:hAnsi="Times New Roman" w:cs="Times New Roman"/>
        </w:rPr>
        <w:t xml:space="preserve">project </w:t>
      </w:r>
      <w:r w:rsidR="002E2F26">
        <w:rPr>
          <w:rFonts w:ascii="Times New Roman" w:hAnsi="Times New Roman" w:cs="Times New Roman"/>
        </w:rPr>
        <w:t xml:space="preserve">and report </w:t>
      </w:r>
      <w:r w:rsidRPr="009D1813">
        <w:rPr>
          <w:rFonts w:ascii="Times New Roman" w:hAnsi="Times New Roman" w:cs="Times New Roman"/>
        </w:rPr>
        <w:t>ha</w:t>
      </w:r>
      <w:r w:rsidR="002E2F26">
        <w:rPr>
          <w:rFonts w:ascii="Times New Roman" w:hAnsi="Times New Roman" w:cs="Times New Roman"/>
        </w:rPr>
        <w:t>ve</w:t>
      </w:r>
      <w:r w:rsidRPr="009D1813">
        <w:rPr>
          <w:rFonts w:ascii="Times New Roman" w:hAnsi="Times New Roman" w:cs="Times New Roman"/>
        </w:rPr>
        <w:t xml:space="preserve"> more closely examined the </w:t>
      </w:r>
      <w:r w:rsidRPr="009D1813">
        <w:rPr>
          <w:rFonts w:ascii="Times New Roman" w:hAnsi="Times New Roman" w:cs="Times New Roman"/>
          <w:i/>
          <w:iCs/>
        </w:rPr>
        <w:t>process</w:t>
      </w:r>
      <w:r w:rsidRPr="009D1813">
        <w:rPr>
          <w:rFonts w:ascii="Times New Roman" w:hAnsi="Times New Roman" w:cs="Times New Roman"/>
        </w:rPr>
        <w:t xml:space="preserve"> of engendering restraint, with the hope of providing more policy-relevant and actionable insights.</w:t>
      </w:r>
    </w:p>
    <w:p w14:paraId="015A262E" w14:textId="0B963119" w:rsidR="00F62A39" w:rsidRPr="009D1813" w:rsidRDefault="00F62A39">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More specifically, the project advances an analytical framework centered on processes of socialization, whereby a “culture of restraint” is generated and maintained through the instilling of social norms. Drawing on research on different types of socialization,</w:t>
      </w:r>
      <w:r w:rsidRPr="009D1813">
        <w:rPr>
          <w:rStyle w:val="EndnoteReference"/>
          <w:rFonts w:ascii="Times New Roman" w:hAnsi="Times New Roman" w:cs="Times New Roman"/>
        </w:rPr>
        <w:endnoteReference w:id="60"/>
      </w:r>
      <w:r w:rsidRPr="009D1813">
        <w:rPr>
          <w:rFonts w:ascii="Times New Roman" w:hAnsi="Times New Roman" w:cs="Times New Roman"/>
        </w:rPr>
        <w:t xml:space="preserve"> the report emphasizes the need to move from situations in which norms are adopted by actors on the basis of instrumental calculation (to secure reward or avoid punishment) or in order to conform to group expectations, toward a situation in which norms become part of a belligerent’s identity and are seen as the</w:t>
      </w:r>
      <w:r w:rsidR="000C4F4E">
        <w:rPr>
          <w:rFonts w:ascii="Times New Roman" w:hAnsi="Times New Roman" w:cs="Times New Roman"/>
        </w:rPr>
        <w:t xml:space="preserve"> “</w:t>
      </w:r>
      <w:r w:rsidRPr="009D1813">
        <w:rPr>
          <w:rFonts w:ascii="Times New Roman" w:hAnsi="Times New Roman" w:cs="Times New Roman"/>
        </w:rPr>
        <w:t>right thing to do</w:t>
      </w:r>
      <w:r w:rsidR="00F44270">
        <w:rPr>
          <w:rFonts w:ascii="Times New Roman" w:hAnsi="Times New Roman" w:cs="Times New Roman"/>
        </w:rPr>
        <w:t>.”</w:t>
      </w:r>
      <w:r w:rsidRPr="009D1813">
        <w:rPr>
          <w:rFonts w:ascii="Times New Roman" w:hAnsi="Times New Roman" w:cs="Times New Roman"/>
        </w:rPr>
        <w:t xml:space="preserve"> Though IHL remains vital in setting standards for behavior, it is only by encouraging individual combatants to internalize the values underpinning law, through socialization, that restraint becomes more enduring.</w:t>
      </w:r>
      <w:r w:rsidRPr="009D1813">
        <w:rPr>
          <w:rStyle w:val="EndnoteReference"/>
          <w:rFonts w:ascii="Times New Roman" w:hAnsi="Times New Roman" w:cs="Times New Roman"/>
        </w:rPr>
        <w:endnoteReference w:id="61"/>
      </w:r>
    </w:p>
    <w:p w14:paraId="018134B3" w14:textId="6FD5EE11" w:rsidR="00F62A39" w:rsidRPr="009D1813" w:rsidRDefault="00F62A39">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Two of the five axes of variation in NSAGs outlined earlier are the starting point for determining how norms conducive to restraint can be formed and reinforced: organizational structure and community</w:t>
      </w:r>
      <w:r w:rsidR="00A82B2F">
        <w:rPr>
          <w:rFonts w:ascii="Times New Roman" w:hAnsi="Times New Roman" w:cs="Times New Roman"/>
        </w:rPr>
        <w:t xml:space="preserve"> </w:t>
      </w:r>
      <w:r w:rsidRPr="009D1813">
        <w:rPr>
          <w:rFonts w:ascii="Times New Roman" w:hAnsi="Times New Roman" w:cs="Times New Roman"/>
        </w:rPr>
        <w:t xml:space="preserve">embeddedness. A core finding of </w:t>
      </w:r>
      <w:r w:rsidR="00E94BEE">
        <w:rPr>
          <w:rFonts w:ascii="Times New Roman" w:hAnsi="Times New Roman" w:cs="Times New Roman"/>
        </w:rPr>
        <w:t xml:space="preserve">the </w:t>
      </w:r>
      <w:r w:rsidRPr="009D1813">
        <w:rPr>
          <w:rFonts w:ascii="Times New Roman" w:hAnsi="Times New Roman" w:cs="Times New Roman"/>
        </w:rPr>
        <w:t>ICRC’s research is that different configurations of these two variables suggest different approaches and points of access for most effectively promoting restraint.</w:t>
      </w:r>
      <w:r w:rsidRPr="009D1813">
        <w:rPr>
          <w:rStyle w:val="EndnoteReference"/>
          <w:rFonts w:ascii="Times New Roman" w:hAnsi="Times New Roman" w:cs="Times New Roman"/>
        </w:rPr>
        <w:endnoteReference w:id="62"/>
      </w:r>
      <w:r w:rsidRPr="009D1813">
        <w:rPr>
          <w:rFonts w:ascii="Times New Roman" w:hAnsi="Times New Roman" w:cs="Times New Roman"/>
        </w:rPr>
        <w:t xml:space="preserve"> Furthermore, whether the conflict party is a state or </w:t>
      </w:r>
      <w:r w:rsidR="006B23AD">
        <w:rPr>
          <w:rFonts w:ascii="Times New Roman" w:hAnsi="Times New Roman" w:cs="Times New Roman"/>
        </w:rPr>
        <w:t>nonstate</w:t>
      </w:r>
      <w:r w:rsidRPr="009D1813">
        <w:rPr>
          <w:rFonts w:ascii="Times New Roman" w:hAnsi="Times New Roman" w:cs="Times New Roman"/>
        </w:rPr>
        <w:t xml:space="preserve"> actor will determine which influences shape an individual combatant’s understanding of, and respect for, norms of restraint. Although individuals might adhere to certain norms for a range of religious, cultural, or personal reasons (which exist independently from or prior to their membership in an armed group), organizational structure will help pinpoint which of the following sources of restraint will be most influential: commanders, group ideologies and institutions, peer groups, and external pressures. For example, though hierarchical armed groups might be amenable to top-down training approaches led by commanders, decentralized armed groups often do not have written codes of conduct and individual subcommanders exercise significant authority</w:t>
      </w:r>
      <w:r w:rsidR="00093128">
        <w:rPr>
          <w:rFonts w:ascii="Times New Roman" w:hAnsi="Times New Roman" w:cs="Times New Roman"/>
        </w:rPr>
        <w:t xml:space="preserve">, </w:t>
      </w:r>
      <w:r w:rsidRPr="009D1813">
        <w:rPr>
          <w:rFonts w:ascii="Times New Roman" w:hAnsi="Times New Roman" w:cs="Times New Roman"/>
        </w:rPr>
        <w:t>often through forms of charismatic leadership.</w:t>
      </w:r>
    </w:p>
    <w:p w14:paraId="7266CAB6" w14:textId="58754E67" w:rsidR="00F62A39" w:rsidRPr="009D1813" w:rsidRDefault="00F62A39">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 xml:space="preserve">In this latter context, research shows that restraint among the members of NSAGs is more likely to be influenced by societal actors or “community notables” </w:t>
      </w:r>
      <w:r w:rsidRPr="009D1813">
        <w:rPr>
          <w:rFonts w:ascii="Times New Roman" w:hAnsi="Times New Roman" w:cs="Times New Roman"/>
          <w:i/>
          <w:iCs/>
        </w:rPr>
        <w:t>external</w:t>
      </w:r>
      <w:r w:rsidRPr="009D1813">
        <w:rPr>
          <w:rFonts w:ascii="Times New Roman" w:hAnsi="Times New Roman" w:cs="Times New Roman"/>
        </w:rPr>
        <w:t xml:space="preserve"> to the group itself</w:t>
      </w:r>
      <w:r w:rsidR="0066755D">
        <w:rPr>
          <w:rFonts w:ascii="Times New Roman" w:hAnsi="Times New Roman" w:cs="Times New Roman"/>
        </w:rPr>
        <w:t>,</w:t>
      </w:r>
      <w:r w:rsidRPr="009D1813">
        <w:rPr>
          <w:rFonts w:ascii="Times New Roman" w:hAnsi="Times New Roman" w:cs="Times New Roman"/>
        </w:rPr>
        <w:t xml:space="preserve"> including, in some cases, business elites or religious leaders.</w:t>
      </w:r>
      <w:r w:rsidRPr="009D1813">
        <w:rPr>
          <w:rStyle w:val="EndnoteReference"/>
          <w:rFonts w:ascii="Times New Roman" w:hAnsi="Times New Roman" w:cs="Times New Roman"/>
        </w:rPr>
        <w:endnoteReference w:id="63"/>
      </w:r>
      <w:r w:rsidRPr="009D1813">
        <w:rPr>
          <w:rFonts w:ascii="Times New Roman" w:hAnsi="Times New Roman" w:cs="Times New Roman"/>
        </w:rPr>
        <w:t xml:space="preserve"> External actors can thus draw on religious, social, or even economic authority to sway the behavior of combatants; yet, as the authority and status of local actors fluctuate, so too does their influence. As the cases of Mali and South Sudan highlight, multiple social and religious authorities can even compete for control over armed groups’ use of violence. This may present more entry points for dialogue about behavior, but it may also dilute the impact of any single influence on the armed group. Actors seeking to influence armed groups must therefore consider the growing complexity of alliances among NSAGs—with groups composed of “networks of networks”—and should identify and engage with key </w:t>
      </w:r>
      <w:r w:rsidR="000C4F4E">
        <w:rPr>
          <w:rFonts w:ascii="Times New Roman" w:hAnsi="Times New Roman" w:cs="Times New Roman"/>
        </w:rPr>
        <w:t>“</w:t>
      </w:r>
      <w:r w:rsidRPr="009D1813">
        <w:rPr>
          <w:rFonts w:ascii="Times New Roman" w:hAnsi="Times New Roman" w:cs="Times New Roman"/>
        </w:rPr>
        <w:t>nodes</w:t>
      </w:r>
      <w:r w:rsidR="000C4F4E">
        <w:rPr>
          <w:rFonts w:ascii="Times New Roman" w:hAnsi="Times New Roman" w:cs="Times New Roman"/>
        </w:rPr>
        <w:t>”</w:t>
      </w:r>
      <w:r w:rsidRPr="009D1813">
        <w:rPr>
          <w:rFonts w:ascii="Times New Roman" w:hAnsi="Times New Roman" w:cs="Times New Roman"/>
        </w:rPr>
        <w:t xml:space="preserve"> that have the greatest leverage in promoting either violence or restraint.</w:t>
      </w:r>
      <w:r w:rsidRPr="009D1813">
        <w:rPr>
          <w:rStyle w:val="EndnoteReference"/>
          <w:rFonts w:ascii="Times New Roman" w:hAnsi="Times New Roman" w:cs="Times New Roman"/>
        </w:rPr>
        <w:endnoteReference w:id="64"/>
      </w:r>
    </w:p>
    <w:p w14:paraId="7956127E" w14:textId="7D1AEE4B" w:rsidR="00E143EA" w:rsidRPr="007833C4" w:rsidRDefault="00F62A39">
      <w:pPr>
        <w:widowControl w:val="0"/>
        <w:autoSpaceDE w:val="0"/>
        <w:autoSpaceDN w:val="0"/>
        <w:adjustRightInd w:val="0"/>
        <w:spacing w:line="480" w:lineRule="auto"/>
        <w:ind w:firstLine="720"/>
        <w:contextualSpacing/>
        <w:rPr>
          <w:rFonts w:ascii="Times New Roman" w:hAnsi="Times New Roman" w:cs="Times New Roman"/>
        </w:rPr>
      </w:pPr>
      <w:r w:rsidRPr="009D1813">
        <w:rPr>
          <w:rFonts w:ascii="Times New Roman" w:hAnsi="Times New Roman" w:cs="Times New Roman"/>
        </w:rPr>
        <w:t xml:space="preserve">While for the ICRC the key norms of restraint to encourage are those ideas and practices that regulate behavior with respect to noncombatant immunity, theoretically it is possible to imagine a wider set of ideas and practices related to the protection of cultural heritage. </w:t>
      </w:r>
      <w:r w:rsidR="00E325A2">
        <w:rPr>
          <w:rFonts w:ascii="Times New Roman" w:hAnsi="Times New Roman" w:cs="Times New Roman"/>
        </w:rPr>
        <w:t xml:space="preserve">Five </w:t>
      </w:r>
      <w:r w:rsidRPr="009D1813">
        <w:rPr>
          <w:rFonts w:ascii="Times New Roman" w:hAnsi="Times New Roman" w:cs="Times New Roman"/>
        </w:rPr>
        <w:t>other important implications flow from the ICRC’s research</w:t>
      </w:r>
      <w:r w:rsidR="00E143EA">
        <w:rPr>
          <w:rFonts w:ascii="Times New Roman" w:hAnsi="Times New Roman" w:cs="Times New Roman"/>
        </w:rPr>
        <w:t>:</w:t>
      </w:r>
    </w:p>
    <w:p w14:paraId="50121460" w14:textId="37278A18" w:rsidR="00E143EA" w:rsidRPr="005865EE" w:rsidRDefault="00C5173C">
      <w:pPr>
        <w:pStyle w:val="ListParagraph"/>
        <w:widowControl w:val="0"/>
        <w:numPr>
          <w:ilvl w:val="0"/>
          <w:numId w:val="8"/>
        </w:num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M</w:t>
      </w:r>
      <w:r w:rsidR="00F62A39" w:rsidRPr="005865EE">
        <w:rPr>
          <w:rFonts w:ascii="Times New Roman" w:hAnsi="Times New Roman" w:cs="Times New Roman"/>
          <w:sz w:val="24"/>
          <w:szCs w:val="24"/>
        </w:rPr>
        <w:t>ost obviously, a</w:t>
      </w:r>
      <w:r w:rsidR="00F62A39" w:rsidRPr="005865EE">
        <w:rPr>
          <w:rFonts w:ascii="Times New Roman" w:hAnsi="Times New Roman" w:cs="Times New Roman"/>
          <w:bCs/>
          <w:sz w:val="24"/>
          <w:szCs w:val="24"/>
        </w:rPr>
        <w:t xml:space="preserve"> detailed understanding of the inner workings of armed groups is a key prerequisite for identifying the sources of authority, beliefs, and influence which can steer the behavior of NSAG members toward restraint. In short, </w:t>
      </w:r>
      <w:r w:rsidR="00AD6F2C" w:rsidRPr="005865EE">
        <w:rPr>
          <w:rFonts w:ascii="Times New Roman" w:hAnsi="Times New Roman" w:cs="Times New Roman"/>
          <w:bCs/>
          <w:sz w:val="24"/>
          <w:szCs w:val="24"/>
        </w:rPr>
        <w:t xml:space="preserve">as expert analysts note, </w:t>
      </w:r>
      <w:r w:rsidR="00F62A39" w:rsidRPr="005865EE">
        <w:rPr>
          <w:rFonts w:ascii="Times New Roman" w:hAnsi="Times New Roman" w:cs="Times New Roman"/>
          <w:bCs/>
          <w:sz w:val="24"/>
          <w:szCs w:val="24"/>
        </w:rPr>
        <w:t>“there is no one-size-fits-all approach, as behavior is also shaped by values, traditions, ideology, and communities’ attitudes on acceptable behavior”</w:t>
      </w:r>
      <w:r>
        <w:rPr>
          <w:rFonts w:ascii="Times New Roman" w:hAnsi="Times New Roman" w:cs="Times New Roman"/>
          <w:bCs/>
          <w:sz w:val="24"/>
          <w:szCs w:val="24"/>
        </w:rPr>
        <w:t>;</w:t>
      </w:r>
      <w:r w:rsidR="00F62A39" w:rsidRPr="005865EE">
        <w:rPr>
          <w:rStyle w:val="EndnoteReference"/>
          <w:rFonts w:ascii="Times New Roman" w:hAnsi="Times New Roman" w:cs="Times New Roman"/>
          <w:bCs/>
          <w:sz w:val="24"/>
          <w:szCs w:val="24"/>
        </w:rPr>
        <w:endnoteReference w:id="65"/>
      </w:r>
      <w:r w:rsidR="00F62A39" w:rsidRPr="005865EE">
        <w:rPr>
          <w:rFonts w:ascii="Times New Roman" w:hAnsi="Times New Roman" w:cs="Times New Roman"/>
          <w:bCs/>
          <w:sz w:val="24"/>
          <w:szCs w:val="24"/>
        </w:rPr>
        <w:t xml:space="preserve"> </w:t>
      </w:r>
    </w:p>
    <w:p w14:paraId="23D0884C" w14:textId="53180499" w:rsidR="00E143EA" w:rsidRPr="005865EE" w:rsidRDefault="00C5173C">
      <w:pPr>
        <w:pStyle w:val="ListParagraph"/>
        <w:widowControl w:val="0"/>
        <w:numPr>
          <w:ilvl w:val="0"/>
          <w:numId w:val="8"/>
        </w:num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bCs/>
          <w:sz w:val="24"/>
          <w:szCs w:val="24"/>
        </w:rPr>
        <w:t>R</w:t>
      </w:r>
      <w:r w:rsidR="00F62A39" w:rsidRPr="005865EE">
        <w:rPr>
          <w:rFonts w:ascii="Times New Roman" w:hAnsi="Times New Roman" w:cs="Times New Roman"/>
          <w:bCs/>
          <w:sz w:val="24"/>
          <w:szCs w:val="24"/>
        </w:rPr>
        <w:t xml:space="preserve">elatedly, understanding local viewpoints and values will be particularly important for the promotion of restraint, and therefore necessitate deeper and more sustained dialogue with communities themselves. </w:t>
      </w:r>
      <w:r w:rsidR="00F62A39" w:rsidRPr="005865EE">
        <w:rPr>
          <w:rFonts w:ascii="Times New Roman" w:hAnsi="Times New Roman" w:cs="Times New Roman"/>
          <w:sz w:val="24"/>
          <w:szCs w:val="24"/>
        </w:rPr>
        <w:t>Here it is crucial to remember that civilians living in communities are not passive actors but can often influence armed-group behavior in favor of violence or restraint</w:t>
      </w:r>
      <w:r w:rsidR="001A6BF7">
        <w:rPr>
          <w:rFonts w:ascii="Times New Roman" w:hAnsi="Times New Roman" w:cs="Times New Roman"/>
          <w:sz w:val="24"/>
          <w:szCs w:val="24"/>
        </w:rPr>
        <w:t>;</w:t>
      </w:r>
      <w:r w:rsidR="00F62A39" w:rsidRPr="005865EE">
        <w:rPr>
          <w:rStyle w:val="EndnoteReference"/>
          <w:rFonts w:ascii="Times New Roman" w:hAnsi="Times New Roman" w:cs="Times New Roman"/>
          <w:sz w:val="24"/>
          <w:szCs w:val="24"/>
        </w:rPr>
        <w:endnoteReference w:id="66"/>
      </w:r>
      <w:r w:rsidR="00F62A39" w:rsidRPr="005865EE">
        <w:rPr>
          <w:rFonts w:ascii="Times New Roman" w:hAnsi="Times New Roman" w:cs="Times New Roman"/>
          <w:sz w:val="24"/>
          <w:szCs w:val="24"/>
        </w:rPr>
        <w:t xml:space="preserve"> </w:t>
      </w:r>
    </w:p>
    <w:p w14:paraId="22C47354" w14:textId="266811A6" w:rsidR="00E325A2" w:rsidRPr="005865EE" w:rsidRDefault="001A6BF7">
      <w:pPr>
        <w:pStyle w:val="ListParagraph"/>
        <w:widowControl w:val="0"/>
        <w:numPr>
          <w:ilvl w:val="0"/>
          <w:numId w:val="8"/>
        </w:num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T</w:t>
      </w:r>
      <w:r w:rsidR="00F62A39" w:rsidRPr="005865EE">
        <w:rPr>
          <w:rFonts w:ascii="Times New Roman" w:hAnsi="Times New Roman" w:cs="Times New Roman"/>
          <w:bCs/>
          <w:sz w:val="24"/>
          <w:szCs w:val="24"/>
        </w:rPr>
        <w:t>raining manuals on engagement with armed groups may also need to be rewritten, since they are heavily skewed toward rational actor models and currently identify leverage points based on assumptions about militants’ economic or political interests</w:t>
      </w:r>
      <w:r>
        <w:rPr>
          <w:rFonts w:ascii="Times New Roman" w:hAnsi="Times New Roman" w:cs="Times New Roman"/>
          <w:bCs/>
          <w:sz w:val="24"/>
          <w:szCs w:val="24"/>
        </w:rPr>
        <w:t>;</w:t>
      </w:r>
      <w:r w:rsidR="00F62A39" w:rsidRPr="005865EE">
        <w:rPr>
          <w:rStyle w:val="EndnoteReference"/>
          <w:rFonts w:ascii="Times New Roman" w:hAnsi="Times New Roman" w:cs="Times New Roman"/>
          <w:bCs/>
          <w:sz w:val="24"/>
          <w:szCs w:val="24"/>
        </w:rPr>
        <w:endnoteReference w:id="67"/>
      </w:r>
      <w:r w:rsidR="00F62A39" w:rsidRPr="005865EE">
        <w:rPr>
          <w:rFonts w:ascii="Times New Roman" w:hAnsi="Times New Roman" w:cs="Times New Roman"/>
          <w:bCs/>
          <w:sz w:val="24"/>
          <w:szCs w:val="24"/>
        </w:rPr>
        <w:t xml:space="preserve"> </w:t>
      </w:r>
    </w:p>
    <w:p w14:paraId="57DB11E4" w14:textId="3A7A8113" w:rsidR="00E143EA" w:rsidRPr="005865EE" w:rsidRDefault="001A6BF7" w:rsidP="00510953">
      <w:pPr>
        <w:pStyle w:val="ListParagraph"/>
        <w:widowControl w:val="0"/>
        <w:numPr>
          <w:ilvl w:val="0"/>
          <w:numId w:val="8"/>
        </w:num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T</w:t>
      </w:r>
      <w:r w:rsidR="00F62A39" w:rsidRPr="005865EE">
        <w:rPr>
          <w:rFonts w:ascii="Times New Roman" w:hAnsi="Times New Roman" w:cs="Times New Roman"/>
          <w:sz w:val="24"/>
          <w:szCs w:val="24"/>
        </w:rPr>
        <w:t xml:space="preserve">he </w:t>
      </w:r>
      <w:r w:rsidR="00F62A39" w:rsidRPr="005865EE">
        <w:rPr>
          <w:rFonts w:ascii="Times New Roman" w:hAnsi="Times New Roman" w:cs="Times New Roman"/>
          <w:i/>
          <w:iCs/>
          <w:sz w:val="24"/>
          <w:szCs w:val="24"/>
        </w:rPr>
        <w:t xml:space="preserve">Roots of Restraint </w:t>
      </w:r>
      <w:r w:rsidR="00F62A39" w:rsidRPr="005865EE">
        <w:rPr>
          <w:rFonts w:ascii="Times New Roman" w:hAnsi="Times New Roman" w:cs="Times New Roman"/>
          <w:sz w:val="24"/>
          <w:szCs w:val="24"/>
        </w:rPr>
        <w:t xml:space="preserve">research highlights the importance of analyzing patterns of violence and destruction over time—type, method, target, and frequency—to enable a better understanding of where and when restraint is being exercised, what sources of influence might be shaping armed group actions, and when violence and destruction </w:t>
      </w:r>
      <w:r w:rsidR="00E03D16" w:rsidRPr="005865EE">
        <w:rPr>
          <w:rFonts w:ascii="Times New Roman" w:hAnsi="Times New Roman" w:cs="Times New Roman"/>
          <w:sz w:val="24"/>
          <w:szCs w:val="24"/>
        </w:rPr>
        <w:t xml:space="preserve">are </w:t>
      </w:r>
      <w:r w:rsidR="00F62A39" w:rsidRPr="005865EE">
        <w:rPr>
          <w:rFonts w:ascii="Times New Roman" w:hAnsi="Times New Roman" w:cs="Times New Roman"/>
          <w:sz w:val="24"/>
          <w:szCs w:val="24"/>
        </w:rPr>
        <w:t xml:space="preserve">explicitly ordered by group leaders, as opposed to opportunistic behavior practiced by only </w:t>
      </w:r>
      <w:r w:rsidR="00791559" w:rsidRPr="005865EE">
        <w:rPr>
          <w:rFonts w:ascii="Times New Roman" w:hAnsi="Times New Roman" w:cs="Times New Roman"/>
          <w:sz w:val="24"/>
          <w:szCs w:val="24"/>
        </w:rPr>
        <w:t xml:space="preserve">a few </w:t>
      </w:r>
      <w:r w:rsidR="00F62A39" w:rsidRPr="005865EE">
        <w:rPr>
          <w:rFonts w:ascii="Times New Roman" w:hAnsi="Times New Roman" w:cs="Times New Roman"/>
          <w:sz w:val="24"/>
          <w:szCs w:val="24"/>
        </w:rPr>
        <w:t>local commanders or fighters.</w:t>
      </w:r>
      <w:r w:rsidR="00F62A39" w:rsidRPr="005865EE">
        <w:rPr>
          <w:rStyle w:val="EndnoteReference"/>
          <w:rFonts w:ascii="Times New Roman" w:hAnsi="Times New Roman" w:cs="Times New Roman"/>
          <w:sz w:val="24"/>
          <w:szCs w:val="24"/>
        </w:rPr>
        <w:endnoteReference w:id="68"/>
      </w:r>
      <w:r w:rsidR="00F62A39" w:rsidRPr="005865EE">
        <w:rPr>
          <w:rFonts w:ascii="Times New Roman" w:hAnsi="Times New Roman" w:cs="Times New Roman"/>
          <w:sz w:val="24"/>
          <w:szCs w:val="24"/>
        </w:rPr>
        <w:t xml:space="preserve"> Identifying the decisionmakers behind patterns of violence and destruction will assist local or international actors as they try to target the optimal leaders with whom to engage</w:t>
      </w:r>
      <w:r w:rsidR="00A852BE">
        <w:rPr>
          <w:rFonts w:ascii="Times New Roman" w:hAnsi="Times New Roman" w:cs="Times New Roman"/>
          <w:sz w:val="24"/>
          <w:szCs w:val="24"/>
        </w:rPr>
        <w:t>; and</w:t>
      </w:r>
      <w:r w:rsidR="00F62A39" w:rsidRPr="005865EE">
        <w:rPr>
          <w:rFonts w:ascii="Times New Roman" w:hAnsi="Times New Roman" w:cs="Times New Roman"/>
          <w:sz w:val="24"/>
          <w:szCs w:val="24"/>
        </w:rPr>
        <w:t xml:space="preserve"> </w:t>
      </w:r>
    </w:p>
    <w:p w14:paraId="4FB8A44B" w14:textId="5D1A3BA7" w:rsidR="00F62A39" w:rsidRPr="005865EE" w:rsidRDefault="00A852BE" w:rsidP="005865EE">
      <w:pPr>
        <w:pStyle w:val="ListParagraph"/>
        <w:widowControl w:val="0"/>
        <w:numPr>
          <w:ilvl w:val="0"/>
          <w:numId w:val="8"/>
        </w:numPr>
        <w:autoSpaceDE w:val="0"/>
        <w:autoSpaceDN w:val="0"/>
        <w:adjustRightInd w:val="0"/>
        <w:spacing w:line="480" w:lineRule="auto"/>
        <w:rPr>
          <w:rFonts w:ascii="Times New Roman" w:hAnsi="Times New Roman" w:cs="Times New Roman"/>
          <w:bCs/>
        </w:rPr>
      </w:pPr>
      <w:r>
        <w:rPr>
          <w:rFonts w:ascii="Times New Roman" w:hAnsi="Times New Roman" w:cs="Times New Roman"/>
          <w:bCs/>
          <w:sz w:val="24"/>
          <w:szCs w:val="24"/>
        </w:rPr>
        <w:t>T</w:t>
      </w:r>
      <w:r w:rsidR="00F62A39" w:rsidRPr="005865EE">
        <w:rPr>
          <w:rFonts w:ascii="Times New Roman" w:hAnsi="Times New Roman" w:cs="Times New Roman"/>
          <w:bCs/>
          <w:sz w:val="24"/>
          <w:szCs w:val="24"/>
        </w:rPr>
        <w:t xml:space="preserve">he ICRC’s findings indicate that the set of actors tasked with encouraging restraint will need to broaden. </w:t>
      </w:r>
      <w:r w:rsidR="00AD6F2C" w:rsidRPr="005865EE">
        <w:rPr>
          <w:rFonts w:ascii="Times New Roman" w:hAnsi="Times New Roman" w:cs="Times New Roman"/>
          <w:sz w:val="24"/>
          <w:szCs w:val="24"/>
        </w:rPr>
        <w:t xml:space="preserve">Although </w:t>
      </w:r>
      <w:r w:rsidR="00F62A39" w:rsidRPr="005865EE">
        <w:rPr>
          <w:rFonts w:ascii="Times New Roman" w:hAnsi="Times New Roman" w:cs="Times New Roman"/>
          <w:sz w:val="24"/>
          <w:szCs w:val="24"/>
        </w:rPr>
        <w:t>international humanitarian organizations can still play essential roles in promoting restraint in some cases (as in the integrated approach), the changing nature of armed conflicts and of NSAGs suggests the need to mobilize new societal actors to the cause of limiting violence.</w:t>
      </w:r>
      <w:r w:rsidR="00F62A39" w:rsidRPr="005865EE">
        <w:rPr>
          <w:rStyle w:val="EndnoteReference"/>
          <w:rFonts w:ascii="Times New Roman" w:hAnsi="Times New Roman" w:cs="Times New Roman"/>
          <w:sz w:val="24"/>
          <w:szCs w:val="24"/>
        </w:rPr>
        <w:endnoteReference w:id="69"/>
      </w:r>
      <w:r w:rsidR="00F62A39" w:rsidRPr="005865EE">
        <w:rPr>
          <w:rFonts w:ascii="Times New Roman" w:hAnsi="Times New Roman" w:cs="Times New Roman"/>
          <w:sz w:val="24"/>
          <w:szCs w:val="24"/>
        </w:rPr>
        <w:t xml:space="preserve"> Once again, the organizational structure of an armed group will provide important clues to the sources of influence on the behavior of its members. </w:t>
      </w:r>
    </w:p>
    <w:p w14:paraId="47547F85" w14:textId="00BCACE8" w:rsidR="00F62A39" w:rsidRPr="009D1813" w:rsidRDefault="00F62A39" w:rsidP="00510953">
      <w:pPr>
        <w:autoSpaceDE w:val="0"/>
        <w:autoSpaceDN w:val="0"/>
        <w:adjustRightInd w:val="0"/>
        <w:spacing w:line="480" w:lineRule="auto"/>
        <w:contextualSpacing/>
        <w:rPr>
          <w:rFonts w:ascii="Times New Roman" w:hAnsi="Times New Roman" w:cs="Times New Roman"/>
        </w:rPr>
      </w:pPr>
    </w:p>
    <w:p w14:paraId="7CE01735" w14:textId="54E71627" w:rsidR="00F62A39" w:rsidRPr="009D1813" w:rsidRDefault="00F62A39" w:rsidP="001D0FD0">
      <w:pPr>
        <w:pStyle w:val="Heading2"/>
      </w:pPr>
      <w:r w:rsidRPr="009D1813">
        <w:t xml:space="preserve">Conclusion: Challenges in </w:t>
      </w:r>
      <w:r w:rsidRPr="001D0FD0">
        <w:t>Engaging</w:t>
      </w:r>
      <w:r w:rsidRPr="009D1813">
        <w:t xml:space="preserve"> with NSAGs</w:t>
      </w:r>
    </w:p>
    <w:p w14:paraId="22F67C27" w14:textId="1CB8BC13" w:rsidR="00F62A39" w:rsidRPr="009D1813" w:rsidRDefault="00F62A39" w:rsidP="00510953">
      <w:pPr>
        <w:spacing w:line="480" w:lineRule="auto"/>
        <w:contextualSpacing/>
        <w:rPr>
          <w:rFonts w:ascii="Times New Roman" w:hAnsi="Times New Roman" w:cs="Times New Roman"/>
        </w:rPr>
      </w:pPr>
      <w:r w:rsidRPr="009D1813">
        <w:rPr>
          <w:rFonts w:ascii="Times New Roman" w:hAnsi="Times New Roman" w:cs="Times New Roman"/>
        </w:rPr>
        <w:t xml:space="preserve">The research conducted by the ICRC and Geneva Call illustrates that while NSAGs have not taken part in elaborating the formal rules that regulate armed conflict, including those that protect cultural heritage, some of them acknowledge the importance of the </w:t>
      </w:r>
      <w:r w:rsidRPr="009D1813">
        <w:rPr>
          <w:rFonts w:ascii="Times New Roman" w:hAnsi="Times New Roman" w:cs="Times New Roman"/>
          <w:i/>
          <w:iCs/>
        </w:rPr>
        <w:t xml:space="preserve">values </w:t>
      </w:r>
      <w:r w:rsidRPr="009D1813">
        <w:rPr>
          <w:rFonts w:ascii="Times New Roman" w:hAnsi="Times New Roman" w:cs="Times New Roman"/>
        </w:rPr>
        <w:t>underpinning the legal regime. And even in the toughest cases—extremist groups motivated by ideology—there have been documented cases of disagreement within the NSAG about the legitimacy of targeting particular religious symbols.</w:t>
      </w:r>
      <w:r w:rsidRPr="009D1813">
        <w:rPr>
          <w:rStyle w:val="EndnoteReference"/>
          <w:rFonts w:ascii="Times New Roman" w:hAnsi="Times New Roman" w:cs="Times New Roman"/>
        </w:rPr>
        <w:endnoteReference w:id="70"/>
      </w:r>
      <w:r w:rsidRPr="009D1813">
        <w:rPr>
          <w:rFonts w:ascii="Times New Roman" w:hAnsi="Times New Roman" w:cs="Times New Roman"/>
        </w:rPr>
        <w:t xml:space="preserve"> This suggests that although efforts to shape the behavior of NSAGs are inherently difficult, there are opportunities to both enhance awareness of international standards relating to cultural property and encourage forms of behavior likely to protect cultural heritage. Specialized agencies and humanitarian organizations should therefore leverage such opportunities, but so too should states which exercise a degree of control over </w:t>
      </w:r>
      <w:r w:rsidR="006B23AD">
        <w:rPr>
          <w:rFonts w:ascii="Times New Roman" w:hAnsi="Times New Roman" w:cs="Times New Roman"/>
        </w:rPr>
        <w:t>nonstate</w:t>
      </w:r>
      <w:r w:rsidRPr="009D1813">
        <w:rPr>
          <w:rFonts w:ascii="Times New Roman" w:hAnsi="Times New Roman" w:cs="Times New Roman"/>
        </w:rPr>
        <w:t xml:space="preserve"> armed groups and which are indirectly responsible for their destructive behavior.</w:t>
      </w:r>
    </w:p>
    <w:p w14:paraId="77D5F7FE" w14:textId="238200F5" w:rsidR="00F62A39" w:rsidRPr="009D1813" w:rsidRDefault="00F62A39" w:rsidP="00510953">
      <w:pPr>
        <w:spacing w:line="480" w:lineRule="auto"/>
        <w:ind w:firstLine="720"/>
        <w:contextualSpacing/>
        <w:rPr>
          <w:rFonts w:ascii="Times New Roman" w:hAnsi="Times New Roman" w:cs="Times New Roman"/>
        </w:rPr>
      </w:pPr>
      <w:r w:rsidRPr="009D1813">
        <w:rPr>
          <w:rFonts w:ascii="Times New Roman" w:hAnsi="Times New Roman" w:cs="Times New Roman"/>
        </w:rPr>
        <w:t>To date, however, only a few specialized organizations have sought to engage directly with NSAGs to promote respect for cultural heritage. These include Heritage for Peace as well as the Smithsonian Institut</w:t>
      </w:r>
      <w:r w:rsidR="000F7293">
        <w:rPr>
          <w:rFonts w:ascii="Times New Roman" w:hAnsi="Times New Roman" w:cs="Times New Roman"/>
        </w:rPr>
        <w:t>ion</w:t>
      </w:r>
      <w:r w:rsidRPr="009D1813">
        <w:rPr>
          <w:rFonts w:ascii="Times New Roman" w:hAnsi="Times New Roman" w:cs="Times New Roman"/>
        </w:rPr>
        <w:t>. For its part, UNESCO has exhibited caution with respect to dialogue with NSAGs in light of Article 1</w:t>
      </w:r>
      <w:r w:rsidR="00CE42EF">
        <w:rPr>
          <w:rFonts w:ascii="Times New Roman" w:hAnsi="Times New Roman" w:cs="Times New Roman"/>
        </w:rPr>
        <w:t>.</w:t>
      </w:r>
      <w:r w:rsidRPr="009D1813">
        <w:rPr>
          <w:rFonts w:ascii="Times New Roman" w:hAnsi="Times New Roman" w:cs="Times New Roman"/>
        </w:rPr>
        <w:t xml:space="preserve">3 of its </w:t>
      </w:r>
      <w:r w:rsidR="008C73AB">
        <w:rPr>
          <w:rFonts w:ascii="Times New Roman" w:hAnsi="Times New Roman" w:cs="Times New Roman"/>
        </w:rPr>
        <w:t>c</w:t>
      </w:r>
      <w:r w:rsidRPr="009D1813">
        <w:rPr>
          <w:rFonts w:ascii="Times New Roman" w:hAnsi="Times New Roman" w:cs="Times New Roman"/>
        </w:rPr>
        <w:t xml:space="preserve">onstitution, which forbids the organization from intervening in matters which are essentially within </w:t>
      </w:r>
      <w:r w:rsidR="00B703EA">
        <w:rPr>
          <w:rFonts w:ascii="Times New Roman" w:hAnsi="Times New Roman" w:cs="Times New Roman"/>
        </w:rPr>
        <w:t>m</w:t>
      </w:r>
      <w:r w:rsidRPr="009D1813">
        <w:rPr>
          <w:rFonts w:ascii="Times New Roman" w:hAnsi="Times New Roman" w:cs="Times New Roman"/>
        </w:rPr>
        <w:t xml:space="preserve">ember </w:t>
      </w:r>
      <w:r w:rsidR="00B703EA">
        <w:rPr>
          <w:rFonts w:ascii="Times New Roman" w:hAnsi="Times New Roman" w:cs="Times New Roman"/>
        </w:rPr>
        <w:t>s</w:t>
      </w:r>
      <w:r w:rsidRPr="009D1813">
        <w:rPr>
          <w:rFonts w:ascii="Times New Roman" w:hAnsi="Times New Roman" w:cs="Times New Roman"/>
        </w:rPr>
        <w:t>tates’ domestic jurisdiction. Generally speaking, UNESCO interprets contact with NSAG</w:t>
      </w:r>
      <w:r w:rsidR="0099557C">
        <w:rPr>
          <w:rFonts w:ascii="Times New Roman" w:hAnsi="Times New Roman" w:cs="Times New Roman"/>
        </w:rPr>
        <w:t>s</w:t>
      </w:r>
      <w:r w:rsidRPr="009D1813">
        <w:rPr>
          <w:rFonts w:ascii="Times New Roman" w:hAnsi="Times New Roman" w:cs="Times New Roman"/>
        </w:rPr>
        <w:t xml:space="preserve"> to be a breach of this obligation and limits its contact to recognized governments.</w:t>
      </w:r>
      <w:r w:rsidR="00F22A80" w:rsidRPr="009D1813">
        <w:rPr>
          <w:rFonts w:ascii="Times New Roman" w:hAnsi="Times New Roman" w:cs="Times New Roman"/>
        </w:rPr>
        <w:t xml:space="preserve"> </w:t>
      </w:r>
      <w:r w:rsidRPr="009D1813">
        <w:rPr>
          <w:rFonts w:ascii="Times New Roman" w:hAnsi="Times New Roman" w:cs="Times New Roman"/>
        </w:rPr>
        <w:t>Article 19</w:t>
      </w:r>
      <w:r w:rsidR="00985A6F">
        <w:rPr>
          <w:rFonts w:ascii="Times New Roman" w:hAnsi="Times New Roman" w:cs="Times New Roman"/>
        </w:rPr>
        <w:t>.</w:t>
      </w:r>
      <w:r w:rsidRPr="009D1813">
        <w:rPr>
          <w:rFonts w:ascii="Times New Roman" w:hAnsi="Times New Roman" w:cs="Times New Roman"/>
        </w:rPr>
        <w:t xml:space="preserve">3 of the Hague Convention does permit UNESCO to “offer its services” to parties to a non-international armed conflict—both </w:t>
      </w:r>
      <w:r w:rsidR="0002395C">
        <w:rPr>
          <w:rFonts w:ascii="Times New Roman" w:hAnsi="Times New Roman" w:cs="Times New Roman"/>
        </w:rPr>
        <w:t>s</w:t>
      </w:r>
      <w:r w:rsidRPr="009D1813">
        <w:rPr>
          <w:rFonts w:ascii="Times New Roman" w:hAnsi="Times New Roman" w:cs="Times New Roman"/>
        </w:rPr>
        <w:t xml:space="preserve">tate and </w:t>
      </w:r>
      <w:r w:rsidR="006B23AD">
        <w:rPr>
          <w:rFonts w:ascii="Times New Roman" w:hAnsi="Times New Roman" w:cs="Times New Roman"/>
        </w:rPr>
        <w:t>nonstate</w:t>
      </w:r>
      <w:r w:rsidRPr="009D1813">
        <w:rPr>
          <w:rFonts w:ascii="Times New Roman" w:hAnsi="Times New Roman" w:cs="Times New Roman"/>
        </w:rPr>
        <w:t xml:space="preserve">—and expressly states that such contact does not affect </w:t>
      </w:r>
      <w:r w:rsidR="00C84923">
        <w:rPr>
          <w:rFonts w:ascii="Times New Roman" w:hAnsi="Times New Roman" w:cs="Times New Roman"/>
        </w:rPr>
        <w:t xml:space="preserve">the </w:t>
      </w:r>
      <w:r w:rsidRPr="009D1813">
        <w:rPr>
          <w:rFonts w:ascii="Times New Roman" w:hAnsi="Times New Roman" w:cs="Times New Roman"/>
        </w:rPr>
        <w:t>legal status</w:t>
      </w:r>
      <w:r w:rsidR="00C84923">
        <w:rPr>
          <w:rFonts w:ascii="Times New Roman" w:hAnsi="Times New Roman" w:cs="Times New Roman"/>
        </w:rPr>
        <w:t xml:space="preserve"> of NSAGs</w:t>
      </w:r>
      <w:r w:rsidRPr="009D1813">
        <w:rPr>
          <w:rFonts w:ascii="Times New Roman" w:hAnsi="Times New Roman" w:cs="Times New Roman"/>
        </w:rPr>
        <w:t xml:space="preserve">. But in practice instances of engagement between UNESCO and </w:t>
      </w:r>
      <w:r w:rsidR="0092652E">
        <w:rPr>
          <w:rFonts w:ascii="Times New Roman" w:hAnsi="Times New Roman" w:cs="Times New Roman"/>
        </w:rPr>
        <w:t>such actors</w:t>
      </w:r>
      <w:r w:rsidR="0092652E" w:rsidRPr="009D1813">
        <w:rPr>
          <w:rFonts w:ascii="Times New Roman" w:hAnsi="Times New Roman" w:cs="Times New Roman"/>
        </w:rPr>
        <w:t xml:space="preserve"> </w:t>
      </w:r>
      <w:r w:rsidRPr="009D1813">
        <w:rPr>
          <w:rFonts w:ascii="Times New Roman" w:hAnsi="Times New Roman" w:cs="Times New Roman"/>
        </w:rPr>
        <w:t>have been rare,</w:t>
      </w:r>
      <w:r w:rsidRPr="009D1813">
        <w:rPr>
          <w:rStyle w:val="EndnoteReference"/>
          <w:rFonts w:ascii="Times New Roman" w:hAnsi="Times New Roman" w:cs="Times New Roman"/>
        </w:rPr>
        <w:endnoteReference w:id="71"/>
      </w:r>
      <w:r w:rsidRPr="009D1813">
        <w:rPr>
          <w:rFonts w:ascii="Times New Roman" w:hAnsi="Times New Roman" w:cs="Times New Roman"/>
        </w:rPr>
        <w:t xml:space="preserve"> and most commonly consist of calls by the </w:t>
      </w:r>
      <w:r w:rsidR="009359C4">
        <w:rPr>
          <w:rFonts w:ascii="Times New Roman" w:hAnsi="Times New Roman" w:cs="Times New Roman"/>
        </w:rPr>
        <w:t>organization’s d</w:t>
      </w:r>
      <w:r w:rsidRPr="009D1813">
        <w:rPr>
          <w:rFonts w:ascii="Times New Roman" w:hAnsi="Times New Roman" w:cs="Times New Roman"/>
        </w:rPr>
        <w:t>irector</w:t>
      </w:r>
      <w:r w:rsidR="009359C4">
        <w:rPr>
          <w:rFonts w:ascii="Times New Roman" w:hAnsi="Times New Roman" w:cs="Times New Roman"/>
        </w:rPr>
        <w:t>-g</w:t>
      </w:r>
      <w:r w:rsidRPr="009D1813">
        <w:rPr>
          <w:rFonts w:ascii="Times New Roman" w:hAnsi="Times New Roman" w:cs="Times New Roman"/>
        </w:rPr>
        <w:t xml:space="preserve">eneral for all parties to respect legal obligations </w:t>
      </w:r>
      <w:r w:rsidR="00FC38F5">
        <w:rPr>
          <w:rFonts w:ascii="Times New Roman" w:hAnsi="Times New Roman" w:cs="Times New Roman"/>
        </w:rPr>
        <w:t>in relation</w:t>
      </w:r>
      <w:r w:rsidRPr="009D1813">
        <w:rPr>
          <w:rFonts w:ascii="Times New Roman" w:hAnsi="Times New Roman" w:cs="Times New Roman"/>
        </w:rPr>
        <w:t xml:space="preserve"> to cultural heritage or to help facilitate agreements with </w:t>
      </w:r>
      <w:r w:rsidR="008B7A3F">
        <w:rPr>
          <w:rFonts w:ascii="Times New Roman" w:hAnsi="Times New Roman" w:cs="Times New Roman"/>
        </w:rPr>
        <w:t xml:space="preserve">them </w:t>
      </w:r>
      <w:r w:rsidRPr="009D1813">
        <w:rPr>
          <w:rFonts w:ascii="Times New Roman" w:hAnsi="Times New Roman" w:cs="Times New Roman"/>
        </w:rPr>
        <w:t>to create “cultural protection zones.”</w:t>
      </w:r>
      <w:r w:rsidRPr="009D1813">
        <w:rPr>
          <w:rStyle w:val="EndnoteReference"/>
          <w:rFonts w:ascii="Times New Roman" w:hAnsi="Times New Roman" w:cs="Times New Roman"/>
        </w:rPr>
        <w:endnoteReference w:id="72"/>
      </w:r>
      <w:r w:rsidRPr="009D1813">
        <w:rPr>
          <w:rFonts w:ascii="Times New Roman" w:hAnsi="Times New Roman" w:cs="Times New Roman"/>
        </w:rPr>
        <w:t xml:space="preserve"> In February 2016, UNESCO entered into a </w:t>
      </w:r>
      <w:r w:rsidR="008B7A3F">
        <w:rPr>
          <w:rFonts w:ascii="Times New Roman" w:hAnsi="Times New Roman" w:cs="Times New Roman"/>
        </w:rPr>
        <w:t>m</w:t>
      </w:r>
      <w:r w:rsidRPr="009D1813">
        <w:rPr>
          <w:rFonts w:ascii="Times New Roman" w:hAnsi="Times New Roman" w:cs="Times New Roman"/>
        </w:rPr>
        <w:t xml:space="preserve">emorandum of </w:t>
      </w:r>
      <w:r w:rsidR="008B7A3F">
        <w:rPr>
          <w:rFonts w:ascii="Times New Roman" w:hAnsi="Times New Roman" w:cs="Times New Roman"/>
        </w:rPr>
        <w:t>u</w:t>
      </w:r>
      <w:r w:rsidRPr="009D1813">
        <w:rPr>
          <w:rFonts w:ascii="Times New Roman" w:hAnsi="Times New Roman" w:cs="Times New Roman"/>
        </w:rPr>
        <w:t>nderstanding with</w:t>
      </w:r>
      <w:r w:rsidR="00E94BEE">
        <w:rPr>
          <w:rFonts w:ascii="Times New Roman" w:hAnsi="Times New Roman" w:cs="Times New Roman"/>
        </w:rPr>
        <w:t xml:space="preserve"> the</w:t>
      </w:r>
      <w:r w:rsidRPr="009D1813">
        <w:rPr>
          <w:rFonts w:ascii="Times New Roman" w:hAnsi="Times New Roman" w:cs="Times New Roman"/>
        </w:rPr>
        <w:t xml:space="preserve"> ICRC to strengthen cooperation with respect to the protection of cultural heritage, but there was no explicit mention of NSAGs. Although the </w:t>
      </w:r>
      <w:r w:rsidR="0067325F">
        <w:rPr>
          <w:rFonts w:ascii="Times New Roman" w:hAnsi="Times New Roman" w:cs="Times New Roman"/>
        </w:rPr>
        <w:t>ICRC</w:t>
      </w:r>
      <w:r w:rsidRPr="009D1813">
        <w:rPr>
          <w:rFonts w:ascii="Times New Roman" w:hAnsi="Times New Roman" w:cs="Times New Roman"/>
        </w:rPr>
        <w:t xml:space="preserve"> regularly engages with all conflict parties to serve its mission, UNESCO’s approach</w:t>
      </w:r>
      <w:r w:rsidR="003538E1">
        <w:rPr>
          <w:rFonts w:ascii="Times New Roman" w:hAnsi="Times New Roman" w:cs="Times New Roman"/>
        </w:rPr>
        <w:t>—</w:t>
      </w:r>
      <w:r w:rsidRPr="009D1813">
        <w:rPr>
          <w:rFonts w:ascii="Times New Roman" w:hAnsi="Times New Roman" w:cs="Times New Roman"/>
        </w:rPr>
        <w:t>as an intergovernmental organization</w:t>
      </w:r>
      <w:r w:rsidR="004A7D0C">
        <w:rPr>
          <w:rFonts w:ascii="Times New Roman" w:hAnsi="Times New Roman" w:cs="Times New Roman"/>
        </w:rPr>
        <w:t>—</w:t>
      </w:r>
      <w:r w:rsidRPr="009D1813">
        <w:rPr>
          <w:rFonts w:ascii="Times New Roman" w:hAnsi="Times New Roman" w:cs="Times New Roman"/>
        </w:rPr>
        <w:t xml:space="preserve">reflects the long-standing concerns of governments about legitimating </w:t>
      </w:r>
      <w:r w:rsidR="006B23AD">
        <w:rPr>
          <w:rFonts w:ascii="Times New Roman" w:hAnsi="Times New Roman" w:cs="Times New Roman"/>
        </w:rPr>
        <w:t>nonstate</w:t>
      </w:r>
      <w:r w:rsidRPr="009D1813">
        <w:rPr>
          <w:rFonts w:ascii="Times New Roman" w:hAnsi="Times New Roman" w:cs="Times New Roman"/>
        </w:rPr>
        <w:t xml:space="preserve"> armed actors.</w:t>
      </w:r>
    </w:p>
    <w:p w14:paraId="27AD4D6E" w14:textId="5951FAD9" w:rsidR="00F62A39" w:rsidRPr="009D1813" w:rsidRDefault="00F62A39">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Counterterrorism measures undertaken in the wake of 9/11 have further complicated dialogue with NSAGs that have been designated as terrorist organizations. </w:t>
      </w:r>
      <w:r w:rsidR="005F7CD6">
        <w:rPr>
          <w:rFonts w:ascii="Times New Roman" w:hAnsi="Times New Roman" w:cs="Times New Roman"/>
        </w:rPr>
        <w:t>S</w:t>
      </w:r>
      <w:r w:rsidR="005F7CD6" w:rsidRPr="009D1813">
        <w:rPr>
          <w:rFonts w:ascii="Times New Roman" w:hAnsi="Times New Roman" w:cs="Times New Roman"/>
        </w:rPr>
        <w:t xml:space="preserve">anctions regimes </w:t>
      </w:r>
      <w:r w:rsidR="005F7CD6">
        <w:rPr>
          <w:rFonts w:ascii="Times New Roman" w:hAnsi="Times New Roman" w:cs="Times New Roman"/>
        </w:rPr>
        <w:t xml:space="preserve">authorized by the </w:t>
      </w:r>
      <w:r w:rsidRPr="009D1813">
        <w:rPr>
          <w:rFonts w:ascii="Times New Roman" w:hAnsi="Times New Roman" w:cs="Times New Roman"/>
        </w:rPr>
        <w:t>European Union and UN Security Council, for example, prohibit making economic resources available to such groups</w:t>
      </w:r>
      <w:r w:rsidR="004A7D0C">
        <w:rPr>
          <w:rFonts w:ascii="Times New Roman" w:hAnsi="Times New Roman" w:cs="Times New Roman"/>
        </w:rPr>
        <w:t>—</w:t>
      </w:r>
      <w:r w:rsidRPr="009D1813">
        <w:rPr>
          <w:rFonts w:ascii="Times New Roman" w:hAnsi="Times New Roman" w:cs="Times New Roman"/>
        </w:rPr>
        <w:t>whether directly or indirectly. Criminal measures adopted by certain states are broader in scope and can thus extend to other forms of material support</w:t>
      </w:r>
      <w:r w:rsidR="00F44270">
        <w:rPr>
          <w:rFonts w:ascii="Times New Roman" w:hAnsi="Times New Roman" w:cs="Times New Roman"/>
        </w:rPr>
        <w:t>.</w:t>
      </w:r>
      <w:r w:rsidRPr="009D1813">
        <w:rPr>
          <w:rFonts w:ascii="Times New Roman" w:hAnsi="Times New Roman" w:cs="Times New Roman"/>
        </w:rPr>
        <w:t xml:space="preserve"> </w:t>
      </w:r>
      <w:r w:rsidR="00253946">
        <w:rPr>
          <w:rFonts w:ascii="Times New Roman" w:hAnsi="Times New Roman" w:cs="Times New Roman"/>
        </w:rPr>
        <w:t>H</w:t>
      </w:r>
      <w:r w:rsidRPr="009D1813">
        <w:rPr>
          <w:rFonts w:ascii="Times New Roman" w:hAnsi="Times New Roman" w:cs="Times New Roman"/>
        </w:rPr>
        <w:t>owever, the legal instruments do no</w:t>
      </w:r>
      <w:r w:rsidR="009D5ED4">
        <w:rPr>
          <w:rFonts w:ascii="Times New Roman" w:hAnsi="Times New Roman" w:cs="Times New Roman"/>
        </w:rPr>
        <w:t>t</w:t>
      </w:r>
      <w:r w:rsidRPr="009D1813">
        <w:rPr>
          <w:rFonts w:ascii="Times New Roman" w:hAnsi="Times New Roman" w:cs="Times New Roman"/>
        </w:rPr>
        <w:t xml:space="preserve"> prohibit mere contact with NSAGs for humanitarian purposes, despite a widespread misperception that engagement with designated entities is somehow</w:t>
      </w:r>
      <w:r w:rsidR="000C4F4E">
        <w:rPr>
          <w:rFonts w:ascii="Times New Roman" w:hAnsi="Times New Roman" w:cs="Times New Roman"/>
        </w:rPr>
        <w:t xml:space="preserve"> “</w:t>
      </w:r>
      <w:r w:rsidRPr="009D1813">
        <w:rPr>
          <w:rFonts w:ascii="Times New Roman" w:hAnsi="Times New Roman" w:cs="Times New Roman"/>
        </w:rPr>
        <w:t>outlawed</w:t>
      </w:r>
      <w:r w:rsidR="00F44270">
        <w:rPr>
          <w:rFonts w:ascii="Times New Roman" w:hAnsi="Times New Roman" w:cs="Times New Roman"/>
        </w:rPr>
        <w:t>.”</w:t>
      </w:r>
      <w:r w:rsidRPr="009D1813">
        <w:rPr>
          <w:rFonts w:ascii="Times New Roman" w:hAnsi="Times New Roman" w:cs="Times New Roman"/>
        </w:rPr>
        <w:t xml:space="preserve"> In fact, a restriction on contact would conflict with existing principles of IHL and particularly </w:t>
      </w:r>
      <w:r w:rsidR="001202EC">
        <w:rPr>
          <w:rFonts w:ascii="Times New Roman" w:hAnsi="Times New Roman" w:cs="Times New Roman"/>
        </w:rPr>
        <w:t>c</w:t>
      </w:r>
      <w:r w:rsidRPr="009D1813">
        <w:rPr>
          <w:rFonts w:ascii="Times New Roman" w:hAnsi="Times New Roman" w:cs="Times New Roman"/>
        </w:rPr>
        <w:t xml:space="preserve">ommon </w:t>
      </w:r>
      <w:r w:rsidR="000B7FFC">
        <w:rPr>
          <w:rFonts w:ascii="Times New Roman" w:hAnsi="Times New Roman" w:cs="Times New Roman"/>
        </w:rPr>
        <w:t>A</w:t>
      </w:r>
      <w:r w:rsidRPr="009D1813">
        <w:rPr>
          <w:rFonts w:ascii="Times New Roman" w:hAnsi="Times New Roman" w:cs="Times New Roman"/>
        </w:rPr>
        <w:t>rticle 3, which expressly foresees the possibility for humanitarian actors to offer services to both states and NSAGs. The funding arrangements of donors with humanitarian NGOs often replicate the restrictions outlined in sanctions regimes, but these too only regulate the provision of funds and do preclude contact or dialogue.</w:t>
      </w:r>
      <w:r w:rsidRPr="009D1813">
        <w:rPr>
          <w:rStyle w:val="EndnoteReference"/>
          <w:rFonts w:ascii="Times New Roman" w:hAnsi="Times New Roman" w:cs="Times New Roman"/>
        </w:rPr>
        <w:endnoteReference w:id="73"/>
      </w:r>
    </w:p>
    <w:p w14:paraId="3A7B8541" w14:textId="495ABE93" w:rsidR="00347CF8" w:rsidRPr="009D1813" w:rsidRDefault="006510C4">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Yet, as hinted above, various donors and humanitarian organizations are reading into the law </w:t>
      </w:r>
      <w:r w:rsidR="005B2D4E" w:rsidRPr="009D1813">
        <w:rPr>
          <w:rFonts w:ascii="Times New Roman" w:hAnsi="Times New Roman" w:cs="Times New Roman"/>
        </w:rPr>
        <w:t xml:space="preserve">tighter </w:t>
      </w:r>
      <w:r w:rsidRPr="009D1813">
        <w:rPr>
          <w:rFonts w:ascii="Times New Roman" w:hAnsi="Times New Roman" w:cs="Times New Roman"/>
        </w:rPr>
        <w:t xml:space="preserve">restrictions on engagement with NSAGs </w:t>
      </w:r>
      <w:r w:rsidR="005B2D4E" w:rsidRPr="009D1813">
        <w:rPr>
          <w:rFonts w:ascii="Times New Roman" w:hAnsi="Times New Roman" w:cs="Times New Roman"/>
        </w:rPr>
        <w:t xml:space="preserve">than exist, </w:t>
      </w:r>
      <w:r w:rsidRPr="009D1813">
        <w:rPr>
          <w:rFonts w:ascii="Times New Roman" w:hAnsi="Times New Roman" w:cs="Times New Roman"/>
        </w:rPr>
        <w:t xml:space="preserve">and thus unnecessarily curtailing their operations. </w:t>
      </w:r>
      <w:r w:rsidR="005B2D4E" w:rsidRPr="009D1813">
        <w:rPr>
          <w:rFonts w:ascii="Times New Roman" w:hAnsi="Times New Roman" w:cs="Times New Roman"/>
        </w:rPr>
        <w:t>Of course, humanitarian actors can and often do set more onerous standards over and above the law for reasons related to reputation or risk</w:t>
      </w:r>
      <w:r w:rsidR="00197ABF">
        <w:rPr>
          <w:rFonts w:ascii="Times New Roman" w:hAnsi="Times New Roman" w:cs="Times New Roman"/>
        </w:rPr>
        <w:t xml:space="preserve"> </w:t>
      </w:r>
      <w:r w:rsidR="005B2D4E" w:rsidRPr="009D1813">
        <w:rPr>
          <w:rFonts w:ascii="Times New Roman" w:hAnsi="Times New Roman" w:cs="Times New Roman"/>
        </w:rPr>
        <w:t xml:space="preserve">tolerance. </w:t>
      </w:r>
      <w:r w:rsidR="00197ABF">
        <w:rPr>
          <w:rFonts w:ascii="Times New Roman" w:hAnsi="Times New Roman" w:cs="Times New Roman"/>
        </w:rPr>
        <w:t>F</w:t>
      </w:r>
      <w:r w:rsidR="005B2D4E" w:rsidRPr="009D1813">
        <w:rPr>
          <w:rFonts w:ascii="Times New Roman" w:hAnsi="Times New Roman" w:cs="Times New Roman"/>
        </w:rPr>
        <w:t>or example, where they work in areas under the control of NSAGs, they may set guidelines addressing various aspects of their engagement with group members, including visibility at public events or use of organizational logos.</w:t>
      </w:r>
      <w:r w:rsidR="005B2D4E" w:rsidRPr="009D1813">
        <w:rPr>
          <w:rStyle w:val="EndnoteReference"/>
          <w:rFonts w:ascii="Times New Roman" w:hAnsi="Times New Roman" w:cs="Times New Roman"/>
        </w:rPr>
        <w:endnoteReference w:id="74"/>
      </w:r>
      <w:r w:rsidR="00347CF8" w:rsidRPr="009D1813">
        <w:rPr>
          <w:rFonts w:ascii="Times New Roman" w:hAnsi="Times New Roman" w:cs="Times New Roman"/>
        </w:rPr>
        <w:t xml:space="preserve"> But it is crucial </w:t>
      </w:r>
      <w:r w:rsidR="00DD3149">
        <w:rPr>
          <w:rFonts w:ascii="Times New Roman" w:hAnsi="Times New Roman" w:cs="Times New Roman"/>
        </w:rPr>
        <w:t xml:space="preserve">in any </w:t>
      </w:r>
      <w:r w:rsidR="00347CF8" w:rsidRPr="009D1813">
        <w:rPr>
          <w:rFonts w:ascii="Times New Roman" w:hAnsi="Times New Roman" w:cs="Times New Roman"/>
        </w:rPr>
        <w:t>agenda that seek</w:t>
      </w:r>
      <w:r w:rsidR="00B33683">
        <w:rPr>
          <w:rFonts w:ascii="Times New Roman" w:hAnsi="Times New Roman" w:cs="Times New Roman"/>
        </w:rPr>
        <w:t>s</w:t>
      </w:r>
      <w:r w:rsidR="00347CF8" w:rsidRPr="009D1813">
        <w:rPr>
          <w:rFonts w:ascii="Times New Roman" w:hAnsi="Times New Roman" w:cs="Times New Roman"/>
        </w:rPr>
        <w:t xml:space="preserve"> to encourage restraint in the behavior of NSAGs that legal restrictions</w:t>
      </w:r>
      <w:r w:rsidR="008F5A1D" w:rsidRPr="009D1813">
        <w:rPr>
          <w:rFonts w:ascii="Times New Roman" w:hAnsi="Times New Roman" w:cs="Times New Roman"/>
        </w:rPr>
        <w:t>—</w:t>
      </w:r>
      <w:r w:rsidR="00347CF8" w:rsidRPr="009D1813">
        <w:rPr>
          <w:rFonts w:ascii="Times New Roman" w:hAnsi="Times New Roman" w:cs="Times New Roman"/>
        </w:rPr>
        <w:t>which humanitarian NGOs must comply with</w:t>
      </w:r>
      <w:r w:rsidR="008F5A1D" w:rsidRPr="009D1813">
        <w:rPr>
          <w:rFonts w:ascii="Times New Roman" w:hAnsi="Times New Roman" w:cs="Times New Roman"/>
        </w:rPr>
        <w:t>—</w:t>
      </w:r>
      <w:r w:rsidR="00B33683">
        <w:rPr>
          <w:rFonts w:ascii="Times New Roman" w:hAnsi="Times New Roman" w:cs="Times New Roman"/>
        </w:rPr>
        <w:t>is</w:t>
      </w:r>
      <w:r w:rsidR="00B33683" w:rsidRPr="009D1813">
        <w:rPr>
          <w:rFonts w:ascii="Times New Roman" w:hAnsi="Times New Roman" w:cs="Times New Roman"/>
        </w:rPr>
        <w:t xml:space="preserve"> </w:t>
      </w:r>
      <w:r w:rsidR="00347CF8" w:rsidRPr="009D1813">
        <w:rPr>
          <w:rFonts w:ascii="Times New Roman" w:hAnsi="Times New Roman" w:cs="Times New Roman"/>
        </w:rPr>
        <w:t xml:space="preserve">carefully distinguished from political and policy choices. </w:t>
      </w:r>
    </w:p>
    <w:p w14:paraId="63BC1C54" w14:textId="7624423C" w:rsidR="008D1997" w:rsidRPr="009D1813" w:rsidRDefault="00347CF8">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Furthermore, </w:t>
      </w:r>
      <w:r w:rsidR="00524F67" w:rsidRPr="009D1813">
        <w:rPr>
          <w:rFonts w:ascii="Times New Roman" w:hAnsi="Times New Roman" w:cs="Times New Roman"/>
        </w:rPr>
        <w:t xml:space="preserve">it remains </w:t>
      </w:r>
      <w:r w:rsidR="003D628B">
        <w:rPr>
          <w:rFonts w:ascii="Times New Roman" w:hAnsi="Times New Roman" w:cs="Times New Roman"/>
        </w:rPr>
        <w:t>the</w:t>
      </w:r>
      <w:r w:rsidR="003D628B" w:rsidRPr="009D1813">
        <w:rPr>
          <w:rFonts w:ascii="Times New Roman" w:hAnsi="Times New Roman" w:cs="Times New Roman"/>
        </w:rPr>
        <w:t xml:space="preserve"> </w:t>
      </w:r>
      <w:r w:rsidR="00524F67" w:rsidRPr="009D1813">
        <w:rPr>
          <w:rFonts w:ascii="Times New Roman" w:hAnsi="Times New Roman" w:cs="Times New Roman"/>
        </w:rPr>
        <w:t xml:space="preserve">case </w:t>
      </w:r>
      <w:r w:rsidR="003D628B">
        <w:rPr>
          <w:rFonts w:ascii="Times New Roman" w:hAnsi="Times New Roman" w:cs="Times New Roman"/>
        </w:rPr>
        <w:t xml:space="preserve">that </w:t>
      </w:r>
      <w:r w:rsidR="00524F67" w:rsidRPr="009D1813">
        <w:rPr>
          <w:rFonts w:ascii="Times New Roman" w:hAnsi="Times New Roman" w:cs="Times New Roman"/>
        </w:rPr>
        <w:t xml:space="preserve">certain governments, and their armed forces, are </w:t>
      </w:r>
      <w:r w:rsidR="00FB286F" w:rsidRPr="009D1813">
        <w:rPr>
          <w:rFonts w:ascii="Times New Roman" w:hAnsi="Times New Roman" w:cs="Times New Roman"/>
        </w:rPr>
        <w:t xml:space="preserve">broadly interpreting </w:t>
      </w:r>
      <w:r w:rsidR="00524F67" w:rsidRPr="009D1813">
        <w:rPr>
          <w:rFonts w:ascii="Times New Roman" w:hAnsi="Times New Roman" w:cs="Times New Roman"/>
        </w:rPr>
        <w:t>their own domestic terrorism legislation in ways that constrain or intimidate humanitarian organizations. The Nigerian Army, for example, has threatened international NGO</w:t>
      </w:r>
      <w:r w:rsidR="002F7A8A">
        <w:rPr>
          <w:rFonts w:ascii="Times New Roman" w:hAnsi="Times New Roman" w:cs="Times New Roman"/>
        </w:rPr>
        <w:t>s</w:t>
      </w:r>
      <w:r w:rsidR="00524F67" w:rsidRPr="009D1813">
        <w:rPr>
          <w:rFonts w:ascii="Times New Roman" w:hAnsi="Times New Roman" w:cs="Times New Roman"/>
        </w:rPr>
        <w:t xml:space="preserve"> with closure of their offices if their staff make overtures to Boko Haram.</w:t>
      </w:r>
      <w:r w:rsidR="00524F67" w:rsidRPr="009D1813">
        <w:rPr>
          <w:rStyle w:val="EndnoteReference"/>
          <w:rFonts w:ascii="Times New Roman" w:hAnsi="Times New Roman" w:cs="Times New Roman"/>
        </w:rPr>
        <w:endnoteReference w:id="75"/>
      </w:r>
      <w:r w:rsidR="00524F67" w:rsidRPr="009D1813">
        <w:rPr>
          <w:rFonts w:ascii="Times New Roman" w:hAnsi="Times New Roman" w:cs="Times New Roman"/>
        </w:rPr>
        <w:t xml:space="preserve"> More </w:t>
      </w:r>
      <w:r w:rsidR="00FB286F" w:rsidRPr="009D1813">
        <w:rPr>
          <w:rFonts w:ascii="Times New Roman" w:hAnsi="Times New Roman" w:cs="Times New Roman"/>
        </w:rPr>
        <w:t>generally</w:t>
      </w:r>
      <w:r w:rsidR="00524F67" w:rsidRPr="009D1813">
        <w:rPr>
          <w:rFonts w:ascii="Times New Roman" w:hAnsi="Times New Roman" w:cs="Times New Roman"/>
        </w:rPr>
        <w:t>, h</w:t>
      </w:r>
      <w:r w:rsidR="000608F9" w:rsidRPr="009D1813">
        <w:rPr>
          <w:rFonts w:ascii="Times New Roman" w:hAnsi="Times New Roman" w:cs="Times New Roman"/>
        </w:rPr>
        <w:t xml:space="preserve">umanitarian organizations </w:t>
      </w:r>
      <w:r w:rsidR="0045533B" w:rsidRPr="009D1813">
        <w:rPr>
          <w:rFonts w:ascii="Times New Roman" w:hAnsi="Times New Roman" w:cs="Times New Roman"/>
        </w:rPr>
        <w:t>such as Médecins Sans Fronti</w:t>
      </w:r>
      <w:r w:rsidR="00896F34">
        <w:rPr>
          <w:rFonts w:ascii="Times New Roman" w:hAnsi="Times New Roman" w:cs="Times New Roman"/>
        </w:rPr>
        <w:t>è</w:t>
      </w:r>
      <w:r w:rsidR="0045533B" w:rsidRPr="009D1813">
        <w:rPr>
          <w:rFonts w:ascii="Times New Roman" w:hAnsi="Times New Roman" w:cs="Times New Roman"/>
        </w:rPr>
        <w:t xml:space="preserve">res </w:t>
      </w:r>
      <w:r w:rsidR="000608F9" w:rsidRPr="009D1813">
        <w:rPr>
          <w:rFonts w:ascii="Times New Roman" w:hAnsi="Times New Roman" w:cs="Times New Roman"/>
        </w:rPr>
        <w:t>have underscored th</w:t>
      </w:r>
      <w:r w:rsidR="00524F67" w:rsidRPr="009D1813">
        <w:rPr>
          <w:rFonts w:ascii="Times New Roman" w:hAnsi="Times New Roman" w:cs="Times New Roman"/>
        </w:rPr>
        <w:t>e</w:t>
      </w:r>
      <w:r w:rsidR="000608F9" w:rsidRPr="009D1813">
        <w:rPr>
          <w:rFonts w:ascii="Times New Roman" w:hAnsi="Times New Roman" w:cs="Times New Roman"/>
        </w:rPr>
        <w:t xml:space="preserve"> </w:t>
      </w:r>
      <w:r w:rsidR="004907AC">
        <w:rPr>
          <w:rFonts w:ascii="Times New Roman" w:hAnsi="Times New Roman" w:cs="Times New Roman"/>
        </w:rPr>
        <w:t>negative</w:t>
      </w:r>
      <w:r w:rsidR="001F60CB">
        <w:rPr>
          <w:rFonts w:ascii="Times New Roman" w:hAnsi="Times New Roman" w:cs="Times New Roman"/>
        </w:rPr>
        <w:t xml:space="preserve"> </w:t>
      </w:r>
      <w:r w:rsidR="000608F9" w:rsidRPr="009D1813">
        <w:rPr>
          <w:rFonts w:ascii="Times New Roman" w:hAnsi="Times New Roman" w:cs="Times New Roman"/>
        </w:rPr>
        <w:t>effect</w:t>
      </w:r>
      <w:r w:rsidR="001F60CB">
        <w:rPr>
          <w:rFonts w:ascii="Times New Roman" w:hAnsi="Times New Roman" w:cs="Times New Roman"/>
        </w:rPr>
        <w:t>s</w:t>
      </w:r>
      <w:r w:rsidR="000608F9" w:rsidRPr="009D1813">
        <w:rPr>
          <w:rFonts w:ascii="Times New Roman" w:hAnsi="Times New Roman" w:cs="Times New Roman"/>
        </w:rPr>
        <w:t xml:space="preserve"> of </w:t>
      </w:r>
      <w:r w:rsidR="003666A5">
        <w:rPr>
          <w:rFonts w:ascii="Times New Roman" w:hAnsi="Times New Roman" w:cs="Times New Roman"/>
        </w:rPr>
        <w:t>counterterrorism</w:t>
      </w:r>
      <w:r w:rsidR="000608F9" w:rsidRPr="009D1813">
        <w:rPr>
          <w:rFonts w:ascii="Times New Roman" w:hAnsi="Times New Roman" w:cs="Times New Roman"/>
        </w:rPr>
        <w:t xml:space="preserve"> </w:t>
      </w:r>
      <w:r w:rsidR="00EF6CDB" w:rsidRPr="009D1813">
        <w:rPr>
          <w:rFonts w:ascii="Times New Roman" w:hAnsi="Times New Roman" w:cs="Times New Roman"/>
        </w:rPr>
        <w:t xml:space="preserve">policy </w:t>
      </w:r>
      <w:r w:rsidR="000608F9" w:rsidRPr="009D1813">
        <w:rPr>
          <w:rFonts w:ascii="Times New Roman" w:hAnsi="Times New Roman" w:cs="Times New Roman"/>
        </w:rPr>
        <w:t>in their attempts to offer humanitarian relief in armed conflict contexts</w:t>
      </w:r>
      <w:r w:rsidR="0045533B" w:rsidRPr="009D1813">
        <w:rPr>
          <w:rFonts w:ascii="Times New Roman" w:hAnsi="Times New Roman" w:cs="Times New Roman"/>
        </w:rPr>
        <w:t xml:space="preserve">, </w:t>
      </w:r>
      <w:r w:rsidR="0045533B" w:rsidRPr="00127EF2">
        <w:rPr>
          <w:rFonts w:ascii="Times New Roman" w:eastAsia="Times New Roman" w:hAnsi="Times New Roman" w:cs="Times New Roman"/>
          <w:shd w:val="clear" w:color="auto" w:fill="FFFFFF"/>
        </w:rPr>
        <w:t xml:space="preserve">given the practical impossibility </w:t>
      </w:r>
      <w:r w:rsidR="00522969">
        <w:rPr>
          <w:rFonts w:ascii="Times New Roman" w:eastAsia="Times New Roman" w:hAnsi="Times New Roman" w:cs="Times New Roman"/>
          <w:shd w:val="clear" w:color="auto" w:fill="FFFFFF"/>
        </w:rPr>
        <w:t>of</w:t>
      </w:r>
      <w:r w:rsidR="00522969" w:rsidRPr="00127EF2">
        <w:rPr>
          <w:rFonts w:ascii="Times New Roman" w:eastAsia="Times New Roman" w:hAnsi="Times New Roman" w:cs="Times New Roman"/>
          <w:shd w:val="clear" w:color="auto" w:fill="FFFFFF"/>
        </w:rPr>
        <w:t xml:space="preserve"> </w:t>
      </w:r>
      <w:r w:rsidR="0045533B" w:rsidRPr="00127EF2">
        <w:rPr>
          <w:rFonts w:ascii="Times New Roman" w:eastAsia="Times New Roman" w:hAnsi="Times New Roman" w:cs="Times New Roman"/>
          <w:shd w:val="clear" w:color="auto" w:fill="FFFFFF"/>
        </w:rPr>
        <w:t>avoid</w:t>
      </w:r>
      <w:r w:rsidR="00522969">
        <w:rPr>
          <w:rFonts w:ascii="Times New Roman" w:eastAsia="Times New Roman" w:hAnsi="Times New Roman" w:cs="Times New Roman"/>
          <w:shd w:val="clear" w:color="auto" w:fill="FFFFFF"/>
        </w:rPr>
        <w:t>ing</w:t>
      </w:r>
      <w:r w:rsidR="0045533B" w:rsidRPr="00127EF2">
        <w:rPr>
          <w:rFonts w:ascii="Times New Roman" w:eastAsia="Times New Roman" w:hAnsi="Times New Roman" w:cs="Times New Roman"/>
          <w:shd w:val="clear" w:color="auto" w:fill="FFFFFF"/>
        </w:rPr>
        <w:t xml:space="preserve"> all contact with NSAGs active in or in control of territory where humanitarian operations are taking place</w:t>
      </w:r>
      <w:r w:rsidR="00524F67" w:rsidRPr="00127EF2">
        <w:rPr>
          <w:rFonts w:ascii="Times New Roman" w:eastAsia="Times New Roman" w:hAnsi="Times New Roman" w:cs="Times New Roman"/>
          <w:shd w:val="clear" w:color="auto" w:fill="FFFFFF"/>
        </w:rPr>
        <w:t>.</w:t>
      </w:r>
      <w:r w:rsidR="00FB286F" w:rsidRPr="00127EF2">
        <w:rPr>
          <w:rStyle w:val="EndnoteReference"/>
          <w:rFonts w:ascii="Times New Roman" w:eastAsia="Times New Roman" w:hAnsi="Times New Roman" w:cs="Times New Roman"/>
          <w:shd w:val="clear" w:color="auto" w:fill="FFFFFF"/>
        </w:rPr>
        <w:endnoteReference w:id="76"/>
      </w:r>
      <w:r w:rsidR="00F22A80" w:rsidRPr="00127EF2">
        <w:rPr>
          <w:rFonts w:ascii="Times New Roman" w:eastAsia="Times New Roman" w:hAnsi="Times New Roman" w:cs="Times New Roman"/>
          <w:shd w:val="clear" w:color="auto" w:fill="FFFFFF"/>
        </w:rPr>
        <w:t xml:space="preserve"> </w:t>
      </w:r>
      <w:r w:rsidR="0045533B" w:rsidRPr="009D1813">
        <w:rPr>
          <w:rFonts w:ascii="Times New Roman" w:hAnsi="Times New Roman" w:cs="Times New Roman"/>
        </w:rPr>
        <w:t>Similarly,</w:t>
      </w:r>
      <w:r w:rsidR="000608F9" w:rsidRPr="009D1813">
        <w:rPr>
          <w:rFonts w:ascii="Times New Roman" w:hAnsi="Times New Roman" w:cs="Times New Roman"/>
        </w:rPr>
        <w:t xml:space="preserve"> organizations such as Civilians in Conflict</w:t>
      </w:r>
      <w:r w:rsidR="0045533B" w:rsidRPr="009D1813">
        <w:rPr>
          <w:rFonts w:ascii="Times New Roman" w:hAnsi="Times New Roman" w:cs="Times New Roman"/>
        </w:rPr>
        <w:t xml:space="preserve">, </w:t>
      </w:r>
      <w:r w:rsidR="00BA25F7">
        <w:rPr>
          <w:rFonts w:ascii="Times New Roman" w:hAnsi="Times New Roman" w:cs="Times New Roman"/>
        </w:rPr>
        <w:t xml:space="preserve">the </w:t>
      </w:r>
      <w:r w:rsidR="0045533B" w:rsidRPr="009D1813">
        <w:rPr>
          <w:rFonts w:ascii="Times New Roman" w:hAnsi="Times New Roman" w:cs="Times New Roman"/>
        </w:rPr>
        <w:t>ICRC,</w:t>
      </w:r>
      <w:r w:rsidR="000608F9" w:rsidRPr="009D1813">
        <w:rPr>
          <w:rFonts w:ascii="Times New Roman" w:hAnsi="Times New Roman" w:cs="Times New Roman"/>
        </w:rPr>
        <w:t xml:space="preserve"> and Geneva Call </w:t>
      </w:r>
      <w:r w:rsidR="0045533B" w:rsidRPr="009D1813">
        <w:rPr>
          <w:rFonts w:ascii="Times New Roman" w:hAnsi="Times New Roman" w:cs="Times New Roman"/>
        </w:rPr>
        <w:t xml:space="preserve">face </w:t>
      </w:r>
      <w:r w:rsidR="008D1997" w:rsidRPr="009D1813">
        <w:rPr>
          <w:rFonts w:ascii="Times New Roman" w:hAnsi="Times New Roman" w:cs="Times New Roman"/>
        </w:rPr>
        <w:t xml:space="preserve">ongoing </w:t>
      </w:r>
      <w:r w:rsidR="0045533B" w:rsidRPr="009D1813">
        <w:rPr>
          <w:rFonts w:ascii="Times New Roman" w:hAnsi="Times New Roman" w:cs="Times New Roman"/>
        </w:rPr>
        <w:t xml:space="preserve">challenges </w:t>
      </w:r>
      <w:r w:rsidR="000608F9" w:rsidRPr="009D1813">
        <w:rPr>
          <w:rFonts w:ascii="Times New Roman" w:hAnsi="Times New Roman" w:cs="Times New Roman"/>
        </w:rPr>
        <w:t xml:space="preserve">in </w:t>
      </w:r>
      <w:r w:rsidR="0045533B" w:rsidRPr="009D1813">
        <w:rPr>
          <w:rFonts w:ascii="Times New Roman" w:hAnsi="Times New Roman" w:cs="Times New Roman"/>
        </w:rPr>
        <w:t xml:space="preserve">implementing </w:t>
      </w:r>
      <w:r w:rsidR="000608F9" w:rsidRPr="009D1813">
        <w:rPr>
          <w:rFonts w:ascii="Times New Roman" w:hAnsi="Times New Roman" w:cs="Times New Roman"/>
        </w:rPr>
        <w:t xml:space="preserve">their </w:t>
      </w:r>
      <w:r w:rsidR="00BA25F7" w:rsidRPr="009D1813">
        <w:rPr>
          <w:rFonts w:ascii="Times New Roman" w:hAnsi="Times New Roman" w:cs="Times New Roman"/>
        </w:rPr>
        <w:t xml:space="preserve">civilian protection </w:t>
      </w:r>
      <w:r w:rsidR="000608F9" w:rsidRPr="009D1813">
        <w:rPr>
          <w:rFonts w:ascii="Times New Roman" w:hAnsi="Times New Roman" w:cs="Times New Roman"/>
        </w:rPr>
        <w:t>programs</w:t>
      </w:r>
      <w:r w:rsidR="008D1997" w:rsidRPr="009D1813">
        <w:rPr>
          <w:rFonts w:ascii="Times New Roman" w:hAnsi="Times New Roman" w:cs="Times New Roman"/>
        </w:rPr>
        <w:t xml:space="preserve">, given the need to negotiate access to civilian populations and to engage with NSAGs to encourage restraint. </w:t>
      </w:r>
      <w:r w:rsidR="000608F9" w:rsidRPr="009D1813">
        <w:rPr>
          <w:rFonts w:ascii="Times New Roman" w:hAnsi="Times New Roman" w:cs="Times New Roman"/>
        </w:rPr>
        <w:t>In the context of cultural heritage, the work of the Smithsonian has also been constrained, as contact with entities that the US government has identified as terrorist organizations is prohibited.</w:t>
      </w:r>
    </w:p>
    <w:p w14:paraId="6EBA8E41" w14:textId="4344E1F4" w:rsidR="0008110F" w:rsidRDefault="008D1997">
      <w:pPr>
        <w:spacing w:line="480" w:lineRule="auto"/>
        <w:ind w:firstLine="720"/>
        <w:contextualSpacing/>
        <w:rPr>
          <w:rFonts w:ascii="Times New Roman" w:hAnsi="Times New Roman" w:cs="Times New Roman"/>
        </w:rPr>
      </w:pPr>
      <w:r w:rsidRPr="009D1813">
        <w:rPr>
          <w:rFonts w:ascii="Times New Roman" w:hAnsi="Times New Roman" w:cs="Times New Roman"/>
        </w:rPr>
        <w:t xml:space="preserve">Any concerted strategy to leverage the opportunities that exist for encouraging NSAGs to protect cultural heritage must therefore </w:t>
      </w:r>
      <w:r w:rsidR="00FB286F" w:rsidRPr="009D1813">
        <w:rPr>
          <w:rFonts w:ascii="Times New Roman" w:hAnsi="Times New Roman" w:cs="Times New Roman"/>
        </w:rPr>
        <w:t xml:space="preserve">address </w:t>
      </w:r>
      <w:r w:rsidRPr="009D1813">
        <w:rPr>
          <w:rFonts w:ascii="Times New Roman" w:hAnsi="Times New Roman" w:cs="Times New Roman"/>
        </w:rPr>
        <w:t>barriers to dialogue through both practical measures and a broader political shift on the part of international organizations</w:t>
      </w:r>
      <w:r w:rsidR="00FB286F" w:rsidRPr="009D1813">
        <w:rPr>
          <w:rFonts w:ascii="Times New Roman" w:hAnsi="Times New Roman" w:cs="Times New Roman"/>
        </w:rPr>
        <w:t xml:space="preserve"> and national governments</w:t>
      </w:r>
      <w:r w:rsidRPr="009D1813">
        <w:rPr>
          <w:rFonts w:ascii="Times New Roman" w:hAnsi="Times New Roman" w:cs="Times New Roman"/>
        </w:rPr>
        <w:t xml:space="preserve">. </w:t>
      </w:r>
      <w:r w:rsidR="00FB286F" w:rsidRPr="009D1813">
        <w:rPr>
          <w:rFonts w:ascii="Times New Roman" w:hAnsi="Times New Roman" w:cs="Times New Roman"/>
        </w:rPr>
        <w:t>This</w:t>
      </w:r>
      <w:r w:rsidRPr="009D1813">
        <w:rPr>
          <w:rFonts w:ascii="Times New Roman" w:hAnsi="Times New Roman" w:cs="Times New Roman"/>
        </w:rPr>
        <w:t xml:space="preserve"> entails a willingness to discuss long-cherished principles such as noninterference in the domestic affairs of states</w:t>
      </w:r>
      <w:r w:rsidR="00FB286F" w:rsidRPr="009D1813">
        <w:rPr>
          <w:rFonts w:ascii="Times New Roman" w:hAnsi="Times New Roman" w:cs="Times New Roman"/>
        </w:rPr>
        <w:t xml:space="preserve">, </w:t>
      </w:r>
      <w:r w:rsidRPr="009D1813">
        <w:rPr>
          <w:rFonts w:ascii="Times New Roman" w:hAnsi="Times New Roman" w:cs="Times New Roman"/>
        </w:rPr>
        <w:t>the extent of the “right of initiative” on the part of actors such as UNESCO</w:t>
      </w:r>
      <w:r w:rsidR="00FB286F" w:rsidRPr="009D1813">
        <w:rPr>
          <w:rFonts w:ascii="Times New Roman" w:hAnsi="Times New Roman" w:cs="Times New Roman"/>
        </w:rPr>
        <w:t>, and the courage to challenge governments’ refrain that engagement with NSAGs implies legitimation</w:t>
      </w:r>
      <w:r w:rsidRPr="009D1813">
        <w:rPr>
          <w:rFonts w:ascii="Times New Roman" w:hAnsi="Times New Roman" w:cs="Times New Roman"/>
        </w:rPr>
        <w:t xml:space="preserve">. </w:t>
      </w:r>
      <w:r w:rsidR="00FB286F" w:rsidRPr="009D1813">
        <w:rPr>
          <w:rFonts w:ascii="Times New Roman" w:hAnsi="Times New Roman" w:cs="Times New Roman"/>
        </w:rPr>
        <w:t xml:space="preserve">It also calls for states to demonstrate greater </w:t>
      </w:r>
      <w:r w:rsidR="00FB286F" w:rsidRPr="009D1813">
        <w:rPr>
          <w:rFonts w:ascii="Times New Roman" w:hAnsi="Times New Roman" w:cs="Times New Roman"/>
          <w:i/>
          <w:iCs/>
        </w:rPr>
        <w:t>political</w:t>
      </w:r>
      <w:r w:rsidR="00FB286F" w:rsidRPr="009D1813">
        <w:rPr>
          <w:rFonts w:ascii="Times New Roman" w:hAnsi="Times New Roman" w:cs="Times New Roman"/>
        </w:rPr>
        <w:t xml:space="preserve"> will to ensure that humanitarian action and contact with NSAGs are not impeded by national or multilateral </w:t>
      </w:r>
      <w:r w:rsidR="003666A5">
        <w:rPr>
          <w:rFonts w:ascii="Times New Roman" w:hAnsi="Times New Roman" w:cs="Times New Roman"/>
        </w:rPr>
        <w:t>counterterrorism</w:t>
      </w:r>
      <w:r w:rsidR="00FB286F" w:rsidRPr="009D1813">
        <w:rPr>
          <w:rFonts w:ascii="Times New Roman" w:hAnsi="Times New Roman" w:cs="Times New Roman"/>
        </w:rPr>
        <w:t xml:space="preserve"> strategies—as called for by the UN General Assembly in 2016.</w:t>
      </w:r>
      <w:r w:rsidR="00FB286F" w:rsidRPr="009D1813">
        <w:rPr>
          <w:rStyle w:val="EndnoteReference"/>
          <w:rFonts w:ascii="Times New Roman" w:hAnsi="Times New Roman" w:cs="Times New Roman"/>
        </w:rPr>
        <w:endnoteReference w:id="77"/>
      </w:r>
      <w:r w:rsidR="00FB286F" w:rsidRPr="009D1813">
        <w:rPr>
          <w:rFonts w:ascii="Times New Roman" w:hAnsi="Times New Roman" w:cs="Times New Roman"/>
        </w:rPr>
        <w:t xml:space="preserve"> Above all, it </w:t>
      </w:r>
      <w:r w:rsidRPr="009D1813">
        <w:rPr>
          <w:rFonts w:ascii="Times New Roman" w:hAnsi="Times New Roman" w:cs="Times New Roman"/>
        </w:rPr>
        <w:t xml:space="preserve">requires a deeper recognition that NSAGs are not always </w:t>
      </w:r>
      <w:r w:rsidR="00813C18" w:rsidRPr="009D1813">
        <w:rPr>
          <w:rFonts w:ascii="Times New Roman" w:hAnsi="Times New Roman" w:cs="Times New Roman"/>
        </w:rPr>
        <w:t xml:space="preserve">the core </w:t>
      </w:r>
      <w:r w:rsidRPr="009D1813">
        <w:rPr>
          <w:rFonts w:ascii="Times New Roman" w:hAnsi="Times New Roman" w:cs="Times New Roman"/>
        </w:rPr>
        <w:t xml:space="preserve">problem and </w:t>
      </w:r>
      <w:r w:rsidR="00813C18" w:rsidRPr="009D1813">
        <w:rPr>
          <w:rFonts w:ascii="Times New Roman" w:hAnsi="Times New Roman" w:cs="Times New Roman"/>
        </w:rPr>
        <w:t>might instead</w:t>
      </w:r>
      <w:r w:rsidRPr="009D1813">
        <w:rPr>
          <w:rFonts w:ascii="Times New Roman" w:hAnsi="Times New Roman" w:cs="Times New Roman"/>
        </w:rPr>
        <w:t xml:space="preserve"> form a crucial part of the solution to ensuring the survival of cultural heritage for the next generation.</w:t>
      </w:r>
    </w:p>
    <w:p w14:paraId="6735750F" w14:textId="0C9D979B" w:rsidR="00357F82" w:rsidRDefault="00357F82">
      <w:pPr>
        <w:spacing w:line="480" w:lineRule="auto"/>
        <w:contextualSpacing/>
        <w:rPr>
          <w:rFonts w:ascii="Times New Roman" w:hAnsi="Times New Roman" w:cs="Times New Roman"/>
        </w:rPr>
      </w:pPr>
    </w:p>
    <w:p w14:paraId="6B67A4D8" w14:textId="394DF69A" w:rsidR="00612709" w:rsidRPr="00612709" w:rsidRDefault="003377D1">
      <w:pPr>
        <w:pStyle w:val="Heading2"/>
      </w:pPr>
      <w:r w:rsidRPr="009B6941">
        <w:t>Suggested Readings</w:t>
      </w:r>
    </w:p>
    <w:p w14:paraId="179167B1" w14:textId="77777777" w:rsidR="00DD3149" w:rsidRDefault="00DD3149" w:rsidP="005865EE">
      <w:pPr>
        <w:spacing w:line="480" w:lineRule="auto"/>
        <w:contextualSpacing/>
        <w:rPr>
          <w:rFonts w:ascii="Times New Roman" w:hAnsi="Times New Roman" w:cs="Times New Roman"/>
        </w:rPr>
      </w:pPr>
      <w:r w:rsidRPr="00A96F6D">
        <w:rPr>
          <w:rFonts w:ascii="Times New Roman" w:hAnsi="Times New Roman" w:cs="Times New Roman"/>
        </w:rPr>
        <w:t xml:space="preserve">Simone Molin Friis, “‘Behead, Burn, Crucify, Crush’: Theorizing the Islamic State’s Public Displays of Violence,” </w:t>
      </w:r>
      <w:r w:rsidRPr="00A96F6D">
        <w:rPr>
          <w:rFonts w:ascii="Times New Roman" w:hAnsi="Times New Roman" w:cs="Times New Roman"/>
          <w:i/>
          <w:iCs/>
        </w:rPr>
        <w:t xml:space="preserve">European Journal of International Relations </w:t>
      </w:r>
      <w:r w:rsidRPr="00A96F6D">
        <w:rPr>
          <w:rFonts w:ascii="Times New Roman" w:hAnsi="Times New Roman" w:cs="Times New Roman"/>
        </w:rPr>
        <w:t>24, no. 2 (2018): 243–67.</w:t>
      </w:r>
    </w:p>
    <w:p w14:paraId="7F9386C3" w14:textId="77777777" w:rsidR="00DD3149" w:rsidRDefault="00DD3149" w:rsidP="005865EE">
      <w:pPr>
        <w:spacing w:line="480" w:lineRule="auto"/>
        <w:contextualSpacing/>
        <w:rPr>
          <w:rFonts w:ascii="Times New Roman" w:hAnsi="Times New Roman" w:cs="Times New Roman"/>
        </w:rPr>
      </w:pPr>
    </w:p>
    <w:p w14:paraId="1C06564C" w14:textId="5D6C5195" w:rsidR="00DD3149" w:rsidRDefault="00DD3149" w:rsidP="005865EE">
      <w:pPr>
        <w:spacing w:line="480" w:lineRule="auto"/>
        <w:contextualSpacing/>
        <w:rPr>
          <w:rFonts w:ascii="Times New Roman" w:hAnsi="Times New Roman" w:cs="Times New Roman"/>
        </w:rPr>
      </w:pPr>
      <w:r w:rsidRPr="00A96F6D">
        <w:rPr>
          <w:rFonts w:ascii="Times New Roman" w:hAnsi="Times New Roman" w:cs="Times New Roman"/>
        </w:rPr>
        <w:t xml:space="preserve">Lee A. Fujii, “The Puzzle of Extra-Lethal Violence,” </w:t>
      </w:r>
      <w:r w:rsidRPr="00A96F6D">
        <w:rPr>
          <w:rFonts w:ascii="Times New Roman" w:hAnsi="Times New Roman" w:cs="Times New Roman"/>
          <w:i/>
          <w:iCs/>
        </w:rPr>
        <w:t xml:space="preserve">Perspectives on Politics </w:t>
      </w:r>
      <w:r w:rsidRPr="00A96F6D">
        <w:rPr>
          <w:rFonts w:ascii="Times New Roman" w:hAnsi="Times New Roman" w:cs="Times New Roman"/>
        </w:rPr>
        <w:t>11, no. 2 (2013): 410–26</w:t>
      </w:r>
      <w:r w:rsidR="00BE078F">
        <w:rPr>
          <w:rFonts w:ascii="Times New Roman" w:hAnsi="Times New Roman" w:cs="Times New Roman"/>
        </w:rPr>
        <w:t>.</w:t>
      </w:r>
    </w:p>
    <w:p w14:paraId="5E5BC28B" w14:textId="77777777" w:rsidR="00DD3149" w:rsidRDefault="00DD3149" w:rsidP="005865EE">
      <w:pPr>
        <w:spacing w:line="480" w:lineRule="auto"/>
        <w:contextualSpacing/>
        <w:rPr>
          <w:rFonts w:ascii="Times New Roman" w:hAnsi="Times New Roman" w:cs="Times New Roman"/>
        </w:rPr>
      </w:pPr>
    </w:p>
    <w:p w14:paraId="18974AD9" w14:textId="7EFA4CAE" w:rsidR="00612709" w:rsidRPr="00D20D27" w:rsidRDefault="00612709" w:rsidP="005865EE">
      <w:pPr>
        <w:spacing w:line="480" w:lineRule="auto"/>
        <w:contextualSpacing/>
        <w:rPr>
          <w:rFonts w:ascii="Times New Roman" w:hAnsi="Times New Roman" w:cs="Times New Roman"/>
        </w:rPr>
      </w:pPr>
      <w:r w:rsidRPr="00A96F6D">
        <w:rPr>
          <w:rFonts w:ascii="Times New Roman" w:hAnsi="Times New Roman" w:cs="Times New Roman"/>
        </w:rPr>
        <w:t xml:space="preserve">Geneva Call, </w:t>
      </w:r>
      <w:r w:rsidRPr="00A96F6D">
        <w:rPr>
          <w:rFonts w:ascii="Times New Roman" w:hAnsi="Times New Roman" w:cs="Times New Roman"/>
          <w:i/>
          <w:iCs/>
        </w:rPr>
        <w:t>Culture under Fire: Armed Non-state Actors and Cultural Heritage in Wartime</w:t>
      </w:r>
      <w:r w:rsidRPr="00A96F6D">
        <w:rPr>
          <w:rFonts w:ascii="Times New Roman" w:hAnsi="Times New Roman" w:cs="Times New Roman"/>
        </w:rPr>
        <w:t xml:space="preserve"> (Geneva: Geneva Call, October </w:t>
      </w:r>
      <w:r w:rsidRPr="00D20D27">
        <w:rPr>
          <w:rFonts w:ascii="Times New Roman" w:hAnsi="Times New Roman" w:cs="Times New Roman"/>
        </w:rPr>
        <w:t xml:space="preserve">2018), </w:t>
      </w:r>
      <w:r w:rsidR="00BE078F" w:rsidRPr="005865EE">
        <w:t>https://genevacall.org/wp-content/uploads/2017/10/Cultural_Heritage_Study_Final.pdf</w:t>
      </w:r>
      <w:r w:rsidRPr="00D20D27">
        <w:rPr>
          <w:rFonts w:ascii="Times New Roman" w:hAnsi="Times New Roman" w:cs="Times New Roman"/>
        </w:rPr>
        <w:t>.</w:t>
      </w:r>
    </w:p>
    <w:p w14:paraId="785E2E6E" w14:textId="502820C7" w:rsidR="00612709" w:rsidRDefault="00612709" w:rsidP="005865EE">
      <w:pPr>
        <w:spacing w:line="480" w:lineRule="auto"/>
        <w:contextualSpacing/>
        <w:rPr>
          <w:rFonts w:ascii="Times New Roman" w:hAnsi="Times New Roman" w:cs="Times New Roman"/>
        </w:rPr>
      </w:pPr>
    </w:p>
    <w:p w14:paraId="2E7E6502" w14:textId="792C2A98" w:rsidR="00612709" w:rsidRDefault="00612709" w:rsidP="00510953">
      <w:pPr>
        <w:spacing w:line="480" w:lineRule="auto"/>
        <w:contextualSpacing/>
        <w:rPr>
          <w:rFonts w:ascii="Times New Roman" w:hAnsi="Times New Roman" w:cs="Times New Roman"/>
        </w:rPr>
      </w:pPr>
      <w:r w:rsidRPr="00A96F6D">
        <w:rPr>
          <w:rFonts w:ascii="Times New Roman" w:hAnsi="Times New Roman" w:cs="Times New Roman"/>
        </w:rPr>
        <w:t xml:space="preserve">Hyeran Jo, </w:t>
      </w:r>
      <w:r w:rsidRPr="00A96F6D">
        <w:rPr>
          <w:rFonts w:ascii="Times New Roman" w:hAnsi="Times New Roman" w:cs="Times New Roman"/>
          <w:i/>
          <w:iCs/>
        </w:rPr>
        <w:t>Compliant Rebels: Rebel Groups and International Law in World Politics</w:t>
      </w:r>
      <w:r w:rsidRPr="00A96F6D">
        <w:rPr>
          <w:rFonts w:ascii="Times New Roman" w:hAnsi="Times New Roman" w:cs="Times New Roman"/>
        </w:rPr>
        <w:t xml:space="preserve"> (Cambridge: Cambridge University Press, 2015</w:t>
      </w:r>
      <w:r>
        <w:rPr>
          <w:rFonts w:ascii="Times New Roman" w:hAnsi="Times New Roman" w:cs="Times New Roman"/>
        </w:rPr>
        <w:t>)</w:t>
      </w:r>
      <w:r w:rsidR="007116B0">
        <w:rPr>
          <w:rFonts w:ascii="Times New Roman" w:hAnsi="Times New Roman" w:cs="Times New Roman"/>
        </w:rPr>
        <w:t>.</w:t>
      </w:r>
    </w:p>
    <w:p w14:paraId="7991AC11" w14:textId="6482FD10" w:rsidR="00612709" w:rsidRDefault="00612709" w:rsidP="007116B0">
      <w:pPr>
        <w:spacing w:line="480" w:lineRule="auto"/>
        <w:contextualSpacing/>
        <w:rPr>
          <w:rFonts w:ascii="Times New Roman" w:hAnsi="Times New Roman" w:cs="Times New Roman"/>
        </w:rPr>
      </w:pPr>
    </w:p>
    <w:p w14:paraId="10333671" w14:textId="75916986" w:rsidR="00612709" w:rsidRDefault="00612709" w:rsidP="005865EE">
      <w:pPr>
        <w:spacing w:line="480" w:lineRule="auto"/>
        <w:contextualSpacing/>
        <w:rPr>
          <w:rFonts w:ascii="Times New Roman" w:hAnsi="Times New Roman" w:cs="Times New Roman"/>
        </w:rPr>
      </w:pPr>
      <w:r w:rsidRPr="00A96F6D">
        <w:rPr>
          <w:rFonts w:ascii="Times New Roman" w:hAnsi="Times New Roman" w:cs="Times New Roman"/>
        </w:rPr>
        <w:t>Brian McQuinn</w:t>
      </w:r>
      <w:r w:rsidR="003156EB">
        <w:rPr>
          <w:rFonts w:ascii="Times New Roman" w:hAnsi="Times New Roman" w:cs="Times New Roman"/>
        </w:rPr>
        <w:t>,</w:t>
      </w:r>
      <w:r w:rsidRPr="00A96F6D">
        <w:rPr>
          <w:rFonts w:ascii="Times New Roman" w:hAnsi="Times New Roman" w:cs="Times New Roman"/>
        </w:rPr>
        <w:t xml:space="preserve"> </w:t>
      </w:r>
      <w:r w:rsidR="003156EB" w:rsidRPr="003156EB">
        <w:rPr>
          <w:rFonts w:ascii="Times New Roman" w:hAnsi="Times New Roman" w:cs="Times New Roman"/>
        </w:rPr>
        <w:t>Fiona Terry, Oliver Kaplan</w:t>
      </w:r>
      <w:r w:rsidR="003156EB">
        <w:rPr>
          <w:rFonts w:ascii="Times New Roman" w:hAnsi="Times New Roman" w:cs="Times New Roman"/>
        </w:rPr>
        <w:t>,</w:t>
      </w:r>
      <w:r w:rsidR="003156EB" w:rsidRPr="003156EB">
        <w:rPr>
          <w:rFonts w:ascii="Times New Roman" w:hAnsi="Times New Roman" w:cs="Times New Roman"/>
        </w:rPr>
        <w:t xml:space="preserve"> </w:t>
      </w:r>
      <w:r w:rsidR="003F3BA1">
        <w:rPr>
          <w:rFonts w:ascii="Times New Roman" w:hAnsi="Times New Roman" w:cs="Times New Roman"/>
        </w:rPr>
        <w:t xml:space="preserve">and </w:t>
      </w:r>
      <w:r w:rsidR="003156EB" w:rsidRPr="003156EB">
        <w:rPr>
          <w:rFonts w:ascii="Times New Roman" w:hAnsi="Times New Roman" w:cs="Times New Roman"/>
        </w:rPr>
        <w:t>Francisco Gutiérrez-Sanin</w:t>
      </w:r>
      <w:r w:rsidRPr="00A96F6D">
        <w:rPr>
          <w:rFonts w:ascii="Times New Roman" w:hAnsi="Times New Roman" w:cs="Times New Roman"/>
        </w:rPr>
        <w:t xml:space="preserve">, “Promoting Restraint in War,” </w:t>
      </w:r>
      <w:r w:rsidRPr="00A96F6D">
        <w:rPr>
          <w:rFonts w:ascii="Times New Roman" w:hAnsi="Times New Roman" w:cs="Times New Roman"/>
          <w:i/>
          <w:iCs/>
        </w:rPr>
        <w:t>International Interactions</w:t>
      </w:r>
      <w:r w:rsidRPr="00A96F6D">
        <w:rPr>
          <w:rFonts w:ascii="Times New Roman" w:hAnsi="Times New Roman" w:cs="Times New Roman"/>
        </w:rPr>
        <w:t xml:space="preserve"> (</w:t>
      </w:r>
      <w:r w:rsidR="00BD6F9F" w:rsidRPr="00BD6F9F">
        <w:rPr>
          <w:rFonts w:ascii="Times New Roman" w:hAnsi="Times New Roman" w:cs="Times New Roman"/>
        </w:rPr>
        <w:t>published online 26 August 2021</w:t>
      </w:r>
      <w:r w:rsidRPr="00A96F6D">
        <w:rPr>
          <w:rFonts w:ascii="Times New Roman" w:hAnsi="Times New Roman" w:cs="Times New Roman"/>
        </w:rPr>
        <w:t>).</w:t>
      </w:r>
    </w:p>
    <w:p w14:paraId="40B6EEE9" w14:textId="44F82CD9" w:rsidR="00DD3149" w:rsidRDefault="00DD3149" w:rsidP="005865EE">
      <w:pPr>
        <w:spacing w:line="480" w:lineRule="auto"/>
        <w:contextualSpacing/>
        <w:rPr>
          <w:rFonts w:ascii="Times New Roman" w:hAnsi="Times New Roman" w:cs="Times New Roman"/>
        </w:rPr>
      </w:pPr>
    </w:p>
    <w:p w14:paraId="7FDD5041" w14:textId="61203349" w:rsidR="00DD3149" w:rsidRDefault="00DD3149" w:rsidP="005865EE">
      <w:pPr>
        <w:spacing w:line="480" w:lineRule="auto"/>
        <w:contextualSpacing/>
        <w:rPr>
          <w:rFonts w:ascii="Times New Roman" w:hAnsi="Times New Roman" w:cs="Times New Roman"/>
        </w:rPr>
      </w:pPr>
      <w:r w:rsidRPr="00A96F6D">
        <w:rPr>
          <w:rFonts w:ascii="Times New Roman" w:hAnsi="Times New Roman" w:cs="Times New Roman"/>
        </w:rPr>
        <w:t xml:space="preserve">Jessica A. Stanton, </w:t>
      </w:r>
      <w:r w:rsidRPr="00A96F6D">
        <w:rPr>
          <w:rFonts w:ascii="Times New Roman" w:hAnsi="Times New Roman" w:cs="Times New Roman"/>
          <w:i/>
          <w:iCs/>
        </w:rPr>
        <w:t xml:space="preserve">Violence and Restraint in War </w:t>
      </w:r>
      <w:r w:rsidRPr="00A96F6D">
        <w:rPr>
          <w:rFonts w:ascii="Times New Roman" w:hAnsi="Times New Roman" w:cs="Times New Roman"/>
        </w:rPr>
        <w:t>(Cambridge: Cambridge University Press, 2016)</w:t>
      </w:r>
      <w:r>
        <w:rPr>
          <w:rFonts w:ascii="Times New Roman" w:hAnsi="Times New Roman" w:cs="Times New Roman"/>
        </w:rPr>
        <w:t>.</w:t>
      </w:r>
    </w:p>
    <w:p w14:paraId="2B5C56C1" w14:textId="1078FEC9" w:rsidR="00510953" w:rsidRDefault="00510953" w:rsidP="005865EE">
      <w:pPr>
        <w:spacing w:line="480" w:lineRule="auto"/>
        <w:contextualSpacing/>
        <w:rPr>
          <w:rFonts w:ascii="Times New Roman" w:hAnsi="Times New Roman" w:cs="Times New Roman"/>
        </w:rPr>
      </w:pPr>
    </w:p>
    <w:p w14:paraId="0CD3223D" w14:textId="77777777" w:rsidR="00510953" w:rsidRPr="009D1813" w:rsidRDefault="00510953" w:rsidP="00510953">
      <w:pPr>
        <w:spacing w:line="480" w:lineRule="auto"/>
        <w:contextualSpacing/>
        <w:rPr>
          <w:rFonts w:ascii="Times New Roman" w:hAnsi="Times New Roman" w:cs="Times New Roman"/>
        </w:rPr>
      </w:pPr>
    </w:p>
    <w:sectPr w:rsidR="00510953" w:rsidRPr="009D1813" w:rsidSect="008F5A1D">
      <w:footerReference w:type="even" r:id="rId9"/>
      <w:footerReference w:type="default" r:id="rId10"/>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1EBF1" w14:textId="77777777" w:rsidR="00F34437" w:rsidRDefault="00F34437" w:rsidP="00C25437">
      <w:r>
        <w:separator/>
      </w:r>
    </w:p>
  </w:endnote>
  <w:endnote w:type="continuationSeparator" w:id="0">
    <w:p w14:paraId="277F9E47" w14:textId="77777777" w:rsidR="00F34437" w:rsidRDefault="00F34437" w:rsidP="00C25437">
      <w:r>
        <w:continuationSeparator/>
      </w:r>
    </w:p>
  </w:endnote>
  <w:endnote w:id="1">
    <w:p w14:paraId="68938E8C" w14:textId="3934A724" w:rsidR="004907F0" w:rsidRPr="006C33B1" w:rsidRDefault="004907F0" w:rsidP="003E19EA">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Claire Vergerio, </w:t>
      </w:r>
      <w:r w:rsidR="005444FB" w:rsidRPr="006C33B1">
        <w:rPr>
          <w:rFonts w:ascii="Times New Roman" w:hAnsi="Times New Roman" w:cs="Times New Roman"/>
          <w:sz w:val="24"/>
          <w:szCs w:val="24"/>
        </w:rPr>
        <w:t>“</w:t>
      </w:r>
      <w:r w:rsidRPr="006C33B1">
        <w:rPr>
          <w:rFonts w:ascii="Times New Roman" w:hAnsi="Times New Roman" w:cs="Times New Roman"/>
          <w:sz w:val="24"/>
          <w:szCs w:val="24"/>
        </w:rPr>
        <w:t xml:space="preserve">Alberico Gentili’s De </w:t>
      </w:r>
      <w:r w:rsidR="00BE437E" w:rsidRPr="006C33B1">
        <w:rPr>
          <w:rFonts w:ascii="Times New Roman" w:hAnsi="Times New Roman" w:cs="Times New Roman"/>
          <w:sz w:val="24"/>
          <w:szCs w:val="24"/>
        </w:rPr>
        <w:t>I</w:t>
      </w:r>
      <w:r w:rsidRPr="006C33B1">
        <w:rPr>
          <w:rFonts w:ascii="Times New Roman" w:hAnsi="Times New Roman" w:cs="Times New Roman"/>
          <w:sz w:val="24"/>
          <w:szCs w:val="24"/>
        </w:rPr>
        <w:t xml:space="preserve">ure </w:t>
      </w:r>
      <w:r w:rsidR="00BE437E" w:rsidRPr="006C33B1">
        <w:rPr>
          <w:rFonts w:ascii="Times New Roman" w:hAnsi="Times New Roman" w:cs="Times New Roman"/>
          <w:sz w:val="24"/>
          <w:szCs w:val="24"/>
        </w:rPr>
        <w:t>B</w:t>
      </w:r>
      <w:r w:rsidRPr="006C33B1">
        <w:rPr>
          <w:rFonts w:ascii="Times New Roman" w:hAnsi="Times New Roman" w:cs="Times New Roman"/>
          <w:sz w:val="24"/>
          <w:szCs w:val="24"/>
        </w:rPr>
        <w:t xml:space="preserve">elli: An Absolutist’s Attempt to Reconcile the </w:t>
      </w:r>
      <w:r w:rsidR="00BE437E" w:rsidRPr="006C33B1">
        <w:rPr>
          <w:rFonts w:ascii="Times New Roman" w:hAnsi="Times New Roman" w:cs="Times New Roman"/>
          <w:sz w:val="24"/>
          <w:szCs w:val="24"/>
        </w:rPr>
        <w:t>J</w:t>
      </w:r>
      <w:r w:rsidRPr="006C33B1">
        <w:rPr>
          <w:rFonts w:ascii="Times New Roman" w:hAnsi="Times New Roman" w:cs="Times New Roman"/>
          <w:sz w:val="24"/>
          <w:szCs w:val="24"/>
        </w:rPr>
        <w:t xml:space="preserve">us </w:t>
      </w:r>
      <w:r w:rsidR="00BE437E" w:rsidRPr="006C33B1">
        <w:rPr>
          <w:rFonts w:ascii="Times New Roman" w:hAnsi="Times New Roman" w:cs="Times New Roman"/>
          <w:sz w:val="24"/>
          <w:szCs w:val="24"/>
        </w:rPr>
        <w:t>G</w:t>
      </w:r>
      <w:r w:rsidRPr="006C33B1">
        <w:rPr>
          <w:rFonts w:ascii="Times New Roman" w:hAnsi="Times New Roman" w:cs="Times New Roman"/>
          <w:sz w:val="24"/>
          <w:szCs w:val="24"/>
        </w:rPr>
        <w:t>entium and the Reason of State Tradition,</w:t>
      </w:r>
      <w:r w:rsidR="005444FB" w:rsidRPr="006C33B1">
        <w:rPr>
          <w:rFonts w:ascii="Times New Roman" w:hAnsi="Times New Roman" w:cs="Times New Roman"/>
          <w:sz w:val="24"/>
          <w:szCs w:val="24"/>
        </w:rPr>
        <w:t>”</w:t>
      </w:r>
      <w:r w:rsidRPr="006C33B1">
        <w:rPr>
          <w:rFonts w:ascii="Times New Roman" w:hAnsi="Times New Roman" w:cs="Times New Roman"/>
          <w:sz w:val="24"/>
          <w:szCs w:val="24"/>
        </w:rPr>
        <w:t xml:space="preserve"> </w:t>
      </w:r>
      <w:r w:rsidRPr="006C33B1">
        <w:rPr>
          <w:rFonts w:ascii="Times New Roman" w:hAnsi="Times New Roman" w:cs="Times New Roman"/>
          <w:i/>
          <w:iCs/>
          <w:sz w:val="24"/>
          <w:szCs w:val="24"/>
        </w:rPr>
        <w:t>Journal of the History of International Law</w:t>
      </w:r>
      <w:r w:rsidRPr="006C33B1">
        <w:rPr>
          <w:rFonts w:ascii="Times New Roman" w:hAnsi="Times New Roman" w:cs="Times New Roman"/>
          <w:sz w:val="24"/>
          <w:szCs w:val="24"/>
        </w:rPr>
        <w:t xml:space="preserve"> 19, no. 4 (2017): 429</w:t>
      </w:r>
      <w:r w:rsidR="00A801C0" w:rsidRPr="006C33B1">
        <w:rPr>
          <w:rFonts w:ascii="Times New Roman" w:hAnsi="Times New Roman" w:cs="Times New Roman"/>
          <w:sz w:val="24"/>
          <w:szCs w:val="24"/>
        </w:rPr>
        <w:t>–</w:t>
      </w:r>
      <w:r w:rsidRPr="006C33B1">
        <w:rPr>
          <w:rFonts w:ascii="Times New Roman" w:hAnsi="Times New Roman" w:cs="Times New Roman"/>
          <w:sz w:val="24"/>
          <w:szCs w:val="24"/>
        </w:rPr>
        <w:t>66.</w:t>
      </w:r>
    </w:p>
  </w:endnote>
  <w:endnote w:id="2">
    <w:p w14:paraId="56CADE19" w14:textId="03A0D602" w:rsidR="005A5AA8" w:rsidRPr="006C33B1" w:rsidRDefault="005A5AA8">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A84E1F" w:rsidRPr="006C33B1">
        <w:rPr>
          <w:rFonts w:ascii="Times New Roman" w:hAnsi="Times New Roman" w:cs="Times New Roman"/>
          <w:sz w:val="24"/>
          <w:szCs w:val="24"/>
        </w:rPr>
        <w:t xml:space="preserve">Therése Pettersson, Stina Högbladh, and Magnus Öberg, “Organized </w:t>
      </w:r>
      <w:r w:rsidR="00453570" w:rsidRPr="006C33B1">
        <w:rPr>
          <w:rFonts w:ascii="Times New Roman" w:hAnsi="Times New Roman" w:cs="Times New Roman"/>
          <w:sz w:val="24"/>
          <w:szCs w:val="24"/>
        </w:rPr>
        <w:t>V</w:t>
      </w:r>
      <w:r w:rsidR="00A84E1F" w:rsidRPr="006C33B1">
        <w:rPr>
          <w:rFonts w:ascii="Times New Roman" w:hAnsi="Times New Roman" w:cs="Times New Roman"/>
          <w:sz w:val="24"/>
          <w:szCs w:val="24"/>
        </w:rPr>
        <w:t xml:space="preserve">iolence, 1989–2018 and </w:t>
      </w:r>
      <w:r w:rsidR="00453570" w:rsidRPr="006C33B1">
        <w:rPr>
          <w:rFonts w:ascii="Times New Roman" w:hAnsi="Times New Roman" w:cs="Times New Roman"/>
          <w:sz w:val="24"/>
          <w:szCs w:val="24"/>
        </w:rPr>
        <w:t>P</w:t>
      </w:r>
      <w:r w:rsidR="00A84E1F" w:rsidRPr="006C33B1">
        <w:rPr>
          <w:rFonts w:ascii="Times New Roman" w:hAnsi="Times New Roman" w:cs="Times New Roman"/>
          <w:sz w:val="24"/>
          <w:szCs w:val="24"/>
        </w:rPr>
        <w:t xml:space="preserve">eace </w:t>
      </w:r>
      <w:r w:rsidR="00453570" w:rsidRPr="006C33B1">
        <w:rPr>
          <w:rFonts w:ascii="Times New Roman" w:hAnsi="Times New Roman" w:cs="Times New Roman"/>
          <w:sz w:val="24"/>
          <w:szCs w:val="24"/>
        </w:rPr>
        <w:t>A</w:t>
      </w:r>
      <w:r w:rsidR="00A84E1F" w:rsidRPr="006C33B1">
        <w:rPr>
          <w:rFonts w:ascii="Times New Roman" w:hAnsi="Times New Roman" w:cs="Times New Roman"/>
          <w:sz w:val="24"/>
          <w:szCs w:val="24"/>
        </w:rPr>
        <w:t xml:space="preserve">greements,” </w:t>
      </w:r>
      <w:r w:rsidR="00973F84" w:rsidRPr="006C33B1">
        <w:rPr>
          <w:rFonts w:ascii="Times New Roman" w:hAnsi="Times New Roman" w:cs="Times New Roman"/>
          <w:i/>
          <w:iCs/>
          <w:sz w:val="24"/>
          <w:szCs w:val="24"/>
        </w:rPr>
        <w:t xml:space="preserve">Journal of Peace Research </w:t>
      </w:r>
      <w:r w:rsidR="00973F84" w:rsidRPr="006C33B1">
        <w:rPr>
          <w:rFonts w:ascii="Times New Roman" w:hAnsi="Times New Roman" w:cs="Times New Roman"/>
          <w:sz w:val="24"/>
          <w:szCs w:val="24"/>
        </w:rPr>
        <w:t>56, no. 4 (2019): 589–603.</w:t>
      </w:r>
    </w:p>
  </w:endnote>
  <w:endnote w:id="3">
    <w:p w14:paraId="5F4C602B" w14:textId="5B74744A" w:rsidR="004907F0" w:rsidRPr="006C33B1" w:rsidRDefault="004907F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5B5FF8" w:rsidRPr="006C33B1">
        <w:rPr>
          <w:rFonts w:ascii="Times New Roman" w:hAnsi="Times New Roman" w:cs="Times New Roman"/>
          <w:sz w:val="24"/>
          <w:szCs w:val="24"/>
        </w:rPr>
        <w:t>ICRC</w:t>
      </w:r>
      <w:r w:rsidR="00556390" w:rsidRPr="006C33B1">
        <w:rPr>
          <w:rFonts w:ascii="Times New Roman" w:hAnsi="Times New Roman" w:cs="Times New Roman"/>
          <w:sz w:val="24"/>
          <w:szCs w:val="24"/>
        </w:rPr>
        <w:t xml:space="preserve">, </w:t>
      </w:r>
      <w:r w:rsidRPr="006C33B1">
        <w:rPr>
          <w:rFonts w:ascii="Times New Roman" w:hAnsi="Times New Roman" w:cs="Times New Roman"/>
          <w:i/>
          <w:iCs/>
          <w:sz w:val="24"/>
          <w:szCs w:val="24"/>
        </w:rPr>
        <w:t xml:space="preserve">Professional Standards for Protection Work Carried </w:t>
      </w:r>
      <w:r w:rsidR="002D6506" w:rsidRPr="006C33B1">
        <w:rPr>
          <w:rFonts w:ascii="Times New Roman" w:hAnsi="Times New Roman" w:cs="Times New Roman"/>
          <w:i/>
          <w:iCs/>
          <w:sz w:val="24"/>
          <w:szCs w:val="24"/>
        </w:rPr>
        <w:t>O</w:t>
      </w:r>
      <w:r w:rsidRPr="006C33B1">
        <w:rPr>
          <w:rFonts w:ascii="Times New Roman" w:hAnsi="Times New Roman" w:cs="Times New Roman"/>
          <w:i/>
          <w:iCs/>
          <w:sz w:val="24"/>
          <w:szCs w:val="24"/>
        </w:rPr>
        <w:t>ut by Humanitarian and Human Rights Actors in Armed Conflict and Other Situations of Violence</w:t>
      </w:r>
      <w:r w:rsidRPr="006C33B1">
        <w:rPr>
          <w:rFonts w:ascii="Times New Roman" w:hAnsi="Times New Roman" w:cs="Times New Roman"/>
          <w:sz w:val="24"/>
          <w:szCs w:val="24"/>
        </w:rPr>
        <w:t>,</w:t>
      </w:r>
      <w:r w:rsidR="00556390" w:rsidRPr="006C33B1">
        <w:rPr>
          <w:rFonts w:ascii="Times New Roman" w:hAnsi="Times New Roman" w:cs="Times New Roman"/>
          <w:sz w:val="24"/>
          <w:szCs w:val="24"/>
        </w:rPr>
        <w:t xml:space="preserve"> </w:t>
      </w:r>
      <w:r w:rsidR="001C2AB3" w:rsidRPr="006C33B1">
        <w:rPr>
          <w:rFonts w:ascii="Times New Roman" w:hAnsi="Times New Roman" w:cs="Times New Roman"/>
          <w:sz w:val="24"/>
          <w:szCs w:val="24"/>
        </w:rPr>
        <w:t xml:space="preserve">3rd ed. (Geneva: ICRC, </w:t>
      </w:r>
      <w:r w:rsidR="00556390" w:rsidRPr="006C33B1">
        <w:rPr>
          <w:rFonts w:ascii="Times New Roman" w:hAnsi="Times New Roman" w:cs="Times New Roman"/>
          <w:sz w:val="24"/>
          <w:szCs w:val="24"/>
        </w:rPr>
        <w:t>2018)</w:t>
      </w:r>
      <w:r w:rsidR="00172291" w:rsidRPr="006C33B1">
        <w:rPr>
          <w:rFonts w:ascii="Times New Roman" w:hAnsi="Times New Roman" w:cs="Times New Roman"/>
          <w:sz w:val="24"/>
          <w:szCs w:val="24"/>
        </w:rPr>
        <w:t>,</w:t>
      </w:r>
      <w:r w:rsidR="00556390" w:rsidRPr="006C33B1">
        <w:rPr>
          <w:rFonts w:ascii="Times New Roman" w:hAnsi="Times New Roman" w:cs="Times New Roman"/>
          <w:sz w:val="24"/>
          <w:szCs w:val="24"/>
        </w:rPr>
        <w:t xml:space="preserve"> 28</w:t>
      </w:r>
      <w:r w:rsidR="00A801C0" w:rsidRPr="006C33B1">
        <w:rPr>
          <w:rFonts w:ascii="Times New Roman" w:hAnsi="Times New Roman" w:cs="Times New Roman"/>
          <w:sz w:val="24"/>
          <w:szCs w:val="24"/>
        </w:rPr>
        <w:t>–</w:t>
      </w:r>
      <w:r w:rsidR="00556390" w:rsidRPr="006C33B1">
        <w:rPr>
          <w:rFonts w:ascii="Times New Roman" w:hAnsi="Times New Roman" w:cs="Times New Roman"/>
          <w:sz w:val="24"/>
          <w:szCs w:val="24"/>
        </w:rPr>
        <w:t>32</w:t>
      </w:r>
      <w:r w:rsidR="0090479A" w:rsidRPr="006C33B1">
        <w:rPr>
          <w:rFonts w:ascii="Times New Roman" w:hAnsi="Times New Roman" w:cs="Times New Roman"/>
          <w:sz w:val="24"/>
          <w:szCs w:val="24"/>
        </w:rPr>
        <w:t>.</w:t>
      </w:r>
    </w:p>
  </w:endnote>
  <w:endnote w:id="4">
    <w:p w14:paraId="713E21BF" w14:textId="28BEE8E7" w:rsidR="00556390" w:rsidRPr="006C33B1" w:rsidRDefault="0055639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Jay Benson</w:t>
      </w:r>
      <w:r w:rsidR="00957274" w:rsidRPr="006C33B1">
        <w:rPr>
          <w:rFonts w:ascii="Times New Roman" w:hAnsi="Times New Roman" w:cs="Times New Roman"/>
          <w:sz w:val="24"/>
          <w:szCs w:val="24"/>
        </w:rPr>
        <w:t xml:space="preserve"> et al.</w:t>
      </w:r>
      <w:r w:rsidR="00D65876" w:rsidRPr="006C33B1">
        <w:rPr>
          <w:rFonts w:ascii="Times New Roman" w:hAnsi="Times New Roman" w:cs="Times New Roman"/>
          <w:sz w:val="24"/>
          <w:szCs w:val="24"/>
        </w:rPr>
        <w:t xml:space="preserve">, </w:t>
      </w:r>
      <w:r w:rsidR="00D65876" w:rsidRPr="006C33B1">
        <w:rPr>
          <w:rFonts w:ascii="Times New Roman" w:hAnsi="Times New Roman" w:cs="Times New Roman"/>
          <w:i/>
          <w:iCs/>
          <w:sz w:val="24"/>
          <w:szCs w:val="24"/>
        </w:rPr>
        <w:t>Reassessing Rebellion: Exploring Recent Trends in Civil War Dynamics</w:t>
      </w:r>
      <w:r w:rsidR="00D65876" w:rsidRPr="006C33B1">
        <w:rPr>
          <w:rFonts w:ascii="Times New Roman" w:hAnsi="Times New Roman" w:cs="Times New Roman"/>
          <w:sz w:val="24"/>
          <w:szCs w:val="24"/>
        </w:rPr>
        <w:t xml:space="preserve"> </w:t>
      </w:r>
      <w:r w:rsidR="008B3325" w:rsidRPr="006C33B1">
        <w:rPr>
          <w:rFonts w:ascii="Times New Roman" w:hAnsi="Times New Roman" w:cs="Times New Roman"/>
          <w:sz w:val="24"/>
          <w:szCs w:val="24"/>
        </w:rPr>
        <w:t>(</w:t>
      </w:r>
      <w:r w:rsidR="00106711" w:rsidRPr="006C33B1">
        <w:rPr>
          <w:rFonts w:ascii="Times New Roman" w:hAnsi="Times New Roman" w:cs="Times New Roman"/>
          <w:sz w:val="24"/>
          <w:szCs w:val="24"/>
        </w:rPr>
        <w:t xml:space="preserve">Broomfield, CO: </w:t>
      </w:r>
      <w:r w:rsidR="00D65876" w:rsidRPr="006C33B1">
        <w:rPr>
          <w:rFonts w:ascii="Times New Roman" w:hAnsi="Times New Roman" w:cs="Times New Roman"/>
          <w:sz w:val="24"/>
          <w:szCs w:val="24"/>
        </w:rPr>
        <w:t>One Earth Future</w:t>
      </w:r>
      <w:r w:rsidR="00DD240E" w:rsidRPr="006C33B1">
        <w:rPr>
          <w:rFonts w:ascii="Times New Roman" w:hAnsi="Times New Roman" w:cs="Times New Roman"/>
          <w:sz w:val="24"/>
          <w:szCs w:val="24"/>
        </w:rPr>
        <w:t xml:space="preserve">, </w:t>
      </w:r>
      <w:r w:rsidR="00D65876" w:rsidRPr="006C33B1">
        <w:rPr>
          <w:rFonts w:ascii="Times New Roman" w:hAnsi="Times New Roman" w:cs="Times New Roman"/>
          <w:sz w:val="24"/>
          <w:szCs w:val="24"/>
        </w:rPr>
        <w:t>March 2019), http://dx.doi.org/10.18289/OEF.2019.035.</w:t>
      </w:r>
    </w:p>
  </w:endnote>
  <w:endnote w:id="5">
    <w:p w14:paraId="062A48CA" w14:textId="0DB44D5C" w:rsidR="00556390" w:rsidRPr="006C33B1" w:rsidRDefault="0055639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w:t>
      </w:r>
      <w:r w:rsidR="00A801C0" w:rsidRPr="006C33B1">
        <w:rPr>
          <w:rFonts w:ascii="Times New Roman" w:hAnsi="Times New Roman" w:cs="Times New Roman"/>
          <w:sz w:val="24"/>
          <w:szCs w:val="24"/>
        </w:rPr>
        <w:t>–</w:t>
      </w:r>
      <w:r w:rsidRPr="006C33B1">
        <w:rPr>
          <w:rFonts w:ascii="Times New Roman" w:hAnsi="Times New Roman" w:cs="Times New Roman"/>
          <w:sz w:val="24"/>
          <w:szCs w:val="24"/>
        </w:rPr>
        <w:t>32.</w:t>
      </w:r>
    </w:p>
  </w:endnote>
  <w:endnote w:id="6">
    <w:p w14:paraId="5BB19422" w14:textId="5178885E" w:rsidR="005444FB" w:rsidRPr="006C33B1" w:rsidRDefault="005444FB">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Carter Center, </w:t>
      </w:r>
      <w:r w:rsidRPr="006C33B1">
        <w:rPr>
          <w:rFonts w:ascii="Times New Roman" w:hAnsi="Times New Roman" w:cs="Times New Roman"/>
          <w:i/>
          <w:iCs/>
          <w:sz w:val="24"/>
          <w:szCs w:val="24"/>
        </w:rPr>
        <w:t>Syria: Countrywide Conflict Report No. 5</w:t>
      </w:r>
      <w:r w:rsidRPr="006C33B1">
        <w:rPr>
          <w:rFonts w:ascii="Times New Roman" w:hAnsi="Times New Roman" w:cs="Times New Roman"/>
          <w:sz w:val="24"/>
          <w:szCs w:val="24"/>
        </w:rPr>
        <w:t xml:space="preserve"> (</w:t>
      </w:r>
      <w:r w:rsidR="002F436F" w:rsidRPr="006C33B1">
        <w:rPr>
          <w:rFonts w:ascii="Times New Roman" w:hAnsi="Times New Roman" w:cs="Times New Roman"/>
          <w:sz w:val="24"/>
          <w:szCs w:val="24"/>
        </w:rPr>
        <w:t xml:space="preserve">Atlanta: Carter Center, </w:t>
      </w:r>
      <w:r w:rsidRPr="006C33B1">
        <w:rPr>
          <w:rFonts w:ascii="Times New Roman" w:hAnsi="Times New Roman" w:cs="Times New Roman"/>
          <w:sz w:val="24"/>
          <w:szCs w:val="24"/>
        </w:rPr>
        <w:t>February 2015), https://www.cartercenter.org/resources/pdfs/peace/conflict_resolution/syria-conflict/NationwideUpdate-Feb-28-2015.pdf.</w:t>
      </w:r>
    </w:p>
  </w:endnote>
  <w:endnote w:id="7">
    <w:p w14:paraId="1B3AFBF9" w14:textId="2BB902E8" w:rsidR="00A801C0" w:rsidRPr="006C33B1" w:rsidRDefault="00A801C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Scott Atran, Hammad Sheikh, and Angel Gómez, “Devoted </w:t>
      </w:r>
      <w:r w:rsidR="00AA3178" w:rsidRPr="006C33B1">
        <w:rPr>
          <w:rFonts w:ascii="Times New Roman" w:hAnsi="Times New Roman" w:cs="Times New Roman"/>
          <w:sz w:val="24"/>
          <w:szCs w:val="24"/>
        </w:rPr>
        <w:t>A</w:t>
      </w:r>
      <w:r w:rsidRPr="006C33B1">
        <w:rPr>
          <w:rFonts w:ascii="Times New Roman" w:hAnsi="Times New Roman" w:cs="Times New Roman"/>
          <w:sz w:val="24"/>
          <w:szCs w:val="24"/>
        </w:rPr>
        <w:t xml:space="preserve">ctors </w:t>
      </w:r>
      <w:r w:rsidR="00AA3178" w:rsidRPr="006C33B1">
        <w:rPr>
          <w:rFonts w:ascii="Times New Roman" w:hAnsi="Times New Roman" w:cs="Times New Roman"/>
          <w:sz w:val="24"/>
          <w:szCs w:val="24"/>
        </w:rPr>
        <w:t>S</w:t>
      </w:r>
      <w:r w:rsidRPr="006C33B1">
        <w:rPr>
          <w:rFonts w:ascii="Times New Roman" w:hAnsi="Times New Roman" w:cs="Times New Roman"/>
          <w:sz w:val="24"/>
          <w:szCs w:val="24"/>
        </w:rPr>
        <w:t xml:space="preserve">acrifice for </w:t>
      </w:r>
      <w:r w:rsidR="00AA3178" w:rsidRPr="006C33B1">
        <w:rPr>
          <w:rFonts w:ascii="Times New Roman" w:hAnsi="Times New Roman" w:cs="Times New Roman"/>
          <w:sz w:val="24"/>
          <w:szCs w:val="24"/>
        </w:rPr>
        <w:t>C</w:t>
      </w:r>
      <w:r w:rsidRPr="006C33B1">
        <w:rPr>
          <w:rFonts w:ascii="Times New Roman" w:hAnsi="Times New Roman" w:cs="Times New Roman"/>
          <w:sz w:val="24"/>
          <w:szCs w:val="24"/>
        </w:rPr>
        <w:t xml:space="preserve">lose </w:t>
      </w:r>
      <w:r w:rsidR="00AA3178" w:rsidRPr="006C33B1">
        <w:rPr>
          <w:rFonts w:ascii="Times New Roman" w:hAnsi="Times New Roman" w:cs="Times New Roman"/>
          <w:sz w:val="24"/>
          <w:szCs w:val="24"/>
        </w:rPr>
        <w:t>C</w:t>
      </w:r>
      <w:r w:rsidRPr="006C33B1">
        <w:rPr>
          <w:rFonts w:ascii="Times New Roman" w:hAnsi="Times New Roman" w:cs="Times New Roman"/>
          <w:sz w:val="24"/>
          <w:szCs w:val="24"/>
        </w:rPr>
        <w:t xml:space="preserve">omrades and </w:t>
      </w:r>
      <w:r w:rsidR="00AA3178" w:rsidRPr="006C33B1">
        <w:rPr>
          <w:rFonts w:ascii="Times New Roman" w:hAnsi="Times New Roman" w:cs="Times New Roman"/>
          <w:sz w:val="24"/>
          <w:szCs w:val="24"/>
        </w:rPr>
        <w:t>S</w:t>
      </w:r>
      <w:r w:rsidRPr="006C33B1">
        <w:rPr>
          <w:rFonts w:ascii="Times New Roman" w:hAnsi="Times New Roman" w:cs="Times New Roman"/>
          <w:sz w:val="24"/>
          <w:szCs w:val="24"/>
        </w:rPr>
        <w:t xml:space="preserve">acred </w:t>
      </w:r>
      <w:r w:rsidR="00AA3178" w:rsidRPr="006C33B1">
        <w:rPr>
          <w:rFonts w:ascii="Times New Roman" w:hAnsi="Times New Roman" w:cs="Times New Roman"/>
          <w:sz w:val="24"/>
          <w:szCs w:val="24"/>
        </w:rPr>
        <w:t>C</w:t>
      </w:r>
      <w:r w:rsidRPr="006C33B1">
        <w:rPr>
          <w:rFonts w:ascii="Times New Roman" w:hAnsi="Times New Roman" w:cs="Times New Roman"/>
          <w:sz w:val="24"/>
          <w:szCs w:val="24"/>
        </w:rPr>
        <w:t xml:space="preserve">ause,” </w:t>
      </w:r>
      <w:r w:rsidRPr="006C33B1">
        <w:rPr>
          <w:rFonts w:ascii="Times New Roman" w:hAnsi="Times New Roman" w:cs="Times New Roman"/>
          <w:i/>
          <w:iCs/>
          <w:sz w:val="24"/>
          <w:szCs w:val="24"/>
        </w:rPr>
        <w:t xml:space="preserve">Proceedings of the National Academy of Sciences </w:t>
      </w:r>
      <w:r w:rsidRPr="006C33B1">
        <w:rPr>
          <w:rFonts w:ascii="Times New Roman" w:hAnsi="Times New Roman" w:cs="Times New Roman"/>
          <w:sz w:val="24"/>
          <w:szCs w:val="24"/>
        </w:rPr>
        <w:t>111, no. 50 (2014): 17702–3.</w:t>
      </w:r>
    </w:p>
  </w:endnote>
  <w:endnote w:id="8">
    <w:p w14:paraId="0775CC68" w14:textId="60E0F927" w:rsidR="00531C34" w:rsidRPr="006C33B1" w:rsidRDefault="00531C34">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Brian McQuinn</w:t>
      </w:r>
      <w:r w:rsidR="000A6EB6" w:rsidRPr="006C33B1">
        <w:rPr>
          <w:rFonts w:ascii="Times New Roman" w:hAnsi="Times New Roman" w:cs="Times New Roman"/>
          <w:sz w:val="24"/>
          <w:szCs w:val="24"/>
        </w:rPr>
        <w:t xml:space="preserve"> et al.</w:t>
      </w:r>
      <w:r w:rsidR="004709E2" w:rsidRPr="006C33B1">
        <w:rPr>
          <w:rFonts w:ascii="Times New Roman" w:hAnsi="Times New Roman" w:cs="Times New Roman"/>
          <w:sz w:val="24"/>
          <w:szCs w:val="24"/>
        </w:rPr>
        <w:t xml:space="preserve">, </w:t>
      </w:r>
      <w:r w:rsidRPr="006C33B1">
        <w:rPr>
          <w:rFonts w:ascii="Times New Roman" w:hAnsi="Times New Roman" w:cs="Times New Roman"/>
          <w:sz w:val="24"/>
          <w:szCs w:val="24"/>
        </w:rPr>
        <w:t>“Promoting Restraint in War</w:t>
      </w:r>
      <w:r w:rsidR="004709E2" w:rsidRPr="006C33B1">
        <w:rPr>
          <w:rFonts w:ascii="Times New Roman" w:hAnsi="Times New Roman" w:cs="Times New Roman"/>
          <w:sz w:val="24"/>
          <w:szCs w:val="24"/>
        </w:rPr>
        <w:t>,</w:t>
      </w:r>
      <w:r w:rsidRPr="006C33B1">
        <w:rPr>
          <w:rFonts w:ascii="Times New Roman" w:hAnsi="Times New Roman" w:cs="Times New Roman"/>
          <w:sz w:val="24"/>
          <w:szCs w:val="24"/>
        </w:rPr>
        <w:t xml:space="preserve">” </w:t>
      </w:r>
      <w:r w:rsidRPr="006C33B1">
        <w:rPr>
          <w:rFonts w:ascii="Times New Roman" w:hAnsi="Times New Roman" w:cs="Times New Roman"/>
          <w:i/>
          <w:iCs/>
          <w:sz w:val="24"/>
          <w:szCs w:val="24"/>
        </w:rPr>
        <w:t>International Interactions</w:t>
      </w:r>
      <w:r w:rsidRPr="006C33B1">
        <w:rPr>
          <w:rFonts w:ascii="Times New Roman" w:hAnsi="Times New Roman" w:cs="Times New Roman"/>
          <w:sz w:val="24"/>
          <w:szCs w:val="24"/>
        </w:rPr>
        <w:t xml:space="preserve"> (</w:t>
      </w:r>
      <w:r w:rsidR="00426143" w:rsidRPr="00426143">
        <w:rPr>
          <w:rFonts w:ascii="Times New Roman" w:hAnsi="Times New Roman" w:cs="Times New Roman"/>
          <w:sz w:val="24"/>
          <w:szCs w:val="24"/>
        </w:rPr>
        <w:t>published online 26 August 2021</w:t>
      </w:r>
      <w:r w:rsidR="004709E2" w:rsidRPr="006C33B1">
        <w:rPr>
          <w:rFonts w:ascii="Times New Roman" w:hAnsi="Times New Roman" w:cs="Times New Roman"/>
          <w:sz w:val="24"/>
          <w:szCs w:val="24"/>
        </w:rPr>
        <w:t>).</w:t>
      </w:r>
    </w:p>
  </w:endnote>
  <w:endnote w:id="9">
    <w:p w14:paraId="714462E1" w14:textId="23ABB142" w:rsidR="00A801C0" w:rsidRPr="006C33B1" w:rsidRDefault="00A801C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Anne Barnard, “Red Cross </w:t>
      </w:r>
      <w:r w:rsidR="000E5237" w:rsidRPr="006C33B1">
        <w:rPr>
          <w:rFonts w:ascii="Times New Roman" w:hAnsi="Times New Roman" w:cs="Times New Roman"/>
          <w:sz w:val="24"/>
          <w:szCs w:val="24"/>
        </w:rPr>
        <w:t>W</w:t>
      </w:r>
      <w:r w:rsidRPr="006C33B1">
        <w:rPr>
          <w:rFonts w:ascii="Times New Roman" w:hAnsi="Times New Roman" w:cs="Times New Roman"/>
          <w:sz w:val="24"/>
          <w:szCs w:val="24"/>
        </w:rPr>
        <w:t>arns of ‘</w:t>
      </w:r>
      <w:r w:rsidR="000E5237" w:rsidRPr="006C33B1">
        <w:rPr>
          <w:rFonts w:ascii="Times New Roman" w:hAnsi="Times New Roman" w:cs="Times New Roman"/>
          <w:sz w:val="24"/>
          <w:szCs w:val="24"/>
        </w:rPr>
        <w:t>D</w:t>
      </w:r>
      <w:r w:rsidRPr="006C33B1">
        <w:rPr>
          <w:rFonts w:ascii="Times New Roman" w:hAnsi="Times New Roman" w:cs="Times New Roman"/>
          <w:sz w:val="24"/>
          <w:szCs w:val="24"/>
        </w:rPr>
        <w:t xml:space="preserve">ehumanizing’ </w:t>
      </w:r>
      <w:r w:rsidR="000E5237" w:rsidRPr="006C33B1">
        <w:rPr>
          <w:rFonts w:ascii="Times New Roman" w:hAnsi="Times New Roman" w:cs="Times New Roman"/>
          <w:sz w:val="24"/>
          <w:szCs w:val="24"/>
        </w:rPr>
        <w:t>R</w:t>
      </w:r>
      <w:r w:rsidRPr="006C33B1">
        <w:rPr>
          <w:rFonts w:ascii="Times New Roman" w:hAnsi="Times New Roman" w:cs="Times New Roman"/>
          <w:sz w:val="24"/>
          <w:szCs w:val="24"/>
        </w:rPr>
        <w:t xml:space="preserve">hetoric in ISIS </w:t>
      </w:r>
      <w:r w:rsidR="000E5237" w:rsidRPr="006C33B1">
        <w:rPr>
          <w:rFonts w:ascii="Times New Roman" w:hAnsi="Times New Roman" w:cs="Times New Roman"/>
          <w:sz w:val="24"/>
          <w:szCs w:val="24"/>
        </w:rPr>
        <w:t>F</w:t>
      </w:r>
      <w:r w:rsidRPr="006C33B1">
        <w:rPr>
          <w:rFonts w:ascii="Times New Roman" w:hAnsi="Times New Roman" w:cs="Times New Roman"/>
          <w:sz w:val="24"/>
          <w:szCs w:val="24"/>
        </w:rPr>
        <w:t xml:space="preserve">ight,” </w:t>
      </w:r>
      <w:r w:rsidRPr="006C33B1">
        <w:rPr>
          <w:rFonts w:ascii="Times New Roman" w:hAnsi="Times New Roman" w:cs="Times New Roman"/>
          <w:i/>
          <w:iCs/>
          <w:sz w:val="24"/>
          <w:szCs w:val="24"/>
        </w:rPr>
        <w:t>New York Times</w:t>
      </w:r>
      <w:r w:rsidRPr="006C33B1">
        <w:rPr>
          <w:rFonts w:ascii="Times New Roman" w:hAnsi="Times New Roman" w:cs="Times New Roman"/>
          <w:sz w:val="24"/>
          <w:szCs w:val="24"/>
        </w:rPr>
        <w:t xml:space="preserve">, 26 October 2017, </w:t>
      </w:r>
      <w:r w:rsidR="00B42C97" w:rsidRPr="006C33B1">
        <w:rPr>
          <w:rFonts w:ascii="Times New Roman" w:hAnsi="Times New Roman" w:cs="Times New Roman"/>
          <w:sz w:val="24"/>
          <w:szCs w:val="24"/>
        </w:rPr>
        <w:t>https://www.nytimes.com/2017/10/26/world/middleeast/red-cross-islamic-state.html</w:t>
      </w:r>
      <w:r w:rsidRPr="006C33B1">
        <w:rPr>
          <w:rFonts w:ascii="Times New Roman" w:hAnsi="Times New Roman" w:cs="Times New Roman"/>
          <w:sz w:val="24"/>
          <w:szCs w:val="24"/>
        </w:rPr>
        <w:t>.</w:t>
      </w:r>
    </w:p>
  </w:endnote>
  <w:endnote w:id="10">
    <w:p w14:paraId="3B5FF323" w14:textId="240EF013" w:rsidR="00B42C97" w:rsidRPr="006C33B1" w:rsidRDefault="00B42C97">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Andreas Krieg and Jean-Marc Rickli, “Surrogate Warfare: The Act of War in the 21</w:t>
      </w:r>
      <w:r w:rsidRPr="006C33B1">
        <w:rPr>
          <w:rFonts w:ascii="Times New Roman" w:hAnsi="Times New Roman" w:cs="Times New Roman"/>
          <w:sz w:val="24"/>
          <w:szCs w:val="24"/>
          <w:vertAlign w:val="superscript"/>
        </w:rPr>
        <w:t>st</w:t>
      </w:r>
      <w:r w:rsidRPr="006C33B1">
        <w:rPr>
          <w:rFonts w:ascii="Times New Roman" w:hAnsi="Times New Roman" w:cs="Times New Roman"/>
          <w:sz w:val="24"/>
          <w:szCs w:val="24"/>
        </w:rPr>
        <w:t xml:space="preserve"> Century?” </w:t>
      </w:r>
      <w:r w:rsidRPr="006C33B1">
        <w:rPr>
          <w:rFonts w:ascii="Times New Roman" w:hAnsi="Times New Roman" w:cs="Times New Roman"/>
          <w:i/>
          <w:iCs/>
          <w:sz w:val="24"/>
          <w:szCs w:val="24"/>
        </w:rPr>
        <w:t>Defence Studies</w:t>
      </w:r>
      <w:r w:rsidRPr="006C33B1">
        <w:rPr>
          <w:rFonts w:ascii="Times New Roman" w:hAnsi="Times New Roman" w:cs="Times New Roman"/>
          <w:sz w:val="24"/>
          <w:szCs w:val="24"/>
        </w:rPr>
        <w:t xml:space="preserve"> 18, no. 2 (2018): 113</w:t>
      </w:r>
      <w:r w:rsidR="00671059" w:rsidRPr="006C33B1">
        <w:rPr>
          <w:rFonts w:ascii="Times New Roman" w:hAnsi="Times New Roman" w:cs="Times New Roman"/>
          <w:sz w:val="24"/>
          <w:szCs w:val="24"/>
        </w:rPr>
        <w:t>–</w:t>
      </w:r>
      <w:r w:rsidRPr="006C33B1">
        <w:rPr>
          <w:rFonts w:ascii="Times New Roman" w:hAnsi="Times New Roman" w:cs="Times New Roman"/>
          <w:sz w:val="24"/>
          <w:szCs w:val="24"/>
        </w:rPr>
        <w:t>30.</w:t>
      </w:r>
    </w:p>
  </w:endnote>
  <w:endnote w:id="11">
    <w:p w14:paraId="7A5DFA30" w14:textId="2A178FA3" w:rsidR="00782680" w:rsidRPr="006C33B1" w:rsidRDefault="0078268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12">
    <w:p w14:paraId="7F4014E3" w14:textId="5EC9B7B0" w:rsidR="00260701" w:rsidRPr="006C33B1" w:rsidRDefault="00260701">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Anki </w:t>
      </w:r>
      <w:r w:rsidR="003147C7" w:rsidRPr="006C33B1">
        <w:rPr>
          <w:rFonts w:ascii="Times New Roman" w:hAnsi="Times New Roman" w:cs="Times New Roman"/>
          <w:sz w:val="24"/>
          <w:szCs w:val="24"/>
        </w:rPr>
        <w:t xml:space="preserve">Sjöberg, </w:t>
      </w:r>
      <w:r w:rsidR="003147C7" w:rsidRPr="006C33B1">
        <w:rPr>
          <w:rFonts w:ascii="Times New Roman" w:hAnsi="Times New Roman" w:cs="Times New Roman"/>
          <w:i/>
          <w:iCs/>
          <w:sz w:val="24"/>
          <w:szCs w:val="24"/>
        </w:rPr>
        <w:t>Armed Non-</w:t>
      </w:r>
      <w:r w:rsidR="00244906" w:rsidRPr="006C33B1">
        <w:rPr>
          <w:rFonts w:ascii="Times New Roman" w:hAnsi="Times New Roman" w:cs="Times New Roman"/>
          <w:i/>
          <w:iCs/>
          <w:sz w:val="24"/>
          <w:szCs w:val="24"/>
        </w:rPr>
        <w:t>s</w:t>
      </w:r>
      <w:r w:rsidR="003147C7" w:rsidRPr="006C33B1">
        <w:rPr>
          <w:rFonts w:ascii="Times New Roman" w:hAnsi="Times New Roman" w:cs="Times New Roman"/>
          <w:i/>
          <w:iCs/>
          <w:sz w:val="24"/>
          <w:szCs w:val="24"/>
        </w:rPr>
        <w:t>tate Actors and Landmines</w:t>
      </w:r>
      <w:r w:rsidR="00F7181E" w:rsidRPr="006C33B1">
        <w:rPr>
          <w:rFonts w:ascii="Times New Roman" w:hAnsi="Times New Roman" w:cs="Times New Roman"/>
          <w:i/>
          <w:iCs/>
          <w:sz w:val="24"/>
          <w:szCs w:val="24"/>
        </w:rPr>
        <w:t>, Volume III:</w:t>
      </w:r>
      <w:r w:rsidR="00A55A72" w:rsidRPr="006C33B1">
        <w:rPr>
          <w:rFonts w:ascii="Times New Roman" w:hAnsi="Times New Roman" w:cs="Times New Roman"/>
          <w:i/>
          <w:iCs/>
          <w:sz w:val="24"/>
          <w:szCs w:val="24"/>
        </w:rPr>
        <w:t xml:space="preserve"> </w:t>
      </w:r>
      <w:r w:rsidR="00256ECA" w:rsidRPr="006C33B1">
        <w:rPr>
          <w:rFonts w:ascii="Times New Roman" w:hAnsi="Times New Roman" w:cs="Times New Roman"/>
          <w:i/>
          <w:iCs/>
          <w:sz w:val="24"/>
          <w:szCs w:val="24"/>
        </w:rPr>
        <w:t xml:space="preserve">Towards </w:t>
      </w:r>
      <w:r w:rsidR="00F7181E" w:rsidRPr="006C33B1">
        <w:rPr>
          <w:rFonts w:ascii="Times New Roman" w:hAnsi="Times New Roman" w:cs="Times New Roman"/>
          <w:i/>
          <w:iCs/>
          <w:sz w:val="24"/>
          <w:szCs w:val="24"/>
        </w:rPr>
        <w:t>a</w:t>
      </w:r>
      <w:r w:rsidR="00256ECA" w:rsidRPr="006C33B1">
        <w:rPr>
          <w:rFonts w:ascii="Times New Roman" w:hAnsi="Times New Roman" w:cs="Times New Roman"/>
          <w:i/>
          <w:iCs/>
          <w:sz w:val="24"/>
          <w:szCs w:val="24"/>
        </w:rPr>
        <w:t xml:space="preserve"> Holistic Approach to Armed Non-</w:t>
      </w:r>
      <w:r w:rsidR="00244906" w:rsidRPr="006C33B1">
        <w:rPr>
          <w:rFonts w:ascii="Times New Roman" w:hAnsi="Times New Roman" w:cs="Times New Roman"/>
          <w:i/>
          <w:iCs/>
          <w:sz w:val="24"/>
          <w:szCs w:val="24"/>
        </w:rPr>
        <w:t>s</w:t>
      </w:r>
      <w:r w:rsidR="00256ECA" w:rsidRPr="006C33B1">
        <w:rPr>
          <w:rFonts w:ascii="Times New Roman" w:hAnsi="Times New Roman" w:cs="Times New Roman"/>
          <w:i/>
          <w:iCs/>
          <w:sz w:val="24"/>
          <w:szCs w:val="24"/>
        </w:rPr>
        <w:t>tate Actors</w:t>
      </w:r>
      <w:r w:rsidR="00201096" w:rsidRPr="006C33B1">
        <w:rPr>
          <w:rFonts w:ascii="Times New Roman" w:hAnsi="Times New Roman" w:cs="Times New Roman"/>
          <w:i/>
          <w:iCs/>
          <w:sz w:val="24"/>
          <w:szCs w:val="24"/>
        </w:rPr>
        <w:t>?</w:t>
      </w:r>
      <w:r w:rsidR="00312688" w:rsidRPr="006C33B1">
        <w:rPr>
          <w:rFonts w:ascii="Times New Roman" w:hAnsi="Times New Roman" w:cs="Times New Roman"/>
          <w:sz w:val="24"/>
          <w:szCs w:val="24"/>
        </w:rPr>
        <w:t xml:space="preserve"> </w:t>
      </w:r>
      <w:r w:rsidR="00FD3FD3" w:rsidRPr="006C33B1">
        <w:rPr>
          <w:rFonts w:ascii="Times New Roman" w:hAnsi="Times New Roman" w:cs="Times New Roman"/>
          <w:sz w:val="24"/>
          <w:szCs w:val="24"/>
        </w:rPr>
        <w:t xml:space="preserve">(Geneva: Geneva Call, </w:t>
      </w:r>
      <w:r w:rsidR="00312688" w:rsidRPr="006C33B1">
        <w:rPr>
          <w:rFonts w:ascii="Times New Roman" w:hAnsi="Times New Roman" w:cs="Times New Roman"/>
          <w:sz w:val="24"/>
          <w:szCs w:val="24"/>
        </w:rPr>
        <w:t>2007</w:t>
      </w:r>
      <w:r w:rsidR="00D923F8" w:rsidRPr="006C33B1">
        <w:rPr>
          <w:rFonts w:ascii="Times New Roman" w:hAnsi="Times New Roman" w:cs="Times New Roman"/>
          <w:sz w:val="24"/>
          <w:szCs w:val="24"/>
        </w:rPr>
        <w:t>)</w:t>
      </w:r>
      <w:r w:rsidR="00FD3FD3" w:rsidRPr="006C33B1">
        <w:rPr>
          <w:rFonts w:ascii="Times New Roman" w:hAnsi="Times New Roman" w:cs="Times New Roman"/>
          <w:sz w:val="24"/>
          <w:szCs w:val="24"/>
        </w:rPr>
        <w:t>,</w:t>
      </w:r>
      <w:r w:rsidR="00D923F8" w:rsidRPr="006C33B1">
        <w:rPr>
          <w:rFonts w:ascii="Times New Roman" w:hAnsi="Times New Roman" w:cs="Times New Roman"/>
          <w:sz w:val="24"/>
          <w:szCs w:val="24"/>
        </w:rPr>
        <w:t xml:space="preserve"> 3, </w:t>
      </w:r>
      <w:r w:rsidR="002556D9" w:rsidRPr="006C33B1">
        <w:rPr>
          <w:rFonts w:ascii="Times New Roman" w:hAnsi="Times New Roman" w:cs="Times New Roman"/>
          <w:sz w:val="24"/>
          <w:szCs w:val="24"/>
        </w:rPr>
        <w:t>https://www.ruig-gian.org/ressources/NSA_Landmines_Volume_III.pdf?ID=226&amp;FILE=/ressources/NSA_Landmines_Volume_III.pdf.</w:t>
      </w:r>
    </w:p>
  </w:endnote>
  <w:endnote w:id="13">
    <w:p w14:paraId="36F595AD" w14:textId="2EAF84E6" w:rsidR="005935CA" w:rsidRPr="006C33B1" w:rsidRDefault="00F97BF2">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Alex J. Bellamy, “Non-</w:t>
      </w:r>
      <w:r w:rsidR="00244906" w:rsidRPr="006C33B1">
        <w:rPr>
          <w:rFonts w:ascii="Times New Roman" w:hAnsi="Times New Roman" w:cs="Times New Roman"/>
          <w:sz w:val="24"/>
          <w:szCs w:val="24"/>
        </w:rPr>
        <w:t>s</w:t>
      </w:r>
      <w:r w:rsidRPr="006C33B1">
        <w:rPr>
          <w:rFonts w:ascii="Times New Roman" w:hAnsi="Times New Roman" w:cs="Times New Roman"/>
          <w:sz w:val="24"/>
          <w:szCs w:val="24"/>
        </w:rPr>
        <w:t>tate Armed Groups and the Responsibility to Protect</w:t>
      </w:r>
      <w:r w:rsidR="00067A16" w:rsidRPr="006C33B1">
        <w:rPr>
          <w:rFonts w:ascii="Times New Roman" w:hAnsi="Times New Roman" w:cs="Times New Roman"/>
          <w:sz w:val="24"/>
          <w:szCs w:val="24"/>
        </w:rPr>
        <w:t>,</w:t>
      </w:r>
      <w:r w:rsidRPr="006C33B1">
        <w:rPr>
          <w:rFonts w:ascii="Times New Roman" w:hAnsi="Times New Roman" w:cs="Times New Roman"/>
          <w:sz w:val="24"/>
          <w:szCs w:val="24"/>
        </w:rPr>
        <w:t xml:space="preserve">” </w:t>
      </w:r>
      <w:r w:rsidR="00D35747" w:rsidRPr="006C33B1">
        <w:rPr>
          <w:rFonts w:ascii="Times New Roman" w:hAnsi="Times New Roman" w:cs="Times New Roman"/>
          <w:sz w:val="24"/>
          <w:szCs w:val="24"/>
        </w:rPr>
        <w:t xml:space="preserve">discussion paper for </w:t>
      </w:r>
      <w:r w:rsidR="003020B6" w:rsidRPr="006C33B1">
        <w:rPr>
          <w:rFonts w:ascii="Times New Roman" w:hAnsi="Times New Roman" w:cs="Times New Roman"/>
          <w:sz w:val="24"/>
          <w:szCs w:val="24"/>
        </w:rPr>
        <w:t>s</w:t>
      </w:r>
      <w:r w:rsidR="00D35747" w:rsidRPr="006C33B1">
        <w:rPr>
          <w:rFonts w:ascii="Times New Roman" w:hAnsi="Times New Roman" w:cs="Times New Roman"/>
          <w:sz w:val="24"/>
          <w:szCs w:val="24"/>
        </w:rPr>
        <w:t>eminar Fulfilling the Responsibility to Protect: The Threat of Non-</w:t>
      </w:r>
      <w:r w:rsidR="00752756" w:rsidRPr="006C33B1">
        <w:rPr>
          <w:rFonts w:ascii="Times New Roman" w:hAnsi="Times New Roman" w:cs="Times New Roman"/>
          <w:sz w:val="24"/>
          <w:szCs w:val="24"/>
        </w:rPr>
        <w:t>s</w:t>
      </w:r>
      <w:r w:rsidR="00D35747" w:rsidRPr="006C33B1">
        <w:rPr>
          <w:rFonts w:ascii="Times New Roman" w:hAnsi="Times New Roman" w:cs="Times New Roman"/>
          <w:sz w:val="24"/>
          <w:szCs w:val="24"/>
        </w:rPr>
        <w:t>tate Armed Groups and Their Increased Role in Perpetrating Atrocity Crimes, Brussel</w:t>
      </w:r>
      <w:r w:rsidR="00244906" w:rsidRPr="006C33B1">
        <w:rPr>
          <w:rFonts w:ascii="Times New Roman" w:hAnsi="Times New Roman" w:cs="Times New Roman"/>
          <w:sz w:val="24"/>
          <w:szCs w:val="24"/>
        </w:rPr>
        <w:t>s</w:t>
      </w:r>
      <w:r w:rsidR="00D35747" w:rsidRPr="006C33B1">
        <w:rPr>
          <w:rFonts w:ascii="Times New Roman" w:hAnsi="Times New Roman" w:cs="Times New Roman"/>
          <w:sz w:val="24"/>
          <w:szCs w:val="24"/>
        </w:rPr>
        <w:t>, 22 March 2016.</w:t>
      </w:r>
    </w:p>
  </w:endnote>
  <w:endnote w:id="14">
    <w:p w14:paraId="0A092D7B" w14:textId="349E8AA2" w:rsidR="001D30B9" w:rsidRPr="006C33B1" w:rsidRDefault="001D30B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Hyeran Jo, </w:t>
      </w:r>
      <w:r w:rsidRPr="006C33B1">
        <w:rPr>
          <w:rFonts w:ascii="Times New Roman" w:hAnsi="Times New Roman" w:cs="Times New Roman"/>
          <w:i/>
          <w:iCs/>
          <w:sz w:val="24"/>
          <w:szCs w:val="24"/>
        </w:rPr>
        <w:t>Compliant Rebels: Rebel Groups and International Law in World Politics</w:t>
      </w:r>
      <w:r w:rsidRPr="006C33B1">
        <w:rPr>
          <w:rFonts w:ascii="Times New Roman" w:hAnsi="Times New Roman" w:cs="Times New Roman"/>
          <w:sz w:val="24"/>
          <w:szCs w:val="24"/>
        </w:rPr>
        <w:t xml:space="preserve"> (Cambridge: Cambridge University Press, 2015); </w:t>
      </w:r>
      <w:r w:rsidR="00C536ED" w:rsidRPr="006C33B1">
        <w:rPr>
          <w:rFonts w:ascii="Times New Roman" w:hAnsi="Times New Roman" w:cs="Times New Roman"/>
          <w:sz w:val="24"/>
          <w:szCs w:val="24"/>
        </w:rPr>
        <w:t xml:space="preserve">and </w:t>
      </w:r>
      <w:r w:rsidR="00EE6978" w:rsidRPr="006C33B1">
        <w:rPr>
          <w:rFonts w:ascii="Times New Roman" w:hAnsi="Times New Roman" w:cs="Times New Roman"/>
          <w:sz w:val="24"/>
          <w:szCs w:val="24"/>
        </w:rPr>
        <w:t>Tanisha M. Fazal,</w:t>
      </w:r>
      <w:r w:rsidR="0096097C" w:rsidRPr="006C33B1">
        <w:rPr>
          <w:rFonts w:ascii="Times New Roman" w:hAnsi="Times New Roman" w:cs="Times New Roman"/>
          <w:sz w:val="24"/>
          <w:szCs w:val="24"/>
        </w:rPr>
        <w:t xml:space="preserve"> </w:t>
      </w:r>
      <w:r w:rsidR="0096097C" w:rsidRPr="006C33B1">
        <w:rPr>
          <w:rFonts w:ascii="Times New Roman" w:hAnsi="Times New Roman" w:cs="Times New Roman"/>
          <w:i/>
          <w:iCs/>
          <w:sz w:val="24"/>
          <w:szCs w:val="24"/>
        </w:rPr>
        <w:t>Wars of Law: Unintended Consequences in the Regulation of Armed Conflict</w:t>
      </w:r>
      <w:r w:rsidR="00287323" w:rsidRPr="006C33B1">
        <w:rPr>
          <w:rFonts w:ascii="Times New Roman" w:hAnsi="Times New Roman" w:cs="Times New Roman"/>
          <w:i/>
          <w:iCs/>
          <w:sz w:val="24"/>
          <w:szCs w:val="24"/>
        </w:rPr>
        <w:t xml:space="preserve"> </w:t>
      </w:r>
      <w:r w:rsidR="00287323" w:rsidRPr="006C33B1">
        <w:rPr>
          <w:rFonts w:ascii="Times New Roman" w:hAnsi="Times New Roman" w:cs="Times New Roman"/>
          <w:sz w:val="24"/>
          <w:szCs w:val="24"/>
        </w:rPr>
        <w:t>(</w:t>
      </w:r>
      <w:r w:rsidR="0099650B" w:rsidRPr="006C33B1">
        <w:rPr>
          <w:rFonts w:ascii="Times New Roman" w:hAnsi="Times New Roman" w:cs="Times New Roman"/>
          <w:sz w:val="24"/>
          <w:szCs w:val="24"/>
        </w:rPr>
        <w:t>Ithaca</w:t>
      </w:r>
      <w:r w:rsidR="00C536ED" w:rsidRPr="006C33B1">
        <w:rPr>
          <w:rFonts w:ascii="Times New Roman" w:hAnsi="Times New Roman" w:cs="Times New Roman"/>
          <w:sz w:val="24"/>
          <w:szCs w:val="24"/>
        </w:rPr>
        <w:t>, NY</w:t>
      </w:r>
      <w:r w:rsidR="0099650B" w:rsidRPr="006C33B1">
        <w:rPr>
          <w:rFonts w:ascii="Times New Roman" w:hAnsi="Times New Roman" w:cs="Times New Roman"/>
          <w:sz w:val="24"/>
          <w:szCs w:val="24"/>
        </w:rPr>
        <w:t>: Cornell University Press, 20</w:t>
      </w:r>
      <w:r w:rsidR="0034311A" w:rsidRPr="006C33B1">
        <w:rPr>
          <w:rFonts w:ascii="Times New Roman" w:hAnsi="Times New Roman" w:cs="Times New Roman"/>
          <w:sz w:val="24"/>
          <w:szCs w:val="24"/>
        </w:rPr>
        <w:t>18).</w:t>
      </w:r>
    </w:p>
  </w:endnote>
  <w:endnote w:id="15">
    <w:p w14:paraId="3130C64B" w14:textId="1E8A2CF8" w:rsidR="00690F22" w:rsidRPr="006C33B1" w:rsidRDefault="00690F22">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Jessica A. Stanton, “Regulating Militias: Governments, Militias, and Civilian Targeting in Civil War,” </w:t>
      </w:r>
      <w:r w:rsidRPr="006C33B1">
        <w:rPr>
          <w:rFonts w:ascii="Times New Roman" w:hAnsi="Times New Roman" w:cs="Times New Roman"/>
          <w:i/>
          <w:iCs/>
          <w:sz w:val="24"/>
          <w:szCs w:val="24"/>
        </w:rPr>
        <w:t xml:space="preserve">Journal of Conflict Resolution </w:t>
      </w:r>
      <w:r w:rsidRPr="006C33B1">
        <w:rPr>
          <w:rFonts w:ascii="Times New Roman" w:hAnsi="Times New Roman" w:cs="Times New Roman"/>
          <w:sz w:val="24"/>
          <w:szCs w:val="24"/>
        </w:rPr>
        <w:t>59, no. 5 (2015): 899–923.</w:t>
      </w:r>
    </w:p>
  </w:endnote>
  <w:endnote w:id="16">
    <w:p w14:paraId="3F7E6C8B" w14:textId="3750C1D2" w:rsidR="00EE6978" w:rsidRPr="006C33B1" w:rsidRDefault="00EE6978">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Nina Caspersen,</w:t>
      </w:r>
      <w:r w:rsidR="008C0967" w:rsidRPr="006C33B1">
        <w:rPr>
          <w:rFonts w:ascii="Times New Roman" w:hAnsi="Times New Roman" w:cs="Times New Roman"/>
          <w:sz w:val="24"/>
          <w:szCs w:val="24"/>
        </w:rPr>
        <w:t xml:space="preserve"> “Democracy, Nationalism and (Lack of ) Sovereignty,” </w:t>
      </w:r>
      <w:r w:rsidR="000C2147" w:rsidRPr="006C33B1">
        <w:rPr>
          <w:rFonts w:ascii="Times New Roman" w:hAnsi="Times New Roman" w:cs="Times New Roman"/>
          <w:i/>
          <w:iCs/>
          <w:sz w:val="24"/>
          <w:szCs w:val="24"/>
        </w:rPr>
        <w:t xml:space="preserve">Nations and Nationalism </w:t>
      </w:r>
      <w:r w:rsidR="000C2147" w:rsidRPr="006C33B1">
        <w:rPr>
          <w:rFonts w:ascii="Times New Roman" w:hAnsi="Times New Roman" w:cs="Times New Roman"/>
          <w:sz w:val="24"/>
          <w:szCs w:val="24"/>
        </w:rPr>
        <w:t>17</w:t>
      </w:r>
      <w:r w:rsidR="00A630FC" w:rsidRPr="006C33B1">
        <w:rPr>
          <w:rFonts w:ascii="Times New Roman" w:hAnsi="Times New Roman" w:cs="Times New Roman"/>
          <w:sz w:val="24"/>
          <w:szCs w:val="24"/>
        </w:rPr>
        <w:t>, no. 2 (</w:t>
      </w:r>
      <w:r w:rsidR="00412CC6" w:rsidRPr="006C33B1">
        <w:rPr>
          <w:rFonts w:ascii="Times New Roman" w:hAnsi="Times New Roman" w:cs="Times New Roman"/>
          <w:sz w:val="24"/>
          <w:szCs w:val="24"/>
        </w:rPr>
        <w:t>2011): 337–56.</w:t>
      </w:r>
    </w:p>
  </w:endnote>
  <w:endnote w:id="17">
    <w:p w14:paraId="21ED5D33" w14:textId="2C2EEE35" w:rsidR="00EF0B18" w:rsidRPr="006C33B1" w:rsidRDefault="00EF0B18">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Kathleen Cunningham, </w:t>
      </w:r>
      <w:r w:rsidRPr="006C33B1">
        <w:rPr>
          <w:rFonts w:ascii="Times New Roman" w:hAnsi="Times New Roman" w:cs="Times New Roman"/>
          <w:i/>
          <w:iCs/>
          <w:sz w:val="24"/>
          <w:szCs w:val="24"/>
        </w:rPr>
        <w:t>Inside the Politics of Self-Determination</w:t>
      </w:r>
      <w:r w:rsidRPr="006C33B1">
        <w:rPr>
          <w:rFonts w:ascii="Times New Roman" w:hAnsi="Times New Roman" w:cs="Times New Roman"/>
          <w:sz w:val="24"/>
          <w:szCs w:val="24"/>
        </w:rPr>
        <w:t xml:space="preserve"> (Oxford: Oxford University Press, 2014);</w:t>
      </w:r>
      <w:r w:rsidR="00D8393B" w:rsidRPr="006C33B1">
        <w:rPr>
          <w:rFonts w:ascii="Times New Roman" w:hAnsi="Times New Roman" w:cs="Times New Roman"/>
          <w:sz w:val="24"/>
          <w:szCs w:val="24"/>
        </w:rPr>
        <w:t xml:space="preserve"> and</w:t>
      </w:r>
      <w:r w:rsidRPr="006C33B1">
        <w:rPr>
          <w:rFonts w:ascii="Times New Roman" w:hAnsi="Times New Roman" w:cs="Times New Roman"/>
          <w:sz w:val="24"/>
          <w:szCs w:val="24"/>
        </w:rPr>
        <w:t xml:space="preserve"> Lee JM Seymour, Kristin M. Bakke, and Kathleen Gallagher Cunningham, “E </w:t>
      </w:r>
      <w:r w:rsidR="00D34C19" w:rsidRPr="006C33B1">
        <w:rPr>
          <w:rFonts w:ascii="Times New Roman" w:hAnsi="Times New Roman" w:cs="Times New Roman"/>
          <w:sz w:val="24"/>
          <w:szCs w:val="24"/>
        </w:rPr>
        <w:t>P</w:t>
      </w:r>
      <w:r w:rsidRPr="006C33B1">
        <w:rPr>
          <w:rFonts w:ascii="Times New Roman" w:hAnsi="Times New Roman" w:cs="Times New Roman"/>
          <w:sz w:val="24"/>
          <w:szCs w:val="24"/>
        </w:rPr>
        <w:t xml:space="preserve">luribus </w:t>
      </w:r>
      <w:r w:rsidR="00D34C19" w:rsidRPr="006C33B1">
        <w:rPr>
          <w:rFonts w:ascii="Times New Roman" w:hAnsi="Times New Roman" w:cs="Times New Roman"/>
          <w:sz w:val="24"/>
          <w:szCs w:val="24"/>
        </w:rPr>
        <w:t>U</w:t>
      </w:r>
      <w:r w:rsidRPr="006C33B1">
        <w:rPr>
          <w:rFonts w:ascii="Times New Roman" w:hAnsi="Times New Roman" w:cs="Times New Roman"/>
          <w:sz w:val="24"/>
          <w:szCs w:val="24"/>
        </w:rPr>
        <w:t xml:space="preserve">num, </w:t>
      </w:r>
      <w:r w:rsidR="00D34C19" w:rsidRPr="006C33B1">
        <w:rPr>
          <w:rFonts w:ascii="Times New Roman" w:hAnsi="Times New Roman" w:cs="Times New Roman"/>
          <w:sz w:val="24"/>
          <w:szCs w:val="24"/>
        </w:rPr>
        <w:t>E</w:t>
      </w:r>
      <w:r w:rsidRPr="006C33B1">
        <w:rPr>
          <w:rFonts w:ascii="Times New Roman" w:hAnsi="Times New Roman" w:cs="Times New Roman"/>
          <w:sz w:val="24"/>
          <w:szCs w:val="24"/>
        </w:rPr>
        <w:t xml:space="preserve">x </w:t>
      </w:r>
      <w:r w:rsidR="00D34C19" w:rsidRPr="006C33B1">
        <w:rPr>
          <w:rFonts w:ascii="Times New Roman" w:hAnsi="Times New Roman" w:cs="Times New Roman"/>
          <w:sz w:val="24"/>
          <w:szCs w:val="24"/>
        </w:rPr>
        <w:t>U</w:t>
      </w:r>
      <w:r w:rsidRPr="006C33B1">
        <w:rPr>
          <w:rFonts w:ascii="Times New Roman" w:hAnsi="Times New Roman" w:cs="Times New Roman"/>
          <w:sz w:val="24"/>
          <w:szCs w:val="24"/>
        </w:rPr>
        <w:t xml:space="preserve">no </w:t>
      </w:r>
      <w:r w:rsidR="00D34C19" w:rsidRPr="006C33B1">
        <w:rPr>
          <w:rFonts w:ascii="Times New Roman" w:hAnsi="Times New Roman" w:cs="Times New Roman"/>
          <w:sz w:val="24"/>
          <w:szCs w:val="24"/>
        </w:rPr>
        <w:t>P</w:t>
      </w:r>
      <w:r w:rsidRPr="006C33B1">
        <w:rPr>
          <w:rFonts w:ascii="Times New Roman" w:hAnsi="Times New Roman" w:cs="Times New Roman"/>
          <w:sz w:val="24"/>
          <w:szCs w:val="24"/>
        </w:rPr>
        <w:t xml:space="preserve">lures: Competition, </w:t>
      </w:r>
      <w:r w:rsidR="00F16003" w:rsidRPr="006C33B1">
        <w:rPr>
          <w:rFonts w:ascii="Times New Roman" w:hAnsi="Times New Roman" w:cs="Times New Roman"/>
          <w:sz w:val="24"/>
          <w:szCs w:val="24"/>
        </w:rPr>
        <w:t>V</w:t>
      </w:r>
      <w:r w:rsidRPr="006C33B1">
        <w:rPr>
          <w:rFonts w:ascii="Times New Roman" w:hAnsi="Times New Roman" w:cs="Times New Roman"/>
          <w:sz w:val="24"/>
          <w:szCs w:val="24"/>
        </w:rPr>
        <w:t xml:space="preserve">iolence, and </w:t>
      </w:r>
      <w:r w:rsidR="00F16003" w:rsidRPr="006C33B1">
        <w:rPr>
          <w:rFonts w:ascii="Times New Roman" w:hAnsi="Times New Roman" w:cs="Times New Roman"/>
          <w:sz w:val="24"/>
          <w:szCs w:val="24"/>
        </w:rPr>
        <w:t>F</w:t>
      </w:r>
      <w:r w:rsidRPr="006C33B1">
        <w:rPr>
          <w:rFonts w:ascii="Times New Roman" w:hAnsi="Times New Roman" w:cs="Times New Roman"/>
          <w:sz w:val="24"/>
          <w:szCs w:val="24"/>
        </w:rPr>
        <w:t xml:space="preserve">ragmentation in </w:t>
      </w:r>
      <w:r w:rsidR="00F16003" w:rsidRPr="006C33B1">
        <w:rPr>
          <w:rFonts w:ascii="Times New Roman" w:hAnsi="Times New Roman" w:cs="Times New Roman"/>
          <w:sz w:val="24"/>
          <w:szCs w:val="24"/>
        </w:rPr>
        <w:t>E</w:t>
      </w:r>
      <w:r w:rsidRPr="006C33B1">
        <w:rPr>
          <w:rFonts w:ascii="Times New Roman" w:hAnsi="Times New Roman" w:cs="Times New Roman"/>
          <w:sz w:val="24"/>
          <w:szCs w:val="24"/>
        </w:rPr>
        <w:t xml:space="preserve">thnopolitical </w:t>
      </w:r>
      <w:r w:rsidR="00F16003" w:rsidRPr="006C33B1">
        <w:rPr>
          <w:rFonts w:ascii="Times New Roman" w:hAnsi="Times New Roman" w:cs="Times New Roman"/>
          <w:sz w:val="24"/>
          <w:szCs w:val="24"/>
        </w:rPr>
        <w:t>M</w:t>
      </w:r>
      <w:r w:rsidRPr="006C33B1">
        <w:rPr>
          <w:rFonts w:ascii="Times New Roman" w:hAnsi="Times New Roman" w:cs="Times New Roman"/>
          <w:sz w:val="24"/>
          <w:szCs w:val="24"/>
        </w:rPr>
        <w:t xml:space="preserve">ovements,” </w:t>
      </w:r>
      <w:r w:rsidRPr="006C33B1">
        <w:rPr>
          <w:rFonts w:ascii="Times New Roman" w:hAnsi="Times New Roman" w:cs="Times New Roman"/>
          <w:i/>
          <w:iCs/>
          <w:sz w:val="24"/>
          <w:szCs w:val="24"/>
        </w:rPr>
        <w:t>Journal of Peace Research</w:t>
      </w:r>
      <w:r w:rsidRPr="006C33B1">
        <w:rPr>
          <w:rFonts w:ascii="Times New Roman" w:hAnsi="Times New Roman" w:cs="Times New Roman"/>
          <w:sz w:val="24"/>
          <w:szCs w:val="24"/>
        </w:rPr>
        <w:t xml:space="preserve"> 53, no. 1 (2016): 3–18.</w:t>
      </w:r>
    </w:p>
  </w:endnote>
  <w:endnote w:id="18">
    <w:p w14:paraId="4BEA27F4" w14:textId="22AB8515" w:rsidR="007600D1" w:rsidRPr="006C33B1" w:rsidRDefault="007600D1">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416183" w:rsidRPr="006C33B1">
        <w:rPr>
          <w:rFonts w:ascii="Times New Roman" w:hAnsi="Times New Roman" w:cs="Times New Roman"/>
          <w:sz w:val="24"/>
          <w:szCs w:val="24"/>
        </w:rPr>
        <w:t>Bellamy, “Non-</w:t>
      </w:r>
      <w:r w:rsidR="00244906" w:rsidRPr="006C33B1">
        <w:rPr>
          <w:rFonts w:ascii="Times New Roman" w:hAnsi="Times New Roman" w:cs="Times New Roman"/>
          <w:sz w:val="24"/>
          <w:szCs w:val="24"/>
        </w:rPr>
        <w:t>s</w:t>
      </w:r>
      <w:r w:rsidR="00416183" w:rsidRPr="006C33B1">
        <w:rPr>
          <w:rFonts w:ascii="Times New Roman" w:hAnsi="Times New Roman" w:cs="Times New Roman"/>
          <w:sz w:val="24"/>
          <w:szCs w:val="24"/>
        </w:rPr>
        <w:t xml:space="preserve">tate Armed Groups and the Responsibility to Protect”; </w:t>
      </w:r>
      <w:r w:rsidR="00C5297E" w:rsidRPr="006C33B1">
        <w:rPr>
          <w:rFonts w:ascii="Times New Roman" w:hAnsi="Times New Roman" w:cs="Times New Roman"/>
          <w:sz w:val="24"/>
          <w:szCs w:val="24"/>
        </w:rPr>
        <w:t xml:space="preserve">and </w:t>
      </w:r>
      <w:r w:rsidRPr="006C33B1">
        <w:rPr>
          <w:rFonts w:ascii="Times New Roman" w:hAnsi="Times New Roman" w:cs="Times New Roman"/>
          <w:sz w:val="24"/>
          <w:szCs w:val="24"/>
        </w:rPr>
        <w:t>Ivan Briscoe</w:t>
      </w:r>
      <w:r w:rsidR="007C62A0" w:rsidRPr="006C33B1">
        <w:rPr>
          <w:rFonts w:ascii="Times New Roman" w:hAnsi="Times New Roman" w:cs="Times New Roman"/>
          <w:sz w:val="24"/>
          <w:szCs w:val="24"/>
        </w:rPr>
        <w:t xml:space="preserve">, </w:t>
      </w:r>
      <w:r w:rsidR="007C62A0" w:rsidRPr="006C33B1">
        <w:rPr>
          <w:rFonts w:ascii="Times New Roman" w:hAnsi="Times New Roman" w:cs="Times New Roman"/>
          <w:i/>
          <w:iCs/>
          <w:sz w:val="24"/>
          <w:szCs w:val="24"/>
        </w:rPr>
        <w:t xml:space="preserve">Non-conventional </w:t>
      </w:r>
      <w:r w:rsidR="00200917" w:rsidRPr="006C33B1">
        <w:rPr>
          <w:rFonts w:ascii="Times New Roman" w:hAnsi="Times New Roman" w:cs="Times New Roman"/>
          <w:i/>
          <w:iCs/>
          <w:sz w:val="24"/>
          <w:szCs w:val="24"/>
        </w:rPr>
        <w:t>A</w:t>
      </w:r>
      <w:r w:rsidR="007C62A0" w:rsidRPr="006C33B1">
        <w:rPr>
          <w:rFonts w:ascii="Times New Roman" w:hAnsi="Times New Roman" w:cs="Times New Roman"/>
          <w:i/>
          <w:iCs/>
          <w:sz w:val="24"/>
          <w:szCs w:val="24"/>
        </w:rPr>
        <w:t xml:space="preserve">rmed </w:t>
      </w:r>
      <w:r w:rsidR="00200917" w:rsidRPr="006C33B1">
        <w:rPr>
          <w:rFonts w:ascii="Times New Roman" w:hAnsi="Times New Roman" w:cs="Times New Roman"/>
          <w:i/>
          <w:iCs/>
          <w:sz w:val="24"/>
          <w:szCs w:val="24"/>
        </w:rPr>
        <w:t>V</w:t>
      </w:r>
      <w:r w:rsidR="007C62A0" w:rsidRPr="006C33B1">
        <w:rPr>
          <w:rFonts w:ascii="Times New Roman" w:hAnsi="Times New Roman" w:cs="Times New Roman"/>
          <w:i/>
          <w:iCs/>
          <w:sz w:val="24"/>
          <w:szCs w:val="24"/>
        </w:rPr>
        <w:t xml:space="preserve">iolence and </w:t>
      </w:r>
      <w:r w:rsidR="00200917" w:rsidRPr="006C33B1">
        <w:rPr>
          <w:rFonts w:ascii="Times New Roman" w:hAnsi="Times New Roman" w:cs="Times New Roman"/>
          <w:i/>
          <w:iCs/>
          <w:sz w:val="24"/>
          <w:szCs w:val="24"/>
        </w:rPr>
        <w:t>N</w:t>
      </w:r>
      <w:r w:rsidR="007C62A0" w:rsidRPr="006C33B1">
        <w:rPr>
          <w:rFonts w:ascii="Times New Roman" w:hAnsi="Times New Roman" w:cs="Times New Roman"/>
          <w:i/>
          <w:iCs/>
          <w:sz w:val="24"/>
          <w:szCs w:val="24"/>
        </w:rPr>
        <w:t xml:space="preserve">on-state </w:t>
      </w:r>
      <w:r w:rsidR="00200917" w:rsidRPr="006C33B1">
        <w:rPr>
          <w:rFonts w:ascii="Times New Roman" w:hAnsi="Times New Roman" w:cs="Times New Roman"/>
          <w:i/>
          <w:iCs/>
          <w:sz w:val="24"/>
          <w:szCs w:val="24"/>
        </w:rPr>
        <w:t>A</w:t>
      </w:r>
      <w:r w:rsidR="007C62A0" w:rsidRPr="006C33B1">
        <w:rPr>
          <w:rFonts w:ascii="Times New Roman" w:hAnsi="Times New Roman" w:cs="Times New Roman"/>
          <w:i/>
          <w:iCs/>
          <w:sz w:val="24"/>
          <w:szCs w:val="24"/>
        </w:rPr>
        <w:t xml:space="preserve">ctors: </w:t>
      </w:r>
      <w:r w:rsidR="000B61B6" w:rsidRPr="006C33B1">
        <w:rPr>
          <w:rFonts w:ascii="Times New Roman" w:hAnsi="Times New Roman" w:cs="Times New Roman"/>
          <w:i/>
          <w:iCs/>
          <w:sz w:val="24"/>
          <w:szCs w:val="24"/>
        </w:rPr>
        <w:t>C</w:t>
      </w:r>
      <w:r w:rsidR="007C62A0" w:rsidRPr="006C33B1">
        <w:rPr>
          <w:rFonts w:ascii="Times New Roman" w:hAnsi="Times New Roman" w:cs="Times New Roman"/>
          <w:i/>
          <w:iCs/>
          <w:sz w:val="24"/>
          <w:szCs w:val="24"/>
        </w:rPr>
        <w:t xml:space="preserve">hallenges for </w:t>
      </w:r>
      <w:r w:rsidR="000B61B6" w:rsidRPr="006C33B1">
        <w:rPr>
          <w:rFonts w:ascii="Times New Roman" w:hAnsi="Times New Roman" w:cs="Times New Roman"/>
          <w:i/>
          <w:iCs/>
          <w:sz w:val="24"/>
          <w:szCs w:val="24"/>
        </w:rPr>
        <w:t>M</w:t>
      </w:r>
      <w:r w:rsidR="007C62A0" w:rsidRPr="006C33B1">
        <w:rPr>
          <w:rFonts w:ascii="Times New Roman" w:hAnsi="Times New Roman" w:cs="Times New Roman"/>
          <w:i/>
          <w:iCs/>
          <w:sz w:val="24"/>
          <w:szCs w:val="24"/>
        </w:rPr>
        <w:t>ediation</w:t>
      </w:r>
      <w:r w:rsidR="00C528D6" w:rsidRPr="006C33B1">
        <w:rPr>
          <w:rFonts w:ascii="Times New Roman" w:hAnsi="Times New Roman" w:cs="Times New Roman"/>
          <w:i/>
          <w:iCs/>
          <w:sz w:val="24"/>
          <w:szCs w:val="24"/>
        </w:rPr>
        <w:t xml:space="preserve"> </w:t>
      </w:r>
      <w:r w:rsidR="007C62A0" w:rsidRPr="006C33B1">
        <w:rPr>
          <w:rFonts w:ascii="Times New Roman" w:hAnsi="Times New Roman" w:cs="Times New Roman"/>
          <w:i/>
          <w:iCs/>
          <w:sz w:val="24"/>
          <w:szCs w:val="24"/>
        </w:rPr>
        <w:t xml:space="preserve">and </w:t>
      </w:r>
      <w:r w:rsidR="000B61B6" w:rsidRPr="006C33B1">
        <w:rPr>
          <w:rFonts w:ascii="Times New Roman" w:hAnsi="Times New Roman" w:cs="Times New Roman"/>
          <w:i/>
          <w:iCs/>
          <w:sz w:val="24"/>
          <w:szCs w:val="24"/>
        </w:rPr>
        <w:t>H</w:t>
      </w:r>
      <w:r w:rsidR="007C62A0" w:rsidRPr="006C33B1">
        <w:rPr>
          <w:rFonts w:ascii="Times New Roman" w:hAnsi="Times New Roman" w:cs="Times New Roman"/>
          <w:i/>
          <w:iCs/>
          <w:sz w:val="24"/>
          <w:szCs w:val="24"/>
        </w:rPr>
        <w:t xml:space="preserve">umanitarian </w:t>
      </w:r>
      <w:r w:rsidR="000B61B6" w:rsidRPr="006C33B1">
        <w:rPr>
          <w:rFonts w:ascii="Times New Roman" w:hAnsi="Times New Roman" w:cs="Times New Roman"/>
          <w:i/>
          <w:iCs/>
          <w:sz w:val="24"/>
          <w:szCs w:val="24"/>
        </w:rPr>
        <w:t>A</w:t>
      </w:r>
      <w:r w:rsidR="007C62A0" w:rsidRPr="006C33B1">
        <w:rPr>
          <w:rFonts w:ascii="Times New Roman" w:hAnsi="Times New Roman" w:cs="Times New Roman"/>
          <w:i/>
          <w:iCs/>
          <w:sz w:val="24"/>
          <w:szCs w:val="24"/>
        </w:rPr>
        <w:t>ction</w:t>
      </w:r>
      <w:r w:rsidR="007C62A0" w:rsidRPr="006C33B1">
        <w:rPr>
          <w:rFonts w:ascii="Times New Roman" w:hAnsi="Times New Roman" w:cs="Times New Roman"/>
          <w:sz w:val="24"/>
          <w:szCs w:val="24"/>
        </w:rPr>
        <w:t xml:space="preserve"> </w:t>
      </w:r>
      <w:r w:rsidR="00C5297E" w:rsidRPr="006C33B1">
        <w:rPr>
          <w:rFonts w:ascii="Times New Roman" w:hAnsi="Times New Roman" w:cs="Times New Roman"/>
          <w:sz w:val="24"/>
          <w:szCs w:val="24"/>
        </w:rPr>
        <w:t>(</w:t>
      </w:r>
      <w:r w:rsidR="00E212AB" w:rsidRPr="006C33B1">
        <w:rPr>
          <w:rFonts w:ascii="Times New Roman" w:hAnsi="Times New Roman" w:cs="Times New Roman"/>
          <w:sz w:val="24"/>
          <w:szCs w:val="24"/>
        </w:rPr>
        <w:t xml:space="preserve">Oslo: </w:t>
      </w:r>
      <w:r w:rsidR="00015080" w:rsidRPr="006C33B1">
        <w:rPr>
          <w:rFonts w:ascii="Times New Roman" w:hAnsi="Times New Roman" w:cs="Times New Roman"/>
          <w:sz w:val="24"/>
          <w:szCs w:val="24"/>
        </w:rPr>
        <w:t>Norwegian Peacebuilding Resource Centre</w:t>
      </w:r>
      <w:r w:rsidR="003F7C1C" w:rsidRPr="006C33B1">
        <w:rPr>
          <w:rFonts w:ascii="Times New Roman" w:hAnsi="Times New Roman" w:cs="Times New Roman"/>
          <w:sz w:val="24"/>
          <w:szCs w:val="24"/>
        </w:rPr>
        <w:t xml:space="preserve">, </w:t>
      </w:r>
      <w:r w:rsidR="00015080" w:rsidRPr="006C33B1">
        <w:rPr>
          <w:rFonts w:ascii="Times New Roman" w:hAnsi="Times New Roman" w:cs="Times New Roman"/>
          <w:sz w:val="24"/>
          <w:szCs w:val="24"/>
        </w:rPr>
        <w:t>May 2013)</w:t>
      </w:r>
      <w:r w:rsidR="008961DC" w:rsidRPr="006C33B1">
        <w:rPr>
          <w:rFonts w:ascii="Times New Roman" w:hAnsi="Times New Roman" w:cs="Times New Roman"/>
          <w:sz w:val="24"/>
          <w:szCs w:val="24"/>
        </w:rPr>
        <w:t>.</w:t>
      </w:r>
    </w:p>
  </w:endnote>
  <w:endnote w:id="19">
    <w:p w14:paraId="53C2F09A" w14:textId="607A6D3E" w:rsidR="00556390" w:rsidRPr="006C33B1" w:rsidRDefault="0055639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w:t>
      </w:r>
      <w:r w:rsidR="00A801C0" w:rsidRPr="006C33B1">
        <w:rPr>
          <w:rFonts w:ascii="Times New Roman" w:hAnsi="Times New Roman" w:cs="Times New Roman"/>
          <w:sz w:val="24"/>
          <w:szCs w:val="24"/>
        </w:rPr>
        <w:t>–</w:t>
      </w:r>
      <w:r w:rsidRPr="006C33B1">
        <w:rPr>
          <w:rFonts w:ascii="Times New Roman" w:hAnsi="Times New Roman" w:cs="Times New Roman"/>
          <w:sz w:val="24"/>
          <w:szCs w:val="24"/>
        </w:rPr>
        <w:t>32.</w:t>
      </w:r>
    </w:p>
  </w:endnote>
  <w:endnote w:id="20">
    <w:p w14:paraId="60E34600" w14:textId="5C93D6A5" w:rsidR="004E2287" w:rsidRPr="006C33B1" w:rsidRDefault="004E2287">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21">
    <w:p w14:paraId="5E48434E" w14:textId="641B7E74" w:rsidR="00EF0B18" w:rsidRPr="006C33B1" w:rsidRDefault="00EF0B18">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AF1D04" w:rsidRPr="006C33B1">
        <w:rPr>
          <w:rFonts w:ascii="Times New Roman" w:hAnsi="Times New Roman" w:cs="Times New Roman"/>
          <w:sz w:val="24"/>
          <w:szCs w:val="24"/>
        </w:rPr>
        <w:t xml:space="preserve">Hein E. Goemans, </w:t>
      </w:r>
      <w:r w:rsidR="00AF1D04" w:rsidRPr="006C33B1">
        <w:rPr>
          <w:rFonts w:ascii="Times New Roman" w:hAnsi="Times New Roman" w:cs="Times New Roman"/>
          <w:i/>
          <w:iCs/>
          <w:sz w:val="24"/>
          <w:szCs w:val="24"/>
        </w:rPr>
        <w:t>War and Punishment: The Causes of War Termination and the First World War</w:t>
      </w:r>
      <w:r w:rsidR="00AF1D04" w:rsidRPr="006C33B1">
        <w:rPr>
          <w:rFonts w:ascii="Times New Roman" w:hAnsi="Times New Roman" w:cs="Times New Roman"/>
          <w:sz w:val="24"/>
          <w:szCs w:val="24"/>
        </w:rPr>
        <w:t xml:space="preserve"> (Princeton</w:t>
      </w:r>
      <w:r w:rsidR="00E25FDE" w:rsidRPr="006C33B1">
        <w:rPr>
          <w:rFonts w:ascii="Times New Roman" w:hAnsi="Times New Roman" w:cs="Times New Roman"/>
          <w:sz w:val="24"/>
          <w:szCs w:val="24"/>
        </w:rPr>
        <w:t>, NJ</w:t>
      </w:r>
      <w:r w:rsidR="00AF1D04" w:rsidRPr="006C33B1">
        <w:rPr>
          <w:rFonts w:ascii="Times New Roman" w:hAnsi="Times New Roman" w:cs="Times New Roman"/>
          <w:sz w:val="24"/>
          <w:szCs w:val="24"/>
        </w:rPr>
        <w:t>: Princeton University Press, 2000).</w:t>
      </w:r>
    </w:p>
  </w:endnote>
  <w:endnote w:id="22">
    <w:p w14:paraId="78C19B59" w14:textId="53BDDDA8" w:rsidR="00671059" w:rsidRPr="006C33B1" w:rsidRDefault="0067105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Macartan Humphreys and Jeremy </w:t>
      </w:r>
      <w:r w:rsidR="00D766AC" w:rsidRPr="006C33B1">
        <w:rPr>
          <w:rFonts w:ascii="Times New Roman" w:hAnsi="Times New Roman" w:cs="Times New Roman"/>
          <w:sz w:val="24"/>
          <w:szCs w:val="24"/>
        </w:rPr>
        <w:t xml:space="preserve">M. </w:t>
      </w:r>
      <w:r w:rsidRPr="006C33B1">
        <w:rPr>
          <w:rFonts w:ascii="Times New Roman" w:hAnsi="Times New Roman" w:cs="Times New Roman"/>
          <w:sz w:val="24"/>
          <w:szCs w:val="24"/>
        </w:rPr>
        <w:t xml:space="preserve">Weinstein, “Handling and Manhandling Civilians in Civil War,” </w:t>
      </w:r>
      <w:r w:rsidRPr="006C33B1">
        <w:rPr>
          <w:rFonts w:ascii="Times New Roman" w:hAnsi="Times New Roman" w:cs="Times New Roman"/>
          <w:i/>
          <w:iCs/>
          <w:sz w:val="24"/>
          <w:szCs w:val="24"/>
        </w:rPr>
        <w:t>American Political Science Review</w:t>
      </w:r>
      <w:r w:rsidRPr="006C33B1">
        <w:rPr>
          <w:rFonts w:ascii="Times New Roman" w:hAnsi="Times New Roman" w:cs="Times New Roman"/>
          <w:sz w:val="24"/>
          <w:szCs w:val="24"/>
        </w:rPr>
        <w:t xml:space="preserve"> 100, no. 3 (2006): 429–47.</w:t>
      </w:r>
    </w:p>
  </w:endnote>
  <w:endnote w:id="23">
    <w:p w14:paraId="783E38AF" w14:textId="35ED52B8" w:rsidR="00671059" w:rsidRPr="006C33B1" w:rsidRDefault="0067105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Humphreys and Weinstein.</w:t>
      </w:r>
    </w:p>
  </w:endnote>
  <w:endnote w:id="24">
    <w:p w14:paraId="17228FBD" w14:textId="6C8B2AC4" w:rsidR="00AF1D04" w:rsidRPr="006C33B1" w:rsidRDefault="00AF1D04">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Claire Metelits, </w:t>
      </w:r>
      <w:r w:rsidRPr="006C33B1">
        <w:rPr>
          <w:rFonts w:ascii="Times New Roman" w:hAnsi="Times New Roman" w:cs="Times New Roman"/>
          <w:i/>
          <w:iCs/>
          <w:sz w:val="24"/>
          <w:szCs w:val="24"/>
        </w:rPr>
        <w:t xml:space="preserve">Inside Insurgency: Violence, Civilians, and Revolutionary Group Behavior </w:t>
      </w:r>
      <w:r w:rsidRPr="006C33B1">
        <w:rPr>
          <w:rFonts w:ascii="Times New Roman" w:hAnsi="Times New Roman" w:cs="Times New Roman"/>
          <w:sz w:val="24"/>
          <w:szCs w:val="24"/>
        </w:rPr>
        <w:t xml:space="preserve">(New York: New York University Press, 2009); </w:t>
      </w:r>
      <w:r w:rsidR="00524F67" w:rsidRPr="006C33B1">
        <w:rPr>
          <w:rFonts w:ascii="Times New Roman" w:hAnsi="Times New Roman" w:cs="Times New Roman"/>
          <w:sz w:val="24"/>
          <w:szCs w:val="24"/>
        </w:rPr>
        <w:t xml:space="preserve">and </w:t>
      </w:r>
      <w:r w:rsidRPr="006C33B1">
        <w:rPr>
          <w:rFonts w:ascii="Times New Roman" w:hAnsi="Times New Roman" w:cs="Times New Roman"/>
          <w:sz w:val="24"/>
          <w:szCs w:val="24"/>
        </w:rPr>
        <w:t xml:space="preserve">Zachariah C. Mampilly, </w:t>
      </w:r>
      <w:r w:rsidRPr="006C33B1">
        <w:rPr>
          <w:rFonts w:ascii="Times New Roman" w:hAnsi="Times New Roman" w:cs="Times New Roman"/>
          <w:i/>
          <w:iCs/>
          <w:sz w:val="24"/>
          <w:szCs w:val="24"/>
        </w:rPr>
        <w:t xml:space="preserve">Rebel Rulers: Insurgent Governance and Civilian Life </w:t>
      </w:r>
      <w:r w:rsidR="00D11C30" w:rsidRPr="006C33B1">
        <w:rPr>
          <w:rFonts w:ascii="Times New Roman" w:hAnsi="Times New Roman" w:cs="Times New Roman"/>
          <w:i/>
          <w:iCs/>
          <w:sz w:val="24"/>
          <w:szCs w:val="24"/>
        </w:rPr>
        <w:t>d</w:t>
      </w:r>
      <w:r w:rsidRPr="006C33B1">
        <w:rPr>
          <w:rFonts w:ascii="Times New Roman" w:hAnsi="Times New Roman" w:cs="Times New Roman"/>
          <w:i/>
          <w:iCs/>
          <w:sz w:val="24"/>
          <w:szCs w:val="24"/>
        </w:rPr>
        <w:t xml:space="preserve">uring War </w:t>
      </w:r>
      <w:r w:rsidRPr="006C33B1">
        <w:rPr>
          <w:rFonts w:ascii="Times New Roman" w:hAnsi="Times New Roman" w:cs="Times New Roman"/>
          <w:sz w:val="24"/>
          <w:szCs w:val="24"/>
        </w:rPr>
        <w:t>(Ithaca</w:t>
      </w:r>
      <w:r w:rsidR="00266325" w:rsidRPr="006C33B1">
        <w:rPr>
          <w:rFonts w:ascii="Times New Roman" w:hAnsi="Times New Roman" w:cs="Times New Roman"/>
          <w:sz w:val="24"/>
          <w:szCs w:val="24"/>
        </w:rPr>
        <w:t>, NY</w:t>
      </w:r>
      <w:r w:rsidRPr="006C33B1">
        <w:rPr>
          <w:rFonts w:ascii="Times New Roman" w:hAnsi="Times New Roman" w:cs="Times New Roman"/>
          <w:sz w:val="24"/>
          <w:szCs w:val="24"/>
        </w:rPr>
        <w:t>: Cornell University Press, 2011).</w:t>
      </w:r>
    </w:p>
  </w:endnote>
  <w:endnote w:id="25">
    <w:p w14:paraId="6DFFA547" w14:textId="31F49DCF" w:rsidR="00DF2AC0" w:rsidRPr="006C33B1" w:rsidRDefault="00DF2AC0">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Robin T. Naylor, “The Insurgent Economy: Black Market Operations of Guerilla Groups,” </w:t>
      </w:r>
      <w:r w:rsidR="006254F4" w:rsidRPr="006C33B1">
        <w:rPr>
          <w:rFonts w:ascii="Times New Roman" w:hAnsi="Times New Roman" w:cs="Times New Roman"/>
          <w:i/>
          <w:iCs/>
          <w:sz w:val="24"/>
          <w:szCs w:val="24"/>
        </w:rPr>
        <w:t>Crime, Law and Social Change</w:t>
      </w:r>
      <w:r w:rsidR="007931F3" w:rsidRPr="006C33B1">
        <w:rPr>
          <w:rFonts w:ascii="Times New Roman" w:hAnsi="Times New Roman" w:cs="Times New Roman"/>
          <w:i/>
          <w:iCs/>
          <w:sz w:val="24"/>
          <w:szCs w:val="24"/>
        </w:rPr>
        <w:t xml:space="preserve"> </w:t>
      </w:r>
      <w:r w:rsidR="007931F3" w:rsidRPr="006C33B1">
        <w:rPr>
          <w:rFonts w:ascii="Times New Roman" w:hAnsi="Times New Roman" w:cs="Times New Roman"/>
          <w:sz w:val="24"/>
          <w:szCs w:val="24"/>
        </w:rPr>
        <w:t>20 (</w:t>
      </w:r>
      <w:r w:rsidR="00082AF2" w:rsidRPr="006C33B1">
        <w:rPr>
          <w:rFonts w:ascii="Times New Roman" w:hAnsi="Times New Roman" w:cs="Times New Roman"/>
          <w:sz w:val="24"/>
          <w:szCs w:val="24"/>
        </w:rPr>
        <w:t xml:space="preserve">July </w:t>
      </w:r>
      <w:r w:rsidR="007931F3" w:rsidRPr="006C33B1">
        <w:rPr>
          <w:rFonts w:ascii="Times New Roman" w:hAnsi="Times New Roman" w:cs="Times New Roman"/>
          <w:sz w:val="24"/>
          <w:szCs w:val="24"/>
        </w:rPr>
        <w:t>1993): 13–51</w:t>
      </w:r>
      <w:r w:rsidR="008B2C13" w:rsidRPr="006C33B1">
        <w:rPr>
          <w:rFonts w:ascii="Times New Roman" w:hAnsi="Times New Roman" w:cs="Times New Roman"/>
          <w:sz w:val="24"/>
          <w:szCs w:val="24"/>
        </w:rPr>
        <w:t>.</w:t>
      </w:r>
    </w:p>
  </w:endnote>
  <w:endnote w:id="26">
    <w:p w14:paraId="6515A089" w14:textId="3C20DB2C" w:rsidR="00A2763C" w:rsidRPr="006C33B1" w:rsidRDefault="00A2763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8E51DB" w:rsidRPr="006C33B1">
        <w:rPr>
          <w:rFonts w:ascii="Times New Roman" w:hAnsi="Times New Roman" w:cs="Times New Roman"/>
          <w:sz w:val="24"/>
          <w:szCs w:val="24"/>
        </w:rPr>
        <w:t>Elisabeth J. Wood</w:t>
      </w:r>
      <w:r w:rsidR="007A34DF" w:rsidRPr="006C33B1">
        <w:rPr>
          <w:rFonts w:ascii="Times New Roman" w:hAnsi="Times New Roman" w:cs="Times New Roman"/>
          <w:sz w:val="24"/>
          <w:szCs w:val="24"/>
        </w:rPr>
        <w:t>,</w:t>
      </w:r>
      <w:r w:rsidR="008E51DB" w:rsidRPr="006C33B1">
        <w:rPr>
          <w:rFonts w:ascii="Times New Roman" w:hAnsi="Times New Roman" w:cs="Times New Roman"/>
          <w:sz w:val="24"/>
          <w:szCs w:val="24"/>
        </w:rPr>
        <w:t xml:space="preserve"> “</w:t>
      </w:r>
      <w:r w:rsidR="0068470E" w:rsidRPr="006C33B1">
        <w:rPr>
          <w:rFonts w:ascii="Times New Roman" w:hAnsi="Times New Roman" w:cs="Times New Roman"/>
          <w:sz w:val="24"/>
          <w:szCs w:val="24"/>
        </w:rPr>
        <w:t xml:space="preserve">Rape </w:t>
      </w:r>
      <w:r w:rsidR="007A34DF" w:rsidRPr="006C33B1">
        <w:rPr>
          <w:rFonts w:ascii="Times New Roman" w:hAnsi="Times New Roman" w:cs="Times New Roman"/>
          <w:sz w:val="24"/>
          <w:szCs w:val="24"/>
        </w:rPr>
        <w:t>d</w:t>
      </w:r>
      <w:r w:rsidR="0068470E" w:rsidRPr="006C33B1">
        <w:rPr>
          <w:rFonts w:ascii="Times New Roman" w:hAnsi="Times New Roman" w:cs="Times New Roman"/>
          <w:sz w:val="24"/>
          <w:szCs w:val="24"/>
        </w:rPr>
        <w:t xml:space="preserve">uring War </w:t>
      </w:r>
      <w:r w:rsidR="007246C6" w:rsidRPr="006C33B1">
        <w:rPr>
          <w:rFonts w:ascii="Times New Roman" w:hAnsi="Times New Roman" w:cs="Times New Roman"/>
          <w:sz w:val="24"/>
          <w:szCs w:val="24"/>
        </w:rPr>
        <w:t>I</w:t>
      </w:r>
      <w:r w:rsidR="0068470E" w:rsidRPr="006C33B1">
        <w:rPr>
          <w:rFonts w:ascii="Times New Roman" w:hAnsi="Times New Roman" w:cs="Times New Roman"/>
          <w:sz w:val="24"/>
          <w:szCs w:val="24"/>
        </w:rPr>
        <w:t xml:space="preserve">s Not Inevitable: Variation in Wartime Sexual Violence,” in </w:t>
      </w:r>
      <w:r w:rsidR="00DE120F" w:rsidRPr="006C33B1">
        <w:rPr>
          <w:rFonts w:ascii="Times New Roman" w:hAnsi="Times New Roman" w:cs="Times New Roman"/>
          <w:i/>
          <w:iCs/>
          <w:sz w:val="24"/>
          <w:szCs w:val="24"/>
        </w:rPr>
        <w:t>Understanding and Proving International Sex Crimes</w:t>
      </w:r>
      <w:r w:rsidR="00DE120F" w:rsidRPr="006C33B1">
        <w:rPr>
          <w:rFonts w:ascii="Times New Roman" w:hAnsi="Times New Roman" w:cs="Times New Roman"/>
          <w:sz w:val="24"/>
          <w:szCs w:val="24"/>
        </w:rPr>
        <w:t xml:space="preserve">, ed. </w:t>
      </w:r>
      <w:r w:rsidR="006E51C8" w:rsidRPr="006C33B1">
        <w:rPr>
          <w:rFonts w:ascii="Times New Roman" w:hAnsi="Times New Roman" w:cs="Times New Roman"/>
          <w:sz w:val="24"/>
          <w:szCs w:val="24"/>
        </w:rPr>
        <w:t>Morten Bergsmo, Elisabeth J. Wood, and Alf B. Skre</w:t>
      </w:r>
      <w:r w:rsidR="00E63190" w:rsidRPr="006C33B1">
        <w:rPr>
          <w:rFonts w:ascii="Times New Roman" w:hAnsi="Times New Roman" w:cs="Times New Roman"/>
          <w:sz w:val="24"/>
          <w:szCs w:val="24"/>
        </w:rPr>
        <w:t xml:space="preserve"> (Beijing: Torkel Opsahl Academic EPublisher, 2012)</w:t>
      </w:r>
      <w:r w:rsidR="00C53901" w:rsidRPr="006C33B1">
        <w:rPr>
          <w:rFonts w:ascii="Times New Roman" w:hAnsi="Times New Roman" w:cs="Times New Roman"/>
          <w:sz w:val="24"/>
          <w:szCs w:val="24"/>
        </w:rPr>
        <w:t>,</w:t>
      </w:r>
      <w:r w:rsidR="00E63190" w:rsidRPr="006C33B1">
        <w:rPr>
          <w:rFonts w:ascii="Times New Roman" w:hAnsi="Times New Roman" w:cs="Times New Roman"/>
          <w:sz w:val="24"/>
          <w:szCs w:val="24"/>
        </w:rPr>
        <w:t xml:space="preserve"> </w:t>
      </w:r>
      <w:r w:rsidR="00B80BFF" w:rsidRPr="006C33B1">
        <w:rPr>
          <w:rFonts w:ascii="Times New Roman" w:hAnsi="Times New Roman" w:cs="Times New Roman"/>
          <w:sz w:val="24"/>
          <w:szCs w:val="24"/>
        </w:rPr>
        <w:t xml:space="preserve">389–420; </w:t>
      </w:r>
      <w:r w:rsidR="0075527C" w:rsidRPr="006C33B1">
        <w:rPr>
          <w:rFonts w:ascii="Times New Roman" w:hAnsi="Times New Roman" w:cs="Times New Roman"/>
          <w:sz w:val="24"/>
          <w:szCs w:val="24"/>
        </w:rPr>
        <w:t xml:space="preserve">and </w:t>
      </w:r>
      <w:r w:rsidRPr="006C33B1">
        <w:rPr>
          <w:rFonts w:ascii="Times New Roman" w:hAnsi="Times New Roman" w:cs="Times New Roman"/>
          <w:sz w:val="24"/>
          <w:szCs w:val="24"/>
        </w:rPr>
        <w:t xml:space="preserve">Jeremy M. Weinstein, </w:t>
      </w:r>
      <w:r w:rsidRPr="006C33B1">
        <w:rPr>
          <w:rFonts w:ascii="Times New Roman" w:hAnsi="Times New Roman" w:cs="Times New Roman"/>
          <w:i/>
          <w:iCs/>
          <w:sz w:val="24"/>
          <w:szCs w:val="24"/>
        </w:rPr>
        <w:t xml:space="preserve">Inside Rebellion: The Politics of Insurgent Violence </w:t>
      </w:r>
      <w:r w:rsidRPr="006C33B1">
        <w:rPr>
          <w:rFonts w:ascii="Times New Roman" w:hAnsi="Times New Roman" w:cs="Times New Roman"/>
          <w:sz w:val="24"/>
          <w:szCs w:val="24"/>
        </w:rPr>
        <w:t>(Cambridge: Cambridge University Press, 2007).</w:t>
      </w:r>
    </w:p>
  </w:endnote>
  <w:endnote w:id="27">
    <w:p w14:paraId="4A6DD173" w14:textId="368174D4" w:rsidR="00D766AC" w:rsidRPr="006C33B1" w:rsidRDefault="00D766A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Jonathan L. Maynard, “Ideology and </w:t>
      </w:r>
      <w:r w:rsidR="0075527C" w:rsidRPr="006C33B1">
        <w:rPr>
          <w:rFonts w:ascii="Times New Roman" w:hAnsi="Times New Roman" w:cs="Times New Roman"/>
          <w:sz w:val="24"/>
          <w:szCs w:val="24"/>
        </w:rPr>
        <w:t>A</w:t>
      </w:r>
      <w:r w:rsidRPr="006C33B1">
        <w:rPr>
          <w:rFonts w:ascii="Times New Roman" w:hAnsi="Times New Roman" w:cs="Times New Roman"/>
          <w:sz w:val="24"/>
          <w:szCs w:val="24"/>
        </w:rPr>
        <w:t xml:space="preserve">rmed </w:t>
      </w:r>
      <w:r w:rsidR="0075527C" w:rsidRPr="006C33B1">
        <w:rPr>
          <w:rFonts w:ascii="Times New Roman" w:hAnsi="Times New Roman" w:cs="Times New Roman"/>
          <w:sz w:val="24"/>
          <w:szCs w:val="24"/>
        </w:rPr>
        <w:t>C</w:t>
      </w:r>
      <w:r w:rsidRPr="006C33B1">
        <w:rPr>
          <w:rFonts w:ascii="Times New Roman" w:hAnsi="Times New Roman" w:cs="Times New Roman"/>
          <w:sz w:val="24"/>
          <w:szCs w:val="24"/>
        </w:rPr>
        <w:t xml:space="preserve">onflict,” </w:t>
      </w:r>
      <w:r w:rsidRPr="006C33B1">
        <w:rPr>
          <w:rFonts w:ascii="Times New Roman" w:hAnsi="Times New Roman" w:cs="Times New Roman"/>
          <w:i/>
          <w:iCs/>
          <w:sz w:val="24"/>
          <w:szCs w:val="24"/>
        </w:rPr>
        <w:t xml:space="preserve">Journal of Peace Research </w:t>
      </w:r>
      <w:r w:rsidRPr="006C33B1">
        <w:rPr>
          <w:rFonts w:ascii="Times New Roman" w:hAnsi="Times New Roman" w:cs="Times New Roman"/>
          <w:sz w:val="24"/>
          <w:szCs w:val="24"/>
        </w:rPr>
        <w:t>56, no. 5 (2019): 635–49.</w:t>
      </w:r>
    </w:p>
  </w:endnote>
  <w:endnote w:id="28">
    <w:p w14:paraId="3BAE2310" w14:textId="20A818E0" w:rsidR="00904D42" w:rsidRPr="006C33B1" w:rsidRDefault="00904D42">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Francisco G. </w:t>
      </w:r>
      <w:r w:rsidRPr="006C33B1">
        <w:rPr>
          <w:rFonts w:ascii="Times New Roman" w:eastAsia="Times New Roman" w:hAnsi="Times New Roman" w:cs="Times New Roman"/>
          <w:color w:val="222222"/>
          <w:sz w:val="24"/>
          <w:szCs w:val="24"/>
          <w:shd w:val="clear" w:color="auto" w:fill="FFFFFF"/>
        </w:rPr>
        <w:t xml:space="preserve">Sanín and Elisabeth J. Wood, “Ideology in </w:t>
      </w:r>
      <w:r w:rsidR="00781CAC" w:rsidRPr="006C33B1">
        <w:rPr>
          <w:rFonts w:ascii="Times New Roman" w:eastAsia="Times New Roman" w:hAnsi="Times New Roman" w:cs="Times New Roman"/>
          <w:color w:val="222222"/>
          <w:sz w:val="24"/>
          <w:szCs w:val="24"/>
          <w:shd w:val="clear" w:color="auto" w:fill="FFFFFF"/>
        </w:rPr>
        <w:t>C</w:t>
      </w:r>
      <w:r w:rsidRPr="006C33B1">
        <w:rPr>
          <w:rFonts w:ascii="Times New Roman" w:eastAsia="Times New Roman" w:hAnsi="Times New Roman" w:cs="Times New Roman"/>
          <w:color w:val="222222"/>
          <w:sz w:val="24"/>
          <w:szCs w:val="24"/>
          <w:shd w:val="clear" w:color="auto" w:fill="FFFFFF"/>
        </w:rPr>
        <w:t xml:space="preserve">ivil </w:t>
      </w:r>
      <w:r w:rsidR="00781CAC" w:rsidRPr="006C33B1">
        <w:rPr>
          <w:rFonts w:ascii="Times New Roman" w:eastAsia="Times New Roman" w:hAnsi="Times New Roman" w:cs="Times New Roman"/>
          <w:color w:val="222222"/>
          <w:sz w:val="24"/>
          <w:szCs w:val="24"/>
          <w:shd w:val="clear" w:color="auto" w:fill="FFFFFF"/>
        </w:rPr>
        <w:t>W</w:t>
      </w:r>
      <w:r w:rsidRPr="006C33B1">
        <w:rPr>
          <w:rFonts w:ascii="Times New Roman" w:eastAsia="Times New Roman" w:hAnsi="Times New Roman" w:cs="Times New Roman"/>
          <w:color w:val="222222"/>
          <w:sz w:val="24"/>
          <w:szCs w:val="24"/>
          <w:shd w:val="clear" w:color="auto" w:fill="FFFFFF"/>
        </w:rPr>
        <w:t xml:space="preserve">ar: Instrumental </w:t>
      </w:r>
      <w:r w:rsidR="00781CAC" w:rsidRPr="006C33B1">
        <w:rPr>
          <w:rFonts w:ascii="Times New Roman" w:eastAsia="Times New Roman" w:hAnsi="Times New Roman" w:cs="Times New Roman"/>
          <w:color w:val="222222"/>
          <w:sz w:val="24"/>
          <w:szCs w:val="24"/>
          <w:shd w:val="clear" w:color="auto" w:fill="FFFFFF"/>
        </w:rPr>
        <w:t>A</w:t>
      </w:r>
      <w:r w:rsidRPr="006C33B1">
        <w:rPr>
          <w:rFonts w:ascii="Times New Roman" w:eastAsia="Times New Roman" w:hAnsi="Times New Roman" w:cs="Times New Roman"/>
          <w:color w:val="222222"/>
          <w:sz w:val="24"/>
          <w:szCs w:val="24"/>
          <w:shd w:val="clear" w:color="auto" w:fill="FFFFFF"/>
        </w:rPr>
        <w:t xml:space="preserve">doption and </w:t>
      </w:r>
      <w:r w:rsidR="00781CAC" w:rsidRPr="006C33B1">
        <w:rPr>
          <w:rFonts w:ascii="Times New Roman" w:eastAsia="Times New Roman" w:hAnsi="Times New Roman" w:cs="Times New Roman"/>
          <w:color w:val="222222"/>
          <w:sz w:val="24"/>
          <w:szCs w:val="24"/>
          <w:shd w:val="clear" w:color="auto" w:fill="FFFFFF"/>
        </w:rPr>
        <w:t>B</w:t>
      </w:r>
      <w:r w:rsidRPr="006C33B1">
        <w:rPr>
          <w:rFonts w:ascii="Times New Roman" w:eastAsia="Times New Roman" w:hAnsi="Times New Roman" w:cs="Times New Roman"/>
          <w:color w:val="222222"/>
          <w:sz w:val="24"/>
          <w:szCs w:val="24"/>
          <w:shd w:val="clear" w:color="auto" w:fill="FFFFFF"/>
        </w:rPr>
        <w:t xml:space="preserve">eyond,” </w:t>
      </w:r>
      <w:r w:rsidRPr="006C33B1">
        <w:rPr>
          <w:rFonts w:ascii="Times New Roman" w:eastAsia="Times New Roman" w:hAnsi="Times New Roman" w:cs="Times New Roman"/>
          <w:i/>
          <w:iCs/>
          <w:color w:val="222222"/>
          <w:sz w:val="24"/>
          <w:szCs w:val="24"/>
          <w:shd w:val="clear" w:color="auto" w:fill="FFFFFF"/>
        </w:rPr>
        <w:t xml:space="preserve">Journal of Peace Research </w:t>
      </w:r>
      <w:r w:rsidRPr="006C33B1">
        <w:rPr>
          <w:rFonts w:ascii="Times New Roman" w:eastAsia="Times New Roman" w:hAnsi="Times New Roman" w:cs="Times New Roman"/>
          <w:color w:val="222222"/>
          <w:sz w:val="24"/>
          <w:szCs w:val="24"/>
          <w:shd w:val="clear" w:color="auto" w:fill="FFFFFF"/>
        </w:rPr>
        <w:t>51, no. 2 (2014): 213</w:t>
      </w:r>
      <w:r w:rsidR="00086567" w:rsidRPr="006C33B1">
        <w:rPr>
          <w:rFonts w:ascii="Times New Roman" w:eastAsia="Times New Roman" w:hAnsi="Times New Roman" w:cs="Times New Roman"/>
          <w:color w:val="222222"/>
          <w:sz w:val="24"/>
          <w:szCs w:val="24"/>
          <w:shd w:val="clear" w:color="auto" w:fill="FFFFFF"/>
        </w:rPr>
        <w:t>–</w:t>
      </w:r>
      <w:r w:rsidRPr="006C33B1">
        <w:rPr>
          <w:rFonts w:ascii="Times New Roman" w:eastAsia="Times New Roman" w:hAnsi="Times New Roman" w:cs="Times New Roman"/>
          <w:color w:val="222222"/>
          <w:sz w:val="24"/>
          <w:szCs w:val="24"/>
          <w:shd w:val="clear" w:color="auto" w:fill="FFFFFF"/>
        </w:rPr>
        <w:t xml:space="preserve">26. </w:t>
      </w:r>
    </w:p>
  </w:endnote>
  <w:endnote w:id="29">
    <w:p w14:paraId="7094FCE4" w14:textId="2C18BEA5" w:rsidR="003561C8" w:rsidRPr="006C33B1" w:rsidRDefault="003561C8">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Marie-Joëlle Zahar, “Is </w:t>
      </w:r>
      <w:r w:rsidR="00E80EE5" w:rsidRPr="006C33B1">
        <w:rPr>
          <w:rFonts w:ascii="Times New Roman" w:hAnsi="Times New Roman" w:cs="Times New Roman"/>
          <w:sz w:val="24"/>
          <w:szCs w:val="24"/>
        </w:rPr>
        <w:t>A</w:t>
      </w:r>
      <w:r w:rsidRPr="006C33B1">
        <w:rPr>
          <w:rFonts w:ascii="Times New Roman" w:hAnsi="Times New Roman" w:cs="Times New Roman"/>
          <w:sz w:val="24"/>
          <w:szCs w:val="24"/>
        </w:rPr>
        <w:t xml:space="preserve">ll the </w:t>
      </w:r>
      <w:r w:rsidR="00E80EE5" w:rsidRPr="006C33B1">
        <w:rPr>
          <w:rFonts w:ascii="Times New Roman" w:hAnsi="Times New Roman" w:cs="Times New Roman"/>
          <w:sz w:val="24"/>
          <w:szCs w:val="24"/>
        </w:rPr>
        <w:t>N</w:t>
      </w:r>
      <w:r w:rsidRPr="006C33B1">
        <w:rPr>
          <w:rFonts w:ascii="Times New Roman" w:hAnsi="Times New Roman" w:cs="Times New Roman"/>
          <w:sz w:val="24"/>
          <w:szCs w:val="24"/>
        </w:rPr>
        <w:t xml:space="preserve">ews </w:t>
      </w:r>
      <w:r w:rsidR="00E80EE5" w:rsidRPr="006C33B1">
        <w:rPr>
          <w:rFonts w:ascii="Times New Roman" w:hAnsi="Times New Roman" w:cs="Times New Roman"/>
          <w:sz w:val="24"/>
          <w:szCs w:val="24"/>
        </w:rPr>
        <w:t>B</w:t>
      </w:r>
      <w:r w:rsidRPr="006C33B1">
        <w:rPr>
          <w:rFonts w:ascii="Times New Roman" w:hAnsi="Times New Roman" w:cs="Times New Roman"/>
          <w:sz w:val="24"/>
          <w:szCs w:val="24"/>
        </w:rPr>
        <w:t xml:space="preserve">ad </w:t>
      </w:r>
      <w:r w:rsidR="00E80EE5" w:rsidRPr="006C33B1">
        <w:rPr>
          <w:rFonts w:ascii="Times New Roman" w:hAnsi="Times New Roman" w:cs="Times New Roman"/>
          <w:sz w:val="24"/>
          <w:szCs w:val="24"/>
        </w:rPr>
        <w:t>N</w:t>
      </w:r>
      <w:r w:rsidRPr="006C33B1">
        <w:rPr>
          <w:rFonts w:ascii="Times New Roman" w:hAnsi="Times New Roman" w:cs="Times New Roman"/>
          <w:sz w:val="24"/>
          <w:szCs w:val="24"/>
        </w:rPr>
        <w:t xml:space="preserve">ews for </w:t>
      </w:r>
      <w:r w:rsidR="00E80EE5" w:rsidRPr="006C33B1">
        <w:rPr>
          <w:rFonts w:ascii="Times New Roman" w:hAnsi="Times New Roman" w:cs="Times New Roman"/>
          <w:sz w:val="24"/>
          <w:szCs w:val="24"/>
        </w:rPr>
        <w:t>P</w:t>
      </w:r>
      <w:r w:rsidRPr="006C33B1">
        <w:rPr>
          <w:rFonts w:ascii="Times New Roman" w:hAnsi="Times New Roman" w:cs="Times New Roman"/>
          <w:sz w:val="24"/>
          <w:szCs w:val="24"/>
        </w:rPr>
        <w:t xml:space="preserve">eace? Economic </w:t>
      </w:r>
      <w:r w:rsidR="00E80EE5" w:rsidRPr="006C33B1">
        <w:rPr>
          <w:rFonts w:ascii="Times New Roman" w:hAnsi="Times New Roman" w:cs="Times New Roman"/>
          <w:sz w:val="24"/>
          <w:szCs w:val="24"/>
        </w:rPr>
        <w:t>A</w:t>
      </w:r>
      <w:r w:rsidRPr="006C33B1">
        <w:rPr>
          <w:rFonts w:ascii="Times New Roman" w:hAnsi="Times New Roman" w:cs="Times New Roman"/>
          <w:sz w:val="24"/>
          <w:szCs w:val="24"/>
        </w:rPr>
        <w:t xml:space="preserve">gendas in the Lebanese </w:t>
      </w:r>
      <w:r w:rsidR="00E80EE5" w:rsidRPr="006C33B1">
        <w:rPr>
          <w:rFonts w:ascii="Times New Roman" w:hAnsi="Times New Roman" w:cs="Times New Roman"/>
          <w:sz w:val="24"/>
          <w:szCs w:val="24"/>
        </w:rPr>
        <w:t>C</w:t>
      </w:r>
      <w:r w:rsidRPr="006C33B1">
        <w:rPr>
          <w:rFonts w:ascii="Times New Roman" w:hAnsi="Times New Roman" w:cs="Times New Roman"/>
          <w:sz w:val="24"/>
          <w:szCs w:val="24"/>
        </w:rPr>
        <w:t>ivil</w:t>
      </w:r>
      <w:r w:rsidR="00E80EE5" w:rsidRPr="006C33B1">
        <w:rPr>
          <w:rFonts w:ascii="Times New Roman" w:hAnsi="Times New Roman" w:cs="Times New Roman"/>
          <w:sz w:val="24"/>
          <w:szCs w:val="24"/>
        </w:rPr>
        <w:t xml:space="preserve"> W</w:t>
      </w:r>
      <w:r w:rsidRPr="006C33B1">
        <w:rPr>
          <w:rFonts w:ascii="Times New Roman" w:hAnsi="Times New Roman" w:cs="Times New Roman"/>
          <w:sz w:val="24"/>
          <w:szCs w:val="24"/>
        </w:rPr>
        <w:t xml:space="preserve">ar,” </w:t>
      </w:r>
      <w:r w:rsidRPr="006C33B1">
        <w:rPr>
          <w:rFonts w:ascii="Times New Roman" w:hAnsi="Times New Roman" w:cs="Times New Roman"/>
          <w:i/>
          <w:iCs/>
          <w:sz w:val="24"/>
          <w:szCs w:val="24"/>
        </w:rPr>
        <w:t xml:space="preserve">International Journal </w:t>
      </w:r>
      <w:r w:rsidRPr="006C33B1">
        <w:rPr>
          <w:rFonts w:ascii="Times New Roman" w:hAnsi="Times New Roman" w:cs="Times New Roman"/>
          <w:sz w:val="24"/>
          <w:szCs w:val="24"/>
        </w:rPr>
        <w:t>54, no. 1 (2001)</w:t>
      </w:r>
      <w:r w:rsidR="00A47C07" w:rsidRPr="006C33B1">
        <w:rPr>
          <w:rFonts w:ascii="Times New Roman" w:hAnsi="Times New Roman" w:cs="Times New Roman"/>
          <w:sz w:val="24"/>
          <w:szCs w:val="24"/>
        </w:rPr>
        <w:t>: 115–28</w:t>
      </w:r>
      <w:r w:rsidRPr="006C33B1">
        <w:rPr>
          <w:rFonts w:ascii="Times New Roman" w:hAnsi="Times New Roman" w:cs="Times New Roman"/>
          <w:sz w:val="24"/>
          <w:szCs w:val="24"/>
        </w:rPr>
        <w:t>.</w:t>
      </w:r>
    </w:p>
  </w:endnote>
  <w:endnote w:id="30">
    <w:p w14:paraId="332E2237" w14:textId="38A33C49" w:rsidR="00D766AC" w:rsidRPr="006C33B1" w:rsidRDefault="00D766A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Jonathan L. Maynard, “Preventing Mass Atrocities: Ideological Strategies and Interventions,” </w:t>
      </w:r>
      <w:r w:rsidR="003561C8" w:rsidRPr="006C33B1">
        <w:rPr>
          <w:rFonts w:ascii="Times New Roman" w:hAnsi="Times New Roman" w:cs="Times New Roman"/>
          <w:i/>
          <w:iCs/>
          <w:sz w:val="24"/>
          <w:szCs w:val="24"/>
        </w:rPr>
        <w:t xml:space="preserve">Politics and Governance </w:t>
      </w:r>
      <w:r w:rsidR="003561C8" w:rsidRPr="006C33B1">
        <w:rPr>
          <w:rFonts w:ascii="Times New Roman" w:hAnsi="Times New Roman" w:cs="Times New Roman"/>
          <w:sz w:val="24"/>
          <w:szCs w:val="24"/>
        </w:rPr>
        <w:t>3, no. 3 (2015): 67</w:t>
      </w:r>
      <w:r w:rsidR="00086567" w:rsidRPr="006C33B1">
        <w:rPr>
          <w:rFonts w:ascii="Times New Roman" w:hAnsi="Times New Roman" w:cs="Times New Roman"/>
          <w:sz w:val="24"/>
          <w:szCs w:val="24"/>
        </w:rPr>
        <w:t>–</w:t>
      </w:r>
      <w:r w:rsidR="003561C8" w:rsidRPr="006C33B1">
        <w:rPr>
          <w:rFonts w:ascii="Times New Roman" w:hAnsi="Times New Roman" w:cs="Times New Roman"/>
          <w:sz w:val="24"/>
          <w:szCs w:val="24"/>
        </w:rPr>
        <w:t>84.</w:t>
      </w:r>
    </w:p>
  </w:endnote>
  <w:endnote w:id="31">
    <w:p w14:paraId="5EB770D5" w14:textId="60A49B3A" w:rsidR="00C823EE" w:rsidRPr="006C33B1" w:rsidRDefault="00C823EE">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Omar McDoom, “</w:t>
      </w:r>
      <w:r w:rsidR="004163E2" w:rsidRPr="006C33B1">
        <w:rPr>
          <w:rFonts w:ascii="Times New Roman" w:hAnsi="Times New Roman" w:cs="Times New Roman"/>
          <w:sz w:val="24"/>
          <w:szCs w:val="24"/>
        </w:rPr>
        <w:t xml:space="preserve">Radicalization as </w:t>
      </w:r>
      <w:r w:rsidR="009B01AE" w:rsidRPr="006C33B1">
        <w:rPr>
          <w:rFonts w:ascii="Times New Roman" w:hAnsi="Times New Roman" w:cs="Times New Roman"/>
          <w:sz w:val="24"/>
          <w:szCs w:val="24"/>
        </w:rPr>
        <w:t>C</w:t>
      </w:r>
      <w:r w:rsidR="004163E2" w:rsidRPr="006C33B1">
        <w:rPr>
          <w:rFonts w:ascii="Times New Roman" w:hAnsi="Times New Roman" w:cs="Times New Roman"/>
          <w:sz w:val="24"/>
          <w:szCs w:val="24"/>
        </w:rPr>
        <w:t xml:space="preserve">ause and </w:t>
      </w:r>
      <w:r w:rsidR="009B01AE" w:rsidRPr="006C33B1">
        <w:rPr>
          <w:rFonts w:ascii="Times New Roman" w:hAnsi="Times New Roman" w:cs="Times New Roman"/>
          <w:sz w:val="24"/>
          <w:szCs w:val="24"/>
        </w:rPr>
        <w:t>C</w:t>
      </w:r>
      <w:r w:rsidR="004163E2" w:rsidRPr="006C33B1">
        <w:rPr>
          <w:rFonts w:ascii="Times New Roman" w:hAnsi="Times New Roman" w:cs="Times New Roman"/>
          <w:sz w:val="24"/>
          <w:szCs w:val="24"/>
        </w:rPr>
        <w:t xml:space="preserve">onsequence of </w:t>
      </w:r>
      <w:r w:rsidR="009B01AE" w:rsidRPr="006C33B1">
        <w:rPr>
          <w:rFonts w:ascii="Times New Roman" w:hAnsi="Times New Roman" w:cs="Times New Roman"/>
          <w:sz w:val="24"/>
          <w:szCs w:val="24"/>
        </w:rPr>
        <w:t>V</w:t>
      </w:r>
      <w:r w:rsidR="004163E2" w:rsidRPr="006C33B1">
        <w:rPr>
          <w:rFonts w:ascii="Times New Roman" w:hAnsi="Times New Roman" w:cs="Times New Roman"/>
          <w:sz w:val="24"/>
          <w:szCs w:val="24"/>
        </w:rPr>
        <w:t xml:space="preserve">iolence in </w:t>
      </w:r>
      <w:r w:rsidR="009B01AE" w:rsidRPr="006C33B1">
        <w:rPr>
          <w:rFonts w:ascii="Times New Roman" w:hAnsi="Times New Roman" w:cs="Times New Roman"/>
          <w:sz w:val="24"/>
          <w:szCs w:val="24"/>
        </w:rPr>
        <w:t>G</w:t>
      </w:r>
      <w:r w:rsidR="004163E2" w:rsidRPr="006C33B1">
        <w:rPr>
          <w:rFonts w:ascii="Times New Roman" w:hAnsi="Times New Roman" w:cs="Times New Roman"/>
          <w:sz w:val="24"/>
          <w:szCs w:val="24"/>
        </w:rPr>
        <w:t xml:space="preserve">enocides and </w:t>
      </w:r>
      <w:r w:rsidR="009B01AE" w:rsidRPr="006C33B1">
        <w:rPr>
          <w:rFonts w:ascii="Times New Roman" w:hAnsi="Times New Roman" w:cs="Times New Roman"/>
          <w:sz w:val="24"/>
          <w:szCs w:val="24"/>
        </w:rPr>
        <w:t>M</w:t>
      </w:r>
      <w:r w:rsidR="004163E2" w:rsidRPr="006C33B1">
        <w:rPr>
          <w:rFonts w:ascii="Times New Roman" w:hAnsi="Times New Roman" w:cs="Times New Roman"/>
          <w:sz w:val="24"/>
          <w:szCs w:val="24"/>
        </w:rPr>
        <w:t>ass</w:t>
      </w:r>
      <w:r w:rsidR="009A0ADE" w:rsidRPr="006C33B1">
        <w:rPr>
          <w:rFonts w:ascii="Times New Roman" w:hAnsi="Times New Roman" w:cs="Times New Roman"/>
          <w:sz w:val="24"/>
          <w:szCs w:val="24"/>
        </w:rPr>
        <w:t xml:space="preserve"> </w:t>
      </w:r>
      <w:r w:rsidR="004163E2" w:rsidRPr="006C33B1">
        <w:rPr>
          <w:rFonts w:ascii="Times New Roman" w:hAnsi="Times New Roman" w:cs="Times New Roman"/>
          <w:sz w:val="24"/>
          <w:szCs w:val="24"/>
        </w:rPr>
        <w:t xml:space="preserve">Killings,” </w:t>
      </w:r>
      <w:r w:rsidR="00492CF3" w:rsidRPr="006C33B1">
        <w:rPr>
          <w:rFonts w:ascii="Times New Roman" w:hAnsi="Times New Roman" w:cs="Times New Roman"/>
          <w:i/>
          <w:iCs/>
          <w:sz w:val="24"/>
          <w:szCs w:val="24"/>
        </w:rPr>
        <w:t xml:space="preserve">Violence: An International Journal </w:t>
      </w:r>
      <w:r w:rsidR="003501BC" w:rsidRPr="006C33B1">
        <w:rPr>
          <w:rFonts w:ascii="Times New Roman" w:hAnsi="Times New Roman" w:cs="Times New Roman"/>
          <w:sz w:val="24"/>
          <w:szCs w:val="24"/>
        </w:rPr>
        <w:t xml:space="preserve">(December 2019), </w:t>
      </w:r>
      <w:r w:rsidR="00CA78FE" w:rsidRPr="006C33B1">
        <w:rPr>
          <w:rFonts w:ascii="Times New Roman" w:hAnsi="Times New Roman" w:cs="Times New Roman"/>
          <w:sz w:val="24"/>
          <w:szCs w:val="24"/>
        </w:rPr>
        <w:t>http://eprints.lse.ac.uk/103206/.</w:t>
      </w:r>
    </w:p>
  </w:endnote>
  <w:endnote w:id="32">
    <w:p w14:paraId="6C9D4D3C" w14:textId="74853450" w:rsidR="0067481C" w:rsidRPr="006C33B1" w:rsidRDefault="0067481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Lee A. Fujii, “The Puzzle of Extra-Lethal Violence,” </w:t>
      </w:r>
      <w:r w:rsidRPr="006C33B1">
        <w:rPr>
          <w:rFonts w:ascii="Times New Roman" w:hAnsi="Times New Roman" w:cs="Times New Roman"/>
          <w:i/>
          <w:iCs/>
          <w:sz w:val="24"/>
          <w:szCs w:val="24"/>
        </w:rPr>
        <w:t xml:space="preserve">Perspectives on Politics </w:t>
      </w:r>
      <w:r w:rsidRPr="006C33B1">
        <w:rPr>
          <w:rFonts w:ascii="Times New Roman" w:hAnsi="Times New Roman" w:cs="Times New Roman"/>
          <w:sz w:val="24"/>
          <w:szCs w:val="24"/>
        </w:rPr>
        <w:t>11, no. 2 (2013): 410</w:t>
      </w:r>
      <w:r w:rsidR="00DA7CAA" w:rsidRPr="006C33B1">
        <w:rPr>
          <w:rFonts w:ascii="Times New Roman" w:hAnsi="Times New Roman" w:cs="Times New Roman"/>
          <w:sz w:val="24"/>
          <w:szCs w:val="24"/>
        </w:rPr>
        <w:t>–</w:t>
      </w:r>
      <w:r w:rsidRPr="006C33B1">
        <w:rPr>
          <w:rFonts w:ascii="Times New Roman" w:hAnsi="Times New Roman" w:cs="Times New Roman"/>
          <w:sz w:val="24"/>
          <w:szCs w:val="24"/>
        </w:rPr>
        <w:t>26</w:t>
      </w:r>
      <w:r w:rsidR="005052BA" w:rsidRPr="006C33B1">
        <w:rPr>
          <w:rFonts w:ascii="Times New Roman" w:hAnsi="Times New Roman" w:cs="Times New Roman"/>
          <w:sz w:val="24"/>
          <w:szCs w:val="24"/>
        </w:rPr>
        <w:t>;</w:t>
      </w:r>
      <w:r w:rsidR="00FE15AF" w:rsidRPr="006C33B1">
        <w:rPr>
          <w:rFonts w:ascii="Times New Roman" w:hAnsi="Times New Roman" w:cs="Times New Roman"/>
          <w:sz w:val="24"/>
          <w:szCs w:val="24"/>
        </w:rPr>
        <w:t xml:space="preserve"> and</w:t>
      </w:r>
      <w:r w:rsidR="005052BA" w:rsidRPr="006C33B1">
        <w:rPr>
          <w:rFonts w:ascii="Times New Roman" w:hAnsi="Times New Roman" w:cs="Times New Roman"/>
          <w:sz w:val="24"/>
          <w:szCs w:val="24"/>
        </w:rPr>
        <w:t xml:space="preserve"> Marek </w:t>
      </w:r>
      <w:r w:rsidR="001F2B79" w:rsidRPr="006C33B1">
        <w:rPr>
          <w:rFonts w:ascii="Times New Roman" w:hAnsi="Times New Roman" w:cs="Times New Roman"/>
          <w:sz w:val="24"/>
          <w:szCs w:val="24"/>
        </w:rPr>
        <w:t xml:space="preserve">Brzezinski, “Extreme </w:t>
      </w:r>
      <w:r w:rsidR="00721BE4" w:rsidRPr="006C33B1">
        <w:rPr>
          <w:rFonts w:ascii="Times New Roman" w:hAnsi="Times New Roman" w:cs="Times New Roman"/>
          <w:sz w:val="24"/>
          <w:szCs w:val="24"/>
        </w:rPr>
        <w:t>A</w:t>
      </w:r>
      <w:r w:rsidR="001F2B79" w:rsidRPr="006C33B1">
        <w:rPr>
          <w:rFonts w:ascii="Times New Roman" w:hAnsi="Times New Roman" w:cs="Times New Roman"/>
          <w:sz w:val="24"/>
          <w:szCs w:val="24"/>
        </w:rPr>
        <w:t xml:space="preserve">trocity in </w:t>
      </w:r>
      <w:r w:rsidR="00721BE4" w:rsidRPr="006C33B1">
        <w:rPr>
          <w:rFonts w:ascii="Times New Roman" w:hAnsi="Times New Roman" w:cs="Times New Roman"/>
          <w:sz w:val="24"/>
          <w:szCs w:val="24"/>
        </w:rPr>
        <w:t>A</w:t>
      </w:r>
      <w:r w:rsidR="001F2B79" w:rsidRPr="006C33B1">
        <w:rPr>
          <w:rFonts w:ascii="Times New Roman" w:hAnsi="Times New Roman" w:cs="Times New Roman"/>
          <w:sz w:val="24"/>
          <w:szCs w:val="24"/>
        </w:rPr>
        <w:t xml:space="preserve">rmed </w:t>
      </w:r>
      <w:r w:rsidR="00721BE4" w:rsidRPr="006C33B1">
        <w:rPr>
          <w:rFonts w:ascii="Times New Roman" w:hAnsi="Times New Roman" w:cs="Times New Roman"/>
          <w:sz w:val="24"/>
          <w:szCs w:val="24"/>
        </w:rPr>
        <w:t>C</w:t>
      </w:r>
      <w:r w:rsidR="001F2B79" w:rsidRPr="006C33B1">
        <w:rPr>
          <w:rFonts w:ascii="Times New Roman" w:hAnsi="Times New Roman" w:cs="Times New Roman"/>
          <w:sz w:val="24"/>
          <w:szCs w:val="24"/>
        </w:rPr>
        <w:t xml:space="preserve">onflict: </w:t>
      </w:r>
      <w:r w:rsidR="00721BE4" w:rsidRPr="006C33B1">
        <w:rPr>
          <w:rFonts w:ascii="Times New Roman" w:hAnsi="Times New Roman" w:cs="Times New Roman"/>
          <w:sz w:val="24"/>
          <w:szCs w:val="24"/>
        </w:rPr>
        <w:t>C</w:t>
      </w:r>
      <w:r w:rsidR="001F2B79" w:rsidRPr="006C33B1">
        <w:rPr>
          <w:rFonts w:ascii="Times New Roman" w:hAnsi="Times New Roman" w:cs="Times New Roman"/>
          <w:sz w:val="24"/>
          <w:szCs w:val="24"/>
        </w:rPr>
        <w:t>ross</w:t>
      </w:r>
      <w:r w:rsidR="00C514A7" w:rsidRPr="006C33B1">
        <w:rPr>
          <w:rFonts w:ascii="Times New Roman" w:hAnsi="Times New Roman" w:cs="Times New Roman"/>
          <w:sz w:val="24"/>
          <w:szCs w:val="24"/>
        </w:rPr>
        <w:t>-</w:t>
      </w:r>
      <w:r w:rsidR="00721BE4" w:rsidRPr="006C33B1">
        <w:rPr>
          <w:rFonts w:ascii="Times New Roman" w:hAnsi="Times New Roman" w:cs="Times New Roman"/>
          <w:sz w:val="24"/>
          <w:szCs w:val="24"/>
        </w:rPr>
        <w:t>N</w:t>
      </w:r>
      <w:r w:rsidR="001F2B79" w:rsidRPr="006C33B1">
        <w:rPr>
          <w:rFonts w:ascii="Times New Roman" w:hAnsi="Times New Roman" w:cs="Times New Roman"/>
          <w:sz w:val="24"/>
          <w:szCs w:val="24"/>
        </w:rPr>
        <w:t xml:space="preserve">ational </w:t>
      </w:r>
      <w:r w:rsidR="00721BE4" w:rsidRPr="006C33B1">
        <w:rPr>
          <w:rFonts w:ascii="Times New Roman" w:hAnsi="Times New Roman" w:cs="Times New Roman"/>
          <w:sz w:val="24"/>
          <w:szCs w:val="24"/>
        </w:rPr>
        <w:t>E</w:t>
      </w:r>
      <w:r w:rsidR="001F2B79" w:rsidRPr="006C33B1">
        <w:rPr>
          <w:rFonts w:ascii="Times New Roman" w:hAnsi="Times New Roman" w:cs="Times New Roman"/>
          <w:sz w:val="24"/>
          <w:szCs w:val="24"/>
        </w:rPr>
        <w:t>vidence</w:t>
      </w:r>
      <w:r w:rsidR="00391605" w:rsidRPr="006C33B1">
        <w:rPr>
          <w:rFonts w:ascii="Times New Roman" w:hAnsi="Times New Roman" w:cs="Times New Roman"/>
          <w:sz w:val="24"/>
          <w:szCs w:val="24"/>
        </w:rPr>
        <w:t>,</w:t>
      </w:r>
      <w:r w:rsidR="009D0C81" w:rsidRPr="006C33B1">
        <w:rPr>
          <w:rFonts w:ascii="Times New Roman" w:hAnsi="Times New Roman" w:cs="Times New Roman"/>
          <w:sz w:val="24"/>
          <w:szCs w:val="24"/>
        </w:rPr>
        <w:t xml:space="preserve">” </w:t>
      </w:r>
      <w:r w:rsidR="00760A1E" w:rsidRPr="006C33B1">
        <w:rPr>
          <w:rFonts w:ascii="Times New Roman" w:hAnsi="Times New Roman" w:cs="Times New Roman"/>
          <w:sz w:val="24"/>
          <w:szCs w:val="24"/>
        </w:rPr>
        <w:t>paper presented to the Centre for International Peace and Security Studies, McGill University,</w:t>
      </w:r>
      <w:r w:rsidR="007A78E9" w:rsidRPr="006C33B1">
        <w:rPr>
          <w:rFonts w:ascii="Times New Roman" w:hAnsi="Times New Roman" w:cs="Times New Roman"/>
          <w:sz w:val="24"/>
          <w:szCs w:val="24"/>
        </w:rPr>
        <w:t xml:space="preserve"> Montreal,</w:t>
      </w:r>
      <w:r w:rsidR="00760A1E" w:rsidRPr="006C33B1">
        <w:rPr>
          <w:rFonts w:ascii="Times New Roman" w:hAnsi="Times New Roman" w:cs="Times New Roman"/>
          <w:sz w:val="24"/>
          <w:szCs w:val="24"/>
        </w:rPr>
        <w:t xml:space="preserve"> 4 December 2020</w:t>
      </w:r>
      <w:r w:rsidR="006019BE" w:rsidRPr="006C33B1">
        <w:rPr>
          <w:rFonts w:ascii="Times New Roman" w:hAnsi="Times New Roman" w:cs="Times New Roman"/>
          <w:sz w:val="24"/>
          <w:szCs w:val="24"/>
        </w:rPr>
        <w:t>.</w:t>
      </w:r>
    </w:p>
  </w:endnote>
  <w:endnote w:id="33">
    <w:p w14:paraId="1A82B035" w14:textId="3CDC66DE" w:rsidR="0067481C" w:rsidRPr="006C33B1" w:rsidRDefault="0067481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C239A6" w:rsidRPr="006C33B1">
        <w:rPr>
          <w:rFonts w:ascii="Times New Roman" w:hAnsi="Times New Roman" w:cs="Times New Roman"/>
          <w:sz w:val="24"/>
          <w:szCs w:val="24"/>
        </w:rPr>
        <w:t>Lee A. Fujii</w:t>
      </w:r>
      <w:r w:rsidRPr="006C33B1">
        <w:rPr>
          <w:rFonts w:ascii="Times New Roman" w:hAnsi="Times New Roman" w:cs="Times New Roman"/>
          <w:sz w:val="24"/>
          <w:szCs w:val="24"/>
        </w:rPr>
        <w:t xml:space="preserve">, “The Puzzle of Extra-Lethal Violence”; </w:t>
      </w:r>
      <w:r w:rsidR="00C239A6" w:rsidRPr="006C33B1">
        <w:rPr>
          <w:rFonts w:ascii="Times New Roman" w:hAnsi="Times New Roman" w:cs="Times New Roman"/>
          <w:sz w:val="24"/>
          <w:szCs w:val="24"/>
        </w:rPr>
        <w:t xml:space="preserve">and </w:t>
      </w:r>
      <w:r w:rsidRPr="006C33B1">
        <w:rPr>
          <w:rFonts w:ascii="Times New Roman" w:hAnsi="Times New Roman" w:cs="Times New Roman"/>
          <w:sz w:val="24"/>
          <w:szCs w:val="24"/>
        </w:rPr>
        <w:t xml:space="preserve">“‘Talk of the </w:t>
      </w:r>
      <w:r w:rsidR="00734AE8" w:rsidRPr="006C33B1">
        <w:rPr>
          <w:rFonts w:ascii="Times New Roman" w:hAnsi="Times New Roman" w:cs="Times New Roman"/>
          <w:sz w:val="24"/>
          <w:szCs w:val="24"/>
        </w:rPr>
        <w:t>T</w:t>
      </w:r>
      <w:r w:rsidRPr="006C33B1">
        <w:rPr>
          <w:rFonts w:ascii="Times New Roman" w:hAnsi="Times New Roman" w:cs="Times New Roman"/>
          <w:sz w:val="24"/>
          <w:szCs w:val="24"/>
        </w:rPr>
        <w:t xml:space="preserve">own’: Explaining </w:t>
      </w:r>
      <w:r w:rsidR="00734AE8" w:rsidRPr="006C33B1">
        <w:rPr>
          <w:rFonts w:ascii="Times New Roman" w:hAnsi="Times New Roman" w:cs="Times New Roman"/>
          <w:sz w:val="24"/>
          <w:szCs w:val="24"/>
        </w:rPr>
        <w:t>P</w:t>
      </w:r>
      <w:r w:rsidRPr="006C33B1">
        <w:rPr>
          <w:rFonts w:ascii="Times New Roman" w:hAnsi="Times New Roman" w:cs="Times New Roman"/>
          <w:sz w:val="24"/>
          <w:szCs w:val="24"/>
        </w:rPr>
        <w:t xml:space="preserve">athways to </w:t>
      </w:r>
      <w:r w:rsidR="00734AE8" w:rsidRPr="006C33B1">
        <w:rPr>
          <w:rFonts w:ascii="Times New Roman" w:hAnsi="Times New Roman" w:cs="Times New Roman"/>
          <w:sz w:val="24"/>
          <w:szCs w:val="24"/>
        </w:rPr>
        <w:t>P</w:t>
      </w:r>
      <w:r w:rsidRPr="006C33B1">
        <w:rPr>
          <w:rFonts w:ascii="Times New Roman" w:hAnsi="Times New Roman" w:cs="Times New Roman"/>
          <w:sz w:val="24"/>
          <w:szCs w:val="24"/>
        </w:rPr>
        <w:t xml:space="preserve">articipation in </w:t>
      </w:r>
      <w:r w:rsidR="00734AE8" w:rsidRPr="006C33B1">
        <w:rPr>
          <w:rFonts w:ascii="Times New Roman" w:hAnsi="Times New Roman" w:cs="Times New Roman"/>
          <w:sz w:val="24"/>
          <w:szCs w:val="24"/>
        </w:rPr>
        <w:t>V</w:t>
      </w:r>
      <w:r w:rsidRPr="006C33B1">
        <w:rPr>
          <w:rFonts w:ascii="Times New Roman" w:hAnsi="Times New Roman" w:cs="Times New Roman"/>
          <w:sz w:val="24"/>
          <w:szCs w:val="24"/>
        </w:rPr>
        <w:t xml:space="preserve">iolent </w:t>
      </w:r>
      <w:r w:rsidR="00734AE8" w:rsidRPr="006C33B1">
        <w:rPr>
          <w:rFonts w:ascii="Times New Roman" w:hAnsi="Times New Roman" w:cs="Times New Roman"/>
          <w:sz w:val="24"/>
          <w:szCs w:val="24"/>
        </w:rPr>
        <w:t>D</w:t>
      </w:r>
      <w:r w:rsidRPr="006C33B1">
        <w:rPr>
          <w:rFonts w:ascii="Times New Roman" w:hAnsi="Times New Roman" w:cs="Times New Roman"/>
          <w:sz w:val="24"/>
          <w:szCs w:val="24"/>
        </w:rPr>
        <w:t xml:space="preserve">isplay,” </w:t>
      </w:r>
      <w:r w:rsidRPr="006C33B1">
        <w:rPr>
          <w:rFonts w:ascii="Times New Roman" w:hAnsi="Times New Roman" w:cs="Times New Roman"/>
          <w:i/>
          <w:iCs/>
          <w:sz w:val="24"/>
          <w:szCs w:val="24"/>
        </w:rPr>
        <w:t xml:space="preserve">Journal of Peace Research </w:t>
      </w:r>
      <w:r w:rsidRPr="006C33B1">
        <w:rPr>
          <w:rFonts w:ascii="Times New Roman" w:hAnsi="Times New Roman" w:cs="Times New Roman"/>
          <w:sz w:val="24"/>
          <w:szCs w:val="24"/>
        </w:rPr>
        <w:t>54, no. 5 (2017): 661</w:t>
      </w:r>
      <w:r w:rsidR="00734AE8" w:rsidRPr="006C33B1">
        <w:rPr>
          <w:rFonts w:ascii="Times New Roman" w:hAnsi="Times New Roman" w:cs="Times New Roman"/>
          <w:sz w:val="24"/>
          <w:szCs w:val="24"/>
        </w:rPr>
        <w:t>–</w:t>
      </w:r>
      <w:r w:rsidRPr="006C33B1">
        <w:rPr>
          <w:rFonts w:ascii="Times New Roman" w:hAnsi="Times New Roman" w:cs="Times New Roman"/>
          <w:sz w:val="24"/>
          <w:szCs w:val="24"/>
        </w:rPr>
        <w:t>73.</w:t>
      </w:r>
    </w:p>
  </w:endnote>
  <w:endnote w:id="34">
    <w:p w14:paraId="6D313BC8" w14:textId="6D903AF2" w:rsidR="0067481C" w:rsidRPr="006C33B1" w:rsidRDefault="0067481C">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Dara K. Cohen, “The </w:t>
      </w:r>
      <w:r w:rsidR="00D804B6" w:rsidRPr="006C33B1">
        <w:rPr>
          <w:rFonts w:ascii="Times New Roman" w:hAnsi="Times New Roman" w:cs="Times New Roman"/>
          <w:sz w:val="24"/>
          <w:szCs w:val="24"/>
        </w:rPr>
        <w:t>T</w:t>
      </w:r>
      <w:r w:rsidRPr="006C33B1">
        <w:rPr>
          <w:rFonts w:ascii="Times New Roman" w:hAnsi="Times New Roman" w:cs="Times New Roman"/>
          <w:sz w:val="24"/>
          <w:szCs w:val="24"/>
        </w:rPr>
        <w:t xml:space="preserve">ies </w:t>
      </w:r>
      <w:r w:rsidR="00D804B6" w:rsidRPr="006C33B1">
        <w:rPr>
          <w:rFonts w:ascii="Times New Roman" w:hAnsi="Times New Roman" w:cs="Times New Roman"/>
          <w:sz w:val="24"/>
          <w:szCs w:val="24"/>
        </w:rPr>
        <w:t>T</w:t>
      </w:r>
      <w:r w:rsidRPr="006C33B1">
        <w:rPr>
          <w:rFonts w:ascii="Times New Roman" w:hAnsi="Times New Roman" w:cs="Times New Roman"/>
          <w:sz w:val="24"/>
          <w:szCs w:val="24"/>
        </w:rPr>
        <w:t xml:space="preserve">hat </w:t>
      </w:r>
      <w:r w:rsidR="00D804B6" w:rsidRPr="006C33B1">
        <w:rPr>
          <w:rFonts w:ascii="Times New Roman" w:hAnsi="Times New Roman" w:cs="Times New Roman"/>
          <w:sz w:val="24"/>
          <w:szCs w:val="24"/>
        </w:rPr>
        <w:t>B</w:t>
      </w:r>
      <w:r w:rsidRPr="006C33B1">
        <w:rPr>
          <w:rFonts w:ascii="Times New Roman" w:hAnsi="Times New Roman" w:cs="Times New Roman"/>
          <w:sz w:val="24"/>
          <w:szCs w:val="24"/>
        </w:rPr>
        <w:t xml:space="preserve">ind: How </w:t>
      </w:r>
      <w:r w:rsidR="00D804B6" w:rsidRPr="006C33B1">
        <w:rPr>
          <w:rFonts w:ascii="Times New Roman" w:hAnsi="Times New Roman" w:cs="Times New Roman"/>
          <w:sz w:val="24"/>
          <w:szCs w:val="24"/>
        </w:rPr>
        <w:t>A</w:t>
      </w:r>
      <w:r w:rsidR="00086567" w:rsidRPr="006C33B1">
        <w:rPr>
          <w:rFonts w:ascii="Times New Roman" w:hAnsi="Times New Roman" w:cs="Times New Roman"/>
          <w:sz w:val="24"/>
          <w:szCs w:val="24"/>
        </w:rPr>
        <w:t xml:space="preserve">rmed </w:t>
      </w:r>
      <w:r w:rsidR="00D804B6" w:rsidRPr="006C33B1">
        <w:rPr>
          <w:rFonts w:ascii="Times New Roman" w:hAnsi="Times New Roman" w:cs="Times New Roman"/>
          <w:sz w:val="24"/>
          <w:szCs w:val="24"/>
        </w:rPr>
        <w:t>G</w:t>
      </w:r>
      <w:r w:rsidR="00086567" w:rsidRPr="006C33B1">
        <w:rPr>
          <w:rFonts w:ascii="Times New Roman" w:hAnsi="Times New Roman" w:cs="Times New Roman"/>
          <w:sz w:val="24"/>
          <w:szCs w:val="24"/>
        </w:rPr>
        <w:t xml:space="preserve">roups </w:t>
      </w:r>
      <w:r w:rsidR="00D804B6" w:rsidRPr="006C33B1">
        <w:rPr>
          <w:rFonts w:ascii="Times New Roman" w:hAnsi="Times New Roman" w:cs="Times New Roman"/>
          <w:sz w:val="24"/>
          <w:szCs w:val="24"/>
        </w:rPr>
        <w:t>U</w:t>
      </w:r>
      <w:r w:rsidR="00086567" w:rsidRPr="006C33B1">
        <w:rPr>
          <w:rFonts w:ascii="Times New Roman" w:hAnsi="Times New Roman" w:cs="Times New Roman"/>
          <w:sz w:val="24"/>
          <w:szCs w:val="24"/>
        </w:rPr>
        <w:t xml:space="preserve">se </w:t>
      </w:r>
      <w:r w:rsidR="00D804B6" w:rsidRPr="006C33B1">
        <w:rPr>
          <w:rFonts w:ascii="Times New Roman" w:hAnsi="Times New Roman" w:cs="Times New Roman"/>
          <w:sz w:val="24"/>
          <w:szCs w:val="24"/>
        </w:rPr>
        <w:t>V</w:t>
      </w:r>
      <w:r w:rsidR="00086567" w:rsidRPr="006C33B1">
        <w:rPr>
          <w:rFonts w:ascii="Times New Roman" w:hAnsi="Times New Roman" w:cs="Times New Roman"/>
          <w:sz w:val="24"/>
          <w:szCs w:val="24"/>
        </w:rPr>
        <w:t xml:space="preserve">iolence to </w:t>
      </w:r>
      <w:r w:rsidR="00D804B6" w:rsidRPr="006C33B1">
        <w:rPr>
          <w:rFonts w:ascii="Times New Roman" w:hAnsi="Times New Roman" w:cs="Times New Roman"/>
          <w:sz w:val="24"/>
          <w:szCs w:val="24"/>
        </w:rPr>
        <w:t>S</w:t>
      </w:r>
      <w:r w:rsidR="00086567" w:rsidRPr="006C33B1">
        <w:rPr>
          <w:rFonts w:ascii="Times New Roman" w:hAnsi="Times New Roman" w:cs="Times New Roman"/>
          <w:sz w:val="24"/>
          <w:szCs w:val="24"/>
        </w:rPr>
        <w:t xml:space="preserve">ocialize </w:t>
      </w:r>
      <w:r w:rsidR="00D804B6" w:rsidRPr="006C33B1">
        <w:rPr>
          <w:rFonts w:ascii="Times New Roman" w:hAnsi="Times New Roman" w:cs="Times New Roman"/>
          <w:sz w:val="24"/>
          <w:szCs w:val="24"/>
        </w:rPr>
        <w:t>F</w:t>
      </w:r>
      <w:r w:rsidR="00086567" w:rsidRPr="006C33B1">
        <w:rPr>
          <w:rFonts w:ascii="Times New Roman" w:hAnsi="Times New Roman" w:cs="Times New Roman"/>
          <w:sz w:val="24"/>
          <w:szCs w:val="24"/>
        </w:rPr>
        <w:t xml:space="preserve">ighters,” </w:t>
      </w:r>
      <w:r w:rsidR="00086567" w:rsidRPr="006C33B1">
        <w:rPr>
          <w:rFonts w:ascii="Times New Roman" w:hAnsi="Times New Roman" w:cs="Times New Roman"/>
          <w:i/>
          <w:iCs/>
          <w:sz w:val="24"/>
          <w:szCs w:val="24"/>
        </w:rPr>
        <w:t xml:space="preserve">Journal of Peace Research </w:t>
      </w:r>
      <w:r w:rsidR="00086567" w:rsidRPr="006C33B1">
        <w:rPr>
          <w:rFonts w:ascii="Times New Roman" w:hAnsi="Times New Roman" w:cs="Times New Roman"/>
          <w:sz w:val="24"/>
          <w:szCs w:val="24"/>
        </w:rPr>
        <w:t>54, no. 5 (2017): 701–14.</w:t>
      </w:r>
    </w:p>
  </w:endnote>
  <w:endnote w:id="35">
    <w:p w14:paraId="674A9AE9" w14:textId="4DE65805" w:rsidR="00124F16" w:rsidRPr="006C33B1" w:rsidRDefault="00124F16">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EB3BB6" w:rsidRPr="006C33B1">
        <w:rPr>
          <w:rFonts w:ascii="Times New Roman" w:hAnsi="Times New Roman" w:cs="Times New Roman"/>
          <w:sz w:val="24"/>
          <w:szCs w:val="24"/>
        </w:rPr>
        <w:t xml:space="preserve">Simone Molin Friis, “‘Behead, </w:t>
      </w:r>
      <w:r w:rsidR="00441689" w:rsidRPr="006C33B1">
        <w:rPr>
          <w:rFonts w:ascii="Times New Roman" w:hAnsi="Times New Roman" w:cs="Times New Roman"/>
          <w:sz w:val="24"/>
          <w:szCs w:val="24"/>
        </w:rPr>
        <w:t>B</w:t>
      </w:r>
      <w:r w:rsidR="00EB3BB6" w:rsidRPr="006C33B1">
        <w:rPr>
          <w:rFonts w:ascii="Times New Roman" w:hAnsi="Times New Roman" w:cs="Times New Roman"/>
          <w:sz w:val="24"/>
          <w:szCs w:val="24"/>
        </w:rPr>
        <w:t xml:space="preserve">urn, </w:t>
      </w:r>
      <w:r w:rsidR="00441689" w:rsidRPr="006C33B1">
        <w:rPr>
          <w:rFonts w:ascii="Times New Roman" w:hAnsi="Times New Roman" w:cs="Times New Roman"/>
          <w:sz w:val="24"/>
          <w:szCs w:val="24"/>
        </w:rPr>
        <w:t>C</w:t>
      </w:r>
      <w:r w:rsidR="00EB3BB6" w:rsidRPr="006C33B1">
        <w:rPr>
          <w:rFonts w:ascii="Times New Roman" w:hAnsi="Times New Roman" w:cs="Times New Roman"/>
          <w:sz w:val="24"/>
          <w:szCs w:val="24"/>
        </w:rPr>
        <w:t xml:space="preserve">rucify, </w:t>
      </w:r>
      <w:r w:rsidR="00441689" w:rsidRPr="006C33B1">
        <w:rPr>
          <w:rFonts w:ascii="Times New Roman" w:hAnsi="Times New Roman" w:cs="Times New Roman"/>
          <w:sz w:val="24"/>
          <w:szCs w:val="24"/>
        </w:rPr>
        <w:t>C</w:t>
      </w:r>
      <w:r w:rsidR="00EB3BB6" w:rsidRPr="006C33B1">
        <w:rPr>
          <w:rFonts w:ascii="Times New Roman" w:hAnsi="Times New Roman" w:cs="Times New Roman"/>
          <w:sz w:val="24"/>
          <w:szCs w:val="24"/>
        </w:rPr>
        <w:t xml:space="preserve">rush’: Theorizing the Islamic State’s </w:t>
      </w:r>
      <w:r w:rsidR="00441689" w:rsidRPr="006C33B1">
        <w:rPr>
          <w:rFonts w:ascii="Times New Roman" w:hAnsi="Times New Roman" w:cs="Times New Roman"/>
          <w:sz w:val="24"/>
          <w:szCs w:val="24"/>
        </w:rPr>
        <w:t>P</w:t>
      </w:r>
      <w:r w:rsidR="00EB3BB6" w:rsidRPr="006C33B1">
        <w:rPr>
          <w:rFonts w:ascii="Times New Roman" w:hAnsi="Times New Roman" w:cs="Times New Roman"/>
          <w:sz w:val="24"/>
          <w:szCs w:val="24"/>
        </w:rPr>
        <w:t xml:space="preserve">ublic </w:t>
      </w:r>
      <w:r w:rsidR="00441689" w:rsidRPr="006C33B1">
        <w:rPr>
          <w:rFonts w:ascii="Times New Roman" w:hAnsi="Times New Roman" w:cs="Times New Roman"/>
          <w:sz w:val="24"/>
          <w:szCs w:val="24"/>
        </w:rPr>
        <w:t>D</w:t>
      </w:r>
      <w:r w:rsidR="00EB3BB6" w:rsidRPr="006C33B1">
        <w:rPr>
          <w:rFonts w:ascii="Times New Roman" w:hAnsi="Times New Roman" w:cs="Times New Roman"/>
          <w:sz w:val="24"/>
          <w:szCs w:val="24"/>
        </w:rPr>
        <w:t xml:space="preserve">isplays of </w:t>
      </w:r>
      <w:r w:rsidR="00441689" w:rsidRPr="006C33B1">
        <w:rPr>
          <w:rFonts w:ascii="Times New Roman" w:hAnsi="Times New Roman" w:cs="Times New Roman"/>
          <w:sz w:val="24"/>
          <w:szCs w:val="24"/>
        </w:rPr>
        <w:t>V</w:t>
      </w:r>
      <w:r w:rsidR="00EB3BB6" w:rsidRPr="006C33B1">
        <w:rPr>
          <w:rFonts w:ascii="Times New Roman" w:hAnsi="Times New Roman" w:cs="Times New Roman"/>
          <w:sz w:val="24"/>
          <w:szCs w:val="24"/>
        </w:rPr>
        <w:t xml:space="preserve">iolence,” </w:t>
      </w:r>
      <w:r w:rsidR="001B0BC4" w:rsidRPr="006C33B1">
        <w:rPr>
          <w:rFonts w:ascii="Times New Roman" w:hAnsi="Times New Roman" w:cs="Times New Roman"/>
          <w:i/>
          <w:iCs/>
          <w:sz w:val="24"/>
          <w:szCs w:val="24"/>
        </w:rPr>
        <w:t xml:space="preserve">European Journal of International Relations </w:t>
      </w:r>
      <w:r w:rsidR="001B0BC4" w:rsidRPr="006C33B1">
        <w:rPr>
          <w:rFonts w:ascii="Times New Roman" w:hAnsi="Times New Roman" w:cs="Times New Roman"/>
          <w:sz w:val="24"/>
          <w:szCs w:val="24"/>
        </w:rPr>
        <w:t>24, no. 2 (2018)</w:t>
      </w:r>
      <w:r w:rsidR="00D20F39" w:rsidRPr="006C33B1">
        <w:rPr>
          <w:rFonts w:ascii="Times New Roman" w:hAnsi="Times New Roman" w:cs="Times New Roman"/>
          <w:sz w:val="24"/>
          <w:szCs w:val="24"/>
        </w:rPr>
        <w:t>: 243–67</w:t>
      </w:r>
      <w:r w:rsidR="00A602D0" w:rsidRPr="006C33B1">
        <w:rPr>
          <w:rFonts w:ascii="Times New Roman" w:hAnsi="Times New Roman" w:cs="Times New Roman"/>
          <w:sz w:val="24"/>
          <w:szCs w:val="24"/>
        </w:rPr>
        <w:t>.</w:t>
      </w:r>
    </w:p>
  </w:endnote>
  <w:endnote w:id="36">
    <w:p w14:paraId="31BAB3B4" w14:textId="47D3BF11" w:rsidR="00F62A39" w:rsidRPr="006C33B1" w:rsidRDefault="00F62A39" w:rsidP="00127EF2">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See the discussion of </w:t>
      </w:r>
      <w:r w:rsidR="00BB466D" w:rsidRPr="006C33B1">
        <w:rPr>
          <w:rFonts w:ascii="Times New Roman" w:hAnsi="Times New Roman" w:cs="Times New Roman"/>
          <w:sz w:val="24"/>
          <w:szCs w:val="24"/>
        </w:rPr>
        <w:t>d</w:t>
      </w:r>
      <w:r w:rsidRPr="006C33B1">
        <w:rPr>
          <w:rFonts w:ascii="Times New Roman" w:hAnsi="Times New Roman" w:cs="Times New Roman"/>
          <w:sz w:val="24"/>
          <w:szCs w:val="24"/>
        </w:rPr>
        <w:t xml:space="preserve">eeds of </w:t>
      </w:r>
      <w:r w:rsidR="00BB466D" w:rsidRPr="006C33B1">
        <w:rPr>
          <w:rFonts w:ascii="Times New Roman" w:hAnsi="Times New Roman" w:cs="Times New Roman"/>
          <w:sz w:val="24"/>
          <w:szCs w:val="24"/>
        </w:rPr>
        <w:t>c</w:t>
      </w:r>
      <w:r w:rsidRPr="006C33B1">
        <w:rPr>
          <w:rFonts w:ascii="Times New Roman" w:hAnsi="Times New Roman" w:cs="Times New Roman"/>
          <w:sz w:val="24"/>
          <w:szCs w:val="24"/>
        </w:rPr>
        <w:t xml:space="preserve">ommitment at </w:t>
      </w:r>
      <w:r w:rsidR="003316CE" w:rsidRPr="005865EE">
        <w:rPr>
          <w:rFonts w:ascii="Times New Roman" w:hAnsi="Times New Roman" w:cs="Times New Roman"/>
          <w:sz w:val="24"/>
          <w:szCs w:val="24"/>
        </w:rPr>
        <w:t>Geneva Call,</w:t>
      </w:r>
      <w:r w:rsidR="001522E5" w:rsidRPr="005865EE">
        <w:rPr>
          <w:rFonts w:ascii="Times New Roman" w:hAnsi="Times New Roman" w:cs="Times New Roman"/>
          <w:sz w:val="24"/>
          <w:szCs w:val="24"/>
        </w:rPr>
        <w:t xml:space="preserve"> “How We Work,”</w:t>
      </w:r>
      <w:r w:rsidR="003316CE" w:rsidRPr="005865EE">
        <w:rPr>
          <w:rFonts w:ascii="Times New Roman" w:hAnsi="Times New Roman" w:cs="Times New Roman"/>
          <w:sz w:val="24"/>
          <w:szCs w:val="24"/>
        </w:rPr>
        <w:t xml:space="preserve"> </w:t>
      </w:r>
      <w:r w:rsidR="001522E5" w:rsidRPr="005865EE">
        <w:t>https://www.genevacall.org/how-we-work</w:t>
      </w:r>
      <w:r w:rsidR="00E726F9" w:rsidRPr="005865EE">
        <w:rPr>
          <w:rFonts w:ascii="Times New Roman" w:hAnsi="Times New Roman" w:cs="Times New Roman"/>
          <w:sz w:val="24"/>
          <w:szCs w:val="24"/>
        </w:rPr>
        <w:t>.</w:t>
      </w:r>
    </w:p>
  </w:endnote>
  <w:endnote w:id="37">
    <w:p w14:paraId="0C0D4F66" w14:textId="142E0AA9"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w:t>
      </w:r>
      <w:r w:rsidRPr="006C33B1">
        <w:rPr>
          <w:rFonts w:ascii="Times New Roman" w:hAnsi="Times New Roman" w:cs="Times New Roman"/>
          <w:i/>
          <w:iCs/>
          <w:sz w:val="24"/>
          <w:szCs w:val="24"/>
        </w:rPr>
        <w:t xml:space="preserve">Culture </w:t>
      </w:r>
      <w:r w:rsidR="000807B4" w:rsidRPr="006C33B1">
        <w:rPr>
          <w:rFonts w:ascii="Times New Roman" w:hAnsi="Times New Roman" w:cs="Times New Roman"/>
          <w:i/>
          <w:iCs/>
          <w:sz w:val="24"/>
          <w:szCs w:val="24"/>
        </w:rPr>
        <w:t>u</w:t>
      </w:r>
      <w:r w:rsidRPr="006C33B1">
        <w:rPr>
          <w:rFonts w:ascii="Times New Roman" w:hAnsi="Times New Roman" w:cs="Times New Roman"/>
          <w:i/>
          <w:iCs/>
          <w:sz w:val="24"/>
          <w:szCs w:val="24"/>
        </w:rPr>
        <w:t>nder Fire: Armed Non-</w:t>
      </w:r>
      <w:r w:rsidR="00244906" w:rsidRPr="006C33B1">
        <w:rPr>
          <w:rFonts w:ascii="Times New Roman" w:hAnsi="Times New Roman" w:cs="Times New Roman"/>
          <w:i/>
          <w:iCs/>
          <w:sz w:val="24"/>
          <w:szCs w:val="24"/>
        </w:rPr>
        <w:t>s</w:t>
      </w:r>
      <w:r w:rsidRPr="006C33B1">
        <w:rPr>
          <w:rFonts w:ascii="Times New Roman" w:hAnsi="Times New Roman" w:cs="Times New Roman"/>
          <w:i/>
          <w:iCs/>
          <w:sz w:val="24"/>
          <w:szCs w:val="24"/>
        </w:rPr>
        <w:t>tate Actors and Cultural Heritage in Wartime</w:t>
      </w:r>
      <w:r w:rsidRPr="006C33B1">
        <w:rPr>
          <w:rFonts w:ascii="Times New Roman" w:hAnsi="Times New Roman" w:cs="Times New Roman"/>
          <w:sz w:val="24"/>
          <w:szCs w:val="24"/>
        </w:rPr>
        <w:t xml:space="preserve"> (</w:t>
      </w:r>
      <w:r w:rsidR="00D948EF" w:rsidRPr="006C33B1">
        <w:rPr>
          <w:rFonts w:ascii="Times New Roman" w:hAnsi="Times New Roman" w:cs="Times New Roman"/>
          <w:sz w:val="24"/>
          <w:szCs w:val="24"/>
        </w:rPr>
        <w:t xml:space="preserve">Geneva: Geneva Call, </w:t>
      </w:r>
      <w:r w:rsidR="00D33A29" w:rsidRPr="006C33B1">
        <w:rPr>
          <w:rFonts w:ascii="Times New Roman" w:hAnsi="Times New Roman" w:cs="Times New Roman"/>
          <w:sz w:val="24"/>
          <w:szCs w:val="24"/>
        </w:rPr>
        <w:t xml:space="preserve">October </w:t>
      </w:r>
      <w:r w:rsidRPr="006C33B1">
        <w:rPr>
          <w:rFonts w:ascii="Times New Roman" w:hAnsi="Times New Roman" w:cs="Times New Roman"/>
          <w:sz w:val="24"/>
          <w:szCs w:val="24"/>
        </w:rPr>
        <w:t>2018), https://genevacall.org/wp-content/uploads/2017/10/Cultural_Heritage_Study_Final.pdf.</w:t>
      </w:r>
    </w:p>
  </w:endnote>
  <w:endnote w:id="38">
    <w:p w14:paraId="65C50B87" w14:textId="455BBFCC"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32.</w:t>
      </w:r>
    </w:p>
  </w:endnote>
  <w:endnote w:id="39">
    <w:p w14:paraId="2AD515BC" w14:textId="396F6E01"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Friis, “‘Behead, </w:t>
      </w:r>
      <w:r w:rsidR="004B099B" w:rsidRPr="006C33B1">
        <w:rPr>
          <w:rFonts w:ascii="Times New Roman" w:hAnsi="Times New Roman" w:cs="Times New Roman"/>
          <w:sz w:val="24"/>
          <w:szCs w:val="24"/>
        </w:rPr>
        <w:t>B</w:t>
      </w:r>
      <w:r w:rsidRPr="006C33B1">
        <w:rPr>
          <w:rFonts w:ascii="Times New Roman" w:hAnsi="Times New Roman" w:cs="Times New Roman"/>
          <w:sz w:val="24"/>
          <w:szCs w:val="24"/>
        </w:rPr>
        <w:t xml:space="preserve">urn, </w:t>
      </w:r>
      <w:r w:rsidR="004B099B" w:rsidRPr="006C33B1">
        <w:rPr>
          <w:rFonts w:ascii="Times New Roman" w:hAnsi="Times New Roman" w:cs="Times New Roman"/>
          <w:sz w:val="24"/>
          <w:szCs w:val="24"/>
        </w:rPr>
        <w:t>C</w:t>
      </w:r>
      <w:r w:rsidRPr="006C33B1">
        <w:rPr>
          <w:rFonts w:ascii="Times New Roman" w:hAnsi="Times New Roman" w:cs="Times New Roman"/>
          <w:sz w:val="24"/>
          <w:szCs w:val="24"/>
        </w:rPr>
        <w:t xml:space="preserve">rucify, </w:t>
      </w:r>
      <w:r w:rsidR="004B099B" w:rsidRPr="006C33B1">
        <w:rPr>
          <w:rFonts w:ascii="Times New Roman" w:hAnsi="Times New Roman" w:cs="Times New Roman"/>
          <w:sz w:val="24"/>
          <w:szCs w:val="24"/>
        </w:rPr>
        <w:t>C</w:t>
      </w:r>
      <w:r w:rsidRPr="006C33B1">
        <w:rPr>
          <w:rFonts w:ascii="Times New Roman" w:hAnsi="Times New Roman" w:cs="Times New Roman"/>
          <w:sz w:val="24"/>
          <w:szCs w:val="24"/>
        </w:rPr>
        <w:t>rush</w:t>
      </w:r>
      <w:r w:rsidR="00FE1293" w:rsidRPr="006C33B1">
        <w:rPr>
          <w:rFonts w:ascii="Times New Roman" w:hAnsi="Times New Roman" w:cs="Times New Roman"/>
          <w:sz w:val="24"/>
          <w:szCs w:val="24"/>
        </w:rPr>
        <w:t>.</w:t>
      </w:r>
      <w:r w:rsidRPr="006C33B1">
        <w:rPr>
          <w:rFonts w:ascii="Times New Roman" w:hAnsi="Times New Roman" w:cs="Times New Roman"/>
          <w:sz w:val="24"/>
          <w:szCs w:val="24"/>
        </w:rPr>
        <w:t>’”</w:t>
      </w:r>
    </w:p>
  </w:endnote>
  <w:endnote w:id="40">
    <w:p w14:paraId="298B5256" w14:textId="1CFB3B22"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w:t>
      </w:r>
      <w:r w:rsidRPr="006C33B1">
        <w:rPr>
          <w:rFonts w:ascii="Times New Roman" w:hAnsi="Times New Roman" w:cs="Times New Roman"/>
          <w:i/>
          <w:iCs/>
          <w:sz w:val="24"/>
          <w:szCs w:val="24"/>
        </w:rPr>
        <w:t xml:space="preserve">Culture </w:t>
      </w:r>
      <w:r w:rsidR="00826682" w:rsidRPr="006C33B1">
        <w:rPr>
          <w:rFonts w:ascii="Times New Roman" w:hAnsi="Times New Roman" w:cs="Times New Roman"/>
          <w:i/>
          <w:iCs/>
          <w:sz w:val="24"/>
          <w:szCs w:val="24"/>
        </w:rPr>
        <w:t>u</w:t>
      </w:r>
      <w:r w:rsidRPr="006C33B1">
        <w:rPr>
          <w:rFonts w:ascii="Times New Roman" w:hAnsi="Times New Roman" w:cs="Times New Roman"/>
          <w:i/>
          <w:iCs/>
          <w:sz w:val="24"/>
          <w:szCs w:val="24"/>
        </w:rPr>
        <w:t>nder Fire</w:t>
      </w:r>
      <w:r w:rsidRPr="006C33B1">
        <w:rPr>
          <w:rFonts w:ascii="Times New Roman" w:hAnsi="Times New Roman" w:cs="Times New Roman"/>
          <w:sz w:val="24"/>
          <w:szCs w:val="24"/>
        </w:rPr>
        <w:t>.</w:t>
      </w:r>
    </w:p>
  </w:endnote>
  <w:endnote w:id="41">
    <w:p w14:paraId="0ECDB345" w14:textId="21B4C01E"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Jo, </w:t>
      </w:r>
      <w:r w:rsidRPr="006C33B1">
        <w:rPr>
          <w:rFonts w:ascii="Times New Roman" w:hAnsi="Times New Roman" w:cs="Times New Roman"/>
          <w:i/>
          <w:iCs/>
          <w:sz w:val="24"/>
          <w:szCs w:val="24"/>
        </w:rPr>
        <w:t>Compliant Rebels</w:t>
      </w:r>
      <w:r w:rsidRPr="006C33B1">
        <w:rPr>
          <w:rFonts w:ascii="Times New Roman" w:hAnsi="Times New Roman" w:cs="Times New Roman"/>
          <w:sz w:val="24"/>
          <w:szCs w:val="24"/>
        </w:rPr>
        <w:t>.</w:t>
      </w:r>
    </w:p>
  </w:endnote>
  <w:endnote w:id="42">
    <w:p w14:paraId="21A0639F" w14:textId="45874764"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Jean-Marie Henckaerts and Louise Doswald-Beck, </w:t>
      </w:r>
      <w:r w:rsidRPr="006C33B1">
        <w:rPr>
          <w:rFonts w:ascii="Times New Roman" w:hAnsi="Times New Roman" w:cs="Times New Roman"/>
          <w:i/>
          <w:iCs/>
          <w:sz w:val="24"/>
          <w:szCs w:val="24"/>
        </w:rPr>
        <w:t>Customary International Humanitarian Law Vol. 1: Rules</w:t>
      </w:r>
      <w:r w:rsidRPr="006C33B1">
        <w:rPr>
          <w:rFonts w:ascii="Times New Roman" w:hAnsi="Times New Roman" w:cs="Times New Roman"/>
          <w:sz w:val="24"/>
          <w:szCs w:val="24"/>
        </w:rPr>
        <w:t xml:space="preserve"> (Cambridge: Cambridge University Press, 2005).</w:t>
      </w:r>
    </w:p>
  </w:endnote>
  <w:endnote w:id="43">
    <w:p w14:paraId="30597155" w14:textId="32A30F45"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604D54" w:rsidRPr="006C33B1">
        <w:rPr>
          <w:rFonts w:ascii="Times New Roman" w:hAnsi="Times New Roman" w:cs="Times New Roman"/>
          <w:sz w:val="24"/>
          <w:szCs w:val="24"/>
        </w:rPr>
        <w:t xml:space="preserve">See </w:t>
      </w:r>
      <w:r w:rsidR="005A13C3" w:rsidRPr="006C33B1">
        <w:rPr>
          <w:rFonts w:ascii="Times New Roman" w:hAnsi="Times New Roman" w:cs="Times New Roman"/>
          <w:sz w:val="24"/>
          <w:szCs w:val="24"/>
        </w:rPr>
        <w:t>ICRC</w:t>
      </w:r>
      <w:r w:rsidRPr="006C33B1">
        <w:rPr>
          <w:rFonts w:ascii="Times New Roman" w:hAnsi="Times New Roman" w:cs="Times New Roman"/>
          <w:sz w:val="24"/>
          <w:szCs w:val="24"/>
        </w:rPr>
        <w:t xml:space="preserve">, </w:t>
      </w:r>
      <w:r w:rsidR="00604D54" w:rsidRPr="006C33B1">
        <w:rPr>
          <w:rFonts w:ascii="Times New Roman" w:hAnsi="Times New Roman" w:cs="Times New Roman"/>
          <w:sz w:val="24"/>
          <w:szCs w:val="24"/>
        </w:rPr>
        <w:t>“</w:t>
      </w:r>
      <w:r w:rsidRPr="006C33B1">
        <w:rPr>
          <w:rFonts w:ascii="Times New Roman" w:hAnsi="Times New Roman" w:cs="Times New Roman"/>
          <w:sz w:val="24"/>
          <w:szCs w:val="24"/>
        </w:rPr>
        <w:t>Database on Customary IHL,</w:t>
      </w:r>
      <w:r w:rsidR="00604D54" w:rsidRPr="006C33B1">
        <w:rPr>
          <w:rFonts w:ascii="Times New Roman" w:hAnsi="Times New Roman" w:cs="Times New Roman"/>
          <w:sz w:val="24"/>
          <w:szCs w:val="24"/>
        </w:rPr>
        <w:t>”</w:t>
      </w:r>
      <w:r w:rsidRPr="006C33B1">
        <w:rPr>
          <w:rFonts w:ascii="Times New Roman" w:hAnsi="Times New Roman" w:cs="Times New Roman"/>
          <w:sz w:val="24"/>
          <w:szCs w:val="24"/>
        </w:rPr>
        <w:t xml:space="preserve"> Rules 38</w:t>
      </w:r>
      <w:r w:rsidR="00426986" w:rsidRPr="006C33B1">
        <w:rPr>
          <w:rFonts w:ascii="Times New Roman" w:hAnsi="Times New Roman" w:cs="Times New Roman"/>
          <w:sz w:val="24"/>
          <w:szCs w:val="24"/>
        </w:rPr>
        <w:t>–</w:t>
      </w:r>
      <w:r w:rsidRPr="006C33B1">
        <w:rPr>
          <w:rFonts w:ascii="Times New Roman" w:hAnsi="Times New Roman" w:cs="Times New Roman"/>
          <w:sz w:val="24"/>
          <w:szCs w:val="24"/>
        </w:rPr>
        <w:t xml:space="preserve">41, </w:t>
      </w:r>
      <w:r w:rsidR="00786944" w:rsidRPr="006C33B1">
        <w:rPr>
          <w:rFonts w:ascii="Times New Roman" w:hAnsi="Times New Roman" w:cs="Times New Roman"/>
          <w:sz w:val="24"/>
          <w:szCs w:val="24"/>
        </w:rPr>
        <w:t>https://ihl-databases.icrc.org/customary-ihl/eng/docs/</w:t>
      </w:r>
      <w:r w:rsidRPr="006C33B1">
        <w:rPr>
          <w:rFonts w:ascii="Times New Roman" w:hAnsi="Times New Roman" w:cs="Times New Roman"/>
          <w:sz w:val="24"/>
          <w:szCs w:val="24"/>
        </w:rPr>
        <w:t>.</w:t>
      </w:r>
    </w:p>
  </w:endnote>
  <w:endnote w:id="44">
    <w:p w14:paraId="30F74854" w14:textId="260AE162"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William Schabas, “Punishment of Non-</w:t>
      </w:r>
      <w:r w:rsidR="00244906" w:rsidRPr="006C33B1">
        <w:rPr>
          <w:rFonts w:ascii="Times New Roman" w:hAnsi="Times New Roman" w:cs="Times New Roman"/>
          <w:sz w:val="24"/>
          <w:szCs w:val="24"/>
        </w:rPr>
        <w:t>s</w:t>
      </w:r>
      <w:r w:rsidRPr="006C33B1">
        <w:rPr>
          <w:rFonts w:ascii="Times New Roman" w:hAnsi="Times New Roman" w:cs="Times New Roman"/>
          <w:sz w:val="24"/>
          <w:szCs w:val="24"/>
        </w:rPr>
        <w:t xml:space="preserve">tate </w:t>
      </w:r>
      <w:r w:rsidR="007538DD" w:rsidRPr="006C33B1">
        <w:rPr>
          <w:rFonts w:ascii="Times New Roman" w:hAnsi="Times New Roman" w:cs="Times New Roman"/>
          <w:sz w:val="24"/>
          <w:szCs w:val="24"/>
        </w:rPr>
        <w:t>A</w:t>
      </w:r>
      <w:r w:rsidRPr="006C33B1">
        <w:rPr>
          <w:rFonts w:ascii="Times New Roman" w:hAnsi="Times New Roman" w:cs="Times New Roman"/>
          <w:sz w:val="24"/>
          <w:szCs w:val="24"/>
        </w:rPr>
        <w:t>ctors in Non-</w:t>
      </w:r>
      <w:r w:rsidR="00B3345D" w:rsidRPr="006C33B1">
        <w:rPr>
          <w:rFonts w:ascii="Times New Roman" w:hAnsi="Times New Roman" w:cs="Times New Roman"/>
          <w:sz w:val="24"/>
          <w:szCs w:val="24"/>
        </w:rPr>
        <w:t>i</w:t>
      </w:r>
      <w:r w:rsidRPr="006C33B1">
        <w:rPr>
          <w:rFonts w:ascii="Times New Roman" w:hAnsi="Times New Roman" w:cs="Times New Roman"/>
          <w:sz w:val="24"/>
          <w:szCs w:val="24"/>
        </w:rPr>
        <w:t xml:space="preserve">nternational Armed Conflict,” </w:t>
      </w:r>
      <w:r w:rsidRPr="006C33B1">
        <w:rPr>
          <w:rFonts w:ascii="Times New Roman" w:hAnsi="Times New Roman" w:cs="Times New Roman"/>
          <w:i/>
          <w:iCs/>
          <w:sz w:val="24"/>
          <w:szCs w:val="24"/>
        </w:rPr>
        <w:t>Fordham International Law Journal</w:t>
      </w:r>
      <w:r w:rsidRPr="006C33B1">
        <w:rPr>
          <w:rFonts w:ascii="Times New Roman" w:hAnsi="Times New Roman" w:cs="Times New Roman"/>
          <w:sz w:val="24"/>
          <w:szCs w:val="24"/>
        </w:rPr>
        <w:t xml:space="preserve"> 26, no. 4 (2002): 907–33.</w:t>
      </w:r>
    </w:p>
  </w:endnote>
  <w:endnote w:id="45">
    <w:p w14:paraId="250D4039" w14:textId="5EA60284"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w:t>
      </w:r>
      <w:r w:rsidR="0068054A" w:rsidRPr="006C33B1">
        <w:rPr>
          <w:rFonts w:ascii="Times New Roman" w:hAnsi="Times New Roman" w:cs="Times New Roman"/>
          <w:sz w:val="24"/>
          <w:szCs w:val="24"/>
        </w:rPr>
        <w:t>UN</w:t>
      </w:r>
      <w:r w:rsidRPr="006C33B1">
        <w:rPr>
          <w:rFonts w:ascii="Times New Roman" w:hAnsi="Times New Roman" w:cs="Times New Roman"/>
          <w:sz w:val="24"/>
          <w:szCs w:val="24"/>
        </w:rPr>
        <w:t xml:space="preserve"> Human Rights Council, </w:t>
      </w:r>
      <w:r w:rsidRPr="006C33B1">
        <w:rPr>
          <w:rFonts w:ascii="Times New Roman" w:hAnsi="Times New Roman" w:cs="Times New Roman"/>
          <w:i/>
          <w:iCs/>
          <w:sz w:val="24"/>
          <w:szCs w:val="24"/>
        </w:rPr>
        <w:t>Report of the Independent International Commission of</w:t>
      </w:r>
      <w:r w:rsidR="0068054A" w:rsidRPr="006C33B1">
        <w:rPr>
          <w:rFonts w:ascii="Times New Roman" w:hAnsi="Times New Roman" w:cs="Times New Roman"/>
          <w:i/>
          <w:iCs/>
          <w:sz w:val="24"/>
          <w:szCs w:val="24"/>
        </w:rPr>
        <w:t xml:space="preserve"> </w:t>
      </w:r>
      <w:r w:rsidRPr="006C33B1">
        <w:rPr>
          <w:rFonts w:ascii="Times New Roman" w:hAnsi="Times New Roman" w:cs="Times New Roman"/>
          <w:i/>
          <w:iCs/>
          <w:sz w:val="24"/>
          <w:szCs w:val="24"/>
        </w:rPr>
        <w:t>Inquiry on the Syrian Arab Republic</w:t>
      </w:r>
      <w:r w:rsidRPr="006C33B1">
        <w:rPr>
          <w:rFonts w:ascii="Times New Roman" w:hAnsi="Times New Roman" w:cs="Times New Roman"/>
          <w:sz w:val="24"/>
          <w:szCs w:val="24"/>
        </w:rPr>
        <w:t xml:space="preserve">, </w:t>
      </w:r>
      <w:r w:rsidR="00746321" w:rsidRPr="006C33B1">
        <w:rPr>
          <w:rFonts w:ascii="Times New Roman" w:hAnsi="Times New Roman" w:cs="Times New Roman"/>
          <w:sz w:val="24"/>
          <w:szCs w:val="24"/>
        </w:rPr>
        <w:t xml:space="preserve">UN doc. A/HRC/33/55, </w:t>
      </w:r>
      <w:r w:rsidRPr="006C33B1">
        <w:rPr>
          <w:rFonts w:ascii="Times New Roman" w:hAnsi="Times New Roman" w:cs="Times New Roman"/>
          <w:sz w:val="24"/>
          <w:szCs w:val="24"/>
        </w:rPr>
        <w:t>11 August 2016, https://undocs.org/A/HRC/33/55.</w:t>
      </w:r>
    </w:p>
  </w:endnote>
  <w:endnote w:id="46">
    <w:p w14:paraId="15D5844C" w14:textId="5558A0C5"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Clare F</w:t>
      </w:r>
      <w:r w:rsidR="00260C99" w:rsidRPr="006C33B1">
        <w:rPr>
          <w:rFonts w:ascii="Times New Roman" w:hAnsi="Times New Roman" w:cs="Times New Roman"/>
          <w:sz w:val="24"/>
          <w:szCs w:val="24"/>
        </w:rPr>
        <w:t>ra</w:t>
      </w:r>
      <w:r w:rsidR="00417736" w:rsidRPr="006C33B1">
        <w:rPr>
          <w:rFonts w:ascii="Times New Roman" w:hAnsi="Times New Roman" w:cs="Times New Roman"/>
          <w:sz w:val="24"/>
          <w:szCs w:val="24"/>
        </w:rPr>
        <w:t>nces</w:t>
      </w:r>
      <w:r w:rsidRPr="006C33B1">
        <w:rPr>
          <w:rFonts w:ascii="Times New Roman" w:hAnsi="Times New Roman" w:cs="Times New Roman"/>
          <w:sz w:val="24"/>
          <w:szCs w:val="24"/>
        </w:rPr>
        <w:t xml:space="preserve"> Moran, </w:t>
      </w:r>
      <w:r w:rsidRPr="006C33B1">
        <w:rPr>
          <w:rFonts w:ascii="Times New Roman" w:hAnsi="Times New Roman" w:cs="Times New Roman"/>
          <w:i/>
          <w:iCs/>
          <w:sz w:val="24"/>
          <w:szCs w:val="24"/>
        </w:rPr>
        <w:t xml:space="preserve">Beyond the State: The </w:t>
      </w:r>
      <w:r w:rsidR="00260C99" w:rsidRPr="006C33B1">
        <w:rPr>
          <w:rFonts w:ascii="Times New Roman" w:hAnsi="Times New Roman" w:cs="Times New Roman"/>
          <w:i/>
          <w:iCs/>
          <w:sz w:val="24"/>
          <w:szCs w:val="24"/>
        </w:rPr>
        <w:t>F</w:t>
      </w:r>
      <w:r w:rsidRPr="006C33B1">
        <w:rPr>
          <w:rFonts w:ascii="Times New Roman" w:hAnsi="Times New Roman" w:cs="Times New Roman"/>
          <w:i/>
          <w:iCs/>
          <w:sz w:val="24"/>
          <w:szCs w:val="24"/>
        </w:rPr>
        <w:t>uture of International Criminal Law</w:t>
      </w:r>
      <w:r w:rsidR="00E36360" w:rsidRPr="006C33B1">
        <w:rPr>
          <w:rFonts w:ascii="Times New Roman" w:hAnsi="Times New Roman" w:cs="Times New Roman"/>
          <w:sz w:val="24"/>
          <w:szCs w:val="24"/>
        </w:rPr>
        <w:t>, ICD Brief 7 (International Crimes Database: September 2014)</w:t>
      </w:r>
      <w:r w:rsidR="00501AE8" w:rsidRPr="006C33B1">
        <w:rPr>
          <w:rFonts w:ascii="Times New Roman" w:hAnsi="Times New Roman" w:cs="Times New Roman"/>
          <w:sz w:val="24"/>
          <w:szCs w:val="24"/>
        </w:rPr>
        <w:t>, http://www.internationalcrimesdatabase.org/upload/documents/20141002T145950-ICD%20Brief%20-%20Moran.pdf</w:t>
      </w:r>
      <w:r w:rsidRPr="006C33B1">
        <w:rPr>
          <w:rFonts w:ascii="Times New Roman" w:hAnsi="Times New Roman" w:cs="Times New Roman"/>
          <w:sz w:val="24"/>
          <w:szCs w:val="24"/>
        </w:rPr>
        <w:t>.</w:t>
      </w:r>
    </w:p>
  </w:endnote>
  <w:endnote w:id="47">
    <w:p w14:paraId="3DFBCD3C" w14:textId="0C75BF48"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Marco Sassòli, “Taking Armed Groups Seriously: Ways to Improve </w:t>
      </w:r>
      <w:r w:rsidR="0054117C" w:rsidRPr="006C33B1">
        <w:rPr>
          <w:rFonts w:ascii="Times New Roman" w:hAnsi="Times New Roman" w:cs="Times New Roman"/>
          <w:sz w:val="24"/>
          <w:szCs w:val="24"/>
        </w:rPr>
        <w:t>T</w:t>
      </w:r>
      <w:r w:rsidRPr="006C33B1">
        <w:rPr>
          <w:rFonts w:ascii="Times New Roman" w:hAnsi="Times New Roman" w:cs="Times New Roman"/>
          <w:sz w:val="24"/>
          <w:szCs w:val="24"/>
        </w:rPr>
        <w:t xml:space="preserve">heir Compliance with International Humanitarian Law,” </w:t>
      </w:r>
      <w:r w:rsidRPr="006C33B1">
        <w:rPr>
          <w:rFonts w:ascii="Times New Roman" w:hAnsi="Times New Roman" w:cs="Times New Roman"/>
          <w:i/>
          <w:iCs/>
          <w:sz w:val="24"/>
          <w:szCs w:val="24"/>
        </w:rPr>
        <w:t>Journal of International Humanitarian Legal Studies</w:t>
      </w:r>
      <w:r w:rsidRPr="006C33B1">
        <w:rPr>
          <w:rFonts w:ascii="Times New Roman" w:hAnsi="Times New Roman" w:cs="Times New Roman"/>
          <w:sz w:val="24"/>
          <w:szCs w:val="24"/>
        </w:rPr>
        <w:t xml:space="preserve"> 1, no. 1 (2010): 5</w:t>
      </w:r>
      <w:r w:rsidR="00620809" w:rsidRPr="006C33B1">
        <w:rPr>
          <w:rFonts w:ascii="Times New Roman" w:hAnsi="Times New Roman" w:cs="Times New Roman"/>
          <w:sz w:val="24"/>
          <w:szCs w:val="24"/>
        </w:rPr>
        <w:t>–</w:t>
      </w:r>
      <w:r w:rsidRPr="006C33B1">
        <w:rPr>
          <w:rFonts w:ascii="Times New Roman" w:hAnsi="Times New Roman" w:cs="Times New Roman"/>
          <w:sz w:val="24"/>
          <w:szCs w:val="24"/>
        </w:rPr>
        <w:t>51.</w:t>
      </w:r>
    </w:p>
  </w:endnote>
  <w:endnote w:id="48">
    <w:p w14:paraId="3DBA0F3B" w14:textId="29CDB4B4"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Jennifer Welsh, “The Responsibility to Protect and Non-</w:t>
      </w:r>
      <w:r w:rsidR="00244906" w:rsidRPr="006C33B1">
        <w:rPr>
          <w:rFonts w:ascii="Times New Roman" w:hAnsi="Times New Roman" w:cs="Times New Roman"/>
          <w:sz w:val="24"/>
          <w:szCs w:val="24"/>
        </w:rPr>
        <w:t>s</w:t>
      </w:r>
      <w:r w:rsidRPr="006C33B1">
        <w:rPr>
          <w:rFonts w:ascii="Times New Roman" w:hAnsi="Times New Roman" w:cs="Times New Roman"/>
          <w:sz w:val="24"/>
          <w:szCs w:val="24"/>
        </w:rPr>
        <w:t xml:space="preserve">tate Actors,” in </w:t>
      </w:r>
      <w:r w:rsidRPr="006C33B1">
        <w:rPr>
          <w:rFonts w:ascii="Times New Roman" w:hAnsi="Times New Roman" w:cs="Times New Roman"/>
          <w:i/>
          <w:iCs/>
          <w:sz w:val="24"/>
          <w:szCs w:val="24"/>
        </w:rPr>
        <w:t xml:space="preserve">The Grey Zone: Civilian Protection </w:t>
      </w:r>
      <w:r w:rsidR="00CB0BFA" w:rsidRPr="006C33B1">
        <w:rPr>
          <w:rFonts w:ascii="Times New Roman" w:hAnsi="Times New Roman" w:cs="Times New Roman"/>
          <w:i/>
          <w:iCs/>
          <w:sz w:val="24"/>
          <w:szCs w:val="24"/>
        </w:rPr>
        <w:t>b</w:t>
      </w:r>
      <w:r w:rsidRPr="006C33B1">
        <w:rPr>
          <w:rFonts w:ascii="Times New Roman" w:hAnsi="Times New Roman" w:cs="Times New Roman"/>
          <w:i/>
          <w:iCs/>
          <w:sz w:val="24"/>
          <w:szCs w:val="24"/>
        </w:rPr>
        <w:t>etween Human Rights and the Laws of War</w:t>
      </w:r>
      <w:r w:rsidRPr="006C33B1">
        <w:rPr>
          <w:rFonts w:ascii="Times New Roman" w:hAnsi="Times New Roman" w:cs="Times New Roman"/>
          <w:sz w:val="24"/>
          <w:szCs w:val="24"/>
        </w:rPr>
        <w:t>, ed. Mark Lattimer and Philippe Sands (Oxford: Hart Publishing, 2018).</w:t>
      </w:r>
    </w:p>
  </w:endnote>
  <w:endnote w:id="49">
    <w:p w14:paraId="466FD011" w14:textId="36515AE1" w:rsidR="003E19EA" w:rsidRPr="006C33B1" w:rsidRDefault="003E19EA" w:rsidP="00127EF2">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w:t>
      </w:r>
      <w:r w:rsidRPr="006C33B1">
        <w:rPr>
          <w:rFonts w:ascii="Times New Roman" w:hAnsi="Times New Roman" w:cs="Times New Roman"/>
          <w:i/>
          <w:iCs/>
          <w:sz w:val="24"/>
          <w:szCs w:val="24"/>
        </w:rPr>
        <w:t>Culture under Fire</w:t>
      </w:r>
      <w:r w:rsidRPr="006C33B1">
        <w:rPr>
          <w:rFonts w:ascii="Times New Roman" w:hAnsi="Times New Roman" w:cs="Times New Roman"/>
          <w:sz w:val="24"/>
          <w:szCs w:val="24"/>
        </w:rPr>
        <w:t>, 15.</w:t>
      </w:r>
    </w:p>
  </w:endnote>
  <w:endnote w:id="50">
    <w:p w14:paraId="6F71E526" w14:textId="539A19C8"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16.</w:t>
      </w:r>
    </w:p>
  </w:endnote>
  <w:endnote w:id="51">
    <w:p w14:paraId="30A8F1A6" w14:textId="4D6982DA"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This right to prosecute can be activated even if the offense was committed in another </w:t>
      </w:r>
      <w:r w:rsidR="00034854" w:rsidRPr="006C33B1">
        <w:rPr>
          <w:rFonts w:ascii="Times New Roman" w:hAnsi="Times New Roman" w:cs="Times New Roman"/>
          <w:sz w:val="24"/>
          <w:szCs w:val="24"/>
        </w:rPr>
        <w:t>s</w:t>
      </w:r>
      <w:r w:rsidRPr="006C33B1">
        <w:rPr>
          <w:rFonts w:ascii="Times New Roman" w:hAnsi="Times New Roman" w:cs="Times New Roman"/>
          <w:sz w:val="24"/>
          <w:szCs w:val="24"/>
        </w:rPr>
        <w:t xml:space="preserve">tate or if the individual committing the offense is not one of the prosecuting </w:t>
      </w:r>
      <w:r w:rsidR="00034854" w:rsidRPr="006C33B1">
        <w:rPr>
          <w:rFonts w:ascii="Times New Roman" w:hAnsi="Times New Roman" w:cs="Times New Roman"/>
          <w:sz w:val="24"/>
          <w:szCs w:val="24"/>
        </w:rPr>
        <w:t>s</w:t>
      </w:r>
      <w:r w:rsidRPr="006C33B1">
        <w:rPr>
          <w:rFonts w:ascii="Times New Roman" w:hAnsi="Times New Roman" w:cs="Times New Roman"/>
          <w:sz w:val="24"/>
          <w:szCs w:val="24"/>
        </w:rPr>
        <w:t xml:space="preserve">tate’s nationals. See </w:t>
      </w:r>
      <w:r w:rsidR="001D3F71" w:rsidRPr="006C33B1">
        <w:rPr>
          <w:rFonts w:ascii="Times New Roman" w:hAnsi="Times New Roman" w:cs="Times New Roman"/>
          <w:sz w:val="24"/>
          <w:szCs w:val="24"/>
        </w:rPr>
        <w:t xml:space="preserve">1999 </w:t>
      </w:r>
      <w:r w:rsidR="00257837" w:rsidRPr="006C33B1">
        <w:rPr>
          <w:rFonts w:ascii="Times New Roman" w:hAnsi="Times New Roman" w:cs="Times New Roman"/>
          <w:sz w:val="24"/>
          <w:szCs w:val="24"/>
        </w:rPr>
        <w:t xml:space="preserve">Second Protocol to the 1954 Hague </w:t>
      </w:r>
      <w:r w:rsidR="00350B34" w:rsidRPr="006C33B1">
        <w:rPr>
          <w:rFonts w:ascii="Times New Roman" w:hAnsi="Times New Roman" w:cs="Times New Roman"/>
          <w:sz w:val="24"/>
          <w:szCs w:val="24"/>
        </w:rPr>
        <w:t>C</w:t>
      </w:r>
      <w:r w:rsidR="00257837" w:rsidRPr="006C33B1">
        <w:rPr>
          <w:rFonts w:ascii="Times New Roman" w:hAnsi="Times New Roman" w:cs="Times New Roman"/>
          <w:sz w:val="24"/>
          <w:szCs w:val="24"/>
        </w:rPr>
        <w:t xml:space="preserve">onvention, </w:t>
      </w:r>
      <w:r w:rsidRPr="006C33B1">
        <w:rPr>
          <w:rFonts w:ascii="Times New Roman" w:hAnsi="Times New Roman" w:cs="Times New Roman"/>
          <w:sz w:val="24"/>
          <w:szCs w:val="24"/>
        </w:rPr>
        <w:t>Art. 16</w:t>
      </w:r>
      <w:r w:rsidR="00257837" w:rsidRPr="006C33B1">
        <w:rPr>
          <w:rFonts w:ascii="Times New Roman" w:hAnsi="Times New Roman" w:cs="Times New Roman"/>
          <w:sz w:val="24"/>
          <w:szCs w:val="24"/>
        </w:rPr>
        <w:t>.</w:t>
      </w:r>
      <w:r w:rsidRPr="006C33B1">
        <w:rPr>
          <w:rFonts w:ascii="Times New Roman" w:hAnsi="Times New Roman" w:cs="Times New Roman"/>
          <w:sz w:val="24"/>
          <w:szCs w:val="24"/>
        </w:rPr>
        <w:t>1.</w:t>
      </w:r>
    </w:p>
  </w:endnote>
  <w:endnote w:id="52">
    <w:p w14:paraId="6886890B" w14:textId="2155D53B"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w:t>
      </w:r>
      <w:r w:rsidRPr="006C33B1">
        <w:rPr>
          <w:rFonts w:ascii="Times New Roman" w:hAnsi="Times New Roman" w:cs="Times New Roman"/>
          <w:i/>
          <w:iCs/>
          <w:sz w:val="24"/>
          <w:szCs w:val="24"/>
        </w:rPr>
        <w:t xml:space="preserve">Culture </w:t>
      </w:r>
      <w:r w:rsidR="004F5BC2" w:rsidRPr="006C33B1">
        <w:rPr>
          <w:rFonts w:ascii="Times New Roman" w:hAnsi="Times New Roman" w:cs="Times New Roman"/>
          <w:i/>
          <w:iCs/>
          <w:sz w:val="24"/>
          <w:szCs w:val="24"/>
        </w:rPr>
        <w:t>u</w:t>
      </w:r>
      <w:r w:rsidRPr="006C33B1">
        <w:rPr>
          <w:rFonts w:ascii="Times New Roman" w:hAnsi="Times New Roman" w:cs="Times New Roman"/>
          <w:i/>
          <w:iCs/>
          <w:sz w:val="24"/>
          <w:szCs w:val="24"/>
        </w:rPr>
        <w:t>nder Fire</w:t>
      </w:r>
      <w:r w:rsidRPr="006C33B1">
        <w:rPr>
          <w:rFonts w:ascii="Times New Roman" w:hAnsi="Times New Roman" w:cs="Times New Roman"/>
          <w:sz w:val="24"/>
          <w:szCs w:val="24"/>
        </w:rPr>
        <w:t xml:space="preserve">, 21–22. There are some obvious limitations to the reach of ICC prosecution, which have particular relevance for situations involving NSAGs. According to the Rome Statute, only individuals that are nationals of a </w:t>
      </w:r>
      <w:r w:rsidR="00151A90" w:rsidRPr="006C33B1">
        <w:rPr>
          <w:rFonts w:ascii="Times New Roman" w:hAnsi="Times New Roman" w:cs="Times New Roman"/>
          <w:sz w:val="24"/>
          <w:szCs w:val="24"/>
        </w:rPr>
        <w:t>s</w:t>
      </w:r>
      <w:r w:rsidRPr="006C33B1">
        <w:rPr>
          <w:rFonts w:ascii="Times New Roman" w:hAnsi="Times New Roman" w:cs="Times New Roman"/>
          <w:sz w:val="24"/>
          <w:szCs w:val="24"/>
        </w:rPr>
        <w:t xml:space="preserve">tate over which the </w:t>
      </w:r>
      <w:r w:rsidR="00151A90" w:rsidRPr="006C33B1">
        <w:rPr>
          <w:rFonts w:ascii="Times New Roman" w:hAnsi="Times New Roman" w:cs="Times New Roman"/>
          <w:sz w:val="24"/>
          <w:szCs w:val="24"/>
        </w:rPr>
        <w:t>c</w:t>
      </w:r>
      <w:r w:rsidRPr="006C33B1">
        <w:rPr>
          <w:rFonts w:ascii="Times New Roman" w:hAnsi="Times New Roman" w:cs="Times New Roman"/>
          <w:sz w:val="24"/>
          <w:szCs w:val="24"/>
        </w:rPr>
        <w:t xml:space="preserve">ourt has jurisdiction, or that have allegedly committed a crime on </w:t>
      </w:r>
      <w:r w:rsidR="00BF5883" w:rsidRPr="006C33B1">
        <w:rPr>
          <w:rFonts w:ascii="Times New Roman" w:hAnsi="Times New Roman" w:cs="Times New Roman"/>
          <w:sz w:val="24"/>
          <w:szCs w:val="24"/>
        </w:rPr>
        <w:t xml:space="preserve">such a state’s </w:t>
      </w:r>
      <w:r w:rsidRPr="006C33B1">
        <w:rPr>
          <w:rFonts w:ascii="Times New Roman" w:hAnsi="Times New Roman" w:cs="Times New Roman"/>
          <w:sz w:val="24"/>
          <w:szCs w:val="24"/>
        </w:rPr>
        <w:t xml:space="preserve">territory, can be prosecuted. This did not prevent the </w:t>
      </w:r>
      <w:r w:rsidR="005019F4" w:rsidRPr="006C33B1">
        <w:rPr>
          <w:rFonts w:ascii="Times New Roman" w:hAnsi="Times New Roman" w:cs="Times New Roman"/>
          <w:sz w:val="24"/>
          <w:szCs w:val="24"/>
        </w:rPr>
        <w:t xml:space="preserve">ICC </w:t>
      </w:r>
      <w:r w:rsidRPr="006C33B1">
        <w:rPr>
          <w:rFonts w:ascii="Times New Roman" w:hAnsi="Times New Roman" w:cs="Times New Roman"/>
          <w:sz w:val="24"/>
          <w:szCs w:val="24"/>
        </w:rPr>
        <w:t xml:space="preserve">from playing a role in Mali, with respect to the high-profile case of </w:t>
      </w:r>
      <w:r w:rsidR="0051574A" w:rsidRPr="006C33B1">
        <w:rPr>
          <w:rFonts w:ascii="Times New Roman" w:hAnsi="Times New Roman" w:cs="Times New Roman"/>
          <w:sz w:val="24"/>
          <w:szCs w:val="24"/>
        </w:rPr>
        <w:t>Ahmad al-</w:t>
      </w:r>
      <w:r w:rsidRPr="006C33B1">
        <w:rPr>
          <w:rFonts w:ascii="Times New Roman" w:hAnsi="Times New Roman" w:cs="Times New Roman"/>
          <w:sz w:val="24"/>
          <w:szCs w:val="24"/>
        </w:rPr>
        <w:t>Mahdi, but it has limited the possibilities for prosecution with respect to the destruction of cultural property in Iraq and Syria</w:t>
      </w:r>
      <w:r w:rsidR="00E02C23" w:rsidRPr="006C33B1">
        <w:rPr>
          <w:rFonts w:ascii="Times New Roman" w:hAnsi="Times New Roman" w:cs="Times New Roman"/>
          <w:sz w:val="24"/>
          <w:szCs w:val="24"/>
        </w:rPr>
        <w:t xml:space="preserve">, </w:t>
      </w:r>
      <w:r w:rsidRPr="006C33B1">
        <w:rPr>
          <w:rFonts w:ascii="Times New Roman" w:hAnsi="Times New Roman" w:cs="Times New Roman"/>
          <w:sz w:val="24"/>
          <w:szCs w:val="24"/>
        </w:rPr>
        <w:t xml:space="preserve">which are not parties to the </w:t>
      </w:r>
      <w:r w:rsidR="00A74046" w:rsidRPr="006C33B1">
        <w:rPr>
          <w:rFonts w:ascii="Times New Roman" w:hAnsi="Times New Roman" w:cs="Times New Roman"/>
          <w:sz w:val="24"/>
          <w:szCs w:val="24"/>
        </w:rPr>
        <w:t>s</w:t>
      </w:r>
      <w:r w:rsidRPr="006C33B1">
        <w:rPr>
          <w:rFonts w:ascii="Times New Roman" w:hAnsi="Times New Roman" w:cs="Times New Roman"/>
          <w:sz w:val="24"/>
          <w:szCs w:val="24"/>
        </w:rPr>
        <w:t xml:space="preserve">tatute. In addition, the ICC’s jurisdiction is activated only in situations where the “most serious” international crimes are committed, which may not be the case in some instances where cultural </w:t>
      </w:r>
      <w:r w:rsidR="00612709" w:rsidRPr="006C33B1">
        <w:rPr>
          <w:rFonts w:ascii="Times New Roman" w:hAnsi="Times New Roman" w:cs="Times New Roman"/>
          <w:sz w:val="24"/>
          <w:szCs w:val="24"/>
        </w:rPr>
        <w:t>heritage</w:t>
      </w:r>
      <w:r w:rsidRPr="006C33B1">
        <w:rPr>
          <w:rFonts w:ascii="Times New Roman" w:hAnsi="Times New Roman" w:cs="Times New Roman"/>
          <w:sz w:val="24"/>
          <w:szCs w:val="24"/>
        </w:rPr>
        <w:t xml:space="preserve"> is attacked.</w:t>
      </w:r>
    </w:p>
  </w:endnote>
  <w:endnote w:id="53">
    <w:p w14:paraId="6491E637" w14:textId="11834039"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This </w:t>
      </w:r>
      <w:r w:rsidR="00801FB4" w:rsidRPr="006C33B1">
        <w:rPr>
          <w:rFonts w:ascii="Times New Roman" w:hAnsi="Times New Roman" w:cs="Times New Roman"/>
          <w:sz w:val="24"/>
          <w:szCs w:val="24"/>
        </w:rPr>
        <w:t>r</w:t>
      </w:r>
      <w:r w:rsidRPr="006C33B1">
        <w:rPr>
          <w:rFonts w:ascii="Times New Roman" w:hAnsi="Times New Roman" w:cs="Times New Roman"/>
          <w:sz w:val="24"/>
          <w:szCs w:val="24"/>
        </w:rPr>
        <w:t xml:space="preserve">esolution is particularly significant, given that the </w:t>
      </w:r>
      <w:r w:rsidR="007235CC" w:rsidRPr="006C33B1">
        <w:rPr>
          <w:rFonts w:ascii="Times New Roman" w:hAnsi="Times New Roman" w:cs="Times New Roman"/>
          <w:sz w:val="24"/>
          <w:szCs w:val="24"/>
        </w:rPr>
        <w:t>1972 Convention Concerning the Protection of the World Cultural and Natural Heritage</w:t>
      </w:r>
      <w:r w:rsidRPr="006C33B1">
        <w:rPr>
          <w:rFonts w:ascii="Times New Roman" w:hAnsi="Times New Roman" w:cs="Times New Roman"/>
          <w:sz w:val="24"/>
          <w:szCs w:val="24"/>
        </w:rPr>
        <w:t xml:space="preserve"> only addresses </w:t>
      </w:r>
      <w:r w:rsidR="000D4772" w:rsidRPr="006C33B1">
        <w:rPr>
          <w:rFonts w:ascii="Times New Roman" w:hAnsi="Times New Roman" w:cs="Times New Roman"/>
          <w:sz w:val="24"/>
          <w:szCs w:val="24"/>
        </w:rPr>
        <w:t>s</w:t>
      </w:r>
      <w:r w:rsidRPr="006C33B1">
        <w:rPr>
          <w:rFonts w:ascii="Times New Roman" w:hAnsi="Times New Roman" w:cs="Times New Roman"/>
          <w:sz w:val="24"/>
          <w:szCs w:val="24"/>
        </w:rPr>
        <w:t>tates</w:t>
      </w:r>
      <w:r w:rsidR="000D4772" w:rsidRPr="006C33B1">
        <w:rPr>
          <w:rFonts w:ascii="Times New Roman" w:hAnsi="Times New Roman" w:cs="Times New Roman"/>
          <w:sz w:val="24"/>
          <w:szCs w:val="24"/>
        </w:rPr>
        <w:t>.</w:t>
      </w:r>
    </w:p>
  </w:endnote>
  <w:endnote w:id="54">
    <w:p w14:paraId="28FDD6E1" w14:textId="1A4BFC3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Sarah Cleveland, “Harmonizing Standards in Armed Conflict,” </w:t>
      </w:r>
      <w:r w:rsidRPr="006C33B1">
        <w:rPr>
          <w:rFonts w:ascii="Times New Roman" w:hAnsi="Times New Roman" w:cs="Times New Roman"/>
          <w:i/>
          <w:iCs/>
          <w:sz w:val="24"/>
          <w:szCs w:val="24"/>
        </w:rPr>
        <w:t>EJIL Talk!</w:t>
      </w:r>
      <w:r w:rsidRPr="006C33B1">
        <w:rPr>
          <w:rFonts w:ascii="Times New Roman" w:hAnsi="Times New Roman" w:cs="Times New Roman"/>
          <w:sz w:val="24"/>
          <w:szCs w:val="24"/>
        </w:rPr>
        <w:t xml:space="preserve"> </w:t>
      </w:r>
      <w:r w:rsidR="00FB2D06" w:rsidRPr="006C33B1">
        <w:rPr>
          <w:rFonts w:ascii="Times New Roman" w:hAnsi="Times New Roman" w:cs="Times New Roman"/>
          <w:sz w:val="24"/>
          <w:szCs w:val="24"/>
        </w:rPr>
        <w:t xml:space="preserve">(blog), </w:t>
      </w:r>
      <w:r w:rsidR="00FB2D06" w:rsidRPr="006C33B1">
        <w:rPr>
          <w:rFonts w:ascii="Times New Roman" w:hAnsi="Times New Roman" w:cs="Times New Roman"/>
          <w:i/>
          <w:iCs/>
          <w:sz w:val="24"/>
          <w:szCs w:val="24"/>
        </w:rPr>
        <w:t>European Journal of International Law</w:t>
      </w:r>
      <w:r w:rsidR="00FB2D06" w:rsidRPr="006C33B1">
        <w:rPr>
          <w:rFonts w:ascii="Times New Roman" w:hAnsi="Times New Roman" w:cs="Times New Roman"/>
          <w:sz w:val="24"/>
          <w:szCs w:val="24"/>
        </w:rPr>
        <w:t xml:space="preserve">, </w:t>
      </w:r>
      <w:r w:rsidRPr="006C33B1">
        <w:rPr>
          <w:rFonts w:ascii="Times New Roman" w:hAnsi="Times New Roman" w:cs="Times New Roman"/>
          <w:sz w:val="24"/>
          <w:szCs w:val="24"/>
        </w:rPr>
        <w:t>8 September 2014, https://www.ejiltalk.org/harmonizing-standards-in-armed-conflict/.</w:t>
      </w:r>
    </w:p>
  </w:endnote>
  <w:endnote w:id="55">
    <w:p w14:paraId="4D6C8ED5" w14:textId="6559499D"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Daniel Muñoz-Rojas and Jean-Jacques Frésard, </w:t>
      </w:r>
      <w:r w:rsidRPr="006C33B1">
        <w:rPr>
          <w:rFonts w:ascii="Times New Roman" w:hAnsi="Times New Roman" w:cs="Times New Roman"/>
          <w:i/>
          <w:iCs/>
          <w:sz w:val="24"/>
          <w:szCs w:val="24"/>
        </w:rPr>
        <w:t>The Roots of Behavio</w:t>
      </w:r>
      <w:r w:rsidR="00932E63" w:rsidRPr="006C33B1">
        <w:rPr>
          <w:rFonts w:ascii="Times New Roman" w:hAnsi="Times New Roman" w:cs="Times New Roman"/>
          <w:i/>
          <w:iCs/>
          <w:sz w:val="24"/>
          <w:szCs w:val="24"/>
        </w:rPr>
        <w:t>u</w:t>
      </w:r>
      <w:r w:rsidRPr="006C33B1">
        <w:rPr>
          <w:rFonts w:ascii="Times New Roman" w:hAnsi="Times New Roman" w:cs="Times New Roman"/>
          <w:i/>
          <w:iCs/>
          <w:sz w:val="24"/>
          <w:szCs w:val="24"/>
        </w:rPr>
        <w:t>r in War: Understanding and Preventing IHL Violations</w:t>
      </w:r>
      <w:r w:rsidRPr="006C33B1">
        <w:rPr>
          <w:rFonts w:ascii="Times New Roman" w:hAnsi="Times New Roman" w:cs="Times New Roman"/>
          <w:sz w:val="24"/>
          <w:szCs w:val="24"/>
        </w:rPr>
        <w:t xml:space="preserve"> </w:t>
      </w:r>
      <w:r w:rsidR="00F27F8E" w:rsidRPr="006C33B1">
        <w:rPr>
          <w:rFonts w:ascii="Times New Roman" w:hAnsi="Times New Roman" w:cs="Times New Roman"/>
          <w:sz w:val="24"/>
          <w:szCs w:val="24"/>
        </w:rPr>
        <w:t xml:space="preserve">(Geneva: </w:t>
      </w:r>
      <w:r w:rsidRPr="006C33B1">
        <w:rPr>
          <w:rFonts w:ascii="Times New Roman" w:hAnsi="Times New Roman" w:cs="Times New Roman"/>
          <w:sz w:val="24"/>
          <w:szCs w:val="24"/>
        </w:rPr>
        <w:t>ICRC</w:t>
      </w:r>
      <w:r w:rsidR="00F27F8E" w:rsidRPr="006C33B1">
        <w:rPr>
          <w:rFonts w:ascii="Times New Roman" w:hAnsi="Times New Roman" w:cs="Times New Roman"/>
          <w:sz w:val="24"/>
          <w:szCs w:val="24"/>
        </w:rPr>
        <w:t xml:space="preserve">, </w:t>
      </w:r>
      <w:r w:rsidRPr="006C33B1">
        <w:rPr>
          <w:rFonts w:ascii="Times New Roman" w:hAnsi="Times New Roman" w:cs="Times New Roman"/>
          <w:sz w:val="24"/>
          <w:szCs w:val="24"/>
        </w:rPr>
        <w:t>2004), https://www.icrc.org/en/publication/0853-roots-behaviour-war-understanding-and-preventing-ihl-violations.</w:t>
      </w:r>
    </w:p>
  </w:endnote>
  <w:endnote w:id="56">
    <w:p w14:paraId="1497FC6D" w14:textId="5B245351"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57">
    <w:p w14:paraId="3966B7EA" w14:textId="53AD082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28–32.</w:t>
      </w:r>
    </w:p>
  </w:endnote>
  <w:endnote w:id="58">
    <w:p w14:paraId="6B5E00E0" w14:textId="5D775928"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59">
    <w:p w14:paraId="019C4A12" w14:textId="5D138085"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Jessica A. Stanton, </w:t>
      </w:r>
      <w:r w:rsidRPr="006C33B1">
        <w:rPr>
          <w:rFonts w:ascii="Times New Roman" w:hAnsi="Times New Roman" w:cs="Times New Roman"/>
          <w:i/>
          <w:iCs/>
          <w:sz w:val="24"/>
          <w:szCs w:val="24"/>
        </w:rPr>
        <w:t xml:space="preserve">Violence and Restraint in War </w:t>
      </w:r>
      <w:r w:rsidRPr="006C33B1">
        <w:rPr>
          <w:rFonts w:ascii="Times New Roman" w:hAnsi="Times New Roman" w:cs="Times New Roman"/>
          <w:sz w:val="24"/>
          <w:szCs w:val="24"/>
        </w:rPr>
        <w:t xml:space="preserve">(Cambridge: Cambridge University Press, 2016); Andrew M. Bell, “Military Culture and the Sources of Battlefield Restraint: Examining the Ugandan Civil Wars,” </w:t>
      </w:r>
      <w:r w:rsidRPr="006C33B1">
        <w:rPr>
          <w:rFonts w:ascii="Times New Roman" w:hAnsi="Times New Roman" w:cs="Times New Roman"/>
          <w:i/>
          <w:iCs/>
          <w:sz w:val="24"/>
          <w:szCs w:val="24"/>
        </w:rPr>
        <w:t xml:space="preserve">Security Studies </w:t>
      </w:r>
      <w:r w:rsidRPr="006C33B1">
        <w:rPr>
          <w:rFonts w:ascii="Times New Roman" w:hAnsi="Times New Roman" w:cs="Times New Roman"/>
          <w:sz w:val="24"/>
          <w:szCs w:val="24"/>
        </w:rPr>
        <w:t xml:space="preserve">25, no. 3 (2016): 488–518; Elisabeth J. Wood, “Armed Groups and Sexual Violence: When Is Wartime Rape Rare?” </w:t>
      </w:r>
      <w:r w:rsidRPr="006C33B1">
        <w:rPr>
          <w:rFonts w:ascii="Times New Roman" w:hAnsi="Times New Roman" w:cs="Times New Roman"/>
          <w:i/>
          <w:iCs/>
          <w:sz w:val="24"/>
          <w:szCs w:val="24"/>
        </w:rPr>
        <w:t xml:space="preserve">Politics &amp; Society </w:t>
      </w:r>
      <w:r w:rsidRPr="006C33B1">
        <w:rPr>
          <w:rFonts w:ascii="Times New Roman" w:hAnsi="Times New Roman" w:cs="Times New Roman"/>
          <w:sz w:val="24"/>
          <w:szCs w:val="24"/>
        </w:rPr>
        <w:t>37, no. 1 (2009)</w:t>
      </w:r>
      <w:r w:rsidR="00E132EA" w:rsidRPr="006C33B1">
        <w:rPr>
          <w:rFonts w:ascii="Times New Roman" w:hAnsi="Times New Roman" w:cs="Times New Roman"/>
          <w:sz w:val="24"/>
          <w:szCs w:val="24"/>
        </w:rPr>
        <w:t>:</w:t>
      </w:r>
      <w:r w:rsidRPr="006C33B1">
        <w:rPr>
          <w:rFonts w:ascii="Times New Roman" w:hAnsi="Times New Roman" w:cs="Times New Roman"/>
          <w:sz w:val="24"/>
          <w:szCs w:val="24"/>
        </w:rPr>
        <w:t xml:space="preserve"> 131–61; Amelia H. Green, </w:t>
      </w:r>
      <w:r w:rsidRPr="006C33B1">
        <w:rPr>
          <w:rFonts w:ascii="Times New Roman" w:hAnsi="Times New Roman" w:cs="Times New Roman"/>
          <w:i/>
          <w:iCs/>
          <w:sz w:val="24"/>
          <w:szCs w:val="24"/>
        </w:rPr>
        <w:t>The Commander’s Dilemma: Violence and Restraint in Wartime</w:t>
      </w:r>
      <w:r w:rsidRPr="006C33B1">
        <w:rPr>
          <w:rFonts w:ascii="Times New Roman" w:hAnsi="Times New Roman" w:cs="Times New Roman"/>
          <w:sz w:val="24"/>
          <w:szCs w:val="24"/>
        </w:rPr>
        <w:t xml:space="preserve"> (Ithaca</w:t>
      </w:r>
      <w:r w:rsidR="00352012" w:rsidRPr="006C33B1">
        <w:rPr>
          <w:rFonts w:ascii="Times New Roman" w:hAnsi="Times New Roman" w:cs="Times New Roman"/>
          <w:sz w:val="24"/>
          <w:szCs w:val="24"/>
        </w:rPr>
        <w:t>, NY</w:t>
      </w:r>
      <w:r w:rsidRPr="006C33B1">
        <w:rPr>
          <w:rFonts w:ascii="Times New Roman" w:hAnsi="Times New Roman" w:cs="Times New Roman"/>
          <w:sz w:val="24"/>
          <w:szCs w:val="24"/>
        </w:rPr>
        <w:t xml:space="preserve">: Cornell University Press, 2018); </w:t>
      </w:r>
      <w:r w:rsidR="00D30DB4" w:rsidRPr="006C33B1">
        <w:rPr>
          <w:rFonts w:ascii="Times New Roman" w:hAnsi="Times New Roman" w:cs="Times New Roman"/>
          <w:sz w:val="24"/>
          <w:szCs w:val="24"/>
        </w:rPr>
        <w:t xml:space="preserve">and </w:t>
      </w:r>
      <w:r w:rsidRPr="006C33B1">
        <w:rPr>
          <w:rFonts w:ascii="Times New Roman" w:hAnsi="Times New Roman" w:cs="Times New Roman"/>
          <w:sz w:val="24"/>
          <w:szCs w:val="24"/>
        </w:rPr>
        <w:t xml:space="preserve">Oliver Kaplan, “Nudging Armed Groups: How Civilians Transmit Norms of Protection,” </w:t>
      </w:r>
      <w:r w:rsidRPr="006C33B1">
        <w:rPr>
          <w:rFonts w:ascii="Times New Roman" w:hAnsi="Times New Roman" w:cs="Times New Roman"/>
          <w:i/>
          <w:iCs/>
          <w:sz w:val="24"/>
          <w:szCs w:val="24"/>
        </w:rPr>
        <w:t>Stability: International Journal of Security and Development</w:t>
      </w:r>
      <w:r w:rsidRPr="006C33B1">
        <w:rPr>
          <w:rFonts w:ascii="Times New Roman" w:hAnsi="Times New Roman" w:cs="Times New Roman"/>
          <w:sz w:val="24"/>
          <w:szCs w:val="24"/>
        </w:rPr>
        <w:t xml:space="preserve"> 2, no. 3 (2013)</w:t>
      </w:r>
      <w:r w:rsidR="00D30DB4" w:rsidRPr="006C33B1">
        <w:rPr>
          <w:rFonts w:ascii="Times New Roman" w:hAnsi="Times New Roman" w:cs="Times New Roman"/>
          <w:sz w:val="24"/>
          <w:szCs w:val="24"/>
        </w:rPr>
        <w:t>:</w:t>
      </w:r>
      <w:r w:rsidRPr="006C33B1">
        <w:rPr>
          <w:rFonts w:ascii="Times New Roman" w:hAnsi="Times New Roman" w:cs="Times New Roman"/>
          <w:sz w:val="24"/>
          <w:szCs w:val="24"/>
        </w:rPr>
        <w:t xml:space="preserve"> 62.</w:t>
      </w:r>
    </w:p>
  </w:endnote>
  <w:endnote w:id="60">
    <w:p w14:paraId="70387C00" w14:textId="503650C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Jeffrey T. Checkel, “Socialization and Violence: Introduction and Framework,” </w:t>
      </w:r>
      <w:r w:rsidRPr="006C33B1">
        <w:rPr>
          <w:rFonts w:ascii="Times New Roman" w:hAnsi="Times New Roman" w:cs="Times New Roman"/>
          <w:i/>
          <w:iCs/>
          <w:sz w:val="24"/>
          <w:szCs w:val="24"/>
        </w:rPr>
        <w:t xml:space="preserve">Journal of Peace Research </w:t>
      </w:r>
      <w:r w:rsidRPr="006C33B1">
        <w:rPr>
          <w:rFonts w:ascii="Times New Roman" w:hAnsi="Times New Roman" w:cs="Times New Roman"/>
          <w:sz w:val="24"/>
          <w:szCs w:val="24"/>
        </w:rPr>
        <w:t>54, no. 5 (2017): 592–605.</w:t>
      </w:r>
    </w:p>
  </w:endnote>
  <w:endnote w:id="61">
    <w:p w14:paraId="10A6347D" w14:textId="0B324DB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28–32.</w:t>
      </w:r>
    </w:p>
  </w:endnote>
  <w:endnote w:id="62">
    <w:p w14:paraId="0A9A95F5" w14:textId="42DAE5EA"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Fiona Terry and Brian McQuinn, </w:t>
      </w:r>
      <w:r w:rsidRPr="006C33B1">
        <w:rPr>
          <w:rFonts w:ascii="Times New Roman" w:hAnsi="Times New Roman" w:cs="Times New Roman"/>
          <w:i/>
          <w:iCs/>
          <w:sz w:val="24"/>
          <w:szCs w:val="24"/>
        </w:rPr>
        <w:t>The Roots of Restraint in War</w:t>
      </w:r>
      <w:r w:rsidRPr="006C33B1">
        <w:rPr>
          <w:rFonts w:ascii="Times New Roman" w:hAnsi="Times New Roman" w:cs="Times New Roman"/>
          <w:sz w:val="24"/>
          <w:szCs w:val="24"/>
        </w:rPr>
        <w:t xml:space="preserve"> </w:t>
      </w:r>
      <w:r w:rsidR="00B071EA" w:rsidRPr="006C33B1">
        <w:rPr>
          <w:rFonts w:ascii="Times New Roman" w:hAnsi="Times New Roman" w:cs="Times New Roman"/>
          <w:sz w:val="24"/>
          <w:szCs w:val="24"/>
        </w:rPr>
        <w:t xml:space="preserve">(Geneva: </w:t>
      </w:r>
      <w:r w:rsidRPr="006C33B1">
        <w:rPr>
          <w:rFonts w:ascii="Times New Roman" w:hAnsi="Times New Roman" w:cs="Times New Roman"/>
          <w:sz w:val="24"/>
          <w:szCs w:val="24"/>
        </w:rPr>
        <w:t>ICRC</w:t>
      </w:r>
      <w:r w:rsidR="00B071EA" w:rsidRPr="006C33B1">
        <w:rPr>
          <w:rFonts w:ascii="Times New Roman" w:hAnsi="Times New Roman" w:cs="Times New Roman"/>
          <w:sz w:val="24"/>
          <w:szCs w:val="24"/>
        </w:rPr>
        <w:t>,</w:t>
      </w:r>
      <w:r w:rsidRPr="006C33B1">
        <w:rPr>
          <w:rFonts w:ascii="Times New Roman" w:hAnsi="Times New Roman" w:cs="Times New Roman"/>
          <w:sz w:val="24"/>
          <w:szCs w:val="24"/>
        </w:rPr>
        <w:t xml:space="preserve"> 2018).</w:t>
      </w:r>
    </w:p>
  </w:endnote>
  <w:endnote w:id="63">
    <w:p w14:paraId="3CD1768E" w14:textId="0CB3205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28–32.</w:t>
      </w:r>
    </w:p>
  </w:endnote>
  <w:endnote w:id="64">
    <w:p w14:paraId="15C87E4C" w14:textId="07996EE5"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65">
    <w:p w14:paraId="79869FAB" w14:textId="4EEC2AE1"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w:t>
      </w:r>
    </w:p>
  </w:endnote>
  <w:endnote w:id="66">
    <w:p w14:paraId="29B46349" w14:textId="0D84009F" w:rsidR="00F62A39" w:rsidRPr="006C33B1" w:rsidRDefault="00F62A39">
      <w:pPr>
        <w:pStyle w:val="EndnoteText"/>
        <w:spacing w:line="480" w:lineRule="auto"/>
        <w:rPr>
          <w:rFonts w:ascii="Times New Roman" w:hAnsi="Times New Roman" w:cs="Times New Roman"/>
          <w:i/>
          <w:iCs/>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Oliver Kaplan, “Shootings and Shamans: Local Civilian Authority Structures and Civil War Violence in Colombia</w:t>
      </w:r>
      <w:r w:rsidR="00FA47EF" w:rsidRPr="006C33B1">
        <w:rPr>
          <w:rFonts w:ascii="Times New Roman" w:hAnsi="Times New Roman" w:cs="Times New Roman"/>
          <w:sz w:val="24"/>
          <w:szCs w:val="24"/>
        </w:rPr>
        <w:t>,</w:t>
      </w:r>
      <w:r w:rsidRPr="006C33B1">
        <w:rPr>
          <w:rFonts w:ascii="Times New Roman" w:hAnsi="Times New Roman" w:cs="Times New Roman"/>
          <w:sz w:val="24"/>
          <w:szCs w:val="24"/>
        </w:rPr>
        <w:t xml:space="preserve">” </w:t>
      </w:r>
      <w:r w:rsidR="00CE04B9" w:rsidRPr="006C33B1">
        <w:rPr>
          <w:rFonts w:ascii="Times New Roman" w:hAnsi="Times New Roman" w:cs="Times New Roman"/>
          <w:sz w:val="24"/>
          <w:szCs w:val="24"/>
        </w:rPr>
        <w:t xml:space="preserve">draft of </w:t>
      </w:r>
      <w:r w:rsidR="00FA47EF" w:rsidRPr="006C33B1">
        <w:rPr>
          <w:rFonts w:ascii="Times New Roman" w:hAnsi="Times New Roman" w:cs="Times New Roman"/>
          <w:sz w:val="24"/>
          <w:szCs w:val="24"/>
        </w:rPr>
        <w:t xml:space="preserve">paper, </w:t>
      </w:r>
      <w:r w:rsidRPr="006C33B1">
        <w:rPr>
          <w:rFonts w:ascii="Times New Roman" w:hAnsi="Times New Roman" w:cs="Times New Roman"/>
          <w:sz w:val="24"/>
          <w:szCs w:val="24"/>
        </w:rPr>
        <w:t>25 July 2012, http://dx.doi.org/10.2139/ssrn.2102751.</w:t>
      </w:r>
    </w:p>
  </w:endnote>
  <w:endnote w:id="67">
    <w:p w14:paraId="7BD38EFE" w14:textId="3222F3AF"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Gilles Carbonnier, </w:t>
      </w:r>
      <w:r w:rsidRPr="006C33B1">
        <w:rPr>
          <w:rFonts w:ascii="Times New Roman" w:hAnsi="Times New Roman" w:cs="Times New Roman"/>
          <w:i/>
          <w:iCs/>
          <w:sz w:val="24"/>
          <w:szCs w:val="24"/>
        </w:rPr>
        <w:t>Humanitarian Economics: War, Disaster and the Global Aid Market</w:t>
      </w:r>
      <w:r w:rsidRPr="006C33B1">
        <w:rPr>
          <w:rFonts w:ascii="Times New Roman" w:hAnsi="Times New Roman" w:cs="Times New Roman"/>
          <w:sz w:val="24"/>
          <w:szCs w:val="24"/>
        </w:rPr>
        <w:t xml:space="preserve"> (London: Hurst, 2015), 20.</w:t>
      </w:r>
    </w:p>
  </w:endnote>
  <w:endnote w:id="68">
    <w:p w14:paraId="511572A4" w14:textId="74EC169D"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ICRC, </w:t>
      </w:r>
      <w:r w:rsidRPr="006C33B1">
        <w:rPr>
          <w:rFonts w:ascii="Times New Roman" w:hAnsi="Times New Roman" w:cs="Times New Roman"/>
          <w:i/>
          <w:iCs/>
          <w:sz w:val="24"/>
          <w:szCs w:val="24"/>
        </w:rPr>
        <w:t>Professional Standards for Protection Work</w:t>
      </w:r>
      <w:r w:rsidRPr="006C33B1">
        <w:rPr>
          <w:rFonts w:ascii="Times New Roman" w:hAnsi="Times New Roman" w:cs="Times New Roman"/>
          <w:sz w:val="24"/>
          <w:szCs w:val="24"/>
        </w:rPr>
        <w:t>, 28–32.</w:t>
      </w:r>
    </w:p>
  </w:endnote>
  <w:endnote w:id="69">
    <w:p w14:paraId="18BD314B" w14:textId="038984F2"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McQuinn et al., “Promoting Restraint in War.”</w:t>
      </w:r>
    </w:p>
  </w:endnote>
  <w:endnote w:id="70">
    <w:p w14:paraId="09ACDEA1" w14:textId="32321968"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See, for example, the analysis of Ansar Dine’s actions in Mali</w:t>
      </w:r>
      <w:r w:rsidR="0067041F" w:rsidRPr="006C33B1">
        <w:rPr>
          <w:rFonts w:ascii="Times New Roman" w:hAnsi="Times New Roman" w:cs="Times New Roman"/>
          <w:sz w:val="24"/>
          <w:szCs w:val="24"/>
        </w:rPr>
        <w:t>,</w:t>
      </w:r>
      <w:r w:rsidR="006C6E4D" w:rsidRPr="006C33B1">
        <w:rPr>
          <w:rFonts w:ascii="Times New Roman" w:hAnsi="Times New Roman" w:cs="Times New Roman"/>
          <w:sz w:val="24"/>
          <w:szCs w:val="24"/>
        </w:rPr>
        <w:t xml:space="preserve"> in</w:t>
      </w:r>
      <w:r w:rsidR="004773BA" w:rsidRPr="006C33B1">
        <w:rPr>
          <w:rFonts w:ascii="Times New Roman" w:hAnsi="Times New Roman" w:cs="Times New Roman"/>
          <w:sz w:val="24"/>
          <w:szCs w:val="24"/>
        </w:rPr>
        <w:t xml:space="preserve"> </w:t>
      </w:r>
      <w:r w:rsidR="003A47A4" w:rsidRPr="006C33B1">
        <w:rPr>
          <w:rFonts w:ascii="Times New Roman" w:hAnsi="Times New Roman" w:cs="Times New Roman"/>
          <w:sz w:val="24"/>
          <w:szCs w:val="24"/>
        </w:rPr>
        <w:t xml:space="preserve">Geneva Call, </w:t>
      </w:r>
      <w:r w:rsidR="003A47A4" w:rsidRPr="006C33B1">
        <w:rPr>
          <w:rFonts w:ascii="Times New Roman" w:hAnsi="Times New Roman" w:cs="Times New Roman"/>
          <w:i/>
          <w:iCs/>
          <w:sz w:val="24"/>
          <w:szCs w:val="24"/>
        </w:rPr>
        <w:t>Culture under Fire</w:t>
      </w:r>
      <w:r w:rsidR="003A47A4" w:rsidRPr="006C33B1">
        <w:rPr>
          <w:rFonts w:ascii="Times New Roman" w:hAnsi="Times New Roman" w:cs="Times New Roman"/>
          <w:sz w:val="24"/>
          <w:szCs w:val="24"/>
        </w:rPr>
        <w:t>, 49–50.</w:t>
      </w:r>
    </w:p>
  </w:endnote>
  <w:endnote w:id="71">
    <w:p w14:paraId="684C73CD" w14:textId="377333D1"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Examples include the </w:t>
      </w:r>
      <w:r w:rsidR="0067041F" w:rsidRPr="006C33B1">
        <w:rPr>
          <w:rFonts w:ascii="Times New Roman" w:hAnsi="Times New Roman" w:cs="Times New Roman"/>
          <w:sz w:val="24"/>
          <w:szCs w:val="24"/>
        </w:rPr>
        <w:t>UNESCO d</w:t>
      </w:r>
      <w:r w:rsidRPr="006C33B1">
        <w:rPr>
          <w:rFonts w:ascii="Times New Roman" w:hAnsi="Times New Roman" w:cs="Times New Roman"/>
          <w:sz w:val="24"/>
          <w:szCs w:val="24"/>
        </w:rPr>
        <w:t>irector</w:t>
      </w:r>
      <w:r w:rsidR="0067041F" w:rsidRPr="006C33B1">
        <w:rPr>
          <w:rFonts w:ascii="Times New Roman" w:hAnsi="Times New Roman" w:cs="Times New Roman"/>
          <w:sz w:val="24"/>
          <w:szCs w:val="24"/>
        </w:rPr>
        <w:t>-g</w:t>
      </w:r>
      <w:r w:rsidRPr="006C33B1">
        <w:rPr>
          <w:rFonts w:ascii="Times New Roman" w:hAnsi="Times New Roman" w:cs="Times New Roman"/>
          <w:sz w:val="24"/>
          <w:szCs w:val="24"/>
        </w:rPr>
        <w:t xml:space="preserve">eneral’s contact in 2001 with Mullah Omar over Taliban threats to destroy the Buddhas </w:t>
      </w:r>
      <w:r w:rsidR="001F0BE8" w:rsidRPr="006C33B1">
        <w:rPr>
          <w:rFonts w:ascii="Times New Roman" w:hAnsi="Times New Roman" w:cs="Times New Roman"/>
          <w:sz w:val="24"/>
          <w:szCs w:val="24"/>
        </w:rPr>
        <w:t xml:space="preserve">of Bamiyan </w:t>
      </w:r>
      <w:r w:rsidRPr="006C33B1">
        <w:rPr>
          <w:rFonts w:ascii="Times New Roman" w:hAnsi="Times New Roman" w:cs="Times New Roman"/>
          <w:sz w:val="24"/>
          <w:szCs w:val="24"/>
        </w:rPr>
        <w:t>in Afghanistan, and in 2004 with the SPLA over the fate of Garamba National Park</w:t>
      </w:r>
      <w:r w:rsidR="00F662E1" w:rsidRPr="006C33B1">
        <w:rPr>
          <w:rFonts w:ascii="Times New Roman" w:hAnsi="Times New Roman" w:cs="Times New Roman"/>
          <w:sz w:val="24"/>
          <w:szCs w:val="24"/>
        </w:rPr>
        <w:t xml:space="preserve"> in the Democratic Republic of the Congo</w:t>
      </w:r>
      <w:r w:rsidR="00B5480A" w:rsidRPr="006C33B1">
        <w:rPr>
          <w:rFonts w:ascii="Times New Roman" w:hAnsi="Times New Roman" w:cs="Times New Roman"/>
          <w:sz w:val="24"/>
          <w:szCs w:val="24"/>
        </w:rPr>
        <w:t>,</w:t>
      </w:r>
      <w:r w:rsidR="000B532E" w:rsidRPr="006C33B1">
        <w:rPr>
          <w:rFonts w:ascii="Times New Roman" w:hAnsi="Times New Roman" w:cs="Times New Roman"/>
          <w:sz w:val="24"/>
          <w:szCs w:val="24"/>
        </w:rPr>
        <w:t xml:space="preserve"> along the border with South Sudan</w:t>
      </w:r>
      <w:r w:rsidRPr="006C33B1">
        <w:rPr>
          <w:rFonts w:ascii="Times New Roman" w:hAnsi="Times New Roman" w:cs="Times New Roman"/>
          <w:sz w:val="24"/>
          <w:szCs w:val="24"/>
        </w:rPr>
        <w:t xml:space="preserve">. </w:t>
      </w:r>
    </w:p>
  </w:endnote>
  <w:endnote w:id="72">
    <w:p w14:paraId="558EBE83" w14:textId="5765EE3B"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Geneva Call, </w:t>
      </w:r>
      <w:r w:rsidRPr="006C33B1">
        <w:rPr>
          <w:rFonts w:ascii="Times New Roman" w:hAnsi="Times New Roman" w:cs="Times New Roman"/>
          <w:i/>
          <w:iCs/>
          <w:sz w:val="24"/>
          <w:szCs w:val="24"/>
        </w:rPr>
        <w:t xml:space="preserve">Culture </w:t>
      </w:r>
      <w:r w:rsidR="00776478" w:rsidRPr="006C33B1">
        <w:rPr>
          <w:rFonts w:ascii="Times New Roman" w:hAnsi="Times New Roman" w:cs="Times New Roman"/>
          <w:i/>
          <w:iCs/>
          <w:sz w:val="24"/>
          <w:szCs w:val="24"/>
        </w:rPr>
        <w:t>u</w:t>
      </w:r>
      <w:r w:rsidRPr="006C33B1">
        <w:rPr>
          <w:rFonts w:ascii="Times New Roman" w:hAnsi="Times New Roman" w:cs="Times New Roman"/>
          <w:i/>
          <w:iCs/>
          <w:sz w:val="24"/>
          <w:szCs w:val="24"/>
        </w:rPr>
        <w:t>nder Fire</w:t>
      </w:r>
      <w:r w:rsidRPr="006C33B1">
        <w:rPr>
          <w:rFonts w:ascii="Times New Roman" w:hAnsi="Times New Roman" w:cs="Times New Roman"/>
          <w:sz w:val="24"/>
          <w:szCs w:val="24"/>
        </w:rPr>
        <w:t>, 55.</w:t>
      </w:r>
    </w:p>
  </w:endnote>
  <w:endnote w:id="73">
    <w:p w14:paraId="2A0B2908" w14:textId="57535336" w:rsidR="00F62A39" w:rsidRPr="006C33B1" w:rsidRDefault="00F62A39">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The only case in which contact with a designated entity is legally prohibited is in the funding agreement of one donor, </w:t>
      </w:r>
      <w:r w:rsidR="003B6050" w:rsidRPr="006C33B1">
        <w:rPr>
          <w:rFonts w:ascii="Times New Roman" w:hAnsi="Times New Roman" w:cs="Times New Roman"/>
          <w:sz w:val="24"/>
          <w:szCs w:val="24"/>
        </w:rPr>
        <w:t xml:space="preserve">the United States Agency for International Development </w:t>
      </w:r>
      <w:r w:rsidR="004148BF" w:rsidRPr="006C33B1">
        <w:rPr>
          <w:rFonts w:ascii="Times New Roman" w:hAnsi="Times New Roman" w:cs="Times New Roman"/>
          <w:sz w:val="24"/>
          <w:szCs w:val="24"/>
        </w:rPr>
        <w:t>(</w:t>
      </w:r>
      <w:r w:rsidRPr="006C33B1">
        <w:rPr>
          <w:rFonts w:ascii="Times New Roman" w:hAnsi="Times New Roman" w:cs="Times New Roman"/>
          <w:sz w:val="24"/>
          <w:szCs w:val="24"/>
        </w:rPr>
        <w:t>USAID</w:t>
      </w:r>
      <w:r w:rsidR="004148BF" w:rsidRPr="006C33B1">
        <w:rPr>
          <w:rFonts w:ascii="Times New Roman" w:hAnsi="Times New Roman" w:cs="Times New Roman"/>
          <w:sz w:val="24"/>
          <w:szCs w:val="24"/>
        </w:rPr>
        <w:t>)</w:t>
      </w:r>
      <w:r w:rsidRPr="006C33B1">
        <w:rPr>
          <w:rFonts w:ascii="Times New Roman" w:hAnsi="Times New Roman" w:cs="Times New Roman"/>
          <w:sz w:val="24"/>
          <w:szCs w:val="24"/>
        </w:rPr>
        <w:t xml:space="preserve">, in relation to its operations in Gaza. This provision was motivated by a political rather than </w:t>
      </w:r>
      <w:r w:rsidR="003666A5" w:rsidRPr="006C33B1">
        <w:rPr>
          <w:rFonts w:ascii="Times New Roman" w:hAnsi="Times New Roman" w:cs="Times New Roman"/>
          <w:sz w:val="24"/>
          <w:szCs w:val="24"/>
        </w:rPr>
        <w:t>counterterrorism</w:t>
      </w:r>
      <w:r w:rsidR="00FD0695" w:rsidRPr="006C33B1">
        <w:rPr>
          <w:rFonts w:ascii="Times New Roman" w:hAnsi="Times New Roman" w:cs="Times New Roman"/>
          <w:sz w:val="24"/>
          <w:szCs w:val="24"/>
        </w:rPr>
        <w:t>-</w:t>
      </w:r>
      <w:r w:rsidRPr="006C33B1">
        <w:rPr>
          <w:rFonts w:ascii="Times New Roman" w:hAnsi="Times New Roman" w:cs="Times New Roman"/>
          <w:sz w:val="24"/>
          <w:szCs w:val="24"/>
        </w:rPr>
        <w:t xml:space="preserve">related objective: to deny visibility or legitimacy to Hamas. See </w:t>
      </w:r>
      <w:r w:rsidRPr="006C33B1">
        <w:rPr>
          <w:rFonts w:ascii="Times New Roman" w:hAnsi="Times New Roman" w:cs="Times New Roman"/>
          <w:color w:val="000000" w:themeColor="text1"/>
          <w:sz w:val="24"/>
          <w:szCs w:val="24"/>
        </w:rPr>
        <w:t xml:space="preserve">USAID West Bank/Gaza, </w:t>
      </w:r>
      <w:r w:rsidR="005B5A1D" w:rsidRPr="006C33B1">
        <w:rPr>
          <w:rFonts w:ascii="Times New Roman" w:eastAsiaTheme="minorHAnsi" w:hAnsi="Times New Roman" w:cs="Times New Roman"/>
          <w:color w:val="000000" w:themeColor="text1"/>
          <w:sz w:val="24"/>
          <w:szCs w:val="24"/>
        </w:rPr>
        <w:t>“</w:t>
      </w:r>
      <w:r w:rsidRPr="006C33B1">
        <w:rPr>
          <w:rFonts w:ascii="Times New Roman" w:eastAsiaTheme="minorHAnsi" w:hAnsi="Times New Roman" w:cs="Times New Roman"/>
          <w:color w:val="000000" w:themeColor="text1"/>
          <w:sz w:val="24"/>
          <w:szCs w:val="24"/>
        </w:rPr>
        <w:t>Contact Policy for the Palestinian Authority</w:t>
      </w:r>
      <w:r w:rsidR="005B5A1D" w:rsidRPr="006C33B1">
        <w:rPr>
          <w:rFonts w:ascii="Times New Roman" w:eastAsiaTheme="minorHAnsi" w:hAnsi="Times New Roman" w:cs="Times New Roman"/>
          <w:color w:val="000000" w:themeColor="text1"/>
          <w:sz w:val="24"/>
          <w:szCs w:val="24"/>
        </w:rPr>
        <w:t>,” Notice No. 2006-WBG-17, 26 April 2006</w:t>
      </w:r>
      <w:r w:rsidRPr="006C33B1">
        <w:rPr>
          <w:rFonts w:ascii="Times New Roman" w:eastAsiaTheme="minorHAnsi" w:hAnsi="Times New Roman" w:cs="Times New Roman"/>
          <w:color w:val="000000" w:themeColor="text1"/>
          <w:sz w:val="24"/>
          <w:szCs w:val="24"/>
        </w:rPr>
        <w:t>. I am grateful to Emanuela-Chiara Gillard for pointing me to this source.</w:t>
      </w:r>
    </w:p>
  </w:endnote>
  <w:endnote w:id="74">
    <w:p w14:paraId="37771B23" w14:textId="74E1FB0B" w:rsidR="005B2D4E" w:rsidRPr="006C33B1" w:rsidRDefault="005B2D4E">
      <w:pPr>
        <w:spacing w:line="480" w:lineRule="auto"/>
        <w:rPr>
          <w:rFonts w:ascii="Times New Roman" w:hAnsi="Times New Roman" w:cs="Times New Roman"/>
          <w:color w:val="000000"/>
          <w:bdr w:val="none" w:sz="0" w:space="0" w:color="auto" w:frame="1"/>
          <w:shd w:val="clear" w:color="auto" w:fill="FFFFFF"/>
        </w:rPr>
      </w:pPr>
      <w:r w:rsidRPr="006C33B1">
        <w:rPr>
          <w:rStyle w:val="EndnoteReference"/>
          <w:rFonts w:ascii="Times New Roman" w:hAnsi="Times New Roman" w:cs="Times New Roman"/>
        </w:rPr>
        <w:endnoteRef/>
      </w:r>
      <w:r w:rsidRPr="006C33B1">
        <w:rPr>
          <w:rFonts w:ascii="Times New Roman" w:hAnsi="Times New Roman" w:cs="Times New Roman"/>
        </w:rPr>
        <w:t xml:space="preserve"> Emanuela-Chiara </w:t>
      </w:r>
      <w:r w:rsidRPr="006C33B1">
        <w:rPr>
          <w:rFonts w:ascii="Times New Roman" w:hAnsi="Times New Roman" w:cs="Times New Roman"/>
          <w:color w:val="201F1E"/>
          <w:bdr w:val="none" w:sz="0" w:space="0" w:color="auto" w:frame="1"/>
          <w:shd w:val="clear" w:color="auto" w:fill="FFFFFF"/>
        </w:rPr>
        <w:t>Gillard, “</w:t>
      </w:r>
      <w:r w:rsidRPr="006C33B1">
        <w:rPr>
          <w:rFonts w:ascii="Times New Roman" w:hAnsi="Times New Roman" w:cs="Times New Roman"/>
          <w:color w:val="000000"/>
          <w:bdr w:val="none" w:sz="0" w:space="0" w:color="auto" w:frame="1"/>
          <w:shd w:val="clear" w:color="auto" w:fill="FFFFFF"/>
        </w:rPr>
        <w:t>Humanitarian Action in Gaza: Covid-19 as a Catalyst for Alleviating Counterterrorism-Related Restrictions?” Expert Opinion</w:t>
      </w:r>
      <w:r w:rsidR="00F115F1" w:rsidRPr="006C33B1">
        <w:rPr>
          <w:rFonts w:ascii="Times New Roman" w:hAnsi="Times New Roman" w:cs="Times New Roman"/>
          <w:color w:val="000000"/>
          <w:bdr w:val="none" w:sz="0" w:space="0" w:color="auto" w:frame="1"/>
          <w:shd w:val="clear" w:color="auto" w:fill="FFFFFF"/>
        </w:rPr>
        <w:t>,</w:t>
      </w:r>
      <w:r w:rsidRPr="006C33B1">
        <w:rPr>
          <w:rFonts w:ascii="Times New Roman" w:hAnsi="Times New Roman" w:cs="Times New Roman"/>
          <w:color w:val="000000"/>
          <w:bdr w:val="none" w:sz="0" w:space="0" w:color="auto" w:frame="1"/>
          <w:shd w:val="clear" w:color="auto" w:fill="FFFFFF"/>
        </w:rPr>
        <w:t xml:space="preserve"> </w:t>
      </w:r>
      <w:r w:rsidR="00F115F1" w:rsidRPr="006C33B1">
        <w:rPr>
          <w:rFonts w:ascii="Times New Roman" w:hAnsi="Times New Roman" w:cs="Times New Roman"/>
          <w:color w:val="000000"/>
          <w:bdr w:val="none" w:sz="0" w:space="0" w:color="auto" w:frame="1"/>
          <w:shd w:val="clear" w:color="auto" w:fill="FFFFFF"/>
        </w:rPr>
        <w:t>c</w:t>
      </w:r>
      <w:r w:rsidRPr="006C33B1">
        <w:rPr>
          <w:rFonts w:ascii="Times New Roman" w:hAnsi="Times New Roman" w:cs="Times New Roman"/>
          <w:color w:val="000000"/>
          <w:bdr w:val="none" w:sz="0" w:space="0" w:color="auto" w:frame="1"/>
          <w:shd w:val="clear" w:color="auto" w:fill="FFFFFF"/>
        </w:rPr>
        <w:t xml:space="preserve">ommissioned by the Norwegian Refugee Council, </w:t>
      </w:r>
      <w:r w:rsidR="00F115F1" w:rsidRPr="006C33B1">
        <w:rPr>
          <w:rFonts w:ascii="Times New Roman" w:hAnsi="Times New Roman" w:cs="Times New Roman"/>
          <w:color w:val="000000"/>
          <w:bdr w:val="none" w:sz="0" w:space="0" w:color="auto" w:frame="1"/>
          <w:shd w:val="clear" w:color="auto" w:fill="FFFFFF"/>
        </w:rPr>
        <w:t xml:space="preserve">May </w:t>
      </w:r>
      <w:r w:rsidRPr="006C33B1">
        <w:rPr>
          <w:rFonts w:ascii="Times New Roman" w:hAnsi="Times New Roman" w:cs="Times New Roman"/>
          <w:color w:val="000000"/>
          <w:bdr w:val="none" w:sz="0" w:space="0" w:color="auto" w:frame="1"/>
          <w:shd w:val="clear" w:color="auto" w:fill="FFFFFF"/>
        </w:rPr>
        <w:t>2021, </w:t>
      </w:r>
      <w:r w:rsidR="007C3E8C" w:rsidRPr="006C33B1">
        <w:rPr>
          <w:rFonts w:ascii="Times New Roman" w:hAnsi="Times New Roman" w:cs="Times New Roman"/>
          <w:color w:val="000000"/>
        </w:rPr>
        <w:t>http://bit.ly/GillardEO2021</w:t>
      </w:r>
      <w:r w:rsidRPr="006C33B1">
        <w:rPr>
          <w:rFonts w:ascii="Times New Roman" w:hAnsi="Times New Roman" w:cs="Times New Roman"/>
          <w:color w:val="000000"/>
          <w:bdr w:val="none" w:sz="0" w:space="0" w:color="auto" w:frame="1"/>
          <w:shd w:val="clear" w:color="auto" w:fill="FFFFFF"/>
        </w:rPr>
        <w:t>.</w:t>
      </w:r>
    </w:p>
  </w:endnote>
  <w:endnote w:id="75">
    <w:p w14:paraId="3EB7CEC2" w14:textId="74D634A2" w:rsidR="00524F67" w:rsidRPr="006C33B1" w:rsidRDefault="00524F67">
      <w:pPr>
        <w:spacing w:line="480" w:lineRule="auto"/>
        <w:rPr>
          <w:rFonts w:ascii="Times New Roman" w:eastAsia="Times New Roman" w:hAnsi="Times New Roman" w:cs="Times New Roman"/>
        </w:rPr>
      </w:pPr>
      <w:r w:rsidRPr="006C33B1">
        <w:rPr>
          <w:rStyle w:val="EndnoteReference"/>
          <w:rFonts w:ascii="Times New Roman" w:hAnsi="Times New Roman" w:cs="Times New Roman"/>
        </w:rPr>
        <w:endnoteRef/>
      </w:r>
      <w:r w:rsidRPr="006C33B1">
        <w:rPr>
          <w:rFonts w:ascii="Times New Roman" w:hAnsi="Times New Roman" w:cs="Times New Roman"/>
        </w:rPr>
        <w:t xml:space="preserve"> In this case, the </w:t>
      </w:r>
      <w:r w:rsidRPr="006C33B1">
        <w:rPr>
          <w:rFonts w:ascii="Times New Roman" w:eastAsia="Times New Roman" w:hAnsi="Times New Roman" w:cs="Times New Roman"/>
          <w:color w:val="000000"/>
        </w:rPr>
        <w:t>army alleged that humanitarian organi</w:t>
      </w:r>
      <w:r w:rsidR="00021F64" w:rsidRPr="006C33B1">
        <w:rPr>
          <w:rFonts w:ascii="Times New Roman" w:eastAsia="Times New Roman" w:hAnsi="Times New Roman" w:cs="Times New Roman"/>
          <w:color w:val="000000"/>
        </w:rPr>
        <w:t>z</w:t>
      </w:r>
      <w:r w:rsidRPr="006C33B1">
        <w:rPr>
          <w:rFonts w:ascii="Times New Roman" w:eastAsia="Times New Roman" w:hAnsi="Times New Roman" w:cs="Times New Roman"/>
          <w:color w:val="000000"/>
        </w:rPr>
        <w:t xml:space="preserve">ations were </w:t>
      </w:r>
      <w:r w:rsidR="008F5B0D" w:rsidRPr="006C33B1">
        <w:rPr>
          <w:rFonts w:ascii="Times New Roman" w:eastAsia="Times New Roman" w:hAnsi="Times New Roman" w:cs="Times New Roman"/>
          <w:color w:val="000000"/>
        </w:rPr>
        <w:t>“</w:t>
      </w:r>
      <w:r w:rsidRPr="006C33B1">
        <w:rPr>
          <w:rFonts w:ascii="Times New Roman" w:eastAsia="Times New Roman" w:hAnsi="Times New Roman" w:cs="Times New Roman"/>
          <w:color w:val="000000"/>
        </w:rPr>
        <w:t>aiding and abetting terrorism</w:t>
      </w:r>
      <w:r w:rsidR="008F5B0D" w:rsidRPr="006C33B1">
        <w:rPr>
          <w:rFonts w:ascii="Times New Roman" w:eastAsia="Times New Roman" w:hAnsi="Times New Roman" w:cs="Times New Roman"/>
          <w:color w:val="000000"/>
        </w:rPr>
        <w:t>”</w:t>
      </w:r>
      <w:r w:rsidRPr="006C33B1">
        <w:rPr>
          <w:rFonts w:ascii="Times New Roman" w:eastAsia="Times New Roman" w:hAnsi="Times New Roman" w:cs="Times New Roman"/>
          <w:color w:val="000000"/>
        </w:rPr>
        <w:t xml:space="preserve"> by supplying food and drugs, and not merely engaging in contact. See Lucy Lamble, </w:t>
      </w:r>
      <w:r w:rsidR="001420DD" w:rsidRPr="006C33B1">
        <w:rPr>
          <w:rFonts w:ascii="Times New Roman" w:eastAsia="Times New Roman" w:hAnsi="Times New Roman" w:cs="Times New Roman"/>
          <w:color w:val="000000"/>
        </w:rPr>
        <w:t>“</w:t>
      </w:r>
      <w:r w:rsidRPr="006C33B1">
        <w:rPr>
          <w:rFonts w:ascii="Times New Roman" w:eastAsia="Times New Roman" w:hAnsi="Times New Roman" w:cs="Times New Roman"/>
          <w:color w:val="000000"/>
        </w:rPr>
        <w:t xml:space="preserve">Nigerian </w:t>
      </w:r>
      <w:r w:rsidR="00804029" w:rsidRPr="006C33B1">
        <w:rPr>
          <w:rFonts w:ascii="Times New Roman" w:eastAsia="Times New Roman" w:hAnsi="Times New Roman" w:cs="Times New Roman"/>
          <w:color w:val="000000"/>
        </w:rPr>
        <w:t>A</w:t>
      </w:r>
      <w:r w:rsidRPr="006C33B1">
        <w:rPr>
          <w:rFonts w:ascii="Times New Roman" w:eastAsia="Times New Roman" w:hAnsi="Times New Roman" w:cs="Times New Roman"/>
          <w:color w:val="000000"/>
        </w:rPr>
        <w:t xml:space="preserve">rmy </w:t>
      </w:r>
      <w:r w:rsidR="00804029" w:rsidRPr="006C33B1">
        <w:rPr>
          <w:rFonts w:ascii="Times New Roman" w:eastAsia="Times New Roman" w:hAnsi="Times New Roman" w:cs="Times New Roman"/>
          <w:color w:val="000000"/>
        </w:rPr>
        <w:t>O</w:t>
      </w:r>
      <w:r w:rsidRPr="006C33B1">
        <w:rPr>
          <w:rFonts w:ascii="Times New Roman" w:eastAsia="Times New Roman" w:hAnsi="Times New Roman" w:cs="Times New Roman"/>
          <w:color w:val="000000"/>
        </w:rPr>
        <w:t xml:space="preserve">rders </w:t>
      </w:r>
      <w:r w:rsidR="00804029" w:rsidRPr="006C33B1">
        <w:rPr>
          <w:rFonts w:ascii="Times New Roman" w:eastAsia="Times New Roman" w:hAnsi="Times New Roman" w:cs="Times New Roman"/>
          <w:color w:val="000000"/>
        </w:rPr>
        <w:t>C</w:t>
      </w:r>
      <w:r w:rsidRPr="006C33B1">
        <w:rPr>
          <w:rFonts w:ascii="Times New Roman" w:eastAsia="Times New Roman" w:hAnsi="Times New Roman" w:cs="Times New Roman"/>
          <w:color w:val="000000"/>
        </w:rPr>
        <w:t xml:space="preserve">losure of </w:t>
      </w:r>
      <w:r w:rsidR="00804029" w:rsidRPr="006C33B1">
        <w:rPr>
          <w:rFonts w:ascii="Times New Roman" w:eastAsia="Times New Roman" w:hAnsi="Times New Roman" w:cs="Times New Roman"/>
          <w:color w:val="000000"/>
        </w:rPr>
        <w:t>A</w:t>
      </w:r>
      <w:r w:rsidRPr="006C33B1">
        <w:rPr>
          <w:rFonts w:ascii="Times New Roman" w:eastAsia="Times New Roman" w:hAnsi="Times New Roman" w:cs="Times New Roman"/>
          <w:color w:val="000000"/>
        </w:rPr>
        <w:t xml:space="preserve">id </w:t>
      </w:r>
      <w:r w:rsidR="00804029" w:rsidRPr="006C33B1">
        <w:rPr>
          <w:rFonts w:ascii="Times New Roman" w:eastAsia="Times New Roman" w:hAnsi="Times New Roman" w:cs="Times New Roman"/>
          <w:color w:val="000000"/>
        </w:rPr>
        <w:t>A</w:t>
      </w:r>
      <w:r w:rsidRPr="006C33B1">
        <w:rPr>
          <w:rFonts w:ascii="Times New Roman" w:eastAsia="Times New Roman" w:hAnsi="Times New Roman" w:cs="Times New Roman"/>
          <w:color w:val="000000"/>
        </w:rPr>
        <w:t xml:space="preserve">gency for </w:t>
      </w:r>
      <w:r w:rsidR="001420DD" w:rsidRPr="006C33B1">
        <w:rPr>
          <w:rFonts w:ascii="Times New Roman" w:eastAsia="Times New Roman" w:hAnsi="Times New Roman" w:cs="Times New Roman"/>
          <w:color w:val="000000"/>
        </w:rPr>
        <w:t>‘</w:t>
      </w:r>
      <w:r w:rsidR="00804029" w:rsidRPr="006C33B1">
        <w:rPr>
          <w:rFonts w:ascii="Times New Roman" w:eastAsia="Times New Roman" w:hAnsi="Times New Roman" w:cs="Times New Roman"/>
          <w:color w:val="000000"/>
        </w:rPr>
        <w:t>A</w:t>
      </w:r>
      <w:r w:rsidRPr="006C33B1">
        <w:rPr>
          <w:rFonts w:ascii="Times New Roman" w:eastAsia="Times New Roman" w:hAnsi="Times New Roman" w:cs="Times New Roman"/>
          <w:color w:val="000000"/>
        </w:rPr>
        <w:t xml:space="preserve">iding </w:t>
      </w:r>
      <w:r w:rsidR="00804029" w:rsidRPr="006C33B1">
        <w:rPr>
          <w:rFonts w:ascii="Times New Roman" w:eastAsia="Times New Roman" w:hAnsi="Times New Roman" w:cs="Times New Roman"/>
          <w:color w:val="000000"/>
        </w:rPr>
        <w:t>T</w:t>
      </w:r>
      <w:r w:rsidRPr="006C33B1">
        <w:rPr>
          <w:rFonts w:ascii="Times New Roman" w:eastAsia="Times New Roman" w:hAnsi="Times New Roman" w:cs="Times New Roman"/>
          <w:color w:val="000000"/>
        </w:rPr>
        <w:t>errorism</w:t>
      </w:r>
      <w:r w:rsidR="008F5B0D" w:rsidRPr="006C33B1">
        <w:rPr>
          <w:rFonts w:ascii="Times New Roman" w:eastAsia="Times New Roman" w:hAnsi="Times New Roman" w:cs="Times New Roman"/>
          <w:color w:val="000000"/>
        </w:rPr>
        <w:t>,</w:t>
      </w:r>
      <w:r w:rsidR="001420DD" w:rsidRPr="006C33B1">
        <w:rPr>
          <w:rFonts w:ascii="Times New Roman" w:eastAsia="Times New Roman" w:hAnsi="Times New Roman" w:cs="Times New Roman"/>
          <w:color w:val="000000"/>
        </w:rPr>
        <w:t>’”</w:t>
      </w:r>
      <w:r w:rsidRPr="006C33B1">
        <w:rPr>
          <w:rFonts w:ascii="Times New Roman" w:eastAsia="Times New Roman" w:hAnsi="Times New Roman" w:cs="Times New Roman"/>
          <w:color w:val="000000"/>
        </w:rPr>
        <w:t xml:space="preserve"> </w:t>
      </w:r>
      <w:r w:rsidRPr="006C33B1">
        <w:rPr>
          <w:rFonts w:ascii="Times New Roman" w:eastAsia="Times New Roman" w:hAnsi="Times New Roman" w:cs="Times New Roman"/>
          <w:i/>
          <w:iCs/>
          <w:color w:val="000000"/>
        </w:rPr>
        <w:t>Guardian</w:t>
      </w:r>
      <w:r w:rsidRPr="006C33B1">
        <w:rPr>
          <w:rFonts w:ascii="Times New Roman" w:eastAsia="Times New Roman" w:hAnsi="Times New Roman" w:cs="Times New Roman"/>
          <w:color w:val="000000"/>
        </w:rPr>
        <w:t>, 19 September 2019, https://www.theguardian.com/global-development/2019/sep/20/nigerian-army-orders-closure-of-aid-agency-for-aiding-terrorism.</w:t>
      </w:r>
    </w:p>
  </w:endnote>
  <w:endnote w:id="76">
    <w:p w14:paraId="1CD0BC3D" w14:textId="08E3C83B" w:rsidR="00FB286F" w:rsidRPr="006C33B1" w:rsidRDefault="00FB286F">
      <w:pPr>
        <w:pStyle w:val="EndnoteText"/>
        <w:spacing w:line="480" w:lineRule="auto"/>
        <w:rPr>
          <w:rFonts w:ascii="Times New Roman" w:hAnsi="Times New Roman" w:cs="Times New Roman"/>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Bertrand Perrochet, “Is </w:t>
      </w:r>
      <w:r w:rsidR="0009556D" w:rsidRPr="006C33B1">
        <w:rPr>
          <w:rFonts w:ascii="Times New Roman" w:hAnsi="Times New Roman" w:cs="Times New Roman"/>
          <w:sz w:val="24"/>
          <w:szCs w:val="24"/>
        </w:rPr>
        <w:t>C</w:t>
      </w:r>
      <w:r w:rsidRPr="006C33B1">
        <w:rPr>
          <w:rFonts w:ascii="Times New Roman" w:hAnsi="Times New Roman" w:cs="Times New Roman"/>
          <w:sz w:val="24"/>
          <w:szCs w:val="24"/>
        </w:rPr>
        <w:t>ounter-</w:t>
      </w:r>
      <w:r w:rsidR="0009556D" w:rsidRPr="006C33B1">
        <w:rPr>
          <w:rFonts w:ascii="Times New Roman" w:hAnsi="Times New Roman" w:cs="Times New Roman"/>
          <w:sz w:val="24"/>
          <w:szCs w:val="24"/>
        </w:rPr>
        <w:t>T</w:t>
      </w:r>
      <w:r w:rsidRPr="006C33B1">
        <w:rPr>
          <w:rFonts w:ascii="Times New Roman" w:hAnsi="Times New Roman" w:cs="Times New Roman"/>
          <w:sz w:val="24"/>
          <w:szCs w:val="24"/>
        </w:rPr>
        <w:t xml:space="preserve">errorism </w:t>
      </w:r>
      <w:r w:rsidR="0009556D" w:rsidRPr="006C33B1">
        <w:rPr>
          <w:rFonts w:ascii="Times New Roman" w:hAnsi="Times New Roman" w:cs="Times New Roman"/>
          <w:sz w:val="24"/>
          <w:szCs w:val="24"/>
        </w:rPr>
        <w:t>K</w:t>
      </w:r>
      <w:r w:rsidRPr="006C33B1">
        <w:rPr>
          <w:rFonts w:ascii="Times New Roman" w:hAnsi="Times New Roman" w:cs="Times New Roman"/>
          <w:sz w:val="24"/>
          <w:szCs w:val="24"/>
        </w:rPr>
        <w:t xml:space="preserve">illing </w:t>
      </w:r>
      <w:r w:rsidR="0009556D" w:rsidRPr="006C33B1">
        <w:rPr>
          <w:rFonts w:ascii="Times New Roman" w:hAnsi="Times New Roman" w:cs="Times New Roman"/>
          <w:sz w:val="24"/>
          <w:szCs w:val="24"/>
        </w:rPr>
        <w:t>H</w:t>
      </w:r>
      <w:r w:rsidRPr="006C33B1">
        <w:rPr>
          <w:rFonts w:ascii="Times New Roman" w:hAnsi="Times New Roman" w:cs="Times New Roman"/>
          <w:sz w:val="24"/>
          <w:szCs w:val="24"/>
        </w:rPr>
        <w:t xml:space="preserve">umanitarian </w:t>
      </w:r>
      <w:r w:rsidR="0009556D" w:rsidRPr="006C33B1">
        <w:rPr>
          <w:rFonts w:ascii="Times New Roman" w:hAnsi="Times New Roman" w:cs="Times New Roman"/>
          <w:sz w:val="24"/>
          <w:szCs w:val="24"/>
        </w:rPr>
        <w:t>A</w:t>
      </w:r>
      <w:r w:rsidRPr="006C33B1">
        <w:rPr>
          <w:rFonts w:ascii="Times New Roman" w:hAnsi="Times New Roman" w:cs="Times New Roman"/>
          <w:sz w:val="24"/>
          <w:szCs w:val="24"/>
        </w:rPr>
        <w:t>ction in Nigeria?” Médecins Sans Fronti</w:t>
      </w:r>
      <w:r w:rsidR="00B01AF7" w:rsidRPr="006C33B1">
        <w:rPr>
          <w:rFonts w:ascii="Times New Roman" w:hAnsi="Times New Roman" w:cs="Times New Roman"/>
          <w:sz w:val="24"/>
          <w:szCs w:val="24"/>
        </w:rPr>
        <w:t>è</w:t>
      </w:r>
      <w:r w:rsidRPr="006C33B1">
        <w:rPr>
          <w:rFonts w:ascii="Times New Roman" w:hAnsi="Times New Roman" w:cs="Times New Roman"/>
          <w:sz w:val="24"/>
          <w:szCs w:val="24"/>
        </w:rPr>
        <w:t>res, 22 November 2019, https://www.msf.org/counter-terrorism-killing-humanitarian-action-nigeria.</w:t>
      </w:r>
    </w:p>
  </w:endnote>
  <w:endnote w:id="77">
    <w:p w14:paraId="046CE6B0" w14:textId="7D4A471F" w:rsidR="00B42211" w:rsidRPr="006C33B1" w:rsidRDefault="00FB286F" w:rsidP="00B42211">
      <w:pPr>
        <w:pStyle w:val="EndnoteText"/>
        <w:spacing w:line="480" w:lineRule="auto"/>
        <w:rPr>
          <w:rFonts w:ascii="Times New Roman" w:hAnsi="Times New Roman" w:cs="Times New Roman"/>
          <w:i/>
          <w:iCs/>
          <w:sz w:val="24"/>
          <w:szCs w:val="24"/>
        </w:rPr>
      </w:pPr>
      <w:r w:rsidRPr="006C33B1">
        <w:rPr>
          <w:rStyle w:val="EndnoteReference"/>
          <w:rFonts w:ascii="Times New Roman" w:hAnsi="Times New Roman" w:cs="Times New Roman"/>
          <w:sz w:val="24"/>
          <w:szCs w:val="24"/>
        </w:rPr>
        <w:endnoteRef/>
      </w:r>
      <w:r w:rsidRPr="006C33B1">
        <w:rPr>
          <w:rFonts w:ascii="Times New Roman" w:hAnsi="Times New Roman" w:cs="Times New Roman"/>
          <w:sz w:val="24"/>
          <w:szCs w:val="24"/>
        </w:rPr>
        <w:t xml:space="preserve"> UN General Assembly</w:t>
      </w:r>
      <w:r w:rsidR="00B42211" w:rsidRPr="006C33B1">
        <w:rPr>
          <w:rFonts w:ascii="Times New Roman" w:hAnsi="Times New Roman" w:cs="Times New Roman"/>
          <w:sz w:val="24"/>
          <w:szCs w:val="24"/>
        </w:rPr>
        <w:t xml:space="preserve">, </w:t>
      </w:r>
      <w:r w:rsidR="00B42211" w:rsidRPr="006C33B1">
        <w:rPr>
          <w:rFonts w:ascii="Times New Roman" w:hAnsi="Times New Roman" w:cs="Times New Roman"/>
          <w:i/>
          <w:iCs/>
          <w:sz w:val="24"/>
          <w:szCs w:val="24"/>
        </w:rPr>
        <w:t>The United Nations Global Counter-Terrorism</w:t>
      </w:r>
    </w:p>
    <w:p w14:paraId="6A4604E7" w14:textId="7C201E80" w:rsidR="00FB286F" w:rsidRPr="006C33B1" w:rsidRDefault="00B42211" w:rsidP="00127EF2">
      <w:pPr>
        <w:pStyle w:val="EndnoteText"/>
        <w:spacing w:line="480" w:lineRule="auto"/>
        <w:rPr>
          <w:rFonts w:ascii="Times New Roman" w:hAnsi="Times New Roman" w:cs="Times New Roman"/>
          <w:sz w:val="24"/>
          <w:szCs w:val="24"/>
        </w:rPr>
      </w:pPr>
      <w:r w:rsidRPr="006C33B1">
        <w:rPr>
          <w:rFonts w:ascii="Times New Roman" w:hAnsi="Times New Roman" w:cs="Times New Roman"/>
          <w:i/>
          <w:iCs/>
          <w:sz w:val="24"/>
          <w:szCs w:val="24"/>
        </w:rPr>
        <w:t>Strategy Review</w:t>
      </w:r>
      <w:r w:rsidRPr="006C33B1">
        <w:rPr>
          <w:rFonts w:ascii="Times New Roman" w:hAnsi="Times New Roman" w:cs="Times New Roman"/>
          <w:sz w:val="24"/>
          <w:szCs w:val="24"/>
        </w:rPr>
        <w:t>,</w:t>
      </w:r>
      <w:r w:rsidR="00FB286F" w:rsidRPr="006C33B1">
        <w:rPr>
          <w:rFonts w:ascii="Times New Roman" w:hAnsi="Times New Roman" w:cs="Times New Roman"/>
          <w:sz w:val="24"/>
          <w:szCs w:val="24"/>
        </w:rPr>
        <w:t xml:space="preserve"> </w:t>
      </w:r>
      <w:r w:rsidRPr="006C33B1">
        <w:rPr>
          <w:rFonts w:ascii="Times New Roman" w:hAnsi="Times New Roman" w:cs="Times New Roman"/>
          <w:sz w:val="24"/>
          <w:szCs w:val="24"/>
        </w:rPr>
        <w:t xml:space="preserve">UN doc. </w:t>
      </w:r>
      <w:r w:rsidR="00FB286F" w:rsidRPr="006C33B1">
        <w:rPr>
          <w:rFonts w:ascii="Times New Roman" w:hAnsi="Times New Roman" w:cs="Times New Roman"/>
          <w:sz w:val="24"/>
          <w:szCs w:val="24"/>
        </w:rPr>
        <w:t>A/RES/70/291, 1 July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ssistant">
    <w:panose1 w:val="020B0604020202020204"/>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7732286"/>
      <w:docPartObj>
        <w:docPartGallery w:val="Page Numbers (Bottom of Page)"/>
        <w:docPartUnique/>
      </w:docPartObj>
    </w:sdtPr>
    <w:sdtEndPr>
      <w:rPr>
        <w:rStyle w:val="PageNumber"/>
      </w:rPr>
    </w:sdtEndPr>
    <w:sdtContent>
      <w:p w14:paraId="7EEDB5C3" w14:textId="71C8B69A" w:rsidR="002477D7" w:rsidRDefault="002477D7" w:rsidP="005726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5F2BB" w14:textId="77777777" w:rsidR="002477D7" w:rsidRDefault="002477D7" w:rsidP="002477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6582839"/>
      <w:docPartObj>
        <w:docPartGallery w:val="Page Numbers (Bottom of Page)"/>
        <w:docPartUnique/>
      </w:docPartObj>
    </w:sdtPr>
    <w:sdtEndPr>
      <w:rPr>
        <w:rStyle w:val="PageNumber"/>
        <w:rFonts w:ascii="Times New Roman" w:hAnsi="Times New Roman" w:cs="Times New Roman"/>
      </w:rPr>
    </w:sdtEndPr>
    <w:sdtContent>
      <w:p w14:paraId="2421FB4D" w14:textId="30CD31C0" w:rsidR="002477D7" w:rsidRPr="008F5A1D" w:rsidRDefault="002477D7" w:rsidP="0057263A">
        <w:pPr>
          <w:pStyle w:val="Footer"/>
          <w:framePr w:wrap="none" w:vAnchor="text" w:hAnchor="margin" w:xAlign="right" w:y="1"/>
          <w:rPr>
            <w:rStyle w:val="PageNumber"/>
            <w:rFonts w:ascii="Times New Roman" w:hAnsi="Times New Roman" w:cs="Times New Roman"/>
          </w:rPr>
        </w:pPr>
        <w:r w:rsidRPr="008F5A1D">
          <w:rPr>
            <w:rStyle w:val="PageNumber"/>
            <w:rFonts w:ascii="Times New Roman" w:hAnsi="Times New Roman" w:cs="Times New Roman"/>
          </w:rPr>
          <w:fldChar w:fldCharType="begin"/>
        </w:r>
        <w:r w:rsidRPr="008F5A1D">
          <w:rPr>
            <w:rStyle w:val="PageNumber"/>
            <w:rFonts w:ascii="Times New Roman" w:hAnsi="Times New Roman" w:cs="Times New Roman"/>
          </w:rPr>
          <w:instrText xml:space="preserve"> PAGE </w:instrText>
        </w:r>
        <w:r w:rsidRPr="008F5A1D">
          <w:rPr>
            <w:rStyle w:val="PageNumber"/>
            <w:rFonts w:ascii="Times New Roman" w:hAnsi="Times New Roman" w:cs="Times New Roman"/>
          </w:rPr>
          <w:fldChar w:fldCharType="separate"/>
        </w:r>
        <w:r w:rsidR="00E36122" w:rsidRPr="008F5A1D">
          <w:rPr>
            <w:rStyle w:val="PageNumber"/>
            <w:rFonts w:ascii="Times New Roman" w:hAnsi="Times New Roman" w:cs="Times New Roman"/>
            <w:noProof/>
          </w:rPr>
          <w:t>27</w:t>
        </w:r>
        <w:r w:rsidRPr="008F5A1D">
          <w:rPr>
            <w:rStyle w:val="PageNumber"/>
            <w:rFonts w:ascii="Times New Roman" w:hAnsi="Times New Roman" w:cs="Times New Roman"/>
          </w:rPr>
          <w:fldChar w:fldCharType="end"/>
        </w:r>
      </w:p>
    </w:sdtContent>
  </w:sdt>
  <w:p w14:paraId="56916D7B" w14:textId="77777777" w:rsidR="002477D7" w:rsidRPr="008F5A1D" w:rsidRDefault="002477D7" w:rsidP="002477D7">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CE82" w14:textId="77777777" w:rsidR="00F34437" w:rsidRDefault="00F34437" w:rsidP="00C25437">
      <w:r>
        <w:separator/>
      </w:r>
    </w:p>
  </w:footnote>
  <w:footnote w:type="continuationSeparator" w:id="0">
    <w:p w14:paraId="4FFD5C33" w14:textId="77777777" w:rsidR="00F34437" w:rsidRDefault="00F34437" w:rsidP="00C25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847"/>
    <w:multiLevelType w:val="hybridMultilevel"/>
    <w:tmpl w:val="64AA6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278A"/>
    <w:multiLevelType w:val="hybridMultilevel"/>
    <w:tmpl w:val="02CCC2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9F3314"/>
    <w:multiLevelType w:val="hybridMultilevel"/>
    <w:tmpl w:val="AFC81422"/>
    <w:lvl w:ilvl="0" w:tplc="E85A7352">
      <w:start w:val="1"/>
      <w:numFmt w:val="decimal"/>
      <w:lvlText w:val="%1)"/>
      <w:lvlJc w:val="left"/>
      <w:pPr>
        <w:ind w:left="355" w:hanging="360"/>
      </w:pPr>
      <w:rPr>
        <w:rFonts w:ascii="Times New Roman" w:hAnsi="Times New Roman" w:cs="Times New Roman"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 w15:restartNumberingAfterBreak="0">
    <w:nsid w:val="3A5B01EB"/>
    <w:multiLevelType w:val="hybridMultilevel"/>
    <w:tmpl w:val="77DCC878"/>
    <w:lvl w:ilvl="0" w:tplc="738C37A8">
      <w:start w:val="1"/>
      <w:numFmt w:val="decimal"/>
      <w:lvlText w:val="%1)"/>
      <w:lvlJc w:val="left"/>
      <w:pPr>
        <w:ind w:left="355" w:hanging="360"/>
      </w:pPr>
      <w:rPr>
        <w:rFonts w:ascii="Times New Roman" w:hAnsi="Times New Roman" w:cs="Times New Roman"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15:restartNumberingAfterBreak="0">
    <w:nsid w:val="3E1A25FD"/>
    <w:multiLevelType w:val="hybridMultilevel"/>
    <w:tmpl w:val="B71E7EE0"/>
    <w:lvl w:ilvl="0" w:tplc="42D0B09A">
      <w:start w:val="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8319D"/>
    <w:multiLevelType w:val="hybridMultilevel"/>
    <w:tmpl w:val="10CA6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0F7071"/>
    <w:multiLevelType w:val="hybridMultilevel"/>
    <w:tmpl w:val="FD1CDA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653573"/>
    <w:multiLevelType w:val="hybridMultilevel"/>
    <w:tmpl w:val="84AE8A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22"/>
    <w:rsid w:val="00001302"/>
    <w:rsid w:val="00005B56"/>
    <w:rsid w:val="00007021"/>
    <w:rsid w:val="00007601"/>
    <w:rsid w:val="00015080"/>
    <w:rsid w:val="000217D1"/>
    <w:rsid w:val="00021F64"/>
    <w:rsid w:val="0002395C"/>
    <w:rsid w:val="00023DFC"/>
    <w:rsid w:val="000262BF"/>
    <w:rsid w:val="000309CA"/>
    <w:rsid w:val="00032247"/>
    <w:rsid w:val="0003388A"/>
    <w:rsid w:val="0003462C"/>
    <w:rsid w:val="00034854"/>
    <w:rsid w:val="000378B5"/>
    <w:rsid w:val="0004026B"/>
    <w:rsid w:val="000406CE"/>
    <w:rsid w:val="00045A29"/>
    <w:rsid w:val="00045C9D"/>
    <w:rsid w:val="000508CF"/>
    <w:rsid w:val="00051151"/>
    <w:rsid w:val="0005622A"/>
    <w:rsid w:val="000608F9"/>
    <w:rsid w:val="0006699B"/>
    <w:rsid w:val="00067A16"/>
    <w:rsid w:val="0007062F"/>
    <w:rsid w:val="000807B4"/>
    <w:rsid w:val="0008110F"/>
    <w:rsid w:val="0008163F"/>
    <w:rsid w:val="00082AF2"/>
    <w:rsid w:val="00082C6C"/>
    <w:rsid w:val="000854B5"/>
    <w:rsid w:val="00086567"/>
    <w:rsid w:val="0008771E"/>
    <w:rsid w:val="00090A4D"/>
    <w:rsid w:val="00091120"/>
    <w:rsid w:val="00093128"/>
    <w:rsid w:val="0009556D"/>
    <w:rsid w:val="000A1730"/>
    <w:rsid w:val="000A1BA1"/>
    <w:rsid w:val="000A4DC4"/>
    <w:rsid w:val="000A6EB6"/>
    <w:rsid w:val="000A79AE"/>
    <w:rsid w:val="000B014C"/>
    <w:rsid w:val="000B2B03"/>
    <w:rsid w:val="000B532E"/>
    <w:rsid w:val="000B61B6"/>
    <w:rsid w:val="000B75D5"/>
    <w:rsid w:val="000B7FFC"/>
    <w:rsid w:val="000C2147"/>
    <w:rsid w:val="000C4F4E"/>
    <w:rsid w:val="000C7663"/>
    <w:rsid w:val="000C7911"/>
    <w:rsid w:val="000D4772"/>
    <w:rsid w:val="000D7CA3"/>
    <w:rsid w:val="000E1894"/>
    <w:rsid w:val="000E5237"/>
    <w:rsid w:val="000E753A"/>
    <w:rsid w:val="000F087A"/>
    <w:rsid w:val="000F28DE"/>
    <w:rsid w:val="000F4845"/>
    <w:rsid w:val="000F546B"/>
    <w:rsid w:val="000F7293"/>
    <w:rsid w:val="000F7544"/>
    <w:rsid w:val="00100CD3"/>
    <w:rsid w:val="001033F2"/>
    <w:rsid w:val="00106711"/>
    <w:rsid w:val="00111D74"/>
    <w:rsid w:val="0011423E"/>
    <w:rsid w:val="001148D1"/>
    <w:rsid w:val="001202EC"/>
    <w:rsid w:val="001212E4"/>
    <w:rsid w:val="0012138C"/>
    <w:rsid w:val="00122C4C"/>
    <w:rsid w:val="00124F16"/>
    <w:rsid w:val="00127EF2"/>
    <w:rsid w:val="0013050F"/>
    <w:rsid w:val="00131375"/>
    <w:rsid w:val="00133610"/>
    <w:rsid w:val="00135606"/>
    <w:rsid w:val="00137140"/>
    <w:rsid w:val="001420DD"/>
    <w:rsid w:val="00143816"/>
    <w:rsid w:val="001469B8"/>
    <w:rsid w:val="0015158D"/>
    <w:rsid w:val="00151A90"/>
    <w:rsid w:val="001522E5"/>
    <w:rsid w:val="001523DB"/>
    <w:rsid w:val="0015255E"/>
    <w:rsid w:val="00160E52"/>
    <w:rsid w:val="001622FA"/>
    <w:rsid w:val="00162CC3"/>
    <w:rsid w:val="00171C7D"/>
    <w:rsid w:val="00172291"/>
    <w:rsid w:val="001731A7"/>
    <w:rsid w:val="0017331D"/>
    <w:rsid w:val="00176037"/>
    <w:rsid w:val="00177F24"/>
    <w:rsid w:val="00182801"/>
    <w:rsid w:val="0018383E"/>
    <w:rsid w:val="00187BC1"/>
    <w:rsid w:val="00190420"/>
    <w:rsid w:val="001929AB"/>
    <w:rsid w:val="001969DA"/>
    <w:rsid w:val="00197ABF"/>
    <w:rsid w:val="001A2260"/>
    <w:rsid w:val="001A2804"/>
    <w:rsid w:val="001A36F2"/>
    <w:rsid w:val="001A3EDE"/>
    <w:rsid w:val="001A6BF7"/>
    <w:rsid w:val="001B039D"/>
    <w:rsid w:val="001B0BC4"/>
    <w:rsid w:val="001B1888"/>
    <w:rsid w:val="001B51D0"/>
    <w:rsid w:val="001B6F21"/>
    <w:rsid w:val="001C2AB3"/>
    <w:rsid w:val="001C6266"/>
    <w:rsid w:val="001C67F4"/>
    <w:rsid w:val="001D0FD0"/>
    <w:rsid w:val="001D30B9"/>
    <w:rsid w:val="001D3379"/>
    <w:rsid w:val="001D391D"/>
    <w:rsid w:val="001D3F71"/>
    <w:rsid w:val="001D5D7D"/>
    <w:rsid w:val="001D5DBC"/>
    <w:rsid w:val="001D6A17"/>
    <w:rsid w:val="001F0BE8"/>
    <w:rsid w:val="001F2197"/>
    <w:rsid w:val="001F2B79"/>
    <w:rsid w:val="001F60CB"/>
    <w:rsid w:val="001F7606"/>
    <w:rsid w:val="00200917"/>
    <w:rsid w:val="00201096"/>
    <w:rsid w:val="00206A05"/>
    <w:rsid w:val="00214C58"/>
    <w:rsid w:val="0022324D"/>
    <w:rsid w:val="002304E2"/>
    <w:rsid w:val="002322D9"/>
    <w:rsid w:val="00234560"/>
    <w:rsid w:val="00237E4B"/>
    <w:rsid w:val="00244906"/>
    <w:rsid w:val="002477D7"/>
    <w:rsid w:val="00253946"/>
    <w:rsid w:val="00254973"/>
    <w:rsid w:val="002556D9"/>
    <w:rsid w:val="00256ECA"/>
    <w:rsid w:val="00257837"/>
    <w:rsid w:val="00260701"/>
    <w:rsid w:val="00260C99"/>
    <w:rsid w:val="0026497D"/>
    <w:rsid w:val="00265425"/>
    <w:rsid w:val="00266325"/>
    <w:rsid w:val="00266FC0"/>
    <w:rsid w:val="00271786"/>
    <w:rsid w:val="00273581"/>
    <w:rsid w:val="00287323"/>
    <w:rsid w:val="00287F51"/>
    <w:rsid w:val="00291455"/>
    <w:rsid w:val="00291788"/>
    <w:rsid w:val="00293371"/>
    <w:rsid w:val="00293828"/>
    <w:rsid w:val="00297DCC"/>
    <w:rsid w:val="002B1019"/>
    <w:rsid w:val="002B33DE"/>
    <w:rsid w:val="002B4973"/>
    <w:rsid w:val="002B5B15"/>
    <w:rsid w:val="002C377F"/>
    <w:rsid w:val="002D05D5"/>
    <w:rsid w:val="002D259C"/>
    <w:rsid w:val="002D2AA2"/>
    <w:rsid w:val="002D6506"/>
    <w:rsid w:val="002D6A77"/>
    <w:rsid w:val="002E1E46"/>
    <w:rsid w:val="002E2F26"/>
    <w:rsid w:val="002E3EA0"/>
    <w:rsid w:val="002F436F"/>
    <w:rsid w:val="002F7A8A"/>
    <w:rsid w:val="00300F6B"/>
    <w:rsid w:val="003020B6"/>
    <w:rsid w:val="00303A0E"/>
    <w:rsid w:val="003056E0"/>
    <w:rsid w:val="00310D23"/>
    <w:rsid w:val="00312688"/>
    <w:rsid w:val="003147C7"/>
    <w:rsid w:val="003156EB"/>
    <w:rsid w:val="00315DCD"/>
    <w:rsid w:val="00317C32"/>
    <w:rsid w:val="00327989"/>
    <w:rsid w:val="003316CE"/>
    <w:rsid w:val="00331EE1"/>
    <w:rsid w:val="00332F5B"/>
    <w:rsid w:val="003360EB"/>
    <w:rsid w:val="003363EA"/>
    <w:rsid w:val="003377D1"/>
    <w:rsid w:val="00341D19"/>
    <w:rsid w:val="0034311A"/>
    <w:rsid w:val="0034394A"/>
    <w:rsid w:val="0034444B"/>
    <w:rsid w:val="00344846"/>
    <w:rsid w:val="00345C35"/>
    <w:rsid w:val="00347CF8"/>
    <w:rsid w:val="003501BC"/>
    <w:rsid w:val="003503B3"/>
    <w:rsid w:val="00350B34"/>
    <w:rsid w:val="00352012"/>
    <w:rsid w:val="003538E1"/>
    <w:rsid w:val="0035392D"/>
    <w:rsid w:val="00353C25"/>
    <w:rsid w:val="00353C36"/>
    <w:rsid w:val="0035433C"/>
    <w:rsid w:val="00355C58"/>
    <w:rsid w:val="00355ECC"/>
    <w:rsid w:val="003561C8"/>
    <w:rsid w:val="00357F82"/>
    <w:rsid w:val="00364B8A"/>
    <w:rsid w:val="00364DC1"/>
    <w:rsid w:val="003666A5"/>
    <w:rsid w:val="0036768D"/>
    <w:rsid w:val="0037159B"/>
    <w:rsid w:val="00371697"/>
    <w:rsid w:val="0037175E"/>
    <w:rsid w:val="003718A6"/>
    <w:rsid w:val="00372529"/>
    <w:rsid w:val="00376066"/>
    <w:rsid w:val="00382365"/>
    <w:rsid w:val="00384EF7"/>
    <w:rsid w:val="00387475"/>
    <w:rsid w:val="00387C89"/>
    <w:rsid w:val="00391605"/>
    <w:rsid w:val="0039392F"/>
    <w:rsid w:val="003941A0"/>
    <w:rsid w:val="00396B79"/>
    <w:rsid w:val="00397E27"/>
    <w:rsid w:val="003A03D9"/>
    <w:rsid w:val="003A0F31"/>
    <w:rsid w:val="003A47A4"/>
    <w:rsid w:val="003B0CE9"/>
    <w:rsid w:val="003B160B"/>
    <w:rsid w:val="003B6050"/>
    <w:rsid w:val="003B616D"/>
    <w:rsid w:val="003B64D5"/>
    <w:rsid w:val="003C4340"/>
    <w:rsid w:val="003C51E8"/>
    <w:rsid w:val="003C560A"/>
    <w:rsid w:val="003C5759"/>
    <w:rsid w:val="003C6558"/>
    <w:rsid w:val="003D1194"/>
    <w:rsid w:val="003D291E"/>
    <w:rsid w:val="003D5111"/>
    <w:rsid w:val="003D628B"/>
    <w:rsid w:val="003D722E"/>
    <w:rsid w:val="003E19EA"/>
    <w:rsid w:val="003E1FEB"/>
    <w:rsid w:val="003E40CD"/>
    <w:rsid w:val="003E454F"/>
    <w:rsid w:val="003F0BEC"/>
    <w:rsid w:val="003F365F"/>
    <w:rsid w:val="003F3BA1"/>
    <w:rsid w:val="003F71CC"/>
    <w:rsid w:val="003F7C1C"/>
    <w:rsid w:val="00404C9C"/>
    <w:rsid w:val="00405A76"/>
    <w:rsid w:val="00406E48"/>
    <w:rsid w:val="00412CC6"/>
    <w:rsid w:val="00413D32"/>
    <w:rsid w:val="004143DC"/>
    <w:rsid w:val="004146A8"/>
    <w:rsid w:val="004148BF"/>
    <w:rsid w:val="00415DA8"/>
    <w:rsid w:val="00416183"/>
    <w:rsid w:val="004163E2"/>
    <w:rsid w:val="00416524"/>
    <w:rsid w:val="00417736"/>
    <w:rsid w:val="0042266B"/>
    <w:rsid w:val="00422FDA"/>
    <w:rsid w:val="004253F7"/>
    <w:rsid w:val="00426143"/>
    <w:rsid w:val="00426986"/>
    <w:rsid w:val="00430E04"/>
    <w:rsid w:val="00436FCF"/>
    <w:rsid w:val="00441689"/>
    <w:rsid w:val="00441E60"/>
    <w:rsid w:val="004445C8"/>
    <w:rsid w:val="0044706A"/>
    <w:rsid w:val="004478CF"/>
    <w:rsid w:val="004505E3"/>
    <w:rsid w:val="00453570"/>
    <w:rsid w:val="0045533B"/>
    <w:rsid w:val="004555A2"/>
    <w:rsid w:val="00463AD8"/>
    <w:rsid w:val="0046604F"/>
    <w:rsid w:val="004662CB"/>
    <w:rsid w:val="0046724A"/>
    <w:rsid w:val="004709E2"/>
    <w:rsid w:val="00471740"/>
    <w:rsid w:val="00476429"/>
    <w:rsid w:val="004773BA"/>
    <w:rsid w:val="004907AC"/>
    <w:rsid w:val="004907F0"/>
    <w:rsid w:val="00490802"/>
    <w:rsid w:val="00492CF3"/>
    <w:rsid w:val="00493A71"/>
    <w:rsid w:val="00496AD2"/>
    <w:rsid w:val="004A0FD3"/>
    <w:rsid w:val="004A1B2B"/>
    <w:rsid w:val="004A3ADF"/>
    <w:rsid w:val="004A4069"/>
    <w:rsid w:val="004A4650"/>
    <w:rsid w:val="004A4DD3"/>
    <w:rsid w:val="004A68A1"/>
    <w:rsid w:val="004A79AB"/>
    <w:rsid w:val="004A79EF"/>
    <w:rsid w:val="004A7D0C"/>
    <w:rsid w:val="004B099B"/>
    <w:rsid w:val="004B1F71"/>
    <w:rsid w:val="004B2AA9"/>
    <w:rsid w:val="004B359D"/>
    <w:rsid w:val="004B3E08"/>
    <w:rsid w:val="004B4A6D"/>
    <w:rsid w:val="004B570E"/>
    <w:rsid w:val="004B5931"/>
    <w:rsid w:val="004C0077"/>
    <w:rsid w:val="004C0174"/>
    <w:rsid w:val="004C2ACB"/>
    <w:rsid w:val="004C4BC2"/>
    <w:rsid w:val="004C6029"/>
    <w:rsid w:val="004D5E94"/>
    <w:rsid w:val="004D795C"/>
    <w:rsid w:val="004D7E49"/>
    <w:rsid w:val="004E1277"/>
    <w:rsid w:val="004E2287"/>
    <w:rsid w:val="004E4C65"/>
    <w:rsid w:val="004E5178"/>
    <w:rsid w:val="004F01CB"/>
    <w:rsid w:val="004F1CEB"/>
    <w:rsid w:val="004F5BC2"/>
    <w:rsid w:val="004F7229"/>
    <w:rsid w:val="00500C37"/>
    <w:rsid w:val="005019F4"/>
    <w:rsid w:val="00501AE8"/>
    <w:rsid w:val="00503AB0"/>
    <w:rsid w:val="005052BA"/>
    <w:rsid w:val="0050707E"/>
    <w:rsid w:val="00510953"/>
    <w:rsid w:val="00510DA5"/>
    <w:rsid w:val="00513C46"/>
    <w:rsid w:val="005156E2"/>
    <w:rsid w:val="0051574A"/>
    <w:rsid w:val="00516334"/>
    <w:rsid w:val="00516F4A"/>
    <w:rsid w:val="0052266A"/>
    <w:rsid w:val="00522969"/>
    <w:rsid w:val="0052429A"/>
    <w:rsid w:val="00524F67"/>
    <w:rsid w:val="0052792D"/>
    <w:rsid w:val="00531C34"/>
    <w:rsid w:val="00533546"/>
    <w:rsid w:val="00533E65"/>
    <w:rsid w:val="005351EE"/>
    <w:rsid w:val="00540A57"/>
    <w:rsid w:val="0054117C"/>
    <w:rsid w:val="005444FB"/>
    <w:rsid w:val="0054491E"/>
    <w:rsid w:val="00544B06"/>
    <w:rsid w:val="005461B3"/>
    <w:rsid w:val="0054664A"/>
    <w:rsid w:val="00551C58"/>
    <w:rsid w:val="005523C6"/>
    <w:rsid w:val="0055508F"/>
    <w:rsid w:val="00556390"/>
    <w:rsid w:val="00556A0C"/>
    <w:rsid w:val="00562D5C"/>
    <w:rsid w:val="00563703"/>
    <w:rsid w:val="0056779E"/>
    <w:rsid w:val="005704C5"/>
    <w:rsid w:val="00581539"/>
    <w:rsid w:val="00581FBB"/>
    <w:rsid w:val="00582142"/>
    <w:rsid w:val="00585BF1"/>
    <w:rsid w:val="005865EE"/>
    <w:rsid w:val="0058721C"/>
    <w:rsid w:val="00591BBB"/>
    <w:rsid w:val="00591D18"/>
    <w:rsid w:val="005935CA"/>
    <w:rsid w:val="005942B4"/>
    <w:rsid w:val="005960D4"/>
    <w:rsid w:val="005960D7"/>
    <w:rsid w:val="0059655D"/>
    <w:rsid w:val="005970AA"/>
    <w:rsid w:val="00597390"/>
    <w:rsid w:val="005A052B"/>
    <w:rsid w:val="005A1272"/>
    <w:rsid w:val="005A13C3"/>
    <w:rsid w:val="005A17A6"/>
    <w:rsid w:val="005A1C04"/>
    <w:rsid w:val="005A4B7B"/>
    <w:rsid w:val="005A50E7"/>
    <w:rsid w:val="005A59B1"/>
    <w:rsid w:val="005A5AA8"/>
    <w:rsid w:val="005A75A8"/>
    <w:rsid w:val="005B0341"/>
    <w:rsid w:val="005B2D4E"/>
    <w:rsid w:val="005B41ED"/>
    <w:rsid w:val="005B488F"/>
    <w:rsid w:val="005B5788"/>
    <w:rsid w:val="005B58F1"/>
    <w:rsid w:val="005B5A1D"/>
    <w:rsid w:val="005B5FF8"/>
    <w:rsid w:val="005C37DE"/>
    <w:rsid w:val="005D15CE"/>
    <w:rsid w:val="005D1AB3"/>
    <w:rsid w:val="005D3D36"/>
    <w:rsid w:val="005E5A79"/>
    <w:rsid w:val="005F1761"/>
    <w:rsid w:val="005F572B"/>
    <w:rsid w:val="005F7CD6"/>
    <w:rsid w:val="00600AA8"/>
    <w:rsid w:val="00600F09"/>
    <w:rsid w:val="006019BE"/>
    <w:rsid w:val="00602C83"/>
    <w:rsid w:val="00604D54"/>
    <w:rsid w:val="006055E8"/>
    <w:rsid w:val="006070E0"/>
    <w:rsid w:val="00612709"/>
    <w:rsid w:val="00614022"/>
    <w:rsid w:val="00615798"/>
    <w:rsid w:val="00616090"/>
    <w:rsid w:val="00620809"/>
    <w:rsid w:val="00621BF3"/>
    <w:rsid w:val="006225DA"/>
    <w:rsid w:val="006254F4"/>
    <w:rsid w:val="00626C81"/>
    <w:rsid w:val="00626E52"/>
    <w:rsid w:val="00635619"/>
    <w:rsid w:val="0063671B"/>
    <w:rsid w:val="00636FEF"/>
    <w:rsid w:val="00637445"/>
    <w:rsid w:val="00640402"/>
    <w:rsid w:val="00640AD9"/>
    <w:rsid w:val="00640EDA"/>
    <w:rsid w:val="00642CBC"/>
    <w:rsid w:val="00643350"/>
    <w:rsid w:val="006439F2"/>
    <w:rsid w:val="006510C4"/>
    <w:rsid w:val="006539EB"/>
    <w:rsid w:val="0065435D"/>
    <w:rsid w:val="0065626A"/>
    <w:rsid w:val="00656A3A"/>
    <w:rsid w:val="00656B84"/>
    <w:rsid w:val="00666C22"/>
    <w:rsid w:val="00666C23"/>
    <w:rsid w:val="0066755D"/>
    <w:rsid w:val="00667BA2"/>
    <w:rsid w:val="0067041F"/>
    <w:rsid w:val="00671059"/>
    <w:rsid w:val="0067118B"/>
    <w:rsid w:val="0067325F"/>
    <w:rsid w:val="0067481C"/>
    <w:rsid w:val="00675DF4"/>
    <w:rsid w:val="0067763A"/>
    <w:rsid w:val="0068054A"/>
    <w:rsid w:val="00680B92"/>
    <w:rsid w:val="00680BF9"/>
    <w:rsid w:val="0068376E"/>
    <w:rsid w:val="00683A34"/>
    <w:rsid w:val="0068470E"/>
    <w:rsid w:val="00684AAB"/>
    <w:rsid w:val="00686FD0"/>
    <w:rsid w:val="006901ED"/>
    <w:rsid w:val="00690F22"/>
    <w:rsid w:val="00693B30"/>
    <w:rsid w:val="00696F70"/>
    <w:rsid w:val="006A32F7"/>
    <w:rsid w:val="006A5B02"/>
    <w:rsid w:val="006A6119"/>
    <w:rsid w:val="006A7457"/>
    <w:rsid w:val="006B23AD"/>
    <w:rsid w:val="006B413B"/>
    <w:rsid w:val="006B5F4A"/>
    <w:rsid w:val="006B6BCC"/>
    <w:rsid w:val="006B6CD5"/>
    <w:rsid w:val="006C0C02"/>
    <w:rsid w:val="006C0D06"/>
    <w:rsid w:val="006C252E"/>
    <w:rsid w:val="006C33B1"/>
    <w:rsid w:val="006C4A2D"/>
    <w:rsid w:val="006C60FE"/>
    <w:rsid w:val="006C6E4D"/>
    <w:rsid w:val="006D43B8"/>
    <w:rsid w:val="006D73CA"/>
    <w:rsid w:val="006E51C8"/>
    <w:rsid w:val="006F1711"/>
    <w:rsid w:val="006F6C1E"/>
    <w:rsid w:val="006F7A8D"/>
    <w:rsid w:val="00701721"/>
    <w:rsid w:val="0070321A"/>
    <w:rsid w:val="00703B5F"/>
    <w:rsid w:val="00705DE6"/>
    <w:rsid w:val="00705FDA"/>
    <w:rsid w:val="00706E43"/>
    <w:rsid w:val="007116B0"/>
    <w:rsid w:val="007128FD"/>
    <w:rsid w:val="0071464E"/>
    <w:rsid w:val="007164BD"/>
    <w:rsid w:val="00716B23"/>
    <w:rsid w:val="007216D9"/>
    <w:rsid w:val="00721BE4"/>
    <w:rsid w:val="00722156"/>
    <w:rsid w:val="007235CC"/>
    <w:rsid w:val="00723FB4"/>
    <w:rsid w:val="007246C6"/>
    <w:rsid w:val="007258F2"/>
    <w:rsid w:val="00730F13"/>
    <w:rsid w:val="007321E4"/>
    <w:rsid w:val="00734798"/>
    <w:rsid w:val="00734A81"/>
    <w:rsid w:val="00734AE8"/>
    <w:rsid w:val="00736EE2"/>
    <w:rsid w:val="00740CD5"/>
    <w:rsid w:val="007416BB"/>
    <w:rsid w:val="00742FCA"/>
    <w:rsid w:val="0074399B"/>
    <w:rsid w:val="00745ECE"/>
    <w:rsid w:val="00746321"/>
    <w:rsid w:val="00747530"/>
    <w:rsid w:val="00747A47"/>
    <w:rsid w:val="00747ACB"/>
    <w:rsid w:val="00752756"/>
    <w:rsid w:val="007538DD"/>
    <w:rsid w:val="00753D76"/>
    <w:rsid w:val="00754470"/>
    <w:rsid w:val="0075527C"/>
    <w:rsid w:val="00757121"/>
    <w:rsid w:val="007600D1"/>
    <w:rsid w:val="00760A1E"/>
    <w:rsid w:val="00761845"/>
    <w:rsid w:val="0076255C"/>
    <w:rsid w:val="00763557"/>
    <w:rsid w:val="00764FA1"/>
    <w:rsid w:val="007650B7"/>
    <w:rsid w:val="0076578A"/>
    <w:rsid w:val="00770B90"/>
    <w:rsid w:val="00771531"/>
    <w:rsid w:val="00776478"/>
    <w:rsid w:val="00777D25"/>
    <w:rsid w:val="00781634"/>
    <w:rsid w:val="00781CAC"/>
    <w:rsid w:val="00782680"/>
    <w:rsid w:val="0078303F"/>
    <w:rsid w:val="007833C4"/>
    <w:rsid w:val="00786944"/>
    <w:rsid w:val="00790545"/>
    <w:rsid w:val="00791559"/>
    <w:rsid w:val="00793018"/>
    <w:rsid w:val="007931F3"/>
    <w:rsid w:val="00795E0A"/>
    <w:rsid w:val="00796615"/>
    <w:rsid w:val="0079680A"/>
    <w:rsid w:val="007968DD"/>
    <w:rsid w:val="007A34DF"/>
    <w:rsid w:val="007A35EE"/>
    <w:rsid w:val="007A3D33"/>
    <w:rsid w:val="007A78E9"/>
    <w:rsid w:val="007B210C"/>
    <w:rsid w:val="007B306B"/>
    <w:rsid w:val="007B4E72"/>
    <w:rsid w:val="007B67C3"/>
    <w:rsid w:val="007B760F"/>
    <w:rsid w:val="007C01E0"/>
    <w:rsid w:val="007C262A"/>
    <w:rsid w:val="007C3E8C"/>
    <w:rsid w:val="007C4FAF"/>
    <w:rsid w:val="007C5164"/>
    <w:rsid w:val="007C62A0"/>
    <w:rsid w:val="007C637E"/>
    <w:rsid w:val="007C7073"/>
    <w:rsid w:val="007D01C2"/>
    <w:rsid w:val="007D4234"/>
    <w:rsid w:val="007D67C9"/>
    <w:rsid w:val="007D68D8"/>
    <w:rsid w:val="007E052F"/>
    <w:rsid w:val="007E215E"/>
    <w:rsid w:val="007F2956"/>
    <w:rsid w:val="007F3C67"/>
    <w:rsid w:val="007F7A51"/>
    <w:rsid w:val="007F7B92"/>
    <w:rsid w:val="008003BA"/>
    <w:rsid w:val="00800A3E"/>
    <w:rsid w:val="00801093"/>
    <w:rsid w:val="00801FB4"/>
    <w:rsid w:val="00804029"/>
    <w:rsid w:val="008071D8"/>
    <w:rsid w:val="0080740F"/>
    <w:rsid w:val="0080752B"/>
    <w:rsid w:val="00810B2A"/>
    <w:rsid w:val="00813C18"/>
    <w:rsid w:val="008174CD"/>
    <w:rsid w:val="00817582"/>
    <w:rsid w:val="00824BA3"/>
    <w:rsid w:val="008260A0"/>
    <w:rsid w:val="00826682"/>
    <w:rsid w:val="008338A3"/>
    <w:rsid w:val="00833C27"/>
    <w:rsid w:val="00834F0B"/>
    <w:rsid w:val="00835F17"/>
    <w:rsid w:val="00836407"/>
    <w:rsid w:val="00837A33"/>
    <w:rsid w:val="008406C1"/>
    <w:rsid w:val="00841581"/>
    <w:rsid w:val="00841FD0"/>
    <w:rsid w:val="008439C1"/>
    <w:rsid w:val="00847562"/>
    <w:rsid w:val="008529DE"/>
    <w:rsid w:val="00854333"/>
    <w:rsid w:val="00856DB8"/>
    <w:rsid w:val="00857348"/>
    <w:rsid w:val="00860599"/>
    <w:rsid w:val="008638FC"/>
    <w:rsid w:val="0086496A"/>
    <w:rsid w:val="0086527F"/>
    <w:rsid w:val="00875248"/>
    <w:rsid w:val="00875464"/>
    <w:rsid w:val="00876690"/>
    <w:rsid w:val="00880C9E"/>
    <w:rsid w:val="008818B0"/>
    <w:rsid w:val="008871AF"/>
    <w:rsid w:val="00890304"/>
    <w:rsid w:val="008957F2"/>
    <w:rsid w:val="008961DC"/>
    <w:rsid w:val="008964D1"/>
    <w:rsid w:val="00896F34"/>
    <w:rsid w:val="008A5B85"/>
    <w:rsid w:val="008B2C13"/>
    <w:rsid w:val="008B2C7B"/>
    <w:rsid w:val="008B3325"/>
    <w:rsid w:val="008B48BD"/>
    <w:rsid w:val="008B5D37"/>
    <w:rsid w:val="008B7A3F"/>
    <w:rsid w:val="008C0967"/>
    <w:rsid w:val="008C2AE6"/>
    <w:rsid w:val="008C3966"/>
    <w:rsid w:val="008C73AB"/>
    <w:rsid w:val="008C7C3D"/>
    <w:rsid w:val="008D1997"/>
    <w:rsid w:val="008D65F3"/>
    <w:rsid w:val="008D74C9"/>
    <w:rsid w:val="008E2B15"/>
    <w:rsid w:val="008E51DB"/>
    <w:rsid w:val="008E5603"/>
    <w:rsid w:val="008F42B3"/>
    <w:rsid w:val="008F5A1D"/>
    <w:rsid w:val="008F5B0D"/>
    <w:rsid w:val="008F6D28"/>
    <w:rsid w:val="008F6E62"/>
    <w:rsid w:val="008F7B89"/>
    <w:rsid w:val="0090479A"/>
    <w:rsid w:val="00904D42"/>
    <w:rsid w:val="0090627A"/>
    <w:rsid w:val="00907A39"/>
    <w:rsid w:val="00910BE7"/>
    <w:rsid w:val="00911E27"/>
    <w:rsid w:val="009147AE"/>
    <w:rsid w:val="00915755"/>
    <w:rsid w:val="00916226"/>
    <w:rsid w:val="00917964"/>
    <w:rsid w:val="0092652E"/>
    <w:rsid w:val="00930E62"/>
    <w:rsid w:val="00932091"/>
    <w:rsid w:val="00932E63"/>
    <w:rsid w:val="0093388D"/>
    <w:rsid w:val="009359C4"/>
    <w:rsid w:val="00935B7D"/>
    <w:rsid w:val="00940EBE"/>
    <w:rsid w:val="00942EB6"/>
    <w:rsid w:val="00957274"/>
    <w:rsid w:val="0096051F"/>
    <w:rsid w:val="0096097C"/>
    <w:rsid w:val="00961AE5"/>
    <w:rsid w:val="00962A67"/>
    <w:rsid w:val="00963AF6"/>
    <w:rsid w:val="00963F75"/>
    <w:rsid w:val="0096481D"/>
    <w:rsid w:val="00967D1E"/>
    <w:rsid w:val="00970313"/>
    <w:rsid w:val="00973F84"/>
    <w:rsid w:val="00977294"/>
    <w:rsid w:val="009851C0"/>
    <w:rsid w:val="00985204"/>
    <w:rsid w:val="00985A6F"/>
    <w:rsid w:val="00987B25"/>
    <w:rsid w:val="0099024D"/>
    <w:rsid w:val="00995370"/>
    <w:rsid w:val="0099557C"/>
    <w:rsid w:val="0099650B"/>
    <w:rsid w:val="00997C63"/>
    <w:rsid w:val="009A0ADE"/>
    <w:rsid w:val="009A30F1"/>
    <w:rsid w:val="009A4AB4"/>
    <w:rsid w:val="009A4E73"/>
    <w:rsid w:val="009A4FDD"/>
    <w:rsid w:val="009A5117"/>
    <w:rsid w:val="009A6B0B"/>
    <w:rsid w:val="009A6D0B"/>
    <w:rsid w:val="009B01AE"/>
    <w:rsid w:val="009B3101"/>
    <w:rsid w:val="009B6E6B"/>
    <w:rsid w:val="009C1383"/>
    <w:rsid w:val="009C30D2"/>
    <w:rsid w:val="009C60C0"/>
    <w:rsid w:val="009D0C81"/>
    <w:rsid w:val="009D1813"/>
    <w:rsid w:val="009D1BE2"/>
    <w:rsid w:val="009D461A"/>
    <w:rsid w:val="009D4C7C"/>
    <w:rsid w:val="009D5ED4"/>
    <w:rsid w:val="009E0975"/>
    <w:rsid w:val="009E1ED9"/>
    <w:rsid w:val="009E2CA8"/>
    <w:rsid w:val="009E439F"/>
    <w:rsid w:val="009E637A"/>
    <w:rsid w:val="009F221B"/>
    <w:rsid w:val="00A0494E"/>
    <w:rsid w:val="00A0588E"/>
    <w:rsid w:val="00A16D22"/>
    <w:rsid w:val="00A25E49"/>
    <w:rsid w:val="00A2718E"/>
    <w:rsid w:val="00A2763C"/>
    <w:rsid w:val="00A277BB"/>
    <w:rsid w:val="00A27D93"/>
    <w:rsid w:val="00A3316D"/>
    <w:rsid w:val="00A33D53"/>
    <w:rsid w:val="00A44A4A"/>
    <w:rsid w:val="00A473FD"/>
    <w:rsid w:val="00A47C07"/>
    <w:rsid w:val="00A50B64"/>
    <w:rsid w:val="00A52958"/>
    <w:rsid w:val="00A54E78"/>
    <w:rsid w:val="00A55A72"/>
    <w:rsid w:val="00A602D0"/>
    <w:rsid w:val="00A6141C"/>
    <w:rsid w:val="00A61497"/>
    <w:rsid w:val="00A62B66"/>
    <w:rsid w:val="00A630FC"/>
    <w:rsid w:val="00A74046"/>
    <w:rsid w:val="00A74C62"/>
    <w:rsid w:val="00A801C0"/>
    <w:rsid w:val="00A82B2F"/>
    <w:rsid w:val="00A84E1F"/>
    <w:rsid w:val="00A852BE"/>
    <w:rsid w:val="00A94D9D"/>
    <w:rsid w:val="00A96F6D"/>
    <w:rsid w:val="00A96FA6"/>
    <w:rsid w:val="00AA1B90"/>
    <w:rsid w:val="00AA28D7"/>
    <w:rsid w:val="00AA3178"/>
    <w:rsid w:val="00AA5033"/>
    <w:rsid w:val="00AA6D63"/>
    <w:rsid w:val="00AA7B04"/>
    <w:rsid w:val="00AB3C99"/>
    <w:rsid w:val="00AB5C6F"/>
    <w:rsid w:val="00AB620F"/>
    <w:rsid w:val="00AC33F0"/>
    <w:rsid w:val="00AC3AA1"/>
    <w:rsid w:val="00AC65CD"/>
    <w:rsid w:val="00AD1C94"/>
    <w:rsid w:val="00AD6F2C"/>
    <w:rsid w:val="00AE2F36"/>
    <w:rsid w:val="00AE466E"/>
    <w:rsid w:val="00AE5BBB"/>
    <w:rsid w:val="00AF0247"/>
    <w:rsid w:val="00AF0313"/>
    <w:rsid w:val="00AF1503"/>
    <w:rsid w:val="00AF1D04"/>
    <w:rsid w:val="00AF29D4"/>
    <w:rsid w:val="00AF2CD5"/>
    <w:rsid w:val="00AF3F15"/>
    <w:rsid w:val="00AF4650"/>
    <w:rsid w:val="00AF6A60"/>
    <w:rsid w:val="00B0199A"/>
    <w:rsid w:val="00B01AF7"/>
    <w:rsid w:val="00B071EA"/>
    <w:rsid w:val="00B07BA5"/>
    <w:rsid w:val="00B10992"/>
    <w:rsid w:val="00B11E78"/>
    <w:rsid w:val="00B16192"/>
    <w:rsid w:val="00B234CB"/>
    <w:rsid w:val="00B23C49"/>
    <w:rsid w:val="00B25BC5"/>
    <w:rsid w:val="00B3345D"/>
    <w:rsid w:val="00B33683"/>
    <w:rsid w:val="00B35486"/>
    <w:rsid w:val="00B37DFC"/>
    <w:rsid w:val="00B41B2A"/>
    <w:rsid w:val="00B42211"/>
    <w:rsid w:val="00B4267A"/>
    <w:rsid w:val="00B42C97"/>
    <w:rsid w:val="00B42D98"/>
    <w:rsid w:val="00B47DF3"/>
    <w:rsid w:val="00B51959"/>
    <w:rsid w:val="00B52834"/>
    <w:rsid w:val="00B5432D"/>
    <w:rsid w:val="00B5480A"/>
    <w:rsid w:val="00B54E51"/>
    <w:rsid w:val="00B60559"/>
    <w:rsid w:val="00B6144F"/>
    <w:rsid w:val="00B616B1"/>
    <w:rsid w:val="00B63061"/>
    <w:rsid w:val="00B64CF1"/>
    <w:rsid w:val="00B703EA"/>
    <w:rsid w:val="00B714B4"/>
    <w:rsid w:val="00B7199E"/>
    <w:rsid w:val="00B72327"/>
    <w:rsid w:val="00B72921"/>
    <w:rsid w:val="00B75B8A"/>
    <w:rsid w:val="00B77A61"/>
    <w:rsid w:val="00B8094B"/>
    <w:rsid w:val="00B80BFF"/>
    <w:rsid w:val="00B81B50"/>
    <w:rsid w:val="00B82BF7"/>
    <w:rsid w:val="00B85E7E"/>
    <w:rsid w:val="00B86B58"/>
    <w:rsid w:val="00B87D0F"/>
    <w:rsid w:val="00B94EDC"/>
    <w:rsid w:val="00B953EE"/>
    <w:rsid w:val="00B97B9A"/>
    <w:rsid w:val="00BA1673"/>
    <w:rsid w:val="00BA25F7"/>
    <w:rsid w:val="00BA3F0B"/>
    <w:rsid w:val="00BA5F6F"/>
    <w:rsid w:val="00BB0291"/>
    <w:rsid w:val="00BB466D"/>
    <w:rsid w:val="00BB552B"/>
    <w:rsid w:val="00BB6E8D"/>
    <w:rsid w:val="00BB7539"/>
    <w:rsid w:val="00BC1D8A"/>
    <w:rsid w:val="00BC3085"/>
    <w:rsid w:val="00BC380E"/>
    <w:rsid w:val="00BC56A0"/>
    <w:rsid w:val="00BC5FA5"/>
    <w:rsid w:val="00BC6318"/>
    <w:rsid w:val="00BD0340"/>
    <w:rsid w:val="00BD34F9"/>
    <w:rsid w:val="00BD3F87"/>
    <w:rsid w:val="00BD5615"/>
    <w:rsid w:val="00BD6A9F"/>
    <w:rsid w:val="00BD6F9F"/>
    <w:rsid w:val="00BD77B2"/>
    <w:rsid w:val="00BD7A62"/>
    <w:rsid w:val="00BD7FCC"/>
    <w:rsid w:val="00BE078F"/>
    <w:rsid w:val="00BE2E1C"/>
    <w:rsid w:val="00BE437E"/>
    <w:rsid w:val="00BF5883"/>
    <w:rsid w:val="00BF5D9C"/>
    <w:rsid w:val="00BF6E4E"/>
    <w:rsid w:val="00BF778A"/>
    <w:rsid w:val="00BF7BA3"/>
    <w:rsid w:val="00C00187"/>
    <w:rsid w:val="00C00EEE"/>
    <w:rsid w:val="00C042FF"/>
    <w:rsid w:val="00C05478"/>
    <w:rsid w:val="00C063F5"/>
    <w:rsid w:val="00C07782"/>
    <w:rsid w:val="00C07F73"/>
    <w:rsid w:val="00C11180"/>
    <w:rsid w:val="00C12750"/>
    <w:rsid w:val="00C12F9D"/>
    <w:rsid w:val="00C14BB2"/>
    <w:rsid w:val="00C15E8A"/>
    <w:rsid w:val="00C16D37"/>
    <w:rsid w:val="00C174D7"/>
    <w:rsid w:val="00C229FF"/>
    <w:rsid w:val="00C239A6"/>
    <w:rsid w:val="00C24F7C"/>
    <w:rsid w:val="00C25437"/>
    <w:rsid w:val="00C2602A"/>
    <w:rsid w:val="00C339BF"/>
    <w:rsid w:val="00C34F7D"/>
    <w:rsid w:val="00C355D6"/>
    <w:rsid w:val="00C36DBB"/>
    <w:rsid w:val="00C40A8A"/>
    <w:rsid w:val="00C41EA7"/>
    <w:rsid w:val="00C42830"/>
    <w:rsid w:val="00C42985"/>
    <w:rsid w:val="00C45362"/>
    <w:rsid w:val="00C46790"/>
    <w:rsid w:val="00C4792D"/>
    <w:rsid w:val="00C5066F"/>
    <w:rsid w:val="00C514A7"/>
    <w:rsid w:val="00C5173C"/>
    <w:rsid w:val="00C51D8C"/>
    <w:rsid w:val="00C528D6"/>
    <w:rsid w:val="00C5297E"/>
    <w:rsid w:val="00C536ED"/>
    <w:rsid w:val="00C53901"/>
    <w:rsid w:val="00C54A1A"/>
    <w:rsid w:val="00C61A0A"/>
    <w:rsid w:val="00C62117"/>
    <w:rsid w:val="00C63816"/>
    <w:rsid w:val="00C7001D"/>
    <w:rsid w:val="00C7031E"/>
    <w:rsid w:val="00C7087A"/>
    <w:rsid w:val="00C754F4"/>
    <w:rsid w:val="00C813A4"/>
    <w:rsid w:val="00C81474"/>
    <w:rsid w:val="00C823EE"/>
    <w:rsid w:val="00C83D62"/>
    <w:rsid w:val="00C84923"/>
    <w:rsid w:val="00C900E7"/>
    <w:rsid w:val="00C9090A"/>
    <w:rsid w:val="00C90A9B"/>
    <w:rsid w:val="00C97316"/>
    <w:rsid w:val="00CA529A"/>
    <w:rsid w:val="00CA56AD"/>
    <w:rsid w:val="00CA78FE"/>
    <w:rsid w:val="00CB03EE"/>
    <w:rsid w:val="00CB0B07"/>
    <w:rsid w:val="00CB0BFA"/>
    <w:rsid w:val="00CC6771"/>
    <w:rsid w:val="00CC6963"/>
    <w:rsid w:val="00CC6B8D"/>
    <w:rsid w:val="00CD0306"/>
    <w:rsid w:val="00CD17CE"/>
    <w:rsid w:val="00CD392F"/>
    <w:rsid w:val="00CD5A2D"/>
    <w:rsid w:val="00CD630C"/>
    <w:rsid w:val="00CD6395"/>
    <w:rsid w:val="00CD64A4"/>
    <w:rsid w:val="00CE04B9"/>
    <w:rsid w:val="00CE42EF"/>
    <w:rsid w:val="00CE743C"/>
    <w:rsid w:val="00CE7A2A"/>
    <w:rsid w:val="00CF4332"/>
    <w:rsid w:val="00D03794"/>
    <w:rsid w:val="00D06AE5"/>
    <w:rsid w:val="00D11A36"/>
    <w:rsid w:val="00D11C30"/>
    <w:rsid w:val="00D12BB8"/>
    <w:rsid w:val="00D20D27"/>
    <w:rsid w:val="00D20F39"/>
    <w:rsid w:val="00D22438"/>
    <w:rsid w:val="00D24022"/>
    <w:rsid w:val="00D25376"/>
    <w:rsid w:val="00D26FD8"/>
    <w:rsid w:val="00D278E0"/>
    <w:rsid w:val="00D30CEB"/>
    <w:rsid w:val="00D30DB4"/>
    <w:rsid w:val="00D31156"/>
    <w:rsid w:val="00D326CB"/>
    <w:rsid w:val="00D33A29"/>
    <w:rsid w:val="00D34C19"/>
    <w:rsid w:val="00D35747"/>
    <w:rsid w:val="00D41944"/>
    <w:rsid w:val="00D436BE"/>
    <w:rsid w:val="00D45B54"/>
    <w:rsid w:val="00D476C7"/>
    <w:rsid w:val="00D52290"/>
    <w:rsid w:val="00D54178"/>
    <w:rsid w:val="00D6531A"/>
    <w:rsid w:val="00D65857"/>
    <w:rsid w:val="00D65876"/>
    <w:rsid w:val="00D65CDD"/>
    <w:rsid w:val="00D67F84"/>
    <w:rsid w:val="00D74090"/>
    <w:rsid w:val="00D74FDE"/>
    <w:rsid w:val="00D766AC"/>
    <w:rsid w:val="00D804B6"/>
    <w:rsid w:val="00D80776"/>
    <w:rsid w:val="00D80C68"/>
    <w:rsid w:val="00D82367"/>
    <w:rsid w:val="00D8393B"/>
    <w:rsid w:val="00D86B7D"/>
    <w:rsid w:val="00D91F1F"/>
    <w:rsid w:val="00D923F8"/>
    <w:rsid w:val="00D948EF"/>
    <w:rsid w:val="00DA07E9"/>
    <w:rsid w:val="00DA5F89"/>
    <w:rsid w:val="00DA6E48"/>
    <w:rsid w:val="00DA7CAA"/>
    <w:rsid w:val="00DB1837"/>
    <w:rsid w:val="00DB1A35"/>
    <w:rsid w:val="00DB3523"/>
    <w:rsid w:val="00DB48EB"/>
    <w:rsid w:val="00DB4FB3"/>
    <w:rsid w:val="00DB5F79"/>
    <w:rsid w:val="00DC0A86"/>
    <w:rsid w:val="00DC1DCB"/>
    <w:rsid w:val="00DC2866"/>
    <w:rsid w:val="00DC7CF5"/>
    <w:rsid w:val="00DD08A3"/>
    <w:rsid w:val="00DD240E"/>
    <w:rsid w:val="00DD3149"/>
    <w:rsid w:val="00DD4EE1"/>
    <w:rsid w:val="00DD6F7A"/>
    <w:rsid w:val="00DE120F"/>
    <w:rsid w:val="00DE45B9"/>
    <w:rsid w:val="00DE5300"/>
    <w:rsid w:val="00DE5F3C"/>
    <w:rsid w:val="00DE71BB"/>
    <w:rsid w:val="00DF06C5"/>
    <w:rsid w:val="00DF2AC0"/>
    <w:rsid w:val="00DF3B93"/>
    <w:rsid w:val="00DF4767"/>
    <w:rsid w:val="00E02C23"/>
    <w:rsid w:val="00E03D16"/>
    <w:rsid w:val="00E045C3"/>
    <w:rsid w:val="00E06AE9"/>
    <w:rsid w:val="00E11888"/>
    <w:rsid w:val="00E11E10"/>
    <w:rsid w:val="00E132EA"/>
    <w:rsid w:val="00E143EA"/>
    <w:rsid w:val="00E20DE0"/>
    <w:rsid w:val="00E212AB"/>
    <w:rsid w:val="00E239BB"/>
    <w:rsid w:val="00E25D96"/>
    <w:rsid w:val="00E25FDE"/>
    <w:rsid w:val="00E30840"/>
    <w:rsid w:val="00E3119B"/>
    <w:rsid w:val="00E31B4C"/>
    <w:rsid w:val="00E325A2"/>
    <w:rsid w:val="00E34E6F"/>
    <w:rsid w:val="00E36122"/>
    <w:rsid w:val="00E36360"/>
    <w:rsid w:val="00E41055"/>
    <w:rsid w:val="00E44156"/>
    <w:rsid w:val="00E4546A"/>
    <w:rsid w:val="00E47BF7"/>
    <w:rsid w:val="00E5277E"/>
    <w:rsid w:val="00E54164"/>
    <w:rsid w:val="00E556DD"/>
    <w:rsid w:val="00E57F81"/>
    <w:rsid w:val="00E60267"/>
    <w:rsid w:val="00E60DCA"/>
    <w:rsid w:val="00E63190"/>
    <w:rsid w:val="00E63C51"/>
    <w:rsid w:val="00E66622"/>
    <w:rsid w:val="00E726F9"/>
    <w:rsid w:val="00E7558B"/>
    <w:rsid w:val="00E7650D"/>
    <w:rsid w:val="00E80EE5"/>
    <w:rsid w:val="00E8241E"/>
    <w:rsid w:val="00E848AC"/>
    <w:rsid w:val="00E916F4"/>
    <w:rsid w:val="00E94BEE"/>
    <w:rsid w:val="00E971D4"/>
    <w:rsid w:val="00E975A8"/>
    <w:rsid w:val="00E97B5D"/>
    <w:rsid w:val="00EA6B8C"/>
    <w:rsid w:val="00EB3BB6"/>
    <w:rsid w:val="00EB46CE"/>
    <w:rsid w:val="00EB563C"/>
    <w:rsid w:val="00EB7B1A"/>
    <w:rsid w:val="00EC520B"/>
    <w:rsid w:val="00EC5E56"/>
    <w:rsid w:val="00EC6E38"/>
    <w:rsid w:val="00ED141A"/>
    <w:rsid w:val="00ED418E"/>
    <w:rsid w:val="00ED54F8"/>
    <w:rsid w:val="00EE0CE4"/>
    <w:rsid w:val="00EE33F4"/>
    <w:rsid w:val="00EE5932"/>
    <w:rsid w:val="00EE5F74"/>
    <w:rsid w:val="00EE6978"/>
    <w:rsid w:val="00EE6B01"/>
    <w:rsid w:val="00EF0B18"/>
    <w:rsid w:val="00EF1788"/>
    <w:rsid w:val="00EF6CDB"/>
    <w:rsid w:val="00F02B8B"/>
    <w:rsid w:val="00F0305E"/>
    <w:rsid w:val="00F115F1"/>
    <w:rsid w:val="00F16003"/>
    <w:rsid w:val="00F2226C"/>
    <w:rsid w:val="00F22734"/>
    <w:rsid w:val="00F22A80"/>
    <w:rsid w:val="00F27F8E"/>
    <w:rsid w:val="00F34437"/>
    <w:rsid w:val="00F3533A"/>
    <w:rsid w:val="00F359BE"/>
    <w:rsid w:val="00F37EE6"/>
    <w:rsid w:val="00F4103D"/>
    <w:rsid w:val="00F43E64"/>
    <w:rsid w:val="00F44270"/>
    <w:rsid w:val="00F45791"/>
    <w:rsid w:val="00F459CF"/>
    <w:rsid w:val="00F528EF"/>
    <w:rsid w:val="00F53FD5"/>
    <w:rsid w:val="00F56DEF"/>
    <w:rsid w:val="00F62A39"/>
    <w:rsid w:val="00F662E1"/>
    <w:rsid w:val="00F675ED"/>
    <w:rsid w:val="00F7181E"/>
    <w:rsid w:val="00F71F2A"/>
    <w:rsid w:val="00F725A2"/>
    <w:rsid w:val="00F7498E"/>
    <w:rsid w:val="00F77312"/>
    <w:rsid w:val="00F80656"/>
    <w:rsid w:val="00F85CE6"/>
    <w:rsid w:val="00F87F71"/>
    <w:rsid w:val="00F9078B"/>
    <w:rsid w:val="00F924F6"/>
    <w:rsid w:val="00F941E6"/>
    <w:rsid w:val="00F97BF2"/>
    <w:rsid w:val="00FA251E"/>
    <w:rsid w:val="00FA47EF"/>
    <w:rsid w:val="00FA7794"/>
    <w:rsid w:val="00FB286F"/>
    <w:rsid w:val="00FB2D06"/>
    <w:rsid w:val="00FB57F0"/>
    <w:rsid w:val="00FB60AE"/>
    <w:rsid w:val="00FC17EE"/>
    <w:rsid w:val="00FC34BD"/>
    <w:rsid w:val="00FC38F5"/>
    <w:rsid w:val="00FC59C9"/>
    <w:rsid w:val="00FC601C"/>
    <w:rsid w:val="00FD0695"/>
    <w:rsid w:val="00FD25A0"/>
    <w:rsid w:val="00FD3FD3"/>
    <w:rsid w:val="00FE1293"/>
    <w:rsid w:val="00FE15AF"/>
    <w:rsid w:val="00FE2E24"/>
    <w:rsid w:val="00FE6D09"/>
    <w:rsid w:val="00FF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CC1A5A"/>
  <w14:defaultImageDpi w14:val="300"/>
  <w15:docId w15:val="{D1A297C3-AF42-4F1F-8FBB-C0F9ADB5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4D7E49"/>
    <w:pPr>
      <w:keepNext/>
      <w:keepLines/>
      <w:spacing w:after="222" w:line="259" w:lineRule="auto"/>
      <w:ind w:left="10" w:right="63" w:hanging="10"/>
      <w:outlineLvl w:val="0"/>
    </w:pPr>
    <w:rPr>
      <w:rFonts w:ascii="Times New Roman" w:eastAsia="Times New Roman" w:hAnsi="Times New Roman" w:cs="Times New Roman"/>
      <w:b/>
      <w:color w:val="000000"/>
      <w:lang w:val="en-CA"/>
    </w:rPr>
  </w:style>
  <w:style w:type="paragraph" w:styleId="Heading2">
    <w:name w:val="heading 2"/>
    <w:basedOn w:val="Normal"/>
    <w:next w:val="Normal"/>
    <w:link w:val="Heading2Char"/>
    <w:uiPriority w:val="9"/>
    <w:unhideWhenUsed/>
    <w:qFormat/>
    <w:rsid w:val="001525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433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11"/>
    <w:pPr>
      <w:spacing w:after="160" w:line="259" w:lineRule="auto"/>
      <w:ind w:left="720"/>
      <w:contextualSpacing/>
    </w:pPr>
    <w:rPr>
      <w:rFonts w:eastAsiaTheme="minorHAnsi"/>
      <w:sz w:val="22"/>
      <w:szCs w:val="22"/>
      <w:lang w:val="en-CA"/>
    </w:rPr>
  </w:style>
  <w:style w:type="paragraph" w:styleId="FootnoteText">
    <w:name w:val="footnote text"/>
    <w:aliases w:val="Footnote Text Jenn,Footnote Text Char1,Footnote Text Char Char,Footnote Text Char2 Char Char,Footnote Text Char Char Char Char,Footnote Text Char1 Char Char Char,Footnote Text Char Char1,Footnote Text Char2 Char"/>
    <w:basedOn w:val="Normal"/>
    <w:link w:val="FootnoteTextChar"/>
    <w:uiPriority w:val="99"/>
    <w:unhideWhenUsed/>
    <w:rsid w:val="00C25437"/>
  </w:style>
  <w:style w:type="character" w:customStyle="1" w:styleId="FootnoteTextChar">
    <w:name w:val="Footnote Text Char"/>
    <w:aliases w:val="Footnote Text Jenn Char,Footnote Text Char1 Char,Footnote Text Char Char Char,Footnote Text Char2 Char Char Char,Footnote Text Char Char Char Char Char,Footnote Text Char1 Char Char Char Char,Footnote Text Char Char1 Char"/>
    <w:basedOn w:val="DefaultParagraphFont"/>
    <w:link w:val="FootnoteText"/>
    <w:uiPriority w:val="99"/>
    <w:rsid w:val="00C25437"/>
  </w:style>
  <w:style w:type="character" w:styleId="FootnoteReference">
    <w:name w:val="footnote reference"/>
    <w:basedOn w:val="DefaultParagraphFont"/>
    <w:uiPriority w:val="99"/>
    <w:unhideWhenUsed/>
    <w:rsid w:val="00C25437"/>
    <w:rPr>
      <w:vertAlign w:val="superscript"/>
    </w:rPr>
  </w:style>
  <w:style w:type="paragraph" w:styleId="BalloonText">
    <w:name w:val="Balloon Text"/>
    <w:basedOn w:val="Normal"/>
    <w:link w:val="BalloonTextChar"/>
    <w:uiPriority w:val="99"/>
    <w:semiHidden/>
    <w:unhideWhenUsed/>
    <w:rsid w:val="00656A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A3A"/>
    <w:rPr>
      <w:rFonts w:ascii="Times New Roman" w:hAnsi="Times New Roman" w:cs="Times New Roman"/>
      <w:sz w:val="18"/>
      <w:szCs w:val="18"/>
    </w:rPr>
  </w:style>
  <w:style w:type="paragraph" w:styleId="NormalWeb">
    <w:name w:val="Normal (Web)"/>
    <w:basedOn w:val="Normal"/>
    <w:uiPriority w:val="99"/>
    <w:unhideWhenUsed/>
    <w:rsid w:val="00331EE1"/>
    <w:pPr>
      <w:spacing w:before="100" w:beforeAutospacing="1" w:after="100" w:afterAutospacing="1"/>
    </w:pPr>
    <w:rPr>
      <w:rFonts w:ascii="Times" w:hAnsi="Times" w:cs="Times New Roman"/>
      <w:sz w:val="20"/>
      <w:szCs w:val="20"/>
      <w:lang w:val="en-GB"/>
    </w:rPr>
  </w:style>
  <w:style w:type="character" w:styleId="Hyperlink">
    <w:name w:val="Hyperlink"/>
    <w:uiPriority w:val="99"/>
    <w:unhideWhenUsed/>
    <w:rsid w:val="00B6144F"/>
    <w:rPr>
      <w:color w:val="0000FF"/>
      <w:u w:val="single"/>
    </w:rPr>
  </w:style>
  <w:style w:type="character" w:styleId="EndnoteReference">
    <w:name w:val="endnote reference"/>
    <w:basedOn w:val="DefaultParagraphFont"/>
    <w:uiPriority w:val="99"/>
    <w:semiHidden/>
    <w:unhideWhenUsed/>
    <w:rsid w:val="00B6144F"/>
    <w:rPr>
      <w:vertAlign w:val="superscript"/>
    </w:rPr>
  </w:style>
  <w:style w:type="paragraph" w:customStyle="1" w:styleId="N">
    <w:name w:val="N"/>
    <w:rsid w:val="00B6144F"/>
    <w:pPr>
      <w:spacing w:before="60" w:after="60" w:line="480" w:lineRule="auto"/>
      <w:ind w:left="245" w:hanging="245"/>
    </w:pPr>
    <w:rPr>
      <w:rFonts w:ascii="Times New Roman" w:eastAsia="Times New Roman" w:hAnsi="Times New Roman" w:cs="Times New Roman"/>
      <w:sz w:val="22"/>
      <w:szCs w:val="20"/>
    </w:rPr>
  </w:style>
  <w:style w:type="paragraph" w:customStyle="1" w:styleId="PI">
    <w:name w:val="PI"/>
    <w:basedOn w:val="Normal"/>
    <w:rsid w:val="00B6144F"/>
    <w:pPr>
      <w:spacing w:line="480" w:lineRule="auto"/>
      <w:ind w:firstLine="432"/>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D7E49"/>
    <w:rPr>
      <w:rFonts w:ascii="Times New Roman" w:eastAsia="Times New Roman" w:hAnsi="Times New Roman" w:cs="Times New Roman"/>
      <w:b/>
      <w:color w:val="000000"/>
      <w:lang w:val="en-CA"/>
    </w:rPr>
  </w:style>
  <w:style w:type="paragraph" w:styleId="Footer">
    <w:name w:val="footer"/>
    <w:basedOn w:val="Normal"/>
    <w:link w:val="FooterChar"/>
    <w:uiPriority w:val="99"/>
    <w:unhideWhenUsed/>
    <w:rsid w:val="002477D7"/>
    <w:pPr>
      <w:tabs>
        <w:tab w:val="center" w:pos="4680"/>
        <w:tab w:val="right" w:pos="9360"/>
      </w:tabs>
    </w:pPr>
  </w:style>
  <w:style w:type="character" w:customStyle="1" w:styleId="FooterChar">
    <w:name w:val="Footer Char"/>
    <w:basedOn w:val="DefaultParagraphFont"/>
    <w:link w:val="Footer"/>
    <w:uiPriority w:val="99"/>
    <w:rsid w:val="002477D7"/>
  </w:style>
  <w:style w:type="character" w:styleId="PageNumber">
    <w:name w:val="page number"/>
    <w:basedOn w:val="DefaultParagraphFont"/>
    <w:uiPriority w:val="99"/>
    <w:semiHidden/>
    <w:unhideWhenUsed/>
    <w:rsid w:val="002477D7"/>
  </w:style>
  <w:style w:type="paragraph" w:styleId="Header">
    <w:name w:val="header"/>
    <w:basedOn w:val="Normal"/>
    <w:link w:val="HeaderChar"/>
    <w:uiPriority w:val="99"/>
    <w:unhideWhenUsed/>
    <w:rsid w:val="00463AD8"/>
    <w:pPr>
      <w:tabs>
        <w:tab w:val="center" w:pos="4680"/>
        <w:tab w:val="right" w:pos="9360"/>
      </w:tabs>
    </w:pPr>
  </w:style>
  <w:style w:type="character" w:customStyle="1" w:styleId="HeaderChar">
    <w:name w:val="Header Char"/>
    <w:basedOn w:val="DefaultParagraphFont"/>
    <w:link w:val="Header"/>
    <w:uiPriority w:val="99"/>
    <w:rsid w:val="00463AD8"/>
  </w:style>
  <w:style w:type="character" w:styleId="CommentReference">
    <w:name w:val="annotation reference"/>
    <w:basedOn w:val="DefaultParagraphFont"/>
    <w:uiPriority w:val="99"/>
    <w:semiHidden/>
    <w:unhideWhenUsed/>
    <w:rsid w:val="00303A0E"/>
    <w:rPr>
      <w:sz w:val="16"/>
      <w:szCs w:val="16"/>
    </w:rPr>
  </w:style>
  <w:style w:type="paragraph" w:styleId="CommentText">
    <w:name w:val="annotation text"/>
    <w:basedOn w:val="Normal"/>
    <w:link w:val="CommentTextChar"/>
    <w:uiPriority w:val="99"/>
    <w:unhideWhenUsed/>
    <w:rsid w:val="00303A0E"/>
    <w:rPr>
      <w:sz w:val="20"/>
      <w:szCs w:val="20"/>
    </w:rPr>
  </w:style>
  <w:style w:type="character" w:customStyle="1" w:styleId="CommentTextChar">
    <w:name w:val="Comment Text Char"/>
    <w:basedOn w:val="DefaultParagraphFont"/>
    <w:link w:val="CommentText"/>
    <w:uiPriority w:val="99"/>
    <w:rsid w:val="00303A0E"/>
    <w:rPr>
      <w:sz w:val="20"/>
      <w:szCs w:val="20"/>
    </w:rPr>
  </w:style>
  <w:style w:type="paragraph" w:styleId="CommentSubject">
    <w:name w:val="annotation subject"/>
    <w:basedOn w:val="CommentText"/>
    <w:next w:val="CommentText"/>
    <w:link w:val="CommentSubjectChar"/>
    <w:uiPriority w:val="99"/>
    <w:semiHidden/>
    <w:unhideWhenUsed/>
    <w:rsid w:val="00303A0E"/>
    <w:rPr>
      <w:b/>
      <w:bCs/>
    </w:rPr>
  </w:style>
  <w:style w:type="character" w:customStyle="1" w:styleId="CommentSubjectChar">
    <w:name w:val="Comment Subject Char"/>
    <w:basedOn w:val="CommentTextChar"/>
    <w:link w:val="CommentSubject"/>
    <w:uiPriority w:val="99"/>
    <w:semiHidden/>
    <w:rsid w:val="00303A0E"/>
    <w:rPr>
      <w:b/>
      <w:bCs/>
      <w:sz w:val="20"/>
      <w:szCs w:val="20"/>
    </w:rPr>
  </w:style>
  <w:style w:type="paragraph" w:styleId="EndnoteText">
    <w:name w:val="endnote text"/>
    <w:basedOn w:val="Normal"/>
    <w:link w:val="EndnoteTextChar"/>
    <w:uiPriority w:val="99"/>
    <w:semiHidden/>
    <w:unhideWhenUsed/>
    <w:rsid w:val="00131375"/>
    <w:rPr>
      <w:sz w:val="20"/>
      <w:szCs w:val="20"/>
    </w:rPr>
  </w:style>
  <w:style w:type="character" w:customStyle="1" w:styleId="EndnoteTextChar">
    <w:name w:val="Endnote Text Char"/>
    <w:basedOn w:val="DefaultParagraphFont"/>
    <w:link w:val="EndnoteText"/>
    <w:uiPriority w:val="99"/>
    <w:semiHidden/>
    <w:rsid w:val="00131375"/>
    <w:rPr>
      <w:sz w:val="20"/>
      <w:szCs w:val="20"/>
    </w:rPr>
  </w:style>
  <w:style w:type="character" w:customStyle="1" w:styleId="UnresolvedMention1">
    <w:name w:val="Unresolved Mention1"/>
    <w:basedOn w:val="DefaultParagraphFont"/>
    <w:uiPriority w:val="99"/>
    <w:semiHidden/>
    <w:unhideWhenUsed/>
    <w:rsid w:val="001D30B9"/>
    <w:rPr>
      <w:color w:val="605E5C"/>
      <w:shd w:val="clear" w:color="auto" w:fill="E1DFDD"/>
    </w:rPr>
  </w:style>
  <w:style w:type="character" w:styleId="FollowedHyperlink">
    <w:name w:val="FollowedHyperlink"/>
    <w:basedOn w:val="DefaultParagraphFont"/>
    <w:uiPriority w:val="99"/>
    <w:semiHidden/>
    <w:unhideWhenUsed/>
    <w:rsid w:val="001D5DBC"/>
    <w:rPr>
      <w:color w:val="800080" w:themeColor="followedHyperlink"/>
      <w:u w:val="single"/>
    </w:rPr>
  </w:style>
  <w:style w:type="paragraph" w:styleId="Revision">
    <w:name w:val="Revision"/>
    <w:hidden/>
    <w:uiPriority w:val="99"/>
    <w:semiHidden/>
    <w:rsid w:val="00F62A39"/>
  </w:style>
  <w:style w:type="character" w:customStyle="1" w:styleId="Heading2Char">
    <w:name w:val="Heading 2 Char"/>
    <w:basedOn w:val="DefaultParagraphFont"/>
    <w:link w:val="Heading2"/>
    <w:uiPriority w:val="9"/>
    <w:rsid w:val="001525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433C"/>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E7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8962">
      <w:bodyDiv w:val="1"/>
      <w:marLeft w:val="0"/>
      <w:marRight w:val="0"/>
      <w:marTop w:val="0"/>
      <w:marBottom w:val="0"/>
      <w:divBdr>
        <w:top w:val="none" w:sz="0" w:space="0" w:color="auto"/>
        <w:left w:val="none" w:sz="0" w:space="0" w:color="auto"/>
        <w:bottom w:val="none" w:sz="0" w:space="0" w:color="auto"/>
        <w:right w:val="none" w:sz="0" w:space="0" w:color="auto"/>
      </w:divBdr>
    </w:div>
    <w:div w:id="254023508">
      <w:bodyDiv w:val="1"/>
      <w:marLeft w:val="0"/>
      <w:marRight w:val="0"/>
      <w:marTop w:val="0"/>
      <w:marBottom w:val="0"/>
      <w:divBdr>
        <w:top w:val="none" w:sz="0" w:space="0" w:color="auto"/>
        <w:left w:val="none" w:sz="0" w:space="0" w:color="auto"/>
        <w:bottom w:val="none" w:sz="0" w:space="0" w:color="auto"/>
        <w:right w:val="none" w:sz="0" w:space="0" w:color="auto"/>
      </w:divBdr>
    </w:div>
    <w:div w:id="282033897">
      <w:bodyDiv w:val="1"/>
      <w:marLeft w:val="0"/>
      <w:marRight w:val="0"/>
      <w:marTop w:val="0"/>
      <w:marBottom w:val="0"/>
      <w:divBdr>
        <w:top w:val="none" w:sz="0" w:space="0" w:color="auto"/>
        <w:left w:val="none" w:sz="0" w:space="0" w:color="auto"/>
        <w:bottom w:val="none" w:sz="0" w:space="0" w:color="auto"/>
        <w:right w:val="none" w:sz="0" w:space="0" w:color="auto"/>
      </w:divBdr>
      <w:divsChild>
        <w:div w:id="1083259168">
          <w:marLeft w:val="0"/>
          <w:marRight w:val="0"/>
          <w:marTop w:val="0"/>
          <w:marBottom w:val="0"/>
          <w:divBdr>
            <w:top w:val="none" w:sz="0" w:space="0" w:color="auto"/>
            <w:left w:val="none" w:sz="0" w:space="0" w:color="auto"/>
            <w:bottom w:val="none" w:sz="0" w:space="0" w:color="auto"/>
            <w:right w:val="none" w:sz="0" w:space="0" w:color="auto"/>
          </w:divBdr>
          <w:divsChild>
            <w:div w:id="411245702">
              <w:marLeft w:val="0"/>
              <w:marRight w:val="0"/>
              <w:marTop w:val="0"/>
              <w:marBottom w:val="0"/>
              <w:divBdr>
                <w:top w:val="none" w:sz="0" w:space="0" w:color="auto"/>
                <w:left w:val="none" w:sz="0" w:space="0" w:color="auto"/>
                <w:bottom w:val="none" w:sz="0" w:space="0" w:color="auto"/>
                <w:right w:val="none" w:sz="0" w:space="0" w:color="auto"/>
              </w:divBdr>
              <w:divsChild>
                <w:div w:id="21263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8954">
      <w:bodyDiv w:val="1"/>
      <w:marLeft w:val="0"/>
      <w:marRight w:val="0"/>
      <w:marTop w:val="0"/>
      <w:marBottom w:val="0"/>
      <w:divBdr>
        <w:top w:val="none" w:sz="0" w:space="0" w:color="auto"/>
        <w:left w:val="none" w:sz="0" w:space="0" w:color="auto"/>
        <w:bottom w:val="none" w:sz="0" w:space="0" w:color="auto"/>
        <w:right w:val="none" w:sz="0" w:space="0" w:color="auto"/>
      </w:divBdr>
    </w:div>
    <w:div w:id="528834290">
      <w:bodyDiv w:val="1"/>
      <w:marLeft w:val="0"/>
      <w:marRight w:val="0"/>
      <w:marTop w:val="0"/>
      <w:marBottom w:val="0"/>
      <w:divBdr>
        <w:top w:val="none" w:sz="0" w:space="0" w:color="auto"/>
        <w:left w:val="none" w:sz="0" w:space="0" w:color="auto"/>
        <w:bottom w:val="none" w:sz="0" w:space="0" w:color="auto"/>
        <w:right w:val="none" w:sz="0" w:space="0" w:color="auto"/>
      </w:divBdr>
    </w:div>
    <w:div w:id="563636863">
      <w:bodyDiv w:val="1"/>
      <w:marLeft w:val="0"/>
      <w:marRight w:val="0"/>
      <w:marTop w:val="0"/>
      <w:marBottom w:val="0"/>
      <w:divBdr>
        <w:top w:val="none" w:sz="0" w:space="0" w:color="auto"/>
        <w:left w:val="none" w:sz="0" w:space="0" w:color="auto"/>
        <w:bottom w:val="none" w:sz="0" w:space="0" w:color="auto"/>
        <w:right w:val="none" w:sz="0" w:space="0" w:color="auto"/>
      </w:divBdr>
    </w:div>
    <w:div w:id="659844133">
      <w:bodyDiv w:val="1"/>
      <w:marLeft w:val="0"/>
      <w:marRight w:val="0"/>
      <w:marTop w:val="0"/>
      <w:marBottom w:val="0"/>
      <w:divBdr>
        <w:top w:val="none" w:sz="0" w:space="0" w:color="auto"/>
        <w:left w:val="none" w:sz="0" w:space="0" w:color="auto"/>
        <w:bottom w:val="none" w:sz="0" w:space="0" w:color="auto"/>
        <w:right w:val="none" w:sz="0" w:space="0" w:color="auto"/>
      </w:divBdr>
    </w:div>
    <w:div w:id="669527305">
      <w:bodyDiv w:val="1"/>
      <w:marLeft w:val="0"/>
      <w:marRight w:val="0"/>
      <w:marTop w:val="0"/>
      <w:marBottom w:val="0"/>
      <w:divBdr>
        <w:top w:val="none" w:sz="0" w:space="0" w:color="auto"/>
        <w:left w:val="none" w:sz="0" w:space="0" w:color="auto"/>
        <w:bottom w:val="none" w:sz="0" w:space="0" w:color="auto"/>
        <w:right w:val="none" w:sz="0" w:space="0" w:color="auto"/>
      </w:divBdr>
    </w:div>
    <w:div w:id="710113749">
      <w:bodyDiv w:val="1"/>
      <w:marLeft w:val="0"/>
      <w:marRight w:val="0"/>
      <w:marTop w:val="0"/>
      <w:marBottom w:val="0"/>
      <w:divBdr>
        <w:top w:val="none" w:sz="0" w:space="0" w:color="auto"/>
        <w:left w:val="none" w:sz="0" w:space="0" w:color="auto"/>
        <w:bottom w:val="none" w:sz="0" w:space="0" w:color="auto"/>
        <w:right w:val="none" w:sz="0" w:space="0" w:color="auto"/>
      </w:divBdr>
    </w:div>
    <w:div w:id="742483485">
      <w:bodyDiv w:val="1"/>
      <w:marLeft w:val="0"/>
      <w:marRight w:val="0"/>
      <w:marTop w:val="0"/>
      <w:marBottom w:val="0"/>
      <w:divBdr>
        <w:top w:val="none" w:sz="0" w:space="0" w:color="auto"/>
        <w:left w:val="none" w:sz="0" w:space="0" w:color="auto"/>
        <w:bottom w:val="none" w:sz="0" w:space="0" w:color="auto"/>
        <w:right w:val="none" w:sz="0" w:space="0" w:color="auto"/>
      </w:divBdr>
    </w:div>
    <w:div w:id="1002664206">
      <w:bodyDiv w:val="1"/>
      <w:marLeft w:val="0"/>
      <w:marRight w:val="0"/>
      <w:marTop w:val="0"/>
      <w:marBottom w:val="0"/>
      <w:divBdr>
        <w:top w:val="none" w:sz="0" w:space="0" w:color="auto"/>
        <w:left w:val="none" w:sz="0" w:space="0" w:color="auto"/>
        <w:bottom w:val="none" w:sz="0" w:space="0" w:color="auto"/>
        <w:right w:val="none" w:sz="0" w:space="0" w:color="auto"/>
      </w:divBdr>
      <w:divsChild>
        <w:div w:id="1136990475">
          <w:marLeft w:val="0"/>
          <w:marRight w:val="0"/>
          <w:marTop w:val="0"/>
          <w:marBottom w:val="0"/>
          <w:divBdr>
            <w:top w:val="none" w:sz="0" w:space="0" w:color="auto"/>
            <w:left w:val="none" w:sz="0" w:space="0" w:color="auto"/>
            <w:bottom w:val="none" w:sz="0" w:space="0" w:color="auto"/>
            <w:right w:val="none" w:sz="0" w:space="0" w:color="auto"/>
          </w:divBdr>
          <w:divsChild>
            <w:div w:id="193228593">
              <w:marLeft w:val="0"/>
              <w:marRight w:val="0"/>
              <w:marTop w:val="0"/>
              <w:marBottom w:val="0"/>
              <w:divBdr>
                <w:top w:val="none" w:sz="0" w:space="0" w:color="auto"/>
                <w:left w:val="none" w:sz="0" w:space="0" w:color="auto"/>
                <w:bottom w:val="none" w:sz="0" w:space="0" w:color="auto"/>
                <w:right w:val="none" w:sz="0" w:space="0" w:color="auto"/>
              </w:divBdr>
              <w:divsChild>
                <w:div w:id="2116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0758">
      <w:bodyDiv w:val="1"/>
      <w:marLeft w:val="0"/>
      <w:marRight w:val="0"/>
      <w:marTop w:val="0"/>
      <w:marBottom w:val="0"/>
      <w:divBdr>
        <w:top w:val="none" w:sz="0" w:space="0" w:color="auto"/>
        <w:left w:val="none" w:sz="0" w:space="0" w:color="auto"/>
        <w:bottom w:val="none" w:sz="0" w:space="0" w:color="auto"/>
        <w:right w:val="none" w:sz="0" w:space="0" w:color="auto"/>
      </w:divBdr>
    </w:div>
    <w:div w:id="1182085915">
      <w:bodyDiv w:val="1"/>
      <w:marLeft w:val="0"/>
      <w:marRight w:val="0"/>
      <w:marTop w:val="0"/>
      <w:marBottom w:val="0"/>
      <w:divBdr>
        <w:top w:val="none" w:sz="0" w:space="0" w:color="auto"/>
        <w:left w:val="none" w:sz="0" w:space="0" w:color="auto"/>
        <w:bottom w:val="none" w:sz="0" w:space="0" w:color="auto"/>
        <w:right w:val="none" w:sz="0" w:space="0" w:color="auto"/>
      </w:divBdr>
    </w:div>
    <w:div w:id="1183057396">
      <w:bodyDiv w:val="1"/>
      <w:marLeft w:val="0"/>
      <w:marRight w:val="0"/>
      <w:marTop w:val="0"/>
      <w:marBottom w:val="0"/>
      <w:divBdr>
        <w:top w:val="none" w:sz="0" w:space="0" w:color="auto"/>
        <w:left w:val="none" w:sz="0" w:space="0" w:color="auto"/>
        <w:bottom w:val="none" w:sz="0" w:space="0" w:color="auto"/>
        <w:right w:val="none" w:sz="0" w:space="0" w:color="auto"/>
      </w:divBdr>
      <w:divsChild>
        <w:div w:id="2708177">
          <w:marLeft w:val="0"/>
          <w:marRight w:val="0"/>
          <w:marTop w:val="0"/>
          <w:marBottom w:val="0"/>
          <w:divBdr>
            <w:top w:val="none" w:sz="0" w:space="0" w:color="auto"/>
            <w:left w:val="none" w:sz="0" w:space="0" w:color="auto"/>
            <w:bottom w:val="none" w:sz="0" w:space="0" w:color="auto"/>
            <w:right w:val="none" w:sz="0" w:space="0" w:color="auto"/>
          </w:divBdr>
          <w:divsChild>
            <w:div w:id="85619373">
              <w:marLeft w:val="0"/>
              <w:marRight w:val="0"/>
              <w:marTop w:val="0"/>
              <w:marBottom w:val="0"/>
              <w:divBdr>
                <w:top w:val="none" w:sz="0" w:space="0" w:color="auto"/>
                <w:left w:val="none" w:sz="0" w:space="0" w:color="auto"/>
                <w:bottom w:val="none" w:sz="0" w:space="0" w:color="auto"/>
                <w:right w:val="none" w:sz="0" w:space="0" w:color="auto"/>
              </w:divBdr>
              <w:divsChild>
                <w:div w:id="4871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99506">
      <w:bodyDiv w:val="1"/>
      <w:marLeft w:val="0"/>
      <w:marRight w:val="0"/>
      <w:marTop w:val="0"/>
      <w:marBottom w:val="0"/>
      <w:divBdr>
        <w:top w:val="none" w:sz="0" w:space="0" w:color="auto"/>
        <w:left w:val="none" w:sz="0" w:space="0" w:color="auto"/>
        <w:bottom w:val="none" w:sz="0" w:space="0" w:color="auto"/>
        <w:right w:val="none" w:sz="0" w:space="0" w:color="auto"/>
      </w:divBdr>
    </w:div>
    <w:div w:id="1767650082">
      <w:bodyDiv w:val="1"/>
      <w:marLeft w:val="0"/>
      <w:marRight w:val="0"/>
      <w:marTop w:val="0"/>
      <w:marBottom w:val="0"/>
      <w:divBdr>
        <w:top w:val="none" w:sz="0" w:space="0" w:color="auto"/>
        <w:left w:val="none" w:sz="0" w:space="0" w:color="auto"/>
        <w:bottom w:val="none" w:sz="0" w:space="0" w:color="auto"/>
        <w:right w:val="none" w:sz="0" w:space="0" w:color="auto"/>
      </w:divBdr>
    </w:div>
    <w:div w:id="2066487362">
      <w:bodyDiv w:val="1"/>
      <w:marLeft w:val="0"/>
      <w:marRight w:val="0"/>
      <w:marTop w:val="0"/>
      <w:marBottom w:val="0"/>
      <w:divBdr>
        <w:top w:val="none" w:sz="0" w:space="0" w:color="auto"/>
        <w:left w:val="none" w:sz="0" w:space="0" w:color="auto"/>
        <w:bottom w:val="none" w:sz="0" w:space="0" w:color="auto"/>
        <w:right w:val="none" w:sz="0" w:space="0" w:color="auto"/>
      </w:divBdr>
      <w:divsChild>
        <w:div w:id="1697922059">
          <w:marLeft w:val="0"/>
          <w:marRight w:val="0"/>
          <w:marTop w:val="0"/>
          <w:marBottom w:val="0"/>
          <w:divBdr>
            <w:top w:val="none" w:sz="0" w:space="0" w:color="auto"/>
            <w:left w:val="none" w:sz="0" w:space="0" w:color="auto"/>
            <w:bottom w:val="none" w:sz="0" w:space="0" w:color="auto"/>
            <w:right w:val="none" w:sz="0" w:space="0" w:color="auto"/>
          </w:divBdr>
          <w:divsChild>
            <w:div w:id="5583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2369-F57F-9442-8B9A-26AC00D6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8019</Words>
  <Characters>45712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53624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Welsh</dc:creator>
  <cp:keywords/>
  <dc:description/>
  <cp:lastModifiedBy>Laura diZerega</cp:lastModifiedBy>
  <cp:revision>3</cp:revision>
  <dcterms:created xsi:type="dcterms:W3CDTF">2021-10-28T00:43:00Z</dcterms:created>
  <dcterms:modified xsi:type="dcterms:W3CDTF">2021-12-17T19:55:00Z</dcterms:modified>
</cp:coreProperties>
</file>