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D1A8E" w14:textId="6272F76B" w:rsidR="004D6412" w:rsidRDefault="004D6412" w:rsidP="00353FB5">
      <w:pPr>
        <w:pStyle w:val="Heading1"/>
      </w:pPr>
      <w:r w:rsidRPr="00823877">
        <w:t>Protecting Cultural Heritage: The Ties between People and Places</w:t>
      </w:r>
    </w:p>
    <w:p w14:paraId="40EC8CFC" w14:textId="43625C83" w:rsidR="004D6412" w:rsidRDefault="004D6412" w:rsidP="0079542D">
      <w:pPr>
        <w:spacing w:line="480" w:lineRule="auto"/>
        <w:rPr>
          <w:color w:val="000000"/>
        </w:rPr>
      </w:pPr>
      <w:r>
        <w:rPr>
          <w:color w:val="000000"/>
        </w:rPr>
        <w:t>Patty Gerstenblith</w:t>
      </w:r>
    </w:p>
    <w:p w14:paraId="1BF5FEA6" w14:textId="308630C7" w:rsidR="00411A3C" w:rsidRDefault="00411A3C" w:rsidP="00411A3C">
      <w:pPr>
        <w:spacing w:line="480" w:lineRule="auto"/>
      </w:pPr>
    </w:p>
    <w:p w14:paraId="497326B3" w14:textId="77777777" w:rsidR="009C16DE" w:rsidRPr="00CD6601" w:rsidRDefault="009C16DE" w:rsidP="009C16DE">
      <w:pPr>
        <w:spacing w:line="480" w:lineRule="auto"/>
      </w:pPr>
      <w:r w:rsidRPr="00CD6601">
        <w:t xml:space="preserve">© 2022 </w:t>
      </w:r>
      <w:r>
        <w:t xml:space="preserve">Patty </w:t>
      </w:r>
      <w:bookmarkStart w:id="0" w:name="_GoBack"/>
      <w:bookmarkEnd w:id="0"/>
      <w:r>
        <w:t>Gerstenblith</w:t>
      </w:r>
      <w:r w:rsidRPr="00CD6601">
        <w:t xml:space="preserve">.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270A1923" w14:textId="77777777" w:rsidR="009C16DE" w:rsidRPr="00C235E2" w:rsidRDefault="009C16DE" w:rsidP="00411A3C">
      <w:pPr>
        <w:spacing w:line="480" w:lineRule="auto"/>
      </w:pPr>
    </w:p>
    <w:p w14:paraId="4736D941" w14:textId="77777777" w:rsidR="00411A3C" w:rsidRDefault="00411A3C" w:rsidP="00353FB5">
      <w:pPr>
        <w:pStyle w:val="Heading2"/>
      </w:pPr>
      <w:r>
        <w:t>Keynote</w:t>
      </w:r>
    </w:p>
    <w:p w14:paraId="1E39803C" w14:textId="7EDD4067" w:rsidR="00411A3C" w:rsidRDefault="00D65873" w:rsidP="00411A3C">
      <w:pPr>
        <w:spacing w:line="480" w:lineRule="auto"/>
      </w:pPr>
      <w:r>
        <w:t xml:space="preserve">The chapter </w:t>
      </w:r>
      <w:r w:rsidR="00411A3C">
        <w:t xml:space="preserve">addresses the destruction of immovable cultural heritage during armed conflict and the possible applicability of the </w:t>
      </w:r>
      <w:r w:rsidR="00D2361B">
        <w:t>emerging norm</w:t>
      </w:r>
      <w:r w:rsidR="00372839">
        <w:t xml:space="preserve"> of the responsibility to protect</w:t>
      </w:r>
      <w:r w:rsidR="00411A3C">
        <w:t xml:space="preserve">. </w:t>
      </w:r>
      <w:r w:rsidR="00352901">
        <w:t>As i</w:t>
      </w:r>
      <w:r w:rsidR="00411A3C">
        <w:t xml:space="preserve">mmovable tangible heritage </w:t>
      </w:r>
      <w:r w:rsidR="00352901">
        <w:t xml:space="preserve">is linked </w:t>
      </w:r>
      <w:r w:rsidR="00411A3C">
        <w:t>to local communit</w:t>
      </w:r>
      <w:r w:rsidR="00352901">
        <w:t>ies,</w:t>
      </w:r>
      <w:r w:rsidR="00411A3C">
        <w:t xml:space="preserve"> involving </w:t>
      </w:r>
      <w:r w:rsidR="00352901">
        <w:t xml:space="preserve">them </w:t>
      </w:r>
      <w:r w:rsidR="00C264E0">
        <w:t>as well as</w:t>
      </w:r>
      <w:r w:rsidR="00411A3C">
        <w:t xml:space="preserve"> non</w:t>
      </w:r>
      <w:r w:rsidR="00352901">
        <w:t>s</w:t>
      </w:r>
      <w:r w:rsidR="00411A3C">
        <w:t xml:space="preserve">tate </w:t>
      </w:r>
      <w:r w:rsidR="00352901">
        <w:t>a</w:t>
      </w:r>
      <w:r w:rsidR="00411A3C">
        <w:t xml:space="preserve">ctors in preservation and protection efforts is likely to be more successful than a top-down approach that focuses primarily on the interests of </w:t>
      </w:r>
      <w:r w:rsidR="00C264E0">
        <w:t>state</w:t>
      </w:r>
      <w:r w:rsidR="00411A3C">
        <w:t>s and intergovernmental organizations.</w:t>
      </w:r>
    </w:p>
    <w:p w14:paraId="49AA0E5E" w14:textId="249CF32A" w:rsidR="00411A3C" w:rsidRDefault="00411A3C" w:rsidP="004D55E5">
      <w:pPr>
        <w:spacing w:line="480" w:lineRule="auto"/>
        <w:rPr>
          <w:color w:val="000000"/>
        </w:rPr>
      </w:pPr>
    </w:p>
    <w:p w14:paraId="21BDFACD" w14:textId="64EE2F08" w:rsidR="00411A3C" w:rsidRDefault="00411A3C" w:rsidP="00353FB5">
      <w:pPr>
        <w:pStyle w:val="Heading2"/>
      </w:pPr>
      <w:r>
        <w:t>Abstract</w:t>
      </w:r>
    </w:p>
    <w:p w14:paraId="104B485E" w14:textId="112AA5FA" w:rsidR="00411A3C" w:rsidRDefault="00411A3C" w:rsidP="00411A3C">
      <w:pPr>
        <w:spacing w:line="480" w:lineRule="auto"/>
      </w:pPr>
      <w:r>
        <w:t>T</w:t>
      </w:r>
      <w:r w:rsidRPr="00C50388">
        <w:t>h</w:t>
      </w:r>
      <w:r w:rsidR="00F724D3">
        <w:t>e</w:t>
      </w:r>
      <w:r w:rsidRPr="00C50388">
        <w:t xml:space="preserve"> </w:t>
      </w:r>
      <w:r w:rsidR="00F724D3">
        <w:t>chapter</w:t>
      </w:r>
      <w:r w:rsidRPr="00C50388">
        <w:t xml:space="preserve"> </w:t>
      </w:r>
      <w:r>
        <w:t>examines the destruction of immovable cultural heritage through the lens of human rights and argues that the meaning of cultural heritage must be evaluated from the perspectives of the international, national</w:t>
      </w:r>
      <w:r w:rsidR="00F724D3">
        <w:t>,</w:t>
      </w:r>
      <w:r>
        <w:t xml:space="preserve"> and local communities. It briefly summarizes applicable international legal instruments and the categorization of cultural heritage destruction within the rubric of </w:t>
      </w:r>
      <w:r w:rsidR="00764B7D">
        <w:t xml:space="preserve">mass atrocity crimes: </w:t>
      </w:r>
      <w:r>
        <w:t>genocide, crimes against humanity</w:t>
      </w:r>
      <w:r w:rsidR="00F724D3">
        <w:t>,</w:t>
      </w:r>
      <w:r>
        <w:t xml:space="preserve"> and war crimes. The </w:t>
      </w:r>
      <w:r w:rsidR="00920C9C">
        <w:t xml:space="preserve">discussion </w:t>
      </w:r>
      <w:r>
        <w:t xml:space="preserve">then turns to </w:t>
      </w:r>
      <w:r w:rsidRPr="00C50388">
        <w:t xml:space="preserve">the </w:t>
      </w:r>
      <w:r w:rsidR="0077700B">
        <w:t xml:space="preserve">emerging norm of the </w:t>
      </w:r>
      <w:r w:rsidR="00920C9C">
        <w:t>r</w:t>
      </w:r>
      <w:r w:rsidRPr="00C50388">
        <w:t xml:space="preserve">esponsibility to </w:t>
      </w:r>
      <w:r w:rsidR="00920C9C">
        <w:t>p</w:t>
      </w:r>
      <w:r w:rsidRPr="00C50388">
        <w:t>rotect (R2P)</w:t>
      </w:r>
      <w:r>
        <w:t xml:space="preserve">, analyzing in particular </w:t>
      </w:r>
      <w:r w:rsidR="00EC2322">
        <w:t>the</w:t>
      </w:r>
      <w:r>
        <w:t xml:space="preserve"> potential applicability </w:t>
      </w:r>
      <w:r w:rsidR="00EC2322">
        <w:t xml:space="preserve">of </w:t>
      </w:r>
      <w:r w:rsidR="007A7CDE">
        <w:t xml:space="preserve">R2P’s </w:t>
      </w:r>
      <w:r w:rsidR="00EC2322">
        <w:t xml:space="preserve">third pillar </w:t>
      </w:r>
      <w:r>
        <w:t>to the preservation of immovable heritage. Four elements are evaluated from the perspective of legitimacy and feasibility: military intervention, criminal responsibility, involvement of non</w:t>
      </w:r>
      <w:r w:rsidR="00352901">
        <w:t>s</w:t>
      </w:r>
      <w:r>
        <w:t xml:space="preserve">tate </w:t>
      </w:r>
      <w:r w:rsidR="00352901">
        <w:t>a</w:t>
      </w:r>
      <w:r>
        <w:t xml:space="preserve">ctors, and </w:t>
      </w:r>
      <w:r w:rsidR="003A3D82">
        <w:t xml:space="preserve">the </w:t>
      </w:r>
      <w:r>
        <w:t xml:space="preserve">safeguarding of </w:t>
      </w:r>
      <w:r w:rsidR="00281618">
        <w:lastRenderedPageBreak/>
        <w:t xml:space="preserve">cultural </w:t>
      </w:r>
      <w:r>
        <w:t xml:space="preserve">heritage. The </w:t>
      </w:r>
      <w:r w:rsidR="005B549D">
        <w:t xml:space="preserve">chapter </w:t>
      </w:r>
      <w:r>
        <w:t>concludes that involving local communities and non</w:t>
      </w:r>
      <w:r w:rsidR="00352901">
        <w:t>s</w:t>
      </w:r>
      <w:r>
        <w:t xml:space="preserve">tate </w:t>
      </w:r>
      <w:r w:rsidR="00352901">
        <w:t>a</w:t>
      </w:r>
      <w:r>
        <w:t xml:space="preserve">ctors in preservation and protection efforts is likely to be more successful than a top-down approach that focuses primarily on the interests of </w:t>
      </w:r>
      <w:r w:rsidR="00C264E0">
        <w:t>state</w:t>
      </w:r>
      <w:r>
        <w:t>s and intergovernmental organizations.</w:t>
      </w:r>
    </w:p>
    <w:p w14:paraId="3429643B" w14:textId="77777777" w:rsidR="00411A3C" w:rsidRDefault="00411A3C" w:rsidP="004D55E5">
      <w:pPr>
        <w:spacing w:line="480" w:lineRule="auto"/>
        <w:rPr>
          <w:color w:val="000000"/>
        </w:rPr>
      </w:pPr>
    </w:p>
    <w:p w14:paraId="3C01663F" w14:textId="448FE773" w:rsidR="00C235E2" w:rsidRDefault="00C235E2" w:rsidP="00353FB5">
      <w:pPr>
        <w:pStyle w:val="Heading2"/>
      </w:pPr>
      <w:r>
        <w:t>Bio</w:t>
      </w:r>
      <w:r w:rsidR="00411A3C">
        <w:t>graphy</w:t>
      </w:r>
    </w:p>
    <w:p w14:paraId="7B53713B" w14:textId="75BC07CB" w:rsidR="00B716C2" w:rsidRPr="00116D4E" w:rsidRDefault="00B716C2" w:rsidP="004D55E5">
      <w:pPr>
        <w:spacing w:line="480" w:lineRule="auto"/>
      </w:pPr>
      <w:r>
        <w:t>Patty</w:t>
      </w:r>
      <w:r w:rsidR="00CC6FB2">
        <w:t xml:space="preserve"> </w:t>
      </w:r>
      <w:r>
        <w:t>Gerstenblith is Distinguished Research Professor of Law at DePaul University and Faculty D</w:t>
      </w:r>
      <w:r w:rsidRPr="00B7507D">
        <w:t xml:space="preserve">irector of its Center for Art, Museum &amp; Cultural Heritage Law. </w:t>
      </w:r>
      <w:r>
        <w:t xml:space="preserve">In 2011, President Obama appointed her to </w:t>
      </w:r>
      <w:r w:rsidRPr="00B7507D">
        <w:t>serve</w:t>
      </w:r>
      <w:r>
        <w:t xml:space="preserve"> as Chair of the </w:t>
      </w:r>
      <w:r w:rsidRPr="00B7507D">
        <w:t>President</w:t>
      </w:r>
      <w:r w:rsidR="007128AC">
        <w:t>’</w:t>
      </w:r>
      <w:r w:rsidRPr="00B7507D">
        <w:t xml:space="preserve">s Cultural Property Advisory Committee in the </w:t>
      </w:r>
      <w:r w:rsidR="007128AC">
        <w:t xml:space="preserve">US </w:t>
      </w:r>
      <w:r w:rsidRPr="00B7507D">
        <w:t>Department of State</w:t>
      </w:r>
      <w:r w:rsidR="007128AC">
        <w:t>,</w:t>
      </w:r>
      <w:r>
        <w:t xml:space="preserve"> on which she had previously served as a Public Representative </w:t>
      </w:r>
      <w:r w:rsidR="00281618">
        <w:t>during</w:t>
      </w:r>
      <w:r>
        <w:t xml:space="preserve"> the Clinton administration</w:t>
      </w:r>
      <w:r w:rsidRPr="00B7507D">
        <w:t>.</w:t>
      </w:r>
      <w:r>
        <w:t xml:space="preserve"> She is currently the President of the Board of Directors of the US Committee of the Blue Shield and chairs the Working Group on Illicit Trafficking of Cultural Objects of Blue Shield International. She publishes and lectures widely in the United States and abroad on the international trade in art and antiquities and the protection of cultural heritage during armed conflict. The fourth edition of her</w:t>
      </w:r>
      <w:r w:rsidRPr="00B7507D">
        <w:t xml:space="preserve"> casebook, </w:t>
      </w:r>
      <w:r w:rsidRPr="00B7507D">
        <w:rPr>
          <w:rStyle w:val="Emphasis"/>
        </w:rPr>
        <w:t>Art, Cultural Heritage and the Law</w:t>
      </w:r>
      <w:r w:rsidRPr="00353FB5">
        <w:rPr>
          <w:rStyle w:val="Emphasis"/>
          <w:i w:val="0"/>
          <w:iCs w:val="0"/>
        </w:rPr>
        <w:t>, </w:t>
      </w:r>
      <w:r>
        <w:t>was published in 2019</w:t>
      </w:r>
      <w:r w:rsidRPr="00B7507D">
        <w:t xml:space="preserve">. </w:t>
      </w:r>
    </w:p>
    <w:p w14:paraId="7F659798" w14:textId="77777777" w:rsidR="00C235E2" w:rsidRDefault="00C235E2" w:rsidP="004D55E5">
      <w:pPr>
        <w:spacing w:line="480" w:lineRule="auto"/>
        <w:rPr>
          <w:color w:val="000000"/>
        </w:rPr>
      </w:pPr>
    </w:p>
    <w:p w14:paraId="7AB4EC4F" w14:textId="77777777" w:rsidR="00333589" w:rsidRDefault="00333589" w:rsidP="00353FB5">
      <w:pPr>
        <w:spacing w:line="480" w:lineRule="auto"/>
      </w:pPr>
    </w:p>
    <w:p w14:paraId="6CAAEA43" w14:textId="552D9DCF" w:rsidR="00D607A0" w:rsidRDefault="00192A2D" w:rsidP="00333589">
      <w:pPr>
        <w:spacing w:line="480" w:lineRule="auto"/>
      </w:pPr>
      <w:r w:rsidRPr="00C50388">
        <w:t xml:space="preserve">In May 2015, members of the Islamic State of Iraq and the Levant (ISIL, also known as </w:t>
      </w:r>
      <w:r w:rsidR="00D2024F">
        <w:t xml:space="preserve">ISIS or </w:t>
      </w:r>
      <w:r w:rsidRPr="00C50388">
        <w:t>Da’esh</w:t>
      </w:r>
      <w:r w:rsidR="00D2024F">
        <w:t>)</w:t>
      </w:r>
      <w:r w:rsidRPr="00C50388">
        <w:t>, moved toward the Greco-Roman site of Palmyra, located in central</w:t>
      </w:r>
      <w:r w:rsidR="002E36FE">
        <w:t>-w</w:t>
      </w:r>
      <w:r w:rsidRPr="00C50388">
        <w:t xml:space="preserve">estern Syria. Denominated a World Heritage Site in </w:t>
      </w:r>
      <w:r w:rsidR="00BB6C9D" w:rsidRPr="00C50388">
        <w:t xml:space="preserve">1980 </w:t>
      </w:r>
      <w:r w:rsidR="00CE4062">
        <w:t xml:space="preserve">by the </w:t>
      </w:r>
      <w:r w:rsidR="00CE4062">
        <w:rPr>
          <w:color w:val="222222"/>
          <w:shd w:val="clear" w:color="auto" w:fill="FFFFFF"/>
        </w:rPr>
        <w:t xml:space="preserve">UN </w:t>
      </w:r>
      <w:r w:rsidR="00CE4062" w:rsidRPr="00573E86">
        <w:rPr>
          <w:color w:val="222222"/>
          <w:shd w:val="clear" w:color="auto" w:fill="FFFFFF"/>
        </w:rPr>
        <w:t>Educational, Scientific and Cultural Organization</w:t>
      </w:r>
      <w:r w:rsidR="00CE4062">
        <w:rPr>
          <w:color w:val="222222"/>
          <w:shd w:val="clear" w:color="auto" w:fill="FFFFFF"/>
        </w:rPr>
        <w:t xml:space="preserve"> (UNESCO)</w:t>
      </w:r>
      <w:r w:rsidR="00CE4062">
        <w:t xml:space="preserve"> </w:t>
      </w:r>
      <w:r w:rsidR="00BB6C9D" w:rsidRPr="00C50388">
        <w:t xml:space="preserve">and placed on </w:t>
      </w:r>
      <w:r w:rsidR="00CE4062">
        <w:t xml:space="preserve">its </w:t>
      </w:r>
      <w:r w:rsidR="00BB6C9D" w:rsidRPr="00C50388">
        <w:t xml:space="preserve">List </w:t>
      </w:r>
      <w:r w:rsidR="00535D50" w:rsidRPr="00C50388">
        <w:t>o</w:t>
      </w:r>
      <w:r w:rsidR="00BB6C9D" w:rsidRPr="00C50388">
        <w:t xml:space="preserve">f World Heritage Sites in Danger in </w:t>
      </w:r>
      <w:r w:rsidR="00535D50" w:rsidRPr="00C50388">
        <w:t xml:space="preserve">2013, along with Syria’s </w:t>
      </w:r>
      <w:r w:rsidR="00F52A50">
        <w:t xml:space="preserve">five other </w:t>
      </w:r>
      <w:r w:rsidR="00535D50" w:rsidRPr="00C50388">
        <w:t xml:space="preserve">World Heritage Sites, the </w:t>
      </w:r>
      <w:r w:rsidR="00DD4D9C" w:rsidRPr="00C50388">
        <w:t xml:space="preserve">threat to Palmyra’s </w:t>
      </w:r>
      <w:r w:rsidR="00F3170F">
        <w:t xml:space="preserve">ancient </w:t>
      </w:r>
      <w:r w:rsidR="00DD4D9C" w:rsidRPr="00C50388">
        <w:t xml:space="preserve">architectural elements was immediately recognized and </w:t>
      </w:r>
      <w:r w:rsidR="00F3170F">
        <w:t xml:space="preserve">their subsequent destruction </w:t>
      </w:r>
      <w:r w:rsidR="00DD4D9C" w:rsidRPr="00C50388">
        <w:t xml:space="preserve">condemned by the </w:t>
      </w:r>
      <w:r w:rsidR="00535D50" w:rsidRPr="00C50388">
        <w:t xml:space="preserve">world </w:t>
      </w:r>
      <w:r w:rsidR="00281618">
        <w:t xml:space="preserve">cultural </w:t>
      </w:r>
      <w:r w:rsidR="00535D50" w:rsidRPr="00C50388">
        <w:t xml:space="preserve">heritage community. </w:t>
      </w:r>
      <w:r w:rsidR="00983696" w:rsidRPr="00C50388">
        <w:t xml:space="preserve">ISIL’s move against Palmyra was preceded by </w:t>
      </w:r>
      <w:r w:rsidR="00F52A50">
        <w:t>many atrocities</w:t>
      </w:r>
      <w:r w:rsidR="008E5104">
        <w:t xml:space="preserve">, </w:t>
      </w:r>
      <w:r w:rsidR="008E5104">
        <w:lastRenderedPageBreak/>
        <w:t>including</w:t>
      </w:r>
      <w:r w:rsidR="00F52A50">
        <w:t xml:space="preserve"> murder and rape, as well as</w:t>
      </w:r>
      <w:r w:rsidR="00983696" w:rsidRPr="00C50388">
        <w:t xml:space="preserve"> destructive activities at other </w:t>
      </w:r>
      <w:r w:rsidR="00F52A50">
        <w:t xml:space="preserve">cultural </w:t>
      </w:r>
      <w:r w:rsidR="00983696" w:rsidRPr="00C50388">
        <w:t xml:space="preserve">sites, particularly in northwestern Iraq, </w:t>
      </w:r>
      <w:r w:rsidR="00D018DF">
        <w:t xml:space="preserve">such as </w:t>
      </w:r>
      <w:r w:rsidR="00983696" w:rsidRPr="00C50388">
        <w:t xml:space="preserve">the </w:t>
      </w:r>
      <w:r w:rsidR="00D018DF">
        <w:t xml:space="preserve">ruins of the </w:t>
      </w:r>
      <w:r w:rsidR="00983696" w:rsidRPr="00C50388">
        <w:t xml:space="preserve">Neo-Assyrian </w:t>
      </w:r>
      <w:r w:rsidR="00D018DF">
        <w:t xml:space="preserve">cities </w:t>
      </w:r>
      <w:r w:rsidR="00983696" w:rsidRPr="00C50388">
        <w:t>of Nineveh</w:t>
      </w:r>
      <w:r w:rsidR="009A5648" w:rsidRPr="00C50388">
        <w:t>,</w:t>
      </w:r>
      <w:r w:rsidR="00983696" w:rsidRPr="00C50388">
        <w:t xml:space="preserve"> Nimrud</w:t>
      </w:r>
      <w:r w:rsidR="00D018DF">
        <w:t>,</w:t>
      </w:r>
      <w:r w:rsidR="00983696" w:rsidRPr="00C50388">
        <w:t xml:space="preserve"> </w:t>
      </w:r>
      <w:r w:rsidR="009A5648" w:rsidRPr="00C50388">
        <w:t>and Khorsabad</w:t>
      </w:r>
      <w:r w:rsidR="00D018DF">
        <w:t>,</w:t>
      </w:r>
      <w:r w:rsidR="009A5648" w:rsidRPr="00C50388">
        <w:t xml:space="preserve"> </w:t>
      </w:r>
      <w:r w:rsidR="00983696" w:rsidRPr="00C50388">
        <w:t>and the shrine of Neb</w:t>
      </w:r>
      <w:r w:rsidR="009A5648" w:rsidRPr="00C50388">
        <w:t>i</w:t>
      </w:r>
      <w:r w:rsidR="00983696" w:rsidRPr="00C50388">
        <w:t xml:space="preserve"> Yunus in Mosul.</w:t>
      </w:r>
      <w:r w:rsidR="009A5648" w:rsidRPr="00C50388">
        <w:t xml:space="preserve"> The outrage and helplessness of the international community seemed </w:t>
      </w:r>
      <w:r w:rsidR="009B3DC7" w:rsidRPr="00C50388">
        <w:t xml:space="preserve">only </w:t>
      </w:r>
      <w:r w:rsidR="009A5648" w:rsidRPr="00C50388">
        <w:t xml:space="preserve">to reinforce the desire of ISIL to inflict as much damage and in as public a way as possible </w:t>
      </w:r>
      <w:r w:rsidR="003374B4">
        <w:t>to</w:t>
      </w:r>
      <w:r w:rsidR="00281618">
        <w:t xml:space="preserve"> </w:t>
      </w:r>
      <w:r w:rsidR="009A5648" w:rsidRPr="00C50388">
        <w:t>sites that were recognized for their great historical, cultural, and artistic significance.</w:t>
      </w:r>
      <w:r w:rsidR="00412F0D" w:rsidRPr="00C50388">
        <w:t xml:space="preserve"> Th</w:t>
      </w:r>
      <w:r w:rsidR="0054020D">
        <w:t>e largely ineffective</w:t>
      </w:r>
      <w:r w:rsidR="00412F0D" w:rsidRPr="00C50388">
        <w:t xml:space="preserve"> outrage </w:t>
      </w:r>
      <w:r w:rsidR="0054020D">
        <w:t xml:space="preserve">of the international heritage community </w:t>
      </w:r>
      <w:r w:rsidR="00412F0D" w:rsidRPr="00C50388">
        <w:t xml:space="preserve">has a venerable history </w:t>
      </w:r>
      <w:r w:rsidR="00F0364F">
        <w:t>going back to</w:t>
      </w:r>
      <w:r w:rsidR="00F0364F" w:rsidRPr="00C50388">
        <w:t xml:space="preserve"> </w:t>
      </w:r>
      <w:r w:rsidR="0054020D">
        <w:t xml:space="preserve">at least </w:t>
      </w:r>
      <w:r w:rsidR="00412F0D" w:rsidRPr="00C50388">
        <w:t>the mid-1990s</w:t>
      </w:r>
      <w:r w:rsidR="00F0364F">
        <w:t>,</w:t>
      </w:r>
      <w:r w:rsidR="00412F0D" w:rsidRPr="00C50388">
        <w:t xml:space="preserve"> when </w:t>
      </w:r>
      <w:r w:rsidR="003A5323">
        <w:t>it</w:t>
      </w:r>
      <w:r w:rsidR="00412F0D" w:rsidRPr="00C50388">
        <w:t xml:space="preserve"> stood by helplessly as Croatian forces destroyed the </w:t>
      </w:r>
      <w:r w:rsidR="00060FD4" w:rsidRPr="00C50388">
        <w:t>Star</w:t>
      </w:r>
      <w:r w:rsidR="00F3170F">
        <w:t>i</w:t>
      </w:r>
      <w:r w:rsidR="00060FD4" w:rsidRPr="00C50388">
        <w:t xml:space="preserve"> Most (</w:t>
      </w:r>
      <w:r w:rsidR="00412F0D" w:rsidRPr="00C50388">
        <w:t>Old Bridge</w:t>
      </w:r>
      <w:r w:rsidR="00060FD4" w:rsidRPr="00C50388">
        <w:t>)</w:t>
      </w:r>
      <w:r w:rsidR="00412F0D" w:rsidRPr="00C50388">
        <w:t xml:space="preserve"> in Mostar </w:t>
      </w:r>
      <w:r w:rsidR="00297EE3">
        <w:t xml:space="preserve">in 1993 </w:t>
      </w:r>
      <w:r w:rsidR="00412F0D" w:rsidRPr="00C50388">
        <w:t>during the Balkan conflict</w:t>
      </w:r>
      <w:r w:rsidR="003C3D18">
        <w:t>,</w:t>
      </w:r>
      <w:r w:rsidR="00412F0D" w:rsidRPr="00C50388">
        <w:t xml:space="preserve"> and </w:t>
      </w:r>
      <w:r w:rsidR="00F9176F">
        <w:t xml:space="preserve">when </w:t>
      </w:r>
      <w:r w:rsidR="00412F0D" w:rsidRPr="00C50388">
        <w:t>the Taliban destroyed the Bamiyan Buddhas in Afghanistan in 2001.</w:t>
      </w:r>
      <w:r w:rsidR="008D5772" w:rsidRPr="00C50388">
        <w:t xml:space="preserve"> </w:t>
      </w:r>
      <w:r w:rsidR="00F52A50">
        <w:t>T</w:t>
      </w:r>
      <w:r w:rsidR="008D5772" w:rsidRPr="00C50388">
        <w:t xml:space="preserve">he </w:t>
      </w:r>
      <w:r w:rsidR="00A83F17" w:rsidRPr="00C50388">
        <w:t>suggestion that</w:t>
      </w:r>
      <w:r w:rsidR="008D5772" w:rsidRPr="00C50388">
        <w:t xml:space="preserve"> troops </w:t>
      </w:r>
      <w:r w:rsidR="00A83F17" w:rsidRPr="00C50388">
        <w:t xml:space="preserve">should be sent </w:t>
      </w:r>
      <w:r w:rsidR="008D5772" w:rsidRPr="00C50388">
        <w:t xml:space="preserve">to </w:t>
      </w:r>
      <w:r w:rsidR="00A83F17" w:rsidRPr="00C50388">
        <w:t xml:space="preserve">intervene and </w:t>
      </w:r>
      <w:r w:rsidR="008D5772" w:rsidRPr="00C50388">
        <w:t>protect these sites raises numerous and probably insurmountable problems</w:t>
      </w:r>
      <w:r w:rsidR="00F52A50">
        <w:t>.</w:t>
      </w:r>
      <w:r w:rsidR="008D5772" w:rsidRPr="00C50388">
        <w:t xml:space="preserve"> </w:t>
      </w:r>
    </w:p>
    <w:p w14:paraId="01E9A67D" w14:textId="23976F1A" w:rsidR="004C70BC" w:rsidRDefault="00F52A50" w:rsidP="004D55E5">
      <w:pPr>
        <w:spacing w:line="480" w:lineRule="auto"/>
        <w:ind w:firstLine="720"/>
      </w:pPr>
      <w:r>
        <w:t>T</w:t>
      </w:r>
      <w:r w:rsidR="008D5772" w:rsidRPr="00C50388">
        <w:t xml:space="preserve">his </w:t>
      </w:r>
      <w:r w:rsidR="00096FCF">
        <w:t xml:space="preserve">chapter </w:t>
      </w:r>
      <w:r>
        <w:t xml:space="preserve">examines the destruction of cultural heritage through the lens of human rights and then turns to </w:t>
      </w:r>
      <w:r w:rsidR="008D5772" w:rsidRPr="00C50388">
        <w:t xml:space="preserve">the </w:t>
      </w:r>
      <w:r>
        <w:t xml:space="preserve">applicability of the </w:t>
      </w:r>
      <w:r w:rsidR="00354086">
        <w:t>r</w:t>
      </w:r>
      <w:r w:rsidRPr="00C50388">
        <w:t xml:space="preserve">esponsibility to </w:t>
      </w:r>
      <w:r w:rsidR="00354086">
        <w:t>p</w:t>
      </w:r>
      <w:r w:rsidRPr="00C50388">
        <w:t>rotect (R2P)</w:t>
      </w:r>
      <w:r w:rsidR="00436D32">
        <w:t xml:space="preserve">, analyzing in particular the </w:t>
      </w:r>
      <w:r w:rsidR="007332CC">
        <w:t xml:space="preserve">feasibility of applying </w:t>
      </w:r>
      <w:r w:rsidR="0077700B">
        <w:t xml:space="preserve">its </w:t>
      </w:r>
      <w:r w:rsidR="00436D32">
        <w:t xml:space="preserve">third pillar in the </w:t>
      </w:r>
      <w:r w:rsidR="007332CC">
        <w:t xml:space="preserve">attempt </w:t>
      </w:r>
      <w:r w:rsidR="00436D32">
        <w:t>to preserve immovable heritage</w:t>
      </w:r>
      <w:r w:rsidR="00297EE3">
        <w:t>.</w:t>
      </w:r>
      <w:r w:rsidR="009B3DC7">
        <w:t xml:space="preserve"> </w:t>
      </w:r>
      <w:r w:rsidR="00436D32">
        <w:t>T</w:t>
      </w:r>
      <w:r w:rsidR="009B3DC7">
        <w:t xml:space="preserve">he </w:t>
      </w:r>
      <w:r w:rsidR="007332CC">
        <w:t xml:space="preserve">analysis </w:t>
      </w:r>
      <w:r w:rsidR="009B3DC7">
        <w:t xml:space="preserve">links immovable </w:t>
      </w:r>
      <w:r w:rsidR="00281618">
        <w:t>cultural</w:t>
      </w:r>
      <w:r w:rsidR="009B3DC7">
        <w:t xml:space="preserve"> heritage to the people who live </w:t>
      </w:r>
      <w:r w:rsidR="007332CC">
        <w:t xml:space="preserve">amid </w:t>
      </w:r>
      <w:r w:rsidR="009B3DC7">
        <w:t>th</w:t>
      </w:r>
      <w:r w:rsidR="007332CC">
        <w:t>at</w:t>
      </w:r>
      <w:r w:rsidR="009B3DC7">
        <w:t xml:space="preserve"> heritage and </w:t>
      </w:r>
      <w:r w:rsidR="00D607A0">
        <w:t xml:space="preserve">the different communities to whom the heritage has meaning and value. The </w:t>
      </w:r>
      <w:r w:rsidR="00DC40DB">
        <w:t xml:space="preserve">UN’s </w:t>
      </w:r>
      <w:r w:rsidR="0029067D">
        <w:t>s</w:t>
      </w:r>
      <w:r w:rsidR="00D607A0">
        <w:t xml:space="preserve">pecial </w:t>
      </w:r>
      <w:r w:rsidR="0029067D">
        <w:t>r</w:t>
      </w:r>
      <w:r w:rsidR="00D607A0">
        <w:t xml:space="preserve">apporteur in the field of </w:t>
      </w:r>
      <w:r w:rsidR="0029067D">
        <w:t>c</w:t>
      </w:r>
      <w:r w:rsidR="00D607A0">
        <w:t xml:space="preserve">ultural </w:t>
      </w:r>
      <w:r w:rsidR="0029067D">
        <w:t>r</w:t>
      </w:r>
      <w:r w:rsidR="00D607A0">
        <w:t xml:space="preserve">ights </w:t>
      </w:r>
      <w:r w:rsidR="00A9565D">
        <w:t xml:space="preserve">has </w:t>
      </w:r>
      <w:r w:rsidR="00D607A0">
        <w:t>noted the difficulty of defining community within the context of cultural rights: “</w:t>
      </w:r>
      <w:r w:rsidR="00D607A0" w:rsidRPr="00F91021">
        <w:t xml:space="preserve">The term </w:t>
      </w:r>
      <w:r w:rsidR="00D607A0">
        <w:t>‘</w:t>
      </w:r>
      <w:r w:rsidR="00D607A0" w:rsidRPr="00F91021">
        <w:t>community</w:t>
      </w:r>
      <w:r w:rsidR="00D607A0">
        <w:t>’</w:t>
      </w:r>
      <w:r w:rsidR="00D607A0" w:rsidRPr="00F91021">
        <w:t xml:space="preserve"> is too often assumed to suggest homogeneity, exclusivity, structure and formality. Such a construction is embraced not only by some outside observers not willing to recognize plurality and dynamism within groups, but also by often self-proclaimed </w:t>
      </w:r>
      <w:r w:rsidR="00D607A0">
        <w:t>‘</w:t>
      </w:r>
      <w:r w:rsidR="00D607A0" w:rsidRPr="00F91021">
        <w:t>representatives</w:t>
      </w:r>
      <w:r w:rsidR="00D607A0">
        <w:t>’</w:t>
      </w:r>
      <w:r w:rsidR="00D607A0" w:rsidRPr="00F91021">
        <w:t xml:space="preserve"> of the concerned groups—or presumed groups—themselves.</w:t>
      </w:r>
      <w:r w:rsidR="00D607A0">
        <w:t>”</w:t>
      </w:r>
      <w:r w:rsidR="00D607A0">
        <w:rPr>
          <w:rStyle w:val="EndnoteReference"/>
        </w:rPr>
        <w:endnoteReference w:id="1"/>
      </w:r>
      <w:r w:rsidR="00D607A0">
        <w:t xml:space="preserve"> </w:t>
      </w:r>
    </w:p>
    <w:p w14:paraId="356DC196" w14:textId="020BBBC2" w:rsidR="00192A2D" w:rsidRDefault="00D607A0" w:rsidP="004D55E5">
      <w:pPr>
        <w:spacing w:line="480" w:lineRule="auto"/>
        <w:ind w:firstLine="720"/>
      </w:pPr>
      <w:r>
        <w:t xml:space="preserve">In </w:t>
      </w:r>
      <w:r w:rsidR="004C70BC">
        <w:t xml:space="preserve">the current </w:t>
      </w:r>
      <w:r>
        <w:t xml:space="preserve">context, the term “community” can </w:t>
      </w:r>
      <w:r w:rsidR="00D90910">
        <w:t xml:space="preserve">refer to </w:t>
      </w:r>
      <w:r w:rsidR="00645703">
        <w:t xml:space="preserve">three distinct </w:t>
      </w:r>
      <w:r w:rsidR="00D90910">
        <w:t>groups</w:t>
      </w:r>
      <w:r w:rsidR="00645703">
        <w:t>. First</w:t>
      </w:r>
      <w:r w:rsidR="00A04298">
        <w:t xml:space="preserve"> is</w:t>
      </w:r>
      <w:r w:rsidR="00645703">
        <w:t xml:space="preserve"> </w:t>
      </w:r>
      <w:r>
        <w:t>the international or global community</w:t>
      </w:r>
      <w:r w:rsidR="00A04298">
        <w:t>,</w:t>
      </w:r>
      <w:r>
        <w:t xml:space="preserve"> </w:t>
      </w:r>
      <w:r w:rsidR="00645703">
        <w:t xml:space="preserve">which has </w:t>
      </w:r>
      <w:r>
        <w:t xml:space="preserve">an interest in the universal value of heritage. </w:t>
      </w:r>
      <w:r w:rsidR="00A04298">
        <w:lastRenderedPageBreak/>
        <w:t xml:space="preserve">Second is the </w:t>
      </w:r>
      <w:r>
        <w:t xml:space="preserve">national or regional community, represented primarily by the </w:t>
      </w:r>
      <w:r w:rsidR="00C264E0">
        <w:t>state</w:t>
      </w:r>
      <w:r>
        <w:t xml:space="preserve">, </w:t>
      </w:r>
      <w:r w:rsidR="00A04298">
        <w:t xml:space="preserve">which </w:t>
      </w:r>
      <w:r>
        <w:t xml:space="preserve">often wields the greatest power to determine the fate of heritage. </w:t>
      </w:r>
      <w:r w:rsidR="00A04298">
        <w:t xml:space="preserve">And third is the </w:t>
      </w:r>
      <w:r>
        <w:t>local community</w:t>
      </w:r>
      <w:r w:rsidR="00A04298">
        <w:t>, which</w:t>
      </w:r>
      <w:r>
        <w:t xml:space="preserve"> </w:t>
      </w:r>
      <w:r w:rsidR="00A04298">
        <w:t xml:space="preserve">consists of </w:t>
      </w:r>
      <w:r>
        <w:t xml:space="preserve">the people who live </w:t>
      </w:r>
      <w:r w:rsidR="00A04298">
        <w:t xml:space="preserve">amid </w:t>
      </w:r>
      <w:r>
        <w:t>the heritage</w:t>
      </w:r>
      <w:r w:rsidR="00645703">
        <w:t>,</w:t>
      </w:r>
      <w:r>
        <w:t xml:space="preserve"> </w:t>
      </w:r>
      <w:r w:rsidR="00F06550">
        <w:t xml:space="preserve">who may be the descendants of those who produced the heritage, </w:t>
      </w:r>
      <w:r w:rsidR="00CC4280">
        <w:t xml:space="preserve">who </w:t>
      </w:r>
      <w:r>
        <w:t>may have the greatest spiritual, religious</w:t>
      </w:r>
      <w:r w:rsidR="00CC4280">
        <w:t>,</w:t>
      </w:r>
      <w:r>
        <w:t xml:space="preserve"> and cultural affinity to the heritage</w:t>
      </w:r>
      <w:r w:rsidR="00DD61DA">
        <w:t>,</w:t>
      </w:r>
      <w:r w:rsidR="00645703">
        <w:t xml:space="preserve"> and </w:t>
      </w:r>
      <w:r w:rsidR="00DD61DA">
        <w:t xml:space="preserve">who are also </w:t>
      </w:r>
      <w:r w:rsidR="00645703">
        <w:t xml:space="preserve">often in the best position to protect </w:t>
      </w:r>
      <w:r w:rsidR="00DD61DA">
        <w:t>it</w:t>
      </w:r>
      <w:r>
        <w:t>.</w:t>
      </w:r>
      <w:r>
        <w:rPr>
          <w:rStyle w:val="EndnoteReference"/>
        </w:rPr>
        <w:endnoteReference w:id="2"/>
      </w:r>
      <w:r>
        <w:t xml:space="preserve"> </w:t>
      </w:r>
      <w:r w:rsidR="00DA7B57">
        <w:t>T</w:t>
      </w:r>
      <w:r>
        <w:t xml:space="preserve">he value of heritage needs to be recognized and heritage itself needs to be protected at </w:t>
      </w:r>
      <w:r w:rsidR="00280E46">
        <w:t xml:space="preserve">all three levels: </w:t>
      </w:r>
      <w:r w:rsidR="00B23B17">
        <w:t xml:space="preserve">the </w:t>
      </w:r>
      <w:r>
        <w:t>local, national or regional, and international.</w:t>
      </w:r>
    </w:p>
    <w:p w14:paraId="74408850" w14:textId="77777777" w:rsidR="004D55E5" w:rsidRPr="00C50388" w:rsidRDefault="004D55E5" w:rsidP="004D55E5">
      <w:pPr>
        <w:spacing w:line="480" w:lineRule="auto"/>
        <w:ind w:firstLine="720"/>
      </w:pPr>
    </w:p>
    <w:p w14:paraId="4BC83036" w14:textId="263266EA" w:rsidR="00333589" w:rsidRDefault="0054020D" w:rsidP="00353FB5">
      <w:pPr>
        <w:pStyle w:val="Heading2"/>
      </w:pPr>
      <w:r>
        <w:t xml:space="preserve">Historical Background </w:t>
      </w:r>
    </w:p>
    <w:p w14:paraId="428A0FC0" w14:textId="629F2C1E" w:rsidR="00414177" w:rsidRDefault="0023283C" w:rsidP="00333589">
      <w:pPr>
        <w:spacing w:line="480" w:lineRule="auto"/>
      </w:pPr>
      <w:r>
        <w:t>In the 1790s, d</w:t>
      </w:r>
      <w:r w:rsidR="00561CDD" w:rsidRPr="00C50388">
        <w:t xml:space="preserve">uring the French Revolution, the </w:t>
      </w:r>
      <w:r w:rsidR="00820563">
        <w:t xml:space="preserve">Catholic priest Henri </w:t>
      </w:r>
      <w:r w:rsidR="00561CDD" w:rsidRPr="00C50388">
        <w:t>Grégoire</w:t>
      </w:r>
      <w:r w:rsidR="00561CDD" w:rsidRPr="00C50388">
        <w:rPr>
          <w:i/>
        </w:rPr>
        <w:t xml:space="preserve"> </w:t>
      </w:r>
      <w:r w:rsidR="00561CDD" w:rsidRPr="00C50388">
        <w:t xml:space="preserve">coined the term “vandalism” to describe the destruction of cultural property, explaining that he “created the word to destroy the thing.” As </w:t>
      </w:r>
      <w:r w:rsidR="00E77E9E">
        <w:t xml:space="preserve">Joseph </w:t>
      </w:r>
      <w:r w:rsidR="00561CDD" w:rsidRPr="00C50388">
        <w:t>Sax commented, “Grégoire</w:t>
      </w:r>
      <w:r w:rsidR="00561CDD" w:rsidRPr="00C50388">
        <w:rPr>
          <w:i/>
        </w:rPr>
        <w:t xml:space="preserve"> </w:t>
      </w:r>
      <w:r w:rsidR="00561CDD" w:rsidRPr="00C50388">
        <w:t>made cultural policy a litmus test of civilized values, and located it in the ideological geography of the French Revolution. The nation decides what it will be as it stands before its artistic, historical, and scientific monuments, hammer in hand.”</w:t>
      </w:r>
      <w:r w:rsidR="0027082D" w:rsidRPr="00C50388">
        <w:rPr>
          <w:rStyle w:val="EndnoteReference"/>
        </w:rPr>
        <w:endnoteReference w:id="3"/>
      </w:r>
      <w:r w:rsidR="0027082D" w:rsidRPr="00C50388">
        <w:t xml:space="preserve"> </w:t>
      </w:r>
    </w:p>
    <w:p w14:paraId="626172AA" w14:textId="360CF162" w:rsidR="0027082D" w:rsidRPr="00C50388" w:rsidRDefault="0027082D" w:rsidP="00353FB5">
      <w:pPr>
        <w:spacing w:line="480" w:lineRule="auto"/>
        <w:ind w:firstLine="720"/>
      </w:pPr>
      <w:r w:rsidRPr="00C50388">
        <w:t xml:space="preserve">The Polish lawyer </w:t>
      </w:r>
      <w:r w:rsidR="001B56C9" w:rsidRPr="00C50388">
        <w:t>Ra</w:t>
      </w:r>
      <w:r w:rsidR="001B56C9">
        <w:t>ph</w:t>
      </w:r>
      <w:r w:rsidR="00184CFE">
        <w:t>a</w:t>
      </w:r>
      <w:r w:rsidR="001B56C9" w:rsidRPr="00C50388">
        <w:t xml:space="preserve">el </w:t>
      </w:r>
      <w:r w:rsidRPr="00C50388">
        <w:t xml:space="preserve">Lemkin </w:t>
      </w:r>
      <w:r w:rsidR="00C66A69">
        <w:t xml:space="preserve">later </w:t>
      </w:r>
      <w:r w:rsidR="00925C2C">
        <w:t xml:space="preserve">used the </w:t>
      </w:r>
      <w:r w:rsidR="00925C2C" w:rsidRPr="00C50388">
        <w:t xml:space="preserve">term vandalism </w:t>
      </w:r>
      <w:r w:rsidRPr="00C50388">
        <w:t xml:space="preserve">to describe what we today </w:t>
      </w:r>
      <w:r>
        <w:t xml:space="preserve">might </w:t>
      </w:r>
      <w:r w:rsidRPr="00C50388">
        <w:t xml:space="preserve">refer to as </w:t>
      </w:r>
      <w:r w:rsidR="000C0720">
        <w:t>“</w:t>
      </w:r>
      <w:r w:rsidRPr="00C50388">
        <w:t>cultural genocide.</w:t>
      </w:r>
      <w:r w:rsidR="000C0720">
        <w:t>”</w:t>
      </w:r>
      <w:r w:rsidRPr="00C50388">
        <w:t xml:space="preserve"> In 1933, </w:t>
      </w:r>
      <w:r w:rsidR="00C27158">
        <w:t xml:space="preserve">he </w:t>
      </w:r>
      <w:r w:rsidRPr="00C50388">
        <w:t xml:space="preserve">included cultural genocide as one of the eight dimensions of </w:t>
      </w:r>
      <w:r w:rsidR="0072413E">
        <w:t xml:space="preserve">the crime of </w:t>
      </w:r>
      <w:r w:rsidRPr="00C50388">
        <w:t>genocide: political, social, cultural, economic, biological, physical, religious, and moral, “each targeting a different aspect of a group’s existence.”</w:t>
      </w:r>
      <w:bookmarkStart w:id="1" w:name="_Ref449272366"/>
      <w:r w:rsidRPr="00C50388">
        <w:rPr>
          <w:rStyle w:val="EndnoteReference"/>
        </w:rPr>
        <w:endnoteReference w:id="4"/>
      </w:r>
      <w:bookmarkEnd w:id="1"/>
      <w:r w:rsidRPr="00C50388">
        <w:t xml:space="preserve"> Lemkin described two acts, barbarism and vandalism, to be added to the list of acts against the law of nations. In his work “Acts of Vandalism” he wrote:</w:t>
      </w:r>
    </w:p>
    <w:p w14:paraId="4F78CD2E" w14:textId="4D0DEE58" w:rsidR="0027082D" w:rsidRPr="00C50388" w:rsidRDefault="0027082D" w:rsidP="00353FB5">
      <w:pPr>
        <w:pStyle w:val="RIPLMainTextBlockQuote"/>
        <w:spacing w:line="480" w:lineRule="auto"/>
        <w:ind w:right="0"/>
        <w:rPr>
          <w:rFonts w:ascii="Times New Roman" w:hAnsi="Times New Roman" w:cs="Times New Roman"/>
          <w:sz w:val="24"/>
          <w:szCs w:val="24"/>
        </w:rPr>
      </w:pPr>
      <w:r w:rsidRPr="00C50388">
        <w:rPr>
          <w:rFonts w:ascii="Times New Roman" w:hAnsi="Times New Roman" w:cs="Times New Roman"/>
          <w:bCs/>
          <w:sz w:val="24"/>
          <w:szCs w:val="24"/>
        </w:rPr>
        <w:t>An attack targeting a collectivity</w:t>
      </w:r>
      <w:r w:rsidRPr="00C50388">
        <w:rPr>
          <w:rFonts w:ascii="Times New Roman" w:hAnsi="Times New Roman" w:cs="Times New Roman"/>
          <w:sz w:val="24"/>
          <w:szCs w:val="24"/>
        </w:rPr>
        <w:t xml:space="preserve"> can also take the form of systematic and organized destruction of the art and cultural heritage in which the unique genius and achievement of </w:t>
      </w:r>
      <w:r w:rsidRPr="00C50388">
        <w:rPr>
          <w:rFonts w:ascii="Times New Roman" w:hAnsi="Times New Roman" w:cs="Times New Roman"/>
          <w:sz w:val="24"/>
          <w:szCs w:val="24"/>
        </w:rPr>
        <w:lastRenderedPageBreak/>
        <w:t>a collectivity are revealed in fields of science, arts and literature. The contribution of any particular collectivity to world culture as a whole forms the wealth of all of humanity, even while exhibiting unique characteristics.</w:t>
      </w:r>
    </w:p>
    <w:p w14:paraId="6AF86842" w14:textId="35B8E01F" w:rsidR="0027082D" w:rsidRPr="00C50388" w:rsidRDefault="0027082D" w:rsidP="00353FB5">
      <w:pPr>
        <w:pStyle w:val="RIPLMainTextBlockQuote"/>
        <w:tabs>
          <w:tab w:val="clear" w:pos="864"/>
        </w:tabs>
        <w:spacing w:line="480" w:lineRule="auto"/>
        <w:ind w:right="0" w:firstLine="720"/>
        <w:rPr>
          <w:rFonts w:ascii="Times New Roman" w:hAnsi="Times New Roman" w:cs="Times New Roman"/>
          <w:sz w:val="24"/>
          <w:szCs w:val="24"/>
        </w:rPr>
      </w:pPr>
      <w:r w:rsidRPr="00C50388">
        <w:rPr>
          <w:rFonts w:ascii="Times New Roman" w:hAnsi="Times New Roman" w:cs="Times New Roman"/>
          <w:sz w:val="24"/>
          <w:szCs w:val="24"/>
        </w:rPr>
        <w:t xml:space="preserve">Thus, the destruction of a work of art of any nation must be regarded as acts of vandalism directed against world culture. The author </w:t>
      </w:r>
      <w:r w:rsidRPr="00C50388">
        <w:rPr>
          <w:rFonts w:ascii="Times New Roman" w:hAnsi="Times New Roman" w:cs="Times New Roman"/>
          <w:iCs/>
          <w:sz w:val="24"/>
          <w:szCs w:val="24"/>
        </w:rPr>
        <w:t>[of the crime]</w:t>
      </w:r>
      <w:r w:rsidRPr="00C50388">
        <w:rPr>
          <w:rFonts w:ascii="Times New Roman" w:hAnsi="Times New Roman" w:cs="Times New Roman"/>
          <w:i/>
          <w:iCs/>
          <w:sz w:val="24"/>
          <w:szCs w:val="24"/>
        </w:rPr>
        <w:t xml:space="preserve"> </w:t>
      </w:r>
      <w:r w:rsidRPr="00C50388">
        <w:rPr>
          <w:rFonts w:ascii="Times New Roman" w:hAnsi="Times New Roman" w:cs="Times New Roman"/>
          <w:sz w:val="24"/>
          <w:szCs w:val="24"/>
        </w:rPr>
        <w:t>causes not only the immediate irrevocable losses of the destroyed work as property and as the culture of the collectivity directly concerned (whose unique genius contributed to the creation of this work); it is also all humanity which experiences a loss by this act of vandalism.</w:t>
      </w:r>
      <w:r w:rsidRPr="00C50388">
        <w:rPr>
          <w:rStyle w:val="EndnoteReference"/>
          <w:rFonts w:ascii="Times New Roman" w:hAnsi="Times New Roman" w:cs="Times New Roman"/>
          <w:sz w:val="24"/>
          <w:szCs w:val="24"/>
        </w:rPr>
        <w:endnoteReference w:id="5"/>
      </w:r>
    </w:p>
    <w:p w14:paraId="1737B711" w14:textId="77777777" w:rsidR="00A46BF7" w:rsidRDefault="00A46BF7" w:rsidP="00A46BF7">
      <w:pPr>
        <w:pStyle w:val="RIPLMainText"/>
        <w:spacing w:line="480" w:lineRule="auto"/>
        <w:ind w:firstLine="0"/>
        <w:jc w:val="left"/>
        <w:rPr>
          <w:rFonts w:ascii="Times New Roman" w:hAnsi="Times New Roman" w:cs="Times New Roman"/>
          <w:sz w:val="24"/>
          <w:szCs w:val="24"/>
        </w:rPr>
      </w:pPr>
    </w:p>
    <w:p w14:paraId="46E5A43A" w14:textId="5DD6FF7F" w:rsidR="008F20A9" w:rsidRDefault="0027082D" w:rsidP="00A46BF7">
      <w:pPr>
        <w:pStyle w:val="RIPLMainText"/>
        <w:spacing w:line="480" w:lineRule="auto"/>
        <w:ind w:firstLine="0"/>
        <w:jc w:val="left"/>
        <w:rPr>
          <w:rFonts w:ascii="Times New Roman" w:hAnsi="Times New Roman" w:cs="Times New Roman"/>
          <w:sz w:val="24"/>
          <w:szCs w:val="24"/>
        </w:rPr>
      </w:pPr>
      <w:r w:rsidRPr="00C50388">
        <w:rPr>
          <w:rFonts w:ascii="Times New Roman" w:hAnsi="Times New Roman" w:cs="Times New Roman"/>
          <w:sz w:val="24"/>
          <w:szCs w:val="24"/>
        </w:rPr>
        <w:t xml:space="preserve">Cultural genocide was included in the </w:t>
      </w:r>
      <w:r w:rsidR="00250448">
        <w:rPr>
          <w:rFonts w:ascii="Times New Roman" w:hAnsi="Times New Roman" w:cs="Times New Roman"/>
          <w:sz w:val="24"/>
          <w:szCs w:val="24"/>
        </w:rPr>
        <w:t xml:space="preserve">first </w:t>
      </w:r>
      <w:r w:rsidRPr="00C50388">
        <w:rPr>
          <w:rFonts w:ascii="Times New Roman" w:hAnsi="Times New Roman" w:cs="Times New Roman"/>
          <w:sz w:val="24"/>
          <w:szCs w:val="24"/>
        </w:rPr>
        <w:t xml:space="preserve">draft </w:t>
      </w:r>
      <w:r w:rsidR="00462539">
        <w:rPr>
          <w:rFonts w:ascii="Times New Roman" w:hAnsi="Times New Roman" w:cs="Times New Roman"/>
          <w:sz w:val="24"/>
          <w:szCs w:val="24"/>
        </w:rPr>
        <w:t xml:space="preserve">of </w:t>
      </w:r>
      <w:r w:rsidR="00123A12">
        <w:rPr>
          <w:rFonts w:ascii="Times New Roman" w:hAnsi="Times New Roman" w:cs="Times New Roman"/>
          <w:sz w:val="24"/>
          <w:szCs w:val="24"/>
        </w:rPr>
        <w:t xml:space="preserve">what became the </w:t>
      </w:r>
      <w:r w:rsidR="00A27AEA">
        <w:rPr>
          <w:rFonts w:ascii="Times New Roman" w:hAnsi="Times New Roman" w:cs="Times New Roman"/>
          <w:sz w:val="24"/>
          <w:szCs w:val="24"/>
        </w:rPr>
        <w:t xml:space="preserve">1948 </w:t>
      </w:r>
      <w:r w:rsidR="00123A12" w:rsidRPr="00123A12">
        <w:rPr>
          <w:rFonts w:ascii="Times New Roman" w:hAnsi="Times New Roman" w:cs="Times New Roman"/>
          <w:sz w:val="24"/>
          <w:szCs w:val="24"/>
        </w:rPr>
        <w:t>Convention on the Prevention and Punishment of the Crime of Genocide</w:t>
      </w:r>
      <w:r w:rsidRPr="00C50388">
        <w:rPr>
          <w:rFonts w:ascii="Times New Roman" w:hAnsi="Times New Roman" w:cs="Times New Roman"/>
          <w:sz w:val="24"/>
          <w:szCs w:val="24"/>
        </w:rPr>
        <w:t xml:space="preserve">. </w:t>
      </w:r>
      <w:r>
        <w:rPr>
          <w:rFonts w:ascii="Times New Roman" w:hAnsi="Times New Roman" w:cs="Times New Roman"/>
          <w:sz w:val="24"/>
          <w:szCs w:val="24"/>
        </w:rPr>
        <w:t xml:space="preserve">Its </w:t>
      </w:r>
      <w:r w:rsidRPr="00C50388">
        <w:rPr>
          <w:rFonts w:ascii="Times New Roman" w:hAnsi="Times New Roman" w:cs="Times New Roman"/>
          <w:sz w:val="24"/>
          <w:szCs w:val="24"/>
        </w:rPr>
        <w:t>elements included systematic destruction of historical or religious monuments or their diversion to alien uses</w:t>
      </w:r>
      <w:r w:rsidR="008F20A9">
        <w:rPr>
          <w:rFonts w:ascii="Times New Roman" w:hAnsi="Times New Roman" w:cs="Times New Roman"/>
          <w:sz w:val="24"/>
          <w:szCs w:val="24"/>
        </w:rPr>
        <w:t>,</w:t>
      </w:r>
      <w:r w:rsidRPr="00C50388">
        <w:rPr>
          <w:rFonts w:ascii="Times New Roman" w:hAnsi="Times New Roman" w:cs="Times New Roman"/>
          <w:sz w:val="24"/>
          <w:szCs w:val="24"/>
        </w:rPr>
        <w:t xml:space="preserve"> and destruction or dispersion of documents and objects of historical, artistic, or religious value, and of objects used in religious worship.</w:t>
      </w:r>
      <w:bookmarkStart w:id="2" w:name="_Ref450574278"/>
      <w:r w:rsidRPr="00C50388">
        <w:rPr>
          <w:rStyle w:val="EndnoteReference"/>
          <w:rFonts w:ascii="Times New Roman" w:hAnsi="Times New Roman" w:cs="Times New Roman"/>
          <w:sz w:val="24"/>
          <w:szCs w:val="24"/>
        </w:rPr>
        <w:endnoteReference w:id="6"/>
      </w:r>
      <w:bookmarkEnd w:id="2"/>
      <w:r>
        <w:rPr>
          <w:rFonts w:ascii="Times New Roman" w:hAnsi="Times New Roman" w:cs="Times New Roman"/>
          <w:sz w:val="24"/>
          <w:szCs w:val="24"/>
        </w:rPr>
        <w:t xml:space="preserve"> Cultural genocide was ultimately omitted from the convention due to the objections of former colonial powers and settler</w:t>
      </w:r>
      <w:r w:rsidRPr="00C50388">
        <w:rPr>
          <w:rFonts w:ascii="Times New Roman" w:hAnsi="Times New Roman" w:cs="Times New Roman"/>
          <w:sz w:val="24"/>
          <w:szCs w:val="24"/>
        </w:rPr>
        <w:t xml:space="preserve"> </w:t>
      </w:r>
      <w:r w:rsidR="00C264E0">
        <w:rPr>
          <w:rFonts w:ascii="Times New Roman" w:hAnsi="Times New Roman" w:cs="Times New Roman"/>
          <w:sz w:val="24"/>
          <w:szCs w:val="24"/>
        </w:rPr>
        <w:t>state</w:t>
      </w:r>
      <w:r w:rsidRPr="00C50388">
        <w:rPr>
          <w:rFonts w:ascii="Times New Roman" w:hAnsi="Times New Roman" w:cs="Times New Roman"/>
          <w:sz w:val="24"/>
          <w:szCs w:val="24"/>
        </w:rPr>
        <w:t>s</w:t>
      </w:r>
      <w:r>
        <w:rPr>
          <w:rFonts w:ascii="Times New Roman" w:hAnsi="Times New Roman" w:cs="Times New Roman"/>
          <w:sz w:val="24"/>
          <w:szCs w:val="24"/>
        </w:rPr>
        <w:t xml:space="preserve">, </w:t>
      </w:r>
      <w:r w:rsidR="0006700E">
        <w:rPr>
          <w:rFonts w:ascii="Times New Roman" w:hAnsi="Times New Roman" w:cs="Times New Roman"/>
          <w:sz w:val="24"/>
          <w:szCs w:val="24"/>
        </w:rPr>
        <w:t xml:space="preserve">which were </w:t>
      </w:r>
      <w:r>
        <w:rPr>
          <w:rFonts w:ascii="Times New Roman" w:hAnsi="Times New Roman" w:cs="Times New Roman"/>
          <w:sz w:val="24"/>
          <w:szCs w:val="24"/>
        </w:rPr>
        <w:t>concerned that the granting of cultural rights would undermine their sovereignty.</w:t>
      </w:r>
      <w:bookmarkStart w:id="3" w:name="_Ref449272460"/>
      <w:r w:rsidRPr="00C50388">
        <w:rPr>
          <w:rStyle w:val="EndnoteReference"/>
          <w:rFonts w:ascii="Times New Roman" w:hAnsi="Times New Roman" w:cs="Times New Roman"/>
          <w:sz w:val="24"/>
          <w:szCs w:val="24"/>
        </w:rPr>
        <w:endnoteReference w:id="7"/>
      </w:r>
      <w:bookmarkEnd w:id="3"/>
    </w:p>
    <w:p w14:paraId="006DADC6" w14:textId="1C615A76" w:rsidR="0027082D" w:rsidRDefault="0027082D" w:rsidP="00B0425D">
      <w:pPr>
        <w:pStyle w:val="RIPLMainText"/>
        <w:spacing w:line="480" w:lineRule="auto"/>
        <w:ind w:firstLine="720"/>
        <w:jc w:val="left"/>
        <w:rPr>
          <w:rFonts w:ascii="Times New Roman" w:hAnsi="Times New Roman" w:cs="Times New Roman"/>
          <w:sz w:val="24"/>
          <w:szCs w:val="24"/>
        </w:rPr>
      </w:pPr>
      <w:r w:rsidRPr="00AB5967">
        <w:rPr>
          <w:rFonts w:ascii="Times New Roman" w:hAnsi="Times New Roman" w:cs="Times New Roman"/>
          <w:sz w:val="24"/>
          <w:szCs w:val="24"/>
        </w:rPr>
        <w:t>Nonetheless, the concept has seen a resurgence, particularly where cultural sites are targeted because of their identi</w:t>
      </w:r>
      <w:r>
        <w:rPr>
          <w:rFonts w:ascii="Times New Roman" w:hAnsi="Times New Roman" w:cs="Times New Roman"/>
          <w:sz w:val="24"/>
          <w:szCs w:val="24"/>
        </w:rPr>
        <w:t>fication</w:t>
      </w:r>
      <w:r w:rsidRPr="00AB5967">
        <w:rPr>
          <w:rFonts w:ascii="Times New Roman" w:hAnsi="Times New Roman" w:cs="Times New Roman"/>
          <w:sz w:val="24"/>
          <w:szCs w:val="24"/>
        </w:rPr>
        <w:t xml:space="preserve"> with a particular religious or ethnic minority group. </w:t>
      </w:r>
      <w:r>
        <w:rPr>
          <w:rFonts w:ascii="Times New Roman" w:hAnsi="Times New Roman" w:cs="Times New Roman"/>
          <w:sz w:val="24"/>
          <w:szCs w:val="24"/>
        </w:rPr>
        <w:t>For example, t</w:t>
      </w:r>
      <w:r w:rsidRPr="00AB5967">
        <w:rPr>
          <w:rFonts w:ascii="Times New Roman" w:hAnsi="Times New Roman" w:cs="Times New Roman"/>
          <w:sz w:val="24"/>
          <w:szCs w:val="24"/>
        </w:rPr>
        <w:t xml:space="preserve">he International Criminal Tribunal for the former Yugoslavia (ICTY) used the intentional targeting of mosques and other structures </w:t>
      </w:r>
      <w:r w:rsidR="0054020D">
        <w:rPr>
          <w:rFonts w:ascii="Times New Roman" w:hAnsi="Times New Roman" w:cs="Times New Roman"/>
          <w:sz w:val="24"/>
          <w:szCs w:val="24"/>
        </w:rPr>
        <w:t xml:space="preserve">devoted to </w:t>
      </w:r>
      <w:r w:rsidR="0054020D" w:rsidRPr="00AB5967">
        <w:rPr>
          <w:rFonts w:ascii="Times New Roman" w:hAnsi="Times New Roman" w:cs="Times New Roman"/>
          <w:sz w:val="24"/>
          <w:szCs w:val="24"/>
        </w:rPr>
        <w:t xml:space="preserve">religious </w:t>
      </w:r>
      <w:r w:rsidR="0054020D">
        <w:rPr>
          <w:rFonts w:ascii="Times New Roman" w:hAnsi="Times New Roman" w:cs="Times New Roman"/>
          <w:sz w:val="24"/>
          <w:szCs w:val="24"/>
        </w:rPr>
        <w:t xml:space="preserve">uses </w:t>
      </w:r>
      <w:r w:rsidRPr="00AB5967">
        <w:rPr>
          <w:rFonts w:ascii="Times New Roman" w:hAnsi="Times New Roman" w:cs="Times New Roman"/>
          <w:sz w:val="24"/>
          <w:szCs w:val="24"/>
        </w:rPr>
        <w:t xml:space="preserve">as a </w:t>
      </w:r>
      <w:r w:rsidR="009171DD">
        <w:rPr>
          <w:rFonts w:ascii="Times New Roman" w:hAnsi="Times New Roman" w:cs="Times New Roman"/>
          <w:sz w:val="24"/>
          <w:szCs w:val="24"/>
        </w:rPr>
        <w:t>basis for</w:t>
      </w:r>
      <w:r w:rsidRPr="00AB5967">
        <w:rPr>
          <w:rFonts w:ascii="Times New Roman" w:hAnsi="Times New Roman" w:cs="Times New Roman"/>
          <w:sz w:val="24"/>
          <w:szCs w:val="24"/>
        </w:rPr>
        <w:t xml:space="preserve"> establishing the genocidal intent of the </w:t>
      </w:r>
      <w:r w:rsidR="00272E06">
        <w:rPr>
          <w:rFonts w:ascii="Times New Roman" w:hAnsi="Times New Roman" w:cs="Times New Roman"/>
          <w:sz w:val="24"/>
          <w:szCs w:val="24"/>
        </w:rPr>
        <w:t xml:space="preserve">Bosnian </w:t>
      </w:r>
      <w:r w:rsidRPr="00AB5967">
        <w:rPr>
          <w:rFonts w:ascii="Times New Roman" w:hAnsi="Times New Roman" w:cs="Times New Roman"/>
          <w:sz w:val="24"/>
          <w:szCs w:val="24"/>
        </w:rPr>
        <w:t>Serb</w:t>
      </w:r>
      <w:r w:rsidR="0031565D">
        <w:rPr>
          <w:rFonts w:ascii="Times New Roman" w:hAnsi="Times New Roman" w:cs="Times New Roman"/>
          <w:sz w:val="24"/>
          <w:szCs w:val="24"/>
        </w:rPr>
        <w:t xml:space="preserve"> leadership</w:t>
      </w:r>
      <w:r w:rsidRPr="00AB5967">
        <w:rPr>
          <w:rFonts w:ascii="Times New Roman" w:hAnsi="Times New Roman" w:cs="Times New Roman"/>
          <w:sz w:val="24"/>
          <w:szCs w:val="24"/>
        </w:rPr>
        <w:t xml:space="preserve"> against the Bosnian Muslim</w:t>
      </w:r>
      <w:r w:rsidR="00272E06">
        <w:rPr>
          <w:rFonts w:ascii="Times New Roman" w:hAnsi="Times New Roman" w:cs="Times New Roman"/>
          <w:sz w:val="24"/>
          <w:szCs w:val="24"/>
        </w:rPr>
        <w:t xml:space="preserve"> population</w:t>
      </w:r>
      <w:r w:rsidR="005105A8">
        <w:rPr>
          <w:rFonts w:ascii="Times New Roman" w:hAnsi="Times New Roman" w:cs="Times New Roman"/>
          <w:sz w:val="24"/>
          <w:szCs w:val="24"/>
        </w:rPr>
        <w:t xml:space="preserve"> during the civil war</w:t>
      </w:r>
      <w:r w:rsidR="00E00764">
        <w:rPr>
          <w:rFonts w:ascii="Times New Roman" w:hAnsi="Times New Roman" w:cs="Times New Roman"/>
          <w:sz w:val="24"/>
          <w:szCs w:val="24"/>
        </w:rPr>
        <w:t xml:space="preserve"> of the 1990s</w:t>
      </w:r>
      <w:r w:rsidRPr="00AB5967">
        <w:rPr>
          <w:rFonts w:ascii="Times New Roman" w:hAnsi="Times New Roman" w:cs="Times New Roman"/>
          <w:sz w:val="24"/>
          <w:szCs w:val="24"/>
        </w:rPr>
        <w:t>.</w:t>
      </w:r>
      <w:r w:rsidRPr="00AB5967">
        <w:rPr>
          <w:rStyle w:val="EndnoteReference"/>
          <w:rFonts w:ascii="Times New Roman" w:hAnsi="Times New Roman" w:cs="Times New Roman"/>
          <w:sz w:val="24"/>
          <w:szCs w:val="24"/>
        </w:rPr>
        <w:endnoteReference w:id="8"/>
      </w:r>
      <w:r w:rsidRPr="00AB5967">
        <w:rPr>
          <w:rFonts w:ascii="Times New Roman" w:hAnsi="Times New Roman" w:cs="Times New Roman"/>
          <w:sz w:val="24"/>
          <w:szCs w:val="24"/>
        </w:rPr>
        <w:t xml:space="preserve"> </w:t>
      </w:r>
      <w:r w:rsidR="001D7977">
        <w:rPr>
          <w:rFonts w:ascii="Times New Roman" w:hAnsi="Times New Roman" w:cs="Times New Roman"/>
          <w:sz w:val="24"/>
          <w:szCs w:val="24"/>
        </w:rPr>
        <w:t>I</w:t>
      </w:r>
      <w:r w:rsidR="00AE21BF">
        <w:rPr>
          <w:rFonts w:ascii="Times New Roman" w:hAnsi="Times New Roman" w:cs="Times New Roman"/>
          <w:sz w:val="24"/>
          <w:szCs w:val="24"/>
        </w:rPr>
        <w:t>n 2016</w:t>
      </w:r>
      <w:r w:rsidR="00364111">
        <w:rPr>
          <w:rFonts w:ascii="Times New Roman" w:hAnsi="Times New Roman" w:cs="Times New Roman"/>
          <w:sz w:val="24"/>
          <w:szCs w:val="24"/>
        </w:rPr>
        <w:t>,</w:t>
      </w:r>
      <w:r w:rsidR="00AE21BF">
        <w:rPr>
          <w:rFonts w:ascii="Times New Roman" w:hAnsi="Times New Roman" w:cs="Times New Roman"/>
          <w:sz w:val="24"/>
          <w:szCs w:val="24"/>
        </w:rPr>
        <w:t xml:space="preserve"> </w:t>
      </w:r>
      <w:r w:rsidR="00FE1042">
        <w:rPr>
          <w:rFonts w:ascii="Times New Roman" w:hAnsi="Times New Roman" w:cs="Times New Roman"/>
          <w:sz w:val="24"/>
          <w:szCs w:val="24"/>
        </w:rPr>
        <w:t>f</w:t>
      </w:r>
      <w:r>
        <w:rPr>
          <w:rFonts w:ascii="Times New Roman" w:hAnsi="Times New Roman" w:cs="Times New Roman"/>
          <w:sz w:val="24"/>
          <w:szCs w:val="24"/>
        </w:rPr>
        <w:t xml:space="preserve">ormer </w:t>
      </w:r>
      <w:r w:rsidR="001D7977">
        <w:rPr>
          <w:rFonts w:ascii="Times New Roman" w:hAnsi="Times New Roman" w:cs="Times New Roman"/>
          <w:sz w:val="24"/>
          <w:szCs w:val="24"/>
        </w:rPr>
        <w:t>US s</w:t>
      </w:r>
      <w:r w:rsidRPr="00AB5967">
        <w:rPr>
          <w:rFonts w:ascii="Times New Roman" w:hAnsi="Times New Roman" w:cs="Times New Roman"/>
          <w:sz w:val="24"/>
          <w:szCs w:val="24"/>
        </w:rPr>
        <w:t xml:space="preserve">ecretary of </w:t>
      </w:r>
      <w:r w:rsidR="001D7977">
        <w:rPr>
          <w:rFonts w:ascii="Times New Roman" w:hAnsi="Times New Roman" w:cs="Times New Roman"/>
          <w:sz w:val="24"/>
          <w:szCs w:val="24"/>
        </w:rPr>
        <w:t>s</w:t>
      </w:r>
      <w:r w:rsidRPr="00AB5967">
        <w:rPr>
          <w:rFonts w:ascii="Times New Roman" w:hAnsi="Times New Roman" w:cs="Times New Roman"/>
          <w:sz w:val="24"/>
          <w:szCs w:val="24"/>
        </w:rPr>
        <w:t xml:space="preserve">tate John Kerry </w:t>
      </w:r>
      <w:r w:rsidR="005B2BA5">
        <w:rPr>
          <w:rFonts w:ascii="Times New Roman" w:hAnsi="Times New Roman" w:cs="Times New Roman"/>
          <w:sz w:val="24"/>
          <w:szCs w:val="24"/>
        </w:rPr>
        <w:t xml:space="preserve">linked </w:t>
      </w:r>
      <w:r w:rsidRPr="00AB5967">
        <w:rPr>
          <w:rFonts w:ascii="Times New Roman" w:hAnsi="Times New Roman" w:cs="Times New Roman"/>
          <w:sz w:val="24"/>
          <w:szCs w:val="24"/>
        </w:rPr>
        <w:t>commi</w:t>
      </w:r>
      <w:r w:rsidR="005B2BA5">
        <w:rPr>
          <w:rFonts w:ascii="Times New Roman" w:hAnsi="Times New Roman" w:cs="Times New Roman"/>
          <w:sz w:val="24"/>
          <w:szCs w:val="24"/>
        </w:rPr>
        <w:t>ssion of</w:t>
      </w:r>
      <w:r w:rsidRPr="00AB5967">
        <w:rPr>
          <w:rFonts w:ascii="Times New Roman" w:hAnsi="Times New Roman" w:cs="Times New Roman"/>
          <w:sz w:val="24"/>
          <w:szCs w:val="24"/>
        </w:rPr>
        <w:t xml:space="preserve"> genocide </w:t>
      </w:r>
      <w:r w:rsidR="005B2BA5">
        <w:rPr>
          <w:rFonts w:ascii="Times New Roman" w:hAnsi="Times New Roman" w:cs="Times New Roman"/>
          <w:sz w:val="24"/>
          <w:szCs w:val="24"/>
        </w:rPr>
        <w:t xml:space="preserve">by ISIL with its destruction of religious sites of </w:t>
      </w:r>
      <w:r w:rsidRPr="00AB5967">
        <w:rPr>
          <w:rFonts w:ascii="Times New Roman" w:hAnsi="Times New Roman" w:cs="Times New Roman"/>
          <w:sz w:val="24"/>
          <w:szCs w:val="24"/>
        </w:rPr>
        <w:t xml:space="preserve">minority </w:t>
      </w:r>
      <w:r w:rsidRPr="00AB5967">
        <w:rPr>
          <w:rFonts w:ascii="Times New Roman" w:hAnsi="Times New Roman" w:cs="Times New Roman"/>
          <w:sz w:val="24"/>
          <w:szCs w:val="24"/>
        </w:rPr>
        <w:lastRenderedPageBreak/>
        <w:t>religious and ethnic groups, including Christians, Yazidis</w:t>
      </w:r>
      <w:r w:rsidR="00FA19C7">
        <w:rPr>
          <w:rFonts w:ascii="Times New Roman" w:hAnsi="Times New Roman" w:cs="Times New Roman"/>
          <w:sz w:val="24"/>
          <w:szCs w:val="24"/>
        </w:rPr>
        <w:t>,</w:t>
      </w:r>
      <w:r w:rsidRPr="00AB5967">
        <w:rPr>
          <w:rFonts w:ascii="Times New Roman" w:hAnsi="Times New Roman" w:cs="Times New Roman"/>
          <w:sz w:val="24"/>
          <w:szCs w:val="24"/>
        </w:rPr>
        <w:t xml:space="preserve"> and Shi</w:t>
      </w:r>
      <w:r w:rsidR="00364111">
        <w:rPr>
          <w:rFonts w:ascii="Times New Roman" w:hAnsi="Times New Roman" w:cs="Times New Roman"/>
          <w:sz w:val="24"/>
          <w:szCs w:val="24"/>
        </w:rPr>
        <w:t>’</w:t>
      </w:r>
      <w:r w:rsidRPr="00AB5967">
        <w:rPr>
          <w:rFonts w:ascii="Times New Roman" w:hAnsi="Times New Roman" w:cs="Times New Roman"/>
          <w:sz w:val="24"/>
          <w:szCs w:val="24"/>
        </w:rPr>
        <w:t>ite Muslims in northern Iraq and Syria</w:t>
      </w:r>
      <w:r w:rsidR="00AE21BF">
        <w:rPr>
          <w:rFonts w:ascii="Times New Roman" w:hAnsi="Times New Roman" w:cs="Times New Roman"/>
          <w:sz w:val="24"/>
          <w:szCs w:val="24"/>
        </w:rPr>
        <w:t>,</w:t>
      </w:r>
      <w:r w:rsidR="005B2BA5">
        <w:rPr>
          <w:rFonts w:ascii="Times New Roman" w:hAnsi="Times New Roman" w:cs="Times New Roman"/>
          <w:sz w:val="24"/>
          <w:szCs w:val="24"/>
        </w:rPr>
        <w:t xml:space="preserve"> and its attempt</w:t>
      </w:r>
      <w:r>
        <w:rPr>
          <w:rFonts w:ascii="Times New Roman" w:hAnsi="Times New Roman" w:cs="Times New Roman"/>
          <w:sz w:val="24"/>
          <w:szCs w:val="24"/>
        </w:rPr>
        <w:t xml:space="preserve"> </w:t>
      </w:r>
      <w:r w:rsidR="005B2BA5">
        <w:rPr>
          <w:rFonts w:ascii="Times New Roman" w:hAnsi="Times New Roman" w:cs="Times New Roman"/>
          <w:sz w:val="24"/>
          <w:szCs w:val="24"/>
        </w:rPr>
        <w:t>“</w:t>
      </w:r>
      <w:r w:rsidRPr="00AB5967">
        <w:rPr>
          <w:rFonts w:ascii="Times New Roman" w:hAnsi="Times New Roman" w:cs="Times New Roman"/>
          <w:sz w:val="24"/>
          <w:szCs w:val="24"/>
        </w:rPr>
        <w:t>to erase thousands of years of cultural heritage by destroying churches, monasteries and ancient monuments.”</w:t>
      </w:r>
      <w:r w:rsidRPr="00AB5967">
        <w:rPr>
          <w:rStyle w:val="EndnoteReference"/>
          <w:rFonts w:ascii="Times New Roman" w:hAnsi="Times New Roman" w:cs="Times New Roman"/>
          <w:sz w:val="24"/>
          <w:szCs w:val="24"/>
        </w:rPr>
        <w:endnoteReference w:id="9"/>
      </w:r>
    </w:p>
    <w:p w14:paraId="296853D1" w14:textId="77777777" w:rsidR="00333589" w:rsidRPr="005B2BA5" w:rsidRDefault="00333589" w:rsidP="004D55E5">
      <w:pPr>
        <w:pStyle w:val="RIPLMainText"/>
        <w:spacing w:line="480" w:lineRule="auto"/>
        <w:ind w:firstLine="720"/>
        <w:jc w:val="left"/>
        <w:rPr>
          <w:rFonts w:ascii="Times New Roman" w:hAnsi="Times New Roman" w:cs="Times New Roman"/>
          <w:sz w:val="24"/>
          <w:szCs w:val="24"/>
        </w:rPr>
      </w:pPr>
    </w:p>
    <w:p w14:paraId="029DD1D1" w14:textId="5DD814B7" w:rsidR="00333589" w:rsidRDefault="0054020D" w:rsidP="00353FB5">
      <w:pPr>
        <w:pStyle w:val="Heading2"/>
      </w:pPr>
      <w:r w:rsidRPr="00AE21BF">
        <w:t>Human Rights and the Destruction of Cultur</w:t>
      </w:r>
      <w:r w:rsidR="000D3775" w:rsidRPr="00AE21BF">
        <w:t>al Heritage</w:t>
      </w:r>
    </w:p>
    <w:p w14:paraId="5C368774" w14:textId="34385D35" w:rsidR="00884B0F" w:rsidRDefault="00AD3DB5" w:rsidP="00333589">
      <w:pPr>
        <w:pStyle w:val="RIPLMainText"/>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Some c</w:t>
      </w:r>
      <w:r w:rsidR="00BA2DC7">
        <w:rPr>
          <w:rFonts w:ascii="Times New Roman" w:hAnsi="Times New Roman" w:cs="Times New Roman"/>
          <w:sz w:val="24"/>
          <w:szCs w:val="24"/>
        </w:rPr>
        <w:t xml:space="preserve">ommentators and legal scholars, particularly in the United States, </w:t>
      </w:r>
      <w:r w:rsidR="00C10839">
        <w:rPr>
          <w:rFonts w:ascii="Times New Roman" w:hAnsi="Times New Roman" w:cs="Times New Roman"/>
          <w:sz w:val="24"/>
          <w:szCs w:val="24"/>
        </w:rPr>
        <w:t xml:space="preserve">consider </w:t>
      </w:r>
      <w:r w:rsidR="00D158E8">
        <w:rPr>
          <w:rFonts w:ascii="Times New Roman" w:hAnsi="Times New Roman" w:cs="Times New Roman"/>
          <w:sz w:val="24"/>
          <w:szCs w:val="24"/>
        </w:rPr>
        <w:t xml:space="preserve">the </w:t>
      </w:r>
      <w:r w:rsidR="00BA2DC7">
        <w:rPr>
          <w:rFonts w:ascii="Times New Roman" w:hAnsi="Times New Roman" w:cs="Times New Roman"/>
          <w:sz w:val="24"/>
          <w:szCs w:val="24"/>
        </w:rPr>
        <w:t>preservation of cultural object</w:t>
      </w:r>
      <w:r w:rsidR="001965C1">
        <w:rPr>
          <w:rFonts w:ascii="Times New Roman" w:hAnsi="Times New Roman" w:cs="Times New Roman"/>
          <w:sz w:val="24"/>
          <w:szCs w:val="24"/>
        </w:rPr>
        <w:t>s</w:t>
      </w:r>
      <w:r w:rsidR="00BA2DC7">
        <w:rPr>
          <w:rFonts w:ascii="Times New Roman" w:hAnsi="Times New Roman" w:cs="Times New Roman"/>
          <w:sz w:val="24"/>
          <w:szCs w:val="24"/>
        </w:rPr>
        <w:t xml:space="preserve"> or site</w:t>
      </w:r>
      <w:r w:rsidR="001965C1">
        <w:rPr>
          <w:rFonts w:ascii="Times New Roman" w:hAnsi="Times New Roman" w:cs="Times New Roman"/>
          <w:sz w:val="24"/>
          <w:szCs w:val="24"/>
        </w:rPr>
        <w:t>s</w:t>
      </w:r>
      <w:r w:rsidR="00BA2DC7">
        <w:rPr>
          <w:rFonts w:ascii="Times New Roman" w:hAnsi="Times New Roman" w:cs="Times New Roman"/>
          <w:sz w:val="24"/>
          <w:szCs w:val="24"/>
        </w:rPr>
        <w:t xml:space="preserve"> </w:t>
      </w:r>
      <w:r w:rsidR="00AE21BF">
        <w:rPr>
          <w:rFonts w:ascii="Times New Roman" w:hAnsi="Times New Roman" w:cs="Times New Roman"/>
          <w:sz w:val="24"/>
          <w:szCs w:val="24"/>
        </w:rPr>
        <w:t>a</w:t>
      </w:r>
      <w:r w:rsidR="00BA2DC7">
        <w:rPr>
          <w:rFonts w:ascii="Times New Roman" w:hAnsi="Times New Roman" w:cs="Times New Roman"/>
          <w:sz w:val="24"/>
          <w:szCs w:val="24"/>
        </w:rPr>
        <w:t xml:space="preserve">s the paramount value to be honored. </w:t>
      </w:r>
      <w:r w:rsidR="00AE21BF">
        <w:rPr>
          <w:rFonts w:ascii="Times New Roman" w:hAnsi="Times New Roman" w:cs="Times New Roman"/>
          <w:sz w:val="24"/>
          <w:szCs w:val="24"/>
        </w:rPr>
        <w:t xml:space="preserve">For example, </w:t>
      </w:r>
      <w:r w:rsidR="00FE2E80">
        <w:rPr>
          <w:rFonts w:ascii="Times New Roman" w:hAnsi="Times New Roman" w:cs="Times New Roman"/>
          <w:sz w:val="24"/>
          <w:szCs w:val="24"/>
        </w:rPr>
        <w:t xml:space="preserve">the late </w:t>
      </w:r>
      <w:r w:rsidR="00BA2DC7">
        <w:rPr>
          <w:rFonts w:ascii="Times New Roman" w:hAnsi="Times New Roman" w:cs="Times New Roman"/>
          <w:sz w:val="24"/>
          <w:szCs w:val="24"/>
        </w:rPr>
        <w:t>John Henry Merryman</w:t>
      </w:r>
      <w:r w:rsidR="00AE21BF">
        <w:rPr>
          <w:rFonts w:ascii="Times New Roman" w:hAnsi="Times New Roman" w:cs="Times New Roman"/>
          <w:sz w:val="24"/>
          <w:szCs w:val="24"/>
        </w:rPr>
        <w:t xml:space="preserve"> </w:t>
      </w:r>
      <w:r w:rsidR="00BA2DC7">
        <w:rPr>
          <w:rFonts w:ascii="Times New Roman" w:hAnsi="Times New Roman" w:cs="Times New Roman"/>
          <w:sz w:val="24"/>
          <w:szCs w:val="24"/>
        </w:rPr>
        <w:t xml:space="preserve">centered </w:t>
      </w:r>
      <w:r w:rsidR="00AE21BF">
        <w:rPr>
          <w:rFonts w:ascii="Times New Roman" w:hAnsi="Times New Roman" w:cs="Times New Roman"/>
          <w:sz w:val="24"/>
          <w:szCs w:val="24"/>
        </w:rPr>
        <w:t xml:space="preserve">his work </w:t>
      </w:r>
      <w:r w:rsidR="00BA2DC7">
        <w:rPr>
          <w:rFonts w:ascii="Times New Roman" w:hAnsi="Times New Roman" w:cs="Times New Roman"/>
          <w:sz w:val="24"/>
          <w:szCs w:val="24"/>
        </w:rPr>
        <w:t xml:space="preserve">on the object itself </w:t>
      </w:r>
      <w:r w:rsidR="006B114C">
        <w:rPr>
          <w:rFonts w:ascii="Times New Roman" w:hAnsi="Times New Roman" w:cs="Times New Roman"/>
          <w:sz w:val="24"/>
          <w:szCs w:val="24"/>
        </w:rPr>
        <w:t>and emphasized</w:t>
      </w:r>
      <w:r w:rsidR="00BA2DC7">
        <w:rPr>
          <w:rFonts w:ascii="Times New Roman" w:hAnsi="Times New Roman" w:cs="Times New Roman"/>
          <w:sz w:val="24"/>
          <w:szCs w:val="24"/>
        </w:rPr>
        <w:t xml:space="preserve"> preservation, integrity</w:t>
      </w:r>
      <w:r w:rsidR="00F97EE1">
        <w:rPr>
          <w:rFonts w:ascii="Times New Roman" w:hAnsi="Times New Roman" w:cs="Times New Roman"/>
          <w:sz w:val="24"/>
          <w:szCs w:val="24"/>
        </w:rPr>
        <w:t>,</w:t>
      </w:r>
      <w:r w:rsidR="00BA2DC7">
        <w:rPr>
          <w:rFonts w:ascii="Times New Roman" w:hAnsi="Times New Roman" w:cs="Times New Roman"/>
          <w:sz w:val="24"/>
          <w:szCs w:val="24"/>
        </w:rPr>
        <w:t xml:space="preserve"> and distribution </w:t>
      </w:r>
      <w:r w:rsidR="00AD77F8">
        <w:rPr>
          <w:rFonts w:ascii="Times New Roman" w:hAnsi="Times New Roman" w:cs="Times New Roman"/>
          <w:sz w:val="24"/>
          <w:szCs w:val="24"/>
        </w:rPr>
        <w:t xml:space="preserve">of </w:t>
      </w:r>
      <w:r w:rsidR="00BA2DC7">
        <w:rPr>
          <w:rFonts w:ascii="Times New Roman" w:hAnsi="Times New Roman" w:cs="Times New Roman"/>
          <w:sz w:val="24"/>
          <w:szCs w:val="24"/>
        </w:rPr>
        <w:t>(or access</w:t>
      </w:r>
      <w:r w:rsidR="00AD77F8">
        <w:rPr>
          <w:rFonts w:ascii="Times New Roman" w:hAnsi="Times New Roman" w:cs="Times New Roman"/>
          <w:sz w:val="24"/>
          <w:szCs w:val="24"/>
        </w:rPr>
        <w:t xml:space="preserve"> to</w:t>
      </w:r>
      <w:r w:rsidR="00BA2DC7">
        <w:rPr>
          <w:rFonts w:ascii="Times New Roman" w:hAnsi="Times New Roman" w:cs="Times New Roman"/>
          <w:sz w:val="24"/>
          <w:szCs w:val="24"/>
        </w:rPr>
        <w:t>)</w:t>
      </w:r>
      <w:r w:rsidR="00AE21BF">
        <w:rPr>
          <w:rFonts w:ascii="Times New Roman" w:hAnsi="Times New Roman" w:cs="Times New Roman"/>
          <w:sz w:val="24"/>
          <w:szCs w:val="24"/>
        </w:rPr>
        <w:t xml:space="preserve"> the physical or tangible embodiments of heritage</w:t>
      </w:r>
      <w:r w:rsidR="006B114C">
        <w:rPr>
          <w:rFonts w:ascii="Times New Roman" w:hAnsi="Times New Roman" w:cs="Times New Roman"/>
          <w:sz w:val="24"/>
          <w:szCs w:val="24"/>
        </w:rPr>
        <w:t xml:space="preserve"> as the preeminent considerations</w:t>
      </w:r>
      <w:r w:rsidR="00AE21BF">
        <w:rPr>
          <w:rFonts w:ascii="Times New Roman" w:hAnsi="Times New Roman" w:cs="Times New Roman"/>
          <w:sz w:val="24"/>
          <w:szCs w:val="24"/>
        </w:rPr>
        <w:t>.</w:t>
      </w:r>
      <w:r w:rsidR="00BA2DC7">
        <w:rPr>
          <w:rStyle w:val="EndnoteReference"/>
          <w:rFonts w:ascii="Times New Roman" w:hAnsi="Times New Roman" w:cs="Times New Roman"/>
          <w:sz w:val="24"/>
          <w:szCs w:val="24"/>
        </w:rPr>
        <w:endnoteReference w:id="10"/>
      </w:r>
      <w:r w:rsidR="00BA2DC7">
        <w:rPr>
          <w:rFonts w:ascii="Times New Roman" w:hAnsi="Times New Roman" w:cs="Times New Roman"/>
          <w:sz w:val="24"/>
          <w:szCs w:val="24"/>
        </w:rPr>
        <w:t xml:space="preserve"> </w:t>
      </w:r>
      <w:r w:rsidR="00AE21BF">
        <w:rPr>
          <w:rFonts w:ascii="Times New Roman" w:hAnsi="Times New Roman" w:cs="Times New Roman"/>
          <w:sz w:val="24"/>
          <w:szCs w:val="24"/>
        </w:rPr>
        <w:t>This associates the tangible object or site with a universal heritage that is of importance to all people</w:t>
      </w:r>
      <w:r w:rsidR="00F9056B">
        <w:rPr>
          <w:rFonts w:ascii="Times New Roman" w:hAnsi="Times New Roman" w:cs="Times New Roman"/>
          <w:sz w:val="24"/>
          <w:szCs w:val="24"/>
        </w:rPr>
        <w:t>,</w:t>
      </w:r>
      <w:r w:rsidR="00AE21BF">
        <w:rPr>
          <w:rFonts w:ascii="Times New Roman" w:hAnsi="Times New Roman" w:cs="Times New Roman"/>
          <w:sz w:val="24"/>
          <w:szCs w:val="24"/>
        </w:rPr>
        <w:t xml:space="preserve"> thereby </w:t>
      </w:r>
      <w:r w:rsidR="00636B54">
        <w:rPr>
          <w:rFonts w:ascii="Times New Roman" w:hAnsi="Times New Roman" w:cs="Times New Roman"/>
          <w:sz w:val="24"/>
          <w:szCs w:val="24"/>
        </w:rPr>
        <w:t>challeng</w:t>
      </w:r>
      <w:r w:rsidR="00F9056B">
        <w:rPr>
          <w:rFonts w:ascii="Times New Roman" w:hAnsi="Times New Roman" w:cs="Times New Roman"/>
          <w:sz w:val="24"/>
          <w:szCs w:val="24"/>
        </w:rPr>
        <w:t>ing</w:t>
      </w:r>
      <w:r w:rsidR="00AE21BF">
        <w:rPr>
          <w:rFonts w:ascii="Times New Roman" w:hAnsi="Times New Roman" w:cs="Times New Roman"/>
          <w:sz w:val="24"/>
          <w:szCs w:val="24"/>
        </w:rPr>
        <w:t xml:space="preserve"> the </w:t>
      </w:r>
      <w:r w:rsidR="00636B54">
        <w:rPr>
          <w:rFonts w:ascii="Times New Roman" w:hAnsi="Times New Roman" w:cs="Times New Roman"/>
          <w:sz w:val="24"/>
          <w:szCs w:val="24"/>
        </w:rPr>
        <w:t xml:space="preserve">idea of a definitive connection between </w:t>
      </w:r>
      <w:r w:rsidR="00AE21BF">
        <w:rPr>
          <w:rFonts w:ascii="Times New Roman" w:hAnsi="Times New Roman" w:cs="Times New Roman"/>
          <w:sz w:val="24"/>
          <w:szCs w:val="24"/>
        </w:rPr>
        <w:t xml:space="preserve">tangible </w:t>
      </w:r>
      <w:r w:rsidR="00FE2E80">
        <w:rPr>
          <w:rFonts w:ascii="Times New Roman" w:hAnsi="Times New Roman" w:cs="Times New Roman"/>
          <w:sz w:val="24"/>
          <w:szCs w:val="24"/>
        </w:rPr>
        <w:t xml:space="preserve">cultural </w:t>
      </w:r>
      <w:r w:rsidR="00AE21BF">
        <w:rPr>
          <w:rFonts w:ascii="Times New Roman" w:hAnsi="Times New Roman" w:cs="Times New Roman"/>
          <w:sz w:val="24"/>
          <w:szCs w:val="24"/>
        </w:rPr>
        <w:t xml:space="preserve">heritage </w:t>
      </w:r>
      <w:r w:rsidR="00636B54">
        <w:rPr>
          <w:rFonts w:ascii="Times New Roman" w:hAnsi="Times New Roman" w:cs="Times New Roman"/>
          <w:sz w:val="24"/>
          <w:szCs w:val="24"/>
        </w:rPr>
        <w:t xml:space="preserve">and </w:t>
      </w:r>
      <w:r w:rsidR="00AE21BF">
        <w:rPr>
          <w:rFonts w:ascii="Times New Roman" w:hAnsi="Times New Roman" w:cs="Times New Roman"/>
          <w:sz w:val="24"/>
          <w:szCs w:val="24"/>
        </w:rPr>
        <w:t xml:space="preserve">the people who </w:t>
      </w:r>
      <w:r w:rsidR="00FE2E80">
        <w:rPr>
          <w:rFonts w:ascii="Times New Roman" w:hAnsi="Times New Roman" w:cs="Times New Roman"/>
          <w:sz w:val="24"/>
          <w:szCs w:val="24"/>
        </w:rPr>
        <w:t>identify with</w:t>
      </w:r>
      <w:r w:rsidR="00AE21BF">
        <w:rPr>
          <w:rFonts w:ascii="Times New Roman" w:hAnsi="Times New Roman" w:cs="Times New Roman"/>
          <w:sz w:val="24"/>
          <w:szCs w:val="24"/>
        </w:rPr>
        <w:t xml:space="preserve"> it</w:t>
      </w:r>
      <w:r w:rsidR="005B09C5">
        <w:rPr>
          <w:rFonts w:ascii="Times New Roman" w:hAnsi="Times New Roman" w:cs="Times New Roman"/>
          <w:sz w:val="24"/>
          <w:szCs w:val="24"/>
        </w:rPr>
        <w:t>, their descendants,</w:t>
      </w:r>
      <w:r w:rsidR="00AE21BF">
        <w:rPr>
          <w:rFonts w:ascii="Times New Roman" w:hAnsi="Times New Roman" w:cs="Times New Roman"/>
          <w:sz w:val="24"/>
          <w:szCs w:val="24"/>
        </w:rPr>
        <w:t xml:space="preserve"> and also the people among whom the heritage had been located before its often violent extraction. </w:t>
      </w:r>
      <w:r w:rsidR="009B5AC7">
        <w:rPr>
          <w:rFonts w:ascii="Times New Roman" w:hAnsi="Times New Roman" w:cs="Times New Roman"/>
          <w:sz w:val="24"/>
          <w:szCs w:val="24"/>
        </w:rPr>
        <w:t xml:space="preserve">It also </w:t>
      </w:r>
      <w:r w:rsidR="00BA2DC7">
        <w:rPr>
          <w:rFonts w:ascii="Times New Roman" w:hAnsi="Times New Roman" w:cs="Times New Roman"/>
          <w:sz w:val="24"/>
          <w:szCs w:val="24"/>
        </w:rPr>
        <w:t>undermine</w:t>
      </w:r>
      <w:r w:rsidR="006B114C">
        <w:rPr>
          <w:rFonts w:ascii="Times New Roman" w:hAnsi="Times New Roman" w:cs="Times New Roman"/>
          <w:sz w:val="24"/>
          <w:szCs w:val="24"/>
        </w:rPr>
        <w:t>s</w:t>
      </w:r>
      <w:r w:rsidR="00BA2DC7">
        <w:rPr>
          <w:rFonts w:ascii="Times New Roman" w:hAnsi="Times New Roman" w:cs="Times New Roman"/>
          <w:sz w:val="24"/>
          <w:szCs w:val="24"/>
        </w:rPr>
        <w:t xml:space="preserve"> </w:t>
      </w:r>
      <w:r w:rsidR="009B5AC7">
        <w:rPr>
          <w:rFonts w:ascii="Times New Roman" w:hAnsi="Times New Roman" w:cs="Times New Roman"/>
          <w:sz w:val="24"/>
          <w:szCs w:val="24"/>
        </w:rPr>
        <w:t xml:space="preserve">the </w:t>
      </w:r>
      <w:r w:rsidR="00BA2DC7">
        <w:rPr>
          <w:rFonts w:ascii="Times New Roman" w:hAnsi="Times New Roman" w:cs="Times New Roman"/>
          <w:sz w:val="24"/>
          <w:szCs w:val="24"/>
        </w:rPr>
        <w:t xml:space="preserve">claims of </w:t>
      </w:r>
      <w:r w:rsidR="009B5AC7">
        <w:rPr>
          <w:rFonts w:ascii="Times New Roman" w:hAnsi="Times New Roman" w:cs="Times New Roman"/>
          <w:sz w:val="24"/>
          <w:szCs w:val="24"/>
        </w:rPr>
        <w:t xml:space="preserve">states </w:t>
      </w:r>
      <w:r w:rsidR="00BA2DC7">
        <w:rPr>
          <w:rFonts w:ascii="Times New Roman" w:hAnsi="Times New Roman" w:cs="Times New Roman"/>
          <w:sz w:val="24"/>
          <w:szCs w:val="24"/>
        </w:rPr>
        <w:t>and communities to a right of repatriation or restitution, other than in very limited circumstance</w:t>
      </w:r>
      <w:r w:rsidR="00B85A9B">
        <w:rPr>
          <w:rFonts w:ascii="Times New Roman" w:hAnsi="Times New Roman" w:cs="Times New Roman"/>
          <w:sz w:val="24"/>
          <w:szCs w:val="24"/>
        </w:rPr>
        <w:t xml:space="preserve">s, </w:t>
      </w:r>
      <w:r w:rsidR="00F17A27">
        <w:rPr>
          <w:rFonts w:ascii="Times New Roman" w:hAnsi="Times New Roman" w:cs="Times New Roman"/>
          <w:sz w:val="24"/>
          <w:szCs w:val="24"/>
        </w:rPr>
        <w:t>such as the object</w:t>
      </w:r>
      <w:r w:rsidR="00B85A9B">
        <w:rPr>
          <w:rFonts w:ascii="Times New Roman" w:hAnsi="Times New Roman" w:cs="Times New Roman"/>
          <w:sz w:val="24"/>
          <w:szCs w:val="24"/>
        </w:rPr>
        <w:t>’s</w:t>
      </w:r>
      <w:r w:rsidR="00F17A27">
        <w:rPr>
          <w:rFonts w:ascii="Times New Roman" w:hAnsi="Times New Roman" w:cs="Times New Roman"/>
          <w:sz w:val="24"/>
          <w:szCs w:val="24"/>
        </w:rPr>
        <w:t xml:space="preserve"> use as part of an ongoing religious tradition</w:t>
      </w:r>
      <w:r w:rsidR="006B114C">
        <w:rPr>
          <w:rFonts w:ascii="Times New Roman" w:hAnsi="Times New Roman" w:cs="Times New Roman"/>
          <w:sz w:val="24"/>
          <w:szCs w:val="24"/>
        </w:rPr>
        <w:t xml:space="preserve">, as judged from a Western </w:t>
      </w:r>
      <w:r w:rsidR="00C10839">
        <w:rPr>
          <w:rFonts w:ascii="Times New Roman" w:hAnsi="Times New Roman" w:cs="Times New Roman"/>
          <w:sz w:val="24"/>
          <w:szCs w:val="24"/>
        </w:rPr>
        <w:t xml:space="preserve">outsider </w:t>
      </w:r>
      <w:r w:rsidR="006B114C">
        <w:rPr>
          <w:rFonts w:ascii="Times New Roman" w:hAnsi="Times New Roman" w:cs="Times New Roman"/>
          <w:sz w:val="24"/>
          <w:szCs w:val="24"/>
        </w:rPr>
        <w:t>perspective</w:t>
      </w:r>
      <w:r w:rsidR="00F17A27">
        <w:rPr>
          <w:rFonts w:ascii="Times New Roman" w:hAnsi="Times New Roman" w:cs="Times New Roman"/>
          <w:sz w:val="24"/>
          <w:szCs w:val="24"/>
        </w:rPr>
        <w:t>.</w:t>
      </w:r>
      <w:r w:rsidR="00F17A27">
        <w:rPr>
          <w:rStyle w:val="EndnoteReference"/>
          <w:rFonts w:ascii="Times New Roman" w:hAnsi="Times New Roman" w:cs="Times New Roman"/>
          <w:sz w:val="24"/>
          <w:szCs w:val="24"/>
        </w:rPr>
        <w:endnoteReference w:id="11"/>
      </w:r>
      <w:r w:rsidR="00F17A27">
        <w:rPr>
          <w:rFonts w:ascii="Times New Roman" w:hAnsi="Times New Roman" w:cs="Times New Roman"/>
          <w:sz w:val="24"/>
          <w:szCs w:val="24"/>
        </w:rPr>
        <w:t xml:space="preserve"> The value of access </w:t>
      </w:r>
      <w:r w:rsidR="00C10EDF">
        <w:rPr>
          <w:rFonts w:ascii="Times New Roman" w:hAnsi="Times New Roman" w:cs="Times New Roman"/>
          <w:sz w:val="24"/>
          <w:szCs w:val="24"/>
        </w:rPr>
        <w:t xml:space="preserve">in Merryman’s conception </w:t>
      </w:r>
      <w:r w:rsidR="00F17A27">
        <w:rPr>
          <w:rFonts w:ascii="Times New Roman" w:hAnsi="Times New Roman" w:cs="Times New Roman"/>
          <w:sz w:val="24"/>
          <w:szCs w:val="24"/>
        </w:rPr>
        <w:t>seem</w:t>
      </w:r>
      <w:r w:rsidR="00C10EDF">
        <w:rPr>
          <w:rFonts w:ascii="Times New Roman" w:hAnsi="Times New Roman" w:cs="Times New Roman"/>
          <w:sz w:val="24"/>
          <w:szCs w:val="24"/>
        </w:rPr>
        <w:t>s</w:t>
      </w:r>
      <w:r w:rsidR="00F17A27">
        <w:rPr>
          <w:rFonts w:ascii="Times New Roman" w:hAnsi="Times New Roman" w:cs="Times New Roman"/>
          <w:sz w:val="24"/>
          <w:szCs w:val="24"/>
        </w:rPr>
        <w:t xml:space="preserve"> otherwise limited to the type of access gained through display of cultural objects in museums.</w:t>
      </w:r>
      <w:r w:rsidR="00155E48">
        <w:rPr>
          <w:rStyle w:val="EndnoteReference"/>
          <w:rFonts w:ascii="Times New Roman" w:hAnsi="Times New Roman" w:cs="Times New Roman"/>
          <w:sz w:val="24"/>
          <w:szCs w:val="24"/>
        </w:rPr>
        <w:endnoteReference w:id="12"/>
      </w:r>
      <w:r w:rsidR="00F17A27">
        <w:rPr>
          <w:rFonts w:ascii="Times New Roman" w:hAnsi="Times New Roman" w:cs="Times New Roman"/>
          <w:sz w:val="24"/>
          <w:szCs w:val="24"/>
        </w:rPr>
        <w:t xml:space="preserve"> </w:t>
      </w:r>
    </w:p>
    <w:p w14:paraId="4BBE244B" w14:textId="682F5A9B" w:rsidR="00BA2DC7" w:rsidRDefault="00F17A27" w:rsidP="00353FB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This approach </w:t>
      </w:r>
      <w:r w:rsidR="00BA2DC7">
        <w:rPr>
          <w:rFonts w:ascii="Times New Roman" w:hAnsi="Times New Roman" w:cs="Times New Roman"/>
          <w:sz w:val="24"/>
          <w:szCs w:val="24"/>
        </w:rPr>
        <w:t>denie</w:t>
      </w:r>
      <w:r w:rsidR="00AD3DB5">
        <w:rPr>
          <w:rFonts w:ascii="Times New Roman" w:hAnsi="Times New Roman" w:cs="Times New Roman"/>
          <w:sz w:val="24"/>
          <w:szCs w:val="24"/>
        </w:rPr>
        <w:t>s</w:t>
      </w:r>
      <w:r w:rsidR="00BA2DC7">
        <w:rPr>
          <w:rFonts w:ascii="Times New Roman" w:hAnsi="Times New Roman" w:cs="Times New Roman"/>
          <w:sz w:val="24"/>
          <w:szCs w:val="24"/>
        </w:rPr>
        <w:t xml:space="preserve"> </w:t>
      </w:r>
      <w:r>
        <w:rPr>
          <w:rFonts w:ascii="Times New Roman" w:hAnsi="Times New Roman" w:cs="Times New Roman"/>
          <w:sz w:val="24"/>
          <w:szCs w:val="24"/>
        </w:rPr>
        <w:t xml:space="preserve">a broader and </w:t>
      </w:r>
      <w:r w:rsidR="00BA2DC7">
        <w:rPr>
          <w:rFonts w:ascii="Times New Roman" w:hAnsi="Times New Roman" w:cs="Times New Roman"/>
          <w:sz w:val="24"/>
          <w:szCs w:val="24"/>
        </w:rPr>
        <w:t>more fundamental connection between living local communities and the heritage in their midst.</w:t>
      </w:r>
      <w:r w:rsidR="00ED5280">
        <w:rPr>
          <w:rStyle w:val="EndnoteReference"/>
          <w:rFonts w:ascii="Times New Roman" w:hAnsi="Times New Roman" w:cs="Times New Roman"/>
          <w:sz w:val="24"/>
          <w:szCs w:val="24"/>
        </w:rPr>
        <w:endnoteReference w:id="13"/>
      </w:r>
      <w:r w:rsidR="00BA2DC7">
        <w:rPr>
          <w:rFonts w:ascii="Times New Roman" w:hAnsi="Times New Roman" w:cs="Times New Roman"/>
          <w:sz w:val="24"/>
          <w:szCs w:val="24"/>
        </w:rPr>
        <w:t xml:space="preserve"> </w:t>
      </w:r>
      <w:r w:rsidR="006B114C">
        <w:rPr>
          <w:rFonts w:ascii="Times New Roman" w:hAnsi="Times New Roman" w:cs="Times New Roman"/>
          <w:sz w:val="24"/>
          <w:szCs w:val="24"/>
        </w:rPr>
        <w:t xml:space="preserve">A </w:t>
      </w:r>
      <w:r w:rsidR="00BA2DC7">
        <w:rPr>
          <w:rFonts w:ascii="Times New Roman" w:hAnsi="Times New Roman" w:cs="Times New Roman"/>
          <w:sz w:val="24"/>
          <w:szCs w:val="24"/>
        </w:rPr>
        <w:t>human rights approach to cultural heritage thus requires us to move away from an object-centered cultural property policy and toward a human-centered perspective</w:t>
      </w:r>
      <w:r w:rsidR="00AD65CE">
        <w:rPr>
          <w:rFonts w:ascii="Times New Roman" w:hAnsi="Times New Roman" w:cs="Times New Roman"/>
          <w:sz w:val="24"/>
          <w:szCs w:val="24"/>
        </w:rPr>
        <w:t>,</w:t>
      </w:r>
      <w:r w:rsidR="006B114C">
        <w:rPr>
          <w:rFonts w:ascii="Times New Roman" w:hAnsi="Times New Roman" w:cs="Times New Roman"/>
          <w:sz w:val="24"/>
          <w:szCs w:val="24"/>
        </w:rPr>
        <w:t xml:space="preserve"> </w:t>
      </w:r>
      <w:r w:rsidR="00AD65CE">
        <w:rPr>
          <w:rFonts w:ascii="Times New Roman" w:hAnsi="Times New Roman" w:cs="Times New Roman"/>
          <w:sz w:val="24"/>
          <w:szCs w:val="24"/>
        </w:rPr>
        <w:t xml:space="preserve">recognizing </w:t>
      </w:r>
      <w:r w:rsidR="006B114C">
        <w:rPr>
          <w:rFonts w:ascii="Times New Roman" w:hAnsi="Times New Roman" w:cs="Times New Roman"/>
          <w:sz w:val="24"/>
          <w:szCs w:val="24"/>
        </w:rPr>
        <w:t>that people and tangible heritage are inextricably connected</w:t>
      </w:r>
      <w:r w:rsidR="00BA2DC7">
        <w:rPr>
          <w:rFonts w:ascii="Times New Roman" w:hAnsi="Times New Roman" w:cs="Times New Roman"/>
          <w:sz w:val="24"/>
          <w:szCs w:val="24"/>
        </w:rPr>
        <w:t>.</w:t>
      </w:r>
      <w:r w:rsidR="000B727C">
        <w:rPr>
          <w:rFonts w:ascii="Times New Roman" w:hAnsi="Times New Roman" w:cs="Times New Roman"/>
          <w:sz w:val="24"/>
          <w:szCs w:val="24"/>
        </w:rPr>
        <w:t xml:space="preserve"> View</w:t>
      </w:r>
      <w:r w:rsidR="000B727C" w:rsidRPr="00E02056">
        <w:rPr>
          <w:rFonts w:ascii="Times New Roman" w:hAnsi="Times New Roman" w:cs="Times New Roman"/>
          <w:sz w:val="24"/>
          <w:szCs w:val="24"/>
        </w:rPr>
        <w:t xml:space="preserve">ing cultural heritage through the lens of human rights assists us in reaching a more integrated understanding of the role that cultural heritage plays in the lives of human beings—the </w:t>
      </w:r>
      <w:r w:rsidR="000B727C" w:rsidRPr="00E02056">
        <w:rPr>
          <w:rFonts w:ascii="Times New Roman" w:hAnsi="Times New Roman" w:cs="Times New Roman"/>
          <w:sz w:val="24"/>
          <w:szCs w:val="24"/>
        </w:rPr>
        <w:lastRenderedPageBreak/>
        <w:t xml:space="preserve">local community that lives </w:t>
      </w:r>
      <w:r w:rsidR="004C70BC">
        <w:rPr>
          <w:rFonts w:ascii="Times New Roman" w:hAnsi="Times New Roman" w:cs="Times New Roman"/>
          <w:sz w:val="24"/>
          <w:szCs w:val="24"/>
        </w:rPr>
        <w:t>amid</w:t>
      </w:r>
      <w:r w:rsidR="004C70BC" w:rsidRPr="00E02056">
        <w:rPr>
          <w:rFonts w:ascii="Times New Roman" w:hAnsi="Times New Roman" w:cs="Times New Roman"/>
          <w:sz w:val="24"/>
          <w:szCs w:val="24"/>
        </w:rPr>
        <w:t xml:space="preserve"> </w:t>
      </w:r>
      <w:r w:rsidR="000B727C" w:rsidRPr="00E02056">
        <w:rPr>
          <w:rFonts w:ascii="Times New Roman" w:hAnsi="Times New Roman" w:cs="Times New Roman"/>
          <w:sz w:val="24"/>
          <w:szCs w:val="24"/>
        </w:rPr>
        <w:t>the heritage</w:t>
      </w:r>
      <w:r w:rsidR="008E58C6">
        <w:rPr>
          <w:rFonts w:ascii="Times New Roman" w:hAnsi="Times New Roman" w:cs="Times New Roman"/>
          <w:sz w:val="24"/>
          <w:szCs w:val="24"/>
        </w:rPr>
        <w:t>,</w:t>
      </w:r>
      <w:r w:rsidR="006B114C">
        <w:rPr>
          <w:rFonts w:ascii="Times New Roman" w:hAnsi="Times New Roman" w:cs="Times New Roman"/>
          <w:sz w:val="24"/>
          <w:szCs w:val="24"/>
        </w:rPr>
        <w:t xml:space="preserve"> and</w:t>
      </w:r>
      <w:r w:rsidR="000B727C" w:rsidRPr="00E02056">
        <w:rPr>
          <w:rFonts w:ascii="Times New Roman" w:hAnsi="Times New Roman" w:cs="Times New Roman"/>
          <w:sz w:val="24"/>
          <w:szCs w:val="24"/>
        </w:rPr>
        <w:t xml:space="preserve"> the regional and national communities, a</w:t>
      </w:r>
      <w:r w:rsidR="006B114C">
        <w:rPr>
          <w:rFonts w:ascii="Times New Roman" w:hAnsi="Times New Roman" w:cs="Times New Roman"/>
          <w:sz w:val="24"/>
          <w:szCs w:val="24"/>
        </w:rPr>
        <w:t>s well as</w:t>
      </w:r>
      <w:r w:rsidR="000B727C" w:rsidRPr="00E02056">
        <w:rPr>
          <w:rFonts w:ascii="Times New Roman" w:hAnsi="Times New Roman" w:cs="Times New Roman"/>
          <w:sz w:val="24"/>
          <w:szCs w:val="24"/>
        </w:rPr>
        <w:t xml:space="preserve"> the world community.</w:t>
      </w:r>
    </w:p>
    <w:p w14:paraId="7391359E" w14:textId="3F1DAE20" w:rsidR="000E1B05" w:rsidRDefault="0027082D" w:rsidP="001E3778">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Cultural heritage destruction is a war crime and is sometimes categorized as a crime against humanity when the destruction targets a particular ethnic, racial, or religious group</w:t>
      </w:r>
      <w:r w:rsidR="00925C2C">
        <w:rPr>
          <w:rFonts w:ascii="Times New Roman" w:hAnsi="Times New Roman" w:cs="Times New Roman"/>
          <w:sz w:val="24"/>
          <w:szCs w:val="24"/>
        </w:rPr>
        <w:t xml:space="preserve"> with discriminatory intent</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14"/>
      </w:r>
      <w:r>
        <w:rPr>
          <w:rFonts w:ascii="Times New Roman" w:hAnsi="Times New Roman" w:cs="Times New Roman"/>
          <w:sz w:val="24"/>
          <w:szCs w:val="24"/>
        </w:rPr>
        <w:t xml:space="preserve"> The association of heritage sites with human values, identity, beliefs, and artistic endeavor turns what would simply </w:t>
      </w:r>
      <w:r w:rsidR="00F920D9">
        <w:rPr>
          <w:rFonts w:ascii="Times New Roman" w:hAnsi="Times New Roman" w:cs="Times New Roman"/>
          <w:sz w:val="24"/>
          <w:szCs w:val="24"/>
        </w:rPr>
        <w:t xml:space="preserve">be </w:t>
      </w:r>
      <w:r>
        <w:rPr>
          <w:rFonts w:ascii="Times New Roman" w:hAnsi="Times New Roman" w:cs="Times New Roman"/>
          <w:sz w:val="24"/>
          <w:szCs w:val="24"/>
        </w:rPr>
        <w:t>a crime against property into a crime against people, whethe</w:t>
      </w:r>
      <w:r w:rsidRPr="009F70C2">
        <w:rPr>
          <w:rFonts w:ascii="Times New Roman" w:hAnsi="Times New Roman" w:cs="Times New Roman"/>
          <w:sz w:val="24"/>
          <w:szCs w:val="24"/>
        </w:rPr>
        <w:t>r from a local, regional</w:t>
      </w:r>
      <w:r w:rsidR="00FA6942">
        <w:rPr>
          <w:rFonts w:ascii="Times New Roman" w:hAnsi="Times New Roman" w:cs="Times New Roman"/>
          <w:sz w:val="24"/>
          <w:szCs w:val="24"/>
        </w:rPr>
        <w:t>,</w:t>
      </w:r>
      <w:r w:rsidRPr="009F70C2">
        <w:rPr>
          <w:rFonts w:ascii="Times New Roman" w:hAnsi="Times New Roman" w:cs="Times New Roman"/>
          <w:sz w:val="24"/>
          <w:szCs w:val="24"/>
        </w:rPr>
        <w:t xml:space="preserve"> or global perspective</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15"/>
      </w:r>
      <w:r>
        <w:rPr>
          <w:rFonts w:ascii="Times New Roman" w:hAnsi="Times New Roman" w:cs="Times New Roman"/>
          <w:sz w:val="24"/>
          <w:szCs w:val="24"/>
        </w:rPr>
        <w:t xml:space="preserve"> </w:t>
      </w:r>
      <w:r w:rsidR="00B300C2" w:rsidRPr="009F70C2">
        <w:rPr>
          <w:rFonts w:ascii="Times New Roman" w:hAnsi="Times New Roman" w:cs="Times New Roman"/>
          <w:sz w:val="24"/>
          <w:szCs w:val="24"/>
        </w:rPr>
        <w:t xml:space="preserve">Cultural heritage often also serves as a link </w:t>
      </w:r>
      <w:r w:rsidR="00B300C2">
        <w:rPr>
          <w:rFonts w:ascii="Times New Roman" w:hAnsi="Times New Roman" w:cs="Times New Roman"/>
          <w:sz w:val="24"/>
          <w:szCs w:val="24"/>
        </w:rPr>
        <w:t>between</w:t>
      </w:r>
      <w:r w:rsidR="00B300C2" w:rsidRPr="009F70C2">
        <w:rPr>
          <w:rFonts w:ascii="Times New Roman" w:hAnsi="Times New Roman" w:cs="Times New Roman"/>
          <w:sz w:val="24"/>
          <w:szCs w:val="24"/>
        </w:rPr>
        <w:t xml:space="preserve"> </w:t>
      </w:r>
      <w:r w:rsidR="00B300C2">
        <w:rPr>
          <w:rFonts w:ascii="Times New Roman" w:hAnsi="Times New Roman" w:cs="Times New Roman"/>
          <w:sz w:val="24"/>
          <w:szCs w:val="24"/>
        </w:rPr>
        <w:t xml:space="preserve">diverse religious and ethnic </w:t>
      </w:r>
      <w:r w:rsidR="00B300C2" w:rsidRPr="009F70C2">
        <w:rPr>
          <w:rFonts w:ascii="Times New Roman" w:hAnsi="Times New Roman" w:cs="Times New Roman"/>
          <w:sz w:val="24"/>
          <w:szCs w:val="24"/>
        </w:rPr>
        <w:t xml:space="preserve">communities, </w:t>
      </w:r>
      <w:r w:rsidR="00B300C2">
        <w:rPr>
          <w:rFonts w:ascii="Times New Roman" w:hAnsi="Times New Roman" w:cs="Times New Roman"/>
          <w:sz w:val="24"/>
          <w:szCs w:val="24"/>
        </w:rPr>
        <w:t xml:space="preserve">as did </w:t>
      </w:r>
      <w:r w:rsidR="00B300C2" w:rsidRPr="009F70C2">
        <w:rPr>
          <w:rFonts w:ascii="Times New Roman" w:hAnsi="Times New Roman" w:cs="Times New Roman"/>
          <w:sz w:val="24"/>
          <w:szCs w:val="24"/>
        </w:rPr>
        <w:t xml:space="preserve">the </w:t>
      </w:r>
      <w:r w:rsidR="00B300C2">
        <w:rPr>
          <w:rFonts w:ascii="Times New Roman" w:hAnsi="Times New Roman" w:cs="Times New Roman"/>
          <w:sz w:val="24"/>
          <w:szCs w:val="24"/>
        </w:rPr>
        <w:t>b</w:t>
      </w:r>
      <w:r w:rsidR="00B300C2" w:rsidRPr="009F70C2">
        <w:rPr>
          <w:rFonts w:ascii="Times New Roman" w:hAnsi="Times New Roman" w:cs="Times New Roman"/>
          <w:sz w:val="24"/>
          <w:szCs w:val="24"/>
        </w:rPr>
        <w:t>ridge at Mostar</w:t>
      </w:r>
      <w:r w:rsidR="00B300C2">
        <w:rPr>
          <w:rFonts w:ascii="Times New Roman" w:hAnsi="Times New Roman" w:cs="Times New Roman"/>
          <w:sz w:val="24"/>
          <w:szCs w:val="24"/>
        </w:rPr>
        <w:t>,</w:t>
      </w:r>
      <w:r w:rsidR="00B300C2" w:rsidRPr="009F70C2">
        <w:rPr>
          <w:rFonts w:ascii="Times New Roman" w:hAnsi="Times New Roman" w:cs="Times New Roman"/>
          <w:sz w:val="24"/>
          <w:szCs w:val="24"/>
        </w:rPr>
        <w:t xml:space="preserve"> </w:t>
      </w:r>
      <w:r w:rsidR="00B300C2">
        <w:rPr>
          <w:rFonts w:ascii="Times New Roman" w:hAnsi="Times New Roman" w:cs="Times New Roman"/>
          <w:sz w:val="24"/>
          <w:szCs w:val="24"/>
        </w:rPr>
        <w:t>the site of Palmyra,</w:t>
      </w:r>
      <w:r w:rsidR="00B300C2" w:rsidRPr="009F70C2">
        <w:rPr>
          <w:rFonts w:ascii="Times New Roman" w:hAnsi="Times New Roman" w:cs="Times New Roman"/>
          <w:sz w:val="24"/>
          <w:szCs w:val="24"/>
        </w:rPr>
        <w:t xml:space="preserve"> the Mar Elian monastery near </w:t>
      </w:r>
      <w:r w:rsidR="00B300C2">
        <w:rPr>
          <w:rFonts w:ascii="Times New Roman" w:hAnsi="Times New Roman" w:cs="Times New Roman"/>
          <w:sz w:val="24"/>
          <w:szCs w:val="24"/>
        </w:rPr>
        <w:t>a</w:t>
      </w:r>
      <w:r w:rsidR="00B300C2" w:rsidRPr="009F70C2">
        <w:rPr>
          <w:rFonts w:ascii="Times New Roman" w:hAnsi="Times New Roman" w:cs="Times New Roman"/>
          <w:sz w:val="24"/>
          <w:szCs w:val="24"/>
        </w:rPr>
        <w:t>l</w:t>
      </w:r>
      <w:r w:rsidR="00B300C2">
        <w:rPr>
          <w:rFonts w:ascii="Times New Roman" w:hAnsi="Times New Roman" w:cs="Times New Roman"/>
          <w:sz w:val="24"/>
          <w:szCs w:val="24"/>
        </w:rPr>
        <w:t>-</w:t>
      </w:r>
      <w:r w:rsidR="00B300C2" w:rsidRPr="008A3F0B">
        <w:rPr>
          <w:rFonts w:ascii="Times New Roman" w:hAnsi="Times New Roman" w:cs="Times New Roman"/>
          <w:sz w:val="24"/>
          <w:szCs w:val="24"/>
        </w:rPr>
        <w:t>Qaryatayn</w:t>
      </w:r>
      <w:r w:rsidR="00B300C2">
        <w:rPr>
          <w:rFonts w:ascii="Times New Roman" w:hAnsi="Times New Roman" w:cs="Times New Roman"/>
          <w:sz w:val="24"/>
          <w:szCs w:val="24"/>
        </w:rPr>
        <w:t>, also</w:t>
      </w:r>
      <w:r w:rsidR="00B300C2" w:rsidRPr="009F70C2">
        <w:rPr>
          <w:rFonts w:ascii="Times New Roman" w:hAnsi="Times New Roman" w:cs="Times New Roman"/>
          <w:sz w:val="24"/>
          <w:szCs w:val="24"/>
        </w:rPr>
        <w:t xml:space="preserve"> in Syria</w:t>
      </w:r>
      <w:r w:rsidR="00B300C2">
        <w:rPr>
          <w:rFonts w:ascii="Times New Roman" w:hAnsi="Times New Roman" w:cs="Times New Roman"/>
          <w:sz w:val="24"/>
          <w:szCs w:val="24"/>
        </w:rPr>
        <w:t xml:space="preserve">, and </w:t>
      </w:r>
      <w:r w:rsidR="00B300C2" w:rsidRPr="009F70C2">
        <w:rPr>
          <w:rFonts w:ascii="Times New Roman" w:hAnsi="Times New Roman" w:cs="Times New Roman"/>
          <w:sz w:val="24"/>
          <w:szCs w:val="24"/>
        </w:rPr>
        <w:t>the shrine of Nebi Yunus in Mosul.</w:t>
      </w:r>
      <w:r w:rsidR="00B300C2">
        <w:rPr>
          <w:rStyle w:val="EndnoteReference"/>
          <w:rFonts w:ascii="Times New Roman" w:hAnsi="Times New Roman" w:cs="Times New Roman"/>
          <w:sz w:val="24"/>
          <w:szCs w:val="24"/>
        </w:rPr>
        <w:endnoteReference w:id="16"/>
      </w:r>
      <w:r w:rsidR="00B300C2">
        <w:rPr>
          <w:rFonts w:ascii="Times New Roman" w:hAnsi="Times New Roman" w:cs="Times New Roman"/>
          <w:sz w:val="24"/>
          <w:szCs w:val="24"/>
        </w:rPr>
        <w:t xml:space="preserve"> Destruction of cultural heritage devastates both the cohesiveness and the diversity of multicultural, multiethnic populations.</w:t>
      </w:r>
    </w:p>
    <w:p w14:paraId="0AE04234" w14:textId="7B4769F5" w:rsidR="0027082D" w:rsidRDefault="0027082D" w:rsidP="00353FB5">
      <w:pPr>
        <w:pStyle w:val="RIPLMainText"/>
        <w:spacing w:line="480" w:lineRule="auto"/>
        <w:ind w:firstLine="720"/>
        <w:jc w:val="left"/>
        <w:rPr>
          <w:rFonts w:ascii="Times New Roman" w:hAnsi="Times New Roman" w:cs="Times New Roman"/>
          <w:sz w:val="24"/>
          <w:szCs w:val="24"/>
        </w:rPr>
      </w:pPr>
      <w:r w:rsidRPr="009F70C2">
        <w:rPr>
          <w:rFonts w:ascii="Times New Roman" w:hAnsi="Times New Roman" w:cs="Times New Roman"/>
          <w:sz w:val="24"/>
          <w:szCs w:val="24"/>
        </w:rPr>
        <w:t xml:space="preserve">The </w:t>
      </w:r>
      <w:r>
        <w:rPr>
          <w:rFonts w:ascii="Times New Roman" w:hAnsi="Times New Roman" w:cs="Times New Roman"/>
          <w:sz w:val="24"/>
          <w:szCs w:val="24"/>
        </w:rPr>
        <w:t xml:space="preserve">significance </w:t>
      </w:r>
      <w:r w:rsidRPr="009F70C2">
        <w:rPr>
          <w:rFonts w:ascii="Times New Roman" w:hAnsi="Times New Roman" w:cs="Times New Roman"/>
          <w:sz w:val="24"/>
          <w:szCs w:val="24"/>
        </w:rPr>
        <w:t xml:space="preserve">and uses of heritage </w:t>
      </w:r>
      <w:r w:rsidR="00F920D9">
        <w:rPr>
          <w:rFonts w:ascii="Times New Roman" w:hAnsi="Times New Roman" w:cs="Times New Roman"/>
          <w:sz w:val="24"/>
          <w:szCs w:val="24"/>
        </w:rPr>
        <w:t xml:space="preserve">deepen with the human dimension </w:t>
      </w:r>
      <w:r>
        <w:rPr>
          <w:rFonts w:ascii="Times New Roman" w:hAnsi="Times New Roman" w:cs="Times New Roman"/>
          <w:sz w:val="24"/>
          <w:szCs w:val="24"/>
        </w:rPr>
        <w:t xml:space="preserve">bestowed by </w:t>
      </w:r>
      <w:r w:rsidRPr="009F70C2">
        <w:rPr>
          <w:rFonts w:ascii="Times New Roman" w:hAnsi="Times New Roman" w:cs="Times New Roman"/>
          <w:sz w:val="24"/>
          <w:szCs w:val="24"/>
        </w:rPr>
        <w:t xml:space="preserve">local inhabitants over centuries. Salam al-Kuntar, a Syrian refugee scholar, </w:t>
      </w:r>
      <w:r w:rsidR="003900AF">
        <w:rPr>
          <w:rFonts w:ascii="Times New Roman" w:hAnsi="Times New Roman" w:cs="Times New Roman"/>
          <w:sz w:val="24"/>
          <w:szCs w:val="24"/>
        </w:rPr>
        <w:t xml:space="preserve">has </w:t>
      </w:r>
      <w:r w:rsidRPr="009F70C2">
        <w:rPr>
          <w:rFonts w:ascii="Times New Roman" w:hAnsi="Times New Roman" w:cs="Times New Roman"/>
          <w:sz w:val="24"/>
          <w:szCs w:val="24"/>
        </w:rPr>
        <w:t xml:space="preserve">recounted her grandparents’ life </w:t>
      </w:r>
      <w:r w:rsidR="006526AA">
        <w:rPr>
          <w:rFonts w:ascii="Times New Roman" w:hAnsi="Times New Roman" w:cs="Times New Roman"/>
          <w:sz w:val="24"/>
          <w:szCs w:val="24"/>
        </w:rPr>
        <w:t>amid</w:t>
      </w:r>
      <w:r w:rsidR="006526AA" w:rsidRPr="009F70C2">
        <w:rPr>
          <w:rFonts w:ascii="Times New Roman" w:hAnsi="Times New Roman" w:cs="Times New Roman"/>
          <w:sz w:val="24"/>
          <w:szCs w:val="24"/>
        </w:rPr>
        <w:t xml:space="preserve"> </w:t>
      </w:r>
      <w:r w:rsidRPr="009F70C2">
        <w:rPr>
          <w:rFonts w:ascii="Times New Roman" w:hAnsi="Times New Roman" w:cs="Times New Roman"/>
          <w:sz w:val="24"/>
          <w:szCs w:val="24"/>
        </w:rPr>
        <w:t>the ruins of Palmyra</w:t>
      </w:r>
      <w:r w:rsidR="003900AF">
        <w:rPr>
          <w:rFonts w:ascii="Times New Roman" w:hAnsi="Times New Roman" w:cs="Times New Roman"/>
          <w:sz w:val="24"/>
          <w:szCs w:val="24"/>
        </w:rPr>
        <w:t>,</w:t>
      </w:r>
      <w:r w:rsidRPr="009F70C2">
        <w:rPr>
          <w:rFonts w:ascii="Times New Roman" w:hAnsi="Times New Roman" w:cs="Times New Roman"/>
          <w:sz w:val="24"/>
          <w:szCs w:val="24"/>
        </w:rPr>
        <w:t xml:space="preserve"> where successive generations lived and where the pagan temple of Baal had evolved </w:t>
      </w:r>
      <w:r w:rsidR="00704590">
        <w:rPr>
          <w:rFonts w:ascii="Times New Roman" w:hAnsi="Times New Roman" w:cs="Times New Roman"/>
          <w:sz w:val="24"/>
          <w:szCs w:val="24"/>
        </w:rPr>
        <w:t xml:space="preserve">first </w:t>
      </w:r>
      <w:r w:rsidRPr="009F70C2">
        <w:rPr>
          <w:rFonts w:ascii="Times New Roman" w:hAnsi="Times New Roman" w:cs="Times New Roman"/>
          <w:sz w:val="24"/>
          <w:szCs w:val="24"/>
        </w:rPr>
        <w:t>into a Byzantine church</w:t>
      </w:r>
      <w:r>
        <w:rPr>
          <w:rFonts w:ascii="Times New Roman" w:hAnsi="Times New Roman" w:cs="Times New Roman"/>
          <w:sz w:val="24"/>
          <w:szCs w:val="24"/>
        </w:rPr>
        <w:t>, then</w:t>
      </w:r>
      <w:r w:rsidRPr="009F70C2">
        <w:rPr>
          <w:rFonts w:ascii="Times New Roman" w:hAnsi="Times New Roman" w:cs="Times New Roman"/>
          <w:sz w:val="24"/>
          <w:szCs w:val="24"/>
        </w:rPr>
        <w:t xml:space="preserve"> </w:t>
      </w:r>
      <w:r w:rsidR="00FD4A73">
        <w:rPr>
          <w:rFonts w:ascii="Times New Roman" w:hAnsi="Times New Roman" w:cs="Times New Roman"/>
          <w:sz w:val="24"/>
          <w:szCs w:val="24"/>
        </w:rPr>
        <w:t>in</w:t>
      </w:r>
      <w:r w:rsidRPr="009F70C2">
        <w:rPr>
          <w:rFonts w:ascii="Times New Roman" w:hAnsi="Times New Roman" w:cs="Times New Roman"/>
          <w:sz w:val="24"/>
          <w:szCs w:val="24"/>
        </w:rPr>
        <w:t>to a mosque and a center of village life</w:t>
      </w:r>
      <w:r>
        <w:rPr>
          <w:rFonts w:ascii="Times New Roman" w:hAnsi="Times New Roman" w:cs="Times New Roman"/>
          <w:sz w:val="24"/>
          <w:szCs w:val="24"/>
        </w:rPr>
        <w:t xml:space="preserve"> before the local population was expelled to allow Palmyra’s reconstruction as an ancient site</w:t>
      </w:r>
      <w:r w:rsidR="00A675B2">
        <w:rPr>
          <w:rFonts w:ascii="Times New Roman" w:hAnsi="Times New Roman" w:cs="Times New Roman"/>
          <w:sz w:val="24"/>
          <w:szCs w:val="24"/>
        </w:rPr>
        <w:t>:</w:t>
      </w:r>
      <w:r w:rsidRPr="009F70C2">
        <w:rPr>
          <w:rStyle w:val="EndnoteReference"/>
          <w:rFonts w:ascii="Times New Roman" w:hAnsi="Times New Roman" w:cs="Times New Roman"/>
          <w:sz w:val="24"/>
          <w:szCs w:val="24"/>
        </w:rPr>
        <w:endnoteReference w:id="17"/>
      </w:r>
      <w:r w:rsidRPr="009F70C2">
        <w:rPr>
          <w:rFonts w:ascii="Times New Roman" w:hAnsi="Times New Roman" w:cs="Times New Roman"/>
          <w:sz w:val="24"/>
          <w:szCs w:val="24"/>
        </w:rPr>
        <w:t xml:space="preserve"> </w:t>
      </w:r>
      <w:r w:rsidR="00A675B2">
        <w:rPr>
          <w:rFonts w:ascii="Times New Roman" w:hAnsi="Times New Roman" w:cs="Times New Roman"/>
          <w:sz w:val="24"/>
          <w:szCs w:val="24"/>
        </w:rPr>
        <w:t>“</w:t>
      </w:r>
      <w:r w:rsidRPr="009F70C2">
        <w:rPr>
          <w:rFonts w:ascii="Times New Roman" w:hAnsi="Times New Roman" w:cs="Times New Roman"/>
          <w:sz w:val="24"/>
          <w:szCs w:val="24"/>
        </w:rPr>
        <w:t xml:space="preserve">When lamenting the masonry and sculpture destroyed by the Islamic State, we can easily overlook this shifting human story. We too readily consign antiquities to the remote province of the past. But they can remain meaningful in surprising and ordinary ways. </w:t>
      </w:r>
      <w:r w:rsidR="00A675B2">
        <w:rPr>
          <w:rFonts w:ascii="Times New Roman" w:hAnsi="Times New Roman" w:cs="Times New Roman"/>
          <w:sz w:val="24"/>
          <w:szCs w:val="24"/>
        </w:rPr>
        <w:t>‘</w:t>
      </w:r>
      <w:r w:rsidRPr="009F70C2">
        <w:rPr>
          <w:rFonts w:ascii="Times New Roman" w:hAnsi="Times New Roman" w:cs="Times New Roman"/>
          <w:sz w:val="24"/>
          <w:szCs w:val="24"/>
        </w:rPr>
        <w:t>This is the meaning of heritage</w:t>
      </w:r>
      <w:r w:rsidR="00AB31FC">
        <w:rPr>
          <w:rFonts w:ascii="Times New Roman" w:hAnsi="Times New Roman" w:cs="Times New Roman"/>
          <w:sz w:val="24"/>
          <w:szCs w:val="24"/>
        </w:rPr>
        <w:t>,’</w:t>
      </w:r>
      <w:r w:rsidRPr="009F70C2">
        <w:rPr>
          <w:rFonts w:ascii="Times New Roman" w:hAnsi="Times New Roman" w:cs="Times New Roman"/>
          <w:sz w:val="24"/>
          <w:szCs w:val="24"/>
        </w:rPr>
        <w:t xml:space="preserve"> Ms. Kuntar said. </w:t>
      </w:r>
      <w:r w:rsidR="00A675B2">
        <w:rPr>
          <w:rFonts w:ascii="Times New Roman" w:hAnsi="Times New Roman" w:cs="Times New Roman"/>
          <w:sz w:val="24"/>
          <w:szCs w:val="24"/>
        </w:rPr>
        <w:t>‘</w:t>
      </w:r>
      <w:r w:rsidRPr="009F70C2">
        <w:rPr>
          <w:rFonts w:ascii="Times New Roman" w:hAnsi="Times New Roman" w:cs="Times New Roman"/>
          <w:sz w:val="24"/>
          <w:szCs w:val="24"/>
        </w:rPr>
        <w:t>It’s not only architecture or artifacts that represent history; it’s these memories and the ancestral connection to place.</w:t>
      </w:r>
      <w:r w:rsidR="00A675B2">
        <w:rPr>
          <w:rFonts w:ascii="Times New Roman" w:hAnsi="Times New Roman" w:cs="Times New Roman"/>
          <w:sz w:val="24"/>
          <w:szCs w:val="24"/>
        </w:rPr>
        <w:t>’”</w:t>
      </w:r>
      <w:r w:rsidRPr="009F70C2">
        <w:rPr>
          <w:rStyle w:val="EndnoteReference"/>
          <w:rFonts w:ascii="Times New Roman" w:hAnsi="Times New Roman" w:cs="Times New Roman"/>
          <w:sz w:val="24"/>
          <w:szCs w:val="24"/>
        </w:rPr>
        <w:endnoteReference w:id="18"/>
      </w:r>
    </w:p>
    <w:p w14:paraId="48FEEFBD" w14:textId="7D06F2C7" w:rsidR="0027082D" w:rsidRPr="009F70C2" w:rsidRDefault="0027082D" w:rsidP="00353FB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Several sources of law now link cultural heritage to human rights. Legal instruments include the </w:t>
      </w:r>
      <w:r w:rsidR="009E49EA">
        <w:rPr>
          <w:rFonts w:ascii="Times New Roman" w:hAnsi="Times New Roman" w:cs="Times New Roman"/>
          <w:sz w:val="24"/>
          <w:szCs w:val="24"/>
        </w:rPr>
        <w:t xml:space="preserve">1948 </w:t>
      </w:r>
      <w:r>
        <w:rPr>
          <w:rFonts w:ascii="Times New Roman" w:hAnsi="Times New Roman" w:cs="Times New Roman"/>
          <w:sz w:val="24"/>
          <w:szCs w:val="24"/>
        </w:rPr>
        <w:t xml:space="preserve">Universal Declaration of Human Rights, the </w:t>
      </w:r>
      <w:r w:rsidR="005B5AF5">
        <w:rPr>
          <w:rFonts w:ascii="Times New Roman" w:hAnsi="Times New Roman" w:cs="Times New Roman"/>
          <w:sz w:val="24"/>
          <w:szCs w:val="24"/>
        </w:rPr>
        <w:t xml:space="preserve">1966 </w:t>
      </w:r>
      <w:r>
        <w:rPr>
          <w:rFonts w:ascii="Times New Roman" w:hAnsi="Times New Roman" w:cs="Times New Roman"/>
          <w:sz w:val="24"/>
          <w:szCs w:val="24"/>
        </w:rPr>
        <w:t xml:space="preserve">International Covenant on </w:t>
      </w:r>
      <w:r>
        <w:rPr>
          <w:rFonts w:ascii="Times New Roman" w:hAnsi="Times New Roman" w:cs="Times New Roman"/>
          <w:sz w:val="24"/>
          <w:szCs w:val="24"/>
        </w:rPr>
        <w:lastRenderedPageBreak/>
        <w:t>Economic, Social and Cultural Rights</w:t>
      </w:r>
      <w:r w:rsidR="00F94188">
        <w:rPr>
          <w:rFonts w:ascii="Times New Roman" w:hAnsi="Times New Roman" w:cs="Times New Roman"/>
          <w:sz w:val="24"/>
          <w:szCs w:val="24"/>
        </w:rPr>
        <w:t>,</w:t>
      </w:r>
      <w:r w:rsidR="005B5AF5">
        <w:rPr>
          <w:rFonts w:ascii="Times New Roman" w:hAnsi="Times New Roman" w:cs="Times New Roman"/>
          <w:sz w:val="24"/>
          <w:szCs w:val="24"/>
        </w:rPr>
        <w:t xml:space="preserve"> </w:t>
      </w:r>
      <w:r w:rsidR="00F94188">
        <w:rPr>
          <w:rFonts w:ascii="Times New Roman" w:hAnsi="Times New Roman" w:cs="Times New Roman"/>
          <w:sz w:val="24"/>
          <w:szCs w:val="24"/>
        </w:rPr>
        <w:t xml:space="preserve">the </w:t>
      </w:r>
      <w:r w:rsidR="001E3778">
        <w:rPr>
          <w:rFonts w:ascii="Times New Roman" w:hAnsi="Times New Roman" w:cs="Times New Roman"/>
          <w:sz w:val="24"/>
          <w:szCs w:val="24"/>
        </w:rPr>
        <w:t xml:space="preserve">1966 </w:t>
      </w:r>
      <w:r>
        <w:rPr>
          <w:rFonts w:ascii="Times New Roman" w:hAnsi="Times New Roman" w:cs="Times New Roman"/>
          <w:sz w:val="24"/>
          <w:szCs w:val="24"/>
        </w:rPr>
        <w:t xml:space="preserve">International Covenant on Civil and Political Rights, and the </w:t>
      </w:r>
      <w:r w:rsidR="00C03CCE">
        <w:rPr>
          <w:rFonts w:ascii="Times New Roman" w:hAnsi="Times New Roman" w:cs="Times New Roman"/>
          <w:sz w:val="24"/>
          <w:szCs w:val="24"/>
        </w:rPr>
        <w:t xml:space="preserve">2007 </w:t>
      </w:r>
      <w:r>
        <w:rPr>
          <w:rFonts w:ascii="Times New Roman" w:hAnsi="Times New Roman" w:cs="Times New Roman"/>
          <w:sz w:val="24"/>
          <w:szCs w:val="24"/>
        </w:rPr>
        <w:t>United Nations Declaration on the Rights of Indigenous People.</w:t>
      </w:r>
      <w:r>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T</w:t>
      </w:r>
      <w:r w:rsidRPr="009F70C2">
        <w:rPr>
          <w:rFonts w:ascii="Times New Roman" w:hAnsi="Times New Roman" w:cs="Times New Roman"/>
          <w:sz w:val="24"/>
          <w:szCs w:val="24"/>
        </w:rPr>
        <w:t xml:space="preserve">he </w:t>
      </w:r>
      <w:r w:rsidR="00671EE5">
        <w:rPr>
          <w:rFonts w:ascii="Times New Roman" w:hAnsi="Times New Roman" w:cs="Times New Roman"/>
          <w:sz w:val="24"/>
          <w:szCs w:val="24"/>
        </w:rPr>
        <w:t>s</w:t>
      </w:r>
      <w:r w:rsidRPr="009F70C2">
        <w:rPr>
          <w:rFonts w:ascii="Times New Roman" w:hAnsi="Times New Roman" w:cs="Times New Roman"/>
          <w:sz w:val="24"/>
          <w:szCs w:val="24"/>
        </w:rPr>
        <w:t xml:space="preserve">pecial </w:t>
      </w:r>
      <w:r w:rsidR="00671EE5">
        <w:rPr>
          <w:rFonts w:ascii="Times New Roman" w:hAnsi="Times New Roman" w:cs="Times New Roman"/>
          <w:sz w:val="24"/>
          <w:szCs w:val="24"/>
        </w:rPr>
        <w:t>r</w:t>
      </w:r>
      <w:r w:rsidRPr="009F70C2">
        <w:rPr>
          <w:rFonts w:ascii="Times New Roman" w:hAnsi="Times New Roman" w:cs="Times New Roman"/>
          <w:sz w:val="24"/>
          <w:szCs w:val="24"/>
        </w:rPr>
        <w:t xml:space="preserve">apporteur </w:t>
      </w:r>
      <w:r>
        <w:rPr>
          <w:rFonts w:ascii="Times New Roman" w:hAnsi="Times New Roman" w:cs="Times New Roman"/>
          <w:sz w:val="24"/>
          <w:szCs w:val="24"/>
        </w:rPr>
        <w:t>in the field of</w:t>
      </w:r>
      <w:r w:rsidRPr="009F70C2">
        <w:rPr>
          <w:rFonts w:ascii="Times New Roman" w:hAnsi="Times New Roman" w:cs="Times New Roman"/>
          <w:sz w:val="24"/>
          <w:szCs w:val="24"/>
        </w:rPr>
        <w:t xml:space="preserve"> </w:t>
      </w:r>
      <w:r w:rsidR="00671EE5">
        <w:rPr>
          <w:rFonts w:ascii="Times New Roman" w:hAnsi="Times New Roman" w:cs="Times New Roman"/>
          <w:sz w:val="24"/>
          <w:szCs w:val="24"/>
        </w:rPr>
        <w:t>c</w:t>
      </w:r>
      <w:r w:rsidRPr="009F70C2">
        <w:rPr>
          <w:rFonts w:ascii="Times New Roman" w:hAnsi="Times New Roman" w:cs="Times New Roman"/>
          <w:sz w:val="24"/>
          <w:szCs w:val="24"/>
        </w:rPr>
        <w:t xml:space="preserve">ultural </w:t>
      </w:r>
      <w:r w:rsidR="00671EE5">
        <w:rPr>
          <w:rFonts w:ascii="Times New Roman" w:hAnsi="Times New Roman" w:cs="Times New Roman"/>
          <w:sz w:val="24"/>
          <w:szCs w:val="24"/>
        </w:rPr>
        <w:t>r</w:t>
      </w:r>
      <w:r w:rsidRPr="009F70C2">
        <w:rPr>
          <w:rFonts w:ascii="Times New Roman" w:hAnsi="Times New Roman" w:cs="Times New Roman"/>
          <w:sz w:val="24"/>
          <w:szCs w:val="24"/>
        </w:rPr>
        <w:t xml:space="preserve">ights for the </w:t>
      </w:r>
      <w:r w:rsidR="00671EE5">
        <w:rPr>
          <w:rFonts w:ascii="Times New Roman" w:hAnsi="Times New Roman" w:cs="Times New Roman"/>
          <w:sz w:val="24"/>
          <w:szCs w:val="24"/>
        </w:rPr>
        <w:t xml:space="preserve">UN </w:t>
      </w:r>
      <w:r w:rsidRPr="009F70C2">
        <w:rPr>
          <w:rFonts w:ascii="Times New Roman" w:hAnsi="Times New Roman" w:cs="Times New Roman"/>
          <w:sz w:val="24"/>
          <w:szCs w:val="24"/>
        </w:rPr>
        <w:t>Human Rights</w:t>
      </w:r>
      <w:r w:rsidR="00400611">
        <w:rPr>
          <w:rFonts w:ascii="Times New Roman" w:hAnsi="Times New Roman" w:cs="Times New Roman"/>
          <w:sz w:val="24"/>
          <w:szCs w:val="24"/>
        </w:rPr>
        <w:t xml:space="preserve"> Council</w:t>
      </w:r>
      <w:r w:rsidRPr="009F70C2">
        <w:rPr>
          <w:rFonts w:ascii="Times New Roman" w:hAnsi="Times New Roman" w:cs="Times New Roman"/>
          <w:sz w:val="24"/>
          <w:szCs w:val="24"/>
        </w:rPr>
        <w:t>, Karim</w:t>
      </w:r>
      <w:r w:rsidR="00BA2DC7">
        <w:rPr>
          <w:rFonts w:ascii="Times New Roman" w:hAnsi="Times New Roman" w:cs="Times New Roman"/>
          <w:sz w:val="24"/>
          <w:szCs w:val="24"/>
        </w:rPr>
        <w:t>a</w:t>
      </w:r>
      <w:r w:rsidRPr="009F70C2">
        <w:rPr>
          <w:rFonts w:ascii="Times New Roman" w:hAnsi="Times New Roman" w:cs="Times New Roman"/>
          <w:sz w:val="24"/>
          <w:szCs w:val="24"/>
        </w:rPr>
        <w:t xml:space="preserve"> Bennoune, </w:t>
      </w:r>
      <w:r w:rsidR="00E04CDF">
        <w:rPr>
          <w:rFonts w:ascii="Times New Roman" w:hAnsi="Times New Roman" w:cs="Times New Roman"/>
          <w:sz w:val="24"/>
          <w:szCs w:val="24"/>
        </w:rPr>
        <w:t xml:space="preserve">also </w:t>
      </w:r>
      <w:r>
        <w:rPr>
          <w:rFonts w:ascii="Times New Roman" w:hAnsi="Times New Roman" w:cs="Times New Roman"/>
          <w:sz w:val="24"/>
          <w:szCs w:val="24"/>
        </w:rPr>
        <w:t xml:space="preserve">listed </w:t>
      </w:r>
      <w:r w:rsidRPr="009F70C2">
        <w:rPr>
          <w:rFonts w:ascii="Times New Roman" w:hAnsi="Times New Roman" w:cs="Times New Roman"/>
          <w:sz w:val="24"/>
          <w:szCs w:val="24"/>
        </w:rPr>
        <w:t>cultural heritage destruction among the threats to cultural rights. As she noted</w:t>
      </w:r>
      <w:r w:rsidR="002F7D53">
        <w:rPr>
          <w:rFonts w:ascii="Times New Roman" w:hAnsi="Times New Roman" w:cs="Times New Roman"/>
          <w:sz w:val="24"/>
          <w:szCs w:val="24"/>
        </w:rPr>
        <w:t>: “</w:t>
      </w:r>
      <w:r w:rsidRPr="009F70C2">
        <w:rPr>
          <w:rFonts w:ascii="Times New Roman" w:hAnsi="Times New Roman" w:cs="Times New Roman"/>
          <w:sz w:val="24"/>
          <w:szCs w:val="24"/>
        </w:rPr>
        <w:t>Cultural heritage is significant in the present, both as a message from the past and as a pathway to the future. Viewed from a human rights perspective, it is important not only in itself, but also in relation to its human dimension, in particular its significance for individuals and groups and their identity and development processes. Cultural heritage is to be understood as the resources enabling the cultural identification and development processes of individuals and groups which they, implicitly or explicitly, wish to transmit to future generations.</w:t>
      </w:r>
      <w:r w:rsidR="000674E9">
        <w:rPr>
          <w:rFonts w:ascii="Times New Roman" w:hAnsi="Times New Roman" w:cs="Times New Roman"/>
          <w:sz w:val="24"/>
          <w:szCs w:val="24"/>
        </w:rPr>
        <w:t>”</w:t>
      </w:r>
      <w:r w:rsidRPr="009F70C2">
        <w:rPr>
          <w:rStyle w:val="EndnoteReference"/>
          <w:rFonts w:ascii="Times New Roman" w:hAnsi="Times New Roman" w:cs="Times New Roman"/>
          <w:sz w:val="24"/>
          <w:szCs w:val="24"/>
        </w:rPr>
        <w:endnoteReference w:id="20"/>
      </w:r>
    </w:p>
    <w:p w14:paraId="047541F3" w14:textId="7DF3934B" w:rsidR="0027082D" w:rsidRPr="0059508C" w:rsidRDefault="00BA0CE5" w:rsidP="00353FB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The</w:t>
      </w:r>
      <w:r w:rsidR="009B6BF0">
        <w:rPr>
          <w:rFonts w:ascii="Times New Roman" w:hAnsi="Times New Roman" w:cs="Times New Roman"/>
          <w:sz w:val="24"/>
          <w:szCs w:val="24"/>
        </w:rPr>
        <w:t xml:space="preserve"> International Court of Justice</w:t>
      </w:r>
      <w:r>
        <w:rPr>
          <w:rFonts w:ascii="Times New Roman" w:hAnsi="Times New Roman" w:cs="Times New Roman"/>
          <w:sz w:val="24"/>
          <w:szCs w:val="24"/>
        </w:rPr>
        <w:t xml:space="preserve"> </w:t>
      </w:r>
      <w:r w:rsidR="009B6BF0">
        <w:rPr>
          <w:rFonts w:ascii="Times New Roman" w:hAnsi="Times New Roman" w:cs="Times New Roman"/>
          <w:sz w:val="24"/>
          <w:szCs w:val="24"/>
        </w:rPr>
        <w:t>(</w:t>
      </w:r>
      <w:r>
        <w:rPr>
          <w:rFonts w:ascii="Times New Roman" w:hAnsi="Times New Roman" w:cs="Times New Roman"/>
          <w:sz w:val="24"/>
          <w:szCs w:val="24"/>
        </w:rPr>
        <w:t>ICJ</w:t>
      </w:r>
      <w:r w:rsidR="009B6BF0">
        <w:rPr>
          <w:rFonts w:ascii="Times New Roman" w:hAnsi="Times New Roman" w:cs="Times New Roman"/>
          <w:sz w:val="24"/>
          <w:szCs w:val="24"/>
        </w:rPr>
        <w:t>)</w:t>
      </w:r>
      <w:r w:rsidR="002A3EF4">
        <w:rPr>
          <w:rFonts w:ascii="Times New Roman" w:hAnsi="Times New Roman" w:cs="Times New Roman"/>
          <w:sz w:val="24"/>
          <w:szCs w:val="24"/>
        </w:rPr>
        <w:t>, for example,</w:t>
      </w:r>
      <w:r>
        <w:rPr>
          <w:rFonts w:ascii="Times New Roman" w:hAnsi="Times New Roman" w:cs="Times New Roman"/>
          <w:sz w:val="24"/>
          <w:szCs w:val="24"/>
        </w:rPr>
        <w:t xml:space="preserve"> </w:t>
      </w:r>
      <w:r w:rsidR="00C51B90">
        <w:rPr>
          <w:rFonts w:ascii="Times New Roman" w:hAnsi="Times New Roman" w:cs="Times New Roman"/>
          <w:sz w:val="24"/>
          <w:szCs w:val="24"/>
        </w:rPr>
        <w:t xml:space="preserve">linked human rights and cultural heritage </w:t>
      </w:r>
      <w:r w:rsidR="0027082D">
        <w:rPr>
          <w:rFonts w:ascii="Times New Roman" w:hAnsi="Times New Roman" w:cs="Times New Roman"/>
          <w:sz w:val="24"/>
          <w:szCs w:val="24"/>
        </w:rPr>
        <w:t xml:space="preserve">in </w:t>
      </w:r>
      <w:r w:rsidR="0027082D" w:rsidRPr="0059508C">
        <w:rPr>
          <w:rFonts w:ascii="Times New Roman" w:hAnsi="Times New Roman" w:cs="Times New Roman"/>
          <w:i/>
          <w:sz w:val="24"/>
          <w:szCs w:val="24"/>
        </w:rPr>
        <w:t>Cambodia v. Thailand</w:t>
      </w:r>
      <w:r w:rsidR="0027082D" w:rsidRPr="0059508C">
        <w:rPr>
          <w:rFonts w:ascii="Times New Roman" w:hAnsi="Times New Roman" w:cs="Times New Roman"/>
          <w:sz w:val="24"/>
          <w:szCs w:val="24"/>
        </w:rPr>
        <w:t xml:space="preserve">, </w:t>
      </w:r>
      <w:r w:rsidR="000F4ABB">
        <w:rPr>
          <w:rFonts w:ascii="Times New Roman" w:hAnsi="Times New Roman" w:cs="Times New Roman"/>
          <w:sz w:val="24"/>
          <w:szCs w:val="24"/>
        </w:rPr>
        <w:t xml:space="preserve">a dispute </w:t>
      </w:r>
      <w:r w:rsidR="0027082D" w:rsidRPr="0059508C">
        <w:rPr>
          <w:rFonts w:ascii="Times New Roman" w:hAnsi="Times New Roman" w:cs="Times New Roman"/>
          <w:sz w:val="24"/>
          <w:szCs w:val="24"/>
        </w:rPr>
        <w:t xml:space="preserve">concerning </w:t>
      </w:r>
      <w:r w:rsidR="0027082D">
        <w:rPr>
          <w:rFonts w:ascii="Times New Roman" w:hAnsi="Times New Roman" w:cs="Times New Roman"/>
          <w:sz w:val="24"/>
          <w:szCs w:val="24"/>
        </w:rPr>
        <w:t xml:space="preserve">which country had sovereignty over </w:t>
      </w:r>
      <w:r w:rsidR="0027082D" w:rsidRPr="0059508C">
        <w:rPr>
          <w:rFonts w:ascii="Times New Roman" w:hAnsi="Times New Roman" w:cs="Times New Roman"/>
          <w:sz w:val="24"/>
          <w:szCs w:val="24"/>
        </w:rPr>
        <w:t>the Temple of Preah Vihear</w:t>
      </w:r>
      <w:r w:rsidR="000F4ABB">
        <w:rPr>
          <w:rFonts w:ascii="Times New Roman" w:hAnsi="Times New Roman" w:cs="Times New Roman"/>
          <w:sz w:val="24"/>
          <w:szCs w:val="24"/>
        </w:rPr>
        <w:t xml:space="preserve"> and sparked in its most recent iteration by inscription of the </w:t>
      </w:r>
      <w:r w:rsidR="004D246A">
        <w:rPr>
          <w:rFonts w:ascii="Times New Roman" w:hAnsi="Times New Roman" w:cs="Times New Roman"/>
          <w:sz w:val="24"/>
          <w:szCs w:val="24"/>
        </w:rPr>
        <w:t>t</w:t>
      </w:r>
      <w:r w:rsidR="000F4ABB">
        <w:rPr>
          <w:rFonts w:ascii="Times New Roman" w:hAnsi="Times New Roman" w:cs="Times New Roman"/>
          <w:sz w:val="24"/>
          <w:szCs w:val="24"/>
        </w:rPr>
        <w:t>emple on the World Heritage List</w:t>
      </w:r>
      <w:r w:rsidR="00C51B90">
        <w:rPr>
          <w:rFonts w:ascii="Times New Roman" w:hAnsi="Times New Roman" w:cs="Times New Roman"/>
          <w:sz w:val="24"/>
          <w:szCs w:val="24"/>
        </w:rPr>
        <w:t>.</w:t>
      </w:r>
      <w:r w:rsidR="0027082D" w:rsidRPr="0059508C">
        <w:rPr>
          <w:rStyle w:val="EndnoteReference"/>
          <w:rFonts w:ascii="Times New Roman" w:hAnsi="Times New Roman" w:cs="Times New Roman"/>
          <w:sz w:val="24"/>
          <w:szCs w:val="24"/>
        </w:rPr>
        <w:endnoteReference w:id="21"/>
      </w:r>
      <w:r w:rsidR="0027082D">
        <w:rPr>
          <w:rFonts w:ascii="Times New Roman" w:hAnsi="Times New Roman" w:cs="Times New Roman"/>
          <w:sz w:val="24"/>
          <w:szCs w:val="24"/>
        </w:rPr>
        <w:t xml:space="preserve"> </w:t>
      </w:r>
      <w:r w:rsidR="0027082D" w:rsidRPr="0059508C">
        <w:rPr>
          <w:rFonts w:ascii="Times New Roman" w:hAnsi="Times New Roman" w:cs="Times New Roman"/>
          <w:sz w:val="24"/>
          <w:szCs w:val="24"/>
        </w:rPr>
        <w:t>The border dispute had resulted in the loss of human life and endangered the historic</w:t>
      </w:r>
      <w:r w:rsidR="00274622">
        <w:rPr>
          <w:rFonts w:ascii="Times New Roman" w:hAnsi="Times New Roman" w:cs="Times New Roman"/>
          <w:sz w:val="24"/>
          <w:szCs w:val="24"/>
        </w:rPr>
        <w:t>al</w:t>
      </w:r>
      <w:r w:rsidR="0027082D" w:rsidRPr="0059508C">
        <w:rPr>
          <w:rFonts w:ascii="Times New Roman" w:hAnsi="Times New Roman" w:cs="Times New Roman"/>
          <w:sz w:val="24"/>
          <w:szCs w:val="24"/>
        </w:rPr>
        <w:t xml:space="preserve"> structure. </w:t>
      </w:r>
      <w:r>
        <w:rPr>
          <w:rFonts w:ascii="Times New Roman" w:hAnsi="Times New Roman" w:cs="Times New Roman"/>
          <w:sz w:val="24"/>
          <w:szCs w:val="24"/>
        </w:rPr>
        <w:t xml:space="preserve">The </w:t>
      </w:r>
      <w:r w:rsidR="00B90F34">
        <w:rPr>
          <w:rFonts w:ascii="Times New Roman" w:hAnsi="Times New Roman" w:cs="Times New Roman"/>
          <w:sz w:val="24"/>
          <w:szCs w:val="24"/>
        </w:rPr>
        <w:t>c</w:t>
      </w:r>
      <w:r>
        <w:rPr>
          <w:rFonts w:ascii="Times New Roman" w:hAnsi="Times New Roman" w:cs="Times New Roman"/>
          <w:sz w:val="24"/>
          <w:szCs w:val="24"/>
        </w:rPr>
        <w:t xml:space="preserve">ourt viewed the </w:t>
      </w:r>
      <w:r w:rsidR="00B90F34">
        <w:rPr>
          <w:rFonts w:ascii="Times New Roman" w:hAnsi="Times New Roman" w:cs="Times New Roman"/>
          <w:sz w:val="24"/>
          <w:szCs w:val="24"/>
        </w:rPr>
        <w:t xml:space="preserve">temple </w:t>
      </w:r>
      <w:r>
        <w:rPr>
          <w:rFonts w:ascii="Times New Roman" w:hAnsi="Times New Roman" w:cs="Times New Roman"/>
          <w:sz w:val="24"/>
          <w:szCs w:val="24"/>
        </w:rPr>
        <w:t xml:space="preserve">as </w:t>
      </w:r>
      <w:r w:rsidR="00B24992">
        <w:rPr>
          <w:rFonts w:ascii="Times New Roman" w:hAnsi="Times New Roman" w:cs="Times New Roman"/>
          <w:sz w:val="24"/>
          <w:szCs w:val="24"/>
        </w:rPr>
        <w:t>having</w:t>
      </w:r>
      <w:r>
        <w:rPr>
          <w:rFonts w:ascii="Times New Roman" w:hAnsi="Times New Roman" w:cs="Times New Roman"/>
          <w:sz w:val="24"/>
          <w:szCs w:val="24"/>
        </w:rPr>
        <w:t xml:space="preserve"> religious and cultural significance for all the people in the region and, as a site of continuing religious significance, the local people had a right of free access. </w:t>
      </w:r>
      <w:r w:rsidR="002A0D68">
        <w:rPr>
          <w:rFonts w:ascii="Times New Roman" w:hAnsi="Times New Roman" w:cs="Times New Roman"/>
          <w:sz w:val="24"/>
          <w:szCs w:val="24"/>
        </w:rPr>
        <w:t xml:space="preserve">In referring to both the </w:t>
      </w:r>
      <w:r w:rsidR="00987DE0">
        <w:rPr>
          <w:rFonts w:ascii="Times New Roman" w:hAnsi="Times New Roman" w:cs="Times New Roman"/>
          <w:sz w:val="24"/>
          <w:szCs w:val="24"/>
        </w:rPr>
        <w:t>t</w:t>
      </w:r>
      <w:r w:rsidR="002A0D68">
        <w:rPr>
          <w:rFonts w:ascii="Times New Roman" w:hAnsi="Times New Roman" w:cs="Times New Roman"/>
          <w:sz w:val="24"/>
          <w:szCs w:val="24"/>
        </w:rPr>
        <w:t>emple’s status as a World Heritage Site and as a religious and spiritual center for the local people, t</w:t>
      </w:r>
      <w:r>
        <w:rPr>
          <w:rFonts w:ascii="Times New Roman" w:hAnsi="Times New Roman" w:cs="Times New Roman"/>
          <w:sz w:val="24"/>
          <w:szCs w:val="24"/>
        </w:rPr>
        <w:t xml:space="preserve">he </w:t>
      </w:r>
      <w:r w:rsidR="0071658C">
        <w:rPr>
          <w:rFonts w:ascii="Times New Roman" w:hAnsi="Times New Roman" w:cs="Times New Roman"/>
          <w:sz w:val="24"/>
          <w:szCs w:val="24"/>
        </w:rPr>
        <w:t xml:space="preserve">ICJ </w:t>
      </w:r>
      <w:r>
        <w:rPr>
          <w:rFonts w:ascii="Times New Roman" w:hAnsi="Times New Roman" w:cs="Times New Roman"/>
          <w:sz w:val="24"/>
          <w:szCs w:val="24"/>
        </w:rPr>
        <w:t>acknowledged both the local and global significance of the site.</w:t>
      </w:r>
      <w:r>
        <w:rPr>
          <w:rStyle w:val="EndnoteReference"/>
          <w:rFonts w:ascii="Times New Roman" w:hAnsi="Times New Roman" w:cs="Times New Roman"/>
          <w:sz w:val="24"/>
          <w:szCs w:val="24"/>
        </w:rPr>
        <w:endnoteReference w:id="22"/>
      </w:r>
      <w:r>
        <w:rPr>
          <w:rFonts w:ascii="Times New Roman" w:hAnsi="Times New Roman" w:cs="Times New Roman"/>
          <w:sz w:val="24"/>
          <w:szCs w:val="24"/>
        </w:rPr>
        <w:t xml:space="preserve"> </w:t>
      </w:r>
      <w:r w:rsidR="0027082D" w:rsidRPr="0059508C">
        <w:rPr>
          <w:rFonts w:ascii="Times New Roman" w:hAnsi="Times New Roman" w:cs="Times New Roman"/>
          <w:sz w:val="24"/>
          <w:szCs w:val="24"/>
        </w:rPr>
        <w:t xml:space="preserve">Judge </w:t>
      </w:r>
      <w:r w:rsidR="0062416E" w:rsidRPr="0062416E">
        <w:rPr>
          <w:rFonts w:ascii="Times New Roman" w:hAnsi="Times New Roman" w:cs="Times New Roman"/>
          <w:sz w:val="24"/>
          <w:szCs w:val="24"/>
        </w:rPr>
        <w:t xml:space="preserve">Antônio Augusto </w:t>
      </w:r>
      <w:r w:rsidRPr="0059508C">
        <w:rPr>
          <w:rFonts w:ascii="Times New Roman" w:hAnsi="Times New Roman" w:cs="Times New Roman"/>
          <w:sz w:val="24"/>
          <w:szCs w:val="24"/>
        </w:rPr>
        <w:t xml:space="preserve">Cançado </w:t>
      </w:r>
      <w:r w:rsidR="0027082D" w:rsidRPr="0059508C">
        <w:rPr>
          <w:rFonts w:ascii="Times New Roman" w:hAnsi="Times New Roman" w:cs="Times New Roman"/>
          <w:sz w:val="24"/>
          <w:szCs w:val="24"/>
        </w:rPr>
        <w:t xml:space="preserve">Trindade </w:t>
      </w:r>
      <w:r>
        <w:rPr>
          <w:rFonts w:ascii="Times New Roman" w:hAnsi="Times New Roman" w:cs="Times New Roman"/>
          <w:sz w:val="24"/>
          <w:szCs w:val="24"/>
        </w:rPr>
        <w:t>argued, in particular, for</w:t>
      </w:r>
      <w:r w:rsidRPr="0059508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59508C">
        <w:rPr>
          <w:rFonts w:ascii="Times New Roman" w:hAnsi="Times New Roman" w:cs="Times New Roman"/>
          <w:sz w:val="24"/>
          <w:szCs w:val="24"/>
        </w:rPr>
        <w:t>preventi</w:t>
      </w:r>
      <w:r>
        <w:rPr>
          <w:rFonts w:ascii="Times New Roman" w:hAnsi="Times New Roman" w:cs="Times New Roman"/>
          <w:sz w:val="24"/>
          <w:szCs w:val="24"/>
        </w:rPr>
        <w:t>on</w:t>
      </w:r>
      <w:r w:rsidRPr="0059508C">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59508C">
        <w:rPr>
          <w:rFonts w:ascii="Times New Roman" w:hAnsi="Times New Roman" w:cs="Times New Roman"/>
          <w:sz w:val="24"/>
          <w:szCs w:val="24"/>
        </w:rPr>
        <w:t>spiritual damage</w:t>
      </w:r>
      <w:r>
        <w:rPr>
          <w:rFonts w:ascii="Times New Roman" w:hAnsi="Times New Roman" w:cs="Times New Roman"/>
          <w:sz w:val="24"/>
          <w:szCs w:val="24"/>
        </w:rPr>
        <w:t xml:space="preserve">, </w:t>
      </w:r>
      <w:r w:rsidR="0027082D">
        <w:rPr>
          <w:rFonts w:ascii="Times New Roman" w:hAnsi="Times New Roman" w:cs="Times New Roman"/>
          <w:sz w:val="24"/>
          <w:szCs w:val="24"/>
        </w:rPr>
        <w:t>dr</w:t>
      </w:r>
      <w:r>
        <w:rPr>
          <w:rFonts w:ascii="Times New Roman" w:hAnsi="Times New Roman" w:cs="Times New Roman"/>
          <w:sz w:val="24"/>
          <w:szCs w:val="24"/>
        </w:rPr>
        <w:t>awing</w:t>
      </w:r>
      <w:r w:rsidR="0027082D">
        <w:rPr>
          <w:rFonts w:ascii="Times New Roman" w:hAnsi="Times New Roman" w:cs="Times New Roman"/>
          <w:sz w:val="24"/>
          <w:szCs w:val="24"/>
        </w:rPr>
        <w:t xml:space="preserve"> </w:t>
      </w:r>
      <w:r>
        <w:rPr>
          <w:rFonts w:ascii="Times New Roman" w:hAnsi="Times New Roman" w:cs="Times New Roman"/>
          <w:sz w:val="24"/>
          <w:szCs w:val="24"/>
        </w:rPr>
        <w:t>together</w:t>
      </w:r>
      <w:r w:rsidR="0027082D">
        <w:rPr>
          <w:rFonts w:ascii="Times New Roman" w:hAnsi="Times New Roman" w:cs="Times New Roman"/>
          <w:sz w:val="24"/>
          <w:szCs w:val="24"/>
        </w:rPr>
        <w:t xml:space="preserve"> the issues of </w:t>
      </w:r>
      <w:r w:rsidR="0027082D" w:rsidRPr="0059508C">
        <w:rPr>
          <w:rFonts w:ascii="Times New Roman" w:hAnsi="Times New Roman" w:cs="Times New Roman"/>
          <w:sz w:val="24"/>
          <w:szCs w:val="24"/>
        </w:rPr>
        <w:t>territoriality, preservation of life, and the cultural and spiritual heritage dimension</w:t>
      </w:r>
      <w:r w:rsidR="0027082D">
        <w:rPr>
          <w:rFonts w:ascii="Times New Roman" w:hAnsi="Times New Roman" w:cs="Times New Roman"/>
          <w:sz w:val="24"/>
          <w:szCs w:val="24"/>
        </w:rPr>
        <w:t>s</w:t>
      </w:r>
      <w:r w:rsidR="0027082D" w:rsidRPr="0059508C">
        <w:rPr>
          <w:rFonts w:ascii="Times New Roman" w:hAnsi="Times New Roman" w:cs="Times New Roman"/>
          <w:sz w:val="24"/>
          <w:szCs w:val="24"/>
        </w:rPr>
        <w:t xml:space="preserve">. As he later described the </w:t>
      </w:r>
      <w:r w:rsidR="000E7861">
        <w:rPr>
          <w:rFonts w:ascii="Times New Roman" w:hAnsi="Times New Roman" w:cs="Times New Roman"/>
          <w:sz w:val="24"/>
          <w:szCs w:val="24"/>
        </w:rPr>
        <w:t>ICJ’s</w:t>
      </w:r>
      <w:r w:rsidR="000E7861" w:rsidRPr="0059508C">
        <w:rPr>
          <w:rFonts w:ascii="Times New Roman" w:hAnsi="Times New Roman" w:cs="Times New Roman"/>
          <w:sz w:val="24"/>
          <w:szCs w:val="24"/>
        </w:rPr>
        <w:t xml:space="preserve"> </w:t>
      </w:r>
      <w:r w:rsidR="0027082D" w:rsidRPr="0059508C">
        <w:rPr>
          <w:rFonts w:ascii="Times New Roman" w:hAnsi="Times New Roman" w:cs="Times New Roman"/>
          <w:sz w:val="24"/>
          <w:szCs w:val="24"/>
        </w:rPr>
        <w:t xml:space="preserve">opinion, the </w:t>
      </w:r>
      <w:r w:rsidR="00B119D9">
        <w:rPr>
          <w:rFonts w:ascii="Times New Roman" w:hAnsi="Times New Roman" w:cs="Times New Roman"/>
          <w:sz w:val="24"/>
          <w:szCs w:val="24"/>
        </w:rPr>
        <w:t>c</w:t>
      </w:r>
      <w:r w:rsidR="0027082D" w:rsidRPr="0059508C">
        <w:rPr>
          <w:rFonts w:ascii="Times New Roman" w:hAnsi="Times New Roman" w:cs="Times New Roman"/>
          <w:sz w:val="24"/>
          <w:szCs w:val="24"/>
        </w:rPr>
        <w:t>ourt “encompassed the human rights to life and to personal integrity, as well as cultural and spiritual world heritage</w:t>
      </w:r>
      <w:r w:rsidR="009B5D70">
        <w:rPr>
          <w:rFonts w:ascii="Times New Roman" w:hAnsi="Times New Roman" w:cs="Times New Roman"/>
          <w:sz w:val="24"/>
          <w:szCs w:val="24"/>
        </w:rPr>
        <w:t>.</w:t>
      </w:r>
      <w:r w:rsidR="0027082D" w:rsidRPr="0059508C">
        <w:rPr>
          <w:rFonts w:ascii="Times New Roman" w:hAnsi="Times New Roman" w:cs="Times New Roman"/>
          <w:sz w:val="24"/>
          <w:szCs w:val="24"/>
        </w:rPr>
        <w:t> </w:t>
      </w:r>
      <w:r w:rsidR="009B5D70">
        <w:rPr>
          <w:rFonts w:ascii="Times New Roman" w:hAnsi="Times New Roman" w:cs="Times New Roman"/>
          <w:sz w:val="24"/>
          <w:szCs w:val="24"/>
        </w:rPr>
        <w:t>…</w:t>
      </w:r>
      <w:r w:rsidR="0027082D" w:rsidRPr="0059508C">
        <w:rPr>
          <w:rFonts w:ascii="Times New Roman" w:hAnsi="Times New Roman" w:cs="Times New Roman"/>
          <w:sz w:val="24"/>
          <w:szCs w:val="24"/>
        </w:rPr>
        <w:t xml:space="preserve"> The Court’s order went ‘well beyond </w:t>
      </w:r>
      <w:r w:rsidR="0027082D" w:rsidRPr="0059508C">
        <w:rPr>
          <w:rFonts w:ascii="Times New Roman" w:hAnsi="Times New Roman" w:cs="Times New Roman"/>
          <w:sz w:val="24"/>
          <w:szCs w:val="24"/>
        </w:rPr>
        <w:lastRenderedPageBreak/>
        <w:t xml:space="preserve">State territorial sovereignty, </w:t>
      </w:r>
      <w:r w:rsidR="0027082D" w:rsidRPr="0059508C">
        <w:rPr>
          <w:rFonts w:ascii="Times New Roman" w:hAnsi="Times New Roman" w:cs="Times New Roman"/>
          <w:i/>
          <w:sz w:val="24"/>
          <w:szCs w:val="24"/>
        </w:rPr>
        <w:t>bringing territory, people and human values together</w:t>
      </w:r>
      <w:r w:rsidR="00AB31FC">
        <w:rPr>
          <w:rFonts w:ascii="Times New Roman" w:hAnsi="Times New Roman" w:cs="Times New Roman"/>
          <w:iCs/>
          <w:sz w:val="24"/>
          <w:szCs w:val="24"/>
        </w:rPr>
        <w:t>,</w:t>
      </w:r>
      <w:r w:rsidR="00547B51">
        <w:rPr>
          <w:rFonts w:ascii="Times New Roman" w:hAnsi="Times New Roman" w:cs="Times New Roman"/>
          <w:iCs/>
          <w:sz w:val="24"/>
          <w:szCs w:val="24"/>
        </w:rPr>
        <w:t>’</w:t>
      </w:r>
      <w:r w:rsidR="0027082D" w:rsidRPr="0059508C">
        <w:rPr>
          <w:rFonts w:ascii="Times New Roman" w:hAnsi="Times New Roman" w:cs="Times New Roman"/>
          <w:sz w:val="24"/>
          <w:szCs w:val="24"/>
        </w:rPr>
        <w:t xml:space="preserve"> well in keeping with the </w:t>
      </w:r>
      <w:r w:rsidR="0027082D" w:rsidRPr="0059508C">
        <w:rPr>
          <w:rFonts w:ascii="Times New Roman" w:hAnsi="Times New Roman" w:cs="Times New Roman"/>
          <w:i/>
          <w:sz w:val="24"/>
          <w:szCs w:val="24"/>
        </w:rPr>
        <w:t>jus gentium</w:t>
      </w:r>
      <w:r w:rsidR="0027082D" w:rsidRPr="0059508C">
        <w:rPr>
          <w:rFonts w:ascii="Times New Roman" w:hAnsi="Times New Roman" w:cs="Times New Roman"/>
          <w:sz w:val="24"/>
          <w:szCs w:val="24"/>
        </w:rPr>
        <w:t xml:space="preserve"> of our times.”</w:t>
      </w:r>
      <w:r w:rsidR="0027082D" w:rsidRPr="0059508C">
        <w:rPr>
          <w:rStyle w:val="EndnoteReference"/>
          <w:rFonts w:ascii="Times New Roman" w:hAnsi="Times New Roman" w:cs="Times New Roman"/>
          <w:sz w:val="24"/>
          <w:szCs w:val="24"/>
        </w:rPr>
        <w:endnoteReference w:id="23"/>
      </w:r>
      <w:r w:rsidR="0027082D" w:rsidRPr="0059508C">
        <w:rPr>
          <w:rFonts w:ascii="Times New Roman" w:hAnsi="Times New Roman" w:cs="Times New Roman"/>
          <w:sz w:val="24"/>
          <w:szCs w:val="24"/>
        </w:rPr>
        <w:t xml:space="preserve"> His opinion that the preservation of cultural heritage plays an important role in the spiritual and cultural lives of the local community who live </w:t>
      </w:r>
      <w:r w:rsidR="00335296">
        <w:rPr>
          <w:rFonts w:ascii="Times New Roman" w:hAnsi="Times New Roman" w:cs="Times New Roman"/>
          <w:sz w:val="24"/>
          <w:szCs w:val="24"/>
        </w:rPr>
        <w:t>amid</w:t>
      </w:r>
      <w:r w:rsidR="00335296" w:rsidRPr="0059508C">
        <w:rPr>
          <w:rFonts w:ascii="Times New Roman" w:hAnsi="Times New Roman" w:cs="Times New Roman"/>
          <w:sz w:val="24"/>
          <w:szCs w:val="24"/>
        </w:rPr>
        <w:t xml:space="preserve"> </w:t>
      </w:r>
      <w:r w:rsidR="0027082D" w:rsidRPr="0059508C">
        <w:rPr>
          <w:rFonts w:ascii="Times New Roman" w:hAnsi="Times New Roman" w:cs="Times New Roman"/>
          <w:sz w:val="24"/>
          <w:szCs w:val="24"/>
        </w:rPr>
        <w:t>the heritage leads to a melding of human values and cultural heritage</w:t>
      </w:r>
      <w:r w:rsidR="0027082D">
        <w:rPr>
          <w:rFonts w:ascii="Times New Roman" w:hAnsi="Times New Roman" w:cs="Times New Roman"/>
          <w:sz w:val="24"/>
          <w:szCs w:val="24"/>
        </w:rPr>
        <w:t xml:space="preserve"> preservation</w:t>
      </w:r>
      <w:r w:rsidR="0027082D" w:rsidRPr="0059508C">
        <w:rPr>
          <w:rFonts w:ascii="Times New Roman" w:hAnsi="Times New Roman" w:cs="Times New Roman"/>
          <w:sz w:val="24"/>
          <w:szCs w:val="24"/>
        </w:rPr>
        <w:t>.</w:t>
      </w:r>
    </w:p>
    <w:p w14:paraId="769B3195" w14:textId="77777777" w:rsidR="00333589" w:rsidRDefault="00333589" w:rsidP="004D55E5">
      <w:pPr>
        <w:pStyle w:val="RIPLMainText"/>
        <w:spacing w:line="480" w:lineRule="auto"/>
        <w:ind w:firstLine="0"/>
        <w:jc w:val="left"/>
        <w:rPr>
          <w:rFonts w:ascii="Times New Roman" w:hAnsi="Times New Roman" w:cs="Times New Roman"/>
          <w:sz w:val="24"/>
          <w:szCs w:val="24"/>
        </w:rPr>
      </w:pPr>
    </w:p>
    <w:p w14:paraId="6675E858" w14:textId="661E1C1D" w:rsidR="0027082D" w:rsidRDefault="0027082D" w:rsidP="00353FB5">
      <w:pPr>
        <w:pStyle w:val="Heading2"/>
      </w:pPr>
      <w:r>
        <w:t>Atrocity Crimes and the Responsibility to Protect</w:t>
      </w:r>
    </w:p>
    <w:p w14:paraId="6436CE34" w14:textId="148D125F" w:rsidR="0027082D" w:rsidRDefault="00522E4C" w:rsidP="00353FB5">
      <w:pPr>
        <w:pStyle w:val="RIPLMainText"/>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The term “a</w:t>
      </w:r>
      <w:r w:rsidR="0027082D">
        <w:rPr>
          <w:rFonts w:ascii="Times New Roman" w:hAnsi="Times New Roman" w:cs="Times New Roman"/>
          <w:sz w:val="24"/>
          <w:szCs w:val="24"/>
        </w:rPr>
        <w:t>trocity crimes</w:t>
      </w:r>
      <w:r>
        <w:rPr>
          <w:rFonts w:ascii="Times New Roman" w:hAnsi="Times New Roman" w:cs="Times New Roman"/>
          <w:sz w:val="24"/>
          <w:szCs w:val="24"/>
        </w:rPr>
        <w:t>”</w:t>
      </w:r>
      <w:r w:rsidR="0027082D">
        <w:rPr>
          <w:rFonts w:ascii="Times New Roman" w:hAnsi="Times New Roman" w:cs="Times New Roman"/>
          <w:sz w:val="24"/>
          <w:szCs w:val="24"/>
        </w:rPr>
        <w:t xml:space="preserve"> encompass</w:t>
      </w:r>
      <w:r>
        <w:rPr>
          <w:rFonts w:ascii="Times New Roman" w:hAnsi="Times New Roman" w:cs="Times New Roman"/>
          <w:sz w:val="24"/>
          <w:szCs w:val="24"/>
        </w:rPr>
        <w:t>es</w:t>
      </w:r>
      <w:r w:rsidR="0027082D">
        <w:rPr>
          <w:rFonts w:ascii="Times New Roman" w:hAnsi="Times New Roman" w:cs="Times New Roman"/>
          <w:sz w:val="24"/>
          <w:szCs w:val="24"/>
        </w:rPr>
        <w:t xml:space="preserve"> three legally defined international crimes</w:t>
      </w:r>
      <w:r w:rsidR="005E32B3">
        <w:rPr>
          <w:rFonts w:ascii="Times New Roman" w:hAnsi="Times New Roman" w:cs="Times New Roman"/>
          <w:sz w:val="24"/>
          <w:szCs w:val="24"/>
        </w:rPr>
        <w:t xml:space="preserve">, </w:t>
      </w:r>
      <w:r w:rsidR="0027082D">
        <w:rPr>
          <w:rFonts w:ascii="Times New Roman" w:hAnsi="Times New Roman" w:cs="Times New Roman"/>
          <w:sz w:val="24"/>
          <w:szCs w:val="24"/>
        </w:rPr>
        <w:t>genocide, crimes against humanity, and war crimes</w:t>
      </w:r>
      <w:r w:rsidR="005E32B3">
        <w:rPr>
          <w:rFonts w:ascii="Times New Roman" w:hAnsi="Times New Roman" w:cs="Times New Roman"/>
          <w:sz w:val="24"/>
          <w:szCs w:val="24"/>
        </w:rPr>
        <w:t xml:space="preserve">, </w:t>
      </w:r>
      <w:r>
        <w:rPr>
          <w:rFonts w:ascii="Times New Roman" w:hAnsi="Times New Roman" w:cs="Times New Roman"/>
          <w:sz w:val="24"/>
          <w:szCs w:val="24"/>
        </w:rPr>
        <w:t xml:space="preserve">as well as </w:t>
      </w:r>
      <w:r w:rsidR="005E32B3">
        <w:rPr>
          <w:rFonts w:ascii="Times New Roman" w:hAnsi="Times New Roman" w:cs="Times New Roman"/>
          <w:sz w:val="24"/>
          <w:szCs w:val="24"/>
        </w:rPr>
        <w:t>a fourth</w:t>
      </w:r>
      <w:r>
        <w:rPr>
          <w:rFonts w:ascii="Times New Roman" w:hAnsi="Times New Roman" w:cs="Times New Roman"/>
          <w:sz w:val="24"/>
          <w:szCs w:val="24"/>
        </w:rPr>
        <w:t xml:space="preserve"> offense, </w:t>
      </w:r>
      <w:r w:rsidR="005E32B3">
        <w:rPr>
          <w:rFonts w:ascii="Times New Roman" w:hAnsi="Times New Roman" w:cs="Times New Roman"/>
          <w:sz w:val="24"/>
          <w:szCs w:val="24"/>
        </w:rPr>
        <w:t>ethnic cleansing</w:t>
      </w:r>
      <w:r w:rsidR="0027082D">
        <w:rPr>
          <w:rFonts w:ascii="Times New Roman" w:hAnsi="Times New Roman" w:cs="Times New Roman"/>
          <w:sz w:val="24"/>
          <w:szCs w:val="24"/>
        </w:rPr>
        <w:t>.</w:t>
      </w:r>
      <w:r w:rsidR="0027082D">
        <w:rPr>
          <w:rStyle w:val="EndnoteReference"/>
          <w:rFonts w:ascii="Times New Roman" w:hAnsi="Times New Roman" w:cs="Times New Roman"/>
          <w:sz w:val="24"/>
          <w:szCs w:val="24"/>
        </w:rPr>
        <w:endnoteReference w:id="24"/>
      </w:r>
      <w:r w:rsidR="0027082D">
        <w:rPr>
          <w:rFonts w:ascii="Times New Roman" w:hAnsi="Times New Roman" w:cs="Times New Roman"/>
          <w:sz w:val="24"/>
          <w:szCs w:val="24"/>
        </w:rPr>
        <w:t xml:space="preserve"> </w:t>
      </w:r>
      <w:r w:rsidR="005E32B3">
        <w:rPr>
          <w:rFonts w:ascii="Times New Roman" w:hAnsi="Times New Roman" w:cs="Times New Roman"/>
          <w:sz w:val="24"/>
          <w:szCs w:val="24"/>
        </w:rPr>
        <w:t>P</w:t>
      </w:r>
      <w:r w:rsidR="0027082D">
        <w:rPr>
          <w:rFonts w:ascii="Times New Roman" w:hAnsi="Times New Roman" w:cs="Times New Roman"/>
          <w:sz w:val="24"/>
          <w:szCs w:val="24"/>
        </w:rPr>
        <w:t>reventing atrocity crimes protect</w:t>
      </w:r>
      <w:r w:rsidR="005E32B3">
        <w:rPr>
          <w:rFonts w:ascii="Times New Roman" w:hAnsi="Times New Roman" w:cs="Times New Roman"/>
          <w:sz w:val="24"/>
          <w:szCs w:val="24"/>
        </w:rPr>
        <w:t>s</w:t>
      </w:r>
      <w:r w:rsidR="0027082D">
        <w:rPr>
          <w:rFonts w:ascii="Times New Roman" w:hAnsi="Times New Roman" w:cs="Times New Roman"/>
          <w:sz w:val="24"/>
          <w:szCs w:val="24"/>
        </w:rPr>
        <w:t xml:space="preserve"> human life</w:t>
      </w:r>
      <w:r w:rsidR="005E32B3">
        <w:rPr>
          <w:rFonts w:ascii="Times New Roman" w:hAnsi="Times New Roman" w:cs="Times New Roman"/>
          <w:sz w:val="24"/>
          <w:szCs w:val="24"/>
        </w:rPr>
        <w:t xml:space="preserve"> and </w:t>
      </w:r>
      <w:r w:rsidR="0027082D">
        <w:rPr>
          <w:rFonts w:ascii="Times New Roman" w:hAnsi="Times New Roman" w:cs="Times New Roman"/>
          <w:sz w:val="24"/>
          <w:szCs w:val="24"/>
        </w:rPr>
        <w:t>avoids “psychosocial and psychological damages and traumas.”</w:t>
      </w:r>
      <w:r w:rsidR="0027082D">
        <w:rPr>
          <w:rStyle w:val="EndnoteReference"/>
          <w:rFonts w:ascii="Times New Roman" w:hAnsi="Times New Roman" w:cs="Times New Roman"/>
          <w:sz w:val="24"/>
          <w:szCs w:val="24"/>
        </w:rPr>
        <w:endnoteReference w:id="25"/>
      </w:r>
      <w:r w:rsidR="0027082D">
        <w:rPr>
          <w:rFonts w:ascii="Times New Roman" w:hAnsi="Times New Roman" w:cs="Times New Roman"/>
          <w:sz w:val="24"/>
          <w:szCs w:val="24"/>
        </w:rPr>
        <w:t xml:space="preserve"> Preventing </w:t>
      </w:r>
      <w:r w:rsidR="00E3733D">
        <w:rPr>
          <w:rFonts w:ascii="Times New Roman" w:hAnsi="Times New Roman" w:cs="Times New Roman"/>
          <w:sz w:val="24"/>
          <w:szCs w:val="24"/>
        </w:rPr>
        <w:t xml:space="preserve">such </w:t>
      </w:r>
      <w:r w:rsidR="0027082D">
        <w:rPr>
          <w:rFonts w:ascii="Times New Roman" w:hAnsi="Times New Roman" w:cs="Times New Roman"/>
          <w:sz w:val="24"/>
          <w:szCs w:val="24"/>
        </w:rPr>
        <w:t>crimes also contributes to national, regional</w:t>
      </w:r>
      <w:r w:rsidR="00E3733D">
        <w:rPr>
          <w:rFonts w:ascii="Times New Roman" w:hAnsi="Times New Roman" w:cs="Times New Roman"/>
          <w:sz w:val="24"/>
          <w:szCs w:val="24"/>
        </w:rPr>
        <w:t>,</w:t>
      </w:r>
      <w:r w:rsidR="0027082D">
        <w:rPr>
          <w:rFonts w:ascii="Times New Roman" w:hAnsi="Times New Roman" w:cs="Times New Roman"/>
          <w:sz w:val="24"/>
          <w:szCs w:val="24"/>
        </w:rPr>
        <w:t xml:space="preserve"> and </w:t>
      </w:r>
      <w:r w:rsidR="004B7B8B">
        <w:rPr>
          <w:rFonts w:ascii="Times New Roman" w:hAnsi="Times New Roman" w:cs="Times New Roman"/>
          <w:sz w:val="24"/>
          <w:szCs w:val="24"/>
        </w:rPr>
        <w:t xml:space="preserve">global </w:t>
      </w:r>
      <w:r w:rsidR="0027082D">
        <w:rPr>
          <w:rFonts w:ascii="Times New Roman" w:hAnsi="Times New Roman" w:cs="Times New Roman"/>
          <w:sz w:val="24"/>
          <w:szCs w:val="24"/>
        </w:rPr>
        <w:t>peace and stability. Preserving cultural heritage does not directly contribute to preserving human life, although it</w:t>
      </w:r>
      <w:r w:rsidR="00AF6CB6">
        <w:rPr>
          <w:rFonts w:ascii="Times New Roman" w:hAnsi="Times New Roman" w:cs="Times New Roman"/>
          <w:sz w:val="24"/>
          <w:szCs w:val="24"/>
        </w:rPr>
        <w:t>s destruction</w:t>
      </w:r>
      <w:r w:rsidR="0027082D">
        <w:rPr>
          <w:rFonts w:ascii="Times New Roman" w:hAnsi="Times New Roman" w:cs="Times New Roman"/>
          <w:sz w:val="24"/>
          <w:szCs w:val="24"/>
        </w:rPr>
        <w:t xml:space="preserve"> is often viewed as a precursor to genocide. However, cultural heritage clearly has </w:t>
      </w:r>
      <w:r w:rsidR="00AA6A9A">
        <w:rPr>
          <w:rFonts w:ascii="Times New Roman" w:hAnsi="Times New Roman" w:cs="Times New Roman"/>
          <w:sz w:val="24"/>
          <w:szCs w:val="24"/>
        </w:rPr>
        <w:t xml:space="preserve">both psychological and societal benefits </w:t>
      </w:r>
      <w:r w:rsidR="0027082D">
        <w:rPr>
          <w:rFonts w:ascii="Times New Roman" w:hAnsi="Times New Roman" w:cs="Times New Roman"/>
          <w:sz w:val="24"/>
          <w:szCs w:val="24"/>
        </w:rPr>
        <w:t>through the formation of identity and the connection of people to the historic</w:t>
      </w:r>
      <w:r w:rsidR="00AA10F3">
        <w:rPr>
          <w:rFonts w:ascii="Times New Roman" w:hAnsi="Times New Roman" w:cs="Times New Roman"/>
          <w:sz w:val="24"/>
          <w:szCs w:val="24"/>
        </w:rPr>
        <w:t>al</w:t>
      </w:r>
      <w:r w:rsidR="0027082D">
        <w:rPr>
          <w:rFonts w:ascii="Times New Roman" w:hAnsi="Times New Roman" w:cs="Times New Roman"/>
          <w:sz w:val="24"/>
          <w:szCs w:val="24"/>
        </w:rPr>
        <w:t xml:space="preserve"> structures and cultural landscapes through which they access tradition, folklore</w:t>
      </w:r>
      <w:r w:rsidR="00636A2A">
        <w:rPr>
          <w:rFonts w:ascii="Times New Roman" w:hAnsi="Times New Roman" w:cs="Times New Roman"/>
          <w:sz w:val="24"/>
          <w:szCs w:val="24"/>
        </w:rPr>
        <w:t>,</w:t>
      </w:r>
      <w:r w:rsidR="0027082D">
        <w:rPr>
          <w:rFonts w:ascii="Times New Roman" w:hAnsi="Times New Roman" w:cs="Times New Roman"/>
          <w:sz w:val="24"/>
          <w:szCs w:val="24"/>
        </w:rPr>
        <w:t xml:space="preserve"> and religious experiences.</w:t>
      </w:r>
      <w:r w:rsidR="0027082D">
        <w:rPr>
          <w:rStyle w:val="EndnoteReference"/>
          <w:rFonts w:ascii="Times New Roman" w:hAnsi="Times New Roman" w:cs="Times New Roman"/>
          <w:sz w:val="24"/>
          <w:szCs w:val="24"/>
        </w:rPr>
        <w:endnoteReference w:id="26"/>
      </w:r>
      <w:r w:rsidR="0027082D">
        <w:rPr>
          <w:rFonts w:ascii="Times New Roman" w:hAnsi="Times New Roman" w:cs="Times New Roman"/>
          <w:sz w:val="24"/>
          <w:szCs w:val="24"/>
        </w:rPr>
        <w:t xml:space="preserve"> Destruction of cultural heritage is an action that makes ending conflict more difficult, while its </w:t>
      </w:r>
      <w:r w:rsidR="00806CC3">
        <w:rPr>
          <w:rFonts w:ascii="Times New Roman" w:hAnsi="Times New Roman" w:cs="Times New Roman"/>
          <w:sz w:val="24"/>
          <w:szCs w:val="24"/>
        </w:rPr>
        <w:t xml:space="preserve">protection </w:t>
      </w:r>
      <w:r w:rsidR="0027082D">
        <w:rPr>
          <w:rFonts w:ascii="Times New Roman" w:hAnsi="Times New Roman" w:cs="Times New Roman"/>
          <w:sz w:val="24"/>
          <w:szCs w:val="24"/>
        </w:rPr>
        <w:t>helps to preserve peace, encourage stability, assist with reconciliation, and reduce tensions among formerly warring factions during post-conflict stabilization.</w:t>
      </w:r>
    </w:p>
    <w:p w14:paraId="25FC3C9E" w14:textId="5C5F4111" w:rsidR="0027082D" w:rsidRDefault="00FB26B4"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Articles 4.1 and 4.2 of the </w:t>
      </w:r>
      <w:r w:rsidR="0027082D">
        <w:rPr>
          <w:rFonts w:ascii="Times New Roman" w:hAnsi="Times New Roman" w:cs="Times New Roman"/>
          <w:sz w:val="24"/>
          <w:szCs w:val="24"/>
        </w:rPr>
        <w:t xml:space="preserve">1954 Hague Convention </w:t>
      </w:r>
      <w:r>
        <w:rPr>
          <w:rFonts w:ascii="Times New Roman" w:hAnsi="Times New Roman" w:cs="Times New Roman"/>
          <w:sz w:val="24"/>
          <w:szCs w:val="24"/>
        </w:rPr>
        <w:t xml:space="preserve">for </w:t>
      </w:r>
      <w:r w:rsidR="0027082D">
        <w:rPr>
          <w:rFonts w:ascii="Times New Roman" w:hAnsi="Times New Roman" w:cs="Times New Roman"/>
          <w:sz w:val="24"/>
          <w:szCs w:val="24"/>
        </w:rPr>
        <w:t>the Protection of Cultural Property in the Event of Armed Conflict prohibit the intentional targeting of cultural property unless excused by imperative military necessity. Article 19 includes armed conflicts not of an international character in the core obligation to respect cultural property. Based on its wording, this obligation is interpreted to extend to non</w:t>
      </w:r>
      <w:r w:rsidR="00C264E0">
        <w:rPr>
          <w:rFonts w:ascii="Times New Roman" w:hAnsi="Times New Roman" w:cs="Times New Roman"/>
          <w:sz w:val="24"/>
          <w:szCs w:val="24"/>
        </w:rPr>
        <w:t>s</w:t>
      </w:r>
      <w:r w:rsidR="0027082D">
        <w:rPr>
          <w:rFonts w:ascii="Times New Roman" w:hAnsi="Times New Roman" w:cs="Times New Roman"/>
          <w:sz w:val="24"/>
          <w:szCs w:val="24"/>
        </w:rPr>
        <w:t>tate actors, such as ISIL.</w:t>
      </w:r>
      <w:r w:rsidR="0027082D">
        <w:rPr>
          <w:rStyle w:val="EndnoteReference"/>
          <w:rFonts w:ascii="Times New Roman" w:hAnsi="Times New Roman" w:cs="Times New Roman"/>
          <w:sz w:val="24"/>
          <w:szCs w:val="24"/>
        </w:rPr>
        <w:endnoteReference w:id="27"/>
      </w:r>
      <w:r w:rsidR="0027082D">
        <w:rPr>
          <w:rFonts w:ascii="Times New Roman" w:hAnsi="Times New Roman" w:cs="Times New Roman"/>
          <w:sz w:val="24"/>
          <w:szCs w:val="24"/>
        </w:rPr>
        <w:t xml:space="preserve"> Article 15 of </w:t>
      </w:r>
      <w:r w:rsidR="0026048E">
        <w:rPr>
          <w:rFonts w:ascii="Times New Roman" w:hAnsi="Times New Roman" w:cs="Times New Roman"/>
          <w:sz w:val="24"/>
          <w:szCs w:val="24"/>
        </w:rPr>
        <w:t>its</w:t>
      </w:r>
      <w:r w:rsidR="000444F2">
        <w:rPr>
          <w:rFonts w:ascii="Times New Roman" w:hAnsi="Times New Roman" w:cs="Times New Roman"/>
          <w:sz w:val="24"/>
          <w:szCs w:val="24"/>
        </w:rPr>
        <w:t xml:space="preserve"> </w:t>
      </w:r>
      <w:r w:rsidR="00AC1F7A">
        <w:rPr>
          <w:rFonts w:ascii="Times New Roman" w:hAnsi="Times New Roman" w:cs="Times New Roman"/>
          <w:sz w:val="24"/>
          <w:szCs w:val="24"/>
        </w:rPr>
        <w:t xml:space="preserve">1999 </w:t>
      </w:r>
      <w:r w:rsidR="0027082D">
        <w:rPr>
          <w:rFonts w:ascii="Times New Roman" w:hAnsi="Times New Roman" w:cs="Times New Roman"/>
          <w:sz w:val="24"/>
          <w:szCs w:val="24"/>
        </w:rPr>
        <w:t xml:space="preserve">Second Protocol explicitly </w:t>
      </w:r>
      <w:r w:rsidR="00116272">
        <w:rPr>
          <w:rFonts w:ascii="Times New Roman" w:hAnsi="Times New Roman" w:cs="Times New Roman"/>
          <w:sz w:val="24"/>
          <w:szCs w:val="24"/>
        </w:rPr>
        <w:t xml:space="preserve">requires </w:t>
      </w:r>
      <w:r w:rsidR="004C5733">
        <w:rPr>
          <w:rFonts w:ascii="Times New Roman" w:hAnsi="Times New Roman" w:cs="Times New Roman"/>
          <w:sz w:val="24"/>
          <w:szCs w:val="24"/>
        </w:rPr>
        <w:t>s</w:t>
      </w:r>
      <w:r w:rsidR="00116272">
        <w:rPr>
          <w:rFonts w:ascii="Times New Roman" w:hAnsi="Times New Roman" w:cs="Times New Roman"/>
          <w:sz w:val="24"/>
          <w:szCs w:val="24"/>
        </w:rPr>
        <w:t xml:space="preserve">tate </w:t>
      </w:r>
      <w:r w:rsidR="004C5733">
        <w:rPr>
          <w:rFonts w:ascii="Times New Roman" w:hAnsi="Times New Roman" w:cs="Times New Roman"/>
          <w:sz w:val="24"/>
          <w:szCs w:val="24"/>
        </w:rPr>
        <w:t>p</w:t>
      </w:r>
      <w:r w:rsidR="00116272">
        <w:rPr>
          <w:rFonts w:ascii="Times New Roman" w:hAnsi="Times New Roman" w:cs="Times New Roman"/>
          <w:sz w:val="24"/>
          <w:szCs w:val="24"/>
        </w:rPr>
        <w:t xml:space="preserve">arties to </w:t>
      </w:r>
      <w:r w:rsidR="0027082D">
        <w:rPr>
          <w:rFonts w:ascii="Times New Roman" w:hAnsi="Times New Roman" w:cs="Times New Roman"/>
          <w:sz w:val="24"/>
          <w:szCs w:val="24"/>
        </w:rPr>
        <w:t xml:space="preserve">criminalize grave violations of the </w:t>
      </w:r>
      <w:r w:rsidR="0026048E">
        <w:rPr>
          <w:rFonts w:ascii="Times New Roman" w:hAnsi="Times New Roman" w:cs="Times New Roman"/>
          <w:sz w:val="24"/>
          <w:szCs w:val="24"/>
        </w:rPr>
        <w:t xml:space="preserve">Hague </w:t>
      </w:r>
      <w:r w:rsidR="0026048E">
        <w:rPr>
          <w:rFonts w:ascii="Times New Roman" w:hAnsi="Times New Roman" w:cs="Times New Roman"/>
          <w:sz w:val="24"/>
          <w:szCs w:val="24"/>
        </w:rPr>
        <w:lastRenderedPageBreak/>
        <w:t>C</w:t>
      </w:r>
      <w:r w:rsidR="0027082D">
        <w:rPr>
          <w:rFonts w:ascii="Times New Roman" w:hAnsi="Times New Roman" w:cs="Times New Roman"/>
          <w:sz w:val="24"/>
          <w:szCs w:val="24"/>
        </w:rPr>
        <w:t xml:space="preserve">onvention, including intentional destruction. </w:t>
      </w:r>
      <w:r w:rsidR="0027082D" w:rsidRPr="00B63487">
        <w:rPr>
          <w:rFonts w:ascii="Times New Roman" w:hAnsi="Times New Roman" w:cs="Times New Roman"/>
          <w:sz w:val="24"/>
          <w:szCs w:val="24"/>
        </w:rPr>
        <w:t xml:space="preserve">The </w:t>
      </w:r>
      <w:r w:rsidR="00307228">
        <w:rPr>
          <w:rFonts w:ascii="Times New Roman" w:hAnsi="Times New Roman" w:cs="Times New Roman"/>
          <w:sz w:val="24"/>
          <w:szCs w:val="24"/>
        </w:rPr>
        <w:t xml:space="preserve">statute of the </w:t>
      </w:r>
      <w:r w:rsidR="0027082D">
        <w:rPr>
          <w:rFonts w:ascii="Times New Roman" w:hAnsi="Times New Roman" w:cs="Times New Roman"/>
          <w:sz w:val="24"/>
          <w:szCs w:val="24"/>
        </w:rPr>
        <w:t xml:space="preserve">ICTY </w:t>
      </w:r>
      <w:r w:rsidR="0027082D" w:rsidRPr="00B63487">
        <w:rPr>
          <w:rFonts w:ascii="Times New Roman" w:hAnsi="Times New Roman" w:cs="Times New Roman"/>
          <w:sz w:val="24"/>
          <w:szCs w:val="24"/>
        </w:rPr>
        <w:t xml:space="preserve">established intentional destruction of cultural heritage as a </w:t>
      </w:r>
      <w:r w:rsidR="0027082D">
        <w:rPr>
          <w:rFonts w:ascii="Times New Roman" w:hAnsi="Times New Roman" w:cs="Times New Roman"/>
          <w:sz w:val="24"/>
          <w:szCs w:val="24"/>
        </w:rPr>
        <w:t xml:space="preserve">distinct </w:t>
      </w:r>
      <w:r w:rsidR="0027082D" w:rsidRPr="00B63487">
        <w:rPr>
          <w:rFonts w:ascii="Times New Roman" w:hAnsi="Times New Roman" w:cs="Times New Roman"/>
          <w:sz w:val="24"/>
          <w:szCs w:val="24"/>
        </w:rPr>
        <w:t>crime, citing the Hague Convention as evidence of customary international law.</w:t>
      </w:r>
      <w:r w:rsidR="0027082D">
        <w:rPr>
          <w:rFonts w:ascii="Times New Roman" w:hAnsi="Times New Roman" w:cs="Times New Roman"/>
          <w:sz w:val="24"/>
          <w:szCs w:val="24"/>
        </w:rPr>
        <w:t xml:space="preserve"> While the </w:t>
      </w:r>
      <w:r w:rsidR="003D6BEC">
        <w:rPr>
          <w:rFonts w:ascii="Times New Roman" w:hAnsi="Times New Roman" w:cs="Times New Roman"/>
          <w:sz w:val="24"/>
          <w:szCs w:val="24"/>
        </w:rPr>
        <w:t xml:space="preserve">1949 </w:t>
      </w:r>
      <w:r w:rsidR="0027082D">
        <w:rPr>
          <w:rFonts w:ascii="Times New Roman" w:hAnsi="Times New Roman" w:cs="Times New Roman"/>
          <w:sz w:val="24"/>
          <w:szCs w:val="24"/>
        </w:rPr>
        <w:t xml:space="preserve">Geneva Conventions do not discuss cultural property protection, the 1977 Additional Protocols </w:t>
      </w:r>
      <w:r w:rsidR="0027082D" w:rsidRPr="00AC6C8C">
        <w:rPr>
          <w:rFonts w:ascii="Times New Roman" w:hAnsi="Times New Roman" w:cs="Times New Roman"/>
          <w:sz w:val="24"/>
          <w:szCs w:val="24"/>
        </w:rPr>
        <w:t>prohibit acts of hostility directed against historic</w:t>
      </w:r>
      <w:r w:rsidR="000D6EFA">
        <w:rPr>
          <w:rFonts w:ascii="Times New Roman" w:hAnsi="Times New Roman" w:cs="Times New Roman"/>
          <w:sz w:val="24"/>
          <w:szCs w:val="24"/>
        </w:rPr>
        <w:t>al</w:t>
      </w:r>
      <w:r w:rsidR="0027082D" w:rsidRPr="00AC6C8C">
        <w:rPr>
          <w:rFonts w:ascii="Times New Roman" w:hAnsi="Times New Roman" w:cs="Times New Roman"/>
          <w:sz w:val="24"/>
          <w:szCs w:val="24"/>
        </w:rPr>
        <w:t xml:space="preserve"> monuments, works of art, </w:t>
      </w:r>
      <w:r w:rsidR="0027082D">
        <w:rPr>
          <w:rFonts w:ascii="Times New Roman" w:hAnsi="Times New Roman" w:cs="Times New Roman"/>
          <w:sz w:val="24"/>
          <w:szCs w:val="24"/>
        </w:rPr>
        <w:t>and</w:t>
      </w:r>
      <w:r w:rsidR="0027082D" w:rsidRPr="00AC6C8C">
        <w:rPr>
          <w:rFonts w:ascii="Times New Roman" w:hAnsi="Times New Roman" w:cs="Times New Roman"/>
          <w:sz w:val="24"/>
          <w:szCs w:val="24"/>
        </w:rPr>
        <w:t xml:space="preserve"> places of worship </w:t>
      </w:r>
      <w:r w:rsidR="0027082D">
        <w:rPr>
          <w:rFonts w:ascii="Times New Roman" w:hAnsi="Times New Roman" w:cs="Times New Roman"/>
          <w:sz w:val="24"/>
          <w:szCs w:val="24"/>
        </w:rPr>
        <w:t>in both international (Protocol I</w:t>
      </w:r>
      <w:r w:rsidR="00921590">
        <w:rPr>
          <w:rFonts w:ascii="Times New Roman" w:hAnsi="Times New Roman" w:cs="Times New Roman"/>
          <w:sz w:val="24"/>
          <w:szCs w:val="24"/>
        </w:rPr>
        <w:t>, Article 53</w:t>
      </w:r>
      <w:r w:rsidR="0027082D">
        <w:rPr>
          <w:rFonts w:ascii="Times New Roman" w:hAnsi="Times New Roman" w:cs="Times New Roman"/>
          <w:sz w:val="24"/>
          <w:szCs w:val="24"/>
        </w:rPr>
        <w:t>) and non-international armed conflict (Protocol II</w:t>
      </w:r>
      <w:r w:rsidR="00921590">
        <w:rPr>
          <w:rFonts w:ascii="Times New Roman" w:hAnsi="Times New Roman" w:cs="Times New Roman"/>
          <w:sz w:val="24"/>
          <w:szCs w:val="24"/>
        </w:rPr>
        <w:t>, Article 16</w:t>
      </w:r>
      <w:r w:rsidR="0027082D">
        <w:rPr>
          <w:rFonts w:ascii="Times New Roman" w:hAnsi="Times New Roman" w:cs="Times New Roman"/>
          <w:sz w:val="24"/>
          <w:szCs w:val="24"/>
        </w:rPr>
        <w:t>), but these provisions are subordinate to the 1954 Hague Convention</w:t>
      </w:r>
      <w:r w:rsidR="005D315A">
        <w:rPr>
          <w:rFonts w:ascii="Times New Roman" w:hAnsi="Times New Roman" w:cs="Times New Roman"/>
          <w:sz w:val="24"/>
          <w:szCs w:val="24"/>
        </w:rPr>
        <w:t xml:space="preserve"> because the latter law specifically focuses on </w:t>
      </w:r>
      <w:r w:rsidR="00BF6041">
        <w:rPr>
          <w:rFonts w:ascii="Times New Roman" w:hAnsi="Times New Roman" w:cs="Times New Roman"/>
          <w:sz w:val="24"/>
          <w:szCs w:val="24"/>
        </w:rPr>
        <w:t xml:space="preserve">the </w:t>
      </w:r>
      <w:r w:rsidR="005D315A">
        <w:rPr>
          <w:rFonts w:ascii="Times New Roman" w:hAnsi="Times New Roman" w:cs="Times New Roman"/>
          <w:sz w:val="24"/>
          <w:szCs w:val="24"/>
        </w:rPr>
        <w:t>issue</w:t>
      </w:r>
      <w:r w:rsidR="00BF6041">
        <w:rPr>
          <w:rFonts w:ascii="Times New Roman" w:hAnsi="Times New Roman" w:cs="Times New Roman"/>
          <w:sz w:val="24"/>
          <w:szCs w:val="24"/>
        </w:rPr>
        <w:t xml:space="preserve"> of cultural heritage</w:t>
      </w:r>
      <w:r w:rsidR="0027082D">
        <w:rPr>
          <w:rFonts w:ascii="Times New Roman" w:hAnsi="Times New Roman" w:cs="Times New Roman"/>
          <w:sz w:val="24"/>
          <w:szCs w:val="24"/>
        </w:rPr>
        <w:t>.</w:t>
      </w:r>
      <w:r w:rsidR="0027082D" w:rsidRPr="00AC6C8C">
        <w:rPr>
          <w:rStyle w:val="EndnoteReference"/>
          <w:rFonts w:ascii="Times New Roman" w:hAnsi="Times New Roman" w:cs="Times New Roman"/>
          <w:sz w:val="24"/>
          <w:szCs w:val="24"/>
        </w:rPr>
        <w:endnoteReference w:id="28"/>
      </w:r>
      <w:r w:rsidR="0027082D">
        <w:rPr>
          <w:rFonts w:ascii="Times New Roman" w:hAnsi="Times New Roman" w:cs="Times New Roman"/>
          <w:sz w:val="24"/>
          <w:szCs w:val="24"/>
        </w:rPr>
        <w:t xml:space="preserve"> The </w:t>
      </w:r>
      <w:r w:rsidR="006D414F">
        <w:rPr>
          <w:rFonts w:ascii="Times New Roman" w:hAnsi="Times New Roman" w:cs="Times New Roman"/>
          <w:sz w:val="24"/>
          <w:szCs w:val="24"/>
        </w:rPr>
        <w:t xml:space="preserve">1998 </w:t>
      </w:r>
      <w:r w:rsidR="0027082D">
        <w:rPr>
          <w:rFonts w:ascii="Times New Roman" w:hAnsi="Times New Roman" w:cs="Times New Roman"/>
          <w:sz w:val="24"/>
          <w:szCs w:val="24"/>
        </w:rPr>
        <w:t>Rome Statute of the International Criminal Court (ICC) criminalizes as a war crime the intentional destruction of cultural property in both international and non-international armed conflict.</w:t>
      </w:r>
      <w:r w:rsidR="0027082D" w:rsidRPr="00AC6C8C">
        <w:rPr>
          <w:rStyle w:val="EndnoteReference"/>
          <w:rFonts w:ascii="Times New Roman" w:hAnsi="Times New Roman" w:cs="Times New Roman"/>
          <w:sz w:val="24"/>
          <w:szCs w:val="24"/>
        </w:rPr>
        <w:endnoteReference w:id="29"/>
      </w:r>
      <w:r w:rsidR="0027082D">
        <w:rPr>
          <w:rFonts w:ascii="Times New Roman" w:hAnsi="Times New Roman" w:cs="Times New Roman"/>
          <w:sz w:val="24"/>
          <w:szCs w:val="24"/>
        </w:rPr>
        <w:t xml:space="preserve"> When the destruction of cultural heritage is part of a broader attack on a civilian population </w:t>
      </w:r>
      <w:r w:rsidR="00750A80">
        <w:rPr>
          <w:rFonts w:ascii="Times New Roman" w:hAnsi="Times New Roman" w:cs="Times New Roman"/>
          <w:sz w:val="24"/>
          <w:szCs w:val="24"/>
        </w:rPr>
        <w:t xml:space="preserve">or is motivated by a discriminatory intent, </w:t>
      </w:r>
      <w:r w:rsidR="0027082D">
        <w:rPr>
          <w:rFonts w:ascii="Times New Roman" w:hAnsi="Times New Roman" w:cs="Times New Roman"/>
          <w:sz w:val="24"/>
          <w:szCs w:val="24"/>
        </w:rPr>
        <w:t xml:space="preserve">it </w:t>
      </w:r>
      <w:r w:rsidR="008111B7">
        <w:rPr>
          <w:rFonts w:ascii="Times New Roman" w:hAnsi="Times New Roman" w:cs="Times New Roman"/>
          <w:sz w:val="24"/>
          <w:szCs w:val="24"/>
        </w:rPr>
        <w:t xml:space="preserve">may </w:t>
      </w:r>
      <w:r w:rsidR="0063276D">
        <w:rPr>
          <w:rFonts w:ascii="Times New Roman" w:hAnsi="Times New Roman" w:cs="Times New Roman"/>
          <w:sz w:val="24"/>
          <w:szCs w:val="24"/>
        </w:rPr>
        <w:t xml:space="preserve">also </w:t>
      </w:r>
      <w:r w:rsidR="008111B7">
        <w:rPr>
          <w:rFonts w:ascii="Times New Roman" w:hAnsi="Times New Roman" w:cs="Times New Roman"/>
          <w:sz w:val="24"/>
          <w:szCs w:val="24"/>
        </w:rPr>
        <w:t xml:space="preserve">constitute </w:t>
      </w:r>
      <w:r w:rsidR="0027082D">
        <w:rPr>
          <w:rFonts w:ascii="Times New Roman" w:hAnsi="Times New Roman" w:cs="Times New Roman"/>
          <w:sz w:val="24"/>
          <w:szCs w:val="24"/>
        </w:rPr>
        <w:t>a crime against humanity.</w:t>
      </w:r>
      <w:r w:rsidR="0027082D">
        <w:rPr>
          <w:rStyle w:val="EndnoteReference"/>
          <w:rFonts w:ascii="Times New Roman" w:hAnsi="Times New Roman" w:cs="Times New Roman"/>
          <w:sz w:val="24"/>
          <w:szCs w:val="24"/>
        </w:rPr>
        <w:endnoteReference w:id="30"/>
      </w:r>
    </w:p>
    <w:p w14:paraId="5650CB76" w14:textId="32AA4602" w:rsidR="004645D6" w:rsidRDefault="004645D6"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According to the </w:t>
      </w:r>
      <w:r w:rsidR="0084604E">
        <w:rPr>
          <w:rFonts w:ascii="Times New Roman" w:hAnsi="Times New Roman" w:cs="Times New Roman"/>
          <w:sz w:val="24"/>
          <w:szCs w:val="24"/>
        </w:rPr>
        <w:t>UN</w:t>
      </w:r>
      <w:r>
        <w:rPr>
          <w:rFonts w:ascii="Times New Roman" w:hAnsi="Times New Roman" w:cs="Times New Roman"/>
          <w:sz w:val="24"/>
          <w:szCs w:val="24"/>
        </w:rPr>
        <w:t xml:space="preserve"> </w:t>
      </w:r>
      <w:r w:rsidRPr="00353FB5">
        <w:rPr>
          <w:rFonts w:ascii="Times New Roman" w:hAnsi="Times New Roman" w:cs="Times New Roman"/>
          <w:i/>
          <w:iCs/>
          <w:sz w:val="24"/>
          <w:szCs w:val="24"/>
        </w:rPr>
        <w:t xml:space="preserve">Framework </w:t>
      </w:r>
      <w:r w:rsidR="0084604E" w:rsidRPr="00353FB5">
        <w:rPr>
          <w:rFonts w:ascii="Times New Roman" w:hAnsi="Times New Roman" w:cs="Times New Roman"/>
          <w:i/>
          <w:iCs/>
          <w:sz w:val="24"/>
          <w:szCs w:val="24"/>
        </w:rPr>
        <w:t xml:space="preserve">for Analysis of </w:t>
      </w:r>
      <w:r w:rsidRPr="00353FB5">
        <w:rPr>
          <w:rFonts w:ascii="Times New Roman" w:hAnsi="Times New Roman" w:cs="Times New Roman"/>
          <w:i/>
          <w:iCs/>
          <w:sz w:val="24"/>
          <w:szCs w:val="24"/>
        </w:rPr>
        <w:t>Atrocity Crimes</w:t>
      </w:r>
      <w:r>
        <w:rPr>
          <w:rFonts w:ascii="Times New Roman" w:hAnsi="Times New Roman" w:cs="Times New Roman"/>
          <w:sz w:val="24"/>
          <w:szCs w:val="24"/>
        </w:rPr>
        <w:t xml:space="preserve"> and some commentators, the obligation to ensure respect found in common Article 1 of the Geneva Conventions imposes on all </w:t>
      </w:r>
      <w:r w:rsidR="00C264E0">
        <w:rPr>
          <w:rFonts w:ascii="Times New Roman" w:hAnsi="Times New Roman" w:cs="Times New Roman"/>
          <w:sz w:val="24"/>
          <w:szCs w:val="24"/>
        </w:rPr>
        <w:t>state</w:t>
      </w:r>
      <w:r>
        <w:rPr>
          <w:rFonts w:ascii="Times New Roman" w:hAnsi="Times New Roman" w:cs="Times New Roman"/>
          <w:sz w:val="24"/>
          <w:szCs w:val="24"/>
        </w:rPr>
        <w:t xml:space="preserve"> </w:t>
      </w:r>
      <w:r w:rsidR="00C264E0">
        <w:rPr>
          <w:rFonts w:ascii="Times New Roman" w:hAnsi="Times New Roman" w:cs="Times New Roman"/>
          <w:sz w:val="24"/>
          <w:szCs w:val="24"/>
        </w:rPr>
        <w:t>p</w:t>
      </w:r>
      <w:r>
        <w:rPr>
          <w:rFonts w:ascii="Times New Roman" w:hAnsi="Times New Roman" w:cs="Times New Roman"/>
          <w:sz w:val="24"/>
          <w:szCs w:val="24"/>
        </w:rPr>
        <w:t>arties, including those that are not directly involved in a conflict, “an obligation to prevent violations of international humanitarian law,”</w:t>
      </w:r>
      <w:r>
        <w:rPr>
          <w:rStyle w:val="EndnoteReference"/>
          <w:rFonts w:ascii="Times New Roman" w:hAnsi="Times New Roman" w:cs="Times New Roman"/>
          <w:sz w:val="24"/>
          <w:szCs w:val="24"/>
        </w:rPr>
        <w:endnoteReference w:id="31"/>
      </w:r>
      <w:r>
        <w:rPr>
          <w:rFonts w:ascii="Times New Roman" w:hAnsi="Times New Roman" w:cs="Times New Roman"/>
          <w:sz w:val="24"/>
          <w:szCs w:val="24"/>
        </w:rPr>
        <w:t xml:space="preserve"> thus establishing the basis for R2P, set out in </w:t>
      </w:r>
      <w:r w:rsidR="00616964">
        <w:rPr>
          <w:rFonts w:ascii="Times New Roman" w:hAnsi="Times New Roman" w:cs="Times New Roman"/>
          <w:sz w:val="24"/>
          <w:szCs w:val="24"/>
        </w:rPr>
        <w:t xml:space="preserve">the UN </w:t>
      </w:r>
      <w:r w:rsidR="00616964" w:rsidRPr="00353FB5">
        <w:rPr>
          <w:rFonts w:ascii="Times New Roman" w:hAnsi="Times New Roman" w:cs="Times New Roman"/>
          <w:i/>
          <w:iCs/>
          <w:sz w:val="24"/>
          <w:szCs w:val="24"/>
        </w:rPr>
        <w:t>2005 World Summit Outcome</w:t>
      </w:r>
      <w:r w:rsidR="00616964">
        <w:rPr>
          <w:rFonts w:ascii="Times New Roman" w:hAnsi="Times New Roman" w:cs="Times New Roman"/>
          <w:sz w:val="24"/>
          <w:szCs w:val="24"/>
        </w:rPr>
        <w:t xml:space="preserve"> document</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32"/>
      </w:r>
      <w:r>
        <w:rPr>
          <w:rFonts w:ascii="Times New Roman" w:hAnsi="Times New Roman" w:cs="Times New Roman"/>
          <w:sz w:val="24"/>
          <w:szCs w:val="24"/>
        </w:rPr>
        <w:t xml:space="preserve"> As further formulated in the 2009 </w:t>
      </w:r>
      <w:r w:rsidR="008D7811">
        <w:rPr>
          <w:rFonts w:ascii="Times New Roman" w:hAnsi="Times New Roman" w:cs="Times New Roman"/>
          <w:sz w:val="24"/>
          <w:szCs w:val="24"/>
        </w:rPr>
        <w:t>report</w:t>
      </w:r>
      <w:r>
        <w:rPr>
          <w:rFonts w:ascii="Times New Roman" w:hAnsi="Times New Roman" w:cs="Times New Roman"/>
          <w:sz w:val="24"/>
          <w:szCs w:val="24"/>
        </w:rPr>
        <w:t xml:space="preserve"> </w:t>
      </w:r>
      <w:r w:rsidRPr="00A65583">
        <w:rPr>
          <w:rFonts w:ascii="Times New Roman" w:hAnsi="Times New Roman" w:cs="Times New Roman"/>
          <w:i/>
          <w:iCs/>
          <w:sz w:val="24"/>
          <w:szCs w:val="24"/>
        </w:rPr>
        <w:t xml:space="preserve">Implementing the </w:t>
      </w:r>
      <w:r w:rsidR="008D7811">
        <w:rPr>
          <w:rFonts w:ascii="Times New Roman" w:hAnsi="Times New Roman" w:cs="Times New Roman"/>
          <w:i/>
          <w:iCs/>
          <w:sz w:val="24"/>
          <w:szCs w:val="24"/>
        </w:rPr>
        <w:t>R</w:t>
      </w:r>
      <w:r w:rsidRPr="00A65583">
        <w:rPr>
          <w:rFonts w:ascii="Times New Roman" w:hAnsi="Times New Roman" w:cs="Times New Roman"/>
          <w:i/>
          <w:iCs/>
          <w:sz w:val="24"/>
          <w:szCs w:val="24"/>
        </w:rPr>
        <w:t xml:space="preserve">esponsibility to </w:t>
      </w:r>
      <w:r w:rsidR="008D7811">
        <w:rPr>
          <w:rFonts w:ascii="Times New Roman" w:hAnsi="Times New Roman" w:cs="Times New Roman"/>
          <w:i/>
          <w:iCs/>
          <w:sz w:val="24"/>
          <w:szCs w:val="24"/>
        </w:rPr>
        <w:t>P</w:t>
      </w:r>
      <w:r w:rsidRPr="00A65583">
        <w:rPr>
          <w:rFonts w:ascii="Times New Roman" w:hAnsi="Times New Roman" w:cs="Times New Roman"/>
          <w:i/>
          <w:iCs/>
          <w:sz w:val="24"/>
          <w:szCs w:val="24"/>
        </w:rPr>
        <w:t>rotect</w:t>
      </w:r>
      <w:r>
        <w:rPr>
          <w:rFonts w:ascii="Times New Roman" w:hAnsi="Times New Roman" w:cs="Times New Roman"/>
          <w:sz w:val="24"/>
          <w:szCs w:val="24"/>
        </w:rPr>
        <w:t xml:space="preserve">, the </w:t>
      </w:r>
      <w:r w:rsidR="0077700B">
        <w:rPr>
          <w:rFonts w:ascii="Times New Roman" w:hAnsi="Times New Roman" w:cs="Times New Roman"/>
          <w:sz w:val="24"/>
          <w:szCs w:val="24"/>
        </w:rPr>
        <w:t xml:space="preserve">emerging norm </w:t>
      </w:r>
      <w:r>
        <w:rPr>
          <w:rFonts w:ascii="Times New Roman" w:hAnsi="Times New Roman" w:cs="Times New Roman"/>
          <w:sz w:val="24"/>
          <w:szCs w:val="24"/>
        </w:rPr>
        <w:t>encompasses three pillars.</w:t>
      </w:r>
      <w:r>
        <w:rPr>
          <w:rStyle w:val="EndnoteReference"/>
          <w:rFonts w:ascii="Times New Roman" w:hAnsi="Times New Roman" w:cs="Times New Roman"/>
          <w:sz w:val="24"/>
          <w:szCs w:val="24"/>
        </w:rPr>
        <w:endnoteReference w:id="33"/>
      </w:r>
      <w:r>
        <w:rPr>
          <w:rFonts w:ascii="Times New Roman" w:hAnsi="Times New Roman" w:cs="Times New Roman"/>
          <w:sz w:val="24"/>
          <w:szCs w:val="24"/>
        </w:rPr>
        <w:t xml:space="preserve"> </w:t>
      </w:r>
      <w:r w:rsidR="002A6619">
        <w:rPr>
          <w:rFonts w:ascii="Times New Roman" w:hAnsi="Times New Roman" w:cs="Times New Roman"/>
          <w:sz w:val="24"/>
          <w:szCs w:val="24"/>
        </w:rPr>
        <w:t>In pillar one</w:t>
      </w:r>
      <w:r>
        <w:rPr>
          <w:rFonts w:ascii="Times New Roman" w:hAnsi="Times New Roman" w:cs="Times New Roman"/>
          <w:sz w:val="24"/>
          <w:szCs w:val="24"/>
        </w:rPr>
        <w:t xml:space="preserve">, each </w:t>
      </w:r>
      <w:r w:rsidR="00C264E0">
        <w:rPr>
          <w:rFonts w:ascii="Times New Roman" w:hAnsi="Times New Roman" w:cs="Times New Roman"/>
          <w:sz w:val="24"/>
          <w:szCs w:val="24"/>
        </w:rPr>
        <w:t>state</w:t>
      </w:r>
      <w:r>
        <w:rPr>
          <w:rFonts w:ascii="Times New Roman" w:hAnsi="Times New Roman" w:cs="Times New Roman"/>
          <w:sz w:val="24"/>
          <w:szCs w:val="24"/>
        </w:rPr>
        <w:t xml:space="preserve"> bears primary responsibility for protecting its population from genocide, war crimes, ethnic cleansing, and crimes against humanity. </w:t>
      </w:r>
      <w:r w:rsidR="002A6619">
        <w:rPr>
          <w:rFonts w:ascii="Times New Roman" w:hAnsi="Times New Roman" w:cs="Times New Roman"/>
          <w:sz w:val="24"/>
          <w:szCs w:val="24"/>
        </w:rPr>
        <w:t>In pillar two</w:t>
      </w:r>
      <w:r>
        <w:rPr>
          <w:rFonts w:ascii="Times New Roman" w:hAnsi="Times New Roman" w:cs="Times New Roman"/>
          <w:sz w:val="24"/>
          <w:szCs w:val="24"/>
        </w:rPr>
        <w:t xml:space="preserve">, the international community commits to assist </w:t>
      </w:r>
      <w:r w:rsidR="00C264E0">
        <w:rPr>
          <w:rFonts w:ascii="Times New Roman" w:hAnsi="Times New Roman" w:cs="Times New Roman"/>
          <w:sz w:val="24"/>
          <w:szCs w:val="24"/>
        </w:rPr>
        <w:t>state</w:t>
      </w:r>
      <w:r>
        <w:rPr>
          <w:rFonts w:ascii="Times New Roman" w:hAnsi="Times New Roman" w:cs="Times New Roman"/>
          <w:sz w:val="24"/>
          <w:szCs w:val="24"/>
        </w:rPr>
        <w:t xml:space="preserve">s in fulfilling this responsibility, by building capacity and assisting </w:t>
      </w:r>
      <w:r w:rsidR="00C264E0">
        <w:rPr>
          <w:rFonts w:ascii="Times New Roman" w:hAnsi="Times New Roman" w:cs="Times New Roman"/>
          <w:sz w:val="24"/>
          <w:szCs w:val="24"/>
        </w:rPr>
        <w:t>state</w:t>
      </w:r>
      <w:r>
        <w:rPr>
          <w:rFonts w:ascii="Times New Roman" w:hAnsi="Times New Roman" w:cs="Times New Roman"/>
          <w:sz w:val="24"/>
          <w:szCs w:val="24"/>
        </w:rPr>
        <w:t xml:space="preserve">s before crises and conflicts occur. </w:t>
      </w:r>
      <w:r w:rsidR="003603E8">
        <w:rPr>
          <w:rFonts w:ascii="Times New Roman" w:hAnsi="Times New Roman" w:cs="Times New Roman"/>
          <w:sz w:val="24"/>
          <w:szCs w:val="24"/>
        </w:rPr>
        <w:t>And f</w:t>
      </w:r>
      <w:r w:rsidR="002A6619">
        <w:rPr>
          <w:rFonts w:ascii="Times New Roman" w:hAnsi="Times New Roman" w:cs="Times New Roman"/>
          <w:sz w:val="24"/>
          <w:szCs w:val="24"/>
        </w:rPr>
        <w:t>inally, in pillar three</w:t>
      </w:r>
      <w:r>
        <w:rPr>
          <w:rFonts w:ascii="Times New Roman" w:hAnsi="Times New Roman" w:cs="Times New Roman"/>
          <w:sz w:val="24"/>
          <w:szCs w:val="24"/>
        </w:rPr>
        <w:t xml:space="preserve">, the international community has a responsibility to respond collectively </w:t>
      </w:r>
      <w:r>
        <w:rPr>
          <w:rFonts w:ascii="Times New Roman" w:hAnsi="Times New Roman" w:cs="Times New Roman"/>
          <w:sz w:val="24"/>
          <w:szCs w:val="24"/>
        </w:rPr>
        <w:lastRenderedPageBreak/>
        <w:t>using diplomatic, humanitarian</w:t>
      </w:r>
      <w:r w:rsidR="0021446E">
        <w:rPr>
          <w:rFonts w:ascii="Times New Roman" w:hAnsi="Times New Roman" w:cs="Times New Roman"/>
          <w:sz w:val="24"/>
          <w:szCs w:val="24"/>
        </w:rPr>
        <w:t>,</w:t>
      </w:r>
      <w:r>
        <w:rPr>
          <w:rFonts w:ascii="Times New Roman" w:hAnsi="Times New Roman" w:cs="Times New Roman"/>
          <w:sz w:val="24"/>
          <w:szCs w:val="24"/>
        </w:rPr>
        <w:t xml:space="preserve"> and other peaceful means through the United Nations when </w:t>
      </w:r>
      <w:r w:rsidR="0021446E">
        <w:rPr>
          <w:rFonts w:ascii="Times New Roman" w:hAnsi="Times New Roman" w:cs="Times New Roman"/>
          <w:sz w:val="24"/>
          <w:szCs w:val="24"/>
        </w:rPr>
        <w:t xml:space="preserve">a </w:t>
      </w:r>
      <w:r w:rsidR="00C264E0">
        <w:rPr>
          <w:rFonts w:ascii="Times New Roman" w:hAnsi="Times New Roman" w:cs="Times New Roman"/>
          <w:sz w:val="24"/>
          <w:szCs w:val="24"/>
        </w:rPr>
        <w:t>state</w:t>
      </w:r>
      <w:r>
        <w:rPr>
          <w:rFonts w:ascii="Times New Roman" w:hAnsi="Times New Roman" w:cs="Times New Roman"/>
          <w:sz w:val="24"/>
          <w:szCs w:val="24"/>
        </w:rPr>
        <w:t xml:space="preserve"> fails to protect its population. If peaceful means are inadequate and national authorities are manifestly failing to fulfill their responsibilities to protect their populations, then collective action may be taken by the Security Council under Chapter VII of the UN Charter</w:t>
      </w:r>
      <w:r w:rsidR="00F77DF4">
        <w:rPr>
          <w:rFonts w:ascii="Times New Roman" w:hAnsi="Times New Roman" w:cs="Times New Roman"/>
          <w:sz w:val="24"/>
          <w:szCs w:val="24"/>
        </w:rPr>
        <w:t xml:space="preserve">, </w:t>
      </w:r>
      <w:r w:rsidR="00F77DF4" w:rsidRPr="00F77DF4">
        <w:rPr>
          <w:rFonts w:ascii="Times New Roman" w:hAnsi="Times New Roman" w:cs="Times New Roman"/>
          <w:sz w:val="24"/>
          <w:szCs w:val="24"/>
        </w:rPr>
        <w:t>which permits military enforcement</w:t>
      </w:r>
      <w:r>
        <w:rPr>
          <w:rFonts w:ascii="Times New Roman" w:hAnsi="Times New Roman" w:cs="Times New Roman"/>
          <w:sz w:val="24"/>
          <w:szCs w:val="24"/>
        </w:rPr>
        <w:t xml:space="preserve">. The limitations set by R2P on </w:t>
      </w:r>
      <w:r w:rsidR="00902A73">
        <w:rPr>
          <w:rFonts w:ascii="Times New Roman" w:hAnsi="Times New Roman" w:cs="Times New Roman"/>
          <w:sz w:val="24"/>
          <w:szCs w:val="24"/>
        </w:rPr>
        <w:t xml:space="preserve">an </w:t>
      </w:r>
      <w:r>
        <w:rPr>
          <w:rFonts w:ascii="Times New Roman" w:hAnsi="Times New Roman" w:cs="Times New Roman"/>
          <w:sz w:val="24"/>
          <w:szCs w:val="24"/>
        </w:rPr>
        <w:t xml:space="preserve">individual </w:t>
      </w:r>
      <w:r w:rsidR="00C264E0">
        <w:rPr>
          <w:rFonts w:ascii="Times New Roman" w:hAnsi="Times New Roman" w:cs="Times New Roman"/>
          <w:sz w:val="24"/>
          <w:szCs w:val="24"/>
        </w:rPr>
        <w:t>state</w:t>
      </w:r>
      <w:r w:rsidR="00902A73">
        <w:rPr>
          <w:rFonts w:ascii="Times New Roman" w:hAnsi="Times New Roman" w:cs="Times New Roman"/>
          <w:sz w:val="24"/>
          <w:szCs w:val="24"/>
        </w:rPr>
        <w:t>’s</w:t>
      </w:r>
      <w:r>
        <w:rPr>
          <w:rFonts w:ascii="Times New Roman" w:hAnsi="Times New Roman" w:cs="Times New Roman"/>
          <w:sz w:val="24"/>
          <w:szCs w:val="24"/>
        </w:rPr>
        <w:t xml:space="preserve"> action outside its own territorial borders restrict what can be done by </w:t>
      </w:r>
      <w:r w:rsidR="00C264E0">
        <w:rPr>
          <w:rFonts w:ascii="Times New Roman" w:hAnsi="Times New Roman" w:cs="Times New Roman"/>
          <w:sz w:val="24"/>
          <w:szCs w:val="24"/>
        </w:rPr>
        <w:t>state</w:t>
      </w:r>
      <w:r>
        <w:rPr>
          <w:rFonts w:ascii="Times New Roman" w:hAnsi="Times New Roman" w:cs="Times New Roman"/>
          <w:sz w:val="24"/>
          <w:szCs w:val="24"/>
        </w:rPr>
        <w:t>s to protect or prevent destruction of tangible heritage, particularly immovable heritage, even during times of crisis. While the desire to engage in such interventionist protectiv</w:t>
      </w:r>
      <w:r w:rsidR="00F119ED">
        <w:rPr>
          <w:rFonts w:ascii="Times New Roman" w:hAnsi="Times New Roman" w:cs="Times New Roman"/>
          <w:sz w:val="24"/>
          <w:szCs w:val="24"/>
        </w:rPr>
        <w:t>e</w:t>
      </w:r>
      <w:r>
        <w:rPr>
          <w:rFonts w:ascii="Times New Roman" w:hAnsi="Times New Roman" w:cs="Times New Roman"/>
          <w:sz w:val="24"/>
          <w:szCs w:val="24"/>
        </w:rPr>
        <w:t xml:space="preserve"> activity has a superficial appeal, it would fall outside both the applicable law and applicable norms with respect to cultural heritage protection.</w:t>
      </w:r>
    </w:p>
    <w:p w14:paraId="0F1344AD" w14:textId="3030E251" w:rsidR="0027082D" w:rsidRPr="0011701B" w:rsidRDefault="00AF37DE" w:rsidP="004D55E5">
      <w:pPr>
        <w:pStyle w:val="RIPLMainText"/>
        <w:spacing w:line="480" w:lineRule="auto"/>
        <w:ind w:firstLine="720"/>
        <w:jc w:val="left"/>
        <w:rPr>
          <w:rFonts w:ascii="Times New Roman" w:hAnsi="Times New Roman" w:cs="Times New Roman"/>
          <w:color w:val="000000" w:themeColor="text1"/>
          <w:sz w:val="24"/>
          <w:szCs w:val="24"/>
        </w:rPr>
      </w:pPr>
      <w:r>
        <w:rPr>
          <w:rFonts w:ascii="Times New Roman" w:hAnsi="Times New Roman" w:cs="Times New Roman"/>
          <w:sz w:val="24"/>
          <w:szCs w:val="24"/>
        </w:rPr>
        <w:t>In November 2015, t</w:t>
      </w:r>
      <w:r w:rsidR="0027082D">
        <w:rPr>
          <w:rFonts w:ascii="Times New Roman" w:hAnsi="Times New Roman" w:cs="Times New Roman"/>
          <w:sz w:val="24"/>
          <w:szCs w:val="24"/>
        </w:rPr>
        <w:t xml:space="preserve">he </w:t>
      </w:r>
      <w:r w:rsidR="009A22C7">
        <w:rPr>
          <w:rFonts w:ascii="Times New Roman" w:hAnsi="Times New Roman" w:cs="Times New Roman"/>
          <w:sz w:val="24"/>
          <w:szCs w:val="24"/>
        </w:rPr>
        <w:t xml:space="preserve">UNESCO </w:t>
      </w:r>
      <w:r w:rsidR="0027082D">
        <w:rPr>
          <w:rFonts w:ascii="Times New Roman" w:hAnsi="Times New Roman" w:cs="Times New Roman"/>
          <w:sz w:val="24"/>
          <w:szCs w:val="24"/>
        </w:rPr>
        <w:t xml:space="preserve">Expert Meeting on the “Responsibility to Protect” as </w:t>
      </w:r>
      <w:r w:rsidR="007E3FF6">
        <w:rPr>
          <w:rFonts w:ascii="Times New Roman" w:hAnsi="Times New Roman" w:cs="Times New Roman"/>
          <w:sz w:val="24"/>
          <w:szCs w:val="24"/>
        </w:rPr>
        <w:t>A</w:t>
      </w:r>
      <w:r w:rsidR="0027082D">
        <w:rPr>
          <w:rFonts w:ascii="Times New Roman" w:hAnsi="Times New Roman" w:cs="Times New Roman"/>
          <w:sz w:val="24"/>
          <w:szCs w:val="24"/>
        </w:rPr>
        <w:t xml:space="preserve">pplied to the Protection of Cultural Heritage in Armed Conflict described </w:t>
      </w:r>
      <w:r w:rsidR="00655209">
        <w:rPr>
          <w:rFonts w:ascii="Times New Roman" w:hAnsi="Times New Roman" w:cs="Times New Roman"/>
          <w:sz w:val="24"/>
          <w:szCs w:val="24"/>
        </w:rPr>
        <w:t xml:space="preserve">R2P </w:t>
      </w:r>
      <w:r w:rsidR="0027082D">
        <w:rPr>
          <w:rFonts w:ascii="Times New Roman" w:hAnsi="Times New Roman" w:cs="Times New Roman"/>
          <w:sz w:val="24"/>
          <w:szCs w:val="24"/>
        </w:rPr>
        <w:t>as “not a legally binding obligation but a political concept, even if relevant obligations did exist under various bodies of international law.”</w:t>
      </w:r>
      <w:r w:rsidR="0027082D">
        <w:rPr>
          <w:rStyle w:val="EndnoteReference"/>
          <w:rFonts w:ascii="Times New Roman" w:hAnsi="Times New Roman" w:cs="Times New Roman"/>
          <w:sz w:val="24"/>
          <w:szCs w:val="24"/>
        </w:rPr>
        <w:endnoteReference w:id="34"/>
      </w:r>
      <w:r w:rsidR="0027082D">
        <w:rPr>
          <w:rFonts w:ascii="Times New Roman" w:hAnsi="Times New Roman" w:cs="Times New Roman"/>
          <w:sz w:val="24"/>
          <w:szCs w:val="24"/>
        </w:rPr>
        <w:t xml:space="preserve"> Nonetheless, given the status of destruction of cultural heritage as a war crime and sometimes a crime against humanity, </w:t>
      </w:r>
      <w:r w:rsidR="00AD3301">
        <w:rPr>
          <w:rFonts w:ascii="Times New Roman" w:hAnsi="Times New Roman" w:cs="Times New Roman"/>
          <w:sz w:val="24"/>
          <w:szCs w:val="24"/>
        </w:rPr>
        <w:t xml:space="preserve">a </w:t>
      </w:r>
      <w:r w:rsidR="0027082D">
        <w:rPr>
          <w:rFonts w:ascii="Times New Roman" w:hAnsi="Times New Roman" w:cs="Times New Roman"/>
          <w:sz w:val="24"/>
          <w:szCs w:val="24"/>
        </w:rPr>
        <w:t xml:space="preserve">consensus has developed that such destruction fits within the R2P </w:t>
      </w:r>
      <w:r w:rsidR="0077700B">
        <w:rPr>
          <w:rFonts w:ascii="Times New Roman" w:hAnsi="Times New Roman" w:cs="Times New Roman"/>
          <w:sz w:val="24"/>
          <w:szCs w:val="24"/>
        </w:rPr>
        <w:t>norm</w:t>
      </w:r>
      <w:r w:rsidR="0027082D">
        <w:rPr>
          <w:rFonts w:ascii="Times New Roman" w:hAnsi="Times New Roman" w:cs="Times New Roman"/>
          <w:sz w:val="24"/>
          <w:szCs w:val="24"/>
        </w:rPr>
        <w:t>.</w:t>
      </w:r>
      <w:r w:rsidR="0027082D">
        <w:rPr>
          <w:rStyle w:val="EndnoteReference"/>
          <w:rFonts w:ascii="Times New Roman" w:hAnsi="Times New Roman" w:cs="Times New Roman"/>
          <w:sz w:val="24"/>
          <w:szCs w:val="24"/>
        </w:rPr>
        <w:endnoteReference w:id="35"/>
      </w:r>
      <w:r w:rsidR="0027082D">
        <w:rPr>
          <w:rFonts w:ascii="Times New Roman" w:hAnsi="Times New Roman" w:cs="Times New Roman"/>
          <w:sz w:val="24"/>
          <w:szCs w:val="24"/>
        </w:rPr>
        <w:t xml:space="preserve"> </w:t>
      </w:r>
      <w:r w:rsidR="00A536DE" w:rsidRPr="0011701B">
        <w:rPr>
          <w:rFonts w:ascii="Times New Roman" w:hAnsi="Times New Roman" w:cs="Times New Roman"/>
          <w:color w:val="000000" w:themeColor="text1"/>
          <w:sz w:val="24"/>
          <w:szCs w:val="24"/>
        </w:rPr>
        <w:t xml:space="preserve">Statements in </w:t>
      </w:r>
      <w:r w:rsidR="00490BE7">
        <w:rPr>
          <w:rFonts w:ascii="Times New Roman" w:hAnsi="Times New Roman" w:cs="Times New Roman"/>
          <w:color w:val="000000" w:themeColor="text1"/>
          <w:sz w:val="24"/>
          <w:szCs w:val="24"/>
        </w:rPr>
        <w:t xml:space="preserve">various international legal documents </w:t>
      </w:r>
      <w:r w:rsidR="00490BE7" w:rsidRPr="0011701B">
        <w:rPr>
          <w:rFonts w:ascii="Times New Roman" w:hAnsi="Times New Roman" w:cs="Times New Roman"/>
          <w:color w:val="000000" w:themeColor="text1"/>
          <w:sz w:val="24"/>
          <w:szCs w:val="24"/>
        </w:rPr>
        <w:t xml:space="preserve">indicate the interests of the international community in the preservation of cultural heritage across territorial boundaries and </w:t>
      </w:r>
      <w:r w:rsidR="0045231F">
        <w:rPr>
          <w:rFonts w:ascii="Times New Roman" w:hAnsi="Times New Roman" w:cs="Times New Roman"/>
          <w:color w:val="000000" w:themeColor="text1"/>
          <w:sz w:val="24"/>
          <w:szCs w:val="24"/>
        </w:rPr>
        <w:t>that th</w:t>
      </w:r>
      <w:r w:rsidR="00541E53">
        <w:rPr>
          <w:rFonts w:ascii="Times New Roman" w:hAnsi="Times New Roman" w:cs="Times New Roman"/>
          <w:color w:val="000000" w:themeColor="text1"/>
          <w:sz w:val="24"/>
          <w:szCs w:val="24"/>
        </w:rPr>
        <w:t>ese</w:t>
      </w:r>
      <w:r w:rsidR="0045231F">
        <w:rPr>
          <w:rFonts w:ascii="Times New Roman" w:hAnsi="Times New Roman" w:cs="Times New Roman"/>
          <w:color w:val="000000" w:themeColor="text1"/>
          <w:sz w:val="24"/>
          <w:szCs w:val="24"/>
        </w:rPr>
        <w:t xml:space="preserve"> </w:t>
      </w:r>
      <w:r w:rsidR="00490BE7" w:rsidRPr="0011701B">
        <w:rPr>
          <w:rFonts w:ascii="Times New Roman" w:hAnsi="Times New Roman" w:cs="Times New Roman"/>
          <w:color w:val="000000" w:themeColor="text1"/>
          <w:sz w:val="24"/>
          <w:szCs w:val="24"/>
        </w:rPr>
        <w:t>may supersede some concerns with territorial sovereignty</w:t>
      </w:r>
      <w:r w:rsidR="00490BE7">
        <w:rPr>
          <w:rFonts w:ascii="Times New Roman" w:hAnsi="Times New Roman" w:cs="Times New Roman"/>
          <w:color w:val="000000" w:themeColor="text1"/>
          <w:sz w:val="24"/>
          <w:szCs w:val="24"/>
        </w:rPr>
        <w:t>:</w:t>
      </w:r>
      <w:r w:rsidR="00490BE7" w:rsidRPr="0011701B">
        <w:rPr>
          <w:rFonts w:ascii="Times New Roman" w:hAnsi="Times New Roman" w:cs="Times New Roman"/>
          <w:color w:val="000000" w:themeColor="text1"/>
          <w:sz w:val="24"/>
          <w:szCs w:val="24"/>
        </w:rPr>
        <w:t xml:space="preserve"> </w:t>
      </w:r>
      <w:r w:rsidR="00A536DE" w:rsidRPr="0011701B">
        <w:rPr>
          <w:rFonts w:ascii="Times New Roman" w:hAnsi="Times New Roman" w:cs="Times New Roman"/>
          <w:color w:val="000000" w:themeColor="text1"/>
          <w:sz w:val="24"/>
          <w:szCs w:val="24"/>
        </w:rPr>
        <w:t>the 1954 Hague Convention</w:t>
      </w:r>
      <w:r w:rsidR="009E2745">
        <w:rPr>
          <w:rFonts w:ascii="Times New Roman" w:hAnsi="Times New Roman" w:cs="Times New Roman"/>
          <w:color w:val="000000" w:themeColor="text1"/>
          <w:sz w:val="24"/>
          <w:szCs w:val="24"/>
        </w:rPr>
        <w:t xml:space="preserve"> (in the preamble)</w:t>
      </w:r>
      <w:r w:rsidR="00A536DE" w:rsidRPr="0011701B">
        <w:rPr>
          <w:rFonts w:ascii="Times New Roman" w:hAnsi="Times New Roman" w:cs="Times New Roman"/>
          <w:color w:val="000000" w:themeColor="text1"/>
          <w:sz w:val="24"/>
          <w:szCs w:val="24"/>
        </w:rPr>
        <w:t xml:space="preserve">, the </w:t>
      </w:r>
      <w:r w:rsidR="00C11CAF" w:rsidRPr="00C11CAF">
        <w:rPr>
          <w:rFonts w:ascii="Times New Roman" w:hAnsi="Times New Roman" w:cs="Times New Roman"/>
          <w:color w:val="000000" w:themeColor="text1"/>
          <w:sz w:val="24"/>
          <w:szCs w:val="24"/>
        </w:rPr>
        <w:t>1972 Convention Concerning the Protection of the World Cultural and Natural Heritage</w:t>
      </w:r>
      <w:r w:rsidR="00A536DE" w:rsidRPr="0011701B">
        <w:rPr>
          <w:rFonts w:ascii="Times New Roman" w:hAnsi="Times New Roman" w:cs="Times New Roman"/>
          <w:color w:val="000000" w:themeColor="text1"/>
          <w:sz w:val="24"/>
          <w:szCs w:val="24"/>
        </w:rPr>
        <w:t xml:space="preserve">, Additional Protocols I and II to the Geneva Conventions, </w:t>
      </w:r>
      <w:r w:rsidR="00731F81" w:rsidRPr="0011701B">
        <w:rPr>
          <w:rFonts w:ascii="Times New Roman" w:hAnsi="Times New Roman" w:cs="Times New Roman"/>
          <w:color w:val="000000" w:themeColor="text1"/>
          <w:sz w:val="24"/>
          <w:szCs w:val="24"/>
        </w:rPr>
        <w:t xml:space="preserve">the </w:t>
      </w:r>
      <w:r w:rsidR="00C11CAF">
        <w:rPr>
          <w:rFonts w:ascii="Times New Roman" w:hAnsi="Times New Roman" w:cs="Times New Roman"/>
          <w:color w:val="000000" w:themeColor="text1"/>
          <w:sz w:val="24"/>
          <w:szCs w:val="24"/>
        </w:rPr>
        <w:t>s</w:t>
      </w:r>
      <w:r w:rsidR="00731F81" w:rsidRPr="0011701B">
        <w:rPr>
          <w:rFonts w:ascii="Times New Roman" w:hAnsi="Times New Roman" w:cs="Times New Roman"/>
          <w:color w:val="000000" w:themeColor="text1"/>
          <w:sz w:val="24"/>
          <w:szCs w:val="24"/>
        </w:rPr>
        <w:t xml:space="preserve">tatute of the </w:t>
      </w:r>
      <w:r w:rsidR="00C11CAF">
        <w:rPr>
          <w:rFonts w:ascii="Times New Roman" w:hAnsi="Times New Roman" w:cs="Times New Roman"/>
          <w:color w:val="000000" w:themeColor="text1"/>
          <w:sz w:val="24"/>
          <w:szCs w:val="24"/>
        </w:rPr>
        <w:t xml:space="preserve">ICTY </w:t>
      </w:r>
      <w:r w:rsidR="00A32972" w:rsidRPr="0011701B">
        <w:rPr>
          <w:rFonts w:ascii="Times New Roman" w:hAnsi="Times New Roman" w:cs="Times New Roman"/>
          <w:color w:val="000000" w:themeColor="text1"/>
          <w:sz w:val="24"/>
          <w:szCs w:val="24"/>
        </w:rPr>
        <w:t>(</w:t>
      </w:r>
      <w:r w:rsidR="001405B3" w:rsidRPr="0011701B">
        <w:rPr>
          <w:rFonts w:ascii="Times New Roman" w:hAnsi="Times New Roman" w:cs="Times New Roman"/>
          <w:color w:val="000000" w:themeColor="text1"/>
          <w:sz w:val="24"/>
          <w:szCs w:val="24"/>
        </w:rPr>
        <w:t>Article 3</w:t>
      </w:r>
      <w:r w:rsidR="001405B3">
        <w:rPr>
          <w:rFonts w:ascii="Times New Roman" w:hAnsi="Times New Roman" w:cs="Times New Roman"/>
          <w:color w:val="000000" w:themeColor="text1"/>
          <w:sz w:val="24"/>
          <w:szCs w:val="24"/>
        </w:rPr>
        <w:t>.</w:t>
      </w:r>
      <w:r w:rsidR="001405B3" w:rsidRPr="0011701B">
        <w:rPr>
          <w:rFonts w:ascii="Times New Roman" w:hAnsi="Times New Roman" w:cs="Times New Roman"/>
          <w:color w:val="000000" w:themeColor="text1"/>
          <w:sz w:val="24"/>
          <w:szCs w:val="24"/>
        </w:rPr>
        <w:t>d</w:t>
      </w:r>
      <w:r w:rsidR="00A32972" w:rsidRPr="0011701B">
        <w:rPr>
          <w:rFonts w:ascii="Times New Roman" w:hAnsi="Times New Roman" w:cs="Times New Roman"/>
          <w:color w:val="000000" w:themeColor="text1"/>
          <w:sz w:val="24"/>
          <w:szCs w:val="24"/>
        </w:rPr>
        <w:t>)</w:t>
      </w:r>
      <w:r w:rsidR="00731F81" w:rsidRPr="0011701B">
        <w:rPr>
          <w:rFonts w:ascii="Times New Roman" w:hAnsi="Times New Roman" w:cs="Times New Roman"/>
          <w:color w:val="000000" w:themeColor="text1"/>
          <w:sz w:val="24"/>
          <w:szCs w:val="24"/>
        </w:rPr>
        <w:t xml:space="preserve">, </w:t>
      </w:r>
      <w:r w:rsidR="00A536DE" w:rsidRPr="0011701B">
        <w:rPr>
          <w:rFonts w:ascii="Times New Roman" w:hAnsi="Times New Roman" w:cs="Times New Roman"/>
          <w:color w:val="000000" w:themeColor="text1"/>
          <w:sz w:val="24"/>
          <w:szCs w:val="24"/>
        </w:rPr>
        <w:t xml:space="preserve">and the 2003 UNESCO Declaration </w:t>
      </w:r>
      <w:r w:rsidR="000B6E65">
        <w:rPr>
          <w:rFonts w:ascii="Times New Roman" w:hAnsi="Times New Roman" w:cs="Times New Roman"/>
          <w:color w:val="000000" w:themeColor="text1"/>
          <w:sz w:val="24"/>
          <w:szCs w:val="24"/>
        </w:rPr>
        <w:t>C</w:t>
      </w:r>
      <w:r w:rsidR="00A536DE" w:rsidRPr="0011701B">
        <w:rPr>
          <w:rFonts w:ascii="Times New Roman" w:hAnsi="Times New Roman" w:cs="Times New Roman"/>
          <w:color w:val="000000" w:themeColor="text1"/>
          <w:sz w:val="24"/>
          <w:szCs w:val="24"/>
        </w:rPr>
        <w:t>oncerning the Intentional Destruction of Cultural Heritage.</w:t>
      </w:r>
      <w:r w:rsidR="00A536DE" w:rsidRPr="0011701B">
        <w:rPr>
          <w:rStyle w:val="EndnoteReference"/>
          <w:rFonts w:ascii="Times New Roman" w:hAnsi="Times New Roman" w:cs="Times New Roman"/>
          <w:color w:val="000000" w:themeColor="text1"/>
          <w:sz w:val="24"/>
          <w:szCs w:val="24"/>
        </w:rPr>
        <w:endnoteReference w:id="36"/>
      </w:r>
      <w:r w:rsidR="00A536DE" w:rsidRPr="0011701B">
        <w:rPr>
          <w:rFonts w:ascii="Times New Roman" w:hAnsi="Times New Roman" w:cs="Times New Roman"/>
          <w:color w:val="000000" w:themeColor="text1"/>
          <w:sz w:val="24"/>
          <w:szCs w:val="24"/>
        </w:rPr>
        <w:t xml:space="preserve"> </w:t>
      </w:r>
      <w:r w:rsidR="00AA1879">
        <w:rPr>
          <w:rFonts w:ascii="Times New Roman" w:hAnsi="Times New Roman" w:cs="Times New Roman"/>
          <w:color w:val="000000" w:themeColor="text1"/>
          <w:sz w:val="24"/>
          <w:szCs w:val="24"/>
        </w:rPr>
        <w:t>W</w:t>
      </w:r>
      <w:r w:rsidR="00590DB2" w:rsidRPr="0011701B">
        <w:rPr>
          <w:rFonts w:ascii="Times New Roman" w:hAnsi="Times New Roman" w:cs="Times New Roman"/>
          <w:color w:val="000000" w:themeColor="text1"/>
          <w:sz w:val="24"/>
          <w:szCs w:val="24"/>
        </w:rPr>
        <w:t xml:space="preserve">hether protection of cultural heritage extends to </w:t>
      </w:r>
      <w:r w:rsidR="00AA1879">
        <w:rPr>
          <w:rFonts w:ascii="Times New Roman" w:hAnsi="Times New Roman" w:cs="Times New Roman"/>
          <w:color w:val="000000" w:themeColor="text1"/>
          <w:sz w:val="24"/>
          <w:szCs w:val="24"/>
        </w:rPr>
        <w:t xml:space="preserve">pillar three </w:t>
      </w:r>
      <w:r w:rsidR="00590DB2" w:rsidRPr="0011701B">
        <w:rPr>
          <w:rFonts w:ascii="Times New Roman" w:hAnsi="Times New Roman" w:cs="Times New Roman"/>
          <w:color w:val="000000" w:themeColor="text1"/>
          <w:sz w:val="24"/>
          <w:szCs w:val="24"/>
        </w:rPr>
        <w:t>of R2P</w:t>
      </w:r>
      <w:r w:rsidR="00AA1879">
        <w:rPr>
          <w:rFonts w:ascii="Times New Roman" w:hAnsi="Times New Roman" w:cs="Times New Roman"/>
          <w:color w:val="000000" w:themeColor="text1"/>
          <w:sz w:val="24"/>
          <w:szCs w:val="24"/>
        </w:rPr>
        <w:t>,</w:t>
      </w:r>
      <w:r w:rsidR="00590DB2" w:rsidRPr="0011701B">
        <w:rPr>
          <w:rFonts w:ascii="Times New Roman" w:hAnsi="Times New Roman" w:cs="Times New Roman"/>
          <w:color w:val="000000" w:themeColor="text1"/>
          <w:sz w:val="24"/>
          <w:szCs w:val="24"/>
        </w:rPr>
        <w:t xml:space="preserve"> allow</w:t>
      </w:r>
      <w:r w:rsidR="00AA1879">
        <w:rPr>
          <w:rFonts w:ascii="Times New Roman" w:hAnsi="Times New Roman" w:cs="Times New Roman"/>
          <w:color w:val="000000" w:themeColor="text1"/>
          <w:sz w:val="24"/>
          <w:szCs w:val="24"/>
        </w:rPr>
        <w:t>ing</w:t>
      </w:r>
      <w:r w:rsidR="00590DB2" w:rsidRPr="0011701B">
        <w:rPr>
          <w:rFonts w:ascii="Times New Roman" w:hAnsi="Times New Roman" w:cs="Times New Roman"/>
          <w:color w:val="000000" w:themeColor="text1"/>
          <w:sz w:val="24"/>
          <w:szCs w:val="24"/>
        </w:rPr>
        <w:t xml:space="preserve"> for interventionist measures</w:t>
      </w:r>
      <w:r w:rsidR="007C7291">
        <w:rPr>
          <w:rFonts w:ascii="Times New Roman" w:hAnsi="Times New Roman" w:cs="Times New Roman"/>
          <w:color w:val="000000" w:themeColor="text1"/>
          <w:sz w:val="24"/>
          <w:szCs w:val="24"/>
        </w:rPr>
        <w:t xml:space="preserve">, </w:t>
      </w:r>
      <w:r w:rsidR="00590DB2" w:rsidRPr="0011701B">
        <w:rPr>
          <w:rFonts w:ascii="Times New Roman" w:hAnsi="Times New Roman" w:cs="Times New Roman"/>
          <w:color w:val="000000" w:themeColor="text1"/>
          <w:sz w:val="24"/>
          <w:szCs w:val="24"/>
        </w:rPr>
        <w:t xml:space="preserve">is </w:t>
      </w:r>
      <w:r w:rsidR="00AA1879">
        <w:rPr>
          <w:rFonts w:ascii="Times New Roman" w:hAnsi="Times New Roman" w:cs="Times New Roman"/>
          <w:color w:val="000000" w:themeColor="text1"/>
          <w:sz w:val="24"/>
          <w:szCs w:val="24"/>
        </w:rPr>
        <w:t xml:space="preserve">a </w:t>
      </w:r>
      <w:r w:rsidR="00590DB2" w:rsidRPr="0011701B">
        <w:rPr>
          <w:rFonts w:ascii="Times New Roman" w:hAnsi="Times New Roman" w:cs="Times New Roman"/>
          <w:color w:val="000000" w:themeColor="text1"/>
          <w:sz w:val="24"/>
          <w:szCs w:val="24"/>
        </w:rPr>
        <w:t xml:space="preserve">different </w:t>
      </w:r>
      <w:r w:rsidR="00AA1879">
        <w:rPr>
          <w:rFonts w:ascii="Times New Roman" w:hAnsi="Times New Roman" w:cs="Times New Roman"/>
          <w:color w:val="000000" w:themeColor="text1"/>
          <w:sz w:val="24"/>
          <w:szCs w:val="24"/>
        </w:rPr>
        <w:t xml:space="preserve">issue </w:t>
      </w:r>
      <w:r w:rsidR="00590DB2" w:rsidRPr="0011701B">
        <w:rPr>
          <w:rFonts w:ascii="Times New Roman" w:hAnsi="Times New Roman" w:cs="Times New Roman"/>
          <w:color w:val="000000" w:themeColor="text1"/>
          <w:sz w:val="24"/>
          <w:szCs w:val="24"/>
        </w:rPr>
        <w:t>and one around which a positive consensus has not yet developed.</w:t>
      </w:r>
    </w:p>
    <w:p w14:paraId="4E11B7AF" w14:textId="4E6AD200" w:rsidR="0027082D"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lastRenderedPageBreak/>
        <w:t xml:space="preserve">In considering the contours of the application of R2P to cultural heritage preservation, the </w:t>
      </w:r>
      <w:r w:rsidR="00F53BB1">
        <w:rPr>
          <w:rFonts w:ascii="Times New Roman" w:hAnsi="Times New Roman" w:cs="Times New Roman"/>
          <w:sz w:val="24"/>
          <w:szCs w:val="24"/>
        </w:rPr>
        <w:t>e</w:t>
      </w:r>
      <w:r>
        <w:rPr>
          <w:rFonts w:ascii="Times New Roman" w:hAnsi="Times New Roman" w:cs="Times New Roman"/>
          <w:sz w:val="24"/>
          <w:szCs w:val="24"/>
        </w:rPr>
        <w:t xml:space="preserve">xpert </w:t>
      </w:r>
      <w:r w:rsidR="00F53BB1">
        <w:rPr>
          <w:rFonts w:ascii="Times New Roman" w:hAnsi="Times New Roman" w:cs="Times New Roman"/>
          <w:sz w:val="24"/>
          <w:szCs w:val="24"/>
        </w:rPr>
        <w:t>g</w:t>
      </w:r>
      <w:r>
        <w:rPr>
          <w:rFonts w:ascii="Times New Roman" w:hAnsi="Times New Roman" w:cs="Times New Roman"/>
          <w:sz w:val="24"/>
          <w:szCs w:val="24"/>
        </w:rPr>
        <w:t>roup raised the concern of balancing protection of physical structures and sites with the protection of civilians. As the</w:t>
      </w:r>
      <w:r w:rsidR="00E901DE">
        <w:rPr>
          <w:rFonts w:ascii="Times New Roman" w:hAnsi="Times New Roman" w:cs="Times New Roman"/>
          <w:sz w:val="24"/>
          <w:szCs w:val="24"/>
        </w:rPr>
        <w:t>ir</w:t>
      </w:r>
      <w:r>
        <w:rPr>
          <w:rFonts w:ascii="Times New Roman" w:hAnsi="Times New Roman" w:cs="Times New Roman"/>
          <w:sz w:val="24"/>
          <w:szCs w:val="24"/>
        </w:rPr>
        <w:t xml:space="preserve"> </w:t>
      </w:r>
      <w:r w:rsidR="00E901DE">
        <w:rPr>
          <w:rFonts w:ascii="Times New Roman" w:hAnsi="Times New Roman" w:cs="Times New Roman"/>
          <w:sz w:val="24"/>
          <w:szCs w:val="24"/>
        </w:rPr>
        <w:t>r</w:t>
      </w:r>
      <w:r>
        <w:rPr>
          <w:rFonts w:ascii="Times New Roman" w:hAnsi="Times New Roman" w:cs="Times New Roman"/>
          <w:sz w:val="24"/>
          <w:szCs w:val="24"/>
        </w:rPr>
        <w:t>eport commented, “the ultimate objective of protecting cultural heritage was the protection of the living culture of populations and humanity, of human rights and dignity, and of the interests of past and future generations.”</w:t>
      </w:r>
      <w:r>
        <w:rPr>
          <w:rStyle w:val="EndnoteReference"/>
          <w:rFonts w:ascii="Times New Roman" w:hAnsi="Times New Roman" w:cs="Times New Roman"/>
          <w:sz w:val="24"/>
          <w:szCs w:val="24"/>
        </w:rPr>
        <w:endnoteReference w:id="37"/>
      </w:r>
      <w:r>
        <w:rPr>
          <w:rFonts w:ascii="Times New Roman" w:hAnsi="Times New Roman" w:cs="Times New Roman"/>
          <w:sz w:val="24"/>
          <w:szCs w:val="24"/>
        </w:rPr>
        <w:t xml:space="preserve"> </w:t>
      </w:r>
      <w:r w:rsidR="00ED7492">
        <w:rPr>
          <w:rFonts w:ascii="Times New Roman" w:hAnsi="Times New Roman" w:cs="Times New Roman"/>
          <w:sz w:val="24"/>
          <w:szCs w:val="24"/>
        </w:rPr>
        <w:t xml:space="preserve">This specifically links the tangible heritage with the intangible heritage of the populations that utilize or live </w:t>
      </w:r>
      <w:r w:rsidR="00335296">
        <w:rPr>
          <w:rFonts w:ascii="Times New Roman" w:hAnsi="Times New Roman" w:cs="Times New Roman"/>
          <w:sz w:val="24"/>
          <w:szCs w:val="24"/>
        </w:rPr>
        <w:t xml:space="preserve">amid </w:t>
      </w:r>
      <w:r w:rsidR="00ED7492">
        <w:rPr>
          <w:rFonts w:ascii="Times New Roman" w:hAnsi="Times New Roman" w:cs="Times New Roman"/>
          <w:sz w:val="24"/>
          <w:szCs w:val="24"/>
        </w:rPr>
        <w:t>heritage</w:t>
      </w:r>
      <w:r w:rsidR="007D3DCD">
        <w:rPr>
          <w:rFonts w:ascii="Times New Roman" w:hAnsi="Times New Roman" w:cs="Times New Roman"/>
          <w:sz w:val="24"/>
          <w:szCs w:val="24"/>
        </w:rPr>
        <w:t xml:space="preserve"> sites</w:t>
      </w:r>
      <w:r w:rsidR="00ED7492">
        <w:rPr>
          <w:rFonts w:ascii="Times New Roman" w:hAnsi="Times New Roman" w:cs="Times New Roman"/>
          <w:sz w:val="24"/>
          <w:szCs w:val="24"/>
        </w:rPr>
        <w:t xml:space="preserve">, thus emphasizing that the goal is to protect people. </w:t>
      </w:r>
      <w:r>
        <w:rPr>
          <w:rFonts w:ascii="Times New Roman" w:hAnsi="Times New Roman" w:cs="Times New Roman"/>
          <w:sz w:val="24"/>
          <w:szCs w:val="24"/>
        </w:rPr>
        <w:t xml:space="preserve">The </w:t>
      </w:r>
      <w:r w:rsidR="00036F62">
        <w:rPr>
          <w:rFonts w:ascii="Times New Roman" w:hAnsi="Times New Roman" w:cs="Times New Roman"/>
          <w:sz w:val="24"/>
          <w:szCs w:val="24"/>
        </w:rPr>
        <w:t>r</w:t>
      </w:r>
      <w:r>
        <w:rPr>
          <w:rFonts w:ascii="Times New Roman" w:hAnsi="Times New Roman" w:cs="Times New Roman"/>
          <w:sz w:val="24"/>
          <w:szCs w:val="24"/>
        </w:rPr>
        <w:t>eport also reiterated that intentional destruction and misappropriation of cultural heritage can aggravate armed conflict, make achieving peace more difficult, hinder post-conflict reconciliation, and may also be a harbinger of other atrocity crimes including genocide.</w:t>
      </w:r>
      <w:r>
        <w:rPr>
          <w:rStyle w:val="EndnoteReference"/>
          <w:rFonts w:ascii="Times New Roman" w:hAnsi="Times New Roman" w:cs="Times New Roman"/>
          <w:sz w:val="24"/>
          <w:szCs w:val="24"/>
        </w:rPr>
        <w:endnoteReference w:id="38"/>
      </w:r>
      <w:r>
        <w:rPr>
          <w:rFonts w:ascii="Times New Roman" w:hAnsi="Times New Roman" w:cs="Times New Roman"/>
          <w:sz w:val="24"/>
          <w:szCs w:val="24"/>
        </w:rPr>
        <w:t xml:space="preserve"> </w:t>
      </w:r>
    </w:p>
    <w:p w14:paraId="4DD37052" w14:textId="77777777" w:rsidR="00333589" w:rsidRDefault="00333589" w:rsidP="004D55E5">
      <w:pPr>
        <w:pStyle w:val="RIPLMainText"/>
        <w:spacing w:line="480" w:lineRule="auto"/>
        <w:ind w:firstLine="0"/>
        <w:jc w:val="left"/>
        <w:rPr>
          <w:rFonts w:ascii="Times New Roman" w:hAnsi="Times New Roman" w:cs="Times New Roman"/>
          <w:sz w:val="24"/>
          <w:szCs w:val="24"/>
        </w:rPr>
      </w:pPr>
    </w:p>
    <w:p w14:paraId="3E3F89D9" w14:textId="112A027E" w:rsidR="00C543D2" w:rsidRDefault="0027082D" w:rsidP="00353FB5">
      <w:pPr>
        <w:pStyle w:val="Heading2"/>
      </w:pPr>
      <w:r>
        <w:t>Incorporating Cultural Heritage Protection into R2P</w:t>
      </w:r>
    </w:p>
    <w:p w14:paraId="28E8310D" w14:textId="4A6AFEF8" w:rsidR="0027082D" w:rsidRDefault="0027082D" w:rsidP="00C543D2">
      <w:pPr>
        <w:pStyle w:val="RIPLMainText"/>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In considering the specific ways in which R2P can be brought to bear on cultural heritage preservation, this section will focus on pillar </w:t>
      </w:r>
      <w:r w:rsidR="00DD534A">
        <w:rPr>
          <w:rFonts w:ascii="Times New Roman" w:hAnsi="Times New Roman" w:cs="Times New Roman"/>
          <w:sz w:val="24"/>
          <w:szCs w:val="24"/>
        </w:rPr>
        <w:t>three</w:t>
      </w:r>
      <w:r>
        <w:rPr>
          <w:rFonts w:ascii="Times New Roman" w:hAnsi="Times New Roman" w:cs="Times New Roman"/>
          <w:sz w:val="24"/>
          <w:szCs w:val="24"/>
        </w:rPr>
        <w:t xml:space="preserve">: the responsibility of the international community to respond collectively when a </w:t>
      </w:r>
      <w:r w:rsidR="00C264E0">
        <w:rPr>
          <w:rFonts w:ascii="Times New Roman" w:hAnsi="Times New Roman" w:cs="Times New Roman"/>
          <w:sz w:val="24"/>
          <w:szCs w:val="24"/>
        </w:rPr>
        <w:t>state</w:t>
      </w:r>
      <w:r>
        <w:rPr>
          <w:rFonts w:ascii="Times New Roman" w:hAnsi="Times New Roman" w:cs="Times New Roman"/>
          <w:sz w:val="24"/>
          <w:szCs w:val="24"/>
        </w:rPr>
        <w:t xml:space="preserve"> fails to protect its population. </w:t>
      </w:r>
      <w:r w:rsidR="00BA1B68">
        <w:rPr>
          <w:rFonts w:ascii="Times New Roman" w:hAnsi="Times New Roman" w:cs="Times New Roman"/>
          <w:sz w:val="24"/>
          <w:szCs w:val="24"/>
        </w:rPr>
        <w:t xml:space="preserve">It </w:t>
      </w:r>
      <w:r>
        <w:rPr>
          <w:rFonts w:ascii="Times New Roman" w:hAnsi="Times New Roman" w:cs="Times New Roman"/>
          <w:sz w:val="24"/>
          <w:szCs w:val="24"/>
        </w:rPr>
        <w:t>present</w:t>
      </w:r>
      <w:r w:rsidR="00BA1B68">
        <w:rPr>
          <w:rFonts w:ascii="Times New Roman" w:hAnsi="Times New Roman" w:cs="Times New Roman"/>
          <w:sz w:val="24"/>
          <w:szCs w:val="24"/>
        </w:rPr>
        <w:t>s</w:t>
      </w:r>
      <w:r>
        <w:rPr>
          <w:rFonts w:ascii="Times New Roman" w:hAnsi="Times New Roman" w:cs="Times New Roman"/>
          <w:sz w:val="24"/>
          <w:szCs w:val="24"/>
        </w:rPr>
        <w:t xml:space="preserve"> four proposals that will </w:t>
      </w:r>
      <w:r w:rsidR="00B9612D">
        <w:rPr>
          <w:rFonts w:ascii="Times New Roman" w:hAnsi="Times New Roman" w:cs="Times New Roman"/>
          <w:sz w:val="24"/>
          <w:szCs w:val="24"/>
        </w:rPr>
        <w:t xml:space="preserve">enable </w:t>
      </w:r>
      <w:r>
        <w:rPr>
          <w:rFonts w:ascii="Times New Roman" w:hAnsi="Times New Roman" w:cs="Times New Roman"/>
          <w:sz w:val="24"/>
          <w:szCs w:val="24"/>
        </w:rPr>
        <w:t>a more robust application of R2P to preserv</w:t>
      </w:r>
      <w:r w:rsidR="00D17011">
        <w:rPr>
          <w:rFonts w:ascii="Times New Roman" w:hAnsi="Times New Roman" w:cs="Times New Roman"/>
          <w:sz w:val="24"/>
          <w:szCs w:val="24"/>
        </w:rPr>
        <w:t>ing</w:t>
      </w:r>
      <w:r>
        <w:rPr>
          <w:rFonts w:ascii="Times New Roman" w:hAnsi="Times New Roman" w:cs="Times New Roman"/>
          <w:sz w:val="24"/>
          <w:szCs w:val="24"/>
        </w:rPr>
        <w:t xml:space="preserve"> cultural heritage within pillar</w:t>
      </w:r>
      <w:r w:rsidR="00803704">
        <w:rPr>
          <w:rFonts w:ascii="Times New Roman" w:hAnsi="Times New Roman" w:cs="Times New Roman"/>
          <w:sz w:val="24"/>
          <w:szCs w:val="24"/>
        </w:rPr>
        <w:t xml:space="preserve"> three</w:t>
      </w:r>
      <w:r>
        <w:rPr>
          <w:rFonts w:ascii="Times New Roman" w:hAnsi="Times New Roman" w:cs="Times New Roman"/>
          <w:sz w:val="24"/>
          <w:szCs w:val="24"/>
        </w:rPr>
        <w:t>.</w:t>
      </w:r>
    </w:p>
    <w:p w14:paraId="138F5701" w14:textId="0E469091" w:rsidR="0027082D"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There are many actions that a third</w:t>
      </w:r>
      <w:r w:rsidR="002A1D51">
        <w:rPr>
          <w:rFonts w:ascii="Times New Roman" w:hAnsi="Times New Roman" w:cs="Times New Roman"/>
          <w:sz w:val="24"/>
          <w:szCs w:val="24"/>
        </w:rPr>
        <w:t>-</w:t>
      </w:r>
      <w:r>
        <w:rPr>
          <w:rFonts w:ascii="Times New Roman" w:hAnsi="Times New Roman" w:cs="Times New Roman"/>
          <w:sz w:val="24"/>
          <w:szCs w:val="24"/>
        </w:rPr>
        <w:t xml:space="preserve">party </w:t>
      </w:r>
      <w:r w:rsidR="00C264E0">
        <w:rPr>
          <w:rFonts w:ascii="Times New Roman" w:hAnsi="Times New Roman" w:cs="Times New Roman"/>
          <w:sz w:val="24"/>
          <w:szCs w:val="24"/>
        </w:rPr>
        <w:t>state</w:t>
      </w:r>
      <w:r>
        <w:rPr>
          <w:rFonts w:ascii="Times New Roman" w:hAnsi="Times New Roman" w:cs="Times New Roman"/>
          <w:sz w:val="24"/>
          <w:szCs w:val="24"/>
        </w:rPr>
        <w:t xml:space="preserve"> may take to ensure respect for international humanitarian law. States often engage in protests and may engage in unilateral or collective measures to prevent violations. </w:t>
      </w:r>
      <w:r w:rsidR="007176FD">
        <w:rPr>
          <w:rFonts w:ascii="Times New Roman" w:hAnsi="Times New Roman" w:cs="Times New Roman"/>
          <w:sz w:val="24"/>
          <w:szCs w:val="24"/>
        </w:rPr>
        <w:t>These</w:t>
      </w:r>
      <w:r>
        <w:rPr>
          <w:rFonts w:ascii="Times New Roman" w:hAnsi="Times New Roman" w:cs="Times New Roman"/>
          <w:sz w:val="24"/>
          <w:szCs w:val="24"/>
        </w:rPr>
        <w:t xml:space="preserve"> include imposing economic sanctions,</w:t>
      </w:r>
      <w:r>
        <w:rPr>
          <w:rStyle w:val="EndnoteReference"/>
          <w:rFonts w:ascii="Times New Roman" w:hAnsi="Times New Roman" w:cs="Times New Roman"/>
          <w:sz w:val="24"/>
          <w:szCs w:val="24"/>
        </w:rPr>
        <w:endnoteReference w:id="39"/>
      </w:r>
      <w:r>
        <w:rPr>
          <w:rFonts w:ascii="Times New Roman" w:hAnsi="Times New Roman" w:cs="Times New Roman"/>
          <w:sz w:val="24"/>
          <w:szCs w:val="24"/>
        </w:rPr>
        <w:t xml:space="preserve"> such as a trade embargo, arms embargo, travel ban, and expulsion of diplomats. Many of these actions were taken by </w:t>
      </w:r>
      <w:r w:rsidR="00C264E0">
        <w:rPr>
          <w:rFonts w:ascii="Times New Roman" w:hAnsi="Times New Roman" w:cs="Times New Roman"/>
          <w:sz w:val="24"/>
          <w:szCs w:val="24"/>
        </w:rPr>
        <w:t>state</w:t>
      </w:r>
      <w:r>
        <w:rPr>
          <w:rFonts w:ascii="Times New Roman" w:hAnsi="Times New Roman" w:cs="Times New Roman"/>
          <w:sz w:val="24"/>
          <w:szCs w:val="24"/>
        </w:rPr>
        <w:t xml:space="preserve">s during the Syrian conflict in an </w:t>
      </w:r>
      <w:r w:rsidR="007176FD">
        <w:rPr>
          <w:rFonts w:ascii="Times New Roman" w:hAnsi="Times New Roman" w:cs="Times New Roman"/>
          <w:sz w:val="24"/>
          <w:szCs w:val="24"/>
        </w:rPr>
        <w:t xml:space="preserve">attempt </w:t>
      </w:r>
      <w:r>
        <w:rPr>
          <w:rFonts w:ascii="Times New Roman" w:hAnsi="Times New Roman" w:cs="Times New Roman"/>
          <w:sz w:val="24"/>
          <w:szCs w:val="24"/>
        </w:rPr>
        <w:t>to quell the massive human rights violations,</w:t>
      </w:r>
      <w:r>
        <w:rPr>
          <w:rStyle w:val="EndnoteReference"/>
          <w:rFonts w:ascii="Times New Roman" w:hAnsi="Times New Roman" w:cs="Times New Roman"/>
          <w:sz w:val="24"/>
          <w:szCs w:val="24"/>
        </w:rPr>
        <w:endnoteReference w:id="40"/>
      </w:r>
      <w:r>
        <w:rPr>
          <w:rFonts w:ascii="Times New Roman" w:hAnsi="Times New Roman" w:cs="Times New Roman"/>
          <w:sz w:val="24"/>
          <w:szCs w:val="24"/>
        </w:rPr>
        <w:t xml:space="preserve"> although </w:t>
      </w:r>
      <w:r w:rsidR="00AB73FF">
        <w:rPr>
          <w:rFonts w:ascii="Times New Roman" w:hAnsi="Times New Roman" w:cs="Times New Roman"/>
          <w:sz w:val="24"/>
          <w:szCs w:val="24"/>
        </w:rPr>
        <w:t>most</w:t>
      </w:r>
      <w:r>
        <w:rPr>
          <w:rFonts w:ascii="Times New Roman" w:hAnsi="Times New Roman" w:cs="Times New Roman"/>
          <w:sz w:val="24"/>
          <w:szCs w:val="24"/>
        </w:rPr>
        <w:t xml:space="preserve"> were not effective. States, intergovernmental organizations</w:t>
      </w:r>
      <w:r w:rsidR="0048720E">
        <w:rPr>
          <w:rFonts w:ascii="Times New Roman" w:hAnsi="Times New Roman" w:cs="Times New Roman"/>
          <w:sz w:val="24"/>
          <w:szCs w:val="24"/>
        </w:rPr>
        <w:t xml:space="preserve"> (IGOs)</w:t>
      </w:r>
      <w:r>
        <w:rPr>
          <w:rFonts w:ascii="Times New Roman" w:hAnsi="Times New Roman" w:cs="Times New Roman"/>
          <w:sz w:val="24"/>
          <w:szCs w:val="24"/>
        </w:rPr>
        <w:t xml:space="preserve"> such as UNESCO and the </w:t>
      </w:r>
      <w:r w:rsidR="00AB593C">
        <w:rPr>
          <w:rFonts w:ascii="Times New Roman" w:hAnsi="Times New Roman" w:cs="Times New Roman"/>
          <w:sz w:val="24"/>
          <w:szCs w:val="24"/>
        </w:rPr>
        <w:t>UN more broadly</w:t>
      </w:r>
      <w:r>
        <w:rPr>
          <w:rFonts w:ascii="Times New Roman" w:hAnsi="Times New Roman" w:cs="Times New Roman"/>
          <w:sz w:val="24"/>
          <w:szCs w:val="24"/>
        </w:rPr>
        <w:t>, and nongovernmental organizations</w:t>
      </w:r>
      <w:r w:rsidR="004C3A5F">
        <w:rPr>
          <w:rFonts w:ascii="Times New Roman" w:hAnsi="Times New Roman" w:cs="Times New Roman"/>
          <w:sz w:val="24"/>
          <w:szCs w:val="24"/>
        </w:rPr>
        <w:t xml:space="preserve"> (NGOs)</w:t>
      </w:r>
      <w:r>
        <w:rPr>
          <w:rFonts w:ascii="Times New Roman" w:hAnsi="Times New Roman" w:cs="Times New Roman"/>
          <w:sz w:val="24"/>
          <w:szCs w:val="24"/>
        </w:rPr>
        <w:t xml:space="preserve">, such </w:t>
      </w:r>
      <w:r>
        <w:rPr>
          <w:rFonts w:ascii="Times New Roman" w:hAnsi="Times New Roman" w:cs="Times New Roman"/>
          <w:sz w:val="24"/>
          <w:szCs w:val="24"/>
        </w:rPr>
        <w:lastRenderedPageBreak/>
        <w:t xml:space="preserve">as the Blue Shield and its constituent national committees, engaged in extensive protest against the destructive actions of the parties to the Syrian conflict. </w:t>
      </w:r>
      <w:r w:rsidR="00AB73FF">
        <w:rPr>
          <w:rFonts w:ascii="Times New Roman" w:hAnsi="Times New Roman" w:cs="Times New Roman"/>
          <w:sz w:val="24"/>
          <w:szCs w:val="24"/>
        </w:rPr>
        <w:t>But</w:t>
      </w:r>
      <w:r>
        <w:rPr>
          <w:rFonts w:ascii="Times New Roman" w:hAnsi="Times New Roman" w:cs="Times New Roman"/>
          <w:sz w:val="24"/>
          <w:szCs w:val="24"/>
        </w:rPr>
        <w:t xml:space="preserve">, </w:t>
      </w:r>
      <w:r w:rsidR="00CD45A1">
        <w:rPr>
          <w:rFonts w:ascii="Times New Roman" w:hAnsi="Times New Roman" w:cs="Times New Roman"/>
          <w:sz w:val="24"/>
          <w:szCs w:val="24"/>
        </w:rPr>
        <w:t>ironically,</w:t>
      </w:r>
      <w:r>
        <w:rPr>
          <w:rFonts w:ascii="Times New Roman" w:hAnsi="Times New Roman" w:cs="Times New Roman"/>
          <w:sz w:val="24"/>
          <w:szCs w:val="24"/>
        </w:rPr>
        <w:t xml:space="preserve"> </w:t>
      </w:r>
      <w:r w:rsidR="00AB73FF">
        <w:rPr>
          <w:rFonts w:ascii="Times New Roman" w:hAnsi="Times New Roman" w:cs="Times New Roman"/>
          <w:sz w:val="24"/>
          <w:szCs w:val="24"/>
        </w:rPr>
        <w:t xml:space="preserve">it is </w:t>
      </w:r>
      <w:r>
        <w:rPr>
          <w:rFonts w:ascii="Times New Roman" w:hAnsi="Times New Roman" w:cs="Times New Roman"/>
          <w:sz w:val="24"/>
          <w:szCs w:val="24"/>
        </w:rPr>
        <w:t>possible that such protests motivated ISIL to increase its destruction of cultural heritage</w:t>
      </w:r>
      <w:r w:rsidR="00D17011">
        <w:rPr>
          <w:rFonts w:ascii="Times New Roman" w:hAnsi="Times New Roman" w:cs="Times New Roman"/>
          <w:sz w:val="24"/>
          <w:szCs w:val="24"/>
        </w:rPr>
        <w:t xml:space="preserve"> as a performative act to garner world attention and to demonstrate the impotence of international institutions</w:t>
      </w:r>
      <w:r>
        <w:rPr>
          <w:rFonts w:ascii="Times New Roman" w:hAnsi="Times New Roman" w:cs="Times New Roman"/>
          <w:sz w:val="24"/>
          <w:szCs w:val="24"/>
        </w:rPr>
        <w:t>.</w:t>
      </w:r>
      <w:r w:rsidR="009353C9">
        <w:rPr>
          <w:rStyle w:val="EndnoteReference"/>
          <w:rFonts w:ascii="Times New Roman" w:hAnsi="Times New Roman" w:cs="Times New Roman"/>
          <w:sz w:val="24"/>
          <w:szCs w:val="24"/>
        </w:rPr>
        <w:endnoteReference w:id="41"/>
      </w:r>
      <w:r w:rsidR="009353C9" w:rsidRPr="009353C9">
        <w:rPr>
          <w:rStyle w:val="PageNumber"/>
        </w:rPr>
        <w:t xml:space="preserve"> </w:t>
      </w:r>
      <w:r>
        <w:rPr>
          <w:rFonts w:ascii="Times New Roman" w:hAnsi="Times New Roman" w:cs="Times New Roman"/>
          <w:sz w:val="24"/>
          <w:szCs w:val="24"/>
        </w:rPr>
        <w:t xml:space="preserve">In line with UN Security Council </w:t>
      </w:r>
      <w:r w:rsidR="008D75D2">
        <w:rPr>
          <w:rFonts w:ascii="Times New Roman" w:hAnsi="Times New Roman" w:cs="Times New Roman"/>
          <w:sz w:val="24"/>
          <w:szCs w:val="24"/>
        </w:rPr>
        <w:t>r</w:t>
      </w:r>
      <w:r>
        <w:rPr>
          <w:rFonts w:ascii="Times New Roman" w:hAnsi="Times New Roman" w:cs="Times New Roman"/>
          <w:sz w:val="24"/>
          <w:szCs w:val="24"/>
        </w:rPr>
        <w:t>esolutions 2199 and 2347</w:t>
      </w:r>
      <w:r w:rsidR="008D75D2">
        <w:rPr>
          <w:rFonts w:ascii="Times New Roman" w:hAnsi="Times New Roman" w:cs="Times New Roman"/>
          <w:sz w:val="24"/>
          <w:szCs w:val="24"/>
        </w:rPr>
        <w:t>,</w:t>
      </w:r>
      <w:r>
        <w:rPr>
          <w:rFonts w:ascii="Times New Roman" w:hAnsi="Times New Roman" w:cs="Times New Roman"/>
          <w:sz w:val="24"/>
          <w:szCs w:val="24"/>
        </w:rPr>
        <w:t xml:space="preserve"> and pursuant to the 1970 UNESCO Convention</w:t>
      </w:r>
      <w:r w:rsidR="00B03B47" w:rsidRPr="00B03B47">
        <w:t xml:space="preserve"> </w:t>
      </w:r>
      <w:r w:rsidR="00B03B47" w:rsidRPr="00B03B47">
        <w:rPr>
          <w:rFonts w:ascii="Times New Roman" w:hAnsi="Times New Roman" w:cs="Times New Roman"/>
          <w:sz w:val="24"/>
          <w:szCs w:val="24"/>
        </w:rPr>
        <w:t>on the Means of Prohibiting and Preventing the Illicit Import, Export and Transfer of Ownership of Cultural Property</w:t>
      </w:r>
      <w:r>
        <w:rPr>
          <w:rFonts w:ascii="Times New Roman" w:hAnsi="Times New Roman" w:cs="Times New Roman"/>
          <w:sz w:val="24"/>
          <w:szCs w:val="24"/>
        </w:rPr>
        <w:t xml:space="preserve">, </w:t>
      </w:r>
      <w:r w:rsidR="00C264E0">
        <w:rPr>
          <w:rFonts w:ascii="Times New Roman" w:hAnsi="Times New Roman" w:cs="Times New Roman"/>
          <w:sz w:val="24"/>
          <w:szCs w:val="24"/>
        </w:rPr>
        <w:t>state</w:t>
      </w:r>
      <w:r>
        <w:rPr>
          <w:rFonts w:ascii="Times New Roman" w:hAnsi="Times New Roman" w:cs="Times New Roman"/>
          <w:sz w:val="24"/>
          <w:szCs w:val="24"/>
        </w:rPr>
        <w:t>s adopted measures to prevent trade in antiquities looted from Iraq and Syria, as the looting provided funding for the conflict and terrorism while destroying archaeological sites</w:t>
      </w:r>
      <w:r w:rsidR="004B0272">
        <w:rPr>
          <w:rFonts w:ascii="Times New Roman" w:hAnsi="Times New Roman" w:cs="Times New Roman"/>
          <w:sz w:val="24"/>
          <w:szCs w:val="24"/>
        </w:rPr>
        <w:t xml:space="preserve"> and historic</w:t>
      </w:r>
      <w:r w:rsidR="00034243">
        <w:rPr>
          <w:rFonts w:ascii="Times New Roman" w:hAnsi="Times New Roman" w:cs="Times New Roman"/>
          <w:sz w:val="24"/>
          <w:szCs w:val="24"/>
        </w:rPr>
        <w:t>al</w:t>
      </w:r>
      <w:r w:rsidR="004B0272">
        <w:rPr>
          <w:rFonts w:ascii="Times New Roman" w:hAnsi="Times New Roman" w:cs="Times New Roman"/>
          <w:sz w:val="24"/>
          <w:szCs w:val="24"/>
        </w:rPr>
        <w:t xml:space="preserve"> and religious structures</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42"/>
      </w:r>
      <w:r>
        <w:rPr>
          <w:rFonts w:ascii="Times New Roman" w:hAnsi="Times New Roman" w:cs="Times New Roman"/>
          <w:sz w:val="24"/>
          <w:szCs w:val="24"/>
        </w:rPr>
        <w:t xml:space="preserve"> </w:t>
      </w:r>
      <w:r w:rsidR="00D17011">
        <w:rPr>
          <w:rFonts w:ascii="Times New Roman" w:hAnsi="Times New Roman" w:cs="Times New Roman"/>
          <w:sz w:val="24"/>
          <w:szCs w:val="24"/>
        </w:rPr>
        <w:t>O</w:t>
      </w:r>
      <w:r>
        <w:rPr>
          <w:rFonts w:ascii="Times New Roman" w:hAnsi="Times New Roman" w:cs="Times New Roman"/>
          <w:sz w:val="24"/>
          <w:szCs w:val="24"/>
        </w:rPr>
        <w:t xml:space="preserve">ther </w:t>
      </w:r>
      <w:r w:rsidR="00D17011">
        <w:rPr>
          <w:rFonts w:ascii="Times New Roman" w:hAnsi="Times New Roman" w:cs="Times New Roman"/>
          <w:sz w:val="24"/>
          <w:szCs w:val="24"/>
        </w:rPr>
        <w:t xml:space="preserve">measures that can be taken to protect cultural heritage in different forms </w:t>
      </w:r>
      <w:r>
        <w:rPr>
          <w:rFonts w:ascii="Times New Roman" w:hAnsi="Times New Roman" w:cs="Times New Roman"/>
          <w:sz w:val="24"/>
          <w:szCs w:val="24"/>
        </w:rPr>
        <w:t>include documentation of the damage done to cultural property and collections of movable cultural objects.</w:t>
      </w:r>
    </w:p>
    <w:p w14:paraId="17B81E00" w14:textId="2D3BA3EC" w:rsidR="0027082D" w:rsidRDefault="00A0597E" w:rsidP="00353FB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first proposal </w:t>
      </w:r>
      <w:r w:rsidR="00A4302A">
        <w:rPr>
          <w:rFonts w:ascii="Times New Roman" w:hAnsi="Times New Roman" w:cs="Times New Roman"/>
          <w:sz w:val="24"/>
          <w:szCs w:val="24"/>
        </w:rPr>
        <w:t xml:space="preserve">presented here </w:t>
      </w:r>
      <w:r w:rsidR="00E94129">
        <w:rPr>
          <w:rFonts w:ascii="Times New Roman" w:hAnsi="Times New Roman" w:cs="Times New Roman"/>
          <w:sz w:val="24"/>
          <w:szCs w:val="24"/>
        </w:rPr>
        <w:t xml:space="preserve">concerns </w:t>
      </w:r>
      <w:r>
        <w:rPr>
          <w:rFonts w:ascii="Times New Roman" w:hAnsi="Times New Roman" w:cs="Times New Roman"/>
          <w:sz w:val="24"/>
          <w:szCs w:val="24"/>
        </w:rPr>
        <w:t>m</w:t>
      </w:r>
      <w:r w:rsidR="0027082D" w:rsidRPr="00353FB5">
        <w:rPr>
          <w:rFonts w:ascii="Times New Roman" w:hAnsi="Times New Roman" w:cs="Times New Roman"/>
          <w:sz w:val="24"/>
          <w:szCs w:val="24"/>
        </w:rPr>
        <w:t xml:space="preserve">ilitary </w:t>
      </w:r>
      <w:r>
        <w:rPr>
          <w:rFonts w:ascii="Times New Roman" w:hAnsi="Times New Roman" w:cs="Times New Roman"/>
          <w:sz w:val="24"/>
          <w:szCs w:val="24"/>
        </w:rPr>
        <w:t>i</w:t>
      </w:r>
      <w:r w:rsidR="0027082D" w:rsidRPr="00353FB5">
        <w:rPr>
          <w:rFonts w:ascii="Times New Roman" w:hAnsi="Times New Roman" w:cs="Times New Roman"/>
          <w:sz w:val="24"/>
          <w:szCs w:val="24"/>
        </w:rPr>
        <w:t>ntervention</w:t>
      </w:r>
      <w:r>
        <w:rPr>
          <w:rFonts w:ascii="Times New Roman" w:hAnsi="Times New Roman" w:cs="Times New Roman"/>
          <w:sz w:val="24"/>
          <w:szCs w:val="24"/>
        </w:rPr>
        <w:t>.</w:t>
      </w:r>
      <w:r w:rsidR="0027082D">
        <w:rPr>
          <w:rFonts w:ascii="Times New Roman" w:hAnsi="Times New Roman" w:cs="Times New Roman"/>
          <w:sz w:val="24"/>
          <w:szCs w:val="24"/>
        </w:rPr>
        <w:t xml:space="preserve"> The most difficult </w:t>
      </w:r>
      <w:r w:rsidR="0017402D">
        <w:rPr>
          <w:rFonts w:ascii="Times New Roman" w:hAnsi="Times New Roman" w:cs="Times New Roman"/>
          <w:sz w:val="24"/>
          <w:szCs w:val="24"/>
        </w:rPr>
        <w:t xml:space="preserve">question in </w:t>
      </w:r>
      <w:r w:rsidR="0027082D">
        <w:rPr>
          <w:rFonts w:ascii="Times New Roman" w:hAnsi="Times New Roman" w:cs="Times New Roman"/>
          <w:sz w:val="24"/>
          <w:szCs w:val="24"/>
        </w:rPr>
        <w:t xml:space="preserve">applying R2P to the protection of cultural heritage is whether military intervention, invoking the use of lethal force, would be justified on the grounds that the </w:t>
      </w:r>
      <w:r w:rsidR="00C264E0">
        <w:rPr>
          <w:rFonts w:ascii="Times New Roman" w:hAnsi="Times New Roman" w:cs="Times New Roman"/>
          <w:sz w:val="24"/>
          <w:szCs w:val="24"/>
        </w:rPr>
        <w:t>state</w:t>
      </w:r>
      <w:r w:rsidR="0027082D">
        <w:rPr>
          <w:rFonts w:ascii="Times New Roman" w:hAnsi="Times New Roman" w:cs="Times New Roman"/>
          <w:sz w:val="24"/>
          <w:szCs w:val="24"/>
        </w:rPr>
        <w:t xml:space="preserve"> has failed in its obligation to prevent the war crime of the intentional destruction of cultural heritage. Some have argued that it would be justified</w:t>
      </w:r>
      <w:r w:rsidR="008E5CB7">
        <w:rPr>
          <w:rFonts w:ascii="Times New Roman" w:hAnsi="Times New Roman" w:cs="Times New Roman"/>
          <w:sz w:val="24"/>
          <w:szCs w:val="24"/>
        </w:rPr>
        <w:t>,</w:t>
      </w:r>
      <w:r w:rsidR="0027082D">
        <w:rPr>
          <w:rStyle w:val="EndnoteReference"/>
          <w:rFonts w:ascii="Times New Roman" w:hAnsi="Times New Roman" w:cs="Times New Roman"/>
          <w:sz w:val="24"/>
          <w:szCs w:val="24"/>
        </w:rPr>
        <w:endnoteReference w:id="43"/>
      </w:r>
      <w:r w:rsidR="0027082D">
        <w:rPr>
          <w:rFonts w:ascii="Times New Roman" w:hAnsi="Times New Roman" w:cs="Times New Roman"/>
          <w:sz w:val="24"/>
          <w:szCs w:val="24"/>
        </w:rPr>
        <w:t xml:space="preserve"> others that it is not.</w:t>
      </w:r>
      <w:r w:rsidR="0027082D">
        <w:rPr>
          <w:rStyle w:val="EndnoteReference"/>
          <w:rFonts w:ascii="Times New Roman" w:hAnsi="Times New Roman" w:cs="Times New Roman"/>
          <w:sz w:val="24"/>
          <w:szCs w:val="24"/>
        </w:rPr>
        <w:endnoteReference w:id="44"/>
      </w:r>
      <w:r w:rsidR="0027082D">
        <w:rPr>
          <w:rFonts w:ascii="Times New Roman" w:hAnsi="Times New Roman" w:cs="Times New Roman"/>
          <w:sz w:val="24"/>
          <w:szCs w:val="24"/>
        </w:rPr>
        <w:t xml:space="preserve"> Military intervention, as a “</w:t>
      </w:r>
      <w:r w:rsidR="00754564">
        <w:rPr>
          <w:rFonts w:ascii="Times New Roman" w:hAnsi="Times New Roman" w:cs="Times New Roman"/>
          <w:sz w:val="24"/>
          <w:szCs w:val="24"/>
        </w:rPr>
        <w:t>b</w:t>
      </w:r>
      <w:r w:rsidR="0027082D">
        <w:rPr>
          <w:rFonts w:ascii="Times New Roman" w:hAnsi="Times New Roman" w:cs="Times New Roman"/>
          <w:sz w:val="24"/>
          <w:szCs w:val="24"/>
        </w:rPr>
        <w:t xml:space="preserve">lue </w:t>
      </w:r>
      <w:r w:rsidR="00754564">
        <w:rPr>
          <w:rFonts w:ascii="Times New Roman" w:hAnsi="Times New Roman" w:cs="Times New Roman"/>
          <w:sz w:val="24"/>
          <w:szCs w:val="24"/>
        </w:rPr>
        <w:t>h</w:t>
      </w:r>
      <w:r w:rsidR="0027082D">
        <w:rPr>
          <w:rFonts w:ascii="Times New Roman" w:hAnsi="Times New Roman" w:cs="Times New Roman"/>
          <w:sz w:val="24"/>
          <w:szCs w:val="24"/>
        </w:rPr>
        <w:t>elmet” option</w:t>
      </w:r>
      <w:r w:rsidR="00986A99">
        <w:rPr>
          <w:rFonts w:ascii="Times New Roman" w:hAnsi="Times New Roman" w:cs="Times New Roman"/>
          <w:sz w:val="24"/>
          <w:szCs w:val="24"/>
        </w:rPr>
        <w:t xml:space="preserve"> of using a UN force</w:t>
      </w:r>
      <w:r w:rsidR="0027082D">
        <w:rPr>
          <w:rFonts w:ascii="Times New Roman" w:hAnsi="Times New Roman" w:cs="Times New Roman"/>
          <w:sz w:val="24"/>
          <w:szCs w:val="24"/>
        </w:rPr>
        <w:t xml:space="preserve">, </w:t>
      </w:r>
      <w:r w:rsidR="00B960A7">
        <w:rPr>
          <w:rFonts w:ascii="Times New Roman" w:hAnsi="Times New Roman" w:cs="Times New Roman"/>
          <w:sz w:val="24"/>
          <w:szCs w:val="24"/>
        </w:rPr>
        <w:t>wa</w:t>
      </w:r>
      <w:r w:rsidR="0027082D">
        <w:rPr>
          <w:rFonts w:ascii="Times New Roman" w:hAnsi="Times New Roman" w:cs="Times New Roman"/>
          <w:sz w:val="24"/>
          <w:szCs w:val="24"/>
        </w:rPr>
        <w:t>s the first element of James Cuno’s five-point proposal for protecting cultural heritage in Syria and Iraq.</w:t>
      </w:r>
      <w:r w:rsidR="0027082D">
        <w:rPr>
          <w:rStyle w:val="EndnoteReference"/>
          <w:rFonts w:ascii="Times New Roman" w:hAnsi="Times New Roman" w:cs="Times New Roman"/>
          <w:sz w:val="24"/>
          <w:szCs w:val="24"/>
        </w:rPr>
        <w:endnoteReference w:id="45"/>
      </w:r>
      <w:r w:rsidR="0027082D">
        <w:rPr>
          <w:rFonts w:ascii="Times New Roman" w:hAnsi="Times New Roman" w:cs="Times New Roman"/>
          <w:sz w:val="24"/>
          <w:szCs w:val="24"/>
        </w:rPr>
        <w:t xml:space="preserve"> Even if the possibility of military intervention to preserve cultural heritage were to be accepted as </w:t>
      </w:r>
      <w:r w:rsidR="00F428E5">
        <w:rPr>
          <w:rFonts w:ascii="Times New Roman" w:hAnsi="Times New Roman" w:cs="Times New Roman"/>
          <w:sz w:val="24"/>
          <w:szCs w:val="24"/>
        </w:rPr>
        <w:t xml:space="preserve">an </w:t>
      </w:r>
      <w:r w:rsidR="002062F4">
        <w:rPr>
          <w:rFonts w:ascii="Times New Roman" w:hAnsi="Times New Roman" w:cs="Times New Roman"/>
          <w:sz w:val="24"/>
          <w:szCs w:val="24"/>
        </w:rPr>
        <w:t>ap</w:t>
      </w:r>
      <w:r w:rsidR="00F428E5">
        <w:rPr>
          <w:rFonts w:ascii="Times New Roman" w:hAnsi="Times New Roman" w:cs="Times New Roman"/>
          <w:sz w:val="24"/>
          <w:szCs w:val="24"/>
        </w:rPr>
        <w:t xml:space="preserve">plication </w:t>
      </w:r>
      <w:r w:rsidR="0027082D">
        <w:rPr>
          <w:rFonts w:ascii="Times New Roman" w:hAnsi="Times New Roman" w:cs="Times New Roman"/>
          <w:sz w:val="24"/>
          <w:szCs w:val="24"/>
        </w:rPr>
        <w:t xml:space="preserve">of R2P, such action could be taken </w:t>
      </w:r>
      <w:r w:rsidR="002062F4">
        <w:rPr>
          <w:rFonts w:ascii="Times New Roman" w:hAnsi="Times New Roman" w:cs="Times New Roman"/>
          <w:sz w:val="24"/>
          <w:szCs w:val="24"/>
        </w:rPr>
        <w:t xml:space="preserve">only </w:t>
      </w:r>
      <w:r w:rsidR="005C7723">
        <w:rPr>
          <w:rFonts w:ascii="Times New Roman" w:hAnsi="Times New Roman" w:cs="Times New Roman"/>
          <w:sz w:val="24"/>
          <w:szCs w:val="24"/>
        </w:rPr>
        <w:t xml:space="preserve">with </w:t>
      </w:r>
      <w:r w:rsidR="0027082D">
        <w:rPr>
          <w:rFonts w:ascii="Times New Roman" w:hAnsi="Times New Roman" w:cs="Times New Roman"/>
          <w:sz w:val="24"/>
          <w:szCs w:val="24"/>
        </w:rPr>
        <w:t>Security Council authorization</w:t>
      </w:r>
      <w:r w:rsidR="004154B4">
        <w:rPr>
          <w:rFonts w:ascii="Times New Roman" w:hAnsi="Times New Roman" w:cs="Times New Roman"/>
          <w:sz w:val="24"/>
          <w:szCs w:val="24"/>
        </w:rPr>
        <w:t xml:space="preserve"> and is </w:t>
      </w:r>
      <w:r w:rsidR="00C944C9">
        <w:rPr>
          <w:rFonts w:ascii="Times New Roman" w:hAnsi="Times New Roman" w:cs="Times New Roman"/>
          <w:sz w:val="24"/>
          <w:szCs w:val="24"/>
        </w:rPr>
        <w:t>un</w:t>
      </w:r>
      <w:r w:rsidR="004154B4">
        <w:rPr>
          <w:rFonts w:ascii="Times New Roman" w:hAnsi="Times New Roman" w:cs="Times New Roman"/>
          <w:sz w:val="24"/>
          <w:szCs w:val="24"/>
        </w:rPr>
        <w:t>likely to succeed</w:t>
      </w:r>
      <w:r w:rsidR="0027082D">
        <w:rPr>
          <w:rFonts w:ascii="Times New Roman" w:hAnsi="Times New Roman" w:cs="Times New Roman"/>
          <w:sz w:val="24"/>
          <w:szCs w:val="24"/>
        </w:rPr>
        <w:t>.</w:t>
      </w:r>
      <w:r w:rsidR="0027082D">
        <w:rPr>
          <w:rStyle w:val="EndnoteReference"/>
          <w:rFonts w:ascii="Times New Roman" w:hAnsi="Times New Roman" w:cs="Times New Roman"/>
          <w:sz w:val="24"/>
          <w:szCs w:val="24"/>
        </w:rPr>
        <w:endnoteReference w:id="46"/>
      </w:r>
      <w:r w:rsidR="0027082D">
        <w:rPr>
          <w:rFonts w:ascii="Times New Roman" w:hAnsi="Times New Roman" w:cs="Times New Roman"/>
          <w:sz w:val="24"/>
          <w:szCs w:val="24"/>
        </w:rPr>
        <w:t xml:space="preserve"> </w:t>
      </w:r>
    </w:p>
    <w:p w14:paraId="6985EB0A" w14:textId="69A1BEA5" w:rsidR="0027082D"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As </w:t>
      </w:r>
      <w:r w:rsidR="000C3ACF">
        <w:rPr>
          <w:rFonts w:ascii="Times New Roman" w:hAnsi="Times New Roman" w:cs="Times New Roman"/>
          <w:sz w:val="24"/>
          <w:szCs w:val="24"/>
        </w:rPr>
        <w:t xml:space="preserve">Helen </w:t>
      </w:r>
      <w:r>
        <w:rPr>
          <w:rFonts w:ascii="Times New Roman" w:hAnsi="Times New Roman" w:cs="Times New Roman"/>
          <w:sz w:val="24"/>
          <w:szCs w:val="24"/>
        </w:rPr>
        <w:t xml:space="preserve">Frowe and </w:t>
      </w:r>
      <w:r w:rsidR="000C3ACF" w:rsidRPr="000C3ACF">
        <w:rPr>
          <w:rFonts w:ascii="Times New Roman" w:hAnsi="Times New Roman" w:cs="Times New Roman"/>
          <w:sz w:val="24"/>
          <w:szCs w:val="24"/>
        </w:rPr>
        <w:t xml:space="preserve">Derek </w:t>
      </w:r>
      <w:r>
        <w:rPr>
          <w:rFonts w:ascii="Times New Roman" w:hAnsi="Times New Roman" w:cs="Times New Roman"/>
          <w:sz w:val="24"/>
          <w:szCs w:val="24"/>
        </w:rPr>
        <w:t>Matravers argue</w:t>
      </w:r>
      <w:r w:rsidR="003807A4">
        <w:rPr>
          <w:rFonts w:ascii="Times New Roman" w:hAnsi="Times New Roman" w:cs="Times New Roman"/>
          <w:sz w:val="24"/>
          <w:szCs w:val="24"/>
        </w:rPr>
        <w:t>,</w:t>
      </w:r>
      <w:r>
        <w:rPr>
          <w:rFonts w:ascii="Times New Roman" w:hAnsi="Times New Roman" w:cs="Times New Roman"/>
          <w:sz w:val="24"/>
          <w:szCs w:val="24"/>
        </w:rPr>
        <w:t xml:space="preserve"> military intervention should not be undertaken solely to secure protection of cultural heritage</w:t>
      </w:r>
      <w:r w:rsidR="003807A4">
        <w:rPr>
          <w:rFonts w:ascii="Times New Roman" w:hAnsi="Times New Roman" w:cs="Times New Roman"/>
          <w:sz w:val="24"/>
          <w:szCs w:val="24"/>
        </w:rPr>
        <w:t>,</w:t>
      </w:r>
      <w:r w:rsidR="003807A4" w:rsidRPr="003807A4">
        <w:rPr>
          <w:rFonts w:ascii="Times New Roman" w:hAnsi="Times New Roman" w:cs="Times New Roman"/>
          <w:sz w:val="24"/>
          <w:szCs w:val="24"/>
        </w:rPr>
        <w:t xml:space="preserve"> </w:t>
      </w:r>
      <w:r w:rsidR="003807A4">
        <w:rPr>
          <w:rFonts w:ascii="Times New Roman" w:hAnsi="Times New Roman" w:cs="Times New Roman"/>
          <w:sz w:val="24"/>
          <w:szCs w:val="24"/>
        </w:rPr>
        <w:t>even though we can recognize the intertwined nature of people and heritage</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47"/>
      </w:r>
      <w:r>
        <w:rPr>
          <w:rFonts w:ascii="Times New Roman" w:hAnsi="Times New Roman" w:cs="Times New Roman"/>
          <w:sz w:val="24"/>
          <w:szCs w:val="24"/>
        </w:rPr>
        <w:t xml:space="preserve"> </w:t>
      </w:r>
      <w:r w:rsidR="00CF3D2C">
        <w:rPr>
          <w:rFonts w:ascii="Times New Roman" w:hAnsi="Times New Roman" w:cs="Times New Roman"/>
          <w:sz w:val="24"/>
          <w:szCs w:val="24"/>
        </w:rPr>
        <w:t>Often s</w:t>
      </w:r>
      <w:r>
        <w:rPr>
          <w:rFonts w:ascii="Times New Roman" w:hAnsi="Times New Roman" w:cs="Times New Roman"/>
          <w:sz w:val="24"/>
          <w:szCs w:val="24"/>
        </w:rPr>
        <w:t xml:space="preserve">uch intervention endangers human life, both </w:t>
      </w:r>
      <w:r>
        <w:rPr>
          <w:rFonts w:ascii="Times New Roman" w:hAnsi="Times New Roman" w:cs="Times New Roman"/>
          <w:sz w:val="24"/>
          <w:szCs w:val="24"/>
        </w:rPr>
        <w:lastRenderedPageBreak/>
        <w:t xml:space="preserve">of the intervenors and of innocent civilians who live </w:t>
      </w:r>
      <w:r w:rsidR="00335296">
        <w:rPr>
          <w:rFonts w:ascii="Times New Roman" w:hAnsi="Times New Roman" w:cs="Times New Roman"/>
          <w:sz w:val="24"/>
          <w:szCs w:val="24"/>
        </w:rPr>
        <w:t xml:space="preserve">amid </w:t>
      </w:r>
      <w:r>
        <w:rPr>
          <w:rFonts w:ascii="Times New Roman" w:hAnsi="Times New Roman" w:cs="Times New Roman"/>
          <w:sz w:val="24"/>
          <w:szCs w:val="24"/>
        </w:rPr>
        <w:t xml:space="preserve">the heritage. Sometimes we </w:t>
      </w:r>
      <w:r w:rsidR="002062F4">
        <w:rPr>
          <w:rFonts w:ascii="Times New Roman" w:hAnsi="Times New Roman" w:cs="Times New Roman"/>
          <w:sz w:val="24"/>
          <w:szCs w:val="24"/>
        </w:rPr>
        <w:t xml:space="preserve">ignore </w:t>
      </w:r>
      <w:r>
        <w:rPr>
          <w:rFonts w:ascii="Times New Roman" w:hAnsi="Times New Roman" w:cs="Times New Roman"/>
          <w:sz w:val="24"/>
          <w:szCs w:val="24"/>
        </w:rPr>
        <w:t xml:space="preserve">the local populations, such as those living near the ancient site of Palmyra, and thereby discount the collateral harm that may be done to them. Heritage preservation may also not justify the killing of those attacking heritage unless </w:t>
      </w:r>
      <w:r w:rsidR="00FA089F">
        <w:rPr>
          <w:rFonts w:ascii="Times New Roman" w:hAnsi="Times New Roman" w:cs="Times New Roman"/>
          <w:sz w:val="24"/>
          <w:szCs w:val="24"/>
        </w:rPr>
        <w:t>such</w:t>
      </w:r>
      <w:r>
        <w:rPr>
          <w:rFonts w:ascii="Times New Roman" w:hAnsi="Times New Roman" w:cs="Times New Roman"/>
          <w:sz w:val="24"/>
          <w:szCs w:val="24"/>
        </w:rPr>
        <w:t xml:space="preserve"> preservation </w:t>
      </w:r>
      <w:r w:rsidR="001F7B16">
        <w:rPr>
          <w:rFonts w:ascii="Times New Roman" w:hAnsi="Times New Roman" w:cs="Times New Roman"/>
          <w:sz w:val="24"/>
          <w:szCs w:val="24"/>
        </w:rPr>
        <w:t xml:space="preserve">is deemed likely to </w:t>
      </w:r>
      <w:r>
        <w:rPr>
          <w:rFonts w:ascii="Times New Roman" w:hAnsi="Times New Roman" w:cs="Times New Roman"/>
          <w:sz w:val="24"/>
          <w:szCs w:val="24"/>
        </w:rPr>
        <w:t xml:space="preserve">avert a greater harm such as genocide, </w:t>
      </w:r>
      <w:r w:rsidR="005C1F0E">
        <w:rPr>
          <w:rFonts w:ascii="Times New Roman" w:hAnsi="Times New Roman" w:cs="Times New Roman"/>
          <w:sz w:val="24"/>
          <w:szCs w:val="24"/>
        </w:rPr>
        <w:t xml:space="preserve">further </w:t>
      </w:r>
      <w:r>
        <w:rPr>
          <w:rFonts w:ascii="Times New Roman" w:hAnsi="Times New Roman" w:cs="Times New Roman"/>
          <w:sz w:val="24"/>
          <w:szCs w:val="24"/>
        </w:rPr>
        <w:t>armed conflict, or terrorism.</w:t>
      </w:r>
      <w:r>
        <w:rPr>
          <w:rStyle w:val="EndnoteReference"/>
          <w:rFonts w:ascii="Times New Roman" w:hAnsi="Times New Roman" w:cs="Times New Roman"/>
          <w:sz w:val="24"/>
          <w:szCs w:val="24"/>
        </w:rPr>
        <w:endnoteReference w:id="48"/>
      </w:r>
    </w:p>
    <w:p w14:paraId="49BBF639" w14:textId="730AC541" w:rsidR="0027082D"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From a practical perspective, preservation of immovable heritage would require the long-term stationing of troops at cultural sites, magnifying the threat to life and failing the requirement that such intervention be reasonably likely to succeed.</w:t>
      </w:r>
      <w:r>
        <w:rPr>
          <w:rStyle w:val="EndnoteReference"/>
          <w:rFonts w:ascii="Times New Roman" w:hAnsi="Times New Roman" w:cs="Times New Roman"/>
          <w:sz w:val="24"/>
          <w:szCs w:val="24"/>
        </w:rPr>
        <w:endnoteReference w:id="49"/>
      </w:r>
      <w:r>
        <w:rPr>
          <w:rFonts w:ascii="Times New Roman" w:hAnsi="Times New Roman" w:cs="Times New Roman"/>
          <w:sz w:val="24"/>
          <w:szCs w:val="24"/>
        </w:rPr>
        <w:t xml:space="preserve"> While people and movable cultural objects can be preserved by moving them to safety, it is not possible to move heritage </w:t>
      </w:r>
      <w:r w:rsidR="00791454">
        <w:rPr>
          <w:rFonts w:ascii="Times New Roman" w:hAnsi="Times New Roman" w:cs="Times New Roman"/>
          <w:sz w:val="24"/>
          <w:szCs w:val="24"/>
        </w:rPr>
        <w:t xml:space="preserve">sites </w:t>
      </w:r>
      <w:r>
        <w:rPr>
          <w:rFonts w:ascii="Times New Roman" w:hAnsi="Times New Roman" w:cs="Times New Roman"/>
          <w:sz w:val="24"/>
          <w:szCs w:val="24"/>
        </w:rPr>
        <w:t xml:space="preserve">without destroying </w:t>
      </w:r>
      <w:r w:rsidR="00791454">
        <w:rPr>
          <w:rFonts w:ascii="Times New Roman" w:hAnsi="Times New Roman" w:cs="Times New Roman"/>
          <w:sz w:val="24"/>
          <w:szCs w:val="24"/>
        </w:rPr>
        <w:t>them</w:t>
      </w:r>
      <w:r>
        <w:rPr>
          <w:rFonts w:ascii="Times New Roman" w:hAnsi="Times New Roman" w:cs="Times New Roman"/>
          <w:sz w:val="24"/>
          <w:szCs w:val="24"/>
        </w:rPr>
        <w:t xml:space="preserve">. This would leave only the option of prolonged military intervention with increased risk of loss of </w:t>
      </w:r>
      <w:r w:rsidR="005E70BF">
        <w:rPr>
          <w:rFonts w:ascii="Times New Roman" w:hAnsi="Times New Roman" w:cs="Times New Roman"/>
          <w:sz w:val="24"/>
          <w:szCs w:val="24"/>
        </w:rPr>
        <w:t xml:space="preserve">life </w:t>
      </w:r>
      <w:r>
        <w:rPr>
          <w:rFonts w:ascii="Times New Roman" w:hAnsi="Times New Roman" w:cs="Times New Roman"/>
          <w:sz w:val="24"/>
          <w:szCs w:val="24"/>
        </w:rPr>
        <w:t xml:space="preserve">to save immovable cultural heritage while a political resolution to the armed conflict is found. Military intervention to protect cultural heritage should therefore be undertaken only as part of a larger strategy to take and hold territory or to protect civilian lives; to take territory on a temporary basis, perhaps while movable heritage is moved to </w:t>
      </w:r>
      <w:r w:rsidR="0083447A">
        <w:rPr>
          <w:rFonts w:ascii="Times New Roman" w:hAnsi="Times New Roman" w:cs="Times New Roman"/>
          <w:sz w:val="24"/>
          <w:szCs w:val="24"/>
        </w:rPr>
        <w:t xml:space="preserve">a </w:t>
      </w:r>
      <w:r>
        <w:rPr>
          <w:rFonts w:ascii="Times New Roman" w:hAnsi="Times New Roman" w:cs="Times New Roman"/>
          <w:sz w:val="24"/>
          <w:szCs w:val="24"/>
        </w:rPr>
        <w:t xml:space="preserve">secure location; in conjunction with efforts to preserve human life or </w:t>
      </w:r>
      <w:r w:rsidR="005A3782">
        <w:rPr>
          <w:rFonts w:ascii="Times New Roman" w:hAnsi="Times New Roman" w:cs="Times New Roman"/>
          <w:sz w:val="24"/>
          <w:szCs w:val="24"/>
        </w:rPr>
        <w:t xml:space="preserve">prevent </w:t>
      </w:r>
      <w:r>
        <w:rPr>
          <w:rFonts w:ascii="Times New Roman" w:hAnsi="Times New Roman" w:cs="Times New Roman"/>
          <w:sz w:val="24"/>
          <w:szCs w:val="24"/>
        </w:rPr>
        <w:t>serious injury to people where the protection of heritage is instrumental, rather than the only goal</w:t>
      </w:r>
      <w:r w:rsidR="00E06657">
        <w:rPr>
          <w:rFonts w:ascii="Times New Roman" w:hAnsi="Times New Roman" w:cs="Times New Roman"/>
          <w:sz w:val="24"/>
          <w:szCs w:val="24"/>
        </w:rPr>
        <w:t>;</w:t>
      </w:r>
      <w:r>
        <w:rPr>
          <w:rFonts w:ascii="Times New Roman" w:hAnsi="Times New Roman" w:cs="Times New Roman"/>
          <w:sz w:val="24"/>
          <w:szCs w:val="24"/>
        </w:rPr>
        <w:t xml:space="preserve"> or as part of peacekeeping efforts. </w:t>
      </w:r>
    </w:p>
    <w:p w14:paraId="10EE92F8" w14:textId="555AED0C" w:rsidR="0083447A"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Security Council </w:t>
      </w:r>
      <w:r w:rsidR="00404ECB">
        <w:rPr>
          <w:rFonts w:ascii="Times New Roman" w:hAnsi="Times New Roman" w:cs="Times New Roman"/>
          <w:sz w:val="24"/>
          <w:szCs w:val="24"/>
        </w:rPr>
        <w:t>r</w:t>
      </w:r>
      <w:r w:rsidRPr="00C71233">
        <w:rPr>
          <w:rFonts w:ascii="Times New Roman" w:hAnsi="Times New Roman" w:cs="Times New Roman"/>
          <w:sz w:val="24"/>
          <w:szCs w:val="24"/>
        </w:rPr>
        <w:t xml:space="preserve">esolution 2100 </w:t>
      </w:r>
      <w:r>
        <w:rPr>
          <w:rFonts w:ascii="Times New Roman" w:hAnsi="Times New Roman" w:cs="Times New Roman"/>
          <w:sz w:val="24"/>
          <w:szCs w:val="24"/>
        </w:rPr>
        <w:t xml:space="preserve">condemned the destruction of cultural and historical heritage in Mali and </w:t>
      </w:r>
      <w:r w:rsidRPr="00C71233">
        <w:rPr>
          <w:rFonts w:ascii="Times New Roman" w:hAnsi="Times New Roman" w:cs="Times New Roman"/>
          <w:sz w:val="24"/>
          <w:szCs w:val="24"/>
        </w:rPr>
        <w:t xml:space="preserve">established the Multidimensional Integrated Stabilization Mission in Mali (MINUSMA) </w:t>
      </w:r>
      <w:r w:rsidR="00551C48">
        <w:rPr>
          <w:rFonts w:ascii="Times New Roman" w:hAnsi="Times New Roman" w:cs="Times New Roman"/>
          <w:sz w:val="24"/>
          <w:szCs w:val="24"/>
        </w:rPr>
        <w:t>for the pu</w:t>
      </w:r>
      <w:r w:rsidR="009B20F5">
        <w:rPr>
          <w:rFonts w:ascii="Times New Roman" w:hAnsi="Times New Roman" w:cs="Times New Roman"/>
          <w:sz w:val="24"/>
          <w:szCs w:val="24"/>
        </w:rPr>
        <w:t>r</w:t>
      </w:r>
      <w:r w:rsidR="00551C48">
        <w:rPr>
          <w:rFonts w:ascii="Times New Roman" w:hAnsi="Times New Roman" w:cs="Times New Roman"/>
          <w:sz w:val="24"/>
          <w:szCs w:val="24"/>
        </w:rPr>
        <w:t xml:space="preserve">poses </w:t>
      </w:r>
      <w:r w:rsidRPr="00C71233">
        <w:rPr>
          <w:rFonts w:ascii="Times New Roman" w:hAnsi="Times New Roman" w:cs="Times New Roman"/>
          <w:sz w:val="24"/>
          <w:szCs w:val="24"/>
        </w:rPr>
        <w:t xml:space="preserve">of peacekeeping and </w:t>
      </w:r>
      <w:r w:rsidR="00551C48">
        <w:rPr>
          <w:rFonts w:ascii="Times New Roman" w:hAnsi="Times New Roman" w:cs="Times New Roman"/>
          <w:sz w:val="24"/>
          <w:szCs w:val="24"/>
        </w:rPr>
        <w:t xml:space="preserve">political </w:t>
      </w:r>
      <w:r w:rsidRPr="00C71233">
        <w:rPr>
          <w:rFonts w:ascii="Times New Roman" w:hAnsi="Times New Roman" w:cs="Times New Roman"/>
          <w:sz w:val="24"/>
          <w:szCs w:val="24"/>
        </w:rPr>
        <w:t xml:space="preserve">stabilization. The </w:t>
      </w:r>
      <w:r w:rsidR="001E1B9D">
        <w:rPr>
          <w:rFonts w:ascii="Times New Roman" w:hAnsi="Times New Roman" w:cs="Times New Roman"/>
          <w:sz w:val="24"/>
          <w:szCs w:val="24"/>
        </w:rPr>
        <w:t xml:space="preserve">mission’s </w:t>
      </w:r>
      <w:r w:rsidRPr="00C71233">
        <w:rPr>
          <w:rFonts w:ascii="Times New Roman" w:hAnsi="Times New Roman" w:cs="Times New Roman"/>
          <w:sz w:val="24"/>
          <w:szCs w:val="24"/>
        </w:rPr>
        <w:t>mandate included cultural preservation by “assist[ing] the transitional authorities of Mali, as necessary and feasible, in protecting from attack the cultural and historical sites in Mali, in collaboration with UNESCO.”</w:t>
      </w:r>
      <w:r w:rsidRPr="00C71233">
        <w:rPr>
          <w:rStyle w:val="EndnoteReference"/>
          <w:rFonts w:ascii="Times New Roman" w:hAnsi="Times New Roman" w:cs="Times New Roman"/>
          <w:sz w:val="24"/>
          <w:szCs w:val="24"/>
        </w:rPr>
        <w:endnoteReference w:id="50"/>
      </w:r>
      <w:r w:rsidRPr="00C71233">
        <w:rPr>
          <w:rFonts w:ascii="Times New Roman" w:hAnsi="Times New Roman" w:cs="Times New Roman"/>
          <w:sz w:val="24"/>
          <w:szCs w:val="24"/>
        </w:rPr>
        <w:t xml:space="preserve"> Cultural heritage preservation was thus put on a par with several </w:t>
      </w:r>
      <w:r w:rsidRPr="00C71233">
        <w:rPr>
          <w:rFonts w:ascii="Times New Roman" w:hAnsi="Times New Roman" w:cs="Times New Roman"/>
          <w:sz w:val="24"/>
          <w:szCs w:val="24"/>
        </w:rPr>
        <w:lastRenderedPageBreak/>
        <w:t>other humanitarian and civil protection goals, including humanitarian assistance and promotion and protection of human rights</w:t>
      </w:r>
      <w:r w:rsidR="00E8346D">
        <w:rPr>
          <w:rFonts w:ascii="Times New Roman" w:hAnsi="Times New Roman" w:cs="Times New Roman"/>
          <w:sz w:val="24"/>
          <w:szCs w:val="24"/>
        </w:rPr>
        <w:t>,</w:t>
      </w:r>
      <w:r>
        <w:rPr>
          <w:rFonts w:ascii="Times New Roman" w:hAnsi="Times New Roman" w:cs="Times New Roman"/>
          <w:sz w:val="24"/>
          <w:szCs w:val="24"/>
        </w:rPr>
        <w:t xml:space="preserve"> but clearly within the peacekeeping function of the stabilization force</w:t>
      </w:r>
      <w:r w:rsidRPr="00C71233">
        <w:rPr>
          <w:rFonts w:ascii="Times New Roman" w:hAnsi="Times New Roman" w:cs="Times New Roman"/>
          <w:sz w:val="24"/>
          <w:szCs w:val="24"/>
        </w:rPr>
        <w:t>.</w:t>
      </w:r>
      <w:r>
        <w:rPr>
          <w:rFonts w:ascii="Times New Roman" w:hAnsi="Times New Roman" w:cs="Times New Roman"/>
          <w:sz w:val="24"/>
          <w:szCs w:val="24"/>
        </w:rPr>
        <w:t xml:space="preserve"> </w:t>
      </w:r>
      <w:r w:rsidR="00F7167D">
        <w:rPr>
          <w:rFonts w:ascii="Times New Roman" w:hAnsi="Times New Roman" w:cs="Times New Roman"/>
          <w:sz w:val="24"/>
          <w:szCs w:val="24"/>
        </w:rPr>
        <w:t xml:space="preserve">Unfortunately, this part of the MINUSMA mandate was removed in </w:t>
      </w:r>
      <w:r w:rsidR="005F6DD9">
        <w:rPr>
          <w:rFonts w:ascii="Times New Roman" w:hAnsi="Times New Roman" w:cs="Times New Roman"/>
          <w:sz w:val="24"/>
          <w:szCs w:val="24"/>
        </w:rPr>
        <w:t xml:space="preserve">its </w:t>
      </w:r>
      <w:r w:rsidR="00F7167D">
        <w:rPr>
          <w:rFonts w:ascii="Times New Roman" w:hAnsi="Times New Roman" w:cs="Times New Roman"/>
          <w:sz w:val="24"/>
          <w:szCs w:val="24"/>
        </w:rPr>
        <w:t>2018 renewal, perhaps due to lack of capacity by the peacekeeping forces.</w:t>
      </w:r>
    </w:p>
    <w:p w14:paraId="7F0667A3" w14:textId="0EC957E2" w:rsidR="00D377A8" w:rsidRPr="009847F2"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be successful, </w:t>
      </w:r>
      <w:r w:rsidR="005A3782">
        <w:rPr>
          <w:rFonts w:ascii="Times New Roman" w:hAnsi="Times New Roman" w:cs="Times New Roman"/>
          <w:sz w:val="24"/>
          <w:szCs w:val="24"/>
        </w:rPr>
        <w:t xml:space="preserve">such </w:t>
      </w:r>
      <w:r w:rsidR="00F7167D">
        <w:rPr>
          <w:rFonts w:ascii="Times New Roman" w:hAnsi="Times New Roman" w:cs="Times New Roman"/>
          <w:sz w:val="24"/>
          <w:szCs w:val="24"/>
        </w:rPr>
        <w:t>forces</w:t>
      </w:r>
      <w:r>
        <w:rPr>
          <w:rFonts w:ascii="Times New Roman" w:hAnsi="Times New Roman" w:cs="Times New Roman"/>
          <w:sz w:val="24"/>
          <w:szCs w:val="24"/>
        </w:rPr>
        <w:t xml:space="preserve"> </w:t>
      </w:r>
      <w:r w:rsidR="00F7167D">
        <w:rPr>
          <w:rFonts w:ascii="Times New Roman" w:hAnsi="Times New Roman" w:cs="Times New Roman"/>
          <w:sz w:val="24"/>
          <w:szCs w:val="24"/>
        </w:rPr>
        <w:t xml:space="preserve">must include those who are knowledgeable about cultural heritage preservation and peacekeepers </w:t>
      </w:r>
      <w:r>
        <w:rPr>
          <w:rFonts w:ascii="Times New Roman" w:hAnsi="Times New Roman" w:cs="Times New Roman"/>
          <w:sz w:val="24"/>
          <w:szCs w:val="24"/>
        </w:rPr>
        <w:t xml:space="preserve">must be trained in the importance of cultural heritage for local populations, protection and emergency conservation of both movable and immovable heritage, and the need to </w:t>
      </w:r>
      <w:r w:rsidR="000A6493">
        <w:rPr>
          <w:rFonts w:ascii="Times New Roman" w:hAnsi="Times New Roman" w:cs="Times New Roman"/>
          <w:sz w:val="24"/>
          <w:szCs w:val="24"/>
        </w:rPr>
        <w:t>avoid</w:t>
      </w:r>
      <w:r>
        <w:rPr>
          <w:rFonts w:ascii="Times New Roman" w:hAnsi="Times New Roman" w:cs="Times New Roman"/>
          <w:sz w:val="24"/>
          <w:szCs w:val="24"/>
        </w:rPr>
        <w:t xml:space="preserve"> looting or purchasing looted or stolen cultural objects. Such training would be most appropriately carried out under the auspices of the Blue Shield, which has trained Fijian and Irish armed forces, </w:t>
      </w:r>
      <w:r w:rsidR="00454399">
        <w:rPr>
          <w:rFonts w:ascii="Times New Roman" w:hAnsi="Times New Roman" w:cs="Times New Roman"/>
          <w:sz w:val="24"/>
          <w:szCs w:val="24"/>
        </w:rPr>
        <w:t xml:space="preserve">which </w:t>
      </w:r>
      <w:r>
        <w:rPr>
          <w:rFonts w:ascii="Times New Roman" w:hAnsi="Times New Roman" w:cs="Times New Roman"/>
          <w:sz w:val="24"/>
          <w:szCs w:val="24"/>
        </w:rPr>
        <w:t xml:space="preserve">only deploy as peacekeepers, and </w:t>
      </w:r>
      <w:r w:rsidR="004C7EC6">
        <w:rPr>
          <w:rFonts w:ascii="Times New Roman" w:hAnsi="Times New Roman" w:cs="Times New Roman"/>
          <w:sz w:val="24"/>
          <w:szCs w:val="24"/>
        </w:rPr>
        <w:t xml:space="preserve">has </w:t>
      </w:r>
      <w:r>
        <w:rPr>
          <w:rFonts w:ascii="Times New Roman" w:hAnsi="Times New Roman" w:cs="Times New Roman"/>
          <w:sz w:val="24"/>
          <w:szCs w:val="24"/>
        </w:rPr>
        <w:t xml:space="preserve">conducted such training with </w:t>
      </w:r>
      <w:r w:rsidR="0096675E">
        <w:rPr>
          <w:rFonts w:ascii="Times New Roman" w:hAnsi="Times New Roman" w:cs="Times New Roman"/>
          <w:sz w:val="24"/>
          <w:szCs w:val="24"/>
        </w:rPr>
        <w:t xml:space="preserve">the </w:t>
      </w:r>
      <w:r w:rsidR="0096675E" w:rsidRPr="0096675E">
        <w:rPr>
          <w:rFonts w:ascii="Times New Roman" w:hAnsi="Times New Roman" w:cs="Times New Roman"/>
          <w:sz w:val="24"/>
          <w:szCs w:val="24"/>
        </w:rPr>
        <w:t xml:space="preserve">UN Interim Force in Lebanon </w:t>
      </w:r>
      <w:r w:rsidR="0096675E">
        <w:rPr>
          <w:rFonts w:ascii="Times New Roman" w:hAnsi="Times New Roman" w:cs="Times New Roman"/>
          <w:sz w:val="24"/>
          <w:szCs w:val="24"/>
        </w:rPr>
        <w:t>(</w:t>
      </w:r>
      <w:r>
        <w:rPr>
          <w:rFonts w:ascii="Times New Roman" w:hAnsi="Times New Roman" w:cs="Times New Roman"/>
          <w:sz w:val="24"/>
          <w:szCs w:val="24"/>
        </w:rPr>
        <w:t>UNIFIL</w:t>
      </w:r>
      <w:r w:rsidR="0096675E">
        <w:rPr>
          <w:rFonts w:ascii="Times New Roman" w:hAnsi="Times New Roman" w:cs="Times New Roman"/>
          <w:sz w:val="24"/>
          <w:szCs w:val="24"/>
        </w:rPr>
        <w:t>)</w:t>
      </w:r>
      <w:r>
        <w:rPr>
          <w:rFonts w:ascii="Times New Roman" w:hAnsi="Times New Roman" w:cs="Times New Roman"/>
          <w:sz w:val="24"/>
          <w:szCs w:val="24"/>
        </w:rPr>
        <w:t xml:space="preserve"> in </w:t>
      </w:r>
      <w:r w:rsidR="0096675E">
        <w:rPr>
          <w:rFonts w:ascii="Times New Roman" w:hAnsi="Times New Roman" w:cs="Times New Roman"/>
          <w:sz w:val="24"/>
          <w:szCs w:val="24"/>
        </w:rPr>
        <w:t>the south of the country</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51"/>
      </w:r>
      <w:r>
        <w:rPr>
          <w:rFonts w:ascii="Times New Roman" w:hAnsi="Times New Roman" w:cs="Times New Roman"/>
          <w:sz w:val="24"/>
          <w:szCs w:val="24"/>
        </w:rPr>
        <w:t xml:space="preserve"> The US Committee of the Blue Shield, the Smithsonian </w:t>
      </w:r>
      <w:r w:rsidR="004F30FA" w:rsidRPr="004F30FA">
        <w:rPr>
          <w:rFonts w:ascii="Times New Roman" w:hAnsi="Times New Roman" w:cs="Times New Roman"/>
          <w:sz w:val="24"/>
          <w:szCs w:val="24"/>
        </w:rPr>
        <w:t>Institution</w:t>
      </w:r>
      <w:r w:rsidR="004F30FA">
        <w:rPr>
          <w:rFonts w:ascii="Times New Roman" w:hAnsi="Times New Roman" w:cs="Times New Roman"/>
          <w:sz w:val="24"/>
          <w:szCs w:val="24"/>
        </w:rPr>
        <w:t>,</w:t>
      </w:r>
      <w:r w:rsidR="004F30FA" w:rsidRPr="004F30FA">
        <w:rPr>
          <w:rFonts w:ascii="Times New Roman" w:hAnsi="Times New Roman" w:cs="Times New Roman"/>
          <w:sz w:val="24"/>
          <w:szCs w:val="24"/>
        </w:rPr>
        <w:t xml:space="preserve"> </w:t>
      </w:r>
      <w:r>
        <w:rPr>
          <w:rFonts w:ascii="Times New Roman" w:hAnsi="Times New Roman" w:cs="Times New Roman"/>
          <w:sz w:val="24"/>
          <w:szCs w:val="24"/>
        </w:rPr>
        <w:t xml:space="preserve">and the University of Pennsylvania provided pocket guides </w:t>
      </w:r>
      <w:r w:rsidR="00A24845">
        <w:rPr>
          <w:rFonts w:ascii="Times New Roman" w:hAnsi="Times New Roman" w:cs="Times New Roman"/>
          <w:sz w:val="24"/>
          <w:szCs w:val="24"/>
        </w:rPr>
        <w:t xml:space="preserve">on </w:t>
      </w:r>
      <w:r>
        <w:rPr>
          <w:rFonts w:ascii="Times New Roman" w:hAnsi="Times New Roman" w:cs="Times New Roman"/>
          <w:sz w:val="24"/>
          <w:szCs w:val="24"/>
        </w:rPr>
        <w:t>international law and heritage preservation to US, Iraqi</w:t>
      </w:r>
      <w:r w:rsidR="00A24845">
        <w:rPr>
          <w:rFonts w:ascii="Times New Roman" w:hAnsi="Times New Roman" w:cs="Times New Roman"/>
          <w:sz w:val="24"/>
          <w:szCs w:val="24"/>
        </w:rPr>
        <w:t>,</w:t>
      </w:r>
      <w:r>
        <w:rPr>
          <w:rFonts w:ascii="Times New Roman" w:hAnsi="Times New Roman" w:cs="Times New Roman"/>
          <w:sz w:val="24"/>
          <w:szCs w:val="24"/>
        </w:rPr>
        <w:t xml:space="preserve"> and Kurdish troops before the offenses to retake Mosul and later Raqqa from ISIL.</w:t>
      </w:r>
      <w:r>
        <w:rPr>
          <w:rStyle w:val="EndnoteReference"/>
          <w:rFonts w:ascii="Times New Roman" w:hAnsi="Times New Roman" w:cs="Times New Roman"/>
          <w:sz w:val="24"/>
          <w:szCs w:val="24"/>
        </w:rPr>
        <w:endnoteReference w:id="52"/>
      </w:r>
      <w:r w:rsidR="009847F2">
        <w:rPr>
          <w:rFonts w:ascii="Times New Roman" w:hAnsi="Times New Roman" w:cs="Times New Roman"/>
          <w:sz w:val="24"/>
          <w:szCs w:val="24"/>
        </w:rPr>
        <w:t xml:space="preserve"> There are other examples of intermediary actions that could be taken short of military intervention. </w:t>
      </w:r>
      <w:r w:rsidR="009847F2" w:rsidRPr="009847F2">
        <w:rPr>
          <w:rFonts w:ascii="Times New Roman" w:hAnsi="Times New Roman" w:cs="Times New Roman"/>
          <w:sz w:val="24"/>
          <w:szCs w:val="24"/>
        </w:rPr>
        <w:t xml:space="preserve">UNESCO and Italy entered into an agreement in 2016 to create a </w:t>
      </w:r>
      <w:r w:rsidR="00E22BDA">
        <w:rPr>
          <w:rFonts w:ascii="Times New Roman" w:hAnsi="Times New Roman" w:cs="Times New Roman"/>
          <w:sz w:val="24"/>
          <w:szCs w:val="24"/>
        </w:rPr>
        <w:t>t</w:t>
      </w:r>
      <w:r w:rsidR="009847F2" w:rsidRPr="009847F2">
        <w:rPr>
          <w:rFonts w:ascii="Times New Roman" w:hAnsi="Times New Roman" w:cs="Times New Roman"/>
          <w:sz w:val="24"/>
          <w:szCs w:val="24"/>
        </w:rPr>
        <w:t xml:space="preserve">ask </w:t>
      </w:r>
      <w:r w:rsidR="00E22BDA">
        <w:rPr>
          <w:rFonts w:ascii="Times New Roman" w:hAnsi="Times New Roman" w:cs="Times New Roman"/>
          <w:sz w:val="24"/>
          <w:szCs w:val="24"/>
        </w:rPr>
        <w:t>f</w:t>
      </w:r>
      <w:r w:rsidR="009847F2" w:rsidRPr="009847F2">
        <w:rPr>
          <w:rFonts w:ascii="Times New Roman" w:hAnsi="Times New Roman" w:cs="Times New Roman"/>
          <w:sz w:val="24"/>
          <w:szCs w:val="24"/>
        </w:rPr>
        <w:t>orce of experts that could be deployed to assist with conservation of cultural heritage during crises.</w:t>
      </w:r>
      <w:r w:rsidR="009847F2">
        <w:rPr>
          <w:rStyle w:val="EndnoteReference"/>
          <w:rFonts w:ascii="Times New Roman" w:hAnsi="Times New Roman" w:cs="Times New Roman"/>
          <w:sz w:val="24"/>
          <w:szCs w:val="24"/>
        </w:rPr>
        <w:endnoteReference w:id="53"/>
      </w:r>
      <w:r w:rsidR="00F77058">
        <w:rPr>
          <w:rFonts w:ascii="Times New Roman" w:hAnsi="Times New Roman" w:cs="Times New Roman"/>
          <w:sz w:val="24"/>
          <w:szCs w:val="24"/>
        </w:rPr>
        <w:t xml:space="preserve"> </w:t>
      </w:r>
      <w:r w:rsidR="009847F2" w:rsidRPr="009847F2">
        <w:rPr>
          <w:rFonts w:ascii="Times New Roman" w:hAnsi="Times New Roman" w:cs="Times New Roman"/>
          <w:sz w:val="24"/>
          <w:szCs w:val="24"/>
        </w:rPr>
        <w:t xml:space="preserve">To some extent similar functions are being undertaken through </w:t>
      </w:r>
      <w:r w:rsidR="004C3A5F">
        <w:rPr>
          <w:rFonts w:ascii="Times New Roman" w:hAnsi="Times New Roman" w:cs="Times New Roman"/>
          <w:sz w:val="24"/>
          <w:szCs w:val="24"/>
        </w:rPr>
        <w:t>NGOs</w:t>
      </w:r>
      <w:r w:rsidR="00B27DCC">
        <w:rPr>
          <w:rFonts w:ascii="Times New Roman" w:hAnsi="Times New Roman" w:cs="Times New Roman"/>
          <w:sz w:val="24"/>
          <w:szCs w:val="24"/>
        </w:rPr>
        <w:t xml:space="preserve"> </w:t>
      </w:r>
      <w:r w:rsidR="009847F2" w:rsidRPr="009847F2">
        <w:rPr>
          <w:rFonts w:ascii="Times New Roman" w:hAnsi="Times New Roman" w:cs="Times New Roman"/>
          <w:sz w:val="24"/>
          <w:szCs w:val="24"/>
        </w:rPr>
        <w:t xml:space="preserve">such as the Aliph Foundation, the Smithsonian Cultural Rescue Initiative, </w:t>
      </w:r>
      <w:r w:rsidR="00A530A3">
        <w:rPr>
          <w:rFonts w:ascii="Times New Roman" w:hAnsi="Times New Roman" w:cs="Times New Roman"/>
          <w:sz w:val="24"/>
          <w:szCs w:val="24"/>
        </w:rPr>
        <w:t xml:space="preserve">the </w:t>
      </w:r>
      <w:r w:rsidR="00A530A3" w:rsidRPr="00A530A3">
        <w:rPr>
          <w:rFonts w:ascii="Times New Roman" w:hAnsi="Times New Roman" w:cs="Times New Roman"/>
          <w:sz w:val="24"/>
          <w:szCs w:val="24"/>
        </w:rPr>
        <w:t xml:space="preserve">International Council of Museums </w:t>
      </w:r>
      <w:r w:rsidR="00A530A3">
        <w:rPr>
          <w:rFonts w:ascii="Times New Roman" w:hAnsi="Times New Roman" w:cs="Times New Roman"/>
          <w:sz w:val="24"/>
          <w:szCs w:val="24"/>
        </w:rPr>
        <w:t>(</w:t>
      </w:r>
      <w:r w:rsidR="009847F2" w:rsidRPr="009847F2">
        <w:rPr>
          <w:rFonts w:ascii="Times New Roman" w:hAnsi="Times New Roman" w:cs="Times New Roman"/>
          <w:sz w:val="24"/>
          <w:szCs w:val="24"/>
        </w:rPr>
        <w:t>ICOM</w:t>
      </w:r>
      <w:r w:rsidR="00A530A3">
        <w:rPr>
          <w:rFonts w:ascii="Times New Roman" w:hAnsi="Times New Roman" w:cs="Times New Roman"/>
          <w:sz w:val="24"/>
          <w:szCs w:val="24"/>
        </w:rPr>
        <w:t>),</w:t>
      </w:r>
      <w:r w:rsidR="009847F2" w:rsidRPr="009847F2">
        <w:rPr>
          <w:rFonts w:ascii="Times New Roman" w:hAnsi="Times New Roman" w:cs="Times New Roman"/>
          <w:sz w:val="24"/>
          <w:szCs w:val="24"/>
        </w:rPr>
        <w:t xml:space="preserve"> and Blue Shield International</w:t>
      </w:r>
      <w:r w:rsidR="009847F2">
        <w:rPr>
          <w:rFonts w:ascii="Times New Roman" w:hAnsi="Times New Roman" w:cs="Times New Roman"/>
          <w:sz w:val="24"/>
          <w:szCs w:val="24"/>
        </w:rPr>
        <w:t>.</w:t>
      </w:r>
    </w:p>
    <w:p w14:paraId="4BEF6ABD" w14:textId="4C3BF7F3" w:rsidR="0027082D" w:rsidRDefault="00D377A8" w:rsidP="00353FB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The second proposal to enable a more effective application of R2P within pillar three involves the</w:t>
      </w:r>
      <w:r w:rsidR="0027082D" w:rsidRPr="00353FB5">
        <w:rPr>
          <w:rFonts w:ascii="Times New Roman" w:hAnsi="Times New Roman" w:cs="Times New Roman"/>
          <w:sz w:val="24"/>
          <w:szCs w:val="24"/>
        </w:rPr>
        <w:t xml:space="preserve"> </w:t>
      </w:r>
      <w:r>
        <w:rPr>
          <w:rFonts w:ascii="Times New Roman" w:hAnsi="Times New Roman" w:cs="Times New Roman"/>
          <w:sz w:val="24"/>
          <w:szCs w:val="24"/>
        </w:rPr>
        <w:t>c</w:t>
      </w:r>
      <w:r w:rsidR="0027082D" w:rsidRPr="00353FB5">
        <w:rPr>
          <w:rFonts w:ascii="Times New Roman" w:hAnsi="Times New Roman" w:cs="Times New Roman"/>
          <w:sz w:val="24"/>
          <w:szCs w:val="24"/>
        </w:rPr>
        <w:t xml:space="preserve">riminalization of </w:t>
      </w:r>
      <w:r>
        <w:rPr>
          <w:rFonts w:ascii="Times New Roman" w:hAnsi="Times New Roman" w:cs="Times New Roman"/>
          <w:sz w:val="24"/>
          <w:szCs w:val="24"/>
        </w:rPr>
        <w:t>i</w:t>
      </w:r>
      <w:r w:rsidR="0027082D" w:rsidRPr="00353FB5">
        <w:rPr>
          <w:rFonts w:ascii="Times New Roman" w:hAnsi="Times New Roman" w:cs="Times New Roman"/>
          <w:sz w:val="24"/>
          <w:szCs w:val="24"/>
        </w:rPr>
        <w:t xml:space="preserve">ntentional </w:t>
      </w:r>
      <w:r>
        <w:rPr>
          <w:rFonts w:ascii="Times New Roman" w:hAnsi="Times New Roman" w:cs="Times New Roman"/>
          <w:sz w:val="24"/>
          <w:szCs w:val="24"/>
        </w:rPr>
        <w:t>d</w:t>
      </w:r>
      <w:r w:rsidR="0027082D" w:rsidRPr="00353FB5">
        <w:rPr>
          <w:rFonts w:ascii="Times New Roman" w:hAnsi="Times New Roman" w:cs="Times New Roman"/>
          <w:sz w:val="24"/>
          <w:szCs w:val="24"/>
        </w:rPr>
        <w:t>estruction</w:t>
      </w:r>
      <w:r>
        <w:rPr>
          <w:rFonts w:ascii="Times New Roman" w:hAnsi="Times New Roman" w:cs="Times New Roman"/>
          <w:sz w:val="24"/>
          <w:szCs w:val="24"/>
        </w:rPr>
        <w:t>.</w:t>
      </w:r>
      <w:r w:rsidR="0027082D">
        <w:rPr>
          <w:rFonts w:ascii="Times New Roman" w:hAnsi="Times New Roman" w:cs="Times New Roman"/>
          <w:sz w:val="24"/>
          <w:szCs w:val="24"/>
        </w:rPr>
        <w:t xml:space="preserve"> </w:t>
      </w:r>
      <w:r>
        <w:rPr>
          <w:rFonts w:ascii="Times New Roman" w:hAnsi="Times New Roman" w:cs="Times New Roman"/>
          <w:sz w:val="24"/>
          <w:szCs w:val="24"/>
        </w:rPr>
        <w:t xml:space="preserve">While it </w:t>
      </w:r>
      <w:r w:rsidR="0027082D">
        <w:rPr>
          <w:rFonts w:ascii="Times New Roman" w:hAnsi="Times New Roman" w:cs="Times New Roman"/>
          <w:sz w:val="24"/>
          <w:szCs w:val="24"/>
        </w:rPr>
        <w:t>is too complex a subject to be treated here in detail</w:t>
      </w:r>
      <w:r>
        <w:rPr>
          <w:rFonts w:ascii="Times New Roman" w:hAnsi="Times New Roman" w:cs="Times New Roman"/>
          <w:sz w:val="24"/>
          <w:szCs w:val="24"/>
        </w:rPr>
        <w:t>,</w:t>
      </w:r>
      <w:r w:rsidR="0027082D">
        <w:rPr>
          <w:rStyle w:val="EndnoteReference"/>
          <w:rFonts w:ascii="Times New Roman" w:hAnsi="Times New Roman" w:cs="Times New Roman"/>
          <w:sz w:val="24"/>
          <w:szCs w:val="24"/>
        </w:rPr>
        <w:endnoteReference w:id="54"/>
      </w:r>
      <w:r w:rsidR="0027082D">
        <w:rPr>
          <w:rFonts w:ascii="Times New Roman" w:hAnsi="Times New Roman" w:cs="Times New Roman"/>
          <w:sz w:val="24"/>
          <w:szCs w:val="24"/>
        </w:rPr>
        <w:t xml:space="preserve"> </w:t>
      </w:r>
      <w:r>
        <w:rPr>
          <w:rFonts w:ascii="Times New Roman" w:hAnsi="Times New Roman" w:cs="Times New Roman"/>
          <w:sz w:val="24"/>
          <w:szCs w:val="24"/>
        </w:rPr>
        <w:t>t</w:t>
      </w:r>
      <w:r w:rsidR="00F24F59">
        <w:rPr>
          <w:rFonts w:ascii="Times New Roman" w:hAnsi="Times New Roman" w:cs="Times New Roman"/>
          <w:sz w:val="24"/>
          <w:szCs w:val="24"/>
        </w:rPr>
        <w:t>he crime of intentional destruction of cultural heritage</w:t>
      </w:r>
      <w:r w:rsidR="0027082D">
        <w:rPr>
          <w:rFonts w:ascii="Times New Roman" w:hAnsi="Times New Roman" w:cs="Times New Roman"/>
          <w:sz w:val="24"/>
          <w:szCs w:val="24"/>
        </w:rPr>
        <w:t xml:space="preserve"> was incorporated into the Rome Statute,</w:t>
      </w:r>
      <w:r w:rsidR="0027082D">
        <w:rPr>
          <w:rStyle w:val="EndnoteReference"/>
          <w:rFonts w:ascii="Times New Roman" w:hAnsi="Times New Roman" w:cs="Times New Roman"/>
          <w:sz w:val="24"/>
          <w:szCs w:val="24"/>
        </w:rPr>
        <w:endnoteReference w:id="55"/>
      </w:r>
      <w:r w:rsidR="0027082D">
        <w:rPr>
          <w:rFonts w:ascii="Times New Roman" w:hAnsi="Times New Roman" w:cs="Times New Roman"/>
          <w:sz w:val="24"/>
          <w:szCs w:val="24"/>
        </w:rPr>
        <w:t xml:space="preserve"> the ICTY </w:t>
      </w:r>
      <w:r>
        <w:rPr>
          <w:rFonts w:ascii="Times New Roman" w:hAnsi="Times New Roman" w:cs="Times New Roman"/>
          <w:sz w:val="24"/>
          <w:szCs w:val="24"/>
        </w:rPr>
        <w:t>s</w:t>
      </w:r>
      <w:r w:rsidR="0027082D">
        <w:rPr>
          <w:rFonts w:ascii="Times New Roman" w:hAnsi="Times New Roman" w:cs="Times New Roman"/>
          <w:sz w:val="24"/>
          <w:szCs w:val="24"/>
        </w:rPr>
        <w:t xml:space="preserve">tatute, the Second Protocol to the </w:t>
      </w:r>
      <w:r w:rsidR="0008045F">
        <w:rPr>
          <w:rFonts w:ascii="Times New Roman" w:hAnsi="Times New Roman" w:cs="Times New Roman"/>
          <w:sz w:val="24"/>
          <w:szCs w:val="24"/>
        </w:rPr>
        <w:t xml:space="preserve">1954 </w:t>
      </w:r>
      <w:r w:rsidR="0027082D">
        <w:rPr>
          <w:rFonts w:ascii="Times New Roman" w:hAnsi="Times New Roman" w:cs="Times New Roman"/>
          <w:sz w:val="24"/>
          <w:szCs w:val="24"/>
        </w:rPr>
        <w:t xml:space="preserve">Hague Convention, and the </w:t>
      </w:r>
      <w:r w:rsidR="00F25C17">
        <w:rPr>
          <w:rFonts w:ascii="Times New Roman" w:hAnsi="Times New Roman" w:cs="Times New Roman"/>
          <w:sz w:val="24"/>
          <w:szCs w:val="24"/>
        </w:rPr>
        <w:t xml:space="preserve">2001 </w:t>
      </w:r>
      <w:r w:rsidR="0027082D">
        <w:rPr>
          <w:rFonts w:ascii="Times New Roman" w:hAnsi="Times New Roman" w:cs="Times New Roman"/>
          <w:sz w:val="24"/>
          <w:szCs w:val="24"/>
        </w:rPr>
        <w:t xml:space="preserve">Cambodian Law on the Establishment of the Extraordinary Chambers in the Courts </w:t>
      </w:r>
      <w:r w:rsidR="0027082D">
        <w:rPr>
          <w:rFonts w:ascii="Times New Roman" w:hAnsi="Times New Roman" w:cs="Times New Roman"/>
          <w:sz w:val="24"/>
          <w:szCs w:val="24"/>
        </w:rPr>
        <w:lastRenderedPageBreak/>
        <w:t>of Cambodia for the Prosecution of Crimes Committed during the Democratic Kampuchea.</w:t>
      </w:r>
      <w:r w:rsidR="0027082D">
        <w:rPr>
          <w:rStyle w:val="EndnoteReference"/>
          <w:rFonts w:ascii="Times New Roman" w:hAnsi="Times New Roman" w:cs="Times New Roman"/>
          <w:sz w:val="24"/>
          <w:szCs w:val="24"/>
        </w:rPr>
        <w:endnoteReference w:id="56"/>
      </w:r>
      <w:r w:rsidR="0027082D">
        <w:rPr>
          <w:rFonts w:ascii="Times New Roman" w:hAnsi="Times New Roman" w:cs="Times New Roman"/>
          <w:sz w:val="24"/>
          <w:szCs w:val="24"/>
        </w:rPr>
        <w:t xml:space="preserve"> </w:t>
      </w:r>
      <w:r w:rsidR="00A76171">
        <w:rPr>
          <w:rFonts w:ascii="Times New Roman" w:hAnsi="Times New Roman" w:cs="Times New Roman"/>
          <w:sz w:val="24"/>
          <w:szCs w:val="24"/>
        </w:rPr>
        <w:t>In 2016</w:t>
      </w:r>
      <w:r w:rsidR="00EE171B">
        <w:rPr>
          <w:rFonts w:ascii="Times New Roman" w:hAnsi="Times New Roman" w:cs="Times New Roman"/>
          <w:sz w:val="24"/>
          <w:szCs w:val="24"/>
        </w:rPr>
        <w:t>,</w:t>
      </w:r>
      <w:r w:rsidR="00A76171">
        <w:rPr>
          <w:rFonts w:ascii="Times New Roman" w:hAnsi="Times New Roman" w:cs="Times New Roman"/>
          <w:sz w:val="24"/>
          <w:szCs w:val="24"/>
        </w:rPr>
        <w:t xml:space="preserve"> t</w:t>
      </w:r>
      <w:r w:rsidR="0027082D">
        <w:rPr>
          <w:rFonts w:ascii="Times New Roman" w:hAnsi="Times New Roman" w:cs="Times New Roman"/>
          <w:sz w:val="24"/>
          <w:szCs w:val="24"/>
        </w:rPr>
        <w:t xml:space="preserve">he ICC </w:t>
      </w:r>
      <w:r w:rsidR="00995A8C">
        <w:rPr>
          <w:rFonts w:ascii="Times New Roman" w:hAnsi="Times New Roman" w:cs="Times New Roman"/>
          <w:sz w:val="24"/>
          <w:szCs w:val="24"/>
        </w:rPr>
        <w:t xml:space="preserve">secured a conviction in </w:t>
      </w:r>
      <w:r w:rsidR="0027082D">
        <w:rPr>
          <w:rFonts w:ascii="Times New Roman" w:hAnsi="Times New Roman" w:cs="Times New Roman"/>
          <w:sz w:val="24"/>
          <w:szCs w:val="24"/>
        </w:rPr>
        <w:t xml:space="preserve">its first case for intentional destruction in Mali </w:t>
      </w:r>
      <w:r w:rsidR="00C43EE8">
        <w:rPr>
          <w:rFonts w:ascii="Times New Roman" w:hAnsi="Times New Roman" w:cs="Times New Roman"/>
          <w:sz w:val="24"/>
          <w:szCs w:val="24"/>
        </w:rPr>
        <w:t xml:space="preserve">(that of </w:t>
      </w:r>
      <w:r w:rsidR="00C43EE8" w:rsidRPr="00C43EE8">
        <w:rPr>
          <w:rFonts w:ascii="Times New Roman" w:hAnsi="Times New Roman" w:cs="Times New Roman"/>
          <w:sz w:val="24"/>
          <w:szCs w:val="24"/>
        </w:rPr>
        <w:t>Ahmad al-Mahdi</w:t>
      </w:r>
      <w:r w:rsidR="00C43EE8">
        <w:rPr>
          <w:rFonts w:ascii="Times New Roman" w:hAnsi="Times New Roman" w:cs="Times New Roman"/>
          <w:sz w:val="24"/>
          <w:szCs w:val="24"/>
        </w:rPr>
        <w:t>)</w:t>
      </w:r>
      <w:r w:rsidR="00C43EE8" w:rsidRPr="00C43EE8">
        <w:rPr>
          <w:rFonts w:ascii="Times New Roman" w:hAnsi="Times New Roman" w:cs="Times New Roman"/>
          <w:sz w:val="24"/>
          <w:szCs w:val="24"/>
        </w:rPr>
        <w:t xml:space="preserve"> </w:t>
      </w:r>
      <w:r w:rsidR="0027082D">
        <w:rPr>
          <w:rFonts w:ascii="Times New Roman" w:hAnsi="Times New Roman" w:cs="Times New Roman"/>
          <w:sz w:val="24"/>
          <w:szCs w:val="24"/>
        </w:rPr>
        <w:t>and is in the process of prosecuting a second</w:t>
      </w:r>
      <w:r w:rsidR="00C43EE8">
        <w:rPr>
          <w:rFonts w:ascii="Times New Roman" w:hAnsi="Times New Roman" w:cs="Times New Roman"/>
          <w:sz w:val="24"/>
          <w:szCs w:val="24"/>
        </w:rPr>
        <w:t xml:space="preserve"> (</w:t>
      </w:r>
      <w:r w:rsidR="00C43EE8" w:rsidRPr="00C43EE8">
        <w:rPr>
          <w:rFonts w:ascii="Times New Roman" w:hAnsi="Times New Roman" w:cs="Times New Roman"/>
          <w:sz w:val="24"/>
          <w:szCs w:val="24"/>
        </w:rPr>
        <w:t>al-Hassan Ag Abdoul Aziz</w:t>
      </w:r>
      <w:r w:rsidR="00C43EE8">
        <w:rPr>
          <w:rFonts w:ascii="Times New Roman" w:hAnsi="Times New Roman" w:cs="Times New Roman"/>
          <w:sz w:val="24"/>
          <w:szCs w:val="24"/>
        </w:rPr>
        <w:t>)</w:t>
      </w:r>
      <w:r w:rsidR="0027082D">
        <w:rPr>
          <w:rFonts w:ascii="Times New Roman" w:hAnsi="Times New Roman" w:cs="Times New Roman"/>
          <w:sz w:val="24"/>
          <w:szCs w:val="24"/>
        </w:rPr>
        <w:t>.</w:t>
      </w:r>
      <w:r w:rsidR="0027082D">
        <w:rPr>
          <w:rStyle w:val="EndnoteReference"/>
          <w:rFonts w:ascii="Times New Roman" w:hAnsi="Times New Roman" w:cs="Times New Roman"/>
          <w:sz w:val="24"/>
          <w:szCs w:val="24"/>
        </w:rPr>
        <w:endnoteReference w:id="57"/>
      </w:r>
      <w:r w:rsidR="0027082D">
        <w:rPr>
          <w:rFonts w:ascii="Times New Roman" w:hAnsi="Times New Roman" w:cs="Times New Roman"/>
          <w:sz w:val="24"/>
          <w:szCs w:val="24"/>
        </w:rPr>
        <w:t xml:space="preserve"> However, </w:t>
      </w:r>
      <w:r w:rsidR="007038A8">
        <w:rPr>
          <w:rFonts w:ascii="Times New Roman" w:hAnsi="Times New Roman" w:cs="Times New Roman"/>
          <w:sz w:val="24"/>
          <w:szCs w:val="24"/>
        </w:rPr>
        <w:t>ICC</w:t>
      </w:r>
      <w:r w:rsidR="0027082D">
        <w:rPr>
          <w:rFonts w:ascii="Times New Roman" w:hAnsi="Times New Roman" w:cs="Times New Roman"/>
          <w:sz w:val="24"/>
          <w:szCs w:val="24"/>
        </w:rPr>
        <w:t xml:space="preserve"> jurisdiction, like that of other </w:t>
      </w:r>
      <w:r w:rsidR="007038A8">
        <w:rPr>
          <w:rFonts w:ascii="Times New Roman" w:hAnsi="Times New Roman" w:cs="Times New Roman"/>
          <w:sz w:val="24"/>
          <w:szCs w:val="24"/>
        </w:rPr>
        <w:t xml:space="preserve">international </w:t>
      </w:r>
      <w:r w:rsidR="0027082D">
        <w:rPr>
          <w:rFonts w:ascii="Times New Roman" w:hAnsi="Times New Roman" w:cs="Times New Roman"/>
          <w:sz w:val="24"/>
          <w:szCs w:val="24"/>
        </w:rPr>
        <w:t xml:space="preserve">tribunals, is limited, for the most part, temporally </w:t>
      </w:r>
      <w:r w:rsidR="00F24F59">
        <w:rPr>
          <w:rFonts w:ascii="Times New Roman" w:hAnsi="Times New Roman" w:cs="Times New Roman"/>
          <w:sz w:val="24"/>
          <w:szCs w:val="24"/>
        </w:rPr>
        <w:t xml:space="preserve">to post-ratification conduct </w:t>
      </w:r>
      <w:r w:rsidR="0027082D">
        <w:rPr>
          <w:rFonts w:ascii="Times New Roman" w:hAnsi="Times New Roman" w:cs="Times New Roman"/>
          <w:sz w:val="24"/>
          <w:szCs w:val="24"/>
        </w:rPr>
        <w:t xml:space="preserve">and territorially to </w:t>
      </w:r>
      <w:r w:rsidR="00F24F59">
        <w:rPr>
          <w:rFonts w:ascii="Times New Roman" w:hAnsi="Times New Roman" w:cs="Times New Roman"/>
          <w:sz w:val="24"/>
          <w:szCs w:val="24"/>
        </w:rPr>
        <w:t>ratifying</w:t>
      </w:r>
      <w:r w:rsidR="0027082D">
        <w:rPr>
          <w:rFonts w:ascii="Times New Roman" w:hAnsi="Times New Roman" w:cs="Times New Roman"/>
          <w:sz w:val="24"/>
          <w:szCs w:val="24"/>
        </w:rPr>
        <w:t xml:space="preserve"> </w:t>
      </w:r>
      <w:r w:rsidR="00C264E0">
        <w:rPr>
          <w:rFonts w:ascii="Times New Roman" w:hAnsi="Times New Roman" w:cs="Times New Roman"/>
          <w:sz w:val="24"/>
          <w:szCs w:val="24"/>
        </w:rPr>
        <w:t>state</w:t>
      </w:r>
      <w:r w:rsidR="0027082D">
        <w:rPr>
          <w:rFonts w:ascii="Times New Roman" w:hAnsi="Times New Roman" w:cs="Times New Roman"/>
          <w:sz w:val="24"/>
          <w:szCs w:val="24"/>
        </w:rPr>
        <w:t>s</w:t>
      </w:r>
      <w:r w:rsidR="00380A72">
        <w:rPr>
          <w:rFonts w:ascii="Times New Roman" w:hAnsi="Times New Roman" w:cs="Times New Roman"/>
          <w:sz w:val="24"/>
          <w:szCs w:val="24"/>
        </w:rPr>
        <w:t xml:space="preserve">. </w:t>
      </w:r>
      <w:r w:rsidR="00D2643A">
        <w:rPr>
          <w:rFonts w:ascii="Times New Roman" w:hAnsi="Times New Roman" w:cs="Times New Roman"/>
          <w:sz w:val="24"/>
          <w:szCs w:val="24"/>
        </w:rPr>
        <w:t>In addition</w:t>
      </w:r>
      <w:r w:rsidR="00380A72">
        <w:rPr>
          <w:rFonts w:ascii="Times New Roman" w:hAnsi="Times New Roman" w:cs="Times New Roman"/>
          <w:sz w:val="24"/>
          <w:szCs w:val="24"/>
        </w:rPr>
        <w:t xml:space="preserve">, </w:t>
      </w:r>
      <w:r w:rsidR="0027082D">
        <w:rPr>
          <w:rFonts w:ascii="Times New Roman" w:hAnsi="Times New Roman" w:cs="Times New Roman"/>
          <w:sz w:val="24"/>
          <w:szCs w:val="24"/>
        </w:rPr>
        <w:t xml:space="preserve">the </w:t>
      </w:r>
      <w:r w:rsidR="00C2445F">
        <w:rPr>
          <w:rFonts w:ascii="Times New Roman" w:hAnsi="Times New Roman" w:cs="Times New Roman"/>
          <w:sz w:val="24"/>
          <w:szCs w:val="24"/>
        </w:rPr>
        <w:t xml:space="preserve">ICC recently gave the term “attack” that appears in the relevant provisions of the </w:t>
      </w:r>
      <w:r w:rsidR="00380A72">
        <w:rPr>
          <w:rFonts w:ascii="Times New Roman" w:hAnsi="Times New Roman" w:cs="Times New Roman"/>
          <w:sz w:val="24"/>
          <w:szCs w:val="24"/>
        </w:rPr>
        <w:t xml:space="preserve">Rome Statute a narrow interpretation in </w:t>
      </w:r>
      <w:r w:rsidR="006E2FA4">
        <w:rPr>
          <w:rFonts w:ascii="Times New Roman" w:hAnsi="Times New Roman" w:cs="Times New Roman"/>
          <w:sz w:val="24"/>
          <w:szCs w:val="24"/>
        </w:rPr>
        <w:t xml:space="preserve">the </w:t>
      </w:r>
      <w:r w:rsidR="00380A72" w:rsidRPr="00B55BEC">
        <w:rPr>
          <w:rFonts w:ascii="Times New Roman" w:hAnsi="Times New Roman" w:cs="Times New Roman"/>
          <w:i/>
          <w:iCs/>
          <w:sz w:val="24"/>
          <w:szCs w:val="24"/>
        </w:rPr>
        <w:t>Ntaganda</w:t>
      </w:r>
      <w:r w:rsidR="006E2FA4">
        <w:rPr>
          <w:rFonts w:ascii="Times New Roman" w:hAnsi="Times New Roman" w:cs="Times New Roman"/>
          <w:sz w:val="24"/>
          <w:szCs w:val="24"/>
        </w:rPr>
        <w:t xml:space="preserve"> case</w:t>
      </w:r>
      <w:r w:rsidR="00C2445F">
        <w:rPr>
          <w:rFonts w:ascii="Times New Roman" w:hAnsi="Times New Roman" w:cs="Times New Roman"/>
          <w:sz w:val="24"/>
          <w:szCs w:val="24"/>
        </w:rPr>
        <w:t>, which may further limit the applicability of the Rome Statute</w:t>
      </w:r>
      <w:r w:rsidR="0027082D">
        <w:rPr>
          <w:rFonts w:ascii="Times New Roman" w:hAnsi="Times New Roman" w:cs="Times New Roman"/>
          <w:sz w:val="24"/>
          <w:szCs w:val="24"/>
        </w:rPr>
        <w:t>.</w:t>
      </w:r>
      <w:r w:rsidR="00C2445F">
        <w:rPr>
          <w:rStyle w:val="EndnoteReference"/>
          <w:rFonts w:ascii="Times New Roman" w:hAnsi="Times New Roman" w:cs="Times New Roman"/>
          <w:sz w:val="24"/>
          <w:szCs w:val="24"/>
        </w:rPr>
        <w:endnoteReference w:id="58"/>
      </w:r>
      <w:r w:rsidR="0027082D">
        <w:rPr>
          <w:rFonts w:ascii="Times New Roman" w:hAnsi="Times New Roman" w:cs="Times New Roman"/>
          <w:sz w:val="24"/>
          <w:szCs w:val="24"/>
        </w:rPr>
        <w:t xml:space="preserve"> </w:t>
      </w:r>
    </w:p>
    <w:p w14:paraId="68B11E92" w14:textId="6DD07A7C" w:rsidR="00A8065C"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 </w:t>
      </w:r>
      <w:r w:rsidR="00C264E0">
        <w:rPr>
          <w:rFonts w:ascii="Times New Roman" w:hAnsi="Times New Roman" w:cs="Times New Roman"/>
          <w:sz w:val="24"/>
          <w:szCs w:val="24"/>
        </w:rPr>
        <w:t>state</w:t>
      </w:r>
      <w:r>
        <w:rPr>
          <w:rFonts w:ascii="Times New Roman" w:hAnsi="Times New Roman" w:cs="Times New Roman"/>
          <w:sz w:val="24"/>
          <w:szCs w:val="24"/>
        </w:rPr>
        <w:t xml:space="preserve">’s failure to prosecute cultural heritage destruction could be viewed as another reason for other </w:t>
      </w:r>
      <w:r w:rsidR="00C264E0">
        <w:rPr>
          <w:rFonts w:ascii="Times New Roman" w:hAnsi="Times New Roman" w:cs="Times New Roman"/>
          <w:sz w:val="24"/>
          <w:szCs w:val="24"/>
        </w:rPr>
        <w:t>state</w:t>
      </w:r>
      <w:r>
        <w:rPr>
          <w:rFonts w:ascii="Times New Roman" w:hAnsi="Times New Roman" w:cs="Times New Roman"/>
          <w:sz w:val="24"/>
          <w:szCs w:val="24"/>
        </w:rPr>
        <w:t>s or the Security Council to invoke R2P to ensure punishment for such crimes.</w:t>
      </w:r>
      <w:r>
        <w:rPr>
          <w:rStyle w:val="EndnoteReference"/>
          <w:rFonts w:ascii="Times New Roman" w:hAnsi="Times New Roman" w:cs="Times New Roman"/>
          <w:sz w:val="24"/>
          <w:szCs w:val="24"/>
        </w:rPr>
        <w:endnoteReference w:id="59"/>
      </w:r>
      <w:r>
        <w:rPr>
          <w:rFonts w:ascii="Times New Roman" w:hAnsi="Times New Roman" w:cs="Times New Roman"/>
          <w:sz w:val="24"/>
          <w:szCs w:val="24"/>
        </w:rPr>
        <w:t xml:space="preserve"> </w:t>
      </w:r>
      <w:r w:rsidR="00871B7C">
        <w:rPr>
          <w:rFonts w:ascii="Times New Roman" w:hAnsi="Times New Roman" w:cs="Times New Roman"/>
          <w:sz w:val="24"/>
          <w:szCs w:val="24"/>
        </w:rPr>
        <w:t>A</w:t>
      </w:r>
      <w:r>
        <w:rPr>
          <w:rFonts w:ascii="Times New Roman" w:hAnsi="Times New Roman" w:cs="Times New Roman"/>
          <w:sz w:val="24"/>
          <w:szCs w:val="24"/>
        </w:rPr>
        <w:t xml:space="preserve"> more modern understanding of cultural heritage </w:t>
      </w:r>
      <w:r w:rsidR="00871B7C">
        <w:rPr>
          <w:rFonts w:ascii="Times New Roman" w:hAnsi="Times New Roman" w:cs="Times New Roman"/>
          <w:sz w:val="24"/>
          <w:szCs w:val="24"/>
        </w:rPr>
        <w:t xml:space="preserve">also </w:t>
      </w:r>
      <w:r>
        <w:rPr>
          <w:rFonts w:ascii="Times New Roman" w:hAnsi="Times New Roman" w:cs="Times New Roman"/>
          <w:sz w:val="24"/>
          <w:szCs w:val="24"/>
        </w:rPr>
        <w:t>needs to be used in formulating the elements of the crime</w:t>
      </w:r>
      <w:r w:rsidR="007D62D7">
        <w:rPr>
          <w:rFonts w:ascii="Times New Roman" w:hAnsi="Times New Roman" w:cs="Times New Roman"/>
          <w:sz w:val="24"/>
          <w:szCs w:val="24"/>
        </w:rPr>
        <w:t xml:space="preserve"> under international law</w:t>
      </w:r>
      <w:r>
        <w:rPr>
          <w:rFonts w:ascii="Times New Roman" w:hAnsi="Times New Roman" w:cs="Times New Roman"/>
          <w:sz w:val="24"/>
          <w:szCs w:val="24"/>
        </w:rPr>
        <w:t>. These elements should encompass tangible and intangible, movable and immovable</w:t>
      </w:r>
      <w:r w:rsidR="00AE0070">
        <w:rPr>
          <w:rFonts w:ascii="Times New Roman" w:hAnsi="Times New Roman" w:cs="Times New Roman"/>
          <w:sz w:val="24"/>
          <w:szCs w:val="24"/>
        </w:rPr>
        <w:t xml:space="preserve"> heritage</w:t>
      </w:r>
      <w:r>
        <w:rPr>
          <w:rFonts w:ascii="Times New Roman" w:hAnsi="Times New Roman" w:cs="Times New Roman"/>
          <w:sz w:val="24"/>
          <w:szCs w:val="24"/>
        </w:rPr>
        <w:t xml:space="preserve">, </w:t>
      </w:r>
      <w:r w:rsidR="008F4A1D">
        <w:rPr>
          <w:rFonts w:ascii="Times New Roman" w:hAnsi="Times New Roman" w:cs="Times New Roman"/>
          <w:sz w:val="24"/>
          <w:szCs w:val="24"/>
        </w:rPr>
        <w:t xml:space="preserve">and </w:t>
      </w:r>
      <w:r>
        <w:rPr>
          <w:rFonts w:ascii="Times New Roman" w:hAnsi="Times New Roman" w:cs="Times New Roman"/>
          <w:sz w:val="24"/>
          <w:szCs w:val="24"/>
        </w:rPr>
        <w:t xml:space="preserve">sacred and cultural landscapes, </w:t>
      </w:r>
      <w:r w:rsidR="00AE0070">
        <w:rPr>
          <w:rFonts w:ascii="Times New Roman" w:hAnsi="Times New Roman" w:cs="Times New Roman"/>
          <w:sz w:val="24"/>
          <w:szCs w:val="24"/>
        </w:rPr>
        <w:t xml:space="preserve">the latter of </w:t>
      </w:r>
      <w:r>
        <w:rPr>
          <w:rFonts w:ascii="Times New Roman" w:hAnsi="Times New Roman" w:cs="Times New Roman"/>
          <w:sz w:val="24"/>
          <w:szCs w:val="24"/>
        </w:rPr>
        <w:t>which would implicate environmental issues. The status of intentional destruction of cultural heritage, when accompanied by the requisite discriminatory or persecutorial intent, as a crime against humanity would allow the prosecution of such destruction outside the context of armed conflict.</w:t>
      </w:r>
      <w:r w:rsidR="00B55BEC">
        <w:rPr>
          <w:rStyle w:val="EndnoteReference"/>
          <w:rFonts w:ascii="Times New Roman" w:hAnsi="Times New Roman" w:cs="Times New Roman"/>
          <w:sz w:val="24"/>
          <w:szCs w:val="24"/>
        </w:rPr>
        <w:endnoteReference w:id="60"/>
      </w:r>
    </w:p>
    <w:p w14:paraId="455BEC64" w14:textId="55F62ADF" w:rsidR="004D42DB" w:rsidRDefault="003024A5" w:rsidP="00353FB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third proposal is </w:t>
      </w:r>
      <w:r w:rsidR="000E3E1A">
        <w:rPr>
          <w:rFonts w:ascii="Times New Roman" w:hAnsi="Times New Roman" w:cs="Times New Roman"/>
          <w:sz w:val="24"/>
          <w:szCs w:val="24"/>
        </w:rPr>
        <w:t xml:space="preserve">the development of </w:t>
      </w:r>
      <w:r>
        <w:rPr>
          <w:rFonts w:ascii="Times New Roman" w:hAnsi="Times New Roman" w:cs="Times New Roman"/>
          <w:sz w:val="24"/>
          <w:szCs w:val="24"/>
        </w:rPr>
        <w:t xml:space="preserve">a more effective </w:t>
      </w:r>
      <w:r w:rsidR="000E3E1A">
        <w:rPr>
          <w:rFonts w:ascii="Times New Roman" w:hAnsi="Times New Roman" w:cs="Times New Roman"/>
          <w:sz w:val="24"/>
          <w:szCs w:val="24"/>
        </w:rPr>
        <w:t xml:space="preserve">coordination with </w:t>
      </w:r>
      <w:r w:rsidRPr="0076700D">
        <w:rPr>
          <w:rFonts w:ascii="Times New Roman" w:hAnsi="Times New Roman" w:cs="Times New Roman"/>
          <w:sz w:val="24"/>
          <w:szCs w:val="24"/>
        </w:rPr>
        <w:t>n</w:t>
      </w:r>
      <w:r w:rsidR="0027082D" w:rsidRPr="00353FB5">
        <w:rPr>
          <w:rFonts w:ascii="Times New Roman" w:hAnsi="Times New Roman" w:cs="Times New Roman"/>
          <w:sz w:val="24"/>
          <w:szCs w:val="24"/>
        </w:rPr>
        <w:t>on</w:t>
      </w:r>
      <w:r w:rsidR="00C264E0" w:rsidRPr="00353FB5">
        <w:rPr>
          <w:rFonts w:ascii="Times New Roman" w:hAnsi="Times New Roman" w:cs="Times New Roman"/>
          <w:sz w:val="24"/>
          <w:szCs w:val="24"/>
        </w:rPr>
        <w:t>s</w:t>
      </w:r>
      <w:r w:rsidR="0027082D" w:rsidRPr="00353FB5">
        <w:rPr>
          <w:rFonts w:ascii="Times New Roman" w:hAnsi="Times New Roman" w:cs="Times New Roman"/>
          <w:sz w:val="24"/>
          <w:szCs w:val="24"/>
        </w:rPr>
        <w:t xml:space="preserve">tate </w:t>
      </w:r>
      <w:r w:rsidR="006F1276">
        <w:rPr>
          <w:rFonts w:ascii="Times New Roman" w:hAnsi="Times New Roman" w:cs="Times New Roman"/>
          <w:sz w:val="24"/>
          <w:szCs w:val="24"/>
        </w:rPr>
        <w:t>armed groups</w:t>
      </w:r>
      <w:r>
        <w:rPr>
          <w:rFonts w:ascii="Times New Roman" w:hAnsi="Times New Roman" w:cs="Times New Roman"/>
          <w:sz w:val="24"/>
          <w:szCs w:val="24"/>
        </w:rPr>
        <w:t>.</w:t>
      </w:r>
      <w:r w:rsidR="0027082D">
        <w:rPr>
          <w:rFonts w:ascii="Times New Roman" w:hAnsi="Times New Roman" w:cs="Times New Roman"/>
          <w:sz w:val="24"/>
          <w:szCs w:val="24"/>
        </w:rPr>
        <w:t xml:space="preserve"> </w:t>
      </w:r>
      <w:r w:rsidR="00FB6983">
        <w:rPr>
          <w:rFonts w:ascii="Times New Roman" w:hAnsi="Times New Roman" w:cs="Times New Roman"/>
          <w:sz w:val="24"/>
          <w:szCs w:val="24"/>
        </w:rPr>
        <w:t xml:space="preserve">The NGO </w:t>
      </w:r>
      <w:r w:rsidR="0027082D">
        <w:rPr>
          <w:rFonts w:ascii="Times New Roman" w:hAnsi="Times New Roman" w:cs="Times New Roman"/>
          <w:sz w:val="24"/>
          <w:szCs w:val="24"/>
        </w:rPr>
        <w:t xml:space="preserve">Geneva Call concluded, based on a study conducted in Syria, Iraq, and Mali, that </w:t>
      </w:r>
      <w:r w:rsidR="0048720E">
        <w:rPr>
          <w:rFonts w:ascii="Times New Roman" w:hAnsi="Times New Roman" w:cs="Times New Roman"/>
          <w:sz w:val="24"/>
          <w:szCs w:val="24"/>
        </w:rPr>
        <w:t>IGOs</w:t>
      </w:r>
      <w:r w:rsidR="0027082D">
        <w:rPr>
          <w:rFonts w:ascii="Times New Roman" w:hAnsi="Times New Roman" w:cs="Times New Roman"/>
          <w:sz w:val="24"/>
          <w:szCs w:val="24"/>
        </w:rPr>
        <w:t xml:space="preserve">, UNESCO in particular, were reluctant to engage with or provide assistance to </w:t>
      </w:r>
      <w:r w:rsidR="006F1276">
        <w:rPr>
          <w:rFonts w:ascii="Times New Roman" w:hAnsi="Times New Roman" w:cs="Times New Roman"/>
          <w:sz w:val="24"/>
          <w:szCs w:val="24"/>
        </w:rPr>
        <w:t xml:space="preserve">even </w:t>
      </w:r>
      <w:r w:rsidR="0027082D">
        <w:rPr>
          <w:rFonts w:ascii="Times New Roman" w:hAnsi="Times New Roman" w:cs="Times New Roman"/>
          <w:sz w:val="24"/>
          <w:szCs w:val="24"/>
        </w:rPr>
        <w:t>those non</w:t>
      </w:r>
      <w:r w:rsidR="00C264E0">
        <w:rPr>
          <w:rFonts w:ascii="Times New Roman" w:hAnsi="Times New Roman" w:cs="Times New Roman"/>
          <w:sz w:val="24"/>
          <w:szCs w:val="24"/>
        </w:rPr>
        <w:t>s</w:t>
      </w:r>
      <w:r w:rsidR="0027082D">
        <w:rPr>
          <w:rFonts w:ascii="Times New Roman" w:hAnsi="Times New Roman" w:cs="Times New Roman"/>
          <w:sz w:val="24"/>
          <w:szCs w:val="24"/>
        </w:rPr>
        <w:t xml:space="preserve">tate actors </w:t>
      </w:r>
      <w:r w:rsidR="00CF7591">
        <w:rPr>
          <w:rFonts w:ascii="Times New Roman" w:hAnsi="Times New Roman" w:cs="Times New Roman"/>
          <w:sz w:val="24"/>
          <w:szCs w:val="24"/>
        </w:rPr>
        <w:t xml:space="preserve">which </w:t>
      </w:r>
      <w:r w:rsidR="0027082D">
        <w:rPr>
          <w:rFonts w:ascii="Times New Roman" w:hAnsi="Times New Roman" w:cs="Times New Roman"/>
          <w:sz w:val="24"/>
          <w:szCs w:val="24"/>
        </w:rPr>
        <w:t>expressed willingness to preserve cultural heritage. While it is apparent that ISIL would not have been an appropriate partner, other non</w:t>
      </w:r>
      <w:r w:rsidR="00C264E0">
        <w:rPr>
          <w:rFonts w:ascii="Times New Roman" w:hAnsi="Times New Roman" w:cs="Times New Roman"/>
          <w:sz w:val="24"/>
          <w:szCs w:val="24"/>
        </w:rPr>
        <w:t>s</w:t>
      </w:r>
      <w:r w:rsidR="0027082D">
        <w:rPr>
          <w:rFonts w:ascii="Times New Roman" w:hAnsi="Times New Roman" w:cs="Times New Roman"/>
          <w:sz w:val="24"/>
          <w:szCs w:val="24"/>
        </w:rPr>
        <w:t xml:space="preserve">tate </w:t>
      </w:r>
      <w:r w:rsidR="00AF513F">
        <w:rPr>
          <w:rFonts w:ascii="Times New Roman" w:hAnsi="Times New Roman" w:cs="Times New Roman"/>
          <w:sz w:val="24"/>
          <w:szCs w:val="24"/>
        </w:rPr>
        <w:t>armed grou</w:t>
      </w:r>
      <w:r w:rsidR="00646064">
        <w:rPr>
          <w:rFonts w:ascii="Times New Roman" w:hAnsi="Times New Roman" w:cs="Times New Roman"/>
          <w:sz w:val="24"/>
          <w:szCs w:val="24"/>
        </w:rPr>
        <w:t>ps</w:t>
      </w:r>
      <w:r w:rsidR="0027082D">
        <w:rPr>
          <w:rFonts w:ascii="Times New Roman" w:hAnsi="Times New Roman" w:cs="Times New Roman"/>
          <w:sz w:val="24"/>
          <w:szCs w:val="24"/>
        </w:rPr>
        <w:t xml:space="preserve">, particularly those affiliated with the Free Syrian Army, undertook measures to protect heritage </w:t>
      </w:r>
      <w:r w:rsidR="0027082D">
        <w:rPr>
          <w:rFonts w:ascii="Times New Roman" w:hAnsi="Times New Roman" w:cs="Times New Roman"/>
          <w:sz w:val="24"/>
          <w:szCs w:val="24"/>
        </w:rPr>
        <w:lastRenderedPageBreak/>
        <w:t>but were greatly in need of training, education</w:t>
      </w:r>
      <w:r w:rsidR="00F65C5B">
        <w:rPr>
          <w:rFonts w:ascii="Times New Roman" w:hAnsi="Times New Roman" w:cs="Times New Roman"/>
          <w:sz w:val="24"/>
          <w:szCs w:val="24"/>
        </w:rPr>
        <w:t>,</w:t>
      </w:r>
      <w:r w:rsidR="0027082D">
        <w:rPr>
          <w:rFonts w:ascii="Times New Roman" w:hAnsi="Times New Roman" w:cs="Times New Roman"/>
          <w:sz w:val="24"/>
          <w:szCs w:val="24"/>
        </w:rPr>
        <w:t xml:space="preserve"> and supplies to effectuate this goal. These groups found UNESCO to be unresponsive to their requests,</w:t>
      </w:r>
      <w:r w:rsidR="0027082D">
        <w:rPr>
          <w:rStyle w:val="EndnoteReference"/>
          <w:rFonts w:ascii="Times New Roman" w:hAnsi="Times New Roman" w:cs="Times New Roman"/>
          <w:sz w:val="24"/>
          <w:szCs w:val="24"/>
        </w:rPr>
        <w:endnoteReference w:id="61"/>
      </w:r>
      <w:r w:rsidR="0027082D">
        <w:rPr>
          <w:rFonts w:ascii="Times New Roman" w:hAnsi="Times New Roman" w:cs="Times New Roman"/>
          <w:sz w:val="24"/>
          <w:szCs w:val="24"/>
        </w:rPr>
        <w:t xml:space="preserve"> even though Article</w:t>
      </w:r>
      <w:r w:rsidR="00F65C5B">
        <w:rPr>
          <w:rFonts w:ascii="Times New Roman" w:hAnsi="Times New Roman" w:cs="Times New Roman"/>
          <w:sz w:val="24"/>
          <w:szCs w:val="24"/>
        </w:rPr>
        <w:t>s</w:t>
      </w:r>
      <w:r w:rsidR="0027082D">
        <w:rPr>
          <w:rFonts w:ascii="Times New Roman" w:hAnsi="Times New Roman" w:cs="Times New Roman"/>
          <w:sz w:val="24"/>
          <w:szCs w:val="24"/>
        </w:rPr>
        <w:t xml:space="preserve"> 19</w:t>
      </w:r>
      <w:r w:rsidR="00F65C5B">
        <w:rPr>
          <w:rFonts w:ascii="Times New Roman" w:hAnsi="Times New Roman" w:cs="Times New Roman"/>
          <w:sz w:val="24"/>
          <w:szCs w:val="24"/>
        </w:rPr>
        <w:t>.</w:t>
      </w:r>
      <w:r w:rsidR="0027082D">
        <w:rPr>
          <w:rFonts w:ascii="Times New Roman" w:hAnsi="Times New Roman" w:cs="Times New Roman"/>
          <w:sz w:val="24"/>
          <w:szCs w:val="24"/>
        </w:rPr>
        <w:t xml:space="preserve">3 and </w:t>
      </w:r>
      <w:r w:rsidR="00F65C5B">
        <w:rPr>
          <w:rFonts w:ascii="Times New Roman" w:hAnsi="Times New Roman" w:cs="Times New Roman"/>
          <w:sz w:val="24"/>
          <w:szCs w:val="24"/>
        </w:rPr>
        <w:t>19.</w:t>
      </w:r>
      <w:r w:rsidR="0027082D">
        <w:rPr>
          <w:rFonts w:ascii="Times New Roman" w:hAnsi="Times New Roman" w:cs="Times New Roman"/>
          <w:sz w:val="24"/>
          <w:szCs w:val="24"/>
        </w:rPr>
        <w:t xml:space="preserve">4 of the </w:t>
      </w:r>
      <w:r w:rsidR="002B2E3A">
        <w:rPr>
          <w:rFonts w:ascii="Times New Roman" w:hAnsi="Times New Roman" w:cs="Times New Roman"/>
          <w:sz w:val="24"/>
          <w:szCs w:val="24"/>
        </w:rPr>
        <w:t xml:space="preserve">1954 </w:t>
      </w:r>
      <w:r w:rsidR="0027082D">
        <w:rPr>
          <w:rFonts w:ascii="Times New Roman" w:hAnsi="Times New Roman" w:cs="Times New Roman"/>
          <w:sz w:val="24"/>
          <w:szCs w:val="24"/>
        </w:rPr>
        <w:t>Hague Convention anticipate that UNESCO would render this sort of assistance and explicitly state that this type of cooperation does not change the legal status of non</w:t>
      </w:r>
      <w:r w:rsidR="00C264E0">
        <w:rPr>
          <w:rFonts w:ascii="Times New Roman" w:hAnsi="Times New Roman" w:cs="Times New Roman"/>
          <w:sz w:val="24"/>
          <w:szCs w:val="24"/>
        </w:rPr>
        <w:t>s</w:t>
      </w:r>
      <w:r w:rsidR="0027082D">
        <w:rPr>
          <w:rFonts w:ascii="Times New Roman" w:hAnsi="Times New Roman" w:cs="Times New Roman"/>
          <w:sz w:val="24"/>
          <w:szCs w:val="24"/>
        </w:rPr>
        <w:t xml:space="preserve">tate actors. </w:t>
      </w:r>
    </w:p>
    <w:p w14:paraId="1CD4E982" w14:textId="208D9598" w:rsidR="006076E8" w:rsidRDefault="0048720E"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IGOs</w:t>
      </w:r>
      <w:r w:rsidR="004D42DB">
        <w:rPr>
          <w:rFonts w:ascii="Times New Roman" w:hAnsi="Times New Roman" w:cs="Times New Roman"/>
          <w:sz w:val="24"/>
          <w:szCs w:val="24"/>
        </w:rPr>
        <w:t xml:space="preserve"> such as UNESCO are too beholden to or bound by the wishes of their </w:t>
      </w:r>
      <w:r w:rsidR="00C264E0">
        <w:rPr>
          <w:rFonts w:ascii="Times New Roman" w:hAnsi="Times New Roman" w:cs="Times New Roman"/>
          <w:sz w:val="24"/>
          <w:szCs w:val="24"/>
        </w:rPr>
        <w:t>m</w:t>
      </w:r>
      <w:r w:rsidR="004D42DB">
        <w:rPr>
          <w:rFonts w:ascii="Times New Roman" w:hAnsi="Times New Roman" w:cs="Times New Roman"/>
          <w:sz w:val="24"/>
          <w:szCs w:val="24"/>
        </w:rPr>
        <w:t xml:space="preserve">ember </w:t>
      </w:r>
      <w:r w:rsidR="00C264E0">
        <w:rPr>
          <w:rFonts w:ascii="Times New Roman" w:hAnsi="Times New Roman" w:cs="Times New Roman"/>
          <w:sz w:val="24"/>
          <w:szCs w:val="24"/>
        </w:rPr>
        <w:t>state</w:t>
      </w:r>
      <w:r w:rsidR="004D42DB">
        <w:rPr>
          <w:rFonts w:ascii="Times New Roman" w:hAnsi="Times New Roman" w:cs="Times New Roman"/>
          <w:sz w:val="24"/>
          <w:szCs w:val="24"/>
        </w:rPr>
        <w:t>s</w:t>
      </w:r>
      <w:r w:rsidR="00653042">
        <w:rPr>
          <w:rFonts w:ascii="Times New Roman" w:hAnsi="Times New Roman" w:cs="Times New Roman"/>
          <w:sz w:val="24"/>
          <w:szCs w:val="24"/>
        </w:rPr>
        <w:t>:</w:t>
      </w:r>
      <w:r w:rsidR="004D42DB">
        <w:rPr>
          <w:rFonts w:ascii="Times New Roman" w:hAnsi="Times New Roman" w:cs="Times New Roman"/>
          <w:sz w:val="24"/>
          <w:szCs w:val="24"/>
        </w:rPr>
        <w:t xml:space="preserve"> </w:t>
      </w:r>
      <w:r w:rsidR="00653042">
        <w:rPr>
          <w:rFonts w:ascii="Times New Roman" w:hAnsi="Times New Roman" w:cs="Times New Roman"/>
          <w:sz w:val="24"/>
          <w:szCs w:val="24"/>
        </w:rPr>
        <w:t>i</w:t>
      </w:r>
      <w:r w:rsidR="00AE144D">
        <w:rPr>
          <w:rFonts w:ascii="Times New Roman" w:hAnsi="Times New Roman" w:cs="Times New Roman"/>
          <w:sz w:val="24"/>
          <w:szCs w:val="24"/>
        </w:rPr>
        <w:t xml:space="preserve">t is </w:t>
      </w:r>
      <w:r w:rsidR="0076700D">
        <w:rPr>
          <w:rFonts w:ascii="Times New Roman" w:hAnsi="Times New Roman" w:cs="Times New Roman"/>
          <w:sz w:val="24"/>
          <w:szCs w:val="24"/>
        </w:rPr>
        <w:t xml:space="preserve">almost certain </w:t>
      </w:r>
      <w:r w:rsidR="00AE144D">
        <w:rPr>
          <w:rFonts w:ascii="Times New Roman" w:hAnsi="Times New Roman" w:cs="Times New Roman"/>
          <w:sz w:val="24"/>
          <w:szCs w:val="24"/>
        </w:rPr>
        <w:t>that a</w:t>
      </w:r>
      <w:r w:rsidR="004D42DB">
        <w:rPr>
          <w:rFonts w:ascii="Times New Roman" w:hAnsi="Times New Roman" w:cs="Times New Roman"/>
          <w:sz w:val="24"/>
          <w:szCs w:val="24"/>
        </w:rPr>
        <w:t xml:space="preserve"> </w:t>
      </w:r>
      <w:r w:rsidR="0076700D">
        <w:rPr>
          <w:rFonts w:ascii="Times New Roman" w:hAnsi="Times New Roman" w:cs="Times New Roman"/>
          <w:sz w:val="24"/>
          <w:szCs w:val="24"/>
        </w:rPr>
        <w:t>m</w:t>
      </w:r>
      <w:r w:rsidR="004D42DB">
        <w:rPr>
          <w:rFonts w:ascii="Times New Roman" w:hAnsi="Times New Roman" w:cs="Times New Roman"/>
          <w:sz w:val="24"/>
          <w:szCs w:val="24"/>
        </w:rPr>
        <w:t xml:space="preserve">ember </w:t>
      </w:r>
      <w:r w:rsidR="00C264E0">
        <w:rPr>
          <w:rFonts w:ascii="Times New Roman" w:hAnsi="Times New Roman" w:cs="Times New Roman"/>
          <w:sz w:val="24"/>
          <w:szCs w:val="24"/>
        </w:rPr>
        <w:t>state</w:t>
      </w:r>
      <w:r w:rsidR="004D42DB">
        <w:rPr>
          <w:rFonts w:ascii="Times New Roman" w:hAnsi="Times New Roman" w:cs="Times New Roman"/>
          <w:sz w:val="24"/>
          <w:szCs w:val="24"/>
        </w:rPr>
        <w:t xml:space="preserve"> will oppose cooperation of any sort with a non</w:t>
      </w:r>
      <w:r w:rsidR="00C264E0">
        <w:rPr>
          <w:rFonts w:ascii="Times New Roman" w:hAnsi="Times New Roman" w:cs="Times New Roman"/>
          <w:sz w:val="24"/>
          <w:szCs w:val="24"/>
        </w:rPr>
        <w:t>s</w:t>
      </w:r>
      <w:r w:rsidR="004D42DB">
        <w:rPr>
          <w:rFonts w:ascii="Times New Roman" w:hAnsi="Times New Roman" w:cs="Times New Roman"/>
          <w:sz w:val="24"/>
          <w:szCs w:val="24"/>
        </w:rPr>
        <w:t xml:space="preserve">tate </w:t>
      </w:r>
      <w:r w:rsidR="00EE0C61">
        <w:rPr>
          <w:rFonts w:ascii="Times New Roman" w:hAnsi="Times New Roman" w:cs="Times New Roman"/>
          <w:sz w:val="24"/>
          <w:szCs w:val="24"/>
        </w:rPr>
        <w:t xml:space="preserve">armed group </w:t>
      </w:r>
      <w:r w:rsidR="00AE144D">
        <w:rPr>
          <w:rFonts w:ascii="Times New Roman" w:hAnsi="Times New Roman" w:cs="Times New Roman"/>
          <w:sz w:val="24"/>
          <w:szCs w:val="24"/>
        </w:rPr>
        <w:t>operat</w:t>
      </w:r>
      <w:r w:rsidR="004D42DB">
        <w:rPr>
          <w:rFonts w:ascii="Times New Roman" w:hAnsi="Times New Roman" w:cs="Times New Roman"/>
          <w:sz w:val="24"/>
          <w:szCs w:val="24"/>
        </w:rPr>
        <w:t xml:space="preserve">ing within </w:t>
      </w:r>
      <w:r w:rsidR="00BC1231">
        <w:rPr>
          <w:rFonts w:ascii="Times New Roman" w:hAnsi="Times New Roman" w:cs="Times New Roman"/>
          <w:sz w:val="24"/>
          <w:szCs w:val="24"/>
        </w:rPr>
        <w:t xml:space="preserve">its </w:t>
      </w:r>
      <w:r w:rsidR="004D42DB">
        <w:rPr>
          <w:rFonts w:ascii="Times New Roman" w:hAnsi="Times New Roman" w:cs="Times New Roman"/>
          <w:sz w:val="24"/>
          <w:szCs w:val="24"/>
        </w:rPr>
        <w:t xml:space="preserve">territory even if the goal is observance of international humanitarian law. </w:t>
      </w:r>
      <w:r w:rsidR="0027082D">
        <w:rPr>
          <w:rFonts w:ascii="Times New Roman" w:hAnsi="Times New Roman" w:cs="Times New Roman"/>
          <w:sz w:val="24"/>
          <w:szCs w:val="24"/>
        </w:rPr>
        <w:t>UNESCO needs to commit in advance of any conflict to working with those non</w:t>
      </w:r>
      <w:r w:rsidR="00C264E0">
        <w:rPr>
          <w:rFonts w:ascii="Times New Roman" w:hAnsi="Times New Roman" w:cs="Times New Roman"/>
          <w:sz w:val="24"/>
          <w:szCs w:val="24"/>
        </w:rPr>
        <w:t>s</w:t>
      </w:r>
      <w:r w:rsidR="0027082D">
        <w:rPr>
          <w:rFonts w:ascii="Times New Roman" w:hAnsi="Times New Roman" w:cs="Times New Roman"/>
          <w:sz w:val="24"/>
          <w:szCs w:val="24"/>
        </w:rPr>
        <w:t xml:space="preserve">tate </w:t>
      </w:r>
      <w:r w:rsidR="008738F9">
        <w:rPr>
          <w:rFonts w:ascii="Times New Roman" w:hAnsi="Times New Roman" w:cs="Times New Roman"/>
          <w:sz w:val="24"/>
          <w:szCs w:val="24"/>
        </w:rPr>
        <w:t xml:space="preserve">armed groups </w:t>
      </w:r>
      <w:r w:rsidR="0027082D">
        <w:rPr>
          <w:rFonts w:ascii="Times New Roman" w:hAnsi="Times New Roman" w:cs="Times New Roman"/>
          <w:sz w:val="24"/>
          <w:szCs w:val="24"/>
        </w:rPr>
        <w:t xml:space="preserve">willing and interested in preserving heritage. </w:t>
      </w:r>
      <w:r w:rsidR="00AE144D">
        <w:rPr>
          <w:rFonts w:ascii="Times New Roman" w:hAnsi="Times New Roman" w:cs="Times New Roman"/>
          <w:sz w:val="24"/>
          <w:szCs w:val="24"/>
        </w:rPr>
        <w:t>Such cooperation is the necessary corollary if i</w:t>
      </w:r>
      <w:r w:rsidR="002B2E3A">
        <w:rPr>
          <w:rFonts w:ascii="Times New Roman" w:hAnsi="Times New Roman" w:cs="Times New Roman"/>
          <w:sz w:val="24"/>
          <w:szCs w:val="24"/>
        </w:rPr>
        <w:t xml:space="preserve">nternational humanitarian law </w:t>
      </w:r>
      <w:r w:rsidR="00D43D5A">
        <w:rPr>
          <w:rFonts w:ascii="Times New Roman" w:hAnsi="Times New Roman" w:cs="Times New Roman"/>
          <w:sz w:val="24"/>
          <w:szCs w:val="24"/>
        </w:rPr>
        <w:t xml:space="preserve">is to </w:t>
      </w:r>
      <w:r w:rsidR="002B2E3A">
        <w:rPr>
          <w:rFonts w:ascii="Times New Roman" w:hAnsi="Times New Roman" w:cs="Times New Roman"/>
          <w:sz w:val="24"/>
          <w:szCs w:val="24"/>
        </w:rPr>
        <w:t xml:space="preserve">hold </w:t>
      </w:r>
      <w:r w:rsidR="00C43EE8">
        <w:rPr>
          <w:rFonts w:ascii="Times New Roman" w:hAnsi="Times New Roman" w:cs="Times New Roman"/>
          <w:sz w:val="24"/>
          <w:szCs w:val="24"/>
        </w:rPr>
        <w:t>them</w:t>
      </w:r>
      <w:r w:rsidR="002B2E3A">
        <w:rPr>
          <w:rFonts w:ascii="Times New Roman" w:hAnsi="Times New Roman" w:cs="Times New Roman"/>
          <w:sz w:val="24"/>
          <w:szCs w:val="24"/>
        </w:rPr>
        <w:t xml:space="preserve"> to </w:t>
      </w:r>
      <w:r w:rsidR="00AE144D">
        <w:rPr>
          <w:rFonts w:ascii="Times New Roman" w:hAnsi="Times New Roman" w:cs="Times New Roman"/>
          <w:sz w:val="24"/>
          <w:szCs w:val="24"/>
        </w:rPr>
        <w:t xml:space="preserve">the </w:t>
      </w:r>
      <w:r w:rsidR="002B2E3A">
        <w:rPr>
          <w:rFonts w:ascii="Times New Roman" w:hAnsi="Times New Roman" w:cs="Times New Roman"/>
          <w:sz w:val="24"/>
          <w:szCs w:val="24"/>
        </w:rPr>
        <w:t xml:space="preserve">legal requirements </w:t>
      </w:r>
      <w:r w:rsidR="00AE144D">
        <w:rPr>
          <w:rFonts w:ascii="Times New Roman" w:hAnsi="Times New Roman" w:cs="Times New Roman"/>
          <w:sz w:val="24"/>
          <w:szCs w:val="24"/>
        </w:rPr>
        <w:t xml:space="preserve">that apply to </w:t>
      </w:r>
      <w:r w:rsidR="00C264E0">
        <w:rPr>
          <w:rFonts w:ascii="Times New Roman" w:hAnsi="Times New Roman" w:cs="Times New Roman"/>
          <w:sz w:val="24"/>
          <w:szCs w:val="24"/>
        </w:rPr>
        <w:t>state</w:t>
      </w:r>
      <w:r w:rsidR="00AE144D">
        <w:rPr>
          <w:rFonts w:ascii="Times New Roman" w:hAnsi="Times New Roman" w:cs="Times New Roman"/>
          <w:sz w:val="24"/>
          <w:szCs w:val="24"/>
        </w:rPr>
        <w:t>s, as is increasingly occurring</w:t>
      </w:r>
      <w:r w:rsidR="002B2E3A">
        <w:rPr>
          <w:rFonts w:ascii="Times New Roman" w:hAnsi="Times New Roman" w:cs="Times New Roman"/>
          <w:sz w:val="24"/>
          <w:szCs w:val="24"/>
        </w:rPr>
        <w:t xml:space="preserve">. Examples include the </w:t>
      </w:r>
      <w:r w:rsidR="00F32E92">
        <w:rPr>
          <w:rFonts w:ascii="Times New Roman" w:hAnsi="Times New Roman" w:cs="Times New Roman"/>
          <w:sz w:val="24"/>
          <w:szCs w:val="24"/>
        </w:rPr>
        <w:t xml:space="preserve">above-referenced </w:t>
      </w:r>
      <w:r w:rsidR="002B2E3A">
        <w:rPr>
          <w:rFonts w:ascii="Times New Roman" w:hAnsi="Times New Roman" w:cs="Times New Roman"/>
          <w:sz w:val="24"/>
          <w:szCs w:val="24"/>
        </w:rPr>
        <w:t xml:space="preserve">ICC prosecutions of </w:t>
      </w:r>
      <w:r w:rsidR="00C43EE8" w:rsidRPr="00C43EE8">
        <w:rPr>
          <w:rFonts w:ascii="Times New Roman" w:hAnsi="Times New Roman" w:cs="Times New Roman"/>
          <w:sz w:val="24"/>
          <w:szCs w:val="24"/>
        </w:rPr>
        <w:t xml:space="preserve">Ahmad </w:t>
      </w:r>
      <w:r w:rsidR="00C43EE8">
        <w:rPr>
          <w:rFonts w:ascii="Times New Roman" w:hAnsi="Times New Roman" w:cs="Times New Roman"/>
          <w:sz w:val="24"/>
          <w:szCs w:val="24"/>
        </w:rPr>
        <w:t>a</w:t>
      </w:r>
      <w:r w:rsidR="002B2E3A">
        <w:rPr>
          <w:rFonts w:ascii="Times New Roman" w:hAnsi="Times New Roman" w:cs="Times New Roman"/>
          <w:sz w:val="24"/>
          <w:szCs w:val="24"/>
        </w:rPr>
        <w:t>l</w:t>
      </w:r>
      <w:r w:rsidR="00C43EE8">
        <w:rPr>
          <w:rFonts w:ascii="Times New Roman" w:hAnsi="Times New Roman" w:cs="Times New Roman"/>
          <w:sz w:val="24"/>
          <w:szCs w:val="24"/>
        </w:rPr>
        <w:t>-</w:t>
      </w:r>
      <w:r w:rsidR="002B2E3A">
        <w:rPr>
          <w:rFonts w:ascii="Times New Roman" w:hAnsi="Times New Roman" w:cs="Times New Roman"/>
          <w:sz w:val="24"/>
          <w:szCs w:val="24"/>
        </w:rPr>
        <w:t xml:space="preserve">Mahdi and </w:t>
      </w:r>
      <w:r w:rsidR="00080866">
        <w:rPr>
          <w:rFonts w:ascii="Times New Roman" w:hAnsi="Times New Roman" w:cs="Times New Roman"/>
          <w:sz w:val="24"/>
          <w:szCs w:val="24"/>
        </w:rPr>
        <w:t>a</w:t>
      </w:r>
      <w:r w:rsidR="00B55BEC">
        <w:rPr>
          <w:rFonts w:ascii="Times New Roman" w:hAnsi="Times New Roman" w:cs="Times New Roman"/>
          <w:sz w:val="24"/>
          <w:szCs w:val="24"/>
        </w:rPr>
        <w:t>l</w:t>
      </w:r>
      <w:r w:rsidR="00080866">
        <w:rPr>
          <w:rFonts w:ascii="Times New Roman" w:hAnsi="Times New Roman" w:cs="Times New Roman"/>
          <w:sz w:val="24"/>
          <w:szCs w:val="24"/>
        </w:rPr>
        <w:t>-</w:t>
      </w:r>
      <w:r w:rsidR="002B2E3A">
        <w:rPr>
          <w:rFonts w:ascii="Times New Roman" w:hAnsi="Times New Roman" w:cs="Times New Roman"/>
          <w:sz w:val="24"/>
          <w:szCs w:val="24"/>
        </w:rPr>
        <w:t>Has</w:t>
      </w:r>
      <w:r w:rsidR="00AE144D">
        <w:rPr>
          <w:rFonts w:ascii="Times New Roman" w:hAnsi="Times New Roman" w:cs="Times New Roman"/>
          <w:sz w:val="24"/>
          <w:szCs w:val="24"/>
        </w:rPr>
        <w:t>s</w:t>
      </w:r>
      <w:r w:rsidR="002B2E3A">
        <w:rPr>
          <w:rFonts w:ascii="Times New Roman" w:hAnsi="Times New Roman" w:cs="Times New Roman"/>
          <w:sz w:val="24"/>
          <w:szCs w:val="24"/>
        </w:rPr>
        <w:t>an for destruction of cultural heritage in Mali</w:t>
      </w:r>
      <w:r w:rsidR="009E3CAD">
        <w:rPr>
          <w:rFonts w:ascii="Times New Roman" w:hAnsi="Times New Roman" w:cs="Times New Roman"/>
          <w:sz w:val="24"/>
          <w:szCs w:val="24"/>
        </w:rPr>
        <w:t>,</w:t>
      </w:r>
      <w:r w:rsidR="002B2E3A">
        <w:rPr>
          <w:rFonts w:ascii="Times New Roman" w:hAnsi="Times New Roman" w:cs="Times New Roman"/>
          <w:sz w:val="24"/>
          <w:szCs w:val="24"/>
        </w:rPr>
        <w:t xml:space="preserve"> </w:t>
      </w:r>
      <w:r w:rsidR="009E3CAD">
        <w:rPr>
          <w:rFonts w:ascii="Times New Roman" w:hAnsi="Times New Roman" w:cs="Times New Roman"/>
          <w:sz w:val="24"/>
          <w:szCs w:val="24"/>
        </w:rPr>
        <w:t xml:space="preserve">as well as </w:t>
      </w:r>
      <w:r w:rsidR="002B2E3A">
        <w:rPr>
          <w:rFonts w:ascii="Times New Roman" w:hAnsi="Times New Roman" w:cs="Times New Roman"/>
          <w:sz w:val="24"/>
          <w:szCs w:val="24"/>
        </w:rPr>
        <w:t xml:space="preserve">the </w:t>
      </w:r>
      <w:r w:rsidR="00F93980">
        <w:rPr>
          <w:rFonts w:ascii="Times New Roman" w:hAnsi="Times New Roman" w:cs="Times New Roman"/>
          <w:sz w:val="24"/>
          <w:szCs w:val="24"/>
        </w:rPr>
        <w:t xml:space="preserve">unsuccessful </w:t>
      </w:r>
      <w:r w:rsidR="00000532">
        <w:rPr>
          <w:rFonts w:ascii="Times New Roman" w:hAnsi="Times New Roman" w:cs="Times New Roman"/>
          <w:sz w:val="24"/>
          <w:szCs w:val="24"/>
        </w:rPr>
        <w:t>2015–1</w:t>
      </w:r>
      <w:r w:rsidR="004A3B50">
        <w:rPr>
          <w:rFonts w:ascii="Times New Roman" w:hAnsi="Times New Roman" w:cs="Times New Roman"/>
          <w:sz w:val="24"/>
          <w:szCs w:val="24"/>
        </w:rPr>
        <w:t>9</w:t>
      </w:r>
      <w:r w:rsidR="00000532">
        <w:rPr>
          <w:rFonts w:ascii="Times New Roman" w:hAnsi="Times New Roman" w:cs="Times New Roman"/>
          <w:sz w:val="24"/>
          <w:szCs w:val="24"/>
        </w:rPr>
        <w:t xml:space="preserve"> </w:t>
      </w:r>
      <w:r w:rsidR="002B2E3A">
        <w:rPr>
          <w:rFonts w:ascii="Times New Roman" w:hAnsi="Times New Roman" w:cs="Times New Roman"/>
          <w:sz w:val="24"/>
          <w:szCs w:val="24"/>
        </w:rPr>
        <w:t>prosecution of Bosco Ntaganda for intentional destruction of cultural heritage in the Democratic Republic of the Congo</w:t>
      </w:r>
      <w:r w:rsidR="00EB6BAE">
        <w:rPr>
          <w:rFonts w:ascii="Times New Roman" w:hAnsi="Times New Roman" w:cs="Times New Roman"/>
          <w:sz w:val="24"/>
          <w:szCs w:val="24"/>
        </w:rPr>
        <w:t>, although</w:t>
      </w:r>
      <w:r w:rsidR="00007266">
        <w:rPr>
          <w:rFonts w:ascii="Times New Roman" w:hAnsi="Times New Roman" w:cs="Times New Roman"/>
          <w:sz w:val="24"/>
          <w:szCs w:val="24"/>
        </w:rPr>
        <w:t xml:space="preserve"> he was convicted on other counts</w:t>
      </w:r>
      <w:r w:rsidR="002B2E3A">
        <w:rPr>
          <w:rFonts w:ascii="Times New Roman" w:hAnsi="Times New Roman" w:cs="Times New Roman"/>
          <w:sz w:val="24"/>
          <w:szCs w:val="24"/>
        </w:rPr>
        <w:t xml:space="preserve">. </w:t>
      </w:r>
      <w:r w:rsidR="004C3A5F">
        <w:rPr>
          <w:rFonts w:ascii="Times New Roman" w:hAnsi="Times New Roman" w:cs="Times New Roman"/>
          <w:sz w:val="24"/>
          <w:szCs w:val="24"/>
        </w:rPr>
        <w:t>NGOs</w:t>
      </w:r>
      <w:r w:rsidR="0027082D">
        <w:rPr>
          <w:rFonts w:ascii="Times New Roman" w:hAnsi="Times New Roman" w:cs="Times New Roman"/>
          <w:sz w:val="24"/>
          <w:szCs w:val="24"/>
        </w:rPr>
        <w:t xml:space="preserve"> such as Blue Shield and Geneva Call are alternative intermediaries that can offer assistance to non</w:t>
      </w:r>
      <w:r w:rsidR="00C264E0">
        <w:rPr>
          <w:rFonts w:ascii="Times New Roman" w:hAnsi="Times New Roman" w:cs="Times New Roman"/>
          <w:sz w:val="24"/>
          <w:szCs w:val="24"/>
        </w:rPr>
        <w:t>s</w:t>
      </w:r>
      <w:r w:rsidR="0027082D">
        <w:rPr>
          <w:rFonts w:ascii="Times New Roman" w:hAnsi="Times New Roman" w:cs="Times New Roman"/>
          <w:sz w:val="24"/>
          <w:szCs w:val="24"/>
        </w:rPr>
        <w:t xml:space="preserve">tate </w:t>
      </w:r>
      <w:r w:rsidR="00866288">
        <w:rPr>
          <w:rFonts w:ascii="Times New Roman" w:hAnsi="Times New Roman" w:cs="Times New Roman"/>
          <w:sz w:val="24"/>
          <w:szCs w:val="24"/>
        </w:rPr>
        <w:t xml:space="preserve">armed groups </w:t>
      </w:r>
      <w:r w:rsidR="0027082D">
        <w:rPr>
          <w:rFonts w:ascii="Times New Roman" w:hAnsi="Times New Roman" w:cs="Times New Roman"/>
          <w:sz w:val="24"/>
          <w:szCs w:val="24"/>
        </w:rPr>
        <w:t xml:space="preserve">in heritage preservation when </w:t>
      </w:r>
      <w:r>
        <w:rPr>
          <w:rFonts w:ascii="Times New Roman" w:hAnsi="Times New Roman" w:cs="Times New Roman"/>
          <w:sz w:val="24"/>
          <w:szCs w:val="24"/>
        </w:rPr>
        <w:t xml:space="preserve">IGOs </w:t>
      </w:r>
      <w:r w:rsidR="0027082D">
        <w:rPr>
          <w:rFonts w:ascii="Times New Roman" w:hAnsi="Times New Roman" w:cs="Times New Roman"/>
          <w:sz w:val="24"/>
          <w:szCs w:val="24"/>
        </w:rPr>
        <w:t>cannot or will not do so.</w:t>
      </w:r>
      <w:r w:rsidR="00AE144D">
        <w:rPr>
          <w:rFonts w:ascii="Times New Roman" w:hAnsi="Times New Roman" w:cs="Times New Roman"/>
          <w:sz w:val="24"/>
          <w:szCs w:val="24"/>
        </w:rPr>
        <w:t xml:space="preserve"> But their efforts should be supported, not criticized or hampered.</w:t>
      </w:r>
    </w:p>
    <w:p w14:paraId="7330B7E5" w14:textId="70FE49F2" w:rsidR="0027082D" w:rsidRDefault="006076E8" w:rsidP="00353FB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fourth and last proposal </w:t>
      </w:r>
      <w:r w:rsidR="004404E8">
        <w:rPr>
          <w:rFonts w:ascii="Times New Roman" w:hAnsi="Times New Roman" w:cs="Times New Roman"/>
          <w:sz w:val="24"/>
          <w:szCs w:val="24"/>
        </w:rPr>
        <w:t xml:space="preserve">concerns </w:t>
      </w:r>
      <w:r w:rsidRPr="00060C54">
        <w:rPr>
          <w:rFonts w:ascii="Times New Roman" w:hAnsi="Times New Roman" w:cs="Times New Roman"/>
          <w:sz w:val="24"/>
          <w:szCs w:val="24"/>
        </w:rPr>
        <w:t>r</w:t>
      </w:r>
      <w:r w:rsidR="0027082D" w:rsidRPr="00353FB5">
        <w:rPr>
          <w:rFonts w:ascii="Times New Roman" w:hAnsi="Times New Roman" w:cs="Times New Roman"/>
          <w:sz w:val="24"/>
          <w:szCs w:val="24"/>
        </w:rPr>
        <w:t>efuges</w:t>
      </w:r>
      <w:r w:rsidR="004404E8">
        <w:rPr>
          <w:rFonts w:ascii="Times New Roman" w:hAnsi="Times New Roman" w:cs="Times New Roman"/>
          <w:sz w:val="24"/>
          <w:szCs w:val="24"/>
        </w:rPr>
        <w:t xml:space="preserve"> for heritage protection</w:t>
      </w:r>
      <w:r>
        <w:rPr>
          <w:rFonts w:ascii="Times New Roman" w:hAnsi="Times New Roman" w:cs="Times New Roman"/>
          <w:sz w:val="24"/>
          <w:szCs w:val="24"/>
        </w:rPr>
        <w:t>.</w:t>
      </w:r>
      <w:r w:rsidR="0027082D">
        <w:rPr>
          <w:rFonts w:ascii="Times New Roman" w:hAnsi="Times New Roman" w:cs="Times New Roman"/>
          <w:sz w:val="24"/>
          <w:szCs w:val="24"/>
        </w:rPr>
        <w:t xml:space="preserve"> Movable heritage can, by its nature, often be moved for safekeeping.</w:t>
      </w:r>
      <w:r w:rsidR="0027082D">
        <w:rPr>
          <w:rStyle w:val="EndnoteReference"/>
          <w:rFonts w:ascii="Times New Roman" w:hAnsi="Times New Roman" w:cs="Times New Roman"/>
          <w:sz w:val="24"/>
          <w:szCs w:val="24"/>
        </w:rPr>
        <w:endnoteReference w:id="62"/>
      </w:r>
      <w:r w:rsidR="0027082D">
        <w:rPr>
          <w:rFonts w:ascii="Times New Roman" w:hAnsi="Times New Roman" w:cs="Times New Roman"/>
          <w:sz w:val="24"/>
          <w:szCs w:val="24"/>
        </w:rPr>
        <w:t xml:space="preserve"> </w:t>
      </w:r>
      <w:r w:rsidR="000A434C">
        <w:rPr>
          <w:rFonts w:ascii="Times New Roman" w:hAnsi="Times New Roman" w:cs="Times New Roman"/>
          <w:sz w:val="24"/>
          <w:szCs w:val="24"/>
        </w:rPr>
        <w:t>Although it is an element of the First Protocol of the 1954 Hague Convention, t</w:t>
      </w:r>
      <w:r w:rsidR="0027082D">
        <w:rPr>
          <w:rFonts w:ascii="Times New Roman" w:hAnsi="Times New Roman" w:cs="Times New Roman"/>
          <w:sz w:val="24"/>
          <w:szCs w:val="24"/>
        </w:rPr>
        <w:t xml:space="preserve">he notion of safe havens understandably triggers connotations of the </w:t>
      </w:r>
      <w:r w:rsidR="00176A33">
        <w:rPr>
          <w:rFonts w:ascii="Times New Roman" w:hAnsi="Times New Roman" w:cs="Times New Roman"/>
          <w:sz w:val="24"/>
          <w:szCs w:val="24"/>
        </w:rPr>
        <w:t>“</w:t>
      </w:r>
      <w:r w:rsidR="0027082D">
        <w:rPr>
          <w:rFonts w:ascii="Times New Roman" w:hAnsi="Times New Roman" w:cs="Times New Roman"/>
          <w:sz w:val="24"/>
          <w:szCs w:val="24"/>
        </w:rPr>
        <w:t>universal</w:t>
      </w:r>
      <w:r w:rsidR="00176A33">
        <w:rPr>
          <w:rFonts w:ascii="Times New Roman" w:hAnsi="Times New Roman" w:cs="Times New Roman"/>
          <w:sz w:val="24"/>
          <w:szCs w:val="24"/>
        </w:rPr>
        <w:t>”</w:t>
      </w:r>
      <w:r w:rsidR="0027082D">
        <w:rPr>
          <w:rFonts w:ascii="Times New Roman" w:hAnsi="Times New Roman" w:cs="Times New Roman"/>
          <w:sz w:val="24"/>
          <w:szCs w:val="24"/>
        </w:rPr>
        <w:t xml:space="preserve"> museum</w:t>
      </w:r>
      <w:r w:rsidR="00EB6BAE">
        <w:rPr>
          <w:rFonts w:ascii="Times New Roman" w:hAnsi="Times New Roman" w:cs="Times New Roman"/>
          <w:sz w:val="24"/>
          <w:szCs w:val="24"/>
        </w:rPr>
        <w:t xml:space="preserve">. Prominent European museums benefited from the plunder and expropriation of cultural objects, such as the Benin bronzes and ivories, during periods of colonialism and armed conflict. The offer of such museums to serve as safe havens for </w:t>
      </w:r>
      <w:r w:rsidR="00EB6BAE">
        <w:rPr>
          <w:rFonts w:ascii="Times New Roman" w:hAnsi="Times New Roman" w:cs="Times New Roman"/>
          <w:sz w:val="24"/>
          <w:szCs w:val="24"/>
        </w:rPr>
        <w:lastRenderedPageBreak/>
        <w:t>movable cultural objects might appear to be a reincarnation of the same idea</w:t>
      </w:r>
      <w:r w:rsidR="00B51045">
        <w:rPr>
          <w:rFonts w:ascii="Times New Roman" w:hAnsi="Times New Roman" w:cs="Times New Roman"/>
          <w:sz w:val="24"/>
          <w:szCs w:val="24"/>
        </w:rPr>
        <w:t xml:space="preserve"> in a new guise</w:t>
      </w:r>
      <w:r w:rsidR="0027082D">
        <w:rPr>
          <w:rFonts w:ascii="Times New Roman" w:hAnsi="Times New Roman" w:cs="Times New Roman"/>
          <w:sz w:val="24"/>
          <w:szCs w:val="24"/>
        </w:rPr>
        <w:t xml:space="preserve">. As </w:t>
      </w:r>
      <w:r w:rsidR="00507D0F">
        <w:rPr>
          <w:rFonts w:ascii="Times New Roman" w:hAnsi="Times New Roman" w:cs="Times New Roman"/>
          <w:sz w:val="24"/>
          <w:szCs w:val="24"/>
        </w:rPr>
        <w:t xml:space="preserve">Thomas G. </w:t>
      </w:r>
      <w:r w:rsidR="0027082D">
        <w:rPr>
          <w:rFonts w:ascii="Times New Roman" w:hAnsi="Times New Roman" w:cs="Times New Roman"/>
          <w:sz w:val="24"/>
          <w:szCs w:val="24"/>
        </w:rPr>
        <w:t xml:space="preserve">Weiss and </w:t>
      </w:r>
      <w:r w:rsidR="00507D0F">
        <w:rPr>
          <w:rFonts w:ascii="Times New Roman" w:hAnsi="Times New Roman" w:cs="Times New Roman"/>
          <w:sz w:val="24"/>
          <w:szCs w:val="24"/>
        </w:rPr>
        <w:t xml:space="preserve">Nina </w:t>
      </w:r>
      <w:r w:rsidR="0027082D">
        <w:rPr>
          <w:rFonts w:ascii="Times New Roman" w:hAnsi="Times New Roman" w:cs="Times New Roman"/>
          <w:sz w:val="24"/>
          <w:szCs w:val="24"/>
        </w:rPr>
        <w:t>Connelly note, “the use of safe havens will depend on trust</w:t>
      </w:r>
      <w:r w:rsidR="000E53DA">
        <w:rPr>
          <w:rFonts w:ascii="Times New Roman" w:hAnsi="Times New Roman" w:cs="Times New Roman"/>
          <w:sz w:val="24"/>
          <w:szCs w:val="24"/>
        </w:rPr>
        <w:t>,</w:t>
      </w:r>
      <w:r w:rsidR="0027082D">
        <w:rPr>
          <w:rFonts w:ascii="Times New Roman" w:hAnsi="Times New Roman" w:cs="Times New Roman"/>
          <w:sz w:val="24"/>
          <w:szCs w:val="24"/>
        </w:rPr>
        <w:t>”</w:t>
      </w:r>
      <w:r w:rsidR="0027082D">
        <w:rPr>
          <w:rStyle w:val="EndnoteReference"/>
          <w:rFonts w:ascii="Times New Roman" w:hAnsi="Times New Roman" w:cs="Times New Roman"/>
          <w:sz w:val="24"/>
          <w:szCs w:val="24"/>
        </w:rPr>
        <w:endnoteReference w:id="63"/>
      </w:r>
      <w:r w:rsidR="0027082D">
        <w:rPr>
          <w:rFonts w:ascii="Times New Roman" w:hAnsi="Times New Roman" w:cs="Times New Roman"/>
          <w:sz w:val="24"/>
          <w:szCs w:val="24"/>
        </w:rPr>
        <w:t xml:space="preserve"> </w:t>
      </w:r>
      <w:r w:rsidR="000E53DA">
        <w:rPr>
          <w:rFonts w:ascii="Times New Roman" w:hAnsi="Times New Roman" w:cs="Times New Roman"/>
          <w:sz w:val="24"/>
          <w:szCs w:val="24"/>
        </w:rPr>
        <w:t>a sentiment that may be in short supply based on history, rhetoric</w:t>
      </w:r>
      <w:r w:rsidR="00060C54">
        <w:rPr>
          <w:rFonts w:ascii="Times New Roman" w:hAnsi="Times New Roman" w:cs="Times New Roman"/>
          <w:sz w:val="24"/>
          <w:szCs w:val="24"/>
        </w:rPr>
        <w:t>,</w:t>
      </w:r>
      <w:r w:rsidR="000E53DA">
        <w:rPr>
          <w:rFonts w:ascii="Times New Roman" w:hAnsi="Times New Roman" w:cs="Times New Roman"/>
          <w:sz w:val="24"/>
          <w:szCs w:val="24"/>
        </w:rPr>
        <w:t xml:space="preserve"> and conduct by many museums. </w:t>
      </w:r>
      <w:r w:rsidR="0027082D">
        <w:rPr>
          <w:rFonts w:ascii="Times New Roman" w:hAnsi="Times New Roman" w:cs="Times New Roman"/>
          <w:sz w:val="24"/>
          <w:szCs w:val="24"/>
        </w:rPr>
        <w:t xml:space="preserve">Nonetheless, a more robust international system would, at times, benefit the people and countries to whom the heritage belongs. In addition to the practical difficulties of funding and safe movement of heritage possibly through zones of conflict, the domestic laws of </w:t>
      </w:r>
      <w:r w:rsidR="005D2138">
        <w:rPr>
          <w:rFonts w:ascii="Times New Roman" w:hAnsi="Times New Roman" w:cs="Times New Roman"/>
          <w:sz w:val="24"/>
          <w:szCs w:val="24"/>
        </w:rPr>
        <w:t xml:space="preserve">states </w:t>
      </w:r>
      <w:r w:rsidR="0027082D">
        <w:rPr>
          <w:rFonts w:ascii="Times New Roman" w:hAnsi="Times New Roman" w:cs="Times New Roman"/>
          <w:sz w:val="24"/>
          <w:szCs w:val="24"/>
        </w:rPr>
        <w:t xml:space="preserve">that might be the recipients and guardians of such heritage are for the most part </w:t>
      </w:r>
      <w:r w:rsidR="005D2138">
        <w:rPr>
          <w:rFonts w:ascii="Times New Roman" w:hAnsi="Times New Roman" w:cs="Times New Roman"/>
          <w:sz w:val="24"/>
          <w:szCs w:val="24"/>
        </w:rPr>
        <w:t>in</w:t>
      </w:r>
      <w:r w:rsidR="0027082D">
        <w:rPr>
          <w:rFonts w:ascii="Times New Roman" w:hAnsi="Times New Roman" w:cs="Times New Roman"/>
          <w:sz w:val="24"/>
          <w:szCs w:val="24"/>
        </w:rPr>
        <w:t>adequate, posing obstacles of bureaucracy and concerns with immunity from seizure or legal process.</w:t>
      </w:r>
    </w:p>
    <w:p w14:paraId="42596E52" w14:textId="1A3A8681" w:rsidR="0027082D"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2008, the International Law Association </w:t>
      </w:r>
      <w:r w:rsidR="00F75B74">
        <w:rPr>
          <w:rFonts w:ascii="Times New Roman" w:hAnsi="Times New Roman" w:cs="Times New Roman"/>
          <w:sz w:val="24"/>
          <w:szCs w:val="24"/>
        </w:rPr>
        <w:t xml:space="preserve">(ILA) </w:t>
      </w:r>
      <w:r>
        <w:rPr>
          <w:rFonts w:ascii="Times New Roman" w:hAnsi="Times New Roman" w:cs="Times New Roman"/>
          <w:sz w:val="24"/>
          <w:szCs w:val="24"/>
        </w:rPr>
        <w:t xml:space="preserve">proposed </w:t>
      </w:r>
      <w:r w:rsidR="00A62CDD">
        <w:rPr>
          <w:rFonts w:ascii="Times New Roman" w:hAnsi="Times New Roman" w:cs="Times New Roman"/>
          <w:sz w:val="24"/>
          <w:szCs w:val="24"/>
        </w:rPr>
        <w:t>“</w:t>
      </w:r>
      <w:r>
        <w:rPr>
          <w:rFonts w:ascii="Times New Roman" w:hAnsi="Times New Roman" w:cs="Times New Roman"/>
          <w:sz w:val="24"/>
          <w:szCs w:val="24"/>
        </w:rPr>
        <w:t>Guidelines for the Establishment and Conduct of Safe Havens for Cultural Materials,</w:t>
      </w:r>
      <w:r w:rsidR="00A62CDD">
        <w:rPr>
          <w:rFonts w:ascii="Times New Roman" w:hAnsi="Times New Roman" w:cs="Times New Roman"/>
          <w:sz w:val="24"/>
          <w:szCs w:val="24"/>
        </w:rPr>
        <w:t>”</w:t>
      </w:r>
      <w:r>
        <w:rPr>
          <w:rFonts w:ascii="Times New Roman" w:hAnsi="Times New Roman" w:cs="Times New Roman"/>
          <w:sz w:val="24"/>
          <w:szCs w:val="24"/>
        </w:rPr>
        <w:t xml:space="preserve"> which established standards for legislation to be adopted by individual </w:t>
      </w:r>
      <w:r w:rsidR="00C264E0">
        <w:rPr>
          <w:rFonts w:ascii="Times New Roman" w:hAnsi="Times New Roman" w:cs="Times New Roman"/>
          <w:sz w:val="24"/>
          <w:szCs w:val="24"/>
        </w:rPr>
        <w:t>state</w:t>
      </w:r>
      <w:r>
        <w:rPr>
          <w:rFonts w:ascii="Times New Roman" w:hAnsi="Times New Roman" w:cs="Times New Roman"/>
          <w:sz w:val="24"/>
          <w:szCs w:val="24"/>
        </w:rPr>
        <w:t>s.</w:t>
      </w:r>
      <w:r>
        <w:rPr>
          <w:rStyle w:val="EndnoteReference"/>
          <w:rFonts w:ascii="Times New Roman" w:hAnsi="Times New Roman" w:cs="Times New Roman"/>
          <w:sz w:val="24"/>
          <w:szCs w:val="24"/>
        </w:rPr>
        <w:endnoteReference w:id="64"/>
      </w:r>
      <w:r>
        <w:rPr>
          <w:rFonts w:ascii="Times New Roman" w:hAnsi="Times New Roman" w:cs="Times New Roman"/>
          <w:sz w:val="24"/>
          <w:szCs w:val="24"/>
        </w:rPr>
        <w:t xml:space="preserve"> </w:t>
      </w:r>
      <w:r w:rsidR="000434B8">
        <w:rPr>
          <w:rFonts w:ascii="Times New Roman" w:hAnsi="Times New Roman" w:cs="Times New Roman"/>
          <w:sz w:val="24"/>
          <w:szCs w:val="24"/>
        </w:rPr>
        <w:t xml:space="preserve">On 24 March 2017, in </w:t>
      </w:r>
      <w:r w:rsidR="00A62CDD">
        <w:rPr>
          <w:rFonts w:ascii="Times New Roman" w:hAnsi="Times New Roman" w:cs="Times New Roman"/>
          <w:sz w:val="24"/>
          <w:szCs w:val="24"/>
        </w:rPr>
        <w:t>r</w:t>
      </w:r>
      <w:r>
        <w:rPr>
          <w:rFonts w:ascii="Times New Roman" w:hAnsi="Times New Roman" w:cs="Times New Roman"/>
          <w:sz w:val="24"/>
          <w:szCs w:val="24"/>
        </w:rPr>
        <w:t>esolution 2347</w:t>
      </w:r>
      <w:r w:rsidR="000434B8">
        <w:rPr>
          <w:rFonts w:ascii="Times New Roman" w:hAnsi="Times New Roman" w:cs="Times New Roman"/>
          <w:sz w:val="24"/>
          <w:szCs w:val="24"/>
        </w:rPr>
        <w:t>,</w:t>
      </w:r>
      <w:r>
        <w:rPr>
          <w:rFonts w:ascii="Times New Roman" w:hAnsi="Times New Roman" w:cs="Times New Roman"/>
          <w:sz w:val="24"/>
          <w:szCs w:val="24"/>
        </w:rPr>
        <w:t xml:space="preserve"> Article 16</w:t>
      </w:r>
      <w:r w:rsidR="000434B8">
        <w:rPr>
          <w:rFonts w:ascii="Times New Roman" w:hAnsi="Times New Roman" w:cs="Times New Roman"/>
          <w:sz w:val="24"/>
          <w:szCs w:val="24"/>
        </w:rPr>
        <w:t>, the Security Council</w:t>
      </w:r>
      <w:r>
        <w:rPr>
          <w:rFonts w:ascii="Times New Roman" w:hAnsi="Times New Roman" w:cs="Times New Roman"/>
          <w:sz w:val="24"/>
          <w:szCs w:val="24"/>
        </w:rPr>
        <w:t xml:space="preserve"> encouraged </w:t>
      </w:r>
      <w:r w:rsidR="00C264E0">
        <w:rPr>
          <w:rFonts w:ascii="Times New Roman" w:hAnsi="Times New Roman" w:cs="Times New Roman"/>
          <w:sz w:val="24"/>
          <w:szCs w:val="24"/>
        </w:rPr>
        <w:t>state</w:t>
      </w:r>
      <w:r>
        <w:rPr>
          <w:rFonts w:ascii="Times New Roman" w:hAnsi="Times New Roman" w:cs="Times New Roman"/>
          <w:sz w:val="24"/>
          <w:szCs w:val="24"/>
        </w:rPr>
        <w:t xml:space="preserve">s to create a network of safe havens within their own territory as another means of protecting cultural heritage. Switzerland enacted legislation in 2014 </w:t>
      </w:r>
      <w:r w:rsidR="00F64A7F">
        <w:rPr>
          <w:rFonts w:ascii="Times New Roman" w:hAnsi="Times New Roman" w:cs="Times New Roman"/>
          <w:sz w:val="24"/>
          <w:szCs w:val="24"/>
        </w:rPr>
        <w:t>which</w:t>
      </w:r>
      <w:r>
        <w:rPr>
          <w:rFonts w:ascii="Times New Roman" w:hAnsi="Times New Roman" w:cs="Times New Roman"/>
          <w:sz w:val="24"/>
          <w:szCs w:val="24"/>
        </w:rPr>
        <w:t>, while helpful, poses practical obstacles such as requiring a treaty between Switzerland and the depositor country, something that could likely not be done in a period of crisis.</w:t>
      </w:r>
      <w:r>
        <w:rPr>
          <w:rStyle w:val="EndnoteReference"/>
          <w:rFonts w:ascii="Times New Roman" w:hAnsi="Times New Roman" w:cs="Times New Roman"/>
          <w:sz w:val="24"/>
          <w:szCs w:val="24"/>
        </w:rPr>
        <w:endnoteReference w:id="65"/>
      </w:r>
      <w:r>
        <w:rPr>
          <w:rFonts w:ascii="Times New Roman" w:hAnsi="Times New Roman" w:cs="Times New Roman"/>
          <w:sz w:val="24"/>
          <w:szCs w:val="24"/>
        </w:rPr>
        <w:t xml:space="preserve"> Alessandro Chechi points out that the Swiss legislation departs from the ILA </w:t>
      </w:r>
      <w:r w:rsidR="00997350">
        <w:rPr>
          <w:rFonts w:ascii="Times New Roman" w:hAnsi="Times New Roman" w:cs="Times New Roman"/>
          <w:sz w:val="24"/>
          <w:szCs w:val="24"/>
        </w:rPr>
        <w:t>g</w:t>
      </w:r>
      <w:r>
        <w:rPr>
          <w:rFonts w:ascii="Times New Roman" w:hAnsi="Times New Roman" w:cs="Times New Roman"/>
          <w:sz w:val="24"/>
          <w:szCs w:val="24"/>
        </w:rPr>
        <w:t xml:space="preserve">uidelines, in particular by not requiring storage and display in accord with the laws and traditions of the </w:t>
      </w:r>
      <w:r w:rsidR="00C264E0">
        <w:rPr>
          <w:rFonts w:ascii="Times New Roman" w:hAnsi="Times New Roman" w:cs="Times New Roman"/>
          <w:sz w:val="24"/>
          <w:szCs w:val="24"/>
        </w:rPr>
        <w:t>state</w:t>
      </w:r>
      <w:r>
        <w:rPr>
          <w:rFonts w:ascii="Times New Roman" w:hAnsi="Times New Roman" w:cs="Times New Roman"/>
          <w:sz w:val="24"/>
          <w:szCs w:val="24"/>
        </w:rPr>
        <w:t xml:space="preserve"> of origin.</w:t>
      </w:r>
      <w:r>
        <w:rPr>
          <w:rStyle w:val="EndnoteReference"/>
          <w:rFonts w:ascii="Times New Roman" w:hAnsi="Times New Roman" w:cs="Times New Roman"/>
          <w:sz w:val="24"/>
          <w:szCs w:val="24"/>
        </w:rPr>
        <w:endnoteReference w:id="66"/>
      </w:r>
      <w:r>
        <w:rPr>
          <w:rFonts w:ascii="Times New Roman" w:hAnsi="Times New Roman" w:cs="Times New Roman"/>
          <w:sz w:val="24"/>
          <w:szCs w:val="24"/>
        </w:rPr>
        <w:t xml:space="preserve"> </w:t>
      </w:r>
    </w:p>
    <w:p w14:paraId="49E37339" w14:textId="292F7C14" w:rsidR="0031641E"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2016, the United States enacted legislation to provide refuge with </w:t>
      </w:r>
      <w:r w:rsidR="00602131">
        <w:rPr>
          <w:rFonts w:ascii="Times New Roman" w:hAnsi="Times New Roman" w:cs="Times New Roman"/>
          <w:sz w:val="24"/>
          <w:szCs w:val="24"/>
        </w:rPr>
        <w:t xml:space="preserve">an automatic grant of </w:t>
      </w:r>
      <w:r>
        <w:rPr>
          <w:rFonts w:ascii="Times New Roman" w:hAnsi="Times New Roman" w:cs="Times New Roman"/>
          <w:sz w:val="24"/>
          <w:szCs w:val="24"/>
        </w:rPr>
        <w:t xml:space="preserve">immunity from seizure for objects entering </w:t>
      </w:r>
      <w:r w:rsidR="00245541">
        <w:rPr>
          <w:rFonts w:ascii="Times New Roman" w:hAnsi="Times New Roman" w:cs="Times New Roman"/>
          <w:sz w:val="24"/>
          <w:szCs w:val="24"/>
        </w:rPr>
        <w:t>its territory</w:t>
      </w:r>
      <w:r>
        <w:rPr>
          <w:rFonts w:ascii="Times New Roman" w:hAnsi="Times New Roman" w:cs="Times New Roman"/>
          <w:sz w:val="24"/>
          <w:szCs w:val="24"/>
        </w:rPr>
        <w:t>, but this legislation is limited to cultural property from Syria.</w:t>
      </w:r>
      <w:r>
        <w:rPr>
          <w:rStyle w:val="EndnoteReference"/>
          <w:rFonts w:ascii="Times New Roman" w:hAnsi="Times New Roman" w:cs="Times New Roman"/>
          <w:sz w:val="24"/>
          <w:szCs w:val="24"/>
        </w:rPr>
        <w:endnoteReference w:id="67"/>
      </w:r>
      <w:r>
        <w:rPr>
          <w:rFonts w:ascii="Times New Roman" w:hAnsi="Times New Roman" w:cs="Times New Roman"/>
          <w:sz w:val="24"/>
          <w:szCs w:val="24"/>
        </w:rPr>
        <w:t xml:space="preserve"> At the same time, the Association of Art Museum Directors adopted guidelines which track but do not follow the US legislation, in particular because the</w:t>
      </w:r>
      <w:r w:rsidR="00245541">
        <w:rPr>
          <w:rFonts w:ascii="Times New Roman" w:hAnsi="Times New Roman" w:cs="Times New Roman"/>
          <w:sz w:val="24"/>
          <w:szCs w:val="24"/>
        </w:rPr>
        <w:t>y</w:t>
      </w:r>
      <w:r>
        <w:rPr>
          <w:rFonts w:ascii="Times New Roman" w:hAnsi="Times New Roman" w:cs="Times New Roman"/>
          <w:sz w:val="24"/>
          <w:szCs w:val="24"/>
        </w:rPr>
        <w:t xml:space="preserve"> are not restricted to cultural property from Syria.</w:t>
      </w:r>
      <w:r>
        <w:rPr>
          <w:rStyle w:val="EndnoteReference"/>
          <w:rFonts w:ascii="Times New Roman" w:hAnsi="Times New Roman" w:cs="Times New Roman"/>
          <w:sz w:val="24"/>
          <w:szCs w:val="24"/>
        </w:rPr>
        <w:endnoteReference w:id="68"/>
      </w:r>
      <w:r>
        <w:rPr>
          <w:rFonts w:ascii="Times New Roman" w:hAnsi="Times New Roman" w:cs="Times New Roman"/>
          <w:sz w:val="24"/>
          <w:szCs w:val="24"/>
        </w:rPr>
        <w:t xml:space="preserve"> </w:t>
      </w:r>
      <w:r w:rsidR="0031641E">
        <w:rPr>
          <w:rFonts w:ascii="Times New Roman" w:hAnsi="Times New Roman" w:cs="Times New Roman"/>
          <w:sz w:val="24"/>
          <w:szCs w:val="24"/>
        </w:rPr>
        <w:t xml:space="preserve">A provision in the </w:t>
      </w:r>
      <w:r w:rsidR="006147B0">
        <w:rPr>
          <w:rFonts w:ascii="Times New Roman" w:hAnsi="Times New Roman" w:cs="Times New Roman"/>
          <w:sz w:val="24"/>
          <w:szCs w:val="24"/>
        </w:rPr>
        <w:t xml:space="preserve">2021 </w:t>
      </w:r>
      <w:r w:rsidR="00DC5919">
        <w:rPr>
          <w:rFonts w:ascii="Times New Roman" w:hAnsi="Times New Roman" w:cs="Times New Roman"/>
          <w:sz w:val="24"/>
          <w:szCs w:val="24"/>
        </w:rPr>
        <w:t xml:space="preserve">US </w:t>
      </w:r>
      <w:r w:rsidR="0031641E">
        <w:rPr>
          <w:rFonts w:ascii="Times New Roman" w:hAnsi="Times New Roman" w:cs="Times New Roman"/>
          <w:sz w:val="24"/>
          <w:szCs w:val="24"/>
        </w:rPr>
        <w:t xml:space="preserve">National Defense </w:t>
      </w:r>
      <w:r w:rsidR="0031641E">
        <w:rPr>
          <w:rFonts w:ascii="Times New Roman" w:hAnsi="Times New Roman" w:cs="Times New Roman"/>
          <w:sz w:val="24"/>
          <w:szCs w:val="24"/>
        </w:rPr>
        <w:lastRenderedPageBreak/>
        <w:t xml:space="preserve">Authorization Act creates automatic immunity from seizure for cultural objects </w:t>
      </w:r>
      <w:r w:rsidR="00C235E2">
        <w:rPr>
          <w:rFonts w:ascii="Times New Roman" w:hAnsi="Times New Roman" w:cs="Times New Roman"/>
          <w:sz w:val="24"/>
          <w:szCs w:val="24"/>
        </w:rPr>
        <w:t>legally export</w:t>
      </w:r>
      <w:r w:rsidR="0031641E">
        <w:rPr>
          <w:rFonts w:ascii="Times New Roman" w:hAnsi="Times New Roman" w:cs="Times New Roman"/>
          <w:sz w:val="24"/>
          <w:szCs w:val="24"/>
        </w:rPr>
        <w:t>ed from Afghanistan and imported into the United States pursuant to a loan agreement with an educational or other charitable institution. This provision also expands the purposes for which immunity from seizure may be granted.</w:t>
      </w:r>
      <w:r w:rsidR="00C235E2">
        <w:rPr>
          <w:rStyle w:val="EndnoteReference"/>
          <w:rFonts w:ascii="Times New Roman" w:hAnsi="Times New Roman" w:cs="Times New Roman"/>
          <w:sz w:val="24"/>
          <w:szCs w:val="24"/>
        </w:rPr>
        <w:endnoteReference w:id="69"/>
      </w:r>
    </w:p>
    <w:p w14:paraId="097EC21D" w14:textId="047CAFFE" w:rsidR="0027082D" w:rsidRDefault="0027082D" w:rsidP="004D55E5">
      <w:pPr>
        <w:pStyle w:val="RIPLMainText"/>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France,</w:t>
      </w:r>
      <w:r>
        <w:rPr>
          <w:rStyle w:val="EndnoteReference"/>
          <w:rFonts w:ascii="Times New Roman" w:hAnsi="Times New Roman" w:cs="Times New Roman"/>
          <w:sz w:val="24"/>
          <w:szCs w:val="24"/>
        </w:rPr>
        <w:endnoteReference w:id="70"/>
      </w:r>
      <w:r>
        <w:rPr>
          <w:rFonts w:ascii="Times New Roman" w:hAnsi="Times New Roman" w:cs="Times New Roman"/>
          <w:sz w:val="24"/>
          <w:szCs w:val="24"/>
        </w:rPr>
        <w:t xml:space="preserve"> the United Kingdom, Italy, Germany, and China have all considered or enacted legislation to effectuate the idea of refuges, but enacted legislation seems not to be comprehensive</w:t>
      </w:r>
      <w:r w:rsidR="00602131">
        <w:rPr>
          <w:rFonts w:ascii="Times New Roman" w:hAnsi="Times New Roman" w:cs="Times New Roman"/>
          <w:sz w:val="24"/>
          <w:szCs w:val="24"/>
        </w:rPr>
        <w:t xml:space="preserve"> or sufficiently responsive to practical impediments</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71"/>
      </w:r>
      <w:r>
        <w:rPr>
          <w:rFonts w:ascii="Times New Roman" w:hAnsi="Times New Roman" w:cs="Times New Roman"/>
          <w:sz w:val="24"/>
          <w:szCs w:val="24"/>
        </w:rPr>
        <w:t xml:space="preserve"> In other </w:t>
      </w:r>
      <w:r w:rsidR="00CF26BA">
        <w:rPr>
          <w:rFonts w:ascii="Times New Roman" w:hAnsi="Times New Roman" w:cs="Times New Roman"/>
          <w:sz w:val="24"/>
          <w:szCs w:val="24"/>
        </w:rPr>
        <w:t>states</w:t>
      </w:r>
      <w:r>
        <w:rPr>
          <w:rFonts w:ascii="Times New Roman" w:hAnsi="Times New Roman" w:cs="Times New Roman"/>
          <w:sz w:val="24"/>
          <w:szCs w:val="24"/>
        </w:rPr>
        <w:t xml:space="preserve">, complying with existing immunity from seizure legislation and return guarantees often poses significant obstacles by limiting the amount of time that an object can be in the country or by requiring that the object be on display. Other questions that need to be answered include: </w:t>
      </w:r>
      <w:r w:rsidR="0056295D">
        <w:rPr>
          <w:rFonts w:ascii="Times New Roman" w:hAnsi="Times New Roman" w:cs="Times New Roman"/>
          <w:sz w:val="24"/>
          <w:szCs w:val="24"/>
        </w:rPr>
        <w:t>W</w:t>
      </w:r>
      <w:r>
        <w:rPr>
          <w:rFonts w:ascii="Times New Roman" w:hAnsi="Times New Roman" w:cs="Times New Roman"/>
          <w:sz w:val="24"/>
          <w:szCs w:val="24"/>
        </w:rPr>
        <w:t>ho may request safe haven</w:t>
      </w:r>
      <w:r w:rsidR="0056295D">
        <w:rPr>
          <w:rFonts w:ascii="Times New Roman" w:hAnsi="Times New Roman" w:cs="Times New Roman"/>
          <w:sz w:val="24"/>
          <w:szCs w:val="24"/>
        </w:rPr>
        <w:t>?</w:t>
      </w:r>
      <w:r w:rsidR="0071122F">
        <w:rPr>
          <w:rFonts w:ascii="Times New Roman" w:hAnsi="Times New Roman" w:cs="Times New Roman"/>
          <w:sz w:val="24"/>
          <w:szCs w:val="24"/>
        </w:rPr>
        <w:t xml:space="preserve"> T</w:t>
      </w:r>
      <w:r>
        <w:rPr>
          <w:rFonts w:ascii="Times New Roman" w:hAnsi="Times New Roman" w:cs="Times New Roman"/>
          <w:sz w:val="24"/>
          <w:szCs w:val="24"/>
        </w:rPr>
        <w:t>o whom and when should objects be returned, particularly if the identity of the original owner has changed</w:t>
      </w:r>
      <w:r w:rsidR="0071122F">
        <w:rPr>
          <w:rFonts w:ascii="Times New Roman" w:hAnsi="Times New Roman" w:cs="Times New Roman"/>
          <w:sz w:val="24"/>
          <w:szCs w:val="24"/>
        </w:rPr>
        <w:t>? W</w:t>
      </w:r>
      <w:r>
        <w:rPr>
          <w:rFonts w:ascii="Times New Roman" w:hAnsi="Times New Roman" w:cs="Times New Roman"/>
          <w:sz w:val="24"/>
          <w:szCs w:val="24"/>
        </w:rPr>
        <w:t>hat event or threat triggers the safe haven provisions</w:t>
      </w:r>
      <w:r w:rsidR="0071122F">
        <w:rPr>
          <w:rFonts w:ascii="Times New Roman" w:hAnsi="Times New Roman" w:cs="Times New Roman"/>
          <w:sz w:val="24"/>
          <w:szCs w:val="24"/>
        </w:rPr>
        <w:t>?</w:t>
      </w:r>
      <w:r>
        <w:rPr>
          <w:rFonts w:ascii="Times New Roman" w:hAnsi="Times New Roman" w:cs="Times New Roman"/>
          <w:sz w:val="24"/>
          <w:szCs w:val="24"/>
        </w:rPr>
        <w:t xml:space="preserve"> </w:t>
      </w:r>
      <w:r w:rsidR="0071122F">
        <w:rPr>
          <w:rFonts w:ascii="Times New Roman" w:hAnsi="Times New Roman" w:cs="Times New Roman"/>
          <w:sz w:val="24"/>
          <w:szCs w:val="24"/>
        </w:rPr>
        <w:t>I</w:t>
      </w:r>
      <w:r>
        <w:rPr>
          <w:rFonts w:ascii="Times New Roman" w:hAnsi="Times New Roman" w:cs="Times New Roman"/>
          <w:sz w:val="24"/>
          <w:szCs w:val="24"/>
        </w:rPr>
        <w:t>s a formal agreement or treaty required</w:t>
      </w:r>
      <w:r w:rsidR="0071122F">
        <w:rPr>
          <w:rFonts w:ascii="Times New Roman" w:hAnsi="Times New Roman" w:cs="Times New Roman"/>
          <w:sz w:val="24"/>
          <w:szCs w:val="24"/>
        </w:rPr>
        <w:t>?</w:t>
      </w:r>
      <w:r>
        <w:rPr>
          <w:rFonts w:ascii="Times New Roman" w:hAnsi="Times New Roman" w:cs="Times New Roman"/>
          <w:sz w:val="24"/>
          <w:szCs w:val="24"/>
        </w:rPr>
        <w:t xml:space="preserve"> </w:t>
      </w:r>
      <w:r w:rsidR="0071122F">
        <w:rPr>
          <w:rFonts w:ascii="Times New Roman" w:hAnsi="Times New Roman" w:cs="Times New Roman"/>
          <w:sz w:val="24"/>
          <w:szCs w:val="24"/>
        </w:rPr>
        <w:t>M</w:t>
      </w:r>
      <w:r>
        <w:rPr>
          <w:rFonts w:ascii="Times New Roman" w:hAnsi="Times New Roman" w:cs="Times New Roman"/>
          <w:sz w:val="24"/>
          <w:szCs w:val="24"/>
        </w:rPr>
        <w:t>ay the cultural objects be studied, displayed or conserved</w:t>
      </w:r>
      <w:r w:rsidR="0071122F">
        <w:rPr>
          <w:rFonts w:ascii="Times New Roman" w:hAnsi="Times New Roman" w:cs="Times New Roman"/>
          <w:sz w:val="24"/>
          <w:szCs w:val="24"/>
        </w:rPr>
        <w:t>?</w:t>
      </w:r>
      <w:r>
        <w:rPr>
          <w:rFonts w:ascii="Times New Roman" w:hAnsi="Times New Roman" w:cs="Times New Roman"/>
          <w:sz w:val="24"/>
          <w:szCs w:val="24"/>
        </w:rPr>
        <w:t xml:space="preserve"> </w:t>
      </w:r>
      <w:r w:rsidR="0071122F">
        <w:rPr>
          <w:rFonts w:ascii="Times New Roman" w:hAnsi="Times New Roman" w:cs="Times New Roman"/>
          <w:sz w:val="24"/>
          <w:szCs w:val="24"/>
        </w:rPr>
        <w:t>D</w:t>
      </w:r>
      <w:r>
        <w:rPr>
          <w:rFonts w:ascii="Times New Roman" w:hAnsi="Times New Roman" w:cs="Times New Roman"/>
          <w:sz w:val="24"/>
          <w:szCs w:val="24"/>
        </w:rPr>
        <w:t>o the objects receive immunity from seizure</w:t>
      </w:r>
      <w:r w:rsidR="0071122F">
        <w:rPr>
          <w:rFonts w:ascii="Times New Roman" w:hAnsi="Times New Roman" w:cs="Times New Roman"/>
          <w:sz w:val="24"/>
          <w:szCs w:val="24"/>
        </w:rPr>
        <w:t>?</w:t>
      </w:r>
      <w:r>
        <w:rPr>
          <w:rFonts w:ascii="Times New Roman" w:hAnsi="Times New Roman" w:cs="Times New Roman"/>
          <w:sz w:val="24"/>
          <w:szCs w:val="24"/>
        </w:rPr>
        <w:t xml:space="preserve"> </w:t>
      </w:r>
      <w:r w:rsidR="0071122F">
        <w:rPr>
          <w:rFonts w:ascii="Times New Roman" w:hAnsi="Times New Roman" w:cs="Times New Roman"/>
          <w:sz w:val="24"/>
          <w:szCs w:val="24"/>
        </w:rPr>
        <w:t>And m</w:t>
      </w:r>
      <w:r>
        <w:rPr>
          <w:rFonts w:ascii="Times New Roman" w:hAnsi="Times New Roman" w:cs="Times New Roman"/>
          <w:sz w:val="24"/>
          <w:szCs w:val="24"/>
        </w:rPr>
        <w:t>ust UNESCO approve the granting of safe haven or be otherwise involved</w:t>
      </w:r>
      <w:r w:rsidR="0071122F">
        <w:rPr>
          <w:rFonts w:ascii="Times New Roman" w:hAnsi="Times New Roman" w:cs="Times New Roman"/>
          <w:sz w:val="24"/>
          <w:szCs w:val="24"/>
        </w:rPr>
        <w:t>?</w:t>
      </w:r>
      <w:r>
        <w:rPr>
          <w:rFonts w:ascii="Times New Roman" w:hAnsi="Times New Roman" w:cs="Times New Roman"/>
          <w:sz w:val="24"/>
          <w:szCs w:val="24"/>
        </w:rPr>
        <w:t xml:space="preserve"> Economic sanctions and travel restrictions may pose other obstacles to effective assistance. </w:t>
      </w:r>
      <w:r w:rsidR="00CF26BA">
        <w:rPr>
          <w:rFonts w:ascii="Times New Roman" w:hAnsi="Times New Roman" w:cs="Times New Roman"/>
          <w:sz w:val="24"/>
          <w:szCs w:val="24"/>
        </w:rPr>
        <w:t xml:space="preserve">States </w:t>
      </w:r>
      <w:r>
        <w:rPr>
          <w:rFonts w:ascii="Times New Roman" w:hAnsi="Times New Roman" w:cs="Times New Roman"/>
          <w:sz w:val="24"/>
          <w:szCs w:val="24"/>
        </w:rPr>
        <w:t xml:space="preserve">that are willing to provide refuges need to </w:t>
      </w:r>
      <w:r w:rsidR="00F67DCC">
        <w:rPr>
          <w:rFonts w:ascii="Times New Roman" w:hAnsi="Times New Roman" w:cs="Times New Roman"/>
          <w:sz w:val="24"/>
          <w:szCs w:val="24"/>
        </w:rPr>
        <w:t xml:space="preserve">develop </w:t>
      </w:r>
      <w:r>
        <w:rPr>
          <w:rFonts w:ascii="Times New Roman" w:hAnsi="Times New Roman" w:cs="Times New Roman"/>
          <w:sz w:val="24"/>
          <w:szCs w:val="24"/>
        </w:rPr>
        <w:t>new and more flexible legislative solutions.</w:t>
      </w:r>
      <w:r w:rsidR="00D34FBD">
        <w:rPr>
          <w:rFonts w:ascii="Times New Roman" w:hAnsi="Times New Roman" w:cs="Times New Roman"/>
          <w:sz w:val="24"/>
          <w:szCs w:val="24"/>
        </w:rPr>
        <w:t xml:space="preserve"> The export and corresponding import of cultural objects may also be hampered by the very provisions of conventions, such as the 1970 UNESCO </w:t>
      </w:r>
      <w:r w:rsidR="003629EB">
        <w:rPr>
          <w:rFonts w:ascii="Times New Roman" w:hAnsi="Times New Roman" w:cs="Times New Roman"/>
          <w:sz w:val="24"/>
          <w:szCs w:val="24"/>
        </w:rPr>
        <w:t>c</w:t>
      </w:r>
      <w:r w:rsidR="00D34FBD">
        <w:rPr>
          <w:rFonts w:ascii="Times New Roman" w:hAnsi="Times New Roman" w:cs="Times New Roman"/>
          <w:sz w:val="24"/>
          <w:szCs w:val="24"/>
        </w:rPr>
        <w:t>onvention, that require legal export. This may prove to be unpopular or impractical, but countries may also want to consider adding provisions to their domestic legislation that would allow easier export in case of crisis situations.</w:t>
      </w:r>
    </w:p>
    <w:p w14:paraId="28F8EB16" w14:textId="1B92EBAB" w:rsidR="0027082D" w:rsidRDefault="0027082D" w:rsidP="004D55E5">
      <w:pPr>
        <w:pStyle w:val="RIPLMainText"/>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ab/>
        <w:t>A hypothetical scenario (based on facts) illustrates some of the challenges.</w:t>
      </w:r>
      <w:r>
        <w:rPr>
          <w:rStyle w:val="EndnoteReference"/>
          <w:rFonts w:ascii="Times New Roman" w:hAnsi="Times New Roman" w:cs="Times New Roman"/>
          <w:sz w:val="24"/>
          <w:szCs w:val="24"/>
        </w:rPr>
        <w:endnoteReference w:id="72"/>
      </w:r>
      <w:r>
        <w:rPr>
          <w:rFonts w:ascii="Times New Roman" w:hAnsi="Times New Roman" w:cs="Times New Roman"/>
          <w:sz w:val="24"/>
          <w:szCs w:val="24"/>
        </w:rPr>
        <w:t xml:space="preserve"> In 2015 and 2016, </w:t>
      </w:r>
      <w:r w:rsidR="00D248BF">
        <w:rPr>
          <w:rFonts w:ascii="Times New Roman" w:hAnsi="Times New Roman" w:cs="Times New Roman"/>
          <w:sz w:val="24"/>
          <w:szCs w:val="24"/>
        </w:rPr>
        <w:t xml:space="preserve">Syrian government </w:t>
      </w:r>
      <w:r>
        <w:rPr>
          <w:rFonts w:ascii="Times New Roman" w:hAnsi="Times New Roman" w:cs="Times New Roman"/>
          <w:sz w:val="24"/>
          <w:szCs w:val="24"/>
        </w:rPr>
        <w:t xml:space="preserve">forces attacked the Maarat al-Numan Museum, one of the foremost </w:t>
      </w:r>
      <w:r>
        <w:rPr>
          <w:rFonts w:ascii="Times New Roman" w:hAnsi="Times New Roman" w:cs="Times New Roman"/>
          <w:sz w:val="24"/>
          <w:szCs w:val="24"/>
        </w:rPr>
        <w:lastRenderedPageBreak/>
        <w:t xml:space="preserve">repositories for late Roman and Byzantine mosaics, in the Idlib region. Museum professionals were trained to protect the mosaics in situ, as well as in aspects of the law of armed conflict for protecting cultural heritage. However, if a faction of the Free Syrian Army or a civilian group had wanted to arrange transport of those mosaics out of </w:t>
      </w:r>
      <w:r w:rsidR="00DD163F">
        <w:rPr>
          <w:rFonts w:ascii="Times New Roman" w:hAnsi="Times New Roman" w:cs="Times New Roman"/>
          <w:sz w:val="24"/>
          <w:szCs w:val="24"/>
        </w:rPr>
        <w:t>the country</w:t>
      </w:r>
      <w:r>
        <w:rPr>
          <w:rFonts w:ascii="Times New Roman" w:hAnsi="Times New Roman" w:cs="Times New Roman"/>
          <w:sz w:val="24"/>
          <w:szCs w:val="24"/>
        </w:rPr>
        <w:t xml:space="preserve">, </w:t>
      </w:r>
      <w:r w:rsidR="005D5295">
        <w:rPr>
          <w:rFonts w:ascii="Times New Roman" w:hAnsi="Times New Roman" w:cs="Times New Roman"/>
          <w:sz w:val="24"/>
          <w:szCs w:val="24"/>
        </w:rPr>
        <w:t>w</w:t>
      </w:r>
      <w:r>
        <w:rPr>
          <w:rFonts w:ascii="Times New Roman" w:hAnsi="Times New Roman" w:cs="Times New Roman"/>
          <w:sz w:val="24"/>
          <w:szCs w:val="24"/>
        </w:rPr>
        <w:t xml:space="preserve">ould it have been possible to arrange safe haven in another country and would UNESCO or other </w:t>
      </w:r>
      <w:r w:rsidR="0048720E">
        <w:rPr>
          <w:rFonts w:ascii="Times New Roman" w:hAnsi="Times New Roman" w:cs="Times New Roman"/>
          <w:sz w:val="24"/>
          <w:szCs w:val="24"/>
        </w:rPr>
        <w:t>IGOs</w:t>
      </w:r>
      <w:r>
        <w:rPr>
          <w:rFonts w:ascii="Times New Roman" w:hAnsi="Times New Roman" w:cs="Times New Roman"/>
          <w:sz w:val="24"/>
          <w:szCs w:val="24"/>
        </w:rPr>
        <w:t xml:space="preserve">, probably over the protest of the </w:t>
      </w:r>
      <w:r w:rsidR="004E6F9E">
        <w:rPr>
          <w:rFonts w:ascii="Times New Roman" w:hAnsi="Times New Roman" w:cs="Times New Roman"/>
          <w:sz w:val="24"/>
          <w:szCs w:val="24"/>
        </w:rPr>
        <w:t>Syrian government</w:t>
      </w:r>
      <w:r>
        <w:rPr>
          <w:rFonts w:ascii="Times New Roman" w:hAnsi="Times New Roman" w:cs="Times New Roman"/>
          <w:sz w:val="24"/>
          <w:szCs w:val="24"/>
        </w:rPr>
        <w:t xml:space="preserve">, have assisted? Under current circumstances, an arrangement for </w:t>
      </w:r>
      <w:r w:rsidR="0035681C">
        <w:rPr>
          <w:rFonts w:ascii="Times New Roman" w:hAnsi="Times New Roman" w:cs="Times New Roman"/>
          <w:sz w:val="24"/>
          <w:szCs w:val="24"/>
        </w:rPr>
        <w:t xml:space="preserve">a </w:t>
      </w:r>
      <w:r>
        <w:rPr>
          <w:rFonts w:ascii="Times New Roman" w:hAnsi="Times New Roman" w:cs="Times New Roman"/>
          <w:sz w:val="24"/>
          <w:szCs w:val="24"/>
        </w:rPr>
        <w:t xml:space="preserve">safe haven would likely not have been feasible. Yet, in the end, </w:t>
      </w:r>
      <w:r w:rsidR="00AB5AD3">
        <w:rPr>
          <w:rFonts w:ascii="Times New Roman" w:hAnsi="Times New Roman" w:cs="Times New Roman"/>
          <w:sz w:val="24"/>
          <w:szCs w:val="24"/>
        </w:rPr>
        <w:t xml:space="preserve">government </w:t>
      </w:r>
      <w:r>
        <w:rPr>
          <w:rFonts w:ascii="Times New Roman" w:hAnsi="Times New Roman" w:cs="Times New Roman"/>
          <w:sz w:val="24"/>
          <w:szCs w:val="24"/>
        </w:rPr>
        <w:t xml:space="preserve">forces repeatedly attacked the </w:t>
      </w:r>
      <w:r w:rsidR="0083087E">
        <w:rPr>
          <w:rFonts w:ascii="Times New Roman" w:hAnsi="Times New Roman" w:cs="Times New Roman"/>
          <w:sz w:val="24"/>
          <w:szCs w:val="24"/>
        </w:rPr>
        <w:t>m</w:t>
      </w:r>
      <w:r>
        <w:rPr>
          <w:rFonts w:ascii="Times New Roman" w:hAnsi="Times New Roman" w:cs="Times New Roman"/>
          <w:sz w:val="24"/>
          <w:szCs w:val="24"/>
        </w:rPr>
        <w:t xml:space="preserve">useum, and the full extent of damage </w:t>
      </w:r>
      <w:r w:rsidR="00C35C01">
        <w:rPr>
          <w:rFonts w:ascii="Times New Roman" w:hAnsi="Times New Roman" w:cs="Times New Roman"/>
          <w:sz w:val="24"/>
          <w:szCs w:val="24"/>
        </w:rPr>
        <w:t>remains un</w:t>
      </w:r>
      <w:r>
        <w:rPr>
          <w:rFonts w:ascii="Times New Roman" w:hAnsi="Times New Roman" w:cs="Times New Roman"/>
          <w:sz w:val="24"/>
          <w:szCs w:val="24"/>
        </w:rPr>
        <w:t>known.</w:t>
      </w:r>
    </w:p>
    <w:p w14:paraId="01310090" w14:textId="77777777" w:rsidR="00333589" w:rsidRDefault="00333589" w:rsidP="004D55E5">
      <w:pPr>
        <w:pStyle w:val="RIPLMainText"/>
        <w:spacing w:line="480" w:lineRule="auto"/>
        <w:ind w:firstLine="0"/>
        <w:jc w:val="left"/>
        <w:rPr>
          <w:rFonts w:ascii="Times New Roman" w:hAnsi="Times New Roman" w:cs="Times New Roman"/>
          <w:sz w:val="24"/>
          <w:szCs w:val="24"/>
        </w:rPr>
      </w:pPr>
    </w:p>
    <w:p w14:paraId="6E953399" w14:textId="736136DE" w:rsidR="00C543D2" w:rsidRDefault="00B62047" w:rsidP="00353FB5">
      <w:pPr>
        <w:pStyle w:val="Heading2"/>
      </w:pPr>
      <w:r>
        <w:t>Conclusion</w:t>
      </w:r>
    </w:p>
    <w:p w14:paraId="06E26161" w14:textId="2BBCAC34" w:rsidR="00834ABC" w:rsidRDefault="00834ABC" w:rsidP="00C543D2">
      <w:pPr>
        <w:spacing w:line="480" w:lineRule="auto"/>
      </w:pPr>
      <w:r>
        <w:t xml:space="preserve">Much of the preceding discussion illustrates the limited applicability of R2P to the preservation of </w:t>
      </w:r>
      <w:r w:rsidR="0031641E">
        <w:t xml:space="preserve">immovable </w:t>
      </w:r>
      <w:r>
        <w:t>cultural heritage during armed conflict. But a</w:t>
      </w:r>
      <w:r w:rsidR="0027082D">
        <w:t xml:space="preserve">ny actions taken </w:t>
      </w:r>
      <w:r w:rsidR="00951827">
        <w:t xml:space="preserve">via </w:t>
      </w:r>
      <w:r w:rsidR="0027082D">
        <w:t xml:space="preserve">R2P </w:t>
      </w:r>
      <w:r>
        <w:t xml:space="preserve">are more likely to be successful if done </w:t>
      </w:r>
      <w:r w:rsidR="0027082D">
        <w:t xml:space="preserve">with the consent and for the benefit of the local communities that live </w:t>
      </w:r>
      <w:r w:rsidR="00335296">
        <w:t xml:space="preserve">amid </w:t>
      </w:r>
      <w:r w:rsidR="0027082D">
        <w:t xml:space="preserve">the heritage. </w:t>
      </w:r>
      <w:r>
        <w:t>Too much of the rhetoric surrounding recent destruction during conflict, as in Syria, Iraq</w:t>
      </w:r>
      <w:r w:rsidR="008457B5">
        <w:t>,</w:t>
      </w:r>
      <w:r>
        <w:t xml:space="preserve"> and Mali, demonstrates a top-down approach by </w:t>
      </w:r>
      <w:r w:rsidR="001B1D46">
        <w:t>IGOs</w:t>
      </w:r>
      <w:r>
        <w:t xml:space="preserve">, while at the same time these organizations </w:t>
      </w:r>
      <w:r w:rsidR="009244B8">
        <w:t xml:space="preserve">have </w:t>
      </w:r>
      <w:r>
        <w:t xml:space="preserve">limited the assistance they </w:t>
      </w:r>
      <w:r w:rsidR="00977407">
        <w:t>a</w:t>
      </w:r>
      <w:r>
        <w:t xml:space="preserve">re willing to </w:t>
      </w:r>
      <w:r w:rsidR="001B1D46">
        <w:t xml:space="preserve">provide </w:t>
      </w:r>
      <w:r>
        <w:t xml:space="preserve">because of </w:t>
      </w:r>
      <w:r w:rsidR="00462CB8">
        <w:t xml:space="preserve">political pressure from member states over </w:t>
      </w:r>
      <w:r w:rsidR="006F2CEB">
        <w:t>the role of non</w:t>
      </w:r>
      <w:r w:rsidR="00C264E0">
        <w:t>s</w:t>
      </w:r>
      <w:r w:rsidR="006F2CEB">
        <w:t xml:space="preserve">tate </w:t>
      </w:r>
      <w:r w:rsidR="001B1D46">
        <w:t>armed groups</w:t>
      </w:r>
      <w:r>
        <w:t>.</w:t>
      </w:r>
    </w:p>
    <w:p w14:paraId="6FA56D6C" w14:textId="48AD1BC1" w:rsidR="0077780E" w:rsidRDefault="0077780E" w:rsidP="004D55E5">
      <w:pPr>
        <w:spacing w:line="480" w:lineRule="auto"/>
        <w:ind w:firstLine="720"/>
      </w:pPr>
      <w:r>
        <w:t>The threat</w:t>
      </w:r>
      <w:r w:rsidR="006F2CEB">
        <w:t>s</w:t>
      </w:r>
      <w:r>
        <w:t xml:space="preserve"> </w:t>
      </w:r>
      <w:r w:rsidR="006F2CEB">
        <w:t>posed by</w:t>
      </w:r>
      <w:r>
        <w:t xml:space="preserve"> </w:t>
      </w:r>
      <w:r w:rsidR="002E6A30">
        <w:t>such groups</w:t>
      </w:r>
      <w:r w:rsidR="009F35FF">
        <w:t xml:space="preserve"> </w:t>
      </w:r>
      <w:r w:rsidR="006F2CEB">
        <w:t>constitute</w:t>
      </w:r>
      <w:r>
        <w:t xml:space="preserve"> one of the most significant obstacles faced by </w:t>
      </w:r>
      <w:r w:rsidR="002E01FF">
        <w:t xml:space="preserve">international humanitarian law. </w:t>
      </w:r>
      <w:r w:rsidR="00325C66">
        <w:t>C</w:t>
      </w:r>
      <w:r w:rsidR="002E01FF">
        <w:t xml:space="preserve">onflicts are </w:t>
      </w:r>
      <w:r w:rsidR="00325C66">
        <w:t xml:space="preserve">increasingly </w:t>
      </w:r>
      <w:r w:rsidR="002E01FF">
        <w:t xml:space="preserve">conducted between </w:t>
      </w:r>
      <w:r w:rsidR="009F35FF">
        <w:t xml:space="preserve">different </w:t>
      </w:r>
      <w:r w:rsidR="002E01FF">
        <w:t>non</w:t>
      </w:r>
      <w:r w:rsidR="00C264E0">
        <w:t>s</w:t>
      </w:r>
      <w:r w:rsidR="002E01FF">
        <w:t xml:space="preserve">tate </w:t>
      </w:r>
      <w:r w:rsidR="009F35FF">
        <w:t xml:space="preserve">armed groups, or between them </w:t>
      </w:r>
      <w:r w:rsidR="002E01FF">
        <w:t xml:space="preserve">and </w:t>
      </w:r>
      <w:r w:rsidR="00C264E0">
        <w:t>state</w:t>
      </w:r>
      <w:r w:rsidR="002E01FF">
        <w:t xml:space="preserve">s. </w:t>
      </w:r>
      <w:r w:rsidR="00325C66">
        <w:t>T</w:t>
      </w:r>
      <w:r w:rsidR="002E01FF">
        <w:t xml:space="preserve">he </w:t>
      </w:r>
      <w:r w:rsidR="00BE6111">
        <w:t xml:space="preserve">1899 and 1907 </w:t>
      </w:r>
      <w:r w:rsidR="002E01FF">
        <w:t xml:space="preserve">Hague </w:t>
      </w:r>
      <w:r w:rsidR="00AB2622">
        <w:t>c</w:t>
      </w:r>
      <w:r w:rsidR="002E01FF">
        <w:t xml:space="preserve">onventions and </w:t>
      </w:r>
      <w:r w:rsidR="005C426E">
        <w:t>r</w:t>
      </w:r>
      <w:r w:rsidR="002E01FF">
        <w:t>egulations on the conduct of warfare</w:t>
      </w:r>
      <w:r w:rsidR="009F35FF">
        <w:rPr>
          <w:rStyle w:val="EndnoteReference"/>
        </w:rPr>
        <w:endnoteReference w:id="73"/>
      </w:r>
      <w:r w:rsidR="002E01FF">
        <w:t xml:space="preserve"> </w:t>
      </w:r>
      <w:r w:rsidR="00325C66">
        <w:t>did not recognize the role of non</w:t>
      </w:r>
      <w:r w:rsidR="00C264E0">
        <w:t>s</w:t>
      </w:r>
      <w:r w:rsidR="00325C66">
        <w:t xml:space="preserve">tate </w:t>
      </w:r>
      <w:r w:rsidR="00AB2622">
        <w:t xml:space="preserve">armed groups </w:t>
      </w:r>
      <w:r w:rsidR="00325C66">
        <w:t>for historical and geopolitical reasons</w:t>
      </w:r>
      <w:r w:rsidR="002E01FF">
        <w:t xml:space="preserve">. </w:t>
      </w:r>
      <w:r w:rsidR="00BE6111">
        <w:t xml:space="preserve">Some of the difficulties posed by </w:t>
      </w:r>
      <w:r w:rsidR="00E14E86">
        <w:t xml:space="preserve">legal instruments and their interpretation as applied to </w:t>
      </w:r>
      <w:r w:rsidR="00BE6111">
        <w:t>non-international armed conflict and non</w:t>
      </w:r>
      <w:r w:rsidR="00C264E0">
        <w:t>s</w:t>
      </w:r>
      <w:r w:rsidR="00BE6111">
        <w:t xml:space="preserve">tate </w:t>
      </w:r>
      <w:r w:rsidR="00792D11">
        <w:t xml:space="preserve">armed groups </w:t>
      </w:r>
      <w:r w:rsidR="00BE6111">
        <w:t xml:space="preserve">have remained as “artifacts” of these earlier conventions, in particular with respect to the definition of </w:t>
      </w:r>
      <w:r w:rsidR="00BE6111">
        <w:lastRenderedPageBreak/>
        <w:t>“occupied territory</w:t>
      </w:r>
      <w:r w:rsidR="00CE1DE8">
        <w:t>,</w:t>
      </w:r>
      <w:r w:rsidR="00BE6111">
        <w:t xml:space="preserve">” a key term in the 1954 Hague Convention and its two </w:t>
      </w:r>
      <w:r w:rsidR="001B4C44">
        <w:t>p</w:t>
      </w:r>
      <w:r w:rsidR="00BE6111">
        <w:t>rotocols. However, n</w:t>
      </w:r>
      <w:r w:rsidR="002E01FF">
        <w:t>ow, more than a hundred years later, there is a growing recognition that non</w:t>
      </w:r>
      <w:r w:rsidR="00C264E0">
        <w:t>s</w:t>
      </w:r>
      <w:r w:rsidR="002E01FF">
        <w:t xml:space="preserve">tate </w:t>
      </w:r>
      <w:r w:rsidR="001B4C44">
        <w:t xml:space="preserve">armed groups </w:t>
      </w:r>
      <w:r w:rsidR="002E01FF">
        <w:t>must be subjected to the</w:t>
      </w:r>
      <w:r w:rsidR="00C51645">
        <w:t xml:space="preserve"> same</w:t>
      </w:r>
      <w:r w:rsidR="002E01FF">
        <w:t xml:space="preserve"> </w:t>
      </w:r>
      <w:r w:rsidR="00596E59">
        <w:t xml:space="preserve">international legal </w:t>
      </w:r>
      <w:r w:rsidR="002A5F9D">
        <w:t xml:space="preserve">obligations </w:t>
      </w:r>
      <w:r w:rsidR="00C51645">
        <w:t xml:space="preserve">as </w:t>
      </w:r>
      <w:r w:rsidR="00C264E0">
        <w:t>state</w:t>
      </w:r>
      <w:r w:rsidR="00C51645">
        <w:t xml:space="preserve">s </w:t>
      </w:r>
      <w:r w:rsidR="002E01FF">
        <w:t xml:space="preserve">and </w:t>
      </w:r>
      <w:r w:rsidR="00C51645">
        <w:t xml:space="preserve">they </w:t>
      </w:r>
      <w:r w:rsidR="002E01FF">
        <w:t xml:space="preserve">must be punished when they fail to </w:t>
      </w:r>
      <w:r w:rsidR="00596E59">
        <w:t>comply</w:t>
      </w:r>
      <w:r w:rsidR="002E01FF">
        <w:t xml:space="preserve">. Most recent conventions, beginning with the 1954 Hague Convention, </w:t>
      </w:r>
      <w:r w:rsidR="00325C66">
        <w:t>im</w:t>
      </w:r>
      <w:r w:rsidR="002E01FF">
        <w:t>plicit</w:t>
      </w:r>
      <w:r w:rsidR="00325C66">
        <w:t>ly</w:t>
      </w:r>
      <w:r w:rsidR="002E01FF">
        <w:t xml:space="preserve"> recogni</w:t>
      </w:r>
      <w:r w:rsidR="00325C66">
        <w:t>ze</w:t>
      </w:r>
      <w:r w:rsidR="002E01FF">
        <w:t xml:space="preserve"> the role of non</w:t>
      </w:r>
      <w:r w:rsidR="00C264E0">
        <w:t>s</w:t>
      </w:r>
      <w:r w:rsidR="002E01FF">
        <w:t xml:space="preserve">tate </w:t>
      </w:r>
      <w:r w:rsidR="00327106">
        <w:t xml:space="preserve">armed groups </w:t>
      </w:r>
      <w:r w:rsidR="002E01FF">
        <w:t xml:space="preserve">through the </w:t>
      </w:r>
      <w:r w:rsidR="00325C66">
        <w:t>explicit application of their provisions to</w:t>
      </w:r>
      <w:r w:rsidR="002E01FF">
        <w:t xml:space="preserve"> non-international armed conflict</w:t>
      </w:r>
      <w:r w:rsidR="00BE6111">
        <w:t>, although perhaps not as extensively as required by current conflicts,</w:t>
      </w:r>
      <w:r w:rsidR="009D656E">
        <w:rPr>
          <w:rStyle w:val="EndnoteReference"/>
        </w:rPr>
        <w:endnoteReference w:id="74"/>
      </w:r>
      <w:r w:rsidR="002E01FF">
        <w:t xml:space="preserve"> and recent prosecutions by the ICC reflect that recognition.</w:t>
      </w:r>
    </w:p>
    <w:p w14:paraId="168E14FF" w14:textId="352CE139" w:rsidR="0054020D" w:rsidRDefault="0027082D" w:rsidP="004D55E5">
      <w:pPr>
        <w:spacing w:line="480" w:lineRule="auto"/>
        <w:ind w:firstLine="720"/>
      </w:pPr>
      <w:r>
        <w:t xml:space="preserve">As </w:t>
      </w:r>
      <w:r w:rsidR="009A11D6" w:rsidRPr="009A11D6">
        <w:t>Fatou Bensouda</w:t>
      </w:r>
      <w:r w:rsidR="009A11D6">
        <w:t xml:space="preserve">, </w:t>
      </w:r>
      <w:r>
        <w:t xml:space="preserve">the </w:t>
      </w:r>
      <w:r w:rsidR="009A11D6">
        <w:t xml:space="preserve">ICC </w:t>
      </w:r>
      <w:r w:rsidR="00327106">
        <w:t>chief p</w:t>
      </w:r>
      <w:r>
        <w:t xml:space="preserve">rosecutor </w:t>
      </w:r>
      <w:r w:rsidR="009A11D6">
        <w:t xml:space="preserve">at the time, </w:t>
      </w:r>
      <w:r>
        <w:t xml:space="preserve">stated in the </w:t>
      </w:r>
      <w:r w:rsidR="008D000E">
        <w:rPr>
          <w:i/>
          <w:iCs/>
        </w:rPr>
        <w:t>A</w:t>
      </w:r>
      <w:r w:rsidRPr="00DD3AED">
        <w:rPr>
          <w:i/>
          <w:iCs/>
        </w:rPr>
        <w:t>l</w:t>
      </w:r>
      <w:r w:rsidR="008D000E">
        <w:rPr>
          <w:i/>
          <w:iCs/>
        </w:rPr>
        <w:t xml:space="preserve"> </w:t>
      </w:r>
      <w:r w:rsidRPr="00DD3AED">
        <w:rPr>
          <w:i/>
          <w:iCs/>
        </w:rPr>
        <w:t>Mahdi</w:t>
      </w:r>
      <w:r>
        <w:t xml:space="preserve"> case</w:t>
      </w:r>
      <w:r>
        <w:rPr>
          <w:rStyle w:val="EndnoteReference"/>
        </w:rPr>
        <w:endnoteReference w:id="75"/>
      </w:r>
      <w:r>
        <w:t xml:space="preserve"> and was reiterated in the assessment of reparations for the destruction in Timbuktu,</w:t>
      </w:r>
      <w:r>
        <w:rPr>
          <w:rStyle w:val="EndnoteReference"/>
        </w:rPr>
        <w:endnoteReference w:id="76"/>
      </w:r>
      <w:r>
        <w:t xml:space="preserve"> </w:t>
      </w:r>
      <w:r w:rsidR="001432C4">
        <w:t xml:space="preserve">the impact of cultural heritage destruction must be evaluated </w:t>
      </w:r>
      <w:r w:rsidR="00D60243">
        <w:t>from</w:t>
      </w:r>
      <w:r w:rsidR="001432C4">
        <w:t xml:space="preserve"> the local, regional, national, and international perspectives. While international conventions and overarching legal principles benefit the international community and, for the most part, we tend to universalize the value of our shared global heritage, the local community must also participate in </w:t>
      </w:r>
      <w:r w:rsidR="00520268">
        <w:t xml:space="preserve">and derive benefit from </w:t>
      </w:r>
      <w:r w:rsidR="001432C4">
        <w:t>the protection of this heritage</w:t>
      </w:r>
      <w:r w:rsidR="005B406B">
        <w:t xml:space="preserve"> if the goal of preservation is to be achieved</w:t>
      </w:r>
      <w:r w:rsidR="001432C4">
        <w:t>.</w:t>
      </w:r>
      <w:r w:rsidR="005B406B">
        <w:t xml:space="preserve"> Only such a multifaceted approach is likely to succeed.</w:t>
      </w:r>
    </w:p>
    <w:p w14:paraId="1A23A3BF" w14:textId="0CCE8DDE" w:rsidR="005A38A1" w:rsidRDefault="005A38A1" w:rsidP="00411A3C">
      <w:pPr>
        <w:spacing w:line="480" w:lineRule="auto"/>
      </w:pPr>
    </w:p>
    <w:p w14:paraId="6B253E4F" w14:textId="0ED4538A" w:rsidR="00411A3C" w:rsidRDefault="00411A3C" w:rsidP="00411A3C">
      <w:pPr>
        <w:spacing w:line="480" w:lineRule="auto"/>
      </w:pPr>
    </w:p>
    <w:p w14:paraId="3E2514A7" w14:textId="15C928BE" w:rsidR="00411A3C" w:rsidRDefault="00411A3C" w:rsidP="00353FB5">
      <w:pPr>
        <w:pStyle w:val="Heading2"/>
      </w:pPr>
      <w:r>
        <w:t>Suggested Readings</w:t>
      </w:r>
    </w:p>
    <w:p w14:paraId="2F962E8D" w14:textId="0C5FF54E" w:rsidR="00411A3C" w:rsidRDefault="00411A3C" w:rsidP="00353FB5">
      <w:pPr>
        <w:spacing w:line="480" w:lineRule="auto"/>
      </w:pPr>
      <w:r>
        <w:t xml:space="preserve">Kevin Chamberlain, </w:t>
      </w:r>
      <w:r>
        <w:rPr>
          <w:i/>
          <w:iCs/>
        </w:rPr>
        <w:t xml:space="preserve">War and Cultural Heritage: A Commentary on the Hague Convention 1954 and </w:t>
      </w:r>
      <w:r w:rsidR="00E84E15">
        <w:rPr>
          <w:i/>
          <w:iCs/>
        </w:rPr>
        <w:t>I</w:t>
      </w:r>
      <w:r>
        <w:rPr>
          <w:i/>
          <w:iCs/>
        </w:rPr>
        <w:t>ts Two Protocols</w:t>
      </w:r>
      <w:r w:rsidR="00E84E15">
        <w:t>, 2nd ed.</w:t>
      </w:r>
      <w:r>
        <w:rPr>
          <w:i/>
          <w:iCs/>
        </w:rPr>
        <w:t xml:space="preserve"> </w:t>
      </w:r>
      <w:r>
        <w:t>(Builth Wells, UK: Institute of Art and Law, 2013)</w:t>
      </w:r>
      <w:r w:rsidR="00E84E15">
        <w:t>.</w:t>
      </w:r>
    </w:p>
    <w:p w14:paraId="53103BCF" w14:textId="77777777" w:rsidR="00E30F69" w:rsidRDefault="00E30F69" w:rsidP="00353FB5">
      <w:pPr>
        <w:spacing w:line="480" w:lineRule="auto"/>
      </w:pPr>
    </w:p>
    <w:p w14:paraId="2F84A693" w14:textId="3CB3EAA2" w:rsidR="00411A3C" w:rsidRDefault="00411A3C" w:rsidP="00353FB5">
      <w:pPr>
        <w:spacing w:line="480" w:lineRule="auto"/>
      </w:pPr>
      <w:r w:rsidRPr="002A7A46">
        <w:t xml:space="preserve">Francesco Francioni, </w:t>
      </w:r>
      <w:r w:rsidR="00E30F69">
        <w:t>“</w:t>
      </w:r>
      <w:r w:rsidRPr="002A7A46">
        <w:t>Beyond State Sovereignty: The Protection of Cultural Heritage as a Shared Interest of Humanity,</w:t>
      </w:r>
      <w:r w:rsidR="00E30F69">
        <w:t>”</w:t>
      </w:r>
      <w:r w:rsidRPr="002A7A46">
        <w:t xml:space="preserve"> </w:t>
      </w:r>
      <w:r w:rsidRPr="002A7A46">
        <w:rPr>
          <w:i/>
          <w:iCs/>
        </w:rPr>
        <w:t>Michigan Journal of International Law</w:t>
      </w:r>
      <w:r w:rsidRPr="002A7A46">
        <w:t xml:space="preserve"> </w:t>
      </w:r>
      <w:r>
        <w:t xml:space="preserve">25 </w:t>
      </w:r>
      <w:r w:rsidRPr="002A7A46">
        <w:t>(2004): 1209</w:t>
      </w:r>
      <w:r>
        <w:t>–28</w:t>
      </w:r>
      <w:r w:rsidR="00E30F69">
        <w:t>.</w:t>
      </w:r>
    </w:p>
    <w:p w14:paraId="5C875C90" w14:textId="77777777" w:rsidR="00E30F69" w:rsidRDefault="00E30F69" w:rsidP="00353FB5">
      <w:pPr>
        <w:spacing w:line="480" w:lineRule="auto"/>
      </w:pPr>
    </w:p>
    <w:p w14:paraId="0EF71698" w14:textId="695B51D9" w:rsidR="00411A3C" w:rsidRDefault="00411A3C" w:rsidP="00353FB5">
      <w:pPr>
        <w:spacing w:line="480" w:lineRule="auto"/>
      </w:pPr>
      <w:r>
        <w:lastRenderedPageBreak/>
        <w:t xml:space="preserve">Patty Gerstenblith, </w:t>
      </w:r>
      <w:r w:rsidR="00C56FC7">
        <w:t>“</w:t>
      </w:r>
      <w:r w:rsidRPr="00D22ADA">
        <w:rPr>
          <w:iCs/>
        </w:rPr>
        <w:t>The Destruction of Cultural Heritage: A Crime against Property or a Crime</w:t>
      </w:r>
      <w:r>
        <w:rPr>
          <w:iCs/>
        </w:rPr>
        <w:t xml:space="preserve"> </w:t>
      </w:r>
      <w:r w:rsidRPr="00D22ADA">
        <w:rPr>
          <w:iCs/>
        </w:rPr>
        <w:t>against People?</w:t>
      </w:r>
      <w:r>
        <w:rPr>
          <w:iCs/>
        </w:rPr>
        <w:t>’</w:t>
      </w:r>
      <w:r w:rsidRPr="00866006">
        <w:rPr>
          <w:iCs/>
        </w:rPr>
        <w:t xml:space="preserve"> </w:t>
      </w:r>
      <w:r w:rsidRPr="00294589">
        <w:rPr>
          <w:i/>
          <w:iCs/>
        </w:rPr>
        <w:t>John Marshall Rev</w:t>
      </w:r>
      <w:r w:rsidR="00C56FC7">
        <w:rPr>
          <w:i/>
          <w:iCs/>
        </w:rPr>
        <w:t>iew</w:t>
      </w:r>
      <w:r w:rsidRPr="00294589">
        <w:rPr>
          <w:i/>
          <w:iCs/>
        </w:rPr>
        <w:t xml:space="preserve"> </w:t>
      </w:r>
      <w:r w:rsidR="00C56FC7">
        <w:rPr>
          <w:i/>
          <w:iCs/>
        </w:rPr>
        <w:t xml:space="preserve">of </w:t>
      </w:r>
      <w:r w:rsidRPr="00294589">
        <w:rPr>
          <w:i/>
          <w:iCs/>
        </w:rPr>
        <w:t>Intell</w:t>
      </w:r>
      <w:r w:rsidR="00C56FC7">
        <w:rPr>
          <w:i/>
          <w:iCs/>
        </w:rPr>
        <w:t>ectual</w:t>
      </w:r>
      <w:r w:rsidRPr="00294589">
        <w:rPr>
          <w:i/>
          <w:iCs/>
        </w:rPr>
        <w:t xml:space="preserve"> Prop</w:t>
      </w:r>
      <w:r w:rsidR="00C56FC7">
        <w:rPr>
          <w:i/>
          <w:iCs/>
        </w:rPr>
        <w:t>erty</w:t>
      </w:r>
      <w:r w:rsidRPr="00294589">
        <w:rPr>
          <w:i/>
          <w:iCs/>
        </w:rPr>
        <w:t xml:space="preserve"> L</w:t>
      </w:r>
      <w:r w:rsidR="00C56FC7" w:rsidRPr="00353FB5">
        <w:rPr>
          <w:i/>
        </w:rPr>
        <w:t>aw</w:t>
      </w:r>
      <w:r>
        <w:rPr>
          <w:iCs/>
        </w:rPr>
        <w:t xml:space="preserve"> 15 (2016) 336–93</w:t>
      </w:r>
      <w:r w:rsidR="00C56FC7">
        <w:rPr>
          <w:iCs/>
        </w:rPr>
        <w:t>.</w:t>
      </w:r>
    </w:p>
    <w:p w14:paraId="393FC231" w14:textId="77777777" w:rsidR="00E30F69" w:rsidRDefault="00E30F69" w:rsidP="00353FB5">
      <w:pPr>
        <w:spacing w:line="480" w:lineRule="auto"/>
      </w:pPr>
    </w:p>
    <w:p w14:paraId="382A79BF" w14:textId="236479E5" w:rsidR="00411A3C" w:rsidRDefault="00411A3C" w:rsidP="00353FB5">
      <w:pPr>
        <w:spacing w:line="480" w:lineRule="auto"/>
      </w:pPr>
      <w:r w:rsidRPr="002A7A46">
        <w:t xml:space="preserve">Federico Lenzerini, </w:t>
      </w:r>
      <w:r w:rsidR="00082A54">
        <w:t>“</w:t>
      </w:r>
      <w:r w:rsidRPr="002A7A46">
        <w:t>Terrorism, Conflicts and the Responsibility to Protect Cultural Heritage,</w:t>
      </w:r>
      <w:r w:rsidR="00082A54">
        <w:t>”</w:t>
      </w:r>
      <w:r w:rsidRPr="002A7A46">
        <w:t xml:space="preserve"> </w:t>
      </w:r>
      <w:r w:rsidRPr="002A7A46">
        <w:rPr>
          <w:i/>
          <w:iCs/>
        </w:rPr>
        <w:t>International Spectator</w:t>
      </w:r>
      <w:r w:rsidRPr="002A7A46">
        <w:t xml:space="preserve"> 51</w:t>
      </w:r>
      <w:r w:rsidR="00082A54">
        <w:t>,</w:t>
      </w:r>
      <w:r w:rsidRPr="002A7A46">
        <w:t xml:space="preserve"> no</w:t>
      </w:r>
      <w:r w:rsidR="00082A54">
        <w:t>.</w:t>
      </w:r>
      <w:r w:rsidRPr="002A7A46">
        <w:t xml:space="preserve"> 2 (2016): 70</w:t>
      </w:r>
      <w:r>
        <w:t>–</w:t>
      </w:r>
      <w:r w:rsidRPr="002A7A46">
        <w:t>85</w:t>
      </w:r>
      <w:r w:rsidR="00082A54">
        <w:t>.</w:t>
      </w:r>
    </w:p>
    <w:p w14:paraId="3AB13D13" w14:textId="77777777" w:rsidR="00E30F69" w:rsidRDefault="00E30F69" w:rsidP="00353FB5">
      <w:pPr>
        <w:spacing w:line="480" w:lineRule="auto"/>
      </w:pPr>
    </w:p>
    <w:p w14:paraId="508D5486" w14:textId="6FE5D8EF" w:rsidR="00411A3C" w:rsidRDefault="00411A3C" w:rsidP="00353FB5">
      <w:pPr>
        <w:spacing w:line="480" w:lineRule="auto"/>
      </w:pPr>
      <w:r w:rsidRPr="002A7A46">
        <w:t xml:space="preserve">Polina Levina Mahnad, </w:t>
      </w:r>
      <w:r w:rsidR="00A55DDE">
        <w:t>“</w:t>
      </w:r>
      <w:r w:rsidRPr="002A7A46">
        <w:t>Protecting Cultural Property in Syria: New Opportunities for States to Enhance Compliance with International Law?</w:t>
      </w:r>
      <w:r w:rsidR="00A55DDE">
        <w:t>”</w:t>
      </w:r>
      <w:r w:rsidRPr="002A7A46">
        <w:t xml:space="preserve"> </w:t>
      </w:r>
      <w:r w:rsidRPr="002A7A46">
        <w:rPr>
          <w:i/>
          <w:iCs/>
        </w:rPr>
        <w:t>Int</w:t>
      </w:r>
      <w:r w:rsidR="00A55DDE">
        <w:rPr>
          <w:i/>
          <w:iCs/>
        </w:rPr>
        <w:t>ernational</w:t>
      </w:r>
      <w:r w:rsidRPr="002A7A46">
        <w:rPr>
          <w:i/>
          <w:iCs/>
        </w:rPr>
        <w:t xml:space="preserve"> Review of the Red Cross</w:t>
      </w:r>
      <w:r w:rsidRPr="002A7A46">
        <w:t xml:space="preserve"> 99 (2019): 1037</w:t>
      </w:r>
      <w:r>
        <w:t>–</w:t>
      </w:r>
      <w:r w:rsidRPr="002A7A46">
        <w:t>74</w:t>
      </w:r>
      <w:r w:rsidR="00A55DDE">
        <w:t>.</w:t>
      </w:r>
    </w:p>
    <w:p w14:paraId="543A034D" w14:textId="77777777" w:rsidR="00E30F69" w:rsidRDefault="00E30F69" w:rsidP="00353FB5">
      <w:pPr>
        <w:spacing w:line="480" w:lineRule="auto"/>
      </w:pPr>
    </w:p>
    <w:p w14:paraId="58F0851A" w14:textId="6B77090D" w:rsidR="00411A3C" w:rsidRDefault="00411A3C" w:rsidP="00353FB5">
      <w:pPr>
        <w:spacing w:line="480" w:lineRule="auto"/>
      </w:pPr>
      <w:r w:rsidRPr="002A7A46">
        <w:t xml:space="preserve">Stephennie Mulder, </w:t>
      </w:r>
      <w:r w:rsidR="006870F3">
        <w:t>“</w:t>
      </w:r>
      <w:r w:rsidRPr="002A7A46">
        <w:t>Imagining Localities of Antiquity in Islamic Societies,</w:t>
      </w:r>
      <w:r w:rsidR="006870F3">
        <w:t>”</w:t>
      </w:r>
      <w:r w:rsidRPr="002A7A46">
        <w:t xml:space="preserve"> </w:t>
      </w:r>
      <w:r w:rsidRPr="002A7A46">
        <w:rPr>
          <w:i/>
          <w:iCs/>
        </w:rPr>
        <w:t>I</w:t>
      </w:r>
      <w:r w:rsidRPr="002A7A46">
        <w:rPr>
          <w:i/>
        </w:rPr>
        <w:t>nternational Journal of Islamic Architecture</w:t>
      </w:r>
      <w:r w:rsidRPr="002A7A46">
        <w:t xml:space="preserve"> 6</w:t>
      </w:r>
      <w:r w:rsidR="006870F3">
        <w:t>, no. 2</w:t>
      </w:r>
      <w:r w:rsidRPr="002A7A46">
        <w:t xml:space="preserve"> (2017): 229</w:t>
      </w:r>
      <w:r w:rsidR="006870F3">
        <w:t>–54.</w:t>
      </w:r>
    </w:p>
    <w:p w14:paraId="018A1256" w14:textId="77777777" w:rsidR="00E30F69" w:rsidRDefault="00E30F69" w:rsidP="00353FB5">
      <w:pPr>
        <w:spacing w:line="480" w:lineRule="auto"/>
      </w:pPr>
    </w:p>
    <w:p w14:paraId="1E2F09EB" w14:textId="39BC5062" w:rsidR="00411A3C" w:rsidRDefault="00411A3C" w:rsidP="00353FB5">
      <w:pPr>
        <w:spacing w:line="480" w:lineRule="auto"/>
      </w:pPr>
      <w:r w:rsidRPr="002A7A46">
        <w:t xml:space="preserve">Joseph L. Sax, </w:t>
      </w:r>
      <w:r w:rsidR="00C71BF0">
        <w:t>“</w:t>
      </w:r>
      <w:r w:rsidRPr="002A7A46">
        <w:rPr>
          <w:iCs/>
        </w:rPr>
        <w:t>Heritage Preservation as a Public Duty: The Abbé Grégoire and the Origins of an Idea</w:t>
      </w:r>
      <w:r w:rsidR="00C71BF0">
        <w:t>,”</w:t>
      </w:r>
      <w:r w:rsidRPr="002A7A46">
        <w:t xml:space="preserve"> </w:t>
      </w:r>
      <w:r w:rsidRPr="002A7A46">
        <w:rPr>
          <w:i/>
          <w:iCs/>
        </w:rPr>
        <w:t>Mich</w:t>
      </w:r>
      <w:r w:rsidR="00C71BF0">
        <w:rPr>
          <w:i/>
          <w:iCs/>
        </w:rPr>
        <w:t>igan</w:t>
      </w:r>
      <w:r w:rsidRPr="002A7A46">
        <w:rPr>
          <w:i/>
          <w:iCs/>
        </w:rPr>
        <w:t xml:space="preserve"> L</w:t>
      </w:r>
      <w:r w:rsidR="00C71BF0">
        <w:rPr>
          <w:i/>
          <w:iCs/>
        </w:rPr>
        <w:t>aw</w:t>
      </w:r>
      <w:r w:rsidRPr="002A7A46">
        <w:rPr>
          <w:i/>
          <w:iCs/>
        </w:rPr>
        <w:t xml:space="preserve"> Rev</w:t>
      </w:r>
      <w:r w:rsidR="00C71BF0">
        <w:rPr>
          <w:i/>
          <w:iCs/>
        </w:rPr>
        <w:t>iew</w:t>
      </w:r>
      <w:r w:rsidRPr="002A7A46">
        <w:t xml:space="preserve"> </w:t>
      </w:r>
      <w:r w:rsidR="00C71BF0">
        <w:t xml:space="preserve">88 </w:t>
      </w:r>
      <w:r w:rsidRPr="002A7A46">
        <w:t>(1989</w:t>
      </w:r>
      <w:r>
        <w:t>–</w:t>
      </w:r>
      <w:r w:rsidRPr="002A7A46">
        <w:t>90): 1142</w:t>
      </w:r>
      <w:r w:rsidR="009100E9">
        <w:t>–69</w:t>
      </w:r>
      <w:r w:rsidR="00C71BF0">
        <w:t>.</w:t>
      </w:r>
    </w:p>
    <w:p w14:paraId="02958BE9" w14:textId="22D7EACA" w:rsidR="00411A3C" w:rsidRDefault="00411A3C" w:rsidP="00411A3C">
      <w:pPr>
        <w:spacing w:line="480" w:lineRule="auto"/>
      </w:pPr>
    </w:p>
    <w:p w14:paraId="5056FD55" w14:textId="77777777" w:rsidR="00411A3C" w:rsidRPr="009F70C2" w:rsidRDefault="00411A3C" w:rsidP="00353FB5">
      <w:pPr>
        <w:spacing w:line="480" w:lineRule="auto"/>
      </w:pPr>
    </w:p>
    <w:sectPr w:rsidR="00411A3C" w:rsidRPr="009F70C2" w:rsidSect="00AA3C9B">
      <w:footerReference w:type="even" r:id="rId9"/>
      <w:footerReference w:type="default" r:id="rId1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3DD5E" w14:textId="77777777" w:rsidR="00E85891" w:rsidRDefault="00E85891" w:rsidP="007306C5">
      <w:r>
        <w:separator/>
      </w:r>
    </w:p>
  </w:endnote>
  <w:endnote w:type="continuationSeparator" w:id="0">
    <w:p w14:paraId="2928B43B" w14:textId="77777777" w:rsidR="00E85891" w:rsidRDefault="00E85891" w:rsidP="007306C5">
      <w:r>
        <w:continuationSeparator/>
      </w:r>
    </w:p>
  </w:endnote>
  <w:endnote w:id="1">
    <w:p w14:paraId="6B9F7EC8" w14:textId="0DBE690C" w:rsidR="00D607A0" w:rsidRPr="00353FB5" w:rsidRDefault="00D607A0" w:rsidP="009F35FF">
      <w:pPr>
        <w:pStyle w:val="EndnoteText"/>
        <w:spacing w:line="480" w:lineRule="auto"/>
        <w:rPr>
          <w:sz w:val="24"/>
          <w:szCs w:val="24"/>
        </w:rPr>
      </w:pPr>
      <w:r w:rsidRPr="00353FB5">
        <w:rPr>
          <w:rStyle w:val="EndnoteReference"/>
          <w:sz w:val="24"/>
          <w:szCs w:val="24"/>
        </w:rPr>
        <w:endnoteRef/>
      </w:r>
      <w:r w:rsidRPr="00353FB5">
        <w:rPr>
          <w:sz w:val="24"/>
          <w:szCs w:val="24"/>
        </w:rPr>
        <w:t xml:space="preserve"> </w:t>
      </w:r>
      <w:r w:rsidRPr="002E20D7">
        <w:rPr>
          <w:sz w:val="24"/>
          <w:szCs w:val="24"/>
        </w:rPr>
        <w:t xml:space="preserve">Karima Bennoune, </w:t>
      </w:r>
      <w:r w:rsidRPr="00353FB5">
        <w:rPr>
          <w:i/>
          <w:iCs/>
          <w:sz w:val="24"/>
          <w:szCs w:val="24"/>
        </w:rPr>
        <w:t xml:space="preserve">Report of the Special Rapporteur in the </w:t>
      </w:r>
      <w:r w:rsidR="0074646F" w:rsidRPr="00353FB5">
        <w:rPr>
          <w:i/>
          <w:iCs/>
          <w:sz w:val="24"/>
          <w:szCs w:val="24"/>
        </w:rPr>
        <w:t>F</w:t>
      </w:r>
      <w:r w:rsidRPr="00353FB5">
        <w:rPr>
          <w:i/>
          <w:iCs/>
          <w:sz w:val="24"/>
          <w:szCs w:val="24"/>
        </w:rPr>
        <w:t xml:space="preserve">ield of </w:t>
      </w:r>
      <w:r w:rsidR="0074646F" w:rsidRPr="00353FB5">
        <w:rPr>
          <w:i/>
          <w:iCs/>
          <w:sz w:val="24"/>
          <w:szCs w:val="24"/>
        </w:rPr>
        <w:t>C</w:t>
      </w:r>
      <w:r w:rsidRPr="00353FB5">
        <w:rPr>
          <w:i/>
          <w:iCs/>
          <w:sz w:val="24"/>
          <w:szCs w:val="24"/>
        </w:rPr>
        <w:t xml:space="preserve">ultural </w:t>
      </w:r>
      <w:r w:rsidR="0074646F" w:rsidRPr="00353FB5">
        <w:rPr>
          <w:i/>
          <w:iCs/>
          <w:sz w:val="24"/>
          <w:szCs w:val="24"/>
        </w:rPr>
        <w:t>R</w:t>
      </w:r>
      <w:r w:rsidRPr="00353FB5">
        <w:rPr>
          <w:i/>
          <w:iCs/>
          <w:sz w:val="24"/>
          <w:szCs w:val="24"/>
        </w:rPr>
        <w:t>ights</w:t>
      </w:r>
      <w:r w:rsidR="0074646F" w:rsidRPr="002E20D7">
        <w:rPr>
          <w:sz w:val="24"/>
          <w:szCs w:val="24"/>
        </w:rPr>
        <w:t xml:space="preserve">, </w:t>
      </w:r>
      <w:r w:rsidR="00FF659A">
        <w:rPr>
          <w:sz w:val="24"/>
          <w:szCs w:val="24"/>
        </w:rPr>
        <w:t xml:space="preserve">Human Rights Council, </w:t>
      </w:r>
      <w:r w:rsidR="00CA5E4F" w:rsidRPr="002E20D7">
        <w:rPr>
          <w:sz w:val="24"/>
          <w:szCs w:val="24"/>
        </w:rPr>
        <w:t xml:space="preserve">UN doc. A/HRC/31/59, </w:t>
      </w:r>
      <w:r w:rsidRPr="002E20D7">
        <w:rPr>
          <w:sz w:val="24"/>
          <w:szCs w:val="24"/>
        </w:rPr>
        <w:t>3 February 2016</w:t>
      </w:r>
      <w:r w:rsidR="00CA5E4F" w:rsidRPr="002E20D7">
        <w:rPr>
          <w:sz w:val="24"/>
          <w:szCs w:val="24"/>
        </w:rPr>
        <w:t>,</w:t>
      </w:r>
      <w:r w:rsidRPr="002E20D7">
        <w:rPr>
          <w:sz w:val="24"/>
          <w:szCs w:val="24"/>
        </w:rPr>
        <w:t xml:space="preserve"> 5</w:t>
      </w:r>
      <w:r w:rsidRPr="00353FB5">
        <w:rPr>
          <w:sz w:val="24"/>
          <w:szCs w:val="24"/>
        </w:rPr>
        <w:t>.</w:t>
      </w:r>
    </w:p>
  </w:endnote>
  <w:endnote w:id="2">
    <w:p w14:paraId="7EA53F26" w14:textId="1CC8BD7E" w:rsidR="00D607A0" w:rsidRPr="002E20D7" w:rsidRDefault="00D607A0"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731E69" w:rsidRPr="002E20D7">
        <w:rPr>
          <w:sz w:val="24"/>
          <w:szCs w:val="24"/>
        </w:rPr>
        <w:t xml:space="preserve">Lucas Lixinski, </w:t>
      </w:r>
      <w:r w:rsidR="00731E69" w:rsidRPr="002E20D7">
        <w:rPr>
          <w:i/>
          <w:iCs/>
          <w:sz w:val="24"/>
          <w:szCs w:val="24"/>
        </w:rPr>
        <w:t>International Heritage Law for Communities: Exclusion and Re-imagination</w:t>
      </w:r>
      <w:r w:rsidR="00731E69" w:rsidRPr="002E20D7">
        <w:rPr>
          <w:sz w:val="24"/>
          <w:szCs w:val="24"/>
        </w:rPr>
        <w:t xml:space="preserve"> (Oxford</w:t>
      </w:r>
      <w:r w:rsidR="00390957" w:rsidRPr="002E20D7">
        <w:rPr>
          <w:sz w:val="24"/>
          <w:szCs w:val="24"/>
        </w:rPr>
        <w:t>:</w:t>
      </w:r>
      <w:r w:rsidR="00731E69" w:rsidRPr="002E20D7">
        <w:rPr>
          <w:sz w:val="24"/>
          <w:szCs w:val="24"/>
        </w:rPr>
        <w:t xml:space="preserve"> Oxford University Press</w:t>
      </w:r>
      <w:r w:rsidR="00390957" w:rsidRPr="002E20D7">
        <w:rPr>
          <w:sz w:val="24"/>
          <w:szCs w:val="24"/>
        </w:rPr>
        <w:t>,</w:t>
      </w:r>
      <w:r w:rsidR="00731E69" w:rsidRPr="002E20D7">
        <w:rPr>
          <w:sz w:val="24"/>
          <w:szCs w:val="24"/>
        </w:rPr>
        <w:t xml:space="preserve"> 2019)</w:t>
      </w:r>
      <w:r w:rsidR="002C0C48" w:rsidRPr="002E20D7">
        <w:rPr>
          <w:sz w:val="24"/>
          <w:szCs w:val="24"/>
        </w:rPr>
        <w:t>, 94–105</w:t>
      </w:r>
      <w:r w:rsidR="00731E69" w:rsidRPr="002E20D7">
        <w:rPr>
          <w:sz w:val="24"/>
          <w:szCs w:val="24"/>
        </w:rPr>
        <w:t xml:space="preserve">. </w:t>
      </w:r>
      <w:r w:rsidRPr="002E20D7">
        <w:rPr>
          <w:sz w:val="24"/>
          <w:szCs w:val="24"/>
        </w:rPr>
        <w:t xml:space="preserve">A more amorphous fourth set of “communities” at times have a role in preserving cultural heritage. Such communities often consist of a group of experts or scholars. Terms such as the </w:t>
      </w:r>
      <w:r w:rsidR="004F7F22" w:rsidRPr="002E20D7">
        <w:rPr>
          <w:sz w:val="24"/>
          <w:szCs w:val="24"/>
        </w:rPr>
        <w:t>“</w:t>
      </w:r>
      <w:r w:rsidRPr="002E20D7">
        <w:rPr>
          <w:sz w:val="24"/>
          <w:szCs w:val="24"/>
        </w:rPr>
        <w:t>preservation community,</w:t>
      </w:r>
      <w:r w:rsidR="004F7F22" w:rsidRPr="002E20D7">
        <w:rPr>
          <w:sz w:val="24"/>
          <w:szCs w:val="24"/>
        </w:rPr>
        <w:t>”</w:t>
      </w:r>
      <w:r w:rsidRPr="002E20D7">
        <w:rPr>
          <w:sz w:val="24"/>
          <w:szCs w:val="24"/>
        </w:rPr>
        <w:t xml:space="preserve"> </w:t>
      </w:r>
      <w:r w:rsidR="004F7F22" w:rsidRPr="002E20D7">
        <w:rPr>
          <w:sz w:val="24"/>
          <w:szCs w:val="24"/>
        </w:rPr>
        <w:t>“</w:t>
      </w:r>
      <w:r w:rsidRPr="002E20D7">
        <w:rPr>
          <w:sz w:val="24"/>
          <w:szCs w:val="24"/>
        </w:rPr>
        <w:t>museum community,</w:t>
      </w:r>
      <w:r w:rsidR="004F7F22" w:rsidRPr="002E20D7">
        <w:rPr>
          <w:sz w:val="24"/>
          <w:szCs w:val="24"/>
        </w:rPr>
        <w:t>”</w:t>
      </w:r>
      <w:r w:rsidRPr="002E20D7">
        <w:rPr>
          <w:sz w:val="24"/>
          <w:szCs w:val="24"/>
        </w:rPr>
        <w:t xml:space="preserve"> </w:t>
      </w:r>
      <w:r w:rsidR="004F7F22" w:rsidRPr="002E20D7">
        <w:rPr>
          <w:sz w:val="24"/>
          <w:szCs w:val="24"/>
        </w:rPr>
        <w:t>“</w:t>
      </w:r>
      <w:r w:rsidRPr="002E20D7">
        <w:rPr>
          <w:sz w:val="24"/>
          <w:szCs w:val="24"/>
        </w:rPr>
        <w:t>scholarly community,</w:t>
      </w:r>
      <w:r w:rsidR="004F7F22" w:rsidRPr="002E20D7">
        <w:rPr>
          <w:sz w:val="24"/>
          <w:szCs w:val="24"/>
        </w:rPr>
        <w:t>” “</w:t>
      </w:r>
      <w:r w:rsidRPr="002E20D7">
        <w:rPr>
          <w:sz w:val="24"/>
          <w:szCs w:val="24"/>
        </w:rPr>
        <w:t>expert community</w:t>
      </w:r>
      <w:r w:rsidR="004F7F22" w:rsidRPr="002E20D7">
        <w:rPr>
          <w:sz w:val="24"/>
          <w:szCs w:val="24"/>
        </w:rPr>
        <w:t>,”</w:t>
      </w:r>
      <w:r w:rsidRPr="002E20D7">
        <w:rPr>
          <w:sz w:val="24"/>
          <w:szCs w:val="24"/>
        </w:rPr>
        <w:t xml:space="preserve"> and </w:t>
      </w:r>
      <w:r w:rsidR="004F7F22" w:rsidRPr="002E20D7">
        <w:rPr>
          <w:sz w:val="24"/>
          <w:szCs w:val="24"/>
        </w:rPr>
        <w:t>“</w:t>
      </w:r>
      <w:r w:rsidRPr="002E20D7">
        <w:rPr>
          <w:sz w:val="24"/>
          <w:szCs w:val="24"/>
        </w:rPr>
        <w:t>archaeological community</w:t>
      </w:r>
      <w:r w:rsidR="004F7F22" w:rsidRPr="002E20D7">
        <w:rPr>
          <w:sz w:val="24"/>
          <w:szCs w:val="24"/>
        </w:rPr>
        <w:t>”</w:t>
      </w:r>
      <w:r w:rsidRPr="002E20D7">
        <w:rPr>
          <w:sz w:val="24"/>
          <w:szCs w:val="24"/>
        </w:rPr>
        <w:t xml:space="preserve"> may be used. Their interests may be seen as transcending national boundaries. In a few instances, they are given a specific role, as with the International Council on Monuments and Sites and the World Conservation Union, which serve as technical advisors to </w:t>
      </w:r>
      <w:r w:rsidR="00490C24" w:rsidRPr="002E20D7">
        <w:rPr>
          <w:sz w:val="24"/>
          <w:szCs w:val="24"/>
        </w:rPr>
        <w:t xml:space="preserve">UNESCO’s </w:t>
      </w:r>
      <w:r w:rsidRPr="002E20D7">
        <w:rPr>
          <w:sz w:val="24"/>
          <w:szCs w:val="24"/>
        </w:rPr>
        <w:t xml:space="preserve">World Heritage Committee in recommending which cultural and natural sites qualify for inscription on the World Heritage List. </w:t>
      </w:r>
      <w:r w:rsidR="00E500D4" w:rsidRPr="002E20D7">
        <w:rPr>
          <w:sz w:val="24"/>
          <w:szCs w:val="24"/>
        </w:rPr>
        <w:t>See UNESCO, “</w:t>
      </w:r>
      <w:r w:rsidRPr="002E20D7">
        <w:rPr>
          <w:sz w:val="24"/>
          <w:szCs w:val="24"/>
        </w:rPr>
        <w:t>World Heritage List Nominations</w:t>
      </w:r>
      <w:r w:rsidR="00E500D4" w:rsidRPr="002E20D7">
        <w:rPr>
          <w:sz w:val="24"/>
          <w:szCs w:val="24"/>
        </w:rPr>
        <w:t>,”</w:t>
      </w:r>
      <w:r w:rsidRPr="002E20D7">
        <w:rPr>
          <w:sz w:val="24"/>
          <w:szCs w:val="24"/>
        </w:rPr>
        <w:t xml:space="preserve"> </w:t>
      </w:r>
      <w:r w:rsidR="00E500D4" w:rsidRPr="002E20D7">
        <w:rPr>
          <w:sz w:val="24"/>
          <w:szCs w:val="24"/>
        </w:rPr>
        <w:t>para.</w:t>
      </w:r>
      <w:r w:rsidRPr="002E20D7">
        <w:rPr>
          <w:sz w:val="24"/>
          <w:szCs w:val="24"/>
        </w:rPr>
        <w:t xml:space="preserve"> 3</w:t>
      </w:r>
      <w:r w:rsidR="008E265F" w:rsidRPr="002E20D7">
        <w:rPr>
          <w:sz w:val="24"/>
          <w:szCs w:val="24"/>
        </w:rPr>
        <w:t>,</w:t>
      </w:r>
      <w:r w:rsidR="001736E9" w:rsidRPr="002E20D7" w:rsidDel="001736E9">
        <w:rPr>
          <w:sz w:val="24"/>
          <w:szCs w:val="24"/>
        </w:rPr>
        <w:t xml:space="preserve"> </w:t>
      </w:r>
      <w:r w:rsidR="001736E9" w:rsidRPr="001736E9">
        <w:rPr>
          <w:sz w:val="24"/>
          <w:szCs w:val="24"/>
        </w:rPr>
        <w:t>http://whc.unesco.org/en/nominations</w:t>
      </w:r>
      <w:r w:rsidR="005A6C9B" w:rsidRPr="002E20D7">
        <w:rPr>
          <w:sz w:val="24"/>
          <w:szCs w:val="24"/>
        </w:rPr>
        <w:t>; and</w:t>
      </w:r>
      <w:r w:rsidR="00731E69" w:rsidRPr="002E20D7">
        <w:rPr>
          <w:sz w:val="24"/>
          <w:szCs w:val="24"/>
        </w:rPr>
        <w:t xml:space="preserve"> Lixinski, </w:t>
      </w:r>
      <w:r w:rsidR="00390957" w:rsidRPr="002E20D7">
        <w:rPr>
          <w:i/>
          <w:iCs/>
          <w:sz w:val="24"/>
          <w:szCs w:val="24"/>
        </w:rPr>
        <w:t>International Heritage Law for Communities</w:t>
      </w:r>
      <w:r w:rsidR="0059274A" w:rsidRPr="002E20D7">
        <w:rPr>
          <w:sz w:val="24"/>
          <w:szCs w:val="24"/>
        </w:rPr>
        <w:t>,</w:t>
      </w:r>
      <w:r w:rsidR="00390957" w:rsidRPr="002E20D7">
        <w:rPr>
          <w:sz w:val="24"/>
          <w:szCs w:val="24"/>
        </w:rPr>
        <w:t xml:space="preserve"> </w:t>
      </w:r>
      <w:r w:rsidR="00731E69" w:rsidRPr="002E20D7">
        <w:rPr>
          <w:sz w:val="24"/>
          <w:szCs w:val="24"/>
        </w:rPr>
        <w:t>71</w:t>
      </w:r>
      <w:r w:rsidR="00CC6FB2" w:rsidRPr="002E20D7">
        <w:rPr>
          <w:sz w:val="24"/>
          <w:szCs w:val="24"/>
        </w:rPr>
        <w:t>–</w:t>
      </w:r>
      <w:r w:rsidR="00731E69" w:rsidRPr="002E20D7">
        <w:rPr>
          <w:sz w:val="24"/>
          <w:szCs w:val="24"/>
        </w:rPr>
        <w:t>75.</w:t>
      </w:r>
    </w:p>
  </w:endnote>
  <w:endnote w:id="3">
    <w:p w14:paraId="6BB9D1DC" w14:textId="27FE8D21"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Joseph L. Sax, </w:t>
      </w:r>
      <w:r w:rsidR="0059274A" w:rsidRPr="002E20D7">
        <w:rPr>
          <w:sz w:val="24"/>
          <w:szCs w:val="24"/>
        </w:rPr>
        <w:t>“</w:t>
      </w:r>
      <w:r w:rsidRPr="002E20D7">
        <w:rPr>
          <w:iCs/>
          <w:sz w:val="24"/>
          <w:szCs w:val="24"/>
        </w:rPr>
        <w:t>Heritage Preservation as a Public Duty: The Abbé Grégoire and the Origins of an Idea</w:t>
      </w:r>
      <w:r w:rsidR="0059274A" w:rsidRPr="002E20D7">
        <w:rPr>
          <w:sz w:val="24"/>
          <w:szCs w:val="24"/>
        </w:rPr>
        <w:t>,”</w:t>
      </w:r>
      <w:r w:rsidRPr="002E20D7">
        <w:rPr>
          <w:sz w:val="24"/>
          <w:szCs w:val="24"/>
        </w:rPr>
        <w:t xml:space="preserve"> </w:t>
      </w:r>
      <w:r w:rsidRPr="002E20D7">
        <w:rPr>
          <w:i/>
          <w:iCs/>
          <w:sz w:val="24"/>
          <w:szCs w:val="24"/>
        </w:rPr>
        <w:t>Mich</w:t>
      </w:r>
      <w:r w:rsidR="0059274A" w:rsidRPr="002E20D7">
        <w:rPr>
          <w:i/>
          <w:iCs/>
          <w:sz w:val="24"/>
          <w:szCs w:val="24"/>
        </w:rPr>
        <w:t>igan</w:t>
      </w:r>
      <w:r w:rsidRPr="002E20D7">
        <w:rPr>
          <w:i/>
          <w:iCs/>
          <w:sz w:val="24"/>
          <w:szCs w:val="24"/>
        </w:rPr>
        <w:t xml:space="preserve"> L</w:t>
      </w:r>
      <w:r w:rsidR="0059274A" w:rsidRPr="002E20D7">
        <w:rPr>
          <w:i/>
          <w:iCs/>
          <w:sz w:val="24"/>
          <w:szCs w:val="24"/>
        </w:rPr>
        <w:t>aw</w:t>
      </w:r>
      <w:r w:rsidRPr="002E20D7">
        <w:rPr>
          <w:i/>
          <w:iCs/>
          <w:sz w:val="24"/>
          <w:szCs w:val="24"/>
        </w:rPr>
        <w:t xml:space="preserve"> Rev</w:t>
      </w:r>
      <w:r w:rsidR="0059274A" w:rsidRPr="002E20D7">
        <w:rPr>
          <w:i/>
          <w:iCs/>
          <w:sz w:val="24"/>
          <w:szCs w:val="24"/>
        </w:rPr>
        <w:t>iew</w:t>
      </w:r>
      <w:r w:rsidRPr="002E20D7">
        <w:rPr>
          <w:sz w:val="24"/>
          <w:szCs w:val="24"/>
        </w:rPr>
        <w:t xml:space="preserve"> </w:t>
      </w:r>
      <w:r w:rsidR="0059274A" w:rsidRPr="002E20D7">
        <w:rPr>
          <w:sz w:val="24"/>
          <w:szCs w:val="24"/>
        </w:rPr>
        <w:t xml:space="preserve">88 </w:t>
      </w:r>
      <w:r w:rsidRPr="002E20D7">
        <w:rPr>
          <w:sz w:val="24"/>
          <w:szCs w:val="24"/>
        </w:rPr>
        <w:t>(1989</w:t>
      </w:r>
      <w:r w:rsidR="00CC6FB2" w:rsidRPr="002E20D7">
        <w:rPr>
          <w:sz w:val="24"/>
          <w:szCs w:val="24"/>
        </w:rPr>
        <w:t>–</w:t>
      </w:r>
      <w:r w:rsidRPr="002E20D7">
        <w:rPr>
          <w:sz w:val="24"/>
          <w:szCs w:val="24"/>
        </w:rPr>
        <w:t xml:space="preserve">90): 1161. </w:t>
      </w:r>
    </w:p>
  </w:endnote>
  <w:endnote w:id="4">
    <w:p w14:paraId="6B9671F6" w14:textId="51B3AF31"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David Nersessian</w:t>
      </w:r>
      <w:r w:rsidR="00AB31FC" w:rsidRPr="002E20D7">
        <w:rPr>
          <w:sz w:val="24"/>
          <w:szCs w:val="24"/>
        </w:rPr>
        <w:t>, “</w:t>
      </w:r>
      <w:r w:rsidRPr="002E20D7">
        <w:rPr>
          <w:sz w:val="24"/>
          <w:szCs w:val="24"/>
        </w:rPr>
        <w:t xml:space="preserve">Rethinking Cultural Genocide </w:t>
      </w:r>
      <w:r w:rsidR="00F60E61" w:rsidRPr="002E20D7">
        <w:rPr>
          <w:sz w:val="24"/>
          <w:szCs w:val="24"/>
        </w:rPr>
        <w:t>u</w:t>
      </w:r>
      <w:r w:rsidRPr="002E20D7">
        <w:rPr>
          <w:sz w:val="24"/>
          <w:szCs w:val="24"/>
        </w:rPr>
        <w:t>nder International Law</w:t>
      </w:r>
      <w:r w:rsidR="00AB31FC" w:rsidRPr="002E20D7">
        <w:rPr>
          <w:sz w:val="24"/>
          <w:szCs w:val="24"/>
        </w:rPr>
        <w:t>,”</w:t>
      </w:r>
      <w:r w:rsidRPr="002E20D7">
        <w:rPr>
          <w:sz w:val="24"/>
          <w:szCs w:val="24"/>
        </w:rPr>
        <w:t xml:space="preserve"> </w:t>
      </w:r>
      <w:r w:rsidRPr="00353FB5">
        <w:rPr>
          <w:sz w:val="24"/>
          <w:szCs w:val="24"/>
        </w:rPr>
        <w:t>Human Rights Dialogue: Cultural Rights</w:t>
      </w:r>
      <w:r w:rsidR="0021523A" w:rsidRPr="002E20D7">
        <w:rPr>
          <w:sz w:val="24"/>
          <w:szCs w:val="24"/>
        </w:rPr>
        <w:t>,</w:t>
      </w:r>
      <w:r w:rsidRPr="002E20D7">
        <w:rPr>
          <w:i/>
          <w:iCs/>
          <w:sz w:val="24"/>
          <w:szCs w:val="24"/>
        </w:rPr>
        <w:t xml:space="preserve"> </w:t>
      </w:r>
      <w:r w:rsidRPr="00353FB5">
        <w:rPr>
          <w:sz w:val="24"/>
          <w:szCs w:val="24"/>
        </w:rPr>
        <w:t>Carnegie Council for Ethics in International Affairs</w:t>
      </w:r>
      <w:r w:rsidR="007A0C6B" w:rsidRPr="002E20D7">
        <w:rPr>
          <w:sz w:val="24"/>
          <w:szCs w:val="24"/>
        </w:rPr>
        <w:t>,</w:t>
      </w:r>
      <w:r w:rsidRPr="002E20D7">
        <w:rPr>
          <w:sz w:val="24"/>
          <w:szCs w:val="24"/>
        </w:rPr>
        <w:t xml:space="preserve"> </w:t>
      </w:r>
      <w:r w:rsidR="007A0C6B" w:rsidRPr="002E20D7">
        <w:rPr>
          <w:sz w:val="24"/>
          <w:szCs w:val="24"/>
        </w:rPr>
        <w:t xml:space="preserve">22 April </w:t>
      </w:r>
      <w:r w:rsidRPr="002E20D7">
        <w:rPr>
          <w:sz w:val="24"/>
          <w:szCs w:val="24"/>
        </w:rPr>
        <w:t>2005</w:t>
      </w:r>
      <w:r w:rsidR="007A0C6B" w:rsidRPr="002E20D7">
        <w:rPr>
          <w:sz w:val="24"/>
          <w:szCs w:val="24"/>
        </w:rPr>
        <w:t>,</w:t>
      </w:r>
      <w:r w:rsidR="00247239" w:rsidRPr="00353FB5">
        <w:rPr>
          <w:sz w:val="24"/>
          <w:szCs w:val="24"/>
        </w:rPr>
        <w:t xml:space="preserve"> </w:t>
      </w:r>
      <w:r w:rsidR="00247239" w:rsidRPr="002E20D7">
        <w:rPr>
          <w:sz w:val="24"/>
          <w:szCs w:val="24"/>
        </w:rPr>
        <w:t>https://www.carnegiecouncil.org/publications/archive/dialogue/2_12/section_1/5139;</w:t>
      </w:r>
      <w:r w:rsidR="00F6293C" w:rsidRPr="002E20D7">
        <w:rPr>
          <w:sz w:val="24"/>
          <w:szCs w:val="24"/>
        </w:rPr>
        <w:t xml:space="preserve"> </w:t>
      </w:r>
      <w:r w:rsidR="003B093C" w:rsidRPr="002E20D7">
        <w:rPr>
          <w:sz w:val="24"/>
          <w:szCs w:val="24"/>
        </w:rPr>
        <w:t xml:space="preserve">and </w:t>
      </w:r>
      <w:r w:rsidR="00F6293C" w:rsidRPr="002E20D7">
        <w:rPr>
          <w:sz w:val="24"/>
          <w:szCs w:val="24"/>
        </w:rPr>
        <w:t xml:space="preserve">Elisa Novic, </w:t>
      </w:r>
      <w:r w:rsidR="00F6293C" w:rsidRPr="002E20D7">
        <w:rPr>
          <w:i/>
          <w:iCs/>
          <w:sz w:val="24"/>
          <w:szCs w:val="24"/>
        </w:rPr>
        <w:t>The Concept of Cultural Genocide</w:t>
      </w:r>
      <w:r w:rsidRPr="002E20D7">
        <w:rPr>
          <w:sz w:val="24"/>
          <w:szCs w:val="24"/>
        </w:rPr>
        <w:t xml:space="preserve"> </w:t>
      </w:r>
      <w:r w:rsidR="00F6293C" w:rsidRPr="002E20D7">
        <w:rPr>
          <w:sz w:val="24"/>
          <w:szCs w:val="24"/>
        </w:rPr>
        <w:t>(Oxford: Oxford University Press, 2016)</w:t>
      </w:r>
      <w:r w:rsidR="009F5EF9" w:rsidRPr="002E20D7">
        <w:rPr>
          <w:sz w:val="24"/>
          <w:szCs w:val="24"/>
        </w:rPr>
        <w:t>, 18–22</w:t>
      </w:r>
      <w:r w:rsidR="00F6293C" w:rsidRPr="002E20D7">
        <w:rPr>
          <w:sz w:val="24"/>
          <w:szCs w:val="24"/>
        </w:rPr>
        <w:t xml:space="preserve">. </w:t>
      </w:r>
      <w:r w:rsidRPr="002E20D7">
        <w:rPr>
          <w:sz w:val="24"/>
          <w:szCs w:val="24"/>
        </w:rPr>
        <w:t>See also Edward C. Luck</w:t>
      </w:r>
      <w:r w:rsidR="00AB31FC" w:rsidRPr="002E20D7">
        <w:rPr>
          <w:sz w:val="24"/>
          <w:szCs w:val="24"/>
        </w:rPr>
        <w:t xml:space="preserve">, </w:t>
      </w:r>
      <w:r w:rsidRPr="00353FB5">
        <w:rPr>
          <w:i/>
          <w:iCs/>
          <w:sz w:val="24"/>
          <w:szCs w:val="24"/>
        </w:rPr>
        <w:t>Cultural Genocide and the Protection of Cultural Heritage</w:t>
      </w:r>
      <w:r w:rsidRPr="002E20D7">
        <w:rPr>
          <w:sz w:val="24"/>
          <w:szCs w:val="24"/>
        </w:rPr>
        <w:t xml:space="preserve"> </w:t>
      </w:r>
      <w:r w:rsidR="00324B32" w:rsidRPr="002E20D7">
        <w:rPr>
          <w:sz w:val="24"/>
          <w:szCs w:val="24"/>
        </w:rPr>
        <w:t xml:space="preserve">(Los Angeles: </w:t>
      </w:r>
      <w:r w:rsidRPr="002E20D7">
        <w:rPr>
          <w:sz w:val="24"/>
          <w:szCs w:val="24"/>
        </w:rPr>
        <w:t>J. Paul Getty Trust</w:t>
      </w:r>
      <w:r w:rsidR="00324B32" w:rsidRPr="002E20D7">
        <w:rPr>
          <w:sz w:val="24"/>
          <w:szCs w:val="24"/>
        </w:rPr>
        <w:t>, 2018),</w:t>
      </w:r>
      <w:r w:rsidRPr="002E20D7">
        <w:rPr>
          <w:sz w:val="24"/>
          <w:szCs w:val="24"/>
        </w:rPr>
        <w:t xml:space="preserve"> Occasional Papers in Cultural Heritage Policy </w:t>
      </w:r>
      <w:r w:rsidR="00324B32" w:rsidRPr="002E20D7">
        <w:rPr>
          <w:sz w:val="24"/>
          <w:szCs w:val="24"/>
        </w:rPr>
        <w:t xml:space="preserve">no. </w:t>
      </w:r>
      <w:r w:rsidRPr="002E20D7">
        <w:rPr>
          <w:sz w:val="24"/>
          <w:szCs w:val="24"/>
        </w:rPr>
        <w:t>2</w:t>
      </w:r>
      <w:r w:rsidR="005A50FA">
        <w:rPr>
          <w:sz w:val="24"/>
          <w:szCs w:val="24"/>
        </w:rPr>
        <w:t>,</w:t>
      </w:r>
      <w:r w:rsidRPr="002E20D7">
        <w:rPr>
          <w:sz w:val="24"/>
          <w:szCs w:val="24"/>
        </w:rPr>
        <w:t xml:space="preserve"> 17</w:t>
      </w:r>
      <w:r w:rsidR="00CC6FB2" w:rsidRPr="002E20D7">
        <w:rPr>
          <w:sz w:val="24"/>
          <w:szCs w:val="24"/>
        </w:rPr>
        <w:t>–</w:t>
      </w:r>
      <w:r w:rsidRPr="002E20D7">
        <w:rPr>
          <w:sz w:val="24"/>
          <w:szCs w:val="24"/>
        </w:rPr>
        <w:t>22, https://www.getty.edu/publications/pdfs/CulturalGenocide_Luck.pdf.</w:t>
      </w:r>
    </w:p>
  </w:endnote>
  <w:endnote w:id="5">
    <w:p w14:paraId="059ECF99" w14:textId="1C21B86C" w:rsidR="009847F2" w:rsidRPr="002E20D7" w:rsidRDefault="009847F2" w:rsidP="009F35FF">
      <w:pPr>
        <w:spacing w:line="480" w:lineRule="auto"/>
        <w:contextualSpacing/>
      </w:pPr>
      <w:r w:rsidRPr="002E20D7">
        <w:rPr>
          <w:rStyle w:val="EndnoteReference"/>
        </w:rPr>
        <w:endnoteRef/>
      </w:r>
      <w:r w:rsidRPr="002E20D7">
        <w:t> Ra</w:t>
      </w:r>
      <w:r w:rsidR="001B7B3D">
        <w:t>ph</w:t>
      </w:r>
      <w:r w:rsidRPr="002E20D7">
        <w:t xml:space="preserve">ael Lemkin, </w:t>
      </w:r>
      <w:r w:rsidR="00D218FF" w:rsidRPr="002E20D7">
        <w:t>“</w:t>
      </w:r>
      <w:r w:rsidRPr="00353FB5">
        <w:t xml:space="preserve">Acts Constituting a General (Transnational) Danger Considered as Offences </w:t>
      </w:r>
      <w:r w:rsidR="00122FE0" w:rsidRPr="00353FB5">
        <w:t>a</w:t>
      </w:r>
      <w:r w:rsidRPr="00353FB5">
        <w:t>gainst the Law of Nations</w:t>
      </w:r>
      <w:r w:rsidR="00D218FF" w:rsidRPr="002E20D7">
        <w:t>,” Additional Expectations to the Special Report Presented to the 5th Conference for the Unif</w:t>
      </w:r>
      <w:r w:rsidR="002A6EA8" w:rsidRPr="002E20D7">
        <w:t>i</w:t>
      </w:r>
      <w:r w:rsidR="00D218FF" w:rsidRPr="002E20D7">
        <w:t xml:space="preserve">cation of Penal </w:t>
      </w:r>
      <w:r w:rsidR="000A1D58">
        <w:t>L</w:t>
      </w:r>
      <w:r w:rsidR="00D218FF" w:rsidRPr="002E20D7">
        <w:t xml:space="preserve">aw in Madrid, 14–20 October </w:t>
      </w:r>
      <w:r w:rsidRPr="002E20D7">
        <w:t>1933, www.preventgenocide.org/lemkin/madrid1933-english.htm.</w:t>
      </w:r>
    </w:p>
  </w:endnote>
  <w:endnote w:id="6">
    <w:p w14:paraId="5CB47ABD" w14:textId="6B53C9BA"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xml:space="preserve"> Hirad Abtahi and Philippa Webb, </w:t>
      </w:r>
      <w:r w:rsidRPr="002E20D7">
        <w:rPr>
          <w:i/>
          <w:iCs/>
          <w:sz w:val="24"/>
          <w:szCs w:val="24"/>
        </w:rPr>
        <w:t>The Genocide Convention: The Travaux Préparatoires</w:t>
      </w:r>
      <w:r w:rsidRPr="002E20D7">
        <w:rPr>
          <w:sz w:val="24"/>
          <w:szCs w:val="24"/>
        </w:rPr>
        <w:t xml:space="preserve"> (Leiden, Netherlands: Brill Nijhoff, 2008)</w:t>
      </w:r>
      <w:r w:rsidR="00CB5A7F" w:rsidRPr="002E20D7">
        <w:rPr>
          <w:sz w:val="24"/>
          <w:szCs w:val="24"/>
        </w:rPr>
        <w:t>, 234–36</w:t>
      </w:r>
      <w:r w:rsidR="004A17C9" w:rsidRPr="002E20D7">
        <w:rPr>
          <w:sz w:val="24"/>
          <w:szCs w:val="24"/>
        </w:rPr>
        <w:t>.</w:t>
      </w:r>
      <w:r w:rsidRPr="002E20D7">
        <w:rPr>
          <w:sz w:val="24"/>
          <w:szCs w:val="24"/>
        </w:rPr>
        <w:t xml:space="preserve"> </w:t>
      </w:r>
      <w:r w:rsidR="004A17C9" w:rsidRPr="002E20D7">
        <w:rPr>
          <w:iCs/>
          <w:sz w:val="24"/>
          <w:szCs w:val="24"/>
        </w:rPr>
        <w:t>S</w:t>
      </w:r>
      <w:r w:rsidRPr="00353FB5">
        <w:rPr>
          <w:iCs/>
          <w:sz w:val="24"/>
          <w:szCs w:val="24"/>
        </w:rPr>
        <w:t>ee also</w:t>
      </w:r>
      <w:r w:rsidRPr="002E20D7">
        <w:rPr>
          <w:sz w:val="24"/>
          <w:szCs w:val="24"/>
        </w:rPr>
        <w:t xml:space="preserve"> Roger O’Keefe</w:t>
      </w:r>
      <w:r w:rsidR="00AB31FC" w:rsidRPr="002E20D7">
        <w:rPr>
          <w:sz w:val="24"/>
          <w:szCs w:val="24"/>
        </w:rPr>
        <w:t>, “</w:t>
      </w:r>
      <w:r w:rsidRPr="002E20D7">
        <w:rPr>
          <w:iCs/>
          <w:sz w:val="24"/>
          <w:szCs w:val="24"/>
        </w:rPr>
        <w:t xml:space="preserve">Protection of Cultural Property </w:t>
      </w:r>
      <w:r w:rsidR="004A17C9" w:rsidRPr="002E20D7">
        <w:rPr>
          <w:iCs/>
          <w:sz w:val="24"/>
          <w:szCs w:val="24"/>
        </w:rPr>
        <w:t>u</w:t>
      </w:r>
      <w:r w:rsidRPr="002E20D7">
        <w:rPr>
          <w:iCs/>
          <w:sz w:val="24"/>
          <w:szCs w:val="24"/>
        </w:rPr>
        <w:t>nder International Criminal Law</w:t>
      </w:r>
      <w:r w:rsidR="00AB31FC" w:rsidRPr="002E20D7">
        <w:rPr>
          <w:iCs/>
          <w:sz w:val="24"/>
          <w:szCs w:val="24"/>
        </w:rPr>
        <w:t>,”</w:t>
      </w:r>
      <w:r w:rsidRPr="002E20D7">
        <w:rPr>
          <w:sz w:val="24"/>
          <w:szCs w:val="24"/>
        </w:rPr>
        <w:t xml:space="preserve"> </w:t>
      </w:r>
      <w:r w:rsidRPr="002E20D7">
        <w:rPr>
          <w:i/>
          <w:iCs/>
          <w:sz w:val="24"/>
          <w:szCs w:val="24"/>
        </w:rPr>
        <w:t>Melbourne</w:t>
      </w:r>
      <w:r w:rsidR="002F1529" w:rsidRPr="002E20D7">
        <w:rPr>
          <w:i/>
          <w:iCs/>
          <w:sz w:val="24"/>
          <w:szCs w:val="24"/>
        </w:rPr>
        <w:t xml:space="preserve"> Journal of International</w:t>
      </w:r>
      <w:r w:rsidRPr="002E20D7">
        <w:rPr>
          <w:i/>
          <w:iCs/>
          <w:sz w:val="24"/>
          <w:szCs w:val="24"/>
        </w:rPr>
        <w:t xml:space="preserve"> L</w:t>
      </w:r>
      <w:r w:rsidR="002F1529" w:rsidRPr="00353FB5">
        <w:rPr>
          <w:i/>
          <w:iCs/>
          <w:sz w:val="24"/>
          <w:szCs w:val="24"/>
        </w:rPr>
        <w:t>aw</w:t>
      </w:r>
      <w:r w:rsidRPr="002E20D7">
        <w:rPr>
          <w:sz w:val="24"/>
          <w:szCs w:val="24"/>
        </w:rPr>
        <w:t xml:space="preserve"> </w:t>
      </w:r>
      <w:r w:rsidR="002F1529" w:rsidRPr="002E20D7">
        <w:rPr>
          <w:sz w:val="24"/>
          <w:szCs w:val="24"/>
        </w:rPr>
        <w:t xml:space="preserve">11 </w:t>
      </w:r>
      <w:r w:rsidRPr="002E20D7">
        <w:rPr>
          <w:sz w:val="24"/>
          <w:szCs w:val="24"/>
        </w:rPr>
        <w:t xml:space="preserve">(2010): 386. </w:t>
      </w:r>
    </w:p>
  </w:endnote>
  <w:endnote w:id="7">
    <w:p w14:paraId="12D58159" w14:textId="485330F3"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xml:space="preserve"> Abtahi and Webb, </w:t>
      </w:r>
      <w:r w:rsidRPr="002E20D7">
        <w:rPr>
          <w:i/>
          <w:iCs/>
          <w:sz w:val="24"/>
          <w:szCs w:val="24"/>
        </w:rPr>
        <w:t>The Genocide Convention</w:t>
      </w:r>
      <w:r w:rsidRPr="002E20D7">
        <w:rPr>
          <w:sz w:val="24"/>
          <w:szCs w:val="24"/>
        </w:rPr>
        <w:t>, 163–67</w:t>
      </w:r>
      <w:r w:rsidR="00BC17C6" w:rsidRPr="002E20D7">
        <w:rPr>
          <w:sz w:val="24"/>
          <w:szCs w:val="24"/>
        </w:rPr>
        <w:t>,</w:t>
      </w:r>
      <w:r w:rsidRPr="002E20D7">
        <w:rPr>
          <w:sz w:val="24"/>
          <w:szCs w:val="24"/>
        </w:rPr>
        <w:t xml:space="preserve"> 726–31; </w:t>
      </w:r>
      <w:r w:rsidR="00BC17C6" w:rsidRPr="002E20D7">
        <w:rPr>
          <w:sz w:val="24"/>
          <w:szCs w:val="24"/>
        </w:rPr>
        <w:t xml:space="preserve">and </w:t>
      </w:r>
      <w:r w:rsidRPr="002E20D7">
        <w:rPr>
          <w:sz w:val="24"/>
          <w:szCs w:val="24"/>
        </w:rPr>
        <w:t xml:space="preserve">Lawrence Davidson, </w:t>
      </w:r>
      <w:r w:rsidRPr="002E20D7">
        <w:rPr>
          <w:i/>
          <w:iCs/>
          <w:sz w:val="24"/>
          <w:szCs w:val="24"/>
        </w:rPr>
        <w:t>Cultural Genocide</w:t>
      </w:r>
      <w:r w:rsidRPr="002E20D7">
        <w:rPr>
          <w:sz w:val="24"/>
          <w:szCs w:val="24"/>
        </w:rPr>
        <w:t xml:space="preserve"> (</w:t>
      </w:r>
      <w:r w:rsidR="00FD5F40" w:rsidRPr="002E20D7">
        <w:rPr>
          <w:sz w:val="24"/>
          <w:szCs w:val="24"/>
        </w:rPr>
        <w:t>New Brunswick, NJ</w:t>
      </w:r>
      <w:r w:rsidR="003B7A46" w:rsidRPr="002E20D7">
        <w:rPr>
          <w:sz w:val="24"/>
          <w:szCs w:val="24"/>
        </w:rPr>
        <w:t xml:space="preserve">: </w:t>
      </w:r>
      <w:r w:rsidR="00BC17C6" w:rsidRPr="002E20D7">
        <w:rPr>
          <w:sz w:val="24"/>
          <w:szCs w:val="24"/>
        </w:rPr>
        <w:t xml:space="preserve">Rutgers University Press, </w:t>
      </w:r>
      <w:r w:rsidRPr="002E20D7">
        <w:rPr>
          <w:sz w:val="24"/>
          <w:szCs w:val="24"/>
        </w:rPr>
        <w:t>2012)</w:t>
      </w:r>
      <w:r w:rsidR="00BC17C6" w:rsidRPr="002E20D7">
        <w:rPr>
          <w:sz w:val="24"/>
          <w:szCs w:val="24"/>
        </w:rPr>
        <w:t>, 127–30</w:t>
      </w:r>
      <w:r w:rsidRPr="002E20D7">
        <w:rPr>
          <w:sz w:val="24"/>
          <w:szCs w:val="24"/>
        </w:rPr>
        <w:t xml:space="preserve">. </w:t>
      </w:r>
    </w:p>
  </w:endnote>
  <w:endnote w:id="8">
    <w:p w14:paraId="0A00AB6D" w14:textId="1425A324"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O’Keefe</w:t>
      </w:r>
      <w:r w:rsidR="00AB31FC" w:rsidRPr="002E20D7">
        <w:rPr>
          <w:sz w:val="24"/>
          <w:szCs w:val="24"/>
        </w:rPr>
        <w:t>, “</w:t>
      </w:r>
      <w:r w:rsidRPr="002E20D7">
        <w:rPr>
          <w:iCs/>
          <w:sz w:val="24"/>
          <w:szCs w:val="24"/>
        </w:rPr>
        <w:t>Protection of Cultural Property</w:t>
      </w:r>
      <w:r w:rsidR="00AB31FC" w:rsidRPr="002E20D7">
        <w:rPr>
          <w:iCs/>
          <w:sz w:val="24"/>
          <w:szCs w:val="24"/>
        </w:rPr>
        <w:t>,”</w:t>
      </w:r>
      <w:r w:rsidRPr="002E20D7">
        <w:rPr>
          <w:sz w:val="24"/>
          <w:szCs w:val="24"/>
        </w:rPr>
        <w:t xml:space="preserve"> 388–89.</w:t>
      </w:r>
    </w:p>
  </w:endnote>
  <w:endnote w:id="9">
    <w:p w14:paraId="256AFFB7" w14:textId="167D6E38"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Matthew Rosenberg</w:t>
      </w:r>
      <w:r w:rsidR="00AB31FC" w:rsidRPr="002E20D7">
        <w:rPr>
          <w:sz w:val="24"/>
          <w:szCs w:val="24"/>
        </w:rPr>
        <w:t>, “</w:t>
      </w:r>
      <w:r w:rsidRPr="002E20D7">
        <w:rPr>
          <w:iCs/>
          <w:sz w:val="24"/>
          <w:szCs w:val="24"/>
        </w:rPr>
        <w:t>Citin</w:t>
      </w:r>
      <w:r w:rsidR="00267472">
        <w:rPr>
          <w:iCs/>
          <w:sz w:val="24"/>
          <w:szCs w:val="24"/>
        </w:rPr>
        <w:t>g</w:t>
      </w:r>
      <w:r w:rsidRPr="002E20D7">
        <w:rPr>
          <w:iCs/>
          <w:sz w:val="24"/>
          <w:szCs w:val="24"/>
        </w:rPr>
        <w:t xml:space="preserve"> Atrocities, John Kerry Calls ISIS Actions Genocide</w:t>
      </w:r>
      <w:r w:rsidR="00AB31FC" w:rsidRPr="002E20D7">
        <w:rPr>
          <w:sz w:val="24"/>
          <w:szCs w:val="24"/>
        </w:rPr>
        <w:t>,”</w:t>
      </w:r>
      <w:r w:rsidRPr="002E20D7">
        <w:rPr>
          <w:sz w:val="24"/>
          <w:szCs w:val="24"/>
        </w:rPr>
        <w:t xml:space="preserve"> </w:t>
      </w:r>
      <w:r w:rsidRPr="002E20D7">
        <w:rPr>
          <w:i/>
          <w:iCs/>
          <w:sz w:val="24"/>
          <w:szCs w:val="24"/>
        </w:rPr>
        <w:t>N</w:t>
      </w:r>
      <w:r w:rsidR="00B41871" w:rsidRPr="002E20D7">
        <w:rPr>
          <w:i/>
          <w:iCs/>
          <w:sz w:val="24"/>
          <w:szCs w:val="24"/>
        </w:rPr>
        <w:t xml:space="preserve">ew </w:t>
      </w:r>
      <w:r w:rsidRPr="002E20D7">
        <w:rPr>
          <w:i/>
          <w:iCs/>
          <w:sz w:val="24"/>
          <w:szCs w:val="24"/>
        </w:rPr>
        <w:t>Y</w:t>
      </w:r>
      <w:r w:rsidR="00B41871" w:rsidRPr="002E20D7">
        <w:rPr>
          <w:i/>
          <w:iCs/>
          <w:sz w:val="24"/>
          <w:szCs w:val="24"/>
        </w:rPr>
        <w:t>ork</w:t>
      </w:r>
      <w:r w:rsidRPr="002E20D7">
        <w:rPr>
          <w:i/>
          <w:iCs/>
          <w:sz w:val="24"/>
          <w:szCs w:val="24"/>
        </w:rPr>
        <w:t xml:space="preserve"> Times</w:t>
      </w:r>
      <w:r w:rsidRPr="002E20D7">
        <w:rPr>
          <w:sz w:val="24"/>
          <w:szCs w:val="24"/>
        </w:rPr>
        <w:t xml:space="preserve">, </w:t>
      </w:r>
      <w:r w:rsidR="00964EAC" w:rsidRPr="002E20D7">
        <w:rPr>
          <w:sz w:val="24"/>
          <w:szCs w:val="24"/>
        </w:rPr>
        <w:t xml:space="preserve">18 </w:t>
      </w:r>
      <w:r w:rsidRPr="002E20D7">
        <w:rPr>
          <w:sz w:val="24"/>
          <w:szCs w:val="24"/>
        </w:rPr>
        <w:t>March</w:t>
      </w:r>
      <w:r w:rsidR="00F37383" w:rsidRPr="002E20D7">
        <w:rPr>
          <w:sz w:val="24"/>
          <w:szCs w:val="24"/>
        </w:rPr>
        <w:t xml:space="preserve"> </w:t>
      </w:r>
      <w:r w:rsidRPr="002E20D7">
        <w:rPr>
          <w:sz w:val="24"/>
          <w:szCs w:val="24"/>
        </w:rPr>
        <w:t>2016</w:t>
      </w:r>
      <w:r w:rsidR="00964EAC" w:rsidRPr="002E20D7">
        <w:rPr>
          <w:sz w:val="24"/>
          <w:szCs w:val="24"/>
        </w:rPr>
        <w:t>.</w:t>
      </w:r>
      <w:r w:rsidR="005B2BA5" w:rsidRPr="002E20D7">
        <w:rPr>
          <w:sz w:val="24"/>
          <w:szCs w:val="24"/>
        </w:rPr>
        <w:t xml:space="preserve"> </w:t>
      </w:r>
      <w:r w:rsidR="00964EAC" w:rsidRPr="002E20D7">
        <w:rPr>
          <w:sz w:val="24"/>
          <w:szCs w:val="24"/>
        </w:rPr>
        <w:t>S</w:t>
      </w:r>
      <w:r w:rsidR="005B2BA5" w:rsidRPr="002E20D7">
        <w:rPr>
          <w:sz w:val="24"/>
          <w:szCs w:val="24"/>
        </w:rPr>
        <w:t>ee also John Kerry</w:t>
      </w:r>
      <w:r w:rsidR="00AB31FC" w:rsidRPr="002E20D7">
        <w:rPr>
          <w:sz w:val="24"/>
          <w:szCs w:val="24"/>
        </w:rPr>
        <w:t>, “</w:t>
      </w:r>
      <w:r w:rsidR="005B2BA5" w:rsidRPr="002E20D7">
        <w:rPr>
          <w:iCs/>
          <w:sz w:val="24"/>
          <w:szCs w:val="24"/>
        </w:rPr>
        <w:t>Remarks on Daesh and Genocide</w:t>
      </w:r>
      <w:r w:rsidR="00AB31FC" w:rsidRPr="002E20D7">
        <w:rPr>
          <w:sz w:val="24"/>
          <w:szCs w:val="24"/>
        </w:rPr>
        <w:t>,”</w:t>
      </w:r>
      <w:r w:rsidR="005B2BA5" w:rsidRPr="002E20D7">
        <w:rPr>
          <w:sz w:val="24"/>
          <w:szCs w:val="24"/>
        </w:rPr>
        <w:t xml:space="preserve"> US Department of State, </w:t>
      </w:r>
      <w:r w:rsidR="00F37383" w:rsidRPr="002E20D7">
        <w:rPr>
          <w:sz w:val="24"/>
          <w:szCs w:val="24"/>
        </w:rPr>
        <w:t xml:space="preserve">17 </w:t>
      </w:r>
      <w:r w:rsidR="005B2BA5" w:rsidRPr="002E20D7">
        <w:rPr>
          <w:sz w:val="24"/>
          <w:szCs w:val="24"/>
        </w:rPr>
        <w:t>March</w:t>
      </w:r>
      <w:r w:rsidR="00F37383" w:rsidRPr="002E20D7">
        <w:rPr>
          <w:sz w:val="24"/>
          <w:szCs w:val="24"/>
        </w:rPr>
        <w:t xml:space="preserve"> </w:t>
      </w:r>
      <w:r w:rsidR="005B2BA5" w:rsidRPr="002E20D7">
        <w:rPr>
          <w:sz w:val="24"/>
          <w:szCs w:val="24"/>
        </w:rPr>
        <w:t>2016, https://2009-2017.state.gov/secretary/remarks/2016/03/254782.htm</w:t>
      </w:r>
      <w:r w:rsidRPr="002E20D7">
        <w:rPr>
          <w:sz w:val="24"/>
          <w:szCs w:val="24"/>
        </w:rPr>
        <w:t xml:space="preserve">. </w:t>
      </w:r>
    </w:p>
  </w:endnote>
  <w:endnote w:id="10">
    <w:p w14:paraId="18B264F4" w14:textId="13C33B8C"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John Henry Merryman</w:t>
      </w:r>
      <w:r w:rsidR="00AB31FC" w:rsidRPr="002E20D7">
        <w:rPr>
          <w:sz w:val="24"/>
          <w:szCs w:val="24"/>
        </w:rPr>
        <w:t>, “</w:t>
      </w:r>
      <w:r w:rsidRPr="002E20D7">
        <w:rPr>
          <w:sz w:val="24"/>
          <w:szCs w:val="24"/>
        </w:rPr>
        <w:t>The Nation and the Object</w:t>
      </w:r>
      <w:r w:rsidR="00AB31FC" w:rsidRPr="002E20D7">
        <w:rPr>
          <w:sz w:val="24"/>
          <w:szCs w:val="24"/>
        </w:rPr>
        <w:t>,”</w:t>
      </w:r>
      <w:r w:rsidRPr="002E20D7">
        <w:rPr>
          <w:sz w:val="24"/>
          <w:szCs w:val="24"/>
        </w:rPr>
        <w:t xml:space="preserve"> </w:t>
      </w:r>
      <w:r w:rsidRPr="002E20D7">
        <w:rPr>
          <w:i/>
          <w:iCs/>
          <w:sz w:val="24"/>
          <w:szCs w:val="24"/>
        </w:rPr>
        <w:t>International Journal of Cultural Property</w:t>
      </w:r>
      <w:r w:rsidRPr="002E20D7">
        <w:rPr>
          <w:sz w:val="24"/>
          <w:szCs w:val="24"/>
        </w:rPr>
        <w:t xml:space="preserve"> </w:t>
      </w:r>
      <w:r w:rsidR="008D6892" w:rsidRPr="002E20D7">
        <w:rPr>
          <w:sz w:val="24"/>
          <w:szCs w:val="24"/>
        </w:rPr>
        <w:t>3, no</w:t>
      </w:r>
      <w:r w:rsidR="0026455F" w:rsidRPr="002E20D7">
        <w:rPr>
          <w:sz w:val="24"/>
          <w:szCs w:val="24"/>
        </w:rPr>
        <w:t>.</w:t>
      </w:r>
      <w:r w:rsidR="008D6892" w:rsidRPr="002E20D7">
        <w:rPr>
          <w:sz w:val="24"/>
          <w:szCs w:val="24"/>
        </w:rPr>
        <w:t xml:space="preserve"> 1 </w:t>
      </w:r>
      <w:r w:rsidRPr="002E20D7">
        <w:rPr>
          <w:sz w:val="24"/>
          <w:szCs w:val="24"/>
        </w:rPr>
        <w:t>(1994): 64.</w:t>
      </w:r>
    </w:p>
  </w:endnote>
  <w:endnote w:id="11">
    <w:p w14:paraId="6CDF61D4" w14:textId="43D015B1" w:rsidR="009847F2" w:rsidRPr="00353FB5" w:rsidRDefault="009847F2" w:rsidP="009F35FF">
      <w:pPr>
        <w:pStyle w:val="EndnoteText"/>
        <w:spacing w:line="480" w:lineRule="auto"/>
        <w:rPr>
          <w:sz w:val="24"/>
          <w:szCs w:val="24"/>
        </w:rPr>
      </w:pPr>
      <w:r w:rsidRPr="00353FB5">
        <w:rPr>
          <w:rStyle w:val="EndnoteReference"/>
          <w:sz w:val="24"/>
          <w:szCs w:val="24"/>
        </w:rPr>
        <w:endnoteRef/>
      </w:r>
      <w:r w:rsidRPr="00353FB5">
        <w:rPr>
          <w:sz w:val="24"/>
          <w:szCs w:val="24"/>
        </w:rPr>
        <w:t xml:space="preserve"> </w:t>
      </w:r>
      <w:r w:rsidR="0026455F" w:rsidRPr="002E20D7">
        <w:rPr>
          <w:sz w:val="24"/>
          <w:szCs w:val="24"/>
        </w:rPr>
        <w:t>Merryman,</w:t>
      </w:r>
      <w:r w:rsidR="0026455F" w:rsidRPr="002E20D7" w:rsidDel="0026455F">
        <w:rPr>
          <w:sz w:val="24"/>
          <w:szCs w:val="24"/>
        </w:rPr>
        <w:t xml:space="preserve"> </w:t>
      </w:r>
      <w:r w:rsidRPr="00353FB5">
        <w:rPr>
          <w:sz w:val="24"/>
          <w:szCs w:val="24"/>
        </w:rPr>
        <w:t>69.</w:t>
      </w:r>
    </w:p>
  </w:endnote>
  <w:endnote w:id="12">
    <w:p w14:paraId="4AB35621" w14:textId="7BC63F2C"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Merryman asserted that the object should be </w:t>
      </w:r>
      <w:r w:rsidR="00A2763A" w:rsidRPr="002E20D7">
        <w:rPr>
          <w:sz w:val="24"/>
          <w:szCs w:val="24"/>
        </w:rPr>
        <w:t>“</w:t>
      </w:r>
      <w:r w:rsidRPr="002E20D7">
        <w:rPr>
          <w:sz w:val="24"/>
          <w:szCs w:val="24"/>
        </w:rPr>
        <w:t>optimally accessible to scholars (for study) and to the public (for education and enjoyment)</w:t>
      </w:r>
      <w:r w:rsidR="00A2763A" w:rsidRPr="002E20D7">
        <w:rPr>
          <w:sz w:val="24"/>
          <w:szCs w:val="24"/>
        </w:rPr>
        <w:t>”</w:t>
      </w:r>
      <w:r w:rsidRPr="002E20D7">
        <w:rPr>
          <w:sz w:val="24"/>
          <w:szCs w:val="24"/>
        </w:rPr>
        <w:t xml:space="preserve"> </w:t>
      </w:r>
      <w:r w:rsidR="002A1FC8" w:rsidRPr="002E20D7">
        <w:rPr>
          <w:sz w:val="24"/>
          <w:szCs w:val="24"/>
        </w:rPr>
        <w:t>(</w:t>
      </w:r>
      <w:r w:rsidR="00A2763A" w:rsidRPr="002E20D7">
        <w:rPr>
          <w:sz w:val="24"/>
          <w:szCs w:val="24"/>
        </w:rPr>
        <w:t xml:space="preserve">Merryman, </w:t>
      </w:r>
      <w:r w:rsidRPr="002E20D7">
        <w:rPr>
          <w:sz w:val="24"/>
          <w:szCs w:val="24"/>
        </w:rPr>
        <w:t>64</w:t>
      </w:r>
      <w:r w:rsidR="002A1FC8" w:rsidRPr="002E20D7">
        <w:rPr>
          <w:sz w:val="24"/>
          <w:szCs w:val="24"/>
        </w:rPr>
        <w:t>)</w:t>
      </w:r>
      <w:r w:rsidRPr="002E20D7">
        <w:rPr>
          <w:sz w:val="24"/>
          <w:szCs w:val="24"/>
        </w:rPr>
        <w:t xml:space="preserve">. In further considering the question of the relevant public, </w:t>
      </w:r>
      <w:r w:rsidR="00104FCF" w:rsidRPr="002E20D7">
        <w:rPr>
          <w:sz w:val="24"/>
          <w:szCs w:val="24"/>
        </w:rPr>
        <w:t xml:space="preserve">he </w:t>
      </w:r>
      <w:r w:rsidRPr="002E20D7">
        <w:rPr>
          <w:sz w:val="24"/>
          <w:szCs w:val="24"/>
        </w:rPr>
        <w:t xml:space="preserve">concluded that </w:t>
      </w:r>
      <w:r w:rsidR="002A1FC8" w:rsidRPr="002E20D7">
        <w:rPr>
          <w:sz w:val="24"/>
          <w:szCs w:val="24"/>
        </w:rPr>
        <w:t>“</w:t>
      </w:r>
      <w:r w:rsidRPr="002E20D7">
        <w:rPr>
          <w:sz w:val="24"/>
          <w:szCs w:val="24"/>
        </w:rPr>
        <w:t>to the object-oriented person the number of interested viewers, regardless of their nationality, is the significant figure</w:t>
      </w:r>
      <w:r w:rsidR="002A1FC8" w:rsidRPr="002E20D7">
        <w:rPr>
          <w:sz w:val="24"/>
          <w:szCs w:val="24"/>
        </w:rPr>
        <w:t>”</w:t>
      </w:r>
      <w:r w:rsidRPr="002E20D7">
        <w:rPr>
          <w:sz w:val="24"/>
          <w:szCs w:val="24"/>
        </w:rPr>
        <w:t xml:space="preserve">’ </w:t>
      </w:r>
      <w:r w:rsidR="00D622B7">
        <w:rPr>
          <w:sz w:val="24"/>
          <w:szCs w:val="24"/>
        </w:rPr>
        <w:t>(</w:t>
      </w:r>
      <w:r w:rsidR="002A1FC8" w:rsidRPr="002E20D7">
        <w:rPr>
          <w:sz w:val="24"/>
          <w:szCs w:val="24"/>
        </w:rPr>
        <w:t>Merryman</w:t>
      </w:r>
      <w:r w:rsidR="00D622B7">
        <w:rPr>
          <w:sz w:val="24"/>
          <w:szCs w:val="24"/>
        </w:rPr>
        <w:t xml:space="preserve">, </w:t>
      </w:r>
      <w:r w:rsidRPr="002E20D7">
        <w:rPr>
          <w:sz w:val="24"/>
          <w:szCs w:val="24"/>
        </w:rPr>
        <w:t>74 n.14</w:t>
      </w:r>
      <w:r w:rsidR="00EE7D81" w:rsidRPr="002E20D7">
        <w:rPr>
          <w:sz w:val="24"/>
          <w:szCs w:val="24"/>
        </w:rPr>
        <w:t>)</w:t>
      </w:r>
      <w:r w:rsidRPr="002E20D7">
        <w:rPr>
          <w:sz w:val="24"/>
          <w:szCs w:val="24"/>
        </w:rPr>
        <w:t>.</w:t>
      </w:r>
      <w:r w:rsidR="00AF6CB6" w:rsidRPr="002E20D7">
        <w:rPr>
          <w:sz w:val="24"/>
          <w:szCs w:val="24"/>
        </w:rPr>
        <w:t xml:space="preserve"> However, this fails to account for the disparities in practical access that result from the ability to travel.</w:t>
      </w:r>
    </w:p>
  </w:endnote>
  <w:endnote w:id="13">
    <w:p w14:paraId="26081CD9" w14:textId="4F92EF37"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See, e.g., Lucas Lixinski</w:t>
      </w:r>
      <w:r w:rsidR="00AB31FC" w:rsidRPr="002E20D7">
        <w:rPr>
          <w:sz w:val="24"/>
          <w:szCs w:val="24"/>
        </w:rPr>
        <w:t>, “</w:t>
      </w:r>
      <w:r w:rsidRPr="002E20D7">
        <w:rPr>
          <w:sz w:val="24"/>
          <w:szCs w:val="24"/>
        </w:rPr>
        <w:t>A Third Way of Thinking about Cultural Property</w:t>
      </w:r>
      <w:r w:rsidR="00AB31FC" w:rsidRPr="002E20D7">
        <w:rPr>
          <w:sz w:val="24"/>
          <w:szCs w:val="24"/>
        </w:rPr>
        <w:t>,”</w:t>
      </w:r>
      <w:r w:rsidRPr="002E20D7">
        <w:rPr>
          <w:sz w:val="24"/>
          <w:szCs w:val="24"/>
        </w:rPr>
        <w:t xml:space="preserve"> </w:t>
      </w:r>
      <w:r w:rsidRPr="002E20D7">
        <w:rPr>
          <w:i/>
          <w:iCs/>
          <w:sz w:val="24"/>
          <w:szCs w:val="24"/>
        </w:rPr>
        <w:t>Brooklyn Journal of International Law</w:t>
      </w:r>
      <w:r w:rsidRPr="002E20D7">
        <w:rPr>
          <w:sz w:val="24"/>
          <w:szCs w:val="24"/>
        </w:rPr>
        <w:t xml:space="preserve"> 44 (2019): 564.</w:t>
      </w:r>
    </w:p>
  </w:endnote>
  <w:endnote w:id="14">
    <w:p w14:paraId="6C2CDD23" w14:textId="182B1655"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Karolina Wierczynska and Andrzej Jakubowski</w:t>
      </w:r>
      <w:r w:rsidR="00AB31FC" w:rsidRPr="002E20D7">
        <w:rPr>
          <w:sz w:val="24"/>
          <w:szCs w:val="24"/>
        </w:rPr>
        <w:t>, “</w:t>
      </w:r>
      <w:r w:rsidRPr="002E20D7">
        <w:rPr>
          <w:sz w:val="24"/>
          <w:szCs w:val="24"/>
        </w:rPr>
        <w:t xml:space="preserve">Individual Responsibility for Deliberate Destruction of Cultural Heritage: Contextualizing the ICC Judgment in the </w:t>
      </w:r>
      <w:r w:rsidRPr="002E20D7">
        <w:rPr>
          <w:i/>
          <w:iCs/>
          <w:sz w:val="24"/>
          <w:szCs w:val="24"/>
        </w:rPr>
        <w:t>Al-Mahdi</w:t>
      </w:r>
      <w:r w:rsidRPr="002E20D7">
        <w:rPr>
          <w:sz w:val="24"/>
          <w:szCs w:val="24"/>
        </w:rPr>
        <w:t xml:space="preserve"> Case</w:t>
      </w:r>
      <w:r w:rsidR="00AB31FC" w:rsidRPr="002E20D7">
        <w:rPr>
          <w:sz w:val="24"/>
          <w:szCs w:val="24"/>
        </w:rPr>
        <w:t>,”</w:t>
      </w:r>
      <w:r w:rsidRPr="002E20D7">
        <w:rPr>
          <w:sz w:val="24"/>
          <w:szCs w:val="24"/>
        </w:rPr>
        <w:t xml:space="preserve"> </w:t>
      </w:r>
      <w:r w:rsidRPr="002E20D7">
        <w:rPr>
          <w:i/>
          <w:iCs/>
          <w:sz w:val="24"/>
          <w:szCs w:val="24"/>
        </w:rPr>
        <w:t>Chinese Journal of International Law</w:t>
      </w:r>
      <w:r w:rsidRPr="002E20D7">
        <w:rPr>
          <w:sz w:val="24"/>
          <w:szCs w:val="24"/>
        </w:rPr>
        <w:t xml:space="preserve"> 16, no</w:t>
      </w:r>
      <w:r w:rsidR="00AA41D2" w:rsidRPr="002E20D7">
        <w:rPr>
          <w:sz w:val="24"/>
          <w:szCs w:val="24"/>
        </w:rPr>
        <w:t>.</w:t>
      </w:r>
      <w:r w:rsidRPr="002E20D7">
        <w:rPr>
          <w:sz w:val="24"/>
          <w:szCs w:val="24"/>
        </w:rPr>
        <w:t xml:space="preserve"> 4 (2017): 708; </w:t>
      </w:r>
      <w:r w:rsidR="00452BB8" w:rsidRPr="002E20D7">
        <w:rPr>
          <w:sz w:val="24"/>
          <w:szCs w:val="24"/>
        </w:rPr>
        <w:t xml:space="preserve">and </w:t>
      </w:r>
      <w:r w:rsidRPr="002E20D7">
        <w:rPr>
          <w:sz w:val="24"/>
          <w:szCs w:val="24"/>
        </w:rPr>
        <w:t>Federico Lenzerini</w:t>
      </w:r>
      <w:r w:rsidR="00AB31FC" w:rsidRPr="002E20D7">
        <w:rPr>
          <w:sz w:val="24"/>
          <w:szCs w:val="24"/>
        </w:rPr>
        <w:t>, “</w:t>
      </w:r>
      <w:r w:rsidRPr="002E20D7">
        <w:rPr>
          <w:sz w:val="24"/>
          <w:szCs w:val="24"/>
        </w:rPr>
        <w:t>Terrorism, Conflicts and the Responsibility to Protect Cultural Heritage</w:t>
      </w:r>
      <w:r w:rsidR="00AB31FC" w:rsidRPr="002E20D7">
        <w:rPr>
          <w:sz w:val="24"/>
          <w:szCs w:val="24"/>
        </w:rPr>
        <w:t>,”</w:t>
      </w:r>
      <w:r w:rsidRPr="002E20D7">
        <w:rPr>
          <w:sz w:val="24"/>
          <w:szCs w:val="24"/>
        </w:rPr>
        <w:t xml:space="preserve"> </w:t>
      </w:r>
      <w:r w:rsidRPr="002E20D7">
        <w:rPr>
          <w:i/>
          <w:iCs/>
          <w:sz w:val="24"/>
          <w:szCs w:val="24"/>
        </w:rPr>
        <w:t>International Spectator</w:t>
      </w:r>
      <w:r w:rsidRPr="002E20D7">
        <w:rPr>
          <w:sz w:val="24"/>
          <w:szCs w:val="24"/>
        </w:rPr>
        <w:t xml:space="preserve"> 51</w:t>
      </w:r>
      <w:r w:rsidR="00346E48" w:rsidRPr="002E20D7">
        <w:rPr>
          <w:sz w:val="24"/>
          <w:szCs w:val="24"/>
        </w:rPr>
        <w:t>,</w:t>
      </w:r>
      <w:r w:rsidRPr="002E20D7">
        <w:rPr>
          <w:sz w:val="24"/>
          <w:szCs w:val="24"/>
        </w:rPr>
        <w:t xml:space="preserve"> no</w:t>
      </w:r>
      <w:r w:rsidR="00AA41D2" w:rsidRPr="002E20D7">
        <w:rPr>
          <w:sz w:val="24"/>
          <w:szCs w:val="24"/>
        </w:rPr>
        <w:t>.</w:t>
      </w:r>
      <w:r w:rsidRPr="002E20D7">
        <w:rPr>
          <w:sz w:val="24"/>
          <w:szCs w:val="24"/>
        </w:rPr>
        <w:t xml:space="preserve"> 2 (2016): 74</w:t>
      </w:r>
      <w:r w:rsidR="00CC6FB2" w:rsidRPr="002E20D7">
        <w:rPr>
          <w:sz w:val="24"/>
          <w:szCs w:val="24"/>
        </w:rPr>
        <w:t>–</w:t>
      </w:r>
      <w:r w:rsidRPr="002E20D7">
        <w:rPr>
          <w:sz w:val="24"/>
          <w:szCs w:val="24"/>
        </w:rPr>
        <w:t>75.</w:t>
      </w:r>
    </w:p>
  </w:endnote>
  <w:endnote w:id="15">
    <w:p w14:paraId="26634C79" w14:textId="610E8A07"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Wierczynska and Jakubowski</w:t>
      </w:r>
      <w:r w:rsidR="00AB31FC" w:rsidRPr="002E20D7">
        <w:rPr>
          <w:sz w:val="24"/>
          <w:szCs w:val="24"/>
        </w:rPr>
        <w:t>, “</w:t>
      </w:r>
      <w:r w:rsidRPr="002E20D7">
        <w:rPr>
          <w:sz w:val="24"/>
          <w:szCs w:val="24"/>
        </w:rPr>
        <w:t>Individual Responsibility for Deliberate Destruction</w:t>
      </w:r>
      <w:r w:rsidR="00AB31FC" w:rsidRPr="002E20D7">
        <w:rPr>
          <w:sz w:val="24"/>
          <w:szCs w:val="24"/>
        </w:rPr>
        <w:t>,”</w:t>
      </w:r>
      <w:r w:rsidRPr="002E20D7">
        <w:rPr>
          <w:sz w:val="24"/>
          <w:szCs w:val="24"/>
        </w:rPr>
        <w:t xml:space="preserve"> 711</w:t>
      </w:r>
      <w:r w:rsidR="00CC6FB2" w:rsidRPr="002E20D7">
        <w:rPr>
          <w:sz w:val="24"/>
          <w:szCs w:val="24"/>
        </w:rPr>
        <w:t>–</w:t>
      </w:r>
      <w:r w:rsidRPr="002E20D7">
        <w:rPr>
          <w:sz w:val="24"/>
          <w:szCs w:val="24"/>
        </w:rPr>
        <w:t>13.</w:t>
      </w:r>
    </w:p>
  </w:endnote>
  <w:endnote w:id="16">
    <w:p w14:paraId="58FF0309" w14:textId="77777777" w:rsidR="00B300C2" w:rsidRPr="002E20D7" w:rsidRDefault="00B300C2" w:rsidP="00B300C2">
      <w:pPr>
        <w:pStyle w:val="EndnoteText"/>
        <w:spacing w:line="480" w:lineRule="auto"/>
        <w:rPr>
          <w:sz w:val="24"/>
          <w:szCs w:val="24"/>
        </w:rPr>
      </w:pPr>
      <w:r w:rsidRPr="002E20D7">
        <w:rPr>
          <w:rStyle w:val="EndnoteReference"/>
          <w:sz w:val="24"/>
          <w:szCs w:val="24"/>
        </w:rPr>
        <w:endnoteRef/>
      </w:r>
      <w:r w:rsidRPr="002E20D7">
        <w:rPr>
          <w:sz w:val="24"/>
          <w:szCs w:val="24"/>
        </w:rPr>
        <w:t xml:space="preserve"> Wendy MK Shaw, “</w:t>
      </w:r>
      <w:r w:rsidRPr="00353FB5">
        <w:rPr>
          <w:iCs/>
          <w:sz w:val="24"/>
          <w:szCs w:val="24"/>
        </w:rPr>
        <w:t>In Situ</w:t>
      </w:r>
      <w:r w:rsidRPr="002E20D7">
        <w:rPr>
          <w:sz w:val="24"/>
          <w:szCs w:val="24"/>
        </w:rPr>
        <w:t>: The Contraindications of World Heritage</w:t>
      </w:r>
      <w:r>
        <w:rPr>
          <w:sz w:val="24"/>
          <w:szCs w:val="24"/>
        </w:rPr>
        <w:t>,”</w:t>
      </w:r>
      <w:r w:rsidRPr="002E20D7">
        <w:rPr>
          <w:sz w:val="24"/>
          <w:szCs w:val="24"/>
        </w:rPr>
        <w:t xml:space="preserve"> </w:t>
      </w:r>
      <w:r w:rsidRPr="002E20D7">
        <w:rPr>
          <w:i/>
          <w:sz w:val="24"/>
          <w:szCs w:val="24"/>
        </w:rPr>
        <w:t>International Journal of Islamic Architecture</w:t>
      </w:r>
      <w:r w:rsidRPr="002E20D7">
        <w:rPr>
          <w:sz w:val="24"/>
          <w:szCs w:val="24"/>
        </w:rPr>
        <w:t xml:space="preserve"> 6 (2017): 341.</w:t>
      </w:r>
    </w:p>
  </w:endnote>
  <w:endnote w:id="17">
    <w:p w14:paraId="08CFBF77" w14:textId="4DDBFE14"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Stephennie Mulder</w:t>
      </w:r>
      <w:r w:rsidR="00AB31FC" w:rsidRPr="002E20D7">
        <w:rPr>
          <w:sz w:val="24"/>
          <w:szCs w:val="24"/>
        </w:rPr>
        <w:t>, “</w:t>
      </w:r>
      <w:r w:rsidRPr="002E20D7">
        <w:rPr>
          <w:sz w:val="24"/>
          <w:szCs w:val="24"/>
        </w:rPr>
        <w:t>Imagining Localities of Antiquity in Islamic Societies</w:t>
      </w:r>
      <w:r w:rsidR="00AB31FC" w:rsidRPr="002E20D7">
        <w:rPr>
          <w:sz w:val="24"/>
          <w:szCs w:val="24"/>
        </w:rPr>
        <w:t>,”</w:t>
      </w:r>
      <w:r w:rsidRPr="002E20D7">
        <w:rPr>
          <w:sz w:val="24"/>
          <w:szCs w:val="24"/>
        </w:rPr>
        <w:t xml:space="preserve"> </w:t>
      </w:r>
      <w:r w:rsidRPr="002E20D7">
        <w:rPr>
          <w:i/>
          <w:iCs/>
          <w:sz w:val="24"/>
          <w:szCs w:val="24"/>
        </w:rPr>
        <w:t>I</w:t>
      </w:r>
      <w:r w:rsidRPr="002E20D7">
        <w:rPr>
          <w:i/>
          <w:sz w:val="24"/>
          <w:szCs w:val="24"/>
        </w:rPr>
        <w:t>nternational Journal of Islamic Architecture</w:t>
      </w:r>
      <w:r w:rsidRPr="002E20D7">
        <w:rPr>
          <w:sz w:val="24"/>
          <w:szCs w:val="24"/>
        </w:rPr>
        <w:t xml:space="preserve"> 6 (2017): 229.</w:t>
      </w:r>
    </w:p>
  </w:endnote>
  <w:endnote w:id="18">
    <w:p w14:paraId="24F0DEBF" w14:textId="78FAF173" w:rsidR="009847F2" w:rsidRPr="002E20D7" w:rsidRDefault="009847F2" w:rsidP="009F35FF">
      <w:pPr>
        <w:pStyle w:val="EndnoteText"/>
        <w:spacing w:line="480" w:lineRule="auto"/>
        <w:contextualSpacing/>
        <w:rPr>
          <w:iCs/>
          <w:sz w:val="24"/>
          <w:szCs w:val="24"/>
        </w:rPr>
      </w:pPr>
      <w:r w:rsidRPr="002E20D7">
        <w:rPr>
          <w:rStyle w:val="EndnoteReference"/>
          <w:sz w:val="24"/>
          <w:szCs w:val="24"/>
        </w:rPr>
        <w:endnoteRef/>
      </w:r>
      <w:r w:rsidRPr="002E20D7">
        <w:rPr>
          <w:sz w:val="24"/>
          <w:szCs w:val="24"/>
        </w:rPr>
        <w:t> Kanishk Tharoor</w:t>
      </w:r>
      <w:r w:rsidR="00AB31FC" w:rsidRPr="002E20D7">
        <w:rPr>
          <w:sz w:val="24"/>
          <w:szCs w:val="24"/>
        </w:rPr>
        <w:t>, “</w:t>
      </w:r>
      <w:r w:rsidRPr="002E20D7">
        <w:rPr>
          <w:iCs/>
          <w:sz w:val="24"/>
          <w:szCs w:val="24"/>
        </w:rPr>
        <w:t xml:space="preserve">Life </w:t>
      </w:r>
      <w:r w:rsidR="00E148F3" w:rsidRPr="002E20D7">
        <w:rPr>
          <w:iCs/>
          <w:sz w:val="24"/>
          <w:szCs w:val="24"/>
        </w:rPr>
        <w:t>a</w:t>
      </w:r>
      <w:r w:rsidRPr="002E20D7">
        <w:rPr>
          <w:iCs/>
          <w:sz w:val="24"/>
          <w:szCs w:val="24"/>
        </w:rPr>
        <w:t>mong the Ruins</w:t>
      </w:r>
      <w:r w:rsidR="00AB31FC" w:rsidRPr="002E20D7">
        <w:rPr>
          <w:sz w:val="24"/>
          <w:szCs w:val="24"/>
        </w:rPr>
        <w:t>,”</w:t>
      </w:r>
      <w:r w:rsidRPr="002E20D7">
        <w:rPr>
          <w:sz w:val="24"/>
          <w:szCs w:val="24"/>
        </w:rPr>
        <w:t xml:space="preserve"> </w:t>
      </w:r>
      <w:r w:rsidRPr="00353FB5">
        <w:rPr>
          <w:i/>
          <w:iCs/>
          <w:sz w:val="24"/>
          <w:szCs w:val="24"/>
        </w:rPr>
        <w:t>N</w:t>
      </w:r>
      <w:r w:rsidR="00991B05" w:rsidRPr="00353FB5">
        <w:rPr>
          <w:i/>
          <w:iCs/>
          <w:sz w:val="24"/>
          <w:szCs w:val="24"/>
        </w:rPr>
        <w:t>ew York</w:t>
      </w:r>
      <w:r w:rsidRPr="00353FB5">
        <w:rPr>
          <w:i/>
          <w:iCs/>
          <w:sz w:val="24"/>
          <w:szCs w:val="24"/>
        </w:rPr>
        <w:t xml:space="preserve"> </w:t>
      </w:r>
      <w:r w:rsidRPr="002E20D7">
        <w:rPr>
          <w:i/>
          <w:iCs/>
          <w:sz w:val="24"/>
          <w:szCs w:val="24"/>
        </w:rPr>
        <w:t>Times</w:t>
      </w:r>
      <w:r w:rsidRPr="002E20D7">
        <w:rPr>
          <w:sz w:val="24"/>
          <w:szCs w:val="24"/>
        </w:rPr>
        <w:t xml:space="preserve">, </w:t>
      </w:r>
      <w:r w:rsidR="00A1677C" w:rsidRPr="002E20D7">
        <w:rPr>
          <w:sz w:val="24"/>
          <w:szCs w:val="24"/>
        </w:rPr>
        <w:t xml:space="preserve">20 </w:t>
      </w:r>
      <w:r w:rsidRPr="002E20D7">
        <w:rPr>
          <w:sz w:val="24"/>
          <w:szCs w:val="24"/>
        </w:rPr>
        <w:t>Mar</w:t>
      </w:r>
      <w:r w:rsidR="00A1677C" w:rsidRPr="002E20D7">
        <w:rPr>
          <w:sz w:val="24"/>
          <w:szCs w:val="24"/>
        </w:rPr>
        <w:t>ch</w:t>
      </w:r>
      <w:r w:rsidRPr="002E20D7">
        <w:rPr>
          <w:sz w:val="24"/>
          <w:szCs w:val="24"/>
        </w:rPr>
        <w:t xml:space="preserve"> 2016.</w:t>
      </w:r>
    </w:p>
  </w:endnote>
  <w:endnote w:id="19">
    <w:p w14:paraId="2410ED9D" w14:textId="7195FE0A"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Luck</w:t>
      </w:r>
      <w:r w:rsidR="00AB31FC" w:rsidRPr="002E20D7">
        <w:rPr>
          <w:sz w:val="24"/>
          <w:szCs w:val="24"/>
        </w:rPr>
        <w:t xml:space="preserve">, </w:t>
      </w:r>
      <w:r w:rsidRPr="00353FB5">
        <w:rPr>
          <w:i/>
          <w:iCs/>
          <w:sz w:val="24"/>
          <w:szCs w:val="24"/>
        </w:rPr>
        <w:t>Cultural Genocide</w:t>
      </w:r>
      <w:r w:rsidR="00AB31FC" w:rsidRPr="002E20D7">
        <w:rPr>
          <w:sz w:val="24"/>
          <w:szCs w:val="24"/>
        </w:rPr>
        <w:t>,</w:t>
      </w:r>
      <w:r w:rsidRPr="002E20D7">
        <w:rPr>
          <w:sz w:val="24"/>
          <w:szCs w:val="24"/>
        </w:rPr>
        <w:t xml:space="preserve"> 26</w:t>
      </w:r>
      <w:r w:rsidR="00CC6FB2" w:rsidRPr="002E20D7">
        <w:rPr>
          <w:sz w:val="24"/>
          <w:szCs w:val="24"/>
        </w:rPr>
        <w:t>–</w:t>
      </w:r>
      <w:r w:rsidRPr="002E20D7">
        <w:rPr>
          <w:sz w:val="24"/>
          <w:szCs w:val="24"/>
        </w:rPr>
        <w:t xml:space="preserve">27; </w:t>
      </w:r>
      <w:r w:rsidR="00002C89" w:rsidRPr="002E20D7">
        <w:rPr>
          <w:sz w:val="24"/>
          <w:szCs w:val="24"/>
        </w:rPr>
        <w:t xml:space="preserve">and </w:t>
      </w:r>
      <w:r w:rsidRPr="002E20D7">
        <w:rPr>
          <w:sz w:val="24"/>
          <w:szCs w:val="24"/>
        </w:rPr>
        <w:t>Francesco Francioni</w:t>
      </w:r>
      <w:r w:rsidR="00AB31FC" w:rsidRPr="002E20D7">
        <w:rPr>
          <w:sz w:val="24"/>
          <w:szCs w:val="24"/>
        </w:rPr>
        <w:t>, “</w:t>
      </w:r>
      <w:r w:rsidRPr="002E20D7">
        <w:rPr>
          <w:sz w:val="24"/>
          <w:szCs w:val="24"/>
        </w:rPr>
        <w:t>Beyond State Sovereignty: The Protection of Cultural Heritage as a Shared Interest of Humanity</w:t>
      </w:r>
      <w:r w:rsidR="00AB31FC" w:rsidRPr="002E20D7">
        <w:rPr>
          <w:sz w:val="24"/>
          <w:szCs w:val="24"/>
        </w:rPr>
        <w:t>,”</w:t>
      </w:r>
      <w:r w:rsidRPr="002E20D7">
        <w:rPr>
          <w:sz w:val="24"/>
          <w:szCs w:val="24"/>
        </w:rPr>
        <w:t xml:space="preserve"> </w:t>
      </w:r>
      <w:r w:rsidRPr="002E20D7">
        <w:rPr>
          <w:i/>
          <w:iCs/>
          <w:sz w:val="24"/>
          <w:szCs w:val="24"/>
        </w:rPr>
        <w:t>Michigan Journal of International Law</w:t>
      </w:r>
      <w:r w:rsidRPr="002E20D7">
        <w:rPr>
          <w:sz w:val="24"/>
          <w:szCs w:val="24"/>
        </w:rPr>
        <w:t xml:space="preserve"> 25 (2004): 1212</w:t>
      </w:r>
      <w:r w:rsidR="00CC6FB2" w:rsidRPr="002E20D7">
        <w:rPr>
          <w:sz w:val="24"/>
          <w:szCs w:val="24"/>
        </w:rPr>
        <w:t>–</w:t>
      </w:r>
      <w:r w:rsidRPr="002E20D7">
        <w:rPr>
          <w:sz w:val="24"/>
          <w:szCs w:val="24"/>
        </w:rPr>
        <w:t>13.</w:t>
      </w:r>
    </w:p>
  </w:endnote>
  <w:endnote w:id="20">
    <w:p w14:paraId="385190BE" w14:textId="6278DD4F" w:rsidR="009847F2" w:rsidRPr="002E20D7" w:rsidRDefault="009847F2" w:rsidP="00006003">
      <w:pPr>
        <w:pStyle w:val="EndnoteText"/>
        <w:spacing w:line="480" w:lineRule="auto"/>
        <w:contextualSpacing/>
        <w:rPr>
          <w:sz w:val="24"/>
          <w:szCs w:val="24"/>
        </w:rPr>
      </w:pPr>
      <w:r w:rsidRPr="002E20D7">
        <w:rPr>
          <w:rStyle w:val="EndnoteReference"/>
          <w:sz w:val="24"/>
          <w:szCs w:val="24"/>
        </w:rPr>
        <w:endnoteRef/>
      </w:r>
      <w:r w:rsidRPr="002E20D7">
        <w:rPr>
          <w:sz w:val="24"/>
          <w:szCs w:val="24"/>
        </w:rPr>
        <w:t xml:space="preserve"> </w:t>
      </w:r>
      <w:r w:rsidR="00DA481F" w:rsidRPr="002E20D7">
        <w:rPr>
          <w:sz w:val="24"/>
          <w:szCs w:val="24"/>
        </w:rPr>
        <w:t xml:space="preserve">Bennoune, </w:t>
      </w:r>
      <w:r w:rsidR="00DA481F" w:rsidRPr="002E20D7">
        <w:rPr>
          <w:i/>
          <w:iCs/>
          <w:sz w:val="24"/>
          <w:szCs w:val="24"/>
        </w:rPr>
        <w:t>Report of the Special Rapporteur</w:t>
      </w:r>
      <w:r w:rsidRPr="002E20D7">
        <w:rPr>
          <w:color w:val="000000"/>
          <w:sz w:val="24"/>
          <w:szCs w:val="24"/>
          <w:shd w:val="clear" w:color="auto" w:fill="FFFFFF"/>
        </w:rPr>
        <w:t>,</w:t>
      </w:r>
      <w:r w:rsidRPr="002E20D7">
        <w:rPr>
          <w:sz w:val="24"/>
          <w:szCs w:val="24"/>
        </w:rPr>
        <w:t xml:space="preserve"> 11 (internal citations omitted).</w:t>
      </w:r>
    </w:p>
  </w:endnote>
  <w:endnote w:id="21">
    <w:p w14:paraId="5667CF44" w14:textId="695EA864"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w:t>
      </w:r>
      <w:r w:rsidR="002A02D2" w:rsidRPr="002E20D7">
        <w:rPr>
          <w:sz w:val="24"/>
          <w:szCs w:val="24"/>
        </w:rPr>
        <w:t xml:space="preserve">ICJ, </w:t>
      </w:r>
      <w:r w:rsidRPr="002E20D7">
        <w:rPr>
          <w:sz w:val="24"/>
          <w:szCs w:val="24"/>
        </w:rPr>
        <w:t xml:space="preserve">Request for Interpretation of the Judgment of 15 June 1962 in the Case </w:t>
      </w:r>
      <w:r w:rsidR="003E11A5" w:rsidRPr="002E20D7">
        <w:rPr>
          <w:sz w:val="24"/>
          <w:szCs w:val="24"/>
        </w:rPr>
        <w:t>C</w:t>
      </w:r>
      <w:r w:rsidRPr="002E20D7">
        <w:rPr>
          <w:sz w:val="24"/>
          <w:szCs w:val="24"/>
        </w:rPr>
        <w:t xml:space="preserve">oncerning the </w:t>
      </w:r>
      <w:r w:rsidRPr="00353FB5">
        <w:rPr>
          <w:i/>
          <w:iCs/>
          <w:sz w:val="24"/>
          <w:szCs w:val="24"/>
        </w:rPr>
        <w:t>Temple of Preah Vihear (Cambodia v. Thailand)</w:t>
      </w:r>
      <w:r w:rsidR="00F855A5" w:rsidRPr="0076494F">
        <w:rPr>
          <w:i/>
          <w:iCs/>
          <w:sz w:val="24"/>
          <w:szCs w:val="24"/>
        </w:rPr>
        <w:t xml:space="preserve"> </w:t>
      </w:r>
      <w:r w:rsidR="00F855A5" w:rsidRPr="00353FB5">
        <w:rPr>
          <w:sz w:val="24"/>
          <w:szCs w:val="24"/>
        </w:rPr>
        <w:t>(Cambodia v. Thailand)</w:t>
      </w:r>
      <w:r w:rsidRPr="002E20D7">
        <w:rPr>
          <w:sz w:val="24"/>
          <w:szCs w:val="24"/>
        </w:rPr>
        <w:t xml:space="preserve">, Summary of the Order of 18 July 2011, Separate </w:t>
      </w:r>
      <w:r w:rsidR="003E11A5" w:rsidRPr="002E20D7">
        <w:rPr>
          <w:sz w:val="24"/>
          <w:szCs w:val="24"/>
        </w:rPr>
        <w:t>O</w:t>
      </w:r>
      <w:r w:rsidRPr="002E20D7">
        <w:rPr>
          <w:sz w:val="24"/>
          <w:szCs w:val="24"/>
        </w:rPr>
        <w:t>pinion of Judge Cançad</w:t>
      </w:r>
      <w:r w:rsidR="00C31811">
        <w:rPr>
          <w:sz w:val="24"/>
          <w:szCs w:val="24"/>
        </w:rPr>
        <w:t>o</w:t>
      </w:r>
      <w:r w:rsidRPr="002E20D7">
        <w:rPr>
          <w:sz w:val="24"/>
          <w:szCs w:val="24"/>
        </w:rPr>
        <w:t xml:space="preserve"> Trindade, </w:t>
      </w:r>
      <w:r w:rsidR="003E11A5" w:rsidRPr="002E20D7">
        <w:rPr>
          <w:sz w:val="24"/>
          <w:szCs w:val="24"/>
        </w:rPr>
        <w:t>paras.</w:t>
      </w:r>
      <w:r w:rsidRPr="002E20D7">
        <w:rPr>
          <w:sz w:val="24"/>
          <w:szCs w:val="24"/>
        </w:rPr>
        <w:t> 20</w:t>
      </w:r>
      <w:r w:rsidR="00CC6FB2" w:rsidRPr="002E20D7">
        <w:rPr>
          <w:sz w:val="24"/>
          <w:szCs w:val="24"/>
        </w:rPr>
        <w:t>–</w:t>
      </w:r>
      <w:r w:rsidRPr="002E20D7">
        <w:rPr>
          <w:sz w:val="24"/>
          <w:szCs w:val="24"/>
        </w:rPr>
        <w:t xml:space="preserve">26, </w:t>
      </w:r>
      <w:r w:rsidR="003E11A5" w:rsidRPr="002E20D7">
        <w:rPr>
          <w:sz w:val="24"/>
          <w:szCs w:val="24"/>
        </w:rPr>
        <w:t>https://www.icj-cij.org/en/case/151/orders</w:t>
      </w:r>
      <w:r w:rsidRPr="002E20D7">
        <w:rPr>
          <w:sz w:val="24"/>
          <w:szCs w:val="24"/>
        </w:rPr>
        <w:t xml:space="preserve">; </w:t>
      </w:r>
      <w:r w:rsidR="00F204C3" w:rsidRPr="002E20D7">
        <w:rPr>
          <w:sz w:val="24"/>
          <w:szCs w:val="24"/>
        </w:rPr>
        <w:t>and</w:t>
      </w:r>
      <w:r w:rsidR="00A67E84">
        <w:rPr>
          <w:sz w:val="24"/>
          <w:szCs w:val="24"/>
        </w:rPr>
        <w:t>, in the same case,</w:t>
      </w:r>
      <w:r w:rsidR="00F204C3" w:rsidRPr="002E20D7">
        <w:rPr>
          <w:sz w:val="24"/>
          <w:szCs w:val="24"/>
        </w:rPr>
        <w:t xml:space="preserve"> </w:t>
      </w:r>
      <w:r w:rsidR="003E11A5" w:rsidRPr="002E20D7">
        <w:rPr>
          <w:sz w:val="24"/>
          <w:szCs w:val="24"/>
        </w:rPr>
        <w:t>Judgment of</w:t>
      </w:r>
      <w:r w:rsidRPr="002E20D7">
        <w:rPr>
          <w:sz w:val="24"/>
          <w:szCs w:val="24"/>
        </w:rPr>
        <w:t xml:space="preserve"> 11 Nov</w:t>
      </w:r>
      <w:r w:rsidR="003E11A5" w:rsidRPr="002E20D7">
        <w:rPr>
          <w:sz w:val="24"/>
          <w:szCs w:val="24"/>
        </w:rPr>
        <w:t>ember</w:t>
      </w:r>
      <w:r w:rsidRPr="002E20D7">
        <w:rPr>
          <w:sz w:val="24"/>
          <w:szCs w:val="24"/>
        </w:rPr>
        <w:t xml:space="preserve"> 2013, Separate </w:t>
      </w:r>
      <w:r w:rsidR="00B40351" w:rsidRPr="002E20D7">
        <w:rPr>
          <w:sz w:val="24"/>
          <w:szCs w:val="24"/>
        </w:rPr>
        <w:t>O</w:t>
      </w:r>
      <w:r w:rsidRPr="002E20D7">
        <w:rPr>
          <w:sz w:val="24"/>
          <w:szCs w:val="24"/>
        </w:rPr>
        <w:t>pinion of Judge Cançad</w:t>
      </w:r>
      <w:r w:rsidR="00C31811">
        <w:rPr>
          <w:sz w:val="24"/>
          <w:szCs w:val="24"/>
        </w:rPr>
        <w:t>o</w:t>
      </w:r>
      <w:r w:rsidRPr="002E20D7">
        <w:rPr>
          <w:sz w:val="24"/>
          <w:szCs w:val="24"/>
        </w:rPr>
        <w:t xml:space="preserve"> Trindade, </w:t>
      </w:r>
      <w:r w:rsidR="00223680" w:rsidRPr="002E20D7">
        <w:rPr>
          <w:sz w:val="24"/>
          <w:szCs w:val="24"/>
        </w:rPr>
        <w:t>paras. </w:t>
      </w:r>
      <w:r w:rsidRPr="002E20D7">
        <w:rPr>
          <w:sz w:val="24"/>
          <w:szCs w:val="24"/>
        </w:rPr>
        <w:t>30</w:t>
      </w:r>
      <w:r w:rsidR="00CC6FB2" w:rsidRPr="002E20D7">
        <w:rPr>
          <w:sz w:val="24"/>
          <w:szCs w:val="24"/>
        </w:rPr>
        <w:t>–</w:t>
      </w:r>
      <w:r w:rsidRPr="002E20D7">
        <w:rPr>
          <w:sz w:val="24"/>
          <w:szCs w:val="24"/>
        </w:rPr>
        <w:t xml:space="preserve">33, </w:t>
      </w:r>
      <w:r w:rsidR="003E11A5" w:rsidRPr="00353FB5">
        <w:rPr>
          <w:sz w:val="24"/>
          <w:szCs w:val="24"/>
        </w:rPr>
        <w:t>https://www.icj-cij.org/en/case/151/judgments</w:t>
      </w:r>
      <w:r w:rsidRPr="002E20D7">
        <w:rPr>
          <w:sz w:val="24"/>
          <w:szCs w:val="24"/>
        </w:rPr>
        <w:t xml:space="preserve">. </w:t>
      </w:r>
      <w:r w:rsidR="00F204C3" w:rsidRPr="002E20D7">
        <w:rPr>
          <w:sz w:val="24"/>
          <w:szCs w:val="24"/>
        </w:rPr>
        <w:t xml:space="preserve">See also </w:t>
      </w:r>
      <w:r w:rsidRPr="002E20D7">
        <w:rPr>
          <w:sz w:val="24"/>
          <w:szCs w:val="24"/>
        </w:rPr>
        <w:t xml:space="preserve">Alessandro Chechi, </w:t>
      </w:r>
      <w:r w:rsidR="00F204C3" w:rsidRPr="002E20D7">
        <w:rPr>
          <w:sz w:val="24"/>
          <w:szCs w:val="24"/>
        </w:rPr>
        <w:t>“</w:t>
      </w:r>
      <w:r w:rsidRPr="002E20D7">
        <w:rPr>
          <w:sz w:val="24"/>
          <w:szCs w:val="24"/>
        </w:rPr>
        <w:t>The 2013 Judgment of the ICJ in the Temple of Preah Vihear Case and the Protection of World Cultural Heritage Sites in Wartime,</w:t>
      </w:r>
      <w:r w:rsidR="002522E7" w:rsidRPr="002E20D7">
        <w:rPr>
          <w:sz w:val="24"/>
          <w:szCs w:val="24"/>
        </w:rPr>
        <w:t>”</w:t>
      </w:r>
      <w:r w:rsidRPr="002E20D7">
        <w:rPr>
          <w:sz w:val="24"/>
          <w:szCs w:val="24"/>
        </w:rPr>
        <w:t xml:space="preserve"> </w:t>
      </w:r>
      <w:r w:rsidRPr="002E20D7">
        <w:rPr>
          <w:i/>
          <w:iCs/>
          <w:sz w:val="24"/>
          <w:szCs w:val="24"/>
        </w:rPr>
        <w:t>Asian Journal of International Law</w:t>
      </w:r>
      <w:r w:rsidRPr="002E20D7">
        <w:rPr>
          <w:sz w:val="24"/>
          <w:szCs w:val="24"/>
        </w:rPr>
        <w:t xml:space="preserve"> 6 (2016): 358</w:t>
      </w:r>
      <w:r w:rsidR="00CC6FB2" w:rsidRPr="002E20D7">
        <w:rPr>
          <w:sz w:val="24"/>
          <w:szCs w:val="24"/>
        </w:rPr>
        <w:t>–</w:t>
      </w:r>
      <w:r w:rsidRPr="002E20D7">
        <w:rPr>
          <w:sz w:val="24"/>
          <w:szCs w:val="24"/>
        </w:rPr>
        <w:t>59.</w:t>
      </w:r>
    </w:p>
  </w:endnote>
  <w:endnote w:id="22">
    <w:p w14:paraId="7D1E7C6C" w14:textId="7E0D2A45"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EC0AD0" w:rsidRPr="002E20D7">
        <w:rPr>
          <w:sz w:val="24"/>
          <w:szCs w:val="24"/>
        </w:rPr>
        <w:t xml:space="preserve">ICJ, </w:t>
      </w:r>
      <w:r w:rsidRPr="002E20D7">
        <w:rPr>
          <w:sz w:val="24"/>
          <w:szCs w:val="24"/>
        </w:rPr>
        <w:t>Request for Interpretation</w:t>
      </w:r>
      <w:r w:rsidR="00EC10B7">
        <w:rPr>
          <w:sz w:val="24"/>
          <w:szCs w:val="24"/>
        </w:rPr>
        <w:t>,</w:t>
      </w:r>
      <w:r w:rsidRPr="002E20D7">
        <w:rPr>
          <w:sz w:val="24"/>
          <w:szCs w:val="24"/>
        </w:rPr>
        <w:t xml:space="preserve"> </w:t>
      </w:r>
      <w:r w:rsidR="00F855A5" w:rsidRPr="00E65385">
        <w:rPr>
          <w:sz w:val="24"/>
          <w:szCs w:val="24"/>
        </w:rPr>
        <w:t>Cambodia v. Thailand</w:t>
      </w:r>
      <w:r w:rsidRPr="002E20D7">
        <w:rPr>
          <w:sz w:val="24"/>
          <w:szCs w:val="24"/>
        </w:rPr>
        <w:t xml:space="preserve">, Provisional Measures, Order of 18 July 2011, </w:t>
      </w:r>
      <w:r w:rsidR="00417279" w:rsidRPr="002E20D7">
        <w:rPr>
          <w:sz w:val="24"/>
          <w:szCs w:val="24"/>
        </w:rPr>
        <w:t>para.</w:t>
      </w:r>
      <w:r w:rsidRPr="002E20D7">
        <w:rPr>
          <w:sz w:val="24"/>
          <w:szCs w:val="24"/>
        </w:rPr>
        <w:t xml:space="preserve"> 106</w:t>
      </w:r>
      <w:r w:rsidR="006459AF" w:rsidRPr="002E20D7">
        <w:rPr>
          <w:sz w:val="24"/>
          <w:szCs w:val="24"/>
        </w:rPr>
        <w:t>,</w:t>
      </w:r>
      <w:r w:rsidR="009A649F" w:rsidRPr="00353FB5">
        <w:rPr>
          <w:sz w:val="24"/>
          <w:szCs w:val="24"/>
        </w:rPr>
        <w:t xml:space="preserve"> </w:t>
      </w:r>
      <w:r w:rsidR="009A649F" w:rsidRPr="002E20D7">
        <w:rPr>
          <w:sz w:val="24"/>
          <w:szCs w:val="24"/>
        </w:rPr>
        <w:t>https://www.icj-cij.org/en/case/151/provisional-measures</w:t>
      </w:r>
      <w:r w:rsidRPr="002E20D7">
        <w:rPr>
          <w:sz w:val="24"/>
          <w:szCs w:val="24"/>
        </w:rPr>
        <w:t xml:space="preserve">; </w:t>
      </w:r>
      <w:r w:rsidR="00E51815" w:rsidRPr="002E20D7">
        <w:rPr>
          <w:sz w:val="24"/>
          <w:szCs w:val="24"/>
        </w:rPr>
        <w:t xml:space="preserve">and </w:t>
      </w:r>
      <w:r w:rsidRPr="002E20D7">
        <w:rPr>
          <w:sz w:val="24"/>
          <w:szCs w:val="24"/>
        </w:rPr>
        <w:t>Chechi</w:t>
      </w:r>
      <w:r w:rsidR="00E51815" w:rsidRPr="002E20D7">
        <w:rPr>
          <w:sz w:val="24"/>
          <w:szCs w:val="24"/>
        </w:rPr>
        <w:t>,</w:t>
      </w:r>
      <w:r w:rsidRPr="002E20D7">
        <w:rPr>
          <w:sz w:val="24"/>
          <w:szCs w:val="24"/>
        </w:rPr>
        <w:t xml:space="preserve"> </w:t>
      </w:r>
      <w:r w:rsidR="00E51815" w:rsidRPr="002E20D7">
        <w:rPr>
          <w:sz w:val="24"/>
          <w:szCs w:val="24"/>
        </w:rPr>
        <w:t>“</w:t>
      </w:r>
      <w:r w:rsidRPr="002E20D7">
        <w:rPr>
          <w:sz w:val="24"/>
          <w:szCs w:val="24"/>
        </w:rPr>
        <w:t>The 2013 Judgment of the ICJ</w:t>
      </w:r>
      <w:r w:rsidR="00E51815" w:rsidRPr="002E20D7">
        <w:rPr>
          <w:sz w:val="24"/>
          <w:szCs w:val="24"/>
        </w:rPr>
        <w:t>,”</w:t>
      </w:r>
      <w:r w:rsidRPr="002E20D7">
        <w:rPr>
          <w:sz w:val="24"/>
          <w:szCs w:val="24"/>
        </w:rPr>
        <w:t xml:space="preserve"> 368.</w:t>
      </w:r>
    </w:p>
  </w:endnote>
  <w:endnote w:id="23">
    <w:p w14:paraId="678752F8" w14:textId="523F87C7"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w:t>
      </w:r>
      <w:r w:rsidR="009F2EA5" w:rsidRPr="002E20D7">
        <w:rPr>
          <w:sz w:val="24"/>
          <w:szCs w:val="24"/>
        </w:rPr>
        <w:t>ICJ,</w:t>
      </w:r>
      <w:r w:rsidR="009F2EA5" w:rsidRPr="002E20D7">
        <w:rPr>
          <w:i/>
          <w:sz w:val="24"/>
          <w:szCs w:val="24"/>
        </w:rPr>
        <w:t xml:space="preserve"> </w:t>
      </w:r>
      <w:r w:rsidR="00DA71DD" w:rsidRPr="002E20D7">
        <w:rPr>
          <w:sz w:val="24"/>
          <w:szCs w:val="24"/>
        </w:rPr>
        <w:t>Request for Interpretation</w:t>
      </w:r>
      <w:r w:rsidR="00DA71DD">
        <w:rPr>
          <w:sz w:val="24"/>
          <w:szCs w:val="24"/>
        </w:rPr>
        <w:t>,</w:t>
      </w:r>
      <w:r w:rsidR="00DA71DD" w:rsidRPr="002E20D7">
        <w:rPr>
          <w:sz w:val="24"/>
          <w:szCs w:val="24"/>
        </w:rPr>
        <w:t xml:space="preserve"> </w:t>
      </w:r>
      <w:r w:rsidR="00FC7D0F" w:rsidRPr="00E65385">
        <w:rPr>
          <w:sz w:val="24"/>
          <w:szCs w:val="24"/>
        </w:rPr>
        <w:t>Cambodia v. Thailand</w:t>
      </w:r>
      <w:r w:rsidR="00FC7D0F" w:rsidRPr="002E20D7">
        <w:rPr>
          <w:sz w:val="24"/>
          <w:szCs w:val="24"/>
        </w:rPr>
        <w:t xml:space="preserve">, </w:t>
      </w:r>
      <w:r w:rsidR="009F2EA5" w:rsidRPr="002E20D7">
        <w:rPr>
          <w:sz w:val="24"/>
          <w:szCs w:val="24"/>
        </w:rPr>
        <w:t>Judgment of 11 November 2013, para.</w:t>
      </w:r>
      <w:r w:rsidRPr="002E20D7">
        <w:rPr>
          <w:sz w:val="24"/>
          <w:szCs w:val="24"/>
        </w:rPr>
        <w:t> 33 (italics in original</w:t>
      </w:r>
      <w:r w:rsidR="00A90343" w:rsidRPr="002E20D7">
        <w:rPr>
          <w:sz w:val="24"/>
          <w:szCs w:val="24"/>
        </w:rPr>
        <w:t>;</w:t>
      </w:r>
      <w:r w:rsidRPr="002E20D7">
        <w:rPr>
          <w:sz w:val="24"/>
          <w:szCs w:val="24"/>
        </w:rPr>
        <w:t xml:space="preserve"> omitting internal citations).</w:t>
      </w:r>
    </w:p>
  </w:endnote>
  <w:endnote w:id="24">
    <w:p w14:paraId="36243CAE" w14:textId="0369DC3C"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190D42" w:rsidRPr="002E20D7">
        <w:rPr>
          <w:sz w:val="24"/>
          <w:szCs w:val="24"/>
        </w:rPr>
        <w:t>UN</w:t>
      </w:r>
      <w:r w:rsidRPr="002E20D7">
        <w:rPr>
          <w:sz w:val="24"/>
          <w:szCs w:val="24"/>
        </w:rPr>
        <w:t xml:space="preserve">, </w:t>
      </w:r>
      <w:r w:rsidRPr="00353FB5">
        <w:rPr>
          <w:i/>
          <w:iCs/>
          <w:sz w:val="24"/>
          <w:szCs w:val="24"/>
        </w:rPr>
        <w:t>Framework of Analysis for Atrocity Crimes</w:t>
      </w:r>
      <w:r w:rsidR="00864AC9" w:rsidRPr="002E20D7">
        <w:rPr>
          <w:i/>
          <w:iCs/>
          <w:sz w:val="24"/>
          <w:szCs w:val="24"/>
        </w:rPr>
        <w:t>: A Tool for Prevention</w:t>
      </w:r>
      <w:r w:rsidR="00864AC9" w:rsidRPr="002E20D7">
        <w:rPr>
          <w:sz w:val="24"/>
          <w:szCs w:val="24"/>
        </w:rPr>
        <w:t xml:space="preserve"> (New York: United Nations, 2014),</w:t>
      </w:r>
      <w:r w:rsidRPr="002E20D7">
        <w:rPr>
          <w:sz w:val="24"/>
          <w:szCs w:val="24"/>
        </w:rPr>
        <w:t xml:space="preserve"> 1.</w:t>
      </w:r>
    </w:p>
  </w:endnote>
  <w:endnote w:id="25">
    <w:p w14:paraId="0E8B21F4" w14:textId="0F329123"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190D42" w:rsidRPr="002E20D7">
        <w:rPr>
          <w:sz w:val="24"/>
          <w:szCs w:val="24"/>
        </w:rPr>
        <w:t>UN</w:t>
      </w:r>
      <w:r w:rsidRPr="002E20D7">
        <w:rPr>
          <w:sz w:val="24"/>
          <w:szCs w:val="24"/>
        </w:rPr>
        <w:t>, 2.</w:t>
      </w:r>
    </w:p>
  </w:endnote>
  <w:endnote w:id="26">
    <w:p w14:paraId="4A664C21" w14:textId="7594A00A"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Thomas G. Weiss and Nina Connelly</w:t>
      </w:r>
      <w:r w:rsidR="00AB31FC" w:rsidRPr="002E20D7">
        <w:rPr>
          <w:sz w:val="24"/>
          <w:szCs w:val="24"/>
        </w:rPr>
        <w:t xml:space="preserve">, </w:t>
      </w:r>
      <w:r w:rsidRPr="00353FB5">
        <w:rPr>
          <w:i/>
          <w:iCs/>
          <w:sz w:val="24"/>
          <w:szCs w:val="24"/>
        </w:rPr>
        <w:t>Cultural Cleansing and Mass Atrocities: Protecting Cultural Heritage in Armed Conflict Zones</w:t>
      </w:r>
      <w:r w:rsidRPr="002E20D7">
        <w:rPr>
          <w:sz w:val="24"/>
          <w:szCs w:val="24"/>
        </w:rPr>
        <w:t xml:space="preserve"> </w:t>
      </w:r>
      <w:r w:rsidR="00D765D9" w:rsidRPr="002E20D7">
        <w:rPr>
          <w:sz w:val="24"/>
          <w:szCs w:val="24"/>
        </w:rPr>
        <w:t xml:space="preserve">(Los Angeles: </w:t>
      </w:r>
      <w:r w:rsidRPr="002E20D7">
        <w:rPr>
          <w:sz w:val="24"/>
          <w:szCs w:val="24"/>
        </w:rPr>
        <w:t>J. Paul Getty Trust</w:t>
      </w:r>
      <w:r w:rsidR="00F84A62">
        <w:rPr>
          <w:sz w:val="24"/>
          <w:szCs w:val="24"/>
        </w:rPr>
        <w:t>, 2017</w:t>
      </w:r>
      <w:r w:rsidR="00D765D9" w:rsidRPr="002E20D7">
        <w:rPr>
          <w:sz w:val="24"/>
          <w:szCs w:val="24"/>
        </w:rPr>
        <w:t>),</w:t>
      </w:r>
      <w:r w:rsidRPr="002E20D7">
        <w:rPr>
          <w:sz w:val="24"/>
          <w:szCs w:val="24"/>
        </w:rPr>
        <w:t xml:space="preserve"> Occasional Papers in Cultural Heritage Policy no. 1</w:t>
      </w:r>
      <w:r w:rsidR="00C9765C">
        <w:rPr>
          <w:sz w:val="24"/>
          <w:szCs w:val="24"/>
        </w:rPr>
        <w:t>,</w:t>
      </w:r>
      <w:r w:rsidRPr="002E20D7">
        <w:rPr>
          <w:sz w:val="24"/>
          <w:szCs w:val="24"/>
        </w:rPr>
        <w:t xml:space="preserve"> 13</w:t>
      </w:r>
      <w:r w:rsidR="00CC6FB2" w:rsidRPr="002E20D7">
        <w:rPr>
          <w:sz w:val="24"/>
          <w:szCs w:val="24"/>
        </w:rPr>
        <w:t>–</w:t>
      </w:r>
      <w:r w:rsidRPr="002E20D7">
        <w:rPr>
          <w:sz w:val="24"/>
          <w:szCs w:val="24"/>
        </w:rPr>
        <w:t>14.</w:t>
      </w:r>
    </w:p>
  </w:endnote>
  <w:endnote w:id="27">
    <w:p w14:paraId="50F6BD23" w14:textId="7EFAAA7E"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Kevin Chamberlain, </w:t>
      </w:r>
      <w:r w:rsidRPr="002E20D7">
        <w:rPr>
          <w:i/>
          <w:iCs/>
          <w:sz w:val="24"/>
          <w:szCs w:val="24"/>
        </w:rPr>
        <w:t xml:space="preserve">War and Cultural Heritage: A Commentary on the Hague Convention 1954 and </w:t>
      </w:r>
      <w:r w:rsidR="00FA6A55" w:rsidRPr="002E20D7">
        <w:rPr>
          <w:i/>
          <w:iCs/>
          <w:sz w:val="24"/>
          <w:szCs w:val="24"/>
        </w:rPr>
        <w:t>I</w:t>
      </w:r>
      <w:r w:rsidRPr="002E20D7">
        <w:rPr>
          <w:i/>
          <w:iCs/>
          <w:sz w:val="24"/>
          <w:szCs w:val="24"/>
        </w:rPr>
        <w:t>ts Two Protocols</w:t>
      </w:r>
      <w:r w:rsidRPr="002E20D7">
        <w:rPr>
          <w:sz w:val="24"/>
          <w:szCs w:val="24"/>
        </w:rPr>
        <w:t xml:space="preserve"> (Builth Wells, UK: Institute of Art and Law</w:t>
      </w:r>
      <w:r w:rsidR="00592E2D" w:rsidRPr="002E20D7">
        <w:rPr>
          <w:sz w:val="24"/>
          <w:szCs w:val="24"/>
        </w:rPr>
        <w:t>,</w:t>
      </w:r>
      <w:r w:rsidRPr="002E20D7">
        <w:rPr>
          <w:sz w:val="24"/>
          <w:szCs w:val="24"/>
        </w:rPr>
        <w:t xml:space="preserve"> 2013)</w:t>
      </w:r>
      <w:r w:rsidR="00592E2D" w:rsidRPr="002E20D7">
        <w:rPr>
          <w:sz w:val="24"/>
          <w:szCs w:val="24"/>
        </w:rPr>
        <w:t>,</w:t>
      </w:r>
      <w:r w:rsidRPr="002E20D7">
        <w:rPr>
          <w:sz w:val="24"/>
          <w:szCs w:val="24"/>
        </w:rPr>
        <w:t xml:space="preserve"> 52</w:t>
      </w:r>
      <w:r w:rsidR="00CC6FB2" w:rsidRPr="002E20D7">
        <w:rPr>
          <w:sz w:val="24"/>
          <w:szCs w:val="24"/>
        </w:rPr>
        <w:t>–</w:t>
      </w:r>
      <w:r w:rsidRPr="002E20D7">
        <w:rPr>
          <w:sz w:val="24"/>
          <w:szCs w:val="24"/>
        </w:rPr>
        <w:t>55.</w:t>
      </w:r>
    </w:p>
  </w:endnote>
  <w:endnote w:id="28">
    <w:p w14:paraId="3E625B60" w14:textId="716BA266"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xml:space="preserve"> </w:t>
      </w:r>
      <w:r w:rsidRPr="00353FB5">
        <w:rPr>
          <w:iCs/>
          <w:sz w:val="24"/>
          <w:szCs w:val="24"/>
        </w:rPr>
        <w:t>See</w:t>
      </w:r>
      <w:r w:rsidRPr="002E20D7">
        <w:rPr>
          <w:sz w:val="24"/>
          <w:szCs w:val="24"/>
        </w:rPr>
        <w:t xml:space="preserve"> Roger O’Keefe, </w:t>
      </w:r>
      <w:r w:rsidRPr="002E20D7">
        <w:rPr>
          <w:i/>
          <w:sz w:val="24"/>
          <w:szCs w:val="24"/>
        </w:rPr>
        <w:t>The Protection of Cultural Property in Armed Conflict</w:t>
      </w:r>
      <w:r w:rsidRPr="002E20D7">
        <w:rPr>
          <w:sz w:val="24"/>
          <w:szCs w:val="24"/>
        </w:rPr>
        <w:t xml:space="preserve"> (</w:t>
      </w:r>
      <w:r w:rsidR="00FE5E24" w:rsidRPr="002E20D7">
        <w:rPr>
          <w:sz w:val="24"/>
          <w:szCs w:val="24"/>
        </w:rPr>
        <w:t>Cambridge</w:t>
      </w:r>
      <w:r w:rsidR="00FE5E24">
        <w:rPr>
          <w:sz w:val="24"/>
          <w:szCs w:val="24"/>
        </w:rPr>
        <w:t>:</w:t>
      </w:r>
      <w:r w:rsidR="00FE5E24" w:rsidRPr="002E20D7">
        <w:rPr>
          <w:sz w:val="24"/>
          <w:szCs w:val="24"/>
        </w:rPr>
        <w:t xml:space="preserve"> </w:t>
      </w:r>
      <w:r w:rsidRPr="002E20D7">
        <w:rPr>
          <w:sz w:val="24"/>
          <w:szCs w:val="24"/>
        </w:rPr>
        <w:t>Cambridge Univ</w:t>
      </w:r>
      <w:r w:rsidR="0020554D">
        <w:rPr>
          <w:sz w:val="24"/>
          <w:szCs w:val="24"/>
        </w:rPr>
        <w:t>ersity</w:t>
      </w:r>
      <w:r w:rsidRPr="002E20D7">
        <w:rPr>
          <w:sz w:val="24"/>
          <w:szCs w:val="24"/>
        </w:rPr>
        <w:t xml:space="preserve"> Press</w:t>
      </w:r>
      <w:r w:rsidR="009D7F1B">
        <w:rPr>
          <w:sz w:val="24"/>
          <w:szCs w:val="24"/>
        </w:rPr>
        <w:t>,</w:t>
      </w:r>
      <w:r w:rsidRPr="002E20D7">
        <w:rPr>
          <w:sz w:val="24"/>
          <w:szCs w:val="24"/>
        </w:rPr>
        <w:t xml:space="preserve"> 2006)</w:t>
      </w:r>
      <w:r w:rsidR="009D7F1B">
        <w:rPr>
          <w:sz w:val="24"/>
          <w:szCs w:val="24"/>
        </w:rPr>
        <w:t>,</w:t>
      </w:r>
      <w:r w:rsidRPr="002E20D7">
        <w:rPr>
          <w:sz w:val="24"/>
          <w:szCs w:val="24"/>
        </w:rPr>
        <w:t xml:space="preserve"> 207–18, 230–32.</w:t>
      </w:r>
    </w:p>
  </w:endnote>
  <w:endnote w:id="29">
    <w:p w14:paraId="46A18A1C" w14:textId="23126EC1"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w:t>
      </w:r>
      <w:r w:rsidR="00E00EF9" w:rsidRPr="002E20D7">
        <w:rPr>
          <w:sz w:val="24"/>
          <w:szCs w:val="24"/>
        </w:rPr>
        <w:t xml:space="preserve">Rome </w:t>
      </w:r>
      <w:r w:rsidRPr="002E20D7">
        <w:rPr>
          <w:sz w:val="24"/>
          <w:szCs w:val="24"/>
        </w:rPr>
        <w:t xml:space="preserve">Statute of the International Criminal Court, </w:t>
      </w:r>
      <w:r w:rsidR="00CD1D31" w:rsidRPr="002E20D7">
        <w:rPr>
          <w:sz w:val="24"/>
          <w:szCs w:val="24"/>
        </w:rPr>
        <w:t>circulated as doc. no. A/Conf. 183/9, 17 July 1998, A</w:t>
      </w:r>
      <w:r w:rsidRPr="002E20D7">
        <w:rPr>
          <w:sz w:val="24"/>
          <w:szCs w:val="24"/>
        </w:rPr>
        <w:t>rt. 8</w:t>
      </w:r>
      <w:r w:rsidR="00CD1D31" w:rsidRPr="002E20D7">
        <w:rPr>
          <w:sz w:val="24"/>
          <w:szCs w:val="24"/>
        </w:rPr>
        <w:t>.</w:t>
      </w:r>
      <w:r w:rsidRPr="002E20D7">
        <w:rPr>
          <w:sz w:val="24"/>
          <w:szCs w:val="24"/>
        </w:rPr>
        <w:t>2</w:t>
      </w:r>
      <w:r w:rsidR="00CD1D31" w:rsidRPr="002E20D7">
        <w:rPr>
          <w:sz w:val="24"/>
          <w:szCs w:val="24"/>
        </w:rPr>
        <w:t>.</w:t>
      </w:r>
      <w:r w:rsidRPr="002E20D7">
        <w:rPr>
          <w:sz w:val="24"/>
          <w:szCs w:val="24"/>
        </w:rPr>
        <w:t>b</w:t>
      </w:r>
      <w:r w:rsidR="00CD1D31" w:rsidRPr="002E20D7">
        <w:rPr>
          <w:sz w:val="24"/>
          <w:szCs w:val="24"/>
        </w:rPr>
        <w:t>.</w:t>
      </w:r>
      <w:r w:rsidRPr="002E20D7">
        <w:rPr>
          <w:sz w:val="24"/>
          <w:szCs w:val="24"/>
        </w:rPr>
        <w:t>ix</w:t>
      </w:r>
      <w:r w:rsidR="00CD1D31" w:rsidRPr="002E20D7">
        <w:rPr>
          <w:sz w:val="24"/>
          <w:szCs w:val="24"/>
        </w:rPr>
        <w:t xml:space="preserve"> (</w:t>
      </w:r>
      <w:r w:rsidRPr="002E20D7">
        <w:rPr>
          <w:sz w:val="24"/>
          <w:szCs w:val="24"/>
        </w:rPr>
        <w:t>applying to international armed conflict) and Art</w:t>
      </w:r>
      <w:r w:rsidR="00CD1D31" w:rsidRPr="002E20D7">
        <w:rPr>
          <w:sz w:val="24"/>
          <w:szCs w:val="24"/>
        </w:rPr>
        <w:t>.</w:t>
      </w:r>
      <w:r w:rsidRPr="002E20D7">
        <w:rPr>
          <w:sz w:val="24"/>
          <w:szCs w:val="24"/>
        </w:rPr>
        <w:t xml:space="preserve"> 8</w:t>
      </w:r>
      <w:r w:rsidR="00CD1D31" w:rsidRPr="002E20D7">
        <w:rPr>
          <w:sz w:val="24"/>
          <w:szCs w:val="24"/>
        </w:rPr>
        <w:t>.</w:t>
      </w:r>
      <w:r w:rsidRPr="002E20D7">
        <w:rPr>
          <w:sz w:val="24"/>
          <w:szCs w:val="24"/>
        </w:rPr>
        <w:t>2</w:t>
      </w:r>
      <w:r w:rsidR="00CD1D31" w:rsidRPr="002E20D7">
        <w:rPr>
          <w:sz w:val="24"/>
          <w:szCs w:val="24"/>
        </w:rPr>
        <w:t>.</w:t>
      </w:r>
      <w:r w:rsidRPr="002E20D7">
        <w:rPr>
          <w:sz w:val="24"/>
          <w:szCs w:val="24"/>
        </w:rPr>
        <w:t>e</w:t>
      </w:r>
      <w:r w:rsidR="00CD1D31" w:rsidRPr="002E20D7">
        <w:rPr>
          <w:sz w:val="24"/>
          <w:szCs w:val="24"/>
        </w:rPr>
        <w:t>.</w:t>
      </w:r>
      <w:r w:rsidRPr="002E20D7">
        <w:rPr>
          <w:sz w:val="24"/>
          <w:szCs w:val="24"/>
        </w:rPr>
        <w:t>iv (non-international armed conflict).</w:t>
      </w:r>
    </w:p>
  </w:endnote>
  <w:endnote w:id="30">
    <w:p w14:paraId="76329EAF" w14:textId="03998CDE"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Polina Levina Mahnad</w:t>
      </w:r>
      <w:r w:rsidR="00AB31FC" w:rsidRPr="002E20D7">
        <w:rPr>
          <w:sz w:val="24"/>
          <w:szCs w:val="24"/>
        </w:rPr>
        <w:t>, “</w:t>
      </w:r>
      <w:r w:rsidRPr="002E20D7">
        <w:rPr>
          <w:sz w:val="24"/>
          <w:szCs w:val="24"/>
        </w:rPr>
        <w:t xml:space="preserve">Protecting Cultural Property in Syria: New Opportunities for States to Enhance Compliance with International Law?’ </w:t>
      </w:r>
      <w:r w:rsidR="002F1529" w:rsidRPr="002E20D7">
        <w:rPr>
          <w:i/>
          <w:iCs/>
          <w:sz w:val="24"/>
          <w:szCs w:val="24"/>
        </w:rPr>
        <w:t>International</w:t>
      </w:r>
      <w:r w:rsidRPr="002E20D7">
        <w:rPr>
          <w:i/>
          <w:iCs/>
          <w:sz w:val="24"/>
          <w:szCs w:val="24"/>
        </w:rPr>
        <w:t xml:space="preserve"> Review of the Red Cross</w:t>
      </w:r>
      <w:r w:rsidRPr="002E20D7">
        <w:rPr>
          <w:sz w:val="24"/>
          <w:szCs w:val="24"/>
        </w:rPr>
        <w:t xml:space="preserve"> 99 (2019): 1056</w:t>
      </w:r>
      <w:r w:rsidR="00CC6FB2" w:rsidRPr="002E20D7">
        <w:rPr>
          <w:sz w:val="24"/>
          <w:szCs w:val="24"/>
        </w:rPr>
        <w:t>–</w:t>
      </w:r>
      <w:r w:rsidRPr="002E20D7">
        <w:rPr>
          <w:sz w:val="24"/>
          <w:szCs w:val="24"/>
        </w:rPr>
        <w:t xml:space="preserve">59; </w:t>
      </w:r>
      <w:r w:rsidR="00C3756E" w:rsidRPr="002E20D7">
        <w:rPr>
          <w:sz w:val="24"/>
          <w:szCs w:val="24"/>
        </w:rPr>
        <w:t xml:space="preserve">and </w:t>
      </w:r>
      <w:r w:rsidRPr="002E20D7">
        <w:rPr>
          <w:sz w:val="24"/>
          <w:szCs w:val="24"/>
        </w:rPr>
        <w:t>Lenzerini, “</w:t>
      </w:r>
      <w:r w:rsidR="005D1CD9" w:rsidRPr="002E20D7">
        <w:rPr>
          <w:sz w:val="24"/>
          <w:szCs w:val="24"/>
        </w:rPr>
        <w:t>Terrorism, Conflicts and the Responsibility to Protect</w:t>
      </w:r>
      <w:r w:rsidRPr="002E20D7">
        <w:rPr>
          <w:sz w:val="24"/>
          <w:szCs w:val="24"/>
        </w:rPr>
        <w:t>,” 78.</w:t>
      </w:r>
    </w:p>
  </w:endnote>
  <w:endnote w:id="31">
    <w:p w14:paraId="749A4E99" w14:textId="1B91CD76" w:rsidR="004645D6" w:rsidRPr="002E20D7" w:rsidRDefault="004645D6"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96016C" w:rsidRPr="002E20D7">
        <w:rPr>
          <w:sz w:val="24"/>
          <w:szCs w:val="24"/>
        </w:rPr>
        <w:t xml:space="preserve">UN, </w:t>
      </w:r>
      <w:r w:rsidRPr="00353FB5">
        <w:rPr>
          <w:i/>
          <w:iCs/>
          <w:sz w:val="24"/>
          <w:szCs w:val="24"/>
        </w:rPr>
        <w:t>Framework</w:t>
      </w:r>
      <w:r w:rsidR="0096016C" w:rsidRPr="00353FB5">
        <w:rPr>
          <w:i/>
          <w:iCs/>
          <w:sz w:val="24"/>
          <w:szCs w:val="24"/>
        </w:rPr>
        <w:t xml:space="preserve"> of Analysis</w:t>
      </w:r>
      <w:r w:rsidRPr="002E20D7">
        <w:rPr>
          <w:sz w:val="24"/>
          <w:szCs w:val="24"/>
        </w:rPr>
        <w:t>, 3</w:t>
      </w:r>
      <w:r w:rsidR="007A4E2C" w:rsidRPr="002E20D7">
        <w:rPr>
          <w:sz w:val="24"/>
          <w:szCs w:val="24"/>
        </w:rPr>
        <w:t>.</w:t>
      </w:r>
      <w:r w:rsidRPr="002E20D7">
        <w:rPr>
          <w:sz w:val="24"/>
          <w:szCs w:val="24"/>
        </w:rPr>
        <w:t xml:space="preserve"> </w:t>
      </w:r>
      <w:r w:rsidR="007A4E2C" w:rsidRPr="002E20D7">
        <w:rPr>
          <w:sz w:val="24"/>
          <w:szCs w:val="24"/>
        </w:rPr>
        <w:t xml:space="preserve">See also </w:t>
      </w:r>
      <w:r w:rsidRPr="002E20D7">
        <w:rPr>
          <w:sz w:val="24"/>
          <w:szCs w:val="24"/>
        </w:rPr>
        <w:t>Mahnad</w:t>
      </w:r>
      <w:r w:rsidR="00AB31FC" w:rsidRPr="002E20D7">
        <w:rPr>
          <w:sz w:val="24"/>
          <w:szCs w:val="24"/>
        </w:rPr>
        <w:t>, “</w:t>
      </w:r>
      <w:r w:rsidRPr="002E20D7">
        <w:rPr>
          <w:sz w:val="24"/>
          <w:szCs w:val="24"/>
        </w:rPr>
        <w:t>Protecting Cultural Property in Syria</w:t>
      </w:r>
      <w:r w:rsidR="00AB31FC" w:rsidRPr="002E20D7">
        <w:rPr>
          <w:sz w:val="24"/>
          <w:szCs w:val="24"/>
        </w:rPr>
        <w:t>,”</w:t>
      </w:r>
      <w:r w:rsidRPr="002E20D7">
        <w:rPr>
          <w:sz w:val="24"/>
          <w:szCs w:val="24"/>
        </w:rPr>
        <w:t xml:space="preserve"> 1046</w:t>
      </w:r>
      <w:r w:rsidR="00CC6FB2" w:rsidRPr="002E20D7">
        <w:rPr>
          <w:sz w:val="24"/>
          <w:szCs w:val="24"/>
        </w:rPr>
        <w:t>–</w:t>
      </w:r>
      <w:r w:rsidRPr="002E20D7">
        <w:rPr>
          <w:sz w:val="24"/>
          <w:szCs w:val="24"/>
        </w:rPr>
        <w:t xml:space="preserve">47; </w:t>
      </w:r>
      <w:r w:rsidR="004D21D7" w:rsidRPr="002E20D7">
        <w:rPr>
          <w:sz w:val="24"/>
          <w:szCs w:val="24"/>
        </w:rPr>
        <w:t xml:space="preserve">and </w:t>
      </w:r>
      <w:r w:rsidRPr="002E20D7">
        <w:rPr>
          <w:sz w:val="24"/>
          <w:szCs w:val="24"/>
        </w:rPr>
        <w:t>Knut Dörmann and Jos</w:t>
      </w:r>
      <w:r w:rsidR="004160FD" w:rsidRPr="002E20D7">
        <w:rPr>
          <w:sz w:val="24"/>
          <w:szCs w:val="24"/>
        </w:rPr>
        <w:t>é</w:t>
      </w:r>
      <w:r w:rsidRPr="002E20D7">
        <w:rPr>
          <w:sz w:val="24"/>
          <w:szCs w:val="24"/>
        </w:rPr>
        <w:t xml:space="preserve"> Serralvo</w:t>
      </w:r>
      <w:r w:rsidR="00AB31FC" w:rsidRPr="002E20D7">
        <w:rPr>
          <w:sz w:val="24"/>
          <w:szCs w:val="24"/>
        </w:rPr>
        <w:t>, “</w:t>
      </w:r>
      <w:r w:rsidRPr="002E20D7">
        <w:rPr>
          <w:sz w:val="24"/>
          <w:szCs w:val="24"/>
        </w:rPr>
        <w:t xml:space="preserve">Common Article 1 to the Geneva Conventions and the </w:t>
      </w:r>
      <w:r w:rsidR="0037405C" w:rsidRPr="002E20D7">
        <w:rPr>
          <w:sz w:val="24"/>
          <w:szCs w:val="24"/>
        </w:rPr>
        <w:t>O</w:t>
      </w:r>
      <w:r w:rsidRPr="002E20D7">
        <w:rPr>
          <w:sz w:val="24"/>
          <w:szCs w:val="24"/>
        </w:rPr>
        <w:t xml:space="preserve">bligation to </w:t>
      </w:r>
      <w:r w:rsidR="0037405C" w:rsidRPr="002E20D7">
        <w:rPr>
          <w:sz w:val="24"/>
          <w:szCs w:val="24"/>
        </w:rPr>
        <w:t>P</w:t>
      </w:r>
      <w:r w:rsidRPr="002E20D7">
        <w:rPr>
          <w:sz w:val="24"/>
          <w:szCs w:val="24"/>
        </w:rPr>
        <w:t xml:space="preserve">revent </w:t>
      </w:r>
      <w:r w:rsidR="0037405C" w:rsidRPr="002E20D7">
        <w:rPr>
          <w:sz w:val="24"/>
          <w:szCs w:val="24"/>
        </w:rPr>
        <w:t>I</w:t>
      </w:r>
      <w:r w:rsidRPr="002E20D7">
        <w:rPr>
          <w:sz w:val="24"/>
          <w:szCs w:val="24"/>
        </w:rPr>
        <w:t xml:space="preserve">nternational </w:t>
      </w:r>
      <w:r w:rsidR="0037405C" w:rsidRPr="002E20D7">
        <w:rPr>
          <w:sz w:val="24"/>
          <w:szCs w:val="24"/>
        </w:rPr>
        <w:t>H</w:t>
      </w:r>
      <w:r w:rsidRPr="002E20D7">
        <w:rPr>
          <w:sz w:val="24"/>
          <w:szCs w:val="24"/>
        </w:rPr>
        <w:t xml:space="preserve">umanitarian </w:t>
      </w:r>
      <w:r w:rsidR="0037405C" w:rsidRPr="002E20D7">
        <w:rPr>
          <w:sz w:val="24"/>
          <w:szCs w:val="24"/>
        </w:rPr>
        <w:t>L</w:t>
      </w:r>
      <w:r w:rsidRPr="002E20D7">
        <w:rPr>
          <w:sz w:val="24"/>
          <w:szCs w:val="24"/>
        </w:rPr>
        <w:t xml:space="preserve">aw </w:t>
      </w:r>
      <w:r w:rsidR="0037405C" w:rsidRPr="002E20D7">
        <w:rPr>
          <w:sz w:val="24"/>
          <w:szCs w:val="24"/>
        </w:rPr>
        <w:t>V</w:t>
      </w:r>
      <w:r w:rsidRPr="002E20D7">
        <w:rPr>
          <w:sz w:val="24"/>
          <w:szCs w:val="24"/>
        </w:rPr>
        <w:t>iolations</w:t>
      </w:r>
      <w:r w:rsidR="00AB31FC" w:rsidRPr="002E20D7">
        <w:rPr>
          <w:sz w:val="24"/>
          <w:szCs w:val="24"/>
        </w:rPr>
        <w:t>,”</w:t>
      </w:r>
      <w:r w:rsidRPr="002E20D7">
        <w:rPr>
          <w:sz w:val="24"/>
          <w:szCs w:val="24"/>
        </w:rPr>
        <w:t xml:space="preserve"> </w:t>
      </w:r>
      <w:r w:rsidRPr="002E20D7">
        <w:rPr>
          <w:i/>
          <w:iCs/>
          <w:sz w:val="24"/>
          <w:szCs w:val="24"/>
        </w:rPr>
        <w:t>International Review of the Red Cross</w:t>
      </w:r>
      <w:r w:rsidRPr="002E20D7">
        <w:rPr>
          <w:sz w:val="24"/>
          <w:szCs w:val="24"/>
        </w:rPr>
        <w:t xml:space="preserve"> 96, no</w:t>
      </w:r>
      <w:r w:rsidR="005317CD">
        <w:rPr>
          <w:sz w:val="24"/>
          <w:szCs w:val="24"/>
        </w:rPr>
        <w:t>s</w:t>
      </w:r>
      <w:r w:rsidRPr="002E20D7">
        <w:rPr>
          <w:sz w:val="24"/>
          <w:szCs w:val="24"/>
        </w:rPr>
        <w:t>. 895/6 (2014): 707, 708</w:t>
      </w:r>
      <w:r w:rsidR="00014732" w:rsidRPr="002E20D7">
        <w:rPr>
          <w:sz w:val="24"/>
          <w:szCs w:val="24"/>
        </w:rPr>
        <w:t>–</w:t>
      </w:r>
      <w:r w:rsidRPr="002E20D7">
        <w:rPr>
          <w:sz w:val="24"/>
          <w:szCs w:val="24"/>
        </w:rPr>
        <w:t>9, 723</w:t>
      </w:r>
      <w:r w:rsidR="00014732" w:rsidRPr="002E20D7">
        <w:rPr>
          <w:sz w:val="24"/>
          <w:szCs w:val="24"/>
        </w:rPr>
        <w:t>–</w:t>
      </w:r>
      <w:r w:rsidRPr="002E20D7">
        <w:rPr>
          <w:sz w:val="24"/>
          <w:szCs w:val="24"/>
        </w:rPr>
        <w:t xml:space="preserve">25. The International Court of Justice in </w:t>
      </w:r>
      <w:r w:rsidRPr="00353FB5">
        <w:rPr>
          <w:i/>
          <w:iCs/>
          <w:sz w:val="24"/>
          <w:szCs w:val="24"/>
        </w:rPr>
        <w:t>Application of the Convention on the Prevention and Punishment of the Crime of Genocide (Bosnia and Herzegovina v. Serbia and Montenegro)</w:t>
      </w:r>
      <w:r w:rsidRPr="002E20D7">
        <w:rPr>
          <w:sz w:val="24"/>
          <w:szCs w:val="24"/>
        </w:rPr>
        <w:t xml:space="preserve"> held that the </w:t>
      </w:r>
      <w:r w:rsidR="00E701B5" w:rsidRPr="002E20D7">
        <w:rPr>
          <w:sz w:val="24"/>
          <w:szCs w:val="24"/>
        </w:rPr>
        <w:t xml:space="preserve">Genocide </w:t>
      </w:r>
      <w:r w:rsidRPr="002E20D7">
        <w:rPr>
          <w:sz w:val="24"/>
          <w:szCs w:val="24"/>
        </w:rPr>
        <w:t xml:space="preserve">Convention imposes an obligation on third </w:t>
      </w:r>
      <w:r w:rsidR="00E701B5" w:rsidRPr="002E20D7">
        <w:rPr>
          <w:sz w:val="24"/>
          <w:szCs w:val="24"/>
        </w:rPr>
        <w:t>s</w:t>
      </w:r>
      <w:r w:rsidRPr="002E20D7">
        <w:rPr>
          <w:sz w:val="24"/>
          <w:szCs w:val="24"/>
        </w:rPr>
        <w:t>tates to prevent genocide, stating that “every State with a ‘capacity to influence effectively the action of persons likely to commit, or already committing genocide</w:t>
      </w:r>
      <w:r w:rsidR="00AB31FC" w:rsidRPr="002E20D7">
        <w:rPr>
          <w:sz w:val="24"/>
          <w:szCs w:val="24"/>
        </w:rPr>
        <w:t>,</w:t>
      </w:r>
      <w:r w:rsidR="00C8011B" w:rsidRPr="002E20D7">
        <w:rPr>
          <w:sz w:val="24"/>
          <w:szCs w:val="24"/>
        </w:rPr>
        <w:t>’</w:t>
      </w:r>
      <w:r w:rsidRPr="002E20D7">
        <w:rPr>
          <w:sz w:val="24"/>
          <w:szCs w:val="24"/>
        </w:rPr>
        <w:t xml:space="preserve"> even if outside its own borders, is under the obligation to ‘employ all means reasonably available to them, so as to prevent genocide so far as possible.’” </w:t>
      </w:r>
      <w:r w:rsidR="0097030A" w:rsidRPr="002E20D7">
        <w:rPr>
          <w:sz w:val="24"/>
          <w:szCs w:val="24"/>
        </w:rPr>
        <w:t>See</w:t>
      </w:r>
      <w:r w:rsidR="00CC08B3" w:rsidRPr="002E20D7">
        <w:rPr>
          <w:sz w:val="24"/>
          <w:szCs w:val="24"/>
        </w:rPr>
        <w:t xml:space="preserve"> UN, </w:t>
      </w:r>
      <w:r w:rsidR="00FA2F6A" w:rsidRPr="002E20D7">
        <w:rPr>
          <w:i/>
          <w:iCs/>
          <w:sz w:val="24"/>
          <w:szCs w:val="24"/>
        </w:rPr>
        <w:t>Framework of Analysis</w:t>
      </w:r>
      <w:r w:rsidR="00CC08B3" w:rsidRPr="002E20D7">
        <w:rPr>
          <w:sz w:val="24"/>
          <w:szCs w:val="24"/>
        </w:rPr>
        <w:t>, 3</w:t>
      </w:r>
      <w:r w:rsidR="00FA2F6A" w:rsidRPr="002E20D7">
        <w:rPr>
          <w:sz w:val="24"/>
          <w:szCs w:val="24"/>
        </w:rPr>
        <w:t>, quoting</w:t>
      </w:r>
      <w:r w:rsidR="00CC08B3" w:rsidRPr="002E20D7">
        <w:rPr>
          <w:sz w:val="24"/>
          <w:szCs w:val="24"/>
        </w:rPr>
        <w:t xml:space="preserve"> ICJ</w:t>
      </w:r>
      <w:r w:rsidR="00381A53" w:rsidRPr="002E20D7">
        <w:rPr>
          <w:sz w:val="24"/>
          <w:szCs w:val="24"/>
        </w:rPr>
        <w:t xml:space="preserve">, </w:t>
      </w:r>
      <w:r w:rsidR="00381A53" w:rsidRPr="002E20D7">
        <w:rPr>
          <w:i/>
          <w:iCs/>
          <w:sz w:val="24"/>
          <w:szCs w:val="24"/>
        </w:rPr>
        <w:t>Bosnia and Herzegovina v. Serbia and Montenegro</w:t>
      </w:r>
      <w:r w:rsidR="00381A53" w:rsidRPr="002E20D7">
        <w:rPr>
          <w:sz w:val="24"/>
          <w:szCs w:val="24"/>
        </w:rPr>
        <w:t xml:space="preserve">, Judgment on </w:t>
      </w:r>
      <w:r w:rsidR="00381A53" w:rsidRPr="00353FB5">
        <w:rPr>
          <w:sz w:val="24"/>
          <w:szCs w:val="24"/>
        </w:rPr>
        <w:t>Application of the Convention on the Prevention and Punishment of the Crime of Genocide</w:t>
      </w:r>
      <w:r w:rsidR="00381A53" w:rsidRPr="002E20D7">
        <w:rPr>
          <w:sz w:val="24"/>
          <w:szCs w:val="24"/>
        </w:rPr>
        <w:t>,</w:t>
      </w:r>
      <w:r w:rsidR="00381A53" w:rsidRPr="00353FB5">
        <w:rPr>
          <w:sz w:val="24"/>
          <w:szCs w:val="24"/>
        </w:rPr>
        <w:t xml:space="preserve"> </w:t>
      </w:r>
      <w:r w:rsidR="00CC08B3" w:rsidRPr="002E20D7">
        <w:rPr>
          <w:sz w:val="24"/>
          <w:szCs w:val="24"/>
        </w:rPr>
        <w:t>26 February 2007</w:t>
      </w:r>
      <w:r w:rsidR="002B36A6" w:rsidRPr="002E20D7">
        <w:rPr>
          <w:sz w:val="24"/>
          <w:szCs w:val="24"/>
        </w:rPr>
        <w:t xml:space="preserve">, </w:t>
      </w:r>
      <w:r w:rsidR="000175CD" w:rsidRPr="002E20D7">
        <w:rPr>
          <w:sz w:val="24"/>
          <w:szCs w:val="24"/>
        </w:rPr>
        <w:t xml:space="preserve">para. </w:t>
      </w:r>
      <w:r w:rsidR="002B36A6" w:rsidRPr="002E20D7">
        <w:rPr>
          <w:sz w:val="24"/>
          <w:szCs w:val="24"/>
        </w:rPr>
        <w:t>430</w:t>
      </w:r>
      <w:r w:rsidRPr="002E20D7">
        <w:rPr>
          <w:sz w:val="24"/>
          <w:szCs w:val="24"/>
        </w:rPr>
        <w:t xml:space="preserve">. </w:t>
      </w:r>
    </w:p>
  </w:endnote>
  <w:endnote w:id="32">
    <w:p w14:paraId="5EC63087" w14:textId="5E56888D" w:rsidR="004645D6" w:rsidRPr="002E20D7" w:rsidRDefault="004645D6"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285F26" w:rsidRPr="002E20D7">
        <w:rPr>
          <w:sz w:val="24"/>
          <w:szCs w:val="24"/>
        </w:rPr>
        <w:t xml:space="preserve">UN, </w:t>
      </w:r>
      <w:r w:rsidRPr="00353FB5">
        <w:rPr>
          <w:i/>
          <w:iCs/>
          <w:sz w:val="24"/>
          <w:szCs w:val="24"/>
        </w:rPr>
        <w:t>2005 World Summit Outcome</w:t>
      </w:r>
      <w:r w:rsidRPr="002E20D7">
        <w:rPr>
          <w:sz w:val="24"/>
          <w:szCs w:val="24"/>
        </w:rPr>
        <w:t xml:space="preserve">, </w:t>
      </w:r>
      <w:r w:rsidR="00285F26" w:rsidRPr="002E20D7">
        <w:rPr>
          <w:sz w:val="24"/>
          <w:szCs w:val="24"/>
        </w:rPr>
        <w:t xml:space="preserve">UN doc. </w:t>
      </w:r>
      <w:r w:rsidRPr="002E20D7">
        <w:rPr>
          <w:sz w:val="24"/>
          <w:szCs w:val="24"/>
        </w:rPr>
        <w:t>A/</w:t>
      </w:r>
      <w:r w:rsidR="00285F26" w:rsidRPr="002E20D7">
        <w:rPr>
          <w:sz w:val="24"/>
          <w:szCs w:val="24"/>
        </w:rPr>
        <w:t>RES</w:t>
      </w:r>
      <w:r w:rsidRPr="002E20D7">
        <w:rPr>
          <w:sz w:val="24"/>
          <w:szCs w:val="24"/>
        </w:rPr>
        <w:t>/60/1, 24 October 2005</w:t>
      </w:r>
      <w:r w:rsidR="00285F26" w:rsidRPr="002E20D7">
        <w:rPr>
          <w:sz w:val="24"/>
          <w:szCs w:val="24"/>
        </w:rPr>
        <w:t>, paras.</w:t>
      </w:r>
      <w:r w:rsidRPr="002E20D7">
        <w:rPr>
          <w:sz w:val="24"/>
          <w:szCs w:val="24"/>
        </w:rPr>
        <w:t xml:space="preserve"> 138</w:t>
      </w:r>
      <w:r w:rsidR="00014732" w:rsidRPr="002E20D7">
        <w:rPr>
          <w:sz w:val="24"/>
          <w:szCs w:val="24"/>
        </w:rPr>
        <w:t>–</w:t>
      </w:r>
      <w:r w:rsidRPr="002E20D7">
        <w:rPr>
          <w:sz w:val="24"/>
          <w:szCs w:val="24"/>
        </w:rPr>
        <w:t>39.</w:t>
      </w:r>
    </w:p>
  </w:endnote>
  <w:endnote w:id="33">
    <w:p w14:paraId="74408913" w14:textId="0A40D395" w:rsidR="004645D6" w:rsidRPr="002E20D7" w:rsidRDefault="004645D6"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8D7811" w:rsidRPr="002E20D7">
        <w:rPr>
          <w:sz w:val="24"/>
          <w:szCs w:val="24"/>
        </w:rPr>
        <w:t xml:space="preserve">UN </w:t>
      </w:r>
      <w:r w:rsidRPr="002E20D7">
        <w:rPr>
          <w:sz w:val="24"/>
          <w:szCs w:val="24"/>
        </w:rPr>
        <w:t xml:space="preserve">Secretary-General, </w:t>
      </w:r>
      <w:r w:rsidRPr="00353FB5">
        <w:rPr>
          <w:i/>
          <w:iCs/>
          <w:sz w:val="24"/>
          <w:szCs w:val="24"/>
        </w:rPr>
        <w:t xml:space="preserve">Implementing the </w:t>
      </w:r>
      <w:r w:rsidR="008D7811" w:rsidRPr="00353FB5">
        <w:rPr>
          <w:i/>
          <w:iCs/>
          <w:sz w:val="24"/>
          <w:szCs w:val="24"/>
        </w:rPr>
        <w:t>R</w:t>
      </w:r>
      <w:r w:rsidRPr="00353FB5">
        <w:rPr>
          <w:i/>
          <w:iCs/>
          <w:sz w:val="24"/>
          <w:szCs w:val="24"/>
        </w:rPr>
        <w:t xml:space="preserve">esponsibility to </w:t>
      </w:r>
      <w:r w:rsidR="008D7811" w:rsidRPr="00353FB5">
        <w:rPr>
          <w:i/>
          <w:iCs/>
          <w:sz w:val="24"/>
          <w:szCs w:val="24"/>
        </w:rPr>
        <w:t>P</w:t>
      </w:r>
      <w:r w:rsidRPr="00353FB5">
        <w:rPr>
          <w:i/>
          <w:iCs/>
          <w:sz w:val="24"/>
          <w:szCs w:val="24"/>
        </w:rPr>
        <w:t>rotect</w:t>
      </w:r>
      <w:r w:rsidRPr="002E20D7">
        <w:rPr>
          <w:sz w:val="24"/>
          <w:szCs w:val="24"/>
        </w:rPr>
        <w:t xml:space="preserve">, </w:t>
      </w:r>
      <w:r w:rsidR="008D7811" w:rsidRPr="002E20D7">
        <w:rPr>
          <w:sz w:val="24"/>
          <w:szCs w:val="24"/>
        </w:rPr>
        <w:t xml:space="preserve">UN doc. </w:t>
      </w:r>
      <w:r w:rsidRPr="002E20D7">
        <w:rPr>
          <w:sz w:val="24"/>
          <w:szCs w:val="24"/>
        </w:rPr>
        <w:t xml:space="preserve">A/63/677, 12 January 2009, </w:t>
      </w:r>
      <w:r w:rsidR="001C6C2E" w:rsidRPr="002E20D7">
        <w:rPr>
          <w:sz w:val="24"/>
          <w:szCs w:val="24"/>
        </w:rPr>
        <w:t>https://www.un.org/ruleoflaw/blog/document/report-of-the-secretary-general-implementing-the-responsibility-to-protect/</w:t>
      </w:r>
      <w:r w:rsidRPr="002E20D7">
        <w:rPr>
          <w:sz w:val="24"/>
          <w:szCs w:val="24"/>
        </w:rPr>
        <w:t>.</w:t>
      </w:r>
    </w:p>
  </w:endnote>
  <w:endnote w:id="34">
    <w:p w14:paraId="1EBD897A" w14:textId="1925A238"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UNESCO Expert Meeting on the </w:t>
      </w:r>
      <w:r w:rsidR="003F1430" w:rsidRPr="002E20D7">
        <w:rPr>
          <w:sz w:val="24"/>
          <w:szCs w:val="24"/>
        </w:rPr>
        <w:t>“</w:t>
      </w:r>
      <w:r w:rsidR="00C703B1">
        <w:rPr>
          <w:sz w:val="24"/>
          <w:szCs w:val="24"/>
        </w:rPr>
        <w:t>‘</w:t>
      </w:r>
      <w:r w:rsidRPr="002E20D7">
        <w:rPr>
          <w:sz w:val="24"/>
          <w:szCs w:val="24"/>
        </w:rPr>
        <w:t>Responsibility to Protect</w:t>
      </w:r>
      <w:r w:rsidR="00C703B1">
        <w:rPr>
          <w:sz w:val="24"/>
          <w:szCs w:val="24"/>
        </w:rPr>
        <w:t>’</w:t>
      </w:r>
      <w:r w:rsidRPr="002E20D7">
        <w:rPr>
          <w:sz w:val="24"/>
          <w:szCs w:val="24"/>
        </w:rPr>
        <w:t xml:space="preserve"> as </w:t>
      </w:r>
      <w:r w:rsidR="003F1430" w:rsidRPr="002E20D7">
        <w:rPr>
          <w:sz w:val="24"/>
          <w:szCs w:val="24"/>
        </w:rPr>
        <w:t>A</w:t>
      </w:r>
      <w:r w:rsidRPr="002E20D7">
        <w:rPr>
          <w:sz w:val="24"/>
          <w:szCs w:val="24"/>
        </w:rPr>
        <w:t xml:space="preserve">pplied to the </w:t>
      </w:r>
      <w:r w:rsidR="003F1430" w:rsidRPr="002E20D7">
        <w:rPr>
          <w:sz w:val="24"/>
          <w:szCs w:val="24"/>
        </w:rPr>
        <w:t>P</w:t>
      </w:r>
      <w:r w:rsidRPr="002E20D7">
        <w:rPr>
          <w:sz w:val="24"/>
          <w:szCs w:val="24"/>
        </w:rPr>
        <w:t xml:space="preserve">rotection of </w:t>
      </w:r>
      <w:r w:rsidR="003F1430" w:rsidRPr="002E20D7">
        <w:rPr>
          <w:sz w:val="24"/>
          <w:szCs w:val="24"/>
        </w:rPr>
        <w:t>C</w:t>
      </w:r>
      <w:r w:rsidRPr="002E20D7">
        <w:rPr>
          <w:sz w:val="24"/>
          <w:szCs w:val="24"/>
        </w:rPr>
        <w:t xml:space="preserve">ultural </w:t>
      </w:r>
      <w:r w:rsidR="003F1430" w:rsidRPr="002E20D7">
        <w:rPr>
          <w:sz w:val="24"/>
          <w:szCs w:val="24"/>
        </w:rPr>
        <w:t>H</w:t>
      </w:r>
      <w:r w:rsidRPr="002E20D7">
        <w:rPr>
          <w:sz w:val="24"/>
          <w:szCs w:val="24"/>
        </w:rPr>
        <w:t xml:space="preserve">eritage in </w:t>
      </w:r>
      <w:r w:rsidR="003F1430" w:rsidRPr="002E20D7">
        <w:rPr>
          <w:sz w:val="24"/>
          <w:szCs w:val="24"/>
        </w:rPr>
        <w:t>A</w:t>
      </w:r>
      <w:r w:rsidRPr="002E20D7">
        <w:rPr>
          <w:sz w:val="24"/>
          <w:szCs w:val="24"/>
        </w:rPr>
        <w:t xml:space="preserve">rmed </w:t>
      </w:r>
      <w:r w:rsidR="003F1430" w:rsidRPr="002E20D7">
        <w:rPr>
          <w:sz w:val="24"/>
          <w:szCs w:val="24"/>
        </w:rPr>
        <w:t>C</w:t>
      </w:r>
      <w:r w:rsidRPr="002E20D7">
        <w:rPr>
          <w:sz w:val="24"/>
          <w:szCs w:val="24"/>
        </w:rPr>
        <w:t>onflict</w:t>
      </w:r>
      <w:r w:rsidR="003F1430" w:rsidRPr="002E20D7">
        <w:rPr>
          <w:sz w:val="24"/>
          <w:szCs w:val="24"/>
        </w:rPr>
        <w:t>,”</w:t>
      </w:r>
      <w:r w:rsidRPr="002E20D7">
        <w:rPr>
          <w:sz w:val="24"/>
          <w:szCs w:val="24"/>
        </w:rPr>
        <w:t xml:space="preserve"> </w:t>
      </w:r>
      <w:r w:rsidRPr="00353FB5">
        <w:rPr>
          <w:i/>
          <w:iCs/>
          <w:sz w:val="24"/>
          <w:szCs w:val="24"/>
        </w:rPr>
        <w:t>Final Report</w:t>
      </w:r>
      <w:r w:rsidR="003F1430" w:rsidRPr="002E20D7">
        <w:rPr>
          <w:sz w:val="24"/>
          <w:szCs w:val="24"/>
        </w:rPr>
        <w:t>,</w:t>
      </w:r>
      <w:r w:rsidRPr="002E20D7">
        <w:rPr>
          <w:sz w:val="24"/>
          <w:szCs w:val="24"/>
        </w:rPr>
        <w:t xml:space="preserve"> 26</w:t>
      </w:r>
      <w:r w:rsidR="00014732" w:rsidRPr="002E20D7">
        <w:rPr>
          <w:sz w:val="24"/>
          <w:szCs w:val="24"/>
        </w:rPr>
        <w:t>–</w:t>
      </w:r>
      <w:r w:rsidRPr="002E20D7">
        <w:rPr>
          <w:sz w:val="24"/>
          <w:szCs w:val="24"/>
        </w:rPr>
        <w:t xml:space="preserve">27 November 2015, </w:t>
      </w:r>
      <w:r w:rsidR="003F1430" w:rsidRPr="002E20D7">
        <w:rPr>
          <w:sz w:val="24"/>
          <w:szCs w:val="24"/>
        </w:rPr>
        <w:t xml:space="preserve">3, </w:t>
      </w:r>
      <w:r w:rsidRPr="002E20D7">
        <w:rPr>
          <w:sz w:val="24"/>
          <w:szCs w:val="24"/>
        </w:rPr>
        <w:t>www.unesco.org/new/fileadmin/MULTIMEDIA/HQ/CLT/pdf/R2P-FinalReport-EN.pdf.</w:t>
      </w:r>
    </w:p>
  </w:endnote>
  <w:endnote w:id="35">
    <w:p w14:paraId="6CEE66F8" w14:textId="18ACF256"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Lenzerini</w:t>
      </w:r>
      <w:r w:rsidR="00AB31FC" w:rsidRPr="002E20D7">
        <w:rPr>
          <w:sz w:val="24"/>
          <w:szCs w:val="24"/>
        </w:rPr>
        <w:t>, “</w:t>
      </w:r>
      <w:r w:rsidRPr="002E20D7">
        <w:rPr>
          <w:sz w:val="24"/>
          <w:szCs w:val="24"/>
        </w:rPr>
        <w:t>Terrorism, Conflicts and the Responsibility to Protect</w:t>
      </w:r>
      <w:r w:rsidR="00AB31FC" w:rsidRPr="002E20D7">
        <w:rPr>
          <w:sz w:val="24"/>
          <w:szCs w:val="24"/>
        </w:rPr>
        <w:t>,”</w:t>
      </w:r>
      <w:r w:rsidRPr="002E20D7">
        <w:rPr>
          <w:sz w:val="24"/>
          <w:szCs w:val="24"/>
        </w:rPr>
        <w:t xml:space="preserve"> 80.</w:t>
      </w:r>
    </w:p>
  </w:endnote>
  <w:endnote w:id="36">
    <w:p w14:paraId="035B81DB" w14:textId="5EFA842F" w:rsidR="009847F2" w:rsidRPr="002E20D7" w:rsidRDefault="009847F2" w:rsidP="009F35FF">
      <w:pPr>
        <w:pStyle w:val="EndnoteText"/>
        <w:tabs>
          <w:tab w:val="left" w:pos="3980"/>
        </w:tabs>
        <w:spacing w:line="480" w:lineRule="auto"/>
        <w:rPr>
          <w:sz w:val="24"/>
          <w:szCs w:val="24"/>
        </w:rPr>
      </w:pPr>
      <w:r w:rsidRPr="002E20D7">
        <w:rPr>
          <w:rStyle w:val="EndnoteReference"/>
          <w:sz w:val="24"/>
          <w:szCs w:val="24"/>
        </w:rPr>
        <w:endnoteRef/>
      </w:r>
      <w:r w:rsidRPr="002E20D7">
        <w:rPr>
          <w:sz w:val="24"/>
          <w:szCs w:val="24"/>
        </w:rPr>
        <w:t xml:space="preserve"> Chechi</w:t>
      </w:r>
      <w:r w:rsidR="00AB31FC" w:rsidRPr="002E20D7">
        <w:rPr>
          <w:sz w:val="24"/>
          <w:szCs w:val="24"/>
        </w:rPr>
        <w:t>, “</w:t>
      </w:r>
      <w:r w:rsidRPr="002E20D7">
        <w:rPr>
          <w:sz w:val="24"/>
          <w:szCs w:val="24"/>
        </w:rPr>
        <w:t>The 2013 Judgment of the ICJ</w:t>
      </w:r>
      <w:r w:rsidR="003C7387" w:rsidRPr="002E20D7">
        <w:rPr>
          <w:sz w:val="24"/>
          <w:szCs w:val="24"/>
        </w:rPr>
        <w:t>,”</w:t>
      </w:r>
      <w:r w:rsidRPr="002E20D7">
        <w:rPr>
          <w:sz w:val="24"/>
          <w:szCs w:val="24"/>
        </w:rPr>
        <w:t xml:space="preserve"> 363</w:t>
      </w:r>
      <w:r w:rsidR="00014732" w:rsidRPr="002E20D7">
        <w:rPr>
          <w:sz w:val="24"/>
          <w:szCs w:val="24"/>
        </w:rPr>
        <w:t>–</w:t>
      </w:r>
      <w:r w:rsidRPr="002E20D7">
        <w:rPr>
          <w:sz w:val="24"/>
          <w:szCs w:val="24"/>
        </w:rPr>
        <w:t>65.</w:t>
      </w:r>
    </w:p>
  </w:endnote>
  <w:endnote w:id="37">
    <w:p w14:paraId="74F2FDE7" w14:textId="4BADDE02"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UNESCO Expert Meeting</w:t>
      </w:r>
      <w:r w:rsidR="00A73D8A" w:rsidRPr="002E20D7">
        <w:rPr>
          <w:sz w:val="24"/>
          <w:szCs w:val="24"/>
        </w:rPr>
        <w:t xml:space="preserve">, </w:t>
      </w:r>
      <w:r w:rsidR="00A73D8A" w:rsidRPr="00353FB5">
        <w:rPr>
          <w:i/>
          <w:iCs/>
          <w:sz w:val="24"/>
          <w:szCs w:val="24"/>
        </w:rPr>
        <w:t>Final</w:t>
      </w:r>
      <w:r w:rsidRPr="00353FB5">
        <w:rPr>
          <w:i/>
          <w:iCs/>
          <w:sz w:val="24"/>
          <w:szCs w:val="24"/>
        </w:rPr>
        <w:t xml:space="preserve"> Report</w:t>
      </w:r>
      <w:r w:rsidRPr="002E20D7">
        <w:rPr>
          <w:sz w:val="24"/>
          <w:szCs w:val="24"/>
        </w:rPr>
        <w:t>, 3.</w:t>
      </w:r>
    </w:p>
  </w:endnote>
  <w:endnote w:id="38">
    <w:p w14:paraId="08C05E32" w14:textId="144D1D60" w:rsidR="009847F2" w:rsidRPr="002E20D7" w:rsidRDefault="009847F2" w:rsidP="009F35FF">
      <w:pPr>
        <w:spacing w:line="480" w:lineRule="auto"/>
        <w:rPr>
          <w:bCs/>
          <w:color w:val="000000"/>
        </w:rPr>
      </w:pPr>
      <w:r w:rsidRPr="002E20D7">
        <w:rPr>
          <w:rStyle w:val="EndnoteReference"/>
        </w:rPr>
        <w:endnoteRef/>
      </w:r>
      <w:r w:rsidRPr="002E20D7">
        <w:t xml:space="preserve"> </w:t>
      </w:r>
      <w:r w:rsidR="0018782B" w:rsidRPr="002E20D7">
        <w:t>UNESCO Expert Meeting</w:t>
      </w:r>
      <w:r w:rsidRPr="002E20D7">
        <w:t xml:space="preserve">. </w:t>
      </w:r>
      <w:r w:rsidR="00ED7492" w:rsidRPr="002E20D7">
        <w:t>For more discussion of the role of post-conflict reconstruction in achieving reconciliation, see Patty Gerstenblith</w:t>
      </w:r>
      <w:r w:rsidR="00AB31FC" w:rsidRPr="002E20D7">
        <w:t>, “</w:t>
      </w:r>
      <w:r w:rsidR="00ED7492" w:rsidRPr="002E20D7">
        <w:rPr>
          <w:rStyle w:val="Strong"/>
          <w:b w:val="0"/>
          <w:color w:val="000000"/>
        </w:rPr>
        <w:t>Toward a Human-Rights Based Approach as an Element in Post-Conflict Cultural Heritage Reconstruction</w:t>
      </w:r>
      <w:r w:rsidR="0033544C" w:rsidRPr="002E20D7">
        <w:rPr>
          <w:rStyle w:val="Strong"/>
          <w:b w:val="0"/>
          <w:color w:val="000000"/>
        </w:rPr>
        <w:t>,”</w:t>
      </w:r>
      <w:r w:rsidR="00ED7492" w:rsidRPr="002E20D7">
        <w:rPr>
          <w:rStyle w:val="Strong"/>
          <w:b w:val="0"/>
          <w:color w:val="000000"/>
        </w:rPr>
        <w:t xml:space="preserve"> in </w:t>
      </w:r>
      <w:r w:rsidR="00ED7492" w:rsidRPr="002E20D7">
        <w:rPr>
          <w:i/>
          <w:iCs/>
        </w:rPr>
        <w:t>Heritage Destruction, Human Rights and International Law</w:t>
      </w:r>
      <w:r w:rsidR="0033544C" w:rsidRPr="002E20D7">
        <w:t>,</w:t>
      </w:r>
      <w:r w:rsidR="00ED7492" w:rsidRPr="002E20D7">
        <w:rPr>
          <w:rStyle w:val="Strong"/>
          <w:b w:val="0"/>
          <w:color w:val="000000"/>
        </w:rPr>
        <w:t xml:space="preserve"> </w:t>
      </w:r>
      <w:r w:rsidR="0033544C" w:rsidRPr="002E20D7">
        <w:rPr>
          <w:rStyle w:val="Strong"/>
          <w:b w:val="0"/>
          <w:color w:val="000000"/>
        </w:rPr>
        <w:t xml:space="preserve">ed. </w:t>
      </w:r>
      <w:r w:rsidR="00ED7492" w:rsidRPr="002E20D7">
        <w:rPr>
          <w:rStyle w:val="Strong"/>
          <w:b w:val="0"/>
          <w:color w:val="000000"/>
        </w:rPr>
        <w:t xml:space="preserve">Joe Powderly and Amy Strecker </w:t>
      </w:r>
      <w:r w:rsidR="0033544C" w:rsidRPr="002E20D7">
        <w:rPr>
          <w:rStyle w:val="Strong"/>
          <w:b w:val="0"/>
          <w:color w:val="000000"/>
        </w:rPr>
        <w:t>(</w:t>
      </w:r>
      <w:r w:rsidR="00796923" w:rsidRPr="002E20D7">
        <w:t>Leiden, Netherlands: Brill Nijhoff</w:t>
      </w:r>
      <w:r w:rsidR="00796923" w:rsidRPr="002E20D7">
        <w:rPr>
          <w:rStyle w:val="Strong"/>
          <w:b w:val="0"/>
          <w:color w:val="000000"/>
        </w:rPr>
        <w:t>,</w:t>
      </w:r>
      <w:r w:rsidR="00ED7492" w:rsidRPr="002E20D7">
        <w:rPr>
          <w:rStyle w:val="Strong"/>
          <w:b w:val="0"/>
          <w:color w:val="000000"/>
        </w:rPr>
        <w:t xml:space="preserve"> forthcoming).</w:t>
      </w:r>
    </w:p>
  </w:endnote>
  <w:endnote w:id="39">
    <w:p w14:paraId="2E19E14F" w14:textId="7E90CC99"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Francioni</w:t>
      </w:r>
      <w:r w:rsidR="00AB31FC" w:rsidRPr="002E20D7">
        <w:rPr>
          <w:sz w:val="24"/>
          <w:szCs w:val="24"/>
        </w:rPr>
        <w:t>, “</w:t>
      </w:r>
      <w:r w:rsidRPr="002E20D7">
        <w:rPr>
          <w:sz w:val="24"/>
          <w:szCs w:val="24"/>
        </w:rPr>
        <w:t>Beyond State Sovereignty</w:t>
      </w:r>
      <w:r w:rsidR="00AB31FC" w:rsidRPr="002E20D7">
        <w:rPr>
          <w:sz w:val="24"/>
          <w:szCs w:val="24"/>
        </w:rPr>
        <w:t>,”</w:t>
      </w:r>
      <w:r w:rsidRPr="002E20D7">
        <w:rPr>
          <w:sz w:val="24"/>
          <w:szCs w:val="24"/>
        </w:rPr>
        <w:t xml:space="preserve"> 1215</w:t>
      </w:r>
      <w:r w:rsidR="004640C5" w:rsidRPr="002E20D7">
        <w:rPr>
          <w:sz w:val="24"/>
          <w:szCs w:val="24"/>
        </w:rPr>
        <w:t xml:space="preserve">, </w:t>
      </w:r>
      <w:r w:rsidRPr="002E20D7">
        <w:rPr>
          <w:sz w:val="24"/>
          <w:szCs w:val="24"/>
        </w:rPr>
        <w:t>discussing that the Second Protocol to the 1954 Hague Convention</w:t>
      </w:r>
      <w:r w:rsidR="004640C5" w:rsidRPr="002E20D7">
        <w:rPr>
          <w:sz w:val="24"/>
          <w:szCs w:val="24"/>
        </w:rPr>
        <w:t xml:space="preserve">, Art. 31, </w:t>
      </w:r>
      <w:r w:rsidRPr="002E20D7">
        <w:rPr>
          <w:sz w:val="24"/>
          <w:szCs w:val="24"/>
        </w:rPr>
        <w:t xml:space="preserve">envisions the possibility of enforcing </w:t>
      </w:r>
      <w:r w:rsidR="00367256" w:rsidRPr="002E20D7">
        <w:rPr>
          <w:sz w:val="24"/>
          <w:szCs w:val="24"/>
        </w:rPr>
        <w:t>s</w:t>
      </w:r>
      <w:r w:rsidRPr="002E20D7">
        <w:rPr>
          <w:sz w:val="24"/>
          <w:szCs w:val="24"/>
        </w:rPr>
        <w:t>tate responsibilities through sanctions.</w:t>
      </w:r>
    </w:p>
  </w:endnote>
  <w:endnote w:id="40">
    <w:p w14:paraId="31E55D94" w14:textId="43765B03"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Dörmann and Serralvo</w:t>
      </w:r>
      <w:r w:rsidR="00AB31FC" w:rsidRPr="002E20D7">
        <w:rPr>
          <w:sz w:val="24"/>
          <w:szCs w:val="24"/>
        </w:rPr>
        <w:t>, “</w:t>
      </w:r>
      <w:r w:rsidRPr="002E20D7">
        <w:rPr>
          <w:sz w:val="24"/>
          <w:szCs w:val="24"/>
        </w:rPr>
        <w:t>Common Article 1 to the Geneva Conventions</w:t>
      </w:r>
      <w:r w:rsidR="00AB31FC" w:rsidRPr="002E20D7">
        <w:rPr>
          <w:sz w:val="24"/>
          <w:szCs w:val="24"/>
        </w:rPr>
        <w:t>,”</w:t>
      </w:r>
      <w:r w:rsidRPr="002E20D7">
        <w:rPr>
          <w:sz w:val="24"/>
          <w:szCs w:val="24"/>
        </w:rPr>
        <w:t xml:space="preserve"> 721.</w:t>
      </w:r>
    </w:p>
  </w:endnote>
  <w:endnote w:id="41">
    <w:p w14:paraId="1594B635" w14:textId="2EA33745" w:rsidR="009353C9" w:rsidRPr="002E20D7" w:rsidRDefault="009353C9"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964652" w:rsidRPr="002E20D7">
        <w:rPr>
          <w:sz w:val="24"/>
          <w:szCs w:val="24"/>
        </w:rPr>
        <w:t>D</w:t>
      </w:r>
      <w:r w:rsidRPr="002E20D7">
        <w:rPr>
          <w:sz w:val="24"/>
          <w:szCs w:val="24"/>
        </w:rPr>
        <w:t>ifferent motivations have been attributed to ISIL for the destruction of cultural heritage. See Cristopher W. Jones</w:t>
      </w:r>
      <w:r w:rsidR="00AB31FC" w:rsidRPr="002E20D7">
        <w:rPr>
          <w:sz w:val="24"/>
          <w:szCs w:val="24"/>
        </w:rPr>
        <w:t>, “</w:t>
      </w:r>
      <w:r w:rsidRPr="002E20D7">
        <w:rPr>
          <w:sz w:val="24"/>
          <w:szCs w:val="24"/>
        </w:rPr>
        <w:t>Understanding ISIS’s Destruction of Antiquities as a Rejection of Nationalism</w:t>
      </w:r>
      <w:r w:rsidR="004160FD" w:rsidRPr="002E20D7">
        <w:rPr>
          <w:sz w:val="24"/>
          <w:szCs w:val="24"/>
        </w:rPr>
        <w:t>,”</w:t>
      </w:r>
      <w:r w:rsidRPr="002E20D7">
        <w:rPr>
          <w:sz w:val="24"/>
          <w:szCs w:val="24"/>
        </w:rPr>
        <w:t xml:space="preserve"> </w:t>
      </w:r>
      <w:r w:rsidRPr="002E20D7">
        <w:rPr>
          <w:i/>
          <w:iCs/>
          <w:sz w:val="24"/>
          <w:szCs w:val="24"/>
        </w:rPr>
        <w:t>J</w:t>
      </w:r>
      <w:r w:rsidR="004160FD" w:rsidRPr="002E20D7">
        <w:rPr>
          <w:i/>
          <w:iCs/>
          <w:sz w:val="24"/>
          <w:szCs w:val="24"/>
        </w:rPr>
        <w:t>ournal of</w:t>
      </w:r>
      <w:r w:rsidRPr="002E20D7">
        <w:rPr>
          <w:i/>
          <w:iCs/>
          <w:sz w:val="24"/>
          <w:szCs w:val="24"/>
        </w:rPr>
        <w:t xml:space="preserve"> Eastern Mediterranean Archaeology and Heritage Studies</w:t>
      </w:r>
      <w:r w:rsidRPr="002E20D7">
        <w:rPr>
          <w:sz w:val="24"/>
          <w:szCs w:val="24"/>
        </w:rPr>
        <w:t xml:space="preserve"> 6 (2018): 31; W</w:t>
      </w:r>
      <w:r w:rsidR="004160FD" w:rsidRPr="002E20D7">
        <w:rPr>
          <w:sz w:val="24"/>
          <w:szCs w:val="24"/>
        </w:rPr>
        <w:t>endy</w:t>
      </w:r>
      <w:r w:rsidRPr="002E20D7">
        <w:rPr>
          <w:sz w:val="24"/>
          <w:szCs w:val="24"/>
        </w:rPr>
        <w:t xml:space="preserve"> MK Shaw</w:t>
      </w:r>
      <w:r w:rsidR="00AB31FC" w:rsidRPr="002E20D7">
        <w:rPr>
          <w:sz w:val="24"/>
          <w:szCs w:val="24"/>
        </w:rPr>
        <w:t>, “</w:t>
      </w:r>
      <w:r w:rsidRPr="00353FB5">
        <w:rPr>
          <w:iCs/>
          <w:sz w:val="24"/>
          <w:szCs w:val="24"/>
        </w:rPr>
        <w:t>In Situ</w:t>
      </w:r>
      <w:r w:rsidRPr="002E20D7">
        <w:rPr>
          <w:sz w:val="24"/>
          <w:szCs w:val="24"/>
        </w:rPr>
        <w:t>: The Contraindications of World Heritage</w:t>
      </w:r>
      <w:r w:rsidR="004160FD" w:rsidRPr="002E20D7">
        <w:rPr>
          <w:sz w:val="24"/>
          <w:szCs w:val="24"/>
        </w:rPr>
        <w:t>,”</w:t>
      </w:r>
      <w:r w:rsidRPr="002E20D7">
        <w:rPr>
          <w:sz w:val="24"/>
          <w:szCs w:val="24"/>
        </w:rPr>
        <w:t xml:space="preserve"> </w:t>
      </w:r>
      <w:r w:rsidRPr="002E20D7">
        <w:rPr>
          <w:i/>
          <w:iCs/>
          <w:sz w:val="24"/>
          <w:szCs w:val="24"/>
        </w:rPr>
        <w:t>International</w:t>
      </w:r>
      <w:r w:rsidR="002F1529" w:rsidRPr="002E20D7">
        <w:rPr>
          <w:i/>
          <w:iCs/>
          <w:sz w:val="24"/>
          <w:szCs w:val="24"/>
        </w:rPr>
        <w:t xml:space="preserve"> Journal </w:t>
      </w:r>
      <w:r w:rsidRPr="002E20D7">
        <w:rPr>
          <w:i/>
          <w:iCs/>
          <w:sz w:val="24"/>
          <w:szCs w:val="24"/>
        </w:rPr>
        <w:t xml:space="preserve">Islamic Architecture </w:t>
      </w:r>
      <w:r w:rsidRPr="002E20D7">
        <w:rPr>
          <w:sz w:val="24"/>
          <w:szCs w:val="24"/>
        </w:rPr>
        <w:t xml:space="preserve">6 (2017): 339; </w:t>
      </w:r>
      <w:r w:rsidR="004160FD" w:rsidRPr="002E20D7">
        <w:rPr>
          <w:sz w:val="24"/>
          <w:szCs w:val="24"/>
        </w:rPr>
        <w:t xml:space="preserve">and </w:t>
      </w:r>
      <w:r w:rsidRPr="002E20D7">
        <w:rPr>
          <w:sz w:val="24"/>
          <w:szCs w:val="24"/>
        </w:rPr>
        <w:t>M</w:t>
      </w:r>
      <w:r w:rsidR="00CE5079" w:rsidRPr="002E20D7">
        <w:rPr>
          <w:sz w:val="24"/>
          <w:szCs w:val="24"/>
        </w:rPr>
        <w:t>iroslav</w:t>
      </w:r>
      <w:r w:rsidRPr="002E20D7">
        <w:rPr>
          <w:sz w:val="24"/>
          <w:szCs w:val="24"/>
        </w:rPr>
        <w:t xml:space="preserve"> Melcak and O</w:t>
      </w:r>
      <w:r w:rsidR="00CE5079" w:rsidRPr="002E20D7">
        <w:rPr>
          <w:sz w:val="24"/>
          <w:szCs w:val="24"/>
        </w:rPr>
        <w:t>ndrej</w:t>
      </w:r>
      <w:r w:rsidRPr="002E20D7">
        <w:rPr>
          <w:sz w:val="24"/>
          <w:szCs w:val="24"/>
        </w:rPr>
        <w:t xml:space="preserve"> Ber</w:t>
      </w:r>
      <w:r w:rsidR="00CA098E">
        <w:rPr>
          <w:sz w:val="24"/>
          <w:szCs w:val="24"/>
        </w:rPr>
        <w:t>á</w:t>
      </w:r>
      <w:r w:rsidRPr="002E20D7">
        <w:rPr>
          <w:sz w:val="24"/>
          <w:szCs w:val="24"/>
        </w:rPr>
        <w:t>nek</w:t>
      </w:r>
      <w:r w:rsidR="00AB31FC" w:rsidRPr="002E20D7">
        <w:rPr>
          <w:sz w:val="24"/>
          <w:szCs w:val="24"/>
        </w:rPr>
        <w:t>, “</w:t>
      </w:r>
      <w:r w:rsidRPr="002E20D7">
        <w:rPr>
          <w:sz w:val="24"/>
          <w:szCs w:val="24"/>
        </w:rPr>
        <w:t>ISIS’s Destruction of Mosul’s Historical Monuments: Between Media Spectacle and Religious Doctrine</w:t>
      </w:r>
      <w:r w:rsidR="00BB23EF" w:rsidRPr="002E20D7">
        <w:rPr>
          <w:sz w:val="24"/>
          <w:szCs w:val="24"/>
        </w:rPr>
        <w:t>,”</w:t>
      </w:r>
      <w:r w:rsidRPr="002E20D7">
        <w:rPr>
          <w:sz w:val="24"/>
          <w:szCs w:val="24"/>
        </w:rPr>
        <w:t xml:space="preserve"> </w:t>
      </w:r>
      <w:r w:rsidRPr="002E20D7">
        <w:rPr>
          <w:i/>
          <w:iCs/>
          <w:sz w:val="24"/>
          <w:szCs w:val="24"/>
        </w:rPr>
        <w:t>International</w:t>
      </w:r>
      <w:r w:rsidR="002F1529" w:rsidRPr="002E20D7">
        <w:rPr>
          <w:i/>
          <w:iCs/>
          <w:sz w:val="24"/>
          <w:szCs w:val="24"/>
        </w:rPr>
        <w:t xml:space="preserve"> Journal </w:t>
      </w:r>
      <w:r w:rsidRPr="002E20D7">
        <w:rPr>
          <w:i/>
          <w:iCs/>
          <w:sz w:val="24"/>
          <w:szCs w:val="24"/>
        </w:rPr>
        <w:t>Islamic Architecture</w:t>
      </w:r>
      <w:r w:rsidRPr="002E20D7">
        <w:rPr>
          <w:sz w:val="24"/>
          <w:szCs w:val="24"/>
        </w:rPr>
        <w:t xml:space="preserve"> 6 (2017): 389.</w:t>
      </w:r>
    </w:p>
  </w:endnote>
  <w:endnote w:id="42">
    <w:p w14:paraId="64817650" w14:textId="0AE1D06E"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Mahnad</w:t>
      </w:r>
      <w:r w:rsidR="00AB31FC" w:rsidRPr="002E20D7">
        <w:rPr>
          <w:sz w:val="24"/>
          <w:szCs w:val="24"/>
        </w:rPr>
        <w:t>, “</w:t>
      </w:r>
      <w:r w:rsidRPr="002E20D7">
        <w:rPr>
          <w:sz w:val="24"/>
          <w:szCs w:val="24"/>
        </w:rPr>
        <w:t>Protecting Cultural Property in Syria</w:t>
      </w:r>
      <w:r w:rsidR="00AB31FC" w:rsidRPr="002E20D7">
        <w:rPr>
          <w:sz w:val="24"/>
          <w:szCs w:val="24"/>
        </w:rPr>
        <w:t>,”</w:t>
      </w:r>
      <w:r w:rsidRPr="002E20D7">
        <w:rPr>
          <w:sz w:val="24"/>
          <w:szCs w:val="24"/>
        </w:rPr>
        <w:t xml:space="preserve"> 1048.</w:t>
      </w:r>
    </w:p>
  </w:endnote>
  <w:endnote w:id="43">
    <w:p w14:paraId="777AD1E4" w14:textId="3CDE4E3B"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Weiss and Connelly</w:t>
      </w:r>
      <w:r w:rsidR="00AB31FC" w:rsidRPr="002E20D7">
        <w:rPr>
          <w:sz w:val="24"/>
          <w:szCs w:val="24"/>
        </w:rPr>
        <w:t xml:space="preserve">, </w:t>
      </w:r>
      <w:r w:rsidRPr="00353FB5">
        <w:rPr>
          <w:i/>
          <w:iCs/>
          <w:sz w:val="24"/>
          <w:szCs w:val="24"/>
        </w:rPr>
        <w:t>Cultural Cleansing and Mass Atrocities</w:t>
      </w:r>
      <w:r w:rsidR="00AB31FC" w:rsidRPr="002E20D7">
        <w:rPr>
          <w:sz w:val="24"/>
          <w:szCs w:val="24"/>
        </w:rPr>
        <w:t>,</w:t>
      </w:r>
      <w:r w:rsidRPr="002E20D7">
        <w:rPr>
          <w:sz w:val="24"/>
          <w:szCs w:val="24"/>
        </w:rPr>
        <w:t xml:space="preserve"> 38. </w:t>
      </w:r>
    </w:p>
  </w:endnote>
  <w:endnote w:id="44">
    <w:p w14:paraId="6B29F7C9" w14:textId="442103BF"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Helen Frowe and Derek Matravers</w:t>
      </w:r>
      <w:r w:rsidR="00AB31FC" w:rsidRPr="002E20D7">
        <w:rPr>
          <w:sz w:val="24"/>
          <w:szCs w:val="24"/>
        </w:rPr>
        <w:t xml:space="preserve">, </w:t>
      </w:r>
      <w:r w:rsidRPr="00353FB5">
        <w:rPr>
          <w:i/>
          <w:iCs/>
          <w:sz w:val="24"/>
          <w:szCs w:val="24"/>
        </w:rPr>
        <w:t>Conflict and Cultural Heritage: A Moral Analysis of the Challenges of Heritage Protection</w:t>
      </w:r>
      <w:r w:rsidRPr="002E20D7">
        <w:rPr>
          <w:sz w:val="24"/>
          <w:szCs w:val="24"/>
        </w:rPr>
        <w:t xml:space="preserve"> </w:t>
      </w:r>
      <w:r w:rsidR="00812CC4" w:rsidRPr="002E20D7">
        <w:rPr>
          <w:sz w:val="24"/>
          <w:szCs w:val="24"/>
        </w:rPr>
        <w:t xml:space="preserve">(Los Angeles: </w:t>
      </w:r>
      <w:r w:rsidRPr="002E20D7">
        <w:rPr>
          <w:sz w:val="24"/>
          <w:szCs w:val="24"/>
        </w:rPr>
        <w:t>J. Paul Getty Trust</w:t>
      </w:r>
      <w:r w:rsidR="00812CC4" w:rsidRPr="002E20D7">
        <w:rPr>
          <w:sz w:val="24"/>
          <w:szCs w:val="24"/>
        </w:rPr>
        <w:t>, 2019),</w:t>
      </w:r>
      <w:r w:rsidRPr="002E20D7">
        <w:rPr>
          <w:sz w:val="24"/>
          <w:szCs w:val="24"/>
        </w:rPr>
        <w:t xml:space="preserve"> Occasional Papers in Cultural Heritage Policy </w:t>
      </w:r>
      <w:r w:rsidR="00812CC4" w:rsidRPr="002E20D7">
        <w:rPr>
          <w:sz w:val="24"/>
          <w:szCs w:val="24"/>
        </w:rPr>
        <w:t>n</w:t>
      </w:r>
      <w:r w:rsidRPr="002E20D7">
        <w:rPr>
          <w:sz w:val="24"/>
          <w:szCs w:val="24"/>
        </w:rPr>
        <w:t xml:space="preserve">o. 3. </w:t>
      </w:r>
    </w:p>
  </w:endnote>
  <w:endnote w:id="45">
    <w:p w14:paraId="7C8FF00A" w14:textId="4A4E4075"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James Cuno</w:t>
      </w:r>
      <w:r w:rsidR="00AB31FC" w:rsidRPr="002E20D7">
        <w:rPr>
          <w:sz w:val="24"/>
          <w:szCs w:val="24"/>
        </w:rPr>
        <w:t>, “</w:t>
      </w:r>
      <w:r w:rsidRPr="002E20D7">
        <w:rPr>
          <w:sz w:val="24"/>
          <w:szCs w:val="24"/>
        </w:rPr>
        <w:t>The Responsibility to Protect the World’s Cultural Heritage</w:t>
      </w:r>
      <w:r w:rsidR="00AB31FC" w:rsidRPr="002E20D7">
        <w:rPr>
          <w:sz w:val="24"/>
          <w:szCs w:val="24"/>
        </w:rPr>
        <w:t>,”</w:t>
      </w:r>
      <w:r w:rsidRPr="002E20D7">
        <w:rPr>
          <w:sz w:val="24"/>
          <w:szCs w:val="24"/>
        </w:rPr>
        <w:t xml:space="preserve"> </w:t>
      </w:r>
      <w:r w:rsidRPr="002E20D7">
        <w:rPr>
          <w:i/>
          <w:iCs/>
          <w:sz w:val="24"/>
          <w:szCs w:val="24"/>
        </w:rPr>
        <w:t>Brown Journal of World Affairs</w:t>
      </w:r>
      <w:r w:rsidRPr="002E20D7">
        <w:rPr>
          <w:sz w:val="24"/>
          <w:szCs w:val="24"/>
        </w:rPr>
        <w:t xml:space="preserve"> </w:t>
      </w:r>
      <w:r w:rsidR="000B590E" w:rsidRPr="002E20D7">
        <w:rPr>
          <w:sz w:val="24"/>
          <w:szCs w:val="24"/>
        </w:rPr>
        <w:t>23, no.</w:t>
      </w:r>
      <w:r w:rsidRPr="002E20D7">
        <w:rPr>
          <w:sz w:val="24"/>
          <w:szCs w:val="24"/>
        </w:rPr>
        <w:t xml:space="preserve"> 1 (2016): 106. </w:t>
      </w:r>
    </w:p>
  </w:endnote>
  <w:endnote w:id="46">
    <w:p w14:paraId="1096DD81" w14:textId="7121271C"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Lenzerini</w:t>
      </w:r>
      <w:r w:rsidR="00AB31FC" w:rsidRPr="002E20D7">
        <w:rPr>
          <w:sz w:val="24"/>
          <w:szCs w:val="24"/>
        </w:rPr>
        <w:t>, “</w:t>
      </w:r>
      <w:r w:rsidRPr="002E20D7">
        <w:rPr>
          <w:sz w:val="24"/>
          <w:szCs w:val="24"/>
        </w:rPr>
        <w:t>Terrorism, Conflicts and the Responsibility to Protect</w:t>
      </w:r>
      <w:r w:rsidR="00AB31FC" w:rsidRPr="002E20D7">
        <w:rPr>
          <w:sz w:val="24"/>
          <w:szCs w:val="24"/>
        </w:rPr>
        <w:t>,”</w:t>
      </w:r>
      <w:r w:rsidRPr="002E20D7">
        <w:rPr>
          <w:sz w:val="24"/>
          <w:szCs w:val="24"/>
        </w:rPr>
        <w:t xml:space="preserve"> 81</w:t>
      </w:r>
      <w:r w:rsidR="00014732" w:rsidRPr="002E20D7">
        <w:rPr>
          <w:sz w:val="24"/>
          <w:szCs w:val="24"/>
        </w:rPr>
        <w:t>–</w:t>
      </w:r>
      <w:r w:rsidRPr="002E20D7">
        <w:rPr>
          <w:sz w:val="24"/>
          <w:szCs w:val="24"/>
        </w:rPr>
        <w:t>82. But see</w:t>
      </w:r>
      <w:r w:rsidR="001A6B12" w:rsidRPr="002E20D7">
        <w:rPr>
          <w:sz w:val="24"/>
          <w:szCs w:val="24"/>
        </w:rPr>
        <w:t xml:space="preserve"> UN Security Council,</w:t>
      </w:r>
      <w:r w:rsidRPr="002E20D7">
        <w:rPr>
          <w:sz w:val="24"/>
          <w:szCs w:val="24"/>
        </w:rPr>
        <w:t xml:space="preserve"> </w:t>
      </w:r>
      <w:r w:rsidR="001A6B12" w:rsidRPr="002E20D7">
        <w:rPr>
          <w:sz w:val="24"/>
          <w:szCs w:val="24"/>
        </w:rPr>
        <w:t>French d</w:t>
      </w:r>
      <w:r w:rsidRPr="002E20D7">
        <w:rPr>
          <w:sz w:val="24"/>
          <w:szCs w:val="24"/>
        </w:rPr>
        <w:t xml:space="preserve">raft </w:t>
      </w:r>
      <w:r w:rsidR="001A6B12" w:rsidRPr="002E20D7">
        <w:rPr>
          <w:sz w:val="24"/>
          <w:szCs w:val="24"/>
        </w:rPr>
        <w:t>r</w:t>
      </w:r>
      <w:r w:rsidRPr="002E20D7">
        <w:rPr>
          <w:sz w:val="24"/>
          <w:szCs w:val="24"/>
        </w:rPr>
        <w:t xml:space="preserve">esolution, UN </w:t>
      </w:r>
      <w:r w:rsidR="001A6B12" w:rsidRPr="002E20D7">
        <w:rPr>
          <w:sz w:val="24"/>
          <w:szCs w:val="24"/>
        </w:rPr>
        <w:t>d</w:t>
      </w:r>
      <w:r w:rsidRPr="002E20D7">
        <w:rPr>
          <w:sz w:val="24"/>
          <w:szCs w:val="24"/>
        </w:rPr>
        <w:t>oc. S/2014/348</w:t>
      </w:r>
      <w:r w:rsidR="001A6B12" w:rsidRPr="002E20D7">
        <w:rPr>
          <w:sz w:val="24"/>
          <w:szCs w:val="24"/>
        </w:rPr>
        <w:t>,</w:t>
      </w:r>
      <w:r w:rsidRPr="002E20D7">
        <w:rPr>
          <w:sz w:val="24"/>
          <w:szCs w:val="24"/>
        </w:rPr>
        <w:t xml:space="preserve"> </w:t>
      </w:r>
      <w:r w:rsidR="001A6B12" w:rsidRPr="002E20D7">
        <w:rPr>
          <w:sz w:val="24"/>
          <w:szCs w:val="24"/>
        </w:rPr>
        <w:t xml:space="preserve">22 </w:t>
      </w:r>
      <w:r w:rsidRPr="002E20D7">
        <w:rPr>
          <w:sz w:val="24"/>
          <w:szCs w:val="24"/>
        </w:rPr>
        <w:t>May</w:t>
      </w:r>
      <w:r w:rsidR="00415B1C" w:rsidRPr="002E20D7">
        <w:rPr>
          <w:sz w:val="24"/>
          <w:szCs w:val="24"/>
        </w:rPr>
        <w:t xml:space="preserve"> </w:t>
      </w:r>
      <w:r w:rsidRPr="002E20D7">
        <w:rPr>
          <w:sz w:val="24"/>
          <w:szCs w:val="24"/>
        </w:rPr>
        <w:t xml:space="preserve">2014; </w:t>
      </w:r>
      <w:r w:rsidR="00415B1C" w:rsidRPr="002E20D7">
        <w:rPr>
          <w:sz w:val="24"/>
          <w:szCs w:val="24"/>
        </w:rPr>
        <w:t>and “</w:t>
      </w:r>
      <w:r w:rsidRPr="002E20D7">
        <w:rPr>
          <w:iCs/>
          <w:sz w:val="24"/>
          <w:szCs w:val="24"/>
        </w:rPr>
        <w:t>Recent Draft Resolution</w:t>
      </w:r>
      <w:r w:rsidR="00AB31FC" w:rsidRPr="002E20D7">
        <w:rPr>
          <w:sz w:val="24"/>
          <w:szCs w:val="24"/>
        </w:rPr>
        <w:t>,”</w:t>
      </w:r>
      <w:r w:rsidRPr="002E20D7">
        <w:rPr>
          <w:sz w:val="24"/>
          <w:szCs w:val="24"/>
        </w:rPr>
        <w:t xml:space="preserve"> </w:t>
      </w:r>
      <w:r w:rsidRPr="002E20D7">
        <w:rPr>
          <w:i/>
          <w:iCs/>
          <w:sz w:val="24"/>
          <w:szCs w:val="24"/>
        </w:rPr>
        <w:t>Harvard Law Review</w:t>
      </w:r>
      <w:r w:rsidRPr="002E20D7">
        <w:rPr>
          <w:sz w:val="24"/>
          <w:szCs w:val="24"/>
        </w:rPr>
        <w:t xml:space="preserve"> 128 (2015): 1057</w:t>
      </w:r>
      <w:r w:rsidR="00014732" w:rsidRPr="002E20D7">
        <w:rPr>
          <w:sz w:val="24"/>
          <w:szCs w:val="24"/>
        </w:rPr>
        <w:t>–</w:t>
      </w:r>
      <w:r w:rsidRPr="002E20D7">
        <w:rPr>
          <w:sz w:val="24"/>
          <w:szCs w:val="24"/>
        </w:rPr>
        <w:t>58</w:t>
      </w:r>
      <w:r w:rsidR="00415B1C" w:rsidRPr="002E20D7">
        <w:rPr>
          <w:sz w:val="24"/>
          <w:szCs w:val="24"/>
        </w:rPr>
        <w:t>,</w:t>
      </w:r>
      <w:r w:rsidRPr="002E20D7">
        <w:rPr>
          <w:sz w:val="24"/>
          <w:szCs w:val="24"/>
        </w:rPr>
        <w:t xml:space="preserve"> </w:t>
      </w:r>
      <w:r w:rsidR="00415B1C" w:rsidRPr="002E20D7">
        <w:rPr>
          <w:sz w:val="24"/>
          <w:szCs w:val="24"/>
        </w:rPr>
        <w:t xml:space="preserve">which discusses </w:t>
      </w:r>
      <w:r w:rsidRPr="002E20D7">
        <w:rPr>
          <w:sz w:val="24"/>
          <w:szCs w:val="24"/>
        </w:rPr>
        <w:t>vetoes by Russia and China of a referral of the situation in Syria by the Security Council to the ICC.</w:t>
      </w:r>
    </w:p>
  </w:endnote>
  <w:endnote w:id="47">
    <w:p w14:paraId="17901193" w14:textId="62CCE6BA"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Frowe and Matravers</w:t>
      </w:r>
      <w:r w:rsidR="00AB31FC" w:rsidRPr="002E20D7">
        <w:rPr>
          <w:sz w:val="24"/>
          <w:szCs w:val="24"/>
        </w:rPr>
        <w:t xml:space="preserve">, </w:t>
      </w:r>
      <w:r w:rsidRPr="00353FB5">
        <w:rPr>
          <w:i/>
          <w:iCs/>
          <w:sz w:val="24"/>
          <w:szCs w:val="24"/>
        </w:rPr>
        <w:t>Conflict and Cultural Heritage</w:t>
      </w:r>
      <w:r w:rsidR="00AB31FC" w:rsidRPr="002E20D7">
        <w:rPr>
          <w:sz w:val="24"/>
          <w:szCs w:val="24"/>
        </w:rPr>
        <w:t>,</w:t>
      </w:r>
      <w:r w:rsidRPr="002E20D7">
        <w:rPr>
          <w:sz w:val="24"/>
          <w:szCs w:val="24"/>
        </w:rPr>
        <w:t xml:space="preserve"> 14</w:t>
      </w:r>
      <w:r w:rsidR="00014732" w:rsidRPr="002E20D7">
        <w:rPr>
          <w:sz w:val="24"/>
          <w:szCs w:val="24"/>
        </w:rPr>
        <w:t>–</w:t>
      </w:r>
      <w:r w:rsidRPr="002E20D7">
        <w:rPr>
          <w:sz w:val="24"/>
          <w:szCs w:val="24"/>
        </w:rPr>
        <w:t>17.</w:t>
      </w:r>
    </w:p>
  </w:endnote>
  <w:endnote w:id="48">
    <w:p w14:paraId="5C32EC52" w14:textId="55165885"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Frowe and Matravers</w:t>
      </w:r>
      <w:r w:rsidR="00AB31FC" w:rsidRPr="002E20D7">
        <w:rPr>
          <w:sz w:val="24"/>
          <w:szCs w:val="24"/>
        </w:rPr>
        <w:t xml:space="preserve">, </w:t>
      </w:r>
      <w:r w:rsidRPr="002E20D7">
        <w:rPr>
          <w:sz w:val="24"/>
          <w:szCs w:val="24"/>
        </w:rPr>
        <w:t>11</w:t>
      </w:r>
      <w:r w:rsidR="00014732" w:rsidRPr="002E20D7">
        <w:rPr>
          <w:sz w:val="24"/>
          <w:szCs w:val="24"/>
        </w:rPr>
        <w:t>–</w:t>
      </w:r>
      <w:r w:rsidRPr="002E20D7">
        <w:rPr>
          <w:sz w:val="24"/>
          <w:szCs w:val="24"/>
        </w:rPr>
        <w:t>13.</w:t>
      </w:r>
    </w:p>
  </w:endnote>
  <w:endnote w:id="49">
    <w:p w14:paraId="050E805F" w14:textId="4D4D80BD"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Weiss and Connelly</w:t>
      </w:r>
      <w:r w:rsidR="00AB31FC" w:rsidRPr="002E20D7">
        <w:rPr>
          <w:sz w:val="24"/>
          <w:szCs w:val="24"/>
        </w:rPr>
        <w:t xml:space="preserve">, </w:t>
      </w:r>
      <w:r w:rsidRPr="00353FB5">
        <w:rPr>
          <w:i/>
          <w:iCs/>
          <w:sz w:val="24"/>
          <w:szCs w:val="24"/>
        </w:rPr>
        <w:t>Cultural Cleansing and Mass Atrocities</w:t>
      </w:r>
      <w:r w:rsidR="00AB31FC" w:rsidRPr="002E20D7">
        <w:rPr>
          <w:sz w:val="24"/>
          <w:szCs w:val="24"/>
        </w:rPr>
        <w:t>,</w:t>
      </w:r>
      <w:r w:rsidRPr="002E20D7">
        <w:rPr>
          <w:sz w:val="24"/>
          <w:szCs w:val="24"/>
        </w:rPr>
        <w:t xml:space="preserve"> 38.</w:t>
      </w:r>
    </w:p>
  </w:endnote>
  <w:endnote w:id="50">
    <w:p w14:paraId="5D4A8A4C" w14:textId="3A2B24B4" w:rsidR="009847F2" w:rsidRPr="002E20D7" w:rsidRDefault="009847F2" w:rsidP="009F35FF">
      <w:pPr>
        <w:pStyle w:val="EndnoteText"/>
        <w:spacing w:line="480" w:lineRule="auto"/>
        <w:contextualSpacing/>
        <w:rPr>
          <w:sz w:val="24"/>
          <w:szCs w:val="24"/>
        </w:rPr>
      </w:pPr>
      <w:r w:rsidRPr="002E20D7">
        <w:rPr>
          <w:rStyle w:val="EndnoteReference"/>
          <w:sz w:val="24"/>
          <w:szCs w:val="24"/>
        </w:rPr>
        <w:endnoteRef/>
      </w:r>
      <w:r w:rsidRPr="002E20D7">
        <w:rPr>
          <w:sz w:val="24"/>
          <w:szCs w:val="24"/>
        </w:rPr>
        <w:t> </w:t>
      </w:r>
      <w:r w:rsidR="001617D0" w:rsidRPr="002E20D7">
        <w:rPr>
          <w:sz w:val="24"/>
          <w:szCs w:val="24"/>
        </w:rPr>
        <w:t>UN Security Council, UN doc. S/RES/2100, 25 April 2013,</w:t>
      </w:r>
      <w:r w:rsidRPr="002E20D7">
        <w:rPr>
          <w:sz w:val="24"/>
          <w:szCs w:val="24"/>
        </w:rPr>
        <w:t xml:space="preserve"> </w:t>
      </w:r>
      <w:r w:rsidR="00DB0F54" w:rsidRPr="002E20D7">
        <w:rPr>
          <w:sz w:val="24"/>
          <w:szCs w:val="24"/>
        </w:rPr>
        <w:t xml:space="preserve">para. </w:t>
      </w:r>
      <w:r w:rsidRPr="002E20D7">
        <w:rPr>
          <w:sz w:val="24"/>
          <w:szCs w:val="24"/>
        </w:rPr>
        <w:t>16</w:t>
      </w:r>
      <w:r w:rsidR="001617D0" w:rsidRPr="002E20D7">
        <w:rPr>
          <w:sz w:val="24"/>
          <w:szCs w:val="24"/>
        </w:rPr>
        <w:t>.</w:t>
      </w:r>
      <w:r w:rsidRPr="002E20D7">
        <w:rPr>
          <w:sz w:val="24"/>
          <w:szCs w:val="24"/>
        </w:rPr>
        <w:t>f</w:t>
      </w:r>
      <w:r w:rsidR="001617D0" w:rsidRPr="002E20D7">
        <w:rPr>
          <w:sz w:val="24"/>
          <w:szCs w:val="24"/>
        </w:rPr>
        <w:t xml:space="preserve">, </w:t>
      </w:r>
      <w:r w:rsidR="00720ABA" w:rsidRPr="002E20D7">
        <w:rPr>
          <w:sz w:val="24"/>
          <w:szCs w:val="24"/>
        </w:rPr>
        <w:t>https://digitallibrary.un.org/record/748429?ln=en</w:t>
      </w:r>
      <w:r w:rsidRPr="002E20D7">
        <w:rPr>
          <w:sz w:val="24"/>
          <w:szCs w:val="24"/>
        </w:rPr>
        <w:t>.</w:t>
      </w:r>
    </w:p>
  </w:endnote>
  <w:endnote w:id="51">
    <w:p w14:paraId="3A91F782" w14:textId="4032A0D9"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F7491E" w:rsidRPr="002E20D7">
        <w:rPr>
          <w:sz w:val="24"/>
          <w:szCs w:val="24"/>
        </w:rPr>
        <w:t>UN</w:t>
      </w:r>
      <w:r w:rsidRPr="002E20D7">
        <w:rPr>
          <w:sz w:val="24"/>
          <w:szCs w:val="24"/>
        </w:rPr>
        <w:t xml:space="preserve"> Peacekeeping, “Action </w:t>
      </w:r>
      <w:r w:rsidR="007460D7" w:rsidRPr="002E20D7">
        <w:rPr>
          <w:sz w:val="24"/>
          <w:szCs w:val="24"/>
        </w:rPr>
        <w:t>P</w:t>
      </w:r>
      <w:r w:rsidRPr="002E20D7">
        <w:rPr>
          <w:sz w:val="24"/>
          <w:szCs w:val="24"/>
        </w:rPr>
        <w:t xml:space="preserve">lan to </w:t>
      </w:r>
      <w:r w:rsidR="007460D7" w:rsidRPr="002E20D7">
        <w:rPr>
          <w:sz w:val="24"/>
          <w:szCs w:val="24"/>
        </w:rPr>
        <w:t>P</w:t>
      </w:r>
      <w:r w:rsidRPr="002E20D7">
        <w:rPr>
          <w:sz w:val="24"/>
          <w:szCs w:val="24"/>
        </w:rPr>
        <w:t xml:space="preserve">reserve </w:t>
      </w:r>
      <w:r w:rsidR="007460D7" w:rsidRPr="002E20D7">
        <w:rPr>
          <w:sz w:val="24"/>
          <w:szCs w:val="24"/>
        </w:rPr>
        <w:t>H</w:t>
      </w:r>
      <w:r w:rsidRPr="002E20D7">
        <w:rPr>
          <w:sz w:val="24"/>
          <w:szCs w:val="24"/>
        </w:rPr>
        <w:t xml:space="preserve">eritage </w:t>
      </w:r>
      <w:r w:rsidR="007460D7" w:rsidRPr="002E20D7">
        <w:rPr>
          <w:sz w:val="24"/>
          <w:szCs w:val="24"/>
        </w:rPr>
        <w:t>S</w:t>
      </w:r>
      <w:r w:rsidRPr="002E20D7">
        <w:rPr>
          <w:sz w:val="24"/>
          <w:szCs w:val="24"/>
        </w:rPr>
        <w:t xml:space="preserve">ites during </w:t>
      </w:r>
      <w:r w:rsidR="00B802F9" w:rsidRPr="002E20D7">
        <w:rPr>
          <w:sz w:val="24"/>
          <w:szCs w:val="24"/>
        </w:rPr>
        <w:t>C</w:t>
      </w:r>
      <w:r w:rsidRPr="002E20D7">
        <w:rPr>
          <w:sz w:val="24"/>
          <w:szCs w:val="24"/>
        </w:rPr>
        <w:t>onflict,” 12 April 2019, https://peacekeeping.un.org/en/action-plan-to-preserve-heritage-sites-during-conflict.</w:t>
      </w:r>
    </w:p>
  </w:endnote>
  <w:endnote w:id="52">
    <w:p w14:paraId="16814557" w14:textId="3FA7E97B"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72104A" w:rsidRPr="002E20D7">
        <w:rPr>
          <w:sz w:val="24"/>
          <w:szCs w:val="24"/>
        </w:rPr>
        <w:t xml:space="preserve">Smithsonian, “Training Aids,” </w:t>
      </w:r>
      <w:r w:rsidRPr="002E20D7">
        <w:rPr>
          <w:sz w:val="24"/>
          <w:szCs w:val="24"/>
        </w:rPr>
        <w:t>https://culturalrescue.si.edu/what-we-do/resilience/training-aids/.</w:t>
      </w:r>
    </w:p>
  </w:endnote>
  <w:endnote w:id="53">
    <w:p w14:paraId="08256189" w14:textId="0F2A1CA2" w:rsidR="009847F2" w:rsidRPr="00353FB5" w:rsidRDefault="009847F2" w:rsidP="009F35FF">
      <w:pPr>
        <w:pStyle w:val="EndnoteText"/>
        <w:spacing w:line="480" w:lineRule="auto"/>
        <w:rPr>
          <w:sz w:val="24"/>
          <w:szCs w:val="24"/>
        </w:rPr>
      </w:pPr>
      <w:r w:rsidRPr="00353FB5">
        <w:rPr>
          <w:rStyle w:val="EndnoteReference"/>
          <w:sz w:val="24"/>
          <w:szCs w:val="24"/>
        </w:rPr>
        <w:endnoteRef/>
      </w:r>
      <w:r w:rsidRPr="00353FB5">
        <w:rPr>
          <w:sz w:val="24"/>
          <w:szCs w:val="24"/>
        </w:rPr>
        <w:t xml:space="preserve"> </w:t>
      </w:r>
      <w:r w:rsidRPr="002E20D7">
        <w:rPr>
          <w:sz w:val="24"/>
          <w:szCs w:val="24"/>
        </w:rPr>
        <w:t>UNESCO</w:t>
      </w:r>
      <w:r w:rsidR="00AB31FC" w:rsidRPr="002E20D7">
        <w:rPr>
          <w:sz w:val="24"/>
          <w:szCs w:val="24"/>
        </w:rPr>
        <w:t>, “</w:t>
      </w:r>
      <w:r w:rsidRPr="002E20D7">
        <w:rPr>
          <w:sz w:val="24"/>
          <w:szCs w:val="24"/>
        </w:rPr>
        <w:t xml:space="preserve">Italy </w:t>
      </w:r>
      <w:r w:rsidR="00C6388F" w:rsidRPr="002E20D7">
        <w:rPr>
          <w:sz w:val="24"/>
          <w:szCs w:val="24"/>
        </w:rPr>
        <w:t>C</w:t>
      </w:r>
      <w:r w:rsidRPr="002E20D7">
        <w:rPr>
          <w:sz w:val="24"/>
          <w:szCs w:val="24"/>
        </w:rPr>
        <w:t>reates a UNESCO Emergency Task Force for Culture</w:t>
      </w:r>
      <w:r w:rsidR="00AB31FC" w:rsidRPr="002E20D7">
        <w:rPr>
          <w:sz w:val="24"/>
          <w:szCs w:val="24"/>
        </w:rPr>
        <w:t>,”</w:t>
      </w:r>
      <w:r w:rsidRPr="002E20D7">
        <w:rPr>
          <w:sz w:val="24"/>
          <w:szCs w:val="24"/>
        </w:rPr>
        <w:t xml:space="preserve"> 15 February 2016</w:t>
      </w:r>
      <w:r w:rsidR="00C6388F" w:rsidRPr="002E20D7">
        <w:rPr>
          <w:sz w:val="24"/>
          <w:szCs w:val="24"/>
        </w:rPr>
        <w:t>,</w:t>
      </w:r>
      <w:r w:rsidRPr="002E20D7">
        <w:rPr>
          <w:sz w:val="24"/>
          <w:szCs w:val="24"/>
        </w:rPr>
        <w:t xml:space="preserve"> https://en.unesco.org/news/italy-creates-unesco-emergency-task-force-culture-1.</w:t>
      </w:r>
    </w:p>
  </w:endnote>
  <w:endnote w:id="54">
    <w:p w14:paraId="6F87D752" w14:textId="36D27875" w:rsidR="009847F2" w:rsidRPr="002E20D7" w:rsidRDefault="009847F2" w:rsidP="009F35FF">
      <w:pPr>
        <w:spacing w:line="480" w:lineRule="auto"/>
      </w:pPr>
      <w:r w:rsidRPr="002E20D7">
        <w:rPr>
          <w:rStyle w:val="EndnoteReference"/>
        </w:rPr>
        <w:endnoteRef/>
      </w:r>
      <w:r w:rsidRPr="002E20D7">
        <w:t xml:space="preserve"> See O’Keefe, </w:t>
      </w:r>
      <w:r w:rsidRPr="002E20D7">
        <w:rPr>
          <w:i/>
        </w:rPr>
        <w:t>The Protection of Cultural Property</w:t>
      </w:r>
      <w:r w:rsidRPr="002E20D7">
        <w:rPr>
          <w:iCs/>
        </w:rPr>
        <w:t xml:space="preserve">; </w:t>
      </w:r>
      <w:r w:rsidR="00681B2E" w:rsidRPr="002E20D7">
        <w:rPr>
          <w:iCs/>
        </w:rPr>
        <w:t xml:space="preserve">and </w:t>
      </w:r>
      <w:r w:rsidRPr="002E20D7">
        <w:rPr>
          <w:iCs/>
        </w:rPr>
        <w:t>Ana Filipa Vrdoljak,</w:t>
      </w:r>
      <w:r w:rsidRPr="002E20D7">
        <w:t xml:space="preserve"> </w:t>
      </w:r>
      <w:r w:rsidR="00681B2E" w:rsidRPr="002E20D7">
        <w:t>“</w:t>
      </w:r>
      <w:r w:rsidRPr="002E20D7">
        <w:t>The Criminalisation of the Intentional Destruction of Cultural Heritage,</w:t>
      </w:r>
      <w:r w:rsidR="00681B2E" w:rsidRPr="002E20D7">
        <w:t>”</w:t>
      </w:r>
      <w:r w:rsidRPr="002E20D7">
        <w:t xml:space="preserve"> in </w:t>
      </w:r>
      <w:r w:rsidRPr="002E20D7">
        <w:rPr>
          <w:rStyle w:val="Emphasis"/>
        </w:rPr>
        <w:t>Forging a Socio-</w:t>
      </w:r>
      <w:r w:rsidR="00724011" w:rsidRPr="002E20D7">
        <w:rPr>
          <w:rStyle w:val="Emphasis"/>
        </w:rPr>
        <w:t>l</w:t>
      </w:r>
      <w:r w:rsidRPr="002E20D7">
        <w:rPr>
          <w:rStyle w:val="Emphasis"/>
        </w:rPr>
        <w:t>egal Approach to Environmental Harm: Global Perspectives</w:t>
      </w:r>
      <w:r w:rsidRPr="002E20D7">
        <w:rPr>
          <w:rStyle w:val="Emphasis"/>
          <w:i w:val="0"/>
          <w:iCs w:val="0"/>
        </w:rPr>
        <w:t>, ed. Tiffany Bergin and Emanuela Orlando</w:t>
      </w:r>
      <w:r w:rsidRPr="002E20D7">
        <w:t xml:space="preserve"> (New York: Routledge, 2017)</w:t>
      </w:r>
      <w:r w:rsidR="00681B2E" w:rsidRPr="002E20D7">
        <w:t>,</w:t>
      </w:r>
      <w:r w:rsidRPr="002E20D7">
        <w:t xml:space="preserve"> 237</w:t>
      </w:r>
      <w:r w:rsidR="00014732" w:rsidRPr="002E20D7">
        <w:t>–</w:t>
      </w:r>
      <w:r w:rsidRPr="002E20D7">
        <w:t>67.</w:t>
      </w:r>
    </w:p>
  </w:endnote>
  <w:endnote w:id="55">
    <w:p w14:paraId="757DCF36" w14:textId="05226602"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3D34BE" w:rsidRPr="002E20D7">
        <w:rPr>
          <w:sz w:val="24"/>
          <w:szCs w:val="24"/>
        </w:rPr>
        <w:t xml:space="preserve">See </w:t>
      </w:r>
      <w:r w:rsidRPr="002E20D7">
        <w:rPr>
          <w:sz w:val="24"/>
          <w:szCs w:val="24"/>
        </w:rPr>
        <w:t>Wierczynska and Jakubowski</w:t>
      </w:r>
      <w:r w:rsidR="00AB31FC" w:rsidRPr="002E20D7">
        <w:rPr>
          <w:sz w:val="24"/>
          <w:szCs w:val="24"/>
        </w:rPr>
        <w:t>, “</w:t>
      </w:r>
      <w:r w:rsidRPr="002E20D7">
        <w:rPr>
          <w:sz w:val="24"/>
          <w:szCs w:val="24"/>
        </w:rPr>
        <w:t>Individual Responsibility for Deliberate Destruction</w:t>
      </w:r>
      <w:r w:rsidR="00AB31FC" w:rsidRPr="002E20D7">
        <w:rPr>
          <w:sz w:val="24"/>
          <w:szCs w:val="24"/>
        </w:rPr>
        <w:t>,”</w:t>
      </w:r>
      <w:r w:rsidRPr="002E20D7">
        <w:rPr>
          <w:sz w:val="24"/>
          <w:szCs w:val="24"/>
        </w:rPr>
        <w:t xml:space="preserve"> 701</w:t>
      </w:r>
      <w:r w:rsidR="00014732" w:rsidRPr="002E20D7">
        <w:rPr>
          <w:sz w:val="24"/>
          <w:szCs w:val="24"/>
        </w:rPr>
        <w:t>–</w:t>
      </w:r>
      <w:r w:rsidRPr="002E20D7">
        <w:rPr>
          <w:sz w:val="24"/>
          <w:szCs w:val="24"/>
        </w:rPr>
        <w:t>3.</w:t>
      </w:r>
    </w:p>
  </w:endnote>
  <w:endnote w:id="56">
    <w:p w14:paraId="51119D43" w14:textId="025AE11A"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Caroline Ehlert, </w:t>
      </w:r>
      <w:r w:rsidRPr="002E20D7">
        <w:rPr>
          <w:i/>
          <w:iCs/>
          <w:sz w:val="24"/>
          <w:szCs w:val="24"/>
        </w:rPr>
        <w:t>Prosecuting the Destruction of Cultural Property in International Criminal Law</w:t>
      </w:r>
      <w:r w:rsidRPr="002E20D7">
        <w:rPr>
          <w:sz w:val="24"/>
          <w:szCs w:val="24"/>
        </w:rPr>
        <w:t xml:space="preserve"> (Leiden, Netherlands: Brill Nijhoff, 2013)</w:t>
      </w:r>
      <w:r w:rsidR="00C85038" w:rsidRPr="002E20D7">
        <w:rPr>
          <w:sz w:val="24"/>
          <w:szCs w:val="24"/>
        </w:rPr>
        <w:t>,</w:t>
      </w:r>
      <w:r w:rsidRPr="002E20D7">
        <w:rPr>
          <w:sz w:val="24"/>
          <w:szCs w:val="24"/>
        </w:rPr>
        <w:t xml:space="preserve"> 180</w:t>
      </w:r>
      <w:r w:rsidR="00014732" w:rsidRPr="002E20D7">
        <w:rPr>
          <w:sz w:val="24"/>
          <w:szCs w:val="24"/>
        </w:rPr>
        <w:t>–</w:t>
      </w:r>
      <w:r w:rsidRPr="002E20D7">
        <w:rPr>
          <w:sz w:val="24"/>
          <w:szCs w:val="24"/>
        </w:rPr>
        <w:t>85, 200;</w:t>
      </w:r>
      <w:r w:rsidR="00E222C4" w:rsidRPr="002E20D7">
        <w:rPr>
          <w:sz w:val="24"/>
          <w:szCs w:val="24"/>
        </w:rPr>
        <w:t xml:space="preserve"> and</w:t>
      </w:r>
      <w:r w:rsidRPr="002E20D7">
        <w:rPr>
          <w:sz w:val="24"/>
          <w:szCs w:val="24"/>
        </w:rPr>
        <w:t xml:space="preserve"> Jirí Toman, </w:t>
      </w:r>
      <w:r w:rsidRPr="002E20D7">
        <w:rPr>
          <w:i/>
          <w:iCs/>
          <w:sz w:val="24"/>
          <w:szCs w:val="24"/>
        </w:rPr>
        <w:t>Cultural Property in War: Improvement in Protection</w:t>
      </w:r>
      <w:r w:rsidRPr="002E20D7">
        <w:rPr>
          <w:sz w:val="24"/>
          <w:szCs w:val="24"/>
        </w:rPr>
        <w:t xml:space="preserve"> (</w:t>
      </w:r>
      <w:r w:rsidR="00E222C4" w:rsidRPr="002E20D7">
        <w:rPr>
          <w:sz w:val="24"/>
          <w:szCs w:val="24"/>
        </w:rPr>
        <w:t xml:space="preserve">Paris: </w:t>
      </w:r>
      <w:r w:rsidRPr="002E20D7">
        <w:rPr>
          <w:sz w:val="24"/>
          <w:szCs w:val="24"/>
        </w:rPr>
        <w:t>UNESCO, 2009)</w:t>
      </w:r>
      <w:r w:rsidR="00B54CEA" w:rsidRPr="002E20D7">
        <w:rPr>
          <w:sz w:val="24"/>
          <w:szCs w:val="24"/>
        </w:rPr>
        <w:t>,</w:t>
      </w:r>
      <w:r w:rsidRPr="002E20D7">
        <w:rPr>
          <w:sz w:val="24"/>
          <w:szCs w:val="24"/>
        </w:rPr>
        <w:t xml:space="preserve"> 795.</w:t>
      </w:r>
    </w:p>
  </w:endnote>
  <w:endnote w:id="57">
    <w:p w14:paraId="61E721C7" w14:textId="3519CB00"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391508" w:rsidRPr="002E20D7">
        <w:rPr>
          <w:sz w:val="24"/>
          <w:szCs w:val="24"/>
        </w:rPr>
        <w:t xml:space="preserve">ICC, </w:t>
      </w:r>
      <w:r w:rsidRPr="00353FB5">
        <w:rPr>
          <w:i/>
          <w:iCs/>
          <w:sz w:val="24"/>
          <w:szCs w:val="24"/>
        </w:rPr>
        <w:t>Ahmad Al Faqi Al Mahdi</w:t>
      </w:r>
      <w:r w:rsidRPr="002E20D7">
        <w:rPr>
          <w:sz w:val="24"/>
          <w:szCs w:val="24"/>
        </w:rPr>
        <w:t>, Judgment</w:t>
      </w:r>
      <w:r w:rsidR="0043237B" w:rsidRPr="002E20D7">
        <w:rPr>
          <w:sz w:val="24"/>
          <w:szCs w:val="24"/>
        </w:rPr>
        <w:t xml:space="preserve"> and Sentence</w:t>
      </w:r>
      <w:r w:rsidR="00391508" w:rsidRPr="002E20D7">
        <w:rPr>
          <w:sz w:val="24"/>
          <w:szCs w:val="24"/>
        </w:rPr>
        <w:t>,</w:t>
      </w:r>
      <w:r w:rsidRPr="002E20D7">
        <w:rPr>
          <w:sz w:val="24"/>
          <w:szCs w:val="24"/>
        </w:rPr>
        <w:t xml:space="preserve"> </w:t>
      </w:r>
      <w:r w:rsidR="00A81758" w:rsidRPr="002E20D7">
        <w:rPr>
          <w:sz w:val="24"/>
          <w:szCs w:val="24"/>
        </w:rPr>
        <w:t xml:space="preserve">doc. </w:t>
      </w:r>
      <w:r w:rsidR="00391508" w:rsidRPr="002E20D7">
        <w:rPr>
          <w:sz w:val="24"/>
          <w:szCs w:val="24"/>
        </w:rPr>
        <w:t xml:space="preserve">no. </w:t>
      </w:r>
      <w:r w:rsidRPr="002E20D7">
        <w:rPr>
          <w:sz w:val="24"/>
          <w:szCs w:val="24"/>
        </w:rPr>
        <w:t>ICC-01/12-01/15</w:t>
      </w:r>
      <w:r w:rsidR="00544D04" w:rsidRPr="002E20D7">
        <w:rPr>
          <w:sz w:val="24"/>
          <w:szCs w:val="24"/>
        </w:rPr>
        <w:t>-171,</w:t>
      </w:r>
      <w:r w:rsidR="00391508" w:rsidRPr="002E20D7">
        <w:rPr>
          <w:sz w:val="24"/>
          <w:szCs w:val="24"/>
        </w:rPr>
        <w:t xml:space="preserve"> </w:t>
      </w:r>
      <w:r w:rsidR="001522D8" w:rsidRPr="002E20D7">
        <w:rPr>
          <w:sz w:val="24"/>
          <w:szCs w:val="24"/>
        </w:rPr>
        <w:t>27 September 2016</w:t>
      </w:r>
      <w:r w:rsidRPr="002E20D7">
        <w:rPr>
          <w:sz w:val="24"/>
          <w:szCs w:val="24"/>
        </w:rPr>
        <w:t xml:space="preserve">; </w:t>
      </w:r>
      <w:r w:rsidR="00FA7667" w:rsidRPr="002E20D7">
        <w:rPr>
          <w:sz w:val="24"/>
          <w:szCs w:val="24"/>
        </w:rPr>
        <w:t xml:space="preserve">and </w:t>
      </w:r>
      <w:r w:rsidR="008F515D">
        <w:rPr>
          <w:sz w:val="24"/>
          <w:szCs w:val="24"/>
        </w:rPr>
        <w:t xml:space="preserve">ICC, </w:t>
      </w:r>
      <w:r w:rsidRPr="00353FB5">
        <w:rPr>
          <w:i/>
          <w:iCs/>
          <w:sz w:val="24"/>
          <w:szCs w:val="24"/>
        </w:rPr>
        <w:t>Hassan Ag Abdoul Aziz Ag Mohamed Ag Mahmoud</w:t>
      </w:r>
      <w:r w:rsidRPr="002E20D7">
        <w:rPr>
          <w:sz w:val="24"/>
          <w:szCs w:val="24"/>
        </w:rPr>
        <w:t xml:space="preserve">, </w:t>
      </w:r>
      <w:r w:rsidR="00706A98" w:rsidRPr="002E20D7">
        <w:rPr>
          <w:sz w:val="24"/>
          <w:szCs w:val="24"/>
        </w:rPr>
        <w:t xml:space="preserve">case no. </w:t>
      </w:r>
      <w:r w:rsidRPr="002E20D7">
        <w:rPr>
          <w:sz w:val="24"/>
          <w:szCs w:val="24"/>
        </w:rPr>
        <w:t>ICC-01/12-0/18.</w:t>
      </w:r>
    </w:p>
  </w:endnote>
  <w:endnote w:id="58">
    <w:p w14:paraId="67443825" w14:textId="01DEE0C0" w:rsidR="00C2445F" w:rsidRPr="002E20D7" w:rsidRDefault="00C2445F"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834251" w:rsidRPr="002E20D7">
        <w:rPr>
          <w:sz w:val="24"/>
          <w:szCs w:val="24"/>
        </w:rPr>
        <w:t xml:space="preserve">See ICC, </w:t>
      </w:r>
      <w:r w:rsidR="00834251" w:rsidRPr="002E20D7">
        <w:rPr>
          <w:i/>
          <w:iCs/>
          <w:sz w:val="24"/>
          <w:szCs w:val="24"/>
        </w:rPr>
        <w:t>Bosco Ntaganda</w:t>
      </w:r>
      <w:r w:rsidR="00834251" w:rsidRPr="002E20D7">
        <w:rPr>
          <w:sz w:val="24"/>
          <w:szCs w:val="24"/>
        </w:rPr>
        <w:t xml:space="preserve">, Judgment, case no. ICC-01/04-02/06, 8 July 2019, </w:t>
      </w:r>
      <w:r w:rsidR="00811148" w:rsidRPr="002E20D7">
        <w:rPr>
          <w:sz w:val="24"/>
          <w:szCs w:val="24"/>
        </w:rPr>
        <w:t>paras. 1145–68</w:t>
      </w:r>
      <w:r w:rsidR="00D0117D" w:rsidRPr="002E20D7">
        <w:rPr>
          <w:sz w:val="24"/>
          <w:szCs w:val="24"/>
        </w:rPr>
        <w:t>.</w:t>
      </w:r>
      <w:r w:rsidR="00F93980" w:rsidRPr="002E20D7">
        <w:rPr>
          <w:sz w:val="24"/>
          <w:szCs w:val="24"/>
        </w:rPr>
        <w:t xml:space="preserve"> The defendant was acquitted on this charge </w:t>
      </w:r>
      <w:r w:rsidR="00F03B07" w:rsidRPr="002E20D7">
        <w:rPr>
          <w:sz w:val="24"/>
          <w:szCs w:val="24"/>
        </w:rPr>
        <w:t xml:space="preserve">because </w:t>
      </w:r>
      <w:r w:rsidR="00F93980" w:rsidRPr="002E20D7">
        <w:rPr>
          <w:sz w:val="24"/>
          <w:szCs w:val="24"/>
        </w:rPr>
        <w:t>the destruction was not an attack during the “actual conduct of hostilities”</w:t>
      </w:r>
      <w:r w:rsidR="00E30C30" w:rsidRPr="002E20D7">
        <w:rPr>
          <w:sz w:val="24"/>
          <w:szCs w:val="24"/>
        </w:rPr>
        <w:t xml:space="preserve"> (para. 1142),</w:t>
      </w:r>
      <w:r w:rsidR="00F93980" w:rsidRPr="002E20D7">
        <w:rPr>
          <w:sz w:val="24"/>
          <w:szCs w:val="24"/>
        </w:rPr>
        <w:t xml:space="preserve"> a required element of the crime under the Rome Statute</w:t>
      </w:r>
      <w:r w:rsidR="009C7351" w:rsidRPr="002E20D7">
        <w:rPr>
          <w:sz w:val="24"/>
          <w:szCs w:val="24"/>
        </w:rPr>
        <w:t xml:space="preserve">. </w:t>
      </w:r>
      <w:r w:rsidR="0022050E" w:rsidRPr="002E20D7">
        <w:rPr>
          <w:sz w:val="24"/>
          <w:szCs w:val="24"/>
        </w:rPr>
        <w:t>His conviction was confirmed on appeal on 30 March 2021</w:t>
      </w:r>
      <w:r w:rsidR="00F93980" w:rsidRPr="002E20D7">
        <w:rPr>
          <w:sz w:val="24"/>
          <w:szCs w:val="24"/>
        </w:rPr>
        <w:t>.</w:t>
      </w:r>
    </w:p>
  </w:endnote>
  <w:endnote w:id="59">
    <w:p w14:paraId="38B30163" w14:textId="49356FAE"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Federico Lenzerini</w:t>
      </w:r>
      <w:r w:rsidR="00AB31FC" w:rsidRPr="002E20D7">
        <w:rPr>
          <w:sz w:val="24"/>
          <w:szCs w:val="24"/>
        </w:rPr>
        <w:t>, “</w:t>
      </w:r>
      <w:r w:rsidRPr="002E20D7">
        <w:rPr>
          <w:sz w:val="24"/>
          <w:szCs w:val="24"/>
        </w:rPr>
        <w:t>Intentional Destruction of Cultural Heritage</w:t>
      </w:r>
      <w:r w:rsidR="00AB31FC" w:rsidRPr="002E20D7">
        <w:rPr>
          <w:sz w:val="24"/>
          <w:szCs w:val="24"/>
        </w:rPr>
        <w:t>,”</w:t>
      </w:r>
      <w:r w:rsidRPr="002E20D7">
        <w:rPr>
          <w:sz w:val="24"/>
          <w:szCs w:val="24"/>
        </w:rPr>
        <w:t xml:space="preserve"> in </w:t>
      </w:r>
      <w:r w:rsidR="0076494F">
        <w:rPr>
          <w:i/>
          <w:iCs/>
          <w:sz w:val="24"/>
          <w:szCs w:val="24"/>
        </w:rPr>
        <w:t>The Oxford Handbook of International Cultural Heritage Law</w:t>
      </w:r>
      <w:r w:rsidRPr="002E20D7">
        <w:rPr>
          <w:sz w:val="24"/>
          <w:szCs w:val="24"/>
        </w:rPr>
        <w:t xml:space="preserve">, ed. </w:t>
      </w:r>
      <w:r w:rsidR="00754FE0" w:rsidRPr="00754FE0">
        <w:rPr>
          <w:sz w:val="24"/>
          <w:szCs w:val="24"/>
        </w:rPr>
        <w:t>Federico Lenzerini</w:t>
      </w:r>
      <w:r w:rsidRPr="002E20D7">
        <w:rPr>
          <w:sz w:val="24"/>
          <w:szCs w:val="24"/>
        </w:rPr>
        <w:t xml:space="preserve"> and </w:t>
      </w:r>
      <w:r w:rsidR="00754FE0">
        <w:rPr>
          <w:sz w:val="24"/>
          <w:szCs w:val="24"/>
        </w:rPr>
        <w:t>Ana Filipa Vrdoljak</w:t>
      </w:r>
      <w:r w:rsidRPr="002E20D7">
        <w:rPr>
          <w:sz w:val="24"/>
          <w:szCs w:val="24"/>
        </w:rPr>
        <w:t xml:space="preserve"> (</w:t>
      </w:r>
      <w:r w:rsidR="009D1A79" w:rsidRPr="002E20D7">
        <w:rPr>
          <w:sz w:val="24"/>
          <w:szCs w:val="24"/>
        </w:rPr>
        <w:t xml:space="preserve">Oxford: </w:t>
      </w:r>
      <w:r w:rsidRPr="002E20D7">
        <w:rPr>
          <w:sz w:val="24"/>
          <w:szCs w:val="24"/>
        </w:rPr>
        <w:t>Oxford Univ</w:t>
      </w:r>
      <w:r w:rsidR="009D1A79" w:rsidRPr="002E20D7">
        <w:rPr>
          <w:sz w:val="24"/>
          <w:szCs w:val="24"/>
        </w:rPr>
        <w:t>ersity</w:t>
      </w:r>
      <w:r w:rsidRPr="002E20D7">
        <w:rPr>
          <w:sz w:val="24"/>
          <w:szCs w:val="24"/>
        </w:rPr>
        <w:t xml:space="preserve"> Press, 2020)</w:t>
      </w:r>
      <w:r w:rsidR="009D1A79" w:rsidRPr="002E20D7">
        <w:rPr>
          <w:sz w:val="24"/>
          <w:szCs w:val="24"/>
        </w:rPr>
        <w:t>,</w:t>
      </w:r>
      <w:r w:rsidRPr="002E20D7">
        <w:rPr>
          <w:sz w:val="24"/>
          <w:szCs w:val="24"/>
        </w:rPr>
        <w:t xml:space="preserve"> 96</w:t>
      </w:r>
      <w:r w:rsidR="00014732" w:rsidRPr="002E20D7">
        <w:rPr>
          <w:sz w:val="24"/>
          <w:szCs w:val="24"/>
        </w:rPr>
        <w:t>–</w:t>
      </w:r>
      <w:r w:rsidRPr="002E20D7">
        <w:rPr>
          <w:sz w:val="24"/>
          <w:szCs w:val="24"/>
        </w:rPr>
        <w:t>98.</w:t>
      </w:r>
    </w:p>
  </w:endnote>
  <w:endnote w:id="60">
    <w:p w14:paraId="2F1B6FF0" w14:textId="7CEF13E9" w:rsidR="00B55BEC" w:rsidRPr="002E20D7" w:rsidRDefault="00B55BEC"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Novic, </w:t>
      </w:r>
      <w:r w:rsidRPr="002E20D7">
        <w:rPr>
          <w:i/>
          <w:iCs/>
          <w:sz w:val="24"/>
          <w:szCs w:val="24"/>
        </w:rPr>
        <w:t>The Concept of Cultural Genocide</w:t>
      </w:r>
      <w:r w:rsidRPr="002E20D7">
        <w:rPr>
          <w:sz w:val="24"/>
          <w:szCs w:val="24"/>
        </w:rPr>
        <w:t>, 154</w:t>
      </w:r>
      <w:r w:rsidR="00014732" w:rsidRPr="002E20D7">
        <w:rPr>
          <w:sz w:val="24"/>
          <w:szCs w:val="24"/>
        </w:rPr>
        <w:t>–</w:t>
      </w:r>
      <w:r w:rsidRPr="002E20D7">
        <w:rPr>
          <w:sz w:val="24"/>
          <w:szCs w:val="24"/>
        </w:rPr>
        <w:t>68</w:t>
      </w:r>
      <w:r w:rsidR="00834251" w:rsidRPr="002E20D7">
        <w:rPr>
          <w:sz w:val="24"/>
          <w:szCs w:val="24"/>
        </w:rPr>
        <w:t>,</w:t>
      </w:r>
      <w:r w:rsidRPr="002E20D7">
        <w:rPr>
          <w:sz w:val="24"/>
          <w:szCs w:val="24"/>
        </w:rPr>
        <w:t xml:space="preserve"> discussing the crime of cultural persecution.</w:t>
      </w:r>
    </w:p>
  </w:endnote>
  <w:endnote w:id="61">
    <w:p w14:paraId="4BBC9170" w14:textId="06E97D0A"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Marina Lostal, Kristin Hausler, and Pascal Bongard</w:t>
      </w:r>
      <w:r w:rsidR="00AB31FC" w:rsidRPr="002E20D7">
        <w:rPr>
          <w:sz w:val="24"/>
          <w:szCs w:val="24"/>
        </w:rPr>
        <w:t>, “</w:t>
      </w:r>
      <w:r w:rsidRPr="002E20D7">
        <w:rPr>
          <w:sz w:val="24"/>
          <w:szCs w:val="24"/>
        </w:rPr>
        <w:t>Armed Non-</w:t>
      </w:r>
      <w:r w:rsidR="00595CD1" w:rsidRPr="002E20D7">
        <w:rPr>
          <w:sz w:val="24"/>
          <w:szCs w:val="24"/>
        </w:rPr>
        <w:t>s</w:t>
      </w:r>
      <w:r w:rsidRPr="002E20D7">
        <w:rPr>
          <w:sz w:val="24"/>
          <w:szCs w:val="24"/>
        </w:rPr>
        <w:t>tate Actors and Cultural Heritage in Armed Conflict</w:t>
      </w:r>
      <w:r w:rsidR="00AB31FC" w:rsidRPr="002E20D7">
        <w:rPr>
          <w:sz w:val="24"/>
          <w:szCs w:val="24"/>
        </w:rPr>
        <w:t>,”</w:t>
      </w:r>
      <w:r w:rsidRPr="002E20D7">
        <w:rPr>
          <w:sz w:val="24"/>
          <w:szCs w:val="24"/>
        </w:rPr>
        <w:t xml:space="preserve"> </w:t>
      </w:r>
      <w:r w:rsidR="002F1529" w:rsidRPr="002E20D7">
        <w:rPr>
          <w:i/>
          <w:iCs/>
          <w:sz w:val="24"/>
          <w:szCs w:val="24"/>
        </w:rPr>
        <w:t xml:space="preserve">International Journal </w:t>
      </w:r>
      <w:r w:rsidRPr="002E20D7">
        <w:rPr>
          <w:i/>
          <w:iCs/>
          <w:sz w:val="24"/>
          <w:szCs w:val="24"/>
        </w:rPr>
        <w:t>Cultural Property</w:t>
      </w:r>
      <w:r w:rsidRPr="002E20D7">
        <w:rPr>
          <w:sz w:val="24"/>
          <w:szCs w:val="24"/>
        </w:rPr>
        <w:t xml:space="preserve"> 24 (2017): 418</w:t>
      </w:r>
      <w:r w:rsidR="00014732" w:rsidRPr="002E20D7">
        <w:rPr>
          <w:sz w:val="24"/>
          <w:szCs w:val="24"/>
        </w:rPr>
        <w:t>–</w:t>
      </w:r>
      <w:r w:rsidRPr="002E20D7">
        <w:rPr>
          <w:sz w:val="24"/>
          <w:szCs w:val="24"/>
        </w:rPr>
        <w:t>22.</w:t>
      </w:r>
    </w:p>
  </w:endnote>
  <w:endnote w:id="62">
    <w:p w14:paraId="6873C2E3" w14:textId="178C16B1"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Nikolaus Thaddäus Paumgartner</w:t>
      </w:r>
      <w:r w:rsidR="00AB31FC" w:rsidRPr="002E20D7">
        <w:rPr>
          <w:sz w:val="24"/>
          <w:szCs w:val="24"/>
        </w:rPr>
        <w:t>, “</w:t>
      </w:r>
      <w:r w:rsidRPr="002E20D7">
        <w:rPr>
          <w:sz w:val="24"/>
          <w:szCs w:val="24"/>
        </w:rPr>
        <w:t>The Rise of Safe Havens for Threatened Cultural Heritage</w:t>
      </w:r>
      <w:r w:rsidR="00AB31FC" w:rsidRPr="002E20D7">
        <w:rPr>
          <w:sz w:val="24"/>
          <w:szCs w:val="24"/>
        </w:rPr>
        <w:t>,”</w:t>
      </w:r>
      <w:r w:rsidRPr="002E20D7">
        <w:rPr>
          <w:sz w:val="24"/>
          <w:szCs w:val="24"/>
        </w:rPr>
        <w:t xml:space="preserve"> </w:t>
      </w:r>
      <w:r w:rsidR="002F1529" w:rsidRPr="002E20D7">
        <w:rPr>
          <w:i/>
          <w:iCs/>
          <w:sz w:val="24"/>
          <w:szCs w:val="24"/>
        </w:rPr>
        <w:t xml:space="preserve">International Journal </w:t>
      </w:r>
      <w:r w:rsidRPr="002E20D7">
        <w:rPr>
          <w:i/>
          <w:iCs/>
          <w:sz w:val="24"/>
          <w:szCs w:val="24"/>
        </w:rPr>
        <w:t>Cultural Property</w:t>
      </w:r>
      <w:r w:rsidRPr="002E20D7">
        <w:rPr>
          <w:sz w:val="24"/>
          <w:szCs w:val="24"/>
        </w:rPr>
        <w:t xml:space="preserve"> 25</w:t>
      </w:r>
      <w:r w:rsidR="00B7388D" w:rsidRPr="002E20D7">
        <w:rPr>
          <w:sz w:val="24"/>
          <w:szCs w:val="24"/>
        </w:rPr>
        <w:t>, no. 3</w:t>
      </w:r>
      <w:r w:rsidRPr="002E20D7">
        <w:rPr>
          <w:sz w:val="24"/>
          <w:szCs w:val="24"/>
        </w:rPr>
        <w:t xml:space="preserve"> (2018): 323</w:t>
      </w:r>
      <w:r w:rsidR="00B7388D" w:rsidRPr="002E20D7">
        <w:rPr>
          <w:sz w:val="24"/>
          <w:szCs w:val="24"/>
        </w:rPr>
        <w:t>–46</w:t>
      </w:r>
      <w:r w:rsidRPr="002E20D7">
        <w:rPr>
          <w:sz w:val="24"/>
          <w:szCs w:val="24"/>
        </w:rPr>
        <w:t xml:space="preserve">; </w:t>
      </w:r>
      <w:r w:rsidR="0027022F" w:rsidRPr="002E20D7">
        <w:rPr>
          <w:sz w:val="24"/>
          <w:szCs w:val="24"/>
        </w:rPr>
        <w:t xml:space="preserve">and </w:t>
      </w:r>
      <w:r w:rsidRPr="002E20D7">
        <w:rPr>
          <w:sz w:val="24"/>
          <w:szCs w:val="24"/>
        </w:rPr>
        <w:t>Alessandro Chechi</w:t>
      </w:r>
      <w:r w:rsidR="00AB31FC" w:rsidRPr="002E20D7">
        <w:rPr>
          <w:sz w:val="24"/>
          <w:szCs w:val="24"/>
        </w:rPr>
        <w:t>, “</w:t>
      </w:r>
      <w:r w:rsidRPr="002E20D7">
        <w:rPr>
          <w:sz w:val="24"/>
          <w:szCs w:val="24"/>
        </w:rPr>
        <w:t>Rescuing Cultural Heritage from War and Terrorism: A View from Switzerland</w:t>
      </w:r>
      <w:r w:rsidR="00AB31FC" w:rsidRPr="002E20D7">
        <w:rPr>
          <w:sz w:val="24"/>
          <w:szCs w:val="24"/>
        </w:rPr>
        <w:t>,”</w:t>
      </w:r>
      <w:r w:rsidRPr="002E20D7">
        <w:rPr>
          <w:sz w:val="24"/>
          <w:szCs w:val="24"/>
        </w:rPr>
        <w:t xml:space="preserve"> </w:t>
      </w:r>
      <w:r w:rsidRPr="002E20D7">
        <w:rPr>
          <w:i/>
          <w:iCs/>
          <w:sz w:val="24"/>
          <w:szCs w:val="24"/>
        </w:rPr>
        <w:t>Santander Art and Culture Law Review</w:t>
      </w:r>
      <w:r w:rsidRPr="002E20D7">
        <w:rPr>
          <w:sz w:val="24"/>
          <w:szCs w:val="24"/>
        </w:rPr>
        <w:t xml:space="preserve"> 2</w:t>
      </w:r>
      <w:r w:rsidR="006E563F" w:rsidRPr="002E20D7">
        <w:rPr>
          <w:sz w:val="24"/>
          <w:szCs w:val="24"/>
        </w:rPr>
        <w:t xml:space="preserve"> </w:t>
      </w:r>
      <w:r w:rsidRPr="002E20D7">
        <w:rPr>
          <w:sz w:val="24"/>
          <w:szCs w:val="24"/>
        </w:rPr>
        <w:t>(2015): 88</w:t>
      </w:r>
      <w:r w:rsidR="00014732" w:rsidRPr="002E20D7">
        <w:rPr>
          <w:sz w:val="24"/>
          <w:szCs w:val="24"/>
        </w:rPr>
        <w:t>–</w:t>
      </w:r>
      <w:r w:rsidRPr="002E20D7">
        <w:rPr>
          <w:sz w:val="24"/>
          <w:szCs w:val="24"/>
        </w:rPr>
        <w:t>91</w:t>
      </w:r>
      <w:r w:rsidR="00A62568" w:rsidRPr="002E20D7">
        <w:rPr>
          <w:sz w:val="24"/>
          <w:szCs w:val="24"/>
        </w:rPr>
        <w:t>,</w:t>
      </w:r>
      <w:r w:rsidRPr="002E20D7">
        <w:rPr>
          <w:sz w:val="24"/>
          <w:szCs w:val="24"/>
        </w:rPr>
        <w:t xml:space="preserve"> discussing Swiss implementation of the First Protocol of the 1954 Hague Convention and adoption of procedures for establishing safe havens for cultural property.</w:t>
      </w:r>
    </w:p>
  </w:endnote>
  <w:endnote w:id="63">
    <w:p w14:paraId="61077286" w14:textId="20BF2093"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Weiss and Connelly</w:t>
      </w:r>
      <w:r w:rsidR="00AB31FC" w:rsidRPr="002E20D7">
        <w:rPr>
          <w:sz w:val="24"/>
          <w:szCs w:val="24"/>
        </w:rPr>
        <w:t xml:space="preserve">, </w:t>
      </w:r>
      <w:r w:rsidRPr="00353FB5">
        <w:rPr>
          <w:i/>
          <w:iCs/>
          <w:sz w:val="24"/>
          <w:szCs w:val="24"/>
        </w:rPr>
        <w:t>Cultural Cleansing and Mass Atrocities</w:t>
      </w:r>
      <w:r w:rsidR="00AB31FC" w:rsidRPr="002E20D7">
        <w:rPr>
          <w:sz w:val="24"/>
          <w:szCs w:val="24"/>
        </w:rPr>
        <w:t>,</w:t>
      </w:r>
      <w:r w:rsidRPr="002E20D7">
        <w:rPr>
          <w:sz w:val="24"/>
          <w:szCs w:val="24"/>
        </w:rPr>
        <w:t xml:space="preserve"> 36</w:t>
      </w:r>
      <w:r w:rsidR="00014732" w:rsidRPr="002E20D7">
        <w:rPr>
          <w:sz w:val="24"/>
          <w:szCs w:val="24"/>
        </w:rPr>
        <w:t>–</w:t>
      </w:r>
      <w:r w:rsidRPr="002E20D7">
        <w:rPr>
          <w:sz w:val="24"/>
          <w:szCs w:val="24"/>
        </w:rPr>
        <w:t>37.</w:t>
      </w:r>
    </w:p>
  </w:endnote>
  <w:endnote w:id="64">
    <w:p w14:paraId="2EAA1113" w14:textId="20892D38"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582A1E" w:rsidRPr="002E20D7">
        <w:rPr>
          <w:sz w:val="24"/>
          <w:szCs w:val="24"/>
        </w:rPr>
        <w:t xml:space="preserve">See </w:t>
      </w:r>
      <w:r w:rsidRPr="002E20D7">
        <w:rPr>
          <w:sz w:val="24"/>
          <w:szCs w:val="24"/>
        </w:rPr>
        <w:t xml:space="preserve">International Law Association, Resolution No. 2/2008, </w:t>
      </w:r>
      <w:r w:rsidR="00582A1E" w:rsidRPr="002E20D7">
        <w:rPr>
          <w:sz w:val="24"/>
          <w:szCs w:val="24"/>
        </w:rPr>
        <w:t>Annex</w:t>
      </w:r>
      <w:r w:rsidR="00B2553F" w:rsidRPr="002E20D7">
        <w:rPr>
          <w:sz w:val="24"/>
          <w:szCs w:val="24"/>
        </w:rPr>
        <w:t>: Guidelines for the Establishment and Conduct of Safe Havens as Adopted by the International Law Association at Its 73rd Conference Held in Rio de Janiero</w:t>
      </w:r>
      <w:r w:rsidR="006B46BA" w:rsidRPr="002E20D7">
        <w:rPr>
          <w:sz w:val="24"/>
          <w:szCs w:val="24"/>
        </w:rPr>
        <w:t xml:space="preserve"> [sic]</w:t>
      </w:r>
      <w:r w:rsidR="00B2553F" w:rsidRPr="002E20D7">
        <w:rPr>
          <w:sz w:val="24"/>
          <w:szCs w:val="24"/>
        </w:rPr>
        <w:t>, Brazil, 17</w:t>
      </w:r>
      <w:r w:rsidR="0088249E" w:rsidRPr="002E20D7">
        <w:rPr>
          <w:sz w:val="24"/>
          <w:szCs w:val="24"/>
        </w:rPr>
        <w:t>–</w:t>
      </w:r>
      <w:r w:rsidR="00B2553F" w:rsidRPr="002E20D7">
        <w:rPr>
          <w:sz w:val="24"/>
          <w:szCs w:val="24"/>
        </w:rPr>
        <w:t>21 August 2008</w:t>
      </w:r>
      <w:r w:rsidR="00D679F2" w:rsidRPr="002E20D7">
        <w:rPr>
          <w:sz w:val="24"/>
          <w:szCs w:val="24"/>
        </w:rPr>
        <w:t>,</w:t>
      </w:r>
      <w:r w:rsidR="00582A1E" w:rsidRPr="002E20D7">
        <w:rPr>
          <w:sz w:val="24"/>
          <w:szCs w:val="24"/>
        </w:rPr>
        <w:t xml:space="preserve"> A</w:t>
      </w:r>
      <w:r w:rsidRPr="002E20D7">
        <w:rPr>
          <w:sz w:val="24"/>
          <w:szCs w:val="24"/>
        </w:rPr>
        <w:t>rt. 4</w:t>
      </w:r>
      <w:r w:rsidR="00582A1E" w:rsidRPr="002E20D7">
        <w:rPr>
          <w:sz w:val="24"/>
          <w:szCs w:val="24"/>
        </w:rPr>
        <w:t>.</w:t>
      </w:r>
      <w:r w:rsidRPr="002E20D7">
        <w:rPr>
          <w:sz w:val="24"/>
          <w:szCs w:val="24"/>
        </w:rPr>
        <w:t xml:space="preserve">b and </w:t>
      </w:r>
      <w:r w:rsidR="00582A1E" w:rsidRPr="002E20D7">
        <w:rPr>
          <w:sz w:val="24"/>
          <w:szCs w:val="24"/>
        </w:rPr>
        <w:t>Art. 4.</w:t>
      </w:r>
      <w:r w:rsidRPr="002E20D7">
        <w:rPr>
          <w:sz w:val="24"/>
          <w:szCs w:val="24"/>
        </w:rPr>
        <w:t xml:space="preserve">e; </w:t>
      </w:r>
      <w:r w:rsidR="00B1650C" w:rsidRPr="002E20D7">
        <w:rPr>
          <w:sz w:val="24"/>
          <w:szCs w:val="24"/>
        </w:rPr>
        <w:t xml:space="preserve">and </w:t>
      </w:r>
      <w:r w:rsidRPr="002E20D7">
        <w:rPr>
          <w:sz w:val="24"/>
          <w:szCs w:val="24"/>
        </w:rPr>
        <w:t>Paumgartner</w:t>
      </w:r>
      <w:r w:rsidR="00AB31FC" w:rsidRPr="002E20D7">
        <w:rPr>
          <w:sz w:val="24"/>
          <w:szCs w:val="24"/>
        </w:rPr>
        <w:t>, “</w:t>
      </w:r>
      <w:r w:rsidRPr="002E20D7">
        <w:rPr>
          <w:sz w:val="24"/>
          <w:szCs w:val="24"/>
        </w:rPr>
        <w:t>The Rise of Safe Havens</w:t>
      </w:r>
      <w:r w:rsidR="00AB31FC" w:rsidRPr="002E20D7">
        <w:rPr>
          <w:sz w:val="24"/>
          <w:szCs w:val="24"/>
        </w:rPr>
        <w:t>,”</w:t>
      </w:r>
      <w:r w:rsidRPr="002E20D7">
        <w:rPr>
          <w:sz w:val="24"/>
          <w:szCs w:val="24"/>
        </w:rPr>
        <w:t xml:space="preserve"> 326</w:t>
      </w:r>
      <w:r w:rsidR="00014732" w:rsidRPr="002E20D7">
        <w:rPr>
          <w:sz w:val="24"/>
          <w:szCs w:val="24"/>
        </w:rPr>
        <w:t>–</w:t>
      </w:r>
      <w:r w:rsidRPr="002E20D7">
        <w:rPr>
          <w:sz w:val="24"/>
          <w:szCs w:val="24"/>
        </w:rPr>
        <w:t>27.</w:t>
      </w:r>
    </w:p>
  </w:endnote>
  <w:endnote w:id="65">
    <w:p w14:paraId="07E36069" w14:textId="67876024"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365261" w:rsidRPr="002E20D7">
        <w:rPr>
          <w:sz w:val="24"/>
          <w:szCs w:val="24"/>
        </w:rPr>
        <w:t xml:space="preserve">Swiss Federal Council, </w:t>
      </w:r>
      <w:r w:rsidRPr="002E20D7">
        <w:rPr>
          <w:sz w:val="24"/>
          <w:szCs w:val="24"/>
        </w:rPr>
        <w:t>Loi fédérale sur la protection des biens culturels en cas de conflit armé, de castastrophe ou de situation d’urgence (LPBC)</w:t>
      </w:r>
      <w:r w:rsidR="00365261" w:rsidRPr="002E20D7">
        <w:rPr>
          <w:sz w:val="24"/>
          <w:szCs w:val="24"/>
        </w:rPr>
        <w:t>,</w:t>
      </w:r>
      <w:r w:rsidRPr="002E20D7">
        <w:rPr>
          <w:sz w:val="24"/>
          <w:szCs w:val="24"/>
        </w:rPr>
        <w:t xml:space="preserve"> </w:t>
      </w:r>
      <w:r w:rsidR="00365261" w:rsidRPr="002E20D7">
        <w:rPr>
          <w:sz w:val="24"/>
          <w:szCs w:val="24"/>
        </w:rPr>
        <w:t xml:space="preserve">doc. no. RO 2014 3545, </w:t>
      </w:r>
      <w:r w:rsidRPr="002E20D7">
        <w:rPr>
          <w:sz w:val="24"/>
          <w:szCs w:val="24"/>
        </w:rPr>
        <w:t xml:space="preserve">20 </w:t>
      </w:r>
      <w:r w:rsidR="00365261" w:rsidRPr="002E20D7">
        <w:rPr>
          <w:sz w:val="24"/>
          <w:szCs w:val="24"/>
        </w:rPr>
        <w:t xml:space="preserve">June </w:t>
      </w:r>
      <w:r w:rsidRPr="002E20D7">
        <w:rPr>
          <w:sz w:val="24"/>
          <w:szCs w:val="24"/>
        </w:rPr>
        <w:t xml:space="preserve">2014, </w:t>
      </w:r>
      <w:r w:rsidR="00365261" w:rsidRPr="002E20D7">
        <w:rPr>
          <w:sz w:val="24"/>
          <w:szCs w:val="24"/>
        </w:rPr>
        <w:t>A</w:t>
      </w:r>
      <w:r w:rsidRPr="002E20D7">
        <w:rPr>
          <w:sz w:val="24"/>
          <w:szCs w:val="24"/>
        </w:rPr>
        <w:t>rt. 12,</w:t>
      </w:r>
      <w:r w:rsidR="006A7290" w:rsidRPr="006A7290">
        <w:rPr>
          <w:sz w:val="24"/>
          <w:szCs w:val="24"/>
        </w:rPr>
        <w:t xml:space="preserve"> www.admin.ch/opc/fr/official-compilation/2014/3545.pdf.</w:t>
      </w:r>
      <w:r w:rsidRPr="002E20D7">
        <w:rPr>
          <w:sz w:val="24"/>
          <w:szCs w:val="24"/>
        </w:rPr>
        <w:t xml:space="preserve"> See also Chechi</w:t>
      </w:r>
      <w:r w:rsidR="00AB31FC" w:rsidRPr="002E20D7">
        <w:rPr>
          <w:sz w:val="24"/>
          <w:szCs w:val="24"/>
        </w:rPr>
        <w:t>, “</w:t>
      </w:r>
      <w:r w:rsidRPr="002E20D7">
        <w:rPr>
          <w:sz w:val="24"/>
          <w:szCs w:val="24"/>
        </w:rPr>
        <w:t>Rescuing Cultural Heritage</w:t>
      </w:r>
      <w:r w:rsidR="00AB31FC" w:rsidRPr="002E20D7">
        <w:rPr>
          <w:sz w:val="24"/>
          <w:szCs w:val="24"/>
        </w:rPr>
        <w:t>,”</w:t>
      </w:r>
      <w:r w:rsidRPr="002E20D7">
        <w:rPr>
          <w:sz w:val="24"/>
          <w:szCs w:val="24"/>
        </w:rPr>
        <w:t xml:space="preserve"> 86</w:t>
      </w:r>
      <w:r w:rsidR="00014732" w:rsidRPr="002E20D7">
        <w:rPr>
          <w:sz w:val="24"/>
          <w:szCs w:val="24"/>
        </w:rPr>
        <w:t>–</w:t>
      </w:r>
      <w:r w:rsidRPr="002E20D7">
        <w:rPr>
          <w:sz w:val="24"/>
          <w:szCs w:val="24"/>
        </w:rPr>
        <w:t xml:space="preserve">91. </w:t>
      </w:r>
    </w:p>
  </w:endnote>
  <w:endnote w:id="66">
    <w:p w14:paraId="19AFA38C" w14:textId="340CC0E2"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Chechi</w:t>
      </w:r>
      <w:r w:rsidR="00AB31FC" w:rsidRPr="002E20D7">
        <w:rPr>
          <w:sz w:val="24"/>
          <w:szCs w:val="24"/>
        </w:rPr>
        <w:t xml:space="preserve">, </w:t>
      </w:r>
      <w:r w:rsidRPr="002E20D7">
        <w:rPr>
          <w:sz w:val="24"/>
          <w:szCs w:val="24"/>
        </w:rPr>
        <w:t>92</w:t>
      </w:r>
      <w:r w:rsidR="00014732" w:rsidRPr="002E20D7">
        <w:rPr>
          <w:sz w:val="24"/>
          <w:szCs w:val="24"/>
        </w:rPr>
        <w:t>–</w:t>
      </w:r>
      <w:r w:rsidRPr="002E20D7">
        <w:rPr>
          <w:sz w:val="24"/>
          <w:szCs w:val="24"/>
        </w:rPr>
        <w:t>93.</w:t>
      </w:r>
    </w:p>
  </w:endnote>
  <w:endnote w:id="67">
    <w:p w14:paraId="6CB817C0" w14:textId="70447F2C" w:rsidR="009847F2" w:rsidRPr="002E20D7" w:rsidRDefault="009847F2" w:rsidP="009F35FF">
      <w:pPr>
        <w:pStyle w:val="EndnoteText"/>
        <w:spacing w:line="480" w:lineRule="auto"/>
        <w:rPr>
          <w:sz w:val="24"/>
          <w:szCs w:val="24"/>
        </w:rPr>
      </w:pPr>
      <w:r w:rsidRPr="002E20D7">
        <w:rPr>
          <w:rStyle w:val="EndnoteReference"/>
          <w:sz w:val="24"/>
          <w:szCs w:val="24"/>
        </w:rPr>
        <w:endnoteRef/>
      </w:r>
      <w:r w:rsidR="00AE5A14" w:rsidRPr="002E20D7">
        <w:rPr>
          <w:sz w:val="24"/>
          <w:szCs w:val="24"/>
        </w:rPr>
        <w:t xml:space="preserve"> US Congress,</w:t>
      </w:r>
      <w:r w:rsidRPr="002E20D7">
        <w:rPr>
          <w:sz w:val="24"/>
          <w:szCs w:val="24"/>
        </w:rPr>
        <w:t xml:space="preserve"> Protect and Preserve International Cultural Property Act, Pub</w:t>
      </w:r>
      <w:r w:rsidR="00AE5A14" w:rsidRPr="002E20D7">
        <w:rPr>
          <w:sz w:val="24"/>
          <w:szCs w:val="24"/>
        </w:rPr>
        <w:t>lic</w:t>
      </w:r>
      <w:r w:rsidRPr="002E20D7">
        <w:rPr>
          <w:sz w:val="24"/>
          <w:szCs w:val="24"/>
        </w:rPr>
        <w:t xml:space="preserve"> L</w:t>
      </w:r>
      <w:r w:rsidR="00AE5A14" w:rsidRPr="002E20D7">
        <w:rPr>
          <w:sz w:val="24"/>
          <w:szCs w:val="24"/>
        </w:rPr>
        <w:t>aw</w:t>
      </w:r>
      <w:r w:rsidRPr="002E20D7">
        <w:rPr>
          <w:sz w:val="24"/>
          <w:szCs w:val="24"/>
        </w:rPr>
        <w:t xml:space="preserve"> 114</w:t>
      </w:r>
      <w:r w:rsidR="00014732" w:rsidRPr="002E20D7">
        <w:rPr>
          <w:sz w:val="24"/>
          <w:szCs w:val="24"/>
        </w:rPr>
        <w:t>–</w:t>
      </w:r>
      <w:r w:rsidRPr="002E20D7">
        <w:rPr>
          <w:sz w:val="24"/>
          <w:szCs w:val="24"/>
        </w:rPr>
        <w:t xml:space="preserve">151, </w:t>
      </w:r>
      <w:r w:rsidR="00AE5A14" w:rsidRPr="002E20D7">
        <w:rPr>
          <w:sz w:val="24"/>
          <w:szCs w:val="24"/>
        </w:rPr>
        <w:t xml:space="preserve">9 May </w:t>
      </w:r>
      <w:r w:rsidRPr="002E20D7">
        <w:rPr>
          <w:sz w:val="24"/>
          <w:szCs w:val="24"/>
        </w:rPr>
        <w:t>2016.</w:t>
      </w:r>
    </w:p>
  </w:endnote>
  <w:endnote w:id="68">
    <w:p w14:paraId="5DAB154A" w14:textId="5C4E0E2A"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0D3A18" w:rsidRPr="002E20D7">
        <w:rPr>
          <w:sz w:val="24"/>
          <w:szCs w:val="24"/>
        </w:rPr>
        <w:t>Association of Art Museum Directors</w:t>
      </w:r>
      <w:r w:rsidR="00AB31FC" w:rsidRPr="002E20D7">
        <w:rPr>
          <w:sz w:val="24"/>
          <w:szCs w:val="24"/>
        </w:rPr>
        <w:t>, “</w:t>
      </w:r>
      <w:r w:rsidR="000D3A18" w:rsidRPr="002E20D7">
        <w:rPr>
          <w:sz w:val="24"/>
          <w:szCs w:val="24"/>
        </w:rPr>
        <w:t xml:space="preserve">AAMD </w:t>
      </w:r>
      <w:r w:rsidRPr="002E20D7">
        <w:rPr>
          <w:sz w:val="24"/>
          <w:szCs w:val="24"/>
        </w:rPr>
        <w:t>Protocols for Safe Havens for Works of Cultural Significance from Countries in Crisis</w:t>
      </w:r>
      <w:r w:rsidR="00AB31FC" w:rsidRPr="002E20D7">
        <w:rPr>
          <w:sz w:val="24"/>
          <w:szCs w:val="24"/>
        </w:rPr>
        <w:t>,”</w:t>
      </w:r>
      <w:r w:rsidRPr="002E20D7">
        <w:rPr>
          <w:sz w:val="24"/>
          <w:szCs w:val="24"/>
        </w:rPr>
        <w:t xml:space="preserve"> </w:t>
      </w:r>
      <w:r w:rsidR="000D3A18" w:rsidRPr="002E20D7">
        <w:rPr>
          <w:sz w:val="24"/>
          <w:szCs w:val="24"/>
        </w:rPr>
        <w:t xml:space="preserve">1 </w:t>
      </w:r>
      <w:r w:rsidRPr="002E20D7">
        <w:rPr>
          <w:sz w:val="24"/>
          <w:szCs w:val="24"/>
        </w:rPr>
        <w:t>October 2015, https://aamd.org/document/aamd-protocols-for-safe-havens-for-works-of-cultural-significance-from-countries-in-crisis.</w:t>
      </w:r>
    </w:p>
  </w:endnote>
  <w:endnote w:id="69">
    <w:p w14:paraId="0F06FB9B" w14:textId="2D3F62A6" w:rsidR="00C235E2" w:rsidRPr="002E20D7" w:rsidRDefault="00C235E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A5463B" w:rsidRPr="002E20D7">
        <w:rPr>
          <w:sz w:val="24"/>
          <w:szCs w:val="24"/>
        </w:rPr>
        <w:t xml:space="preserve">US Congress, </w:t>
      </w:r>
      <w:r w:rsidRPr="002E20D7">
        <w:rPr>
          <w:sz w:val="24"/>
          <w:szCs w:val="24"/>
        </w:rPr>
        <w:t>National Defense Authorization Act</w:t>
      </w:r>
      <w:r w:rsidR="009A2A23" w:rsidRPr="002E20D7">
        <w:rPr>
          <w:sz w:val="24"/>
          <w:szCs w:val="24"/>
        </w:rPr>
        <w:t xml:space="preserve"> for Fiscal Year 2021</w:t>
      </w:r>
      <w:r w:rsidRPr="002E20D7">
        <w:rPr>
          <w:sz w:val="24"/>
          <w:szCs w:val="24"/>
        </w:rPr>
        <w:t>, Pub</w:t>
      </w:r>
      <w:r w:rsidR="00150564" w:rsidRPr="002E20D7">
        <w:rPr>
          <w:sz w:val="24"/>
          <w:szCs w:val="24"/>
        </w:rPr>
        <w:t xml:space="preserve">lic </w:t>
      </w:r>
      <w:r w:rsidRPr="002E20D7">
        <w:rPr>
          <w:sz w:val="24"/>
          <w:szCs w:val="24"/>
        </w:rPr>
        <w:t>L</w:t>
      </w:r>
      <w:r w:rsidR="00150564" w:rsidRPr="002E20D7">
        <w:rPr>
          <w:sz w:val="24"/>
          <w:szCs w:val="24"/>
        </w:rPr>
        <w:t>aw</w:t>
      </w:r>
      <w:r w:rsidRPr="002E20D7">
        <w:rPr>
          <w:sz w:val="24"/>
          <w:szCs w:val="24"/>
        </w:rPr>
        <w:t xml:space="preserve"> </w:t>
      </w:r>
      <w:r w:rsidR="00150564" w:rsidRPr="002E20D7">
        <w:rPr>
          <w:sz w:val="24"/>
          <w:szCs w:val="24"/>
        </w:rPr>
        <w:t xml:space="preserve">No. </w:t>
      </w:r>
      <w:r w:rsidRPr="002E20D7">
        <w:rPr>
          <w:sz w:val="24"/>
          <w:szCs w:val="24"/>
        </w:rPr>
        <w:t>116</w:t>
      </w:r>
      <w:r w:rsidR="00014732" w:rsidRPr="002E20D7">
        <w:rPr>
          <w:sz w:val="24"/>
          <w:szCs w:val="24"/>
        </w:rPr>
        <w:t>–</w:t>
      </w:r>
      <w:r w:rsidRPr="002E20D7">
        <w:rPr>
          <w:sz w:val="24"/>
          <w:szCs w:val="24"/>
        </w:rPr>
        <w:t>283</w:t>
      </w:r>
      <w:r w:rsidR="009A2A23" w:rsidRPr="002E20D7">
        <w:rPr>
          <w:sz w:val="24"/>
          <w:szCs w:val="24"/>
        </w:rPr>
        <w:t>, Section</w:t>
      </w:r>
      <w:r w:rsidRPr="002E20D7">
        <w:rPr>
          <w:sz w:val="24"/>
          <w:szCs w:val="24"/>
        </w:rPr>
        <w:t xml:space="preserve"> 1216</w:t>
      </w:r>
      <w:r w:rsidR="00432330" w:rsidRPr="002E20D7">
        <w:rPr>
          <w:sz w:val="24"/>
          <w:szCs w:val="24"/>
        </w:rPr>
        <w:t>, https://www.congress.gov/bill/116th-congress/house-bill/6395</w:t>
      </w:r>
      <w:r w:rsidRPr="002E20D7">
        <w:rPr>
          <w:sz w:val="24"/>
          <w:szCs w:val="24"/>
        </w:rPr>
        <w:t>.</w:t>
      </w:r>
    </w:p>
  </w:endnote>
  <w:endnote w:id="70">
    <w:p w14:paraId="399BAC37" w14:textId="6E555EA2"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A67040" w:rsidRPr="002E20D7">
        <w:rPr>
          <w:sz w:val="24"/>
          <w:szCs w:val="24"/>
        </w:rPr>
        <w:t xml:space="preserve">Government of France, </w:t>
      </w:r>
      <w:r w:rsidRPr="002E20D7">
        <w:rPr>
          <w:sz w:val="24"/>
          <w:szCs w:val="24"/>
        </w:rPr>
        <w:t>Code du Patrimoine</w:t>
      </w:r>
      <w:r w:rsidR="00A67040" w:rsidRPr="002E20D7">
        <w:rPr>
          <w:sz w:val="24"/>
          <w:szCs w:val="24"/>
        </w:rPr>
        <w:t>,</w:t>
      </w:r>
      <w:r w:rsidRPr="002E20D7">
        <w:rPr>
          <w:sz w:val="24"/>
          <w:szCs w:val="24"/>
        </w:rPr>
        <w:t xml:space="preserve"> </w:t>
      </w:r>
      <w:r w:rsidR="00A67040" w:rsidRPr="002E20D7">
        <w:rPr>
          <w:sz w:val="24"/>
          <w:szCs w:val="24"/>
        </w:rPr>
        <w:t xml:space="preserve">Art. </w:t>
      </w:r>
      <w:r w:rsidRPr="002E20D7">
        <w:rPr>
          <w:sz w:val="24"/>
          <w:szCs w:val="24"/>
        </w:rPr>
        <w:t>L111</w:t>
      </w:r>
      <w:r w:rsidR="00014732" w:rsidRPr="002E20D7">
        <w:rPr>
          <w:sz w:val="24"/>
          <w:szCs w:val="24"/>
        </w:rPr>
        <w:t>–</w:t>
      </w:r>
      <w:r w:rsidRPr="002E20D7">
        <w:rPr>
          <w:sz w:val="24"/>
          <w:szCs w:val="24"/>
        </w:rPr>
        <w:t xml:space="preserve">11, 7 </w:t>
      </w:r>
      <w:r w:rsidR="00572D8F" w:rsidRPr="002E20D7">
        <w:rPr>
          <w:sz w:val="24"/>
          <w:szCs w:val="24"/>
        </w:rPr>
        <w:t xml:space="preserve">July </w:t>
      </w:r>
      <w:r w:rsidRPr="002E20D7">
        <w:rPr>
          <w:sz w:val="24"/>
          <w:szCs w:val="24"/>
        </w:rPr>
        <w:t>2016,</w:t>
      </w:r>
      <w:r w:rsidR="00377B22" w:rsidRPr="00377B22">
        <w:rPr>
          <w:rFonts w:eastAsiaTheme="minorHAnsi"/>
          <w:sz w:val="24"/>
          <w:szCs w:val="24"/>
        </w:rPr>
        <w:t xml:space="preserve"> </w:t>
      </w:r>
      <w:r w:rsidR="00377B22" w:rsidRPr="00377B22">
        <w:rPr>
          <w:sz w:val="24"/>
          <w:szCs w:val="24"/>
        </w:rPr>
        <w:t>www.legifrance.gouv.fr/affichCodeArticle.do?idArticle=LEGIARTI000032857167&amp;cidTexte=LEGITEXT000006074236&amp;dateTexte=20160709</w:t>
      </w:r>
      <w:r w:rsidR="00377B22">
        <w:rPr>
          <w:sz w:val="24"/>
          <w:szCs w:val="24"/>
        </w:rPr>
        <w:t>.</w:t>
      </w:r>
      <w:r w:rsidRPr="002E20D7">
        <w:rPr>
          <w:sz w:val="24"/>
          <w:szCs w:val="24"/>
        </w:rPr>
        <w:t xml:space="preserve"> </w:t>
      </w:r>
      <w:r w:rsidR="00A96F6E">
        <w:rPr>
          <w:sz w:val="24"/>
          <w:szCs w:val="24"/>
        </w:rPr>
        <w:t xml:space="preserve">A </w:t>
      </w:r>
      <w:r w:rsidR="00A96F6E" w:rsidRPr="004A4222">
        <w:rPr>
          <w:i/>
          <w:iCs/>
          <w:sz w:val="24"/>
          <w:szCs w:val="24"/>
        </w:rPr>
        <w:t>décret d’application</w:t>
      </w:r>
      <w:r w:rsidR="00A96F6E">
        <w:rPr>
          <w:sz w:val="24"/>
          <w:szCs w:val="24"/>
        </w:rPr>
        <w:t xml:space="preserve">, which details the specific procedures, still needs to be issued. </w:t>
      </w:r>
    </w:p>
  </w:endnote>
  <w:endnote w:id="71">
    <w:p w14:paraId="13CE9832" w14:textId="533CC64F"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Paumgartner</w:t>
      </w:r>
      <w:r w:rsidR="00AB31FC" w:rsidRPr="002E20D7">
        <w:rPr>
          <w:sz w:val="24"/>
          <w:szCs w:val="24"/>
        </w:rPr>
        <w:t>, “</w:t>
      </w:r>
      <w:r w:rsidRPr="002E20D7">
        <w:rPr>
          <w:sz w:val="24"/>
          <w:szCs w:val="24"/>
        </w:rPr>
        <w:t>The Rise of Safe Havens</w:t>
      </w:r>
      <w:r w:rsidR="00AB31FC" w:rsidRPr="002E20D7">
        <w:rPr>
          <w:sz w:val="24"/>
          <w:szCs w:val="24"/>
        </w:rPr>
        <w:t>,”</w:t>
      </w:r>
      <w:r w:rsidRPr="002E20D7">
        <w:rPr>
          <w:sz w:val="24"/>
          <w:szCs w:val="24"/>
        </w:rPr>
        <w:t xml:space="preserve"> 327</w:t>
      </w:r>
      <w:r w:rsidR="00014732" w:rsidRPr="002E20D7">
        <w:rPr>
          <w:sz w:val="24"/>
          <w:szCs w:val="24"/>
        </w:rPr>
        <w:t>–</w:t>
      </w:r>
      <w:r w:rsidRPr="002E20D7">
        <w:rPr>
          <w:sz w:val="24"/>
          <w:szCs w:val="24"/>
        </w:rPr>
        <w:t>29.</w:t>
      </w:r>
    </w:p>
  </w:endnote>
  <w:endnote w:id="72">
    <w:p w14:paraId="118163C0" w14:textId="2FD7975D"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Syrians for Heritage</w:t>
      </w:r>
      <w:r w:rsidR="00AB31FC" w:rsidRPr="002E20D7">
        <w:rPr>
          <w:sz w:val="24"/>
          <w:szCs w:val="24"/>
        </w:rPr>
        <w:t>, “</w:t>
      </w:r>
      <w:r w:rsidRPr="002E20D7">
        <w:rPr>
          <w:sz w:val="24"/>
          <w:szCs w:val="24"/>
        </w:rPr>
        <w:t xml:space="preserve">A Statement from the Idlib Antiquities Center about the Maarat Al Numan Museum from the </w:t>
      </w:r>
      <w:r w:rsidR="00A66D83" w:rsidRPr="002E20D7">
        <w:rPr>
          <w:sz w:val="24"/>
          <w:szCs w:val="24"/>
        </w:rPr>
        <w:t>E</w:t>
      </w:r>
      <w:r w:rsidRPr="002E20D7">
        <w:rPr>
          <w:sz w:val="24"/>
          <w:szCs w:val="24"/>
        </w:rPr>
        <w:t xml:space="preserve">nd of 2012 to the </w:t>
      </w:r>
      <w:r w:rsidR="00A66D83" w:rsidRPr="002E20D7">
        <w:rPr>
          <w:sz w:val="24"/>
          <w:szCs w:val="24"/>
        </w:rPr>
        <w:t>B</w:t>
      </w:r>
      <w:r w:rsidRPr="002E20D7">
        <w:rPr>
          <w:sz w:val="24"/>
          <w:szCs w:val="24"/>
        </w:rPr>
        <w:t>eginning of 2020,</w:t>
      </w:r>
      <w:r w:rsidR="00A66D83" w:rsidRPr="002E20D7">
        <w:rPr>
          <w:sz w:val="24"/>
          <w:szCs w:val="24"/>
        </w:rPr>
        <w:t>”</w:t>
      </w:r>
      <w:r w:rsidRPr="002E20D7">
        <w:rPr>
          <w:sz w:val="24"/>
          <w:szCs w:val="24"/>
        </w:rPr>
        <w:t xml:space="preserve"> </w:t>
      </w:r>
      <w:r w:rsidR="00A66D83" w:rsidRPr="002E20D7">
        <w:rPr>
          <w:sz w:val="24"/>
          <w:szCs w:val="24"/>
        </w:rPr>
        <w:t xml:space="preserve">2 </w:t>
      </w:r>
      <w:r w:rsidRPr="002E20D7">
        <w:rPr>
          <w:sz w:val="24"/>
          <w:szCs w:val="24"/>
        </w:rPr>
        <w:t>Feb</w:t>
      </w:r>
      <w:r w:rsidR="00A66D83" w:rsidRPr="002E20D7">
        <w:rPr>
          <w:sz w:val="24"/>
          <w:szCs w:val="24"/>
        </w:rPr>
        <w:t xml:space="preserve">ruary </w:t>
      </w:r>
      <w:r w:rsidRPr="002E20D7">
        <w:rPr>
          <w:sz w:val="24"/>
          <w:szCs w:val="24"/>
        </w:rPr>
        <w:t xml:space="preserve">2020, https://syriansforheritage.org/2020/02/02/a-statement-from-the-idlib-antiquities-center-about-the-maarat-al-numan-museum-from-the-end-of-2012-to-the-beginning-of-2020; </w:t>
      </w:r>
      <w:r w:rsidR="00563DBC" w:rsidRPr="002E20D7">
        <w:rPr>
          <w:sz w:val="24"/>
          <w:szCs w:val="24"/>
        </w:rPr>
        <w:t xml:space="preserve">and </w:t>
      </w:r>
      <w:r w:rsidRPr="002E20D7">
        <w:rPr>
          <w:sz w:val="24"/>
          <w:szCs w:val="24"/>
        </w:rPr>
        <w:t>Salam al-Quntar and Brian I. Daniels</w:t>
      </w:r>
      <w:r w:rsidR="00AB31FC" w:rsidRPr="002E20D7">
        <w:rPr>
          <w:sz w:val="24"/>
          <w:szCs w:val="24"/>
        </w:rPr>
        <w:t>, “</w:t>
      </w:r>
      <w:r w:rsidRPr="002E20D7">
        <w:rPr>
          <w:sz w:val="24"/>
          <w:szCs w:val="24"/>
        </w:rPr>
        <w:t>Responses to the Destruction of Syrian Cultural Heritage: A Critical Review of Current Efforts</w:t>
      </w:r>
      <w:r w:rsidR="00AB31FC" w:rsidRPr="002E20D7">
        <w:rPr>
          <w:sz w:val="24"/>
          <w:szCs w:val="24"/>
        </w:rPr>
        <w:t>,”</w:t>
      </w:r>
      <w:r w:rsidRPr="002E20D7">
        <w:rPr>
          <w:sz w:val="24"/>
          <w:szCs w:val="24"/>
        </w:rPr>
        <w:t xml:space="preserve"> </w:t>
      </w:r>
      <w:r w:rsidRPr="002E20D7">
        <w:rPr>
          <w:i/>
          <w:iCs/>
          <w:sz w:val="24"/>
          <w:szCs w:val="24"/>
        </w:rPr>
        <w:t>International Journal of Islamic Architecture</w:t>
      </w:r>
      <w:r w:rsidRPr="002E20D7">
        <w:rPr>
          <w:sz w:val="24"/>
          <w:szCs w:val="24"/>
        </w:rPr>
        <w:t xml:space="preserve"> 5, no</w:t>
      </w:r>
      <w:r w:rsidR="00AA41D2" w:rsidRPr="002E20D7">
        <w:rPr>
          <w:sz w:val="24"/>
          <w:szCs w:val="24"/>
        </w:rPr>
        <w:t>.</w:t>
      </w:r>
      <w:r w:rsidRPr="002E20D7">
        <w:rPr>
          <w:sz w:val="24"/>
          <w:szCs w:val="24"/>
        </w:rPr>
        <w:t xml:space="preserve"> 2 (2016): 389</w:t>
      </w:r>
      <w:r w:rsidR="00014732" w:rsidRPr="002E20D7">
        <w:rPr>
          <w:sz w:val="24"/>
          <w:szCs w:val="24"/>
        </w:rPr>
        <w:t>–</w:t>
      </w:r>
      <w:r w:rsidRPr="002E20D7">
        <w:rPr>
          <w:sz w:val="24"/>
          <w:szCs w:val="24"/>
        </w:rPr>
        <w:t>91.</w:t>
      </w:r>
    </w:p>
  </w:endnote>
  <w:endnote w:id="73">
    <w:p w14:paraId="6C1E148B" w14:textId="2741FE8F" w:rsidR="009F35FF" w:rsidRPr="00353FB5" w:rsidRDefault="009F35FF" w:rsidP="00353FB5">
      <w:pPr>
        <w:pStyle w:val="EndnoteText"/>
        <w:spacing w:line="480" w:lineRule="auto"/>
        <w:rPr>
          <w:sz w:val="24"/>
          <w:szCs w:val="24"/>
        </w:rPr>
      </w:pPr>
      <w:r w:rsidRPr="00353FB5">
        <w:rPr>
          <w:rStyle w:val="EndnoteReference"/>
          <w:sz w:val="24"/>
          <w:szCs w:val="24"/>
        </w:rPr>
        <w:endnoteRef/>
      </w:r>
      <w:r w:rsidRPr="00353FB5">
        <w:rPr>
          <w:sz w:val="24"/>
          <w:szCs w:val="24"/>
        </w:rPr>
        <w:t xml:space="preserve"> Convention (II) with Respect to the Laws and Customs of War on Land and Its Annex: Regulations Concerning the Laws and Customs of War on Land, The Hague, 29 July 1899</w:t>
      </w:r>
      <w:r w:rsidR="00054474" w:rsidRPr="002E20D7">
        <w:rPr>
          <w:sz w:val="24"/>
          <w:szCs w:val="24"/>
        </w:rPr>
        <w:t>, https://ihl-databases.icrc.org/ihl/INTRO/150</w:t>
      </w:r>
      <w:r w:rsidRPr="002E20D7">
        <w:rPr>
          <w:sz w:val="24"/>
          <w:szCs w:val="24"/>
        </w:rPr>
        <w:t>; and</w:t>
      </w:r>
    </w:p>
    <w:p w14:paraId="25A4089C" w14:textId="4D4347C3" w:rsidR="009F35FF" w:rsidRPr="00353FB5" w:rsidRDefault="009F35FF" w:rsidP="00353FB5">
      <w:pPr>
        <w:pStyle w:val="EndnoteText"/>
        <w:spacing w:line="480" w:lineRule="auto"/>
        <w:rPr>
          <w:sz w:val="24"/>
          <w:szCs w:val="24"/>
        </w:rPr>
      </w:pPr>
      <w:r w:rsidRPr="00353FB5">
        <w:rPr>
          <w:sz w:val="24"/>
          <w:szCs w:val="24"/>
        </w:rPr>
        <w:t>Convention (IV) Respecting the Laws and Customs of War on Land and Its Annex, The Hague, 18 October 1907</w:t>
      </w:r>
      <w:r w:rsidR="00054474" w:rsidRPr="002E20D7">
        <w:rPr>
          <w:sz w:val="24"/>
          <w:szCs w:val="24"/>
        </w:rPr>
        <w:t>,</w:t>
      </w:r>
      <w:r w:rsidR="00054474" w:rsidRPr="00353FB5">
        <w:rPr>
          <w:sz w:val="24"/>
          <w:szCs w:val="24"/>
        </w:rPr>
        <w:t xml:space="preserve"> </w:t>
      </w:r>
      <w:r w:rsidR="00054474" w:rsidRPr="002E20D7">
        <w:rPr>
          <w:sz w:val="24"/>
          <w:szCs w:val="24"/>
        </w:rPr>
        <w:t>https://ihl-databases.icrc.org/ihl/INTRO/195</w:t>
      </w:r>
      <w:r w:rsidRPr="002E20D7">
        <w:rPr>
          <w:sz w:val="24"/>
          <w:szCs w:val="24"/>
        </w:rPr>
        <w:t>.</w:t>
      </w:r>
    </w:p>
  </w:endnote>
  <w:endnote w:id="74">
    <w:p w14:paraId="11BB5063" w14:textId="3FD49C2E" w:rsidR="009D656E" w:rsidRPr="002E20D7" w:rsidRDefault="009D656E" w:rsidP="009F35FF">
      <w:pPr>
        <w:pStyle w:val="EndnoteText"/>
        <w:spacing w:line="480" w:lineRule="auto"/>
        <w:rPr>
          <w:sz w:val="24"/>
          <w:szCs w:val="24"/>
        </w:rPr>
      </w:pPr>
      <w:r w:rsidRPr="00353FB5">
        <w:rPr>
          <w:rStyle w:val="EndnoteReference"/>
          <w:sz w:val="24"/>
          <w:szCs w:val="24"/>
        </w:rPr>
        <w:endnoteRef/>
      </w:r>
      <w:r w:rsidRPr="00353FB5">
        <w:rPr>
          <w:sz w:val="24"/>
          <w:szCs w:val="24"/>
        </w:rPr>
        <w:t xml:space="preserve"> </w:t>
      </w:r>
      <w:r w:rsidRPr="002E20D7">
        <w:rPr>
          <w:sz w:val="24"/>
          <w:szCs w:val="24"/>
        </w:rPr>
        <w:t xml:space="preserve">See, e.g., Chamberlain, </w:t>
      </w:r>
      <w:r w:rsidRPr="002E20D7">
        <w:rPr>
          <w:i/>
          <w:iCs/>
          <w:sz w:val="24"/>
          <w:szCs w:val="24"/>
        </w:rPr>
        <w:t>War and Cultural Heritage</w:t>
      </w:r>
      <w:r w:rsidR="00501B6F" w:rsidRPr="002E20D7">
        <w:rPr>
          <w:sz w:val="24"/>
          <w:szCs w:val="24"/>
        </w:rPr>
        <w:t>,</w:t>
      </w:r>
      <w:r w:rsidRPr="002E20D7">
        <w:rPr>
          <w:sz w:val="24"/>
          <w:szCs w:val="24"/>
        </w:rPr>
        <w:t xml:space="preserve"> 53</w:t>
      </w:r>
      <w:r w:rsidR="00014732" w:rsidRPr="002E20D7">
        <w:rPr>
          <w:sz w:val="24"/>
          <w:szCs w:val="24"/>
        </w:rPr>
        <w:t>–</w:t>
      </w:r>
      <w:r w:rsidRPr="002E20D7">
        <w:rPr>
          <w:sz w:val="24"/>
          <w:szCs w:val="24"/>
        </w:rPr>
        <w:t>54.</w:t>
      </w:r>
    </w:p>
  </w:endnote>
  <w:endnote w:id="75">
    <w:p w14:paraId="44563316" w14:textId="496EB713" w:rsidR="009847F2" w:rsidRPr="002E20D7" w:rsidRDefault="009847F2" w:rsidP="009F35FF">
      <w:pPr>
        <w:pStyle w:val="EndnoteText"/>
        <w:spacing w:line="480" w:lineRule="auto"/>
        <w:rPr>
          <w:sz w:val="24"/>
          <w:szCs w:val="24"/>
        </w:rPr>
      </w:pPr>
      <w:r w:rsidRPr="002E20D7">
        <w:rPr>
          <w:rStyle w:val="EndnoteReference"/>
          <w:sz w:val="24"/>
          <w:szCs w:val="24"/>
        </w:rPr>
        <w:endnoteRef/>
      </w:r>
      <w:r w:rsidRPr="002E20D7">
        <w:rPr>
          <w:sz w:val="24"/>
          <w:szCs w:val="24"/>
        </w:rPr>
        <w:t xml:space="preserve"> </w:t>
      </w:r>
      <w:r w:rsidR="00F66946" w:rsidRPr="002E20D7">
        <w:rPr>
          <w:sz w:val="24"/>
          <w:szCs w:val="24"/>
        </w:rPr>
        <w:t xml:space="preserve">ICC, </w:t>
      </w:r>
      <w:r w:rsidR="00356F74" w:rsidRPr="002E20D7">
        <w:rPr>
          <w:sz w:val="24"/>
          <w:szCs w:val="24"/>
        </w:rPr>
        <w:t>“</w:t>
      </w:r>
      <w:r w:rsidR="00F66946" w:rsidRPr="002E20D7">
        <w:rPr>
          <w:sz w:val="24"/>
          <w:szCs w:val="24"/>
        </w:rPr>
        <w:t>Statement of the Prosecutor</w:t>
      </w:r>
      <w:r w:rsidR="00356F74" w:rsidRPr="00353FB5">
        <w:rPr>
          <w:sz w:val="24"/>
          <w:szCs w:val="24"/>
        </w:rPr>
        <w:t xml:space="preserve"> </w:t>
      </w:r>
      <w:r w:rsidR="00356F74" w:rsidRPr="002E20D7">
        <w:rPr>
          <w:sz w:val="24"/>
          <w:szCs w:val="24"/>
        </w:rPr>
        <w:t>of the International Criminal Court, Fatou Bensouda, at the Opening of the Confirmation of Charges Hearing in the Case against Mr</w:t>
      </w:r>
      <w:r w:rsidR="00565BC9">
        <w:rPr>
          <w:sz w:val="24"/>
          <w:szCs w:val="24"/>
        </w:rPr>
        <w:t>.</w:t>
      </w:r>
      <w:r w:rsidR="00356F74" w:rsidRPr="002E20D7">
        <w:rPr>
          <w:sz w:val="24"/>
          <w:szCs w:val="24"/>
        </w:rPr>
        <w:t xml:space="preserve"> Ahmad Al-Faqi Al Mahdi</w:t>
      </w:r>
      <w:r w:rsidR="00F66946" w:rsidRPr="002E20D7">
        <w:rPr>
          <w:sz w:val="24"/>
          <w:szCs w:val="24"/>
        </w:rPr>
        <w:t>,</w:t>
      </w:r>
      <w:r w:rsidR="00356F74" w:rsidRPr="002E20D7">
        <w:rPr>
          <w:sz w:val="24"/>
          <w:szCs w:val="24"/>
        </w:rPr>
        <w:t>”</w:t>
      </w:r>
      <w:r w:rsidR="00F66946" w:rsidRPr="002E20D7">
        <w:rPr>
          <w:sz w:val="24"/>
          <w:szCs w:val="24"/>
        </w:rPr>
        <w:t xml:space="preserve"> </w:t>
      </w:r>
      <w:r w:rsidRPr="002E20D7">
        <w:rPr>
          <w:sz w:val="24"/>
          <w:szCs w:val="24"/>
        </w:rPr>
        <w:t>1</w:t>
      </w:r>
      <w:r w:rsidR="00F66946" w:rsidRPr="002E20D7">
        <w:rPr>
          <w:sz w:val="24"/>
          <w:szCs w:val="24"/>
        </w:rPr>
        <w:t xml:space="preserve"> March </w:t>
      </w:r>
      <w:r w:rsidRPr="002E20D7">
        <w:rPr>
          <w:sz w:val="24"/>
          <w:szCs w:val="24"/>
        </w:rPr>
        <w:t xml:space="preserve">2016, </w:t>
      </w:r>
      <w:r w:rsidR="005255D3" w:rsidRPr="005255D3">
        <w:t xml:space="preserve"> </w:t>
      </w:r>
      <w:r w:rsidR="005255D3" w:rsidRPr="005255D3">
        <w:rPr>
          <w:sz w:val="24"/>
          <w:szCs w:val="24"/>
        </w:rPr>
        <w:t>www.icc-cpi.int/en_menus/icc/press%20and%20media/press%20releases/Pages/otp-stat-01-03-16.aspx.</w:t>
      </w:r>
    </w:p>
  </w:endnote>
  <w:endnote w:id="76">
    <w:p w14:paraId="7C01CA23" w14:textId="00E36139" w:rsidR="009847F2" w:rsidRPr="002E20D7" w:rsidRDefault="009847F2" w:rsidP="009F35FF">
      <w:pPr>
        <w:pStyle w:val="EndnoteText"/>
        <w:spacing w:line="480" w:lineRule="auto"/>
        <w:rPr>
          <w:sz w:val="24"/>
          <w:szCs w:val="24"/>
        </w:rPr>
      </w:pPr>
      <w:r w:rsidRPr="002E20D7">
        <w:rPr>
          <w:rStyle w:val="EndnoteReference"/>
          <w:sz w:val="24"/>
          <w:szCs w:val="24"/>
        </w:rPr>
        <w:endnoteRef/>
      </w:r>
      <w:r w:rsidR="005807BF" w:rsidRPr="002E20D7">
        <w:rPr>
          <w:sz w:val="24"/>
          <w:szCs w:val="24"/>
        </w:rPr>
        <w:t xml:space="preserve"> ICC, </w:t>
      </w:r>
      <w:r w:rsidR="005807BF" w:rsidRPr="002E20D7">
        <w:rPr>
          <w:i/>
          <w:iCs/>
          <w:sz w:val="24"/>
          <w:szCs w:val="24"/>
        </w:rPr>
        <w:t>Ahmad Al Faqi Al Mahdi</w:t>
      </w:r>
      <w:r w:rsidR="005807BF" w:rsidRPr="002E20D7">
        <w:rPr>
          <w:sz w:val="24"/>
          <w:szCs w:val="24"/>
        </w:rPr>
        <w:t xml:space="preserve">, case no. ICC-01/12-01/15, Reparations Phase, Brief by Ms. </w:t>
      </w:r>
      <w:r w:rsidRPr="002E20D7">
        <w:rPr>
          <w:sz w:val="24"/>
          <w:szCs w:val="24"/>
        </w:rPr>
        <w:t>Karima Benoune, 27 April 2017, 14</w:t>
      </w:r>
      <w:r w:rsidR="005807BF" w:rsidRPr="002E20D7">
        <w:rPr>
          <w:sz w:val="24"/>
          <w:szCs w:val="24"/>
        </w:rPr>
        <w:t>–</w:t>
      </w:r>
      <w:r w:rsidRPr="002E20D7">
        <w:rPr>
          <w:sz w:val="24"/>
          <w:szCs w:val="24"/>
        </w:rPr>
        <w:t>15, 18</w:t>
      </w:r>
      <w:r w:rsidR="005807BF" w:rsidRPr="002E20D7">
        <w:rPr>
          <w:sz w:val="24"/>
          <w:szCs w:val="24"/>
        </w:rPr>
        <w:t>–</w:t>
      </w:r>
      <w:r w:rsidRPr="002E20D7">
        <w:rPr>
          <w:sz w:val="24"/>
          <w:szCs w:val="24"/>
        </w:rPr>
        <w:t>22</w:t>
      </w:r>
      <w:r w:rsidR="0097426F">
        <w:rPr>
          <w:sz w:val="24"/>
          <w:szCs w:val="24"/>
        </w:rPr>
        <w:t xml:space="preserve">, </w:t>
      </w:r>
      <w:r w:rsidR="0097426F" w:rsidRPr="0097426F">
        <w:rPr>
          <w:sz w:val="24"/>
          <w:szCs w:val="24"/>
        </w:rPr>
        <w:t>www.icc-cpi.int/RelatedRecords/CR2017_05022.pdf.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8426434"/>
      <w:docPartObj>
        <w:docPartGallery w:val="Page Numbers (Bottom of Page)"/>
        <w:docPartUnique/>
      </w:docPartObj>
    </w:sdtPr>
    <w:sdtEndPr>
      <w:rPr>
        <w:rStyle w:val="PageNumber"/>
      </w:rPr>
    </w:sdtEndPr>
    <w:sdtContent>
      <w:p w14:paraId="581DE1AB" w14:textId="4EF8C768" w:rsidR="009847F2" w:rsidRDefault="009847F2" w:rsidP="004872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AF74C" w14:textId="77777777" w:rsidR="009847F2" w:rsidRDefault="00984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7408985"/>
      <w:docPartObj>
        <w:docPartGallery w:val="Page Numbers (Bottom of Page)"/>
        <w:docPartUnique/>
      </w:docPartObj>
    </w:sdtPr>
    <w:sdtEndPr>
      <w:rPr>
        <w:rStyle w:val="PageNumber"/>
      </w:rPr>
    </w:sdtEndPr>
    <w:sdtContent>
      <w:p w14:paraId="50AA2902" w14:textId="1412E153" w:rsidR="009847F2" w:rsidRDefault="009847F2" w:rsidP="004872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514AAA" w14:textId="77777777" w:rsidR="009847F2" w:rsidRDefault="00984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0A356" w14:textId="77777777" w:rsidR="00E85891" w:rsidRDefault="00E85891" w:rsidP="007306C5">
      <w:r>
        <w:separator/>
      </w:r>
    </w:p>
  </w:footnote>
  <w:footnote w:type="continuationSeparator" w:id="0">
    <w:p w14:paraId="084216D6" w14:textId="77777777" w:rsidR="00E85891" w:rsidRDefault="00E85891" w:rsidP="00730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11196"/>
    <w:multiLevelType w:val="hybridMultilevel"/>
    <w:tmpl w:val="CEB47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47408"/>
    <w:multiLevelType w:val="hybridMultilevel"/>
    <w:tmpl w:val="6668FD2C"/>
    <w:lvl w:ilvl="0" w:tplc="DA324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D02DDD"/>
    <w:multiLevelType w:val="hybridMultilevel"/>
    <w:tmpl w:val="435A3186"/>
    <w:lvl w:ilvl="0" w:tplc="A4CE13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2D"/>
    <w:rsid w:val="00000532"/>
    <w:rsid w:val="00002C89"/>
    <w:rsid w:val="0000354A"/>
    <w:rsid w:val="00006003"/>
    <w:rsid w:val="00006759"/>
    <w:rsid w:val="00006887"/>
    <w:rsid w:val="000070A4"/>
    <w:rsid w:val="00007266"/>
    <w:rsid w:val="000104A8"/>
    <w:rsid w:val="00014732"/>
    <w:rsid w:val="00015B2B"/>
    <w:rsid w:val="000175CD"/>
    <w:rsid w:val="000251C8"/>
    <w:rsid w:val="00026628"/>
    <w:rsid w:val="000277D7"/>
    <w:rsid w:val="00031E41"/>
    <w:rsid w:val="0003224D"/>
    <w:rsid w:val="00034243"/>
    <w:rsid w:val="00034252"/>
    <w:rsid w:val="000343D9"/>
    <w:rsid w:val="00035DDE"/>
    <w:rsid w:val="00035E35"/>
    <w:rsid w:val="000367FB"/>
    <w:rsid w:val="00036F62"/>
    <w:rsid w:val="00042ABD"/>
    <w:rsid w:val="000434B8"/>
    <w:rsid w:val="00043554"/>
    <w:rsid w:val="00043823"/>
    <w:rsid w:val="000444F2"/>
    <w:rsid w:val="00045707"/>
    <w:rsid w:val="00050DDC"/>
    <w:rsid w:val="00054474"/>
    <w:rsid w:val="00060C54"/>
    <w:rsid w:val="00060FD4"/>
    <w:rsid w:val="0006105D"/>
    <w:rsid w:val="00061214"/>
    <w:rsid w:val="000625C7"/>
    <w:rsid w:val="0006700E"/>
    <w:rsid w:val="000674E9"/>
    <w:rsid w:val="000707EA"/>
    <w:rsid w:val="00071404"/>
    <w:rsid w:val="000716DA"/>
    <w:rsid w:val="0008045F"/>
    <w:rsid w:val="00080866"/>
    <w:rsid w:val="0008163A"/>
    <w:rsid w:val="00082A54"/>
    <w:rsid w:val="00083703"/>
    <w:rsid w:val="00087213"/>
    <w:rsid w:val="00087927"/>
    <w:rsid w:val="00087B7A"/>
    <w:rsid w:val="00087F45"/>
    <w:rsid w:val="00093B41"/>
    <w:rsid w:val="00095243"/>
    <w:rsid w:val="000962B2"/>
    <w:rsid w:val="00096FCF"/>
    <w:rsid w:val="000A0A69"/>
    <w:rsid w:val="000A1D58"/>
    <w:rsid w:val="000A3CBF"/>
    <w:rsid w:val="000A434C"/>
    <w:rsid w:val="000A49CB"/>
    <w:rsid w:val="000A4A07"/>
    <w:rsid w:val="000A6493"/>
    <w:rsid w:val="000A7E98"/>
    <w:rsid w:val="000B590E"/>
    <w:rsid w:val="000B6E65"/>
    <w:rsid w:val="000B727C"/>
    <w:rsid w:val="000C0720"/>
    <w:rsid w:val="000C2723"/>
    <w:rsid w:val="000C3ACF"/>
    <w:rsid w:val="000C4C2C"/>
    <w:rsid w:val="000D20D9"/>
    <w:rsid w:val="000D23B6"/>
    <w:rsid w:val="000D3775"/>
    <w:rsid w:val="000D3A18"/>
    <w:rsid w:val="000D69C8"/>
    <w:rsid w:val="000D6EFA"/>
    <w:rsid w:val="000D7378"/>
    <w:rsid w:val="000E1B05"/>
    <w:rsid w:val="000E3328"/>
    <w:rsid w:val="000E381C"/>
    <w:rsid w:val="000E3E1A"/>
    <w:rsid w:val="000E53DA"/>
    <w:rsid w:val="000E54CC"/>
    <w:rsid w:val="000E6043"/>
    <w:rsid w:val="000E7861"/>
    <w:rsid w:val="000F0C57"/>
    <w:rsid w:val="000F4ABB"/>
    <w:rsid w:val="000F547F"/>
    <w:rsid w:val="000F6261"/>
    <w:rsid w:val="001012DB"/>
    <w:rsid w:val="00104FCF"/>
    <w:rsid w:val="00107430"/>
    <w:rsid w:val="00111315"/>
    <w:rsid w:val="00116272"/>
    <w:rsid w:val="0011701B"/>
    <w:rsid w:val="00117CC7"/>
    <w:rsid w:val="00120577"/>
    <w:rsid w:val="0012115B"/>
    <w:rsid w:val="00121B18"/>
    <w:rsid w:val="00122FE0"/>
    <w:rsid w:val="00123A12"/>
    <w:rsid w:val="00124B8F"/>
    <w:rsid w:val="0013069C"/>
    <w:rsid w:val="00131AC1"/>
    <w:rsid w:val="00132034"/>
    <w:rsid w:val="00132546"/>
    <w:rsid w:val="001357B0"/>
    <w:rsid w:val="0013740D"/>
    <w:rsid w:val="001405B3"/>
    <w:rsid w:val="0014148B"/>
    <w:rsid w:val="001432C4"/>
    <w:rsid w:val="00143980"/>
    <w:rsid w:val="00143A4F"/>
    <w:rsid w:val="00150564"/>
    <w:rsid w:val="00150D11"/>
    <w:rsid w:val="00151A6B"/>
    <w:rsid w:val="001522D8"/>
    <w:rsid w:val="00155E48"/>
    <w:rsid w:val="00156C45"/>
    <w:rsid w:val="00160064"/>
    <w:rsid w:val="001617D0"/>
    <w:rsid w:val="00164CE2"/>
    <w:rsid w:val="00165A31"/>
    <w:rsid w:val="0017055A"/>
    <w:rsid w:val="001709BD"/>
    <w:rsid w:val="001736E9"/>
    <w:rsid w:val="0017402D"/>
    <w:rsid w:val="00176A33"/>
    <w:rsid w:val="00183F26"/>
    <w:rsid w:val="00184434"/>
    <w:rsid w:val="00184CFE"/>
    <w:rsid w:val="00187636"/>
    <w:rsid w:val="0018782B"/>
    <w:rsid w:val="00190D42"/>
    <w:rsid w:val="001915F4"/>
    <w:rsid w:val="00192144"/>
    <w:rsid w:val="00192A2D"/>
    <w:rsid w:val="00193896"/>
    <w:rsid w:val="00193DD0"/>
    <w:rsid w:val="00194358"/>
    <w:rsid w:val="0019538A"/>
    <w:rsid w:val="001963DA"/>
    <w:rsid w:val="001965C1"/>
    <w:rsid w:val="001A290E"/>
    <w:rsid w:val="001A39B9"/>
    <w:rsid w:val="001A6B12"/>
    <w:rsid w:val="001B1785"/>
    <w:rsid w:val="001B1D46"/>
    <w:rsid w:val="001B4477"/>
    <w:rsid w:val="001B4C44"/>
    <w:rsid w:val="001B56C9"/>
    <w:rsid w:val="001B7B3D"/>
    <w:rsid w:val="001C0C3D"/>
    <w:rsid w:val="001C30A9"/>
    <w:rsid w:val="001C36CE"/>
    <w:rsid w:val="001C64E0"/>
    <w:rsid w:val="001C6C2E"/>
    <w:rsid w:val="001D0106"/>
    <w:rsid w:val="001D3671"/>
    <w:rsid w:val="001D3929"/>
    <w:rsid w:val="001D7977"/>
    <w:rsid w:val="001E1B9D"/>
    <w:rsid w:val="001E36E1"/>
    <w:rsid w:val="001E3778"/>
    <w:rsid w:val="001E3AF3"/>
    <w:rsid w:val="001E526F"/>
    <w:rsid w:val="001E5426"/>
    <w:rsid w:val="001E6EDD"/>
    <w:rsid w:val="001F07B1"/>
    <w:rsid w:val="001F290F"/>
    <w:rsid w:val="001F2EE7"/>
    <w:rsid w:val="001F7B16"/>
    <w:rsid w:val="002008E4"/>
    <w:rsid w:val="00203D0F"/>
    <w:rsid w:val="0020554D"/>
    <w:rsid w:val="002062F4"/>
    <w:rsid w:val="00213380"/>
    <w:rsid w:val="0021445F"/>
    <w:rsid w:val="0021446E"/>
    <w:rsid w:val="0021523A"/>
    <w:rsid w:val="0021633B"/>
    <w:rsid w:val="0022050E"/>
    <w:rsid w:val="002205E1"/>
    <w:rsid w:val="00223680"/>
    <w:rsid w:val="0022640A"/>
    <w:rsid w:val="002264C1"/>
    <w:rsid w:val="0022664D"/>
    <w:rsid w:val="0023283C"/>
    <w:rsid w:val="00232B57"/>
    <w:rsid w:val="00233D1F"/>
    <w:rsid w:val="00236CCA"/>
    <w:rsid w:val="00240626"/>
    <w:rsid w:val="00241BBB"/>
    <w:rsid w:val="00242997"/>
    <w:rsid w:val="002429BA"/>
    <w:rsid w:val="00242DD5"/>
    <w:rsid w:val="00243761"/>
    <w:rsid w:val="00245541"/>
    <w:rsid w:val="00245D08"/>
    <w:rsid w:val="00247239"/>
    <w:rsid w:val="00250448"/>
    <w:rsid w:val="002522E7"/>
    <w:rsid w:val="00253098"/>
    <w:rsid w:val="0025346D"/>
    <w:rsid w:val="0025446C"/>
    <w:rsid w:val="00256024"/>
    <w:rsid w:val="002561EF"/>
    <w:rsid w:val="0026048E"/>
    <w:rsid w:val="00261442"/>
    <w:rsid w:val="002628D4"/>
    <w:rsid w:val="0026455F"/>
    <w:rsid w:val="00267472"/>
    <w:rsid w:val="0027022F"/>
    <w:rsid w:val="00270245"/>
    <w:rsid w:val="0027082D"/>
    <w:rsid w:val="00272E06"/>
    <w:rsid w:val="00273CB9"/>
    <w:rsid w:val="00274622"/>
    <w:rsid w:val="0027474C"/>
    <w:rsid w:val="0027781C"/>
    <w:rsid w:val="00280E46"/>
    <w:rsid w:val="00281618"/>
    <w:rsid w:val="00281983"/>
    <w:rsid w:val="002834CC"/>
    <w:rsid w:val="00285F26"/>
    <w:rsid w:val="0029067D"/>
    <w:rsid w:val="002918CC"/>
    <w:rsid w:val="00294589"/>
    <w:rsid w:val="00295976"/>
    <w:rsid w:val="00295DB7"/>
    <w:rsid w:val="00297EE3"/>
    <w:rsid w:val="002A02D2"/>
    <w:rsid w:val="002A0D68"/>
    <w:rsid w:val="002A1D51"/>
    <w:rsid w:val="002A1FC8"/>
    <w:rsid w:val="002A3EF4"/>
    <w:rsid w:val="002A5F9D"/>
    <w:rsid w:val="002A6619"/>
    <w:rsid w:val="002A6EA8"/>
    <w:rsid w:val="002A7A46"/>
    <w:rsid w:val="002B008F"/>
    <w:rsid w:val="002B2229"/>
    <w:rsid w:val="002B2493"/>
    <w:rsid w:val="002B2E3A"/>
    <w:rsid w:val="002B36A6"/>
    <w:rsid w:val="002B5E91"/>
    <w:rsid w:val="002B6F31"/>
    <w:rsid w:val="002B7494"/>
    <w:rsid w:val="002C0C48"/>
    <w:rsid w:val="002C2783"/>
    <w:rsid w:val="002C3BD6"/>
    <w:rsid w:val="002C412B"/>
    <w:rsid w:val="002C62A7"/>
    <w:rsid w:val="002C77F6"/>
    <w:rsid w:val="002D0452"/>
    <w:rsid w:val="002D1E9B"/>
    <w:rsid w:val="002D2EDB"/>
    <w:rsid w:val="002D3E06"/>
    <w:rsid w:val="002D5A4E"/>
    <w:rsid w:val="002D6626"/>
    <w:rsid w:val="002E01FF"/>
    <w:rsid w:val="002E1475"/>
    <w:rsid w:val="002E1C84"/>
    <w:rsid w:val="002E20D7"/>
    <w:rsid w:val="002E36FE"/>
    <w:rsid w:val="002E4048"/>
    <w:rsid w:val="002E6A30"/>
    <w:rsid w:val="002F1529"/>
    <w:rsid w:val="002F22CC"/>
    <w:rsid w:val="002F7685"/>
    <w:rsid w:val="002F7D53"/>
    <w:rsid w:val="003024A5"/>
    <w:rsid w:val="003059BD"/>
    <w:rsid w:val="00305ED3"/>
    <w:rsid w:val="00307228"/>
    <w:rsid w:val="00310CC8"/>
    <w:rsid w:val="00313600"/>
    <w:rsid w:val="0031565D"/>
    <w:rsid w:val="0031641E"/>
    <w:rsid w:val="00321CD5"/>
    <w:rsid w:val="0032350E"/>
    <w:rsid w:val="00324B32"/>
    <w:rsid w:val="00325388"/>
    <w:rsid w:val="003254D6"/>
    <w:rsid w:val="00325C66"/>
    <w:rsid w:val="00327106"/>
    <w:rsid w:val="00333589"/>
    <w:rsid w:val="00333A9A"/>
    <w:rsid w:val="00335296"/>
    <w:rsid w:val="0033544C"/>
    <w:rsid w:val="003374B4"/>
    <w:rsid w:val="00337C95"/>
    <w:rsid w:val="00342364"/>
    <w:rsid w:val="003429D3"/>
    <w:rsid w:val="00344C9D"/>
    <w:rsid w:val="00344EF2"/>
    <w:rsid w:val="00346E48"/>
    <w:rsid w:val="00351076"/>
    <w:rsid w:val="0035258F"/>
    <w:rsid w:val="00352901"/>
    <w:rsid w:val="00353C7D"/>
    <w:rsid w:val="00353FB5"/>
    <w:rsid w:val="00354086"/>
    <w:rsid w:val="003558CD"/>
    <w:rsid w:val="0035681C"/>
    <w:rsid w:val="00356F74"/>
    <w:rsid w:val="003603E8"/>
    <w:rsid w:val="003629EB"/>
    <w:rsid w:val="003632AD"/>
    <w:rsid w:val="00364111"/>
    <w:rsid w:val="00365261"/>
    <w:rsid w:val="00365BF9"/>
    <w:rsid w:val="00367256"/>
    <w:rsid w:val="0037104C"/>
    <w:rsid w:val="00372839"/>
    <w:rsid w:val="0037287F"/>
    <w:rsid w:val="00373F25"/>
    <w:rsid w:val="0037405C"/>
    <w:rsid w:val="00374DE1"/>
    <w:rsid w:val="00375FAD"/>
    <w:rsid w:val="00376094"/>
    <w:rsid w:val="003775E9"/>
    <w:rsid w:val="00377B22"/>
    <w:rsid w:val="003807A4"/>
    <w:rsid w:val="00380A72"/>
    <w:rsid w:val="00381A53"/>
    <w:rsid w:val="00384CBF"/>
    <w:rsid w:val="00385DB0"/>
    <w:rsid w:val="00386000"/>
    <w:rsid w:val="003900AF"/>
    <w:rsid w:val="00390957"/>
    <w:rsid w:val="00391508"/>
    <w:rsid w:val="003922B8"/>
    <w:rsid w:val="003959CF"/>
    <w:rsid w:val="003A07AB"/>
    <w:rsid w:val="003A24C4"/>
    <w:rsid w:val="003A2736"/>
    <w:rsid w:val="003A3D82"/>
    <w:rsid w:val="003A5323"/>
    <w:rsid w:val="003A5D9C"/>
    <w:rsid w:val="003B0449"/>
    <w:rsid w:val="003B05D5"/>
    <w:rsid w:val="003B093C"/>
    <w:rsid w:val="003B149C"/>
    <w:rsid w:val="003B153C"/>
    <w:rsid w:val="003B4F5A"/>
    <w:rsid w:val="003B5C79"/>
    <w:rsid w:val="003B7A46"/>
    <w:rsid w:val="003C0F83"/>
    <w:rsid w:val="003C3D18"/>
    <w:rsid w:val="003C3F17"/>
    <w:rsid w:val="003C4871"/>
    <w:rsid w:val="003C7387"/>
    <w:rsid w:val="003C78CD"/>
    <w:rsid w:val="003D2098"/>
    <w:rsid w:val="003D34BE"/>
    <w:rsid w:val="003D3622"/>
    <w:rsid w:val="003D4D27"/>
    <w:rsid w:val="003D5B84"/>
    <w:rsid w:val="003D660B"/>
    <w:rsid w:val="003D6BEC"/>
    <w:rsid w:val="003D7AE9"/>
    <w:rsid w:val="003E11A5"/>
    <w:rsid w:val="003E27B8"/>
    <w:rsid w:val="003E36DA"/>
    <w:rsid w:val="003E6582"/>
    <w:rsid w:val="003E6C6A"/>
    <w:rsid w:val="003F1430"/>
    <w:rsid w:val="003F41DC"/>
    <w:rsid w:val="003F4E6E"/>
    <w:rsid w:val="00400611"/>
    <w:rsid w:val="0040061E"/>
    <w:rsid w:val="00400E2B"/>
    <w:rsid w:val="00401CCE"/>
    <w:rsid w:val="00403468"/>
    <w:rsid w:val="00404ECB"/>
    <w:rsid w:val="004103B0"/>
    <w:rsid w:val="00410576"/>
    <w:rsid w:val="00411A3C"/>
    <w:rsid w:val="00412F0D"/>
    <w:rsid w:val="00413119"/>
    <w:rsid w:val="00414177"/>
    <w:rsid w:val="004154B4"/>
    <w:rsid w:val="00415B1C"/>
    <w:rsid w:val="004160FD"/>
    <w:rsid w:val="00417279"/>
    <w:rsid w:val="00420CA0"/>
    <w:rsid w:val="0042359F"/>
    <w:rsid w:val="004240A8"/>
    <w:rsid w:val="00424764"/>
    <w:rsid w:val="00425AB3"/>
    <w:rsid w:val="00432330"/>
    <w:rsid w:val="0043237B"/>
    <w:rsid w:val="0043296C"/>
    <w:rsid w:val="00435C2D"/>
    <w:rsid w:val="00436D32"/>
    <w:rsid w:val="00436E68"/>
    <w:rsid w:val="004404E8"/>
    <w:rsid w:val="00441A59"/>
    <w:rsid w:val="0044453B"/>
    <w:rsid w:val="0045231F"/>
    <w:rsid w:val="00452BB8"/>
    <w:rsid w:val="00453B1E"/>
    <w:rsid w:val="00453FEA"/>
    <w:rsid w:val="004541FA"/>
    <w:rsid w:val="00454399"/>
    <w:rsid w:val="004549C6"/>
    <w:rsid w:val="00456811"/>
    <w:rsid w:val="00460161"/>
    <w:rsid w:val="004602B2"/>
    <w:rsid w:val="00462539"/>
    <w:rsid w:val="00462CB8"/>
    <w:rsid w:val="00463BF8"/>
    <w:rsid w:val="004640C5"/>
    <w:rsid w:val="004645D6"/>
    <w:rsid w:val="0046552E"/>
    <w:rsid w:val="00465878"/>
    <w:rsid w:val="00465F21"/>
    <w:rsid w:val="00471586"/>
    <w:rsid w:val="004741D2"/>
    <w:rsid w:val="00474FE3"/>
    <w:rsid w:val="00484689"/>
    <w:rsid w:val="00486E92"/>
    <w:rsid w:val="00486ED5"/>
    <w:rsid w:val="0048720E"/>
    <w:rsid w:val="00490BE7"/>
    <w:rsid w:val="00490C24"/>
    <w:rsid w:val="00491E8D"/>
    <w:rsid w:val="00495D77"/>
    <w:rsid w:val="004A17C9"/>
    <w:rsid w:val="004A3B50"/>
    <w:rsid w:val="004A4222"/>
    <w:rsid w:val="004A6647"/>
    <w:rsid w:val="004A7183"/>
    <w:rsid w:val="004B0272"/>
    <w:rsid w:val="004B313A"/>
    <w:rsid w:val="004B3BC9"/>
    <w:rsid w:val="004B64DE"/>
    <w:rsid w:val="004B7B8B"/>
    <w:rsid w:val="004C3A5F"/>
    <w:rsid w:val="004C5733"/>
    <w:rsid w:val="004C5BB5"/>
    <w:rsid w:val="004C6755"/>
    <w:rsid w:val="004C6C75"/>
    <w:rsid w:val="004C70BC"/>
    <w:rsid w:val="004C7EC6"/>
    <w:rsid w:val="004D21D7"/>
    <w:rsid w:val="004D246A"/>
    <w:rsid w:val="004D42DB"/>
    <w:rsid w:val="004D55E5"/>
    <w:rsid w:val="004D6412"/>
    <w:rsid w:val="004D7AB8"/>
    <w:rsid w:val="004D7CE3"/>
    <w:rsid w:val="004D7EA0"/>
    <w:rsid w:val="004E5B3E"/>
    <w:rsid w:val="004E6F9E"/>
    <w:rsid w:val="004F0F2C"/>
    <w:rsid w:val="004F30FA"/>
    <w:rsid w:val="004F3428"/>
    <w:rsid w:val="004F3621"/>
    <w:rsid w:val="004F64D8"/>
    <w:rsid w:val="004F786E"/>
    <w:rsid w:val="004F7F22"/>
    <w:rsid w:val="00500AFB"/>
    <w:rsid w:val="005017DC"/>
    <w:rsid w:val="00501B6F"/>
    <w:rsid w:val="00503CC2"/>
    <w:rsid w:val="00504D6C"/>
    <w:rsid w:val="00505EE0"/>
    <w:rsid w:val="00507D0F"/>
    <w:rsid w:val="005105A8"/>
    <w:rsid w:val="00512BE9"/>
    <w:rsid w:val="00513549"/>
    <w:rsid w:val="00516E57"/>
    <w:rsid w:val="00517B8E"/>
    <w:rsid w:val="00520268"/>
    <w:rsid w:val="00522E4C"/>
    <w:rsid w:val="00523F14"/>
    <w:rsid w:val="005255D3"/>
    <w:rsid w:val="00525AEC"/>
    <w:rsid w:val="005274E2"/>
    <w:rsid w:val="005315A4"/>
    <w:rsid w:val="005317CD"/>
    <w:rsid w:val="00532A46"/>
    <w:rsid w:val="005340F6"/>
    <w:rsid w:val="00535D50"/>
    <w:rsid w:val="0053676F"/>
    <w:rsid w:val="00537B85"/>
    <w:rsid w:val="0054020D"/>
    <w:rsid w:val="00541E53"/>
    <w:rsid w:val="00543AE8"/>
    <w:rsid w:val="00544D04"/>
    <w:rsid w:val="0054652C"/>
    <w:rsid w:val="00547B51"/>
    <w:rsid w:val="00551C48"/>
    <w:rsid w:val="00552A76"/>
    <w:rsid w:val="00553D6D"/>
    <w:rsid w:val="0055500F"/>
    <w:rsid w:val="0055563E"/>
    <w:rsid w:val="00556359"/>
    <w:rsid w:val="00556818"/>
    <w:rsid w:val="005575F5"/>
    <w:rsid w:val="00561CDD"/>
    <w:rsid w:val="0056295D"/>
    <w:rsid w:val="0056355D"/>
    <w:rsid w:val="00563DBC"/>
    <w:rsid w:val="00565BC9"/>
    <w:rsid w:val="005666E5"/>
    <w:rsid w:val="00572D8F"/>
    <w:rsid w:val="00576EC9"/>
    <w:rsid w:val="00577A0E"/>
    <w:rsid w:val="005807BF"/>
    <w:rsid w:val="005828A6"/>
    <w:rsid w:val="00582A1E"/>
    <w:rsid w:val="00584EF6"/>
    <w:rsid w:val="00590DB2"/>
    <w:rsid w:val="00590EF9"/>
    <w:rsid w:val="005925F4"/>
    <w:rsid w:val="0059274A"/>
    <w:rsid w:val="00592E2D"/>
    <w:rsid w:val="00593EDE"/>
    <w:rsid w:val="0059508C"/>
    <w:rsid w:val="00595CD1"/>
    <w:rsid w:val="00596E59"/>
    <w:rsid w:val="005A1BDE"/>
    <w:rsid w:val="005A3782"/>
    <w:rsid w:val="005A38A1"/>
    <w:rsid w:val="005A50FA"/>
    <w:rsid w:val="005A6BC7"/>
    <w:rsid w:val="005A6C9B"/>
    <w:rsid w:val="005B0073"/>
    <w:rsid w:val="005B09C5"/>
    <w:rsid w:val="005B2BA5"/>
    <w:rsid w:val="005B2BE7"/>
    <w:rsid w:val="005B3D35"/>
    <w:rsid w:val="005B406B"/>
    <w:rsid w:val="005B53EE"/>
    <w:rsid w:val="005B549D"/>
    <w:rsid w:val="005B595F"/>
    <w:rsid w:val="005B5AF5"/>
    <w:rsid w:val="005B6C86"/>
    <w:rsid w:val="005B7BC7"/>
    <w:rsid w:val="005C0C97"/>
    <w:rsid w:val="005C1F0E"/>
    <w:rsid w:val="005C3710"/>
    <w:rsid w:val="005C426E"/>
    <w:rsid w:val="005C7723"/>
    <w:rsid w:val="005D0826"/>
    <w:rsid w:val="005D1CD9"/>
    <w:rsid w:val="005D2138"/>
    <w:rsid w:val="005D230D"/>
    <w:rsid w:val="005D315A"/>
    <w:rsid w:val="005D3EA1"/>
    <w:rsid w:val="005D4B32"/>
    <w:rsid w:val="005D525F"/>
    <w:rsid w:val="005D5295"/>
    <w:rsid w:val="005E32B3"/>
    <w:rsid w:val="005E3EFF"/>
    <w:rsid w:val="005E3F0C"/>
    <w:rsid w:val="005E70BF"/>
    <w:rsid w:val="005F347E"/>
    <w:rsid w:val="005F40F6"/>
    <w:rsid w:val="005F6DD9"/>
    <w:rsid w:val="00602131"/>
    <w:rsid w:val="006054C3"/>
    <w:rsid w:val="006076E8"/>
    <w:rsid w:val="006147B0"/>
    <w:rsid w:val="00616964"/>
    <w:rsid w:val="0061761E"/>
    <w:rsid w:val="0062189E"/>
    <w:rsid w:val="00623A09"/>
    <w:rsid w:val="0062416E"/>
    <w:rsid w:val="006277AB"/>
    <w:rsid w:val="0063276D"/>
    <w:rsid w:val="00633268"/>
    <w:rsid w:val="00633557"/>
    <w:rsid w:val="00636A2A"/>
    <w:rsid w:val="00636B54"/>
    <w:rsid w:val="00640642"/>
    <w:rsid w:val="00641DA8"/>
    <w:rsid w:val="00644EEA"/>
    <w:rsid w:val="0064556D"/>
    <w:rsid w:val="00645703"/>
    <w:rsid w:val="006459AF"/>
    <w:rsid w:val="00646064"/>
    <w:rsid w:val="006526AA"/>
    <w:rsid w:val="00653042"/>
    <w:rsid w:val="00655209"/>
    <w:rsid w:val="00660734"/>
    <w:rsid w:val="00660E4A"/>
    <w:rsid w:val="00661A0C"/>
    <w:rsid w:val="006626A5"/>
    <w:rsid w:val="00670287"/>
    <w:rsid w:val="0067143B"/>
    <w:rsid w:val="00671EE5"/>
    <w:rsid w:val="00673B0E"/>
    <w:rsid w:val="00674EA9"/>
    <w:rsid w:val="0067527E"/>
    <w:rsid w:val="00681B2E"/>
    <w:rsid w:val="00684736"/>
    <w:rsid w:val="00684EC9"/>
    <w:rsid w:val="006870F3"/>
    <w:rsid w:val="00687B01"/>
    <w:rsid w:val="00691A55"/>
    <w:rsid w:val="00693831"/>
    <w:rsid w:val="00695BAB"/>
    <w:rsid w:val="0069655A"/>
    <w:rsid w:val="006A39BA"/>
    <w:rsid w:val="006A3D96"/>
    <w:rsid w:val="006A40C4"/>
    <w:rsid w:val="006A557C"/>
    <w:rsid w:val="006A6D31"/>
    <w:rsid w:val="006A7290"/>
    <w:rsid w:val="006A76CE"/>
    <w:rsid w:val="006A7AAF"/>
    <w:rsid w:val="006B0B8C"/>
    <w:rsid w:val="006B114C"/>
    <w:rsid w:val="006B3F66"/>
    <w:rsid w:val="006B46BA"/>
    <w:rsid w:val="006B5719"/>
    <w:rsid w:val="006B5DD9"/>
    <w:rsid w:val="006C0A7A"/>
    <w:rsid w:val="006C320C"/>
    <w:rsid w:val="006C47BD"/>
    <w:rsid w:val="006C5212"/>
    <w:rsid w:val="006C5E15"/>
    <w:rsid w:val="006C7C2C"/>
    <w:rsid w:val="006D232E"/>
    <w:rsid w:val="006D414F"/>
    <w:rsid w:val="006D5076"/>
    <w:rsid w:val="006D6A32"/>
    <w:rsid w:val="006D787D"/>
    <w:rsid w:val="006E2FA4"/>
    <w:rsid w:val="006E563F"/>
    <w:rsid w:val="006E7973"/>
    <w:rsid w:val="006F1276"/>
    <w:rsid w:val="006F2CEB"/>
    <w:rsid w:val="00701C2F"/>
    <w:rsid w:val="007029B4"/>
    <w:rsid w:val="007038A8"/>
    <w:rsid w:val="00704427"/>
    <w:rsid w:val="00704590"/>
    <w:rsid w:val="00706255"/>
    <w:rsid w:val="00706A98"/>
    <w:rsid w:val="00707E6A"/>
    <w:rsid w:val="0071122F"/>
    <w:rsid w:val="007118E0"/>
    <w:rsid w:val="00711EDE"/>
    <w:rsid w:val="007128AC"/>
    <w:rsid w:val="0071291A"/>
    <w:rsid w:val="00712AD2"/>
    <w:rsid w:val="0071658C"/>
    <w:rsid w:val="007176FD"/>
    <w:rsid w:val="007207A5"/>
    <w:rsid w:val="00720ABA"/>
    <w:rsid w:val="00720E05"/>
    <w:rsid w:val="0072104A"/>
    <w:rsid w:val="00721B06"/>
    <w:rsid w:val="007223FA"/>
    <w:rsid w:val="00723DA6"/>
    <w:rsid w:val="00724011"/>
    <w:rsid w:val="0072413E"/>
    <w:rsid w:val="007306C5"/>
    <w:rsid w:val="00731E69"/>
    <w:rsid w:val="00731F81"/>
    <w:rsid w:val="00732229"/>
    <w:rsid w:val="007332CC"/>
    <w:rsid w:val="00733352"/>
    <w:rsid w:val="00733CC0"/>
    <w:rsid w:val="007341C6"/>
    <w:rsid w:val="007460D7"/>
    <w:rsid w:val="0074646F"/>
    <w:rsid w:val="00747AF1"/>
    <w:rsid w:val="00750A80"/>
    <w:rsid w:val="00751218"/>
    <w:rsid w:val="00752905"/>
    <w:rsid w:val="00754564"/>
    <w:rsid w:val="00754FE0"/>
    <w:rsid w:val="00761D2C"/>
    <w:rsid w:val="0076376A"/>
    <w:rsid w:val="007648B1"/>
    <w:rsid w:val="0076494F"/>
    <w:rsid w:val="00764B7D"/>
    <w:rsid w:val="0076599B"/>
    <w:rsid w:val="0076700D"/>
    <w:rsid w:val="00770D5D"/>
    <w:rsid w:val="00773B5F"/>
    <w:rsid w:val="00774E13"/>
    <w:rsid w:val="0077700B"/>
    <w:rsid w:val="0077780E"/>
    <w:rsid w:val="007804B3"/>
    <w:rsid w:val="00782785"/>
    <w:rsid w:val="00787300"/>
    <w:rsid w:val="00787EB9"/>
    <w:rsid w:val="00791454"/>
    <w:rsid w:val="00791DC5"/>
    <w:rsid w:val="0079214A"/>
    <w:rsid w:val="00792D11"/>
    <w:rsid w:val="00792D2A"/>
    <w:rsid w:val="00794098"/>
    <w:rsid w:val="0079542D"/>
    <w:rsid w:val="00796923"/>
    <w:rsid w:val="007A0741"/>
    <w:rsid w:val="007A0C6B"/>
    <w:rsid w:val="007A25E4"/>
    <w:rsid w:val="007A25F8"/>
    <w:rsid w:val="007A4E2C"/>
    <w:rsid w:val="007A7CDE"/>
    <w:rsid w:val="007B3501"/>
    <w:rsid w:val="007C1062"/>
    <w:rsid w:val="007C30AB"/>
    <w:rsid w:val="007C344D"/>
    <w:rsid w:val="007C347E"/>
    <w:rsid w:val="007C7291"/>
    <w:rsid w:val="007D3DCD"/>
    <w:rsid w:val="007D51DC"/>
    <w:rsid w:val="007D62D7"/>
    <w:rsid w:val="007D720D"/>
    <w:rsid w:val="007E274F"/>
    <w:rsid w:val="007E3FF6"/>
    <w:rsid w:val="007F6237"/>
    <w:rsid w:val="007F6A3F"/>
    <w:rsid w:val="007F7210"/>
    <w:rsid w:val="007F7475"/>
    <w:rsid w:val="008002DB"/>
    <w:rsid w:val="00800A17"/>
    <w:rsid w:val="00801299"/>
    <w:rsid w:val="008017C4"/>
    <w:rsid w:val="00803704"/>
    <w:rsid w:val="00805CF0"/>
    <w:rsid w:val="0080675E"/>
    <w:rsid w:val="00806CC3"/>
    <w:rsid w:val="00807326"/>
    <w:rsid w:val="008078A3"/>
    <w:rsid w:val="00811148"/>
    <w:rsid w:val="008111B7"/>
    <w:rsid w:val="00811C59"/>
    <w:rsid w:val="00812CC4"/>
    <w:rsid w:val="0081318C"/>
    <w:rsid w:val="00813E87"/>
    <w:rsid w:val="0081568B"/>
    <w:rsid w:val="0081765D"/>
    <w:rsid w:val="00820563"/>
    <w:rsid w:val="008210E3"/>
    <w:rsid w:val="00822BE5"/>
    <w:rsid w:val="00823B6B"/>
    <w:rsid w:val="00826AD7"/>
    <w:rsid w:val="008307BD"/>
    <w:rsid w:val="0083087E"/>
    <w:rsid w:val="00833D3E"/>
    <w:rsid w:val="00834251"/>
    <w:rsid w:val="0083447A"/>
    <w:rsid w:val="00834ABC"/>
    <w:rsid w:val="008368F3"/>
    <w:rsid w:val="00843299"/>
    <w:rsid w:val="008457B5"/>
    <w:rsid w:val="0084604E"/>
    <w:rsid w:val="008520A2"/>
    <w:rsid w:val="00852222"/>
    <w:rsid w:val="008555B4"/>
    <w:rsid w:val="008565A3"/>
    <w:rsid w:val="00856696"/>
    <w:rsid w:val="0086057E"/>
    <w:rsid w:val="00862F1F"/>
    <w:rsid w:val="00864AC9"/>
    <w:rsid w:val="00864F23"/>
    <w:rsid w:val="00865B2D"/>
    <w:rsid w:val="00866288"/>
    <w:rsid w:val="00871B7C"/>
    <w:rsid w:val="008738F9"/>
    <w:rsid w:val="0087542E"/>
    <w:rsid w:val="00877370"/>
    <w:rsid w:val="00881A9B"/>
    <w:rsid w:val="0088249E"/>
    <w:rsid w:val="008830D8"/>
    <w:rsid w:val="00884B0F"/>
    <w:rsid w:val="00892234"/>
    <w:rsid w:val="00895792"/>
    <w:rsid w:val="00897A8E"/>
    <w:rsid w:val="008A0D46"/>
    <w:rsid w:val="008A276A"/>
    <w:rsid w:val="008A295E"/>
    <w:rsid w:val="008A3547"/>
    <w:rsid w:val="008A3F0B"/>
    <w:rsid w:val="008A6444"/>
    <w:rsid w:val="008B0036"/>
    <w:rsid w:val="008B47C5"/>
    <w:rsid w:val="008B5B6E"/>
    <w:rsid w:val="008C08DB"/>
    <w:rsid w:val="008C684F"/>
    <w:rsid w:val="008D000E"/>
    <w:rsid w:val="008D440C"/>
    <w:rsid w:val="008D5428"/>
    <w:rsid w:val="008D5772"/>
    <w:rsid w:val="008D5B89"/>
    <w:rsid w:val="008D6892"/>
    <w:rsid w:val="008D69AD"/>
    <w:rsid w:val="008D75D2"/>
    <w:rsid w:val="008D7811"/>
    <w:rsid w:val="008E265F"/>
    <w:rsid w:val="008E3712"/>
    <w:rsid w:val="008E5104"/>
    <w:rsid w:val="008E58C6"/>
    <w:rsid w:val="008E5CB7"/>
    <w:rsid w:val="008E6B6B"/>
    <w:rsid w:val="008E6F19"/>
    <w:rsid w:val="008F0721"/>
    <w:rsid w:val="008F20A9"/>
    <w:rsid w:val="008F28A3"/>
    <w:rsid w:val="008F3BE1"/>
    <w:rsid w:val="008F4A1D"/>
    <w:rsid w:val="008F4AF3"/>
    <w:rsid w:val="008F515D"/>
    <w:rsid w:val="009004C0"/>
    <w:rsid w:val="00901DC7"/>
    <w:rsid w:val="00902A73"/>
    <w:rsid w:val="00902AD5"/>
    <w:rsid w:val="00902D0F"/>
    <w:rsid w:val="00903650"/>
    <w:rsid w:val="00904490"/>
    <w:rsid w:val="00905333"/>
    <w:rsid w:val="00905A5A"/>
    <w:rsid w:val="009076D6"/>
    <w:rsid w:val="00907B54"/>
    <w:rsid w:val="009100E9"/>
    <w:rsid w:val="00912545"/>
    <w:rsid w:val="00913D41"/>
    <w:rsid w:val="0091459F"/>
    <w:rsid w:val="009159BD"/>
    <w:rsid w:val="00916D18"/>
    <w:rsid w:val="009171DD"/>
    <w:rsid w:val="00920B2B"/>
    <w:rsid w:val="00920C9C"/>
    <w:rsid w:val="00921590"/>
    <w:rsid w:val="00921FF5"/>
    <w:rsid w:val="00922CF0"/>
    <w:rsid w:val="009244B8"/>
    <w:rsid w:val="00925C2C"/>
    <w:rsid w:val="00925EE0"/>
    <w:rsid w:val="009308BC"/>
    <w:rsid w:val="009320C0"/>
    <w:rsid w:val="009353C9"/>
    <w:rsid w:val="00943C39"/>
    <w:rsid w:val="00943D18"/>
    <w:rsid w:val="00946C9C"/>
    <w:rsid w:val="00951827"/>
    <w:rsid w:val="009532AD"/>
    <w:rsid w:val="009550AB"/>
    <w:rsid w:val="0096016C"/>
    <w:rsid w:val="00964652"/>
    <w:rsid w:val="00964EAC"/>
    <w:rsid w:val="0096675E"/>
    <w:rsid w:val="0097030A"/>
    <w:rsid w:val="0097426F"/>
    <w:rsid w:val="009751CF"/>
    <w:rsid w:val="00977407"/>
    <w:rsid w:val="00983696"/>
    <w:rsid w:val="009836A0"/>
    <w:rsid w:val="009838AF"/>
    <w:rsid w:val="009847F2"/>
    <w:rsid w:val="00986A99"/>
    <w:rsid w:val="00987877"/>
    <w:rsid w:val="00987DE0"/>
    <w:rsid w:val="00991B05"/>
    <w:rsid w:val="00992635"/>
    <w:rsid w:val="00992DE9"/>
    <w:rsid w:val="00995022"/>
    <w:rsid w:val="00995A8C"/>
    <w:rsid w:val="0099646F"/>
    <w:rsid w:val="00997350"/>
    <w:rsid w:val="009A11D6"/>
    <w:rsid w:val="009A22C7"/>
    <w:rsid w:val="009A2A23"/>
    <w:rsid w:val="009A371C"/>
    <w:rsid w:val="009A5648"/>
    <w:rsid w:val="009A649F"/>
    <w:rsid w:val="009B20F5"/>
    <w:rsid w:val="009B34E9"/>
    <w:rsid w:val="009B3DC7"/>
    <w:rsid w:val="009B4BC9"/>
    <w:rsid w:val="009B5AC7"/>
    <w:rsid w:val="009B5D70"/>
    <w:rsid w:val="009B62A0"/>
    <w:rsid w:val="009B6BF0"/>
    <w:rsid w:val="009C16DE"/>
    <w:rsid w:val="009C19F6"/>
    <w:rsid w:val="009C3A40"/>
    <w:rsid w:val="009C54ED"/>
    <w:rsid w:val="009C7351"/>
    <w:rsid w:val="009D09C7"/>
    <w:rsid w:val="009D1A79"/>
    <w:rsid w:val="009D60B3"/>
    <w:rsid w:val="009D656E"/>
    <w:rsid w:val="009D7761"/>
    <w:rsid w:val="009D7F1B"/>
    <w:rsid w:val="009E00FF"/>
    <w:rsid w:val="009E122D"/>
    <w:rsid w:val="009E2745"/>
    <w:rsid w:val="009E3BF4"/>
    <w:rsid w:val="009E3CAD"/>
    <w:rsid w:val="009E49EA"/>
    <w:rsid w:val="009E6D7D"/>
    <w:rsid w:val="009F1911"/>
    <w:rsid w:val="009F2EA5"/>
    <w:rsid w:val="009F35FF"/>
    <w:rsid w:val="009F5EF9"/>
    <w:rsid w:val="009F70C2"/>
    <w:rsid w:val="00A004EC"/>
    <w:rsid w:val="00A03398"/>
    <w:rsid w:val="00A04298"/>
    <w:rsid w:val="00A0597E"/>
    <w:rsid w:val="00A06656"/>
    <w:rsid w:val="00A12EE6"/>
    <w:rsid w:val="00A136C8"/>
    <w:rsid w:val="00A13ACF"/>
    <w:rsid w:val="00A15B5F"/>
    <w:rsid w:val="00A1677C"/>
    <w:rsid w:val="00A16AF9"/>
    <w:rsid w:val="00A17C2B"/>
    <w:rsid w:val="00A22152"/>
    <w:rsid w:val="00A22AAD"/>
    <w:rsid w:val="00A23500"/>
    <w:rsid w:val="00A24845"/>
    <w:rsid w:val="00A2763A"/>
    <w:rsid w:val="00A27AEA"/>
    <w:rsid w:val="00A32972"/>
    <w:rsid w:val="00A32EBC"/>
    <w:rsid w:val="00A369DA"/>
    <w:rsid w:val="00A42091"/>
    <w:rsid w:val="00A4289D"/>
    <w:rsid w:val="00A4302A"/>
    <w:rsid w:val="00A43238"/>
    <w:rsid w:val="00A46441"/>
    <w:rsid w:val="00A46BF7"/>
    <w:rsid w:val="00A530A3"/>
    <w:rsid w:val="00A531C8"/>
    <w:rsid w:val="00A5363E"/>
    <w:rsid w:val="00A536DE"/>
    <w:rsid w:val="00A5463B"/>
    <w:rsid w:val="00A55DDE"/>
    <w:rsid w:val="00A62568"/>
    <w:rsid w:val="00A6280E"/>
    <w:rsid w:val="00A62CDD"/>
    <w:rsid w:val="00A65583"/>
    <w:rsid w:val="00A65CCD"/>
    <w:rsid w:val="00A66D83"/>
    <w:rsid w:val="00A66F2A"/>
    <w:rsid w:val="00A67040"/>
    <w:rsid w:val="00A675B2"/>
    <w:rsid w:val="00A67E84"/>
    <w:rsid w:val="00A73D8A"/>
    <w:rsid w:val="00A7491D"/>
    <w:rsid w:val="00A76171"/>
    <w:rsid w:val="00A8065C"/>
    <w:rsid w:val="00A81758"/>
    <w:rsid w:val="00A83F17"/>
    <w:rsid w:val="00A86FFD"/>
    <w:rsid w:val="00A90343"/>
    <w:rsid w:val="00A9565D"/>
    <w:rsid w:val="00A96902"/>
    <w:rsid w:val="00A969C7"/>
    <w:rsid w:val="00A96AC3"/>
    <w:rsid w:val="00A96BAF"/>
    <w:rsid w:val="00A96F6E"/>
    <w:rsid w:val="00A97244"/>
    <w:rsid w:val="00AA10F3"/>
    <w:rsid w:val="00AA1477"/>
    <w:rsid w:val="00AA1879"/>
    <w:rsid w:val="00AA2FA8"/>
    <w:rsid w:val="00AA3075"/>
    <w:rsid w:val="00AA3C9B"/>
    <w:rsid w:val="00AA3CCA"/>
    <w:rsid w:val="00AA41D2"/>
    <w:rsid w:val="00AA517E"/>
    <w:rsid w:val="00AA575E"/>
    <w:rsid w:val="00AA6A9A"/>
    <w:rsid w:val="00AB1D6D"/>
    <w:rsid w:val="00AB2622"/>
    <w:rsid w:val="00AB2628"/>
    <w:rsid w:val="00AB287B"/>
    <w:rsid w:val="00AB31FC"/>
    <w:rsid w:val="00AB3BBC"/>
    <w:rsid w:val="00AB3BFC"/>
    <w:rsid w:val="00AB593C"/>
    <w:rsid w:val="00AB5967"/>
    <w:rsid w:val="00AB5AD3"/>
    <w:rsid w:val="00AB5B94"/>
    <w:rsid w:val="00AB6CD6"/>
    <w:rsid w:val="00AB73FF"/>
    <w:rsid w:val="00AB76F4"/>
    <w:rsid w:val="00AC1F7A"/>
    <w:rsid w:val="00AC2BDB"/>
    <w:rsid w:val="00AC32D6"/>
    <w:rsid w:val="00AD1139"/>
    <w:rsid w:val="00AD169E"/>
    <w:rsid w:val="00AD3289"/>
    <w:rsid w:val="00AD3301"/>
    <w:rsid w:val="00AD3DB5"/>
    <w:rsid w:val="00AD656D"/>
    <w:rsid w:val="00AD65CE"/>
    <w:rsid w:val="00AD77CE"/>
    <w:rsid w:val="00AD77F8"/>
    <w:rsid w:val="00AE0070"/>
    <w:rsid w:val="00AE0718"/>
    <w:rsid w:val="00AE144D"/>
    <w:rsid w:val="00AE1FB9"/>
    <w:rsid w:val="00AE21BF"/>
    <w:rsid w:val="00AE2540"/>
    <w:rsid w:val="00AE5A14"/>
    <w:rsid w:val="00AE6431"/>
    <w:rsid w:val="00AF2B8D"/>
    <w:rsid w:val="00AF349D"/>
    <w:rsid w:val="00AF366F"/>
    <w:rsid w:val="00AF37DE"/>
    <w:rsid w:val="00AF3D58"/>
    <w:rsid w:val="00AF513F"/>
    <w:rsid w:val="00AF5C07"/>
    <w:rsid w:val="00AF6CB6"/>
    <w:rsid w:val="00B00C93"/>
    <w:rsid w:val="00B03B47"/>
    <w:rsid w:val="00B0425D"/>
    <w:rsid w:val="00B075D5"/>
    <w:rsid w:val="00B07F54"/>
    <w:rsid w:val="00B1134C"/>
    <w:rsid w:val="00B119D9"/>
    <w:rsid w:val="00B1225A"/>
    <w:rsid w:val="00B12928"/>
    <w:rsid w:val="00B13893"/>
    <w:rsid w:val="00B1606B"/>
    <w:rsid w:val="00B1650C"/>
    <w:rsid w:val="00B16633"/>
    <w:rsid w:val="00B17E4B"/>
    <w:rsid w:val="00B22659"/>
    <w:rsid w:val="00B23B17"/>
    <w:rsid w:val="00B23D47"/>
    <w:rsid w:val="00B24992"/>
    <w:rsid w:val="00B2553F"/>
    <w:rsid w:val="00B25C33"/>
    <w:rsid w:val="00B27DCC"/>
    <w:rsid w:val="00B300C2"/>
    <w:rsid w:val="00B31D56"/>
    <w:rsid w:val="00B330F5"/>
    <w:rsid w:val="00B3550B"/>
    <w:rsid w:val="00B35EC4"/>
    <w:rsid w:val="00B36579"/>
    <w:rsid w:val="00B40351"/>
    <w:rsid w:val="00B407AA"/>
    <w:rsid w:val="00B41871"/>
    <w:rsid w:val="00B429FA"/>
    <w:rsid w:val="00B503B3"/>
    <w:rsid w:val="00B51045"/>
    <w:rsid w:val="00B513F1"/>
    <w:rsid w:val="00B51861"/>
    <w:rsid w:val="00B53373"/>
    <w:rsid w:val="00B5420C"/>
    <w:rsid w:val="00B54328"/>
    <w:rsid w:val="00B54CEA"/>
    <w:rsid w:val="00B55BEC"/>
    <w:rsid w:val="00B62047"/>
    <w:rsid w:val="00B63487"/>
    <w:rsid w:val="00B663C2"/>
    <w:rsid w:val="00B666DF"/>
    <w:rsid w:val="00B704CB"/>
    <w:rsid w:val="00B716C2"/>
    <w:rsid w:val="00B71B52"/>
    <w:rsid w:val="00B7388D"/>
    <w:rsid w:val="00B73D32"/>
    <w:rsid w:val="00B73FD0"/>
    <w:rsid w:val="00B802F9"/>
    <w:rsid w:val="00B823DF"/>
    <w:rsid w:val="00B8394B"/>
    <w:rsid w:val="00B83DF4"/>
    <w:rsid w:val="00B848CA"/>
    <w:rsid w:val="00B85A9B"/>
    <w:rsid w:val="00B85E7F"/>
    <w:rsid w:val="00B90EC3"/>
    <w:rsid w:val="00B90F34"/>
    <w:rsid w:val="00B95473"/>
    <w:rsid w:val="00B960A7"/>
    <w:rsid w:val="00B9612D"/>
    <w:rsid w:val="00B978E0"/>
    <w:rsid w:val="00BA0628"/>
    <w:rsid w:val="00BA0CE5"/>
    <w:rsid w:val="00BA1B68"/>
    <w:rsid w:val="00BA2DC7"/>
    <w:rsid w:val="00BA419E"/>
    <w:rsid w:val="00BA4371"/>
    <w:rsid w:val="00BB1A5E"/>
    <w:rsid w:val="00BB23EF"/>
    <w:rsid w:val="00BB5804"/>
    <w:rsid w:val="00BB58D4"/>
    <w:rsid w:val="00BB6C9D"/>
    <w:rsid w:val="00BB7E9B"/>
    <w:rsid w:val="00BC0C5A"/>
    <w:rsid w:val="00BC1231"/>
    <w:rsid w:val="00BC17C6"/>
    <w:rsid w:val="00BC5059"/>
    <w:rsid w:val="00BD032C"/>
    <w:rsid w:val="00BD4F7B"/>
    <w:rsid w:val="00BD5AB2"/>
    <w:rsid w:val="00BD5C99"/>
    <w:rsid w:val="00BE024E"/>
    <w:rsid w:val="00BE1C76"/>
    <w:rsid w:val="00BE464D"/>
    <w:rsid w:val="00BE6111"/>
    <w:rsid w:val="00BF06CF"/>
    <w:rsid w:val="00BF4721"/>
    <w:rsid w:val="00BF6041"/>
    <w:rsid w:val="00C001D4"/>
    <w:rsid w:val="00C03CCE"/>
    <w:rsid w:val="00C05845"/>
    <w:rsid w:val="00C077E6"/>
    <w:rsid w:val="00C10839"/>
    <w:rsid w:val="00C10EDF"/>
    <w:rsid w:val="00C11CAF"/>
    <w:rsid w:val="00C12B4A"/>
    <w:rsid w:val="00C221DA"/>
    <w:rsid w:val="00C235E2"/>
    <w:rsid w:val="00C2445F"/>
    <w:rsid w:val="00C264E0"/>
    <w:rsid w:val="00C266EF"/>
    <w:rsid w:val="00C27158"/>
    <w:rsid w:val="00C31811"/>
    <w:rsid w:val="00C35C01"/>
    <w:rsid w:val="00C35FA8"/>
    <w:rsid w:val="00C3756E"/>
    <w:rsid w:val="00C378AD"/>
    <w:rsid w:val="00C43EE8"/>
    <w:rsid w:val="00C4480E"/>
    <w:rsid w:val="00C4656A"/>
    <w:rsid w:val="00C472DA"/>
    <w:rsid w:val="00C50192"/>
    <w:rsid w:val="00C50388"/>
    <w:rsid w:val="00C5065B"/>
    <w:rsid w:val="00C51645"/>
    <w:rsid w:val="00C51B90"/>
    <w:rsid w:val="00C5232A"/>
    <w:rsid w:val="00C543D2"/>
    <w:rsid w:val="00C555AA"/>
    <w:rsid w:val="00C56515"/>
    <w:rsid w:val="00C56FC7"/>
    <w:rsid w:val="00C578E0"/>
    <w:rsid w:val="00C63370"/>
    <w:rsid w:val="00C6388F"/>
    <w:rsid w:val="00C639D1"/>
    <w:rsid w:val="00C6580F"/>
    <w:rsid w:val="00C668AC"/>
    <w:rsid w:val="00C66A69"/>
    <w:rsid w:val="00C702AD"/>
    <w:rsid w:val="00C703B1"/>
    <w:rsid w:val="00C71233"/>
    <w:rsid w:val="00C71BF0"/>
    <w:rsid w:val="00C73BFF"/>
    <w:rsid w:val="00C742EC"/>
    <w:rsid w:val="00C76D76"/>
    <w:rsid w:val="00C7768A"/>
    <w:rsid w:val="00C8011B"/>
    <w:rsid w:val="00C8294D"/>
    <w:rsid w:val="00C82B28"/>
    <w:rsid w:val="00C8343A"/>
    <w:rsid w:val="00C83691"/>
    <w:rsid w:val="00C8382A"/>
    <w:rsid w:val="00C84E65"/>
    <w:rsid w:val="00C85038"/>
    <w:rsid w:val="00C858CF"/>
    <w:rsid w:val="00C87E1E"/>
    <w:rsid w:val="00C913C5"/>
    <w:rsid w:val="00C92329"/>
    <w:rsid w:val="00C93AB0"/>
    <w:rsid w:val="00C944C9"/>
    <w:rsid w:val="00C96A64"/>
    <w:rsid w:val="00C9765C"/>
    <w:rsid w:val="00CA098E"/>
    <w:rsid w:val="00CA3BA2"/>
    <w:rsid w:val="00CA4FBB"/>
    <w:rsid w:val="00CA5E4F"/>
    <w:rsid w:val="00CB0E54"/>
    <w:rsid w:val="00CB1E24"/>
    <w:rsid w:val="00CB5A7F"/>
    <w:rsid w:val="00CB6A34"/>
    <w:rsid w:val="00CC00E5"/>
    <w:rsid w:val="00CC08B3"/>
    <w:rsid w:val="00CC0E34"/>
    <w:rsid w:val="00CC1C06"/>
    <w:rsid w:val="00CC4280"/>
    <w:rsid w:val="00CC58D2"/>
    <w:rsid w:val="00CC637F"/>
    <w:rsid w:val="00CC6FB2"/>
    <w:rsid w:val="00CC784E"/>
    <w:rsid w:val="00CD1D31"/>
    <w:rsid w:val="00CD45A1"/>
    <w:rsid w:val="00CD6F04"/>
    <w:rsid w:val="00CE1DE8"/>
    <w:rsid w:val="00CE2713"/>
    <w:rsid w:val="00CE4062"/>
    <w:rsid w:val="00CE48B4"/>
    <w:rsid w:val="00CE5079"/>
    <w:rsid w:val="00CF2262"/>
    <w:rsid w:val="00CF26BA"/>
    <w:rsid w:val="00CF369F"/>
    <w:rsid w:val="00CF3D2C"/>
    <w:rsid w:val="00CF4121"/>
    <w:rsid w:val="00CF4CFF"/>
    <w:rsid w:val="00CF7518"/>
    <w:rsid w:val="00CF7591"/>
    <w:rsid w:val="00D0117D"/>
    <w:rsid w:val="00D018DF"/>
    <w:rsid w:val="00D022EB"/>
    <w:rsid w:val="00D04DF8"/>
    <w:rsid w:val="00D073B5"/>
    <w:rsid w:val="00D10881"/>
    <w:rsid w:val="00D10947"/>
    <w:rsid w:val="00D14B1F"/>
    <w:rsid w:val="00D158E8"/>
    <w:rsid w:val="00D17011"/>
    <w:rsid w:val="00D17817"/>
    <w:rsid w:val="00D2024F"/>
    <w:rsid w:val="00D218FF"/>
    <w:rsid w:val="00D219C6"/>
    <w:rsid w:val="00D23461"/>
    <w:rsid w:val="00D2361B"/>
    <w:rsid w:val="00D248BF"/>
    <w:rsid w:val="00D2590D"/>
    <w:rsid w:val="00D2643A"/>
    <w:rsid w:val="00D27A6F"/>
    <w:rsid w:val="00D27FCE"/>
    <w:rsid w:val="00D33405"/>
    <w:rsid w:val="00D338E4"/>
    <w:rsid w:val="00D33938"/>
    <w:rsid w:val="00D34FBD"/>
    <w:rsid w:val="00D3600D"/>
    <w:rsid w:val="00D377A8"/>
    <w:rsid w:val="00D43D5A"/>
    <w:rsid w:val="00D458D5"/>
    <w:rsid w:val="00D46371"/>
    <w:rsid w:val="00D55722"/>
    <w:rsid w:val="00D56347"/>
    <w:rsid w:val="00D571DD"/>
    <w:rsid w:val="00D57B57"/>
    <w:rsid w:val="00D600A0"/>
    <w:rsid w:val="00D60243"/>
    <w:rsid w:val="00D607A0"/>
    <w:rsid w:val="00D622B7"/>
    <w:rsid w:val="00D64551"/>
    <w:rsid w:val="00D65873"/>
    <w:rsid w:val="00D6717B"/>
    <w:rsid w:val="00D679F2"/>
    <w:rsid w:val="00D765D9"/>
    <w:rsid w:val="00D90910"/>
    <w:rsid w:val="00D93D67"/>
    <w:rsid w:val="00D9507A"/>
    <w:rsid w:val="00DA3A96"/>
    <w:rsid w:val="00DA481F"/>
    <w:rsid w:val="00DA71DD"/>
    <w:rsid w:val="00DA7B57"/>
    <w:rsid w:val="00DB0231"/>
    <w:rsid w:val="00DB0B57"/>
    <w:rsid w:val="00DB0BF1"/>
    <w:rsid w:val="00DB0F54"/>
    <w:rsid w:val="00DB23B6"/>
    <w:rsid w:val="00DB2988"/>
    <w:rsid w:val="00DB3EB5"/>
    <w:rsid w:val="00DB47F4"/>
    <w:rsid w:val="00DB4DB7"/>
    <w:rsid w:val="00DB4DD1"/>
    <w:rsid w:val="00DC365A"/>
    <w:rsid w:val="00DC40DB"/>
    <w:rsid w:val="00DC5919"/>
    <w:rsid w:val="00DC6717"/>
    <w:rsid w:val="00DC79DD"/>
    <w:rsid w:val="00DD163F"/>
    <w:rsid w:val="00DD3AED"/>
    <w:rsid w:val="00DD4D9C"/>
    <w:rsid w:val="00DD534A"/>
    <w:rsid w:val="00DD61DA"/>
    <w:rsid w:val="00DE0537"/>
    <w:rsid w:val="00DE4D19"/>
    <w:rsid w:val="00DE5008"/>
    <w:rsid w:val="00DF2ADB"/>
    <w:rsid w:val="00DF5382"/>
    <w:rsid w:val="00E00764"/>
    <w:rsid w:val="00E00EF9"/>
    <w:rsid w:val="00E010B4"/>
    <w:rsid w:val="00E012D5"/>
    <w:rsid w:val="00E02056"/>
    <w:rsid w:val="00E0231F"/>
    <w:rsid w:val="00E028A8"/>
    <w:rsid w:val="00E039B7"/>
    <w:rsid w:val="00E041A3"/>
    <w:rsid w:val="00E04513"/>
    <w:rsid w:val="00E04CDF"/>
    <w:rsid w:val="00E05D11"/>
    <w:rsid w:val="00E05FA8"/>
    <w:rsid w:val="00E06564"/>
    <w:rsid w:val="00E06657"/>
    <w:rsid w:val="00E069BF"/>
    <w:rsid w:val="00E0739E"/>
    <w:rsid w:val="00E12F65"/>
    <w:rsid w:val="00E148F3"/>
    <w:rsid w:val="00E14E86"/>
    <w:rsid w:val="00E17BC6"/>
    <w:rsid w:val="00E20DF8"/>
    <w:rsid w:val="00E222C4"/>
    <w:rsid w:val="00E22BDA"/>
    <w:rsid w:val="00E22C6A"/>
    <w:rsid w:val="00E24039"/>
    <w:rsid w:val="00E2431F"/>
    <w:rsid w:val="00E262AE"/>
    <w:rsid w:val="00E30C30"/>
    <w:rsid w:val="00E30F69"/>
    <w:rsid w:val="00E31241"/>
    <w:rsid w:val="00E33D7E"/>
    <w:rsid w:val="00E34719"/>
    <w:rsid w:val="00E34817"/>
    <w:rsid w:val="00E3733D"/>
    <w:rsid w:val="00E41C66"/>
    <w:rsid w:val="00E4253A"/>
    <w:rsid w:val="00E431C5"/>
    <w:rsid w:val="00E4647B"/>
    <w:rsid w:val="00E500D4"/>
    <w:rsid w:val="00E510E9"/>
    <w:rsid w:val="00E51815"/>
    <w:rsid w:val="00E529B7"/>
    <w:rsid w:val="00E53032"/>
    <w:rsid w:val="00E53B0D"/>
    <w:rsid w:val="00E54C77"/>
    <w:rsid w:val="00E555E8"/>
    <w:rsid w:val="00E56A23"/>
    <w:rsid w:val="00E611EC"/>
    <w:rsid w:val="00E615BA"/>
    <w:rsid w:val="00E6458A"/>
    <w:rsid w:val="00E66673"/>
    <w:rsid w:val="00E67D51"/>
    <w:rsid w:val="00E701B5"/>
    <w:rsid w:val="00E71702"/>
    <w:rsid w:val="00E72107"/>
    <w:rsid w:val="00E72ACC"/>
    <w:rsid w:val="00E75F06"/>
    <w:rsid w:val="00E77E9E"/>
    <w:rsid w:val="00E77F4A"/>
    <w:rsid w:val="00E819BC"/>
    <w:rsid w:val="00E8346D"/>
    <w:rsid w:val="00E839DD"/>
    <w:rsid w:val="00E84E15"/>
    <w:rsid w:val="00E85891"/>
    <w:rsid w:val="00E901DE"/>
    <w:rsid w:val="00E92493"/>
    <w:rsid w:val="00E94129"/>
    <w:rsid w:val="00E946B2"/>
    <w:rsid w:val="00E97672"/>
    <w:rsid w:val="00EA1B84"/>
    <w:rsid w:val="00EA37B6"/>
    <w:rsid w:val="00EA7D21"/>
    <w:rsid w:val="00EA7E7A"/>
    <w:rsid w:val="00EB08A7"/>
    <w:rsid w:val="00EB1B95"/>
    <w:rsid w:val="00EB4FA4"/>
    <w:rsid w:val="00EB5D50"/>
    <w:rsid w:val="00EB69FD"/>
    <w:rsid w:val="00EB6BAE"/>
    <w:rsid w:val="00EB712D"/>
    <w:rsid w:val="00EC0AD0"/>
    <w:rsid w:val="00EC10B7"/>
    <w:rsid w:val="00EC1AA4"/>
    <w:rsid w:val="00EC2322"/>
    <w:rsid w:val="00ED0E06"/>
    <w:rsid w:val="00ED1AC3"/>
    <w:rsid w:val="00ED5280"/>
    <w:rsid w:val="00ED574E"/>
    <w:rsid w:val="00ED5876"/>
    <w:rsid w:val="00ED6C14"/>
    <w:rsid w:val="00ED7492"/>
    <w:rsid w:val="00ED7618"/>
    <w:rsid w:val="00ED7EC8"/>
    <w:rsid w:val="00EE0C61"/>
    <w:rsid w:val="00EE171B"/>
    <w:rsid w:val="00EE7D81"/>
    <w:rsid w:val="00EF0ED7"/>
    <w:rsid w:val="00EF2784"/>
    <w:rsid w:val="00EF314B"/>
    <w:rsid w:val="00F0364F"/>
    <w:rsid w:val="00F03B07"/>
    <w:rsid w:val="00F0416C"/>
    <w:rsid w:val="00F049A8"/>
    <w:rsid w:val="00F06550"/>
    <w:rsid w:val="00F10D50"/>
    <w:rsid w:val="00F10E7D"/>
    <w:rsid w:val="00F119ED"/>
    <w:rsid w:val="00F1687D"/>
    <w:rsid w:val="00F17A27"/>
    <w:rsid w:val="00F204C3"/>
    <w:rsid w:val="00F2263A"/>
    <w:rsid w:val="00F234A7"/>
    <w:rsid w:val="00F24E27"/>
    <w:rsid w:val="00F24F59"/>
    <w:rsid w:val="00F250DF"/>
    <w:rsid w:val="00F253FE"/>
    <w:rsid w:val="00F25C17"/>
    <w:rsid w:val="00F25DC7"/>
    <w:rsid w:val="00F25E67"/>
    <w:rsid w:val="00F3170F"/>
    <w:rsid w:val="00F32E92"/>
    <w:rsid w:val="00F332A5"/>
    <w:rsid w:val="00F36972"/>
    <w:rsid w:val="00F37383"/>
    <w:rsid w:val="00F37FA9"/>
    <w:rsid w:val="00F4000A"/>
    <w:rsid w:val="00F428E5"/>
    <w:rsid w:val="00F42CED"/>
    <w:rsid w:val="00F45D94"/>
    <w:rsid w:val="00F52A50"/>
    <w:rsid w:val="00F53BB1"/>
    <w:rsid w:val="00F57EF2"/>
    <w:rsid w:val="00F6006D"/>
    <w:rsid w:val="00F6011F"/>
    <w:rsid w:val="00F60E61"/>
    <w:rsid w:val="00F60EC7"/>
    <w:rsid w:val="00F61169"/>
    <w:rsid w:val="00F6293C"/>
    <w:rsid w:val="00F63C4C"/>
    <w:rsid w:val="00F64A7F"/>
    <w:rsid w:val="00F64F71"/>
    <w:rsid w:val="00F652F8"/>
    <w:rsid w:val="00F65C5B"/>
    <w:rsid w:val="00F66044"/>
    <w:rsid w:val="00F66946"/>
    <w:rsid w:val="00F67DCC"/>
    <w:rsid w:val="00F7058D"/>
    <w:rsid w:val="00F7167D"/>
    <w:rsid w:val="00F724D3"/>
    <w:rsid w:val="00F732A4"/>
    <w:rsid w:val="00F73A37"/>
    <w:rsid w:val="00F7476E"/>
    <w:rsid w:val="00F7491E"/>
    <w:rsid w:val="00F75B74"/>
    <w:rsid w:val="00F77058"/>
    <w:rsid w:val="00F77CE2"/>
    <w:rsid w:val="00F77DF4"/>
    <w:rsid w:val="00F80B02"/>
    <w:rsid w:val="00F84A62"/>
    <w:rsid w:val="00F84F7E"/>
    <w:rsid w:val="00F855A5"/>
    <w:rsid w:val="00F8630F"/>
    <w:rsid w:val="00F87A08"/>
    <w:rsid w:val="00F9056B"/>
    <w:rsid w:val="00F916E4"/>
    <w:rsid w:val="00F9176F"/>
    <w:rsid w:val="00F920D9"/>
    <w:rsid w:val="00F93980"/>
    <w:rsid w:val="00F94188"/>
    <w:rsid w:val="00F97EE1"/>
    <w:rsid w:val="00FA089F"/>
    <w:rsid w:val="00FA19C7"/>
    <w:rsid w:val="00FA2F6A"/>
    <w:rsid w:val="00FA539A"/>
    <w:rsid w:val="00FA61A2"/>
    <w:rsid w:val="00FA6215"/>
    <w:rsid w:val="00FA65DF"/>
    <w:rsid w:val="00FA6942"/>
    <w:rsid w:val="00FA6A55"/>
    <w:rsid w:val="00FA7667"/>
    <w:rsid w:val="00FB03E7"/>
    <w:rsid w:val="00FB26B4"/>
    <w:rsid w:val="00FB5190"/>
    <w:rsid w:val="00FB6983"/>
    <w:rsid w:val="00FC2F88"/>
    <w:rsid w:val="00FC3364"/>
    <w:rsid w:val="00FC563D"/>
    <w:rsid w:val="00FC5EDD"/>
    <w:rsid w:val="00FC7853"/>
    <w:rsid w:val="00FC7D0F"/>
    <w:rsid w:val="00FD064F"/>
    <w:rsid w:val="00FD1E5D"/>
    <w:rsid w:val="00FD4A73"/>
    <w:rsid w:val="00FD5F40"/>
    <w:rsid w:val="00FE07F1"/>
    <w:rsid w:val="00FE0FBC"/>
    <w:rsid w:val="00FE1042"/>
    <w:rsid w:val="00FE2E80"/>
    <w:rsid w:val="00FE5880"/>
    <w:rsid w:val="00FE5E24"/>
    <w:rsid w:val="00FE6B40"/>
    <w:rsid w:val="00FF4390"/>
    <w:rsid w:val="00FF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1390A"/>
  <w15:chartTrackingRefBased/>
  <w15:docId w15:val="{FE6BC5E3-91CA-6B4C-AE6C-054324EB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64F"/>
    <w:rPr>
      <w:rFonts w:ascii="Times New Roman" w:eastAsia="Times New Roman" w:hAnsi="Times New Roman" w:cs="Times New Roman"/>
    </w:rPr>
  </w:style>
  <w:style w:type="paragraph" w:styleId="Heading1">
    <w:name w:val="heading 1"/>
    <w:basedOn w:val="Normal"/>
    <w:next w:val="Normal"/>
    <w:link w:val="Heading1Char"/>
    <w:uiPriority w:val="9"/>
    <w:qFormat/>
    <w:rsid w:val="00411A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1A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9F70C2"/>
    <w:pPr>
      <w:spacing w:before="240" w:after="60"/>
      <w:jc w:val="both"/>
      <w:outlineLvl w:val="7"/>
    </w:pPr>
    <w:rPr>
      <w:rFonts w:ascii="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06C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306C5"/>
  </w:style>
  <w:style w:type="character" w:styleId="PageNumber">
    <w:name w:val="page number"/>
    <w:basedOn w:val="DefaultParagraphFont"/>
    <w:uiPriority w:val="99"/>
    <w:semiHidden/>
    <w:unhideWhenUsed/>
    <w:rsid w:val="007306C5"/>
  </w:style>
  <w:style w:type="paragraph" w:styleId="ListParagraph">
    <w:name w:val="List Paragraph"/>
    <w:basedOn w:val="Normal"/>
    <w:uiPriority w:val="34"/>
    <w:qFormat/>
    <w:rsid w:val="00B330F5"/>
    <w:pPr>
      <w:ind w:left="720"/>
      <w:contextualSpacing/>
    </w:pPr>
    <w:rPr>
      <w:rFonts w:asciiTheme="minorHAnsi" w:eastAsiaTheme="minorHAnsi" w:hAnsiTheme="minorHAnsi" w:cstheme="minorBidi"/>
    </w:rPr>
  </w:style>
  <w:style w:type="paragraph" w:styleId="FootnoteText">
    <w:name w:val="footnote text"/>
    <w:basedOn w:val="Normal"/>
    <w:link w:val="FootnoteTextChar"/>
    <w:unhideWhenUsed/>
    <w:rsid w:val="00561CD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rsid w:val="00561CDD"/>
    <w:rPr>
      <w:sz w:val="20"/>
      <w:szCs w:val="20"/>
    </w:rPr>
  </w:style>
  <w:style w:type="character" w:styleId="FootnoteReference">
    <w:name w:val="footnote reference"/>
    <w:aliases w:val="Footnote Reference 1a,Ref,de nota al pie,Footnote number,a Footnote Reference,FZ,Appel note de bas de page,Texto de nota al pie,4_G,de nota al pie + (Asian) MS Mincho,11 pt,Footnotes refss,Footnote Ref,16 Point,Superscript 6 Point,1,f"/>
    <w:basedOn w:val="DefaultParagraphFont"/>
    <w:link w:val="AppelnotedebasdepageCharCharCharCharCharChar1CharCharChar"/>
    <w:unhideWhenUsed/>
    <w:qFormat/>
    <w:rsid w:val="00561CDD"/>
    <w:rPr>
      <w:vertAlign w:val="superscript"/>
    </w:rPr>
  </w:style>
  <w:style w:type="paragraph" w:customStyle="1" w:styleId="RIPLMainText">
    <w:name w:val="RIPL_MainText"/>
    <w:basedOn w:val="Normal"/>
    <w:qFormat/>
    <w:rsid w:val="0076599B"/>
    <w:pPr>
      <w:spacing w:line="240" w:lineRule="exact"/>
      <w:ind w:firstLine="432"/>
      <w:jc w:val="both"/>
    </w:pPr>
    <w:rPr>
      <w:rFonts w:ascii="Century Schoolbook" w:hAnsi="Century Schoolbook" w:cs="Courier New"/>
      <w:sz w:val="20"/>
      <w:szCs w:val="20"/>
    </w:rPr>
  </w:style>
  <w:style w:type="paragraph" w:customStyle="1" w:styleId="RIPLMainTextBlockQuote">
    <w:name w:val="RIPL_MainText_BlockQuote"/>
    <w:basedOn w:val="RIPLMainText"/>
    <w:qFormat/>
    <w:rsid w:val="0076599B"/>
    <w:pPr>
      <w:tabs>
        <w:tab w:val="left" w:pos="864"/>
      </w:tabs>
      <w:spacing w:before="240" w:after="240"/>
      <w:ind w:left="720" w:right="720" w:firstLine="0"/>
    </w:pPr>
  </w:style>
  <w:style w:type="paragraph" w:customStyle="1" w:styleId="AppelnotedebasdepageCharCharCharCharCharChar1CharCharChar">
    <w:name w:val="Appel note de bas de page Char Char Char Char Char Char1 Char Char Char"/>
    <w:aliases w:val="Appel note de bas de page Char Char1 Char Char Char Char Char Char Char Char Char"/>
    <w:basedOn w:val="Normal"/>
    <w:link w:val="FootnoteReference"/>
    <w:uiPriority w:val="99"/>
    <w:rsid w:val="0076599B"/>
    <w:pPr>
      <w:widowControl w:val="0"/>
      <w:autoSpaceDE w:val="0"/>
      <w:autoSpaceDN w:val="0"/>
      <w:adjustRightInd w:val="0"/>
      <w:jc w:val="both"/>
    </w:pPr>
    <w:rPr>
      <w:rFonts w:asciiTheme="minorHAnsi" w:eastAsiaTheme="minorHAnsi" w:hAnsiTheme="minorHAnsi" w:cstheme="minorBidi"/>
      <w:vertAlign w:val="superscript"/>
    </w:rPr>
  </w:style>
  <w:style w:type="paragraph" w:styleId="BalloonText">
    <w:name w:val="Balloon Text"/>
    <w:basedOn w:val="Normal"/>
    <w:link w:val="BalloonTextChar"/>
    <w:uiPriority w:val="99"/>
    <w:semiHidden/>
    <w:unhideWhenUsed/>
    <w:rsid w:val="00083703"/>
    <w:rPr>
      <w:rFonts w:eastAsiaTheme="minorHAnsi"/>
      <w:sz w:val="18"/>
      <w:szCs w:val="18"/>
    </w:rPr>
  </w:style>
  <w:style w:type="character" w:customStyle="1" w:styleId="BalloonTextChar">
    <w:name w:val="Balloon Text Char"/>
    <w:basedOn w:val="DefaultParagraphFont"/>
    <w:link w:val="BalloonText"/>
    <w:uiPriority w:val="99"/>
    <w:semiHidden/>
    <w:rsid w:val="00083703"/>
    <w:rPr>
      <w:rFonts w:ascii="Times New Roman" w:hAnsi="Times New Roman" w:cs="Times New Roman"/>
      <w:sz w:val="18"/>
      <w:szCs w:val="18"/>
    </w:rPr>
  </w:style>
  <w:style w:type="paragraph" w:styleId="Header">
    <w:name w:val="header"/>
    <w:basedOn w:val="Normal"/>
    <w:link w:val="HeaderChar"/>
    <w:uiPriority w:val="99"/>
    <w:unhideWhenUsed/>
    <w:rsid w:val="004240A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240A8"/>
  </w:style>
  <w:style w:type="character" w:customStyle="1" w:styleId="Heading8Char">
    <w:name w:val="Heading 8 Char"/>
    <w:basedOn w:val="DefaultParagraphFont"/>
    <w:link w:val="Heading8"/>
    <w:rsid w:val="009F70C2"/>
    <w:rPr>
      <w:rFonts w:ascii="Arial" w:eastAsia="Times New Roman" w:hAnsi="Arial" w:cs="Times New Roman"/>
      <w:i/>
      <w:sz w:val="20"/>
      <w:szCs w:val="20"/>
    </w:rPr>
  </w:style>
  <w:style w:type="character" w:styleId="Hyperlink">
    <w:name w:val="Hyperlink"/>
    <w:basedOn w:val="DefaultParagraphFont"/>
    <w:uiPriority w:val="99"/>
    <w:unhideWhenUsed/>
    <w:rsid w:val="004F786E"/>
    <w:rPr>
      <w:color w:val="0563C1" w:themeColor="hyperlink"/>
      <w:u w:val="single"/>
    </w:rPr>
  </w:style>
  <w:style w:type="character" w:styleId="UnresolvedMention">
    <w:name w:val="Unresolved Mention"/>
    <w:basedOn w:val="DefaultParagraphFont"/>
    <w:uiPriority w:val="99"/>
    <w:semiHidden/>
    <w:unhideWhenUsed/>
    <w:rsid w:val="004F786E"/>
    <w:rPr>
      <w:color w:val="605E5C"/>
      <w:shd w:val="clear" w:color="auto" w:fill="E1DFDD"/>
    </w:rPr>
  </w:style>
  <w:style w:type="character" w:styleId="Emphasis">
    <w:name w:val="Emphasis"/>
    <w:basedOn w:val="DefaultParagraphFont"/>
    <w:uiPriority w:val="20"/>
    <w:qFormat/>
    <w:rsid w:val="00FD064F"/>
    <w:rPr>
      <w:i/>
      <w:iCs/>
    </w:rPr>
  </w:style>
  <w:style w:type="paragraph" w:styleId="EndnoteText">
    <w:name w:val="endnote text"/>
    <w:basedOn w:val="Normal"/>
    <w:link w:val="EndnoteTextChar"/>
    <w:uiPriority w:val="99"/>
    <w:semiHidden/>
    <w:unhideWhenUsed/>
    <w:rsid w:val="0027082D"/>
    <w:rPr>
      <w:sz w:val="20"/>
      <w:szCs w:val="20"/>
    </w:rPr>
  </w:style>
  <w:style w:type="character" w:customStyle="1" w:styleId="EndnoteTextChar">
    <w:name w:val="Endnote Text Char"/>
    <w:basedOn w:val="DefaultParagraphFont"/>
    <w:link w:val="EndnoteText"/>
    <w:uiPriority w:val="99"/>
    <w:semiHidden/>
    <w:rsid w:val="0027082D"/>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7082D"/>
    <w:rPr>
      <w:vertAlign w:val="superscript"/>
    </w:rPr>
  </w:style>
  <w:style w:type="paragraph" w:customStyle="1" w:styleId="xmsonormal">
    <w:name w:val="x_msonormal"/>
    <w:basedOn w:val="Normal"/>
    <w:rsid w:val="007223FA"/>
    <w:pPr>
      <w:spacing w:before="100" w:beforeAutospacing="1" w:after="100" w:afterAutospacing="1"/>
    </w:pPr>
  </w:style>
  <w:style w:type="character" w:styleId="FollowedHyperlink">
    <w:name w:val="FollowedHyperlink"/>
    <w:basedOn w:val="DefaultParagraphFont"/>
    <w:uiPriority w:val="99"/>
    <w:semiHidden/>
    <w:unhideWhenUsed/>
    <w:rsid w:val="00F6293C"/>
    <w:rPr>
      <w:color w:val="954F72" w:themeColor="followedHyperlink"/>
      <w:u w:val="single"/>
    </w:rPr>
  </w:style>
  <w:style w:type="character" w:styleId="Strong">
    <w:name w:val="Strong"/>
    <w:uiPriority w:val="22"/>
    <w:qFormat/>
    <w:rsid w:val="00ED7492"/>
    <w:rPr>
      <w:b/>
      <w:bCs/>
    </w:rPr>
  </w:style>
  <w:style w:type="character" w:customStyle="1" w:styleId="Heading1Char">
    <w:name w:val="Heading 1 Char"/>
    <w:basedOn w:val="DefaultParagraphFont"/>
    <w:link w:val="Heading1"/>
    <w:uiPriority w:val="9"/>
    <w:rsid w:val="00411A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1A3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52901"/>
    <w:rPr>
      <w:sz w:val="16"/>
      <w:szCs w:val="16"/>
    </w:rPr>
  </w:style>
  <w:style w:type="paragraph" w:styleId="CommentText">
    <w:name w:val="annotation text"/>
    <w:basedOn w:val="Normal"/>
    <w:link w:val="CommentTextChar"/>
    <w:uiPriority w:val="99"/>
    <w:semiHidden/>
    <w:unhideWhenUsed/>
    <w:rsid w:val="00352901"/>
    <w:rPr>
      <w:sz w:val="20"/>
      <w:szCs w:val="20"/>
    </w:rPr>
  </w:style>
  <w:style w:type="character" w:customStyle="1" w:styleId="CommentTextChar">
    <w:name w:val="Comment Text Char"/>
    <w:basedOn w:val="DefaultParagraphFont"/>
    <w:link w:val="CommentText"/>
    <w:uiPriority w:val="99"/>
    <w:semiHidden/>
    <w:rsid w:val="003529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2901"/>
    <w:rPr>
      <w:b/>
      <w:bCs/>
    </w:rPr>
  </w:style>
  <w:style w:type="character" w:customStyle="1" w:styleId="CommentSubjectChar">
    <w:name w:val="Comment Subject Char"/>
    <w:basedOn w:val="CommentTextChar"/>
    <w:link w:val="CommentSubject"/>
    <w:uiPriority w:val="99"/>
    <w:semiHidden/>
    <w:rsid w:val="00352901"/>
    <w:rPr>
      <w:rFonts w:ascii="Times New Roman" w:eastAsia="Times New Roman" w:hAnsi="Times New Roman" w:cs="Times New Roman"/>
      <w:b/>
      <w:bCs/>
      <w:sz w:val="20"/>
      <w:szCs w:val="20"/>
    </w:rPr>
  </w:style>
  <w:style w:type="paragraph" w:styleId="Revision">
    <w:name w:val="Revision"/>
    <w:hidden/>
    <w:uiPriority w:val="99"/>
    <w:semiHidden/>
    <w:rsid w:val="003529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7111">
      <w:bodyDiv w:val="1"/>
      <w:marLeft w:val="0"/>
      <w:marRight w:val="0"/>
      <w:marTop w:val="0"/>
      <w:marBottom w:val="0"/>
      <w:divBdr>
        <w:top w:val="none" w:sz="0" w:space="0" w:color="auto"/>
        <w:left w:val="none" w:sz="0" w:space="0" w:color="auto"/>
        <w:bottom w:val="none" w:sz="0" w:space="0" w:color="auto"/>
        <w:right w:val="none" w:sz="0" w:space="0" w:color="auto"/>
      </w:divBdr>
    </w:div>
    <w:div w:id="300303913">
      <w:bodyDiv w:val="1"/>
      <w:marLeft w:val="0"/>
      <w:marRight w:val="0"/>
      <w:marTop w:val="0"/>
      <w:marBottom w:val="0"/>
      <w:divBdr>
        <w:top w:val="none" w:sz="0" w:space="0" w:color="auto"/>
        <w:left w:val="none" w:sz="0" w:space="0" w:color="auto"/>
        <w:bottom w:val="none" w:sz="0" w:space="0" w:color="auto"/>
        <w:right w:val="none" w:sz="0" w:space="0" w:color="auto"/>
      </w:divBdr>
    </w:div>
    <w:div w:id="594820900">
      <w:bodyDiv w:val="1"/>
      <w:marLeft w:val="0"/>
      <w:marRight w:val="0"/>
      <w:marTop w:val="0"/>
      <w:marBottom w:val="0"/>
      <w:divBdr>
        <w:top w:val="none" w:sz="0" w:space="0" w:color="auto"/>
        <w:left w:val="none" w:sz="0" w:space="0" w:color="auto"/>
        <w:bottom w:val="none" w:sz="0" w:space="0" w:color="auto"/>
        <w:right w:val="none" w:sz="0" w:space="0" w:color="auto"/>
      </w:divBdr>
    </w:div>
    <w:div w:id="820081882">
      <w:bodyDiv w:val="1"/>
      <w:marLeft w:val="0"/>
      <w:marRight w:val="0"/>
      <w:marTop w:val="0"/>
      <w:marBottom w:val="0"/>
      <w:divBdr>
        <w:top w:val="none" w:sz="0" w:space="0" w:color="auto"/>
        <w:left w:val="none" w:sz="0" w:space="0" w:color="auto"/>
        <w:bottom w:val="none" w:sz="0" w:space="0" w:color="auto"/>
        <w:right w:val="none" w:sz="0" w:space="0" w:color="auto"/>
      </w:divBdr>
    </w:div>
    <w:div w:id="892732410">
      <w:bodyDiv w:val="1"/>
      <w:marLeft w:val="0"/>
      <w:marRight w:val="0"/>
      <w:marTop w:val="0"/>
      <w:marBottom w:val="0"/>
      <w:divBdr>
        <w:top w:val="none" w:sz="0" w:space="0" w:color="auto"/>
        <w:left w:val="none" w:sz="0" w:space="0" w:color="auto"/>
        <w:bottom w:val="none" w:sz="0" w:space="0" w:color="auto"/>
        <w:right w:val="none" w:sz="0" w:space="0" w:color="auto"/>
      </w:divBdr>
    </w:div>
    <w:div w:id="1127043340">
      <w:bodyDiv w:val="1"/>
      <w:marLeft w:val="0"/>
      <w:marRight w:val="0"/>
      <w:marTop w:val="0"/>
      <w:marBottom w:val="0"/>
      <w:divBdr>
        <w:top w:val="none" w:sz="0" w:space="0" w:color="auto"/>
        <w:left w:val="none" w:sz="0" w:space="0" w:color="auto"/>
        <w:bottom w:val="none" w:sz="0" w:space="0" w:color="auto"/>
        <w:right w:val="none" w:sz="0" w:space="0" w:color="auto"/>
      </w:divBdr>
      <w:divsChild>
        <w:div w:id="1808819526">
          <w:marLeft w:val="0"/>
          <w:marRight w:val="0"/>
          <w:marTop w:val="0"/>
          <w:marBottom w:val="0"/>
          <w:divBdr>
            <w:top w:val="none" w:sz="0" w:space="0" w:color="auto"/>
            <w:left w:val="none" w:sz="0" w:space="0" w:color="auto"/>
            <w:bottom w:val="none" w:sz="0" w:space="0" w:color="auto"/>
            <w:right w:val="none" w:sz="0" w:space="0" w:color="auto"/>
          </w:divBdr>
          <w:divsChild>
            <w:div w:id="4944750">
              <w:marLeft w:val="0"/>
              <w:marRight w:val="0"/>
              <w:marTop w:val="0"/>
              <w:marBottom w:val="0"/>
              <w:divBdr>
                <w:top w:val="none" w:sz="0" w:space="0" w:color="auto"/>
                <w:left w:val="none" w:sz="0" w:space="0" w:color="auto"/>
                <w:bottom w:val="none" w:sz="0" w:space="0" w:color="auto"/>
                <w:right w:val="none" w:sz="0" w:space="0" w:color="auto"/>
              </w:divBdr>
              <w:divsChild>
                <w:div w:id="17336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8450">
      <w:bodyDiv w:val="1"/>
      <w:marLeft w:val="0"/>
      <w:marRight w:val="0"/>
      <w:marTop w:val="0"/>
      <w:marBottom w:val="0"/>
      <w:divBdr>
        <w:top w:val="none" w:sz="0" w:space="0" w:color="auto"/>
        <w:left w:val="none" w:sz="0" w:space="0" w:color="auto"/>
        <w:bottom w:val="none" w:sz="0" w:space="0" w:color="auto"/>
        <w:right w:val="none" w:sz="0" w:space="0" w:color="auto"/>
      </w:divBdr>
    </w:div>
    <w:div w:id="1439369935">
      <w:bodyDiv w:val="1"/>
      <w:marLeft w:val="0"/>
      <w:marRight w:val="0"/>
      <w:marTop w:val="0"/>
      <w:marBottom w:val="0"/>
      <w:divBdr>
        <w:top w:val="none" w:sz="0" w:space="0" w:color="auto"/>
        <w:left w:val="none" w:sz="0" w:space="0" w:color="auto"/>
        <w:bottom w:val="none" w:sz="0" w:space="0" w:color="auto"/>
        <w:right w:val="none" w:sz="0" w:space="0" w:color="auto"/>
      </w:divBdr>
    </w:div>
    <w:div w:id="1674143161">
      <w:bodyDiv w:val="1"/>
      <w:marLeft w:val="0"/>
      <w:marRight w:val="0"/>
      <w:marTop w:val="0"/>
      <w:marBottom w:val="0"/>
      <w:divBdr>
        <w:top w:val="none" w:sz="0" w:space="0" w:color="auto"/>
        <w:left w:val="none" w:sz="0" w:space="0" w:color="auto"/>
        <w:bottom w:val="none" w:sz="0" w:space="0" w:color="auto"/>
        <w:right w:val="none" w:sz="0" w:space="0" w:color="auto"/>
      </w:divBdr>
      <w:divsChild>
        <w:div w:id="2084064821">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514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62118">
      <w:bodyDiv w:val="1"/>
      <w:marLeft w:val="0"/>
      <w:marRight w:val="0"/>
      <w:marTop w:val="0"/>
      <w:marBottom w:val="0"/>
      <w:divBdr>
        <w:top w:val="none" w:sz="0" w:space="0" w:color="auto"/>
        <w:left w:val="none" w:sz="0" w:space="0" w:color="auto"/>
        <w:bottom w:val="none" w:sz="0" w:space="0" w:color="auto"/>
        <w:right w:val="none" w:sz="0" w:space="0" w:color="auto"/>
      </w:divBdr>
    </w:div>
    <w:div w:id="18521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AB82970-25F5-294A-B868-70AE3E00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6434</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Gerstenblith, Patty</dc:creator>
  <cp:keywords/>
  <dc:description/>
  <cp:lastModifiedBy>Laura diZerega</cp:lastModifiedBy>
  <cp:revision>7</cp:revision>
  <cp:lastPrinted>2021-09-20T18:18:00Z</cp:lastPrinted>
  <dcterms:created xsi:type="dcterms:W3CDTF">2021-12-07T19:44:00Z</dcterms:created>
  <dcterms:modified xsi:type="dcterms:W3CDTF">2021-12-17T20:02:00Z</dcterms:modified>
</cp:coreProperties>
</file>