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EE1FB" w14:textId="3784E848" w:rsidR="00881BEF" w:rsidRPr="00EB55C1" w:rsidRDefault="00881BEF" w:rsidP="00EE6F41">
      <w:pPr>
        <w:pStyle w:val="Heading1"/>
        <w:spacing w:line="480" w:lineRule="auto"/>
        <w:rPr>
          <w:lang w:eastAsia="fr-CH"/>
        </w:rPr>
      </w:pPr>
      <w:r w:rsidRPr="00EB55C1">
        <w:rPr>
          <w:lang w:eastAsia="fr-CH"/>
        </w:rPr>
        <w:t>International Humanitarian Law and the Protection of Cultural Property</w:t>
      </w:r>
    </w:p>
    <w:p w14:paraId="6283E9BF" w14:textId="5327A631" w:rsidR="00881BEF" w:rsidRPr="00EB55C1" w:rsidRDefault="00881BEF" w:rsidP="006952D9">
      <w:pPr>
        <w:spacing w:before="120" w:after="120" w:line="480" w:lineRule="auto"/>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Benjamin Charlier and Tural Mustafayev</w:t>
      </w:r>
    </w:p>
    <w:p w14:paraId="70E83F93" w14:textId="77C3F746" w:rsidR="004B13EF" w:rsidRPr="004B2D65" w:rsidRDefault="004B13EF" w:rsidP="00D007BC">
      <w:pPr>
        <w:spacing w:before="120" w:after="120" w:line="480" w:lineRule="auto"/>
        <w:rPr>
          <w:rFonts w:ascii="Times New Roman" w:eastAsia="Times New Roman" w:hAnsi="Times New Roman" w:cs="Times New Roman"/>
          <w:color w:val="000000"/>
          <w:sz w:val="24"/>
          <w:szCs w:val="24"/>
          <w:lang w:eastAsia="fr-CH"/>
        </w:rPr>
      </w:pPr>
      <w:bookmarkStart w:id="0" w:name="_GoBack"/>
    </w:p>
    <w:p w14:paraId="6EF201D5" w14:textId="77777777" w:rsidR="004B2D65" w:rsidRPr="004B2D65" w:rsidRDefault="004B2D65" w:rsidP="004B2D65">
      <w:pPr>
        <w:spacing w:line="480" w:lineRule="auto"/>
        <w:rPr>
          <w:rFonts w:ascii="Times New Roman" w:hAnsi="Times New Roman" w:cs="Times New Roman"/>
          <w:sz w:val="24"/>
          <w:szCs w:val="24"/>
        </w:rPr>
      </w:pPr>
      <w:r w:rsidRPr="004B2D65">
        <w:rPr>
          <w:rFonts w:ascii="Times New Roman" w:hAnsi="Times New Roman" w:cs="Times New Roman"/>
          <w:sz w:val="24"/>
          <w:szCs w:val="24"/>
        </w:rPr>
        <w:t xml:space="preserve">© 2022 J. Paul Getty Trust. Originally published in </w:t>
      </w:r>
      <w:r w:rsidRPr="004B2D65">
        <w:rPr>
          <w:rFonts w:ascii="Times New Roman" w:hAnsi="Times New Roman" w:cs="Times New Roman"/>
          <w:i/>
          <w:sz w:val="24"/>
          <w:szCs w:val="24"/>
        </w:rPr>
        <w:t>Cultural Heritage and Mass Atrocities</w:t>
      </w:r>
      <w:r w:rsidRPr="004B2D65">
        <w:rPr>
          <w:rFonts w:ascii="Times New Roman" w:hAnsi="Times New Roman" w:cs="Times New Roman"/>
          <w:sz w:val="24"/>
          <w:szCs w:val="24"/>
        </w:rPr>
        <w:t xml:space="preserve"> © 2022 J. Paul Getty Trust, www.getty.edu/publications/cultural-heritage-mass-atrocities (licensed under </w:t>
      </w:r>
      <w:hyperlink r:id="rId8" w:history="1">
        <w:r w:rsidRPr="004B2D65">
          <w:rPr>
            <w:rStyle w:val="Hyperlink"/>
            <w:rFonts w:ascii="Times New Roman" w:hAnsi="Times New Roman" w:cs="Times New Roman"/>
            <w:sz w:val="24"/>
            <w:szCs w:val="24"/>
          </w:rPr>
          <w:t>CC BY 4.0</w:t>
        </w:r>
      </w:hyperlink>
      <w:r w:rsidRPr="004B2D65">
        <w:rPr>
          <w:rFonts w:ascii="Times New Roman" w:hAnsi="Times New Roman" w:cs="Times New Roman"/>
          <w:sz w:val="24"/>
          <w:szCs w:val="24"/>
        </w:rPr>
        <w:t>)</w:t>
      </w:r>
    </w:p>
    <w:bookmarkEnd w:id="0"/>
    <w:p w14:paraId="33F23BEF" w14:textId="77777777" w:rsidR="004B2D65" w:rsidRPr="00EB55C1" w:rsidRDefault="004B2D65" w:rsidP="00D007BC">
      <w:pPr>
        <w:spacing w:before="120" w:after="120" w:line="480" w:lineRule="auto"/>
        <w:rPr>
          <w:rFonts w:ascii="Times New Roman" w:eastAsia="Times New Roman" w:hAnsi="Times New Roman" w:cs="Times New Roman"/>
          <w:color w:val="000000"/>
          <w:sz w:val="24"/>
          <w:szCs w:val="24"/>
          <w:lang w:eastAsia="fr-CH"/>
        </w:rPr>
      </w:pPr>
    </w:p>
    <w:p w14:paraId="70C346F8" w14:textId="77777777" w:rsidR="00344201" w:rsidRPr="00EB55C1" w:rsidRDefault="00344201" w:rsidP="00EE6F41">
      <w:pPr>
        <w:pStyle w:val="Heading2"/>
        <w:spacing w:line="480" w:lineRule="auto"/>
        <w:rPr>
          <w:lang w:eastAsia="fr-CH"/>
        </w:rPr>
      </w:pPr>
      <w:r w:rsidRPr="00EB55C1">
        <w:rPr>
          <w:lang w:eastAsia="fr-CH"/>
        </w:rPr>
        <w:t>Keynote</w:t>
      </w:r>
    </w:p>
    <w:p w14:paraId="05964435" w14:textId="0ABF47B9" w:rsidR="00344201" w:rsidRPr="00EB55C1" w:rsidRDefault="00344201" w:rsidP="006952D9">
      <w:pPr>
        <w:spacing w:before="120" w:after="120" w:line="480" w:lineRule="auto"/>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color w:val="000000"/>
          <w:sz w:val="24"/>
          <w:szCs w:val="24"/>
          <w:lang w:eastAsia="fr-CH"/>
        </w:rPr>
        <w:t xml:space="preserve">A comprehensive international legal framework has been developed to protect </w:t>
      </w:r>
      <w:r w:rsidR="00860B60">
        <w:rPr>
          <w:rFonts w:ascii="Times New Roman" w:eastAsia="Times New Roman" w:hAnsi="Times New Roman" w:cs="Times New Roman"/>
          <w:color w:val="000000"/>
          <w:sz w:val="24"/>
          <w:szCs w:val="24"/>
          <w:lang w:eastAsia="fr-CH"/>
        </w:rPr>
        <w:t xml:space="preserve">tangible </w:t>
      </w:r>
      <w:r w:rsidRPr="00EB55C1">
        <w:rPr>
          <w:rFonts w:ascii="Times New Roman" w:eastAsia="Times New Roman" w:hAnsi="Times New Roman" w:cs="Times New Roman"/>
          <w:color w:val="000000"/>
          <w:sz w:val="24"/>
          <w:szCs w:val="24"/>
          <w:lang w:eastAsia="fr-CH"/>
        </w:rPr>
        <w:t>cultural property during situations of armed conflict. It is now time to shift the focus from debating the review of the law to its implementation.</w:t>
      </w:r>
    </w:p>
    <w:p w14:paraId="7FCDAF10" w14:textId="041C5E13" w:rsidR="00344201" w:rsidRPr="00EB55C1" w:rsidRDefault="00344201" w:rsidP="00D007BC">
      <w:pPr>
        <w:spacing w:before="120" w:after="120" w:line="480" w:lineRule="auto"/>
        <w:rPr>
          <w:rFonts w:ascii="Times New Roman" w:eastAsia="Times New Roman" w:hAnsi="Times New Roman" w:cs="Times New Roman"/>
          <w:color w:val="000000"/>
          <w:sz w:val="24"/>
          <w:szCs w:val="24"/>
          <w:lang w:eastAsia="fr-CH"/>
        </w:rPr>
      </w:pPr>
    </w:p>
    <w:p w14:paraId="0C3DA487" w14:textId="77777777" w:rsidR="00344201" w:rsidRPr="00360D35" w:rsidRDefault="00344201" w:rsidP="00EE6F41">
      <w:pPr>
        <w:pStyle w:val="Heading2"/>
        <w:spacing w:line="480" w:lineRule="auto"/>
        <w:rPr>
          <w:lang w:eastAsia="fr-CH"/>
        </w:rPr>
      </w:pPr>
      <w:r w:rsidRPr="00360D35">
        <w:rPr>
          <w:lang w:eastAsia="fr-CH"/>
        </w:rPr>
        <w:t>Abstract</w:t>
      </w:r>
    </w:p>
    <w:p w14:paraId="4F51B29A" w14:textId="15955AE3" w:rsidR="00344201" w:rsidRPr="00360D35" w:rsidRDefault="00860B60" w:rsidP="006952D9">
      <w:pPr>
        <w:spacing w:before="120" w:after="120" w:line="48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With tangible c</w:t>
      </w:r>
      <w:r w:rsidR="00344201" w:rsidRPr="00360D35">
        <w:rPr>
          <w:rFonts w:ascii="Times New Roman" w:eastAsia="Times New Roman" w:hAnsi="Times New Roman" w:cs="Times New Roman"/>
          <w:color w:val="000000"/>
          <w:sz w:val="24"/>
          <w:szCs w:val="24"/>
          <w:lang w:eastAsia="fr-CH"/>
        </w:rPr>
        <w:t>ultural property becoming a deliberate target</w:t>
      </w:r>
      <w:r>
        <w:rPr>
          <w:rFonts w:ascii="Times New Roman" w:eastAsia="Times New Roman" w:hAnsi="Times New Roman" w:cs="Times New Roman"/>
          <w:color w:val="000000"/>
          <w:sz w:val="24"/>
          <w:szCs w:val="24"/>
          <w:lang w:eastAsia="fr-CH"/>
        </w:rPr>
        <w:t>,</w:t>
      </w:r>
      <w:r w:rsidR="00344201" w:rsidRPr="00360D35">
        <w:rPr>
          <w:rFonts w:ascii="Times New Roman" w:eastAsia="Times New Roman" w:hAnsi="Times New Roman" w:cs="Times New Roman"/>
          <w:color w:val="000000"/>
          <w:sz w:val="24"/>
          <w:szCs w:val="24"/>
          <w:lang w:eastAsia="fr-CH"/>
        </w:rPr>
        <w:t xml:space="preserve"> </w:t>
      </w:r>
      <w:r>
        <w:rPr>
          <w:rFonts w:ascii="Times New Roman" w:eastAsia="Times New Roman" w:hAnsi="Times New Roman" w:cs="Times New Roman"/>
          <w:color w:val="000000"/>
          <w:sz w:val="24"/>
          <w:szCs w:val="24"/>
          <w:lang w:eastAsia="fr-CH"/>
        </w:rPr>
        <w:t xml:space="preserve">subject to </w:t>
      </w:r>
      <w:r w:rsidR="00344201" w:rsidRPr="00360D35">
        <w:rPr>
          <w:rFonts w:ascii="Times New Roman" w:eastAsia="Times New Roman" w:hAnsi="Times New Roman" w:cs="Times New Roman"/>
          <w:color w:val="000000"/>
          <w:sz w:val="24"/>
          <w:szCs w:val="24"/>
          <w:lang w:eastAsia="fr-CH"/>
        </w:rPr>
        <w:t>collateral damage in recent armed conflicts</w:t>
      </w:r>
      <w:r>
        <w:rPr>
          <w:rFonts w:ascii="Times New Roman" w:eastAsia="Times New Roman" w:hAnsi="Times New Roman" w:cs="Times New Roman"/>
          <w:color w:val="000000"/>
          <w:sz w:val="24"/>
          <w:szCs w:val="24"/>
          <w:lang w:eastAsia="fr-CH"/>
        </w:rPr>
        <w:t xml:space="preserve">, </w:t>
      </w:r>
      <w:r w:rsidR="00344201" w:rsidRPr="00360D35">
        <w:rPr>
          <w:rFonts w:ascii="Times New Roman" w:eastAsia="Times New Roman" w:hAnsi="Times New Roman" w:cs="Times New Roman"/>
          <w:color w:val="000000"/>
          <w:sz w:val="24"/>
          <w:szCs w:val="24"/>
          <w:lang w:eastAsia="fr-CH"/>
        </w:rPr>
        <w:t>academic scrutiny of rules of international humanitarian law governing its protection</w:t>
      </w:r>
      <w:r>
        <w:rPr>
          <w:rFonts w:ascii="Times New Roman" w:eastAsia="Times New Roman" w:hAnsi="Times New Roman" w:cs="Times New Roman"/>
          <w:color w:val="000000"/>
          <w:sz w:val="24"/>
          <w:szCs w:val="24"/>
          <w:lang w:eastAsia="fr-CH"/>
        </w:rPr>
        <w:t xml:space="preserve"> ha</w:t>
      </w:r>
      <w:r w:rsidR="000825CF">
        <w:rPr>
          <w:rFonts w:ascii="Times New Roman" w:eastAsia="Times New Roman" w:hAnsi="Times New Roman" w:cs="Times New Roman"/>
          <w:color w:val="000000"/>
          <w:sz w:val="24"/>
          <w:szCs w:val="24"/>
          <w:lang w:eastAsia="fr-CH"/>
        </w:rPr>
        <w:t>s</w:t>
      </w:r>
      <w:r>
        <w:rPr>
          <w:rFonts w:ascii="Times New Roman" w:eastAsia="Times New Roman" w:hAnsi="Times New Roman" w:cs="Times New Roman"/>
          <w:color w:val="000000"/>
          <w:sz w:val="24"/>
          <w:szCs w:val="24"/>
          <w:lang w:eastAsia="fr-CH"/>
        </w:rPr>
        <w:t xml:space="preserve"> increased</w:t>
      </w:r>
      <w:r w:rsidR="00344201" w:rsidRPr="00360D35">
        <w:rPr>
          <w:rFonts w:ascii="Times New Roman" w:eastAsia="Times New Roman" w:hAnsi="Times New Roman" w:cs="Times New Roman"/>
          <w:color w:val="000000"/>
          <w:sz w:val="24"/>
          <w:szCs w:val="24"/>
          <w:lang w:eastAsia="fr-CH"/>
        </w:rPr>
        <w:t xml:space="preserve">. Building on this debate, this chapter </w:t>
      </w:r>
      <w:r w:rsidR="00A80E79" w:rsidRPr="00360D35">
        <w:rPr>
          <w:rFonts w:ascii="Times New Roman" w:eastAsia="Times New Roman" w:hAnsi="Times New Roman" w:cs="Times New Roman"/>
          <w:color w:val="000000"/>
          <w:sz w:val="24"/>
          <w:szCs w:val="24"/>
          <w:lang w:eastAsia="fr-CH"/>
        </w:rPr>
        <w:t>argues</w:t>
      </w:r>
      <w:r w:rsidR="00344201" w:rsidRPr="00360D35">
        <w:rPr>
          <w:rFonts w:ascii="Times New Roman" w:eastAsia="Times New Roman" w:hAnsi="Times New Roman" w:cs="Times New Roman"/>
          <w:color w:val="000000"/>
          <w:sz w:val="24"/>
          <w:szCs w:val="24"/>
          <w:lang w:eastAsia="fr-CH"/>
        </w:rPr>
        <w:t xml:space="preserve"> that a comprehensive framework exists under </w:t>
      </w:r>
      <w:r w:rsidR="001A0CEC" w:rsidRPr="00360D35">
        <w:rPr>
          <w:rFonts w:ascii="Times New Roman" w:eastAsia="Times New Roman" w:hAnsi="Times New Roman" w:cs="Times New Roman"/>
          <w:color w:val="000000"/>
          <w:sz w:val="24"/>
          <w:szCs w:val="24"/>
          <w:lang w:eastAsia="fr-CH"/>
        </w:rPr>
        <w:t xml:space="preserve">international </w:t>
      </w:r>
      <w:r w:rsidR="002327D4">
        <w:rPr>
          <w:rFonts w:ascii="Times New Roman" w:eastAsia="Times New Roman" w:hAnsi="Times New Roman" w:cs="Times New Roman"/>
          <w:color w:val="000000"/>
          <w:sz w:val="24"/>
          <w:szCs w:val="24"/>
          <w:lang w:eastAsia="fr-CH"/>
        </w:rPr>
        <w:t xml:space="preserve">law, both </w:t>
      </w:r>
      <w:r w:rsidR="002327D4" w:rsidRPr="00360D35">
        <w:rPr>
          <w:rFonts w:ascii="Times New Roman" w:eastAsia="Times New Roman" w:hAnsi="Times New Roman" w:cs="Times New Roman"/>
          <w:color w:val="000000"/>
          <w:sz w:val="24"/>
          <w:szCs w:val="24"/>
          <w:lang w:eastAsia="fr-CH"/>
        </w:rPr>
        <w:t xml:space="preserve">treaty and </w:t>
      </w:r>
      <w:r w:rsidR="00344201" w:rsidRPr="00360D35">
        <w:rPr>
          <w:rFonts w:ascii="Times New Roman" w:eastAsia="Times New Roman" w:hAnsi="Times New Roman" w:cs="Times New Roman"/>
          <w:color w:val="000000"/>
          <w:sz w:val="24"/>
          <w:szCs w:val="24"/>
          <w:lang w:eastAsia="fr-CH"/>
        </w:rPr>
        <w:t>customary</w:t>
      </w:r>
      <w:r w:rsidR="002327D4">
        <w:rPr>
          <w:rFonts w:ascii="Times New Roman" w:eastAsia="Times New Roman" w:hAnsi="Times New Roman" w:cs="Times New Roman"/>
          <w:color w:val="000000"/>
          <w:sz w:val="24"/>
          <w:szCs w:val="24"/>
          <w:lang w:eastAsia="fr-CH"/>
        </w:rPr>
        <w:t>,</w:t>
      </w:r>
      <w:r w:rsidR="00344201" w:rsidRPr="00360D35">
        <w:rPr>
          <w:rFonts w:ascii="Times New Roman" w:eastAsia="Times New Roman" w:hAnsi="Times New Roman" w:cs="Times New Roman"/>
          <w:color w:val="000000"/>
          <w:sz w:val="24"/>
          <w:szCs w:val="24"/>
          <w:lang w:eastAsia="fr-CH"/>
        </w:rPr>
        <w:t xml:space="preserve"> regulating the protection of cultural property.</w:t>
      </w:r>
      <w:r>
        <w:rPr>
          <w:rFonts w:ascii="Times New Roman" w:eastAsia="Times New Roman" w:hAnsi="Times New Roman" w:cs="Times New Roman"/>
          <w:color w:val="000000"/>
          <w:sz w:val="24"/>
          <w:szCs w:val="24"/>
          <w:lang w:eastAsia="fr-CH"/>
        </w:rPr>
        <w:t xml:space="preserve"> E</w:t>
      </w:r>
      <w:r w:rsidR="00344201" w:rsidRPr="00360D35">
        <w:rPr>
          <w:rFonts w:ascii="Times New Roman" w:eastAsia="Times New Roman" w:hAnsi="Times New Roman" w:cs="Times New Roman"/>
          <w:color w:val="000000"/>
          <w:sz w:val="24"/>
          <w:szCs w:val="24"/>
          <w:lang w:eastAsia="fr-CH"/>
        </w:rPr>
        <w:t>xisting law not only regulate</w:t>
      </w:r>
      <w:r w:rsidR="00A80E79" w:rsidRPr="00360D35">
        <w:rPr>
          <w:rFonts w:ascii="Times New Roman" w:eastAsia="Times New Roman" w:hAnsi="Times New Roman" w:cs="Times New Roman"/>
          <w:color w:val="000000"/>
          <w:sz w:val="24"/>
          <w:szCs w:val="24"/>
          <w:lang w:eastAsia="fr-CH"/>
        </w:rPr>
        <w:t>s</w:t>
      </w:r>
      <w:r w:rsidR="00344201" w:rsidRPr="00360D35">
        <w:rPr>
          <w:rFonts w:ascii="Times New Roman" w:eastAsia="Times New Roman" w:hAnsi="Times New Roman" w:cs="Times New Roman"/>
          <w:color w:val="000000"/>
          <w:sz w:val="24"/>
          <w:szCs w:val="24"/>
          <w:lang w:eastAsia="fr-CH"/>
        </w:rPr>
        <w:t xml:space="preserve"> the conduct of hostilities vis-à-vis cultural property and the peacetime measures that </w:t>
      </w:r>
      <w:r w:rsidR="00A80E79" w:rsidRPr="00360D35">
        <w:rPr>
          <w:rFonts w:ascii="Times New Roman" w:eastAsia="Times New Roman" w:hAnsi="Times New Roman" w:cs="Times New Roman"/>
          <w:color w:val="000000"/>
          <w:sz w:val="24"/>
          <w:szCs w:val="24"/>
          <w:lang w:eastAsia="fr-CH"/>
        </w:rPr>
        <w:t>s</w:t>
      </w:r>
      <w:r w:rsidR="00344201" w:rsidRPr="00360D35">
        <w:rPr>
          <w:rFonts w:ascii="Times New Roman" w:eastAsia="Times New Roman" w:hAnsi="Times New Roman" w:cs="Times New Roman"/>
          <w:color w:val="000000"/>
          <w:sz w:val="24"/>
          <w:szCs w:val="24"/>
          <w:lang w:eastAsia="fr-CH"/>
        </w:rPr>
        <w:t xml:space="preserve">tates must put in place to adequately protect it, it also establishes normative and institutional mechanisms to support the implementation of the law. </w:t>
      </w:r>
      <w:r w:rsidR="00344201" w:rsidRPr="00360D35">
        <w:rPr>
          <w:rFonts w:ascii="Times New Roman" w:eastAsia="Times New Roman" w:hAnsi="Times New Roman" w:cs="Times New Roman"/>
          <w:color w:val="000000"/>
          <w:sz w:val="24"/>
          <w:szCs w:val="24"/>
          <w:lang w:eastAsia="fr-CH"/>
        </w:rPr>
        <w:lastRenderedPageBreak/>
        <w:t>Consequently</w:t>
      </w:r>
      <w:r w:rsidR="001B24D5" w:rsidRPr="00360D35">
        <w:rPr>
          <w:rFonts w:ascii="Times New Roman" w:eastAsia="Times New Roman" w:hAnsi="Times New Roman" w:cs="Times New Roman"/>
          <w:color w:val="000000"/>
          <w:sz w:val="24"/>
          <w:szCs w:val="24"/>
          <w:lang w:eastAsia="fr-CH"/>
        </w:rPr>
        <w:t>,</w:t>
      </w:r>
      <w:r w:rsidR="00344201" w:rsidRPr="00360D35">
        <w:rPr>
          <w:rFonts w:ascii="Times New Roman" w:eastAsia="Times New Roman" w:hAnsi="Times New Roman" w:cs="Times New Roman"/>
          <w:color w:val="000000"/>
          <w:sz w:val="24"/>
          <w:szCs w:val="24"/>
          <w:lang w:eastAsia="fr-CH"/>
        </w:rPr>
        <w:t xml:space="preserve"> giving effect to the protective nature of the law and strengthening compliance necessarily entail</w:t>
      </w:r>
      <w:r w:rsidR="007B402B">
        <w:rPr>
          <w:rFonts w:ascii="Times New Roman" w:eastAsia="Times New Roman" w:hAnsi="Times New Roman" w:cs="Times New Roman"/>
          <w:color w:val="000000"/>
          <w:sz w:val="24"/>
          <w:szCs w:val="24"/>
          <w:lang w:eastAsia="fr-CH"/>
        </w:rPr>
        <w:t>s</w:t>
      </w:r>
      <w:r w:rsidR="00344201" w:rsidRPr="00360D35">
        <w:rPr>
          <w:rFonts w:ascii="Times New Roman" w:eastAsia="Times New Roman" w:hAnsi="Times New Roman" w:cs="Times New Roman"/>
          <w:color w:val="000000"/>
          <w:sz w:val="24"/>
          <w:szCs w:val="24"/>
          <w:lang w:eastAsia="fr-CH"/>
        </w:rPr>
        <w:t xml:space="preserve"> focusing on ways to support these mechanisms. In other words, the international legal framework protecting cultural property in armed conflict cannot be effective unless the action of implementing </w:t>
      </w:r>
      <w:r w:rsidR="00DD16C7">
        <w:rPr>
          <w:rFonts w:ascii="Times New Roman" w:eastAsia="Times New Roman" w:hAnsi="Times New Roman" w:cs="Times New Roman"/>
          <w:color w:val="000000"/>
          <w:sz w:val="24"/>
          <w:szCs w:val="24"/>
          <w:lang w:eastAsia="fr-CH"/>
        </w:rPr>
        <w:t xml:space="preserve">these </w:t>
      </w:r>
      <w:r w:rsidR="00344201" w:rsidRPr="00360D35">
        <w:rPr>
          <w:rFonts w:ascii="Times New Roman" w:eastAsia="Times New Roman" w:hAnsi="Times New Roman" w:cs="Times New Roman"/>
          <w:color w:val="000000"/>
          <w:sz w:val="24"/>
          <w:szCs w:val="24"/>
          <w:lang w:eastAsia="fr-CH"/>
        </w:rPr>
        <w:t>mechanisms is reinforced.</w:t>
      </w:r>
    </w:p>
    <w:p w14:paraId="355F842F" w14:textId="77777777" w:rsidR="00344201" w:rsidRPr="00EB55C1" w:rsidRDefault="00344201" w:rsidP="00D007BC">
      <w:pPr>
        <w:spacing w:before="120" w:after="120" w:line="480" w:lineRule="auto"/>
        <w:rPr>
          <w:rFonts w:ascii="Times New Roman" w:eastAsia="Times New Roman" w:hAnsi="Times New Roman" w:cs="Times New Roman"/>
          <w:color w:val="FF0000"/>
          <w:sz w:val="24"/>
          <w:szCs w:val="24"/>
          <w:lang w:eastAsia="fr-CH"/>
        </w:rPr>
      </w:pPr>
    </w:p>
    <w:p w14:paraId="36795532" w14:textId="1A6BFAF1" w:rsidR="00881BEF" w:rsidRPr="00EB55C1" w:rsidRDefault="00881BEF" w:rsidP="00EE6F41">
      <w:pPr>
        <w:pStyle w:val="Heading2"/>
        <w:spacing w:line="480" w:lineRule="auto"/>
        <w:rPr>
          <w:lang w:eastAsia="fr-CH"/>
        </w:rPr>
      </w:pPr>
      <w:r w:rsidRPr="00EB55C1">
        <w:rPr>
          <w:lang w:eastAsia="fr-CH"/>
        </w:rPr>
        <w:t>Bio</w:t>
      </w:r>
      <w:r w:rsidR="00344201" w:rsidRPr="00EB55C1">
        <w:rPr>
          <w:lang w:eastAsia="fr-CH"/>
        </w:rPr>
        <w:t>graphy</w:t>
      </w:r>
    </w:p>
    <w:p w14:paraId="6C01BFEA" w14:textId="2D75A613" w:rsidR="00344201" w:rsidRPr="00EB55C1" w:rsidRDefault="00881BEF" w:rsidP="006952D9">
      <w:pPr>
        <w:spacing w:before="120" w:after="120" w:line="480" w:lineRule="auto"/>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color w:val="000000"/>
          <w:sz w:val="24"/>
          <w:szCs w:val="24"/>
          <w:lang w:eastAsia="fr-CH"/>
        </w:rPr>
        <w:t>Benjamin Charlier</w:t>
      </w:r>
      <w:r w:rsidRPr="00EB55C1">
        <w:rPr>
          <w:rFonts w:ascii="Times New Roman" w:eastAsia="Times New Roman" w:hAnsi="Times New Roman" w:cs="Times New Roman"/>
          <w:b/>
          <w:bCs/>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is a Legal Adviser at the International Committee of the Red Cross. From 2016 to 2021, he was the ICRC coordinator for the protection of cultural property in armed conflict. During that time, he acted as a legal expert on cultural property protection and coordinated the ICRC’s operational, capacity</w:t>
      </w:r>
      <w:r w:rsidR="00F3563E">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building</w:t>
      </w:r>
      <w:r w:rsidR="003911FD"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and diplomatic initiatives in that field. Prior to that, he worked at the Office of the Belgian Federal Prosecutor in Brussels and carried out field missions for the ICRC in Myanmar, Darfur, Kosovo</w:t>
      </w:r>
      <w:r w:rsidR="00FF1D7C"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and Rwanda. </w:t>
      </w:r>
      <w:r w:rsidR="00344201" w:rsidRPr="00EB55C1">
        <w:rPr>
          <w:rFonts w:ascii="Times New Roman" w:eastAsia="Times New Roman" w:hAnsi="Times New Roman" w:cs="Times New Roman"/>
          <w:color w:val="000000"/>
          <w:sz w:val="24"/>
          <w:szCs w:val="24"/>
          <w:lang w:eastAsia="fr-CH"/>
        </w:rPr>
        <w:tab/>
      </w:r>
    </w:p>
    <w:p w14:paraId="7C434A5A" w14:textId="503972F9" w:rsidR="001F5FE5" w:rsidRPr="00360D35" w:rsidRDefault="00344201" w:rsidP="00D007BC">
      <w:pPr>
        <w:spacing w:before="120" w:after="120" w:line="480" w:lineRule="auto"/>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b/>
          <w:bCs/>
          <w:color w:val="000000"/>
          <w:sz w:val="24"/>
          <w:szCs w:val="24"/>
          <w:lang w:eastAsia="fr-CH"/>
        </w:rPr>
        <w:tab/>
      </w:r>
      <w:r w:rsidR="00881BEF" w:rsidRPr="00EB55C1">
        <w:rPr>
          <w:rFonts w:ascii="Times New Roman" w:eastAsia="Times New Roman" w:hAnsi="Times New Roman" w:cs="Times New Roman"/>
          <w:color w:val="000000"/>
          <w:sz w:val="24"/>
          <w:szCs w:val="24"/>
          <w:lang w:eastAsia="fr-CH"/>
        </w:rPr>
        <w:t xml:space="preserve">Tural Mustafayev is an Associate Programme Specialist at the Cultural Heritage Protection Treaties Unit at UNESCO. He specializes in cultural property protection legislation in the context of armed conflict and advises on the execution of UNESCO’s program related to the 1954 Hague Convention for the Protection of Cultural Property in the Event of Armed Conflict and its two </w:t>
      </w:r>
      <w:r w:rsidR="00B924F4" w:rsidRPr="00EB55C1">
        <w:rPr>
          <w:rFonts w:ascii="Times New Roman" w:eastAsia="Times New Roman" w:hAnsi="Times New Roman" w:cs="Times New Roman"/>
          <w:color w:val="000000"/>
          <w:sz w:val="24"/>
          <w:szCs w:val="24"/>
          <w:lang w:eastAsia="fr-CH"/>
        </w:rPr>
        <w:t>p</w:t>
      </w:r>
      <w:r w:rsidR="00881BEF" w:rsidRPr="00EB55C1">
        <w:rPr>
          <w:rFonts w:ascii="Times New Roman" w:eastAsia="Times New Roman" w:hAnsi="Times New Roman" w:cs="Times New Roman"/>
          <w:color w:val="000000"/>
          <w:sz w:val="24"/>
          <w:szCs w:val="24"/>
          <w:lang w:eastAsia="fr-CH"/>
        </w:rPr>
        <w:t xml:space="preserve">rotocols. Previously, he </w:t>
      </w:r>
      <w:r w:rsidR="001B7E38" w:rsidRPr="00EB55C1">
        <w:rPr>
          <w:rFonts w:ascii="Times New Roman" w:eastAsia="Times New Roman" w:hAnsi="Times New Roman" w:cs="Times New Roman"/>
          <w:color w:val="000000"/>
          <w:sz w:val="24"/>
          <w:szCs w:val="24"/>
          <w:lang w:eastAsia="fr-CH"/>
        </w:rPr>
        <w:t xml:space="preserve">was </w:t>
      </w:r>
      <w:r w:rsidR="00881BEF" w:rsidRPr="00EB55C1">
        <w:rPr>
          <w:rFonts w:ascii="Times New Roman" w:eastAsia="Times New Roman" w:hAnsi="Times New Roman" w:cs="Times New Roman"/>
          <w:color w:val="000000"/>
          <w:sz w:val="24"/>
          <w:szCs w:val="24"/>
          <w:lang w:eastAsia="fr-CH"/>
        </w:rPr>
        <w:t xml:space="preserve">the Director of Research and </w:t>
      </w:r>
      <w:r w:rsidR="000D7866" w:rsidRPr="00EB55C1">
        <w:rPr>
          <w:rFonts w:ascii="Times New Roman" w:eastAsia="Times New Roman" w:hAnsi="Times New Roman" w:cs="Times New Roman"/>
          <w:color w:val="000000"/>
          <w:sz w:val="24"/>
          <w:szCs w:val="24"/>
          <w:lang w:eastAsia="fr-CH"/>
        </w:rPr>
        <w:t xml:space="preserve">the </w:t>
      </w:r>
      <w:r w:rsidR="00881BEF" w:rsidRPr="00EB55C1">
        <w:rPr>
          <w:rFonts w:ascii="Times New Roman" w:eastAsia="Times New Roman" w:hAnsi="Times New Roman" w:cs="Times New Roman"/>
          <w:color w:val="000000"/>
          <w:sz w:val="24"/>
          <w:szCs w:val="24"/>
          <w:lang w:eastAsia="fr-CH"/>
        </w:rPr>
        <w:t xml:space="preserve">Education Department of the NATO International School of Azerbaijan and worked at the Department of International Law and Treaties of the </w:t>
      </w:r>
      <w:r w:rsidR="00B01AB7" w:rsidRPr="00EB55C1">
        <w:rPr>
          <w:rFonts w:ascii="Times New Roman" w:eastAsia="Times New Roman" w:hAnsi="Times New Roman" w:cs="Times New Roman"/>
          <w:color w:val="000000"/>
          <w:sz w:val="24"/>
          <w:szCs w:val="24"/>
          <w:lang w:eastAsia="fr-CH"/>
        </w:rPr>
        <w:t xml:space="preserve">Azerbaijani </w:t>
      </w:r>
      <w:r w:rsidR="00881BEF" w:rsidRPr="00EB55C1">
        <w:rPr>
          <w:rFonts w:ascii="Times New Roman" w:eastAsia="Times New Roman" w:hAnsi="Times New Roman" w:cs="Times New Roman"/>
          <w:color w:val="000000"/>
          <w:sz w:val="24"/>
          <w:szCs w:val="24"/>
          <w:lang w:eastAsia="fr-CH"/>
        </w:rPr>
        <w:t>Ministry of Foreign Affairs.</w:t>
      </w:r>
    </w:p>
    <w:p w14:paraId="771B4575" w14:textId="4F5500A7" w:rsidR="005E2A2D" w:rsidRPr="00360D35" w:rsidRDefault="005E2A2D">
      <w:pPr>
        <w:spacing w:before="120" w:after="120" w:line="480" w:lineRule="auto"/>
        <w:rPr>
          <w:rFonts w:ascii="Times New Roman" w:eastAsia="Times New Roman" w:hAnsi="Times New Roman" w:cs="Times New Roman"/>
          <w:color w:val="000000"/>
          <w:sz w:val="24"/>
          <w:szCs w:val="24"/>
          <w:lang w:eastAsia="fr-CH"/>
        </w:rPr>
      </w:pPr>
    </w:p>
    <w:p w14:paraId="0B06EC6D" w14:textId="53AED893" w:rsidR="00881BEF" w:rsidRPr="00EB55C1" w:rsidRDefault="00881BEF">
      <w:pPr>
        <w:spacing w:before="120" w:after="120" w:line="480" w:lineRule="auto"/>
        <w:rPr>
          <w:rFonts w:ascii="Times New Roman" w:eastAsia="Times New Roman" w:hAnsi="Times New Roman" w:cs="Times New Roman"/>
          <w:b/>
          <w:bCs/>
          <w:color w:val="000000"/>
          <w:sz w:val="24"/>
          <w:szCs w:val="24"/>
          <w:lang w:eastAsia="fr-CH"/>
        </w:rPr>
      </w:pPr>
    </w:p>
    <w:p w14:paraId="363F075E" w14:textId="0B30D394" w:rsidR="00480C92" w:rsidRPr="00EB55C1" w:rsidRDefault="00480C92">
      <w:pPr>
        <w:spacing w:before="240" w:after="240" w:line="480" w:lineRule="auto"/>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lastRenderedPageBreak/>
        <w:t xml:space="preserve">From entire libraries burnt to the ground during </w:t>
      </w:r>
      <w:r w:rsidR="005362E2" w:rsidRPr="00EB55C1">
        <w:rPr>
          <w:rFonts w:ascii="Times New Roman" w:eastAsia="Times New Roman" w:hAnsi="Times New Roman" w:cs="Times New Roman"/>
          <w:color w:val="000000"/>
          <w:sz w:val="24"/>
          <w:szCs w:val="24"/>
          <w:lang w:eastAsia="fr-CH"/>
        </w:rPr>
        <w:t>World War II</w:t>
      </w:r>
      <w:r w:rsidR="00BD40BB">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 xml:space="preserve">to the more recent calculated and demonstrative destruction of archaeological sites in Syria, </w:t>
      </w:r>
      <w:r w:rsidR="00BD40BB">
        <w:rPr>
          <w:rFonts w:ascii="Times New Roman" w:eastAsia="Times New Roman" w:hAnsi="Times New Roman" w:cs="Times New Roman"/>
          <w:color w:val="000000"/>
          <w:sz w:val="24"/>
          <w:szCs w:val="24"/>
          <w:lang w:eastAsia="fr-CH"/>
        </w:rPr>
        <w:t xml:space="preserve">the </w:t>
      </w:r>
      <w:r w:rsidRPr="00EB55C1">
        <w:rPr>
          <w:rFonts w:ascii="Times New Roman" w:eastAsia="Times New Roman" w:hAnsi="Times New Roman" w:cs="Times New Roman"/>
          <w:color w:val="000000"/>
          <w:sz w:val="24"/>
          <w:szCs w:val="24"/>
          <w:lang w:eastAsia="fr-CH"/>
        </w:rPr>
        <w:t>deliberate attacks against historic</w:t>
      </w:r>
      <w:r w:rsidR="009F3DE9" w:rsidRPr="00EB55C1">
        <w:rPr>
          <w:rFonts w:ascii="Times New Roman" w:eastAsia="Times New Roman" w:hAnsi="Times New Roman" w:cs="Times New Roman"/>
          <w:color w:val="000000"/>
          <w:sz w:val="24"/>
          <w:szCs w:val="24"/>
          <w:lang w:eastAsia="fr-CH"/>
        </w:rPr>
        <w:t>al</w:t>
      </w:r>
      <w:r w:rsidRPr="00EB55C1">
        <w:rPr>
          <w:rFonts w:ascii="Times New Roman" w:eastAsia="Times New Roman" w:hAnsi="Times New Roman" w:cs="Times New Roman"/>
          <w:color w:val="000000"/>
          <w:sz w:val="24"/>
          <w:szCs w:val="24"/>
          <w:lang w:eastAsia="fr-CH"/>
        </w:rPr>
        <w:t xml:space="preserve"> monuments in Mali, Libya, </w:t>
      </w:r>
      <w:r w:rsidR="008E7155" w:rsidRPr="00EB55C1">
        <w:rPr>
          <w:rFonts w:ascii="Times New Roman" w:eastAsia="Times New Roman" w:hAnsi="Times New Roman" w:cs="Times New Roman"/>
          <w:color w:val="000000"/>
          <w:sz w:val="24"/>
          <w:szCs w:val="24"/>
          <w:lang w:eastAsia="fr-CH"/>
        </w:rPr>
        <w:t xml:space="preserve">and </w:t>
      </w:r>
      <w:r w:rsidRPr="00EB55C1">
        <w:rPr>
          <w:rFonts w:ascii="Times New Roman" w:eastAsia="Times New Roman" w:hAnsi="Times New Roman" w:cs="Times New Roman"/>
          <w:color w:val="000000"/>
          <w:sz w:val="24"/>
          <w:szCs w:val="24"/>
          <w:lang w:eastAsia="fr-CH"/>
        </w:rPr>
        <w:t>Yemen</w:t>
      </w:r>
      <w:r w:rsidR="008E7155"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or the looting of invaluable artefacts from museums in Iraq, </w:t>
      </w:r>
      <w:r w:rsidR="00DD16C7">
        <w:rPr>
          <w:rFonts w:ascii="Times New Roman" w:eastAsia="Times New Roman" w:hAnsi="Times New Roman" w:cs="Times New Roman"/>
          <w:color w:val="000000"/>
          <w:sz w:val="24"/>
          <w:szCs w:val="24"/>
          <w:lang w:eastAsia="fr-CH"/>
        </w:rPr>
        <w:t xml:space="preserve">the </w:t>
      </w:r>
      <w:r w:rsidR="00540966">
        <w:rPr>
          <w:rFonts w:ascii="Times New Roman" w:eastAsia="Times New Roman" w:hAnsi="Times New Roman" w:cs="Times New Roman"/>
          <w:color w:val="000000"/>
          <w:sz w:val="24"/>
          <w:szCs w:val="24"/>
          <w:lang w:eastAsia="fr-CH"/>
        </w:rPr>
        <w:t xml:space="preserve">deleterious </w:t>
      </w:r>
      <w:r w:rsidR="00DD16C7">
        <w:rPr>
          <w:rFonts w:ascii="Times New Roman" w:eastAsia="Times New Roman" w:hAnsi="Times New Roman" w:cs="Times New Roman"/>
          <w:color w:val="000000"/>
          <w:sz w:val="24"/>
          <w:szCs w:val="24"/>
          <w:lang w:eastAsia="fr-CH"/>
        </w:rPr>
        <w:t xml:space="preserve">effects of </w:t>
      </w:r>
      <w:r w:rsidRPr="00EB55C1">
        <w:rPr>
          <w:rFonts w:ascii="Times New Roman" w:eastAsia="Times New Roman" w:hAnsi="Times New Roman" w:cs="Times New Roman"/>
          <w:color w:val="000000"/>
          <w:sz w:val="24"/>
          <w:szCs w:val="24"/>
          <w:lang w:eastAsia="fr-CH"/>
        </w:rPr>
        <w:t xml:space="preserve">war </w:t>
      </w:r>
      <w:r w:rsidR="00DD16C7">
        <w:rPr>
          <w:rFonts w:ascii="Times New Roman" w:eastAsia="Times New Roman" w:hAnsi="Times New Roman" w:cs="Times New Roman"/>
          <w:color w:val="000000"/>
          <w:sz w:val="24"/>
          <w:szCs w:val="24"/>
          <w:lang w:eastAsia="fr-CH"/>
        </w:rPr>
        <w:t xml:space="preserve">on cultural </w:t>
      </w:r>
      <w:r w:rsidR="00540966">
        <w:rPr>
          <w:rFonts w:ascii="Times New Roman" w:eastAsia="Times New Roman" w:hAnsi="Times New Roman" w:cs="Times New Roman"/>
          <w:color w:val="000000"/>
          <w:sz w:val="24"/>
          <w:szCs w:val="24"/>
          <w:lang w:eastAsia="fr-CH"/>
        </w:rPr>
        <w:t>property</w:t>
      </w:r>
      <w:r w:rsidRPr="00EB55C1">
        <w:rPr>
          <w:rFonts w:ascii="Times New Roman" w:eastAsia="Times New Roman" w:hAnsi="Times New Roman" w:cs="Times New Roman"/>
          <w:color w:val="000000"/>
          <w:sz w:val="24"/>
          <w:szCs w:val="24"/>
          <w:lang w:eastAsia="fr-CH"/>
        </w:rPr>
        <w:t xml:space="preserve"> a</w:t>
      </w:r>
      <w:r w:rsidR="00DD16C7">
        <w:rPr>
          <w:rFonts w:ascii="Times New Roman" w:eastAsia="Times New Roman" w:hAnsi="Times New Roman" w:cs="Times New Roman"/>
          <w:color w:val="000000"/>
          <w:sz w:val="24"/>
          <w:szCs w:val="24"/>
          <w:lang w:eastAsia="fr-CH"/>
        </w:rPr>
        <w:t>re</w:t>
      </w:r>
      <w:r w:rsidRPr="00EB55C1">
        <w:rPr>
          <w:rFonts w:ascii="Times New Roman" w:eastAsia="Times New Roman" w:hAnsi="Times New Roman" w:cs="Times New Roman"/>
          <w:color w:val="000000"/>
          <w:sz w:val="24"/>
          <w:szCs w:val="24"/>
          <w:lang w:eastAsia="fr-CH"/>
        </w:rPr>
        <w:t xml:space="preserve"> well documented. History has </w:t>
      </w:r>
      <w:r w:rsidR="00DD16C7">
        <w:rPr>
          <w:rFonts w:ascii="Times New Roman" w:eastAsia="Times New Roman" w:hAnsi="Times New Roman" w:cs="Times New Roman"/>
          <w:color w:val="000000"/>
          <w:sz w:val="24"/>
          <w:szCs w:val="24"/>
          <w:lang w:eastAsia="fr-CH"/>
        </w:rPr>
        <w:t xml:space="preserve">long shown </w:t>
      </w:r>
      <w:r w:rsidRPr="00EB55C1">
        <w:rPr>
          <w:rFonts w:ascii="Times New Roman" w:eastAsia="Times New Roman" w:hAnsi="Times New Roman" w:cs="Times New Roman"/>
          <w:color w:val="000000"/>
          <w:sz w:val="24"/>
          <w:szCs w:val="24"/>
          <w:lang w:eastAsia="fr-CH"/>
        </w:rPr>
        <w:t>there is an inherent link between the protection of cultural property during armed conflict and the protection of human beings</w:t>
      </w:r>
      <w:r w:rsidR="00F839E5" w:rsidRPr="00EB55C1">
        <w:rPr>
          <w:rFonts w:ascii="Times New Roman" w:eastAsia="Times New Roman" w:hAnsi="Times New Roman" w:cs="Times New Roman"/>
          <w:color w:val="000000"/>
          <w:sz w:val="24"/>
          <w:szCs w:val="24"/>
          <w:lang w:eastAsia="fr-CH"/>
        </w:rPr>
        <w:t>,</w:t>
      </w:r>
      <w:r w:rsidR="00DD16C7">
        <w:rPr>
          <w:rFonts w:ascii="Times New Roman" w:eastAsia="Times New Roman" w:hAnsi="Times New Roman" w:cs="Times New Roman"/>
          <w:color w:val="000000"/>
          <w:sz w:val="24"/>
          <w:szCs w:val="24"/>
          <w:lang w:eastAsia="fr-CH"/>
        </w:rPr>
        <w:t xml:space="preserve"> giving</w:t>
      </w:r>
      <w:r w:rsidRPr="00EB55C1">
        <w:rPr>
          <w:rFonts w:ascii="Times New Roman" w:eastAsia="Times New Roman" w:hAnsi="Times New Roman" w:cs="Times New Roman"/>
          <w:color w:val="000000"/>
          <w:sz w:val="24"/>
          <w:szCs w:val="24"/>
          <w:lang w:eastAsia="fr-CH"/>
        </w:rPr>
        <w:t xml:space="preserve"> </w:t>
      </w:r>
      <w:r w:rsidR="00F839E5" w:rsidRPr="00EB55C1">
        <w:rPr>
          <w:rFonts w:ascii="Times New Roman" w:eastAsia="Times New Roman" w:hAnsi="Times New Roman" w:cs="Times New Roman"/>
          <w:color w:val="000000"/>
          <w:sz w:val="24"/>
          <w:szCs w:val="24"/>
          <w:lang w:eastAsia="fr-CH"/>
        </w:rPr>
        <w:t xml:space="preserve">this protection </w:t>
      </w:r>
      <w:r w:rsidRPr="00EB55C1">
        <w:rPr>
          <w:rFonts w:ascii="Times New Roman" w:eastAsia="Times New Roman" w:hAnsi="Times New Roman" w:cs="Times New Roman"/>
          <w:color w:val="000000"/>
          <w:sz w:val="24"/>
          <w:szCs w:val="24"/>
          <w:lang w:eastAsia="fr-CH"/>
        </w:rPr>
        <w:t>a humanitarian imperative.</w:t>
      </w:r>
      <w:r w:rsidR="00A959E3" w:rsidRPr="00EB55C1">
        <w:rPr>
          <w:rFonts w:ascii="Times New Roman" w:eastAsia="Times New Roman" w:hAnsi="Times New Roman" w:cs="Times New Roman"/>
          <w:color w:val="000000"/>
          <w:sz w:val="24"/>
          <w:szCs w:val="24"/>
          <w:lang w:eastAsia="fr-CH"/>
        </w:rPr>
        <w:t xml:space="preserve"> </w:t>
      </w:r>
      <w:r w:rsidR="00DD16C7">
        <w:rPr>
          <w:rFonts w:ascii="Times New Roman" w:eastAsia="Times New Roman" w:hAnsi="Times New Roman" w:cs="Times New Roman"/>
          <w:color w:val="000000"/>
          <w:sz w:val="24"/>
          <w:szCs w:val="24"/>
          <w:lang w:eastAsia="fr-CH"/>
        </w:rPr>
        <w:t>A</w:t>
      </w:r>
      <w:r w:rsidRPr="00EB55C1">
        <w:rPr>
          <w:rFonts w:ascii="Times New Roman" w:eastAsia="Times New Roman" w:hAnsi="Times New Roman" w:cs="Times New Roman"/>
          <w:color w:val="000000"/>
          <w:sz w:val="24"/>
          <w:szCs w:val="24"/>
          <w:lang w:eastAsia="fr-CH"/>
        </w:rPr>
        <w:t xml:space="preserve"> comprehensive co</w:t>
      </w:r>
      <w:r w:rsidR="0026596A" w:rsidRPr="00EB55C1">
        <w:rPr>
          <w:rFonts w:ascii="Times New Roman" w:eastAsia="Times New Roman" w:hAnsi="Times New Roman" w:cs="Times New Roman"/>
          <w:color w:val="000000"/>
          <w:sz w:val="24"/>
          <w:szCs w:val="24"/>
          <w:lang w:eastAsia="fr-CH"/>
        </w:rPr>
        <w:t xml:space="preserve">rpus of international law </w:t>
      </w:r>
      <w:r w:rsidRPr="00EB55C1">
        <w:rPr>
          <w:rFonts w:ascii="Times New Roman" w:eastAsia="Times New Roman" w:hAnsi="Times New Roman" w:cs="Times New Roman"/>
          <w:color w:val="000000"/>
          <w:sz w:val="24"/>
          <w:szCs w:val="24"/>
          <w:lang w:eastAsia="fr-CH"/>
        </w:rPr>
        <w:t xml:space="preserve">has been developed </w:t>
      </w:r>
      <w:r w:rsidR="00A959E3" w:rsidRPr="00EB55C1">
        <w:rPr>
          <w:rFonts w:ascii="Times New Roman" w:eastAsia="Times New Roman" w:hAnsi="Times New Roman" w:cs="Times New Roman"/>
          <w:color w:val="000000"/>
          <w:sz w:val="24"/>
          <w:szCs w:val="24"/>
          <w:lang w:eastAsia="fr-CH"/>
        </w:rPr>
        <w:t xml:space="preserve">since the 1950s </w:t>
      </w:r>
      <w:r w:rsidRPr="00EB55C1">
        <w:rPr>
          <w:rFonts w:ascii="Times New Roman" w:eastAsia="Times New Roman" w:hAnsi="Times New Roman" w:cs="Times New Roman"/>
          <w:color w:val="000000"/>
          <w:sz w:val="24"/>
          <w:szCs w:val="24"/>
          <w:lang w:eastAsia="fr-CH"/>
        </w:rPr>
        <w:t xml:space="preserve">to regulate the protection of </w:t>
      </w:r>
      <w:r w:rsidR="00540966">
        <w:rPr>
          <w:rFonts w:ascii="Times New Roman" w:eastAsia="Times New Roman" w:hAnsi="Times New Roman" w:cs="Times New Roman"/>
          <w:color w:val="000000"/>
          <w:sz w:val="24"/>
          <w:szCs w:val="24"/>
          <w:lang w:eastAsia="fr-CH"/>
        </w:rPr>
        <w:t>cultural property</w:t>
      </w:r>
      <w:r w:rsidRPr="00EB55C1">
        <w:rPr>
          <w:rFonts w:ascii="Times New Roman" w:eastAsia="Times New Roman" w:hAnsi="Times New Roman" w:cs="Times New Roman"/>
          <w:color w:val="000000"/>
          <w:sz w:val="24"/>
          <w:szCs w:val="24"/>
          <w:lang w:eastAsia="fr-CH"/>
        </w:rPr>
        <w:t xml:space="preserve"> against</w:t>
      </w:r>
      <w:r w:rsidR="0026596A" w:rsidRPr="00EB55C1">
        <w:rPr>
          <w:rFonts w:ascii="Times New Roman" w:eastAsia="Times New Roman" w:hAnsi="Times New Roman" w:cs="Times New Roman"/>
          <w:color w:val="000000"/>
          <w:sz w:val="24"/>
          <w:szCs w:val="24"/>
          <w:lang w:eastAsia="fr-CH"/>
        </w:rPr>
        <w:t xml:space="preserve"> the devastating effects of war</w:t>
      </w:r>
      <w:r w:rsidRPr="00EB55C1">
        <w:rPr>
          <w:rFonts w:ascii="Times New Roman" w:eastAsia="Times New Roman" w:hAnsi="Times New Roman" w:cs="Times New Roman"/>
          <w:color w:val="000000"/>
          <w:sz w:val="24"/>
          <w:szCs w:val="24"/>
          <w:lang w:eastAsia="fr-CH"/>
        </w:rPr>
        <w:t xml:space="preserve">. </w:t>
      </w:r>
      <w:r w:rsidR="0026596A" w:rsidRPr="00EB55C1">
        <w:rPr>
          <w:rFonts w:ascii="Times New Roman" w:eastAsia="Times New Roman" w:hAnsi="Times New Roman" w:cs="Times New Roman"/>
          <w:color w:val="000000"/>
          <w:sz w:val="24"/>
          <w:szCs w:val="24"/>
          <w:lang w:eastAsia="fr-CH"/>
        </w:rPr>
        <w:t xml:space="preserve">Not only does </w:t>
      </w:r>
      <w:r w:rsidR="009B179E" w:rsidRPr="00EB55C1">
        <w:rPr>
          <w:rFonts w:ascii="Times New Roman" w:eastAsia="Times New Roman" w:hAnsi="Times New Roman" w:cs="Times New Roman"/>
          <w:color w:val="000000"/>
          <w:sz w:val="24"/>
          <w:szCs w:val="24"/>
          <w:lang w:eastAsia="fr-CH"/>
        </w:rPr>
        <w:t>this corpus</w:t>
      </w:r>
      <w:r w:rsidR="0026596A" w:rsidRPr="00EB55C1">
        <w:rPr>
          <w:rFonts w:ascii="Times New Roman" w:eastAsia="Times New Roman" w:hAnsi="Times New Roman" w:cs="Times New Roman"/>
          <w:color w:val="000000"/>
          <w:sz w:val="24"/>
          <w:szCs w:val="24"/>
          <w:lang w:eastAsia="fr-CH"/>
        </w:rPr>
        <w:t xml:space="preserve"> establish</w:t>
      </w:r>
      <w:r w:rsidRPr="00EB55C1">
        <w:rPr>
          <w:rFonts w:ascii="Times New Roman" w:eastAsia="Times New Roman" w:hAnsi="Times New Roman" w:cs="Times New Roman"/>
          <w:color w:val="000000"/>
          <w:sz w:val="24"/>
          <w:szCs w:val="24"/>
          <w:lang w:eastAsia="fr-CH"/>
        </w:rPr>
        <w:t xml:space="preserve"> a set of legal obligations</w:t>
      </w:r>
      <w:r w:rsidR="009B179E" w:rsidRPr="00EB55C1">
        <w:rPr>
          <w:rFonts w:ascii="Times New Roman" w:eastAsia="Times New Roman" w:hAnsi="Times New Roman" w:cs="Times New Roman"/>
          <w:color w:val="000000"/>
          <w:sz w:val="24"/>
          <w:szCs w:val="24"/>
          <w:lang w:eastAsia="fr-CH"/>
        </w:rPr>
        <w:t xml:space="preserve"> addressed to </w:t>
      </w:r>
      <w:r w:rsidR="001B24D5" w:rsidRPr="00EB55C1">
        <w:rPr>
          <w:rFonts w:ascii="Times New Roman" w:eastAsia="Times New Roman" w:hAnsi="Times New Roman" w:cs="Times New Roman"/>
          <w:color w:val="000000"/>
          <w:sz w:val="24"/>
          <w:szCs w:val="24"/>
          <w:lang w:eastAsia="fr-CH"/>
        </w:rPr>
        <w:t>s</w:t>
      </w:r>
      <w:r w:rsidR="009B179E" w:rsidRPr="00EB55C1">
        <w:rPr>
          <w:rFonts w:ascii="Times New Roman" w:eastAsia="Times New Roman" w:hAnsi="Times New Roman" w:cs="Times New Roman"/>
          <w:color w:val="000000"/>
          <w:sz w:val="24"/>
          <w:szCs w:val="24"/>
          <w:lang w:eastAsia="fr-CH"/>
        </w:rPr>
        <w:t>tates in peacetime and to parties to armed conflic</w:t>
      </w:r>
      <w:r w:rsidR="00E72FBE" w:rsidRPr="00EB55C1">
        <w:rPr>
          <w:rFonts w:ascii="Times New Roman" w:eastAsia="Times New Roman" w:hAnsi="Times New Roman" w:cs="Times New Roman"/>
          <w:color w:val="000000"/>
          <w:sz w:val="24"/>
          <w:szCs w:val="24"/>
          <w:lang w:eastAsia="fr-CH"/>
        </w:rPr>
        <w:t>t—</w:t>
      </w:r>
      <w:r w:rsidRPr="00EB55C1">
        <w:rPr>
          <w:rFonts w:ascii="Times New Roman" w:eastAsia="Times New Roman" w:hAnsi="Times New Roman" w:cs="Times New Roman"/>
          <w:color w:val="000000"/>
          <w:sz w:val="24"/>
          <w:szCs w:val="24"/>
          <w:lang w:eastAsia="fr-CH"/>
        </w:rPr>
        <w:t>several of which have been crystallized into customary law</w:t>
      </w:r>
      <w:r w:rsidR="00E72FBE"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w:t>
      </w:r>
      <w:r w:rsidR="0026596A" w:rsidRPr="00EB55C1">
        <w:rPr>
          <w:rFonts w:ascii="Times New Roman" w:eastAsia="Times New Roman" w:hAnsi="Times New Roman" w:cs="Times New Roman"/>
          <w:color w:val="000000"/>
          <w:sz w:val="24"/>
          <w:szCs w:val="24"/>
          <w:lang w:eastAsia="fr-CH"/>
        </w:rPr>
        <w:t xml:space="preserve">it </w:t>
      </w:r>
      <w:r w:rsidRPr="00EB55C1">
        <w:rPr>
          <w:rFonts w:ascii="Times New Roman" w:eastAsia="Times New Roman" w:hAnsi="Times New Roman" w:cs="Times New Roman"/>
          <w:color w:val="000000"/>
          <w:sz w:val="24"/>
          <w:szCs w:val="24"/>
          <w:lang w:eastAsia="fr-CH"/>
        </w:rPr>
        <w:t xml:space="preserve">also </w:t>
      </w:r>
      <w:r w:rsidR="0026596A" w:rsidRPr="00EB55C1">
        <w:rPr>
          <w:rFonts w:ascii="Times New Roman" w:eastAsia="Times New Roman" w:hAnsi="Times New Roman" w:cs="Times New Roman"/>
          <w:color w:val="000000"/>
          <w:sz w:val="24"/>
          <w:szCs w:val="24"/>
          <w:lang w:eastAsia="fr-CH"/>
        </w:rPr>
        <w:t xml:space="preserve">sets up </w:t>
      </w:r>
      <w:r w:rsidR="00DA72AE" w:rsidRPr="00EB55C1">
        <w:rPr>
          <w:rFonts w:ascii="Times New Roman" w:eastAsia="Times New Roman" w:hAnsi="Times New Roman" w:cs="Times New Roman"/>
          <w:color w:val="000000"/>
          <w:sz w:val="24"/>
          <w:szCs w:val="24"/>
          <w:lang w:eastAsia="fr-CH"/>
        </w:rPr>
        <w:t>normative and institutional</w:t>
      </w:r>
      <w:r w:rsidRPr="00EB55C1">
        <w:rPr>
          <w:rFonts w:ascii="Times New Roman" w:eastAsia="Times New Roman" w:hAnsi="Times New Roman" w:cs="Times New Roman"/>
          <w:color w:val="000000"/>
          <w:sz w:val="24"/>
          <w:szCs w:val="24"/>
          <w:lang w:eastAsia="fr-CH"/>
        </w:rPr>
        <w:t xml:space="preserve"> mechanisms </w:t>
      </w:r>
      <w:r w:rsidR="00260BD1" w:rsidRPr="00EB55C1">
        <w:rPr>
          <w:rFonts w:ascii="Times New Roman" w:eastAsia="Times New Roman" w:hAnsi="Times New Roman" w:cs="Times New Roman"/>
          <w:color w:val="000000"/>
          <w:sz w:val="24"/>
          <w:szCs w:val="24"/>
          <w:lang w:eastAsia="fr-CH"/>
        </w:rPr>
        <w:t>with a view</w:t>
      </w:r>
      <w:r w:rsidRPr="00EB55C1">
        <w:rPr>
          <w:rFonts w:ascii="Times New Roman" w:eastAsia="Times New Roman" w:hAnsi="Times New Roman" w:cs="Times New Roman"/>
          <w:color w:val="000000"/>
          <w:sz w:val="24"/>
          <w:szCs w:val="24"/>
          <w:lang w:eastAsia="fr-CH"/>
        </w:rPr>
        <w:t xml:space="preserve"> to enhanc</w:t>
      </w:r>
      <w:r w:rsidR="005C0E33" w:rsidRPr="00EB55C1">
        <w:rPr>
          <w:rFonts w:ascii="Times New Roman" w:eastAsia="Times New Roman" w:hAnsi="Times New Roman" w:cs="Times New Roman"/>
          <w:color w:val="000000"/>
          <w:sz w:val="24"/>
          <w:szCs w:val="24"/>
          <w:lang w:eastAsia="fr-CH"/>
        </w:rPr>
        <w:t>ing</w:t>
      </w:r>
      <w:r w:rsidRPr="00EB55C1">
        <w:rPr>
          <w:rFonts w:ascii="Times New Roman" w:eastAsia="Times New Roman" w:hAnsi="Times New Roman" w:cs="Times New Roman"/>
          <w:color w:val="000000"/>
          <w:sz w:val="24"/>
          <w:szCs w:val="24"/>
          <w:lang w:eastAsia="fr-CH"/>
        </w:rPr>
        <w:t xml:space="preserve"> its effectiveness.</w:t>
      </w:r>
    </w:p>
    <w:p w14:paraId="2B0A83C1" w14:textId="5A0404AA" w:rsidR="00480C92" w:rsidRPr="00EB55C1" w:rsidRDefault="00117980">
      <w:pPr>
        <w:spacing w:before="120" w:after="120" w:line="480" w:lineRule="auto"/>
        <w:ind w:firstLine="708"/>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color w:val="000000"/>
          <w:sz w:val="24"/>
          <w:szCs w:val="24"/>
          <w:lang w:eastAsia="fr-CH"/>
        </w:rPr>
        <w:t>C</w:t>
      </w:r>
      <w:r w:rsidR="00480C92" w:rsidRPr="00EB55C1">
        <w:rPr>
          <w:rFonts w:ascii="Times New Roman" w:eastAsia="Times New Roman" w:hAnsi="Times New Roman" w:cs="Times New Roman"/>
          <w:color w:val="000000"/>
          <w:sz w:val="24"/>
          <w:szCs w:val="24"/>
          <w:lang w:eastAsia="fr-CH"/>
        </w:rPr>
        <w:t>ertain aspects of the applicable legal framework could be improved</w:t>
      </w:r>
      <w:r w:rsidRPr="00EB55C1">
        <w:rPr>
          <w:rFonts w:ascii="Times New Roman" w:eastAsia="Times New Roman" w:hAnsi="Times New Roman" w:cs="Times New Roman"/>
          <w:color w:val="000000"/>
          <w:sz w:val="24"/>
          <w:szCs w:val="24"/>
          <w:lang w:eastAsia="fr-CH"/>
        </w:rPr>
        <w:t>. Nevertheless,</w:t>
      </w:r>
      <w:r w:rsidR="00480C92" w:rsidRPr="00EB55C1">
        <w:rPr>
          <w:rFonts w:ascii="Times New Roman" w:eastAsia="Times New Roman" w:hAnsi="Times New Roman" w:cs="Times New Roman"/>
          <w:color w:val="000000"/>
          <w:sz w:val="24"/>
          <w:szCs w:val="24"/>
          <w:lang w:eastAsia="fr-CH"/>
        </w:rPr>
        <w:t xml:space="preserve"> th</w:t>
      </w:r>
      <w:r w:rsidR="00DD16C7">
        <w:rPr>
          <w:rFonts w:ascii="Times New Roman" w:eastAsia="Times New Roman" w:hAnsi="Times New Roman" w:cs="Times New Roman"/>
          <w:color w:val="000000"/>
          <w:sz w:val="24"/>
          <w:szCs w:val="24"/>
          <w:lang w:eastAsia="fr-CH"/>
        </w:rPr>
        <w:t>is</w:t>
      </w:r>
      <w:r w:rsidR="00480C92" w:rsidRPr="00EB55C1">
        <w:rPr>
          <w:rFonts w:ascii="Times New Roman" w:eastAsia="Times New Roman" w:hAnsi="Times New Roman" w:cs="Times New Roman"/>
          <w:color w:val="000000"/>
          <w:sz w:val="24"/>
          <w:szCs w:val="24"/>
          <w:lang w:eastAsia="fr-CH"/>
        </w:rPr>
        <w:t xml:space="preserve"> </w:t>
      </w:r>
      <w:r w:rsidR="00E52E9A" w:rsidRPr="00EB55C1">
        <w:rPr>
          <w:rFonts w:ascii="Times New Roman" w:eastAsia="Times New Roman" w:hAnsi="Times New Roman" w:cs="Times New Roman"/>
          <w:color w:val="000000"/>
          <w:sz w:val="24"/>
          <w:szCs w:val="24"/>
          <w:lang w:eastAsia="fr-CH"/>
        </w:rPr>
        <w:t>chapter</w:t>
      </w:r>
      <w:r w:rsidR="00480C92"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 xml:space="preserve">argues </w:t>
      </w:r>
      <w:r w:rsidR="00480C92" w:rsidRPr="00EB55C1">
        <w:rPr>
          <w:rFonts w:ascii="Times New Roman" w:eastAsia="Times New Roman" w:hAnsi="Times New Roman" w:cs="Times New Roman"/>
          <w:color w:val="000000"/>
          <w:sz w:val="24"/>
          <w:szCs w:val="24"/>
          <w:lang w:eastAsia="fr-CH"/>
        </w:rPr>
        <w:t xml:space="preserve">that </w:t>
      </w:r>
      <w:r w:rsidR="005A327E" w:rsidRPr="00EB55C1">
        <w:rPr>
          <w:rFonts w:ascii="Times New Roman" w:eastAsia="Times New Roman" w:hAnsi="Times New Roman" w:cs="Times New Roman"/>
          <w:color w:val="000000"/>
          <w:sz w:val="24"/>
          <w:szCs w:val="24"/>
          <w:lang w:eastAsia="fr-CH"/>
        </w:rPr>
        <w:t>i</w:t>
      </w:r>
      <w:r w:rsidR="00480C92" w:rsidRPr="00EB55C1">
        <w:rPr>
          <w:rFonts w:ascii="Times New Roman" w:eastAsia="Times New Roman" w:hAnsi="Times New Roman" w:cs="Times New Roman"/>
          <w:color w:val="000000"/>
          <w:sz w:val="24"/>
          <w:szCs w:val="24"/>
          <w:lang w:eastAsia="fr-CH"/>
        </w:rPr>
        <w:t xml:space="preserve">nternational </w:t>
      </w:r>
      <w:r w:rsidR="00EB2C9E" w:rsidRPr="00EB55C1">
        <w:rPr>
          <w:rFonts w:ascii="Times New Roman" w:eastAsia="Times New Roman" w:hAnsi="Times New Roman" w:cs="Times New Roman"/>
          <w:color w:val="000000"/>
          <w:sz w:val="24"/>
          <w:szCs w:val="24"/>
          <w:lang w:eastAsia="fr-CH"/>
        </w:rPr>
        <w:t>h</w:t>
      </w:r>
      <w:r w:rsidR="00480C92" w:rsidRPr="00EB55C1">
        <w:rPr>
          <w:rFonts w:ascii="Times New Roman" w:eastAsia="Times New Roman" w:hAnsi="Times New Roman" w:cs="Times New Roman"/>
          <w:color w:val="000000"/>
          <w:sz w:val="24"/>
          <w:szCs w:val="24"/>
          <w:lang w:eastAsia="fr-CH"/>
        </w:rPr>
        <w:t xml:space="preserve">umanitarian </w:t>
      </w:r>
      <w:r w:rsidR="00EB2C9E" w:rsidRPr="00EB55C1">
        <w:rPr>
          <w:rFonts w:ascii="Times New Roman" w:eastAsia="Times New Roman" w:hAnsi="Times New Roman" w:cs="Times New Roman"/>
          <w:color w:val="000000"/>
          <w:sz w:val="24"/>
          <w:szCs w:val="24"/>
          <w:lang w:eastAsia="fr-CH"/>
        </w:rPr>
        <w:t>l</w:t>
      </w:r>
      <w:r w:rsidR="00480C92" w:rsidRPr="00EB55C1">
        <w:rPr>
          <w:rFonts w:ascii="Times New Roman" w:eastAsia="Times New Roman" w:hAnsi="Times New Roman" w:cs="Times New Roman"/>
          <w:color w:val="000000"/>
          <w:sz w:val="24"/>
          <w:szCs w:val="24"/>
          <w:lang w:eastAsia="fr-CH"/>
        </w:rPr>
        <w:t>aw (IH</w:t>
      </w:r>
      <w:r w:rsidR="00591CE9" w:rsidRPr="00EB55C1">
        <w:rPr>
          <w:rFonts w:ascii="Times New Roman" w:eastAsia="Times New Roman" w:hAnsi="Times New Roman" w:cs="Times New Roman"/>
          <w:color w:val="000000"/>
          <w:sz w:val="24"/>
          <w:szCs w:val="24"/>
          <w:lang w:eastAsia="fr-CH"/>
        </w:rPr>
        <w:t>L)</w:t>
      </w:r>
      <w:r w:rsidR="00480C92" w:rsidRPr="00EB55C1">
        <w:rPr>
          <w:rFonts w:ascii="Times New Roman" w:eastAsia="Times New Roman" w:hAnsi="Times New Roman" w:cs="Times New Roman"/>
          <w:color w:val="000000"/>
          <w:sz w:val="24"/>
          <w:szCs w:val="24"/>
          <w:lang w:eastAsia="fr-CH"/>
        </w:rPr>
        <w:t xml:space="preserve"> provides a </w:t>
      </w:r>
      <w:r w:rsidR="00FB684A" w:rsidRPr="00EB55C1">
        <w:rPr>
          <w:rFonts w:ascii="Times New Roman" w:eastAsia="Times New Roman" w:hAnsi="Times New Roman" w:cs="Times New Roman"/>
          <w:color w:val="000000"/>
          <w:sz w:val="24"/>
          <w:szCs w:val="24"/>
          <w:lang w:eastAsia="fr-CH"/>
        </w:rPr>
        <w:t xml:space="preserve">solid </w:t>
      </w:r>
      <w:r w:rsidR="00480C92" w:rsidRPr="00EB55C1">
        <w:rPr>
          <w:rFonts w:ascii="Times New Roman" w:eastAsia="Times New Roman" w:hAnsi="Times New Roman" w:cs="Times New Roman"/>
          <w:color w:val="000000"/>
          <w:sz w:val="24"/>
          <w:szCs w:val="24"/>
          <w:lang w:eastAsia="fr-CH"/>
        </w:rPr>
        <w:t>system of protection for tangible cultural heritage in the event of armed conflict.</w:t>
      </w:r>
      <w:r w:rsidR="00F90371" w:rsidRPr="00EB55C1">
        <w:rPr>
          <w:rFonts w:ascii="Times New Roman" w:eastAsia="Times New Roman" w:hAnsi="Times New Roman" w:cs="Times New Roman"/>
          <w:color w:val="000000"/>
          <w:sz w:val="24"/>
          <w:szCs w:val="24"/>
          <w:lang w:eastAsia="fr-CH"/>
        </w:rPr>
        <w:t xml:space="preserve"> T</w:t>
      </w:r>
      <w:r w:rsidR="00480C92" w:rsidRPr="00EB55C1">
        <w:rPr>
          <w:rFonts w:ascii="Times New Roman" w:eastAsia="Times New Roman" w:hAnsi="Times New Roman" w:cs="Times New Roman"/>
          <w:color w:val="000000"/>
          <w:sz w:val="24"/>
          <w:szCs w:val="24"/>
          <w:lang w:eastAsia="fr-CH"/>
        </w:rPr>
        <w:t xml:space="preserve">he key to effectively </w:t>
      </w:r>
      <w:r w:rsidR="00EB2C9E" w:rsidRPr="00EB55C1">
        <w:rPr>
          <w:rFonts w:ascii="Times New Roman" w:eastAsia="Times New Roman" w:hAnsi="Times New Roman" w:cs="Times New Roman"/>
          <w:color w:val="000000"/>
          <w:sz w:val="24"/>
          <w:szCs w:val="24"/>
          <w:lang w:eastAsia="fr-CH"/>
        </w:rPr>
        <w:t xml:space="preserve">reinforcing </w:t>
      </w:r>
      <w:r w:rsidR="00480C92" w:rsidRPr="00EB55C1">
        <w:rPr>
          <w:rFonts w:ascii="Times New Roman" w:eastAsia="Times New Roman" w:hAnsi="Times New Roman" w:cs="Times New Roman"/>
          <w:color w:val="000000"/>
          <w:sz w:val="24"/>
          <w:szCs w:val="24"/>
          <w:lang w:eastAsia="fr-CH"/>
        </w:rPr>
        <w:t xml:space="preserve">such protection lies in strengthening the implementation of </w:t>
      </w:r>
      <w:r w:rsidR="00AA400A" w:rsidRPr="00EB55C1">
        <w:rPr>
          <w:rFonts w:ascii="Times New Roman" w:eastAsia="Times New Roman" w:hAnsi="Times New Roman" w:cs="Times New Roman"/>
          <w:color w:val="000000"/>
          <w:sz w:val="24"/>
          <w:szCs w:val="24"/>
          <w:lang w:eastAsia="fr-CH"/>
        </w:rPr>
        <w:t xml:space="preserve">the </w:t>
      </w:r>
      <w:r w:rsidR="00480C92" w:rsidRPr="00EB55C1">
        <w:rPr>
          <w:rFonts w:ascii="Times New Roman" w:eastAsia="Times New Roman" w:hAnsi="Times New Roman" w:cs="Times New Roman"/>
          <w:color w:val="000000"/>
          <w:sz w:val="24"/>
          <w:szCs w:val="24"/>
          <w:lang w:eastAsia="fr-CH"/>
        </w:rPr>
        <w:t>established conventional and customary rules rather than</w:t>
      </w:r>
      <w:r w:rsidR="00B8520D" w:rsidRPr="00EB55C1">
        <w:rPr>
          <w:rFonts w:ascii="Times New Roman" w:eastAsia="Times New Roman" w:hAnsi="Times New Roman" w:cs="Times New Roman"/>
          <w:color w:val="000000"/>
          <w:sz w:val="24"/>
          <w:szCs w:val="24"/>
          <w:lang w:eastAsia="fr-CH"/>
        </w:rPr>
        <w:t xml:space="preserve"> </w:t>
      </w:r>
      <w:r w:rsidR="007C12D4" w:rsidRPr="007C12D4">
        <w:rPr>
          <w:rFonts w:ascii="Times New Roman" w:eastAsia="Times New Roman" w:hAnsi="Times New Roman" w:cs="Times New Roman"/>
          <w:color w:val="000000"/>
          <w:sz w:val="24"/>
          <w:szCs w:val="24"/>
          <w:lang w:eastAsia="fr-CH"/>
        </w:rPr>
        <w:t>focusing on ways to alter existing imperfections</w:t>
      </w:r>
      <w:r w:rsidR="007C2FAD" w:rsidRPr="00EB55C1">
        <w:rPr>
          <w:rFonts w:ascii="Times New Roman" w:eastAsia="Times New Roman" w:hAnsi="Times New Roman" w:cs="Times New Roman"/>
          <w:color w:val="000000"/>
          <w:sz w:val="24"/>
          <w:szCs w:val="24"/>
          <w:lang w:eastAsia="fr-CH"/>
        </w:rPr>
        <w:t>. In this context, the authors</w:t>
      </w:r>
      <w:r w:rsidR="00D22230" w:rsidRPr="00EB55C1">
        <w:rPr>
          <w:rFonts w:ascii="Times New Roman" w:eastAsia="Times New Roman" w:hAnsi="Times New Roman" w:cs="Times New Roman"/>
          <w:color w:val="000000"/>
          <w:sz w:val="24"/>
          <w:szCs w:val="24"/>
          <w:lang w:eastAsia="fr-CH"/>
        </w:rPr>
        <w:t xml:space="preserve"> </w:t>
      </w:r>
      <w:r w:rsidR="00B8520D" w:rsidRPr="00EB55C1">
        <w:rPr>
          <w:rFonts w:ascii="Times New Roman" w:eastAsia="Times New Roman" w:hAnsi="Times New Roman" w:cs="Times New Roman"/>
          <w:color w:val="000000"/>
          <w:sz w:val="24"/>
          <w:szCs w:val="24"/>
          <w:lang w:eastAsia="fr-CH"/>
        </w:rPr>
        <w:t xml:space="preserve">present the key features of some </w:t>
      </w:r>
      <w:r w:rsidR="00480C92" w:rsidRPr="00EB55C1">
        <w:rPr>
          <w:rFonts w:ascii="Times New Roman" w:eastAsia="Times New Roman" w:hAnsi="Times New Roman" w:cs="Times New Roman"/>
          <w:color w:val="000000"/>
          <w:sz w:val="24"/>
          <w:szCs w:val="24"/>
          <w:lang w:eastAsia="fr-CH"/>
        </w:rPr>
        <w:t xml:space="preserve">of the existing mechanisms established to ensure compliance with the </w:t>
      </w:r>
      <w:r w:rsidR="002334C0" w:rsidRPr="00360D35">
        <w:rPr>
          <w:rFonts w:ascii="Times New Roman" w:eastAsia="Times New Roman" w:hAnsi="Times New Roman" w:cs="Times New Roman"/>
          <w:color w:val="000000"/>
          <w:sz w:val="24"/>
          <w:szCs w:val="24"/>
          <w:lang w:eastAsia="fr-CH"/>
        </w:rPr>
        <w:t xml:space="preserve">relevant </w:t>
      </w:r>
      <w:r w:rsidR="00480C92" w:rsidRPr="00EB55C1">
        <w:rPr>
          <w:rFonts w:ascii="Times New Roman" w:eastAsia="Times New Roman" w:hAnsi="Times New Roman" w:cs="Times New Roman"/>
          <w:color w:val="000000"/>
          <w:sz w:val="24"/>
          <w:szCs w:val="24"/>
          <w:lang w:eastAsia="fr-CH"/>
        </w:rPr>
        <w:t>norms and assess their relevance</w:t>
      </w:r>
      <w:r w:rsidR="00B8520D" w:rsidRPr="00EB55C1">
        <w:rPr>
          <w:rFonts w:ascii="Times New Roman" w:eastAsia="Times New Roman" w:hAnsi="Times New Roman" w:cs="Times New Roman"/>
          <w:color w:val="000000"/>
          <w:sz w:val="24"/>
          <w:szCs w:val="24"/>
          <w:lang w:eastAsia="fr-CH"/>
        </w:rPr>
        <w:t>.</w:t>
      </w:r>
    </w:p>
    <w:p w14:paraId="4FF964B7" w14:textId="3D19CEB6" w:rsidR="00B866E7" w:rsidRPr="00EB55C1" w:rsidRDefault="006F5D2E">
      <w:pPr>
        <w:spacing w:before="120" w:after="120" w:line="480" w:lineRule="auto"/>
        <w:ind w:firstLine="708"/>
        <w:rPr>
          <w:rFonts w:ascii="Times New Roman" w:eastAsia="Times New Roman" w:hAnsi="Times New Roman" w:cs="Times New Roman"/>
          <w:sz w:val="24"/>
          <w:szCs w:val="24"/>
          <w:lang w:eastAsia="fr-CH"/>
        </w:rPr>
      </w:pPr>
      <w:r w:rsidRPr="00360D35">
        <w:rPr>
          <w:rFonts w:ascii="Times New Roman" w:eastAsia="Times New Roman" w:hAnsi="Times New Roman" w:cs="Times New Roman"/>
          <w:color w:val="000000"/>
          <w:sz w:val="24"/>
          <w:szCs w:val="24"/>
          <w:lang w:eastAsia="fr-CH"/>
        </w:rPr>
        <w:t>F</w:t>
      </w:r>
      <w:r w:rsidR="00B866E7" w:rsidRPr="00EB55C1">
        <w:rPr>
          <w:rFonts w:ascii="Times New Roman" w:eastAsia="Times New Roman" w:hAnsi="Times New Roman" w:cs="Times New Roman"/>
          <w:color w:val="000000"/>
          <w:sz w:val="24"/>
          <w:szCs w:val="24"/>
          <w:lang w:eastAsia="fr-CH"/>
        </w:rPr>
        <w:t xml:space="preserve">or the purposes of IHL, </w:t>
      </w:r>
      <w:r w:rsidR="00F30CC9" w:rsidRPr="00360D35">
        <w:rPr>
          <w:rFonts w:ascii="Times New Roman" w:eastAsia="Times New Roman" w:hAnsi="Times New Roman" w:cs="Times New Roman"/>
          <w:color w:val="000000"/>
          <w:sz w:val="24"/>
          <w:szCs w:val="24"/>
          <w:lang w:eastAsia="fr-CH"/>
        </w:rPr>
        <w:t>“</w:t>
      </w:r>
      <w:r w:rsidR="00B866E7" w:rsidRPr="00EB55C1">
        <w:rPr>
          <w:rFonts w:ascii="Times New Roman" w:eastAsia="Times New Roman" w:hAnsi="Times New Roman" w:cs="Times New Roman"/>
          <w:color w:val="000000"/>
          <w:sz w:val="24"/>
          <w:szCs w:val="24"/>
          <w:lang w:eastAsia="fr-CH"/>
        </w:rPr>
        <w:t xml:space="preserve">cultural </w:t>
      </w:r>
      <w:r w:rsidR="00F721D6">
        <w:rPr>
          <w:rFonts w:ascii="Times New Roman" w:eastAsia="Times New Roman" w:hAnsi="Times New Roman" w:cs="Times New Roman"/>
          <w:color w:val="000000"/>
          <w:sz w:val="24"/>
          <w:szCs w:val="24"/>
          <w:lang w:eastAsia="fr-CH"/>
        </w:rPr>
        <w:t>property</w:t>
      </w:r>
      <w:r w:rsidR="00B866E7" w:rsidRPr="00EB55C1">
        <w:rPr>
          <w:rFonts w:ascii="Times New Roman" w:eastAsia="Times New Roman" w:hAnsi="Times New Roman" w:cs="Times New Roman"/>
          <w:color w:val="000000"/>
          <w:sz w:val="24"/>
          <w:szCs w:val="24"/>
          <w:lang w:eastAsia="fr-CH"/>
        </w:rPr>
        <w:t>”</w:t>
      </w:r>
      <w:r w:rsidR="00B452DA">
        <w:rPr>
          <w:rFonts w:ascii="Times New Roman" w:eastAsia="Times New Roman" w:hAnsi="Times New Roman" w:cs="Times New Roman"/>
          <w:color w:val="000000"/>
          <w:sz w:val="24"/>
          <w:szCs w:val="24"/>
          <w:lang w:eastAsia="fr-CH"/>
        </w:rPr>
        <w:t xml:space="preserve"> must b</w:t>
      </w:r>
      <w:r w:rsidR="00B866E7" w:rsidRPr="00EB55C1">
        <w:rPr>
          <w:rFonts w:ascii="Times New Roman" w:eastAsia="Times New Roman" w:hAnsi="Times New Roman" w:cs="Times New Roman"/>
          <w:color w:val="000000"/>
          <w:sz w:val="24"/>
          <w:szCs w:val="24"/>
          <w:lang w:eastAsia="fr-CH"/>
        </w:rPr>
        <w:t xml:space="preserve">e understood as a specific legal concept, which differs from </w:t>
      </w:r>
      <w:r w:rsidR="005A7885" w:rsidRPr="00360D35">
        <w:rPr>
          <w:rFonts w:ascii="Times New Roman" w:eastAsia="Times New Roman" w:hAnsi="Times New Roman" w:cs="Times New Roman"/>
          <w:color w:val="000000"/>
          <w:sz w:val="24"/>
          <w:szCs w:val="24"/>
          <w:lang w:eastAsia="fr-CH"/>
        </w:rPr>
        <w:t>that</w:t>
      </w:r>
      <w:r w:rsidR="00B866E7" w:rsidRPr="00EB55C1">
        <w:rPr>
          <w:rFonts w:ascii="Times New Roman" w:eastAsia="Times New Roman" w:hAnsi="Times New Roman" w:cs="Times New Roman"/>
          <w:color w:val="000000"/>
          <w:sz w:val="24"/>
          <w:szCs w:val="24"/>
          <w:lang w:eastAsia="fr-CH"/>
        </w:rPr>
        <w:t xml:space="preserve"> of </w:t>
      </w:r>
      <w:r w:rsidR="00F30CC9" w:rsidRPr="00360D35">
        <w:rPr>
          <w:rFonts w:ascii="Times New Roman" w:eastAsia="Times New Roman" w:hAnsi="Times New Roman" w:cs="Times New Roman"/>
          <w:color w:val="000000"/>
          <w:sz w:val="24"/>
          <w:szCs w:val="24"/>
          <w:lang w:eastAsia="fr-CH"/>
        </w:rPr>
        <w:t>“</w:t>
      </w:r>
      <w:r w:rsidR="00B866E7" w:rsidRPr="00EB55C1">
        <w:rPr>
          <w:rFonts w:ascii="Times New Roman" w:eastAsia="Times New Roman" w:hAnsi="Times New Roman" w:cs="Times New Roman"/>
          <w:color w:val="000000"/>
          <w:sz w:val="24"/>
          <w:szCs w:val="24"/>
          <w:lang w:eastAsia="fr-CH"/>
        </w:rPr>
        <w:t>cultural heritage</w:t>
      </w:r>
      <w:r w:rsidR="007060EC" w:rsidRPr="00360D35">
        <w:rPr>
          <w:rFonts w:ascii="Times New Roman" w:eastAsia="Times New Roman" w:hAnsi="Times New Roman" w:cs="Times New Roman"/>
          <w:color w:val="000000"/>
          <w:sz w:val="24"/>
          <w:szCs w:val="24"/>
          <w:lang w:eastAsia="fr-CH"/>
        </w:rPr>
        <w:t>.”</w:t>
      </w:r>
      <w:r w:rsidR="00B866E7" w:rsidRPr="00EB55C1">
        <w:rPr>
          <w:rFonts w:ascii="Times New Roman" w:eastAsia="Times New Roman" w:hAnsi="Times New Roman" w:cs="Times New Roman"/>
          <w:color w:val="000000"/>
          <w:sz w:val="24"/>
          <w:szCs w:val="24"/>
          <w:lang w:eastAsia="fr-CH"/>
        </w:rPr>
        <w:t xml:space="preserve"> The </w:t>
      </w:r>
      <w:r w:rsidR="00E9220E" w:rsidRPr="00360D35">
        <w:rPr>
          <w:rFonts w:ascii="Times New Roman" w:eastAsia="Times New Roman" w:hAnsi="Times New Roman" w:cs="Times New Roman"/>
          <w:color w:val="000000"/>
          <w:sz w:val="24"/>
          <w:szCs w:val="24"/>
          <w:lang w:eastAsia="fr-CH"/>
        </w:rPr>
        <w:t>latter</w:t>
      </w:r>
      <w:r w:rsidR="00B866E7" w:rsidRPr="00EB55C1">
        <w:rPr>
          <w:rFonts w:ascii="Times New Roman" w:eastAsia="Times New Roman" w:hAnsi="Times New Roman" w:cs="Times New Roman"/>
          <w:color w:val="000000"/>
          <w:sz w:val="24"/>
          <w:szCs w:val="24"/>
          <w:lang w:eastAsia="fr-CH"/>
        </w:rPr>
        <w:t xml:space="preserve">, which exists in a variety of international standard-setting instruments, </w:t>
      </w:r>
      <w:bookmarkStart w:id="1" w:name="OLE_LINK2"/>
      <w:r w:rsidR="00B866E7" w:rsidRPr="00EB55C1">
        <w:rPr>
          <w:rFonts w:ascii="Times New Roman" w:eastAsia="Times New Roman" w:hAnsi="Times New Roman" w:cs="Times New Roman"/>
          <w:color w:val="000000"/>
          <w:sz w:val="24"/>
          <w:szCs w:val="24"/>
          <w:lang w:eastAsia="fr-CH"/>
        </w:rPr>
        <w:t xml:space="preserve">is generally intended to be broader in scope than the notion of cultural property as it </w:t>
      </w:r>
      <w:r w:rsidR="00671033">
        <w:rPr>
          <w:rFonts w:ascii="Times New Roman" w:eastAsia="Times New Roman" w:hAnsi="Times New Roman" w:cs="Times New Roman"/>
          <w:color w:val="000000"/>
          <w:sz w:val="24"/>
          <w:szCs w:val="24"/>
          <w:lang w:eastAsia="fr-CH"/>
        </w:rPr>
        <w:t xml:space="preserve">also </w:t>
      </w:r>
      <w:r w:rsidR="00B866E7" w:rsidRPr="00EB55C1">
        <w:rPr>
          <w:rFonts w:ascii="Times New Roman" w:eastAsia="Times New Roman" w:hAnsi="Times New Roman" w:cs="Times New Roman"/>
          <w:color w:val="000000"/>
          <w:sz w:val="24"/>
          <w:szCs w:val="24"/>
          <w:lang w:eastAsia="fr-CH"/>
        </w:rPr>
        <w:t>encompasses all the intangible aspects of cultural life</w:t>
      </w:r>
      <w:bookmarkEnd w:id="1"/>
      <w:r w:rsidR="00B866E7" w:rsidRPr="00EB55C1">
        <w:rPr>
          <w:rFonts w:ascii="Times New Roman" w:eastAsia="Times New Roman" w:hAnsi="Times New Roman" w:cs="Times New Roman"/>
          <w:color w:val="000000"/>
          <w:sz w:val="24"/>
          <w:szCs w:val="24"/>
          <w:lang w:eastAsia="fr-CH"/>
        </w:rPr>
        <w:t>.</w:t>
      </w:r>
      <w:r w:rsidR="00B866E7" w:rsidRPr="00EB55C1">
        <w:rPr>
          <w:rStyle w:val="EndnoteReference"/>
          <w:rFonts w:ascii="Times New Roman" w:eastAsia="Times New Roman" w:hAnsi="Times New Roman" w:cs="Times New Roman"/>
          <w:color w:val="000000"/>
          <w:sz w:val="24"/>
          <w:szCs w:val="24"/>
          <w:lang w:eastAsia="fr-CH"/>
        </w:rPr>
        <w:endnoteReference w:id="1"/>
      </w:r>
      <w:r w:rsidR="00B866E7" w:rsidRPr="00EB55C1">
        <w:rPr>
          <w:rFonts w:ascii="Times New Roman" w:eastAsia="Times New Roman" w:hAnsi="Times New Roman" w:cs="Times New Roman"/>
          <w:color w:val="000000"/>
          <w:sz w:val="24"/>
          <w:szCs w:val="24"/>
          <w:lang w:eastAsia="fr-CH"/>
        </w:rPr>
        <w:t xml:space="preserve"> </w:t>
      </w:r>
      <w:r w:rsidR="00625A2A" w:rsidRPr="00360D35">
        <w:rPr>
          <w:rFonts w:ascii="Times New Roman" w:eastAsia="Times New Roman" w:hAnsi="Times New Roman" w:cs="Times New Roman"/>
          <w:color w:val="000000"/>
          <w:sz w:val="24"/>
          <w:szCs w:val="24"/>
          <w:lang w:eastAsia="fr-CH"/>
        </w:rPr>
        <w:t>In contrast</w:t>
      </w:r>
      <w:r w:rsidR="00B866E7" w:rsidRPr="00EB55C1">
        <w:rPr>
          <w:rFonts w:ascii="Times New Roman" w:eastAsia="Times New Roman" w:hAnsi="Times New Roman" w:cs="Times New Roman"/>
          <w:color w:val="000000"/>
          <w:sz w:val="24"/>
          <w:szCs w:val="24"/>
          <w:lang w:eastAsia="fr-CH"/>
        </w:rPr>
        <w:t xml:space="preserve">, </w:t>
      </w:r>
      <w:r w:rsidR="00625A2A" w:rsidRPr="00360D35">
        <w:rPr>
          <w:rFonts w:ascii="Times New Roman" w:eastAsia="Times New Roman" w:hAnsi="Times New Roman" w:cs="Times New Roman"/>
          <w:color w:val="000000"/>
          <w:sz w:val="24"/>
          <w:szCs w:val="24"/>
          <w:lang w:eastAsia="fr-CH"/>
        </w:rPr>
        <w:t xml:space="preserve">while </w:t>
      </w:r>
      <w:r w:rsidR="00B866E7" w:rsidRPr="00EB55C1">
        <w:rPr>
          <w:rFonts w:ascii="Times New Roman" w:eastAsia="Times New Roman" w:hAnsi="Times New Roman" w:cs="Times New Roman"/>
          <w:color w:val="000000"/>
          <w:sz w:val="24"/>
          <w:szCs w:val="24"/>
          <w:lang w:eastAsia="fr-CH"/>
        </w:rPr>
        <w:t xml:space="preserve">there is </w:t>
      </w:r>
      <w:r w:rsidR="00F721D6">
        <w:rPr>
          <w:rFonts w:ascii="Times New Roman" w:eastAsia="Times New Roman" w:hAnsi="Times New Roman" w:cs="Times New Roman"/>
          <w:color w:val="000000"/>
          <w:sz w:val="24"/>
          <w:szCs w:val="24"/>
          <w:lang w:eastAsia="fr-CH"/>
        </w:rPr>
        <w:t xml:space="preserve">no </w:t>
      </w:r>
      <w:r w:rsidR="00B866E7" w:rsidRPr="00EB55C1">
        <w:rPr>
          <w:rFonts w:ascii="Times New Roman" w:eastAsia="Times New Roman" w:hAnsi="Times New Roman" w:cs="Times New Roman"/>
          <w:color w:val="000000"/>
          <w:sz w:val="24"/>
          <w:szCs w:val="24"/>
          <w:lang w:eastAsia="fr-CH"/>
        </w:rPr>
        <w:t xml:space="preserve">agreed definition of cultural property under international law, one </w:t>
      </w:r>
      <w:r w:rsidR="00B866E7" w:rsidRPr="00EB55C1">
        <w:rPr>
          <w:rFonts w:ascii="Times New Roman" w:eastAsia="Times New Roman" w:hAnsi="Times New Roman" w:cs="Times New Roman"/>
          <w:color w:val="000000"/>
          <w:sz w:val="24"/>
          <w:szCs w:val="24"/>
          <w:lang w:eastAsia="fr-CH"/>
        </w:rPr>
        <w:lastRenderedPageBreak/>
        <w:t xml:space="preserve">common feature of the definitions provided in IHL treaties is the fact that the notion of protected cultural property is limited to material objects. </w:t>
      </w:r>
      <w:r w:rsidR="00891B22" w:rsidRPr="00360D35">
        <w:rPr>
          <w:rFonts w:ascii="Times New Roman" w:eastAsia="Times New Roman" w:hAnsi="Times New Roman" w:cs="Times New Roman"/>
          <w:color w:val="000000"/>
          <w:sz w:val="24"/>
          <w:szCs w:val="24"/>
          <w:lang w:eastAsia="fr-CH"/>
        </w:rPr>
        <w:t>T</w:t>
      </w:r>
      <w:r w:rsidR="00B866E7" w:rsidRPr="00EB55C1">
        <w:rPr>
          <w:rFonts w:ascii="Times New Roman" w:eastAsia="Times New Roman" w:hAnsi="Times New Roman" w:cs="Times New Roman"/>
          <w:color w:val="000000"/>
          <w:sz w:val="24"/>
          <w:szCs w:val="24"/>
          <w:lang w:eastAsia="fr-CH"/>
        </w:rPr>
        <w:t>he protection of the expression of cultural practices is enshrined in important international human rights law instruments</w:t>
      </w:r>
      <w:r w:rsidR="00243228" w:rsidRPr="00EB55C1">
        <w:rPr>
          <w:rFonts w:ascii="Times New Roman" w:eastAsia="Times New Roman" w:hAnsi="Times New Roman" w:cs="Times New Roman"/>
          <w:color w:val="000000"/>
          <w:sz w:val="24"/>
          <w:szCs w:val="24"/>
          <w:lang w:eastAsia="fr-CH"/>
        </w:rPr>
        <w:t>—</w:t>
      </w:r>
      <w:r w:rsidR="00B866E7" w:rsidRPr="00EB55C1">
        <w:rPr>
          <w:rFonts w:ascii="Times New Roman" w:eastAsia="Times New Roman" w:hAnsi="Times New Roman" w:cs="Times New Roman"/>
          <w:color w:val="000000"/>
          <w:sz w:val="24"/>
          <w:szCs w:val="24"/>
          <w:lang w:eastAsia="fr-CH"/>
        </w:rPr>
        <w:t>which are applicable at all times, including in time of war</w:t>
      </w:r>
      <w:r w:rsidR="00243228" w:rsidRPr="00EB55C1">
        <w:rPr>
          <w:rFonts w:ascii="Times New Roman" w:eastAsia="Times New Roman" w:hAnsi="Times New Roman" w:cs="Times New Roman"/>
          <w:color w:val="000000"/>
          <w:sz w:val="24"/>
          <w:szCs w:val="24"/>
          <w:lang w:eastAsia="fr-CH"/>
        </w:rPr>
        <w:t>—</w:t>
      </w:r>
      <w:r w:rsidR="00B866E7" w:rsidRPr="00EB55C1">
        <w:rPr>
          <w:rFonts w:ascii="Times New Roman" w:eastAsia="Times New Roman" w:hAnsi="Times New Roman" w:cs="Times New Roman"/>
          <w:color w:val="000000"/>
          <w:sz w:val="24"/>
          <w:szCs w:val="24"/>
          <w:lang w:eastAsia="fr-CH"/>
        </w:rPr>
        <w:t>and in the 2003 Convention for the Safeguarding of the Intangible Cultural Heritage</w:t>
      </w:r>
      <w:r w:rsidR="00891B22" w:rsidRPr="00360D35">
        <w:rPr>
          <w:rFonts w:ascii="Times New Roman" w:eastAsia="Times New Roman" w:hAnsi="Times New Roman" w:cs="Times New Roman"/>
          <w:color w:val="000000"/>
          <w:sz w:val="24"/>
          <w:szCs w:val="24"/>
          <w:lang w:eastAsia="fr-CH"/>
        </w:rPr>
        <w:t>.</w:t>
      </w:r>
      <w:r w:rsidR="00B452DA">
        <w:rPr>
          <w:rFonts w:ascii="Times New Roman" w:eastAsia="Times New Roman" w:hAnsi="Times New Roman" w:cs="Times New Roman"/>
          <w:color w:val="000000"/>
          <w:sz w:val="24"/>
          <w:szCs w:val="24"/>
          <w:lang w:eastAsia="fr-CH"/>
        </w:rPr>
        <w:t xml:space="preserve"> T</w:t>
      </w:r>
      <w:r w:rsidR="00B866E7" w:rsidRPr="00EB55C1">
        <w:rPr>
          <w:rFonts w:ascii="Times New Roman" w:eastAsia="Times New Roman" w:hAnsi="Times New Roman" w:cs="Times New Roman"/>
          <w:color w:val="000000"/>
          <w:sz w:val="24"/>
          <w:szCs w:val="24"/>
          <w:lang w:eastAsia="fr-CH"/>
        </w:rPr>
        <w:t>he legal framework discussed in this chapter</w:t>
      </w:r>
      <w:r w:rsidR="00B452DA">
        <w:rPr>
          <w:rFonts w:ascii="Times New Roman" w:eastAsia="Times New Roman" w:hAnsi="Times New Roman" w:cs="Times New Roman"/>
          <w:color w:val="000000"/>
          <w:sz w:val="24"/>
          <w:szCs w:val="24"/>
          <w:lang w:eastAsia="fr-CH"/>
        </w:rPr>
        <w:t xml:space="preserve"> </w:t>
      </w:r>
      <w:r w:rsidR="00A93166">
        <w:rPr>
          <w:rFonts w:ascii="Times New Roman" w:eastAsia="Times New Roman" w:hAnsi="Times New Roman" w:cs="Times New Roman"/>
          <w:color w:val="000000"/>
          <w:sz w:val="24"/>
          <w:szCs w:val="24"/>
          <w:lang w:eastAsia="fr-CH"/>
        </w:rPr>
        <w:t xml:space="preserve">exclusively </w:t>
      </w:r>
      <w:r w:rsidR="00B452DA">
        <w:rPr>
          <w:rFonts w:ascii="Times New Roman" w:eastAsia="Times New Roman" w:hAnsi="Times New Roman" w:cs="Times New Roman"/>
          <w:color w:val="000000"/>
          <w:sz w:val="24"/>
          <w:szCs w:val="24"/>
          <w:lang w:eastAsia="fr-CH"/>
        </w:rPr>
        <w:t>refers to the concept of “cultural property</w:t>
      </w:r>
      <w:r w:rsidR="00BC319E">
        <w:rPr>
          <w:rFonts w:ascii="Times New Roman" w:eastAsia="Times New Roman" w:hAnsi="Times New Roman" w:cs="Times New Roman"/>
          <w:color w:val="000000"/>
          <w:sz w:val="24"/>
          <w:szCs w:val="24"/>
          <w:lang w:eastAsia="fr-CH"/>
        </w:rPr>
        <w:t>,</w:t>
      </w:r>
      <w:r w:rsidR="00B452DA">
        <w:rPr>
          <w:rFonts w:ascii="Times New Roman" w:eastAsia="Times New Roman" w:hAnsi="Times New Roman" w:cs="Times New Roman"/>
          <w:color w:val="000000"/>
          <w:sz w:val="24"/>
          <w:szCs w:val="24"/>
          <w:lang w:eastAsia="fr-CH"/>
        </w:rPr>
        <w:t>”</w:t>
      </w:r>
    </w:p>
    <w:p w14:paraId="4D6D5E73" w14:textId="7D8A1120" w:rsidR="00480C92" w:rsidRPr="00EB55C1" w:rsidRDefault="00480C92">
      <w:pPr>
        <w:spacing w:before="120" w:after="120" w:line="480" w:lineRule="auto"/>
        <w:rPr>
          <w:rFonts w:ascii="Times New Roman" w:eastAsia="Times New Roman" w:hAnsi="Times New Roman" w:cs="Times New Roman"/>
          <w:sz w:val="24"/>
          <w:szCs w:val="24"/>
          <w:lang w:eastAsia="fr-CH"/>
        </w:rPr>
      </w:pPr>
    </w:p>
    <w:p w14:paraId="13518280" w14:textId="45FA624B" w:rsidR="00435DC2" w:rsidRPr="00EB55C1" w:rsidRDefault="00AE1CE7" w:rsidP="00EE6F41">
      <w:pPr>
        <w:pStyle w:val="Heading2"/>
        <w:spacing w:line="480" w:lineRule="auto"/>
        <w:rPr>
          <w:lang w:eastAsia="fr-CH"/>
        </w:rPr>
      </w:pPr>
      <w:r w:rsidRPr="00EB55C1">
        <w:rPr>
          <w:lang w:eastAsia="fr-CH"/>
        </w:rPr>
        <w:t xml:space="preserve">The </w:t>
      </w:r>
      <w:r w:rsidR="00F0145D" w:rsidRPr="00360D35">
        <w:rPr>
          <w:lang w:eastAsia="fr-CH"/>
        </w:rPr>
        <w:t>L</w:t>
      </w:r>
      <w:r w:rsidRPr="00EB55C1">
        <w:rPr>
          <w:lang w:eastAsia="fr-CH"/>
        </w:rPr>
        <w:t xml:space="preserve">aw of </w:t>
      </w:r>
      <w:r w:rsidR="00F0145D" w:rsidRPr="00360D35">
        <w:rPr>
          <w:lang w:eastAsia="fr-CH"/>
        </w:rPr>
        <w:t>A</w:t>
      </w:r>
      <w:r w:rsidRPr="00EB55C1">
        <w:rPr>
          <w:lang w:eastAsia="fr-CH"/>
        </w:rPr>
        <w:t xml:space="preserve">rmed </w:t>
      </w:r>
      <w:r w:rsidR="00F0145D" w:rsidRPr="00360D35">
        <w:rPr>
          <w:lang w:eastAsia="fr-CH"/>
        </w:rPr>
        <w:t>C</w:t>
      </w:r>
      <w:r w:rsidRPr="00EB55C1">
        <w:rPr>
          <w:lang w:eastAsia="fr-CH"/>
        </w:rPr>
        <w:t xml:space="preserve">onflict and </w:t>
      </w:r>
      <w:r w:rsidR="00F0145D" w:rsidRPr="00360D35">
        <w:rPr>
          <w:lang w:eastAsia="fr-CH"/>
        </w:rPr>
        <w:t>I</w:t>
      </w:r>
      <w:r w:rsidRPr="00EB55C1">
        <w:rPr>
          <w:lang w:eastAsia="fr-CH"/>
        </w:rPr>
        <w:t xml:space="preserve">ts </w:t>
      </w:r>
      <w:r w:rsidR="00F0145D" w:rsidRPr="00360D35">
        <w:rPr>
          <w:lang w:eastAsia="fr-CH"/>
        </w:rPr>
        <w:t>P</w:t>
      </w:r>
      <w:r w:rsidRPr="00EB55C1">
        <w:rPr>
          <w:lang w:eastAsia="fr-CH"/>
        </w:rPr>
        <w:t xml:space="preserve">rimary </w:t>
      </w:r>
      <w:r w:rsidR="00F0145D" w:rsidRPr="00360D35">
        <w:rPr>
          <w:lang w:eastAsia="fr-CH"/>
        </w:rPr>
        <w:t>S</w:t>
      </w:r>
      <w:r w:rsidRPr="00EB55C1">
        <w:rPr>
          <w:lang w:eastAsia="fr-CH"/>
        </w:rPr>
        <w:t>ources</w:t>
      </w:r>
    </w:p>
    <w:p w14:paraId="1900F080" w14:textId="14E82381" w:rsidR="00480C92" w:rsidRPr="00EB55C1" w:rsidRDefault="00480C92" w:rsidP="006952D9">
      <w:pPr>
        <w:spacing w:before="120" w:after="120" w:line="480" w:lineRule="auto"/>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International humanitarian law</w:t>
      </w:r>
      <w:r w:rsidR="00243228"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also referred to as the law of armed conflict or the law of war</w:t>
      </w:r>
      <w:r w:rsidR="00243228"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is the body of law that seeks to alleviat</w:t>
      </w:r>
      <w:r w:rsidR="00572F5B" w:rsidRPr="00360D35">
        <w:rPr>
          <w:rFonts w:ascii="Times New Roman" w:eastAsia="Times New Roman" w:hAnsi="Times New Roman" w:cs="Times New Roman"/>
          <w:color w:val="000000"/>
          <w:sz w:val="24"/>
          <w:szCs w:val="24"/>
          <w:lang w:eastAsia="fr-CH"/>
        </w:rPr>
        <w:t>e</w:t>
      </w:r>
      <w:r w:rsidRPr="00EB55C1">
        <w:rPr>
          <w:rFonts w:ascii="Times New Roman" w:eastAsia="Times New Roman" w:hAnsi="Times New Roman" w:cs="Times New Roman"/>
          <w:color w:val="000000"/>
          <w:sz w:val="24"/>
          <w:szCs w:val="24"/>
          <w:lang w:eastAsia="fr-CH"/>
        </w:rPr>
        <w:t xml:space="preserve"> the </w:t>
      </w:r>
      <w:r w:rsidR="00F721D6">
        <w:rPr>
          <w:rFonts w:ascii="Times New Roman" w:eastAsia="Times New Roman" w:hAnsi="Times New Roman" w:cs="Times New Roman"/>
          <w:color w:val="000000"/>
          <w:sz w:val="24"/>
          <w:szCs w:val="24"/>
          <w:lang w:eastAsia="fr-CH"/>
        </w:rPr>
        <w:t xml:space="preserve">human </w:t>
      </w:r>
      <w:r w:rsidRPr="00EB55C1">
        <w:rPr>
          <w:rFonts w:ascii="Times New Roman" w:eastAsia="Times New Roman" w:hAnsi="Times New Roman" w:cs="Times New Roman"/>
          <w:color w:val="000000"/>
          <w:sz w:val="24"/>
          <w:szCs w:val="24"/>
          <w:lang w:eastAsia="fr-CH"/>
        </w:rPr>
        <w:t xml:space="preserve">suffering inherently caused by war. It does so by limiting the means (weapons) and methods (tactics) of warfare that parties to an armed conflict can resort to, and by protecting persons who do not, or no longer, participate in hostilities (civilians and military placed </w:t>
      </w:r>
      <w:r w:rsidRPr="00EB55C1">
        <w:rPr>
          <w:rFonts w:ascii="Times New Roman" w:eastAsia="Times New Roman" w:hAnsi="Times New Roman" w:cs="Times New Roman"/>
          <w:i/>
          <w:color w:val="000000"/>
          <w:sz w:val="24"/>
          <w:szCs w:val="24"/>
          <w:lang w:eastAsia="fr-CH"/>
        </w:rPr>
        <w:t>hors de combat</w:t>
      </w:r>
      <w:r w:rsidRPr="00EB55C1">
        <w:rPr>
          <w:rFonts w:ascii="Times New Roman" w:eastAsia="Times New Roman" w:hAnsi="Times New Roman" w:cs="Times New Roman"/>
          <w:color w:val="000000"/>
          <w:sz w:val="24"/>
          <w:szCs w:val="24"/>
          <w:lang w:eastAsia="fr-CH"/>
        </w:rPr>
        <w:t xml:space="preserve"> alike). </w:t>
      </w:r>
    </w:p>
    <w:p w14:paraId="35FB3ABC" w14:textId="735F5579" w:rsidR="00170883" w:rsidRPr="00360D35" w:rsidRDefault="00480C92" w:rsidP="00D007BC">
      <w:pPr>
        <w:spacing w:before="120" w:after="120" w:line="480" w:lineRule="auto"/>
        <w:ind w:firstLine="708"/>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color w:val="000000"/>
          <w:sz w:val="24"/>
          <w:szCs w:val="24"/>
          <w:lang w:eastAsia="fr-CH"/>
        </w:rPr>
        <w:t>IHL rules, irrespective of the treaties in which they are codified, share three key features. First, they are the result of a constant compromise between the principle of humanity and the military necessity imposed by the realities of warfare. Accepting that war necessarily entails armed violence is an essential component of IHL</w:t>
      </w:r>
      <w:r w:rsidR="0055273B">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as it ensures that this body of law </w:t>
      </w:r>
      <w:r w:rsidR="00F721D6">
        <w:rPr>
          <w:rFonts w:ascii="Times New Roman" w:eastAsia="Times New Roman" w:hAnsi="Times New Roman" w:cs="Times New Roman"/>
          <w:color w:val="000000"/>
          <w:sz w:val="24"/>
          <w:szCs w:val="24"/>
          <w:lang w:eastAsia="fr-CH"/>
        </w:rPr>
        <w:t>must</w:t>
      </w:r>
      <w:r w:rsidRPr="00EB55C1">
        <w:rPr>
          <w:rFonts w:ascii="Times New Roman" w:eastAsia="Times New Roman" w:hAnsi="Times New Roman" w:cs="Times New Roman"/>
          <w:color w:val="000000"/>
          <w:sz w:val="24"/>
          <w:szCs w:val="24"/>
          <w:lang w:eastAsia="fr-CH"/>
        </w:rPr>
        <w:t xml:space="preserve"> be taken seriously by the belligerent parties. However, since the whole raison d’être of IHL is to preserve a minimum level of humanity during wartime, the concept of military necessity also entails that unavoidable violence during such time must be limited to what is strictly necessary to achieve the only legitimate aim of the belligerent parties: to weaken the military capacities of the </w:t>
      </w:r>
      <w:r w:rsidRPr="00EB55C1">
        <w:rPr>
          <w:rFonts w:ascii="Times New Roman" w:eastAsia="Times New Roman" w:hAnsi="Times New Roman" w:cs="Times New Roman"/>
          <w:color w:val="000000"/>
          <w:sz w:val="24"/>
          <w:szCs w:val="24"/>
          <w:lang w:eastAsia="fr-CH"/>
        </w:rPr>
        <w:lastRenderedPageBreak/>
        <w:t xml:space="preserve">enemy. As a matter of principle, any use of force that goes beyond that objective is prohibited under IHL. </w:t>
      </w:r>
    </w:p>
    <w:p w14:paraId="54171127" w14:textId="391ABA2B" w:rsidR="00480C92" w:rsidRPr="00EB55C1" w:rsidRDefault="00480C92" w:rsidP="00D007BC">
      <w:pPr>
        <w:spacing w:before="120" w:after="12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Second, rather than adjudicating the legality of the resort to force between the belligerent parties (</w:t>
      </w:r>
      <w:r w:rsidRPr="00EB55C1">
        <w:rPr>
          <w:rFonts w:ascii="Times New Roman" w:eastAsia="Times New Roman" w:hAnsi="Times New Roman" w:cs="Times New Roman"/>
          <w:i/>
          <w:iCs/>
          <w:color w:val="000000"/>
          <w:sz w:val="24"/>
          <w:szCs w:val="24"/>
          <w:lang w:eastAsia="fr-CH"/>
        </w:rPr>
        <w:t>Jus ad bellum</w:t>
      </w:r>
      <w:r w:rsidRPr="00EB55C1">
        <w:rPr>
          <w:rFonts w:ascii="Times New Roman" w:eastAsia="Times New Roman" w:hAnsi="Times New Roman" w:cs="Times New Roman"/>
          <w:color w:val="000000"/>
          <w:sz w:val="24"/>
          <w:szCs w:val="24"/>
          <w:lang w:eastAsia="fr-CH"/>
        </w:rPr>
        <w:t>), the purpose of IHL is exclusively to provide those parties with a set of binding rules that will preserve a minimum of humanity during the chaos of war. Third, IHL rules impose direct obligations exclusively on the belligerent parties, rather than on the civilian population. Whether any category of organized armed carriers (</w:t>
      </w:r>
      <w:r w:rsidR="00EB2C9E" w:rsidRPr="00EB55C1">
        <w:rPr>
          <w:rFonts w:ascii="Times New Roman" w:eastAsia="Times New Roman" w:hAnsi="Times New Roman" w:cs="Times New Roman"/>
          <w:color w:val="000000"/>
          <w:sz w:val="24"/>
          <w:szCs w:val="24"/>
          <w:lang w:eastAsia="fr-CH"/>
        </w:rPr>
        <w:t xml:space="preserve">national </w:t>
      </w:r>
      <w:r w:rsidRPr="00EB55C1">
        <w:rPr>
          <w:rFonts w:ascii="Times New Roman" w:eastAsia="Times New Roman" w:hAnsi="Times New Roman" w:cs="Times New Roman"/>
          <w:color w:val="000000"/>
          <w:sz w:val="24"/>
          <w:szCs w:val="24"/>
          <w:lang w:eastAsia="fr-CH"/>
        </w:rPr>
        <w:t xml:space="preserve">armed forces, </w:t>
      </w:r>
      <w:r w:rsidR="00EB2C9E" w:rsidRPr="00EB55C1">
        <w:rPr>
          <w:rFonts w:ascii="Times New Roman" w:eastAsia="Times New Roman" w:hAnsi="Times New Roman" w:cs="Times New Roman"/>
          <w:color w:val="000000"/>
          <w:sz w:val="24"/>
          <w:szCs w:val="24"/>
          <w:lang w:eastAsia="fr-CH"/>
        </w:rPr>
        <w:t>n</w:t>
      </w:r>
      <w:r w:rsidRPr="00EB55C1">
        <w:rPr>
          <w:rFonts w:ascii="Times New Roman" w:eastAsia="Times New Roman" w:hAnsi="Times New Roman" w:cs="Times New Roman"/>
          <w:color w:val="000000"/>
          <w:sz w:val="24"/>
          <w:szCs w:val="24"/>
          <w:lang w:eastAsia="fr-CH"/>
        </w:rPr>
        <w:t>on</w:t>
      </w:r>
      <w:r w:rsidR="00EB2C9E" w:rsidRPr="00EB55C1">
        <w:rPr>
          <w:rFonts w:ascii="Times New Roman" w:eastAsia="Times New Roman" w:hAnsi="Times New Roman" w:cs="Times New Roman"/>
          <w:color w:val="000000"/>
          <w:sz w:val="24"/>
          <w:szCs w:val="24"/>
          <w:lang w:eastAsia="fr-CH"/>
        </w:rPr>
        <w:t xml:space="preserve">state </w:t>
      </w:r>
      <w:r w:rsidRPr="00EB55C1">
        <w:rPr>
          <w:rFonts w:ascii="Times New Roman" w:eastAsia="Times New Roman" w:hAnsi="Times New Roman" w:cs="Times New Roman"/>
          <w:color w:val="000000"/>
          <w:sz w:val="24"/>
          <w:szCs w:val="24"/>
          <w:lang w:eastAsia="fr-CH"/>
        </w:rPr>
        <w:t>armed groups</w:t>
      </w:r>
      <w:r w:rsidR="00170883"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or any other organized armed entity, such as regional military organizations and peacekeeping forces) can be classified as a belligerent party under IHL is a question of facts that must be assessed on a case-by-case basis.</w:t>
      </w:r>
    </w:p>
    <w:p w14:paraId="13F9D6EB" w14:textId="5164E75A" w:rsidR="00480C92" w:rsidRPr="00EB55C1" w:rsidRDefault="00480C92">
      <w:pPr>
        <w:spacing w:before="120" w:after="12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 xml:space="preserve">By its very </w:t>
      </w:r>
      <w:r w:rsidR="00B8520D" w:rsidRPr="00EB55C1">
        <w:rPr>
          <w:rFonts w:ascii="Times New Roman" w:eastAsia="Times New Roman" w:hAnsi="Times New Roman" w:cs="Times New Roman"/>
          <w:color w:val="000000"/>
          <w:sz w:val="24"/>
          <w:szCs w:val="24"/>
          <w:lang w:eastAsia="fr-CH"/>
        </w:rPr>
        <w:t xml:space="preserve">nature, IHL applies </w:t>
      </w:r>
      <w:r w:rsidRPr="00EB55C1">
        <w:rPr>
          <w:rFonts w:ascii="Times New Roman" w:eastAsia="Times New Roman" w:hAnsi="Times New Roman" w:cs="Times New Roman"/>
          <w:color w:val="000000"/>
          <w:sz w:val="24"/>
          <w:szCs w:val="24"/>
          <w:lang w:eastAsia="fr-CH"/>
        </w:rPr>
        <w:t xml:space="preserve">to armed conflict, whether of an international </w:t>
      </w:r>
      <w:r w:rsidR="00A95399" w:rsidRPr="00360D35">
        <w:rPr>
          <w:rFonts w:ascii="Times New Roman" w:eastAsia="Times New Roman" w:hAnsi="Times New Roman" w:cs="Times New Roman"/>
          <w:color w:val="000000"/>
          <w:sz w:val="24"/>
          <w:szCs w:val="24"/>
          <w:lang w:eastAsia="fr-CH"/>
        </w:rPr>
        <w:t xml:space="preserve">character </w:t>
      </w:r>
      <w:r w:rsidRPr="00EB55C1">
        <w:rPr>
          <w:rFonts w:ascii="Times New Roman" w:eastAsia="Times New Roman" w:hAnsi="Times New Roman" w:cs="Times New Roman"/>
          <w:color w:val="000000"/>
          <w:sz w:val="24"/>
          <w:szCs w:val="24"/>
          <w:lang w:eastAsia="fr-CH"/>
        </w:rPr>
        <w:t xml:space="preserve">(opposing two or more </w:t>
      </w:r>
      <w:r w:rsidR="00646807" w:rsidRPr="00360D35">
        <w:rPr>
          <w:rFonts w:ascii="Times New Roman" w:eastAsia="Times New Roman" w:hAnsi="Times New Roman" w:cs="Times New Roman"/>
          <w:color w:val="000000"/>
          <w:sz w:val="24"/>
          <w:szCs w:val="24"/>
          <w:lang w:eastAsia="fr-CH"/>
        </w:rPr>
        <w:t>state</w:t>
      </w:r>
      <w:r w:rsidRPr="00EB55C1">
        <w:rPr>
          <w:rFonts w:ascii="Times New Roman" w:eastAsia="Times New Roman" w:hAnsi="Times New Roman" w:cs="Times New Roman"/>
          <w:color w:val="000000"/>
          <w:sz w:val="24"/>
          <w:szCs w:val="24"/>
          <w:lang w:eastAsia="fr-CH"/>
        </w:rPr>
        <w:t xml:space="preserve">s) or non-international (opposing one or more </w:t>
      </w:r>
      <w:r w:rsidR="00646807" w:rsidRPr="00360D35">
        <w:rPr>
          <w:rFonts w:ascii="Times New Roman" w:eastAsia="Times New Roman" w:hAnsi="Times New Roman" w:cs="Times New Roman"/>
          <w:color w:val="000000"/>
          <w:sz w:val="24"/>
          <w:szCs w:val="24"/>
          <w:lang w:eastAsia="fr-CH"/>
        </w:rPr>
        <w:t>state</w:t>
      </w:r>
      <w:r w:rsidRPr="00EB55C1">
        <w:rPr>
          <w:rFonts w:ascii="Times New Roman" w:eastAsia="Times New Roman" w:hAnsi="Times New Roman" w:cs="Times New Roman"/>
          <w:color w:val="000000"/>
          <w:sz w:val="24"/>
          <w:szCs w:val="24"/>
          <w:lang w:eastAsia="fr-CH"/>
        </w:rPr>
        <w:t>s to one or more non</w:t>
      </w:r>
      <w:r w:rsidR="00EB2C9E" w:rsidRPr="00EB55C1">
        <w:rPr>
          <w:rFonts w:ascii="Times New Roman" w:eastAsia="Times New Roman" w:hAnsi="Times New Roman" w:cs="Times New Roman"/>
          <w:color w:val="000000"/>
          <w:sz w:val="24"/>
          <w:szCs w:val="24"/>
          <w:lang w:eastAsia="fr-CH"/>
        </w:rPr>
        <w:t xml:space="preserve">state </w:t>
      </w:r>
      <w:r w:rsidRPr="00EB55C1">
        <w:rPr>
          <w:rFonts w:ascii="Times New Roman" w:eastAsia="Times New Roman" w:hAnsi="Times New Roman" w:cs="Times New Roman"/>
          <w:color w:val="000000"/>
          <w:sz w:val="24"/>
          <w:szCs w:val="24"/>
          <w:lang w:eastAsia="fr-CH"/>
        </w:rPr>
        <w:t>armed groups, or between such groups only).</w:t>
      </w:r>
      <w:r w:rsidR="00BD5926" w:rsidRPr="00EB55C1">
        <w:rPr>
          <w:rStyle w:val="EndnoteReference"/>
          <w:rFonts w:ascii="Times New Roman" w:eastAsia="Times New Roman" w:hAnsi="Times New Roman" w:cs="Times New Roman"/>
          <w:color w:val="000000"/>
          <w:sz w:val="24"/>
          <w:szCs w:val="24"/>
          <w:lang w:eastAsia="fr-CH"/>
        </w:rPr>
        <w:endnoteReference w:id="2"/>
      </w:r>
      <w:r w:rsidR="00BD5926" w:rsidRPr="00EB55C1">
        <w:rPr>
          <w:rFonts w:ascii="Times New Roman" w:eastAsia="Times New Roman" w:hAnsi="Times New Roman" w:cs="Times New Roman"/>
          <w:color w:val="000000"/>
          <w:sz w:val="24"/>
          <w:szCs w:val="24"/>
          <w:lang w:eastAsia="fr-CH"/>
        </w:rPr>
        <w:t xml:space="preserve"> </w:t>
      </w:r>
      <w:r w:rsidR="00316264" w:rsidRPr="00360D35">
        <w:rPr>
          <w:rFonts w:ascii="Times New Roman" w:eastAsia="Times New Roman" w:hAnsi="Times New Roman" w:cs="Times New Roman"/>
          <w:color w:val="000000"/>
          <w:sz w:val="24"/>
          <w:szCs w:val="24"/>
          <w:lang w:eastAsia="fr-CH"/>
        </w:rPr>
        <w:t>T</w:t>
      </w:r>
      <w:r w:rsidRPr="00EB55C1">
        <w:rPr>
          <w:rFonts w:ascii="Times New Roman" w:eastAsia="Times New Roman" w:hAnsi="Times New Roman" w:cs="Times New Roman"/>
          <w:color w:val="000000"/>
          <w:sz w:val="24"/>
          <w:szCs w:val="24"/>
          <w:lang w:eastAsia="fr-CH"/>
        </w:rPr>
        <w:t xml:space="preserve">he notion of </w:t>
      </w:r>
      <w:r w:rsidR="00EB2C9E"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armed conflict</w:t>
      </w:r>
      <w:r w:rsidR="00EB2C9E"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is a legal concept that corresponds to relatively well-established criteria.</w:t>
      </w:r>
      <w:r w:rsidR="00BD5926" w:rsidRPr="00EB55C1">
        <w:rPr>
          <w:rStyle w:val="EndnoteReference"/>
          <w:rFonts w:ascii="Times New Roman" w:eastAsia="Times New Roman" w:hAnsi="Times New Roman" w:cs="Times New Roman"/>
          <w:color w:val="000000"/>
          <w:sz w:val="24"/>
          <w:szCs w:val="24"/>
          <w:lang w:eastAsia="fr-CH"/>
        </w:rPr>
        <w:endnoteReference w:id="3"/>
      </w:r>
      <w:r w:rsidR="00BD5926"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Since not all situations of armed violence fall under this concept, adequately classifying the situation at stake will always be a necessary preliminary step before considering the applicability of any IHL instrument, including those related to the protection of cultural property.</w:t>
      </w:r>
    </w:p>
    <w:p w14:paraId="72B6AF5D" w14:textId="328E5F78" w:rsidR="00BD5926" w:rsidRPr="00EB55C1" w:rsidRDefault="00B91969">
      <w:pPr>
        <w:spacing w:before="120" w:after="120" w:line="480" w:lineRule="auto"/>
        <w:ind w:firstLine="708"/>
        <w:rPr>
          <w:rFonts w:ascii="Times New Roman" w:eastAsia="Times New Roman" w:hAnsi="Times New Roman" w:cs="Times New Roman"/>
          <w:sz w:val="24"/>
          <w:szCs w:val="24"/>
          <w:lang w:eastAsia="fr-CH"/>
        </w:rPr>
      </w:pPr>
      <w:r w:rsidRPr="00360D35">
        <w:rPr>
          <w:rFonts w:ascii="Times New Roman" w:eastAsia="Times New Roman" w:hAnsi="Times New Roman" w:cs="Times New Roman"/>
          <w:color w:val="000000"/>
          <w:sz w:val="24"/>
          <w:szCs w:val="24"/>
          <w:lang w:eastAsia="fr-CH"/>
        </w:rPr>
        <w:t>The most prominent instruments of contemporary IHL</w:t>
      </w:r>
      <w:r w:rsidRPr="00360D35" w:rsidDel="008A384B">
        <w:rPr>
          <w:rFonts w:ascii="Times New Roman" w:eastAsia="Times New Roman" w:hAnsi="Times New Roman" w:cs="Times New Roman"/>
          <w:color w:val="000000"/>
          <w:sz w:val="24"/>
          <w:szCs w:val="24"/>
          <w:lang w:eastAsia="fr-CH"/>
        </w:rPr>
        <w:t xml:space="preserve"> </w:t>
      </w:r>
      <w:r w:rsidRPr="00360D35">
        <w:rPr>
          <w:rFonts w:ascii="Times New Roman" w:eastAsia="Times New Roman" w:hAnsi="Times New Roman" w:cs="Times New Roman"/>
          <w:color w:val="000000"/>
          <w:sz w:val="24"/>
          <w:szCs w:val="24"/>
          <w:lang w:eastAsia="fr-CH"/>
        </w:rPr>
        <w:t xml:space="preserve">are the </w:t>
      </w:r>
      <w:r w:rsidR="00480C92" w:rsidRPr="00EB55C1">
        <w:rPr>
          <w:rFonts w:ascii="Times New Roman" w:eastAsia="Times New Roman" w:hAnsi="Times New Roman" w:cs="Times New Roman"/>
          <w:color w:val="000000"/>
          <w:sz w:val="24"/>
          <w:szCs w:val="24"/>
          <w:lang w:eastAsia="fr-CH"/>
        </w:rPr>
        <w:t>four Geneva Conventions adopted in 1949</w:t>
      </w:r>
      <w:r w:rsidR="009566C6" w:rsidRPr="00EB55C1">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in the aftermath of </w:t>
      </w:r>
      <w:r w:rsidR="005362E2" w:rsidRPr="00EB55C1">
        <w:rPr>
          <w:rFonts w:ascii="Times New Roman" w:eastAsia="Times New Roman" w:hAnsi="Times New Roman" w:cs="Times New Roman"/>
          <w:color w:val="000000"/>
          <w:sz w:val="24"/>
          <w:szCs w:val="24"/>
          <w:lang w:eastAsia="fr-CH"/>
        </w:rPr>
        <w:t>World War II</w:t>
      </w:r>
      <w:r w:rsidR="00991AE0" w:rsidRPr="00360D35">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and the two Additional Protocols (AP</w:t>
      </w:r>
      <w:r w:rsidR="00DF3B3C" w:rsidRPr="00360D35">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I </w:t>
      </w:r>
      <w:r w:rsidR="00E11B4D" w:rsidRPr="00EB55C1">
        <w:rPr>
          <w:rFonts w:ascii="Times New Roman" w:eastAsia="Times New Roman" w:hAnsi="Times New Roman" w:cs="Times New Roman"/>
          <w:color w:val="000000"/>
          <w:sz w:val="24"/>
          <w:szCs w:val="24"/>
          <w:lang w:eastAsia="fr-CH"/>
        </w:rPr>
        <w:t>and</w:t>
      </w:r>
      <w:r w:rsidR="00480C92" w:rsidRPr="00EB55C1">
        <w:rPr>
          <w:rFonts w:ascii="Times New Roman" w:eastAsia="Times New Roman" w:hAnsi="Times New Roman" w:cs="Times New Roman"/>
          <w:color w:val="000000"/>
          <w:sz w:val="24"/>
          <w:szCs w:val="24"/>
          <w:lang w:eastAsia="fr-CH"/>
        </w:rPr>
        <w:t xml:space="preserve"> AP</w:t>
      </w:r>
      <w:r w:rsidR="00DF3B3C" w:rsidRPr="00360D35">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II)</w:t>
      </w:r>
      <w:r w:rsidR="00EC68DD" w:rsidRPr="00360D35">
        <w:rPr>
          <w:rFonts w:ascii="Times New Roman" w:eastAsia="Times New Roman" w:hAnsi="Times New Roman" w:cs="Times New Roman"/>
          <w:color w:val="000000"/>
          <w:sz w:val="24"/>
          <w:szCs w:val="24"/>
          <w:lang w:eastAsia="fr-CH"/>
        </w:rPr>
        <w:t xml:space="preserve"> of 1977</w:t>
      </w:r>
      <w:r w:rsidR="00991AE0" w:rsidRPr="00360D35">
        <w:rPr>
          <w:rFonts w:ascii="Times New Roman" w:eastAsia="Times New Roman" w:hAnsi="Times New Roman" w:cs="Times New Roman"/>
          <w:color w:val="000000"/>
          <w:sz w:val="24"/>
          <w:szCs w:val="24"/>
          <w:lang w:eastAsia="fr-CH"/>
        </w:rPr>
        <w:t xml:space="preserve">, the latter of </w:t>
      </w:r>
      <w:r w:rsidR="00480C92" w:rsidRPr="00EB55C1">
        <w:rPr>
          <w:rFonts w:ascii="Times New Roman" w:eastAsia="Times New Roman" w:hAnsi="Times New Roman" w:cs="Times New Roman"/>
          <w:color w:val="000000"/>
          <w:sz w:val="24"/>
          <w:szCs w:val="24"/>
          <w:lang w:eastAsia="fr-CH"/>
        </w:rPr>
        <w:t xml:space="preserve">which apply to situations of international </w:t>
      </w:r>
      <w:r w:rsidR="008A384B" w:rsidRPr="00360D35">
        <w:rPr>
          <w:rFonts w:ascii="Times New Roman" w:eastAsia="Times New Roman" w:hAnsi="Times New Roman" w:cs="Times New Roman"/>
          <w:color w:val="000000"/>
          <w:sz w:val="24"/>
          <w:szCs w:val="24"/>
          <w:lang w:eastAsia="fr-CH"/>
        </w:rPr>
        <w:t xml:space="preserve">armed conflict </w:t>
      </w:r>
      <w:r w:rsidR="00E11B4D" w:rsidRPr="00EB55C1">
        <w:rPr>
          <w:rFonts w:ascii="Times New Roman" w:eastAsia="Times New Roman" w:hAnsi="Times New Roman" w:cs="Times New Roman"/>
          <w:color w:val="000000"/>
          <w:sz w:val="24"/>
          <w:szCs w:val="24"/>
          <w:lang w:eastAsia="fr-CH"/>
        </w:rPr>
        <w:t xml:space="preserve">(IAC) </w:t>
      </w:r>
      <w:r w:rsidR="00480C92" w:rsidRPr="00EB55C1">
        <w:rPr>
          <w:rFonts w:ascii="Times New Roman" w:eastAsia="Times New Roman" w:hAnsi="Times New Roman" w:cs="Times New Roman"/>
          <w:color w:val="000000"/>
          <w:sz w:val="24"/>
          <w:szCs w:val="24"/>
          <w:lang w:eastAsia="fr-CH"/>
        </w:rPr>
        <w:t>and non-international armed conflict</w:t>
      </w:r>
      <w:r w:rsidR="0047364D" w:rsidRPr="00EB55C1">
        <w:rPr>
          <w:rFonts w:ascii="Times New Roman" w:eastAsia="Times New Roman" w:hAnsi="Times New Roman" w:cs="Times New Roman"/>
          <w:color w:val="000000"/>
          <w:sz w:val="24"/>
          <w:szCs w:val="24"/>
          <w:lang w:eastAsia="fr-CH"/>
        </w:rPr>
        <w:t xml:space="preserve"> (NIAC)</w:t>
      </w:r>
      <w:r w:rsidR="00480C92" w:rsidRPr="00EB55C1">
        <w:rPr>
          <w:rFonts w:ascii="Times New Roman" w:eastAsia="Times New Roman" w:hAnsi="Times New Roman" w:cs="Times New Roman"/>
          <w:color w:val="000000"/>
          <w:sz w:val="24"/>
          <w:szCs w:val="24"/>
          <w:lang w:eastAsia="fr-CH"/>
        </w:rPr>
        <w:t>, respectively</w:t>
      </w:r>
      <w:r w:rsidR="008A384B" w:rsidRPr="00360D35">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w:t>
      </w:r>
      <w:r w:rsidR="00656D0E" w:rsidRPr="00360D35">
        <w:rPr>
          <w:rFonts w:ascii="Times New Roman" w:eastAsia="Times New Roman" w:hAnsi="Times New Roman" w:cs="Times New Roman"/>
          <w:color w:val="000000"/>
          <w:sz w:val="24"/>
          <w:szCs w:val="24"/>
          <w:lang w:eastAsia="fr-CH"/>
        </w:rPr>
        <w:t>M</w:t>
      </w:r>
      <w:r w:rsidR="00480C92" w:rsidRPr="00EB55C1">
        <w:rPr>
          <w:rFonts w:ascii="Times New Roman" w:eastAsia="Times New Roman" w:hAnsi="Times New Roman" w:cs="Times New Roman"/>
          <w:color w:val="000000"/>
          <w:sz w:val="24"/>
          <w:szCs w:val="24"/>
          <w:lang w:eastAsia="fr-CH"/>
        </w:rPr>
        <w:t xml:space="preserve">any other treaties </w:t>
      </w:r>
      <w:r w:rsidR="008A384B" w:rsidRPr="00360D35">
        <w:rPr>
          <w:rFonts w:ascii="Times New Roman" w:eastAsia="Times New Roman" w:hAnsi="Times New Roman" w:cs="Times New Roman"/>
          <w:color w:val="000000"/>
          <w:sz w:val="24"/>
          <w:szCs w:val="24"/>
          <w:lang w:eastAsia="fr-CH"/>
        </w:rPr>
        <w:t xml:space="preserve">also </w:t>
      </w:r>
      <w:r w:rsidR="00480C92" w:rsidRPr="00EB55C1">
        <w:rPr>
          <w:rFonts w:ascii="Times New Roman" w:eastAsia="Times New Roman" w:hAnsi="Times New Roman" w:cs="Times New Roman"/>
          <w:color w:val="000000"/>
          <w:sz w:val="24"/>
          <w:szCs w:val="24"/>
          <w:lang w:eastAsia="fr-CH"/>
        </w:rPr>
        <w:t>apply to situations of armed conflict and therefore encompass in full or in part some of its core elements</w:t>
      </w:r>
      <w:r w:rsidR="00E11B4D" w:rsidRPr="00EB55C1">
        <w:rPr>
          <w:rFonts w:ascii="Times New Roman" w:eastAsia="Times New Roman" w:hAnsi="Times New Roman" w:cs="Times New Roman"/>
          <w:color w:val="000000"/>
          <w:sz w:val="24"/>
          <w:szCs w:val="24"/>
          <w:lang w:eastAsia="fr-CH"/>
        </w:rPr>
        <w:t>.</w:t>
      </w:r>
      <w:r w:rsidR="00BD5926" w:rsidRPr="00EB55C1">
        <w:rPr>
          <w:rStyle w:val="EndnoteReference"/>
          <w:rFonts w:ascii="Times New Roman" w:eastAsia="Times New Roman" w:hAnsi="Times New Roman" w:cs="Times New Roman"/>
          <w:color w:val="000000"/>
          <w:sz w:val="24"/>
          <w:szCs w:val="24"/>
          <w:lang w:eastAsia="fr-CH"/>
        </w:rPr>
        <w:endnoteReference w:id="4"/>
      </w:r>
    </w:p>
    <w:p w14:paraId="65727340" w14:textId="1ADF2618" w:rsidR="00480C92" w:rsidRPr="00EB55C1" w:rsidRDefault="00480C92">
      <w:pPr>
        <w:spacing w:before="120" w:after="12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lastRenderedPageBreak/>
        <w:t>In addition to treaty law, the importance of custom as a law-creating source of obligations under IHL cannot be underestimated. Rules of customary IHL</w:t>
      </w:r>
      <w:r w:rsidR="00243228"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including those that relate to the protection of cultural property</w:t>
      </w:r>
      <w:r w:rsidR="00243228" w:rsidRPr="00EB55C1">
        <w:rPr>
          <w:rFonts w:ascii="Times New Roman" w:eastAsia="Times New Roman" w:hAnsi="Times New Roman" w:cs="Times New Roman"/>
          <w:color w:val="000000"/>
          <w:sz w:val="24"/>
          <w:szCs w:val="24"/>
          <w:lang w:eastAsia="fr-CH"/>
        </w:rPr>
        <w:t>—</w:t>
      </w:r>
      <w:r w:rsidR="00F721D6">
        <w:rPr>
          <w:rFonts w:ascii="Times New Roman" w:eastAsia="Times New Roman" w:hAnsi="Times New Roman" w:cs="Times New Roman"/>
          <w:color w:val="000000"/>
          <w:sz w:val="24"/>
          <w:szCs w:val="24"/>
          <w:lang w:eastAsia="fr-CH"/>
        </w:rPr>
        <w:t>derive</w:t>
      </w:r>
      <w:r w:rsidRPr="00EB55C1">
        <w:rPr>
          <w:rFonts w:ascii="Times New Roman" w:eastAsia="Times New Roman" w:hAnsi="Times New Roman" w:cs="Times New Roman"/>
          <w:color w:val="000000"/>
          <w:sz w:val="24"/>
          <w:szCs w:val="24"/>
          <w:lang w:eastAsia="fr-CH"/>
        </w:rPr>
        <w:t xml:space="preserve"> from </w:t>
      </w:r>
      <w:r w:rsidR="00F721D6">
        <w:rPr>
          <w:rFonts w:ascii="Times New Roman" w:eastAsia="Times New Roman" w:hAnsi="Times New Roman" w:cs="Times New Roman"/>
          <w:color w:val="000000"/>
          <w:sz w:val="24"/>
          <w:szCs w:val="24"/>
          <w:lang w:eastAsia="fr-CH"/>
        </w:rPr>
        <w:t>the</w:t>
      </w:r>
      <w:r w:rsidRPr="00EB55C1">
        <w:rPr>
          <w:rFonts w:ascii="Times New Roman" w:eastAsia="Times New Roman" w:hAnsi="Times New Roman" w:cs="Times New Roman"/>
          <w:color w:val="000000"/>
          <w:sz w:val="24"/>
          <w:szCs w:val="24"/>
          <w:lang w:eastAsia="fr-CH"/>
        </w:rPr>
        <w:t xml:space="preserve"> general practice accepted as law and are legally binding to belligerent parties irrespective of treaty ratification. By filling some of the gaps left under treaty law, they undeniably play a key role in the protection afforded to victims of armed conflict</w:t>
      </w:r>
      <w:r w:rsidR="009566C6" w:rsidRPr="00EB55C1">
        <w:rPr>
          <w:rFonts w:ascii="Times New Roman" w:eastAsia="Times New Roman" w:hAnsi="Times New Roman" w:cs="Times New Roman"/>
          <w:color w:val="000000"/>
          <w:sz w:val="24"/>
          <w:szCs w:val="24"/>
          <w:lang w:eastAsia="fr-CH"/>
        </w:rPr>
        <w:t>.</w:t>
      </w:r>
      <w:r w:rsidR="00BD5926" w:rsidRPr="00EB55C1">
        <w:rPr>
          <w:rStyle w:val="EndnoteReference"/>
          <w:rFonts w:ascii="Times New Roman" w:eastAsia="Times New Roman" w:hAnsi="Times New Roman" w:cs="Times New Roman"/>
          <w:color w:val="000000"/>
          <w:sz w:val="24"/>
          <w:szCs w:val="24"/>
          <w:lang w:eastAsia="fr-CH"/>
        </w:rPr>
        <w:endnoteReference w:id="5"/>
      </w:r>
    </w:p>
    <w:p w14:paraId="2F00AEF7" w14:textId="7B5AA5FC" w:rsidR="00480C92" w:rsidRPr="00EB55C1" w:rsidRDefault="00480C92">
      <w:pPr>
        <w:spacing w:before="120" w:after="120" w:line="480" w:lineRule="auto"/>
        <w:rPr>
          <w:rFonts w:ascii="Times New Roman" w:eastAsia="Times New Roman" w:hAnsi="Times New Roman" w:cs="Times New Roman"/>
          <w:sz w:val="24"/>
          <w:szCs w:val="24"/>
          <w:lang w:eastAsia="fr-CH"/>
        </w:rPr>
      </w:pPr>
    </w:p>
    <w:p w14:paraId="51612D6A" w14:textId="45C65C6E" w:rsidR="00435DC2" w:rsidRPr="00EB55C1" w:rsidRDefault="00553104" w:rsidP="00EE6F41">
      <w:pPr>
        <w:pStyle w:val="Heading2"/>
        <w:spacing w:line="480" w:lineRule="auto"/>
        <w:rPr>
          <w:lang w:eastAsia="fr-CH"/>
        </w:rPr>
      </w:pPr>
      <w:r w:rsidRPr="00EB55C1">
        <w:rPr>
          <w:lang w:eastAsia="fr-CH"/>
        </w:rPr>
        <w:t>T</w:t>
      </w:r>
      <w:r w:rsidR="00AE1CE7" w:rsidRPr="00EB55C1">
        <w:rPr>
          <w:lang w:eastAsia="fr-CH"/>
        </w:rPr>
        <w:t xml:space="preserve">he </w:t>
      </w:r>
      <w:r w:rsidR="00656D0E" w:rsidRPr="00360D35">
        <w:rPr>
          <w:lang w:eastAsia="fr-CH"/>
        </w:rPr>
        <w:t>P</w:t>
      </w:r>
      <w:r w:rsidR="00AE1CE7" w:rsidRPr="00EB55C1">
        <w:rPr>
          <w:lang w:eastAsia="fr-CH"/>
        </w:rPr>
        <w:t xml:space="preserve">rotection of </w:t>
      </w:r>
      <w:r w:rsidR="00656D0E" w:rsidRPr="00360D35">
        <w:rPr>
          <w:lang w:eastAsia="fr-CH"/>
        </w:rPr>
        <w:t>C</w:t>
      </w:r>
      <w:r w:rsidR="00AE1CE7" w:rsidRPr="00EB55C1">
        <w:rPr>
          <w:lang w:eastAsia="fr-CH"/>
        </w:rPr>
        <w:t xml:space="preserve">ultural </w:t>
      </w:r>
      <w:r w:rsidR="00656D0E" w:rsidRPr="00360D35">
        <w:rPr>
          <w:lang w:eastAsia="fr-CH"/>
        </w:rPr>
        <w:t>P</w:t>
      </w:r>
      <w:r w:rsidR="00AE1CE7" w:rsidRPr="00EB55C1">
        <w:rPr>
          <w:lang w:eastAsia="fr-CH"/>
        </w:rPr>
        <w:t xml:space="preserve">roperty </w:t>
      </w:r>
      <w:r w:rsidRPr="00EB55C1">
        <w:rPr>
          <w:lang w:eastAsia="fr-CH"/>
        </w:rPr>
        <w:t>under IHL</w:t>
      </w:r>
    </w:p>
    <w:p w14:paraId="1941056D" w14:textId="0D76A2BF" w:rsidR="00480C92" w:rsidRPr="00EB55C1" w:rsidRDefault="00553104" w:rsidP="006952D9">
      <w:pPr>
        <w:spacing w:before="120" w:after="120" w:line="480" w:lineRule="auto"/>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 xml:space="preserve">Under </w:t>
      </w:r>
      <w:r w:rsidR="00480C92" w:rsidRPr="00EB55C1">
        <w:rPr>
          <w:rFonts w:ascii="Times New Roman" w:eastAsia="Times New Roman" w:hAnsi="Times New Roman" w:cs="Times New Roman"/>
          <w:color w:val="000000"/>
          <w:sz w:val="24"/>
          <w:szCs w:val="24"/>
          <w:lang w:eastAsia="fr-CH"/>
        </w:rPr>
        <w:t>IHL</w:t>
      </w:r>
      <w:r w:rsidRPr="00EB55C1">
        <w:rPr>
          <w:rFonts w:ascii="Times New Roman" w:eastAsia="Times New Roman" w:hAnsi="Times New Roman" w:cs="Times New Roman"/>
          <w:color w:val="000000"/>
          <w:sz w:val="24"/>
          <w:szCs w:val="24"/>
          <w:lang w:eastAsia="fr-CH"/>
        </w:rPr>
        <w:t xml:space="preserve"> rules</w:t>
      </w:r>
      <w:r w:rsidR="00480C92" w:rsidRPr="00EB55C1">
        <w:rPr>
          <w:rFonts w:ascii="Times New Roman" w:eastAsia="Times New Roman" w:hAnsi="Times New Roman" w:cs="Times New Roman"/>
          <w:color w:val="000000"/>
          <w:sz w:val="24"/>
          <w:szCs w:val="24"/>
          <w:lang w:eastAsia="fr-CH"/>
        </w:rPr>
        <w:t xml:space="preserve">, cultural property is protected in two ways. First, </w:t>
      </w:r>
      <w:r w:rsidR="00EA0CAF" w:rsidRPr="00EB55C1">
        <w:rPr>
          <w:rFonts w:ascii="Times New Roman" w:eastAsia="Times New Roman" w:hAnsi="Times New Roman" w:cs="Times New Roman"/>
          <w:color w:val="000000"/>
          <w:sz w:val="24"/>
          <w:szCs w:val="24"/>
          <w:lang w:eastAsia="fr-CH"/>
        </w:rPr>
        <w:t xml:space="preserve">because </w:t>
      </w:r>
      <w:r w:rsidR="003526B2" w:rsidRPr="00360D35">
        <w:rPr>
          <w:rFonts w:ascii="Times New Roman" w:eastAsia="Times New Roman" w:hAnsi="Times New Roman" w:cs="Times New Roman"/>
          <w:color w:val="000000"/>
          <w:sz w:val="24"/>
          <w:szCs w:val="24"/>
          <w:lang w:eastAsia="fr-CH"/>
        </w:rPr>
        <w:t xml:space="preserve">it is </w:t>
      </w:r>
      <w:r w:rsidR="00EA0CAF" w:rsidRPr="00EB55C1">
        <w:rPr>
          <w:rFonts w:ascii="Times New Roman" w:eastAsia="Times New Roman" w:hAnsi="Times New Roman" w:cs="Times New Roman"/>
          <w:color w:val="000000"/>
          <w:sz w:val="24"/>
          <w:szCs w:val="24"/>
          <w:lang w:eastAsia="fr-CH"/>
        </w:rPr>
        <w:t xml:space="preserve">civilian in nature, </w:t>
      </w:r>
      <w:r w:rsidR="00480C92" w:rsidRPr="00EB55C1">
        <w:rPr>
          <w:rFonts w:ascii="Times New Roman" w:eastAsia="Times New Roman" w:hAnsi="Times New Roman" w:cs="Times New Roman"/>
          <w:color w:val="000000"/>
          <w:sz w:val="24"/>
          <w:szCs w:val="24"/>
          <w:lang w:eastAsia="fr-CH"/>
        </w:rPr>
        <w:t xml:space="preserve">the general </w:t>
      </w:r>
      <w:r w:rsidR="0038752A" w:rsidRPr="00EB55C1">
        <w:rPr>
          <w:rFonts w:ascii="Times New Roman" w:eastAsia="Times New Roman" w:hAnsi="Times New Roman" w:cs="Times New Roman"/>
          <w:color w:val="000000"/>
          <w:sz w:val="24"/>
          <w:szCs w:val="24"/>
          <w:lang w:eastAsia="fr-CH"/>
        </w:rPr>
        <w:t>protection afforded by</w:t>
      </w:r>
      <w:r w:rsidR="00EA0CAF" w:rsidRPr="00EB55C1">
        <w:rPr>
          <w:rFonts w:ascii="Times New Roman" w:eastAsia="Times New Roman" w:hAnsi="Times New Roman" w:cs="Times New Roman"/>
          <w:color w:val="000000"/>
          <w:sz w:val="24"/>
          <w:szCs w:val="24"/>
          <w:lang w:eastAsia="fr-CH"/>
        </w:rPr>
        <w:t xml:space="preserve"> IHL </w:t>
      </w:r>
      <w:r w:rsidR="0038752A" w:rsidRPr="00EB55C1">
        <w:rPr>
          <w:rFonts w:ascii="Times New Roman" w:eastAsia="Times New Roman" w:hAnsi="Times New Roman" w:cs="Times New Roman"/>
          <w:color w:val="000000"/>
          <w:sz w:val="24"/>
          <w:szCs w:val="24"/>
          <w:lang w:eastAsia="fr-CH"/>
        </w:rPr>
        <w:t xml:space="preserve">to </w:t>
      </w:r>
      <w:r w:rsidRPr="00EB55C1">
        <w:rPr>
          <w:rFonts w:ascii="Times New Roman" w:eastAsia="Times New Roman" w:hAnsi="Times New Roman" w:cs="Times New Roman"/>
          <w:color w:val="000000"/>
          <w:sz w:val="24"/>
          <w:szCs w:val="24"/>
          <w:lang w:eastAsia="fr-CH"/>
        </w:rPr>
        <w:t xml:space="preserve">all </w:t>
      </w:r>
      <w:r w:rsidR="00480C92" w:rsidRPr="00EB55C1">
        <w:rPr>
          <w:rFonts w:ascii="Times New Roman" w:eastAsia="Times New Roman" w:hAnsi="Times New Roman" w:cs="Times New Roman"/>
          <w:color w:val="000000"/>
          <w:sz w:val="24"/>
          <w:szCs w:val="24"/>
          <w:lang w:eastAsia="fr-CH"/>
        </w:rPr>
        <w:t>civilian objects appl</w:t>
      </w:r>
      <w:r w:rsidR="0038752A" w:rsidRPr="00EB55C1">
        <w:rPr>
          <w:rFonts w:ascii="Times New Roman" w:eastAsia="Times New Roman" w:hAnsi="Times New Roman" w:cs="Times New Roman"/>
          <w:color w:val="000000"/>
          <w:sz w:val="24"/>
          <w:szCs w:val="24"/>
          <w:lang w:eastAsia="fr-CH"/>
        </w:rPr>
        <w:t>ies</w:t>
      </w:r>
      <w:r w:rsidR="00480C92" w:rsidRPr="00EB55C1">
        <w:rPr>
          <w:rFonts w:ascii="Times New Roman" w:eastAsia="Times New Roman" w:hAnsi="Times New Roman" w:cs="Times New Roman"/>
          <w:color w:val="000000"/>
          <w:sz w:val="24"/>
          <w:szCs w:val="24"/>
          <w:lang w:eastAsia="fr-CH"/>
        </w:rPr>
        <w:t xml:space="preserve">. </w:t>
      </w:r>
      <w:r w:rsidR="006C2A55" w:rsidRPr="00360D35">
        <w:rPr>
          <w:rFonts w:ascii="Times New Roman" w:eastAsia="Times New Roman" w:hAnsi="Times New Roman" w:cs="Times New Roman"/>
          <w:color w:val="000000"/>
          <w:sz w:val="24"/>
          <w:szCs w:val="24"/>
          <w:lang w:eastAsia="fr-CH"/>
        </w:rPr>
        <w:t>P</w:t>
      </w:r>
      <w:r w:rsidR="00480C92" w:rsidRPr="00EB55C1">
        <w:rPr>
          <w:rFonts w:ascii="Times New Roman" w:eastAsia="Times New Roman" w:hAnsi="Times New Roman" w:cs="Times New Roman"/>
          <w:color w:val="000000"/>
          <w:sz w:val="24"/>
          <w:szCs w:val="24"/>
          <w:lang w:eastAsia="fr-CH"/>
        </w:rPr>
        <w:t xml:space="preserve">arties to </w:t>
      </w:r>
      <w:r w:rsidR="006C2A55" w:rsidRPr="00360D35">
        <w:rPr>
          <w:rFonts w:ascii="Times New Roman" w:eastAsia="Times New Roman" w:hAnsi="Times New Roman" w:cs="Times New Roman"/>
          <w:color w:val="000000"/>
          <w:sz w:val="24"/>
          <w:szCs w:val="24"/>
          <w:lang w:eastAsia="fr-CH"/>
        </w:rPr>
        <w:t xml:space="preserve">a </w:t>
      </w:r>
      <w:r w:rsidR="00480C92" w:rsidRPr="00EB55C1">
        <w:rPr>
          <w:rFonts w:ascii="Times New Roman" w:eastAsia="Times New Roman" w:hAnsi="Times New Roman" w:cs="Times New Roman"/>
          <w:color w:val="000000"/>
          <w:sz w:val="24"/>
          <w:szCs w:val="24"/>
          <w:lang w:eastAsia="fr-CH"/>
        </w:rPr>
        <w:t xml:space="preserve">conflict are bound to respect at </w:t>
      </w:r>
      <w:r w:rsidR="00615978">
        <w:rPr>
          <w:rFonts w:ascii="Times New Roman" w:eastAsia="Times New Roman" w:hAnsi="Times New Roman" w:cs="Times New Roman"/>
          <w:color w:val="000000"/>
          <w:sz w:val="24"/>
          <w:szCs w:val="24"/>
          <w:lang w:eastAsia="fr-CH"/>
        </w:rPr>
        <w:t>all</w:t>
      </w:r>
      <w:r w:rsidR="00615978" w:rsidRPr="00EB55C1">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time</w:t>
      </w:r>
      <w:r w:rsidR="00615978">
        <w:rPr>
          <w:rFonts w:ascii="Times New Roman" w:eastAsia="Times New Roman" w:hAnsi="Times New Roman" w:cs="Times New Roman"/>
          <w:color w:val="000000"/>
          <w:sz w:val="24"/>
          <w:szCs w:val="24"/>
          <w:lang w:eastAsia="fr-CH"/>
        </w:rPr>
        <w:t>s</w:t>
      </w:r>
      <w:r w:rsidR="00480C92" w:rsidRPr="00EB55C1">
        <w:rPr>
          <w:rFonts w:ascii="Times New Roman" w:eastAsia="Times New Roman" w:hAnsi="Times New Roman" w:cs="Times New Roman"/>
          <w:color w:val="000000"/>
          <w:sz w:val="24"/>
          <w:szCs w:val="24"/>
          <w:lang w:eastAsia="fr-CH"/>
        </w:rPr>
        <w:t xml:space="preserve"> the core provisions regulating the conduct of hostilities which are laid out in AP I and are undisputedly part of customary international law. These include the principle of distinction (which prohibits direct attacks against any target that does not meet the definition of a legitimate military objective); the principle of proportionality (which requires that the effects of attacks on the civilian population and on civilian objects, including of cultural value, must not be excessive in relation to the concrete and direct</w:t>
      </w:r>
      <w:r w:rsidR="005C2B60" w:rsidRPr="00EB55C1">
        <w:rPr>
          <w:rFonts w:ascii="Times New Roman" w:eastAsia="Times New Roman" w:hAnsi="Times New Roman" w:cs="Times New Roman"/>
          <w:color w:val="000000"/>
          <w:sz w:val="24"/>
          <w:szCs w:val="24"/>
          <w:lang w:eastAsia="fr-CH"/>
        </w:rPr>
        <w:t xml:space="preserve"> military advantage</w:t>
      </w:r>
      <w:r w:rsidR="00480C92" w:rsidRPr="00EB55C1">
        <w:rPr>
          <w:rFonts w:ascii="Times New Roman" w:eastAsia="Times New Roman" w:hAnsi="Times New Roman" w:cs="Times New Roman"/>
          <w:color w:val="000000"/>
          <w:sz w:val="24"/>
          <w:szCs w:val="24"/>
          <w:lang w:eastAsia="fr-CH"/>
        </w:rPr>
        <w:t xml:space="preserve"> sought)</w:t>
      </w:r>
      <w:r w:rsidR="007068F0" w:rsidRPr="00360D35">
        <w:rPr>
          <w:rFonts w:ascii="Times New Roman" w:eastAsia="Times New Roman" w:hAnsi="Times New Roman" w:cs="Times New Roman"/>
          <w:color w:val="000000"/>
          <w:sz w:val="24"/>
          <w:szCs w:val="24"/>
          <w:lang w:eastAsia="fr-CH"/>
        </w:rPr>
        <w:t>;</w:t>
      </w:r>
      <w:r w:rsidR="00F721D6">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and the principle of precaution (which requires the attacking and defending parties to take various precautionary measures to limit the consequences of the hostilities on protected persons and objects).</w:t>
      </w:r>
    </w:p>
    <w:p w14:paraId="7722F34A" w14:textId="1B4E22F9" w:rsidR="002C715E" w:rsidRPr="00EB55C1" w:rsidRDefault="00480C92" w:rsidP="00D007BC">
      <w:pPr>
        <w:spacing w:before="120" w:after="12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 xml:space="preserve">Second, in addition to these provisions, due to the special </w:t>
      </w:r>
      <w:r w:rsidR="005C2B60" w:rsidRPr="00EB55C1">
        <w:rPr>
          <w:rFonts w:ascii="Times New Roman" w:eastAsia="Times New Roman" w:hAnsi="Times New Roman" w:cs="Times New Roman"/>
          <w:color w:val="000000"/>
          <w:sz w:val="24"/>
          <w:szCs w:val="24"/>
          <w:lang w:eastAsia="fr-CH"/>
        </w:rPr>
        <w:t>character</w:t>
      </w:r>
      <w:r w:rsidRPr="00EB55C1">
        <w:rPr>
          <w:rFonts w:ascii="Times New Roman" w:eastAsia="Times New Roman" w:hAnsi="Times New Roman" w:cs="Times New Roman"/>
          <w:color w:val="000000"/>
          <w:sz w:val="24"/>
          <w:szCs w:val="24"/>
          <w:lang w:eastAsia="fr-CH"/>
        </w:rPr>
        <w:t xml:space="preserve"> </w:t>
      </w:r>
      <w:r w:rsidR="00EC3D62" w:rsidRPr="00EB55C1">
        <w:rPr>
          <w:rFonts w:ascii="Times New Roman" w:eastAsia="Times New Roman" w:hAnsi="Times New Roman" w:cs="Times New Roman"/>
          <w:color w:val="000000"/>
          <w:sz w:val="24"/>
          <w:szCs w:val="24"/>
          <w:lang w:eastAsia="fr-CH"/>
        </w:rPr>
        <w:t xml:space="preserve">and important value </w:t>
      </w:r>
      <w:r w:rsidRPr="00EB55C1">
        <w:rPr>
          <w:rFonts w:ascii="Times New Roman" w:eastAsia="Times New Roman" w:hAnsi="Times New Roman" w:cs="Times New Roman"/>
          <w:color w:val="000000"/>
          <w:sz w:val="24"/>
          <w:szCs w:val="24"/>
          <w:lang w:eastAsia="fr-CH"/>
        </w:rPr>
        <w:t>of this category of civilian objects, several international instruments provide for a more specific</w:t>
      </w:r>
      <w:r w:rsidR="006F53EC"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system of protection</w:t>
      </w:r>
      <w:r w:rsidR="006F53EC" w:rsidRPr="00EB55C1">
        <w:rPr>
          <w:rFonts w:ascii="Times New Roman" w:eastAsia="Times New Roman" w:hAnsi="Times New Roman" w:cs="Times New Roman"/>
          <w:color w:val="000000"/>
          <w:sz w:val="24"/>
          <w:szCs w:val="24"/>
          <w:lang w:eastAsia="fr-CH"/>
        </w:rPr>
        <w:t xml:space="preserve"> for </w:t>
      </w:r>
      <w:r w:rsidRPr="00EB55C1">
        <w:rPr>
          <w:rFonts w:ascii="Times New Roman" w:eastAsia="Times New Roman" w:hAnsi="Times New Roman" w:cs="Times New Roman"/>
          <w:color w:val="000000"/>
          <w:sz w:val="24"/>
          <w:szCs w:val="24"/>
          <w:lang w:eastAsia="fr-CH"/>
        </w:rPr>
        <w:t xml:space="preserve">cultural property. The list of these conventional instruments </w:t>
      </w:r>
      <w:r w:rsidR="004E178A" w:rsidRPr="00EB55C1">
        <w:rPr>
          <w:rFonts w:ascii="Times New Roman" w:eastAsia="Times New Roman" w:hAnsi="Times New Roman" w:cs="Times New Roman"/>
          <w:color w:val="000000"/>
          <w:sz w:val="24"/>
          <w:szCs w:val="24"/>
          <w:lang w:eastAsia="fr-CH"/>
        </w:rPr>
        <w:t>starts with</w:t>
      </w:r>
      <w:r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lastRenderedPageBreak/>
        <w:t xml:space="preserve">the 1863 Instructions for the Government of Armies of the United States in the Field (the “Lieber Code”) and subsequently the Hague Convention II of 1899 and IV </w:t>
      </w:r>
      <w:r w:rsidR="00091EC2" w:rsidRPr="00360D35">
        <w:rPr>
          <w:rFonts w:ascii="Times New Roman" w:eastAsia="Times New Roman" w:hAnsi="Times New Roman" w:cs="Times New Roman"/>
          <w:color w:val="000000"/>
          <w:sz w:val="24"/>
          <w:szCs w:val="24"/>
          <w:lang w:eastAsia="fr-CH"/>
        </w:rPr>
        <w:t xml:space="preserve">of </w:t>
      </w:r>
      <w:r w:rsidRPr="00EB55C1">
        <w:rPr>
          <w:rFonts w:ascii="Times New Roman" w:eastAsia="Times New Roman" w:hAnsi="Times New Roman" w:cs="Times New Roman"/>
          <w:color w:val="000000"/>
          <w:sz w:val="24"/>
          <w:szCs w:val="24"/>
          <w:lang w:eastAsia="fr-CH"/>
        </w:rPr>
        <w:t xml:space="preserve">1907 and </w:t>
      </w:r>
      <w:r w:rsidR="00091EC2" w:rsidRPr="00360D35">
        <w:rPr>
          <w:rFonts w:ascii="Times New Roman" w:eastAsia="Times New Roman" w:hAnsi="Times New Roman" w:cs="Times New Roman"/>
          <w:color w:val="000000"/>
          <w:sz w:val="24"/>
          <w:szCs w:val="24"/>
          <w:lang w:eastAsia="fr-CH"/>
        </w:rPr>
        <w:t xml:space="preserve">their </w:t>
      </w:r>
      <w:r w:rsidRPr="00EB55C1">
        <w:rPr>
          <w:rFonts w:ascii="Times New Roman" w:eastAsia="Times New Roman" w:hAnsi="Times New Roman" w:cs="Times New Roman"/>
          <w:color w:val="000000"/>
          <w:sz w:val="24"/>
          <w:szCs w:val="24"/>
          <w:lang w:eastAsia="fr-CH"/>
        </w:rPr>
        <w:t xml:space="preserve">annexed </w:t>
      </w:r>
      <w:r w:rsidR="00091EC2" w:rsidRPr="00360D35">
        <w:rPr>
          <w:rFonts w:ascii="Times New Roman" w:eastAsia="Times New Roman" w:hAnsi="Times New Roman" w:cs="Times New Roman"/>
          <w:color w:val="000000"/>
          <w:sz w:val="24"/>
          <w:szCs w:val="24"/>
          <w:lang w:eastAsia="fr-CH"/>
        </w:rPr>
        <w:t>r</w:t>
      </w:r>
      <w:r w:rsidRPr="00EB55C1">
        <w:rPr>
          <w:rFonts w:ascii="Times New Roman" w:eastAsia="Times New Roman" w:hAnsi="Times New Roman" w:cs="Times New Roman"/>
          <w:color w:val="000000"/>
          <w:sz w:val="24"/>
          <w:szCs w:val="24"/>
          <w:lang w:eastAsia="fr-CH"/>
        </w:rPr>
        <w:t>egulations, which codified at the time the “Laws and Customs of War on Land”</w:t>
      </w:r>
      <w:r w:rsidR="000354EB" w:rsidRPr="00EB55C1">
        <w:rPr>
          <w:rFonts w:ascii="Times New Roman" w:eastAsia="Times New Roman" w:hAnsi="Times New Roman" w:cs="Times New Roman"/>
          <w:color w:val="000000"/>
          <w:sz w:val="24"/>
          <w:szCs w:val="24"/>
          <w:lang w:eastAsia="fr-CH"/>
        </w:rPr>
        <w:t xml:space="preserve"> and</w:t>
      </w:r>
      <w:r w:rsidR="004E178A"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laid out the foundation of the modern protection of cultural property during armed conflict by prohibiting unnecessary destruction and seizure of cultural property during wartime, including in occupied territories.</w:t>
      </w:r>
      <w:r w:rsidR="00BD5926" w:rsidRPr="00EB55C1">
        <w:rPr>
          <w:rStyle w:val="EndnoteReference"/>
          <w:rFonts w:ascii="Times New Roman" w:eastAsia="Times New Roman" w:hAnsi="Times New Roman" w:cs="Times New Roman"/>
          <w:color w:val="000000"/>
          <w:sz w:val="24"/>
          <w:szCs w:val="24"/>
          <w:lang w:eastAsia="fr-CH"/>
        </w:rPr>
        <w:endnoteReference w:id="6"/>
      </w:r>
    </w:p>
    <w:p w14:paraId="5564C8EA" w14:textId="6AE955D3" w:rsidR="00480C92" w:rsidRPr="00EB55C1" w:rsidRDefault="00F721D6" w:rsidP="00D007BC">
      <w:pPr>
        <w:spacing w:before="120" w:after="120" w:line="480" w:lineRule="auto"/>
        <w:ind w:firstLine="708"/>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T</w:t>
      </w:r>
      <w:r w:rsidR="00480C92" w:rsidRPr="00EB55C1">
        <w:rPr>
          <w:rFonts w:ascii="Times New Roman" w:eastAsia="Times New Roman" w:hAnsi="Times New Roman" w:cs="Times New Roman"/>
          <w:color w:val="000000"/>
          <w:sz w:val="24"/>
          <w:szCs w:val="24"/>
          <w:lang w:eastAsia="fr-CH"/>
        </w:rPr>
        <w:t xml:space="preserve">he cornerstone of this system of protection is undoubtedly articulated in the </w:t>
      </w:r>
      <w:r w:rsidR="00F14DA0" w:rsidRPr="00360D35">
        <w:rPr>
          <w:rFonts w:ascii="Times New Roman" w:eastAsia="Times New Roman" w:hAnsi="Times New Roman" w:cs="Times New Roman"/>
          <w:color w:val="000000"/>
          <w:sz w:val="24"/>
          <w:szCs w:val="24"/>
          <w:lang w:eastAsia="fr-CH"/>
        </w:rPr>
        <w:t xml:space="preserve">Hague </w:t>
      </w:r>
      <w:r w:rsidR="00480C92" w:rsidRPr="00EB55C1">
        <w:rPr>
          <w:rFonts w:ascii="Times New Roman" w:eastAsia="Times New Roman" w:hAnsi="Times New Roman" w:cs="Times New Roman"/>
          <w:color w:val="000000"/>
          <w:sz w:val="24"/>
          <w:szCs w:val="24"/>
          <w:lang w:eastAsia="fr-CH"/>
        </w:rPr>
        <w:t xml:space="preserve">Convention for the Protection of Cultural Property in the Event of Armed Conflict and the Regulations for the Execution of the Convention, adopted on 14 May 1954 in the aftermath of the extensive destruction of large urban </w:t>
      </w:r>
      <w:r w:rsidR="007C43E4" w:rsidRPr="00EB55C1">
        <w:rPr>
          <w:rFonts w:ascii="Times New Roman" w:eastAsia="Times New Roman" w:hAnsi="Times New Roman" w:cs="Times New Roman"/>
          <w:color w:val="000000"/>
          <w:sz w:val="24"/>
          <w:szCs w:val="24"/>
          <w:lang w:eastAsia="fr-CH"/>
        </w:rPr>
        <w:t>centers</w:t>
      </w:r>
      <w:r w:rsidR="00480C92" w:rsidRPr="00EB55C1">
        <w:rPr>
          <w:rFonts w:ascii="Times New Roman" w:eastAsia="Times New Roman" w:hAnsi="Times New Roman" w:cs="Times New Roman"/>
          <w:color w:val="000000"/>
          <w:sz w:val="24"/>
          <w:szCs w:val="24"/>
          <w:lang w:eastAsia="fr-CH"/>
        </w:rPr>
        <w:t xml:space="preserve"> during </w:t>
      </w:r>
      <w:r w:rsidR="005362E2" w:rsidRPr="00EB55C1">
        <w:rPr>
          <w:rFonts w:ascii="Times New Roman" w:eastAsia="Times New Roman" w:hAnsi="Times New Roman" w:cs="Times New Roman"/>
          <w:color w:val="000000"/>
          <w:sz w:val="24"/>
          <w:szCs w:val="24"/>
          <w:lang w:eastAsia="fr-CH"/>
        </w:rPr>
        <w:t>World War II</w:t>
      </w:r>
      <w:r w:rsidR="00480C92" w:rsidRPr="00EB55C1">
        <w:rPr>
          <w:rFonts w:ascii="Times New Roman" w:eastAsia="Times New Roman" w:hAnsi="Times New Roman" w:cs="Times New Roman"/>
          <w:color w:val="000000"/>
          <w:sz w:val="24"/>
          <w:szCs w:val="24"/>
          <w:lang w:eastAsia="fr-CH"/>
        </w:rPr>
        <w:t xml:space="preserve">, and in </w:t>
      </w:r>
      <w:r w:rsidR="008E12D8" w:rsidRPr="00360D35">
        <w:rPr>
          <w:rFonts w:ascii="Times New Roman" w:eastAsia="Times New Roman" w:hAnsi="Times New Roman" w:cs="Times New Roman"/>
          <w:color w:val="000000"/>
          <w:sz w:val="24"/>
          <w:szCs w:val="24"/>
          <w:lang w:eastAsia="fr-CH"/>
        </w:rPr>
        <w:t xml:space="preserve">the convention’s </w:t>
      </w:r>
      <w:r w:rsidR="00480C92" w:rsidRPr="00EB55C1">
        <w:rPr>
          <w:rFonts w:ascii="Times New Roman" w:eastAsia="Times New Roman" w:hAnsi="Times New Roman" w:cs="Times New Roman"/>
          <w:color w:val="000000"/>
          <w:sz w:val="24"/>
          <w:szCs w:val="24"/>
          <w:lang w:eastAsia="fr-CH"/>
        </w:rPr>
        <w:t xml:space="preserve">two </w:t>
      </w:r>
      <w:r w:rsidR="008E12D8" w:rsidRPr="00360D35">
        <w:rPr>
          <w:rFonts w:ascii="Times New Roman" w:eastAsia="Times New Roman" w:hAnsi="Times New Roman" w:cs="Times New Roman"/>
          <w:color w:val="000000"/>
          <w:sz w:val="24"/>
          <w:szCs w:val="24"/>
          <w:lang w:eastAsia="fr-CH"/>
        </w:rPr>
        <w:t>p</w:t>
      </w:r>
      <w:r w:rsidR="00480C92" w:rsidRPr="00EB55C1">
        <w:rPr>
          <w:rFonts w:ascii="Times New Roman" w:eastAsia="Times New Roman" w:hAnsi="Times New Roman" w:cs="Times New Roman"/>
          <w:color w:val="000000"/>
          <w:sz w:val="24"/>
          <w:szCs w:val="24"/>
          <w:lang w:eastAsia="fr-CH"/>
        </w:rPr>
        <w:t>rotocols</w:t>
      </w:r>
      <w:r w:rsidR="008E12D8" w:rsidRPr="00360D35">
        <w:rPr>
          <w:rFonts w:ascii="Times New Roman" w:eastAsia="Times New Roman" w:hAnsi="Times New Roman" w:cs="Times New Roman"/>
          <w:color w:val="000000"/>
          <w:sz w:val="24"/>
          <w:szCs w:val="24"/>
          <w:lang w:eastAsia="fr-CH"/>
        </w:rPr>
        <w:t xml:space="preserve"> (1954 and 1999)</w:t>
      </w:r>
      <w:r w:rsidR="00480C92" w:rsidRPr="00EB55C1">
        <w:rPr>
          <w:rFonts w:ascii="Times New Roman" w:eastAsia="Times New Roman" w:hAnsi="Times New Roman" w:cs="Times New Roman"/>
          <w:color w:val="000000"/>
          <w:sz w:val="24"/>
          <w:szCs w:val="24"/>
          <w:lang w:eastAsia="fr-CH"/>
        </w:rPr>
        <w:t xml:space="preserve">. As a direct response to the massive looting of artwork that took place during </w:t>
      </w:r>
      <w:r w:rsidR="00A3010C">
        <w:rPr>
          <w:rFonts w:ascii="Times New Roman" w:eastAsia="Times New Roman" w:hAnsi="Times New Roman" w:cs="Times New Roman"/>
          <w:color w:val="000000"/>
          <w:sz w:val="24"/>
          <w:szCs w:val="24"/>
          <w:lang w:eastAsia="fr-CH"/>
        </w:rPr>
        <w:t>the war</w:t>
      </w:r>
      <w:r w:rsidR="00480C92" w:rsidRPr="00EB55C1">
        <w:rPr>
          <w:rFonts w:ascii="Times New Roman" w:eastAsia="Times New Roman" w:hAnsi="Times New Roman" w:cs="Times New Roman"/>
          <w:color w:val="000000"/>
          <w:sz w:val="24"/>
          <w:szCs w:val="24"/>
          <w:lang w:eastAsia="fr-CH"/>
        </w:rPr>
        <w:t xml:space="preserve">, the First Protocol deals with the prevention of the exportation of movable cultural property from occupied territories and with restitution. The Second Protocol, adopted more than </w:t>
      </w:r>
      <w:r w:rsidR="00FF0506" w:rsidRPr="00360D35">
        <w:rPr>
          <w:rFonts w:ascii="Times New Roman" w:eastAsia="Times New Roman" w:hAnsi="Times New Roman" w:cs="Times New Roman"/>
          <w:color w:val="000000"/>
          <w:sz w:val="24"/>
          <w:szCs w:val="24"/>
          <w:lang w:eastAsia="fr-CH"/>
        </w:rPr>
        <w:t>forty</w:t>
      </w:r>
      <w:r w:rsidR="00FF0506" w:rsidRPr="00EB55C1">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years after the </w:t>
      </w:r>
      <w:r w:rsidR="0056323A" w:rsidRPr="00360D35">
        <w:rPr>
          <w:rFonts w:ascii="Times New Roman" w:eastAsia="Times New Roman" w:hAnsi="Times New Roman" w:cs="Times New Roman"/>
          <w:color w:val="000000"/>
          <w:sz w:val="24"/>
          <w:szCs w:val="24"/>
          <w:lang w:eastAsia="fr-CH"/>
        </w:rPr>
        <w:t>c</w:t>
      </w:r>
      <w:r w:rsidR="00480C92" w:rsidRPr="00EB55C1">
        <w:rPr>
          <w:rFonts w:ascii="Times New Roman" w:eastAsia="Times New Roman" w:hAnsi="Times New Roman" w:cs="Times New Roman"/>
          <w:color w:val="000000"/>
          <w:sz w:val="24"/>
          <w:szCs w:val="24"/>
          <w:lang w:eastAsia="fr-CH"/>
        </w:rPr>
        <w:t xml:space="preserve">onvention, critically reinforces the </w:t>
      </w:r>
      <w:r w:rsidR="00A3010C">
        <w:rPr>
          <w:rFonts w:ascii="Times New Roman" w:eastAsia="Times New Roman" w:hAnsi="Times New Roman" w:cs="Times New Roman"/>
          <w:color w:val="000000"/>
          <w:sz w:val="24"/>
          <w:szCs w:val="24"/>
          <w:lang w:eastAsia="fr-CH"/>
        </w:rPr>
        <w:t>latter’s</w:t>
      </w:r>
      <w:r w:rsidR="00CA45D2" w:rsidRPr="00360D35">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protection system by addressing some of its important shortcomings.</w:t>
      </w:r>
      <w:r w:rsidR="004E178A" w:rsidRPr="00EB55C1">
        <w:rPr>
          <w:rFonts w:ascii="Times New Roman" w:eastAsia="Times New Roman" w:hAnsi="Times New Roman" w:cs="Times New Roman"/>
          <w:color w:val="000000"/>
          <w:sz w:val="24"/>
          <w:szCs w:val="24"/>
          <w:lang w:eastAsia="fr-CH"/>
        </w:rPr>
        <w:t xml:space="preserve"> </w:t>
      </w:r>
      <w:r w:rsidR="00553104" w:rsidRPr="00EB55C1">
        <w:rPr>
          <w:rFonts w:ascii="Times New Roman" w:eastAsia="Times New Roman" w:hAnsi="Times New Roman" w:cs="Times New Roman"/>
          <w:color w:val="000000"/>
          <w:sz w:val="24"/>
          <w:szCs w:val="24"/>
          <w:lang w:eastAsia="fr-CH"/>
        </w:rPr>
        <w:t xml:space="preserve">Due to the comprehensive nature of both the </w:t>
      </w:r>
      <w:r w:rsidR="007C6C09" w:rsidRPr="00360D35">
        <w:rPr>
          <w:rFonts w:ascii="Times New Roman" w:eastAsia="Times New Roman" w:hAnsi="Times New Roman" w:cs="Times New Roman"/>
          <w:color w:val="000000"/>
          <w:sz w:val="24"/>
          <w:szCs w:val="24"/>
          <w:lang w:eastAsia="fr-CH"/>
        </w:rPr>
        <w:t>c</w:t>
      </w:r>
      <w:r w:rsidR="003127DC" w:rsidRPr="00EB55C1">
        <w:rPr>
          <w:rFonts w:ascii="Times New Roman" w:eastAsia="Times New Roman" w:hAnsi="Times New Roman" w:cs="Times New Roman"/>
          <w:color w:val="000000"/>
          <w:sz w:val="24"/>
          <w:szCs w:val="24"/>
          <w:lang w:eastAsia="fr-CH"/>
        </w:rPr>
        <w:t xml:space="preserve">onvention and </w:t>
      </w:r>
      <w:r w:rsidR="00540F19" w:rsidRPr="00360D35">
        <w:rPr>
          <w:rFonts w:ascii="Times New Roman" w:eastAsia="Times New Roman" w:hAnsi="Times New Roman" w:cs="Times New Roman"/>
          <w:color w:val="000000"/>
          <w:sz w:val="24"/>
          <w:szCs w:val="24"/>
          <w:lang w:eastAsia="fr-CH"/>
        </w:rPr>
        <w:t xml:space="preserve">the </w:t>
      </w:r>
      <w:r w:rsidR="003127DC" w:rsidRPr="00EB55C1">
        <w:rPr>
          <w:rFonts w:ascii="Times New Roman" w:eastAsia="Times New Roman" w:hAnsi="Times New Roman" w:cs="Times New Roman"/>
          <w:color w:val="000000"/>
          <w:sz w:val="24"/>
          <w:szCs w:val="24"/>
          <w:lang w:eastAsia="fr-CH"/>
        </w:rPr>
        <w:t>Second Protocol</w:t>
      </w:r>
      <w:r w:rsidR="00553104" w:rsidRPr="00EB55C1">
        <w:rPr>
          <w:rFonts w:ascii="Times New Roman" w:eastAsia="Times New Roman" w:hAnsi="Times New Roman" w:cs="Times New Roman"/>
          <w:color w:val="000000"/>
          <w:sz w:val="24"/>
          <w:szCs w:val="24"/>
          <w:lang w:eastAsia="fr-CH"/>
        </w:rPr>
        <w:t>, specific focus will be given to these instruments in the analysis below.</w:t>
      </w:r>
    </w:p>
    <w:p w14:paraId="12A7653B" w14:textId="3664CD6B" w:rsidR="000D034C" w:rsidRPr="00EB55C1" w:rsidRDefault="003127DC">
      <w:pPr>
        <w:spacing w:before="120" w:after="120" w:line="480" w:lineRule="auto"/>
        <w:ind w:firstLine="708"/>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color w:val="000000"/>
          <w:sz w:val="24"/>
          <w:szCs w:val="24"/>
          <w:lang w:eastAsia="fr-CH"/>
        </w:rPr>
        <w:t>Finally, i</w:t>
      </w:r>
      <w:r w:rsidR="004E178A" w:rsidRPr="00EB55C1">
        <w:rPr>
          <w:rFonts w:ascii="Times New Roman" w:eastAsia="Times New Roman" w:hAnsi="Times New Roman" w:cs="Times New Roman"/>
          <w:color w:val="000000"/>
          <w:sz w:val="24"/>
          <w:szCs w:val="24"/>
          <w:lang w:eastAsia="fr-CH"/>
        </w:rPr>
        <w:t xml:space="preserve">n addition to the already mentioned core principles related to the conduct of hostilities laid out in the </w:t>
      </w:r>
      <w:r w:rsidR="00D01420">
        <w:rPr>
          <w:rFonts w:ascii="Times New Roman" w:eastAsia="Times New Roman" w:hAnsi="Times New Roman" w:cs="Times New Roman"/>
          <w:color w:val="000000"/>
          <w:sz w:val="24"/>
          <w:szCs w:val="24"/>
          <w:lang w:eastAsia="fr-CH"/>
        </w:rPr>
        <w:t xml:space="preserve">two </w:t>
      </w:r>
      <w:r w:rsidR="004E178A" w:rsidRPr="00EB55C1">
        <w:rPr>
          <w:rFonts w:ascii="Times New Roman" w:eastAsia="Times New Roman" w:hAnsi="Times New Roman" w:cs="Times New Roman"/>
          <w:color w:val="000000"/>
          <w:sz w:val="24"/>
          <w:szCs w:val="24"/>
          <w:lang w:eastAsia="fr-CH"/>
        </w:rPr>
        <w:t xml:space="preserve">1977 Additional Protocols to the four Geneva Conventions, </w:t>
      </w:r>
      <w:r w:rsidR="00EC7E66" w:rsidRPr="00360D35">
        <w:rPr>
          <w:rFonts w:ascii="Times New Roman" w:eastAsia="Times New Roman" w:hAnsi="Times New Roman" w:cs="Times New Roman"/>
          <w:color w:val="000000"/>
          <w:sz w:val="24"/>
          <w:szCs w:val="24"/>
          <w:lang w:eastAsia="fr-CH"/>
        </w:rPr>
        <w:t xml:space="preserve">they </w:t>
      </w:r>
      <w:r w:rsidR="004E178A" w:rsidRPr="00EB55C1">
        <w:rPr>
          <w:rFonts w:ascii="Times New Roman" w:eastAsia="Times New Roman" w:hAnsi="Times New Roman" w:cs="Times New Roman"/>
          <w:color w:val="000000"/>
          <w:sz w:val="24"/>
          <w:szCs w:val="24"/>
          <w:lang w:eastAsia="fr-CH"/>
        </w:rPr>
        <w:t>also contain specific provisions on the protection of cultural property</w:t>
      </w:r>
      <w:r w:rsidR="000354EB" w:rsidRPr="00EB55C1">
        <w:rPr>
          <w:rFonts w:ascii="Times New Roman" w:eastAsia="Times New Roman" w:hAnsi="Times New Roman" w:cs="Times New Roman"/>
          <w:color w:val="000000"/>
          <w:sz w:val="24"/>
          <w:szCs w:val="24"/>
          <w:lang w:eastAsia="fr-CH"/>
        </w:rPr>
        <w:t xml:space="preserve">. </w:t>
      </w:r>
      <w:r w:rsidR="00103762">
        <w:rPr>
          <w:rFonts w:ascii="Times New Roman" w:eastAsia="Times New Roman" w:hAnsi="Times New Roman" w:cs="Times New Roman"/>
          <w:color w:val="000000"/>
          <w:sz w:val="24"/>
          <w:szCs w:val="24"/>
          <w:lang w:eastAsia="fr-CH"/>
        </w:rPr>
        <w:t xml:space="preserve">For example, </w:t>
      </w:r>
      <w:r w:rsidR="000354EB" w:rsidRPr="00EB55C1">
        <w:rPr>
          <w:rFonts w:ascii="Times New Roman" w:eastAsia="Times New Roman" w:hAnsi="Times New Roman" w:cs="Times New Roman"/>
          <w:color w:val="000000"/>
          <w:sz w:val="24"/>
          <w:szCs w:val="24"/>
          <w:lang w:eastAsia="fr-CH"/>
        </w:rPr>
        <w:t xml:space="preserve">Article 53 of </w:t>
      </w:r>
      <w:r w:rsidR="00E95522" w:rsidRPr="00360D35">
        <w:rPr>
          <w:rFonts w:ascii="Times New Roman" w:eastAsia="Times New Roman" w:hAnsi="Times New Roman" w:cs="Times New Roman"/>
          <w:color w:val="000000"/>
          <w:sz w:val="24"/>
          <w:szCs w:val="24"/>
          <w:lang w:eastAsia="fr-CH"/>
        </w:rPr>
        <w:t xml:space="preserve">AP I </w:t>
      </w:r>
      <w:r w:rsidR="000354EB" w:rsidRPr="00EB55C1">
        <w:rPr>
          <w:rFonts w:ascii="Times New Roman" w:eastAsia="Times New Roman" w:hAnsi="Times New Roman" w:cs="Times New Roman"/>
          <w:color w:val="000000"/>
          <w:sz w:val="24"/>
          <w:szCs w:val="24"/>
          <w:lang w:eastAsia="fr-CH"/>
        </w:rPr>
        <w:t xml:space="preserve">and Article 16 of </w:t>
      </w:r>
      <w:r w:rsidR="00E95522" w:rsidRPr="00360D35">
        <w:rPr>
          <w:rFonts w:ascii="Times New Roman" w:eastAsia="Times New Roman" w:hAnsi="Times New Roman" w:cs="Times New Roman"/>
          <w:color w:val="000000"/>
          <w:sz w:val="24"/>
          <w:szCs w:val="24"/>
          <w:lang w:eastAsia="fr-CH"/>
        </w:rPr>
        <w:t xml:space="preserve">AP II </w:t>
      </w:r>
      <w:r w:rsidR="000354EB" w:rsidRPr="00EB55C1">
        <w:rPr>
          <w:rFonts w:ascii="Times New Roman" w:eastAsia="Times New Roman" w:hAnsi="Times New Roman" w:cs="Times New Roman"/>
          <w:color w:val="000000"/>
          <w:sz w:val="24"/>
          <w:szCs w:val="24"/>
          <w:lang w:eastAsia="fr-CH"/>
        </w:rPr>
        <w:t>prohibi</w:t>
      </w:r>
      <w:r w:rsidR="004E178A" w:rsidRPr="00EB55C1">
        <w:rPr>
          <w:rFonts w:ascii="Times New Roman" w:eastAsia="Times New Roman" w:hAnsi="Times New Roman" w:cs="Times New Roman"/>
          <w:color w:val="000000"/>
          <w:sz w:val="24"/>
          <w:szCs w:val="24"/>
          <w:lang w:eastAsia="fr-CH"/>
        </w:rPr>
        <w:t>t belligerent parties “to commit any acts of hostility directed against the historic monuments, works of art or places of worship which constitute the cultural or spiritual heritage of peoples; and to use such objects in support of the military effort</w:t>
      </w:r>
      <w:r w:rsidR="007060EC" w:rsidRPr="00360D35">
        <w:rPr>
          <w:rFonts w:ascii="Times New Roman" w:eastAsia="Times New Roman" w:hAnsi="Times New Roman" w:cs="Times New Roman"/>
          <w:color w:val="000000"/>
          <w:sz w:val="24"/>
          <w:szCs w:val="24"/>
          <w:lang w:eastAsia="fr-CH"/>
        </w:rPr>
        <w:t>.”</w:t>
      </w:r>
      <w:r w:rsidR="004E178A" w:rsidRPr="00EB55C1">
        <w:rPr>
          <w:rFonts w:ascii="Times New Roman" w:eastAsia="Times New Roman" w:hAnsi="Times New Roman" w:cs="Times New Roman"/>
          <w:color w:val="000000"/>
          <w:sz w:val="24"/>
          <w:szCs w:val="24"/>
          <w:lang w:eastAsia="fr-CH"/>
        </w:rPr>
        <w:t xml:space="preserve"> Since </w:t>
      </w:r>
      <w:r w:rsidR="004E178A" w:rsidRPr="00EB55C1">
        <w:rPr>
          <w:rFonts w:ascii="Times New Roman" w:eastAsia="Times New Roman" w:hAnsi="Times New Roman" w:cs="Times New Roman"/>
          <w:color w:val="000000"/>
          <w:sz w:val="24"/>
          <w:szCs w:val="24"/>
          <w:lang w:eastAsia="fr-CH"/>
        </w:rPr>
        <w:lastRenderedPageBreak/>
        <w:t xml:space="preserve">these provisions explicitly apply without prejudice to the provisions of the 1954 Hague Convention, their main purpose is to confirm </w:t>
      </w:r>
      <w:r w:rsidR="002049A6">
        <w:rPr>
          <w:rFonts w:ascii="Times New Roman" w:eastAsia="Times New Roman" w:hAnsi="Times New Roman" w:cs="Times New Roman"/>
          <w:color w:val="000000"/>
          <w:sz w:val="24"/>
          <w:szCs w:val="24"/>
          <w:lang w:eastAsia="fr-CH"/>
        </w:rPr>
        <w:t xml:space="preserve">both </w:t>
      </w:r>
      <w:r w:rsidR="004E178A" w:rsidRPr="00EB55C1">
        <w:rPr>
          <w:rFonts w:ascii="Times New Roman" w:eastAsia="Times New Roman" w:hAnsi="Times New Roman" w:cs="Times New Roman"/>
          <w:color w:val="000000"/>
          <w:sz w:val="24"/>
          <w:szCs w:val="24"/>
          <w:lang w:eastAsia="fr-CH"/>
        </w:rPr>
        <w:t>the relevance of the core elements of the protection system already laid out in the Hague Convention and to give them prevalence over the text of the Additional Protocols in case of conflict between these instruments.</w:t>
      </w:r>
    </w:p>
    <w:p w14:paraId="47EBB488" w14:textId="77777777" w:rsidR="00480C92" w:rsidRPr="00EB55C1" w:rsidRDefault="00480C92">
      <w:pPr>
        <w:spacing w:before="120" w:after="120" w:line="480" w:lineRule="auto"/>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 </w:t>
      </w:r>
    </w:p>
    <w:p w14:paraId="3C4A5BF7" w14:textId="45D460DD" w:rsidR="00435DC2" w:rsidRPr="00EB55C1" w:rsidRDefault="00AE1CE7" w:rsidP="00EE6F41">
      <w:pPr>
        <w:pStyle w:val="Heading2"/>
        <w:spacing w:line="480" w:lineRule="auto"/>
        <w:rPr>
          <w:lang w:eastAsia="fr-CH"/>
        </w:rPr>
      </w:pPr>
      <w:r w:rsidRPr="00EB55C1">
        <w:rPr>
          <w:lang w:eastAsia="fr-CH"/>
        </w:rPr>
        <w:t xml:space="preserve">The </w:t>
      </w:r>
      <w:r w:rsidR="00103815" w:rsidRPr="00360D35">
        <w:rPr>
          <w:lang w:eastAsia="fr-CH"/>
        </w:rPr>
        <w:t>C</w:t>
      </w:r>
      <w:r w:rsidRPr="00EB55C1">
        <w:rPr>
          <w:lang w:eastAsia="fr-CH"/>
        </w:rPr>
        <w:t xml:space="preserve">ore </w:t>
      </w:r>
      <w:r w:rsidR="00103815" w:rsidRPr="00360D35">
        <w:rPr>
          <w:lang w:eastAsia="fr-CH"/>
        </w:rPr>
        <w:t>F</w:t>
      </w:r>
      <w:r w:rsidRPr="00EB55C1">
        <w:rPr>
          <w:lang w:eastAsia="fr-CH"/>
        </w:rPr>
        <w:t xml:space="preserve">eatures of the 1954 Hague </w:t>
      </w:r>
      <w:r w:rsidR="005F00E6" w:rsidRPr="00EB55C1">
        <w:rPr>
          <w:lang w:eastAsia="fr-CH"/>
        </w:rPr>
        <w:t>C</w:t>
      </w:r>
      <w:r w:rsidRPr="00EB55C1">
        <w:rPr>
          <w:lang w:eastAsia="fr-CH"/>
        </w:rPr>
        <w:t xml:space="preserve">onvention and </w:t>
      </w:r>
      <w:r w:rsidR="00531E9D">
        <w:rPr>
          <w:lang w:eastAsia="fr-CH"/>
        </w:rPr>
        <w:t>I</w:t>
      </w:r>
      <w:r w:rsidRPr="00EB55C1">
        <w:rPr>
          <w:lang w:eastAsia="fr-CH"/>
        </w:rPr>
        <w:t xml:space="preserve">ts </w:t>
      </w:r>
      <w:r w:rsidR="005F00E6" w:rsidRPr="00EB55C1">
        <w:rPr>
          <w:lang w:eastAsia="fr-CH"/>
        </w:rPr>
        <w:t>S</w:t>
      </w:r>
      <w:r w:rsidRPr="00EB55C1">
        <w:rPr>
          <w:lang w:eastAsia="fr-CH"/>
        </w:rPr>
        <w:t xml:space="preserve">econd </w:t>
      </w:r>
      <w:r w:rsidR="005F00E6" w:rsidRPr="00EB55C1">
        <w:rPr>
          <w:lang w:eastAsia="fr-CH"/>
        </w:rPr>
        <w:t>P</w:t>
      </w:r>
      <w:r w:rsidRPr="00EB55C1">
        <w:rPr>
          <w:lang w:eastAsia="fr-CH"/>
        </w:rPr>
        <w:t>rotocol</w:t>
      </w:r>
    </w:p>
    <w:p w14:paraId="01CADA11" w14:textId="542949F4" w:rsidR="00480C92" w:rsidRPr="00EB55C1" w:rsidRDefault="00480C92" w:rsidP="006952D9">
      <w:pPr>
        <w:spacing w:before="120" w:after="120" w:line="480" w:lineRule="auto"/>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Under the 1954 Hague Convention, protected “cultural property” is defined as “movable or immovable property of great importance to the cultural heritage of every people</w:t>
      </w:r>
      <w:r w:rsidR="007060EC"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The </w:t>
      </w:r>
      <w:r w:rsidR="00676057" w:rsidRPr="00360D35">
        <w:rPr>
          <w:rFonts w:ascii="Times New Roman" w:eastAsia="Times New Roman" w:hAnsi="Times New Roman" w:cs="Times New Roman"/>
          <w:color w:val="000000"/>
          <w:sz w:val="24"/>
          <w:szCs w:val="24"/>
          <w:lang w:eastAsia="fr-CH"/>
        </w:rPr>
        <w:t>c</w:t>
      </w:r>
      <w:r w:rsidRPr="00EB55C1">
        <w:rPr>
          <w:rFonts w:ascii="Times New Roman" w:eastAsia="Times New Roman" w:hAnsi="Times New Roman" w:cs="Times New Roman"/>
          <w:color w:val="000000"/>
          <w:sz w:val="24"/>
          <w:szCs w:val="24"/>
          <w:lang w:eastAsia="fr-CH"/>
        </w:rPr>
        <w:t>onvention provides a large</w:t>
      </w:r>
      <w:r w:rsidR="009616A0">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w:t>
      </w:r>
      <w:proofErr w:type="spellStart"/>
      <w:r w:rsidRPr="00EB55C1">
        <w:rPr>
          <w:rFonts w:ascii="Times New Roman" w:eastAsia="Times New Roman" w:hAnsi="Times New Roman" w:cs="Times New Roman"/>
          <w:color w:val="000000"/>
          <w:sz w:val="24"/>
          <w:szCs w:val="24"/>
          <w:lang w:eastAsia="fr-CH"/>
        </w:rPr>
        <w:t>nonexhaustive</w:t>
      </w:r>
      <w:proofErr w:type="spellEnd"/>
      <w:r w:rsidRPr="00EB55C1">
        <w:rPr>
          <w:rFonts w:ascii="Times New Roman" w:eastAsia="Times New Roman" w:hAnsi="Times New Roman" w:cs="Times New Roman"/>
          <w:color w:val="000000"/>
          <w:sz w:val="24"/>
          <w:szCs w:val="24"/>
          <w:lang w:eastAsia="fr-CH"/>
        </w:rPr>
        <w:t xml:space="preserve"> list of objects, sites, monuments</w:t>
      </w:r>
      <w:r w:rsidR="00676057"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and buildings (i.e.</w:t>
      </w:r>
      <w:r w:rsidR="00676057"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tangible heritage) that fit that definition</w:t>
      </w:r>
      <w:r w:rsidR="009616A0">
        <w:rPr>
          <w:rFonts w:ascii="Times New Roman" w:eastAsia="Times New Roman" w:hAnsi="Times New Roman" w:cs="Times New Roman"/>
          <w:color w:val="000000"/>
          <w:sz w:val="24"/>
          <w:szCs w:val="24"/>
          <w:lang w:eastAsia="fr-CH"/>
        </w:rPr>
        <w:t>, adding</w:t>
      </w:r>
      <w:r w:rsidRPr="00EB55C1">
        <w:rPr>
          <w:rFonts w:ascii="Times New Roman" w:eastAsia="Times New Roman" w:hAnsi="Times New Roman" w:cs="Times New Roman"/>
          <w:color w:val="000000"/>
          <w:sz w:val="24"/>
          <w:szCs w:val="24"/>
          <w:lang w:eastAsia="fr-CH"/>
        </w:rPr>
        <w:t xml:space="preserve"> that the protection afforded by the </w:t>
      </w:r>
      <w:r w:rsidR="000C38F0" w:rsidRPr="00360D35">
        <w:rPr>
          <w:rFonts w:ascii="Times New Roman" w:eastAsia="Times New Roman" w:hAnsi="Times New Roman" w:cs="Times New Roman"/>
          <w:color w:val="000000"/>
          <w:sz w:val="24"/>
          <w:szCs w:val="24"/>
          <w:lang w:eastAsia="fr-CH"/>
        </w:rPr>
        <w:t>c</w:t>
      </w:r>
      <w:r w:rsidRPr="00EB55C1">
        <w:rPr>
          <w:rFonts w:ascii="Times New Roman" w:eastAsia="Times New Roman" w:hAnsi="Times New Roman" w:cs="Times New Roman"/>
          <w:color w:val="000000"/>
          <w:sz w:val="24"/>
          <w:szCs w:val="24"/>
          <w:lang w:eastAsia="fr-CH"/>
        </w:rPr>
        <w:t xml:space="preserve">onvention also extends to “buildings whose main and effective purpose is to preserve or exhibit </w:t>
      </w:r>
      <w:r w:rsidR="002203C6">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movable cultural property</w:t>
      </w:r>
      <w:r w:rsidR="005932E7"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such as museums or large libraries and refuges intended to shelter, in the event of armed conflict, movable cultural property</w:t>
      </w:r>
      <w:r w:rsidR="005932E7"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and to “</w:t>
      </w:r>
      <w:proofErr w:type="spellStart"/>
      <w:r w:rsidRPr="00EB55C1">
        <w:rPr>
          <w:rFonts w:ascii="Times New Roman" w:eastAsia="Times New Roman" w:hAnsi="Times New Roman" w:cs="Times New Roman"/>
          <w:color w:val="000000"/>
          <w:sz w:val="24"/>
          <w:szCs w:val="24"/>
          <w:lang w:eastAsia="fr-CH"/>
        </w:rPr>
        <w:t>centres</w:t>
      </w:r>
      <w:proofErr w:type="spellEnd"/>
      <w:r w:rsidRPr="00EB55C1">
        <w:rPr>
          <w:rFonts w:ascii="Times New Roman" w:eastAsia="Times New Roman" w:hAnsi="Times New Roman" w:cs="Times New Roman"/>
          <w:color w:val="000000"/>
          <w:sz w:val="24"/>
          <w:szCs w:val="24"/>
          <w:lang w:eastAsia="fr-CH"/>
        </w:rPr>
        <w:t xml:space="preserve"> containing a large amount of cultural property</w:t>
      </w:r>
      <w:r w:rsidR="006063F3" w:rsidRPr="00360D35">
        <w:rPr>
          <w:rFonts w:ascii="Times New Roman" w:eastAsia="Times New Roman" w:hAnsi="Times New Roman" w:cs="Times New Roman"/>
          <w:color w:val="000000"/>
          <w:sz w:val="24"/>
          <w:szCs w:val="24"/>
          <w:lang w:eastAsia="fr-CH"/>
        </w:rPr>
        <w:t>.”</w:t>
      </w:r>
      <w:r w:rsidR="00907C29">
        <w:rPr>
          <w:rStyle w:val="EndnoteReference"/>
          <w:rFonts w:ascii="Times New Roman" w:eastAsia="Times New Roman" w:hAnsi="Times New Roman" w:cs="Times New Roman"/>
          <w:color w:val="000000"/>
          <w:sz w:val="24"/>
          <w:szCs w:val="24"/>
          <w:lang w:eastAsia="fr-CH"/>
        </w:rPr>
        <w:endnoteReference w:id="7"/>
      </w:r>
      <w:r w:rsidRPr="00EB55C1">
        <w:rPr>
          <w:rFonts w:ascii="Times New Roman" w:eastAsia="Times New Roman" w:hAnsi="Times New Roman" w:cs="Times New Roman"/>
          <w:color w:val="000000"/>
          <w:sz w:val="24"/>
          <w:szCs w:val="24"/>
          <w:lang w:eastAsia="fr-CH"/>
        </w:rPr>
        <w:t> </w:t>
      </w:r>
    </w:p>
    <w:p w14:paraId="5E1C6A28" w14:textId="5BFDF619" w:rsidR="00480C92" w:rsidRPr="00EB55C1" w:rsidRDefault="00480C92" w:rsidP="00D007BC">
      <w:pPr>
        <w:spacing w:before="240" w:after="24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 xml:space="preserve">This definition, which is proper to the </w:t>
      </w:r>
      <w:r w:rsidR="00EE319A" w:rsidRPr="00360D35">
        <w:rPr>
          <w:rFonts w:ascii="Times New Roman" w:eastAsia="Times New Roman" w:hAnsi="Times New Roman" w:cs="Times New Roman"/>
          <w:color w:val="000000"/>
          <w:sz w:val="24"/>
          <w:szCs w:val="24"/>
          <w:lang w:eastAsia="fr-CH"/>
        </w:rPr>
        <w:t>c</w:t>
      </w:r>
      <w:r w:rsidRPr="00EB55C1">
        <w:rPr>
          <w:rFonts w:ascii="Times New Roman" w:eastAsia="Times New Roman" w:hAnsi="Times New Roman" w:cs="Times New Roman"/>
          <w:color w:val="000000"/>
          <w:sz w:val="24"/>
          <w:szCs w:val="24"/>
          <w:lang w:eastAsia="fr-CH"/>
        </w:rPr>
        <w:t xml:space="preserve">onvention and its </w:t>
      </w:r>
      <w:r w:rsidR="0030537B" w:rsidRPr="00360D35">
        <w:rPr>
          <w:rFonts w:ascii="Times New Roman" w:eastAsia="Times New Roman" w:hAnsi="Times New Roman" w:cs="Times New Roman"/>
          <w:color w:val="000000"/>
          <w:sz w:val="24"/>
          <w:szCs w:val="24"/>
          <w:lang w:eastAsia="fr-CH"/>
        </w:rPr>
        <w:t>p</w:t>
      </w:r>
      <w:r w:rsidRPr="00EB55C1">
        <w:rPr>
          <w:rFonts w:ascii="Times New Roman" w:eastAsia="Times New Roman" w:hAnsi="Times New Roman" w:cs="Times New Roman"/>
          <w:color w:val="000000"/>
          <w:sz w:val="24"/>
          <w:szCs w:val="24"/>
          <w:lang w:eastAsia="fr-CH"/>
        </w:rPr>
        <w:t xml:space="preserve">rotocols, gives latitude to each </w:t>
      </w:r>
      <w:r w:rsidR="00646807" w:rsidRPr="00360D35">
        <w:rPr>
          <w:rFonts w:ascii="Times New Roman" w:eastAsia="Times New Roman" w:hAnsi="Times New Roman" w:cs="Times New Roman"/>
          <w:color w:val="000000"/>
          <w:sz w:val="24"/>
          <w:szCs w:val="24"/>
          <w:lang w:eastAsia="fr-CH"/>
        </w:rPr>
        <w:t>state</w:t>
      </w:r>
      <w:r w:rsidRPr="00EB55C1">
        <w:rPr>
          <w:rFonts w:ascii="Times New Roman" w:eastAsia="Times New Roman" w:hAnsi="Times New Roman" w:cs="Times New Roman"/>
          <w:color w:val="000000"/>
          <w:sz w:val="24"/>
          <w:szCs w:val="24"/>
          <w:lang w:eastAsia="fr-CH"/>
        </w:rPr>
        <w:t xml:space="preserve"> </w:t>
      </w:r>
      <w:r w:rsidR="00E52E9A" w:rsidRPr="00EB55C1">
        <w:rPr>
          <w:rFonts w:ascii="Times New Roman" w:eastAsia="Times New Roman" w:hAnsi="Times New Roman" w:cs="Times New Roman"/>
          <w:color w:val="000000"/>
          <w:sz w:val="24"/>
          <w:szCs w:val="24"/>
          <w:lang w:eastAsia="fr-CH"/>
        </w:rPr>
        <w:t>p</w:t>
      </w:r>
      <w:r w:rsidRPr="00EB55C1">
        <w:rPr>
          <w:rFonts w:ascii="Times New Roman" w:eastAsia="Times New Roman" w:hAnsi="Times New Roman" w:cs="Times New Roman"/>
          <w:color w:val="000000"/>
          <w:sz w:val="24"/>
          <w:szCs w:val="24"/>
          <w:lang w:eastAsia="fr-CH"/>
        </w:rPr>
        <w:t>arty to decide what falls under the threshold of “great importance to the cultural heritage of every people</w:t>
      </w:r>
      <w:r w:rsidR="007060EC" w:rsidRPr="00360D35">
        <w:rPr>
          <w:rFonts w:ascii="Times New Roman" w:eastAsia="Times New Roman" w:hAnsi="Times New Roman" w:cs="Times New Roman"/>
          <w:color w:val="000000"/>
          <w:sz w:val="24"/>
          <w:szCs w:val="24"/>
          <w:lang w:eastAsia="fr-CH"/>
        </w:rPr>
        <w:t>.”</w:t>
      </w:r>
      <w:r w:rsidR="00BD5926" w:rsidRPr="00EB55C1">
        <w:rPr>
          <w:rStyle w:val="EndnoteReference"/>
          <w:rFonts w:ascii="Times New Roman" w:eastAsia="Times New Roman" w:hAnsi="Times New Roman" w:cs="Times New Roman"/>
          <w:color w:val="000000"/>
          <w:sz w:val="24"/>
          <w:szCs w:val="24"/>
          <w:lang w:eastAsia="fr-CH"/>
        </w:rPr>
        <w:endnoteReference w:id="8"/>
      </w:r>
      <w:r w:rsidRPr="00EB55C1">
        <w:rPr>
          <w:rFonts w:ascii="Times New Roman" w:eastAsia="Times New Roman" w:hAnsi="Times New Roman" w:cs="Times New Roman"/>
          <w:color w:val="000000"/>
          <w:sz w:val="24"/>
          <w:szCs w:val="24"/>
          <w:lang w:eastAsia="fr-CH"/>
        </w:rPr>
        <w:t xml:space="preserve"> </w:t>
      </w:r>
      <w:r w:rsidR="007251E6" w:rsidRPr="00360D35">
        <w:rPr>
          <w:rFonts w:ascii="Times New Roman" w:eastAsia="Times New Roman" w:hAnsi="Times New Roman" w:cs="Times New Roman"/>
          <w:color w:val="000000"/>
          <w:sz w:val="24"/>
          <w:szCs w:val="24"/>
          <w:lang w:eastAsia="fr-CH"/>
        </w:rPr>
        <w:t>T</w:t>
      </w:r>
      <w:r w:rsidRPr="00EB55C1">
        <w:rPr>
          <w:rFonts w:ascii="Times New Roman" w:eastAsia="Times New Roman" w:hAnsi="Times New Roman" w:cs="Times New Roman"/>
          <w:color w:val="000000"/>
          <w:sz w:val="24"/>
          <w:szCs w:val="24"/>
          <w:lang w:eastAsia="fr-CH"/>
        </w:rPr>
        <w:t xml:space="preserve">his is naturally first and foremost true for the </w:t>
      </w:r>
      <w:r w:rsidR="00646807" w:rsidRPr="00360D35">
        <w:rPr>
          <w:rFonts w:ascii="Times New Roman" w:eastAsia="Times New Roman" w:hAnsi="Times New Roman" w:cs="Times New Roman"/>
          <w:color w:val="000000"/>
          <w:sz w:val="24"/>
          <w:szCs w:val="24"/>
          <w:lang w:eastAsia="fr-CH"/>
        </w:rPr>
        <w:t>state</w:t>
      </w:r>
      <w:r w:rsidRPr="00EB55C1">
        <w:rPr>
          <w:rFonts w:ascii="Times New Roman" w:eastAsia="Times New Roman" w:hAnsi="Times New Roman" w:cs="Times New Roman"/>
          <w:color w:val="000000"/>
          <w:sz w:val="24"/>
          <w:szCs w:val="24"/>
          <w:lang w:eastAsia="fr-CH"/>
        </w:rPr>
        <w:t xml:space="preserve"> </w:t>
      </w:r>
      <w:r w:rsidR="00354C1C" w:rsidRPr="00360D35">
        <w:rPr>
          <w:rFonts w:ascii="Times New Roman" w:eastAsia="Times New Roman" w:hAnsi="Times New Roman" w:cs="Times New Roman"/>
          <w:color w:val="000000"/>
          <w:sz w:val="24"/>
          <w:szCs w:val="24"/>
          <w:lang w:eastAsia="fr-CH"/>
        </w:rPr>
        <w:t xml:space="preserve">within </w:t>
      </w:r>
      <w:r w:rsidRPr="00EB55C1">
        <w:rPr>
          <w:rFonts w:ascii="Times New Roman" w:eastAsia="Times New Roman" w:hAnsi="Times New Roman" w:cs="Times New Roman"/>
          <w:color w:val="000000"/>
          <w:sz w:val="24"/>
          <w:szCs w:val="24"/>
          <w:lang w:eastAsia="fr-CH"/>
        </w:rPr>
        <w:t>which the concerned moveable o</w:t>
      </w:r>
      <w:r w:rsidR="00EF6A3D" w:rsidRPr="00360D35">
        <w:rPr>
          <w:rFonts w:ascii="Times New Roman" w:eastAsia="Times New Roman" w:hAnsi="Times New Roman" w:cs="Times New Roman"/>
          <w:color w:val="000000"/>
          <w:sz w:val="24"/>
          <w:szCs w:val="24"/>
          <w:lang w:eastAsia="fr-CH"/>
        </w:rPr>
        <w:t>r</w:t>
      </w:r>
      <w:r w:rsidRPr="00EB55C1">
        <w:rPr>
          <w:rFonts w:ascii="Times New Roman" w:eastAsia="Times New Roman" w:hAnsi="Times New Roman" w:cs="Times New Roman"/>
          <w:color w:val="000000"/>
          <w:sz w:val="24"/>
          <w:szCs w:val="24"/>
          <w:lang w:eastAsia="fr-CH"/>
        </w:rPr>
        <w:t xml:space="preserve"> immovable cultural properties </w:t>
      </w:r>
      <w:r w:rsidR="005A48B5">
        <w:rPr>
          <w:rFonts w:ascii="Times New Roman" w:eastAsia="Times New Roman" w:hAnsi="Times New Roman" w:cs="Times New Roman"/>
          <w:color w:val="000000"/>
          <w:sz w:val="24"/>
          <w:szCs w:val="24"/>
          <w:lang w:eastAsia="fr-CH"/>
        </w:rPr>
        <w:t>is</w:t>
      </w:r>
      <w:r w:rsidR="005A48B5"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located</w:t>
      </w:r>
      <w:r w:rsidR="007251E6"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w:t>
      </w:r>
      <w:r w:rsidR="007251E6" w:rsidRPr="00360D35">
        <w:rPr>
          <w:rFonts w:ascii="Times New Roman" w:eastAsia="Times New Roman" w:hAnsi="Times New Roman" w:cs="Times New Roman"/>
          <w:color w:val="000000"/>
          <w:sz w:val="24"/>
          <w:szCs w:val="24"/>
          <w:lang w:eastAsia="fr-CH"/>
        </w:rPr>
        <w:t xml:space="preserve">But </w:t>
      </w:r>
      <w:r w:rsidRPr="00EB55C1">
        <w:rPr>
          <w:rFonts w:ascii="Times New Roman" w:eastAsia="Times New Roman" w:hAnsi="Times New Roman" w:cs="Times New Roman"/>
          <w:color w:val="000000"/>
          <w:sz w:val="24"/>
          <w:szCs w:val="24"/>
          <w:lang w:eastAsia="fr-CH"/>
        </w:rPr>
        <w:t xml:space="preserve">unless that </w:t>
      </w:r>
      <w:r w:rsidR="00646807" w:rsidRPr="00360D35">
        <w:rPr>
          <w:rFonts w:ascii="Times New Roman" w:eastAsia="Times New Roman" w:hAnsi="Times New Roman" w:cs="Times New Roman"/>
          <w:color w:val="000000"/>
          <w:sz w:val="24"/>
          <w:szCs w:val="24"/>
          <w:lang w:eastAsia="fr-CH"/>
        </w:rPr>
        <w:t>state</w:t>
      </w:r>
      <w:r w:rsidRPr="00EB55C1">
        <w:rPr>
          <w:rFonts w:ascii="Times New Roman" w:eastAsia="Times New Roman" w:hAnsi="Times New Roman" w:cs="Times New Roman"/>
          <w:color w:val="000000"/>
          <w:sz w:val="24"/>
          <w:szCs w:val="24"/>
          <w:lang w:eastAsia="fr-CH"/>
        </w:rPr>
        <w:t xml:space="preserve"> communicates the list of such protected properties to other </w:t>
      </w:r>
      <w:r w:rsidR="00646807" w:rsidRPr="00360D35">
        <w:rPr>
          <w:rFonts w:ascii="Times New Roman" w:eastAsia="Times New Roman" w:hAnsi="Times New Roman" w:cs="Times New Roman"/>
          <w:color w:val="000000"/>
          <w:sz w:val="24"/>
          <w:szCs w:val="24"/>
          <w:lang w:eastAsia="fr-CH"/>
        </w:rPr>
        <w:t>state</w:t>
      </w:r>
      <w:r w:rsidRPr="00EB55C1">
        <w:rPr>
          <w:rFonts w:ascii="Times New Roman" w:eastAsia="Times New Roman" w:hAnsi="Times New Roman" w:cs="Times New Roman"/>
          <w:color w:val="000000"/>
          <w:sz w:val="24"/>
          <w:szCs w:val="24"/>
          <w:lang w:eastAsia="fr-CH"/>
        </w:rPr>
        <w:t xml:space="preserve">s or clearly marks them with the Blue Shield distinctive emblem (neither of which is compulsory under the </w:t>
      </w:r>
      <w:r w:rsidR="003212B7" w:rsidRPr="00360D35">
        <w:rPr>
          <w:rFonts w:ascii="Times New Roman" w:eastAsia="Times New Roman" w:hAnsi="Times New Roman" w:cs="Times New Roman"/>
          <w:color w:val="000000"/>
          <w:sz w:val="24"/>
          <w:szCs w:val="24"/>
          <w:lang w:eastAsia="fr-CH"/>
        </w:rPr>
        <w:t>c</w:t>
      </w:r>
      <w:r w:rsidRPr="00EB55C1">
        <w:rPr>
          <w:rFonts w:ascii="Times New Roman" w:eastAsia="Times New Roman" w:hAnsi="Times New Roman" w:cs="Times New Roman"/>
          <w:color w:val="000000"/>
          <w:sz w:val="24"/>
          <w:szCs w:val="24"/>
          <w:lang w:eastAsia="fr-CH"/>
        </w:rPr>
        <w:t>onvention), in the event of an armed conflict the responsibility to define which objects are protected will also fall in practice on the shoulders of the opposing party, which</w:t>
      </w:r>
      <w:r w:rsidR="005B6750"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 xml:space="preserve">can </w:t>
      </w:r>
      <w:r w:rsidR="005B6750" w:rsidRPr="00EB55C1">
        <w:rPr>
          <w:rFonts w:ascii="Times New Roman" w:eastAsia="Times New Roman" w:hAnsi="Times New Roman" w:cs="Times New Roman"/>
          <w:color w:val="000000"/>
          <w:sz w:val="24"/>
          <w:szCs w:val="24"/>
          <w:lang w:eastAsia="fr-CH"/>
        </w:rPr>
        <w:t xml:space="preserve">potentially </w:t>
      </w:r>
      <w:r w:rsidRPr="00EB55C1">
        <w:rPr>
          <w:rFonts w:ascii="Times New Roman" w:eastAsia="Times New Roman" w:hAnsi="Times New Roman" w:cs="Times New Roman"/>
          <w:color w:val="000000"/>
          <w:sz w:val="24"/>
          <w:szCs w:val="24"/>
          <w:lang w:eastAsia="fr-CH"/>
        </w:rPr>
        <w:t>be problematic</w:t>
      </w:r>
      <w:r w:rsidR="00AD7129" w:rsidRPr="00EB55C1">
        <w:rPr>
          <w:rFonts w:ascii="Times New Roman" w:eastAsia="Times New Roman" w:hAnsi="Times New Roman" w:cs="Times New Roman"/>
          <w:color w:val="000000"/>
          <w:sz w:val="24"/>
          <w:szCs w:val="24"/>
          <w:lang w:eastAsia="fr-CH"/>
        </w:rPr>
        <w:t>.</w:t>
      </w:r>
      <w:r w:rsidR="00BD5926" w:rsidRPr="00EB55C1">
        <w:rPr>
          <w:rStyle w:val="EndnoteReference"/>
          <w:rFonts w:ascii="Times New Roman" w:eastAsia="Times New Roman" w:hAnsi="Times New Roman" w:cs="Times New Roman"/>
          <w:color w:val="000000"/>
          <w:sz w:val="24"/>
          <w:szCs w:val="24"/>
          <w:lang w:eastAsia="fr-CH"/>
        </w:rPr>
        <w:endnoteReference w:id="9"/>
      </w:r>
    </w:p>
    <w:p w14:paraId="3529CDEF" w14:textId="081EC690" w:rsidR="00480C92" w:rsidRPr="00EB55C1" w:rsidRDefault="00654BAB" w:rsidP="00D007BC">
      <w:pPr>
        <w:spacing w:before="240" w:after="240" w:line="480" w:lineRule="auto"/>
        <w:ind w:firstLine="708"/>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lastRenderedPageBreak/>
        <w:t>Replicating some of the wording used in the Geneva Conventions, t</w:t>
      </w:r>
      <w:r w:rsidR="00480C92" w:rsidRPr="00EB55C1">
        <w:rPr>
          <w:rFonts w:ascii="Times New Roman" w:eastAsia="Times New Roman" w:hAnsi="Times New Roman" w:cs="Times New Roman"/>
          <w:color w:val="000000"/>
          <w:sz w:val="24"/>
          <w:szCs w:val="24"/>
          <w:lang w:eastAsia="fr-CH"/>
        </w:rPr>
        <w:t xml:space="preserve">he </w:t>
      </w:r>
      <w:r w:rsidR="00340CCB">
        <w:rPr>
          <w:rFonts w:ascii="Times New Roman" w:eastAsia="Times New Roman" w:hAnsi="Times New Roman" w:cs="Times New Roman"/>
          <w:color w:val="000000"/>
          <w:sz w:val="24"/>
          <w:szCs w:val="24"/>
          <w:lang w:eastAsia="fr-CH"/>
        </w:rPr>
        <w:t xml:space="preserve">Hague </w:t>
      </w:r>
      <w:r w:rsidR="00480C92" w:rsidRPr="00EB55C1">
        <w:rPr>
          <w:rFonts w:ascii="Times New Roman" w:eastAsia="Times New Roman" w:hAnsi="Times New Roman" w:cs="Times New Roman"/>
          <w:color w:val="000000"/>
          <w:sz w:val="24"/>
          <w:szCs w:val="24"/>
          <w:lang w:eastAsia="fr-CH"/>
        </w:rPr>
        <w:t>Convention applies to the protection of cultural property in the event of international armed conflict</w:t>
      </w:r>
      <w:r w:rsidR="00CC7CAA" w:rsidRPr="00360D35">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which includes belligerent occupation</w:t>
      </w:r>
      <w:r w:rsidR="00CC7CAA" w:rsidRPr="00360D35">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arising between two or more of the </w:t>
      </w:r>
      <w:r w:rsidR="00646807" w:rsidRPr="00360D35">
        <w:rPr>
          <w:rFonts w:ascii="Times New Roman" w:eastAsia="Times New Roman" w:hAnsi="Times New Roman" w:cs="Times New Roman"/>
          <w:color w:val="000000"/>
          <w:sz w:val="24"/>
          <w:szCs w:val="24"/>
          <w:lang w:eastAsia="fr-CH"/>
        </w:rPr>
        <w:t>state parties</w:t>
      </w:r>
      <w:r w:rsidR="00480C92" w:rsidRPr="00EB55C1">
        <w:rPr>
          <w:rFonts w:ascii="Times New Roman" w:eastAsia="Times New Roman" w:hAnsi="Times New Roman" w:cs="Times New Roman"/>
          <w:color w:val="000000"/>
          <w:sz w:val="24"/>
          <w:szCs w:val="24"/>
          <w:lang w:eastAsia="fr-CH"/>
        </w:rPr>
        <w:t xml:space="preserve">, even if the </w:t>
      </w:r>
      <w:r w:rsidR="00AD7129" w:rsidRPr="00EB55C1">
        <w:rPr>
          <w:rFonts w:ascii="Times New Roman" w:eastAsia="Times New Roman" w:hAnsi="Times New Roman" w:cs="Times New Roman"/>
          <w:color w:val="000000"/>
          <w:sz w:val="24"/>
          <w:szCs w:val="24"/>
          <w:lang w:eastAsia="fr-CH"/>
        </w:rPr>
        <w:t>s</w:t>
      </w:r>
      <w:r w:rsidR="00480C92" w:rsidRPr="00EB55C1">
        <w:rPr>
          <w:rFonts w:ascii="Times New Roman" w:eastAsia="Times New Roman" w:hAnsi="Times New Roman" w:cs="Times New Roman"/>
          <w:color w:val="000000"/>
          <w:sz w:val="24"/>
          <w:szCs w:val="24"/>
          <w:lang w:eastAsia="fr-CH"/>
        </w:rPr>
        <w:t>tate of war has not been recognized by some of them.</w:t>
      </w:r>
      <w:r w:rsidR="0021672F" w:rsidRPr="00EB55C1">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More interestingly, in case of NIAC, the provisions that pertain to the “respect” of cultural property apply, as a minimum, to each party to the conflict. These rules, which serve to protect cultural property during active hostilities, are consequently equally binding on </w:t>
      </w:r>
      <w:r w:rsidR="00646807" w:rsidRPr="00360D35">
        <w:rPr>
          <w:rFonts w:ascii="Times New Roman" w:eastAsia="Times New Roman" w:hAnsi="Times New Roman" w:cs="Times New Roman"/>
          <w:color w:val="000000"/>
          <w:sz w:val="24"/>
          <w:szCs w:val="24"/>
          <w:lang w:eastAsia="fr-CH"/>
        </w:rPr>
        <w:t>state</w:t>
      </w:r>
      <w:r w:rsidR="00480C92" w:rsidRPr="00EB55C1">
        <w:rPr>
          <w:rFonts w:ascii="Times New Roman" w:eastAsia="Times New Roman" w:hAnsi="Times New Roman" w:cs="Times New Roman"/>
          <w:color w:val="000000"/>
          <w:sz w:val="24"/>
          <w:szCs w:val="24"/>
          <w:lang w:eastAsia="fr-CH"/>
        </w:rPr>
        <w:t xml:space="preserve"> armed forces and non</w:t>
      </w:r>
      <w:r w:rsidR="00AD7129" w:rsidRPr="00EB55C1">
        <w:rPr>
          <w:rFonts w:ascii="Times New Roman" w:eastAsia="Times New Roman" w:hAnsi="Times New Roman" w:cs="Times New Roman"/>
          <w:color w:val="000000"/>
          <w:sz w:val="24"/>
          <w:szCs w:val="24"/>
          <w:lang w:eastAsia="fr-CH"/>
        </w:rPr>
        <w:t xml:space="preserve">state </w:t>
      </w:r>
      <w:r w:rsidR="00480C92" w:rsidRPr="00EB55C1">
        <w:rPr>
          <w:rFonts w:ascii="Times New Roman" w:eastAsia="Times New Roman" w:hAnsi="Times New Roman" w:cs="Times New Roman"/>
          <w:color w:val="000000"/>
          <w:sz w:val="24"/>
          <w:szCs w:val="24"/>
          <w:lang w:eastAsia="fr-CH"/>
        </w:rPr>
        <w:t xml:space="preserve">armed groups. This is somewhat remarkable at a time when </w:t>
      </w:r>
      <w:r w:rsidR="00A01E09">
        <w:rPr>
          <w:rFonts w:ascii="Times New Roman" w:eastAsia="Times New Roman" w:hAnsi="Times New Roman" w:cs="Times New Roman"/>
          <w:color w:val="000000"/>
          <w:sz w:val="24"/>
          <w:szCs w:val="24"/>
          <w:lang w:eastAsia="fr-CH"/>
        </w:rPr>
        <w:t xml:space="preserve">common </w:t>
      </w:r>
      <w:r w:rsidR="00480C92" w:rsidRPr="00EB55C1">
        <w:rPr>
          <w:rFonts w:ascii="Times New Roman" w:eastAsia="Times New Roman" w:hAnsi="Times New Roman" w:cs="Times New Roman"/>
          <w:color w:val="000000"/>
          <w:sz w:val="24"/>
          <w:szCs w:val="24"/>
          <w:lang w:eastAsia="fr-CH"/>
        </w:rPr>
        <w:t>Art</w:t>
      </w:r>
      <w:r w:rsidR="00AD7129" w:rsidRPr="00EB55C1">
        <w:rPr>
          <w:rFonts w:ascii="Times New Roman" w:eastAsia="Times New Roman" w:hAnsi="Times New Roman" w:cs="Times New Roman"/>
          <w:color w:val="000000"/>
          <w:sz w:val="24"/>
          <w:szCs w:val="24"/>
          <w:lang w:eastAsia="fr-CH"/>
        </w:rPr>
        <w:t>icle</w:t>
      </w:r>
      <w:r w:rsidR="00480C92" w:rsidRPr="00EB55C1">
        <w:rPr>
          <w:rFonts w:ascii="Times New Roman" w:eastAsia="Times New Roman" w:hAnsi="Times New Roman" w:cs="Times New Roman"/>
          <w:color w:val="000000"/>
          <w:sz w:val="24"/>
          <w:szCs w:val="24"/>
          <w:lang w:eastAsia="fr-CH"/>
        </w:rPr>
        <w:t xml:space="preserve"> 3 </w:t>
      </w:r>
      <w:r w:rsidR="00A01E09">
        <w:rPr>
          <w:rFonts w:ascii="Times New Roman" w:eastAsia="Times New Roman" w:hAnsi="Times New Roman" w:cs="Times New Roman"/>
          <w:color w:val="000000"/>
          <w:sz w:val="24"/>
          <w:szCs w:val="24"/>
          <w:lang w:eastAsia="fr-CH"/>
        </w:rPr>
        <w:t xml:space="preserve">of </w:t>
      </w:r>
      <w:r w:rsidR="00480C92" w:rsidRPr="00EB55C1">
        <w:rPr>
          <w:rFonts w:ascii="Times New Roman" w:eastAsia="Times New Roman" w:hAnsi="Times New Roman" w:cs="Times New Roman"/>
          <w:color w:val="000000"/>
          <w:sz w:val="24"/>
          <w:szCs w:val="24"/>
          <w:lang w:eastAsia="fr-CH"/>
        </w:rPr>
        <w:t xml:space="preserve">the Geneva Conventions was the only provision in the </w:t>
      </w:r>
      <w:r w:rsidR="00D0048C" w:rsidRPr="00360D35">
        <w:rPr>
          <w:rFonts w:ascii="Times New Roman" w:eastAsia="Times New Roman" w:hAnsi="Times New Roman" w:cs="Times New Roman"/>
          <w:color w:val="000000"/>
          <w:sz w:val="24"/>
          <w:szCs w:val="24"/>
          <w:lang w:eastAsia="fr-CH"/>
        </w:rPr>
        <w:t>c</w:t>
      </w:r>
      <w:r w:rsidR="00480C92" w:rsidRPr="00EB55C1">
        <w:rPr>
          <w:rFonts w:ascii="Times New Roman" w:eastAsia="Times New Roman" w:hAnsi="Times New Roman" w:cs="Times New Roman"/>
          <w:color w:val="000000"/>
          <w:sz w:val="24"/>
          <w:szCs w:val="24"/>
          <w:lang w:eastAsia="fr-CH"/>
        </w:rPr>
        <w:t xml:space="preserve">onventions that applied to NIAC, reflecting the fact that these situations were essentially considered by </w:t>
      </w:r>
      <w:r w:rsidR="00646807" w:rsidRPr="00360D35">
        <w:rPr>
          <w:rFonts w:ascii="Times New Roman" w:eastAsia="Times New Roman" w:hAnsi="Times New Roman" w:cs="Times New Roman"/>
          <w:color w:val="000000"/>
          <w:sz w:val="24"/>
          <w:szCs w:val="24"/>
          <w:lang w:eastAsia="fr-CH"/>
        </w:rPr>
        <w:t>state</w:t>
      </w:r>
      <w:r w:rsidR="00480C92" w:rsidRPr="00EB55C1">
        <w:rPr>
          <w:rFonts w:ascii="Times New Roman" w:eastAsia="Times New Roman" w:hAnsi="Times New Roman" w:cs="Times New Roman"/>
          <w:color w:val="000000"/>
          <w:sz w:val="24"/>
          <w:szCs w:val="24"/>
          <w:lang w:eastAsia="fr-CH"/>
        </w:rPr>
        <w:t xml:space="preserve">s as </w:t>
      </w:r>
      <w:r w:rsidR="00201D79">
        <w:rPr>
          <w:rFonts w:ascii="Times New Roman" w:eastAsia="Times New Roman" w:hAnsi="Times New Roman" w:cs="Times New Roman"/>
          <w:color w:val="000000"/>
          <w:sz w:val="24"/>
          <w:szCs w:val="24"/>
          <w:lang w:eastAsia="fr-CH"/>
        </w:rPr>
        <w:t xml:space="preserve">a </w:t>
      </w:r>
      <w:r w:rsidR="00480C92" w:rsidRPr="00EB55C1">
        <w:rPr>
          <w:rFonts w:ascii="Times New Roman" w:eastAsia="Times New Roman" w:hAnsi="Times New Roman" w:cs="Times New Roman"/>
          <w:color w:val="000000"/>
          <w:sz w:val="24"/>
          <w:szCs w:val="24"/>
          <w:lang w:eastAsia="fr-CH"/>
        </w:rPr>
        <w:t>domestic affair</w:t>
      </w:r>
      <w:r w:rsidR="00AD7129" w:rsidRPr="00EB55C1">
        <w:rPr>
          <w:rFonts w:ascii="Times New Roman" w:eastAsia="Times New Roman" w:hAnsi="Times New Roman" w:cs="Times New Roman"/>
          <w:color w:val="000000"/>
          <w:sz w:val="24"/>
          <w:szCs w:val="24"/>
          <w:lang w:eastAsia="fr-CH"/>
        </w:rPr>
        <w:t>.</w:t>
      </w:r>
      <w:r w:rsidR="00BD5926" w:rsidRPr="00EB55C1">
        <w:rPr>
          <w:rStyle w:val="EndnoteReference"/>
          <w:rFonts w:ascii="Times New Roman" w:eastAsia="Times New Roman" w:hAnsi="Times New Roman" w:cs="Times New Roman"/>
          <w:color w:val="000000"/>
          <w:sz w:val="24"/>
          <w:szCs w:val="24"/>
          <w:lang w:eastAsia="fr-CH"/>
        </w:rPr>
        <w:endnoteReference w:id="10"/>
      </w:r>
      <w:r w:rsidR="00907895" w:rsidRPr="00360D35">
        <w:rPr>
          <w:rFonts w:ascii="Times New Roman" w:eastAsia="Times New Roman" w:hAnsi="Times New Roman" w:cs="Times New Roman"/>
          <w:color w:val="000000"/>
          <w:sz w:val="24"/>
          <w:szCs w:val="24"/>
          <w:lang w:eastAsia="fr-CH"/>
        </w:rPr>
        <w:t xml:space="preserve"> </w:t>
      </w:r>
      <w:r w:rsidR="00B61246" w:rsidRPr="00360D35">
        <w:rPr>
          <w:rFonts w:ascii="Times New Roman" w:eastAsia="Times New Roman" w:hAnsi="Times New Roman" w:cs="Times New Roman"/>
          <w:color w:val="000000"/>
          <w:sz w:val="24"/>
          <w:szCs w:val="24"/>
          <w:lang w:eastAsia="fr-CH"/>
        </w:rPr>
        <w:t xml:space="preserve">Common </w:t>
      </w:r>
      <w:r w:rsidR="003732C7" w:rsidRPr="00360D35">
        <w:rPr>
          <w:rFonts w:ascii="Times New Roman" w:eastAsia="Times New Roman" w:hAnsi="Times New Roman" w:cs="Times New Roman"/>
          <w:color w:val="000000"/>
          <w:sz w:val="24"/>
          <w:szCs w:val="24"/>
          <w:lang w:eastAsia="fr-CH"/>
        </w:rPr>
        <w:t>Article 3</w:t>
      </w:r>
      <w:r w:rsidR="00907895" w:rsidRPr="00360D35">
        <w:rPr>
          <w:rFonts w:ascii="Times New Roman" w:eastAsia="Times New Roman" w:hAnsi="Times New Roman" w:cs="Times New Roman"/>
          <w:color w:val="000000"/>
          <w:sz w:val="24"/>
          <w:szCs w:val="24"/>
          <w:lang w:eastAsia="fr-CH"/>
        </w:rPr>
        <w:t xml:space="preserve"> remains the only universally binding treaty provision governing all NIAC.</w:t>
      </w:r>
    </w:p>
    <w:p w14:paraId="35ED04D3" w14:textId="1FB443CD" w:rsidR="00480C92" w:rsidRPr="00EB55C1" w:rsidRDefault="00344EEA">
      <w:pPr>
        <w:spacing w:before="240" w:after="24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The obligation to protect cultural property under t</w:t>
      </w:r>
      <w:r w:rsidR="00480C92" w:rsidRPr="00EB55C1">
        <w:rPr>
          <w:rFonts w:ascii="Times New Roman" w:eastAsia="Times New Roman" w:hAnsi="Times New Roman" w:cs="Times New Roman"/>
          <w:color w:val="000000"/>
          <w:sz w:val="24"/>
          <w:szCs w:val="24"/>
          <w:lang w:eastAsia="fr-CH"/>
        </w:rPr>
        <w:t>he 1954 Hague Convention</w:t>
      </w:r>
      <w:r w:rsidRPr="00EB55C1">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is articulated around a twofold complementary approach: </w:t>
      </w:r>
      <w:r w:rsidR="00646807" w:rsidRPr="00360D35">
        <w:rPr>
          <w:rFonts w:ascii="Times New Roman" w:eastAsia="Times New Roman" w:hAnsi="Times New Roman" w:cs="Times New Roman"/>
          <w:color w:val="000000"/>
          <w:sz w:val="24"/>
          <w:szCs w:val="24"/>
          <w:lang w:eastAsia="fr-CH"/>
        </w:rPr>
        <w:t>state</w:t>
      </w:r>
      <w:r w:rsidR="00480C92" w:rsidRPr="00EB55C1">
        <w:rPr>
          <w:rFonts w:ascii="Times New Roman" w:eastAsia="Times New Roman" w:hAnsi="Times New Roman" w:cs="Times New Roman"/>
          <w:color w:val="000000"/>
          <w:sz w:val="24"/>
          <w:szCs w:val="24"/>
          <w:lang w:eastAsia="fr-CH"/>
        </w:rPr>
        <w:t xml:space="preserve"> parties to the treaty must commit to both “safeguard” and “respect” cultural property</w:t>
      </w:r>
      <w:r w:rsidRPr="00EB55C1">
        <w:rPr>
          <w:rFonts w:ascii="Times New Roman" w:eastAsia="Times New Roman" w:hAnsi="Times New Roman" w:cs="Times New Roman"/>
          <w:color w:val="000000"/>
          <w:sz w:val="24"/>
          <w:szCs w:val="24"/>
          <w:lang w:eastAsia="fr-CH"/>
        </w:rPr>
        <w:t xml:space="preserve">, which respectively sets obligations for peacetime measures and in time of </w:t>
      </w:r>
      <w:r w:rsidR="00251F0D" w:rsidRPr="00EB55C1">
        <w:rPr>
          <w:rFonts w:ascii="Times New Roman" w:eastAsia="Times New Roman" w:hAnsi="Times New Roman" w:cs="Times New Roman"/>
          <w:color w:val="000000"/>
          <w:sz w:val="24"/>
          <w:szCs w:val="24"/>
          <w:lang w:eastAsia="fr-CH"/>
        </w:rPr>
        <w:t xml:space="preserve">armed </w:t>
      </w:r>
      <w:r w:rsidRPr="00EB55C1">
        <w:rPr>
          <w:rFonts w:ascii="Times New Roman" w:eastAsia="Times New Roman" w:hAnsi="Times New Roman" w:cs="Times New Roman"/>
          <w:color w:val="000000"/>
          <w:sz w:val="24"/>
          <w:szCs w:val="24"/>
          <w:lang w:eastAsia="fr-CH"/>
        </w:rPr>
        <w:t>conflict</w:t>
      </w:r>
      <w:r w:rsidR="005C2B60"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w:t>
      </w:r>
      <w:r w:rsidR="005A4C07" w:rsidRPr="00EB55C1">
        <w:rPr>
          <w:rFonts w:ascii="Times New Roman" w:eastAsia="Times New Roman" w:hAnsi="Times New Roman" w:cs="Times New Roman"/>
          <w:color w:val="000000"/>
          <w:sz w:val="24"/>
          <w:szCs w:val="24"/>
          <w:lang w:eastAsia="fr-CH"/>
        </w:rPr>
        <w:t>In</w:t>
      </w:r>
      <w:r w:rsidR="00480C92" w:rsidRPr="00EB55C1">
        <w:rPr>
          <w:rFonts w:ascii="Times New Roman" w:eastAsia="Times New Roman" w:hAnsi="Times New Roman" w:cs="Times New Roman"/>
          <w:color w:val="000000"/>
          <w:sz w:val="24"/>
          <w:szCs w:val="24"/>
          <w:lang w:eastAsia="fr-CH"/>
        </w:rPr>
        <w:t xml:space="preserve"> peacetime, </w:t>
      </w:r>
      <w:r w:rsidR="00646807" w:rsidRPr="00360D35">
        <w:rPr>
          <w:rFonts w:ascii="Times New Roman" w:eastAsia="Times New Roman" w:hAnsi="Times New Roman" w:cs="Times New Roman"/>
          <w:color w:val="000000"/>
          <w:sz w:val="24"/>
          <w:szCs w:val="24"/>
          <w:lang w:eastAsia="fr-CH"/>
        </w:rPr>
        <w:t>state</w:t>
      </w:r>
      <w:r w:rsidR="00480C92" w:rsidRPr="00EB55C1">
        <w:rPr>
          <w:rFonts w:ascii="Times New Roman" w:eastAsia="Times New Roman" w:hAnsi="Times New Roman" w:cs="Times New Roman"/>
          <w:color w:val="000000"/>
          <w:sz w:val="24"/>
          <w:szCs w:val="24"/>
          <w:lang w:eastAsia="fr-CH"/>
        </w:rPr>
        <w:t>s must take preparatory “safeguarding” measures against the foreseeable effects of armed conflict on cultural property as they consider appropriate. Examples of such measures are not provided but, as later listed in the Secon</w:t>
      </w:r>
      <w:r w:rsidR="00C532C9" w:rsidRPr="00EB55C1">
        <w:rPr>
          <w:rFonts w:ascii="Times New Roman" w:eastAsia="Times New Roman" w:hAnsi="Times New Roman" w:cs="Times New Roman"/>
          <w:color w:val="000000"/>
          <w:sz w:val="24"/>
          <w:szCs w:val="24"/>
          <w:lang w:eastAsia="fr-CH"/>
        </w:rPr>
        <w:t>d Protocol, include</w:t>
      </w:r>
      <w:r w:rsidR="005A4C07" w:rsidRPr="00EB55C1">
        <w:rPr>
          <w:rFonts w:ascii="Times New Roman" w:eastAsia="Times New Roman" w:hAnsi="Times New Roman" w:cs="Times New Roman"/>
          <w:color w:val="000000"/>
          <w:sz w:val="24"/>
          <w:szCs w:val="24"/>
          <w:lang w:eastAsia="fr-CH"/>
        </w:rPr>
        <w:t>, among others,</w:t>
      </w:r>
      <w:r w:rsidR="00480C92" w:rsidRPr="00EB55C1">
        <w:rPr>
          <w:rFonts w:ascii="Times New Roman" w:eastAsia="Times New Roman" w:hAnsi="Times New Roman" w:cs="Times New Roman"/>
          <w:color w:val="000000"/>
          <w:sz w:val="24"/>
          <w:szCs w:val="24"/>
          <w:lang w:eastAsia="fr-CH"/>
        </w:rPr>
        <w:t xml:space="preserve"> the preparat</w:t>
      </w:r>
      <w:r w:rsidR="00C532C9" w:rsidRPr="00EB55C1">
        <w:rPr>
          <w:rFonts w:ascii="Times New Roman" w:eastAsia="Times New Roman" w:hAnsi="Times New Roman" w:cs="Times New Roman"/>
          <w:color w:val="000000"/>
          <w:sz w:val="24"/>
          <w:szCs w:val="24"/>
          <w:lang w:eastAsia="fr-CH"/>
        </w:rPr>
        <w:t>ion of inventories</w:t>
      </w:r>
      <w:r w:rsidR="00480C92" w:rsidRPr="00EB55C1">
        <w:rPr>
          <w:rFonts w:ascii="Times New Roman" w:eastAsia="Times New Roman" w:hAnsi="Times New Roman" w:cs="Times New Roman"/>
          <w:color w:val="000000"/>
          <w:sz w:val="24"/>
          <w:szCs w:val="24"/>
          <w:lang w:eastAsia="fr-CH"/>
        </w:rPr>
        <w:t xml:space="preserve"> or the adoption of emergency plans </w:t>
      </w:r>
      <w:r w:rsidR="00E763D2" w:rsidRPr="00EB55C1">
        <w:rPr>
          <w:rFonts w:ascii="Times New Roman" w:eastAsia="Times New Roman" w:hAnsi="Times New Roman" w:cs="Times New Roman"/>
          <w:color w:val="000000"/>
          <w:sz w:val="24"/>
          <w:szCs w:val="24"/>
          <w:lang w:eastAsia="fr-CH"/>
        </w:rPr>
        <w:t>or protection against fire or structural collapse, the preparation for the removal of movable cultural property</w:t>
      </w:r>
      <w:r w:rsidR="009E6D8D">
        <w:rPr>
          <w:rFonts w:ascii="Times New Roman" w:eastAsia="Times New Roman" w:hAnsi="Times New Roman" w:cs="Times New Roman"/>
          <w:color w:val="000000"/>
          <w:sz w:val="24"/>
          <w:szCs w:val="24"/>
          <w:lang w:eastAsia="fr-CH"/>
        </w:rPr>
        <w:t>,</w:t>
      </w:r>
      <w:r w:rsidR="00E763D2" w:rsidRPr="00EB55C1">
        <w:rPr>
          <w:rFonts w:ascii="Times New Roman" w:eastAsia="Times New Roman" w:hAnsi="Times New Roman" w:cs="Times New Roman"/>
          <w:color w:val="000000"/>
          <w:sz w:val="24"/>
          <w:szCs w:val="24"/>
          <w:lang w:eastAsia="fr-CH"/>
        </w:rPr>
        <w:t xml:space="preserve"> or the provision for adequate in situ protection of such property</w:t>
      </w:r>
      <w:r w:rsidR="00480C92" w:rsidRPr="00EB55C1">
        <w:rPr>
          <w:rFonts w:ascii="Times New Roman" w:eastAsia="Times New Roman" w:hAnsi="Times New Roman" w:cs="Times New Roman"/>
          <w:color w:val="000000"/>
          <w:sz w:val="24"/>
          <w:szCs w:val="24"/>
          <w:lang w:eastAsia="fr-CH"/>
        </w:rPr>
        <w:t xml:space="preserve">. The objective of these preventive measures is evidently to ensure that the authorities in charge of the protection of valuable cultural property </w:t>
      </w:r>
      <w:r w:rsidR="00096C23" w:rsidRPr="00360D35">
        <w:rPr>
          <w:rFonts w:ascii="Times New Roman" w:eastAsia="Times New Roman" w:hAnsi="Times New Roman" w:cs="Times New Roman"/>
          <w:color w:val="000000"/>
          <w:sz w:val="24"/>
          <w:szCs w:val="24"/>
          <w:lang w:eastAsia="fr-CH"/>
        </w:rPr>
        <w:t>are</w:t>
      </w:r>
      <w:r w:rsidR="00480C92" w:rsidRPr="00EB55C1">
        <w:rPr>
          <w:rFonts w:ascii="Times New Roman" w:eastAsia="Times New Roman" w:hAnsi="Times New Roman" w:cs="Times New Roman"/>
          <w:color w:val="000000"/>
          <w:sz w:val="24"/>
          <w:szCs w:val="24"/>
          <w:lang w:eastAsia="fr-CH"/>
        </w:rPr>
        <w:t xml:space="preserve"> </w:t>
      </w:r>
      <w:r w:rsidR="00096C23" w:rsidRPr="00360D35">
        <w:rPr>
          <w:rFonts w:ascii="Times New Roman" w:eastAsia="Times New Roman" w:hAnsi="Times New Roman" w:cs="Times New Roman"/>
          <w:color w:val="000000"/>
          <w:sz w:val="24"/>
          <w:szCs w:val="24"/>
          <w:lang w:eastAsia="fr-CH"/>
        </w:rPr>
        <w:t>prepared</w:t>
      </w:r>
      <w:r w:rsidR="00096C23" w:rsidRPr="00EB55C1">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in the event of armed conflict.</w:t>
      </w:r>
    </w:p>
    <w:p w14:paraId="60DEE752" w14:textId="76F636BB" w:rsidR="00480C92" w:rsidRPr="00EB55C1" w:rsidRDefault="00480C92">
      <w:pPr>
        <w:spacing w:before="240" w:after="24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 xml:space="preserve">Other important preventive peacetime measures foreseen by the 1954 Hague Convention include considering the marking of protected cultural property with the </w:t>
      </w:r>
      <w:r w:rsidR="00692ADA" w:rsidRPr="00360D35">
        <w:rPr>
          <w:rFonts w:ascii="Times New Roman" w:eastAsia="Times New Roman" w:hAnsi="Times New Roman" w:cs="Times New Roman"/>
          <w:color w:val="000000"/>
          <w:sz w:val="24"/>
          <w:szCs w:val="24"/>
          <w:lang w:eastAsia="fr-CH"/>
        </w:rPr>
        <w:t xml:space="preserve">distinctive </w:t>
      </w:r>
      <w:r w:rsidRPr="00EB55C1">
        <w:rPr>
          <w:rFonts w:ascii="Times New Roman" w:eastAsia="Times New Roman" w:hAnsi="Times New Roman" w:cs="Times New Roman"/>
          <w:color w:val="000000"/>
          <w:sz w:val="24"/>
          <w:szCs w:val="24"/>
          <w:lang w:eastAsia="fr-CH"/>
        </w:rPr>
        <w:t xml:space="preserve">Blue Shield emblem, adapting military regulations in compliance with the </w:t>
      </w:r>
      <w:r w:rsidR="00322D57" w:rsidRPr="00360D35">
        <w:rPr>
          <w:rFonts w:ascii="Times New Roman" w:eastAsia="Times New Roman" w:hAnsi="Times New Roman" w:cs="Times New Roman"/>
          <w:color w:val="000000"/>
          <w:sz w:val="24"/>
          <w:szCs w:val="24"/>
          <w:lang w:eastAsia="fr-CH"/>
        </w:rPr>
        <w:t>c</w:t>
      </w:r>
      <w:r w:rsidRPr="00EB55C1">
        <w:rPr>
          <w:rFonts w:ascii="Times New Roman" w:eastAsia="Times New Roman" w:hAnsi="Times New Roman" w:cs="Times New Roman"/>
          <w:color w:val="000000"/>
          <w:sz w:val="24"/>
          <w:szCs w:val="24"/>
          <w:lang w:eastAsia="fr-CH"/>
        </w:rPr>
        <w:t>onvention</w:t>
      </w:r>
      <w:r w:rsidR="00322D57"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and establishing military services or personnel specialized in the protection of cultural property (the so-called </w:t>
      </w:r>
      <w:r w:rsidR="005A4C07"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Monuments </w:t>
      </w:r>
      <w:r w:rsidR="00322D57" w:rsidRPr="00360D35">
        <w:rPr>
          <w:rFonts w:ascii="Times New Roman" w:eastAsia="Times New Roman" w:hAnsi="Times New Roman" w:cs="Times New Roman"/>
          <w:color w:val="000000"/>
          <w:sz w:val="24"/>
          <w:szCs w:val="24"/>
          <w:lang w:eastAsia="fr-CH"/>
        </w:rPr>
        <w:t>M</w:t>
      </w:r>
      <w:r w:rsidRPr="00EB55C1">
        <w:rPr>
          <w:rFonts w:ascii="Times New Roman" w:eastAsia="Times New Roman" w:hAnsi="Times New Roman" w:cs="Times New Roman"/>
          <w:color w:val="000000"/>
          <w:sz w:val="24"/>
          <w:szCs w:val="24"/>
          <w:lang w:eastAsia="fr-CH"/>
        </w:rPr>
        <w:t>en</w:t>
      </w:r>
      <w:r w:rsidR="005A4C07"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w:t>
      </w:r>
    </w:p>
    <w:p w14:paraId="376CDF9B" w14:textId="67718510" w:rsidR="00CA2EEA" w:rsidRPr="00360D35" w:rsidRDefault="00480C92">
      <w:pPr>
        <w:spacing w:before="240" w:after="24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lastRenderedPageBreak/>
        <w:t>When an armed conflict erupts, belligerent parties must</w:t>
      </w:r>
      <w:r w:rsidR="0016246B" w:rsidRPr="00360D35">
        <w:rPr>
          <w:rFonts w:ascii="Times New Roman" w:eastAsia="Times New Roman" w:hAnsi="Times New Roman" w:cs="Times New Roman"/>
          <w:color w:val="000000"/>
          <w:sz w:val="24"/>
          <w:szCs w:val="24"/>
          <w:lang w:eastAsia="fr-CH"/>
        </w:rPr>
        <w:t xml:space="preserve"> </w:t>
      </w:r>
      <w:r w:rsidR="00C532C9" w:rsidRPr="00EB55C1">
        <w:rPr>
          <w:rFonts w:ascii="Times New Roman" w:eastAsia="Times New Roman" w:hAnsi="Times New Roman" w:cs="Times New Roman"/>
          <w:color w:val="000000"/>
          <w:sz w:val="24"/>
          <w:szCs w:val="24"/>
          <w:lang w:eastAsia="fr-CH"/>
        </w:rPr>
        <w:t xml:space="preserve">refrain from using </w:t>
      </w:r>
      <w:r w:rsidR="00380362" w:rsidRPr="00360D35">
        <w:rPr>
          <w:rFonts w:ascii="Times New Roman" w:eastAsia="Times New Roman" w:hAnsi="Times New Roman" w:cs="Times New Roman"/>
          <w:color w:val="000000"/>
          <w:sz w:val="24"/>
          <w:szCs w:val="24"/>
          <w:lang w:eastAsia="fr-CH"/>
        </w:rPr>
        <w:t xml:space="preserve">cultural </w:t>
      </w:r>
      <w:r w:rsidR="00C532C9" w:rsidRPr="00EB55C1">
        <w:rPr>
          <w:rFonts w:ascii="Times New Roman" w:eastAsia="Times New Roman" w:hAnsi="Times New Roman" w:cs="Times New Roman"/>
          <w:color w:val="000000"/>
          <w:sz w:val="24"/>
          <w:szCs w:val="24"/>
          <w:lang w:eastAsia="fr-CH"/>
        </w:rPr>
        <w:t>property</w:t>
      </w:r>
      <w:r w:rsidRPr="00EB55C1">
        <w:rPr>
          <w:rFonts w:ascii="Times New Roman" w:eastAsia="Times New Roman" w:hAnsi="Times New Roman" w:cs="Times New Roman"/>
          <w:color w:val="000000"/>
          <w:sz w:val="24"/>
          <w:szCs w:val="24"/>
          <w:lang w:eastAsia="fr-CH"/>
        </w:rPr>
        <w:t xml:space="preserve"> in way</w:t>
      </w:r>
      <w:r w:rsidR="002E653F" w:rsidRPr="00360D35">
        <w:rPr>
          <w:rFonts w:ascii="Times New Roman" w:eastAsia="Times New Roman" w:hAnsi="Times New Roman" w:cs="Times New Roman"/>
          <w:color w:val="000000"/>
          <w:sz w:val="24"/>
          <w:szCs w:val="24"/>
          <w:lang w:eastAsia="fr-CH"/>
        </w:rPr>
        <w:t>s</w:t>
      </w:r>
      <w:r w:rsidRPr="00EB55C1">
        <w:rPr>
          <w:rFonts w:ascii="Times New Roman" w:eastAsia="Times New Roman" w:hAnsi="Times New Roman" w:cs="Times New Roman"/>
          <w:color w:val="000000"/>
          <w:sz w:val="24"/>
          <w:szCs w:val="24"/>
          <w:lang w:eastAsia="fr-CH"/>
        </w:rPr>
        <w:t xml:space="preserve"> that </w:t>
      </w:r>
      <w:r w:rsidR="002E653F" w:rsidRPr="00360D35">
        <w:rPr>
          <w:rFonts w:ascii="Times New Roman" w:eastAsia="Times New Roman" w:hAnsi="Times New Roman" w:cs="Times New Roman"/>
          <w:color w:val="000000"/>
          <w:sz w:val="24"/>
          <w:szCs w:val="24"/>
          <w:lang w:eastAsia="fr-CH"/>
        </w:rPr>
        <w:t xml:space="preserve">are </w:t>
      </w:r>
      <w:r w:rsidRPr="00EB55C1">
        <w:rPr>
          <w:rFonts w:ascii="Times New Roman" w:eastAsia="Times New Roman" w:hAnsi="Times New Roman" w:cs="Times New Roman"/>
          <w:color w:val="000000"/>
          <w:sz w:val="24"/>
          <w:szCs w:val="24"/>
          <w:lang w:eastAsia="fr-CH"/>
        </w:rPr>
        <w:t xml:space="preserve">likely to </w:t>
      </w:r>
      <w:r w:rsidR="009616A0">
        <w:rPr>
          <w:rFonts w:ascii="Times New Roman" w:eastAsia="Times New Roman" w:hAnsi="Times New Roman" w:cs="Times New Roman"/>
          <w:color w:val="000000"/>
          <w:sz w:val="24"/>
          <w:szCs w:val="24"/>
          <w:lang w:eastAsia="fr-CH"/>
        </w:rPr>
        <w:t>result in</w:t>
      </w:r>
      <w:r w:rsidRPr="00EB55C1">
        <w:rPr>
          <w:rFonts w:ascii="Times New Roman" w:eastAsia="Times New Roman" w:hAnsi="Times New Roman" w:cs="Times New Roman"/>
          <w:color w:val="000000"/>
          <w:sz w:val="24"/>
          <w:szCs w:val="24"/>
          <w:lang w:eastAsia="fr-CH"/>
        </w:rPr>
        <w:t xml:space="preserve"> destruction or damage (for instance by using </w:t>
      </w:r>
      <w:r w:rsidR="002E653F" w:rsidRPr="00360D35">
        <w:rPr>
          <w:rFonts w:ascii="Times New Roman" w:eastAsia="Times New Roman" w:hAnsi="Times New Roman" w:cs="Times New Roman"/>
          <w:color w:val="000000"/>
          <w:sz w:val="24"/>
          <w:szCs w:val="24"/>
          <w:lang w:eastAsia="fr-CH"/>
        </w:rPr>
        <w:t xml:space="preserve">a </w:t>
      </w:r>
      <w:r w:rsidR="00EA38FD">
        <w:rPr>
          <w:rFonts w:ascii="Times New Roman" w:eastAsia="Times New Roman" w:hAnsi="Times New Roman" w:cs="Times New Roman"/>
          <w:color w:val="000000"/>
          <w:sz w:val="24"/>
          <w:szCs w:val="24"/>
          <w:lang w:eastAsia="fr-CH"/>
        </w:rPr>
        <w:t xml:space="preserve">cultural </w:t>
      </w:r>
      <w:r w:rsidR="002E653F" w:rsidRPr="00360D35">
        <w:rPr>
          <w:rFonts w:ascii="Times New Roman" w:eastAsia="Times New Roman" w:hAnsi="Times New Roman" w:cs="Times New Roman"/>
          <w:color w:val="000000"/>
          <w:sz w:val="24"/>
          <w:szCs w:val="24"/>
          <w:lang w:eastAsia="fr-CH"/>
        </w:rPr>
        <w:t xml:space="preserve">site </w:t>
      </w:r>
      <w:r w:rsidRPr="00EB55C1">
        <w:rPr>
          <w:rFonts w:ascii="Times New Roman" w:eastAsia="Times New Roman" w:hAnsi="Times New Roman" w:cs="Times New Roman"/>
          <w:color w:val="000000"/>
          <w:sz w:val="24"/>
          <w:szCs w:val="24"/>
          <w:lang w:eastAsia="fr-CH"/>
        </w:rPr>
        <w:t xml:space="preserve">for military purposes) </w:t>
      </w:r>
      <w:r w:rsidR="009934EF">
        <w:rPr>
          <w:rFonts w:ascii="Times New Roman" w:eastAsia="Times New Roman" w:hAnsi="Times New Roman" w:cs="Times New Roman"/>
          <w:color w:val="000000"/>
          <w:sz w:val="24"/>
          <w:szCs w:val="24"/>
          <w:lang w:eastAsia="fr-CH"/>
        </w:rPr>
        <w:t>or</w:t>
      </w:r>
      <w:r w:rsidRPr="00EB55C1">
        <w:rPr>
          <w:rFonts w:ascii="Times New Roman" w:eastAsia="Times New Roman" w:hAnsi="Times New Roman" w:cs="Times New Roman"/>
          <w:color w:val="000000"/>
          <w:sz w:val="24"/>
          <w:szCs w:val="24"/>
          <w:lang w:eastAsia="fr-CH"/>
        </w:rPr>
        <w:t xml:space="preserve"> carry</w:t>
      </w:r>
      <w:r w:rsidR="009934EF">
        <w:rPr>
          <w:rFonts w:ascii="Times New Roman" w:eastAsia="Times New Roman" w:hAnsi="Times New Roman" w:cs="Times New Roman"/>
          <w:color w:val="000000"/>
          <w:sz w:val="24"/>
          <w:szCs w:val="24"/>
          <w:lang w:eastAsia="fr-CH"/>
        </w:rPr>
        <w:t xml:space="preserve">ing </w:t>
      </w:r>
      <w:r w:rsidR="0016246B" w:rsidRPr="00360D35">
        <w:rPr>
          <w:rFonts w:ascii="Times New Roman" w:eastAsia="Times New Roman" w:hAnsi="Times New Roman" w:cs="Times New Roman"/>
          <w:color w:val="000000"/>
          <w:sz w:val="24"/>
          <w:szCs w:val="24"/>
          <w:lang w:eastAsia="fr-CH"/>
        </w:rPr>
        <w:t xml:space="preserve">out </w:t>
      </w:r>
      <w:r w:rsidRPr="00EB55C1">
        <w:rPr>
          <w:rFonts w:ascii="Times New Roman" w:eastAsia="Times New Roman" w:hAnsi="Times New Roman" w:cs="Times New Roman"/>
          <w:color w:val="000000"/>
          <w:sz w:val="24"/>
          <w:szCs w:val="24"/>
          <w:lang w:eastAsia="fr-CH"/>
        </w:rPr>
        <w:t>any acts of</w:t>
      </w:r>
      <w:r w:rsidR="00C532C9" w:rsidRPr="00EB55C1">
        <w:rPr>
          <w:rFonts w:ascii="Times New Roman" w:eastAsia="Times New Roman" w:hAnsi="Times New Roman" w:cs="Times New Roman"/>
          <w:color w:val="000000"/>
          <w:sz w:val="24"/>
          <w:szCs w:val="24"/>
          <w:lang w:eastAsia="fr-CH"/>
        </w:rPr>
        <w:t xml:space="preserve"> hostility against </w:t>
      </w:r>
      <w:r w:rsidR="002E653F" w:rsidRPr="00360D35">
        <w:rPr>
          <w:rFonts w:ascii="Times New Roman" w:eastAsia="Times New Roman" w:hAnsi="Times New Roman" w:cs="Times New Roman"/>
          <w:color w:val="000000"/>
          <w:sz w:val="24"/>
          <w:szCs w:val="24"/>
          <w:lang w:eastAsia="fr-CH"/>
        </w:rPr>
        <w:t>them</w:t>
      </w:r>
      <w:r w:rsidRPr="00EB55C1">
        <w:rPr>
          <w:rFonts w:ascii="Times New Roman" w:eastAsia="Times New Roman" w:hAnsi="Times New Roman" w:cs="Times New Roman"/>
          <w:color w:val="000000"/>
          <w:sz w:val="24"/>
          <w:szCs w:val="24"/>
          <w:lang w:eastAsia="fr-CH"/>
        </w:rPr>
        <w:t xml:space="preserve">. Only in case of </w:t>
      </w:r>
      <w:r w:rsidRPr="00EB55C1">
        <w:rPr>
          <w:rFonts w:ascii="Times New Roman" w:eastAsia="Times New Roman" w:hAnsi="Times New Roman" w:cs="Times New Roman"/>
          <w:i/>
          <w:iCs/>
          <w:color w:val="000000"/>
          <w:sz w:val="24"/>
          <w:szCs w:val="24"/>
          <w:lang w:eastAsia="fr-CH"/>
        </w:rPr>
        <w:t>imperative military necessity</w:t>
      </w:r>
      <w:r w:rsidRPr="00EB55C1">
        <w:rPr>
          <w:rFonts w:ascii="Times New Roman" w:eastAsia="Times New Roman" w:hAnsi="Times New Roman" w:cs="Times New Roman"/>
          <w:color w:val="000000"/>
          <w:sz w:val="24"/>
          <w:szCs w:val="24"/>
          <w:lang w:eastAsia="fr-CH"/>
        </w:rPr>
        <w:t xml:space="preserve"> can these obligations be waived. It is easy to understand why the vagueness and the inherently subjective nature of this concept, which is neither defined in the </w:t>
      </w:r>
      <w:r w:rsidR="00DB619A" w:rsidRPr="00360D35">
        <w:rPr>
          <w:rFonts w:ascii="Times New Roman" w:eastAsia="Times New Roman" w:hAnsi="Times New Roman" w:cs="Times New Roman"/>
          <w:color w:val="000000"/>
          <w:sz w:val="24"/>
          <w:szCs w:val="24"/>
          <w:lang w:eastAsia="fr-CH"/>
        </w:rPr>
        <w:t>c</w:t>
      </w:r>
      <w:r w:rsidRPr="00EB55C1">
        <w:rPr>
          <w:rFonts w:ascii="Times New Roman" w:eastAsia="Times New Roman" w:hAnsi="Times New Roman" w:cs="Times New Roman"/>
          <w:color w:val="000000"/>
          <w:sz w:val="24"/>
          <w:szCs w:val="24"/>
          <w:lang w:eastAsia="fr-CH"/>
        </w:rPr>
        <w:t xml:space="preserve">onvention nor in any other IHL treaty, has created major difficulties for those in charge of applying it on the battlefield and why, consequently, clarifying the scope of this notion became one of the key stakes </w:t>
      </w:r>
      <w:r w:rsidR="00DB619A" w:rsidRPr="00360D35">
        <w:rPr>
          <w:rFonts w:ascii="Times New Roman" w:eastAsia="Times New Roman" w:hAnsi="Times New Roman" w:cs="Times New Roman"/>
          <w:color w:val="000000"/>
          <w:sz w:val="24"/>
          <w:szCs w:val="24"/>
          <w:lang w:eastAsia="fr-CH"/>
        </w:rPr>
        <w:t xml:space="preserve">during </w:t>
      </w:r>
      <w:r w:rsidRPr="00EB55C1">
        <w:rPr>
          <w:rFonts w:ascii="Times New Roman" w:eastAsia="Times New Roman" w:hAnsi="Times New Roman" w:cs="Times New Roman"/>
          <w:color w:val="000000"/>
          <w:sz w:val="24"/>
          <w:szCs w:val="24"/>
          <w:lang w:eastAsia="fr-CH"/>
        </w:rPr>
        <w:t xml:space="preserve">the </w:t>
      </w:r>
      <w:r w:rsidR="00DB619A" w:rsidRPr="00360D35">
        <w:rPr>
          <w:rFonts w:ascii="Times New Roman" w:eastAsia="Times New Roman" w:hAnsi="Times New Roman" w:cs="Times New Roman"/>
          <w:color w:val="000000"/>
          <w:sz w:val="24"/>
          <w:szCs w:val="24"/>
          <w:lang w:eastAsia="fr-CH"/>
        </w:rPr>
        <w:t xml:space="preserve">drafting of the </w:t>
      </w:r>
      <w:r w:rsidRPr="00EB55C1">
        <w:rPr>
          <w:rFonts w:ascii="Times New Roman" w:eastAsia="Times New Roman" w:hAnsi="Times New Roman" w:cs="Times New Roman"/>
          <w:color w:val="000000"/>
          <w:sz w:val="24"/>
          <w:szCs w:val="24"/>
          <w:lang w:eastAsia="fr-CH"/>
        </w:rPr>
        <w:t xml:space="preserve">1999 Second </w:t>
      </w:r>
      <w:r w:rsidRPr="00EB55C1">
        <w:rPr>
          <w:rFonts w:ascii="Times New Roman" w:eastAsia="Times New Roman" w:hAnsi="Times New Roman" w:cs="Times New Roman"/>
          <w:sz w:val="24"/>
          <w:szCs w:val="24"/>
          <w:lang w:eastAsia="fr-CH"/>
        </w:rPr>
        <w:t>Protocol.</w:t>
      </w:r>
      <w:r w:rsidR="009D7526" w:rsidRPr="00EB55C1">
        <w:rPr>
          <w:rFonts w:ascii="Times New Roman" w:eastAsia="Times New Roman" w:hAnsi="Times New Roman" w:cs="Times New Roman"/>
          <w:sz w:val="24"/>
          <w:szCs w:val="24"/>
          <w:lang w:eastAsia="fr-CH"/>
        </w:rPr>
        <w:t xml:space="preserve"> </w:t>
      </w:r>
      <w:r w:rsidR="004768ED" w:rsidRPr="00EB55C1">
        <w:rPr>
          <w:rFonts w:ascii="Times New Roman" w:eastAsia="Times New Roman" w:hAnsi="Times New Roman" w:cs="Times New Roman"/>
          <w:sz w:val="24"/>
          <w:szCs w:val="24"/>
          <w:lang w:eastAsia="fr-CH"/>
        </w:rPr>
        <w:t xml:space="preserve">In fact, adequately circumscribing the concept of military necessity under IHL is </w:t>
      </w:r>
      <w:r w:rsidR="004F700F" w:rsidRPr="00360D35">
        <w:rPr>
          <w:rFonts w:ascii="Times New Roman" w:eastAsia="Times New Roman" w:hAnsi="Times New Roman" w:cs="Times New Roman"/>
          <w:sz w:val="24"/>
          <w:szCs w:val="24"/>
          <w:lang w:eastAsia="fr-CH"/>
        </w:rPr>
        <w:t>as</w:t>
      </w:r>
      <w:r w:rsidR="004F700F" w:rsidRPr="00EB55C1">
        <w:rPr>
          <w:rFonts w:ascii="Times New Roman" w:eastAsia="Times New Roman" w:hAnsi="Times New Roman" w:cs="Times New Roman"/>
          <w:sz w:val="24"/>
          <w:szCs w:val="24"/>
          <w:lang w:eastAsia="fr-CH"/>
        </w:rPr>
        <w:t xml:space="preserve"> </w:t>
      </w:r>
      <w:r w:rsidR="004768ED" w:rsidRPr="00EB55C1">
        <w:rPr>
          <w:rFonts w:ascii="Times New Roman" w:eastAsia="Times New Roman" w:hAnsi="Times New Roman" w:cs="Times New Roman"/>
          <w:sz w:val="24"/>
          <w:szCs w:val="24"/>
          <w:lang w:eastAsia="fr-CH"/>
        </w:rPr>
        <w:t>necessary as it is challenging.</w:t>
      </w:r>
    </w:p>
    <w:p w14:paraId="221F2E55" w14:textId="794CE452" w:rsidR="009D7526" w:rsidRPr="00EB55C1" w:rsidRDefault="004768ED">
      <w:pPr>
        <w:spacing w:before="240" w:after="24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sz w:val="24"/>
          <w:szCs w:val="24"/>
          <w:lang w:eastAsia="fr-CH"/>
        </w:rPr>
        <w:t xml:space="preserve">As mentioned, allowing the belligerent parties to integrate the necessities of war into their military operations constitutes one of the key </w:t>
      </w:r>
      <w:r w:rsidR="00FE01C0" w:rsidRPr="00EB55C1">
        <w:rPr>
          <w:rFonts w:ascii="Times New Roman" w:eastAsia="Times New Roman" w:hAnsi="Times New Roman" w:cs="Times New Roman"/>
          <w:sz w:val="24"/>
          <w:szCs w:val="24"/>
          <w:lang w:eastAsia="fr-CH"/>
        </w:rPr>
        <w:t>pillars of the law of armed conflict</w:t>
      </w:r>
      <w:r w:rsidR="00B0785D" w:rsidRPr="00EB55C1">
        <w:rPr>
          <w:rFonts w:ascii="Times New Roman" w:eastAsia="Times New Roman" w:hAnsi="Times New Roman" w:cs="Times New Roman"/>
          <w:sz w:val="24"/>
          <w:szCs w:val="24"/>
          <w:lang w:eastAsia="fr-CH"/>
        </w:rPr>
        <w:t xml:space="preserve">, </w:t>
      </w:r>
      <w:r w:rsidR="00FE01C0" w:rsidRPr="00EB55C1">
        <w:rPr>
          <w:rFonts w:ascii="Times New Roman" w:eastAsia="Times New Roman" w:hAnsi="Times New Roman" w:cs="Times New Roman"/>
          <w:sz w:val="24"/>
          <w:szCs w:val="24"/>
          <w:lang w:eastAsia="fr-CH"/>
        </w:rPr>
        <w:t>ensur</w:t>
      </w:r>
      <w:r w:rsidR="0084371F" w:rsidRPr="00360D35">
        <w:rPr>
          <w:rFonts w:ascii="Times New Roman" w:eastAsia="Times New Roman" w:hAnsi="Times New Roman" w:cs="Times New Roman"/>
          <w:sz w:val="24"/>
          <w:szCs w:val="24"/>
          <w:lang w:eastAsia="fr-CH"/>
        </w:rPr>
        <w:t>ing</w:t>
      </w:r>
      <w:r w:rsidR="00FE01C0" w:rsidRPr="00EB55C1">
        <w:rPr>
          <w:rFonts w:ascii="Times New Roman" w:eastAsia="Times New Roman" w:hAnsi="Times New Roman" w:cs="Times New Roman"/>
          <w:sz w:val="24"/>
          <w:szCs w:val="24"/>
          <w:lang w:eastAsia="fr-CH"/>
        </w:rPr>
        <w:t xml:space="preserve"> that the warring parties do not globally discard </w:t>
      </w:r>
      <w:r w:rsidR="00074A48" w:rsidRPr="00EB55C1">
        <w:rPr>
          <w:rFonts w:ascii="Times New Roman" w:eastAsia="Times New Roman" w:hAnsi="Times New Roman" w:cs="Times New Roman"/>
          <w:sz w:val="24"/>
          <w:szCs w:val="24"/>
          <w:lang w:eastAsia="fr-CH"/>
        </w:rPr>
        <w:t>its applicability</w:t>
      </w:r>
      <w:r w:rsidR="00FE01C0" w:rsidRPr="00EB55C1">
        <w:rPr>
          <w:rFonts w:ascii="Times New Roman" w:eastAsia="Times New Roman" w:hAnsi="Times New Roman" w:cs="Times New Roman"/>
          <w:sz w:val="24"/>
          <w:szCs w:val="24"/>
          <w:lang w:eastAsia="fr-CH"/>
        </w:rPr>
        <w:t xml:space="preserve"> </w:t>
      </w:r>
      <w:r w:rsidR="00623A44">
        <w:rPr>
          <w:rFonts w:ascii="Times New Roman" w:eastAsia="Times New Roman" w:hAnsi="Times New Roman" w:cs="Times New Roman"/>
          <w:sz w:val="24"/>
          <w:szCs w:val="24"/>
          <w:lang w:eastAsia="fr-CH"/>
        </w:rPr>
        <w:t xml:space="preserve">due to the perception that </w:t>
      </w:r>
      <w:r w:rsidR="00C56261" w:rsidRPr="00EB55C1">
        <w:rPr>
          <w:rFonts w:ascii="Times New Roman" w:eastAsia="Times New Roman" w:hAnsi="Times New Roman" w:cs="Times New Roman"/>
          <w:sz w:val="24"/>
          <w:szCs w:val="24"/>
          <w:lang w:eastAsia="fr-CH"/>
        </w:rPr>
        <w:t xml:space="preserve">respecting the rules </w:t>
      </w:r>
      <w:r w:rsidR="00FE01C0" w:rsidRPr="00EB55C1">
        <w:rPr>
          <w:rFonts w:ascii="Times New Roman" w:eastAsia="Times New Roman" w:hAnsi="Times New Roman" w:cs="Times New Roman"/>
          <w:sz w:val="24"/>
          <w:szCs w:val="24"/>
          <w:lang w:eastAsia="fr-CH"/>
        </w:rPr>
        <w:t xml:space="preserve">would be </w:t>
      </w:r>
      <w:r w:rsidR="000B1A15">
        <w:rPr>
          <w:rFonts w:ascii="Times New Roman" w:eastAsia="Times New Roman" w:hAnsi="Times New Roman" w:cs="Times New Roman"/>
          <w:sz w:val="24"/>
          <w:szCs w:val="24"/>
          <w:lang w:eastAsia="fr-CH"/>
        </w:rPr>
        <w:t xml:space="preserve">militarily </w:t>
      </w:r>
      <w:r w:rsidR="00FE01C0" w:rsidRPr="00EB55C1">
        <w:rPr>
          <w:rFonts w:ascii="Times New Roman" w:eastAsia="Times New Roman" w:hAnsi="Times New Roman" w:cs="Times New Roman"/>
          <w:sz w:val="24"/>
          <w:szCs w:val="24"/>
          <w:lang w:eastAsia="fr-CH"/>
        </w:rPr>
        <w:t>unrealistic. On the other hand</w:t>
      </w:r>
      <w:r w:rsidR="00C56261" w:rsidRPr="00EB55C1">
        <w:rPr>
          <w:rFonts w:ascii="Times New Roman" w:eastAsia="Times New Roman" w:hAnsi="Times New Roman" w:cs="Times New Roman"/>
          <w:sz w:val="24"/>
          <w:szCs w:val="24"/>
          <w:lang w:eastAsia="fr-CH"/>
        </w:rPr>
        <w:t xml:space="preserve">, </w:t>
      </w:r>
      <w:r w:rsidR="005550FE" w:rsidRPr="00EB55C1">
        <w:rPr>
          <w:rFonts w:ascii="Times New Roman" w:eastAsia="Times New Roman" w:hAnsi="Times New Roman" w:cs="Times New Roman"/>
          <w:sz w:val="24"/>
          <w:szCs w:val="24"/>
          <w:lang w:eastAsia="fr-CH"/>
        </w:rPr>
        <w:t xml:space="preserve">not </w:t>
      </w:r>
      <w:r w:rsidR="00C56261" w:rsidRPr="00EB55C1">
        <w:rPr>
          <w:rFonts w:ascii="Times New Roman" w:eastAsia="Times New Roman" w:hAnsi="Times New Roman" w:cs="Times New Roman"/>
          <w:sz w:val="24"/>
          <w:szCs w:val="24"/>
          <w:lang w:eastAsia="fr-CH"/>
        </w:rPr>
        <w:t xml:space="preserve">setting clear limits to </w:t>
      </w:r>
      <w:r w:rsidR="005550FE" w:rsidRPr="00EB55C1">
        <w:rPr>
          <w:rFonts w:ascii="Times New Roman" w:eastAsia="Times New Roman" w:hAnsi="Times New Roman" w:cs="Times New Roman"/>
          <w:sz w:val="24"/>
          <w:szCs w:val="24"/>
          <w:lang w:eastAsia="fr-CH"/>
        </w:rPr>
        <w:t>the concept of</w:t>
      </w:r>
      <w:r w:rsidR="00C56261" w:rsidRPr="00EB55C1">
        <w:rPr>
          <w:rFonts w:ascii="Times New Roman" w:eastAsia="Times New Roman" w:hAnsi="Times New Roman" w:cs="Times New Roman"/>
          <w:sz w:val="24"/>
          <w:szCs w:val="24"/>
          <w:lang w:eastAsia="fr-CH"/>
        </w:rPr>
        <w:t xml:space="preserve"> military necessity</w:t>
      </w:r>
      <w:r w:rsidR="005550FE" w:rsidRPr="00EB55C1">
        <w:rPr>
          <w:rFonts w:ascii="Times New Roman" w:eastAsia="Times New Roman" w:hAnsi="Times New Roman" w:cs="Times New Roman"/>
          <w:sz w:val="24"/>
          <w:szCs w:val="24"/>
          <w:lang w:eastAsia="fr-CH"/>
        </w:rPr>
        <w:t xml:space="preserve"> would </w:t>
      </w:r>
      <w:r w:rsidR="00B0785D" w:rsidRPr="00EB55C1">
        <w:rPr>
          <w:rFonts w:ascii="Times New Roman" w:eastAsia="Times New Roman" w:hAnsi="Times New Roman" w:cs="Times New Roman"/>
          <w:sz w:val="24"/>
          <w:szCs w:val="24"/>
          <w:lang w:eastAsia="fr-CH"/>
        </w:rPr>
        <w:t xml:space="preserve">simply defeat the purpose </w:t>
      </w:r>
      <w:r w:rsidR="00CA2EEA" w:rsidRPr="00360D35">
        <w:rPr>
          <w:rFonts w:ascii="Times New Roman" w:eastAsia="Times New Roman" w:hAnsi="Times New Roman" w:cs="Times New Roman"/>
          <w:sz w:val="24"/>
          <w:szCs w:val="24"/>
          <w:lang w:eastAsia="fr-CH"/>
        </w:rPr>
        <w:t xml:space="preserve">of incorporating it into </w:t>
      </w:r>
      <w:r w:rsidR="00B0785D" w:rsidRPr="00EB55C1">
        <w:rPr>
          <w:rFonts w:ascii="Times New Roman" w:eastAsia="Times New Roman" w:hAnsi="Times New Roman" w:cs="Times New Roman"/>
          <w:sz w:val="24"/>
          <w:szCs w:val="24"/>
          <w:lang w:eastAsia="fr-CH"/>
        </w:rPr>
        <w:t xml:space="preserve">law. </w:t>
      </w:r>
      <w:r w:rsidR="005D3495" w:rsidRPr="00EB55C1">
        <w:rPr>
          <w:rFonts w:ascii="Times New Roman" w:eastAsia="Times New Roman" w:hAnsi="Times New Roman" w:cs="Times New Roman"/>
          <w:sz w:val="24"/>
          <w:szCs w:val="24"/>
          <w:lang w:eastAsia="fr-CH"/>
        </w:rPr>
        <w:t xml:space="preserve">This is equally true for the part of IHL that specifically protects cultural property, </w:t>
      </w:r>
      <w:r w:rsidR="00074A48" w:rsidRPr="00EB55C1">
        <w:rPr>
          <w:rFonts w:ascii="Times New Roman" w:eastAsia="Times New Roman" w:hAnsi="Times New Roman" w:cs="Times New Roman"/>
          <w:sz w:val="24"/>
          <w:szCs w:val="24"/>
          <w:lang w:eastAsia="fr-CH"/>
        </w:rPr>
        <w:t>the focus of which lies on</w:t>
      </w:r>
      <w:r w:rsidR="005D3495" w:rsidRPr="00EB55C1">
        <w:rPr>
          <w:rFonts w:ascii="Times New Roman" w:eastAsia="Times New Roman" w:hAnsi="Times New Roman" w:cs="Times New Roman"/>
          <w:sz w:val="24"/>
          <w:szCs w:val="24"/>
          <w:lang w:eastAsia="fr-CH"/>
        </w:rPr>
        <w:t xml:space="preserve"> the protection </w:t>
      </w:r>
      <w:r w:rsidR="00074A48" w:rsidRPr="00EB55C1">
        <w:rPr>
          <w:rFonts w:ascii="Times New Roman" w:eastAsia="Times New Roman" w:hAnsi="Times New Roman" w:cs="Times New Roman"/>
          <w:sz w:val="24"/>
          <w:szCs w:val="24"/>
          <w:lang w:eastAsia="fr-CH"/>
        </w:rPr>
        <w:t>of</w:t>
      </w:r>
      <w:r w:rsidR="005D3495" w:rsidRPr="00EB55C1">
        <w:rPr>
          <w:rFonts w:ascii="Times New Roman" w:eastAsia="Times New Roman" w:hAnsi="Times New Roman" w:cs="Times New Roman"/>
          <w:sz w:val="24"/>
          <w:szCs w:val="24"/>
          <w:lang w:eastAsia="fr-CH"/>
        </w:rPr>
        <w:t xml:space="preserve"> </w:t>
      </w:r>
      <w:r w:rsidR="00103762">
        <w:rPr>
          <w:rFonts w:ascii="Times New Roman" w:eastAsia="Times New Roman" w:hAnsi="Times New Roman" w:cs="Times New Roman"/>
          <w:sz w:val="24"/>
          <w:szCs w:val="24"/>
          <w:lang w:eastAsia="fr-CH"/>
        </w:rPr>
        <w:t>cultural property</w:t>
      </w:r>
      <w:r w:rsidR="005D3495" w:rsidRPr="00EB55C1">
        <w:rPr>
          <w:rFonts w:ascii="Times New Roman" w:eastAsia="Times New Roman" w:hAnsi="Times New Roman" w:cs="Times New Roman"/>
          <w:sz w:val="24"/>
          <w:szCs w:val="24"/>
          <w:lang w:eastAsia="fr-CH"/>
        </w:rPr>
        <w:t xml:space="preserve"> rather than human lives</w:t>
      </w:r>
      <w:r w:rsidR="00074A48" w:rsidRPr="00EB55C1">
        <w:rPr>
          <w:rFonts w:ascii="Times New Roman" w:eastAsia="Times New Roman" w:hAnsi="Times New Roman" w:cs="Times New Roman"/>
          <w:sz w:val="24"/>
          <w:szCs w:val="24"/>
          <w:lang w:eastAsia="fr-CH"/>
        </w:rPr>
        <w:t xml:space="preserve">. </w:t>
      </w:r>
      <w:r w:rsidR="00794FDA" w:rsidRPr="00EB55C1">
        <w:rPr>
          <w:rFonts w:ascii="Times New Roman" w:eastAsia="Times New Roman" w:hAnsi="Times New Roman" w:cs="Times New Roman"/>
          <w:sz w:val="24"/>
          <w:szCs w:val="24"/>
          <w:lang w:eastAsia="fr-CH"/>
        </w:rPr>
        <w:t>It is therefore not surprising that attempts to f</w:t>
      </w:r>
      <w:r w:rsidR="00520A6F" w:rsidRPr="00EB55C1">
        <w:rPr>
          <w:rFonts w:ascii="Times New Roman" w:eastAsia="Times New Roman" w:hAnsi="Times New Roman" w:cs="Times New Roman"/>
          <w:sz w:val="24"/>
          <w:szCs w:val="24"/>
          <w:lang w:eastAsia="fr-CH"/>
        </w:rPr>
        <w:t>ind that</w:t>
      </w:r>
      <w:r w:rsidR="00794FDA" w:rsidRPr="00EB55C1">
        <w:rPr>
          <w:rFonts w:ascii="Times New Roman" w:eastAsia="Times New Roman" w:hAnsi="Times New Roman" w:cs="Times New Roman"/>
          <w:sz w:val="24"/>
          <w:szCs w:val="24"/>
          <w:lang w:eastAsia="fr-CH"/>
        </w:rPr>
        <w:t xml:space="preserve"> balance</w:t>
      </w:r>
      <w:r w:rsidR="00F7565F">
        <w:rPr>
          <w:rFonts w:ascii="Times New Roman" w:eastAsia="Times New Roman" w:hAnsi="Times New Roman" w:cs="Times New Roman"/>
          <w:sz w:val="24"/>
          <w:szCs w:val="24"/>
          <w:lang w:eastAsia="fr-CH"/>
        </w:rPr>
        <w:t xml:space="preserve"> </w:t>
      </w:r>
      <w:r w:rsidR="00074A48" w:rsidRPr="00EB55C1">
        <w:rPr>
          <w:rFonts w:ascii="Times New Roman" w:eastAsia="Times New Roman" w:hAnsi="Times New Roman" w:cs="Times New Roman"/>
          <w:sz w:val="24"/>
          <w:szCs w:val="24"/>
          <w:lang w:eastAsia="fr-CH"/>
        </w:rPr>
        <w:t xml:space="preserve">in relation to how </w:t>
      </w:r>
      <w:r w:rsidR="00794FDA" w:rsidRPr="00EB55C1">
        <w:rPr>
          <w:rFonts w:ascii="Times New Roman" w:eastAsia="Times New Roman" w:hAnsi="Times New Roman" w:cs="Times New Roman"/>
          <w:sz w:val="24"/>
          <w:szCs w:val="24"/>
          <w:lang w:eastAsia="fr-CH"/>
        </w:rPr>
        <w:t xml:space="preserve">protected </w:t>
      </w:r>
      <w:r w:rsidR="00074A48" w:rsidRPr="00EB55C1">
        <w:rPr>
          <w:rFonts w:ascii="Times New Roman" w:eastAsia="Times New Roman" w:hAnsi="Times New Roman" w:cs="Times New Roman"/>
          <w:sz w:val="24"/>
          <w:szCs w:val="24"/>
          <w:lang w:eastAsia="fr-CH"/>
        </w:rPr>
        <w:t>cultural object</w:t>
      </w:r>
      <w:r w:rsidR="00520A6F" w:rsidRPr="00EB55C1">
        <w:rPr>
          <w:rFonts w:ascii="Times New Roman" w:eastAsia="Times New Roman" w:hAnsi="Times New Roman" w:cs="Times New Roman"/>
          <w:sz w:val="24"/>
          <w:szCs w:val="24"/>
          <w:lang w:eastAsia="fr-CH"/>
        </w:rPr>
        <w:t>s</w:t>
      </w:r>
      <w:r w:rsidR="00074A48" w:rsidRPr="00EB55C1">
        <w:rPr>
          <w:rFonts w:ascii="Times New Roman" w:eastAsia="Times New Roman" w:hAnsi="Times New Roman" w:cs="Times New Roman"/>
          <w:sz w:val="24"/>
          <w:szCs w:val="24"/>
          <w:lang w:eastAsia="fr-CH"/>
        </w:rPr>
        <w:t xml:space="preserve"> might </w:t>
      </w:r>
      <w:r w:rsidR="00520A6F" w:rsidRPr="00EB55C1">
        <w:rPr>
          <w:rFonts w:ascii="Times New Roman" w:eastAsia="Times New Roman" w:hAnsi="Times New Roman" w:cs="Times New Roman"/>
          <w:sz w:val="24"/>
          <w:szCs w:val="24"/>
          <w:lang w:eastAsia="fr-CH"/>
        </w:rPr>
        <w:t xml:space="preserve">permissibly </w:t>
      </w:r>
      <w:r w:rsidR="00074A48" w:rsidRPr="00EB55C1">
        <w:rPr>
          <w:rFonts w:ascii="Times New Roman" w:eastAsia="Times New Roman" w:hAnsi="Times New Roman" w:cs="Times New Roman"/>
          <w:sz w:val="24"/>
          <w:szCs w:val="24"/>
          <w:lang w:eastAsia="fr-CH"/>
        </w:rPr>
        <w:t>be harmed in the course of hostilities</w:t>
      </w:r>
      <w:r w:rsidR="00476EAC">
        <w:rPr>
          <w:rFonts w:ascii="Times New Roman" w:eastAsia="Times New Roman" w:hAnsi="Times New Roman" w:cs="Times New Roman"/>
          <w:sz w:val="24"/>
          <w:szCs w:val="24"/>
          <w:lang w:eastAsia="fr-CH"/>
        </w:rPr>
        <w:t>,</w:t>
      </w:r>
      <w:r w:rsidR="00520A6F" w:rsidRPr="00EB55C1">
        <w:rPr>
          <w:rFonts w:ascii="Times New Roman" w:eastAsia="Times New Roman" w:hAnsi="Times New Roman" w:cs="Times New Roman"/>
          <w:sz w:val="24"/>
          <w:szCs w:val="24"/>
          <w:lang w:eastAsia="fr-CH"/>
        </w:rPr>
        <w:t xml:space="preserve"> despite their value for all </w:t>
      </w:r>
      <w:r w:rsidR="00355386" w:rsidRPr="00360D35">
        <w:rPr>
          <w:rFonts w:ascii="Times New Roman" w:eastAsia="Times New Roman" w:hAnsi="Times New Roman" w:cs="Times New Roman"/>
          <w:sz w:val="24"/>
          <w:szCs w:val="24"/>
          <w:lang w:eastAsia="fr-CH"/>
        </w:rPr>
        <w:t>hu</w:t>
      </w:r>
      <w:r w:rsidR="00520A6F" w:rsidRPr="00EB55C1">
        <w:rPr>
          <w:rFonts w:ascii="Times New Roman" w:eastAsia="Times New Roman" w:hAnsi="Times New Roman" w:cs="Times New Roman"/>
          <w:sz w:val="24"/>
          <w:szCs w:val="24"/>
          <w:lang w:eastAsia="fr-CH"/>
        </w:rPr>
        <w:t>mankind,</w:t>
      </w:r>
      <w:r w:rsidR="006E1F83" w:rsidRPr="00EB55C1">
        <w:rPr>
          <w:rFonts w:ascii="Times New Roman" w:eastAsia="Times New Roman" w:hAnsi="Times New Roman" w:cs="Times New Roman"/>
          <w:sz w:val="24"/>
          <w:szCs w:val="24"/>
          <w:lang w:eastAsia="fr-CH"/>
        </w:rPr>
        <w:t xml:space="preserve"> </w:t>
      </w:r>
      <w:r w:rsidR="00794FDA" w:rsidRPr="00EB55C1">
        <w:rPr>
          <w:rFonts w:ascii="Times New Roman" w:eastAsia="Times New Roman" w:hAnsi="Times New Roman" w:cs="Times New Roman"/>
          <w:sz w:val="24"/>
          <w:szCs w:val="24"/>
          <w:lang w:eastAsia="fr-CH"/>
        </w:rPr>
        <w:t xml:space="preserve">led to intense negotiations </w:t>
      </w:r>
      <w:r w:rsidR="00476EAC">
        <w:rPr>
          <w:rFonts w:ascii="Times New Roman" w:eastAsia="Times New Roman" w:hAnsi="Times New Roman" w:cs="Times New Roman"/>
          <w:sz w:val="24"/>
          <w:szCs w:val="24"/>
          <w:lang w:eastAsia="fr-CH"/>
        </w:rPr>
        <w:t xml:space="preserve">prior to </w:t>
      </w:r>
      <w:r w:rsidR="00794FDA" w:rsidRPr="00EB55C1">
        <w:rPr>
          <w:rFonts w:ascii="Times New Roman" w:eastAsia="Times New Roman" w:hAnsi="Times New Roman" w:cs="Times New Roman"/>
          <w:sz w:val="24"/>
          <w:szCs w:val="24"/>
          <w:lang w:eastAsia="fr-CH"/>
        </w:rPr>
        <w:t>the adoption of the 1954 Hague Convention.</w:t>
      </w:r>
    </w:p>
    <w:p w14:paraId="4B05A34A" w14:textId="15E018E6" w:rsidR="00591CE9" w:rsidRPr="00EB55C1" w:rsidRDefault="006E6DE7">
      <w:pPr>
        <w:spacing w:before="240" w:after="24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sz w:val="24"/>
          <w:szCs w:val="24"/>
          <w:lang w:eastAsia="fr-CH"/>
        </w:rPr>
        <w:t xml:space="preserve">In addition to this general layer of protection, the </w:t>
      </w:r>
      <w:r w:rsidR="00B0626E">
        <w:rPr>
          <w:rFonts w:ascii="Times New Roman" w:eastAsia="Times New Roman" w:hAnsi="Times New Roman" w:cs="Times New Roman"/>
          <w:sz w:val="24"/>
          <w:szCs w:val="24"/>
          <w:lang w:eastAsia="fr-CH"/>
        </w:rPr>
        <w:t>c</w:t>
      </w:r>
      <w:r w:rsidRPr="00EB55C1">
        <w:rPr>
          <w:rFonts w:ascii="Times New Roman" w:eastAsia="Times New Roman" w:hAnsi="Times New Roman" w:cs="Times New Roman"/>
          <w:sz w:val="24"/>
          <w:szCs w:val="24"/>
          <w:lang w:eastAsia="fr-CH"/>
        </w:rPr>
        <w:t xml:space="preserve">onvention introduced a system of </w:t>
      </w:r>
      <w:r w:rsidR="00C4088D" w:rsidRPr="00360D35">
        <w:rPr>
          <w:rFonts w:ascii="Times New Roman" w:eastAsia="Times New Roman" w:hAnsi="Times New Roman" w:cs="Times New Roman"/>
          <w:sz w:val="24"/>
          <w:szCs w:val="24"/>
          <w:lang w:eastAsia="fr-CH"/>
        </w:rPr>
        <w:t>“</w:t>
      </w:r>
      <w:r w:rsidRPr="00EB55C1">
        <w:rPr>
          <w:rFonts w:ascii="Times New Roman" w:eastAsia="Times New Roman" w:hAnsi="Times New Roman" w:cs="Times New Roman"/>
          <w:sz w:val="24"/>
          <w:szCs w:val="24"/>
          <w:lang w:eastAsia="fr-CH"/>
        </w:rPr>
        <w:t>special protection</w:t>
      </w:r>
      <w:r w:rsidR="00C4088D" w:rsidRPr="00360D35">
        <w:rPr>
          <w:rFonts w:ascii="Times New Roman" w:eastAsia="Times New Roman" w:hAnsi="Times New Roman" w:cs="Times New Roman"/>
          <w:sz w:val="24"/>
          <w:szCs w:val="24"/>
          <w:lang w:eastAsia="fr-CH"/>
        </w:rPr>
        <w:t>”</w:t>
      </w:r>
      <w:r w:rsidRPr="00EB55C1">
        <w:rPr>
          <w:rFonts w:ascii="Times New Roman" w:eastAsia="Times New Roman" w:hAnsi="Times New Roman" w:cs="Times New Roman"/>
          <w:sz w:val="24"/>
          <w:szCs w:val="24"/>
          <w:lang w:eastAsia="fr-CH"/>
        </w:rPr>
        <w:t xml:space="preserve"> for a limited number of </w:t>
      </w:r>
      <w:r w:rsidR="00A949CA" w:rsidRPr="00EB55C1">
        <w:rPr>
          <w:rFonts w:ascii="Times New Roman" w:eastAsia="Times New Roman" w:hAnsi="Times New Roman" w:cs="Times New Roman"/>
          <w:sz w:val="24"/>
          <w:szCs w:val="24"/>
          <w:lang w:eastAsia="fr-CH"/>
        </w:rPr>
        <w:t xml:space="preserve">immovable objects of </w:t>
      </w:r>
      <w:r w:rsidR="00C4088D" w:rsidRPr="00360D35">
        <w:rPr>
          <w:rFonts w:ascii="Times New Roman" w:eastAsia="Times New Roman" w:hAnsi="Times New Roman" w:cs="Times New Roman"/>
          <w:sz w:val="24"/>
          <w:szCs w:val="24"/>
          <w:lang w:eastAsia="fr-CH"/>
        </w:rPr>
        <w:t>“</w:t>
      </w:r>
      <w:r w:rsidR="00A949CA" w:rsidRPr="00EB55C1">
        <w:rPr>
          <w:rFonts w:ascii="Times New Roman" w:eastAsia="Times New Roman" w:hAnsi="Times New Roman" w:cs="Times New Roman"/>
          <w:sz w:val="24"/>
          <w:szCs w:val="24"/>
          <w:lang w:eastAsia="fr-CH"/>
        </w:rPr>
        <w:t>very great importance</w:t>
      </w:r>
      <w:r w:rsidR="008F3556" w:rsidRPr="00360D35">
        <w:rPr>
          <w:rFonts w:ascii="Times New Roman" w:eastAsia="Times New Roman" w:hAnsi="Times New Roman" w:cs="Times New Roman"/>
          <w:sz w:val="24"/>
          <w:szCs w:val="24"/>
          <w:lang w:eastAsia="fr-CH"/>
        </w:rPr>
        <w:t>,”</w:t>
      </w:r>
      <w:r w:rsidR="00A949CA" w:rsidRPr="00EB55C1">
        <w:rPr>
          <w:rFonts w:ascii="Times New Roman" w:eastAsia="Times New Roman" w:hAnsi="Times New Roman" w:cs="Times New Roman"/>
          <w:sz w:val="24"/>
          <w:szCs w:val="24"/>
          <w:lang w:eastAsia="fr-CH"/>
        </w:rPr>
        <w:t xml:space="preserve"> providing </w:t>
      </w:r>
      <w:r w:rsidR="007F07B3" w:rsidRPr="00360D35">
        <w:rPr>
          <w:rFonts w:ascii="Times New Roman" w:eastAsia="Times New Roman" w:hAnsi="Times New Roman" w:cs="Times New Roman"/>
          <w:sz w:val="24"/>
          <w:szCs w:val="24"/>
          <w:lang w:eastAsia="fr-CH"/>
        </w:rPr>
        <w:t>they</w:t>
      </w:r>
      <w:r w:rsidR="00A949CA" w:rsidRPr="00EB55C1">
        <w:rPr>
          <w:rFonts w:ascii="Times New Roman" w:eastAsia="Times New Roman" w:hAnsi="Times New Roman" w:cs="Times New Roman"/>
          <w:sz w:val="24"/>
          <w:szCs w:val="24"/>
          <w:lang w:eastAsia="fr-CH"/>
        </w:rPr>
        <w:t xml:space="preserve"> meet a number of specific criteria (one of which </w:t>
      </w:r>
      <w:r w:rsidR="007F07B3" w:rsidRPr="00360D35">
        <w:rPr>
          <w:rFonts w:ascii="Times New Roman" w:eastAsia="Times New Roman" w:hAnsi="Times New Roman" w:cs="Times New Roman"/>
          <w:sz w:val="24"/>
          <w:szCs w:val="24"/>
          <w:lang w:eastAsia="fr-CH"/>
        </w:rPr>
        <w:t xml:space="preserve">is </w:t>
      </w:r>
      <w:r w:rsidR="00A949CA" w:rsidRPr="00EB55C1">
        <w:rPr>
          <w:rFonts w:ascii="Times New Roman" w:eastAsia="Times New Roman" w:hAnsi="Times New Roman" w:cs="Times New Roman"/>
          <w:sz w:val="24"/>
          <w:szCs w:val="24"/>
          <w:lang w:eastAsia="fr-CH"/>
        </w:rPr>
        <w:t xml:space="preserve">inscription on an international register to that effect, </w:t>
      </w:r>
      <w:r w:rsidR="0048202F" w:rsidRPr="00EB55C1">
        <w:rPr>
          <w:rFonts w:ascii="Times New Roman" w:eastAsia="Times New Roman" w:hAnsi="Times New Roman" w:cs="Times New Roman"/>
          <w:sz w:val="24"/>
          <w:szCs w:val="24"/>
          <w:lang w:eastAsia="fr-CH"/>
        </w:rPr>
        <w:t xml:space="preserve">briefly </w:t>
      </w:r>
      <w:r w:rsidR="001C43B8" w:rsidRPr="00360D35">
        <w:rPr>
          <w:rFonts w:ascii="Times New Roman" w:eastAsia="Times New Roman" w:hAnsi="Times New Roman" w:cs="Times New Roman"/>
          <w:sz w:val="24"/>
          <w:szCs w:val="24"/>
          <w:lang w:eastAsia="fr-CH"/>
        </w:rPr>
        <w:t xml:space="preserve">discussed </w:t>
      </w:r>
      <w:r w:rsidR="00A949CA" w:rsidRPr="00EB55C1">
        <w:rPr>
          <w:rFonts w:ascii="Times New Roman" w:eastAsia="Times New Roman" w:hAnsi="Times New Roman" w:cs="Times New Roman"/>
          <w:sz w:val="24"/>
          <w:szCs w:val="24"/>
          <w:lang w:eastAsia="fr-CH"/>
        </w:rPr>
        <w:t xml:space="preserve">below). </w:t>
      </w:r>
      <w:r w:rsidR="005515B7" w:rsidRPr="00EB55C1">
        <w:rPr>
          <w:rFonts w:ascii="Times New Roman" w:eastAsia="Times New Roman" w:hAnsi="Times New Roman" w:cs="Times New Roman"/>
          <w:sz w:val="24"/>
          <w:szCs w:val="24"/>
          <w:lang w:eastAsia="fr-CH"/>
        </w:rPr>
        <w:t xml:space="preserve">The idea behind </w:t>
      </w:r>
      <w:r w:rsidR="007542A0" w:rsidRPr="00360D35">
        <w:rPr>
          <w:rFonts w:ascii="Times New Roman" w:eastAsia="Times New Roman" w:hAnsi="Times New Roman" w:cs="Times New Roman"/>
          <w:sz w:val="24"/>
          <w:szCs w:val="24"/>
          <w:lang w:eastAsia="fr-CH"/>
        </w:rPr>
        <w:t>this</w:t>
      </w:r>
      <w:r w:rsidR="007542A0" w:rsidRPr="00EB55C1">
        <w:rPr>
          <w:rFonts w:ascii="Times New Roman" w:eastAsia="Times New Roman" w:hAnsi="Times New Roman" w:cs="Times New Roman"/>
          <w:sz w:val="24"/>
          <w:szCs w:val="24"/>
          <w:lang w:eastAsia="fr-CH"/>
        </w:rPr>
        <w:t xml:space="preserve"> </w:t>
      </w:r>
      <w:r w:rsidR="0048202F" w:rsidRPr="00EB55C1">
        <w:rPr>
          <w:rFonts w:ascii="Times New Roman" w:eastAsia="Times New Roman" w:hAnsi="Times New Roman" w:cs="Times New Roman"/>
          <w:sz w:val="24"/>
          <w:szCs w:val="24"/>
          <w:lang w:eastAsia="fr-CH"/>
        </w:rPr>
        <w:t>system</w:t>
      </w:r>
      <w:r w:rsidR="005515B7" w:rsidRPr="00EB55C1">
        <w:rPr>
          <w:rFonts w:ascii="Times New Roman" w:eastAsia="Times New Roman" w:hAnsi="Times New Roman" w:cs="Times New Roman"/>
          <w:sz w:val="24"/>
          <w:szCs w:val="24"/>
          <w:lang w:eastAsia="fr-CH"/>
        </w:rPr>
        <w:t xml:space="preserve"> was to provide</w:t>
      </w:r>
      <w:r w:rsidR="0048202F" w:rsidRPr="00EB55C1">
        <w:rPr>
          <w:rFonts w:ascii="Times New Roman" w:eastAsia="Times New Roman" w:hAnsi="Times New Roman" w:cs="Times New Roman"/>
          <w:sz w:val="24"/>
          <w:szCs w:val="24"/>
          <w:lang w:eastAsia="fr-CH"/>
        </w:rPr>
        <w:t xml:space="preserve"> </w:t>
      </w:r>
      <w:r w:rsidR="0048202F" w:rsidRPr="00EB55C1">
        <w:rPr>
          <w:rFonts w:ascii="Times New Roman" w:eastAsia="Times New Roman" w:hAnsi="Times New Roman" w:cs="Times New Roman"/>
          <w:sz w:val="24"/>
          <w:szCs w:val="24"/>
          <w:lang w:eastAsia="fr-CH"/>
        </w:rPr>
        <w:lastRenderedPageBreak/>
        <w:t>protected objects</w:t>
      </w:r>
      <w:r w:rsidR="005515B7" w:rsidRPr="00EB55C1">
        <w:rPr>
          <w:rFonts w:ascii="Times New Roman" w:eastAsia="Times New Roman" w:hAnsi="Times New Roman" w:cs="Times New Roman"/>
          <w:sz w:val="24"/>
          <w:szCs w:val="24"/>
          <w:lang w:eastAsia="fr-CH"/>
        </w:rPr>
        <w:t xml:space="preserve"> with </w:t>
      </w:r>
      <w:r w:rsidR="0048202F" w:rsidRPr="00EB55C1">
        <w:rPr>
          <w:rFonts w:ascii="Times New Roman" w:eastAsia="Times New Roman" w:hAnsi="Times New Roman" w:cs="Times New Roman"/>
          <w:sz w:val="24"/>
          <w:szCs w:val="24"/>
          <w:lang w:eastAsia="fr-CH"/>
        </w:rPr>
        <w:t xml:space="preserve">a higher degree of immunity against harmful acts </w:t>
      </w:r>
      <w:r w:rsidR="005515B7" w:rsidRPr="00EB55C1">
        <w:rPr>
          <w:rFonts w:ascii="Times New Roman" w:eastAsia="Times New Roman" w:hAnsi="Times New Roman" w:cs="Times New Roman"/>
          <w:sz w:val="24"/>
          <w:szCs w:val="24"/>
          <w:lang w:eastAsia="fr-CH"/>
        </w:rPr>
        <w:t xml:space="preserve">by imposing a stricter application of the concept of military necessity to the belligerent parties than the one applicable to objects under general protection. </w:t>
      </w:r>
      <w:r w:rsidR="00584059" w:rsidRPr="00EB55C1">
        <w:rPr>
          <w:rFonts w:ascii="Times New Roman" w:eastAsia="Times New Roman" w:hAnsi="Times New Roman" w:cs="Times New Roman"/>
          <w:sz w:val="24"/>
          <w:szCs w:val="24"/>
          <w:lang w:eastAsia="fr-CH"/>
        </w:rPr>
        <w:t>Harmful acts against</w:t>
      </w:r>
      <w:r w:rsidR="00671F50" w:rsidRPr="00EB55C1">
        <w:rPr>
          <w:rFonts w:ascii="Times New Roman" w:eastAsia="Times New Roman" w:hAnsi="Times New Roman" w:cs="Times New Roman"/>
          <w:sz w:val="24"/>
          <w:szCs w:val="24"/>
          <w:lang w:eastAsia="fr-CH"/>
        </w:rPr>
        <w:t xml:space="preserve"> these </w:t>
      </w:r>
      <w:r w:rsidR="00E220F8" w:rsidRPr="00360D35">
        <w:rPr>
          <w:rFonts w:ascii="Times New Roman" w:eastAsia="Times New Roman" w:hAnsi="Times New Roman" w:cs="Times New Roman"/>
          <w:sz w:val="24"/>
          <w:szCs w:val="24"/>
          <w:lang w:eastAsia="fr-CH"/>
        </w:rPr>
        <w:t xml:space="preserve">more legally protected </w:t>
      </w:r>
      <w:r w:rsidR="00671F50" w:rsidRPr="00EB55C1">
        <w:rPr>
          <w:rFonts w:ascii="Times New Roman" w:eastAsia="Times New Roman" w:hAnsi="Times New Roman" w:cs="Times New Roman"/>
          <w:sz w:val="24"/>
          <w:szCs w:val="24"/>
          <w:lang w:eastAsia="fr-CH"/>
        </w:rPr>
        <w:t xml:space="preserve">objects </w:t>
      </w:r>
      <w:r w:rsidR="00584059" w:rsidRPr="00EB55C1">
        <w:rPr>
          <w:rFonts w:ascii="Times New Roman" w:eastAsia="Times New Roman" w:hAnsi="Times New Roman" w:cs="Times New Roman"/>
          <w:sz w:val="24"/>
          <w:szCs w:val="24"/>
          <w:lang w:eastAsia="fr-CH"/>
        </w:rPr>
        <w:t>are temporarily permissible o</w:t>
      </w:r>
      <w:r w:rsidR="00671F50" w:rsidRPr="00EB55C1">
        <w:rPr>
          <w:rFonts w:ascii="Times New Roman" w:eastAsia="Times New Roman" w:hAnsi="Times New Roman" w:cs="Times New Roman"/>
          <w:sz w:val="24"/>
          <w:szCs w:val="24"/>
          <w:lang w:eastAsia="fr-CH"/>
        </w:rPr>
        <w:t>nly</w:t>
      </w:r>
      <w:r w:rsidR="00FE00B5" w:rsidRPr="00EB55C1">
        <w:rPr>
          <w:rFonts w:ascii="Times New Roman" w:eastAsia="Times New Roman" w:hAnsi="Times New Roman" w:cs="Times New Roman"/>
          <w:sz w:val="24"/>
          <w:szCs w:val="24"/>
          <w:lang w:eastAsia="fr-CH"/>
        </w:rPr>
        <w:t xml:space="preserve"> in “exceptional cases of unavoidable military necessity” and when ordered by a </w:t>
      </w:r>
      <w:r w:rsidR="00AB064E" w:rsidRPr="00EB55C1">
        <w:rPr>
          <w:rFonts w:ascii="Times New Roman" w:eastAsia="Times New Roman" w:hAnsi="Times New Roman" w:cs="Times New Roman"/>
          <w:sz w:val="24"/>
          <w:szCs w:val="24"/>
          <w:lang w:eastAsia="fr-CH"/>
        </w:rPr>
        <w:t>high-ranking</w:t>
      </w:r>
      <w:r w:rsidR="00FE00B5" w:rsidRPr="00EB55C1">
        <w:rPr>
          <w:rFonts w:ascii="Times New Roman" w:eastAsia="Times New Roman" w:hAnsi="Times New Roman" w:cs="Times New Roman"/>
          <w:sz w:val="24"/>
          <w:szCs w:val="24"/>
          <w:lang w:eastAsia="fr-CH"/>
        </w:rPr>
        <w:t xml:space="preserve"> commanding </w:t>
      </w:r>
      <w:r w:rsidR="00584059" w:rsidRPr="00EB55C1">
        <w:rPr>
          <w:rFonts w:ascii="Times New Roman" w:eastAsia="Times New Roman" w:hAnsi="Times New Roman" w:cs="Times New Roman"/>
          <w:sz w:val="24"/>
          <w:szCs w:val="24"/>
          <w:lang w:eastAsia="fr-CH"/>
        </w:rPr>
        <w:t>officer</w:t>
      </w:r>
      <w:r w:rsidR="00FE00B5" w:rsidRPr="00EB55C1">
        <w:rPr>
          <w:rFonts w:ascii="Times New Roman" w:eastAsia="Times New Roman" w:hAnsi="Times New Roman" w:cs="Times New Roman"/>
          <w:sz w:val="24"/>
          <w:szCs w:val="24"/>
          <w:lang w:eastAsia="fr-CH"/>
        </w:rPr>
        <w:t>.</w:t>
      </w:r>
      <w:r w:rsidR="00AB064E" w:rsidRPr="00EB55C1">
        <w:rPr>
          <w:rFonts w:ascii="Times New Roman" w:eastAsia="Times New Roman" w:hAnsi="Times New Roman" w:cs="Times New Roman"/>
          <w:sz w:val="24"/>
          <w:szCs w:val="24"/>
          <w:lang w:eastAsia="fr-CH"/>
        </w:rPr>
        <w:t xml:space="preserve"> </w:t>
      </w:r>
      <w:r w:rsidR="00967E4E" w:rsidRPr="00EB55C1">
        <w:rPr>
          <w:rFonts w:ascii="Times New Roman" w:eastAsia="Times New Roman" w:hAnsi="Times New Roman" w:cs="Times New Roman"/>
          <w:sz w:val="24"/>
          <w:szCs w:val="24"/>
          <w:lang w:eastAsia="fr-CH"/>
        </w:rPr>
        <w:t xml:space="preserve">Despite </w:t>
      </w:r>
      <w:r w:rsidR="00103762">
        <w:rPr>
          <w:rFonts w:ascii="Times New Roman" w:eastAsia="Times New Roman" w:hAnsi="Times New Roman" w:cs="Times New Roman"/>
          <w:sz w:val="24"/>
          <w:szCs w:val="24"/>
          <w:lang w:eastAsia="fr-CH"/>
        </w:rPr>
        <w:t>best</w:t>
      </w:r>
      <w:r w:rsidR="00967E4E" w:rsidRPr="00EB55C1">
        <w:rPr>
          <w:rFonts w:ascii="Times New Roman" w:eastAsia="Times New Roman" w:hAnsi="Times New Roman" w:cs="Times New Roman"/>
          <w:sz w:val="24"/>
          <w:szCs w:val="24"/>
          <w:lang w:eastAsia="fr-CH"/>
        </w:rPr>
        <w:t xml:space="preserve"> intentions</w:t>
      </w:r>
      <w:r w:rsidR="00584059" w:rsidRPr="00EB55C1">
        <w:rPr>
          <w:rFonts w:ascii="Times New Roman" w:eastAsia="Times New Roman" w:hAnsi="Times New Roman" w:cs="Times New Roman"/>
          <w:sz w:val="24"/>
          <w:szCs w:val="24"/>
          <w:lang w:eastAsia="fr-CH"/>
        </w:rPr>
        <w:t xml:space="preserve">, </w:t>
      </w:r>
      <w:r w:rsidR="00967E4E" w:rsidRPr="00EB55C1">
        <w:rPr>
          <w:rFonts w:ascii="Times New Roman" w:eastAsia="Times New Roman" w:hAnsi="Times New Roman" w:cs="Times New Roman"/>
          <w:sz w:val="24"/>
          <w:szCs w:val="24"/>
          <w:lang w:eastAsia="fr-CH"/>
        </w:rPr>
        <w:t xml:space="preserve">here again </w:t>
      </w:r>
      <w:r w:rsidR="00B0626E">
        <w:rPr>
          <w:rFonts w:ascii="Times New Roman" w:eastAsia="Times New Roman" w:hAnsi="Times New Roman" w:cs="Times New Roman"/>
          <w:sz w:val="24"/>
          <w:szCs w:val="24"/>
          <w:lang w:eastAsia="fr-CH"/>
        </w:rPr>
        <w:t xml:space="preserve">reliance on </w:t>
      </w:r>
      <w:r w:rsidR="00584059" w:rsidRPr="00EB55C1">
        <w:rPr>
          <w:rFonts w:ascii="Times New Roman" w:eastAsia="Times New Roman" w:hAnsi="Times New Roman" w:cs="Times New Roman"/>
          <w:sz w:val="24"/>
          <w:szCs w:val="24"/>
          <w:lang w:eastAsia="fr-CH"/>
        </w:rPr>
        <w:t xml:space="preserve">an inherently subjective </w:t>
      </w:r>
      <w:r w:rsidR="00967E4E" w:rsidRPr="00EB55C1">
        <w:rPr>
          <w:rFonts w:ascii="Times New Roman" w:eastAsia="Times New Roman" w:hAnsi="Times New Roman" w:cs="Times New Roman"/>
          <w:sz w:val="24"/>
          <w:szCs w:val="24"/>
          <w:lang w:eastAsia="fr-CH"/>
        </w:rPr>
        <w:t xml:space="preserve">and undefined concept proved to be a difficult flaw to overcome at the time. It was </w:t>
      </w:r>
      <w:r w:rsidR="00254E27" w:rsidRPr="00360D35">
        <w:rPr>
          <w:rFonts w:ascii="Times New Roman" w:eastAsia="Times New Roman" w:hAnsi="Times New Roman" w:cs="Times New Roman"/>
          <w:sz w:val="24"/>
          <w:szCs w:val="24"/>
          <w:lang w:eastAsia="fr-CH"/>
        </w:rPr>
        <w:t xml:space="preserve">finally </w:t>
      </w:r>
      <w:r w:rsidR="00967E4E" w:rsidRPr="00EB55C1">
        <w:rPr>
          <w:rFonts w:ascii="Times New Roman" w:eastAsia="Times New Roman" w:hAnsi="Times New Roman" w:cs="Times New Roman"/>
          <w:sz w:val="24"/>
          <w:szCs w:val="24"/>
          <w:lang w:eastAsia="fr-CH"/>
        </w:rPr>
        <w:t>addressed in 1999</w:t>
      </w:r>
      <w:r w:rsidR="00F854C8">
        <w:rPr>
          <w:rFonts w:ascii="Times New Roman" w:eastAsia="Times New Roman" w:hAnsi="Times New Roman" w:cs="Times New Roman"/>
          <w:sz w:val="24"/>
          <w:szCs w:val="24"/>
          <w:lang w:eastAsia="fr-CH"/>
        </w:rPr>
        <w:t xml:space="preserve"> with the adoption of </w:t>
      </w:r>
      <w:r w:rsidR="00967E4E" w:rsidRPr="00EB55C1">
        <w:rPr>
          <w:rFonts w:ascii="Times New Roman" w:eastAsia="Times New Roman" w:hAnsi="Times New Roman" w:cs="Times New Roman"/>
          <w:sz w:val="24"/>
          <w:szCs w:val="24"/>
          <w:lang w:eastAsia="fr-CH"/>
        </w:rPr>
        <w:t xml:space="preserve">the Second Protocol. </w:t>
      </w:r>
    </w:p>
    <w:p w14:paraId="5392AC12" w14:textId="6410BCBF" w:rsidR="00480C92" w:rsidRPr="00EB55C1" w:rsidRDefault="00480C92">
      <w:pPr>
        <w:spacing w:before="240" w:after="24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In addition to the</w:t>
      </w:r>
      <w:r w:rsidR="00361446">
        <w:rPr>
          <w:rFonts w:ascii="Times New Roman" w:eastAsia="Times New Roman" w:hAnsi="Times New Roman" w:cs="Times New Roman"/>
          <w:color w:val="000000"/>
          <w:sz w:val="24"/>
          <w:szCs w:val="24"/>
          <w:lang w:eastAsia="fr-CH"/>
        </w:rPr>
        <w:t>se</w:t>
      </w:r>
      <w:r w:rsidRPr="00EB55C1">
        <w:rPr>
          <w:rFonts w:ascii="Times New Roman" w:eastAsia="Times New Roman" w:hAnsi="Times New Roman" w:cs="Times New Roman"/>
          <w:color w:val="000000"/>
          <w:sz w:val="24"/>
          <w:szCs w:val="24"/>
          <w:lang w:eastAsia="fr-CH"/>
        </w:rPr>
        <w:t xml:space="preserve"> prohibitions, </w:t>
      </w:r>
      <w:r w:rsidR="005A4C07"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respecting</w:t>
      </w:r>
      <w:r w:rsidR="005A4C07" w:rsidRPr="00EB55C1">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cultural property in time of armed conflict also implies the unconditional obligation (no waiver is permitted) to protect cultural property against theft, pillage, misappropriation</w:t>
      </w:r>
      <w:r w:rsidR="00254E27"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and vandalism</w:t>
      </w:r>
      <w:r w:rsidR="00254E27" w:rsidRPr="00360D35">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and to refrain </w:t>
      </w:r>
      <w:r w:rsidR="00A810DD">
        <w:rPr>
          <w:rFonts w:ascii="Times New Roman" w:eastAsia="Times New Roman" w:hAnsi="Times New Roman" w:cs="Times New Roman"/>
          <w:color w:val="000000"/>
          <w:sz w:val="24"/>
          <w:szCs w:val="24"/>
          <w:lang w:eastAsia="fr-CH"/>
        </w:rPr>
        <w:t>not only</w:t>
      </w:r>
      <w:r w:rsidRPr="00EB55C1">
        <w:rPr>
          <w:rFonts w:ascii="Times New Roman" w:eastAsia="Times New Roman" w:hAnsi="Times New Roman" w:cs="Times New Roman"/>
          <w:color w:val="000000"/>
          <w:sz w:val="24"/>
          <w:szCs w:val="24"/>
          <w:lang w:eastAsia="fr-CH"/>
        </w:rPr>
        <w:t xml:space="preserve"> </w:t>
      </w:r>
      <w:r w:rsidR="00A810DD" w:rsidRPr="00DA4B89">
        <w:rPr>
          <w:rFonts w:ascii="Times New Roman" w:eastAsia="Times New Roman" w:hAnsi="Times New Roman" w:cs="Times New Roman"/>
          <w:color w:val="000000"/>
          <w:sz w:val="24"/>
          <w:szCs w:val="24"/>
          <w:lang w:eastAsia="fr-CH"/>
        </w:rPr>
        <w:t xml:space="preserve">from </w:t>
      </w:r>
      <w:r w:rsidRPr="00EB55C1">
        <w:rPr>
          <w:rFonts w:ascii="Times New Roman" w:eastAsia="Times New Roman" w:hAnsi="Times New Roman" w:cs="Times New Roman"/>
          <w:color w:val="000000"/>
          <w:sz w:val="24"/>
          <w:szCs w:val="24"/>
          <w:lang w:eastAsia="fr-CH"/>
        </w:rPr>
        <w:t xml:space="preserve">requisitioning movable cultural property situated in the territory of another </w:t>
      </w:r>
      <w:r w:rsidR="00646807" w:rsidRPr="00360D35">
        <w:rPr>
          <w:rFonts w:ascii="Times New Roman" w:eastAsia="Times New Roman" w:hAnsi="Times New Roman" w:cs="Times New Roman"/>
          <w:color w:val="000000"/>
          <w:sz w:val="24"/>
          <w:szCs w:val="24"/>
          <w:lang w:eastAsia="fr-CH"/>
        </w:rPr>
        <w:t>state</w:t>
      </w:r>
      <w:r w:rsidRPr="00EB55C1">
        <w:rPr>
          <w:rFonts w:ascii="Times New Roman" w:eastAsia="Times New Roman" w:hAnsi="Times New Roman" w:cs="Times New Roman"/>
          <w:color w:val="000000"/>
          <w:sz w:val="24"/>
          <w:szCs w:val="24"/>
          <w:lang w:eastAsia="fr-CH"/>
        </w:rPr>
        <w:t xml:space="preserve"> </w:t>
      </w:r>
      <w:r w:rsidR="00A810DD">
        <w:rPr>
          <w:rFonts w:ascii="Times New Roman" w:eastAsia="Times New Roman" w:hAnsi="Times New Roman" w:cs="Times New Roman"/>
          <w:color w:val="000000"/>
          <w:sz w:val="24"/>
          <w:szCs w:val="24"/>
          <w:lang w:eastAsia="fr-CH"/>
        </w:rPr>
        <w:t>but also</w:t>
      </w:r>
      <w:r w:rsidR="00A810DD"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 xml:space="preserve">from carrying </w:t>
      </w:r>
      <w:r w:rsidR="00254E27" w:rsidRPr="00360D35">
        <w:rPr>
          <w:rFonts w:ascii="Times New Roman" w:eastAsia="Times New Roman" w:hAnsi="Times New Roman" w:cs="Times New Roman"/>
          <w:color w:val="000000"/>
          <w:sz w:val="24"/>
          <w:szCs w:val="24"/>
          <w:lang w:eastAsia="fr-CH"/>
        </w:rPr>
        <w:t xml:space="preserve">out </w:t>
      </w:r>
      <w:r w:rsidRPr="00EB55C1">
        <w:rPr>
          <w:rFonts w:ascii="Times New Roman" w:eastAsia="Times New Roman" w:hAnsi="Times New Roman" w:cs="Times New Roman"/>
          <w:color w:val="000000"/>
          <w:sz w:val="24"/>
          <w:szCs w:val="24"/>
          <w:lang w:eastAsia="fr-CH"/>
        </w:rPr>
        <w:t>acts of reprisal against any protected cultural property.</w:t>
      </w:r>
    </w:p>
    <w:p w14:paraId="48FADA0C" w14:textId="6ADEF387" w:rsidR="00480C92" w:rsidRPr="00EB55C1" w:rsidRDefault="00030CE8">
      <w:pPr>
        <w:spacing w:before="120" w:after="12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sz w:val="24"/>
          <w:szCs w:val="24"/>
          <w:lang w:eastAsia="fr-CH"/>
        </w:rPr>
        <w:t xml:space="preserve">But all these rules cannot be effectively applied if they are not </w:t>
      </w:r>
      <w:r w:rsidR="00254E27" w:rsidRPr="00360D35">
        <w:rPr>
          <w:rFonts w:ascii="Times New Roman" w:eastAsia="Times New Roman" w:hAnsi="Times New Roman" w:cs="Times New Roman"/>
          <w:sz w:val="24"/>
          <w:szCs w:val="24"/>
          <w:lang w:eastAsia="fr-CH"/>
        </w:rPr>
        <w:t xml:space="preserve">incorporated into </w:t>
      </w:r>
      <w:r w:rsidRPr="00EB55C1">
        <w:rPr>
          <w:rFonts w:ascii="Times New Roman" w:eastAsia="Times New Roman" w:hAnsi="Times New Roman" w:cs="Times New Roman"/>
          <w:sz w:val="24"/>
          <w:szCs w:val="24"/>
          <w:lang w:eastAsia="fr-CH"/>
        </w:rPr>
        <w:t xml:space="preserve">domestic and criminal law. </w:t>
      </w:r>
      <w:r w:rsidR="00480C92" w:rsidRPr="00EB55C1">
        <w:rPr>
          <w:rFonts w:ascii="Times New Roman" w:eastAsia="Times New Roman" w:hAnsi="Times New Roman" w:cs="Times New Roman"/>
          <w:color w:val="000000"/>
          <w:sz w:val="24"/>
          <w:szCs w:val="24"/>
          <w:lang w:eastAsia="fr-CH"/>
        </w:rPr>
        <w:t xml:space="preserve">To some extent, domestic (and international) criminal law </w:t>
      </w:r>
      <w:r w:rsidR="00C368AC" w:rsidRPr="00C368AC">
        <w:rPr>
          <w:rFonts w:ascii="Times New Roman" w:eastAsia="Times New Roman" w:hAnsi="Times New Roman" w:cs="Times New Roman"/>
          <w:color w:val="000000"/>
          <w:sz w:val="24"/>
          <w:szCs w:val="24"/>
          <w:lang w:eastAsia="fr-CH"/>
        </w:rPr>
        <w:t>provides an enforcement capability for</w:t>
      </w:r>
      <w:r w:rsidR="00C368AC" w:rsidRPr="00C368AC" w:rsidDel="00C368AC">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IHL. By keeping people individually accountable for their serious violations of the rules applicable in time of conflict, criminal law </w:t>
      </w:r>
      <w:r w:rsidR="00C532C9" w:rsidRPr="00EB55C1">
        <w:rPr>
          <w:rFonts w:ascii="Times New Roman" w:eastAsia="Times New Roman" w:hAnsi="Times New Roman" w:cs="Times New Roman"/>
          <w:color w:val="000000"/>
          <w:sz w:val="24"/>
          <w:szCs w:val="24"/>
          <w:lang w:eastAsia="fr-CH"/>
        </w:rPr>
        <w:t xml:space="preserve">arguably </w:t>
      </w:r>
      <w:r w:rsidR="00480C92" w:rsidRPr="00EB55C1">
        <w:rPr>
          <w:rFonts w:ascii="Times New Roman" w:eastAsia="Times New Roman" w:hAnsi="Times New Roman" w:cs="Times New Roman"/>
          <w:color w:val="000000"/>
          <w:sz w:val="24"/>
          <w:szCs w:val="24"/>
          <w:lang w:eastAsia="fr-CH"/>
        </w:rPr>
        <w:t xml:space="preserve">plays an important role in ensuring compliance. </w:t>
      </w:r>
    </w:p>
    <w:p w14:paraId="5A8BDF9D" w14:textId="15D56CBF" w:rsidR="00480C92" w:rsidRPr="00EB55C1" w:rsidRDefault="00F2434D" w:rsidP="00EE6F41">
      <w:pPr>
        <w:pStyle w:val="CommentText"/>
        <w:spacing w:line="480" w:lineRule="auto"/>
        <w:ind w:firstLine="708"/>
        <w:rPr>
          <w:rFonts w:ascii="Times New Roman" w:eastAsia="Times New Roman" w:hAnsi="Times New Roman" w:cs="Times New Roman"/>
          <w:sz w:val="24"/>
          <w:szCs w:val="24"/>
          <w:lang w:eastAsia="fr-CH"/>
        </w:rPr>
      </w:pPr>
      <w:r>
        <w:rPr>
          <w:rFonts w:ascii="Times New Roman" w:eastAsia="Times New Roman" w:hAnsi="Times New Roman" w:cs="Times New Roman"/>
          <w:color w:val="000000"/>
          <w:sz w:val="24"/>
          <w:szCs w:val="24"/>
          <w:lang w:eastAsia="fr-CH"/>
        </w:rPr>
        <w:t xml:space="preserve">Similarly to the Geneva Conventions, the 1954 Hague Convention follows this path, by imposing on state parties a broadly-framed obligation to take all necessary steps to prosecute and punish </w:t>
      </w:r>
      <w:r w:rsidR="003037C6" w:rsidRPr="00EE6F41">
        <w:rPr>
          <w:rFonts w:ascii="Times New Roman" w:eastAsia="Times New Roman" w:hAnsi="Times New Roman" w:cs="Times New Roman"/>
          <w:color w:val="000000"/>
          <w:sz w:val="24"/>
          <w:szCs w:val="24"/>
          <w:lang w:eastAsia="fr-CH"/>
        </w:rPr>
        <w:t>perpetrators of crimes under the 1954 Hague Convention</w:t>
      </w:r>
      <w:r>
        <w:rPr>
          <w:rFonts w:ascii="Times New Roman" w:eastAsia="Times New Roman" w:hAnsi="Times New Roman" w:cs="Times New Roman"/>
          <w:color w:val="000000"/>
          <w:sz w:val="24"/>
          <w:szCs w:val="24"/>
          <w:lang w:eastAsia="fr-CH"/>
        </w:rPr>
        <w:t xml:space="preserve"> </w:t>
      </w:r>
      <w:r w:rsidR="00A81025">
        <w:rPr>
          <w:rFonts w:ascii="Times New Roman" w:eastAsia="Times New Roman" w:hAnsi="Times New Roman" w:cs="Times New Roman"/>
          <w:color w:val="000000"/>
          <w:sz w:val="24"/>
          <w:szCs w:val="24"/>
          <w:lang w:eastAsia="fr-CH"/>
        </w:rPr>
        <w:t xml:space="preserve">within </w:t>
      </w:r>
      <w:r>
        <w:rPr>
          <w:rFonts w:ascii="Times New Roman" w:eastAsia="Times New Roman" w:hAnsi="Times New Roman" w:cs="Times New Roman"/>
          <w:color w:val="000000"/>
          <w:sz w:val="24"/>
          <w:szCs w:val="24"/>
          <w:lang w:eastAsia="fr-CH"/>
        </w:rPr>
        <w:t xml:space="preserve">their own domestic </w:t>
      </w:r>
      <w:r w:rsidR="00A81025">
        <w:rPr>
          <w:rFonts w:ascii="Times New Roman" w:eastAsia="Times New Roman" w:hAnsi="Times New Roman" w:cs="Times New Roman"/>
          <w:color w:val="000000"/>
          <w:sz w:val="24"/>
          <w:szCs w:val="24"/>
          <w:lang w:eastAsia="fr-CH"/>
        </w:rPr>
        <w:t xml:space="preserve">legal </w:t>
      </w:r>
      <w:r>
        <w:rPr>
          <w:rFonts w:ascii="Times New Roman" w:eastAsia="Times New Roman" w:hAnsi="Times New Roman" w:cs="Times New Roman"/>
          <w:color w:val="000000"/>
          <w:sz w:val="24"/>
          <w:szCs w:val="24"/>
          <w:lang w:eastAsia="fr-CH"/>
        </w:rPr>
        <w:t>system (including by amending their national laws and regulations to that effect, if necessary).</w:t>
      </w:r>
      <w:r w:rsidR="00480C92" w:rsidRPr="00EB55C1">
        <w:rPr>
          <w:rFonts w:ascii="Times New Roman" w:eastAsia="Times New Roman" w:hAnsi="Times New Roman" w:cs="Times New Roman"/>
          <w:color w:val="000000"/>
          <w:sz w:val="24"/>
          <w:szCs w:val="24"/>
          <w:lang w:eastAsia="fr-CH"/>
        </w:rPr>
        <w:t xml:space="preserve"> It was expected that by leaving </w:t>
      </w:r>
      <w:r w:rsidR="00DE199B" w:rsidRPr="00360D35">
        <w:rPr>
          <w:rFonts w:ascii="Times New Roman" w:eastAsia="Times New Roman" w:hAnsi="Times New Roman" w:cs="Times New Roman"/>
          <w:color w:val="000000"/>
          <w:sz w:val="24"/>
          <w:szCs w:val="24"/>
          <w:lang w:eastAsia="fr-CH"/>
        </w:rPr>
        <w:t xml:space="preserve">significant </w:t>
      </w:r>
      <w:r w:rsidR="00480C92" w:rsidRPr="00EB55C1">
        <w:rPr>
          <w:rFonts w:ascii="Times New Roman" w:eastAsia="Times New Roman" w:hAnsi="Times New Roman" w:cs="Times New Roman"/>
          <w:color w:val="000000"/>
          <w:sz w:val="24"/>
          <w:szCs w:val="24"/>
          <w:lang w:eastAsia="fr-CH"/>
        </w:rPr>
        <w:t xml:space="preserve">discretionary power to </w:t>
      </w:r>
      <w:r w:rsidR="00646807" w:rsidRPr="00360D35">
        <w:rPr>
          <w:rFonts w:ascii="Times New Roman" w:eastAsia="Times New Roman" w:hAnsi="Times New Roman" w:cs="Times New Roman"/>
          <w:color w:val="000000"/>
          <w:sz w:val="24"/>
          <w:szCs w:val="24"/>
          <w:lang w:eastAsia="fr-CH"/>
        </w:rPr>
        <w:t>state</w:t>
      </w:r>
      <w:r w:rsidR="00361446">
        <w:rPr>
          <w:rFonts w:ascii="Times New Roman" w:eastAsia="Times New Roman" w:hAnsi="Times New Roman" w:cs="Times New Roman"/>
          <w:color w:val="000000"/>
          <w:sz w:val="24"/>
          <w:szCs w:val="24"/>
          <w:lang w:eastAsia="fr-CH"/>
        </w:rPr>
        <w:t>s</w:t>
      </w:r>
      <w:r w:rsidR="00646807" w:rsidRPr="00360D35">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as to how to process </w:t>
      </w:r>
      <w:r w:rsidR="00DE199B" w:rsidRPr="00360D35">
        <w:rPr>
          <w:rFonts w:ascii="Times New Roman" w:eastAsia="Times New Roman" w:hAnsi="Times New Roman" w:cs="Times New Roman"/>
          <w:color w:val="000000"/>
          <w:sz w:val="24"/>
          <w:szCs w:val="24"/>
          <w:lang w:eastAsia="fr-CH"/>
        </w:rPr>
        <w:t xml:space="preserve">the </w:t>
      </w:r>
      <w:r w:rsidR="00480C92" w:rsidRPr="00EB55C1">
        <w:rPr>
          <w:rFonts w:ascii="Times New Roman" w:eastAsia="Times New Roman" w:hAnsi="Times New Roman" w:cs="Times New Roman"/>
          <w:color w:val="000000"/>
          <w:sz w:val="24"/>
          <w:szCs w:val="24"/>
          <w:lang w:eastAsia="fr-CH"/>
        </w:rPr>
        <w:lastRenderedPageBreak/>
        <w:t>provision within their domestic legal framework</w:t>
      </w:r>
      <w:r w:rsidR="006C55B8">
        <w:rPr>
          <w:rFonts w:ascii="Times New Roman" w:eastAsia="Times New Roman" w:hAnsi="Times New Roman" w:cs="Times New Roman"/>
          <w:color w:val="000000"/>
          <w:sz w:val="24"/>
          <w:szCs w:val="24"/>
          <w:lang w:eastAsia="fr-CH"/>
        </w:rPr>
        <w:t>s</w:t>
      </w:r>
      <w:r w:rsidR="00480C92" w:rsidRPr="00EB55C1">
        <w:rPr>
          <w:rFonts w:ascii="Times New Roman" w:eastAsia="Times New Roman" w:hAnsi="Times New Roman" w:cs="Times New Roman"/>
          <w:color w:val="000000"/>
          <w:sz w:val="24"/>
          <w:szCs w:val="24"/>
          <w:lang w:eastAsia="fr-CH"/>
        </w:rPr>
        <w:t xml:space="preserve">, its implementation would naturally be made easier. However, </w:t>
      </w:r>
      <w:r w:rsidR="00360D35">
        <w:rPr>
          <w:rFonts w:ascii="Times New Roman" w:eastAsia="Times New Roman" w:hAnsi="Times New Roman" w:cs="Times New Roman"/>
          <w:color w:val="000000"/>
          <w:sz w:val="24"/>
          <w:szCs w:val="24"/>
          <w:lang w:eastAsia="fr-CH"/>
        </w:rPr>
        <w:t>in contrast</w:t>
      </w:r>
      <w:r w:rsidR="00360D35" w:rsidRPr="00EB55C1">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to the Geneva Conventions, the lack of a clear list of </w:t>
      </w:r>
      <w:r w:rsidR="00360D35">
        <w:rPr>
          <w:rFonts w:ascii="Times New Roman" w:eastAsia="Times New Roman" w:hAnsi="Times New Roman" w:cs="Times New Roman"/>
          <w:color w:val="000000"/>
          <w:sz w:val="24"/>
          <w:szCs w:val="24"/>
          <w:lang w:eastAsia="fr-CH"/>
        </w:rPr>
        <w:t>offense</w:t>
      </w:r>
      <w:r w:rsidR="00480C92" w:rsidRPr="00EB55C1">
        <w:rPr>
          <w:rFonts w:ascii="Times New Roman" w:eastAsia="Times New Roman" w:hAnsi="Times New Roman" w:cs="Times New Roman"/>
          <w:color w:val="000000"/>
          <w:sz w:val="24"/>
          <w:szCs w:val="24"/>
          <w:lang w:eastAsia="fr-CH"/>
        </w:rPr>
        <w:t>s requir</w:t>
      </w:r>
      <w:r w:rsidR="006C55B8">
        <w:rPr>
          <w:rFonts w:ascii="Times New Roman" w:eastAsia="Times New Roman" w:hAnsi="Times New Roman" w:cs="Times New Roman"/>
          <w:color w:val="000000"/>
          <w:sz w:val="24"/>
          <w:szCs w:val="24"/>
          <w:lang w:eastAsia="fr-CH"/>
        </w:rPr>
        <w:t>ing</w:t>
      </w:r>
      <w:r w:rsidR="00480C92" w:rsidRPr="00EB55C1">
        <w:rPr>
          <w:rFonts w:ascii="Times New Roman" w:eastAsia="Times New Roman" w:hAnsi="Times New Roman" w:cs="Times New Roman"/>
          <w:color w:val="000000"/>
          <w:sz w:val="24"/>
          <w:szCs w:val="24"/>
          <w:lang w:eastAsia="fr-CH"/>
        </w:rPr>
        <w:t xml:space="preserve"> a criminal sanction</w:t>
      </w:r>
      <w:r w:rsidR="006F4CD5">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and the absence of explicit jurisdictional grounds on which alleged perpetrators could be either tried or extradited</w:t>
      </w:r>
      <w:r w:rsidR="006F4CD5">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proved to be major impediment</w:t>
      </w:r>
      <w:r w:rsidR="00E748DA">
        <w:rPr>
          <w:rFonts w:ascii="Times New Roman" w:eastAsia="Times New Roman" w:hAnsi="Times New Roman" w:cs="Times New Roman"/>
          <w:color w:val="000000"/>
          <w:sz w:val="24"/>
          <w:szCs w:val="24"/>
          <w:lang w:eastAsia="fr-CH"/>
        </w:rPr>
        <w:t>s</w:t>
      </w:r>
      <w:r w:rsidR="00480C92" w:rsidRPr="00EB55C1">
        <w:rPr>
          <w:rFonts w:ascii="Times New Roman" w:eastAsia="Times New Roman" w:hAnsi="Times New Roman" w:cs="Times New Roman"/>
          <w:color w:val="000000"/>
          <w:sz w:val="24"/>
          <w:szCs w:val="24"/>
          <w:lang w:eastAsia="fr-CH"/>
        </w:rPr>
        <w:t xml:space="preserve"> to the effectiveness of th</w:t>
      </w:r>
      <w:r w:rsidR="006C55B8">
        <w:rPr>
          <w:rFonts w:ascii="Times New Roman" w:eastAsia="Times New Roman" w:hAnsi="Times New Roman" w:cs="Times New Roman"/>
          <w:color w:val="000000"/>
          <w:sz w:val="24"/>
          <w:szCs w:val="24"/>
          <w:lang w:eastAsia="fr-CH"/>
        </w:rPr>
        <w:t>e</w:t>
      </w:r>
      <w:r w:rsidR="00480C92" w:rsidRPr="00EB55C1">
        <w:rPr>
          <w:rFonts w:ascii="Times New Roman" w:eastAsia="Times New Roman" w:hAnsi="Times New Roman" w:cs="Times New Roman"/>
          <w:color w:val="000000"/>
          <w:sz w:val="24"/>
          <w:szCs w:val="24"/>
          <w:lang w:eastAsia="fr-CH"/>
        </w:rPr>
        <w:t xml:space="preserve"> provision</w:t>
      </w:r>
      <w:r w:rsidR="00E763D2" w:rsidRPr="00EB55C1">
        <w:rPr>
          <w:rFonts w:ascii="Times New Roman" w:eastAsia="Times New Roman" w:hAnsi="Times New Roman" w:cs="Times New Roman"/>
          <w:color w:val="000000"/>
          <w:sz w:val="24"/>
          <w:szCs w:val="24"/>
          <w:lang w:eastAsia="fr-CH"/>
        </w:rPr>
        <w:t>, which was later corrected by the Second Protocol, significantly advanc</w:t>
      </w:r>
      <w:r w:rsidR="006C55B8">
        <w:rPr>
          <w:rFonts w:ascii="Times New Roman" w:eastAsia="Times New Roman" w:hAnsi="Times New Roman" w:cs="Times New Roman"/>
          <w:color w:val="000000"/>
          <w:sz w:val="24"/>
          <w:szCs w:val="24"/>
          <w:lang w:eastAsia="fr-CH"/>
        </w:rPr>
        <w:t>ing</w:t>
      </w:r>
      <w:r w:rsidR="00E763D2" w:rsidRPr="00EB55C1">
        <w:rPr>
          <w:rFonts w:ascii="Times New Roman" w:eastAsia="Times New Roman" w:hAnsi="Times New Roman" w:cs="Times New Roman"/>
          <w:color w:val="000000"/>
          <w:sz w:val="24"/>
          <w:szCs w:val="24"/>
          <w:lang w:eastAsia="fr-CH"/>
        </w:rPr>
        <w:t xml:space="preserve"> </w:t>
      </w:r>
      <w:r w:rsidR="003174BC">
        <w:rPr>
          <w:rFonts w:ascii="Times New Roman" w:eastAsia="Times New Roman" w:hAnsi="Times New Roman" w:cs="Times New Roman"/>
          <w:color w:val="000000"/>
          <w:sz w:val="24"/>
          <w:szCs w:val="24"/>
          <w:lang w:eastAsia="fr-CH"/>
        </w:rPr>
        <w:t xml:space="preserve">the </w:t>
      </w:r>
      <w:r w:rsidR="00E763D2" w:rsidRPr="00EB55C1">
        <w:rPr>
          <w:rFonts w:ascii="Times New Roman" w:eastAsia="Times New Roman" w:hAnsi="Times New Roman" w:cs="Times New Roman"/>
          <w:color w:val="000000"/>
          <w:sz w:val="24"/>
          <w:szCs w:val="24"/>
          <w:lang w:eastAsia="fr-CH"/>
        </w:rPr>
        <w:t xml:space="preserve">international </w:t>
      </w:r>
      <w:r w:rsidR="003174BC">
        <w:rPr>
          <w:rFonts w:ascii="Times New Roman" w:eastAsia="Times New Roman" w:hAnsi="Times New Roman" w:cs="Times New Roman"/>
          <w:color w:val="000000"/>
          <w:sz w:val="24"/>
          <w:szCs w:val="24"/>
          <w:lang w:eastAsia="fr-CH"/>
        </w:rPr>
        <w:t xml:space="preserve">legal </w:t>
      </w:r>
      <w:r w:rsidR="00E763D2" w:rsidRPr="00EB55C1">
        <w:rPr>
          <w:rFonts w:ascii="Times New Roman" w:eastAsia="Times New Roman" w:hAnsi="Times New Roman" w:cs="Times New Roman"/>
          <w:color w:val="000000"/>
          <w:sz w:val="24"/>
          <w:szCs w:val="24"/>
          <w:lang w:eastAsia="fr-CH"/>
        </w:rPr>
        <w:t>protection of cultural property.</w:t>
      </w:r>
    </w:p>
    <w:p w14:paraId="13F029C2" w14:textId="5FF952E2" w:rsidR="005A4C07" w:rsidRPr="00EB55C1" w:rsidRDefault="00030CE8" w:rsidP="006952D9">
      <w:pPr>
        <w:spacing w:before="120" w:after="120" w:line="480" w:lineRule="auto"/>
        <w:ind w:firstLine="708"/>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color w:val="000000"/>
          <w:sz w:val="24"/>
          <w:szCs w:val="24"/>
          <w:lang w:eastAsia="fr-CH"/>
        </w:rPr>
        <w:t>T</w:t>
      </w:r>
      <w:r w:rsidR="00480C92" w:rsidRPr="00EB55C1">
        <w:rPr>
          <w:rFonts w:ascii="Times New Roman" w:eastAsia="Times New Roman" w:hAnsi="Times New Roman" w:cs="Times New Roman"/>
          <w:color w:val="000000"/>
          <w:sz w:val="24"/>
          <w:szCs w:val="24"/>
          <w:lang w:eastAsia="fr-CH"/>
        </w:rPr>
        <w:t xml:space="preserve">he importance of the Second Protocol in relation to the system of protection put in place by the 1954 Hague Convention cannot be overemphasized. Despite the undeniable </w:t>
      </w:r>
      <w:r w:rsidR="00E763D2" w:rsidRPr="00EB55C1">
        <w:rPr>
          <w:rFonts w:ascii="Times New Roman" w:eastAsia="Times New Roman" w:hAnsi="Times New Roman" w:cs="Times New Roman"/>
          <w:color w:val="000000"/>
          <w:sz w:val="24"/>
          <w:szCs w:val="24"/>
          <w:lang w:eastAsia="fr-CH"/>
        </w:rPr>
        <w:t>progress</w:t>
      </w:r>
      <w:r w:rsidR="00480C92" w:rsidRPr="00EB55C1">
        <w:rPr>
          <w:rFonts w:ascii="Times New Roman" w:eastAsia="Times New Roman" w:hAnsi="Times New Roman" w:cs="Times New Roman"/>
          <w:color w:val="000000"/>
          <w:sz w:val="24"/>
          <w:szCs w:val="24"/>
          <w:lang w:eastAsia="fr-CH"/>
        </w:rPr>
        <w:t xml:space="preserve"> that the </w:t>
      </w:r>
      <w:r w:rsidR="00A04BF0">
        <w:rPr>
          <w:rFonts w:ascii="Times New Roman" w:eastAsia="Times New Roman" w:hAnsi="Times New Roman" w:cs="Times New Roman"/>
          <w:color w:val="000000"/>
          <w:sz w:val="24"/>
          <w:szCs w:val="24"/>
          <w:lang w:eastAsia="fr-CH"/>
        </w:rPr>
        <w:t>c</w:t>
      </w:r>
      <w:r w:rsidR="00480C92" w:rsidRPr="00EB55C1">
        <w:rPr>
          <w:rFonts w:ascii="Times New Roman" w:eastAsia="Times New Roman" w:hAnsi="Times New Roman" w:cs="Times New Roman"/>
          <w:color w:val="000000"/>
          <w:sz w:val="24"/>
          <w:szCs w:val="24"/>
          <w:lang w:eastAsia="fr-CH"/>
        </w:rPr>
        <w:t xml:space="preserve">onvention represented at the time, its effectiveness was called into question in the 1990s in the aftermath of the </w:t>
      </w:r>
      <w:r w:rsidR="00597373">
        <w:rPr>
          <w:rFonts w:ascii="Times New Roman" w:eastAsia="Times New Roman" w:hAnsi="Times New Roman" w:cs="Times New Roman"/>
          <w:color w:val="000000"/>
          <w:sz w:val="24"/>
          <w:szCs w:val="24"/>
          <w:lang w:eastAsia="fr-CH"/>
        </w:rPr>
        <w:t xml:space="preserve">Persian </w:t>
      </w:r>
      <w:r w:rsidR="00480C92" w:rsidRPr="00EB55C1">
        <w:rPr>
          <w:rFonts w:ascii="Times New Roman" w:eastAsia="Times New Roman" w:hAnsi="Times New Roman" w:cs="Times New Roman"/>
          <w:color w:val="000000"/>
          <w:sz w:val="24"/>
          <w:szCs w:val="24"/>
          <w:lang w:eastAsia="fr-CH"/>
        </w:rPr>
        <w:t xml:space="preserve">Gulf and Balkan </w:t>
      </w:r>
      <w:r w:rsidR="00A57CA5">
        <w:rPr>
          <w:rFonts w:ascii="Times New Roman" w:eastAsia="Times New Roman" w:hAnsi="Times New Roman" w:cs="Times New Roman"/>
          <w:color w:val="000000"/>
          <w:sz w:val="24"/>
          <w:szCs w:val="24"/>
          <w:lang w:eastAsia="fr-CH"/>
        </w:rPr>
        <w:t>W</w:t>
      </w:r>
      <w:r w:rsidR="00480C92" w:rsidRPr="00EB55C1">
        <w:rPr>
          <w:rFonts w:ascii="Times New Roman" w:eastAsia="Times New Roman" w:hAnsi="Times New Roman" w:cs="Times New Roman"/>
          <w:color w:val="000000"/>
          <w:sz w:val="24"/>
          <w:szCs w:val="24"/>
          <w:lang w:eastAsia="fr-CH"/>
        </w:rPr>
        <w:t>ars, which highlighted a number of weaknesses and gaps prevent</w:t>
      </w:r>
      <w:r w:rsidR="00ED4BBE">
        <w:rPr>
          <w:rFonts w:ascii="Times New Roman" w:eastAsia="Times New Roman" w:hAnsi="Times New Roman" w:cs="Times New Roman"/>
          <w:color w:val="000000"/>
          <w:sz w:val="24"/>
          <w:szCs w:val="24"/>
          <w:lang w:eastAsia="fr-CH"/>
        </w:rPr>
        <w:t>ing</w:t>
      </w:r>
      <w:r w:rsidR="00480C92" w:rsidRPr="00EB55C1">
        <w:rPr>
          <w:rFonts w:ascii="Times New Roman" w:eastAsia="Times New Roman" w:hAnsi="Times New Roman" w:cs="Times New Roman"/>
          <w:color w:val="000000"/>
          <w:sz w:val="24"/>
          <w:szCs w:val="24"/>
          <w:lang w:eastAsia="fr-CH"/>
        </w:rPr>
        <w:t xml:space="preserve"> it from fully delivering on its intended ambitions.</w:t>
      </w:r>
      <w:r w:rsidR="004F72EA" w:rsidRPr="00EB55C1">
        <w:rPr>
          <w:rFonts w:ascii="Times New Roman" w:eastAsia="Times New Roman" w:hAnsi="Times New Roman" w:cs="Times New Roman"/>
          <w:color w:val="000000"/>
          <w:sz w:val="24"/>
          <w:szCs w:val="24"/>
          <w:lang w:eastAsia="fr-CH"/>
        </w:rPr>
        <w:t xml:space="preserve"> The</w:t>
      </w:r>
      <w:r w:rsidR="001A304E" w:rsidRPr="00EB55C1">
        <w:rPr>
          <w:rFonts w:ascii="Times New Roman" w:eastAsia="Times New Roman" w:hAnsi="Times New Roman" w:cs="Times New Roman"/>
          <w:color w:val="000000"/>
          <w:sz w:val="24"/>
          <w:szCs w:val="24"/>
          <w:lang w:eastAsia="fr-CH"/>
        </w:rPr>
        <w:t xml:space="preserve"> </w:t>
      </w:r>
      <w:r w:rsidR="00C84383">
        <w:rPr>
          <w:rFonts w:ascii="Times New Roman" w:eastAsia="Times New Roman" w:hAnsi="Times New Roman" w:cs="Times New Roman"/>
          <w:color w:val="000000"/>
          <w:sz w:val="24"/>
          <w:szCs w:val="24"/>
          <w:lang w:eastAsia="fr-CH"/>
        </w:rPr>
        <w:t>p</w:t>
      </w:r>
      <w:r w:rsidR="00480C92" w:rsidRPr="00EB55C1">
        <w:rPr>
          <w:rFonts w:ascii="Times New Roman" w:eastAsia="Times New Roman" w:hAnsi="Times New Roman" w:cs="Times New Roman"/>
          <w:color w:val="000000"/>
          <w:sz w:val="24"/>
          <w:szCs w:val="24"/>
          <w:lang w:eastAsia="fr-CH"/>
        </w:rPr>
        <w:t xml:space="preserve">rotocol </w:t>
      </w:r>
      <w:r w:rsidR="001A304E" w:rsidRPr="00EB55C1">
        <w:rPr>
          <w:rFonts w:ascii="Times New Roman" w:eastAsia="Times New Roman" w:hAnsi="Times New Roman" w:cs="Times New Roman"/>
          <w:color w:val="000000"/>
          <w:sz w:val="24"/>
          <w:szCs w:val="24"/>
          <w:lang w:eastAsia="fr-CH"/>
        </w:rPr>
        <w:t xml:space="preserve">was a timely instrument that </w:t>
      </w:r>
      <w:r w:rsidR="00480C92" w:rsidRPr="00EB55C1">
        <w:rPr>
          <w:rFonts w:ascii="Times New Roman" w:eastAsia="Times New Roman" w:hAnsi="Times New Roman" w:cs="Times New Roman"/>
          <w:color w:val="000000"/>
          <w:sz w:val="24"/>
          <w:szCs w:val="24"/>
          <w:lang w:eastAsia="fr-CH"/>
        </w:rPr>
        <w:t>critically improve</w:t>
      </w:r>
      <w:r w:rsidRPr="00EB55C1">
        <w:rPr>
          <w:rFonts w:ascii="Times New Roman" w:eastAsia="Times New Roman" w:hAnsi="Times New Roman" w:cs="Times New Roman"/>
          <w:color w:val="000000"/>
          <w:sz w:val="24"/>
          <w:szCs w:val="24"/>
          <w:lang w:eastAsia="fr-CH"/>
        </w:rPr>
        <w:t>d</w:t>
      </w:r>
      <w:r w:rsidR="00480C92" w:rsidRPr="00EB55C1">
        <w:rPr>
          <w:rFonts w:ascii="Times New Roman" w:eastAsia="Times New Roman" w:hAnsi="Times New Roman" w:cs="Times New Roman"/>
          <w:color w:val="000000"/>
          <w:sz w:val="24"/>
          <w:szCs w:val="24"/>
          <w:lang w:eastAsia="fr-CH"/>
        </w:rPr>
        <w:t xml:space="preserve"> the system put in place by the </w:t>
      </w:r>
      <w:r w:rsidR="00824CD7">
        <w:rPr>
          <w:rFonts w:ascii="Times New Roman" w:eastAsia="Times New Roman" w:hAnsi="Times New Roman" w:cs="Times New Roman"/>
          <w:color w:val="000000"/>
          <w:sz w:val="24"/>
          <w:szCs w:val="24"/>
          <w:lang w:eastAsia="fr-CH"/>
        </w:rPr>
        <w:t>c</w:t>
      </w:r>
      <w:r w:rsidR="00480C92" w:rsidRPr="00EB55C1">
        <w:rPr>
          <w:rFonts w:ascii="Times New Roman" w:eastAsia="Times New Roman" w:hAnsi="Times New Roman" w:cs="Times New Roman"/>
          <w:color w:val="000000"/>
          <w:sz w:val="24"/>
          <w:szCs w:val="24"/>
          <w:lang w:eastAsia="fr-CH"/>
        </w:rPr>
        <w:t>onvention</w:t>
      </w:r>
      <w:r w:rsidR="00C84383">
        <w:rPr>
          <w:rFonts w:ascii="Times New Roman" w:eastAsia="Times New Roman" w:hAnsi="Times New Roman" w:cs="Times New Roman"/>
          <w:color w:val="000000"/>
          <w:sz w:val="24"/>
          <w:szCs w:val="24"/>
          <w:lang w:eastAsia="fr-CH"/>
        </w:rPr>
        <w:t xml:space="preserve">, including by </w:t>
      </w:r>
      <w:r w:rsidR="00480C92" w:rsidRPr="00EB55C1">
        <w:rPr>
          <w:rFonts w:ascii="Times New Roman" w:eastAsia="Times New Roman" w:hAnsi="Times New Roman" w:cs="Times New Roman"/>
          <w:color w:val="000000"/>
          <w:sz w:val="24"/>
          <w:szCs w:val="24"/>
          <w:lang w:eastAsia="fr-CH"/>
        </w:rPr>
        <w:t>clarif</w:t>
      </w:r>
      <w:r w:rsidR="00C84383">
        <w:rPr>
          <w:rFonts w:ascii="Times New Roman" w:eastAsia="Times New Roman" w:hAnsi="Times New Roman" w:cs="Times New Roman"/>
          <w:color w:val="000000"/>
          <w:sz w:val="24"/>
          <w:szCs w:val="24"/>
          <w:lang w:eastAsia="fr-CH"/>
        </w:rPr>
        <w:t>ying</w:t>
      </w:r>
      <w:r w:rsidR="00480C92" w:rsidRPr="00EB55C1">
        <w:rPr>
          <w:rFonts w:ascii="Times New Roman" w:eastAsia="Times New Roman" w:hAnsi="Times New Roman" w:cs="Times New Roman"/>
          <w:color w:val="000000"/>
          <w:sz w:val="24"/>
          <w:szCs w:val="24"/>
          <w:lang w:eastAsia="fr-CH"/>
        </w:rPr>
        <w:t xml:space="preserve"> the somewhat vague and subjective notion of military necessity</w:t>
      </w:r>
      <w:r w:rsidR="00CD7151">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which can now only be invoked </w:t>
      </w:r>
      <w:r w:rsidR="006F4CD5">
        <w:rPr>
          <w:rFonts w:ascii="Times New Roman" w:eastAsia="Times New Roman" w:hAnsi="Times New Roman" w:cs="Times New Roman"/>
          <w:color w:val="000000"/>
          <w:sz w:val="24"/>
          <w:szCs w:val="24"/>
          <w:lang w:eastAsia="fr-CH"/>
        </w:rPr>
        <w:t>if</w:t>
      </w:r>
      <w:r w:rsidR="00480C92" w:rsidRPr="00EB55C1">
        <w:rPr>
          <w:rFonts w:ascii="Times New Roman" w:eastAsia="Times New Roman" w:hAnsi="Times New Roman" w:cs="Times New Roman"/>
          <w:color w:val="000000"/>
          <w:sz w:val="24"/>
          <w:szCs w:val="24"/>
          <w:lang w:eastAsia="fr-CH"/>
        </w:rPr>
        <w:t xml:space="preserve"> </w:t>
      </w:r>
      <w:r w:rsidR="00F472E4">
        <w:rPr>
          <w:rFonts w:ascii="Times New Roman" w:eastAsia="Times New Roman" w:hAnsi="Times New Roman" w:cs="Times New Roman"/>
          <w:color w:val="000000"/>
          <w:sz w:val="24"/>
          <w:szCs w:val="24"/>
          <w:lang w:eastAsia="fr-CH"/>
        </w:rPr>
        <w:t>a relevant</w:t>
      </w:r>
      <w:r w:rsidR="00480C92" w:rsidRPr="00EB55C1">
        <w:rPr>
          <w:rFonts w:ascii="Times New Roman" w:eastAsia="Times New Roman" w:hAnsi="Times New Roman" w:cs="Times New Roman"/>
          <w:color w:val="000000"/>
          <w:sz w:val="24"/>
          <w:szCs w:val="24"/>
          <w:lang w:eastAsia="fr-CH"/>
        </w:rPr>
        <w:t xml:space="preserve"> property technically corresponds to the legal meaning of a </w:t>
      </w:r>
      <w:r w:rsidR="007B4B10" w:rsidRPr="00EB55C1">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military objective</w:t>
      </w:r>
      <w:r w:rsidR="006F4CD5">
        <w:rPr>
          <w:rFonts w:ascii="Times New Roman" w:eastAsia="Times New Roman" w:hAnsi="Times New Roman" w:cs="Times New Roman"/>
          <w:color w:val="000000"/>
          <w:sz w:val="24"/>
          <w:szCs w:val="24"/>
          <w:lang w:eastAsia="fr-CH"/>
        </w:rPr>
        <w:t>,</w:t>
      </w:r>
      <w:r w:rsidR="007B4B10" w:rsidRPr="00EB55C1">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against which attacks are permitted under certain conditions as a matter of principle under IHL. The concept of military objective ha</w:t>
      </w:r>
      <w:r w:rsidR="00C532C9" w:rsidRPr="00EB55C1">
        <w:rPr>
          <w:rFonts w:ascii="Times New Roman" w:eastAsia="Times New Roman" w:hAnsi="Times New Roman" w:cs="Times New Roman"/>
          <w:color w:val="000000"/>
          <w:sz w:val="24"/>
          <w:szCs w:val="24"/>
          <w:lang w:eastAsia="fr-CH"/>
        </w:rPr>
        <w:t xml:space="preserve">s been explicitly defined in </w:t>
      </w:r>
      <w:r w:rsidR="00E95522" w:rsidRPr="00360D35">
        <w:rPr>
          <w:rFonts w:ascii="Times New Roman" w:eastAsia="Times New Roman" w:hAnsi="Times New Roman" w:cs="Times New Roman"/>
          <w:color w:val="000000"/>
          <w:sz w:val="24"/>
          <w:szCs w:val="24"/>
          <w:lang w:eastAsia="fr-CH"/>
        </w:rPr>
        <w:t>AP I</w:t>
      </w:r>
      <w:r w:rsidR="00480C92" w:rsidRPr="00EB55C1">
        <w:rPr>
          <w:rFonts w:ascii="Times New Roman" w:eastAsia="Times New Roman" w:hAnsi="Times New Roman" w:cs="Times New Roman"/>
          <w:color w:val="000000"/>
          <w:sz w:val="24"/>
          <w:szCs w:val="24"/>
          <w:lang w:eastAsia="fr-CH"/>
        </w:rPr>
        <w:t xml:space="preserve"> and is now</w:t>
      </w:r>
      <w:r w:rsidR="00C532C9" w:rsidRPr="00EB55C1">
        <w:rPr>
          <w:rFonts w:ascii="Times New Roman" w:eastAsia="Times New Roman" w:hAnsi="Times New Roman" w:cs="Times New Roman"/>
          <w:color w:val="000000"/>
          <w:sz w:val="24"/>
          <w:szCs w:val="24"/>
          <w:lang w:eastAsia="fr-CH"/>
        </w:rPr>
        <w:t xml:space="preserve"> </w:t>
      </w:r>
      <w:proofErr w:type="spellStart"/>
      <w:r w:rsidR="00103762">
        <w:rPr>
          <w:rFonts w:ascii="Times New Roman" w:eastAsia="Times New Roman" w:hAnsi="Times New Roman" w:cs="Times New Roman"/>
          <w:color w:val="000000"/>
          <w:sz w:val="24"/>
          <w:szCs w:val="24"/>
          <w:lang w:eastAsia="fr-CH"/>
        </w:rPr>
        <w:t>i</w:t>
      </w:r>
      <w:r w:rsidR="00C532C9" w:rsidRPr="00EB55C1">
        <w:rPr>
          <w:rFonts w:ascii="Times New Roman" w:eastAsia="Times New Roman" w:hAnsi="Times New Roman" w:cs="Times New Roman"/>
          <w:color w:val="000000"/>
          <w:sz w:val="24"/>
          <w:szCs w:val="24"/>
          <w:lang w:eastAsia="fr-CH"/>
        </w:rPr>
        <w:t>ndisputedly</w:t>
      </w:r>
      <w:proofErr w:type="spellEnd"/>
      <w:r w:rsidR="00480C92" w:rsidRPr="00EB55C1">
        <w:rPr>
          <w:rFonts w:ascii="Times New Roman" w:eastAsia="Times New Roman" w:hAnsi="Times New Roman" w:cs="Times New Roman"/>
          <w:color w:val="000000"/>
          <w:sz w:val="24"/>
          <w:szCs w:val="24"/>
          <w:lang w:eastAsia="fr-CH"/>
        </w:rPr>
        <w:t xml:space="preserve"> part of customary IH</w:t>
      </w:r>
      <w:r w:rsidR="004D7AFA">
        <w:rPr>
          <w:rFonts w:ascii="Times New Roman" w:eastAsia="Times New Roman" w:hAnsi="Times New Roman" w:cs="Times New Roman"/>
          <w:color w:val="000000"/>
          <w:sz w:val="24"/>
          <w:szCs w:val="24"/>
          <w:lang w:eastAsia="fr-CH"/>
        </w:rPr>
        <w:t>L</w:t>
      </w:r>
      <w:r w:rsidR="00103762">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correspond</w:t>
      </w:r>
      <w:r w:rsidR="00103762">
        <w:rPr>
          <w:rFonts w:ascii="Times New Roman" w:eastAsia="Times New Roman" w:hAnsi="Times New Roman" w:cs="Times New Roman"/>
          <w:color w:val="000000"/>
          <w:sz w:val="24"/>
          <w:szCs w:val="24"/>
          <w:lang w:eastAsia="fr-CH"/>
        </w:rPr>
        <w:t>ing</w:t>
      </w:r>
      <w:r w:rsidR="00480C92" w:rsidRPr="00EB55C1">
        <w:rPr>
          <w:rFonts w:ascii="Times New Roman" w:eastAsia="Times New Roman" w:hAnsi="Times New Roman" w:cs="Times New Roman"/>
          <w:color w:val="000000"/>
          <w:sz w:val="24"/>
          <w:szCs w:val="24"/>
          <w:lang w:eastAsia="fr-CH"/>
        </w:rPr>
        <w:t xml:space="preserve"> to “objects which by their nature, location, purpose or use make an effective contribution to military action and whose total or partial destruction, capture or neutralization, in the circumstances ruling at the time, offers a definite military advantage</w:t>
      </w:r>
      <w:r w:rsidR="007060EC" w:rsidRPr="00360D35">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Unless </w:t>
      </w:r>
      <w:r w:rsidR="00DE68DF">
        <w:rPr>
          <w:rFonts w:ascii="Times New Roman" w:eastAsia="Times New Roman" w:hAnsi="Times New Roman" w:cs="Times New Roman"/>
          <w:color w:val="000000"/>
          <w:sz w:val="24"/>
          <w:szCs w:val="24"/>
          <w:lang w:eastAsia="fr-CH"/>
        </w:rPr>
        <w:t xml:space="preserve">a </w:t>
      </w:r>
      <w:r w:rsidR="00480C92" w:rsidRPr="00EB55C1">
        <w:rPr>
          <w:rFonts w:ascii="Times New Roman" w:eastAsia="Times New Roman" w:hAnsi="Times New Roman" w:cs="Times New Roman"/>
          <w:color w:val="000000"/>
          <w:sz w:val="24"/>
          <w:szCs w:val="24"/>
          <w:lang w:eastAsia="fr-CH"/>
        </w:rPr>
        <w:t xml:space="preserve">cultural property meets </w:t>
      </w:r>
      <w:r w:rsidR="00DE68DF">
        <w:rPr>
          <w:rFonts w:ascii="Times New Roman" w:eastAsia="Times New Roman" w:hAnsi="Times New Roman" w:cs="Times New Roman"/>
          <w:color w:val="000000"/>
          <w:sz w:val="24"/>
          <w:szCs w:val="24"/>
          <w:lang w:eastAsia="fr-CH"/>
        </w:rPr>
        <w:t>both</w:t>
      </w:r>
      <w:r w:rsidR="00480C92" w:rsidRPr="00EB55C1">
        <w:rPr>
          <w:rFonts w:ascii="Times New Roman" w:eastAsia="Times New Roman" w:hAnsi="Times New Roman" w:cs="Times New Roman"/>
          <w:color w:val="000000"/>
          <w:sz w:val="24"/>
          <w:szCs w:val="24"/>
          <w:lang w:eastAsia="fr-CH"/>
        </w:rPr>
        <w:t xml:space="preserve"> criteria, and providing that all other applicable conditions are met, it can neither be used in support of military action </w:t>
      </w:r>
      <w:r w:rsidR="00DE68DF">
        <w:rPr>
          <w:rFonts w:ascii="Times New Roman" w:eastAsia="Times New Roman" w:hAnsi="Times New Roman" w:cs="Times New Roman"/>
          <w:color w:val="000000"/>
          <w:sz w:val="24"/>
          <w:szCs w:val="24"/>
          <w:lang w:eastAsia="fr-CH"/>
        </w:rPr>
        <w:t>n</w:t>
      </w:r>
      <w:r w:rsidR="00480C92" w:rsidRPr="00EB55C1">
        <w:rPr>
          <w:rFonts w:ascii="Times New Roman" w:eastAsia="Times New Roman" w:hAnsi="Times New Roman" w:cs="Times New Roman"/>
          <w:color w:val="000000"/>
          <w:sz w:val="24"/>
          <w:szCs w:val="24"/>
          <w:lang w:eastAsia="fr-CH"/>
        </w:rPr>
        <w:t>or be the object of an attack.</w:t>
      </w:r>
      <w:r w:rsidR="00BD5926" w:rsidRPr="00EB55C1">
        <w:rPr>
          <w:rStyle w:val="EndnoteReference"/>
          <w:rFonts w:ascii="Times New Roman" w:eastAsia="Times New Roman" w:hAnsi="Times New Roman" w:cs="Times New Roman"/>
          <w:color w:val="000000"/>
          <w:sz w:val="24"/>
          <w:szCs w:val="24"/>
          <w:lang w:eastAsia="fr-CH"/>
        </w:rPr>
        <w:endnoteReference w:id="11"/>
      </w:r>
    </w:p>
    <w:p w14:paraId="163640A6" w14:textId="5A126F1D" w:rsidR="00480C92" w:rsidRPr="00EB55C1" w:rsidRDefault="00653F09" w:rsidP="006952D9">
      <w:pPr>
        <w:spacing w:before="120" w:after="120" w:line="480" w:lineRule="auto"/>
        <w:ind w:firstLine="708"/>
        <w:textAlignment w:val="baseline"/>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color w:val="000000"/>
          <w:sz w:val="24"/>
          <w:szCs w:val="24"/>
          <w:lang w:eastAsia="fr-CH"/>
        </w:rPr>
        <w:lastRenderedPageBreak/>
        <w:t>The Second Protocol</w:t>
      </w:r>
      <w:r w:rsidR="00480C92" w:rsidRPr="00EB55C1">
        <w:rPr>
          <w:rFonts w:ascii="Times New Roman" w:eastAsia="Times New Roman" w:hAnsi="Times New Roman" w:cs="Times New Roman"/>
          <w:color w:val="000000"/>
          <w:sz w:val="24"/>
          <w:szCs w:val="24"/>
          <w:lang w:eastAsia="fr-CH"/>
        </w:rPr>
        <w:t xml:space="preserve"> </w:t>
      </w:r>
      <w:r w:rsidR="00726AF0">
        <w:rPr>
          <w:rFonts w:ascii="Times New Roman" w:eastAsia="Times New Roman" w:hAnsi="Times New Roman" w:cs="Times New Roman"/>
          <w:color w:val="000000"/>
          <w:sz w:val="24"/>
          <w:szCs w:val="24"/>
          <w:lang w:eastAsia="fr-CH"/>
        </w:rPr>
        <w:t xml:space="preserve">also </w:t>
      </w:r>
      <w:r w:rsidR="00480C92" w:rsidRPr="00EB55C1">
        <w:rPr>
          <w:rFonts w:ascii="Times New Roman" w:eastAsia="Times New Roman" w:hAnsi="Times New Roman" w:cs="Times New Roman"/>
          <w:color w:val="000000"/>
          <w:sz w:val="24"/>
          <w:szCs w:val="24"/>
          <w:lang w:eastAsia="fr-CH"/>
        </w:rPr>
        <w:t xml:space="preserve">drastically improved the system of criminal repression of </w:t>
      </w:r>
      <w:r w:rsidR="00360D35">
        <w:rPr>
          <w:rFonts w:ascii="Times New Roman" w:eastAsia="Times New Roman" w:hAnsi="Times New Roman" w:cs="Times New Roman"/>
          <w:color w:val="000000"/>
          <w:sz w:val="24"/>
          <w:szCs w:val="24"/>
          <w:lang w:eastAsia="fr-CH"/>
        </w:rPr>
        <w:t>offense</w:t>
      </w:r>
      <w:r w:rsidR="00480C92" w:rsidRPr="00EB55C1">
        <w:rPr>
          <w:rFonts w:ascii="Times New Roman" w:eastAsia="Times New Roman" w:hAnsi="Times New Roman" w:cs="Times New Roman"/>
          <w:color w:val="000000"/>
          <w:sz w:val="24"/>
          <w:szCs w:val="24"/>
          <w:lang w:eastAsia="fr-CH"/>
        </w:rPr>
        <w:t xml:space="preserve">s committed against protected cultural property in three ways. First, </w:t>
      </w:r>
      <w:r w:rsidR="005A67CC">
        <w:rPr>
          <w:rFonts w:ascii="Times New Roman" w:eastAsia="Times New Roman" w:hAnsi="Times New Roman" w:cs="Times New Roman"/>
          <w:color w:val="000000"/>
          <w:sz w:val="24"/>
          <w:szCs w:val="24"/>
          <w:lang w:eastAsia="fr-CH"/>
        </w:rPr>
        <w:t>it</w:t>
      </w:r>
      <w:r w:rsidR="00480C92" w:rsidRPr="00EB55C1">
        <w:rPr>
          <w:rFonts w:ascii="Times New Roman" w:eastAsia="Times New Roman" w:hAnsi="Times New Roman" w:cs="Times New Roman"/>
          <w:color w:val="000000"/>
          <w:sz w:val="24"/>
          <w:szCs w:val="24"/>
          <w:lang w:eastAsia="fr-CH"/>
        </w:rPr>
        <w:t xml:space="preserve"> defines the five acts that, when committed in breach of the </w:t>
      </w:r>
      <w:r w:rsidR="0086360F">
        <w:rPr>
          <w:rFonts w:ascii="Times New Roman" w:eastAsia="Times New Roman" w:hAnsi="Times New Roman" w:cs="Times New Roman"/>
          <w:color w:val="000000"/>
          <w:sz w:val="24"/>
          <w:szCs w:val="24"/>
          <w:lang w:eastAsia="fr-CH"/>
        </w:rPr>
        <w:t>c</w:t>
      </w:r>
      <w:r w:rsidR="00480C92" w:rsidRPr="00EB55C1">
        <w:rPr>
          <w:rFonts w:ascii="Times New Roman" w:eastAsia="Times New Roman" w:hAnsi="Times New Roman" w:cs="Times New Roman"/>
          <w:color w:val="000000"/>
          <w:sz w:val="24"/>
          <w:szCs w:val="24"/>
          <w:lang w:eastAsia="fr-CH"/>
        </w:rPr>
        <w:t xml:space="preserve">onvention or </w:t>
      </w:r>
      <w:r w:rsidR="0086360F">
        <w:rPr>
          <w:rFonts w:ascii="Times New Roman" w:eastAsia="Times New Roman" w:hAnsi="Times New Roman" w:cs="Times New Roman"/>
          <w:color w:val="000000"/>
          <w:sz w:val="24"/>
          <w:szCs w:val="24"/>
          <w:lang w:eastAsia="fr-CH"/>
        </w:rPr>
        <w:t>p</w:t>
      </w:r>
      <w:r w:rsidR="00480C92" w:rsidRPr="00EB55C1">
        <w:rPr>
          <w:rFonts w:ascii="Times New Roman" w:eastAsia="Times New Roman" w:hAnsi="Times New Roman" w:cs="Times New Roman"/>
          <w:color w:val="000000"/>
          <w:sz w:val="24"/>
          <w:szCs w:val="24"/>
          <w:lang w:eastAsia="fr-CH"/>
        </w:rPr>
        <w:t xml:space="preserve">rotocol, must be established as criminal </w:t>
      </w:r>
      <w:r w:rsidR="00360D35">
        <w:rPr>
          <w:rFonts w:ascii="Times New Roman" w:eastAsia="Times New Roman" w:hAnsi="Times New Roman" w:cs="Times New Roman"/>
          <w:color w:val="000000"/>
          <w:sz w:val="24"/>
          <w:szCs w:val="24"/>
          <w:lang w:eastAsia="fr-CH"/>
        </w:rPr>
        <w:t>offense</w:t>
      </w:r>
      <w:r w:rsidR="00480C92" w:rsidRPr="00EB55C1">
        <w:rPr>
          <w:rFonts w:ascii="Times New Roman" w:eastAsia="Times New Roman" w:hAnsi="Times New Roman" w:cs="Times New Roman"/>
          <w:color w:val="000000"/>
          <w:sz w:val="24"/>
          <w:szCs w:val="24"/>
          <w:lang w:eastAsia="fr-CH"/>
        </w:rPr>
        <w:t xml:space="preserve">s under the domestic law of each </w:t>
      </w:r>
      <w:r w:rsidR="00646807" w:rsidRPr="00360D35">
        <w:rPr>
          <w:rFonts w:ascii="Times New Roman" w:eastAsia="Times New Roman" w:hAnsi="Times New Roman" w:cs="Times New Roman"/>
          <w:color w:val="000000"/>
          <w:sz w:val="24"/>
          <w:szCs w:val="24"/>
          <w:lang w:eastAsia="fr-CH"/>
        </w:rPr>
        <w:t>state</w:t>
      </w:r>
      <w:r w:rsidR="00480C92" w:rsidRPr="00EB55C1">
        <w:rPr>
          <w:rFonts w:ascii="Times New Roman" w:eastAsia="Times New Roman" w:hAnsi="Times New Roman" w:cs="Times New Roman"/>
          <w:color w:val="000000"/>
          <w:sz w:val="24"/>
          <w:szCs w:val="24"/>
          <w:lang w:eastAsia="fr-CH"/>
        </w:rPr>
        <w:t xml:space="preserve"> part</w:t>
      </w:r>
      <w:r w:rsidR="00431C31">
        <w:rPr>
          <w:rFonts w:ascii="Times New Roman" w:eastAsia="Times New Roman" w:hAnsi="Times New Roman" w:cs="Times New Roman"/>
          <w:color w:val="000000"/>
          <w:sz w:val="24"/>
          <w:szCs w:val="24"/>
          <w:lang w:eastAsia="fr-CH"/>
        </w:rPr>
        <w:t>y</w:t>
      </w:r>
      <w:r w:rsidR="007B4B10" w:rsidRPr="00EB55C1">
        <w:rPr>
          <w:rFonts w:ascii="Times New Roman" w:eastAsia="Times New Roman" w:hAnsi="Times New Roman" w:cs="Times New Roman"/>
          <w:color w:val="000000"/>
          <w:sz w:val="24"/>
          <w:szCs w:val="24"/>
          <w:lang w:eastAsia="fr-CH"/>
        </w:rPr>
        <w:t>.</w:t>
      </w:r>
      <w:r w:rsidR="00BD5926" w:rsidRPr="00EB55C1">
        <w:rPr>
          <w:rStyle w:val="EndnoteReference"/>
          <w:rFonts w:ascii="Times New Roman" w:eastAsia="Times New Roman" w:hAnsi="Times New Roman" w:cs="Times New Roman"/>
          <w:color w:val="000000"/>
          <w:sz w:val="24"/>
          <w:szCs w:val="24"/>
          <w:lang w:eastAsia="fr-CH"/>
        </w:rPr>
        <w:endnoteReference w:id="12"/>
      </w:r>
      <w:r w:rsidR="00480C92" w:rsidRPr="00EB55C1">
        <w:rPr>
          <w:rFonts w:ascii="Times New Roman" w:eastAsia="Times New Roman" w:hAnsi="Times New Roman" w:cs="Times New Roman"/>
          <w:color w:val="000000"/>
          <w:sz w:val="24"/>
          <w:szCs w:val="24"/>
          <w:lang w:eastAsia="fr-CH"/>
        </w:rPr>
        <w:t xml:space="preserve"> Second, it establishes the jurisdictional basis that </w:t>
      </w:r>
      <w:r w:rsidR="00646807" w:rsidRPr="00360D35">
        <w:rPr>
          <w:rFonts w:ascii="Times New Roman" w:eastAsia="Times New Roman" w:hAnsi="Times New Roman" w:cs="Times New Roman"/>
          <w:color w:val="000000"/>
          <w:sz w:val="24"/>
          <w:szCs w:val="24"/>
          <w:lang w:eastAsia="fr-CH"/>
        </w:rPr>
        <w:t>state</w:t>
      </w:r>
      <w:r w:rsidR="00480C92"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p</w:t>
      </w:r>
      <w:r w:rsidR="00480C92" w:rsidRPr="00EB55C1">
        <w:rPr>
          <w:rFonts w:ascii="Times New Roman" w:eastAsia="Times New Roman" w:hAnsi="Times New Roman" w:cs="Times New Roman"/>
          <w:color w:val="000000"/>
          <w:sz w:val="24"/>
          <w:szCs w:val="24"/>
          <w:lang w:eastAsia="fr-CH"/>
        </w:rPr>
        <w:t xml:space="preserve">arties must apply for the prosecution of these </w:t>
      </w:r>
      <w:r w:rsidR="00360D35">
        <w:rPr>
          <w:rFonts w:ascii="Times New Roman" w:eastAsia="Times New Roman" w:hAnsi="Times New Roman" w:cs="Times New Roman"/>
          <w:color w:val="000000"/>
          <w:sz w:val="24"/>
          <w:szCs w:val="24"/>
          <w:lang w:eastAsia="fr-CH"/>
        </w:rPr>
        <w:t>offense</w:t>
      </w:r>
      <w:r w:rsidR="00480C92" w:rsidRPr="00EB55C1">
        <w:rPr>
          <w:rFonts w:ascii="Times New Roman" w:eastAsia="Times New Roman" w:hAnsi="Times New Roman" w:cs="Times New Roman"/>
          <w:color w:val="000000"/>
          <w:sz w:val="24"/>
          <w:szCs w:val="24"/>
          <w:lang w:eastAsia="fr-CH"/>
        </w:rPr>
        <w:t>s and impose</w:t>
      </w:r>
      <w:r w:rsidR="00275AA6" w:rsidRPr="00EB55C1">
        <w:rPr>
          <w:rFonts w:ascii="Times New Roman" w:eastAsia="Times New Roman" w:hAnsi="Times New Roman" w:cs="Times New Roman"/>
          <w:color w:val="000000"/>
          <w:sz w:val="24"/>
          <w:szCs w:val="24"/>
          <w:lang w:eastAsia="fr-CH"/>
        </w:rPr>
        <w:t>s</w:t>
      </w:r>
      <w:r w:rsidR="00480C92" w:rsidRPr="00EB55C1">
        <w:rPr>
          <w:rFonts w:ascii="Times New Roman" w:eastAsia="Times New Roman" w:hAnsi="Times New Roman" w:cs="Times New Roman"/>
          <w:color w:val="000000"/>
          <w:sz w:val="24"/>
          <w:szCs w:val="24"/>
          <w:lang w:eastAsia="fr-CH"/>
        </w:rPr>
        <w:t xml:space="preserve"> a duty to establish universal jurisdiction</w:t>
      </w:r>
      <w:r w:rsidR="00265734">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i.e.</w:t>
      </w:r>
      <w:r w:rsidR="00265734">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jurisdiction over alleged perpetrators irrespective of their nationality and place of the </w:t>
      </w:r>
      <w:r w:rsidR="00360D35">
        <w:rPr>
          <w:rFonts w:ascii="Times New Roman" w:eastAsia="Times New Roman" w:hAnsi="Times New Roman" w:cs="Times New Roman"/>
          <w:color w:val="000000"/>
          <w:sz w:val="24"/>
          <w:szCs w:val="24"/>
          <w:lang w:eastAsia="fr-CH"/>
        </w:rPr>
        <w:t>offense</w:t>
      </w:r>
      <w:r w:rsidR="00265734">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over </w:t>
      </w:r>
      <w:r w:rsidR="00265734">
        <w:rPr>
          <w:rFonts w:ascii="Times New Roman" w:eastAsia="Times New Roman" w:hAnsi="Times New Roman" w:cs="Times New Roman"/>
          <w:color w:val="000000"/>
          <w:sz w:val="24"/>
          <w:szCs w:val="24"/>
          <w:lang w:eastAsia="fr-CH"/>
        </w:rPr>
        <w:t xml:space="preserve">the </w:t>
      </w:r>
      <w:r w:rsidR="00480C92" w:rsidRPr="00EB55C1">
        <w:rPr>
          <w:rFonts w:ascii="Times New Roman" w:eastAsia="Times New Roman" w:hAnsi="Times New Roman" w:cs="Times New Roman"/>
          <w:color w:val="000000"/>
          <w:sz w:val="24"/>
          <w:szCs w:val="24"/>
          <w:lang w:eastAsia="fr-CH"/>
        </w:rPr>
        <w:t xml:space="preserve">three of the five </w:t>
      </w:r>
      <w:r w:rsidR="00360D35">
        <w:rPr>
          <w:rFonts w:ascii="Times New Roman" w:eastAsia="Times New Roman" w:hAnsi="Times New Roman" w:cs="Times New Roman"/>
          <w:color w:val="000000"/>
          <w:sz w:val="24"/>
          <w:szCs w:val="24"/>
          <w:lang w:eastAsia="fr-CH"/>
        </w:rPr>
        <w:t>offense</w:t>
      </w:r>
      <w:r w:rsidR="00480C92" w:rsidRPr="00EB55C1">
        <w:rPr>
          <w:rFonts w:ascii="Times New Roman" w:eastAsia="Times New Roman" w:hAnsi="Times New Roman" w:cs="Times New Roman"/>
          <w:color w:val="000000"/>
          <w:sz w:val="24"/>
          <w:szCs w:val="24"/>
          <w:lang w:eastAsia="fr-CH"/>
        </w:rPr>
        <w:t>s seen as the most serious.</w:t>
      </w:r>
      <w:r w:rsidR="00BD5926" w:rsidRPr="00EB55C1">
        <w:rPr>
          <w:rStyle w:val="EndnoteReference"/>
          <w:rFonts w:ascii="Times New Roman" w:eastAsia="Times New Roman" w:hAnsi="Times New Roman" w:cs="Times New Roman"/>
          <w:color w:val="000000"/>
          <w:sz w:val="24"/>
          <w:szCs w:val="24"/>
          <w:lang w:eastAsia="fr-CH"/>
        </w:rPr>
        <w:endnoteReference w:id="13"/>
      </w:r>
      <w:r w:rsidR="00BD5926" w:rsidRPr="00EB55C1">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Third, by equally applying the advanced sanctions regime to IAC and NIAC, </w:t>
      </w:r>
      <w:r w:rsidR="00567CC3">
        <w:rPr>
          <w:rFonts w:ascii="Times New Roman" w:eastAsia="Times New Roman" w:hAnsi="Times New Roman" w:cs="Times New Roman"/>
          <w:color w:val="000000"/>
          <w:sz w:val="24"/>
          <w:szCs w:val="24"/>
          <w:lang w:eastAsia="fr-CH"/>
        </w:rPr>
        <w:t>it</w:t>
      </w:r>
      <w:r w:rsidR="00480C92" w:rsidRPr="00EB55C1">
        <w:rPr>
          <w:rFonts w:ascii="Times New Roman" w:eastAsia="Times New Roman" w:hAnsi="Times New Roman" w:cs="Times New Roman"/>
          <w:color w:val="000000"/>
          <w:sz w:val="24"/>
          <w:szCs w:val="24"/>
          <w:lang w:eastAsia="fr-CH"/>
        </w:rPr>
        <w:t xml:space="preserve"> provides a powerful tool to ensure accountability for crimes committed against protected cultural property in NIAC, which goes </w:t>
      </w:r>
      <w:r w:rsidR="002538AC">
        <w:rPr>
          <w:rFonts w:ascii="Times New Roman" w:eastAsia="Times New Roman" w:hAnsi="Times New Roman" w:cs="Times New Roman"/>
          <w:color w:val="000000"/>
          <w:sz w:val="24"/>
          <w:szCs w:val="24"/>
          <w:lang w:eastAsia="fr-CH"/>
        </w:rPr>
        <w:t>considerably</w:t>
      </w:r>
      <w:r w:rsidR="002538AC" w:rsidRPr="00EB55C1">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 xml:space="preserve">beyond the prescriptions of other </w:t>
      </w:r>
      <w:r w:rsidR="002A00A1" w:rsidRPr="00843919">
        <w:rPr>
          <w:rFonts w:ascii="Times New Roman" w:eastAsia="Times New Roman" w:hAnsi="Times New Roman" w:cs="Times New Roman"/>
          <w:color w:val="000000"/>
          <w:sz w:val="24"/>
          <w:szCs w:val="24"/>
          <w:lang w:eastAsia="fr-CH"/>
        </w:rPr>
        <w:t xml:space="preserve">applicable </w:t>
      </w:r>
      <w:r w:rsidR="00480C92" w:rsidRPr="00EB55C1">
        <w:rPr>
          <w:rFonts w:ascii="Times New Roman" w:eastAsia="Times New Roman" w:hAnsi="Times New Roman" w:cs="Times New Roman"/>
          <w:color w:val="000000"/>
          <w:sz w:val="24"/>
          <w:szCs w:val="24"/>
          <w:lang w:eastAsia="fr-CH"/>
        </w:rPr>
        <w:t>international instruments</w:t>
      </w:r>
      <w:r w:rsidR="007B4B10" w:rsidRPr="00EB55C1">
        <w:rPr>
          <w:rFonts w:ascii="Times New Roman" w:eastAsia="Times New Roman" w:hAnsi="Times New Roman" w:cs="Times New Roman"/>
          <w:color w:val="000000"/>
          <w:sz w:val="24"/>
          <w:szCs w:val="24"/>
          <w:lang w:eastAsia="fr-CH"/>
        </w:rPr>
        <w:t>.</w:t>
      </w:r>
      <w:r w:rsidR="00BD5926" w:rsidRPr="00EB55C1">
        <w:rPr>
          <w:rStyle w:val="EndnoteReference"/>
          <w:rFonts w:ascii="Times New Roman" w:eastAsia="Times New Roman" w:hAnsi="Times New Roman" w:cs="Times New Roman"/>
          <w:color w:val="000000"/>
          <w:sz w:val="24"/>
          <w:szCs w:val="24"/>
          <w:lang w:eastAsia="fr-CH"/>
        </w:rPr>
        <w:endnoteReference w:id="14"/>
      </w:r>
    </w:p>
    <w:p w14:paraId="3A5ACC5D" w14:textId="455161F8" w:rsidR="00480C92" w:rsidRPr="00EB55C1" w:rsidRDefault="006E6DE7" w:rsidP="006952D9">
      <w:pPr>
        <w:spacing w:before="240" w:after="240" w:line="480" w:lineRule="auto"/>
        <w:ind w:firstLine="708"/>
        <w:rPr>
          <w:rFonts w:ascii="Times New Roman" w:eastAsia="Times New Roman" w:hAnsi="Times New Roman" w:cs="Times New Roman"/>
          <w:sz w:val="24"/>
          <w:szCs w:val="24"/>
          <w:lang w:eastAsia="fr-CH"/>
        </w:rPr>
      </w:pPr>
      <w:r w:rsidRPr="00EB55C1">
        <w:rPr>
          <w:rFonts w:ascii="Times New Roman" w:eastAsia="Times New Roman" w:hAnsi="Times New Roman" w:cs="Times New Roman"/>
          <w:color w:val="000000"/>
          <w:sz w:val="24"/>
          <w:szCs w:val="24"/>
          <w:lang w:eastAsia="fr-CH"/>
        </w:rPr>
        <w:t xml:space="preserve">The Second Protocol also </w:t>
      </w:r>
      <w:r w:rsidR="007E23B3" w:rsidRPr="00EB55C1">
        <w:rPr>
          <w:rFonts w:ascii="Times New Roman" w:eastAsia="Times New Roman" w:hAnsi="Times New Roman" w:cs="Times New Roman"/>
          <w:color w:val="000000"/>
          <w:sz w:val="24"/>
          <w:szCs w:val="24"/>
          <w:lang w:eastAsia="fr-CH"/>
        </w:rPr>
        <w:t xml:space="preserve">replaced the system of </w:t>
      </w:r>
      <w:r w:rsidR="00140132" w:rsidRPr="00EB55C1">
        <w:rPr>
          <w:rFonts w:ascii="Times New Roman" w:eastAsia="Times New Roman" w:hAnsi="Times New Roman" w:cs="Times New Roman"/>
          <w:color w:val="000000"/>
          <w:sz w:val="24"/>
          <w:szCs w:val="24"/>
          <w:lang w:eastAsia="fr-CH"/>
        </w:rPr>
        <w:t>s</w:t>
      </w:r>
      <w:r w:rsidR="007E23B3" w:rsidRPr="00EB55C1">
        <w:rPr>
          <w:rFonts w:ascii="Times New Roman" w:eastAsia="Times New Roman" w:hAnsi="Times New Roman" w:cs="Times New Roman"/>
          <w:color w:val="000000"/>
          <w:sz w:val="24"/>
          <w:szCs w:val="24"/>
          <w:lang w:eastAsia="fr-CH"/>
        </w:rPr>
        <w:t xml:space="preserve">pecial protection, which never really picked up, with a new and improved system of </w:t>
      </w:r>
      <w:r w:rsidR="009A7AB0">
        <w:rPr>
          <w:rFonts w:ascii="Times New Roman" w:eastAsia="Times New Roman" w:hAnsi="Times New Roman" w:cs="Times New Roman"/>
          <w:color w:val="000000"/>
          <w:sz w:val="24"/>
          <w:szCs w:val="24"/>
          <w:lang w:eastAsia="fr-CH"/>
        </w:rPr>
        <w:t>“</w:t>
      </w:r>
      <w:r w:rsidR="007E23B3" w:rsidRPr="00EB55C1">
        <w:rPr>
          <w:rFonts w:ascii="Times New Roman" w:eastAsia="Times New Roman" w:hAnsi="Times New Roman" w:cs="Times New Roman"/>
          <w:color w:val="000000"/>
          <w:sz w:val="24"/>
          <w:szCs w:val="24"/>
          <w:lang w:eastAsia="fr-CH"/>
        </w:rPr>
        <w:t>enhanced protection</w:t>
      </w:r>
      <w:r w:rsidR="008F3556" w:rsidRPr="00360D35">
        <w:rPr>
          <w:rFonts w:ascii="Times New Roman" w:eastAsia="Times New Roman" w:hAnsi="Times New Roman" w:cs="Times New Roman"/>
          <w:color w:val="000000"/>
          <w:sz w:val="24"/>
          <w:szCs w:val="24"/>
          <w:lang w:eastAsia="fr-CH"/>
        </w:rPr>
        <w:t>,”</w:t>
      </w:r>
      <w:r w:rsidR="001D558A" w:rsidRPr="00EB55C1">
        <w:rPr>
          <w:rFonts w:ascii="Times New Roman" w:eastAsia="Times New Roman" w:hAnsi="Times New Roman" w:cs="Times New Roman"/>
          <w:color w:val="000000"/>
          <w:sz w:val="24"/>
          <w:szCs w:val="24"/>
          <w:lang w:eastAsia="fr-CH"/>
        </w:rPr>
        <w:t xml:space="preserve"> </w:t>
      </w:r>
      <w:r w:rsidR="00045986">
        <w:rPr>
          <w:rFonts w:ascii="Times New Roman" w:eastAsia="Times New Roman" w:hAnsi="Times New Roman" w:cs="Times New Roman"/>
          <w:color w:val="000000"/>
          <w:sz w:val="24"/>
          <w:szCs w:val="24"/>
          <w:lang w:eastAsia="fr-CH"/>
        </w:rPr>
        <w:t xml:space="preserve">whose </w:t>
      </w:r>
      <w:r w:rsidR="001D558A" w:rsidRPr="00EB55C1">
        <w:rPr>
          <w:rFonts w:ascii="Times New Roman" w:eastAsia="Times New Roman" w:hAnsi="Times New Roman" w:cs="Times New Roman"/>
          <w:color w:val="000000"/>
          <w:sz w:val="24"/>
          <w:szCs w:val="24"/>
          <w:lang w:eastAsia="fr-CH"/>
        </w:rPr>
        <w:t xml:space="preserve">main purpose is to complement the prohibition </w:t>
      </w:r>
      <w:r w:rsidR="00045986">
        <w:rPr>
          <w:rFonts w:ascii="Times New Roman" w:eastAsia="Times New Roman" w:hAnsi="Times New Roman" w:cs="Times New Roman"/>
          <w:color w:val="000000"/>
          <w:sz w:val="24"/>
          <w:szCs w:val="24"/>
          <w:lang w:eastAsia="fr-CH"/>
        </w:rPr>
        <w:t>on</w:t>
      </w:r>
      <w:r w:rsidR="00045986" w:rsidRPr="00EB55C1">
        <w:rPr>
          <w:rFonts w:ascii="Times New Roman" w:eastAsia="Times New Roman" w:hAnsi="Times New Roman" w:cs="Times New Roman"/>
          <w:color w:val="000000"/>
          <w:sz w:val="24"/>
          <w:szCs w:val="24"/>
          <w:lang w:eastAsia="fr-CH"/>
        </w:rPr>
        <w:t xml:space="preserve"> </w:t>
      </w:r>
      <w:r w:rsidR="001D558A" w:rsidRPr="00EB55C1">
        <w:rPr>
          <w:rFonts w:ascii="Times New Roman" w:eastAsia="Times New Roman" w:hAnsi="Times New Roman" w:cs="Times New Roman"/>
          <w:color w:val="000000"/>
          <w:sz w:val="24"/>
          <w:szCs w:val="24"/>
          <w:lang w:eastAsia="fr-CH"/>
        </w:rPr>
        <w:t>direct attacks against protected cultural property with an absolute prohibition for the holder of such property to use it for military action and</w:t>
      </w:r>
      <w:r w:rsidR="00045986">
        <w:rPr>
          <w:rFonts w:ascii="Times New Roman" w:eastAsia="Times New Roman" w:hAnsi="Times New Roman" w:cs="Times New Roman"/>
          <w:color w:val="000000"/>
          <w:sz w:val="24"/>
          <w:szCs w:val="24"/>
          <w:lang w:eastAsia="fr-CH"/>
        </w:rPr>
        <w:t>,</w:t>
      </w:r>
      <w:r w:rsidR="001D558A" w:rsidRPr="00EB55C1">
        <w:rPr>
          <w:rFonts w:ascii="Times New Roman" w:eastAsia="Times New Roman" w:hAnsi="Times New Roman" w:cs="Times New Roman"/>
          <w:color w:val="000000"/>
          <w:sz w:val="24"/>
          <w:szCs w:val="24"/>
          <w:lang w:eastAsia="fr-CH"/>
        </w:rPr>
        <w:t xml:space="preserve"> consequently, to </w:t>
      </w:r>
      <w:r w:rsidR="00140132" w:rsidRPr="00EB55C1">
        <w:rPr>
          <w:rFonts w:ascii="Times New Roman" w:eastAsia="Times New Roman" w:hAnsi="Times New Roman" w:cs="Times New Roman"/>
          <w:color w:val="000000"/>
          <w:sz w:val="24"/>
          <w:szCs w:val="24"/>
          <w:lang w:eastAsia="fr-CH"/>
        </w:rPr>
        <w:t xml:space="preserve">put it at risk by </w:t>
      </w:r>
      <w:r w:rsidR="001D558A" w:rsidRPr="00EB55C1">
        <w:rPr>
          <w:rFonts w:ascii="Times New Roman" w:eastAsia="Times New Roman" w:hAnsi="Times New Roman" w:cs="Times New Roman"/>
          <w:color w:val="000000"/>
          <w:sz w:val="24"/>
          <w:szCs w:val="24"/>
          <w:lang w:eastAsia="fr-CH"/>
        </w:rPr>
        <w:t>turn</w:t>
      </w:r>
      <w:r w:rsidR="00140132" w:rsidRPr="00EB55C1">
        <w:rPr>
          <w:rFonts w:ascii="Times New Roman" w:eastAsia="Times New Roman" w:hAnsi="Times New Roman" w:cs="Times New Roman"/>
          <w:color w:val="000000"/>
          <w:sz w:val="24"/>
          <w:szCs w:val="24"/>
          <w:lang w:eastAsia="fr-CH"/>
        </w:rPr>
        <w:t>ing</w:t>
      </w:r>
      <w:r w:rsidR="001D558A" w:rsidRPr="00EB55C1">
        <w:rPr>
          <w:rFonts w:ascii="Times New Roman" w:eastAsia="Times New Roman" w:hAnsi="Times New Roman" w:cs="Times New Roman"/>
          <w:color w:val="000000"/>
          <w:sz w:val="24"/>
          <w:szCs w:val="24"/>
          <w:lang w:eastAsia="fr-CH"/>
        </w:rPr>
        <w:t xml:space="preserve"> it into a military objective. </w:t>
      </w:r>
      <w:r w:rsidR="00480C92" w:rsidRPr="00EB55C1">
        <w:rPr>
          <w:rFonts w:ascii="Times New Roman" w:eastAsia="Times New Roman" w:hAnsi="Times New Roman" w:cs="Times New Roman"/>
          <w:color w:val="000000"/>
          <w:sz w:val="24"/>
          <w:szCs w:val="24"/>
          <w:lang w:eastAsia="fr-CH"/>
        </w:rPr>
        <w:t xml:space="preserve">Finally, the </w:t>
      </w:r>
      <w:r w:rsidR="00982EDC">
        <w:rPr>
          <w:rFonts w:ascii="Times New Roman" w:eastAsia="Times New Roman" w:hAnsi="Times New Roman" w:cs="Times New Roman"/>
          <w:color w:val="000000"/>
          <w:sz w:val="24"/>
          <w:szCs w:val="24"/>
          <w:lang w:eastAsia="fr-CH"/>
        </w:rPr>
        <w:t>p</w:t>
      </w:r>
      <w:r w:rsidR="00480C92" w:rsidRPr="00EB55C1">
        <w:rPr>
          <w:rFonts w:ascii="Times New Roman" w:eastAsia="Times New Roman" w:hAnsi="Times New Roman" w:cs="Times New Roman"/>
          <w:color w:val="000000"/>
          <w:sz w:val="24"/>
          <w:szCs w:val="24"/>
          <w:lang w:eastAsia="fr-CH"/>
        </w:rPr>
        <w:t>rotocol establishe</w:t>
      </w:r>
      <w:r w:rsidR="00760324" w:rsidRPr="00EB55C1">
        <w:rPr>
          <w:rFonts w:ascii="Times New Roman" w:eastAsia="Times New Roman" w:hAnsi="Times New Roman" w:cs="Times New Roman"/>
          <w:color w:val="000000"/>
          <w:sz w:val="24"/>
          <w:szCs w:val="24"/>
          <w:lang w:eastAsia="fr-CH"/>
        </w:rPr>
        <w:t>d</w:t>
      </w:r>
      <w:r w:rsidR="00480C92" w:rsidRPr="00EB55C1">
        <w:rPr>
          <w:rFonts w:ascii="Times New Roman" w:eastAsia="Times New Roman" w:hAnsi="Times New Roman" w:cs="Times New Roman"/>
          <w:color w:val="000000"/>
          <w:sz w:val="24"/>
          <w:szCs w:val="24"/>
          <w:lang w:eastAsia="fr-CH"/>
        </w:rPr>
        <w:t xml:space="preserve"> an important new supervisory mechanism</w:t>
      </w:r>
      <w:r w:rsidR="008F69FE">
        <w:rPr>
          <w:rFonts w:ascii="Times New Roman" w:eastAsia="Times New Roman" w:hAnsi="Times New Roman" w:cs="Times New Roman"/>
          <w:color w:val="000000"/>
          <w:sz w:val="24"/>
          <w:szCs w:val="24"/>
          <w:lang w:eastAsia="fr-CH"/>
        </w:rPr>
        <w:t xml:space="preserve">, the </w:t>
      </w:r>
      <w:r w:rsidR="00480C92" w:rsidRPr="00EB55C1">
        <w:rPr>
          <w:rFonts w:ascii="Times New Roman" w:eastAsia="Times New Roman" w:hAnsi="Times New Roman" w:cs="Times New Roman"/>
          <w:color w:val="000000"/>
          <w:sz w:val="24"/>
          <w:szCs w:val="24"/>
          <w:lang w:eastAsia="fr-CH"/>
        </w:rPr>
        <w:t xml:space="preserve">Committee for the Protection of Cultural Property in the Event of Armed Conflict, </w:t>
      </w:r>
      <w:r w:rsidR="008F69FE">
        <w:rPr>
          <w:rFonts w:ascii="Times New Roman" w:eastAsia="Times New Roman" w:hAnsi="Times New Roman" w:cs="Times New Roman"/>
          <w:color w:val="000000"/>
          <w:sz w:val="24"/>
          <w:szCs w:val="24"/>
          <w:lang w:eastAsia="fr-CH"/>
        </w:rPr>
        <w:t xml:space="preserve">whose </w:t>
      </w:r>
      <w:r w:rsidR="00480C92" w:rsidRPr="00EB55C1">
        <w:rPr>
          <w:rFonts w:ascii="Times New Roman" w:eastAsia="Times New Roman" w:hAnsi="Times New Roman" w:cs="Times New Roman"/>
          <w:color w:val="000000"/>
          <w:sz w:val="24"/>
          <w:szCs w:val="24"/>
          <w:lang w:eastAsia="fr-CH"/>
        </w:rPr>
        <w:t xml:space="preserve">role </w:t>
      </w:r>
      <w:r w:rsidR="008F69FE">
        <w:rPr>
          <w:rFonts w:ascii="Times New Roman" w:eastAsia="Times New Roman" w:hAnsi="Times New Roman" w:cs="Times New Roman"/>
          <w:color w:val="000000"/>
          <w:sz w:val="24"/>
          <w:szCs w:val="24"/>
          <w:lang w:eastAsia="fr-CH"/>
        </w:rPr>
        <w:t>is</w:t>
      </w:r>
      <w:r w:rsidR="00480C92" w:rsidRPr="00EB55C1">
        <w:rPr>
          <w:rFonts w:ascii="Times New Roman" w:eastAsia="Times New Roman" w:hAnsi="Times New Roman" w:cs="Times New Roman"/>
          <w:color w:val="000000"/>
          <w:sz w:val="24"/>
          <w:szCs w:val="24"/>
          <w:lang w:eastAsia="fr-CH"/>
        </w:rPr>
        <w:t xml:space="preserve"> examined </w:t>
      </w:r>
      <w:r w:rsidR="00653F09" w:rsidRPr="00EB55C1">
        <w:rPr>
          <w:rFonts w:ascii="Times New Roman" w:eastAsia="Times New Roman" w:hAnsi="Times New Roman" w:cs="Times New Roman"/>
          <w:color w:val="000000"/>
          <w:sz w:val="24"/>
          <w:szCs w:val="24"/>
          <w:lang w:eastAsia="fr-CH"/>
        </w:rPr>
        <w:t>below</w:t>
      </w:r>
      <w:r w:rsidR="00480C92" w:rsidRPr="00EB55C1">
        <w:rPr>
          <w:rFonts w:ascii="Times New Roman" w:eastAsia="Times New Roman" w:hAnsi="Times New Roman" w:cs="Times New Roman"/>
          <w:color w:val="000000"/>
          <w:sz w:val="24"/>
          <w:szCs w:val="24"/>
          <w:lang w:eastAsia="fr-CH"/>
        </w:rPr>
        <w:t>.</w:t>
      </w:r>
    </w:p>
    <w:p w14:paraId="32FB6B36" w14:textId="77777777" w:rsidR="00970287" w:rsidRPr="00EB55C1" w:rsidRDefault="00970287" w:rsidP="00D007BC">
      <w:pPr>
        <w:spacing w:before="120" w:after="120" w:line="480" w:lineRule="auto"/>
        <w:rPr>
          <w:rFonts w:ascii="Times New Roman" w:eastAsia="Times New Roman" w:hAnsi="Times New Roman" w:cs="Times New Roman"/>
          <w:color w:val="000000"/>
          <w:sz w:val="24"/>
          <w:szCs w:val="24"/>
          <w:highlight w:val="yellow"/>
          <w:lang w:eastAsia="fr-CH"/>
        </w:rPr>
      </w:pPr>
    </w:p>
    <w:p w14:paraId="1D3DF043" w14:textId="4A7AD50C" w:rsidR="00435DC2" w:rsidRPr="00EB55C1" w:rsidRDefault="00AE1CE7" w:rsidP="00EE6F41">
      <w:pPr>
        <w:pStyle w:val="Heading2"/>
        <w:spacing w:line="480" w:lineRule="auto"/>
        <w:rPr>
          <w:lang w:eastAsia="fr-CH"/>
        </w:rPr>
      </w:pPr>
      <w:r w:rsidRPr="00EB55C1">
        <w:rPr>
          <w:lang w:eastAsia="fr-CH"/>
        </w:rPr>
        <w:t xml:space="preserve">Normative and </w:t>
      </w:r>
      <w:r w:rsidR="008F69FE">
        <w:rPr>
          <w:lang w:eastAsia="fr-CH"/>
        </w:rPr>
        <w:t>I</w:t>
      </w:r>
      <w:r w:rsidRPr="00EB55C1">
        <w:rPr>
          <w:lang w:eastAsia="fr-CH"/>
        </w:rPr>
        <w:t xml:space="preserve">nstitutional </w:t>
      </w:r>
      <w:r w:rsidR="008F69FE">
        <w:rPr>
          <w:lang w:eastAsia="fr-CH"/>
        </w:rPr>
        <w:t>M</w:t>
      </w:r>
      <w:r w:rsidRPr="00EB55C1">
        <w:rPr>
          <w:lang w:eastAsia="fr-CH"/>
        </w:rPr>
        <w:t>echanisms</w:t>
      </w:r>
    </w:p>
    <w:p w14:paraId="71A2BC8E" w14:textId="52CF5769" w:rsidR="001A0465" w:rsidRPr="00EB55C1" w:rsidRDefault="00E17610" w:rsidP="006952D9">
      <w:pPr>
        <w:spacing w:before="120" w:after="120" w:line="480" w:lineRule="auto"/>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color w:val="000000"/>
          <w:sz w:val="24"/>
          <w:szCs w:val="24"/>
          <w:lang w:eastAsia="fr-CH"/>
        </w:rPr>
        <w:t xml:space="preserve">From peacetime measures to wartime </w:t>
      </w:r>
      <w:r w:rsidR="00970287" w:rsidRPr="00EB55C1">
        <w:rPr>
          <w:rFonts w:ascii="Times New Roman" w:eastAsia="Times New Roman" w:hAnsi="Times New Roman" w:cs="Times New Roman"/>
          <w:color w:val="000000"/>
          <w:sz w:val="24"/>
          <w:szCs w:val="24"/>
          <w:lang w:eastAsia="fr-CH"/>
        </w:rPr>
        <w:t>obligations</w:t>
      </w:r>
      <w:r w:rsidRPr="00EB55C1">
        <w:rPr>
          <w:rFonts w:ascii="Times New Roman" w:eastAsia="Times New Roman" w:hAnsi="Times New Roman" w:cs="Times New Roman"/>
          <w:color w:val="000000"/>
          <w:sz w:val="24"/>
          <w:szCs w:val="24"/>
          <w:lang w:eastAsia="fr-CH"/>
        </w:rPr>
        <w:t>, in the context of international and non-international conflict, t</w:t>
      </w:r>
      <w:r w:rsidR="00480C92" w:rsidRPr="00EB55C1">
        <w:rPr>
          <w:rFonts w:ascii="Times New Roman" w:eastAsia="Times New Roman" w:hAnsi="Times New Roman" w:cs="Times New Roman"/>
          <w:color w:val="000000"/>
          <w:sz w:val="24"/>
          <w:szCs w:val="24"/>
          <w:lang w:eastAsia="fr-CH"/>
        </w:rPr>
        <w:t xml:space="preserve">he multiple layers of treaty and custom that apply to the protection of </w:t>
      </w:r>
      <w:r w:rsidR="00480C92" w:rsidRPr="00EB55C1">
        <w:rPr>
          <w:rFonts w:ascii="Times New Roman" w:eastAsia="Times New Roman" w:hAnsi="Times New Roman" w:cs="Times New Roman"/>
          <w:color w:val="000000"/>
          <w:sz w:val="24"/>
          <w:szCs w:val="24"/>
          <w:lang w:eastAsia="fr-CH"/>
        </w:rPr>
        <w:lastRenderedPageBreak/>
        <w:t>cultural property undeniably constitute</w:t>
      </w:r>
      <w:r w:rsidR="00F46FB0" w:rsidRPr="00EB55C1">
        <w:rPr>
          <w:rFonts w:ascii="Times New Roman" w:eastAsia="Times New Roman" w:hAnsi="Times New Roman" w:cs="Times New Roman"/>
          <w:color w:val="000000"/>
          <w:sz w:val="24"/>
          <w:szCs w:val="24"/>
          <w:lang w:eastAsia="fr-CH"/>
        </w:rPr>
        <w:t xml:space="preserve"> </w:t>
      </w:r>
      <w:r w:rsidR="00480C92" w:rsidRPr="00EB55C1">
        <w:rPr>
          <w:rFonts w:ascii="Times New Roman" w:eastAsia="Times New Roman" w:hAnsi="Times New Roman" w:cs="Times New Roman"/>
          <w:color w:val="000000"/>
          <w:sz w:val="24"/>
          <w:szCs w:val="24"/>
          <w:lang w:eastAsia="fr-CH"/>
        </w:rPr>
        <w:t>a comprehensive system of protection under IHL.</w:t>
      </w:r>
      <w:r w:rsidRPr="00EB55C1">
        <w:rPr>
          <w:rFonts w:ascii="Times New Roman" w:eastAsia="Times New Roman" w:hAnsi="Times New Roman" w:cs="Times New Roman"/>
          <w:color w:val="000000"/>
          <w:sz w:val="24"/>
          <w:szCs w:val="24"/>
          <w:lang w:eastAsia="fr-CH"/>
        </w:rPr>
        <w:t xml:space="preserve"> </w:t>
      </w:r>
      <w:r w:rsidR="00F518DF" w:rsidRPr="00EB55C1">
        <w:rPr>
          <w:rFonts w:ascii="Times New Roman" w:eastAsia="Times New Roman" w:hAnsi="Times New Roman" w:cs="Times New Roman"/>
          <w:color w:val="000000"/>
          <w:sz w:val="24"/>
          <w:szCs w:val="24"/>
          <w:lang w:eastAsia="fr-CH"/>
        </w:rPr>
        <w:t>But beyond that, many o</w:t>
      </w:r>
      <w:r w:rsidR="00480C92" w:rsidRPr="00EB55C1">
        <w:rPr>
          <w:rFonts w:ascii="Times New Roman" w:eastAsia="Times New Roman" w:hAnsi="Times New Roman" w:cs="Times New Roman"/>
          <w:color w:val="000000"/>
          <w:sz w:val="24"/>
          <w:szCs w:val="24"/>
          <w:lang w:eastAsia="fr-CH"/>
        </w:rPr>
        <w:t xml:space="preserve">ther </w:t>
      </w:r>
      <w:r w:rsidR="00F518DF" w:rsidRPr="00EB55C1">
        <w:rPr>
          <w:rFonts w:ascii="Times New Roman" w:eastAsia="Times New Roman" w:hAnsi="Times New Roman" w:cs="Times New Roman"/>
          <w:color w:val="000000"/>
          <w:sz w:val="24"/>
          <w:szCs w:val="24"/>
          <w:lang w:eastAsia="fr-CH"/>
        </w:rPr>
        <w:t>treaties</w:t>
      </w:r>
      <w:r w:rsidR="00CF3D84" w:rsidRPr="00CF3D84">
        <w:rPr>
          <w:rFonts w:ascii="Times New Roman" w:eastAsia="Times New Roman" w:hAnsi="Times New Roman" w:cs="Times New Roman"/>
          <w:color w:val="000000"/>
          <w:sz w:val="24"/>
          <w:szCs w:val="24"/>
          <w:lang w:eastAsia="fr-CH"/>
        </w:rPr>
        <w:t xml:space="preserve"> </w:t>
      </w:r>
      <w:r w:rsidR="00CF3D84" w:rsidRPr="00843919">
        <w:rPr>
          <w:rFonts w:ascii="Times New Roman" w:eastAsia="Times New Roman" w:hAnsi="Times New Roman" w:cs="Times New Roman"/>
          <w:color w:val="000000"/>
          <w:sz w:val="24"/>
          <w:szCs w:val="24"/>
          <w:lang w:eastAsia="fr-CH"/>
        </w:rPr>
        <w:t>also contribute to limiting the number and scope of potential consequential gaps in the protective legal arsenal available in the event of armed conflict.</w:t>
      </w:r>
      <w:r w:rsidR="00CF3D84">
        <w:rPr>
          <w:rFonts w:ascii="Times New Roman" w:eastAsia="Times New Roman" w:hAnsi="Times New Roman" w:cs="Times New Roman"/>
          <w:color w:val="000000"/>
          <w:sz w:val="24"/>
          <w:szCs w:val="24"/>
          <w:lang w:eastAsia="fr-CH"/>
        </w:rPr>
        <w:t xml:space="preserve"> These include </w:t>
      </w:r>
      <w:r w:rsidR="00480C92" w:rsidRPr="00EB55C1">
        <w:rPr>
          <w:rFonts w:ascii="Times New Roman" w:eastAsia="Times New Roman" w:hAnsi="Times New Roman" w:cs="Times New Roman"/>
          <w:color w:val="000000"/>
          <w:sz w:val="24"/>
          <w:szCs w:val="24"/>
          <w:lang w:eastAsia="fr-CH"/>
        </w:rPr>
        <w:t xml:space="preserve">the </w:t>
      </w:r>
      <w:r w:rsidR="00A47E17">
        <w:rPr>
          <w:rFonts w:ascii="Times New Roman" w:eastAsia="Times New Roman" w:hAnsi="Times New Roman" w:cs="Times New Roman"/>
          <w:color w:val="000000"/>
          <w:sz w:val="24"/>
          <w:szCs w:val="24"/>
          <w:lang w:eastAsia="fr-CH"/>
        </w:rPr>
        <w:t xml:space="preserve">1970 </w:t>
      </w:r>
      <w:r w:rsidR="00480C92" w:rsidRPr="00EB55C1">
        <w:rPr>
          <w:rFonts w:ascii="Times New Roman" w:eastAsia="Times New Roman" w:hAnsi="Times New Roman" w:cs="Times New Roman"/>
          <w:color w:val="000000"/>
          <w:sz w:val="24"/>
          <w:szCs w:val="24"/>
          <w:lang w:eastAsia="fr-CH"/>
        </w:rPr>
        <w:t xml:space="preserve">Convention on the Means of </w:t>
      </w:r>
      <w:r w:rsidR="00A47E17">
        <w:rPr>
          <w:rFonts w:ascii="Times New Roman" w:eastAsia="Times New Roman" w:hAnsi="Times New Roman" w:cs="Times New Roman"/>
          <w:color w:val="000000"/>
          <w:sz w:val="24"/>
          <w:szCs w:val="24"/>
          <w:lang w:eastAsia="fr-CH"/>
        </w:rPr>
        <w:t>P</w:t>
      </w:r>
      <w:r w:rsidR="00480C92" w:rsidRPr="00EB55C1">
        <w:rPr>
          <w:rFonts w:ascii="Times New Roman" w:eastAsia="Times New Roman" w:hAnsi="Times New Roman" w:cs="Times New Roman"/>
          <w:color w:val="000000"/>
          <w:sz w:val="24"/>
          <w:szCs w:val="24"/>
          <w:lang w:eastAsia="fr-CH"/>
        </w:rPr>
        <w:t>rohibiting and Preventing the Illicit Import, Export and Transfer of Ownership of Cultural Property</w:t>
      </w:r>
      <w:r w:rsidR="00980331">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the 1995 </w:t>
      </w:r>
      <w:r w:rsidR="00BC11A5" w:rsidRPr="00BC11A5">
        <w:rPr>
          <w:rFonts w:ascii="Times New Roman" w:eastAsia="Times New Roman" w:hAnsi="Times New Roman" w:cs="Times New Roman"/>
          <w:color w:val="000000"/>
          <w:sz w:val="24"/>
          <w:szCs w:val="24"/>
          <w:lang w:eastAsia="fr-CH"/>
        </w:rPr>
        <w:t xml:space="preserve">International Institute for the Unification of Private Law </w:t>
      </w:r>
      <w:r w:rsidR="00BC11A5">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UNIDROIT</w:t>
      </w:r>
      <w:r w:rsidR="00BC11A5">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Convention on Stolen or Illegally Exported Cultural Objects</w:t>
      </w:r>
      <w:r w:rsidR="00980331">
        <w:rPr>
          <w:rFonts w:ascii="Times New Roman" w:eastAsia="Times New Roman" w:hAnsi="Times New Roman" w:cs="Times New Roman"/>
          <w:color w:val="000000"/>
          <w:sz w:val="24"/>
          <w:szCs w:val="24"/>
          <w:lang w:eastAsia="fr-CH"/>
        </w:rPr>
        <w:t>;</w:t>
      </w:r>
      <w:r w:rsidR="00480C92" w:rsidRPr="00EB55C1">
        <w:rPr>
          <w:rFonts w:ascii="Times New Roman" w:eastAsia="Times New Roman" w:hAnsi="Times New Roman" w:cs="Times New Roman"/>
          <w:color w:val="000000"/>
          <w:sz w:val="24"/>
          <w:szCs w:val="24"/>
          <w:lang w:eastAsia="fr-CH"/>
        </w:rPr>
        <w:t xml:space="preserve"> and to some extent the </w:t>
      </w:r>
      <w:r w:rsidR="00980331">
        <w:rPr>
          <w:rFonts w:ascii="Times New Roman" w:eastAsia="Times New Roman" w:hAnsi="Times New Roman" w:cs="Times New Roman"/>
          <w:color w:val="000000"/>
          <w:sz w:val="24"/>
          <w:szCs w:val="24"/>
          <w:lang w:eastAsia="fr-CH"/>
        </w:rPr>
        <w:t xml:space="preserve">2003 </w:t>
      </w:r>
      <w:r w:rsidR="00480C92" w:rsidRPr="00EB55C1">
        <w:rPr>
          <w:rFonts w:ascii="Times New Roman" w:eastAsia="Times New Roman" w:hAnsi="Times New Roman" w:cs="Times New Roman"/>
          <w:color w:val="000000"/>
          <w:sz w:val="24"/>
          <w:szCs w:val="24"/>
          <w:lang w:eastAsia="fr-CH"/>
        </w:rPr>
        <w:t xml:space="preserve">Convention for the Safeguarding of Intangible Heritage and the </w:t>
      </w:r>
      <w:r w:rsidR="00980331">
        <w:rPr>
          <w:rFonts w:ascii="Times New Roman" w:eastAsia="Times New Roman" w:hAnsi="Times New Roman" w:cs="Times New Roman"/>
          <w:color w:val="000000"/>
          <w:sz w:val="24"/>
          <w:szCs w:val="24"/>
          <w:lang w:eastAsia="fr-CH"/>
        </w:rPr>
        <w:t xml:space="preserve">1972 </w:t>
      </w:r>
      <w:r w:rsidR="00A525F7" w:rsidRPr="00EB55C1">
        <w:rPr>
          <w:rFonts w:ascii="Times New Roman" w:eastAsia="Times New Roman" w:hAnsi="Times New Roman" w:cs="Times New Roman"/>
          <w:color w:val="000000"/>
          <w:sz w:val="24"/>
          <w:szCs w:val="24"/>
          <w:lang w:eastAsia="fr-CH"/>
        </w:rPr>
        <w:t xml:space="preserve">Convention </w:t>
      </w:r>
      <w:r w:rsidR="00980331">
        <w:rPr>
          <w:rFonts w:ascii="Times New Roman" w:eastAsia="Times New Roman" w:hAnsi="Times New Roman" w:cs="Times New Roman"/>
          <w:color w:val="000000"/>
          <w:sz w:val="24"/>
          <w:szCs w:val="24"/>
          <w:lang w:eastAsia="fr-CH"/>
        </w:rPr>
        <w:t>C</w:t>
      </w:r>
      <w:r w:rsidR="00A525F7" w:rsidRPr="00EB55C1">
        <w:rPr>
          <w:rFonts w:ascii="Times New Roman" w:eastAsia="Times New Roman" w:hAnsi="Times New Roman" w:cs="Times New Roman"/>
          <w:color w:val="000000"/>
          <w:sz w:val="24"/>
          <w:szCs w:val="24"/>
          <w:lang w:eastAsia="fr-CH"/>
        </w:rPr>
        <w:t>oncerning the Protection of the World Cultural and Natural Heritage</w:t>
      </w:r>
      <w:r w:rsidR="00CF3D84">
        <w:rPr>
          <w:rFonts w:ascii="Times New Roman" w:eastAsia="Times New Roman" w:hAnsi="Times New Roman" w:cs="Times New Roman"/>
          <w:color w:val="000000"/>
          <w:sz w:val="24"/>
          <w:szCs w:val="24"/>
          <w:lang w:eastAsia="fr-CH"/>
        </w:rPr>
        <w:t>.</w:t>
      </w:r>
    </w:p>
    <w:p w14:paraId="2A1F1385" w14:textId="7949E3A5" w:rsidR="001A0465" w:rsidRPr="00EB55C1" w:rsidRDefault="00970287" w:rsidP="006952D9">
      <w:pPr>
        <w:spacing w:before="120" w:after="120" w:line="480" w:lineRule="auto"/>
        <w:ind w:firstLine="708"/>
        <w:rPr>
          <w:rFonts w:ascii="Times New Roman" w:eastAsia="Times New Roman" w:hAnsi="Times New Roman" w:cs="Times New Roman"/>
          <w:sz w:val="24"/>
          <w:szCs w:val="24"/>
        </w:rPr>
      </w:pPr>
      <w:r w:rsidRPr="00EB55C1">
        <w:rPr>
          <w:rFonts w:ascii="Times New Roman" w:eastAsia="Times New Roman" w:hAnsi="Times New Roman" w:cs="Times New Roman"/>
          <w:color w:val="000000"/>
          <w:sz w:val="24"/>
          <w:szCs w:val="24"/>
          <w:lang w:eastAsia="fr-CH"/>
        </w:rPr>
        <w:t xml:space="preserve">But </w:t>
      </w:r>
      <w:r w:rsidRPr="00EB55C1">
        <w:rPr>
          <w:rFonts w:ascii="Times New Roman" w:eastAsia="Times New Roman" w:hAnsi="Times New Roman" w:cs="Times New Roman"/>
          <w:sz w:val="24"/>
          <w:szCs w:val="24"/>
        </w:rPr>
        <w:t>r</w:t>
      </w:r>
      <w:r w:rsidR="00866EAF" w:rsidRPr="00EB55C1">
        <w:rPr>
          <w:rFonts w:ascii="Times New Roman" w:eastAsia="Times New Roman" w:hAnsi="Times New Roman" w:cs="Times New Roman"/>
          <w:sz w:val="24"/>
          <w:szCs w:val="24"/>
        </w:rPr>
        <w:t>ules governing the protection of cultural property do not exist in a vacuum. A</w:t>
      </w:r>
      <w:r w:rsidR="00EB2C9E" w:rsidRPr="00EB55C1">
        <w:rPr>
          <w:rFonts w:ascii="Times New Roman" w:eastAsia="Times New Roman" w:hAnsi="Times New Roman" w:cs="Times New Roman"/>
          <w:sz w:val="24"/>
          <w:szCs w:val="24"/>
        </w:rPr>
        <w:t xml:space="preserve"> mere</w:t>
      </w:r>
      <w:r w:rsidR="00ED71C9" w:rsidRPr="00EB55C1">
        <w:rPr>
          <w:rFonts w:ascii="Times New Roman" w:eastAsia="Times New Roman" w:hAnsi="Times New Roman" w:cs="Times New Roman"/>
          <w:sz w:val="24"/>
          <w:szCs w:val="24"/>
        </w:rPr>
        <w:t xml:space="preserve"> isolated </w:t>
      </w:r>
      <w:r w:rsidR="00EB2C9E" w:rsidRPr="00EB55C1">
        <w:rPr>
          <w:rFonts w:ascii="Times New Roman" w:eastAsia="Times New Roman" w:hAnsi="Times New Roman" w:cs="Times New Roman"/>
          <w:sz w:val="24"/>
          <w:szCs w:val="24"/>
        </w:rPr>
        <w:t xml:space="preserve">analysis of </w:t>
      </w:r>
      <w:r w:rsidR="00866EAF" w:rsidRPr="00EB55C1">
        <w:rPr>
          <w:rFonts w:ascii="Times New Roman" w:eastAsia="Times New Roman" w:hAnsi="Times New Roman" w:cs="Times New Roman"/>
          <w:sz w:val="24"/>
          <w:szCs w:val="24"/>
        </w:rPr>
        <w:t>such</w:t>
      </w:r>
      <w:r w:rsidR="00954C7E" w:rsidRPr="00EB55C1">
        <w:rPr>
          <w:rFonts w:ascii="Times New Roman" w:eastAsia="Times New Roman" w:hAnsi="Times New Roman" w:cs="Times New Roman"/>
          <w:sz w:val="24"/>
          <w:szCs w:val="24"/>
        </w:rPr>
        <w:t xml:space="preserve"> rules</w:t>
      </w:r>
      <w:r w:rsidR="00EB2C9E" w:rsidRPr="00EB55C1">
        <w:rPr>
          <w:rFonts w:ascii="Times New Roman" w:eastAsia="Times New Roman" w:hAnsi="Times New Roman" w:cs="Times New Roman"/>
          <w:sz w:val="24"/>
          <w:szCs w:val="24"/>
        </w:rPr>
        <w:t xml:space="preserve">, no matter how comprehensive, is not </w:t>
      </w:r>
      <w:r w:rsidR="00140132" w:rsidRPr="00EB55C1">
        <w:rPr>
          <w:rFonts w:ascii="Times New Roman" w:eastAsia="Times New Roman" w:hAnsi="Times New Roman" w:cs="Times New Roman"/>
          <w:sz w:val="24"/>
          <w:szCs w:val="24"/>
        </w:rPr>
        <w:t>enough</w:t>
      </w:r>
      <w:r w:rsidR="00EB2C9E" w:rsidRPr="00EB55C1">
        <w:rPr>
          <w:rFonts w:ascii="Times New Roman" w:eastAsia="Times New Roman" w:hAnsi="Times New Roman" w:cs="Times New Roman"/>
          <w:sz w:val="24"/>
          <w:szCs w:val="24"/>
        </w:rPr>
        <w:t xml:space="preserve"> to understand </w:t>
      </w:r>
      <w:r w:rsidR="00954C7E" w:rsidRPr="00EB55C1">
        <w:rPr>
          <w:rFonts w:ascii="Times New Roman" w:eastAsia="Times New Roman" w:hAnsi="Times New Roman" w:cs="Times New Roman"/>
          <w:sz w:val="24"/>
          <w:szCs w:val="24"/>
        </w:rPr>
        <w:t>the state of protection of cultural property under international law</w:t>
      </w:r>
      <w:r w:rsidR="00140132" w:rsidRPr="00EB55C1">
        <w:rPr>
          <w:rFonts w:ascii="Times New Roman" w:eastAsia="Times New Roman" w:hAnsi="Times New Roman" w:cs="Times New Roman"/>
          <w:sz w:val="24"/>
          <w:szCs w:val="24"/>
        </w:rPr>
        <w:t xml:space="preserve"> since many </w:t>
      </w:r>
      <w:r w:rsidR="001A0465" w:rsidRPr="00EB55C1">
        <w:rPr>
          <w:rFonts w:ascii="Times New Roman" w:eastAsia="Times New Roman" w:hAnsi="Times New Roman" w:cs="Times New Roman"/>
          <w:sz w:val="24"/>
          <w:szCs w:val="24"/>
        </w:rPr>
        <w:t xml:space="preserve">other factors </w:t>
      </w:r>
      <w:r w:rsidR="00F16F6F">
        <w:rPr>
          <w:rFonts w:ascii="Times New Roman" w:eastAsia="Times New Roman" w:hAnsi="Times New Roman" w:cs="Times New Roman"/>
          <w:sz w:val="24"/>
          <w:szCs w:val="24"/>
        </w:rPr>
        <w:t>shape</w:t>
      </w:r>
      <w:r w:rsidR="00F16F6F" w:rsidRPr="00EB55C1">
        <w:rPr>
          <w:rFonts w:ascii="Times New Roman" w:eastAsia="Times New Roman" w:hAnsi="Times New Roman" w:cs="Times New Roman"/>
          <w:sz w:val="24"/>
          <w:szCs w:val="24"/>
        </w:rPr>
        <w:t xml:space="preserve"> </w:t>
      </w:r>
      <w:r w:rsidR="009042CE" w:rsidRPr="00EB55C1">
        <w:rPr>
          <w:rFonts w:ascii="Times New Roman" w:eastAsia="Times New Roman" w:hAnsi="Times New Roman" w:cs="Times New Roman"/>
          <w:sz w:val="24"/>
          <w:szCs w:val="24"/>
        </w:rPr>
        <w:t xml:space="preserve">the </w:t>
      </w:r>
      <w:r w:rsidR="001A0465" w:rsidRPr="00EB55C1">
        <w:rPr>
          <w:rFonts w:ascii="Times New Roman" w:eastAsia="Times New Roman" w:hAnsi="Times New Roman" w:cs="Times New Roman"/>
          <w:sz w:val="24"/>
          <w:szCs w:val="24"/>
        </w:rPr>
        <w:t>effectiveness of these rules in practice. The</w:t>
      </w:r>
      <w:r w:rsidR="00283121">
        <w:rPr>
          <w:rFonts w:ascii="Times New Roman" w:eastAsia="Times New Roman" w:hAnsi="Times New Roman" w:cs="Times New Roman"/>
          <w:sz w:val="24"/>
          <w:szCs w:val="24"/>
        </w:rPr>
        <w:t xml:space="preserve">y </w:t>
      </w:r>
      <w:r w:rsidR="001A0465" w:rsidRPr="00EB55C1">
        <w:rPr>
          <w:rFonts w:ascii="Times New Roman" w:eastAsia="Times New Roman" w:hAnsi="Times New Roman" w:cs="Times New Roman"/>
          <w:sz w:val="24"/>
          <w:szCs w:val="24"/>
        </w:rPr>
        <w:t xml:space="preserve">can be grouped into two </w:t>
      </w:r>
      <w:r w:rsidR="00140132" w:rsidRPr="00EB55C1">
        <w:rPr>
          <w:rFonts w:ascii="Times New Roman" w:eastAsia="Times New Roman" w:hAnsi="Times New Roman" w:cs="Times New Roman"/>
          <w:sz w:val="24"/>
          <w:szCs w:val="24"/>
        </w:rPr>
        <w:t xml:space="preserve">broad </w:t>
      </w:r>
      <w:r w:rsidR="001A0465" w:rsidRPr="00EB55C1">
        <w:rPr>
          <w:rFonts w:ascii="Times New Roman" w:eastAsia="Times New Roman" w:hAnsi="Times New Roman" w:cs="Times New Roman"/>
          <w:sz w:val="24"/>
          <w:szCs w:val="24"/>
        </w:rPr>
        <w:t xml:space="preserve">categories: normative and institutional mechanisms. </w:t>
      </w:r>
    </w:p>
    <w:p w14:paraId="2AF45AEF" w14:textId="13CC7B7E" w:rsidR="00FF0C9A" w:rsidRPr="00EB55C1" w:rsidRDefault="001A0465" w:rsidP="00D007BC">
      <w:pPr>
        <w:spacing w:before="120" w:after="120" w:line="480" w:lineRule="auto"/>
        <w:ind w:firstLine="708"/>
        <w:rPr>
          <w:rFonts w:ascii="Times New Roman" w:eastAsia="Times New Roman" w:hAnsi="Times New Roman" w:cs="Times New Roman"/>
          <w:sz w:val="24"/>
          <w:szCs w:val="24"/>
        </w:rPr>
      </w:pPr>
      <w:r w:rsidRPr="00EB55C1">
        <w:rPr>
          <w:rFonts w:ascii="Times New Roman" w:eastAsia="Times New Roman" w:hAnsi="Times New Roman" w:cs="Times New Roman"/>
          <w:sz w:val="24"/>
          <w:szCs w:val="24"/>
        </w:rPr>
        <w:t>Normative mechanisms are arrangements embedded in treaties</w:t>
      </w:r>
      <w:r w:rsidR="00881D00">
        <w:rPr>
          <w:rFonts w:ascii="Times New Roman" w:eastAsia="Times New Roman" w:hAnsi="Times New Roman" w:cs="Times New Roman"/>
          <w:sz w:val="24"/>
          <w:szCs w:val="24"/>
        </w:rPr>
        <w:t>—</w:t>
      </w:r>
      <w:r w:rsidR="00140132" w:rsidRPr="00EB55C1">
        <w:rPr>
          <w:rFonts w:ascii="Times New Roman" w:eastAsia="Times New Roman" w:hAnsi="Times New Roman" w:cs="Times New Roman"/>
          <w:sz w:val="24"/>
          <w:szCs w:val="24"/>
        </w:rPr>
        <w:t xml:space="preserve">in </w:t>
      </w:r>
      <w:r w:rsidR="005B32CF">
        <w:rPr>
          <w:rFonts w:ascii="Times New Roman" w:eastAsia="Times New Roman" w:hAnsi="Times New Roman" w:cs="Times New Roman"/>
          <w:sz w:val="24"/>
          <w:szCs w:val="24"/>
        </w:rPr>
        <w:t>this</w:t>
      </w:r>
      <w:r w:rsidR="005B32CF" w:rsidRPr="00EB55C1">
        <w:rPr>
          <w:rFonts w:ascii="Times New Roman" w:eastAsia="Times New Roman" w:hAnsi="Times New Roman" w:cs="Times New Roman"/>
          <w:sz w:val="24"/>
          <w:szCs w:val="24"/>
        </w:rPr>
        <w:t xml:space="preserve"> </w:t>
      </w:r>
      <w:r w:rsidR="005B32CF">
        <w:rPr>
          <w:rFonts w:ascii="Times New Roman" w:eastAsia="Times New Roman" w:hAnsi="Times New Roman" w:cs="Times New Roman"/>
          <w:sz w:val="24"/>
          <w:szCs w:val="24"/>
        </w:rPr>
        <w:t>context</w:t>
      </w:r>
      <w:r w:rsidR="00140132" w:rsidRPr="00EB55C1">
        <w:rPr>
          <w:rFonts w:ascii="Times New Roman" w:eastAsia="Times New Roman" w:hAnsi="Times New Roman" w:cs="Times New Roman"/>
          <w:sz w:val="24"/>
          <w:szCs w:val="24"/>
        </w:rPr>
        <w:t xml:space="preserve">, those </w:t>
      </w:r>
      <w:r w:rsidRPr="00EB55C1">
        <w:rPr>
          <w:rFonts w:ascii="Times New Roman" w:eastAsia="Times New Roman" w:hAnsi="Times New Roman" w:cs="Times New Roman"/>
          <w:sz w:val="24"/>
          <w:szCs w:val="24"/>
        </w:rPr>
        <w:t>related to the protection of culture</w:t>
      </w:r>
      <w:r w:rsidR="00881D00">
        <w:rPr>
          <w:rFonts w:ascii="Times New Roman" w:eastAsia="Times New Roman" w:hAnsi="Times New Roman" w:cs="Times New Roman"/>
          <w:sz w:val="24"/>
          <w:szCs w:val="24"/>
        </w:rPr>
        <w:t>—</w:t>
      </w:r>
      <w:r w:rsidRPr="00EB55C1">
        <w:rPr>
          <w:rFonts w:ascii="Times New Roman" w:eastAsia="Times New Roman" w:hAnsi="Times New Roman" w:cs="Times New Roman"/>
          <w:sz w:val="24"/>
          <w:szCs w:val="24"/>
        </w:rPr>
        <w:t xml:space="preserve">with </w:t>
      </w:r>
      <w:r w:rsidR="008F1B2C">
        <w:rPr>
          <w:rFonts w:ascii="Times New Roman" w:eastAsia="Times New Roman" w:hAnsi="Times New Roman" w:cs="Times New Roman"/>
          <w:sz w:val="24"/>
          <w:szCs w:val="24"/>
        </w:rPr>
        <w:t xml:space="preserve">the </w:t>
      </w:r>
      <w:r w:rsidRPr="00EB55C1">
        <w:rPr>
          <w:rFonts w:ascii="Times New Roman" w:eastAsia="Times New Roman" w:hAnsi="Times New Roman" w:cs="Times New Roman"/>
          <w:sz w:val="24"/>
          <w:szCs w:val="24"/>
        </w:rPr>
        <w:t xml:space="preserve">objective </w:t>
      </w:r>
      <w:r w:rsidR="008F1B2C">
        <w:rPr>
          <w:rFonts w:ascii="Times New Roman" w:eastAsia="Times New Roman" w:hAnsi="Times New Roman" w:cs="Times New Roman"/>
          <w:sz w:val="24"/>
          <w:szCs w:val="24"/>
        </w:rPr>
        <w:t xml:space="preserve">of </w:t>
      </w:r>
      <w:r w:rsidRPr="00EB55C1">
        <w:rPr>
          <w:rFonts w:ascii="Times New Roman" w:eastAsia="Times New Roman" w:hAnsi="Times New Roman" w:cs="Times New Roman"/>
          <w:sz w:val="24"/>
          <w:szCs w:val="24"/>
        </w:rPr>
        <w:t>support</w:t>
      </w:r>
      <w:r w:rsidR="008F1B2C">
        <w:rPr>
          <w:rFonts w:ascii="Times New Roman" w:eastAsia="Times New Roman" w:hAnsi="Times New Roman" w:cs="Times New Roman"/>
          <w:sz w:val="24"/>
          <w:szCs w:val="24"/>
        </w:rPr>
        <w:t>ing</w:t>
      </w:r>
      <w:r w:rsidRPr="00EB55C1">
        <w:rPr>
          <w:rFonts w:ascii="Times New Roman" w:eastAsia="Times New Roman" w:hAnsi="Times New Roman" w:cs="Times New Roman"/>
          <w:sz w:val="24"/>
          <w:szCs w:val="24"/>
        </w:rPr>
        <w:t xml:space="preserve"> implementation of law. These mechanisms do not regulate the conduct of hostilities or entail</w:t>
      </w:r>
      <w:r w:rsidR="00FF0C9A" w:rsidRPr="00EB55C1">
        <w:rPr>
          <w:rFonts w:ascii="Times New Roman" w:eastAsia="Times New Roman" w:hAnsi="Times New Roman" w:cs="Times New Roman"/>
          <w:sz w:val="24"/>
          <w:szCs w:val="24"/>
        </w:rPr>
        <w:t xml:space="preserve"> domestic</w:t>
      </w:r>
      <w:r w:rsidRPr="00EB55C1">
        <w:rPr>
          <w:rFonts w:ascii="Times New Roman" w:eastAsia="Times New Roman" w:hAnsi="Times New Roman" w:cs="Times New Roman"/>
          <w:sz w:val="24"/>
          <w:szCs w:val="24"/>
        </w:rPr>
        <w:t xml:space="preserve"> policy obligations</w:t>
      </w:r>
      <w:r w:rsidR="00C40FDF" w:rsidRPr="00C40FDF">
        <w:rPr>
          <w:rFonts w:ascii="Times New Roman" w:eastAsia="Times New Roman" w:hAnsi="Times New Roman" w:cs="Times New Roman"/>
          <w:sz w:val="24"/>
          <w:szCs w:val="24"/>
        </w:rPr>
        <w:t xml:space="preserve"> </w:t>
      </w:r>
      <w:r w:rsidR="00C40FDF" w:rsidRPr="00EB55C1">
        <w:rPr>
          <w:rFonts w:ascii="Times New Roman" w:eastAsia="Times New Roman" w:hAnsi="Times New Roman" w:cs="Times New Roman"/>
          <w:sz w:val="24"/>
          <w:szCs w:val="24"/>
        </w:rPr>
        <w:t>as such</w:t>
      </w:r>
      <w:r w:rsidR="004D7AFA">
        <w:rPr>
          <w:rFonts w:ascii="Times New Roman" w:eastAsia="Times New Roman" w:hAnsi="Times New Roman" w:cs="Times New Roman"/>
          <w:sz w:val="24"/>
          <w:szCs w:val="24"/>
        </w:rPr>
        <w:t>. Rather,</w:t>
      </w:r>
      <w:r w:rsidR="009524EA">
        <w:rPr>
          <w:rFonts w:ascii="Times New Roman" w:eastAsia="Times New Roman" w:hAnsi="Times New Roman" w:cs="Times New Roman"/>
          <w:sz w:val="24"/>
          <w:szCs w:val="24"/>
        </w:rPr>
        <w:t xml:space="preserve"> </w:t>
      </w:r>
      <w:r w:rsidR="00F84CEC">
        <w:rPr>
          <w:rFonts w:ascii="Times New Roman" w:eastAsia="Times New Roman" w:hAnsi="Times New Roman" w:cs="Times New Roman"/>
          <w:sz w:val="24"/>
          <w:szCs w:val="24"/>
        </w:rPr>
        <w:t>t</w:t>
      </w:r>
      <w:r w:rsidRPr="00EB55C1">
        <w:rPr>
          <w:rFonts w:ascii="Times New Roman" w:eastAsia="Times New Roman" w:hAnsi="Times New Roman" w:cs="Times New Roman"/>
          <w:sz w:val="24"/>
          <w:szCs w:val="24"/>
        </w:rPr>
        <w:t>he</w:t>
      </w:r>
      <w:r w:rsidR="001F04AC">
        <w:rPr>
          <w:rFonts w:ascii="Times New Roman" w:eastAsia="Times New Roman" w:hAnsi="Times New Roman" w:cs="Times New Roman"/>
          <w:sz w:val="24"/>
          <w:szCs w:val="24"/>
        </w:rPr>
        <w:t>ir</w:t>
      </w:r>
      <w:r w:rsidRPr="00EB55C1">
        <w:rPr>
          <w:rFonts w:ascii="Times New Roman" w:eastAsia="Times New Roman" w:hAnsi="Times New Roman" w:cs="Times New Roman"/>
          <w:sz w:val="24"/>
          <w:szCs w:val="24"/>
        </w:rPr>
        <w:t xml:space="preserve"> rationale is </w:t>
      </w:r>
      <w:r w:rsidR="00FD698F">
        <w:rPr>
          <w:rFonts w:ascii="Times New Roman" w:eastAsia="Times New Roman" w:hAnsi="Times New Roman" w:cs="Times New Roman"/>
          <w:sz w:val="24"/>
          <w:szCs w:val="24"/>
        </w:rPr>
        <w:t>to</w:t>
      </w:r>
      <w:r w:rsidRPr="00EB55C1">
        <w:rPr>
          <w:rFonts w:ascii="Times New Roman" w:eastAsia="Times New Roman" w:hAnsi="Times New Roman" w:cs="Times New Roman"/>
          <w:sz w:val="24"/>
          <w:szCs w:val="24"/>
        </w:rPr>
        <w:t xml:space="preserve"> anticipat</w:t>
      </w:r>
      <w:r w:rsidR="00FD698F">
        <w:rPr>
          <w:rFonts w:ascii="Times New Roman" w:eastAsia="Times New Roman" w:hAnsi="Times New Roman" w:cs="Times New Roman"/>
          <w:sz w:val="24"/>
          <w:szCs w:val="24"/>
        </w:rPr>
        <w:t>e</w:t>
      </w:r>
      <w:r w:rsidRPr="00EB55C1">
        <w:rPr>
          <w:rFonts w:ascii="Times New Roman" w:eastAsia="Times New Roman" w:hAnsi="Times New Roman" w:cs="Times New Roman"/>
          <w:sz w:val="24"/>
          <w:szCs w:val="24"/>
        </w:rPr>
        <w:t xml:space="preserve"> challenge</w:t>
      </w:r>
      <w:r w:rsidR="003037C6">
        <w:rPr>
          <w:rFonts w:ascii="Times New Roman" w:eastAsia="Times New Roman" w:hAnsi="Times New Roman" w:cs="Times New Roman"/>
          <w:sz w:val="24"/>
          <w:szCs w:val="24"/>
        </w:rPr>
        <w:t xml:space="preserve">s to </w:t>
      </w:r>
      <w:r w:rsidR="00C47759">
        <w:rPr>
          <w:rFonts w:ascii="Times New Roman" w:eastAsia="Times New Roman" w:hAnsi="Times New Roman" w:cs="Times New Roman"/>
          <w:sz w:val="24"/>
          <w:szCs w:val="24"/>
        </w:rPr>
        <w:t xml:space="preserve">effective state </w:t>
      </w:r>
      <w:r w:rsidR="00A52A72">
        <w:rPr>
          <w:rFonts w:ascii="Times New Roman" w:eastAsia="Times New Roman" w:hAnsi="Times New Roman" w:cs="Times New Roman"/>
          <w:sz w:val="24"/>
          <w:szCs w:val="24"/>
        </w:rPr>
        <w:t>implement</w:t>
      </w:r>
      <w:r w:rsidR="001107B3">
        <w:rPr>
          <w:rFonts w:ascii="Times New Roman" w:eastAsia="Times New Roman" w:hAnsi="Times New Roman" w:cs="Times New Roman"/>
          <w:sz w:val="24"/>
          <w:szCs w:val="24"/>
        </w:rPr>
        <w:t>at</w:t>
      </w:r>
      <w:r w:rsidR="003037C6">
        <w:rPr>
          <w:rFonts w:ascii="Times New Roman" w:eastAsia="Times New Roman" w:hAnsi="Times New Roman" w:cs="Times New Roman"/>
          <w:sz w:val="24"/>
          <w:szCs w:val="24"/>
        </w:rPr>
        <w:t>ion of</w:t>
      </w:r>
      <w:r w:rsidR="00A52A72" w:rsidRPr="00EB55C1">
        <w:rPr>
          <w:rFonts w:ascii="Times New Roman" w:eastAsia="Times New Roman" w:hAnsi="Times New Roman" w:cs="Times New Roman"/>
          <w:sz w:val="24"/>
          <w:szCs w:val="24"/>
        </w:rPr>
        <w:t xml:space="preserve"> </w:t>
      </w:r>
      <w:r w:rsidR="003037C6">
        <w:rPr>
          <w:rFonts w:ascii="Times New Roman" w:eastAsia="Times New Roman" w:hAnsi="Times New Roman" w:cs="Times New Roman"/>
          <w:sz w:val="24"/>
          <w:szCs w:val="24"/>
        </w:rPr>
        <w:t xml:space="preserve">provisions </w:t>
      </w:r>
      <w:r w:rsidR="001A1802">
        <w:rPr>
          <w:rFonts w:ascii="Times New Roman" w:eastAsia="Times New Roman" w:hAnsi="Times New Roman" w:cs="Times New Roman"/>
          <w:sz w:val="24"/>
          <w:szCs w:val="24"/>
        </w:rPr>
        <w:t xml:space="preserve">within </w:t>
      </w:r>
      <w:r w:rsidR="003037C6">
        <w:rPr>
          <w:rFonts w:ascii="Times New Roman" w:eastAsia="Times New Roman" w:hAnsi="Times New Roman" w:cs="Times New Roman"/>
          <w:sz w:val="24"/>
          <w:szCs w:val="24"/>
        </w:rPr>
        <w:t xml:space="preserve">the </w:t>
      </w:r>
      <w:r w:rsidR="00B32DF5">
        <w:rPr>
          <w:rFonts w:ascii="Times New Roman" w:eastAsia="Times New Roman" w:hAnsi="Times New Roman" w:cs="Times New Roman"/>
          <w:sz w:val="24"/>
          <w:szCs w:val="24"/>
        </w:rPr>
        <w:t>relevant</w:t>
      </w:r>
      <w:r w:rsidR="003037C6">
        <w:rPr>
          <w:rFonts w:ascii="Times New Roman" w:eastAsia="Times New Roman" w:hAnsi="Times New Roman" w:cs="Times New Roman"/>
          <w:sz w:val="24"/>
          <w:szCs w:val="24"/>
        </w:rPr>
        <w:t xml:space="preserve"> </w:t>
      </w:r>
      <w:r w:rsidR="00A52A72">
        <w:rPr>
          <w:rFonts w:ascii="Times New Roman" w:eastAsia="Times New Roman" w:hAnsi="Times New Roman" w:cs="Times New Roman"/>
          <w:sz w:val="24"/>
          <w:szCs w:val="24"/>
        </w:rPr>
        <w:t>treaty</w:t>
      </w:r>
      <w:r w:rsidR="001A1802">
        <w:rPr>
          <w:rFonts w:ascii="Times New Roman" w:eastAsia="Times New Roman" w:hAnsi="Times New Roman" w:cs="Times New Roman"/>
          <w:sz w:val="24"/>
          <w:szCs w:val="24"/>
        </w:rPr>
        <w:t xml:space="preserve"> and to</w:t>
      </w:r>
      <w:r w:rsidR="00AE59AD" w:rsidRPr="00AE59AD">
        <w:rPr>
          <w:rFonts w:ascii="Times New Roman" w:eastAsia="Times New Roman" w:hAnsi="Times New Roman" w:cs="Times New Roman"/>
          <w:sz w:val="24"/>
          <w:szCs w:val="24"/>
        </w:rPr>
        <w:t xml:space="preserve"> serve as tool</w:t>
      </w:r>
      <w:r w:rsidR="004D7AFA">
        <w:rPr>
          <w:rFonts w:ascii="Times New Roman" w:eastAsia="Times New Roman" w:hAnsi="Times New Roman" w:cs="Times New Roman"/>
          <w:sz w:val="24"/>
          <w:szCs w:val="24"/>
        </w:rPr>
        <w:t>s</w:t>
      </w:r>
      <w:r w:rsidR="00AE59AD" w:rsidRPr="00AE59AD">
        <w:rPr>
          <w:rFonts w:ascii="Times New Roman" w:eastAsia="Times New Roman" w:hAnsi="Times New Roman" w:cs="Times New Roman"/>
          <w:sz w:val="24"/>
          <w:szCs w:val="24"/>
        </w:rPr>
        <w:t xml:space="preserve"> to limit </w:t>
      </w:r>
      <w:r w:rsidR="00AE59AD">
        <w:rPr>
          <w:rFonts w:ascii="Times New Roman" w:eastAsia="Times New Roman" w:hAnsi="Times New Roman" w:cs="Times New Roman"/>
          <w:sz w:val="24"/>
          <w:szCs w:val="24"/>
        </w:rPr>
        <w:t>foreseen</w:t>
      </w:r>
      <w:r w:rsidR="00AE59AD" w:rsidRPr="00AE59AD">
        <w:rPr>
          <w:rFonts w:ascii="Times New Roman" w:eastAsia="Times New Roman" w:hAnsi="Times New Roman" w:cs="Times New Roman"/>
          <w:sz w:val="24"/>
          <w:szCs w:val="24"/>
        </w:rPr>
        <w:t xml:space="preserve"> difficulties</w:t>
      </w:r>
      <w:r w:rsidR="00AE59AD">
        <w:rPr>
          <w:rFonts w:ascii="Times New Roman" w:eastAsia="Times New Roman" w:hAnsi="Times New Roman" w:cs="Times New Roman"/>
          <w:sz w:val="24"/>
          <w:szCs w:val="24"/>
        </w:rPr>
        <w:t>.</w:t>
      </w:r>
      <w:r w:rsidRPr="00EB55C1">
        <w:rPr>
          <w:rFonts w:ascii="Times New Roman" w:eastAsia="Times New Roman" w:hAnsi="Times New Roman" w:cs="Times New Roman"/>
          <w:sz w:val="24"/>
          <w:szCs w:val="24"/>
        </w:rPr>
        <w:t xml:space="preserve"> </w:t>
      </w:r>
      <w:r w:rsidR="003A1873">
        <w:rPr>
          <w:rFonts w:ascii="Times New Roman" w:eastAsia="Times New Roman" w:hAnsi="Times New Roman" w:cs="Times New Roman"/>
          <w:sz w:val="24"/>
          <w:szCs w:val="24"/>
        </w:rPr>
        <w:t>Examples</w:t>
      </w:r>
      <w:r w:rsidR="00881D00">
        <w:rPr>
          <w:rFonts w:ascii="Times New Roman" w:eastAsia="Times New Roman" w:hAnsi="Times New Roman" w:cs="Times New Roman"/>
          <w:sz w:val="24"/>
          <w:szCs w:val="24"/>
        </w:rPr>
        <w:t xml:space="preserve"> of normative mechanisms</w:t>
      </w:r>
      <w:r w:rsidR="003A1873">
        <w:rPr>
          <w:rFonts w:ascii="Times New Roman" w:eastAsia="Times New Roman" w:hAnsi="Times New Roman" w:cs="Times New Roman"/>
          <w:sz w:val="24"/>
          <w:szCs w:val="24"/>
        </w:rPr>
        <w:t xml:space="preserve"> include </w:t>
      </w:r>
      <w:r w:rsidRPr="00EB55C1">
        <w:rPr>
          <w:rFonts w:ascii="Times New Roman" w:eastAsia="Times New Roman" w:hAnsi="Times New Roman" w:cs="Times New Roman"/>
          <w:sz w:val="24"/>
          <w:szCs w:val="24"/>
        </w:rPr>
        <w:t>mediation or conciliation procedures</w:t>
      </w:r>
      <w:r w:rsidR="00FF0C9A" w:rsidRPr="00EB55C1">
        <w:rPr>
          <w:rFonts w:ascii="Times New Roman" w:eastAsia="Times New Roman" w:hAnsi="Times New Roman" w:cs="Times New Roman"/>
          <w:sz w:val="24"/>
          <w:szCs w:val="24"/>
        </w:rPr>
        <w:t xml:space="preserve"> </w:t>
      </w:r>
      <w:r w:rsidR="00A52A72">
        <w:rPr>
          <w:rFonts w:ascii="Times New Roman" w:eastAsia="Times New Roman" w:hAnsi="Times New Roman" w:cs="Times New Roman"/>
          <w:sz w:val="24"/>
          <w:szCs w:val="24"/>
        </w:rPr>
        <w:t xml:space="preserve">devised </w:t>
      </w:r>
      <w:r w:rsidR="00FF0C9A" w:rsidRPr="00EB55C1">
        <w:rPr>
          <w:rFonts w:ascii="Times New Roman" w:eastAsia="Times New Roman" w:hAnsi="Times New Roman" w:cs="Times New Roman"/>
          <w:sz w:val="24"/>
          <w:szCs w:val="24"/>
        </w:rPr>
        <w:t xml:space="preserve">to settle </w:t>
      </w:r>
      <w:r w:rsidR="00AE59AD">
        <w:rPr>
          <w:rFonts w:ascii="Times New Roman" w:eastAsia="Times New Roman" w:hAnsi="Times New Roman" w:cs="Times New Roman"/>
          <w:sz w:val="24"/>
          <w:szCs w:val="24"/>
        </w:rPr>
        <w:t>potential</w:t>
      </w:r>
      <w:r w:rsidR="00A52A72">
        <w:rPr>
          <w:rFonts w:ascii="Times New Roman" w:eastAsia="Times New Roman" w:hAnsi="Times New Roman" w:cs="Times New Roman"/>
          <w:sz w:val="24"/>
          <w:szCs w:val="24"/>
        </w:rPr>
        <w:t xml:space="preserve"> </w:t>
      </w:r>
      <w:r w:rsidR="00FF0C9A" w:rsidRPr="00EB55C1">
        <w:rPr>
          <w:rFonts w:ascii="Times New Roman" w:eastAsia="Times New Roman" w:hAnsi="Times New Roman" w:cs="Times New Roman"/>
          <w:sz w:val="24"/>
          <w:szCs w:val="24"/>
        </w:rPr>
        <w:t>disputes</w:t>
      </w:r>
      <w:r w:rsidR="00A52A72">
        <w:rPr>
          <w:rFonts w:ascii="Times New Roman" w:eastAsia="Times New Roman" w:hAnsi="Times New Roman" w:cs="Times New Roman"/>
          <w:sz w:val="24"/>
          <w:szCs w:val="24"/>
        </w:rPr>
        <w:t xml:space="preserve"> between states that may arise </w:t>
      </w:r>
      <w:r w:rsidR="004D7AFA">
        <w:rPr>
          <w:rFonts w:ascii="Times New Roman" w:eastAsia="Times New Roman" w:hAnsi="Times New Roman" w:cs="Times New Roman"/>
          <w:sz w:val="24"/>
          <w:szCs w:val="24"/>
        </w:rPr>
        <w:t xml:space="preserve">regarding </w:t>
      </w:r>
      <w:r w:rsidR="00A52A72">
        <w:rPr>
          <w:rFonts w:ascii="Times New Roman" w:eastAsia="Times New Roman" w:hAnsi="Times New Roman" w:cs="Times New Roman"/>
          <w:sz w:val="24"/>
          <w:szCs w:val="24"/>
        </w:rPr>
        <w:t>the protection of cultural property.</w:t>
      </w:r>
      <w:r w:rsidR="00FF0C9A" w:rsidRPr="00EB55C1">
        <w:rPr>
          <w:rFonts w:ascii="Times New Roman" w:eastAsia="Times New Roman" w:hAnsi="Times New Roman" w:cs="Times New Roman"/>
          <w:sz w:val="24"/>
          <w:szCs w:val="24"/>
        </w:rPr>
        <w:t xml:space="preserve"> </w:t>
      </w:r>
      <w:r w:rsidR="003A1873">
        <w:rPr>
          <w:rFonts w:ascii="Times New Roman" w:eastAsia="Times New Roman" w:hAnsi="Times New Roman" w:cs="Times New Roman"/>
          <w:sz w:val="24"/>
          <w:szCs w:val="24"/>
        </w:rPr>
        <w:t xml:space="preserve">The </w:t>
      </w:r>
      <w:r w:rsidR="00881D00">
        <w:rPr>
          <w:rFonts w:ascii="Times New Roman" w:eastAsia="Times New Roman" w:hAnsi="Times New Roman" w:cs="Times New Roman"/>
          <w:sz w:val="24"/>
          <w:szCs w:val="24"/>
        </w:rPr>
        <w:t>creation</w:t>
      </w:r>
      <w:r w:rsidR="003A1873">
        <w:rPr>
          <w:rFonts w:ascii="Times New Roman" w:eastAsia="Times New Roman" w:hAnsi="Times New Roman" w:cs="Times New Roman"/>
          <w:sz w:val="24"/>
          <w:szCs w:val="24"/>
        </w:rPr>
        <w:t xml:space="preserve"> of n</w:t>
      </w:r>
      <w:r w:rsidR="00FF0C9A" w:rsidRPr="00EB55C1">
        <w:rPr>
          <w:rFonts w:ascii="Times New Roman" w:eastAsia="Times New Roman" w:hAnsi="Times New Roman" w:cs="Times New Roman"/>
          <w:sz w:val="24"/>
          <w:szCs w:val="24"/>
        </w:rPr>
        <w:t xml:space="preserve">ational periodic reporting mechanisms </w:t>
      </w:r>
      <w:r w:rsidR="00677C88">
        <w:rPr>
          <w:rFonts w:ascii="Times New Roman" w:eastAsia="Times New Roman" w:hAnsi="Times New Roman" w:cs="Times New Roman"/>
          <w:sz w:val="24"/>
          <w:szCs w:val="24"/>
        </w:rPr>
        <w:t xml:space="preserve">also </w:t>
      </w:r>
      <w:r w:rsidR="003A1873">
        <w:rPr>
          <w:rFonts w:ascii="Times New Roman" w:eastAsia="Times New Roman" w:hAnsi="Times New Roman" w:cs="Times New Roman"/>
          <w:sz w:val="24"/>
          <w:szCs w:val="24"/>
        </w:rPr>
        <w:t>offer</w:t>
      </w:r>
      <w:r w:rsidR="00AA4A5A">
        <w:rPr>
          <w:rFonts w:ascii="Times New Roman" w:eastAsia="Times New Roman" w:hAnsi="Times New Roman" w:cs="Times New Roman"/>
          <w:sz w:val="24"/>
          <w:szCs w:val="24"/>
        </w:rPr>
        <w:t>s</w:t>
      </w:r>
      <w:r w:rsidR="003A1873">
        <w:rPr>
          <w:rFonts w:ascii="Times New Roman" w:eastAsia="Times New Roman" w:hAnsi="Times New Roman" w:cs="Times New Roman"/>
          <w:sz w:val="24"/>
          <w:szCs w:val="24"/>
        </w:rPr>
        <w:t xml:space="preserve"> states</w:t>
      </w:r>
      <w:r w:rsidR="00A52A72">
        <w:rPr>
          <w:rFonts w:ascii="Times New Roman" w:eastAsia="Times New Roman" w:hAnsi="Times New Roman" w:cs="Times New Roman"/>
          <w:sz w:val="24"/>
          <w:szCs w:val="24"/>
        </w:rPr>
        <w:t xml:space="preserve"> </w:t>
      </w:r>
      <w:r w:rsidR="00FF0C9A" w:rsidRPr="00EB55C1">
        <w:rPr>
          <w:rFonts w:ascii="Times New Roman" w:eastAsia="Times New Roman" w:hAnsi="Times New Roman" w:cs="Times New Roman"/>
          <w:sz w:val="24"/>
          <w:szCs w:val="24"/>
        </w:rPr>
        <w:t>a tool</w:t>
      </w:r>
      <w:r w:rsidR="00A52A72">
        <w:rPr>
          <w:rFonts w:ascii="Times New Roman" w:eastAsia="Times New Roman" w:hAnsi="Times New Roman" w:cs="Times New Roman"/>
          <w:sz w:val="24"/>
          <w:szCs w:val="24"/>
        </w:rPr>
        <w:t xml:space="preserve"> </w:t>
      </w:r>
      <w:r w:rsidR="00FF0C9A" w:rsidRPr="00EB55C1">
        <w:rPr>
          <w:rFonts w:ascii="Times New Roman" w:eastAsia="Times New Roman" w:hAnsi="Times New Roman" w:cs="Times New Roman"/>
          <w:sz w:val="24"/>
          <w:szCs w:val="24"/>
        </w:rPr>
        <w:t xml:space="preserve">to </w:t>
      </w:r>
      <w:r w:rsidR="003A1873">
        <w:rPr>
          <w:rFonts w:ascii="Times New Roman" w:eastAsia="Times New Roman" w:hAnsi="Times New Roman" w:cs="Times New Roman"/>
          <w:sz w:val="24"/>
          <w:szCs w:val="24"/>
        </w:rPr>
        <w:t xml:space="preserve">model best practices </w:t>
      </w:r>
      <w:r w:rsidR="00AE59AD">
        <w:rPr>
          <w:rFonts w:ascii="Times New Roman" w:eastAsia="Times New Roman" w:hAnsi="Times New Roman" w:cs="Times New Roman"/>
          <w:sz w:val="24"/>
          <w:szCs w:val="24"/>
        </w:rPr>
        <w:t>a</w:t>
      </w:r>
      <w:r w:rsidR="00AA4A5A">
        <w:rPr>
          <w:rFonts w:ascii="Times New Roman" w:eastAsia="Times New Roman" w:hAnsi="Times New Roman" w:cs="Times New Roman"/>
          <w:sz w:val="24"/>
          <w:szCs w:val="24"/>
        </w:rPr>
        <w:t>s well as</w:t>
      </w:r>
      <w:r w:rsidR="00AE59AD">
        <w:rPr>
          <w:rFonts w:ascii="Times New Roman" w:eastAsia="Times New Roman" w:hAnsi="Times New Roman" w:cs="Times New Roman"/>
          <w:sz w:val="24"/>
          <w:szCs w:val="24"/>
        </w:rPr>
        <w:t xml:space="preserve"> </w:t>
      </w:r>
      <w:r w:rsidR="00DE4DC6">
        <w:rPr>
          <w:rFonts w:ascii="Times New Roman" w:eastAsia="Times New Roman" w:hAnsi="Times New Roman" w:cs="Times New Roman"/>
          <w:sz w:val="24"/>
          <w:szCs w:val="24"/>
        </w:rPr>
        <w:t xml:space="preserve">encourage </w:t>
      </w:r>
      <w:r w:rsidR="00881D00">
        <w:rPr>
          <w:rFonts w:ascii="Times New Roman" w:eastAsia="Times New Roman" w:hAnsi="Times New Roman" w:cs="Times New Roman"/>
          <w:sz w:val="24"/>
          <w:szCs w:val="24"/>
        </w:rPr>
        <w:t xml:space="preserve">other nations </w:t>
      </w:r>
      <w:r w:rsidR="00AA4A5A">
        <w:rPr>
          <w:rFonts w:ascii="Times New Roman" w:eastAsia="Times New Roman" w:hAnsi="Times New Roman" w:cs="Times New Roman"/>
          <w:sz w:val="24"/>
          <w:szCs w:val="24"/>
        </w:rPr>
        <w:t xml:space="preserve">to apply similar initiatives </w:t>
      </w:r>
      <w:r w:rsidR="00AE59AD">
        <w:rPr>
          <w:rFonts w:ascii="Times New Roman" w:eastAsia="Times New Roman" w:hAnsi="Times New Roman" w:cs="Times New Roman"/>
          <w:sz w:val="24"/>
          <w:szCs w:val="24"/>
        </w:rPr>
        <w:t>when relevant</w:t>
      </w:r>
      <w:r w:rsidR="00A52A72">
        <w:rPr>
          <w:rFonts w:ascii="Times New Roman" w:eastAsia="Times New Roman" w:hAnsi="Times New Roman" w:cs="Times New Roman"/>
          <w:sz w:val="24"/>
          <w:szCs w:val="24"/>
        </w:rPr>
        <w:t xml:space="preserve">. </w:t>
      </w:r>
      <w:r w:rsidR="003A1873">
        <w:rPr>
          <w:rFonts w:ascii="Times New Roman" w:eastAsia="Times New Roman" w:hAnsi="Times New Roman" w:cs="Times New Roman"/>
          <w:sz w:val="24"/>
          <w:szCs w:val="24"/>
        </w:rPr>
        <w:t>The compilation of i</w:t>
      </w:r>
      <w:r w:rsidR="00AE59AD" w:rsidRPr="00AE59AD">
        <w:rPr>
          <w:rFonts w:ascii="Times New Roman" w:eastAsia="Times New Roman" w:hAnsi="Times New Roman" w:cs="Times New Roman"/>
          <w:sz w:val="24"/>
          <w:szCs w:val="24"/>
        </w:rPr>
        <w:t>nternational lists of cultural property</w:t>
      </w:r>
      <w:r w:rsidR="003A1873">
        <w:rPr>
          <w:rFonts w:ascii="Times New Roman" w:eastAsia="Times New Roman" w:hAnsi="Times New Roman" w:cs="Times New Roman"/>
          <w:sz w:val="24"/>
          <w:szCs w:val="24"/>
        </w:rPr>
        <w:t xml:space="preserve"> provide </w:t>
      </w:r>
      <w:r w:rsidR="00AA4A5A">
        <w:rPr>
          <w:rFonts w:ascii="Times New Roman" w:eastAsia="Times New Roman" w:hAnsi="Times New Roman" w:cs="Times New Roman"/>
          <w:sz w:val="24"/>
          <w:szCs w:val="24"/>
        </w:rPr>
        <w:t xml:space="preserve">yet </w:t>
      </w:r>
      <w:r w:rsidR="003A1873">
        <w:rPr>
          <w:rFonts w:ascii="Times New Roman" w:eastAsia="Times New Roman" w:hAnsi="Times New Roman" w:cs="Times New Roman"/>
          <w:sz w:val="24"/>
          <w:szCs w:val="24"/>
        </w:rPr>
        <w:t>another example</w:t>
      </w:r>
      <w:r w:rsidR="00AA4A5A">
        <w:rPr>
          <w:rFonts w:ascii="Times New Roman" w:eastAsia="Times New Roman" w:hAnsi="Times New Roman" w:cs="Times New Roman"/>
          <w:sz w:val="24"/>
          <w:szCs w:val="24"/>
        </w:rPr>
        <w:t xml:space="preserve"> of normative mechanisms</w:t>
      </w:r>
      <w:r w:rsidR="003A1873">
        <w:rPr>
          <w:rFonts w:ascii="Times New Roman" w:eastAsia="Times New Roman" w:hAnsi="Times New Roman" w:cs="Times New Roman"/>
          <w:sz w:val="24"/>
          <w:szCs w:val="24"/>
        </w:rPr>
        <w:t xml:space="preserve">. </w:t>
      </w:r>
      <w:r w:rsidR="00881D00">
        <w:rPr>
          <w:rFonts w:ascii="Times New Roman" w:eastAsia="Times New Roman" w:hAnsi="Times New Roman" w:cs="Times New Roman"/>
          <w:sz w:val="24"/>
          <w:szCs w:val="24"/>
        </w:rPr>
        <w:lastRenderedPageBreak/>
        <w:t>Such lists</w:t>
      </w:r>
      <w:r w:rsidR="00AE59AD" w:rsidRPr="00AE59AD">
        <w:rPr>
          <w:rFonts w:ascii="Times New Roman" w:eastAsia="Times New Roman" w:hAnsi="Times New Roman" w:cs="Times New Roman"/>
          <w:sz w:val="24"/>
          <w:szCs w:val="24"/>
        </w:rPr>
        <w:t xml:space="preserve"> </w:t>
      </w:r>
      <w:r w:rsidR="00881D00">
        <w:rPr>
          <w:rFonts w:ascii="Times New Roman" w:eastAsia="Times New Roman" w:hAnsi="Times New Roman" w:cs="Times New Roman"/>
          <w:sz w:val="24"/>
          <w:szCs w:val="24"/>
        </w:rPr>
        <w:t>rapidly</w:t>
      </w:r>
      <w:r w:rsidR="00881D00" w:rsidRPr="00AE59AD">
        <w:rPr>
          <w:rFonts w:ascii="Times New Roman" w:eastAsia="Times New Roman" w:hAnsi="Times New Roman" w:cs="Times New Roman"/>
          <w:sz w:val="24"/>
          <w:szCs w:val="24"/>
        </w:rPr>
        <w:t xml:space="preserve"> </w:t>
      </w:r>
      <w:r w:rsidR="00AE59AD" w:rsidRPr="00AE59AD">
        <w:rPr>
          <w:rFonts w:ascii="Times New Roman" w:eastAsia="Times New Roman" w:hAnsi="Times New Roman" w:cs="Times New Roman"/>
          <w:sz w:val="24"/>
          <w:szCs w:val="24"/>
        </w:rPr>
        <w:t>identif</w:t>
      </w:r>
      <w:r w:rsidR="00881D00">
        <w:rPr>
          <w:rFonts w:ascii="Times New Roman" w:eastAsia="Times New Roman" w:hAnsi="Times New Roman" w:cs="Times New Roman"/>
          <w:sz w:val="24"/>
          <w:szCs w:val="24"/>
        </w:rPr>
        <w:t>y</w:t>
      </w:r>
      <w:r w:rsidR="00AE59AD" w:rsidRPr="00AE59AD">
        <w:rPr>
          <w:rFonts w:ascii="Times New Roman" w:eastAsia="Times New Roman" w:hAnsi="Times New Roman" w:cs="Times New Roman"/>
          <w:sz w:val="24"/>
          <w:szCs w:val="24"/>
        </w:rPr>
        <w:t xml:space="preserve"> the most valuable cultural property in the course of </w:t>
      </w:r>
      <w:r w:rsidR="00885CF8">
        <w:rPr>
          <w:rFonts w:ascii="Times New Roman" w:eastAsia="Times New Roman" w:hAnsi="Times New Roman" w:cs="Times New Roman"/>
          <w:sz w:val="24"/>
          <w:szCs w:val="24"/>
        </w:rPr>
        <w:t xml:space="preserve">an </w:t>
      </w:r>
      <w:r w:rsidR="00AE59AD" w:rsidRPr="00AE59AD">
        <w:rPr>
          <w:rFonts w:ascii="Times New Roman" w:eastAsia="Times New Roman" w:hAnsi="Times New Roman" w:cs="Times New Roman"/>
          <w:sz w:val="24"/>
          <w:szCs w:val="24"/>
        </w:rPr>
        <w:t>armed conflict. By increasing the international visibility of these cultural sites, these lists significantly reinforce their protection</w:t>
      </w:r>
      <w:r w:rsidR="00C70DA3" w:rsidRPr="00EB55C1">
        <w:rPr>
          <w:rFonts w:ascii="Times New Roman" w:eastAsia="Times New Roman" w:hAnsi="Times New Roman" w:cs="Times New Roman"/>
          <w:sz w:val="24"/>
          <w:szCs w:val="24"/>
        </w:rPr>
        <w:t>.</w:t>
      </w:r>
      <w:r w:rsidR="00FF0C9A" w:rsidRPr="00EB55C1">
        <w:rPr>
          <w:rFonts w:ascii="Times New Roman" w:eastAsia="Times New Roman" w:hAnsi="Times New Roman" w:cs="Times New Roman"/>
          <w:sz w:val="24"/>
          <w:szCs w:val="24"/>
        </w:rPr>
        <w:t xml:space="preserve"> </w:t>
      </w:r>
    </w:p>
    <w:p w14:paraId="11E07428" w14:textId="26AA5FAD" w:rsidR="00F77D64" w:rsidRPr="00EB55C1" w:rsidRDefault="00FF0C9A" w:rsidP="00D007BC">
      <w:pPr>
        <w:spacing w:before="120" w:after="120" w:line="480" w:lineRule="auto"/>
        <w:ind w:firstLine="708"/>
        <w:rPr>
          <w:rFonts w:ascii="Times New Roman" w:eastAsia="Times New Roman" w:hAnsi="Times New Roman" w:cs="Times New Roman"/>
          <w:color w:val="000000"/>
          <w:sz w:val="24"/>
          <w:szCs w:val="24"/>
          <w:lang w:eastAsia="fr-CH"/>
        </w:rPr>
      </w:pPr>
      <w:r w:rsidRPr="00EB55C1">
        <w:rPr>
          <w:rFonts w:ascii="Times New Roman" w:eastAsia="Times New Roman" w:hAnsi="Times New Roman" w:cs="Times New Roman"/>
          <w:sz w:val="24"/>
          <w:szCs w:val="24"/>
        </w:rPr>
        <w:t>Institutional mechanisms</w:t>
      </w:r>
      <w:r w:rsidR="00B02B09">
        <w:rPr>
          <w:rFonts w:ascii="Times New Roman" w:eastAsia="Times New Roman" w:hAnsi="Times New Roman" w:cs="Times New Roman"/>
          <w:sz w:val="24"/>
          <w:szCs w:val="24"/>
        </w:rPr>
        <w:t xml:space="preserve"> or bodies</w:t>
      </w:r>
      <w:r w:rsidRPr="00EB55C1">
        <w:rPr>
          <w:rFonts w:ascii="Times New Roman" w:eastAsia="Times New Roman" w:hAnsi="Times New Roman" w:cs="Times New Roman"/>
          <w:sz w:val="24"/>
          <w:szCs w:val="24"/>
        </w:rPr>
        <w:t xml:space="preserve"> are also important component</w:t>
      </w:r>
      <w:r w:rsidR="00C70DA3" w:rsidRPr="00EB55C1">
        <w:rPr>
          <w:rFonts w:ascii="Times New Roman" w:eastAsia="Times New Roman" w:hAnsi="Times New Roman" w:cs="Times New Roman"/>
          <w:sz w:val="24"/>
          <w:szCs w:val="24"/>
        </w:rPr>
        <w:t>s</w:t>
      </w:r>
      <w:r w:rsidRPr="00EB55C1">
        <w:rPr>
          <w:rFonts w:ascii="Times New Roman" w:eastAsia="Times New Roman" w:hAnsi="Times New Roman" w:cs="Times New Roman"/>
          <w:sz w:val="24"/>
          <w:szCs w:val="24"/>
        </w:rPr>
        <w:t xml:space="preserve"> of </w:t>
      </w:r>
      <w:r w:rsidR="00C70DA3" w:rsidRPr="00EB55C1">
        <w:rPr>
          <w:rFonts w:ascii="Times New Roman" w:eastAsia="Times New Roman" w:hAnsi="Times New Roman" w:cs="Times New Roman"/>
          <w:sz w:val="24"/>
          <w:szCs w:val="24"/>
        </w:rPr>
        <w:t>today’s</w:t>
      </w:r>
      <w:r w:rsidRPr="00EB55C1">
        <w:rPr>
          <w:rFonts w:ascii="Times New Roman" w:eastAsia="Times New Roman" w:hAnsi="Times New Roman" w:cs="Times New Roman"/>
          <w:sz w:val="24"/>
          <w:szCs w:val="24"/>
        </w:rPr>
        <w:t xml:space="preserve"> international system of protection of cultural property. </w:t>
      </w:r>
      <w:r w:rsidR="00AD4D8A">
        <w:rPr>
          <w:rFonts w:ascii="Times New Roman" w:eastAsia="Times New Roman" w:hAnsi="Times New Roman" w:cs="Times New Roman"/>
          <w:sz w:val="24"/>
          <w:szCs w:val="24"/>
        </w:rPr>
        <w:t>Supervisory or advisory in nature, t</w:t>
      </w:r>
      <w:r w:rsidRPr="00EB55C1">
        <w:rPr>
          <w:rFonts w:ascii="Times New Roman" w:eastAsia="Times New Roman" w:hAnsi="Times New Roman" w:cs="Times New Roman"/>
          <w:sz w:val="24"/>
          <w:szCs w:val="24"/>
        </w:rPr>
        <w:t xml:space="preserve">hese are arrangements, </w:t>
      </w:r>
      <w:r w:rsidRPr="00962461">
        <w:rPr>
          <w:rFonts w:ascii="Times New Roman" w:eastAsia="Times New Roman" w:hAnsi="Times New Roman" w:cs="Times New Roman"/>
          <w:sz w:val="24"/>
          <w:szCs w:val="24"/>
        </w:rPr>
        <w:t>inter alia</w:t>
      </w:r>
      <w:r w:rsidRPr="00EB55C1">
        <w:rPr>
          <w:rFonts w:ascii="Times New Roman" w:eastAsia="Times New Roman" w:hAnsi="Times New Roman" w:cs="Times New Roman"/>
          <w:sz w:val="24"/>
          <w:szCs w:val="24"/>
        </w:rPr>
        <w:t xml:space="preserve">, to monitor the application of and compliance with treaties or to assist in their implementation. Some of these are treaty-based statutory </w:t>
      </w:r>
      <w:r w:rsidR="00FE7A99">
        <w:rPr>
          <w:rFonts w:ascii="Times New Roman" w:eastAsia="Times New Roman" w:hAnsi="Times New Roman" w:cs="Times New Roman"/>
          <w:sz w:val="24"/>
          <w:szCs w:val="24"/>
        </w:rPr>
        <w:t xml:space="preserve">governing </w:t>
      </w:r>
      <w:r w:rsidRPr="00EB55C1">
        <w:rPr>
          <w:rFonts w:ascii="Times New Roman" w:eastAsia="Times New Roman" w:hAnsi="Times New Roman" w:cs="Times New Roman"/>
          <w:sz w:val="24"/>
          <w:szCs w:val="24"/>
        </w:rPr>
        <w:t>bodies, such as intergovernmental committees, while others are based on domestic arrangements or derive from the work of international organizations and entities mandated to work for the protection of cultural property in armed conflict. International governmental and non</w:t>
      </w:r>
      <w:r w:rsidR="00634618" w:rsidRPr="00EB55C1">
        <w:rPr>
          <w:rFonts w:ascii="Times New Roman" w:eastAsia="Times New Roman" w:hAnsi="Times New Roman" w:cs="Times New Roman"/>
          <w:sz w:val="24"/>
          <w:szCs w:val="24"/>
        </w:rPr>
        <w:t>governmental</w:t>
      </w:r>
      <w:r w:rsidRPr="00EB55C1">
        <w:rPr>
          <w:rFonts w:ascii="Times New Roman" w:eastAsia="Times New Roman" w:hAnsi="Times New Roman" w:cs="Times New Roman"/>
          <w:sz w:val="24"/>
          <w:szCs w:val="24"/>
        </w:rPr>
        <w:t xml:space="preserve"> organizations also fall under this </w:t>
      </w:r>
      <w:r w:rsidR="00CA6B83" w:rsidRPr="00EB55C1">
        <w:rPr>
          <w:rFonts w:ascii="Times New Roman" w:eastAsia="Times New Roman" w:hAnsi="Times New Roman" w:cs="Times New Roman"/>
          <w:sz w:val="24"/>
          <w:szCs w:val="24"/>
        </w:rPr>
        <w:t>category</w:t>
      </w:r>
      <w:r w:rsidRPr="00EB55C1">
        <w:rPr>
          <w:rFonts w:ascii="Times New Roman" w:eastAsia="Times New Roman" w:hAnsi="Times New Roman" w:cs="Times New Roman"/>
          <w:sz w:val="24"/>
          <w:szCs w:val="24"/>
        </w:rPr>
        <w:t xml:space="preserve">. </w:t>
      </w:r>
    </w:p>
    <w:p w14:paraId="3A7BB917" w14:textId="77777777" w:rsidR="0060015D" w:rsidRPr="00EB55C1" w:rsidRDefault="0060015D" w:rsidP="00D007BC">
      <w:pPr>
        <w:spacing w:before="120" w:after="120" w:line="480" w:lineRule="auto"/>
        <w:rPr>
          <w:rFonts w:ascii="Times New Roman" w:eastAsia="Times New Roman" w:hAnsi="Times New Roman" w:cs="Times New Roman"/>
          <w:sz w:val="24"/>
          <w:szCs w:val="24"/>
        </w:rPr>
      </w:pPr>
    </w:p>
    <w:p w14:paraId="7BD8BBC0" w14:textId="1324E33A" w:rsidR="00435DC2" w:rsidRPr="00EB55C1" w:rsidRDefault="00AE1CE7" w:rsidP="00EE6F41">
      <w:pPr>
        <w:pStyle w:val="Heading2"/>
        <w:spacing w:line="480" w:lineRule="auto"/>
      </w:pPr>
      <w:r w:rsidRPr="00EB55C1">
        <w:t xml:space="preserve">International </w:t>
      </w:r>
      <w:r w:rsidR="00DD20EA">
        <w:t>L</w:t>
      </w:r>
      <w:r w:rsidRPr="00EB55C1">
        <w:t xml:space="preserve">ists of </w:t>
      </w:r>
      <w:r w:rsidR="00DD20EA">
        <w:t>C</w:t>
      </w:r>
      <w:r w:rsidRPr="00EB55C1">
        <w:t xml:space="preserve">ultural </w:t>
      </w:r>
      <w:r w:rsidR="00DD20EA">
        <w:t>P</w:t>
      </w:r>
      <w:r w:rsidRPr="00EB55C1">
        <w:t xml:space="preserve">roperty as </w:t>
      </w:r>
      <w:r w:rsidR="00DD20EA">
        <w:t>N</w:t>
      </w:r>
      <w:r w:rsidRPr="00EB55C1">
        <w:t xml:space="preserve">ormative </w:t>
      </w:r>
      <w:r w:rsidR="00DD20EA">
        <w:t>M</w:t>
      </w:r>
      <w:r w:rsidRPr="00EB55C1">
        <w:t>echanisms</w:t>
      </w:r>
    </w:p>
    <w:p w14:paraId="75AB9CC1" w14:textId="71252D96" w:rsidR="00CA6B83" w:rsidRPr="00EB55C1" w:rsidRDefault="00A525F7" w:rsidP="006952D9">
      <w:pPr>
        <w:spacing w:before="120" w:after="120" w:line="480" w:lineRule="auto"/>
        <w:rPr>
          <w:rFonts w:ascii="Times New Roman" w:eastAsia="Times New Roman" w:hAnsi="Times New Roman" w:cs="Times New Roman"/>
          <w:sz w:val="24"/>
          <w:szCs w:val="24"/>
        </w:rPr>
      </w:pPr>
      <w:r w:rsidRPr="00EB55C1">
        <w:rPr>
          <w:rFonts w:ascii="Times New Roman" w:eastAsia="Times New Roman" w:hAnsi="Times New Roman" w:cs="Times New Roman"/>
          <w:sz w:val="24"/>
          <w:szCs w:val="24"/>
        </w:rPr>
        <w:t>T</w:t>
      </w:r>
      <w:r w:rsidR="00213851" w:rsidRPr="00EB55C1">
        <w:rPr>
          <w:rFonts w:ascii="Times New Roman" w:eastAsia="Times New Roman" w:hAnsi="Times New Roman" w:cs="Times New Roman"/>
          <w:sz w:val="24"/>
          <w:szCs w:val="24"/>
        </w:rPr>
        <w:t xml:space="preserve">he difficulty </w:t>
      </w:r>
      <w:r w:rsidR="005C3781">
        <w:rPr>
          <w:rFonts w:ascii="Times New Roman" w:eastAsia="Times New Roman" w:hAnsi="Times New Roman" w:cs="Times New Roman"/>
          <w:sz w:val="24"/>
          <w:szCs w:val="24"/>
        </w:rPr>
        <w:t>of</w:t>
      </w:r>
      <w:r w:rsidR="005C3781" w:rsidRPr="00EB55C1">
        <w:rPr>
          <w:rFonts w:ascii="Times New Roman" w:eastAsia="Times New Roman" w:hAnsi="Times New Roman" w:cs="Times New Roman"/>
          <w:sz w:val="24"/>
          <w:szCs w:val="24"/>
        </w:rPr>
        <w:t xml:space="preserve"> </w:t>
      </w:r>
      <w:r w:rsidR="00CA6B83" w:rsidRPr="00EB55C1">
        <w:rPr>
          <w:rFonts w:ascii="Times New Roman" w:eastAsia="Times New Roman" w:hAnsi="Times New Roman" w:cs="Times New Roman"/>
          <w:sz w:val="24"/>
          <w:szCs w:val="24"/>
        </w:rPr>
        <w:t>identify</w:t>
      </w:r>
      <w:r w:rsidR="005C3781">
        <w:rPr>
          <w:rFonts w:ascii="Times New Roman" w:eastAsia="Times New Roman" w:hAnsi="Times New Roman" w:cs="Times New Roman"/>
          <w:sz w:val="24"/>
          <w:szCs w:val="24"/>
        </w:rPr>
        <w:t>ing</w:t>
      </w:r>
      <w:r w:rsidR="00CA6B83" w:rsidRPr="00EB55C1">
        <w:rPr>
          <w:rFonts w:ascii="Times New Roman" w:eastAsia="Times New Roman" w:hAnsi="Times New Roman" w:cs="Times New Roman"/>
          <w:sz w:val="24"/>
          <w:szCs w:val="24"/>
        </w:rPr>
        <w:t xml:space="preserve"> protected</w:t>
      </w:r>
      <w:r w:rsidR="00213851" w:rsidRPr="00EB55C1">
        <w:rPr>
          <w:rFonts w:ascii="Times New Roman" w:eastAsia="Times New Roman" w:hAnsi="Times New Roman" w:cs="Times New Roman"/>
          <w:sz w:val="24"/>
          <w:szCs w:val="24"/>
        </w:rPr>
        <w:t xml:space="preserve"> cultural </w:t>
      </w:r>
      <w:r w:rsidR="00CA6B83" w:rsidRPr="00EB55C1">
        <w:rPr>
          <w:rFonts w:ascii="Times New Roman" w:eastAsia="Times New Roman" w:hAnsi="Times New Roman" w:cs="Times New Roman"/>
          <w:sz w:val="24"/>
          <w:szCs w:val="24"/>
        </w:rPr>
        <w:t>property</w:t>
      </w:r>
      <w:r w:rsidR="00213851" w:rsidRPr="00EB55C1">
        <w:rPr>
          <w:rFonts w:ascii="Times New Roman" w:eastAsia="Times New Roman" w:hAnsi="Times New Roman" w:cs="Times New Roman"/>
          <w:sz w:val="24"/>
          <w:szCs w:val="24"/>
        </w:rPr>
        <w:t xml:space="preserve"> in time</w:t>
      </w:r>
      <w:r w:rsidR="00B36B90">
        <w:rPr>
          <w:rFonts w:ascii="Times New Roman" w:eastAsia="Times New Roman" w:hAnsi="Times New Roman" w:cs="Times New Roman"/>
          <w:sz w:val="24"/>
          <w:szCs w:val="24"/>
        </w:rPr>
        <w:t>s</w:t>
      </w:r>
      <w:r w:rsidR="00213851" w:rsidRPr="00EB55C1">
        <w:rPr>
          <w:rFonts w:ascii="Times New Roman" w:eastAsia="Times New Roman" w:hAnsi="Times New Roman" w:cs="Times New Roman"/>
          <w:sz w:val="24"/>
          <w:szCs w:val="24"/>
        </w:rPr>
        <w:t xml:space="preserve"> of </w:t>
      </w:r>
      <w:r w:rsidR="004D00B2">
        <w:rPr>
          <w:rFonts w:ascii="Times New Roman" w:eastAsia="Times New Roman" w:hAnsi="Times New Roman" w:cs="Times New Roman"/>
          <w:sz w:val="24"/>
          <w:szCs w:val="24"/>
        </w:rPr>
        <w:t xml:space="preserve">armed </w:t>
      </w:r>
      <w:r w:rsidR="00213851" w:rsidRPr="00EB55C1">
        <w:rPr>
          <w:rFonts w:ascii="Times New Roman" w:eastAsia="Times New Roman" w:hAnsi="Times New Roman" w:cs="Times New Roman"/>
          <w:sz w:val="24"/>
          <w:szCs w:val="24"/>
        </w:rPr>
        <w:t>hostilit</w:t>
      </w:r>
      <w:r w:rsidR="004D00B2">
        <w:rPr>
          <w:rFonts w:ascii="Times New Roman" w:eastAsia="Times New Roman" w:hAnsi="Times New Roman" w:cs="Times New Roman"/>
          <w:sz w:val="24"/>
          <w:szCs w:val="24"/>
        </w:rPr>
        <w:t>y</w:t>
      </w:r>
      <w:r w:rsidR="00213851" w:rsidRPr="00EB55C1">
        <w:rPr>
          <w:rFonts w:ascii="Times New Roman" w:eastAsia="Times New Roman" w:hAnsi="Times New Roman" w:cs="Times New Roman"/>
          <w:sz w:val="24"/>
          <w:szCs w:val="24"/>
        </w:rPr>
        <w:t xml:space="preserve"> and </w:t>
      </w:r>
      <w:r w:rsidR="009042CE" w:rsidRPr="00EB55C1">
        <w:rPr>
          <w:rFonts w:ascii="Times New Roman" w:eastAsia="Times New Roman" w:hAnsi="Times New Roman" w:cs="Times New Roman"/>
          <w:sz w:val="24"/>
          <w:szCs w:val="24"/>
        </w:rPr>
        <w:t xml:space="preserve">the </w:t>
      </w:r>
      <w:r w:rsidR="00213851" w:rsidRPr="00EB55C1">
        <w:rPr>
          <w:rFonts w:ascii="Times New Roman" w:eastAsia="Times New Roman" w:hAnsi="Times New Roman" w:cs="Times New Roman"/>
          <w:sz w:val="24"/>
          <w:szCs w:val="24"/>
        </w:rPr>
        <w:t xml:space="preserve">necessity to preserve, at minimum, sites that </w:t>
      </w:r>
      <w:r w:rsidR="00CA6B83" w:rsidRPr="00EB55C1">
        <w:rPr>
          <w:rFonts w:ascii="Times New Roman" w:eastAsia="Times New Roman" w:hAnsi="Times New Roman" w:cs="Times New Roman"/>
          <w:sz w:val="24"/>
          <w:szCs w:val="24"/>
        </w:rPr>
        <w:t>are of the</w:t>
      </w:r>
      <w:r w:rsidR="00213851" w:rsidRPr="00EB55C1">
        <w:rPr>
          <w:rFonts w:ascii="Times New Roman" w:eastAsia="Times New Roman" w:hAnsi="Times New Roman" w:cs="Times New Roman"/>
          <w:sz w:val="24"/>
          <w:szCs w:val="24"/>
        </w:rPr>
        <w:t xml:space="preserve"> “greatest importance for humanity</w:t>
      </w:r>
      <w:r w:rsidR="00B36B90">
        <w:rPr>
          <w:rFonts w:ascii="Times New Roman" w:eastAsia="Times New Roman" w:hAnsi="Times New Roman" w:cs="Times New Roman"/>
          <w:sz w:val="24"/>
          <w:szCs w:val="24"/>
        </w:rPr>
        <w:t>,</w:t>
      </w:r>
      <w:r w:rsidR="00213851" w:rsidRPr="00EB55C1">
        <w:rPr>
          <w:rFonts w:ascii="Times New Roman" w:eastAsia="Times New Roman" w:hAnsi="Times New Roman" w:cs="Times New Roman"/>
          <w:sz w:val="24"/>
          <w:szCs w:val="24"/>
        </w:rPr>
        <w:t xml:space="preserve">” </w:t>
      </w:r>
      <w:r w:rsidR="00BA2DB2" w:rsidRPr="00EB55C1">
        <w:rPr>
          <w:rFonts w:ascii="Times New Roman" w:eastAsia="Times New Roman" w:hAnsi="Times New Roman" w:cs="Times New Roman"/>
          <w:sz w:val="24"/>
          <w:szCs w:val="24"/>
        </w:rPr>
        <w:t xml:space="preserve">or </w:t>
      </w:r>
      <w:proofErr w:type="spellStart"/>
      <w:r w:rsidR="00B36B90">
        <w:rPr>
          <w:rFonts w:ascii="Times New Roman" w:eastAsia="Times New Roman" w:hAnsi="Times New Roman" w:cs="Times New Roman"/>
          <w:sz w:val="24"/>
          <w:szCs w:val="24"/>
        </w:rPr>
        <w:t>posess</w:t>
      </w:r>
      <w:proofErr w:type="spellEnd"/>
      <w:r w:rsidR="00CA6B83" w:rsidRPr="00EB55C1">
        <w:rPr>
          <w:rFonts w:ascii="Times New Roman" w:eastAsia="Times New Roman" w:hAnsi="Times New Roman" w:cs="Times New Roman"/>
          <w:sz w:val="24"/>
          <w:szCs w:val="24"/>
        </w:rPr>
        <w:t xml:space="preserve"> an </w:t>
      </w:r>
      <w:r w:rsidR="00BA2DB2" w:rsidRPr="00EB55C1">
        <w:rPr>
          <w:rFonts w:ascii="Times New Roman" w:eastAsia="Times New Roman" w:hAnsi="Times New Roman" w:cs="Times New Roman"/>
          <w:sz w:val="24"/>
          <w:szCs w:val="24"/>
        </w:rPr>
        <w:t>“outstanding universal value</w:t>
      </w:r>
      <w:r w:rsidR="00B36B90">
        <w:rPr>
          <w:rFonts w:ascii="Times New Roman" w:eastAsia="Times New Roman" w:hAnsi="Times New Roman" w:cs="Times New Roman"/>
          <w:sz w:val="24"/>
          <w:szCs w:val="24"/>
        </w:rPr>
        <w:t>,</w:t>
      </w:r>
      <w:r w:rsidR="00BA2DB2" w:rsidRPr="00EB55C1">
        <w:rPr>
          <w:rFonts w:ascii="Times New Roman" w:eastAsia="Times New Roman" w:hAnsi="Times New Roman" w:cs="Times New Roman"/>
          <w:sz w:val="24"/>
          <w:szCs w:val="24"/>
        </w:rPr>
        <w:t xml:space="preserve">” </w:t>
      </w:r>
      <w:r w:rsidR="00213851" w:rsidRPr="00EB55C1">
        <w:rPr>
          <w:rFonts w:ascii="Times New Roman" w:eastAsia="Times New Roman" w:hAnsi="Times New Roman" w:cs="Times New Roman"/>
          <w:sz w:val="24"/>
          <w:szCs w:val="24"/>
        </w:rPr>
        <w:t xml:space="preserve">paved the way for the creation of international lists of cultural sites. </w:t>
      </w:r>
      <w:r w:rsidR="00CA6B83" w:rsidRPr="00EB55C1">
        <w:rPr>
          <w:rFonts w:ascii="Times New Roman" w:eastAsia="Times New Roman" w:hAnsi="Times New Roman" w:cs="Times New Roman"/>
          <w:sz w:val="24"/>
          <w:szCs w:val="24"/>
        </w:rPr>
        <w:t>These</w:t>
      </w:r>
      <w:r w:rsidR="00F77D64" w:rsidRPr="00EB55C1">
        <w:rPr>
          <w:rFonts w:ascii="Times New Roman" w:eastAsia="Times New Roman" w:hAnsi="Times New Roman" w:cs="Times New Roman"/>
          <w:sz w:val="24"/>
          <w:szCs w:val="24"/>
        </w:rPr>
        <w:t xml:space="preserve"> </w:t>
      </w:r>
      <w:r w:rsidR="00396020">
        <w:rPr>
          <w:rFonts w:ascii="Times New Roman" w:eastAsia="Times New Roman" w:hAnsi="Times New Roman" w:cs="Times New Roman"/>
          <w:sz w:val="24"/>
          <w:szCs w:val="24"/>
        </w:rPr>
        <w:t>have been</w:t>
      </w:r>
      <w:r w:rsidR="00F77D64" w:rsidRPr="00EB55C1">
        <w:rPr>
          <w:rFonts w:ascii="Times New Roman" w:eastAsia="Times New Roman" w:hAnsi="Times New Roman" w:cs="Times New Roman"/>
          <w:sz w:val="24"/>
          <w:szCs w:val="24"/>
        </w:rPr>
        <w:t xml:space="preserve"> established under the</w:t>
      </w:r>
      <w:r w:rsidR="00CA6B83" w:rsidRPr="00EB55C1">
        <w:rPr>
          <w:rFonts w:ascii="Times New Roman" w:eastAsia="Times New Roman" w:hAnsi="Times New Roman" w:cs="Times New Roman"/>
          <w:sz w:val="24"/>
          <w:szCs w:val="24"/>
        </w:rPr>
        <w:t>ir</w:t>
      </w:r>
      <w:r w:rsidR="00F77D64" w:rsidRPr="00EB55C1">
        <w:rPr>
          <w:rFonts w:ascii="Times New Roman" w:eastAsia="Times New Roman" w:hAnsi="Times New Roman" w:cs="Times New Roman"/>
          <w:sz w:val="24"/>
          <w:szCs w:val="24"/>
        </w:rPr>
        <w:t xml:space="preserve"> respective treaties in the field of culture</w:t>
      </w:r>
      <w:r w:rsidR="00CA6B83" w:rsidRPr="00EB55C1">
        <w:rPr>
          <w:rFonts w:ascii="Times New Roman" w:eastAsia="Times New Roman" w:hAnsi="Times New Roman" w:cs="Times New Roman"/>
          <w:sz w:val="24"/>
          <w:szCs w:val="24"/>
        </w:rPr>
        <w:t xml:space="preserve"> and are</w:t>
      </w:r>
      <w:r w:rsidR="00F77D64" w:rsidRPr="00EB55C1">
        <w:rPr>
          <w:rFonts w:ascii="Times New Roman" w:eastAsia="Times New Roman" w:hAnsi="Times New Roman" w:cs="Times New Roman"/>
          <w:sz w:val="24"/>
          <w:szCs w:val="24"/>
        </w:rPr>
        <w:t xml:space="preserve"> notable examples </w:t>
      </w:r>
      <w:r w:rsidR="00CA6B83" w:rsidRPr="00EB55C1">
        <w:rPr>
          <w:rFonts w:ascii="Times New Roman" w:eastAsia="Times New Roman" w:hAnsi="Times New Roman" w:cs="Times New Roman"/>
          <w:sz w:val="24"/>
          <w:szCs w:val="24"/>
        </w:rPr>
        <w:t xml:space="preserve">of interesting </w:t>
      </w:r>
      <w:r w:rsidR="00213851" w:rsidRPr="00EB55C1">
        <w:rPr>
          <w:rFonts w:ascii="Times New Roman" w:eastAsia="Times New Roman" w:hAnsi="Times New Roman" w:cs="Times New Roman"/>
          <w:sz w:val="24"/>
          <w:szCs w:val="24"/>
        </w:rPr>
        <w:t>normative</w:t>
      </w:r>
      <w:r w:rsidR="00F77D64" w:rsidRPr="00EB55C1">
        <w:rPr>
          <w:rFonts w:ascii="Times New Roman" w:eastAsia="Times New Roman" w:hAnsi="Times New Roman" w:cs="Times New Roman"/>
          <w:sz w:val="24"/>
          <w:szCs w:val="24"/>
        </w:rPr>
        <w:t xml:space="preserve"> mechanisms. </w:t>
      </w:r>
      <w:r w:rsidR="00213851" w:rsidRPr="00EB55C1">
        <w:rPr>
          <w:rFonts w:ascii="Times New Roman" w:eastAsia="Times New Roman" w:hAnsi="Times New Roman" w:cs="Times New Roman"/>
          <w:sz w:val="24"/>
          <w:szCs w:val="24"/>
        </w:rPr>
        <w:t>They</w:t>
      </w:r>
      <w:r w:rsidR="00F77D64" w:rsidRPr="00EB55C1">
        <w:rPr>
          <w:rFonts w:ascii="Times New Roman" w:eastAsia="Times New Roman" w:hAnsi="Times New Roman" w:cs="Times New Roman"/>
          <w:sz w:val="24"/>
          <w:szCs w:val="24"/>
        </w:rPr>
        <w:t xml:space="preserve"> </w:t>
      </w:r>
      <w:r w:rsidR="00CA6B83" w:rsidRPr="00EB55C1">
        <w:rPr>
          <w:rFonts w:ascii="Times New Roman" w:eastAsia="Times New Roman" w:hAnsi="Times New Roman" w:cs="Times New Roman"/>
          <w:sz w:val="24"/>
          <w:szCs w:val="24"/>
        </w:rPr>
        <w:t xml:space="preserve">participate </w:t>
      </w:r>
      <w:r w:rsidR="00396020">
        <w:rPr>
          <w:rFonts w:ascii="Times New Roman" w:eastAsia="Times New Roman" w:hAnsi="Times New Roman" w:cs="Times New Roman"/>
          <w:sz w:val="24"/>
          <w:szCs w:val="24"/>
        </w:rPr>
        <w:t>in</w:t>
      </w:r>
      <w:r w:rsidR="00396020" w:rsidRPr="00EB55C1">
        <w:rPr>
          <w:rFonts w:ascii="Times New Roman" w:eastAsia="Times New Roman" w:hAnsi="Times New Roman" w:cs="Times New Roman"/>
          <w:sz w:val="24"/>
          <w:szCs w:val="24"/>
        </w:rPr>
        <w:t xml:space="preserve"> </w:t>
      </w:r>
      <w:r w:rsidR="00F77D64" w:rsidRPr="00EB55C1">
        <w:rPr>
          <w:rFonts w:ascii="Times New Roman" w:eastAsia="Times New Roman" w:hAnsi="Times New Roman" w:cs="Times New Roman"/>
          <w:sz w:val="24"/>
          <w:szCs w:val="24"/>
        </w:rPr>
        <w:t>provid</w:t>
      </w:r>
      <w:r w:rsidR="00CA6B83" w:rsidRPr="00EB55C1">
        <w:rPr>
          <w:rFonts w:ascii="Times New Roman" w:eastAsia="Times New Roman" w:hAnsi="Times New Roman" w:cs="Times New Roman"/>
          <w:sz w:val="24"/>
          <w:szCs w:val="24"/>
        </w:rPr>
        <w:t>ing a</w:t>
      </w:r>
      <w:r w:rsidR="00F77D64" w:rsidRPr="00EB55C1">
        <w:rPr>
          <w:rFonts w:ascii="Times New Roman" w:eastAsia="Times New Roman" w:hAnsi="Times New Roman" w:cs="Times New Roman"/>
          <w:sz w:val="24"/>
          <w:szCs w:val="24"/>
        </w:rPr>
        <w:t xml:space="preserve"> higher</w:t>
      </w:r>
      <w:r w:rsidR="00396020">
        <w:rPr>
          <w:rFonts w:ascii="Times New Roman" w:eastAsia="Times New Roman" w:hAnsi="Times New Roman" w:cs="Times New Roman"/>
          <w:sz w:val="24"/>
          <w:szCs w:val="24"/>
        </w:rPr>
        <w:t xml:space="preserve"> </w:t>
      </w:r>
      <w:r w:rsidR="00F77D64" w:rsidRPr="00EB55C1">
        <w:rPr>
          <w:rFonts w:ascii="Times New Roman" w:eastAsia="Times New Roman" w:hAnsi="Times New Roman" w:cs="Times New Roman"/>
          <w:sz w:val="24"/>
          <w:szCs w:val="24"/>
        </w:rPr>
        <w:t>level</w:t>
      </w:r>
      <w:r w:rsidR="00CA6B83" w:rsidRPr="00EB55C1">
        <w:rPr>
          <w:rFonts w:ascii="Times New Roman" w:eastAsia="Times New Roman" w:hAnsi="Times New Roman" w:cs="Times New Roman"/>
          <w:sz w:val="24"/>
          <w:szCs w:val="24"/>
        </w:rPr>
        <w:t xml:space="preserve"> of</w:t>
      </w:r>
      <w:r w:rsidR="00F77D64" w:rsidRPr="00EB55C1">
        <w:rPr>
          <w:rFonts w:ascii="Times New Roman" w:eastAsia="Times New Roman" w:hAnsi="Times New Roman" w:cs="Times New Roman"/>
          <w:sz w:val="24"/>
          <w:szCs w:val="24"/>
        </w:rPr>
        <w:t xml:space="preserve"> protection to a limited number of cultural properties</w:t>
      </w:r>
      <w:r w:rsidR="00CA6B83" w:rsidRPr="00EB55C1">
        <w:rPr>
          <w:rFonts w:ascii="Times New Roman" w:eastAsia="Times New Roman" w:hAnsi="Times New Roman" w:cs="Times New Roman"/>
          <w:sz w:val="24"/>
          <w:szCs w:val="24"/>
        </w:rPr>
        <w:t xml:space="preserve">, </w:t>
      </w:r>
      <w:r w:rsidR="00396020">
        <w:rPr>
          <w:rFonts w:ascii="Times New Roman" w:eastAsia="Times New Roman" w:hAnsi="Times New Roman" w:cs="Times New Roman"/>
          <w:sz w:val="24"/>
          <w:szCs w:val="24"/>
        </w:rPr>
        <w:t>whose</w:t>
      </w:r>
      <w:r w:rsidR="00396020" w:rsidRPr="00EB55C1">
        <w:rPr>
          <w:rFonts w:ascii="Times New Roman" w:eastAsia="Times New Roman" w:hAnsi="Times New Roman" w:cs="Times New Roman"/>
          <w:sz w:val="24"/>
          <w:szCs w:val="24"/>
        </w:rPr>
        <w:t xml:space="preserve"> </w:t>
      </w:r>
      <w:r w:rsidR="00CA6B83" w:rsidRPr="00EB55C1">
        <w:rPr>
          <w:rFonts w:ascii="Times New Roman" w:eastAsia="Times New Roman" w:hAnsi="Times New Roman" w:cs="Times New Roman"/>
          <w:sz w:val="24"/>
          <w:szCs w:val="24"/>
        </w:rPr>
        <w:t xml:space="preserve">higher cultural value is </w:t>
      </w:r>
      <w:r w:rsidR="00B328A9" w:rsidRPr="00EB55C1">
        <w:rPr>
          <w:rFonts w:ascii="Times New Roman" w:eastAsia="Times New Roman" w:hAnsi="Times New Roman" w:cs="Times New Roman"/>
          <w:sz w:val="24"/>
          <w:szCs w:val="24"/>
        </w:rPr>
        <w:t xml:space="preserve">measured </w:t>
      </w:r>
      <w:r w:rsidR="00CA6B83" w:rsidRPr="00EB55C1">
        <w:rPr>
          <w:rFonts w:ascii="Times New Roman" w:eastAsia="Times New Roman" w:hAnsi="Times New Roman" w:cs="Times New Roman"/>
          <w:sz w:val="24"/>
          <w:szCs w:val="24"/>
        </w:rPr>
        <w:t>by way of specific</w:t>
      </w:r>
      <w:r w:rsidR="00B328A9" w:rsidRPr="00EB55C1">
        <w:rPr>
          <w:rFonts w:ascii="Times New Roman" w:eastAsia="Times New Roman" w:hAnsi="Times New Roman" w:cs="Times New Roman"/>
          <w:sz w:val="24"/>
          <w:szCs w:val="24"/>
        </w:rPr>
        <w:t xml:space="preserve"> methodology and </w:t>
      </w:r>
      <w:r w:rsidR="00CA6B83" w:rsidRPr="00EB55C1">
        <w:rPr>
          <w:rFonts w:ascii="Times New Roman" w:eastAsia="Times New Roman" w:hAnsi="Times New Roman" w:cs="Times New Roman"/>
          <w:sz w:val="24"/>
          <w:szCs w:val="24"/>
        </w:rPr>
        <w:t xml:space="preserve">based on established </w:t>
      </w:r>
      <w:r w:rsidR="00B328A9" w:rsidRPr="00EB55C1">
        <w:rPr>
          <w:rFonts w:ascii="Times New Roman" w:eastAsia="Times New Roman" w:hAnsi="Times New Roman" w:cs="Times New Roman"/>
          <w:sz w:val="24"/>
          <w:szCs w:val="24"/>
        </w:rPr>
        <w:t>criteria</w:t>
      </w:r>
      <w:r w:rsidR="00F77D64" w:rsidRPr="00EB55C1">
        <w:rPr>
          <w:rFonts w:ascii="Times New Roman" w:eastAsia="Times New Roman" w:hAnsi="Times New Roman" w:cs="Times New Roman"/>
          <w:sz w:val="24"/>
          <w:szCs w:val="24"/>
        </w:rPr>
        <w:t xml:space="preserve">. </w:t>
      </w:r>
    </w:p>
    <w:p w14:paraId="5A9F3135" w14:textId="3A52C71B" w:rsidR="00C27F66" w:rsidRDefault="00CA6B83" w:rsidP="006952D9">
      <w:pPr>
        <w:spacing w:before="240" w:after="240" w:line="480" w:lineRule="auto"/>
        <w:ind w:firstLine="708"/>
        <w:rPr>
          <w:rFonts w:ascii="Times New Roman" w:eastAsia="Times New Roman" w:hAnsi="Times New Roman" w:cs="Times New Roman"/>
          <w:sz w:val="24"/>
          <w:szCs w:val="24"/>
        </w:rPr>
      </w:pPr>
      <w:r w:rsidRPr="00EB55C1">
        <w:rPr>
          <w:rFonts w:ascii="Times New Roman" w:eastAsia="Times New Roman" w:hAnsi="Times New Roman" w:cs="Times New Roman"/>
          <w:sz w:val="24"/>
          <w:szCs w:val="24"/>
        </w:rPr>
        <w:t>T</w:t>
      </w:r>
      <w:r w:rsidR="00F77D64" w:rsidRPr="00EB55C1">
        <w:rPr>
          <w:rFonts w:ascii="Times New Roman" w:eastAsia="Times New Roman" w:hAnsi="Times New Roman" w:cs="Times New Roman"/>
          <w:sz w:val="24"/>
          <w:szCs w:val="24"/>
        </w:rPr>
        <w:t xml:space="preserve">he idea of special protection </w:t>
      </w:r>
      <w:r w:rsidR="002E156E">
        <w:rPr>
          <w:rFonts w:ascii="Times New Roman" w:eastAsia="Times New Roman" w:hAnsi="Times New Roman" w:cs="Times New Roman"/>
          <w:sz w:val="24"/>
          <w:szCs w:val="24"/>
        </w:rPr>
        <w:t>for</w:t>
      </w:r>
      <w:r w:rsidR="002E156E" w:rsidRPr="00EB55C1">
        <w:rPr>
          <w:rFonts w:ascii="Times New Roman" w:eastAsia="Times New Roman" w:hAnsi="Times New Roman" w:cs="Times New Roman"/>
          <w:sz w:val="24"/>
          <w:szCs w:val="24"/>
        </w:rPr>
        <w:t xml:space="preserve"> </w:t>
      </w:r>
      <w:r w:rsidR="00F77D64" w:rsidRPr="00EB55C1">
        <w:rPr>
          <w:rFonts w:ascii="Times New Roman" w:eastAsia="Times New Roman" w:hAnsi="Times New Roman" w:cs="Times New Roman"/>
          <w:sz w:val="24"/>
          <w:szCs w:val="24"/>
        </w:rPr>
        <w:t xml:space="preserve">a select number of cultural properties originated </w:t>
      </w:r>
      <w:r w:rsidR="002E156E">
        <w:rPr>
          <w:rFonts w:ascii="Times New Roman" w:eastAsia="Times New Roman" w:hAnsi="Times New Roman" w:cs="Times New Roman"/>
          <w:sz w:val="24"/>
          <w:szCs w:val="24"/>
        </w:rPr>
        <w:t>in</w:t>
      </w:r>
      <w:r w:rsidR="002E156E" w:rsidRPr="00EB55C1">
        <w:rPr>
          <w:rFonts w:ascii="Times New Roman" w:eastAsia="Times New Roman" w:hAnsi="Times New Roman" w:cs="Times New Roman"/>
          <w:sz w:val="24"/>
          <w:szCs w:val="24"/>
        </w:rPr>
        <w:t xml:space="preserve"> </w:t>
      </w:r>
      <w:r w:rsidR="00F77D64" w:rsidRPr="00EB55C1">
        <w:rPr>
          <w:rFonts w:ascii="Times New Roman" w:eastAsia="Times New Roman" w:hAnsi="Times New Roman" w:cs="Times New Roman"/>
          <w:sz w:val="24"/>
          <w:szCs w:val="24"/>
        </w:rPr>
        <w:t xml:space="preserve">the Draft International Convention for the Protection of Historic Buildings and Works of Art in Time </w:t>
      </w:r>
      <w:r w:rsidR="00F77D64" w:rsidRPr="00EB55C1">
        <w:rPr>
          <w:rFonts w:ascii="Times New Roman" w:eastAsia="Times New Roman" w:hAnsi="Times New Roman" w:cs="Times New Roman"/>
          <w:sz w:val="24"/>
          <w:szCs w:val="24"/>
        </w:rPr>
        <w:lastRenderedPageBreak/>
        <w:t>of War prepared by the International Museums Office in 1938</w:t>
      </w:r>
      <w:r w:rsidRPr="00EB55C1">
        <w:rPr>
          <w:rFonts w:ascii="Times New Roman" w:eastAsia="Times New Roman" w:hAnsi="Times New Roman" w:cs="Times New Roman"/>
          <w:sz w:val="24"/>
          <w:szCs w:val="24"/>
        </w:rPr>
        <w:t xml:space="preserve">. It was </w:t>
      </w:r>
      <w:r w:rsidR="00F77D64" w:rsidRPr="00EB55C1">
        <w:rPr>
          <w:rFonts w:ascii="Times New Roman" w:eastAsia="Times New Roman" w:hAnsi="Times New Roman" w:cs="Times New Roman"/>
          <w:sz w:val="24"/>
          <w:szCs w:val="24"/>
        </w:rPr>
        <w:t>later integrated into the 1954 Hague Convention as a separate chapter titled “Special Protection</w:t>
      </w:r>
      <w:r w:rsidR="00CD7151">
        <w:rPr>
          <w:rFonts w:ascii="Times New Roman" w:eastAsia="Times New Roman" w:hAnsi="Times New Roman" w:cs="Times New Roman"/>
          <w:sz w:val="24"/>
          <w:szCs w:val="24"/>
        </w:rPr>
        <w:t>,”</w:t>
      </w:r>
      <w:r w:rsidR="00F77D64" w:rsidRPr="00EB55C1">
        <w:rPr>
          <w:rFonts w:ascii="Times New Roman" w:eastAsia="Times New Roman" w:hAnsi="Times New Roman" w:cs="Times New Roman"/>
          <w:sz w:val="24"/>
          <w:szCs w:val="24"/>
        </w:rPr>
        <w:t xml:space="preserve"> </w:t>
      </w:r>
      <w:r w:rsidR="00B36B90">
        <w:rPr>
          <w:rFonts w:ascii="Times New Roman" w:eastAsia="Times New Roman" w:hAnsi="Times New Roman" w:cs="Times New Roman"/>
          <w:sz w:val="24"/>
          <w:szCs w:val="24"/>
        </w:rPr>
        <w:t>laying the foundation</w:t>
      </w:r>
      <w:r w:rsidR="00F77D64" w:rsidRPr="00EB55C1">
        <w:rPr>
          <w:rFonts w:ascii="Times New Roman" w:eastAsia="Times New Roman" w:hAnsi="Times New Roman" w:cs="Times New Roman"/>
          <w:sz w:val="24"/>
          <w:szCs w:val="24"/>
        </w:rPr>
        <w:t xml:space="preserve"> for the creation of the first international list of</w:t>
      </w:r>
      <w:r w:rsidRPr="00EB55C1">
        <w:rPr>
          <w:rFonts w:ascii="Times New Roman" w:eastAsia="Times New Roman" w:hAnsi="Times New Roman" w:cs="Times New Roman"/>
          <w:sz w:val="24"/>
          <w:szCs w:val="24"/>
        </w:rPr>
        <w:t xml:space="preserve"> protected</w:t>
      </w:r>
      <w:r w:rsidR="00F77D64" w:rsidRPr="00EB55C1">
        <w:rPr>
          <w:rFonts w:ascii="Times New Roman" w:eastAsia="Times New Roman" w:hAnsi="Times New Roman" w:cs="Times New Roman"/>
          <w:sz w:val="24"/>
          <w:szCs w:val="24"/>
        </w:rPr>
        <w:t xml:space="preserve"> cultural property, the International Register of Cultural Property under Special Protection. </w:t>
      </w:r>
      <w:proofErr w:type="spellStart"/>
      <w:r w:rsidR="00F77D64" w:rsidRPr="00EB55C1">
        <w:rPr>
          <w:rFonts w:ascii="Times New Roman" w:eastAsia="Times New Roman" w:hAnsi="Times New Roman" w:cs="Times New Roman"/>
          <w:sz w:val="24"/>
          <w:szCs w:val="24"/>
        </w:rPr>
        <w:t>Stato</w:t>
      </w:r>
      <w:proofErr w:type="spellEnd"/>
      <w:r w:rsidR="00F77D64" w:rsidRPr="00EB55C1">
        <w:rPr>
          <w:rFonts w:ascii="Times New Roman" w:eastAsia="Times New Roman" w:hAnsi="Times New Roman" w:cs="Times New Roman"/>
          <w:sz w:val="24"/>
          <w:szCs w:val="24"/>
        </w:rPr>
        <w:t xml:space="preserve"> </w:t>
      </w:r>
      <w:proofErr w:type="spellStart"/>
      <w:r w:rsidR="00F77D64" w:rsidRPr="00EB55C1">
        <w:rPr>
          <w:rFonts w:ascii="Times New Roman" w:eastAsia="Times New Roman" w:hAnsi="Times New Roman" w:cs="Times New Roman"/>
          <w:sz w:val="24"/>
          <w:szCs w:val="24"/>
        </w:rPr>
        <w:t>della</w:t>
      </w:r>
      <w:proofErr w:type="spellEnd"/>
      <w:r w:rsidR="00F77D64" w:rsidRPr="00EB55C1">
        <w:rPr>
          <w:rFonts w:ascii="Times New Roman" w:eastAsia="Times New Roman" w:hAnsi="Times New Roman" w:cs="Times New Roman"/>
          <w:sz w:val="24"/>
          <w:szCs w:val="24"/>
        </w:rPr>
        <w:t xml:space="preserve"> </w:t>
      </w:r>
      <w:proofErr w:type="spellStart"/>
      <w:r w:rsidR="00F77D64" w:rsidRPr="00EB55C1">
        <w:rPr>
          <w:rFonts w:ascii="Times New Roman" w:eastAsia="Times New Roman" w:hAnsi="Times New Roman" w:cs="Times New Roman"/>
          <w:sz w:val="24"/>
          <w:szCs w:val="24"/>
        </w:rPr>
        <w:t>Città</w:t>
      </w:r>
      <w:proofErr w:type="spellEnd"/>
      <w:r w:rsidR="00F77D64" w:rsidRPr="00EB55C1">
        <w:rPr>
          <w:rFonts w:ascii="Times New Roman" w:eastAsia="Times New Roman" w:hAnsi="Times New Roman" w:cs="Times New Roman"/>
          <w:sz w:val="24"/>
          <w:szCs w:val="24"/>
        </w:rPr>
        <w:t xml:space="preserve"> del </w:t>
      </w:r>
      <w:proofErr w:type="spellStart"/>
      <w:r w:rsidR="00F77D64" w:rsidRPr="00EB55C1">
        <w:rPr>
          <w:rFonts w:ascii="Times New Roman" w:eastAsia="Times New Roman" w:hAnsi="Times New Roman" w:cs="Times New Roman"/>
          <w:sz w:val="24"/>
          <w:szCs w:val="24"/>
        </w:rPr>
        <w:t>Vaticano</w:t>
      </w:r>
      <w:proofErr w:type="spellEnd"/>
      <w:r w:rsidR="00F77D64" w:rsidRPr="00EB55C1">
        <w:rPr>
          <w:rFonts w:ascii="Times New Roman" w:eastAsia="Times New Roman" w:hAnsi="Times New Roman" w:cs="Times New Roman"/>
          <w:sz w:val="24"/>
          <w:szCs w:val="24"/>
        </w:rPr>
        <w:t xml:space="preserve"> (Vatican City State) </w:t>
      </w:r>
      <w:r w:rsidR="00525A22" w:rsidRPr="00EB55C1">
        <w:rPr>
          <w:rFonts w:ascii="Times New Roman" w:eastAsia="Times New Roman" w:hAnsi="Times New Roman" w:cs="Times New Roman"/>
          <w:sz w:val="24"/>
          <w:szCs w:val="24"/>
        </w:rPr>
        <w:t>became</w:t>
      </w:r>
      <w:r w:rsidR="00F77D64" w:rsidRPr="00EB55C1">
        <w:rPr>
          <w:rFonts w:ascii="Times New Roman" w:eastAsia="Times New Roman" w:hAnsi="Times New Roman" w:cs="Times New Roman"/>
          <w:sz w:val="24"/>
          <w:szCs w:val="24"/>
        </w:rPr>
        <w:t xml:space="preserve"> the first cultural site inscribed on the international list</w:t>
      </w:r>
      <w:r w:rsidR="00525A22" w:rsidRPr="00EB55C1">
        <w:rPr>
          <w:rFonts w:ascii="Times New Roman" w:eastAsia="Times New Roman" w:hAnsi="Times New Roman" w:cs="Times New Roman"/>
          <w:sz w:val="24"/>
          <w:szCs w:val="24"/>
        </w:rPr>
        <w:t>,</w:t>
      </w:r>
      <w:r w:rsidR="00F77D64" w:rsidRPr="00EB55C1">
        <w:rPr>
          <w:rFonts w:ascii="Times New Roman" w:eastAsia="Times New Roman" w:hAnsi="Times New Roman" w:cs="Times New Roman"/>
          <w:sz w:val="24"/>
          <w:szCs w:val="24"/>
        </w:rPr>
        <w:t xml:space="preserve"> on 18 January 1960. </w:t>
      </w:r>
    </w:p>
    <w:p w14:paraId="637D29B6" w14:textId="14AD3B24" w:rsidR="00F77D64" w:rsidRPr="00EB55C1" w:rsidRDefault="00F77D64" w:rsidP="006952D9">
      <w:pPr>
        <w:spacing w:before="240" w:after="240" w:line="480" w:lineRule="auto"/>
        <w:ind w:firstLine="708"/>
        <w:rPr>
          <w:rFonts w:ascii="Times New Roman" w:eastAsia="Times New Roman" w:hAnsi="Times New Roman" w:cs="Times New Roman"/>
          <w:sz w:val="24"/>
          <w:szCs w:val="24"/>
        </w:rPr>
      </w:pPr>
      <w:r w:rsidRPr="00EB55C1">
        <w:rPr>
          <w:rFonts w:ascii="Times New Roman" w:eastAsia="Times New Roman" w:hAnsi="Times New Roman" w:cs="Times New Roman"/>
          <w:color w:val="000000"/>
          <w:sz w:val="24"/>
          <w:szCs w:val="24"/>
          <w:lang w:eastAsia="fr-CH"/>
        </w:rPr>
        <w:t xml:space="preserve">However, </w:t>
      </w:r>
      <w:r w:rsidR="00C27F66">
        <w:rPr>
          <w:rFonts w:ascii="Times New Roman" w:eastAsia="Times New Roman" w:hAnsi="Times New Roman" w:cs="Times New Roman"/>
          <w:color w:val="000000"/>
          <w:sz w:val="24"/>
          <w:szCs w:val="24"/>
          <w:lang w:eastAsia="fr-CH"/>
        </w:rPr>
        <w:t xml:space="preserve">states have demonstrated a lack of interest in the system, resulting from a </w:t>
      </w:r>
      <w:r w:rsidRPr="00EB55C1">
        <w:rPr>
          <w:rFonts w:ascii="Times New Roman" w:eastAsia="Times New Roman" w:hAnsi="Times New Roman" w:cs="Times New Roman"/>
          <w:color w:val="000000"/>
          <w:sz w:val="24"/>
          <w:szCs w:val="24"/>
          <w:lang w:eastAsia="fr-CH"/>
        </w:rPr>
        <w:t>combination of</w:t>
      </w:r>
      <w:r w:rsidR="00B95FE3">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the difficulty </w:t>
      </w:r>
      <w:r w:rsidR="000B5395">
        <w:rPr>
          <w:rFonts w:ascii="Times New Roman" w:eastAsia="Times New Roman" w:hAnsi="Times New Roman" w:cs="Times New Roman"/>
          <w:color w:val="000000"/>
          <w:sz w:val="24"/>
          <w:szCs w:val="24"/>
          <w:lang w:eastAsia="fr-CH"/>
        </w:rPr>
        <w:t>of</w:t>
      </w:r>
      <w:r w:rsidR="000B5395" w:rsidRPr="00EB55C1">
        <w:rPr>
          <w:rFonts w:ascii="Times New Roman" w:eastAsia="Times New Roman" w:hAnsi="Times New Roman" w:cs="Times New Roman"/>
          <w:color w:val="000000"/>
          <w:sz w:val="24"/>
          <w:szCs w:val="24"/>
          <w:lang w:eastAsia="fr-CH"/>
        </w:rPr>
        <w:t xml:space="preserve"> </w:t>
      </w:r>
      <w:r w:rsidRPr="00EB55C1">
        <w:rPr>
          <w:rFonts w:ascii="Times New Roman" w:eastAsia="Times New Roman" w:hAnsi="Times New Roman" w:cs="Times New Roman"/>
          <w:color w:val="000000"/>
          <w:sz w:val="24"/>
          <w:szCs w:val="24"/>
          <w:lang w:eastAsia="fr-CH"/>
        </w:rPr>
        <w:t>meet</w:t>
      </w:r>
      <w:r w:rsidR="000B5395">
        <w:rPr>
          <w:rFonts w:ascii="Times New Roman" w:eastAsia="Times New Roman" w:hAnsi="Times New Roman" w:cs="Times New Roman"/>
          <w:color w:val="000000"/>
          <w:sz w:val="24"/>
          <w:szCs w:val="24"/>
          <w:lang w:eastAsia="fr-CH"/>
        </w:rPr>
        <w:t>ing</w:t>
      </w:r>
      <w:r w:rsidRPr="00EB55C1">
        <w:rPr>
          <w:rFonts w:ascii="Times New Roman" w:eastAsia="Times New Roman" w:hAnsi="Times New Roman" w:cs="Times New Roman"/>
          <w:color w:val="000000"/>
          <w:sz w:val="24"/>
          <w:szCs w:val="24"/>
          <w:lang w:eastAsia="fr-CH"/>
        </w:rPr>
        <w:t xml:space="preserve"> the eligibility criteria for special protection</w:t>
      </w:r>
      <w:r w:rsidR="00525A22" w:rsidRPr="00EB55C1">
        <w:rPr>
          <w:rFonts w:ascii="Times New Roman" w:eastAsia="Times New Roman" w:hAnsi="Times New Roman" w:cs="Times New Roman"/>
          <w:color w:val="000000"/>
          <w:sz w:val="24"/>
          <w:szCs w:val="24"/>
          <w:lang w:eastAsia="fr-CH"/>
        </w:rPr>
        <w:t xml:space="preserve"> under the 1954 Hague Convention</w:t>
      </w:r>
      <w:r w:rsidRPr="00EB55C1">
        <w:rPr>
          <w:rFonts w:ascii="Times New Roman" w:eastAsia="Times New Roman" w:hAnsi="Times New Roman" w:cs="Times New Roman"/>
          <w:color w:val="000000"/>
          <w:sz w:val="24"/>
          <w:szCs w:val="24"/>
          <w:lang w:eastAsia="fr-CH"/>
        </w:rPr>
        <w:t>, namely that the concerned property must be situated at an “adequate distance” from large industrial centers or from important military objectives</w:t>
      </w:r>
      <w:r w:rsidR="001C570B">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the perceived politicization of the registration process</w:t>
      </w:r>
      <w:r w:rsidR="001C570B">
        <w:rPr>
          <w:rFonts w:ascii="Times New Roman" w:eastAsia="Times New Roman" w:hAnsi="Times New Roman" w:cs="Times New Roman"/>
          <w:color w:val="000000"/>
          <w:sz w:val="24"/>
          <w:szCs w:val="24"/>
          <w:lang w:eastAsia="fr-CH"/>
        </w:rPr>
        <w:t>;</w:t>
      </w:r>
      <w:r w:rsidRPr="00EB55C1">
        <w:rPr>
          <w:rFonts w:ascii="Times New Roman" w:eastAsia="Times New Roman" w:hAnsi="Times New Roman" w:cs="Times New Roman"/>
          <w:color w:val="000000"/>
          <w:sz w:val="24"/>
          <w:szCs w:val="24"/>
          <w:lang w:eastAsia="fr-CH"/>
        </w:rPr>
        <w:t xml:space="preserve"> and the limited protection that it ultimately offered in practice. </w:t>
      </w:r>
      <w:r w:rsidRPr="00EB55C1">
        <w:rPr>
          <w:rFonts w:ascii="Times New Roman" w:eastAsia="Times New Roman" w:hAnsi="Times New Roman" w:cs="Times New Roman"/>
          <w:sz w:val="24"/>
          <w:szCs w:val="24"/>
        </w:rPr>
        <w:t xml:space="preserve">As a result, in </w:t>
      </w:r>
      <w:r w:rsidR="00D8532A">
        <w:rPr>
          <w:rFonts w:ascii="Times New Roman" w:eastAsia="Times New Roman" w:hAnsi="Times New Roman" w:cs="Times New Roman"/>
          <w:sz w:val="24"/>
          <w:szCs w:val="24"/>
        </w:rPr>
        <w:t>forty</w:t>
      </w:r>
      <w:r w:rsidR="00D8532A" w:rsidRPr="00EB55C1">
        <w:rPr>
          <w:rFonts w:ascii="Times New Roman" w:eastAsia="Times New Roman" w:hAnsi="Times New Roman" w:cs="Times New Roman"/>
          <w:sz w:val="24"/>
          <w:szCs w:val="24"/>
        </w:rPr>
        <w:t xml:space="preserve"> </w:t>
      </w:r>
      <w:r w:rsidRPr="00EB55C1">
        <w:rPr>
          <w:rFonts w:ascii="Times New Roman" w:eastAsia="Times New Roman" w:hAnsi="Times New Roman" w:cs="Times New Roman"/>
          <w:sz w:val="24"/>
          <w:szCs w:val="24"/>
        </w:rPr>
        <w:t xml:space="preserve">years, by 1994, only nine cultural properties </w:t>
      </w:r>
      <w:r w:rsidR="00D8532A">
        <w:rPr>
          <w:rFonts w:ascii="Times New Roman" w:eastAsia="Times New Roman" w:hAnsi="Times New Roman" w:cs="Times New Roman"/>
          <w:sz w:val="24"/>
          <w:szCs w:val="24"/>
        </w:rPr>
        <w:t>had been</w:t>
      </w:r>
      <w:r w:rsidR="00D8532A" w:rsidRPr="00EB55C1">
        <w:rPr>
          <w:rFonts w:ascii="Times New Roman" w:eastAsia="Times New Roman" w:hAnsi="Times New Roman" w:cs="Times New Roman"/>
          <w:sz w:val="24"/>
          <w:szCs w:val="24"/>
        </w:rPr>
        <w:t xml:space="preserve"> </w:t>
      </w:r>
      <w:r w:rsidRPr="00EB55C1">
        <w:rPr>
          <w:rFonts w:ascii="Times New Roman" w:eastAsia="Times New Roman" w:hAnsi="Times New Roman" w:cs="Times New Roman"/>
          <w:sz w:val="24"/>
          <w:szCs w:val="24"/>
        </w:rPr>
        <w:t xml:space="preserve">inscribed on the </w:t>
      </w:r>
      <w:r w:rsidR="00D8532A">
        <w:rPr>
          <w:rFonts w:ascii="Times New Roman" w:eastAsia="Times New Roman" w:hAnsi="Times New Roman" w:cs="Times New Roman"/>
          <w:sz w:val="24"/>
          <w:szCs w:val="24"/>
        </w:rPr>
        <w:t>r</w:t>
      </w:r>
      <w:r w:rsidRPr="00EB55C1">
        <w:rPr>
          <w:rFonts w:ascii="Times New Roman" w:eastAsia="Times New Roman" w:hAnsi="Times New Roman" w:cs="Times New Roman"/>
          <w:sz w:val="24"/>
          <w:szCs w:val="24"/>
        </w:rPr>
        <w:t xml:space="preserve">egister. </w:t>
      </w:r>
      <w:r w:rsidR="00525A22" w:rsidRPr="00EB55C1">
        <w:rPr>
          <w:rFonts w:ascii="Times New Roman" w:eastAsia="Times New Roman" w:hAnsi="Times New Roman" w:cs="Times New Roman"/>
          <w:sz w:val="24"/>
          <w:szCs w:val="24"/>
        </w:rPr>
        <w:t>As mentioned, t</w:t>
      </w:r>
      <w:r w:rsidR="005A3F2C" w:rsidRPr="00EB55C1">
        <w:rPr>
          <w:rFonts w:ascii="Times New Roman" w:eastAsia="Times New Roman" w:hAnsi="Times New Roman" w:cs="Times New Roman"/>
          <w:sz w:val="24"/>
          <w:szCs w:val="24"/>
        </w:rPr>
        <w:t>h</w:t>
      </w:r>
      <w:r w:rsidR="006D34B8" w:rsidRPr="00EB55C1">
        <w:rPr>
          <w:rFonts w:ascii="Times New Roman" w:eastAsia="Times New Roman" w:hAnsi="Times New Roman" w:cs="Times New Roman"/>
          <w:sz w:val="24"/>
          <w:szCs w:val="24"/>
        </w:rPr>
        <w:t>e</w:t>
      </w:r>
      <w:r w:rsidR="005A3F2C" w:rsidRPr="00EB55C1">
        <w:rPr>
          <w:rFonts w:ascii="Times New Roman" w:eastAsia="Times New Roman" w:hAnsi="Times New Roman" w:cs="Times New Roman"/>
          <w:sz w:val="24"/>
          <w:szCs w:val="24"/>
        </w:rPr>
        <w:t xml:space="preserve"> system was </w:t>
      </w:r>
      <w:r w:rsidR="00F631C3" w:rsidRPr="00EB55C1">
        <w:rPr>
          <w:rFonts w:ascii="Times New Roman" w:eastAsia="Times New Roman" w:hAnsi="Times New Roman" w:cs="Times New Roman"/>
          <w:sz w:val="24"/>
          <w:szCs w:val="24"/>
        </w:rPr>
        <w:t xml:space="preserve">eventually </w:t>
      </w:r>
      <w:r w:rsidR="005A3F2C" w:rsidRPr="00EB55C1">
        <w:rPr>
          <w:rFonts w:ascii="Times New Roman" w:eastAsia="Times New Roman" w:hAnsi="Times New Roman" w:cs="Times New Roman"/>
          <w:sz w:val="24"/>
          <w:szCs w:val="24"/>
        </w:rPr>
        <w:t xml:space="preserve">replaced in </w:t>
      </w:r>
      <w:r w:rsidRPr="00EB55C1">
        <w:rPr>
          <w:rFonts w:ascii="Times New Roman" w:eastAsia="Times New Roman" w:hAnsi="Times New Roman" w:cs="Times New Roman"/>
          <w:sz w:val="24"/>
          <w:szCs w:val="24"/>
        </w:rPr>
        <w:t xml:space="preserve">1999 </w:t>
      </w:r>
      <w:r w:rsidR="005A3F2C" w:rsidRPr="00EB55C1">
        <w:rPr>
          <w:rFonts w:ascii="Times New Roman" w:eastAsia="Times New Roman" w:hAnsi="Times New Roman" w:cs="Times New Roman"/>
          <w:sz w:val="24"/>
          <w:szCs w:val="24"/>
        </w:rPr>
        <w:t xml:space="preserve">by the adoption of the mechanism of </w:t>
      </w:r>
      <w:r w:rsidR="00F631C3" w:rsidRPr="00EB55C1">
        <w:rPr>
          <w:rFonts w:ascii="Times New Roman" w:eastAsia="Times New Roman" w:hAnsi="Times New Roman" w:cs="Times New Roman"/>
          <w:sz w:val="24"/>
          <w:szCs w:val="24"/>
        </w:rPr>
        <w:t>“</w:t>
      </w:r>
      <w:r w:rsidR="00A525F7" w:rsidRPr="00EB55C1">
        <w:rPr>
          <w:rFonts w:ascii="Times New Roman" w:eastAsia="Times New Roman" w:hAnsi="Times New Roman" w:cs="Times New Roman"/>
          <w:sz w:val="24"/>
          <w:szCs w:val="24"/>
        </w:rPr>
        <w:t>e</w:t>
      </w:r>
      <w:r w:rsidR="005A3F2C" w:rsidRPr="00EB55C1">
        <w:rPr>
          <w:rFonts w:ascii="Times New Roman" w:eastAsia="Times New Roman" w:hAnsi="Times New Roman" w:cs="Times New Roman"/>
          <w:sz w:val="24"/>
          <w:szCs w:val="24"/>
        </w:rPr>
        <w:t>nhanced protection</w:t>
      </w:r>
      <w:r w:rsidR="00F631C3" w:rsidRPr="00EB55C1">
        <w:rPr>
          <w:rFonts w:ascii="Times New Roman" w:eastAsia="Times New Roman" w:hAnsi="Times New Roman" w:cs="Times New Roman"/>
          <w:sz w:val="24"/>
          <w:szCs w:val="24"/>
        </w:rPr>
        <w:t>”</w:t>
      </w:r>
      <w:r w:rsidR="005A3F2C" w:rsidRPr="00EB55C1">
        <w:rPr>
          <w:rFonts w:ascii="Times New Roman" w:eastAsia="Times New Roman" w:hAnsi="Times New Roman" w:cs="Times New Roman"/>
          <w:sz w:val="24"/>
          <w:szCs w:val="24"/>
        </w:rPr>
        <w:t xml:space="preserve"> under the </w:t>
      </w:r>
      <w:r w:rsidRPr="00EB55C1">
        <w:rPr>
          <w:rFonts w:ascii="Times New Roman" w:eastAsia="Times New Roman" w:hAnsi="Times New Roman" w:cs="Times New Roman"/>
          <w:sz w:val="24"/>
          <w:szCs w:val="24"/>
        </w:rPr>
        <w:t>Second Protocol,</w:t>
      </w:r>
      <w:r w:rsidR="005A3F2C" w:rsidRPr="00EB55C1">
        <w:rPr>
          <w:rFonts w:ascii="Times New Roman" w:eastAsia="Times New Roman" w:hAnsi="Times New Roman" w:cs="Times New Roman"/>
          <w:sz w:val="24"/>
          <w:szCs w:val="24"/>
        </w:rPr>
        <w:t xml:space="preserve"> which included</w:t>
      </w:r>
      <w:r w:rsidRPr="00EB55C1">
        <w:rPr>
          <w:rFonts w:ascii="Times New Roman" w:eastAsia="Times New Roman" w:hAnsi="Times New Roman" w:cs="Times New Roman"/>
          <w:sz w:val="24"/>
          <w:szCs w:val="24"/>
        </w:rPr>
        <w:t xml:space="preserve"> the creation of the International List of Cultural Property under Enhanced Protection</w:t>
      </w:r>
      <w:r w:rsidR="005A3F2C" w:rsidRPr="00EB55C1">
        <w:rPr>
          <w:rFonts w:ascii="Times New Roman" w:eastAsia="Times New Roman" w:hAnsi="Times New Roman" w:cs="Times New Roman"/>
          <w:sz w:val="24"/>
          <w:szCs w:val="24"/>
        </w:rPr>
        <w:t xml:space="preserve">. </w:t>
      </w:r>
      <w:r w:rsidR="00EA5C6E" w:rsidRPr="00EB55C1">
        <w:rPr>
          <w:rFonts w:ascii="Times New Roman" w:eastAsia="Times New Roman" w:hAnsi="Times New Roman" w:cs="Times New Roman"/>
          <w:sz w:val="24"/>
          <w:szCs w:val="24"/>
        </w:rPr>
        <w:t xml:space="preserve">Since it became operational in 2010, </w:t>
      </w:r>
      <w:r w:rsidR="00173FC4" w:rsidRPr="00EB55C1">
        <w:rPr>
          <w:rFonts w:ascii="Times New Roman" w:eastAsia="Times New Roman" w:hAnsi="Times New Roman" w:cs="Times New Roman"/>
          <w:sz w:val="24"/>
          <w:szCs w:val="24"/>
        </w:rPr>
        <w:t xml:space="preserve">and despite ongoing discussions on how to best establish clear evaluation procedures for inscription on the list, </w:t>
      </w:r>
      <w:r w:rsidR="00EA5C6E" w:rsidRPr="00EB55C1">
        <w:rPr>
          <w:rFonts w:ascii="Times New Roman" w:eastAsia="Times New Roman" w:hAnsi="Times New Roman" w:cs="Times New Roman"/>
          <w:sz w:val="24"/>
          <w:szCs w:val="24"/>
        </w:rPr>
        <w:t xml:space="preserve">the number of cultural </w:t>
      </w:r>
      <w:r w:rsidR="00173FC4" w:rsidRPr="00EB55C1">
        <w:rPr>
          <w:rFonts w:ascii="Times New Roman" w:eastAsia="Times New Roman" w:hAnsi="Times New Roman" w:cs="Times New Roman"/>
          <w:sz w:val="24"/>
          <w:szCs w:val="24"/>
        </w:rPr>
        <w:t>propert</w:t>
      </w:r>
      <w:r w:rsidR="00757141">
        <w:rPr>
          <w:rFonts w:ascii="Times New Roman" w:eastAsia="Times New Roman" w:hAnsi="Times New Roman" w:cs="Times New Roman"/>
          <w:sz w:val="24"/>
          <w:szCs w:val="24"/>
        </w:rPr>
        <w:t>ies</w:t>
      </w:r>
      <w:r w:rsidR="00EA5C6E" w:rsidRPr="00EB55C1">
        <w:rPr>
          <w:rFonts w:ascii="Times New Roman" w:eastAsia="Times New Roman" w:hAnsi="Times New Roman" w:cs="Times New Roman"/>
          <w:sz w:val="24"/>
          <w:szCs w:val="24"/>
        </w:rPr>
        <w:t xml:space="preserve"> registered keeps growing</w:t>
      </w:r>
      <w:r w:rsidR="00943B61">
        <w:rPr>
          <w:rFonts w:ascii="Times New Roman" w:eastAsia="Times New Roman" w:hAnsi="Times New Roman" w:cs="Times New Roman"/>
          <w:sz w:val="24"/>
          <w:szCs w:val="24"/>
        </w:rPr>
        <w:t>: as of mid-2</w:t>
      </w:r>
      <w:r w:rsidR="00D21232">
        <w:rPr>
          <w:rFonts w:ascii="Times New Roman" w:eastAsia="Times New Roman" w:hAnsi="Times New Roman" w:cs="Times New Roman"/>
          <w:sz w:val="24"/>
          <w:szCs w:val="24"/>
        </w:rPr>
        <w:t>021</w:t>
      </w:r>
      <w:r w:rsidR="00943B61">
        <w:rPr>
          <w:rFonts w:ascii="Times New Roman" w:eastAsia="Times New Roman" w:hAnsi="Times New Roman" w:cs="Times New Roman"/>
          <w:sz w:val="24"/>
          <w:szCs w:val="24"/>
        </w:rPr>
        <w:t xml:space="preserve"> it contained seventeen </w:t>
      </w:r>
      <w:r w:rsidR="00EA5C6E" w:rsidRPr="00EB55C1">
        <w:rPr>
          <w:rFonts w:ascii="Times New Roman" w:eastAsia="Times New Roman" w:hAnsi="Times New Roman" w:cs="Times New Roman"/>
          <w:sz w:val="24"/>
          <w:szCs w:val="24"/>
        </w:rPr>
        <w:t>sites, all immoveable cultural property</w:t>
      </w:r>
      <w:r w:rsidR="00795F78" w:rsidRPr="00EB55C1">
        <w:rPr>
          <w:rFonts w:ascii="Times New Roman" w:eastAsia="Times New Roman" w:hAnsi="Times New Roman" w:cs="Times New Roman"/>
          <w:sz w:val="24"/>
          <w:szCs w:val="24"/>
        </w:rPr>
        <w:t>.</w:t>
      </w:r>
      <w:r w:rsidR="00795F78" w:rsidRPr="00EB55C1">
        <w:rPr>
          <w:rStyle w:val="EndnoteReference"/>
          <w:rFonts w:ascii="Times New Roman" w:eastAsia="Times New Roman" w:hAnsi="Times New Roman" w:cs="Times New Roman"/>
          <w:sz w:val="24"/>
          <w:szCs w:val="24"/>
        </w:rPr>
        <w:endnoteReference w:id="15"/>
      </w:r>
      <w:r w:rsidR="00795F78" w:rsidRPr="00EB55C1">
        <w:rPr>
          <w:rFonts w:ascii="Times New Roman" w:eastAsia="Times New Roman" w:hAnsi="Times New Roman" w:cs="Times New Roman"/>
          <w:sz w:val="24"/>
          <w:szCs w:val="24"/>
        </w:rPr>
        <w:t xml:space="preserve"> </w:t>
      </w:r>
      <w:r w:rsidR="00173FC4" w:rsidRPr="00EB55C1">
        <w:rPr>
          <w:rFonts w:ascii="Times New Roman" w:eastAsia="Times New Roman" w:hAnsi="Times New Roman" w:cs="Times New Roman"/>
          <w:sz w:val="24"/>
          <w:szCs w:val="24"/>
        </w:rPr>
        <w:t>By ensuring the uncontested visibility of important cultural properties</w:t>
      </w:r>
      <w:r w:rsidR="00CD4761" w:rsidRPr="00EB55C1">
        <w:rPr>
          <w:rFonts w:ascii="Times New Roman" w:eastAsia="Times New Roman" w:hAnsi="Times New Roman" w:cs="Times New Roman"/>
          <w:sz w:val="24"/>
          <w:szCs w:val="24"/>
        </w:rPr>
        <w:t xml:space="preserve"> and their protected status</w:t>
      </w:r>
      <w:r w:rsidR="00173FC4" w:rsidRPr="00EB55C1">
        <w:rPr>
          <w:rFonts w:ascii="Times New Roman" w:eastAsia="Times New Roman" w:hAnsi="Times New Roman" w:cs="Times New Roman"/>
          <w:sz w:val="24"/>
          <w:szCs w:val="24"/>
        </w:rPr>
        <w:t xml:space="preserve">, and with both </w:t>
      </w:r>
      <w:r w:rsidRPr="00EB55C1">
        <w:rPr>
          <w:rFonts w:ascii="Times New Roman" w:eastAsia="Times New Roman" w:hAnsi="Times New Roman" w:cs="Times New Roman"/>
          <w:sz w:val="24"/>
          <w:szCs w:val="24"/>
        </w:rPr>
        <w:t xml:space="preserve">easier inscription criteria and </w:t>
      </w:r>
      <w:r w:rsidR="003A317B">
        <w:rPr>
          <w:rFonts w:ascii="Times New Roman" w:eastAsia="Times New Roman" w:hAnsi="Times New Roman" w:cs="Times New Roman"/>
          <w:sz w:val="24"/>
          <w:szCs w:val="24"/>
        </w:rPr>
        <w:t xml:space="preserve">an </w:t>
      </w:r>
      <w:r w:rsidRPr="00EB55C1">
        <w:rPr>
          <w:rFonts w:ascii="Times New Roman" w:eastAsia="Times New Roman" w:hAnsi="Times New Roman" w:cs="Times New Roman"/>
          <w:sz w:val="24"/>
          <w:szCs w:val="24"/>
        </w:rPr>
        <w:t xml:space="preserve">effective post-inscription monitoring mechanism, the </w:t>
      </w:r>
      <w:r w:rsidR="00640192">
        <w:rPr>
          <w:rFonts w:ascii="Times New Roman" w:eastAsia="Times New Roman" w:hAnsi="Times New Roman" w:cs="Times New Roman"/>
          <w:sz w:val="24"/>
          <w:szCs w:val="24"/>
        </w:rPr>
        <w:t xml:space="preserve">enhanced protection </w:t>
      </w:r>
      <w:r w:rsidR="00B95FE3">
        <w:rPr>
          <w:rFonts w:ascii="Times New Roman" w:eastAsia="Times New Roman" w:hAnsi="Times New Roman" w:cs="Times New Roman"/>
          <w:sz w:val="24"/>
          <w:szCs w:val="24"/>
        </w:rPr>
        <w:t>list</w:t>
      </w:r>
      <w:r w:rsidRPr="00EB55C1">
        <w:rPr>
          <w:rFonts w:ascii="Times New Roman" w:eastAsia="Times New Roman" w:hAnsi="Times New Roman" w:cs="Times New Roman"/>
          <w:sz w:val="24"/>
          <w:szCs w:val="24"/>
        </w:rPr>
        <w:t xml:space="preserve"> has the potential to become an instrumental mechanism </w:t>
      </w:r>
      <w:r w:rsidR="00CD4761" w:rsidRPr="00EB55C1">
        <w:rPr>
          <w:rFonts w:ascii="Times New Roman" w:eastAsia="Times New Roman" w:hAnsi="Times New Roman" w:cs="Times New Roman"/>
          <w:sz w:val="24"/>
          <w:szCs w:val="24"/>
        </w:rPr>
        <w:t>of protection for cultural property in the future</w:t>
      </w:r>
      <w:r w:rsidRPr="00EB55C1">
        <w:rPr>
          <w:rFonts w:ascii="Times New Roman" w:eastAsia="Times New Roman" w:hAnsi="Times New Roman" w:cs="Times New Roman"/>
          <w:sz w:val="24"/>
          <w:szCs w:val="24"/>
        </w:rPr>
        <w:t xml:space="preserve">. </w:t>
      </w:r>
    </w:p>
    <w:p w14:paraId="53B62387" w14:textId="449D2C68" w:rsidR="00F77D64" w:rsidRPr="00EB55C1" w:rsidRDefault="00640192" w:rsidP="00D007BC">
      <w:pPr>
        <w:spacing w:before="120" w:after="12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also t</w:t>
      </w:r>
      <w:r w:rsidR="00F77D64" w:rsidRPr="00EB55C1">
        <w:rPr>
          <w:rFonts w:ascii="Times New Roman" w:eastAsia="Times New Roman" w:hAnsi="Times New Roman" w:cs="Times New Roman"/>
          <w:sz w:val="24"/>
          <w:szCs w:val="24"/>
        </w:rPr>
        <w:t>he World Heritage List</w:t>
      </w:r>
      <w:r w:rsidR="00A1254E">
        <w:rPr>
          <w:rFonts w:ascii="Times New Roman" w:eastAsia="Times New Roman" w:hAnsi="Times New Roman" w:cs="Times New Roman"/>
          <w:sz w:val="24"/>
          <w:szCs w:val="24"/>
        </w:rPr>
        <w:t>,</w:t>
      </w:r>
      <w:r w:rsidR="00665E79">
        <w:rPr>
          <w:rFonts w:ascii="Times New Roman" w:eastAsia="Times New Roman" w:hAnsi="Times New Roman" w:cs="Times New Roman"/>
          <w:sz w:val="24"/>
          <w:szCs w:val="24"/>
        </w:rPr>
        <w:t xml:space="preserve"> </w:t>
      </w:r>
      <w:r w:rsidR="00F77D64" w:rsidRPr="00EB55C1">
        <w:rPr>
          <w:rFonts w:ascii="Times New Roman" w:eastAsia="Times New Roman" w:hAnsi="Times New Roman" w:cs="Times New Roman"/>
          <w:sz w:val="24"/>
          <w:szCs w:val="24"/>
        </w:rPr>
        <w:t>the most renown</w:t>
      </w:r>
      <w:r w:rsidR="00BF117D">
        <w:rPr>
          <w:rFonts w:ascii="Times New Roman" w:eastAsia="Times New Roman" w:hAnsi="Times New Roman" w:cs="Times New Roman"/>
          <w:sz w:val="24"/>
          <w:szCs w:val="24"/>
        </w:rPr>
        <w:t>ed</w:t>
      </w:r>
      <w:r w:rsidR="00F77D64" w:rsidRPr="00EB55C1">
        <w:rPr>
          <w:rFonts w:ascii="Times New Roman" w:eastAsia="Times New Roman" w:hAnsi="Times New Roman" w:cs="Times New Roman"/>
          <w:sz w:val="24"/>
          <w:szCs w:val="24"/>
        </w:rPr>
        <w:t xml:space="preserve"> list of cultural and natural sites. Established under the </w:t>
      </w:r>
      <w:r w:rsidR="00BF117D">
        <w:rPr>
          <w:rFonts w:ascii="Times New Roman" w:eastAsia="Times New Roman" w:hAnsi="Times New Roman" w:cs="Times New Roman"/>
          <w:sz w:val="24"/>
          <w:szCs w:val="24"/>
        </w:rPr>
        <w:t>1972 c</w:t>
      </w:r>
      <w:r w:rsidR="00F77D64" w:rsidRPr="00EB55C1">
        <w:rPr>
          <w:rFonts w:ascii="Times New Roman" w:eastAsia="Times New Roman" w:hAnsi="Times New Roman" w:cs="Times New Roman"/>
          <w:sz w:val="24"/>
          <w:szCs w:val="24"/>
        </w:rPr>
        <w:t xml:space="preserve">onvention, </w:t>
      </w:r>
      <w:r w:rsidR="00133A0E">
        <w:rPr>
          <w:rFonts w:ascii="Times New Roman" w:eastAsia="Times New Roman" w:hAnsi="Times New Roman" w:cs="Times New Roman"/>
          <w:sz w:val="24"/>
          <w:szCs w:val="24"/>
        </w:rPr>
        <w:t>it</w:t>
      </w:r>
      <w:r w:rsidR="00F77D64" w:rsidRPr="00EB55C1">
        <w:rPr>
          <w:rFonts w:ascii="Times New Roman" w:eastAsia="Times New Roman" w:hAnsi="Times New Roman" w:cs="Times New Roman"/>
          <w:sz w:val="24"/>
          <w:szCs w:val="24"/>
        </w:rPr>
        <w:t xml:space="preserve"> compiles over </w:t>
      </w:r>
      <w:r w:rsidR="003D1A92">
        <w:rPr>
          <w:rFonts w:ascii="Times New Roman" w:eastAsia="Times New Roman" w:hAnsi="Times New Roman" w:cs="Times New Roman"/>
          <w:sz w:val="24"/>
          <w:szCs w:val="24"/>
        </w:rPr>
        <w:t xml:space="preserve">one thousand one hundred </w:t>
      </w:r>
      <w:r w:rsidR="00F77D64" w:rsidRPr="00EB55C1">
        <w:rPr>
          <w:rFonts w:ascii="Times New Roman" w:eastAsia="Times New Roman" w:hAnsi="Times New Roman" w:cs="Times New Roman"/>
          <w:sz w:val="24"/>
          <w:szCs w:val="24"/>
        </w:rPr>
        <w:t xml:space="preserve">cultural and </w:t>
      </w:r>
      <w:r w:rsidR="00F77D64" w:rsidRPr="00EB55C1">
        <w:rPr>
          <w:rFonts w:ascii="Times New Roman" w:eastAsia="Times New Roman" w:hAnsi="Times New Roman" w:cs="Times New Roman"/>
          <w:sz w:val="24"/>
          <w:szCs w:val="24"/>
        </w:rPr>
        <w:lastRenderedPageBreak/>
        <w:t>natural sites having so-called “outstanding universal value</w:t>
      </w:r>
      <w:r w:rsidR="007060EC" w:rsidRPr="00360D35">
        <w:rPr>
          <w:rFonts w:ascii="Times New Roman" w:eastAsia="Times New Roman" w:hAnsi="Times New Roman" w:cs="Times New Roman"/>
          <w:sz w:val="24"/>
          <w:szCs w:val="24"/>
        </w:rPr>
        <w:t>.”</w:t>
      </w:r>
      <w:r w:rsidR="00F77D64" w:rsidRPr="00EB55C1">
        <w:rPr>
          <w:rFonts w:ascii="Times New Roman" w:eastAsia="Times New Roman" w:hAnsi="Times New Roman" w:cs="Times New Roman"/>
          <w:sz w:val="24"/>
          <w:szCs w:val="24"/>
        </w:rPr>
        <w:t xml:space="preserve"> Unlike the lists established by the 1954 Hague Convention and its Second Protocol, the World Heritage List was not devised to provide special immunity for cultural sites in time of armed conflict. </w:t>
      </w:r>
      <w:r w:rsidR="00537207">
        <w:rPr>
          <w:rFonts w:ascii="Times New Roman" w:eastAsia="Times New Roman" w:hAnsi="Times New Roman" w:cs="Times New Roman"/>
          <w:sz w:val="24"/>
          <w:szCs w:val="24"/>
        </w:rPr>
        <w:t>But</w:t>
      </w:r>
      <w:r w:rsidR="00F77D64" w:rsidRPr="00EB55C1">
        <w:rPr>
          <w:rFonts w:ascii="Times New Roman" w:eastAsia="Times New Roman" w:hAnsi="Times New Roman" w:cs="Times New Roman"/>
          <w:sz w:val="24"/>
          <w:szCs w:val="24"/>
        </w:rPr>
        <w:t xml:space="preserve"> its wider acceptance as an international inventory of cultural and natural sites of universal value </w:t>
      </w:r>
      <w:r w:rsidR="000B081F" w:rsidRPr="00EB55C1">
        <w:rPr>
          <w:rFonts w:ascii="Times New Roman" w:eastAsia="Times New Roman" w:hAnsi="Times New Roman" w:cs="Times New Roman"/>
          <w:iCs/>
          <w:sz w:val="24"/>
          <w:szCs w:val="24"/>
        </w:rPr>
        <w:t>de facto</w:t>
      </w:r>
      <w:r w:rsidR="000B081F" w:rsidRPr="00EB55C1">
        <w:rPr>
          <w:rFonts w:ascii="Times New Roman" w:eastAsia="Times New Roman" w:hAnsi="Times New Roman" w:cs="Times New Roman"/>
          <w:i/>
          <w:sz w:val="24"/>
          <w:szCs w:val="24"/>
        </w:rPr>
        <w:t xml:space="preserve"> </w:t>
      </w:r>
      <w:r w:rsidR="00F77D64" w:rsidRPr="00EB55C1">
        <w:rPr>
          <w:rFonts w:ascii="Times New Roman" w:eastAsia="Times New Roman" w:hAnsi="Times New Roman" w:cs="Times New Roman"/>
          <w:sz w:val="24"/>
          <w:szCs w:val="24"/>
        </w:rPr>
        <w:t xml:space="preserve">transformed it into a global reference list. </w:t>
      </w:r>
      <w:r w:rsidR="005F3287" w:rsidRPr="00EB55C1">
        <w:rPr>
          <w:rFonts w:ascii="Times New Roman" w:eastAsia="Times New Roman" w:hAnsi="Times New Roman" w:cs="Times New Roman"/>
          <w:sz w:val="24"/>
          <w:szCs w:val="24"/>
        </w:rPr>
        <w:t xml:space="preserve">This is illustrated by the importance given to </w:t>
      </w:r>
      <w:r w:rsidR="00515454">
        <w:rPr>
          <w:rFonts w:ascii="Times New Roman" w:eastAsia="Times New Roman" w:hAnsi="Times New Roman" w:cs="Times New Roman"/>
          <w:sz w:val="24"/>
          <w:szCs w:val="24"/>
        </w:rPr>
        <w:t>it</w:t>
      </w:r>
      <w:r w:rsidR="005F3287" w:rsidRPr="00EB55C1">
        <w:rPr>
          <w:rFonts w:ascii="Times New Roman" w:eastAsia="Times New Roman" w:hAnsi="Times New Roman" w:cs="Times New Roman"/>
          <w:sz w:val="24"/>
          <w:szCs w:val="24"/>
        </w:rPr>
        <w:t xml:space="preserve"> by the International Criminal Tribunal for the former Yugoslavia </w:t>
      </w:r>
      <w:r w:rsidR="00515454">
        <w:rPr>
          <w:rFonts w:ascii="Times New Roman" w:eastAsia="Times New Roman" w:hAnsi="Times New Roman" w:cs="Times New Roman"/>
          <w:sz w:val="24"/>
          <w:szCs w:val="24"/>
        </w:rPr>
        <w:t xml:space="preserve">(ICTY) </w:t>
      </w:r>
      <w:r w:rsidR="005F3287" w:rsidRPr="00EB55C1">
        <w:rPr>
          <w:rFonts w:ascii="Times New Roman" w:eastAsia="Times New Roman" w:hAnsi="Times New Roman" w:cs="Times New Roman"/>
          <w:sz w:val="24"/>
          <w:szCs w:val="24"/>
        </w:rPr>
        <w:t xml:space="preserve">in </w:t>
      </w:r>
      <w:r w:rsidR="00007714">
        <w:rPr>
          <w:rFonts w:ascii="Times New Roman" w:eastAsia="Times New Roman" w:hAnsi="Times New Roman" w:cs="Times New Roman"/>
          <w:sz w:val="24"/>
          <w:szCs w:val="24"/>
        </w:rPr>
        <w:t>a</w:t>
      </w:r>
      <w:r w:rsidR="00007714" w:rsidRPr="00EB55C1">
        <w:rPr>
          <w:rFonts w:ascii="Times New Roman" w:eastAsia="Times New Roman" w:hAnsi="Times New Roman" w:cs="Times New Roman"/>
          <w:sz w:val="24"/>
          <w:szCs w:val="24"/>
        </w:rPr>
        <w:t xml:space="preserve"> </w:t>
      </w:r>
      <w:r w:rsidR="005F3287" w:rsidRPr="00EB55C1">
        <w:rPr>
          <w:rFonts w:ascii="Times New Roman" w:eastAsia="Times New Roman" w:hAnsi="Times New Roman" w:cs="Times New Roman"/>
          <w:sz w:val="24"/>
          <w:szCs w:val="24"/>
        </w:rPr>
        <w:t xml:space="preserve">case related to the shelling of the </w:t>
      </w:r>
      <w:r w:rsidR="00F91E91">
        <w:rPr>
          <w:rFonts w:ascii="Times New Roman" w:eastAsia="Times New Roman" w:hAnsi="Times New Roman" w:cs="Times New Roman"/>
          <w:sz w:val="24"/>
          <w:szCs w:val="24"/>
        </w:rPr>
        <w:t>O</w:t>
      </w:r>
      <w:r w:rsidR="005F3287" w:rsidRPr="00EB55C1">
        <w:rPr>
          <w:rFonts w:ascii="Times New Roman" w:eastAsia="Times New Roman" w:hAnsi="Times New Roman" w:cs="Times New Roman"/>
          <w:sz w:val="24"/>
          <w:szCs w:val="24"/>
        </w:rPr>
        <w:t xml:space="preserve">ld City of Dubrovnik </w:t>
      </w:r>
      <w:r w:rsidR="007B6CD4" w:rsidRPr="00EB55C1">
        <w:rPr>
          <w:rFonts w:ascii="Times New Roman" w:eastAsia="Times New Roman" w:hAnsi="Times New Roman" w:cs="Times New Roman"/>
          <w:sz w:val="24"/>
          <w:szCs w:val="24"/>
        </w:rPr>
        <w:t xml:space="preserve">in 1991 </w:t>
      </w:r>
      <w:r w:rsidR="005F1EED" w:rsidRPr="00EB55C1">
        <w:rPr>
          <w:rFonts w:ascii="Times New Roman" w:eastAsia="Times New Roman" w:hAnsi="Times New Roman" w:cs="Times New Roman"/>
          <w:sz w:val="24"/>
          <w:szCs w:val="24"/>
        </w:rPr>
        <w:t>and by</w:t>
      </w:r>
      <w:r w:rsidR="000B230F" w:rsidRPr="00EB55C1">
        <w:rPr>
          <w:rFonts w:ascii="Times New Roman" w:eastAsia="Times New Roman" w:hAnsi="Times New Roman" w:cs="Times New Roman"/>
          <w:sz w:val="24"/>
          <w:szCs w:val="24"/>
        </w:rPr>
        <w:t xml:space="preserve"> </w:t>
      </w:r>
      <w:r w:rsidR="00F77D64" w:rsidRPr="00EB55C1">
        <w:rPr>
          <w:rFonts w:ascii="Times New Roman" w:eastAsia="Times New Roman" w:hAnsi="Times New Roman" w:cs="Times New Roman"/>
          <w:sz w:val="24"/>
          <w:szCs w:val="24"/>
        </w:rPr>
        <w:t xml:space="preserve">the International Criminal Court </w:t>
      </w:r>
      <w:r w:rsidR="005F1EED" w:rsidRPr="00EB55C1">
        <w:rPr>
          <w:rFonts w:ascii="Times New Roman" w:eastAsia="Times New Roman" w:hAnsi="Times New Roman" w:cs="Times New Roman"/>
          <w:sz w:val="24"/>
          <w:szCs w:val="24"/>
        </w:rPr>
        <w:t xml:space="preserve">in </w:t>
      </w:r>
      <w:r w:rsidR="00007714">
        <w:rPr>
          <w:rFonts w:ascii="Times New Roman" w:eastAsia="Times New Roman" w:hAnsi="Times New Roman" w:cs="Times New Roman"/>
          <w:sz w:val="24"/>
          <w:szCs w:val="24"/>
        </w:rPr>
        <w:t xml:space="preserve">a </w:t>
      </w:r>
      <w:r w:rsidR="005F1EED" w:rsidRPr="00EB55C1">
        <w:rPr>
          <w:rFonts w:ascii="Times New Roman" w:eastAsia="Times New Roman" w:hAnsi="Times New Roman" w:cs="Times New Roman"/>
          <w:sz w:val="24"/>
          <w:szCs w:val="24"/>
        </w:rPr>
        <w:t>case related to the destruction of the mausoleums in Timbuktu in 2012</w:t>
      </w:r>
      <w:r w:rsidR="00BB46CB" w:rsidRPr="00EB55C1">
        <w:rPr>
          <w:rFonts w:ascii="Times New Roman" w:eastAsia="Times New Roman" w:hAnsi="Times New Roman" w:cs="Times New Roman"/>
          <w:sz w:val="24"/>
          <w:szCs w:val="24"/>
        </w:rPr>
        <w:t>.</w:t>
      </w:r>
      <w:r w:rsidR="006F7F37" w:rsidRPr="00EB55C1">
        <w:rPr>
          <w:rFonts w:ascii="Times New Roman" w:eastAsia="Times New Roman" w:hAnsi="Times New Roman" w:cs="Times New Roman"/>
          <w:sz w:val="24"/>
          <w:szCs w:val="24"/>
        </w:rPr>
        <w:t xml:space="preserve"> In both, the courts considered that the</w:t>
      </w:r>
      <w:r w:rsidR="00F77D64" w:rsidRPr="00EB55C1">
        <w:rPr>
          <w:rFonts w:ascii="Times New Roman" w:eastAsia="Times New Roman" w:hAnsi="Times New Roman" w:cs="Times New Roman"/>
          <w:sz w:val="24"/>
          <w:szCs w:val="24"/>
        </w:rPr>
        <w:t xml:space="preserve"> presence of </w:t>
      </w:r>
      <w:r w:rsidR="006F7F37" w:rsidRPr="00EB55C1">
        <w:rPr>
          <w:rFonts w:ascii="Times New Roman" w:eastAsia="Times New Roman" w:hAnsi="Times New Roman" w:cs="Times New Roman"/>
          <w:sz w:val="24"/>
          <w:szCs w:val="24"/>
        </w:rPr>
        <w:t xml:space="preserve">the </w:t>
      </w:r>
      <w:r w:rsidR="00534B58" w:rsidRPr="00EB55C1">
        <w:rPr>
          <w:rFonts w:ascii="Times New Roman" w:eastAsia="Times New Roman" w:hAnsi="Times New Roman" w:cs="Times New Roman"/>
          <w:sz w:val="24"/>
          <w:szCs w:val="24"/>
        </w:rPr>
        <w:t>targeted cultural</w:t>
      </w:r>
      <w:r w:rsidR="00F77D64" w:rsidRPr="00EB55C1">
        <w:rPr>
          <w:rFonts w:ascii="Times New Roman" w:eastAsia="Times New Roman" w:hAnsi="Times New Roman" w:cs="Times New Roman"/>
          <w:sz w:val="24"/>
          <w:szCs w:val="24"/>
        </w:rPr>
        <w:t xml:space="preserve"> property on the World Heritage List add</w:t>
      </w:r>
      <w:r w:rsidR="006F7F37" w:rsidRPr="00EB55C1">
        <w:rPr>
          <w:rFonts w:ascii="Times New Roman" w:eastAsia="Times New Roman" w:hAnsi="Times New Roman" w:cs="Times New Roman"/>
          <w:sz w:val="24"/>
          <w:szCs w:val="24"/>
        </w:rPr>
        <w:t>ed</w:t>
      </w:r>
      <w:r w:rsidR="00F77D64" w:rsidRPr="00EB55C1">
        <w:rPr>
          <w:rFonts w:ascii="Times New Roman" w:eastAsia="Times New Roman" w:hAnsi="Times New Roman" w:cs="Times New Roman"/>
          <w:sz w:val="24"/>
          <w:szCs w:val="24"/>
        </w:rPr>
        <w:t xml:space="preserve"> to the gravity of the </w:t>
      </w:r>
      <w:r w:rsidR="00360D35">
        <w:rPr>
          <w:rFonts w:ascii="Times New Roman" w:eastAsia="Times New Roman" w:hAnsi="Times New Roman" w:cs="Times New Roman"/>
          <w:sz w:val="24"/>
          <w:szCs w:val="24"/>
        </w:rPr>
        <w:t>offense</w:t>
      </w:r>
      <w:r w:rsidR="00F77D64" w:rsidRPr="00EB55C1">
        <w:rPr>
          <w:rFonts w:ascii="Times New Roman" w:eastAsia="Times New Roman" w:hAnsi="Times New Roman" w:cs="Times New Roman"/>
          <w:sz w:val="24"/>
          <w:szCs w:val="24"/>
        </w:rPr>
        <w:t>.</w:t>
      </w:r>
      <w:r w:rsidR="001C3639" w:rsidRPr="00EB55C1">
        <w:rPr>
          <w:rStyle w:val="EndnoteReference"/>
          <w:rFonts w:ascii="Times New Roman" w:eastAsia="Times New Roman" w:hAnsi="Times New Roman" w:cs="Times New Roman"/>
          <w:sz w:val="24"/>
          <w:szCs w:val="24"/>
        </w:rPr>
        <w:endnoteReference w:id="16"/>
      </w:r>
      <w:r w:rsidR="00F77D64" w:rsidRPr="00EB55C1">
        <w:rPr>
          <w:rFonts w:ascii="Times New Roman" w:eastAsia="Times New Roman" w:hAnsi="Times New Roman" w:cs="Times New Roman"/>
          <w:sz w:val="24"/>
          <w:szCs w:val="24"/>
        </w:rPr>
        <w:t xml:space="preserve"> </w:t>
      </w:r>
    </w:p>
    <w:p w14:paraId="0D7DC7EA" w14:textId="471635E7" w:rsidR="00F77D64" w:rsidRPr="00EB55C1" w:rsidRDefault="00E33453" w:rsidP="00D007BC">
      <w:pPr>
        <w:spacing w:before="120" w:after="120" w:line="480" w:lineRule="auto"/>
        <w:ind w:firstLine="708"/>
        <w:rPr>
          <w:rFonts w:ascii="Times New Roman" w:eastAsia="Times New Roman" w:hAnsi="Times New Roman" w:cs="Times New Roman"/>
          <w:sz w:val="24"/>
          <w:szCs w:val="24"/>
        </w:rPr>
      </w:pPr>
      <w:r w:rsidRPr="00EB55C1">
        <w:rPr>
          <w:rFonts w:ascii="Times New Roman" w:eastAsia="Times New Roman" w:hAnsi="Times New Roman" w:cs="Times New Roman"/>
          <w:sz w:val="24"/>
          <w:szCs w:val="24"/>
        </w:rPr>
        <w:t>The f</w:t>
      </w:r>
      <w:r w:rsidR="00F77D64" w:rsidRPr="00EB55C1">
        <w:rPr>
          <w:rFonts w:ascii="Times New Roman" w:eastAsia="Times New Roman" w:hAnsi="Times New Roman" w:cs="Times New Roman"/>
          <w:sz w:val="24"/>
          <w:szCs w:val="24"/>
        </w:rPr>
        <w:t xml:space="preserve">ull potential of the international lists of cultural property, as normative mechanisms, </w:t>
      </w:r>
      <w:r w:rsidR="00D70D39">
        <w:rPr>
          <w:rFonts w:ascii="Times New Roman" w:eastAsia="Times New Roman" w:hAnsi="Times New Roman" w:cs="Times New Roman"/>
          <w:sz w:val="24"/>
          <w:szCs w:val="24"/>
        </w:rPr>
        <w:t>remain</w:t>
      </w:r>
      <w:r w:rsidR="00F77D64" w:rsidRPr="00EB55C1">
        <w:rPr>
          <w:rFonts w:ascii="Times New Roman" w:eastAsia="Times New Roman" w:hAnsi="Times New Roman" w:cs="Times New Roman"/>
          <w:sz w:val="24"/>
          <w:szCs w:val="24"/>
        </w:rPr>
        <w:t xml:space="preserve"> untapped. But for now,</w:t>
      </w:r>
      <w:r w:rsidR="00FB1ADC" w:rsidRPr="00EB55C1">
        <w:rPr>
          <w:rFonts w:ascii="Times New Roman" w:eastAsia="Times New Roman" w:hAnsi="Times New Roman" w:cs="Times New Roman"/>
          <w:sz w:val="24"/>
          <w:szCs w:val="24"/>
        </w:rPr>
        <w:t xml:space="preserve"> beyond the role that they play in improving the identification of protected sites in time of armed conflict, the</w:t>
      </w:r>
      <w:r w:rsidR="00E536C3">
        <w:rPr>
          <w:rFonts w:ascii="Times New Roman" w:eastAsia="Times New Roman" w:hAnsi="Times New Roman" w:cs="Times New Roman"/>
          <w:sz w:val="24"/>
          <w:szCs w:val="24"/>
        </w:rPr>
        <w:t xml:space="preserve"> lists </w:t>
      </w:r>
      <w:r w:rsidR="002722B9" w:rsidRPr="00EB55C1">
        <w:rPr>
          <w:rFonts w:ascii="Times New Roman" w:eastAsia="Times New Roman" w:hAnsi="Times New Roman" w:cs="Times New Roman"/>
          <w:sz w:val="24"/>
          <w:szCs w:val="24"/>
        </w:rPr>
        <w:t>already exert</w:t>
      </w:r>
      <w:r w:rsidR="00FB1ADC" w:rsidRPr="00EB55C1">
        <w:rPr>
          <w:rFonts w:ascii="Times New Roman" w:eastAsia="Times New Roman" w:hAnsi="Times New Roman" w:cs="Times New Roman"/>
          <w:sz w:val="24"/>
          <w:szCs w:val="24"/>
        </w:rPr>
        <w:t xml:space="preserve"> </w:t>
      </w:r>
      <w:r w:rsidR="002722B9" w:rsidRPr="00EB55C1">
        <w:rPr>
          <w:rFonts w:ascii="Times New Roman" w:eastAsia="Times New Roman" w:hAnsi="Times New Roman" w:cs="Times New Roman"/>
          <w:sz w:val="24"/>
          <w:szCs w:val="24"/>
        </w:rPr>
        <w:t xml:space="preserve">a recognized </w:t>
      </w:r>
      <w:r w:rsidR="00FB1ADC" w:rsidRPr="00EB55C1">
        <w:rPr>
          <w:rFonts w:ascii="Times New Roman" w:eastAsia="Times New Roman" w:hAnsi="Times New Roman" w:cs="Times New Roman"/>
          <w:sz w:val="24"/>
          <w:szCs w:val="24"/>
        </w:rPr>
        <w:t>influence i</w:t>
      </w:r>
      <w:r w:rsidR="004701CB" w:rsidRPr="00EB55C1">
        <w:rPr>
          <w:rFonts w:ascii="Times New Roman" w:eastAsia="Times New Roman" w:hAnsi="Times New Roman" w:cs="Times New Roman"/>
          <w:sz w:val="24"/>
          <w:szCs w:val="24"/>
        </w:rPr>
        <w:t xml:space="preserve">n </w:t>
      </w:r>
      <w:r w:rsidR="005E3BF0" w:rsidRPr="00EB55C1">
        <w:rPr>
          <w:rFonts w:ascii="Times New Roman" w:eastAsia="Times New Roman" w:hAnsi="Times New Roman" w:cs="Times New Roman"/>
          <w:sz w:val="24"/>
          <w:szCs w:val="24"/>
        </w:rPr>
        <w:t>galvanizing international support and attention</w:t>
      </w:r>
      <w:r w:rsidR="002722B9" w:rsidRPr="00EB55C1">
        <w:rPr>
          <w:rFonts w:ascii="Times New Roman" w:eastAsia="Times New Roman" w:hAnsi="Times New Roman" w:cs="Times New Roman"/>
          <w:sz w:val="24"/>
          <w:szCs w:val="24"/>
        </w:rPr>
        <w:t xml:space="preserve"> when these sites are at risk</w:t>
      </w:r>
      <w:r w:rsidR="00F77D64" w:rsidRPr="00EB55C1">
        <w:rPr>
          <w:rFonts w:ascii="Times New Roman" w:eastAsia="Times New Roman" w:hAnsi="Times New Roman" w:cs="Times New Roman"/>
          <w:sz w:val="24"/>
          <w:szCs w:val="24"/>
        </w:rPr>
        <w:t>.</w:t>
      </w:r>
      <w:r w:rsidR="0033754E" w:rsidRPr="00EB55C1">
        <w:rPr>
          <w:rStyle w:val="EndnoteReference"/>
          <w:rFonts w:ascii="Times New Roman" w:eastAsia="Times New Roman" w:hAnsi="Times New Roman" w:cs="Times New Roman"/>
          <w:sz w:val="24"/>
          <w:szCs w:val="24"/>
        </w:rPr>
        <w:endnoteReference w:id="17"/>
      </w:r>
    </w:p>
    <w:p w14:paraId="34448B40" w14:textId="77777777" w:rsidR="00213851" w:rsidRPr="00EB55C1" w:rsidRDefault="00213851" w:rsidP="00D007BC">
      <w:pPr>
        <w:spacing w:before="120" w:after="120" w:line="480" w:lineRule="auto"/>
        <w:rPr>
          <w:rFonts w:ascii="Times New Roman" w:eastAsia="Times New Roman" w:hAnsi="Times New Roman" w:cs="Times New Roman"/>
          <w:sz w:val="24"/>
          <w:szCs w:val="24"/>
        </w:rPr>
      </w:pPr>
    </w:p>
    <w:p w14:paraId="252FE27D" w14:textId="71893C86" w:rsidR="00435DC2" w:rsidRPr="00EB55C1" w:rsidRDefault="00AE1CE7" w:rsidP="00EE6F41">
      <w:pPr>
        <w:pStyle w:val="Heading2"/>
        <w:spacing w:line="480" w:lineRule="auto"/>
      </w:pPr>
      <w:r w:rsidRPr="00EB55C1">
        <w:t xml:space="preserve">Supervisory and </w:t>
      </w:r>
      <w:r w:rsidR="00D33817">
        <w:t>A</w:t>
      </w:r>
      <w:r w:rsidRPr="00EB55C1">
        <w:t xml:space="preserve">dvisory </w:t>
      </w:r>
      <w:r w:rsidR="00D33817">
        <w:t>I</w:t>
      </w:r>
      <w:r w:rsidRPr="00EB55C1">
        <w:t xml:space="preserve">nstitutional </w:t>
      </w:r>
      <w:r w:rsidR="00D33817">
        <w:t>M</w:t>
      </w:r>
      <w:r w:rsidRPr="00EB55C1">
        <w:t>echanisms</w:t>
      </w:r>
    </w:p>
    <w:p w14:paraId="353D49DC" w14:textId="1BEAEE38" w:rsidR="00EB2C9E" w:rsidRPr="00EB55C1" w:rsidRDefault="008D6F0B" w:rsidP="006952D9">
      <w:pPr>
        <w:spacing w:before="120" w:after="120" w:line="480" w:lineRule="auto"/>
        <w:rPr>
          <w:rFonts w:ascii="Times New Roman" w:eastAsia="Times New Roman" w:hAnsi="Times New Roman" w:cs="Times New Roman"/>
          <w:sz w:val="24"/>
          <w:szCs w:val="24"/>
        </w:rPr>
      </w:pPr>
      <w:r w:rsidRPr="00EB55C1">
        <w:rPr>
          <w:rFonts w:ascii="Times New Roman" w:eastAsia="Times New Roman" w:hAnsi="Times New Roman" w:cs="Times New Roman"/>
          <w:sz w:val="24"/>
          <w:szCs w:val="24"/>
        </w:rPr>
        <w:t>S</w:t>
      </w:r>
      <w:r w:rsidR="00EB2C9E" w:rsidRPr="00EB55C1">
        <w:rPr>
          <w:rFonts w:ascii="Times New Roman" w:eastAsia="Times New Roman" w:hAnsi="Times New Roman" w:cs="Times New Roman"/>
          <w:sz w:val="24"/>
          <w:szCs w:val="24"/>
        </w:rPr>
        <w:t>tatutory</w:t>
      </w:r>
      <w:r w:rsidR="009B288D" w:rsidRPr="00EB55C1">
        <w:rPr>
          <w:rFonts w:ascii="Times New Roman" w:eastAsia="Times New Roman" w:hAnsi="Times New Roman" w:cs="Times New Roman"/>
          <w:sz w:val="24"/>
          <w:szCs w:val="24"/>
        </w:rPr>
        <w:t xml:space="preserve"> </w:t>
      </w:r>
      <w:r w:rsidR="00EB2C9E" w:rsidRPr="00EB55C1">
        <w:rPr>
          <w:rFonts w:ascii="Times New Roman" w:eastAsia="Times New Roman" w:hAnsi="Times New Roman" w:cs="Times New Roman"/>
          <w:sz w:val="24"/>
          <w:szCs w:val="24"/>
        </w:rPr>
        <w:t>bodies</w:t>
      </w:r>
      <w:r w:rsidR="009B1D49" w:rsidRPr="00EB55C1">
        <w:rPr>
          <w:rFonts w:ascii="Times New Roman" w:eastAsia="Times New Roman" w:hAnsi="Times New Roman" w:cs="Times New Roman"/>
          <w:sz w:val="24"/>
          <w:szCs w:val="24"/>
        </w:rPr>
        <w:t xml:space="preserve"> </w:t>
      </w:r>
      <w:r w:rsidR="00EB2C9E" w:rsidRPr="00EB55C1">
        <w:rPr>
          <w:rFonts w:ascii="Times New Roman" w:eastAsia="Times New Roman" w:hAnsi="Times New Roman" w:cs="Times New Roman"/>
          <w:sz w:val="24"/>
          <w:szCs w:val="24"/>
        </w:rPr>
        <w:t xml:space="preserve">are institutional </w:t>
      </w:r>
      <w:r w:rsidR="00C70DA3" w:rsidRPr="00EB55C1">
        <w:rPr>
          <w:rFonts w:ascii="Times New Roman" w:eastAsia="Times New Roman" w:hAnsi="Times New Roman" w:cs="Times New Roman"/>
          <w:sz w:val="24"/>
          <w:szCs w:val="24"/>
        </w:rPr>
        <w:t>mechanisms</w:t>
      </w:r>
      <w:r w:rsidR="00EB2C9E" w:rsidRPr="00EB55C1">
        <w:rPr>
          <w:rFonts w:ascii="Times New Roman" w:eastAsia="Times New Roman" w:hAnsi="Times New Roman" w:cs="Times New Roman"/>
          <w:sz w:val="24"/>
          <w:szCs w:val="24"/>
        </w:rPr>
        <w:t xml:space="preserve"> created under the respective treaties</w:t>
      </w:r>
      <w:r w:rsidR="002D2020">
        <w:rPr>
          <w:rFonts w:ascii="Times New Roman" w:eastAsia="Times New Roman" w:hAnsi="Times New Roman" w:cs="Times New Roman"/>
          <w:sz w:val="24"/>
          <w:szCs w:val="24"/>
        </w:rPr>
        <w:t>,</w:t>
      </w:r>
      <w:r w:rsidR="002722B9" w:rsidRPr="00EB55C1">
        <w:rPr>
          <w:rFonts w:ascii="Times New Roman" w:eastAsia="Times New Roman" w:hAnsi="Times New Roman" w:cs="Times New Roman"/>
          <w:sz w:val="24"/>
          <w:szCs w:val="24"/>
        </w:rPr>
        <w:t xml:space="preserve"> </w:t>
      </w:r>
      <w:r w:rsidR="002D2020">
        <w:rPr>
          <w:rFonts w:ascii="Times New Roman" w:eastAsia="Times New Roman" w:hAnsi="Times New Roman" w:cs="Times New Roman"/>
          <w:sz w:val="24"/>
          <w:szCs w:val="24"/>
        </w:rPr>
        <w:t xml:space="preserve">and </w:t>
      </w:r>
      <w:r w:rsidR="002722B9" w:rsidRPr="00EB55C1">
        <w:rPr>
          <w:rFonts w:ascii="Times New Roman" w:eastAsia="Times New Roman" w:hAnsi="Times New Roman" w:cs="Times New Roman"/>
          <w:sz w:val="24"/>
          <w:szCs w:val="24"/>
        </w:rPr>
        <w:t>are</w:t>
      </w:r>
      <w:r w:rsidR="00EB2C9E" w:rsidRPr="00EB55C1">
        <w:rPr>
          <w:rFonts w:ascii="Times New Roman" w:eastAsia="Times New Roman" w:hAnsi="Times New Roman" w:cs="Times New Roman"/>
          <w:sz w:val="24"/>
          <w:szCs w:val="24"/>
        </w:rPr>
        <w:t xml:space="preserve"> usually intergovernmental. The World Heritage Committee</w:t>
      </w:r>
      <w:r w:rsidR="00475E4C" w:rsidRPr="00EB55C1">
        <w:rPr>
          <w:rFonts w:ascii="Times New Roman" w:eastAsia="Times New Roman" w:hAnsi="Times New Roman" w:cs="Times New Roman"/>
          <w:sz w:val="24"/>
          <w:szCs w:val="24"/>
        </w:rPr>
        <w:t xml:space="preserve"> and</w:t>
      </w:r>
      <w:r w:rsidR="00D54F43" w:rsidRPr="00EB55C1">
        <w:rPr>
          <w:rFonts w:ascii="Times New Roman" w:eastAsia="Times New Roman" w:hAnsi="Times New Roman" w:cs="Times New Roman"/>
          <w:sz w:val="24"/>
          <w:szCs w:val="24"/>
        </w:rPr>
        <w:t xml:space="preserve"> </w:t>
      </w:r>
      <w:r w:rsidR="00EB2C9E" w:rsidRPr="00EB55C1">
        <w:rPr>
          <w:rFonts w:ascii="Times New Roman" w:eastAsia="Times New Roman" w:hAnsi="Times New Roman" w:cs="Times New Roman"/>
          <w:sz w:val="24"/>
          <w:szCs w:val="24"/>
        </w:rPr>
        <w:t>the Committee for the Protection of Cultural Property in the Event of Armed Conflict</w:t>
      </w:r>
      <w:r w:rsidR="005C461A" w:rsidRPr="00EB55C1">
        <w:rPr>
          <w:rFonts w:ascii="Times New Roman" w:eastAsia="Times New Roman" w:hAnsi="Times New Roman" w:cs="Times New Roman"/>
          <w:sz w:val="24"/>
          <w:szCs w:val="24"/>
        </w:rPr>
        <w:t xml:space="preserve"> </w:t>
      </w:r>
      <w:r w:rsidR="00EB2C9E" w:rsidRPr="00EB55C1">
        <w:rPr>
          <w:rFonts w:ascii="Times New Roman" w:eastAsia="Times New Roman" w:hAnsi="Times New Roman" w:cs="Times New Roman"/>
          <w:sz w:val="24"/>
          <w:szCs w:val="24"/>
        </w:rPr>
        <w:t xml:space="preserve">are </w:t>
      </w:r>
      <w:r w:rsidR="00475E4C" w:rsidRPr="00EB55C1">
        <w:rPr>
          <w:rFonts w:ascii="Times New Roman" w:eastAsia="Times New Roman" w:hAnsi="Times New Roman" w:cs="Times New Roman"/>
          <w:sz w:val="24"/>
          <w:szCs w:val="24"/>
        </w:rPr>
        <w:t>prominent examples</w:t>
      </w:r>
      <w:r w:rsidR="00312410">
        <w:rPr>
          <w:rFonts w:ascii="Times New Roman" w:eastAsia="Times New Roman" w:hAnsi="Times New Roman" w:cs="Times New Roman"/>
          <w:sz w:val="24"/>
          <w:szCs w:val="24"/>
        </w:rPr>
        <w:t>:</w:t>
      </w:r>
      <w:r w:rsidR="00475E4C" w:rsidRPr="00EB55C1">
        <w:rPr>
          <w:rFonts w:ascii="Times New Roman" w:eastAsia="Times New Roman" w:hAnsi="Times New Roman" w:cs="Times New Roman"/>
          <w:sz w:val="24"/>
          <w:szCs w:val="24"/>
        </w:rPr>
        <w:t xml:space="preserve"> both</w:t>
      </w:r>
      <w:r w:rsidR="008A4DB6" w:rsidRPr="00EB55C1">
        <w:rPr>
          <w:rFonts w:ascii="Times New Roman" w:eastAsia="Times New Roman" w:hAnsi="Times New Roman" w:cs="Times New Roman"/>
          <w:sz w:val="24"/>
          <w:szCs w:val="24"/>
        </w:rPr>
        <w:t xml:space="preserve"> </w:t>
      </w:r>
      <w:r w:rsidR="00312410">
        <w:rPr>
          <w:rFonts w:ascii="Times New Roman" w:eastAsia="Times New Roman" w:hAnsi="Times New Roman" w:cs="Times New Roman"/>
          <w:sz w:val="24"/>
          <w:szCs w:val="24"/>
        </w:rPr>
        <w:t xml:space="preserve">are </w:t>
      </w:r>
      <w:r w:rsidR="00EB2C9E" w:rsidRPr="00EB55C1">
        <w:rPr>
          <w:rFonts w:ascii="Times New Roman" w:eastAsia="Times New Roman" w:hAnsi="Times New Roman" w:cs="Times New Roman"/>
          <w:sz w:val="24"/>
          <w:szCs w:val="24"/>
        </w:rPr>
        <w:t>charged with broad mandate</w:t>
      </w:r>
      <w:r w:rsidR="00475E4C" w:rsidRPr="00EB55C1">
        <w:rPr>
          <w:rFonts w:ascii="Times New Roman" w:eastAsia="Times New Roman" w:hAnsi="Times New Roman" w:cs="Times New Roman"/>
          <w:sz w:val="24"/>
          <w:szCs w:val="24"/>
        </w:rPr>
        <w:t>s</w:t>
      </w:r>
      <w:r w:rsidR="00EB2C9E" w:rsidRPr="00EB55C1">
        <w:rPr>
          <w:rFonts w:ascii="Times New Roman" w:eastAsia="Times New Roman" w:hAnsi="Times New Roman" w:cs="Times New Roman"/>
          <w:sz w:val="24"/>
          <w:szCs w:val="24"/>
        </w:rPr>
        <w:t xml:space="preserve"> to discuss questions and adopt strategic policy orientations related to the preservation of cultural heritage</w:t>
      </w:r>
      <w:r w:rsidR="00B136CD">
        <w:rPr>
          <w:rFonts w:ascii="Times New Roman" w:eastAsia="Times New Roman" w:hAnsi="Times New Roman" w:cs="Times New Roman"/>
          <w:sz w:val="24"/>
          <w:szCs w:val="24"/>
        </w:rPr>
        <w:t xml:space="preserve"> </w:t>
      </w:r>
      <w:r w:rsidR="002722B9" w:rsidRPr="00EB55C1">
        <w:rPr>
          <w:rFonts w:ascii="Times New Roman" w:eastAsia="Times New Roman" w:hAnsi="Times New Roman" w:cs="Times New Roman"/>
          <w:sz w:val="24"/>
          <w:szCs w:val="24"/>
        </w:rPr>
        <w:t>and</w:t>
      </w:r>
      <w:r w:rsidR="00C47BBA">
        <w:rPr>
          <w:rFonts w:ascii="Times New Roman" w:eastAsia="Times New Roman" w:hAnsi="Times New Roman" w:cs="Times New Roman"/>
          <w:sz w:val="24"/>
          <w:szCs w:val="24"/>
        </w:rPr>
        <w:t>,</w:t>
      </w:r>
      <w:r w:rsidR="002722B9" w:rsidRPr="00EB55C1">
        <w:rPr>
          <w:rFonts w:ascii="Times New Roman" w:eastAsia="Times New Roman" w:hAnsi="Times New Roman" w:cs="Times New Roman"/>
          <w:sz w:val="24"/>
          <w:szCs w:val="24"/>
        </w:rPr>
        <w:t xml:space="preserve"> as such,</w:t>
      </w:r>
      <w:r w:rsidR="00BD5926" w:rsidRPr="00EB55C1">
        <w:rPr>
          <w:rFonts w:ascii="Times New Roman" w:eastAsia="Times New Roman" w:hAnsi="Times New Roman" w:cs="Times New Roman"/>
          <w:sz w:val="24"/>
          <w:szCs w:val="24"/>
        </w:rPr>
        <w:t xml:space="preserve"> </w:t>
      </w:r>
      <w:r w:rsidR="00B2698C" w:rsidRPr="00EB55C1">
        <w:rPr>
          <w:rFonts w:ascii="Times New Roman" w:eastAsia="Times New Roman" w:hAnsi="Times New Roman" w:cs="Times New Roman"/>
          <w:sz w:val="24"/>
          <w:szCs w:val="24"/>
        </w:rPr>
        <w:t xml:space="preserve">play </w:t>
      </w:r>
      <w:r w:rsidR="00C70DA3" w:rsidRPr="00EB55C1">
        <w:rPr>
          <w:rFonts w:ascii="Times New Roman" w:eastAsia="Times New Roman" w:hAnsi="Times New Roman" w:cs="Times New Roman"/>
          <w:sz w:val="24"/>
          <w:szCs w:val="24"/>
        </w:rPr>
        <w:t>an</w:t>
      </w:r>
      <w:r w:rsidR="00B2698C" w:rsidRPr="00EB55C1">
        <w:rPr>
          <w:rFonts w:ascii="Times New Roman" w:eastAsia="Times New Roman" w:hAnsi="Times New Roman" w:cs="Times New Roman"/>
          <w:sz w:val="24"/>
          <w:szCs w:val="24"/>
        </w:rPr>
        <w:t xml:space="preserve"> </w:t>
      </w:r>
      <w:r w:rsidR="00CF00D7" w:rsidRPr="00EB55C1">
        <w:rPr>
          <w:rFonts w:ascii="Times New Roman" w:eastAsia="Times New Roman" w:hAnsi="Times New Roman" w:cs="Times New Roman"/>
          <w:sz w:val="24"/>
          <w:szCs w:val="24"/>
        </w:rPr>
        <w:t>important</w:t>
      </w:r>
      <w:r w:rsidR="00B2698C" w:rsidRPr="00EB55C1">
        <w:rPr>
          <w:rFonts w:ascii="Times New Roman" w:eastAsia="Times New Roman" w:hAnsi="Times New Roman" w:cs="Times New Roman"/>
          <w:sz w:val="24"/>
          <w:szCs w:val="24"/>
        </w:rPr>
        <w:t xml:space="preserve"> role in operationalizing </w:t>
      </w:r>
      <w:r w:rsidR="002722B9" w:rsidRPr="00EB55C1">
        <w:rPr>
          <w:rFonts w:ascii="Times New Roman" w:eastAsia="Times New Roman" w:hAnsi="Times New Roman" w:cs="Times New Roman"/>
          <w:sz w:val="24"/>
          <w:szCs w:val="24"/>
        </w:rPr>
        <w:t>the text of the</w:t>
      </w:r>
      <w:r w:rsidR="00C47BBA">
        <w:rPr>
          <w:rFonts w:ascii="Times New Roman" w:eastAsia="Times New Roman" w:hAnsi="Times New Roman" w:cs="Times New Roman"/>
          <w:sz w:val="24"/>
          <w:szCs w:val="24"/>
        </w:rPr>
        <w:t>ir affiliated</w:t>
      </w:r>
      <w:r w:rsidR="00C208E2" w:rsidRPr="00EB55C1">
        <w:rPr>
          <w:rFonts w:ascii="Times New Roman" w:eastAsia="Times New Roman" w:hAnsi="Times New Roman" w:cs="Times New Roman"/>
          <w:sz w:val="24"/>
          <w:szCs w:val="24"/>
        </w:rPr>
        <w:t xml:space="preserve"> treaties</w:t>
      </w:r>
      <w:r w:rsidR="00B2698C" w:rsidRPr="00EB55C1">
        <w:rPr>
          <w:rFonts w:ascii="Times New Roman" w:eastAsia="Times New Roman" w:hAnsi="Times New Roman" w:cs="Times New Roman"/>
          <w:sz w:val="24"/>
          <w:szCs w:val="24"/>
        </w:rPr>
        <w:t xml:space="preserve">. </w:t>
      </w:r>
    </w:p>
    <w:p w14:paraId="352FF89B" w14:textId="1FFD5955" w:rsidR="000B280D" w:rsidRPr="00EB55C1" w:rsidRDefault="00EB2C9E" w:rsidP="006952D9">
      <w:pPr>
        <w:spacing w:before="120" w:after="120" w:line="480" w:lineRule="auto"/>
        <w:ind w:firstLine="708"/>
        <w:rPr>
          <w:rFonts w:ascii="Times New Roman" w:eastAsia="Times New Roman" w:hAnsi="Times New Roman" w:cs="Times New Roman"/>
          <w:sz w:val="24"/>
          <w:szCs w:val="24"/>
        </w:rPr>
      </w:pPr>
      <w:bookmarkStart w:id="2" w:name="_gjdgxs" w:colFirst="0" w:colLast="0"/>
      <w:bookmarkEnd w:id="2"/>
      <w:r w:rsidRPr="00EB55C1">
        <w:rPr>
          <w:rFonts w:ascii="Times New Roman" w:eastAsia="Times New Roman" w:hAnsi="Times New Roman" w:cs="Times New Roman"/>
          <w:sz w:val="24"/>
          <w:szCs w:val="24"/>
        </w:rPr>
        <w:lastRenderedPageBreak/>
        <w:t>The initiative to establish a permanent supervisory body</w:t>
      </w:r>
      <w:r w:rsidR="000122FB" w:rsidRPr="00EB55C1">
        <w:rPr>
          <w:rFonts w:ascii="Times New Roman" w:eastAsia="Times New Roman" w:hAnsi="Times New Roman" w:cs="Times New Roman"/>
          <w:sz w:val="24"/>
          <w:szCs w:val="24"/>
        </w:rPr>
        <w:t xml:space="preserve"> entrusted with </w:t>
      </w:r>
      <w:r w:rsidRPr="00EB55C1">
        <w:rPr>
          <w:rFonts w:ascii="Times New Roman" w:eastAsia="Times New Roman" w:hAnsi="Times New Roman" w:cs="Times New Roman"/>
          <w:sz w:val="24"/>
          <w:szCs w:val="24"/>
        </w:rPr>
        <w:t>monitor</w:t>
      </w:r>
      <w:r w:rsidR="005239D6">
        <w:rPr>
          <w:rFonts w:ascii="Times New Roman" w:eastAsia="Times New Roman" w:hAnsi="Times New Roman" w:cs="Times New Roman"/>
          <w:sz w:val="24"/>
          <w:szCs w:val="24"/>
        </w:rPr>
        <w:t>ing</w:t>
      </w:r>
      <w:r w:rsidRPr="00EB55C1">
        <w:rPr>
          <w:rFonts w:ascii="Times New Roman" w:eastAsia="Times New Roman" w:hAnsi="Times New Roman" w:cs="Times New Roman"/>
          <w:sz w:val="24"/>
          <w:szCs w:val="24"/>
        </w:rPr>
        <w:t xml:space="preserve"> the implementation of</w:t>
      </w:r>
      <w:r w:rsidR="000122FB" w:rsidRPr="00EB55C1">
        <w:rPr>
          <w:rFonts w:ascii="Times New Roman" w:eastAsia="Times New Roman" w:hAnsi="Times New Roman" w:cs="Times New Roman"/>
          <w:sz w:val="24"/>
          <w:szCs w:val="24"/>
        </w:rPr>
        <w:t xml:space="preserve"> the 1954 Hague Convention </w:t>
      </w:r>
      <w:r w:rsidR="00095202">
        <w:rPr>
          <w:rFonts w:ascii="Times New Roman" w:eastAsia="Times New Roman" w:hAnsi="Times New Roman" w:cs="Times New Roman"/>
          <w:sz w:val="24"/>
          <w:szCs w:val="24"/>
        </w:rPr>
        <w:t xml:space="preserve">had </w:t>
      </w:r>
      <w:r w:rsidR="000122FB" w:rsidRPr="00EB55C1">
        <w:rPr>
          <w:rFonts w:ascii="Times New Roman" w:eastAsia="Times New Roman" w:hAnsi="Times New Roman" w:cs="Times New Roman"/>
          <w:sz w:val="24"/>
          <w:szCs w:val="24"/>
        </w:rPr>
        <w:t xml:space="preserve">already </w:t>
      </w:r>
      <w:r w:rsidR="00095202">
        <w:rPr>
          <w:rFonts w:ascii="Times New Roman" w:eastAsia="Times New Roman" w:hAnsi="Times New Roman" w:cs="Times New Roman"/>
          <w:sz w:val="24"/>
          <w:szCs w:val="24"/>
        </w:rPr>
        <w:t xml:space="preserve">been </w:t>
      </w:r>
      <w:r w:rsidR="000122FB" w:rsidRPr="00EB55C1">
        <w:rPr>
          <w:rFonts w:ascii="Times New Roman" w:eastAsia="Times New Roman" w:hAnsi="Times New Roman" w:cs="Times New Roman"/>
          <w:sz w:val="24"/>
          <w:szCs w:val="24"/>
        </w:rPr>
        <w:t xml:space="preserve">discussed during the diplomatic conference that led to its adoption. Although this option was ultimately abandoned at the time, the value of creating such a </w:t>
      </w:r>
      <w:r w:rsidR="00393E8A" w:rsidRPr="00EB55C1">
        <w:rPr>
          <w:rFonts w:ascii="Times New Roman" w:eastAsia="Times New Roman" w:hAnsi="Times New Roman" w:cs="Times New Roman"/>
          <w:sz w:val="24"/>
          <w:szCs w:val="24"/>
        </w:rPr>
        <w:t xml:space="preserve">permanent </w:t>
      </w:r>
      <w:r w:rsidR="000122FB" w:rsidRPr="00EB55C1">
        <w:rPr>
          <w:rFonts w:ascii="Times New Roman" w:eastAsia="Times New Roman" w:hAnsi="Times New Roman" w:cs="Times New Roman"/>
          <w:sz w:val="24"/>
          <w:szCs w:val="24"/>
        </w:rPr>
        <w:t>body resurfaced during the process leading to the adoption of the</w:t>
      </w:r>
      <w:r w:rsidR="007E0718" w:rsidRPr="00EB55C1">
        <w:rPr>
          <w:rFonts w:ascii="Times New Roman" w:eastAsia="Times New Roman" w:hAnsi="Times New Roman" w:cs="Times New Roman"/>
          <w:sz w:val="24"/>
          <w:szCs w:val="24"/>
        </w:rPr>
        <w:t xml:space="preserve"> 1999</w:t>
      </w:r>
      <w:r w:rsidR="000122FB" w:rsidRPr="00EB55C1">
        <w:rPr>
          <w:rFonts w:ascii="Times New Roman" w:eastAsia="Times New Roman" w:hAnsi="Times New Roman" w:cs="Times New Roman"/>
          <w:sz w:val="24"/>
          <w:szCs w:val="24"/>
        </w:rPr>
        <w:t xml:space="preserve"> Second Protocol</w:t>
      </w:r>
      <w:r w:rsidR="007E0718" w:rsidRPr="00EB55C1">
        <w:rPr>
          <w:rFonts w:ascii="Times New Roman" w:eastAsia="Times New Roman" w:hAnsi="Times New Roman" w:cs="Times New Roman"/>
          <w:sz w:val="24"/>
          <w:szCs w:val="24"/>
        </w:rPr>
        <w:t xml:space="preserve"> and </w:t>
      </w:r>
      <w:r w:rsidR="00B64291">
        <w:rPr>
          <w:rFonts w:ascii="Times New Roman" w:eastAsia="Times New Roman" w:hAnsi="Times New Roman" w:cs="Times New Roman"/>
          <w:sz w:val="24"/>
          <w:szCs w:val="24"/>
        </w:rPr>
        <w:t xml:space="preserve">became </w:t>
      </w:r>
      <w:r w:rsidR="007E0718" w:rsidRPr="00EB55C1">
        <w:rPr>
          <w:rFonts w:ascii="Times New Roman" w:eastAsia="Times New Roman" w:hAnsi="Times New Roman" w:cs="Times New Roman"/>
          <w:sz w:val="24"/>
          <w:szCs w:val="24"/>
        </w:rPr>
        <w:t>one of its key elements. The Committee for the Protection of Cultural Property in the Event of Armed Conflict</w:t>
      </w:r>
      <w:r w:rsidR="00526972">
        <w:rPr>
          <w:rFonts w:ascii="Times New Roman" w:eastAsia="Times New Roman" w:hAnsi="Times New Roman" w:cs="Times New Roman"/>
          <w:sz w:val="24"/>
          <w:szCs w:val="24"/>
        </w:rPr>
        <w:t>,</w:t>
      </w:r>
      <w:r w:rsidR="007E0718" w:rsidRPr="00EB55C1">
        <w:rPr>
          <w:rFonts w:ascii="Times New Roman" w:eastAsia="Times New Roman" w:hAnsi="Times New Roman" w:cs="Times New Roman"/>
          <w:sz w:val="24"/>
          <w:szCs w:val="24"/>
        </w:rPr>
        <w:t xml:space="preserve"> established by the </w:t>
      </w:r>
      <w:r w:rsidR="00526972">
        <w:rPr>
          <w:rFonts w:ascii="Times New Roman" w:eastAsia="Times New Roman" w:hAnsi="Times New Roman" w:cs="Times New Roman"/>
          <w:sz w:val="24"/>
          <w:szCs w:val="24"/>
        </w:rPr>
        <w:t>p</w:t>
      </w:r>
      <w:r w:rsidR="007E0718" w:rsidRPr="00EB55C1">
        <w:rPr>
          <w:rFonts w:ascii="Times New Roman" w:eastAsia="Times New Roman" w:hAnsi="Times New Roman" w:cs="Times New Roman"/>
          <w:sz w:val="24"/>
          <w:szCs w:val="24"/>
        </w:rPr>
        <w:t>rotocol</w:t>
      </w:r>
      <w:r w:rsidR="00526972">
        <w:rPr>
          <w:rFonts w:ascii="Times New Roman" w:eastAsia="Times New Roman" w:hAnsi="Times New Roman" w:cs="Times New Roman"/>
          <w:sz w:val="24"/>
          <w:szCs w:val="24"/>
        </w:rPr>
        <w:t>,</w:t>
      </w:r>
      <w:r w:rsidR="007E0718" w:rsidRPr="00EB55C1">
        <w:rPr>
          <w:rFonts w:ascii="Times New Roman" w:eastAsia="Times New Roman" w:hAnsi="Times New Roman" w:cs="Times New Roman"/>
          <w:sz w:val="24"/>
          <w:szCs w:val="24"/>
        </w:rPr>
        <w:t xml:space="preserve"> is modelled on the World Heritage Committee</w:t>
      </w:r>
      <w:r w:rsidR="007060EC" w:rsidRPr="00360D35">
        <w:rPr>
          <w:rFonts w:ascii="Times New Roman" w:eastAsia="Times New Roman" w:hAnsi="Times New Roman" w:cs="Times New Roman"/>
          <w:sz w:val="24"/>
          <w:szCs w:val="24"/>
        </w:rPr>
        <w:t>.</w:t>
      </w:r>
      <w:r w:rsidR="007E0718" w:rsidRPr="00EB55C1">
        <w:rPr>
          <w:rFonts w:ascii="Times New Roman" w:eastAsia="Times New Roman" w:hAnsi="Times New Roman" w:cs="Times New Roman"/>
          <w:sz w:val="24"/>
          <w:szCs w:val="24"/>
          <w:vertAlign w:val="superscript"/>
        </w:rPr>
        <w:endnoteReference w:id="18"/>
      </w:r>
      <w:r w:rsidR="007E0718" w:rsidRPr="00EB55C1">
        <w:rPr>
          <w:rFonts w:ascii="Times New Roman" w:eastAsia="Times New Roman" w:hAnsi="Times New Roman" w:cs="Times New Roman"/>
          <w:sz w:val="24"/>
          <w:szCs w:val="24"/>
        </w:rPr>
        <w:t xml:space="preserve"> It is c</w:t>
      </w:r>
      <w:r w:rsidRPr="00EB55C1">
        <w:rPr>
          <w:rFonts w:ascii="Times New Roman" w:eastAsia="Times New Roman" w:hAnsi="Times New Roman" w:cs="Times New Roman"/>
          <w:sz w:val="24"/>
          <w:szCs w:val="24"/>
        </w:rPr>
        <w:t>omposed of</w:t>
      </w:r>
      <w:r w:rsidR="00747969" w:rsidRPr="00EB55C1">
        <w:rPr>
          <w:rFonts w:ascii="Times New Roman" w:eastAsia="Times New Roman" w:hAnsi="Times New Roman" w:cs="Times New Roman"/>
          <w:sz w:val="24"/>
          <w:szCs w:val="24"/>
        </w:rPr>
        <w:t xml:space="preserve"> representatives of</w:t>
      </w:r>
      <w:r w:rsidRPr="00EB55C1">
        <w:rPr>
          <w:rFonts w:ascii="Times New Roman" w:eastAsia="Times New Roman" w:hAnsi="Times New Roman" w:cs="Times New Roman"/>
          <w:sz w:val="24"/>
          <w:szCs w:val="24"/>
        </w:rPr>
        <w:t xml:space="preserve"> </w:t>
      </w:r>
      <w:r w:rsidR="00646807" w:rsidRPr="00360D35">
        <w:rPr>
          <w:rFonts w:ascii="Times New Roman" w:eastAsia="Times New Roman" w:hAnsi="Times New Roman" w:cs="Times New Roman"/>
          <w:sz w:val="24"/>
          <w:szCs w:val="24"/>
        </w:rPr>
        <w:t>twelve</w:t>
      </w:r>
      <w:r w:rsidR="00646807" w:rsidRPr="00EB55C1">
        <w:rPr>
          <w:rFonts w:ascii="Times New Roman" w:eastAsia="Times New Roman" w:hAnsi="Times New Roman" w:cs="Times New Roman"/>
          <w:sz w:val="24"/>
          <w:szCs w:val="24"/>
        </w:rPr>
        <w:t xml:space="preserve"> </w:t>
      </w:r>
      <w:r w:rsidR="00646807" w:rsidRPr="00360D35">
        <w:rPr>
          <w:rFonts w:ascii="Times New Roman" w:eastAsia="Times New Roman" w:hAnsi="Times New Roman" w:cs="Times New Roman"/>
          <w:sz w:val="24"/>
          <w:szCs w:val="24"/>
        </w:rPr>
        <w:t>state parties</w:t>
      </w:r>
      <w:r w:rsidR="00747969" w:rsidRPr="00EB55C1">
        <w:rPr>
          <w:rFonts w:ascii="Times New Roman" w:eastAsia="Times New Roman" w:hAnsi="Times New Roman" w:cs="Times New Roman"/>
          <w:sz w:val="24"/>
          <w:szCs w:val="24"/>
        </w:rPr>
        <w:t xml:space="preserve"> to the </w:t>
      </w:r>
      <w:r w:rsidR="00526972">
        <w:rPr>
          <w:rFonts w:ascii="Times New Roman" w:eastAsia="Times New Roman" w:hAnsi="Times New Roman" w:cs="Times New Roman"/>
          <w:sz w:val="24"/>
          <w:szCs w:val="24"/>
        </w:rPr>
        <w:t>p</w:t>
      </w:r>
      <w:r w:rsidR="00747969" w:rsidRPr="00EB55C1">
        <w:rPr>
          <w:rFonts w:ascii="Times New Roman" w:eastAsia="Times New Roman" w:hAnsi="Times New Roman" w:cs="Times New Roman"/>
          <w:sz w:val="24"/>
          <w:szCs w:val="24"/>
        </w:rPr>
        <w:t>rotocol</w:t>
      </w:r>
      <w:r w:rsidR="00526972">
        <w:rPr>
          <w:rFonts w:ascii="Times New Roman" w:eastAsia="Times New Roman" w:hAnsi="Times New Roman" w:cs="Times New Roman"/>
          <w:sz w:val="24"/>
          <w:szCs w:val="24"/>
        </w:rPr>
        <w:t>,</w:t>
      </w:r>
      <w:r w:rsidR="00747969" w:rsidRPr="00EB55C1">
        <w:rPr>
          <w:rFonts w:ascii="Times New Roman" w:eastAsia="Times New Roman" w:hAnsi="Times New Roman" w:cs="Times New Roman"/>
          <w:sz w:val="24"/>
          <w:szCs w:val="24"/>
        </w:rPr>
        <w:t xml:space="preserve"> </w:t>
      </w:r>
      <w:r w:rsidR="00526972">
        <w:rPr>
          <w:rFonts w:ascii="Times New Roman" w:eastAsia="Times New Roman" w:hAnsi="Times New Roman" w:cs="Times New Roman"/>
          <w:sz w:val="24"/>
          <w:szCs w:val="24"/>
        </w:rPr>
        <w:t xml:space="preserve">who </w:t>
      </w:r>
      <w:r w:rsidR="00747969" w:rsidRPr="00EB55C1">
        <w:rPr>
          <w:rFonts w:ascii="Times New Roman" w:eastAsia="Times New Roman" w:hAnsi="Times New Roman" w:cs="Times New Roman"/>
          <w:sz w:val="24"/>
          <w:szCs w:val="24"/>
        </w:rPr>
        <w:t xml:space="preserve">are elected for a four year mandate, and is primarily tasked </w:t>
      </w:r>
      <w:r w:rsidR="00D02702">
        <w:rPr>
          <w:rFonts w:ascii="Times New Roman" w:eastAsia="Times New Roman" w:hAnsi="Times New Roman" w:cs="Times New Roman"/>
          <w:sz w:val="24"/>
          <w:szCs w:val="24"/>
        </w:rPr>
        <w:t xml:space="preserve">with </w:t>
      </w:r>
      <w:r w:rsidRPr="00EB55C1">
        <w:rPr>
          <w:rFonts w:ascii="Times New Roman" w:eastAsia="Times New Roman" w:hAnsi="Times New Roman" w:cs="Times New Roman"/>
          <w:sz w:val="24"/>
          <w:szCs w:val="24"/>
        </w:rPr>
        <w:t>monitor</w:t>
      </w:r>
      <w:r w:rsidR="00D02702">
        <w:rPr>
          <w:rFonts w:ascii="Times New Roman" w:eastAsia="Times New Roman" w:hAnsi="Times New Roman" w:cs="Times New Roman"/>
          <w:sz w:val="24"/>
          <w:szCs w:val="24"/>
        </w:rPr>
        <w:t>ing</w:t>
      </w:r>
      <w:r w:rsidRPr="00EB55C1">
        <w:rPr>
          <w:rFonts w:ascii="Times New Roman" w:eastAsia="Times New Roman" w:hAnsi="Times New Roman" w:cs="Times New Roman"/>
          <w:sz w:val="24"/>
          <w:szCs w:val="24"/>
        </w:rPr>
        <w:t xml:space="preserve"> and supervis</w:t>
      </w:r>
      <w:r w:rsidR="00D02702">
        <w:rPr>
          <w:rFonts w:ascii="Times New Roman" w:eastAsia="Times New Roman" w:hAnsi="Times New Roman" w:cs="Times New Roman"/>
          <w:sz w:val="24"/>
          <w:szCs w:val="24"/>
        </w:rPr>
        <w:t>ing</w:t>
      </w:r>
      <w:r w:rsidRPr="00EB55C1">
        <w:rPr>
          <w:rFonts w:ascii="Times New Roman" w:eastAsia="Times New Roman" w:hAnsi="Times New Roman" w:cs="Times New Roman"/>
          <w:sz w:val="24"/>
          <w:szCs w:val="24"/>
        </w:rPr>
        <w:t xml:space="preserve"> </w:t>
      </w:r>
      <w:r w:rsidR="00747969" w:rsidRPr="00EB55C1">
        <w:rPr>
          <w:rFonts w:ascii="Times New Roman" w:eastAsia="Times New Roman" w:hAnsi="Times New Roman" w:cs="Times New Roman"/>
          <w:sz w:val="24"/>
          <w:szCs w:val="24"/>
        </w:rPr>
        <w:t>its</w:t>
      </w:r>
      <w:r w:rsidRPr="00EB55C1">
        <w:rPr>
          <w:rFonts w:ascii="Times New Roman" w:eastAsia="Times New Roman" w:hAnsi="Times New Roman" w:cs="Times New Roman"/>
          <w:sz w:val="24"/>
          <w:szCs w:val="24"/>
        </w:rPr>
        <w:t xml:space="preserve"> implementation</w:t>
      </w:r>
      <w:r w:rsidR="00393E8A" w:rsidRPr="00EB55C1">
        <w:rPr>
          <w:rFonts w:ascii="Times New Roman" w:eastAsia="Times New Roman" w:hAnsi="Times New Roman" w:cs="Times New Roman"/>
          <w:sz w:val="24"/>
          <w:szCs w:val="24"/>
        </w:rPr>
        <w:t>.</w:t>
      </w:r>
      <w:r w:rsidR="009B1D49" w:rsidRPr="00EB55C1">
        <w:rPr>
          <w:rStyle w:val="EndnoteReference"/>
          <w:rFonts w:ascii="Times New Roman" w:eastAsia="Times New Roman" w:hAnsi="Times New Roman" w:cs="Times New Roman"/>
          <w:sz w:val="24"/>
          <w:szCs w:val="24"/>
        </w:rPr>
        <w:endnoteReference w:id="19"/>
      </w:r>
      <w:r w:rsidRPr="00EB55C1">
        <w:rPr>
          <w:rFonts w:ascii="Times New Roman" w:eastAsia="Times New Roman" w:hAnsi="Times New Roman" w:cs="Times New Roman"/>
          <w:sz w:val="24"/>
          <w:szCs w:val="24"/>
        </w:rPr>
        <w:t xml:space="preserve"> </w:t>
      </w:r>
      <w:r w:rsidR="002A78B0" w:rsidRPr="00EB55C1">
        <w:rPr>
          <w:rFonts w:ascii="Times New Roman" w:eastAsia="Times New Roman" w:hAnsi="Times New Roman" w:cs="Times New Roman"/>
          <w:sz w:val="24"/>
          <w:szCs w:val="24"/>
        </w:rPr>
        <w:t xml:space="preserve">Since 2006, meeting annually </w:t>
      </w:r>
      <w:r w:rsidR="002D2459" w:rsidRPr="00EB55C1">
        <w:rPr>
          <w:rFonts w:ascii="Times New Roman" w:eastAsia="Times New Roman" w:hAnsi="Times New Roman" w:cs="Times New Roman"/>
          <w:sz w:val="24"/>
          <w:szCs w:val="24"/>
        </w:rPr>
        <w:t xml:space="preserve">under the auspices of </w:t>
      </w:r>
      <w:r w:rsidR="00CD6B70" w:rsidRPr="00E13A56">
        <w:rPr>
          <w:rFonts w:ascii="Times New Roman" w:eastAsia="Times New Roman" w:hAnsi="Times New Roman" w:cs="Times New Roman"/>
          <w:sz w:val="24"/>
          <w:szCs w:val="24"/>
        </w:rPr>
        <w:t xml:space="preserve">the United Nations Educational, Scientific and Cultural Organization </w:t>
      </w:r>
      <w:r w:rsidR="00CD6B70">
        <w:rPr>
          <w:rFonts w:ascii="Times New Roman" w:eastAsia="Times New Roman" w:hAnsi="Times New Roman" w:cs="Times New Roman"/>
          <w:sz w:val="24"/>
          <w:szCs w:val="24"/>
        </w:rPr>
        <w:t>(</w:t>
      </w:r>
      <w:r w:rsidR="002D2459" w:rsidRPr="00EB55C1">
        <w:rPr>
          <w:rFonts w:ascii="Times New Roman" w:eastAsia="Times New Roman" w:hAnsi="Times New Roman" w:cs="Times New Roman"/>
          <w:sz w:val="24"/>
          <w:szCs w:val="24"/>
        </w:rPr>
        <w:t>UNESCO</w:t>
      </w:r>
      <w:r w:rsidR="00CD6B70">
        <w:rPr>
          <w:rFonts w:ascii="Times New Roman" w:eastAsia="Times New Roman" w:hAnsi="Times New Roman" w:cs="Times New Roman"/>
          <w:sz w:val="24"/>
          <w:szCs w:val="24"/>
        </w:rPr>
        <w:t>)</w:t>
      </w:r>
      <w:r w:rsidR="002D2459" w:rsidRPr="00EB55C1">
        <w:rPr>
          <w:rFonts w:ascii="Times New Roman" w:eastAsia="Times New Roman" w:hAnsi="Times New Roman" w:cs="Times New Roman"/>
          <w:sz w:val="24"/>
          <w:szCs w:val="24"/>
        </w:rPr>
        <w:t>,</w:t>
      </w:r>
      <w:r w:rsidR="002A78B0" w:rsidRPr="00EB55C1">
        <w:rPr>
          <w:rFonts w:ascii="Times New Roman" w:eastAsia="Times New Roman" w:hAnsi="Times New Roman" w:cs="Times New Roman"/>
          <w:sz w:val="24"/>
          <w:szCs w:val="24"/>
        </w:rPr>
        <w:t xml:space="preserve"> the </w:t>
      </w:r>
      <w:r w:rsidR="00A745C5">
        <w:rPr>
          <w:rFonts w:ascii="Times New Roman" w:eastAsia="Times New Roman" w:hAnsi="Times New Roman" w:cs="Times New Roman"/>
          <w:sz w:val="24"/>
          <w:szCs w:val="24"/>
        </w:rPr>
        <w:t>c</w:t>
      </w:r>
      <w:r w:rsidR="002A78B0" w:rsidRPr="00EB55C1">
        <w:rPr>
          <w:rFonts w:ascii="Times New Roman" w:eastAsia="Times New Roman" w:hAnsi="Times New Roman" w:cs="Times New Roman"/>
          <w:sz w:val="24"/>
          <w:szCs w:val="24"/>
        </w:rPr>
        <w:t>ommittee</w:t>
      </w:r>
      <w:r w:rsidR="00747969" w:rsidRPr="00EB55C1">
        <w:rPr>
          <w:rFonts w:ascii="Times New Roman" w:eastAsia="Times New Roman" w:hAnsi="Times New Roman" w:cs="Times New Roman"/>
          <w:sz w:val="24"/>
          <w:szCs w:val="24"/>
        </w:rPr>
        <w:t xml:space="preserve"> has proved </w:t>
      </w:r>
      <w:r w:rsidR="002A78B0" w:rsidRPr="00EB55C1">
        <w:rPr>
          <w:rFonts w:ascii="Times New Roman" w:eastAsia="Times New Roman" w:hAnsi="Times New Roman" w:cs="Times New Roman"/>
          <w:sz w:val="24"/>
          <w:szCs w:val="24"/>
        </w:rPr>
        <w:t>instrumental in</w:t>
      </w:r>
      <w:r w:rsidR="00747969" w:rsidRPr="00EB55C1">
        <w:rPr>
          <w:rFonts w:ascii="Times New Roman" w:eastAsia="Times New Roman" w:hAnsi="Times New Roman" w:cs="Times New Roman"/>
          <w:sz w:val="24"/>
          <w:szCs w:val="24"/>
        </w:rPr>
        <w:t xml:space="preserve"> some important areas of protection for cultural property</w:t>
      </w:r>
      <w:r w:rsidR="0025413A">
        <w:rPr>
          <w:rFonts w:ascii="Times New Roman" w:eastAsia="Times New Roman" w:hAnsi="Times New Roman" w:cs="Times New Roman"/>
          <w:sz w:val="24"/>
          <w:szCs w:val="24"/>
        </w:rPr>
        <w:t>,</w:t>
      </w:r>
      <w:r w:rsidR="002A78B0" w:rsidRPr="00EB55C1">
        <w:rPr>
          <w:rFonts w:ascii="Times New Roman" w:eastAsia="Times New Roman" w:hAnsi="Times New Roman" w:cs="Times New Roman"/>
          <w:sz w:val="24"/>
          <w:szCs w:val="24"/>
        </w:rPr>
        <w:t xml:space="preserve"> </w:t>
      </w:r>
      <w:r w:rsidR="009E0DA2" w:rsidRPr="00EB55C1">
        <w:rPr>
          <w:rFonts w:ascii="Times New Roman" w:eastAsia="Times New Roman" w:hAnsi="Times New Roman" w:cs="Times New Roman"/>
          <w:sz w:val="24"/>
          <w:szCs w:val="24"/>
        </w:rPr>
        <w:t>disseminat</w:t>
      </w:r>
      <w:r w:rsidR="0025413A">
        <w:rPr>
          <w:rFonts w:ascii="Times New Roman" w:eastAsia="Times New Roman" w:hAnsi="Times New Roman" w:cs="Times New Roman"/>
          <w:sz w:val="24"/>
          <w:szCs w:val="24"/>
        </w:rPr>
        <w:t>ing</w:t>
      </w:r>
      <w:r w:rsidR="002D2459" w:rsidRPr="00EB55C1">
        <w:rPr>
          <w:rFonts w:ascii="Times New Roman" w:eastAsia="Times New Roman" w:hAnsi="Times New Roman" w:cs="Times New Roman"/>
          <w:sz w:val="24"/>
          <w:szCs w:val="24"/>
        </w:rPr>
        <w:t xml:space="preserve"> good practices </w:t>
      </w:r>
      <w:r w:rsidR="00747969" w:rsidRPr="00EB55C1">
        <w:rPr>
          <w:rFonts w:ascii="Times New Roman" w:eastAsia="Times New Roman" w:hAnsi="Times New Roman" w:cs="Times New Roman"/>
          <w:sz w:val="24"/>
          <w:szCs w:val="24"/>
        </w:rPr>
        <w:t xml:space="preserve">related to </w:t>
      </w:r>
      <w:r w:rsidR="009E0DA2" w:rsidRPr="00EB55C1">
        <w:rPr>
          <w:rFonts w:ascii="Times New Roman" w:eastAsia="Times New Roman" w:hAnsi="Times New Roman" w:cs="Times New Roman"/>
          <w:sz w:val="24"/>
          <w:szCs w:val="24"/>
        </w:rPr>
        <w:t xml:space="preserve">the implementation of </w:t>
      </w:r>
      <w:r w:rsidR="002D2459" w:rsidRPr="00EB55C1">
        <w:rPr>
          <w:rFonts w:ascii="Times New Roman" w:eastAsia="Times New Roman" w:hAnsi="Times New Roman" w:cs="Times New Roman"/>
          <w:sz w:val="24"/>
          <w:szCs w:val="24"/>
        </w:rPr>
        <w:t>safeguarding</w:t>
      </w:r>
      <w:r w:rsidR="009E0DA2" w:rsidRPr="00EB55C1">
        <w:rPr>
          <w:rFonts w:ascii="Times New Roman" w:eastAsia="Times New Roman" w:hAnsi="Times New Roman" w:cs="Times New Roman"/>
          <w:sz w:val="24"/>
          <w:szCs w:val="24"/>
        </w:rPr>
        <w:t xml:space="preserve"> measures, creat</w:t>
      </w:r>
      <w:r w:rsidR="0025413A">
        <w:rPr>
          <w:rFonts w:ascii="Times New Roman" w:eastAsia="Times New Roman" w:hAnsi="Times New Roman" w:cs="Times New Roman"/>
          <w:sz w:val="24"/>
          <w:szCs w:val="24"/>
        </w:rPr>
        <w:t>ing</w:t>
      </w:r>
      <w:r w:rsidR="009E0DA2" w:rsidRPr="00EB55C1">
        <w:rPr>
          <w:rFonts w:ascii="Times New Roman" w:eastAsia="Times New Roman" w:hAnsi="Times New Roman" w:cs="Times New Roman"/>
          <w:sz w:val="24"/>
          <w:szCs w:val="24"/>
        </w:rPr>
        <w:t xml:space="preserve"> </w:t>
      </w:r>
      <w:r w:rsidR="002A78B0" w:rsidRPr="00EB55C1">
        <w:rPr>
          <w:rFonts w:ascii="Times New Roman" w:eastAsia="Times New Roman" w:hAnsi="Times New Roman" w:cs="Times New Roman"/>
          <w:sz w:val="24"/>
          <w:szCs w:val="24"/>
        </w:rPr>
        <w:t xml:space="preserve">a platform for international </w:t>
      </w:r>
      <w:r w:rsidR="002D2459" w:rsidRPr="00EB55C1">
        <w:rPr>
          <w:rFonts w:ascii="Times New Roman" w:eastAsia="Times New Roman" w:hAnsi="Times New Roman" w:cs="Times New Roman"/>
          <w:sz w:val="24"/>
          <w:szCs w:val="24"/>
        </w:rPr>
        <w:t>cooperation</w:t>
      </w:r>
      <w:r w:rsidR="00393E8A" w:rsidRPr="00EB55C1">
        <w:rPr>
          <w:rFonts w:ascii="Times New Roman" w:eastAsia="Times New Roman" w:hAnsi="Times New Roman" w:cs="Times New Roman"/>
          <w:sz w:val="24"/>
          <w:szCs w:val="24"/>
        </w:rPr>
        <w:t xml:space="preserve">, </w:t>
      </w:r>
      <w:r w:rsidR="009E0DA2" w:rsidRPr="00EB55C1">
        <w:rPr>
          <w:rFonts w:ascii="Times New Roman" w:eastAsia="Times New Roman" w:hAnsi="Times New Roman" w:cs="Times New Roman"/>
          <w:sz w:val="24"/>
          <w:szCs w:val="24"/>
        </w:rPr>
        <w:t>grant</w:t>
      </w:r>
      <w:r w:rsidR="0025413A">
        <w:rPr>
          <w:rFonts w:ascii="Times New Roman" w:eastAsia="Times New Roman" w:hAnsi="Times New Roman" w:cs="Times New Roman"/>
          <w:sz w:val="24"/>
          <w:szCs w:val="24"/>
        </w:rPr>
        <w:t>ing</w:t>
      </w:r>
      <w:r w:rsidR="009E0DA2" w:rsidRPr="00EB55C1">
        <w:rPr>
          <w:rFonts w:ascii="Times New Roman" w:eastAsia="Times New Roman" w:hAnsi="Times New Roman" w:cs="Times New Roman"/>
          <w:sz w:val="24"/>
          <w:szCs w:val="24"/>
        </w:rPr>
        <w:t xml:space="preserve"> enhanced protection to </w:t>
      </w:r>
      <w:r w:rsidR="0025413A">
        <w:rPr>
          <w:rFonts w:ascii="Times New Roman" w:eastAsia="Times New Roman" w:hAnsi="Times New Roman" w:cs="Times New Roman"/>
          <w:sz w:val="24"/>
          <w:szCs w:val="24"/>
        </w:rPr>
        <w:t xml:space="preserve">seventeen </w:t>
      </w:r>
      <w:r w:rsidR="008228DC" w:rsidRPr="00EB55C1">
        <w:rPr>
          <w:rFonts w:ascii="Times New Roman" w:eastAsia="Times New Roman" w:hAnsi="Times New Roman" w:cs="Times New Roman"/>
          <w:sz w:val="24"/>
          <w:szCs w:val="24"/>
        </w:rPr>
        <w:t xml:space="preserve">cultural </w:t>
      </w:r>
      <w:r w:rsidR="009E0DA2" w:rsidRPr="00EB55C1">
        <w:rPr>
          <w:rFonts w:ascii="Times New Roman" w:eastAsia="Times New Roman" w:hAnsi="Times New Roman" w:cs="Times New Roman"/>
          <w:sz w:val="24"/>
          <w:szCs w:val="24"/>
        </w:rPr>
        <w:t>sites</w:t>
      </w:r>
      <w:r w:rsidR="0025413A">
        <w:rPr>
          <w:rFonts w:ascii="Times New Roman" w:eastAsia="Times New Roman" w:hAnsi="Times New Roman" w:cs="Times New Roman"/>
          <w:sz w:val="24"/>
          <w:szCs w:val="24"/>
        </w:rPr>
        <w:t>,</w:t>
      </w:r>
      <w:r w:rsidR="009E0DA2" w:rsidRPr="00EB55C1">
        <w:rPr>
          <w:rFonts w:ascii="Times New Roman" w:eastAsia="Times New Roman" w:hAnsi="Times New Roman" w:cs="Times New Roman"/>
          <w:sz w:val="24"/>
          <w:szCs w:val="24"/>
        </w:rPr>
        <w:t xml:space="preserve"> and actively promot</w:t>
      </w:r>
      <w:r w:rsidR="0025413A">
        <w:rPr>
          <w:rFonts w:ascii="Times New Roman" w:eastAsia="Times New Roman" w:hAnsi="Times New Roman" w:cs="Times New Roman"/>
          <w:sz w:val="24"/>
          <w:szCs w:val="24"/>
        </w:rPr>
        <w:t>ing</w:t>
      </w:r>
      <w:r w:rsidR="009E0DA2" w:rsidRPr="00EB55C1">
        <w:rPr>
          <w:rFonts w:ascii="Times New Roman" w:eastAsia="Times New Roman" w:hAnsi="Times New Roman" w:cs="Times New Roman"/>
          <w:sz w:val="24"/>
          <w:szCs w:val="24"/>
        </w:rPr>
        <w:t xml:space="preserve"> this system on an ongoing basis</w:t>
      </w:r>
      <w:r w:rsidR="002D2459" w:rsidRPr="00EB55C1">
        <w:rPr>
          <w:rFonts w:ascii="Times New Roman" w:eastAsia="Times New Roman" w:hAnsi="Times New Roman" w:cs="Times New Roman"/>
          <w:sz w:val="24"/>
          <w:szCs w:val="24"/>
        </w:rPr>
        <w:t xml:space="preserve">. </w:t>
      </w:r>
      <w:r w:rsidR="00C8017A" w:rsidRPr="00EB55C1">
        <w:rPr>
          <w:rFonts w:ascii="Times New Roman" w:eastAsia="Times New Roman" w:hAnsi="Times New Roman" w:cs="Times New Roman"/>
          <w:sz w:val="24"/>
          <w:szCs w:val="24"/>
        </w:rPr>
        <w:t>However</w:t>
      </w:r>
      <w:r w:rsidR="00AB5249" w:rsidRPr="00EB55C1">
        <w:rPr>
          <w:rFonts w:ascii="Times New Roman" w:eastAsia="Times New Roman" w:hAnsi="Times New Roman" w:cs="Times New Roman"/>
          <w:sz w:val="24"/>
          <w:szCs w:val="24"/>
        </w:rPr>
        <w:t xml:space="preserve">, </w:t>
      </w:r>
      <w:r w:rsidR="00DF7539">
        <w:rPr>
          <w:rFonts w:ascii="Times New Roman" w:eastAsia="Times New Roman" w:hAnsi="Times New Roman" w:cs="Times New Roman"/>
          <w:sz w:val="24"/>
          <w:szCs w:val="24"/>
        </w:rPr>
        <w:t xml:space="preserve">its </w:t>
      </w:r>
      <w:r w:rsidR="00DF7539" w:rsidRPr="00E13A56">
        <w:rPr>
          <w:rFonts w:ascii="Times New Roman" w:eastAsia="Times New Roman" w:hAnsi="Times New Roman" w:cs="Times New Roman"/>
          <w:sz w:val="24"/>
          <w:szCs w:val="24"/>
        </w:rPr>
        <w:t xml:space="preserve">ability to effectively </w:t>
      </w:r>
      <w:r w:rsidR="00310A34">
        <w:rPr>
          <w:rFonts w:ascii="Times New Roman" w:eastAsia="Times New Roman" w:hAnsi="Times New Roman" w:cs="Times New Roman"/>
          <w:sz w:val="24"/>
          <w:szCs w:val="24"/>
        </w:rPr>
        <w:t>discharge</w:t>
      </w:r>
      <w:r w:rsidR="00310A34" w:rsidRPr="00E13A56">
        <w:rPr>
          <w:rFonts w:ascii="Times New Roman" w:eastAsia="Times New Roman" w:hAnsi="Times New Roman" w:cs="Times New Roman"/>
          <w:sz w:val="24"/>
          <w:szCs w:val="24"/>
        </w:rPr>
        <w:t xml:space="preserve"> </w:t>
      </w:r>
      <w:r w:rsidR="00DF7539" w:rsidRPr="00E13A56">
        <w:rPr>
          <w:rFonts w:ascii="Times New Roman" w:eastAsia="Times New Roman" w:hAnsi="Times New Roman" w:cs="Times New Roman"/>
          <w:sz w:val="24"/>
          <w:szCs w:val="24"/>
        </w:rPr>
        <w:t>its mandate</w:t>
      </w:r>
      <w:r w:rsidR="00596B55" w:rsidRPr="00596B55">
        <w:rPr>
          <w:rFonts w:ascii="Times New Roman" w:eastAsia="Times New Roman" w:hAnsi="Times New Roman" w:cs="Times New Roman"/>
          <w:sz w:val="24"/>
          <w:szCs w:val="24"/>
        </w:rPr>
        <w:t xml:space="preserve"> </w:t>
      </w:r>
      <w:r w:rsidR="00596B55">
        <w:rPr>
          <w:rFonts w:ascii="Times New Roman" w:eastAsia="Times New Roman" w:hAnsi="Times New Roman" w:cs="Times New Roman"/>
          <w:sz w:val="24"/>
          <w:szCs w:val="24"/>
        </w:rPr>
        <w:t xml:space="preserve">is undoubtedly hampered by </w:t>
      </w:r>
      <w:r w:rsidR="00596B55" w:rsidRPr="00E13A56">
        <w:rPr>
          <w:rFonts w:ascii="Times New Roman" w:eastAsia="Times New Roman" w:hAnsi="Times New Roman" w:cs="Times New Roman"/>
          <w:sz w:val="24"/>
          <w:szCs w:val="24"/>
        </w:rPr>
        <w:t xml:space="preserve">the scope of </w:t>
      </w:r>
      <w:r w:rsidR="00592AC1">
        <w:rPr>
          <w:rFonts w:ascii="Times New Roman" w:eastAsia="Times New Roman" w:hAnsi="Times New Roman" w:cs="Times New Roman"/>
          <w:sz w:val="24"/>
          <w:szCs w:val="24"/>
        </w:rPr>
        <w:t xml:space="preserve">the </w:t>
      </w:r>
      <w:r w:rsidR="00596B55" w:rsidRPr="00E13A56">
        <w:rPr>
          <w:rFonts w:ascii="Times New Roman" w:eastAsia="Times New Roman" w:hAnsi="Times New Roman" w:cs="Times New Roman"/>
          <w:sz w:val="24"/>
          <w:szCs w:val="24"/>
        </w:rPr>
        <w:t xml:space="preserve">political considerations that sometimes </w:t>
      </w:r>
      <w:r w:rsidR="00654D1D">
        <w:rPr>
          <w:rFonts w:ascii="Times New Roman" w:eastAsia="Times New Roman" w:hAnsi="Times New Roman" w:cs="Times New Roman"/>
          <w:sz w:val="24"/>
          <w:szCs w:val="24"/>
        </w:rPr>
        <w:t>surface</w:t>
      </w:r>
      <w:r w:rsidR="00596B55" w:rsidRPr="00E13A56">
        <w:rPr>
          <w:rFonts w:ascii="Times New Roman" w:eastAsia="Times New Roman" w:hAnsi="Times New Roman" w:cs="Times New Roman"/>
          <w:sz w:val="24"/>
          <w:szCs w:val="24"/>
        </w:rPr>
        <w:t xml:space="preserve"> during </w:t>
      </w:r>
      <w:r w:rsidR="00596B55">
        <w:rPr>
          <w:rFonts w:ascii="Times New Roman" w:eastAsia="Times New Roman" w:hAnsi="Times New Roman" w:cs="Times New Roman"/>
          <w:sz w:val="24"/>
          <w:szCs w:val="24"/>
        </w:rPr>
        <w:t>c</w:t>
      </w:r>
      <w:r w:rsidR="00596B55" w:rsidRPr="00E13A56">
        <w:rPr>
          <w:rFonts w:ascii="Times New Roman" w:eastAsia="Times New Roman" w:hAnsi="Times New Roman" w:cs="Times New Roman"/>
          <w:sz w:val="24"/>
          <w:szCs w:val="24"/>
        </w:rPr>
        <w:t>ommittee</w:t>
      </w:r>
      <w:r w:rsidR="000D1021" w:rsidRPr="000D1021">
        <w:rPr>
          <w:rFonts w:ascii="Times New Roman" w:eastAsia="Times New Roman" w:hAnsi="Times New Roman" w:cs="Times New Roman"/>
          <w:sz w:val="24"/>
          <w:szCs w:val="24"/>
        </w:rPr>
        <w:t xml:space="preserve"> </w:t>
      </w:r>
      <w:r w:rsidR="000D1021" w:rsidRPr="00E13A56">
        <w:rPr>
          <w:rFonts w:ascii="Times New Roman" w:eastAsia="Times New Roman" w:hAnsi="Times New Roman" w:cs="Times New Roman"/>
          <w:sz w:val="24"/>
          <w:szCs w:val="24"/>
        </w:rPr>
        <w:t>meeting</w:t>
      </w:r>
      <w:r w:rsidR="00E43DF1">
        <w:rPr>
          <w:rFonts w:ascii="Times New Roman" w:eastAsia="Times New Roman" w:hAnsi="Times New Roman" w:cs="Times New Roman"/>
          <w:sz w:val="24"/>
          <w:szCs w:val="24"/>
        </w:rPr>
        <w:t>s, namely</w:t>
      </w:r>
      <w:r w:rsidR="00F87BCB">
        <w:rPr>
          <w:rFonts w:ascii="Times New Roman" w:eastAsia="Times New Roman" w:hAnsi="Times New Roman" w:cs="Times New Roman"/>
          <w:sz w:val="24"/>
          <w:szCs w:val="24"/>
        </w:rPr>
        <w:t>,</w:t>
      </w:r>
      <w:r w:rsidR="00E43DF1">
        <w:rPr>
          <w:rFonts w:ascii="Times New Roman" w:eastAsia="Times New Roman" w:hAnsi="Times New Roman" w:cs="Times New Roman"/>
          <w:sz w:val="24"/>
          <w:szCs w:val="24"/>
        </w:rPr>
        <w:t xml:space="preserve"> a </w:t>
      </w:r>
      <w:r w:rsidR="00C8017A" w:rsidRPr="00EB55C1">
        <w:rPr>
          <w:rFonts w:ascii="Times New Roman" w:eastAsia="Times New Roman" w:hAnsi="Times New Roman" w:cs="Times New Roman"/>
          <w:sz w:val="24"/>
          <w:szCs w:val="24"/>
        </w:rPr>
        <w:t>focus on procedural matters rather than</w:t>
      </w:r>
      <w:r w:rsidR="005E265D" w:rsidRPr="00EB55C1">
        <w:rPr>
          <w:rFonts w:ascii="Times New Roman" w:eastAsia="Times New Roman" w:hAnsi="Times New Roman" w:cs="Times New Roman"/>
          <w:sz w:val="24"/>
          <w:szCs w:val="24"/>
        </w:rPr>
        <w:t xml:space="preserve"> on potentially</w:t>
      </w:r>
      <w:r w:rsidR="00C8017A" w:rsidRPr="00EB55C1">
        <w:rPr>
          <w:rFonts w:ascii="Times New Roman" w:eastAsia="Times New Roman" w:hAnsi="Times New Roman" w:cs="Times New Roman"/>
          <w:sz w:val="24"/>
          <w:szCs w:val="24"/>
        </w:rPr>
        <w:t xml:space="preserve"> more pressing substantive operational actions</w:t>
      </w:r>
      <w:r w:rsidR="00867C85">
        <w:rPr>
          <w:rFonts w:ascii="Times New Roman" w:eastAsia="Times New Roman" w:hAnsi="Times New Roman" w:cs="Times New Roman"/>
          <w:sz w:val="24"/>
          <w:szCs w:val="24"/>
        </w:rPr>
        <w:t>,</w:t>
      </w:r>
      <w:r w:rsidR="00C8017A" w:rsidRPr="00EB55C1">
        <w:rPr>
          <w:rFonts w:ascii="Times New Roman" w:eastAsia="Times New Roman" w:hAnsi="Times New Roman" w:cs="Times New Roman"/>
          <w:sz w:val="24"/>
          <w:szCs w:val="24"/>
        </w:rPr>
        <w:t xml:space="preserve"> and </w:t>
      </w:r>
      <w:r w:rsidR="00596B55">
        <w:rPr>
          <w:rFonts w:ascii="Times New Roman" w:eastAsia="Times New Roman" w:hAnsi="Times New Roman" w:cs="Times New Roman"/>
          <w:sz w:val="24"/>
          <w:szCs w:val="24"/>
        </w:rPr>
        <w:t xml:space="preserve">a </w:t>
      </w:r>
      <w:r w:rsidR="00C8017A" w:rsidRPr="00EB55C1">
        <w:rPr>
          <w:rFonts w:ascii="Times New Roman" w:eastAsia="Times New Roman" w:hAnsi="Times New Roman" w:cs="Times New Roman"/>
          <w:sz w:val="24"/>
          <w:szCs w:val="24"/>
        </w:rPr>
        <w:t xml:space="preserve">reluctance to </w:t>
      </w:r>
      <w:r w:rsidR="0089409C">
        <w:rPr>
          <w:rFonts w:ascii="Times New Roman" w:eastAsia="Times New Roman" w:hAnsi="Times New Roman" w:cs="Times New Roman"/>
          <w:sz w:val="24"/>
          <w:szCs w:val="24"/>
        </w:rPr>
        <w:t>become a</w:t>
      </w:r>
      <w:r w:rsidR="0023442D">
        <w:rPr>
          <w:rFonts w:ascii="Times New Roman" w:eastAsia="Times New Roman" w:hAnsi="Times New Roman" w:cs="Times New Roman"/>
          <w:sz w:val="24"/>
          <w:szCs w:val="24"/>
        </w:rPr>
        <w:t>n international</w:t>
      </w:r>
      <w:r w:rsidR="0089409C">
        <w:rPr>
          <w:rFonts w:ascii="Times New Roman" w:eastAsia="Times New Roman" w:hAnsi="Times New Roman" w:cs="Times New Roman"/>
          <w:sz w:val="24"/>
          <w:szCs w:val="24"/>
        </w:rPr>
        <w:t xml:space="preserve"> platform for </w:t>
      </w:r>
      <w:r w:rsidR="00944A32">
        <w:rPr>
          <w:rFonts w:ascii="Times New Roman" w:eastAsia="Times New Roman" w:hAnsi="Times New Roman" w:cs="Times New Roman"/>
          <w:sz w:val="24"/>
          <w:szCs w:val="24"/>
        </w:rPr>
        <w:t>the</w:t>
      </w:r>
      <w:r w:rsidR="0089409C">
        <w:rPr>
          <w:rFonts w:ascii="Times New Roman" w:eastAsia="Times New Roman" w:hAnsi="Times New Roman" w:cs="Times New Roman"/>
          <w:sz w:val="24"/>
          <w:szCs w:val="24"/>
        </w:rPr>
        <w:t xml:space="preserve"> </w:t>
      </w:r>
      <w:r w:rsidR="00C8017A" w:rsidRPr="00EB55C1">
        <w:rPr>
          <w:rFonts w:ascii="Times New Roman" w:eastAsia="Times New Roman" w:hAnsi="Times New Roman" w:cs="Times New Roman"/>
          <w:sz w:val="24"/>
          <w:szCs w:val="24"/>
        </w:rPr>
        <w:t xml:space="preserve">debate </w:t>
      </w:r>
      <w:r w:rsidR="00E4299B">
        <w:rPr>
          <w:rFonts w:ascii="Times New Roman" w:eastAsia="Times New Roman" w:hAnsi="Times New Roman" w:cs="Times New Roman"/>
          <w:sz w:val="24"/>
          <w:szCs w:val="24"/>
        </w:rPr>
        <w:t xml:space="preserve">of </w:t>
      </w:r>
      <w:r w:rsidR="005E265D" w:rsidRPr="00EB55C1">
        <w:rPr>
          <w:rFonts w:ascii="Times New Roman" w:eastAsia="Times New Roman" w:hAnsi="Times New Roman" w:cs="Times New Roman"/>
          <w:sz w:val="24"/>
          <w:szCs w:val="24"/>
        </w:rPr>
        <w:t>alleged serious</w:t>
      </w:r>
      <w:r w:rsidR="00C8017A" w:rsidRPr="00EB55C1">
        <w:rPr>
          <w:rFonts w:ascii="Times New Roman" w:eastAsia="Times New Roman" w:hAnsi="Times New Roman" w:cs="Times New Roman"/>
          <w:sz w:val="24"/>
          <w:szCs w:val="24"/>
        </w:rPr>
        <w:t xml:space="preserve"> violations of </w:t>
      </w:r>
      <w:r w:rsidR="005E265D" w:rsidRPr="00EB55C1">
        <w:rPr>
          <w:rFonts w:ascii="Times New Roman" w:eastAsia="Times New Roman" w:hAnsi="Times New Roman" w:cs="Times New Roman"/>
          <w:sz w:val="24"/>
          <w:szCs w:val="24"/>
        </w:rPr>
        <w:t>the Second Protocol</w:t>
      </w:r>
      <w:r w:rsidR="00F527A9" w:rsidRPr="00EB55C1">
        <w:rPr>
          <w:rFonts w:ascii="Times New Roman" w:eastAsia="Times New Roman" w:hAnsi="Times New Roman" w:cs="Times New Roman"/>
          <w:sz w:val="24"/>
          <w:szCs w:val="24"/>
        </w:rPr>
        <w:t>.</w:t>
      </w:r>
    </w:p>
    <w:p w14:paraId="0C612E06" w14:textId="189AF68E" w:rsidR="000B280D" w:rsidRPr="00EB55C1" w:rsidRDefault="004C0F7D" w:rsidP="006952D9">
      <w:pPr>
        <w:spacing w:before="120" w:after="120" w:line="480" w:lineRule="auto"/>
        <w:ind w:firstLine="708"/>
        <w:rPr>
          <w:rFonts w:ascii="Times New Roman" w:eastAsia="Times New Roman" w:hAnsi="Times New Roman" w:cs="Times New Roman"/>
          <w:sz w:val="24"/>
          <w:szCs w:val="24"/>
        </w:rPr>
      </w:pPr>
      <w:r w:rsidRPr="00EB55C1">
        <w:rPr>
          <w:rFonts w:ascii="Times New Roman" w:eastAsia="Times New Roman" w:hAnsi="Times New Roman" w:cs="Times New Roman"/>
          <w:sz w:val="24"/>
          <w:szCs w:val="24"/>
        </w:rPr>
        <w:t>N</w:t>
      </w:r>
      <w:r w:rsidR="000B280D" w:rsidRPr="00EB55C1">
        <w:rPr>
          <w:rFonts w:ascii="Times New Roman" w:eastAsia="Times New Roman" w:hAnsi="Times New Roman" w:cs="Times New Roman"/>
          <w:sz w:val="24"/>
          <w:szCs w:val="24"/>
        </w:rPr>
        <w:t>ational IHL committees</w:t>
      </w:r>
      <w:r w:rsidR="00393E8A" w:rsidRPr="00EB55C1">
        <w:rPr>
          <w:rFonts w:ascii="Times New Roman" w:eastAsia="Times New Roman" w:hAnsi="Times New Roman" w:cs="Times New Roman"/>
          <w:sz w:val="24"/>
          <w:szCs w:val="24"/>
        </w:rPr>
        <w:t xml:space="preserve">, </w:t>
      </w:r>
      <w:r w:rsidRPr="00EB55C1">
        <w:rPr>
          <w:rFonts w:ascii="Times New Roman" w:eastAsia="Times New Roman" w:hAnsi="Times New Roman" w:cs="Times New Roman"/>
          <w:sz w:val="24"/>
          <w:szCs w:val="24"/>
        </w:rPr>
        <w:t xml:space="preserve">which exist </w:t>
      </w:r>
      <w:r w:rsidR="001F72AF">
        <w:rPr>
          <w:rFonts w:ascii="Times New Roman" w:eastAsia="Times New Roman" w:hAnsi="Times New Roman" w:cs="Times New Roman"/>
          <w:sz w:val="24"/>
          <w:szCs w:val="24"/>
        </w:rPr>
        <w:t xml:space="preserve">in </w:t>
      </w:r>
      <w:r w:rsidRPr="00EB55C1">
        <w:rPr>
          <w:rFonts w:ascii="Times New Roman" w:eastAsia="Times New Roman" w:hAnsi="Times New Roman" w:cs="Times New Roman"/>
          <w:sz w:val="24"/>
          <w:szCs w:val="24"/>
        </w:rPr>
        <w:t xml:space="preserve">one form or another in more than </w:t>
      </w:r>
      <w:r w:rsidR="00F80CF0">
        <w:rPr>
          <w:rFonts w:ascii="Times New Roman" w:eastAsia="Times New Roman" w:hAnsi="Times New Roman" w:cs="Times New Roman"/>
          <w:sz w:val="24"/>
          <w:szCs w:val="24"/>
        </w:rPr>
        <w:t>a hundred</w:t>
      </w:r>
      <w:r w:rsidR="00F80CF0" w:rsidRPr="00EB55C1">
        <w:rPr>
          <w:rFonts w:ascii="Times New Roman" w:eastAsia="Times New Roman" w:hAnsi="Times New Roman" w:cs="Times New Roman"/>
          <w:sz w:val="24"/>
          <w:szCs w:val="24"/>
        </w:rPr>
        <w:t xml:space="preserve"> </w:t>
      </w:r>
      <w:r w:rsidRPr="00EB55C1">
        <w:rPr>
          <w:rFonts w:ascii="Times New Roman" w:eastAsia="Times New Roman" w:hAnsi="Times New Roman" w:cs="Times New Roman"/>
          <w:sz w:val="24"/>
          <w:szCs w:val="24"/>
        </w:rPr>
        <w:t>countries</w:t>
      </w:r>
      <w:r w:rsidR="00F80CF0">
        <w:rPr>
          <w:rFonts w:ascii="Times New Roman" w:eastAsia="Times New Roman" w:hAnsi="Times New Roman" w:cs="Times New Roman"/>
          <w:sz w:val="24"/>
          <w:szCs w:val="24"/>
        </w:rPr>
        <w:t>,</w:t>
      </w:r>
      <w:r w:rsidR="000B280D" w:rsidRPr="00EB55C1">
        <w:rPr>
          <w:rFonts w:ascii="Times New Roman" w:eastAsia="Times New Roman" w:hAnsi="Times New Roman" w:cs="Times New Roman"/>
          <w:sz w:val="24"/>
          <w:szCs w:val="24"/>
        </w:rPr>
        <w:t xml:space="preserve"> represent another example of valuable mechanisms to assist and advise </w:t>
      </w:r>
      <w:r w:rsidR="00091CCF" w:rsidRPr="00EB55C1">
        <w:rPr>
          <w:rFonts w:ascii="Times New Roman" w:eastAsia="Times New Roman" w:hAnsi="Times New Roman" w:cs="Times New Roman"/>
          <w:sz w:val="24"/>
          <w:szCs w:val="24"/>
        </w:rPr>
        <w:t>government authorities</w:t>
      </w:r>
      <w:r w:rsidR="000B280D" w:rsidRPr="00EB55C1">
        <w:rPr>
          <w:rFonts w:ascii="Times New Roman" w:eastAsia="Times New Roman" w:hAnsi="Times New Roman" w:cs="Times New Roman"/>
          <w:sz w:val="24"/>
          <w:szCs w:val="24"/>
        </w:rPr>
        <w:t xml:space="preserve"> on ways to comply with IHL rules on the protection of cultural property. </w:t>
      </w:r>
      <w:r w:rsidR="00AB6A90" w:rsidRPr="00EB55C1">
        <w:rPr>
          <w:rFonts w:ascii="Times New Roman" w:eastAsia="Times New Roman" w:hAnsi="Times New Roman" w:cs="Times New Roman"/>
          <w:sz w:val="24"/>
          <w:szCs w:val="24"/>
        </w:rPr>
        <w:t xml:space="preserve">Although </w:t>
      </w:r>
      <w:r w:rsidR="00F80CF0">
        <w:rPr>
          <w:rFonts w:ascii="Times New Roman" w:eastAsia="Times New Roman" w:hAnsi="Times New Roman" w:cs="Times New Roman"/>
          <w:sz w:val="24"/>
          <w:szCs w:val="24"/>
        </w:rPr>
        <w:t xml:space="preserve">states are not required under IHL to establish such </w:t>
      </w:r>
      <w:r w:rsidR="00AB6A90" w:rsidRPr="00EB55C1">
        <w:rPr>
          <w:rFonts w:ascii="Times New Roman" w:eastAsia="Times New Roman" w:hAnsi="Times New Roman" w:cs="Times New Roman"/>
          <w:sz w:val="24"/>
          <w:szCs w:val="24"/>
        </w:rPr>
        <w:t>advisory bodies</w:t>
      </w:r>
      <w:r w:rsidR="00F80CF0">
        <w:rPr>
          <w:rFonts w:ascii="Times New Roman" w:eastAsia="Times New Roman" w:hAnsi="Times New Roman" w:cs="Times New Roman"/>
          <w:sz w:val="24"/>
          <w:szCs w:val="24"/>
        </w:rPr>
        <w:t>,</w:t>
      </w:r>
      <w:r w:rsidR="00AB6A90" w:rsidRPr="00EB55C1">
        <w:rPr>
          <w:rFonts w:ascii="Times New Roman" w:eastAsia="Times New Roman" w:hAnsi="Times New Roman" w:cs="Times New Roman"/>
          <w:sz w:val="24"/>
          <w:szCs w:val="24"/>
        </w:rPr>
        <w:t xml:space="preserve"> </w:t>
      </w:r>
      <w:r w:rsidR="00B071C7" w:rsidRPr="00EB55C1">
        <w:rPr>
          <w:rFonts w:ascii="Times New Roman" w:eastAsia="Times New Roman" w:hAnsi="Times New Roman" w:cs="Times New Roman"/>
          <w:sz w:val="24"/>
          <w:szCs w:val="24"/>
        </w:rPr>
        <w:t>and there is no standard model f</w:t>
      </w:r>
      <w:r w:rsidR="00A15C9E" w:rsidRPr="00EB55C1">
        <w:rPr>
          <w:rFonts w:ascii="Times New Roman" w:eastAsia="Times New Roman" w:hAnsi="Times New Roman" w:cs="Times New Roman"/>
          <w:sz w:val="24"/>
          <w:szCs w:val="24"/>
        </w:rPr>
        <w:t>or their composition</w:t>
      </w:r>
      <w:r w:rsidR="00393E8A" w:rsidRPr="00EB55C1">
        <w:rPr>
          <w:rFonts w:ascii="Times New Roman" w:eastAsia="Times New Roman" w:hAnsi="Times New Roman" w:cs="Times New Roman"/>
          <w:sz w:val="24"/>
          <w:szCs w:val="24"/>
        </w:rPr>
        <w:t>,</w:t>
      </w:r>
      <w:r w:rsidR="00A15C9E" w:rsidRPr="00EB55C1">
        <w:rPr>
          <w:rFonts w:ascii="Times New Roman" w:eastAsia="Times New Roman" w:hAnsi="Times New Roman" w:cs="Times New Roman"/>
          <w:sz w:val="24"/>
          <w:szCs w:val="24"/>
        </w:rPr>
        <w:t xml:space="preserve"> status</w:t>
      </w:r>
      <w:r w:rsidR="00F80CF0">
        <w:rPr>
          <w:rFonts w:ascii="Times New Roman" w:eastAsia="Times New Roman" w:hAnsi="Times New Roman" w:cs="Times New Roman"/>
          <w:sz w:val="24"/>
          <w:szCs w:val="24"/>
        </w:rPr>
        <w:t>,</w:t>
      </w:r>
      <w:r w:rsidR="00A15C9E" w:rsidRPr="00EB55C1">
        <w:rPr>
          <w:rFonts w:ascii="Times New Roman" w:eastAsia="Times New Roman" w:hAnsi="Times New Roman" w:cs="Times New Roman"/>
          <w:sz w:val="24"/>
          <w:szCs w:val="24"/>
        </w:rPr>
        <w:t xml:space="preserve"> or</w:t>
      </w:r>
      <w:r w:rsidR="00B071C7" w:rsidRPr="00EB55C1">
        <w:rPr>
          <w:rFonts w:ascii="Times New Roman" w:eastAsia="Times New Roman" w:hAnsi="Times New Roman" w:cs="Times New Roman"/>
          <w:sz w:val="24"/>
          <w:szCs w:val="24"/>
        </w:rPr>
        <w:t xml:space="preserve"> mandate</w:t>
      </w:r>
      <w:r w:rsidR="00A15C9E" w:rsidRPr="00EB55C1">
        <w:rPr>
          <w:rFonts w:ascii="Times New Roman" w:eastAsia="Times New Roman" w:hAnsi="Times New Roman" w:cs="Times New Roman"/>
          <w:sz w:val="24"/>
          <w:szCs w:val="24"/>
        </w:rPr>
        <w:t>,</w:t>
      </w:r>
      <w:r w:rsidR="00091CCF" w:rsidRPr="00EB55C1">
        <w:rPr>
          <w:rFonts w:ascii="Times New Roman" w:eastAsia="Times New Roman" w:hAnsi="Times New Roman" w:cs="Times New Roman"/>
          <w:sz w:val="24"/>
          <w:szCs w:val="24"/>
        </w:rPr>
        <w:t xml:space="preserve"> </w:t>
      </w:r>
      <w:r w:rsidR="00242795">
        <w:rPr>
          <w:rFonts w:ascii="Times New Roman" w:eastAsia="Times New Roman" w:hAnsi="Times New Roman" w:cs="Times New Roman"/>
          <w:sz w:val="24"/>
          <w:szCs w:val="24"/>
        </w:rPr>
        <w:t>experience</w:t>
      </w:r>
      <w:r w:rsidR="00B071C7" w:rsidRPr="00EB55C1">
        <w:rPr>
          <w:rFonts w:ascii="Times New Roman" w:eastAsia="Times New Roman" w:hAnsi="Times New Roman" w:cs="Times New Roman"/>
          <w:sz w:val="24"/>
          <w:szCs w:val="24"/>
        </w:rPr>
        <w:t xml:space="preserve"> has </w:t>
      </w:r>
      <w:r w:rsidR="00A15C9E" w:rsidRPr="00EB55C1">
        <w:rPr>
          <w:rFonts w:ascii="Times New Roman" w:eastAsia="Times New Roman" w:hAnsi="Times New Roman" w:cs="Times New Roman"/>
          <w:sz w:val="24"/>
          <w:szCs w:val="24"/>
        </w:rPr>
        <w:t xml:space="preserve">clearly </w:t>
      </w:r>
      <w:r w:rsidR="00B071C7" w:rsidRPr="00EB55C1">
        <w:rPr>
          <w:rFonts w:ascii="Times New Roman" w:eastAsia="Times New Roman" w:hAnsi="Times New Roman" w:cs="Times New Roman"/>
          <w:sz w:val="24"/>
          <w:szCs w:val="24"/>
        </w:rPr>
        <w:t xml:space="preserve">demonstrated </w:t>
      </w:r>
      <w:r w:rsidR="00A15C9E" w:rsidRPr="00EB55C1">
        <w:rPr>
          <w:rFonts w:ascii="Times New Roman" w:eastAsia="Times New Roman" w:hAnsi="Times New Roman" w:cs="Times New Roman"/>
          <w:sz w:val="24"/>
          <w:szCs w:val="24"/>
        </w:rPr>
        <w:t xml:space="preserve">the </w:t>
      </w:r>
      <w:r w:rsidR="00A15C9E" w:rsidRPr="00EB55C1">
        <w:rPr>
          <w:rFonts w:ascii="Times New Roman" w:eastAsia="Times New Roman" w:hAnsi="Times New Roman" w:cs="Times New Roman"/>
          <w:sz w:val="24"/>
          <w:szCs w:val="24"/>
        </w:rPr>
        <w:lastRenderedPageBreak/>
        <w:t>instrumental nature of their work</w:t>
      </w:r>
      <w:r w:rsidR="00B071C7" w:rsidRPr="00EB55C1">
        <w:rPr>
          <w:rFonts w:ascii="Times New Roman" w:eastAsia="Times New Roman" w:hAnsi="Times New Roman" w:cs="Times New Roman"/>
          <w:sz w:val="24"/>
          <w:szCs w:val="24"/>
        </w:rPr>
        <w:t xml:space="preserve"> in the effective implementation of IHL obligations at the domestic level.</w:t>
      </w:r>
      <w:r w:rsidR="008228DC" w:rsidRPr="00EB55C1">
        <w:rPr>
          <w:rStyle w:val="EndnoteReference"/>
          <w:rFonts w:ascii="Times New Roman" w:eastAsia="Times New Roman" w:hAnsi="Times New Roman" w:cs="Times New Roman"/>
          <w:sz w:val="24"/>
          <w:szCs w:val="24"/>
        </w:rPr>
        <w:endnoteReference w:id="20"/>
      </w:r>
      <w:r w:rsidR="00B071C7" w:rsidRPr="00EB55C1">
        <w:rPr>
          <w:rFonts w:ascii="Times New Roman" w:eastAsia="Times New Roman" w:hAnsi="Times New Roman" w:cs="Times New Roman"/>
          <w:sz w:val="24"/>
          <w:szCs w:val="24"/>
        </w:rPr>
        <w:t xml:space="preserve"> </w:t>
      </w:r>
      <w:r w:rsidR="00A15C9E" w:rsidRPr="00EB55C1">
        <w:rPr>
          <w:rFonts w:ascii="Times New Roman" w:eastAsia="Times New Roman" w:hAnsi="Times New Roman" w:cs="Times New Roman"/>
          <w:sz w:val="24"/>
          <w:szCs w:val="24"/>
        </w:rPr>
        <w:t xml:space="preserve">As </w:t>
      </w:r>
      <w:r w:rsidR="009943A5">
        <w:rPr>
          <w:rFonts w:ascii="Times New Roman" w:eastAsia="Times New Roman" w:hAnsi="Times New Roman" w:cs="Times New Roman"/>
          <w:sz w:val="24"/>
          <w:szCs w:val="24"/>
        </w:rPr>
        <w:t xml:space="preserve">acknowledged </w:t>
      </w:r>
      <w:r w:rsidR="00A15C9E" w:rsidRPr="00EB55C1">
        <w:rPr>
          <w:rFonts w:ascii="Times New Roman" w:eastAsia="Times New Roman" w:hAnsi="Times New Roman" w:cs="Times New Roman"/>
          <w:sz w:val="24"/>
          <w:szCs w:val="24"/>
        </w:rPr>
        <w:t xml:space="preserve">in 2016 at the </w:t>
      </w:r>
      <w:r w:rsidR="009943A5">
        <w:rPr>
          <w:rFonts w:ascii="Times New Roman" w:eastAsia="Times New Roman" w:hAnsi="Times New Roman" w:cs="Times New Roman"/>
          <w:sz w:val="24"/>
          <w:szCs w:val="24"/>
        </w:rPr>
        <w:t>fourth u</w:t>
      </w:r>
      <w:r w:rsidR="00A15C9E" w:rsidRPr="00EB55C1">
        <w:rPr>
          <w:rFonts w:ascii="Times New Roman" w:eastAsia="Times New Roman" w:hAnsi="Times New Roman" w:cs="Times New Roman"/>
          <w:sz w:val="24"/>
          <w:szCs w:val="24"/>
        </w:rPr>
        <w:t>niversal meeting of these committees in Geneva, “given their interdisciplinary approach</w:t>
      </w:r>
      <w:r w:rsidR="00916145" w:rsidRPr="00EB55C1">
        <w:rPr>
          <w:rFonts w:ascii="Times New Roman" w:eastAsia="Times New Roman" w:hAnsi="Times New Roman" w:cs="Times New Roman"/>
          <w:sz w:val="24"/>
          <w:szCs w:val="24"/>
        </w:rPr>
        <w:t xml:space="preserve"> and the nature of their mandate, they can play an important role in setting up those policies, strategies and action plans that are required at national level to protect cultural property (including ratification of/</w:t>
      </w:r>
      <w:r w:rsidR="008228DC" w:rsidRPr="00EB55C1">
        <w:rPr>
          <w:rFonts w:ascii="Times New Roman" w:eastAsia="Times New Roman" w:hAnsi="Times New Roman" w:cs="Times New Roman"/>
          <w:sz w:val="24"/>
          <w:szCs w:val="24"/>
        </w:rPr>
        <w:t>accession</w:t>
      </w:r>
      <w:r w:rsidR="00916145" w:rsidRPr="00EB55C1">
        <w:rPr>
          <w:rFonts w:ascii="Times New Roman" w:eastAsia="Times New Roman" w:hAnsi="Times New Roman" w:cs="Times New Roman"/>
          <w:sz w:val="24"/>
          <w:szCs w:val="24"/>
        </w:rPr>
        <w:t xml:space="preserve"> to relevant international instruments and enactment of comprehensive domestic legislation/regulations)</w:t>
      </w:r>
      <w:r w:rsidR="007060EC" w:rsidRPr="00360D35">
        <w:rPr>
          <w:rFonts w:ascii="Times New Roman" w:eastAsia="Times New Roman" w:hAnsi="Times New Roman" w:cs="Times New Roman"/>
          <w:sz w:val="24"/>
          <w:szCs w:val="24"/>
        </w:rPr>
        <w:t>.”</w:t>
      </w:r>
      <w:r w:rsidR="008228DC" w:rsidRPr="00EB55C1">
        <w:rPr>
          <w:rStyle w:val="EndnoteReference"/>
          <w:rFonts w:ascii="Times New Roman" w:eastAsia="Times New Roman" w:hAnsi="Times New Roman" w:cs="Times New Roman"/>
          <w:sz w:val="24"/>
          <w:szCs w:val="24"/>
        </w:rPr>
        <w:endnoteReference w:id="21"/>
      </w:r>
      <w:r w:rsidR="00916145" w:rsidRPr="00EB55C1">
        <w:rPr>
          <w:rFonts w:ascii="Times New Roman" w:eastAsia="Times New Roman" w:hAnsi="Times New Roman" w:cs="Times New Roman"/>
          <w:sz w:val="24"/>
          <w:szCs w:val="24"/>
        </w:rPr>
        <w:t xml:space="preserve"> </w:t>
      </w:r>
      <w:r w:rsidR="00F510E9" w:rsidRPr="00EB55C1">
        <w:rPr>
          <w:rFonts w:ascii="Times New Roman" w:eastAsia="Times New Roman" w:hAnsi="Times New Roman" w:cs="Times New Roman"/>
          <w:sz w:val="24"/>
          <w:szCs w:val="24"/>
        </w:rPr>
        <w:t xml:space="preserve">In other words, these committees are </w:t>
      </w:r>
      <w:r w:rsidR="00DB6254">
        <w:rPr>
          <w:rFonts w:ascii="Times New Roman" w:eastAsia="Times New Roman" w:hAnsi="Times New Roman" w:cs="Times New Roman"/>
          <w:sz w:val="24"/>
          <w:szCs w:val="24"/>
        </w:rPr>
        <w:t>generally</w:t>
      </w:r>
      <w:r w:rsidR="00230F2C" w:rsidRPr="00EB55C1">
        <w:rPr>
          <w:rFonts w:ascii="Times New Roman" w:eastAsia="Times New Roman" w:hAnsi="Times New Roman" w:cs="Times New Roman"/>
          <w:sz w:val="24"/>
          <w:szCs w:val="24"/>
        </w:rPr>
        <w:t xml:space="preserve"> </w:t>
      </w:r>
      <w:r w:rsidR="00F510E9" w:rsidRPr="00EB55C1">
        <w:rPr>
          <w:rFonts w:ascii="Times New Roman" w:eastAsia="Times New Roman" w:hAnsi="Times New Roman" w:cs="Times New Roman"/>
          <w:sz w:val="24"/>
          <w:szCs w:val="24"/>
        </w:rPr>
        <w:t xml:space="preserve">well </w:t>
      </w:r>
      <w:r w:rsidR="00242795">
        <w:rPr>
          <w:rFonts w:ascii="Times New Roman" w:eastAsia="Times New Roman" w:hAnsi="Times New Roman" w:cs="Times New Roman"/>
          <w:sz w:val="24"/>
          <w:szCs w:val="24"/>
        </w:rPr>
        <w:t>positioned</w:t>
      </w:r>
      <w:r w:rsidR="00F510E9" w:rsidRPr="00EB55C1">
        <w:rPr>
          <w:rFonts w:ascii="Times New Roman" w:eastAsia="Times New Roman" w:hAnsi="Times New Roman" w:cs="Times New Roman"/>
          <w:sz w:val="24"/>
          <w:szCs w:val="24"/>
        </w:rPr>
        <w:t xml:space="preserve"> to </w:t>
      </w:r>
      <w:r w:rsidR="00242795">
        <w:rPr>
          <w:rFonts w:ascii="Times New Roman" w:eastAsia="Times New Roman" w:hAnsi="Times New Roman" w:cs="Times New Roman"/>
          <w:sz w:val="24"/>
          <w:szCs w:val="24"/>
        </w:rPr>
        <w:t>deploy</w:t>
      </w:r>
      <w:r w:rsidR="00F510E9" w:rsidRPr="00EB55C1">
        <w:rPr>
          <w:rFonts w:ascii="Times New Roman" w:eastAsia="Times New Roman" w:hAnsi="Times New Roman" w:cs="Times New Roman"/>
          <w:sz w:val="24"/>
          <w:szCs w:val="24"/>
        </w:rPr>
        <w:t xml:space="preserve"> the most important preventive measures and policies entail for the concerned government and to propose relevant courses of action. </w:t>
      </w:r>
    </w:p>
    <w:p w14:paraId="5A437FBA" w14:textId="7A2FF75E" w:rsidR="00623527" w:rsidRPr="00EB55C1" w:rsidRDefault="00372271" w:rsidP="006952D9">
      <w:pPr>
        <w:spacing w:before="120" w:after="12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Intergovernmental and nongovernmental</w:t>
      </w:r>
      <w:r w:rsidR="000C30E2" w:rsidRPr="00EB55C1">
        <w:rPr>
          <w:rFonts w:ascii="Times New Roman" w:eastAsia="Times New Roman" w:hAnsi="Times New Roman" w:cs="Times New Roman"/>
          <w:sz w:val="24"/>
          <w:szCs w:val="24"/>
        </w:rPr>
        <w:t xml:space="preserve"> organizations, </w:t>
      </w:r>
      <w:r w:rsidR="00276231">
        <w:rPr>
          <w:rFonts w:ascii="Times New Roman" w:eastAsia="Times New Roman" w:hAnsi="Times New Roman" w:cs="Times New Roman"/>
          <w:sz w:val="24"/>
          <w:szCs w:val="24"/>
        </w:rPr>
        <w:t xml:space="preserve">as well as </w:t>
      </w:r>
      <w:r w:rsidR="007F0E6D" w:rsidRPr="00EB55C1">
        <w:rPr>
          <w:rFonts w:ascii="Times New Roman" w:eastAsia="Times New Roman" w:hAnsi="Times New Roman" w:cs="Times New Roman"/>
          <w:sz w:val="24"/>
          <w:szCs w:val="24"/>
        </w:rPr>
        <w:t>other international entities</w:t>
      </w:r>
      <w:r w:rsidR="00276231">
        <w:rPr>
          <w:rFonts w:ascii="Times New Roman" w:eastAsia="Times New Roman" w:hAnsi="Times New Roman" w:cs="Times New Roman"/>
          <w:sz w:val="24"/>
          <w:szCs w:val="24"/>
        </w:rPr>
        <w:t>,</w:t>
      </w:r>
      <w:r w:rsidR="00CD6B70">
        <w:rPr>
          <w:rFonts w:ascii="Times New Roman" w:eastAsia="Times New Roman" w:hAnsi="Times New Roman" w:cs="Times New Roman"/>
          <w:sz w:val="24"/>
          <w:szCs w:val="24"/>
        </w:rPr>
        <w:t xml:space="preserve"> also</w:t>
      </w:r>
      <w:r w:rsidR="007F0E6D" w:rsidRPr="00EB55C1">
        <w:rPr>
          <w:rFonts w:ascii="Times New Roman" w:eastAsia="Times New Roman" w:hAnsi="Times New Roman" w:cs="Times New Roman"/>
          <w:sz w:val="24"/>
          <w:szCs w:val="24"/>
        </w:rPr>
        <w:t xml:space="preserve"> play an important role.</w:t>
      </w:r>
      <w:r w:rsidR="00B13AE3" w:rsidRPr="00EB55C1">
        <w:rPr>
          <w:rFonts w:ascii="Times New Roman" w:eastAsia="Times New Roman" w:hAnsi="Times New Roman" w:cs="Times New Roman"/>
          <w:sz w:val="24"/>
          <w:szCs w:val="24"/>
        </w:rPr>
        <w:t xml:space="preserve"> </w:t>
      </w:r>
      <w:r w:rsidR="00242795">
        <w:rPr>
          <w:rFonts w:ascii="Times New Roman" w:eastAsia="Times New Roman" w:hAnsi="Times New Roman" w:cs="Times New Roman"/>
          <w:sz w:val="24"/>
          <w:szCs w:val="24"/>
        </w:rPr>
        <w:t>W</w:t>
      </w:r>
      <w:r w:rsidR="007E508A" w:rsidRPr="00E13A56">
        <w:rPr>
          <w:rFonts w:ascii="Times New Roman" w:eastAsia="Times New Roman" w:hAnsi="Times New Roman" w:cs="Times New Roman"/>
          <w:sz w:val="24"/>
          <w:szCs w:val="24"/>
        </w:rPr>
        <w:t>ithin their respective field of expertise and mandate</w:t>
      </w:r>
      <w:r w:rsidR="007E508A" w:rsidRPr="00E13A56" w:rsidDel="00CD6B70">
        <w:rPr>
          <w:rFonts w:ascii="Times New Roman" w:eastAsia="Times New Roman" w:hAnsi="Times New Roman" w:cs="Times New Roman"/>
          <w:sz w:val="24"/>
          <w:szCs w:val="24"/>
        </w:rPr>
        <w:t xml:space="preserve"> </w:t>
      </w:r>
      <w:r w:rsidR="007E508A" w:rsidRPr="00E13A56">
        <w:rPr>
          <w:rFonts w:ascii="Times New Roman" w:eastAsia="Times New Roman" w:hAnsi="Times New Roman" w:cs="Times New Roman"/>
          <w:sz w:val="24"/>
          <w:szCs w:val="24"/>
        </w:rPr>
        <w:t xml:space="preserve">many </w:t>
      </w:r>
      <w:r w:rsidR="007E508A">
        <w:rPr>
          <w:rFonts w:ascii="Times New Roman" w:eastAsia="Times New Roman" w:hAnsi="Times New Roman" w:cs="Times New Roman"/>
          <w:sz w:val="24"/>
          <w:szCs w:val="24"/>
        </w:rPr>
        <w:t>organizations</w:t>
      </w:r>
      <w:r w:rsidR="007E508A" w:rsidRPr="00E13A56">
        <w:rPr>
          <w:rFonts w:ascii="Times New Roman" w:eastAsia="Times New Roman" w:hAnsi="Times New Roman" w:cs="Times New Roman"/>
          <w:sz w:val="24"/>
          <w:szCs w:val="24"/>
        </w:rPr>
        <w:t xml:space="preserve"> contribute to the implementation of the protective legal framework, </w:t>
      </w:r>
      <w:r w:rsidR="007E508A">
        <w:rPr>
          <w:rFonts w:ascii="Times New Roman" w:eastAsia="Times New Roman" w:hAnsi="Times New Roman" w:cs="Times New Roman"/>
          <w:sz w:val="24"/>
          <w:szCs w:val="24"/>
        </w:rPr>
        <w:t xml:space="preserve">including </w:t>
      </w:r>
      <w:r w:rsidR="00CF00D7" w:rsidRPr="00EB55C1">
        <w:rPr>
          <w:rFonts w:ascii="Times New Roman" w:eastAsia="Times New Roman" w:hAnsi="Times New Roman" w:cs="Times New Roman"/>
          <w:sz w:val="24"/>
          <w:szCs w:val="24"/>
        </w:rPr>
        <w:t>UNESCO</w:t>
      </w:r>
      <w:r w:rsidR="004C6C9E" w:rsidRPr="00EB55C1">
        <w:rPr>
          <w:rFonts w:ascii="Times New Roman" w:eastAsia="Times New Roman" w:hAnsi="Times New Roman" w:cs="Times New Roman"/>
          <w:sz w:val="24"/>
          <w:szCs w:val="24"/>
        </w:rPr>
        <w:t xml:space="preserve">, </w:t>
      </w:r>
      <w:r w:rsidR="00CF00D7" w:rsidRPr="00EB55C1">
        <w:rPr>
          <w:rFonts w:ascii="Times New Roman" w:eastAsia="Times New Roman" w:hAnsi="Times New Roman" w:cs="Times New Roman"/>
          <w:sz w:val="24"/>
          <w:szCs w:val="24"/>
        </w:rPr>
        <w:t xml:space="preserve">the International Committee of the Red Cross (ICRC), </w:t>
      </w:r>
      <w:r w:rsidR="004C6C9E" w:rsidRPr="00EB55C1">
        <w:rPr>
          <w:rFonts w:ascii="Times New Roman" w:eastAsia="Times New Roman" w:hAnsi="Times New Roman" w:cs="Times New Roman"/>
          <w:sz w:val="24"/>
          <w:szCs w:val="24"/>
        </w:rPr>
        <w:t xml:space="preserve">the Blue Shield International, the International Council of Museums (ICOM), </w:t>
      </w:r>
      <w:r w:rsidR="007C7003" w:rsidRPr="00EB55C1">
        <w:rPr>
          <w:rFonts w:ascii="Times New Roman" w:eastAsia="Times New Roman" w:hAnsi="Times New Roman" w:cs="Times New Roman"/>
          <w:sz w:val="24"/>
          <w:szCs w:val="24"/>
        </w:rPr>
        <w:t xml:space="preserve">the </w:t>
      </w:r>
      <w:r w:rsidR="004C6C9E" w:rsidRPr="00EB55C1">
        <w:rPr>
          <w:rFonts w:ascii="Times New Roman" w:eastAsia="Times New Roman" w:hAnsi="Times New Roman" w:cs="Times New Roman"/>
          <w:sz w:val="24"/>
          <w:szCs w:val="24"/>
        </w:rPr>
        <w:t>International Council on Monuments and Sites</w:t>
      </w:r>
      <w:r w:rsidR="00D41B92">
        <w:rPr>
          <w:rFonts w:ascii="Times New Roman" w:eastAsia="Times New Roman" w:hAnsi="Times New Roman" w:cs="Times New Roman"/>
          <w:sz w:val="24"/>
          <w:szCs w:val="24"/>
        </w:rPr>
        <w:t xml:space="preserve"> (ICOMOS)</w:t>
      </w:r>
      <w:r w:rsidR="007C7003" w:rsidRPr="00EB55C1">
        <w:rPr>
          <w:rFonts w:ascii="Times New Roman" w:eastAsia="Times New Roman" w:hAnsi="Times New Roman" w:cs="Times New Roman"/>
          <w:sz w:val="24"/>
          <w:szCs w:val="24"/>
        </w:rPr>
        <w:t>, the</w:t>
      </w:r>
      <w:r w:rsidR="004C6C9E" w:rsidRPr="00EB55C1">
        <w:rPr>
          <w:rFonts w:ascii="Times New Roman" w:eastAsia="Times New Roman" w:hAnsi="Times New Roman" w:cs="Times New Roman"/>
          <w:sz w:val="24"/>
          <w:szCs w:val="24"/>
        </w:rPr>
        <w:t xml:space="preserve"> International Centre for the Study of the Preservation and Restoration of Cultural Property (</w:t>
      </w:r>
      <w:r w:rsidR="006654A5">
        <w:rPr>
          <w:rFonts w:ascii="Times New Roman" w:eastAsia="Times New Roman" w:hAnsi="Times New Roman" w:cs="Times New Roman"/>
          <w:sz w:val="24"/>
          <w:szCs w:val="24"/>
        </w:rPr>
        <w:t>ICCROM</w:t>
      </w:r>
      <w:r w:rsidR="004C6C9E" w:rsidRPr="00EB55C1">
        <w:rPr>
          <w:rFonts w:ascii="Times New Roman" w:eastAsia="Times New Roman" w:hAnsi="Times New Roman" w:cs="Times New Roman"/>
          <w:sz w:val="24"/>
          <w:szCs w:val="24"/>
        </w:rPr>
        <w:t xml:space="preserve">), </w:t>
      </w:r>
      <w:r w:rsidR="007C7003" w:rsidRPr="00EB55C1">
        <w:rPr>
          <w:rFonts w:ascii="Times New Roman" w:eastAsia="Times New Roman" w:hAnsi="Times New Roman" w:cs="Times New Roman"/>
          <w:sz w:val="24"/>
          <w:szCs w:val="24"/>
        </w:rPr>
        <w:t xml:space="preserve">the </w:t>
      </w:r>
      <w:r w:rsidR="004C6C9E" w:rsidRPr="00EB55C1">
        <w:rPr>
          <w:rFonts w:ascii="Times New Roman" w:eastAsia="Times New Roman" w:hAnsi="Times New Roman" w:cs="Times New Roman"/>
          <w:sz w:val="24"/>
          <w:szCs w:val="24"/>
        </w:rPr>
        <w:t>International Council on Archives (ICA)</w:t>
      </w:r>
      <w:r w:rsidR="007C7003" w:rsidRPr="00EB55C1">
        <w:rPr>
          <w:rFonts w:ascii="Times New Roman" w:eastAsia="Times New Roman" w:hAnsi="Times New Roman" w:cs="Times New Roman"/>
          <w:sz w:val="24"/>
          <w:szCs w:val="24"/>
        </w:rPr>
        <w:t>, the</w:t>
      </w:r>
      <w:r w:rsidR="004C6C9E" w:rsidRPr="00EB55C1">
        <w:rPr>
          <w:rFonts w:ascii="Times New Roman" w:eastAsia="Times New Roman" w:hAnsi="Times New Roman" w:cs="Times New Roman"/>
          <w:sz w:val="24"/>
          <w:szCs w:val="24"/>
        </w:rPr>
        <w:t xml:space="preserve"> International Federation of Library Associations and Institutions (IFLA)</w:t>
      </w:r>
      <w:r w:rsidR="007C7003" w:rsidRPr="00EB55C1">
        <w:rPr>
          <w:rFonts w:ascii="Times New Roman" w:eastAsia="Times New Roman" w:hAnsi="Times New Roman" w:cs="Times New Roman"/>
          <w:sz w:val="24"/>
          <w:szCs w:val="24"/>
        </w:rPr>
        <w:t xml:space="preserve">, </w:t>
      </w:r>
      <w:r w:rsidR="007E508A">
        <w:rPr>
          <w:rFonts w:ascii="Times New Roman" w:eastAsia="Times New Roman" w:hAnsi="Times New Roman" w:cs="Times New Roman"/>
          <w:sz w:val="24"/>
          <w:szCs w:val="24"/>
        </w:rPr>
        <w:t xml:space="preserve">and </w:t>
      </w:r>
      <w:r w:rsidR="007C7003" w:rsidRPr="00EB55C1">
        <w:rPr>
          <w:rFonts w:ascii="Times New Roman" w:eastAsia="Times New Roman" w:hAnsi="Times New Roman" w:cs="Times New Roman"/>
          <w:sz w:val="24"/>
          <w:szCs w:val="24"/>
        </w:rPr>
        <w:t>the recently</w:t>
      </w:r>
      <w:r w:rsidR="00F87BCB">
        <w:rPr>
          <w:rFonts w:ascii="Times New Roman" w:eastAsia="Times New Roman" w:hAnsi="Times New Roman" w:cs="Times New Roman"/>
          <w:sz w:val="24"/>
          <w:szCs w:val="24"/>
        </w:rPr>
        <w:t xml:space="preserve"> </w:t>
      </w:r>
      <w:r w:rsidR="007C7003" w:rsidRPr="00EB55C1">
        <w:rPr>
          <w:rFonts w:ascii="Times New Roman" w:eastAsia="Times New Roman" w:hAnsi="Times New Roman" w:cs="Times New Roman"/>
          <w:sz w:val="24"/>
          <w:szCs w:val="24"/>
        </w:rPr>
        <w:t>created International Alliance for the Protection of Heritage in Conflict Areas (ALIPH)</w:t>
      </w:r>
      <w:r w:rsidR="001F7CB1" w:rsidRPr="00EB55C1">
        <w:rPr>
          <w:rFonts w:ascii="Times New Roman" w:eastAsia="Times New Roman" w:hAnsi="Times New Roman" w:cs="Times New Roman"/>
          <w:sz w:val="24"/>
          <w:szCs w:val="24"/>
        </w:rPr>
        <w:t xml:space="preserve">. </w:t>
      </w:r>
      <w:r w:rsidR="00E12928">
        <w:rPr>
          <w:rFonts w:ascii="Times New Roman" w:eastAsia="Times New Roman" w:hAnsi="Times New Roman" w:cs="Times New Roman"/>
          <w:sz w:val="24"/>
          <w:szCs w:val="24"/>
        </w:rPr>
        <w:t>T</w:t>
      </w:r>
      <w:r w:rsidR="001F7CB1" w:rsidRPr="00EB55C1">
        <w:rPr>
          <w:rFonts w:ascii="Times New Roman" w:eastAsia="Times New Roman" w:hAnsi="Times New Roman" w:cs="Times New Roman"/>
          <w:sz w:val="24"/>
          <w:szCs w:val="24"/>
        </w:rPr>
        <w:t>heir work include</w:t>
      </w:r>
      <w:r w:rsidR="007D3FD7">
        <w:rPr>
          <w:rFonts w:ascii="Times New Roman" w:eastAsia="Times New Roman" w:hAnsi="Times New Roman" w:cs="Times New Roman"/>
          <w:sz w:val="24"/>
          <w:szCs w:val="24"/>
        </w:rPr>
        <w:t>s</w:t>
      </w:r>
      <w:r w:rsidR="001F7CB1" w:rsidRPr="00EB55C1">
        <w:rPr>
          <w:rFonts w:ascii="Times New Roman" w:eastAsia="Times New Roman" w:hAnsi="Times New Roman" w:cs="Times New Roman"/>
          <w:sz w:val="24"/>
          <w:szCs w:val="24"/>
        </w:rPr>
        <w:t xml:space="preserve"> activities such as humanitarian diplomacy</w:t>
      </w:r>
      <w:r w:rsidR="00AD5C08">
        <w:rPr>
          <w:rFonts w:ascii="Times New Roman" w:eastAsia="Times New Roman" w:hAnsi="Times New Roman" w:cs="Times New Roman"/>
          <w:sz w:val="24"/>
          <w:szCs w:val="24"/>
        </w:rPr>
        <w:t>,</w:t>
      </w:r>
      <w:r w:rsidR="001F7CB1" w:rsidRPr="00EB55C1">
        <w:rPr>
          <w:rFonts w:ascii="Times New Roman" w:eastAsia="Times New Roman" w:hAnsi="Times New Roman" w:cs="Times New Roman"/>
          <w:sz w:val="24"/>
          <w:szCs w:val="24"/>
        </w:rPr>
        <w:t xml:space="preserve"> support </w:t>
      </w:r>
      <w:r w:rsidR="00AD5C08">
        <w:rPr>
          <w:rFonts w:ascii="Times New Roman" w:eastAsia="Times New Roman" w:hAnsi="Times New Roman" w:cs="Times New Roman"/>
          <w:sz w:val="24"/>
          <w:szCs w:val="24"/>
        </w:rPr>
        <w:t xml:space="preserve">for </w:t>
      </w:r>
      <w:r w:rsidR="001F7CB1" w:rsidRPr="00EB55C1">
        <w:rPr>
          <w:rFonts w:ascii="Times New Roman" w:eastAsia="Times New Roman" w:hAnsi="Times New Roman" w:cs="Times New Roman"/>
          <w:sz w:val="24"/>
          <w:szCs w:val="24"/>
        </w:rPr>
        <w:t xml:space="preserve">ratification of international instruments by </w:t>
      </w:r>
      <w:r w:rsidR="00646807" w:rsidRPr="00360D35">
        <w:rPr>
          <w:rFonts w:ascii="Times New Roman" w:eastAsia="Times New Roman" w:hAnsi="Times New Roman" w:cs="Times New Roman"/>
          <w:sz w:val="24"/>
          <w:szCs w:val="24"/>
        </w:rPr>
        <w:t>state</w:t>
      </w:r>
      <w:r w:rsidR="001F7CB1" w:rsidRPr="00EB55C1">
        <w:rPr>
          <w:rFonts w:ascii="Times New Roman" w:eastAsia="Times New Roman" w:hAnsi="Times New Roman" w:cs="Times New Roman"/>
          <w:sz w:val="24"/>
          <w:szCs w:val="24"/>
        </w:rPr>
        <w:t xml:space="preserve">s, support </w:t>
      </w:r>
      <w:r w:rsidR="00AD5C08">
        <w:rPr>
          <w:rFonts w:ascii="Times New Roman" w:eastAsia="Times New Roman" w:hAnsi="Times New Roman" w:cs="Times New Roman"/>
          <w:sz w:val="24"/>
          <w:szCs w:val="24"/>
        </w:rPr>
        <w:t xml:space="preserve">for </w:t>
      </w:r>
      <w:r w:rsidR="001F7CB1" w:rsidRPr="00EB55C1">
        <w:rPr>
          <w:rFonts w:ascii="Times New Roman" w:eastAsia="Times New Roman" w:hAnsi="Times New Roman" w:cs="Times New Roman"/>
          <w:sz w:val="24"/>
          <w:szCs w:val="24"/>
        </w:rPr>
        <w:t xml:space="preserve">the domestic implementation of those treaties, </w:t>
      </w:r>
      <w:r w:rsidR="007C7003" w:rsidRPr="00EB55C1">
        <w:rPr>
          <w:rFonts w:ascii="Times New Roman" w:eastAsia="Times New Roman" w:hAnsi="Times New Roman" w:cs="Times New Roman"/>
          <w:sz w:val="24"/>
          <w:szCs w:val="24"/>
        </w:rPr>
        <w:t xml:space="preserve">advocacy and awareness raising in case of violations of the law, </w:t>
      </w:r>
      <w:r w:rsidR="001F7CB1" w:rsidRPr="00EB55C1">
        <w:rPr>
          <w:rFonts w:ascii="Times New Roman" w:eastAsia="Times New Roman" w:hAnsi="Times New Roman" w:cs="Times New Roman"/>
          <w:sz w:val="24"/>
          <w:szCs w:val="24"/>
        </w:rPr>
        <w:t>capacity building and training initiatives, development of international standards</w:t>
      </w:r>
      <w:r w:rsidR="00AD5C08">
        <w:rPr>
          <w:rFonts w:ascii="Times New Roman" w:eastAsia="Times New Roman" w:hAnsi="Times New Roman" w:cs="Times New Roman"/>
          <w:sz w:val="24"/>
          <w:szCs w:val="24"/>
        </w:rPr>
        <w:t>,</w:t>
      </w:r>
      <w:r w:rsidR="001F7CB1" w:rsidRPr="00EB55C1">
        <w:rPr>
          <w:rFonts w:ascii="Times New Roman" w:eastAsia="Times New Roman" w:hAnsi="Times New Roman" w:cs="Times New Roman"/>
          <w:sz w:val="24"/>
          <w:szCs w:val="24"/>
        </w:rPr>
        <w:t xml:space="preserve"> </w:t>
      </w:r>
      <w:r w:rsidR="00AD5C08">
        <w:rPr>
          <w:rFonts w:ascii="Times New Roman" w:eastAsia="Times New Roman" w:hAnsi="Times New Roman" w:cs="Times New Roman"/>
          <w:sz w:val="24"/>
          <w:szCs w:val="24"/>
        </w:rPr>
        <w:t xml:space="preserve">and </w:t>
      </w:r>
      <w:r w:rsidR="001F7CB1" w:rsidRPr="00EB55C1">
        <w:rPr>
          <w:rFonts w:ascii="Times New Roman" w:eastAsia="Times New Roman" w:hAnsi="Times New Roman" w:cs="Times New Roman"/>
          <w:sz w:val="24"/>
          <w:szCs w:val="24"/>
        </w:rPr>
        <w:t>post-conflict restoration progra</w:t>
      </w:r>
      <w:r w:rsidR="00AD5C08" w:rsidRPr="00EB55C1" w:rsidDel="00AD5C08">
        <w:rPr>
          <w:rFonts w:ascii="Times New Roman" w:eastAsia="Times New Roman" w:hAnsi="Times New Roman" w:cs="Times New Roman"/>
          <w:sz w:val="24"/>
          <w:szCs w:val="24"/>
        </w:rPr>
        <w:t>m</w:t>
      </w:r>
      <w:r w:rsidR="001F7CB1" w:rsidRPr="00EB55C1">
        <w:rPr>
          <w:rFonts w:ascii="Times New Roman" w:eastAsia="Times New Roman" w:hAnsi="Times New Roman" w:cs="Times New Roman"/>
          <w:sz w:val="24"/>
          <w:szCs w:val="24"/>
        </w:rPr>
        <w:t>s</w:t>
      </w:r>
      <w:r w:rsidR="007C7003" w:rsidRPr="00EB55C1">
        <w:rPr>
          <w:rFonts w:ascii="Times New Roman" w:eastAsia="Times New Roman" w:hAnsi="Times New Roman" w:cs="Times New Roman"/>
          <w:sz w:val="24"/>
          <w:szCs w:val="24"/>
        </w:rPr>
        <w:t xml:space="preserve">. </w:t>
      </w:r>
      <w:r w:rsidR="001F7CB1" w:rsidRPr="00EB55C1">
        <w:rPr>
          <w:rFonts w:ascii="Times New Roman" w:eastAsia="Times New Roman" w:hAnsi="Times New Roman" w:cs="Times New Roman"/>
          <w:sz w:val="24"/>
          <w:szCs w:val="24"/>
        </w:rPr>
        <w:t xml:space="preserve">While recognizing that </w:t>
      </w:r>
      <w:r w:rsidR="00F87BCB">
        <w:rPr>
          <w:rFonts w:ascii="Times New Roman" w:eastAsia="Times New Roman" w:hAnsi="Times New Roman" w:cs="Times New Roman"/>
          <w:sz w:val="24"/>
          <w:szCs w:val="24"/>
        </w:rPr>
        <w:t>these organizations</w:t>
      </w:r>
      <w:r w:rsidR="00623527" w:rsidRPr="00EB55C1">
        <w:rPr>
          <w:rFonts w:ascii="Times New Roman" w:eastAsia="Times New Roman" w:hAnsi="Times New Roman" w:cs="Times New Roman"/>
          <w:sz w:val="24"/>
          <w:szCs w:val="24"/>
        </w:rPr>
        <w:t xml:space="preserve"> are an integral part of the international system of protection of cultural property</w:t>
      </w:r>
      <w:r w:rsidR="00EB2BDB">
        <w:rPr>
          <w:rFonts w:ascii="Times New Roman" w:eastAsia="Times New Roman" w:hAnsi="Times New Roman" w:cs="Times New Roman"/>
          <w:sz w:val="24"/>
          <w:szCs w:val="24"/>
        </w:rPr>
        <w:t>,</w:t>
      </w:r>
      <w:r w:rsidR="001F7CB1" w:rsidRPr="00EB55C1">
        <w:rPr>
          <w:rFonts w:ascii="Times New Roman" w:eastAsia="Times New Roman" w:hAnsi="Times New Roman" w:cs="Times New Roman"/>
          <w:sz w:val="24"/>
          <w:szCs w:val="24"/>
        </w:rPr>
        <w:t xml:space="preserve"> </w:t>
      </w:r>
      <w:r w:rsidR="001F7CB1" w:rsidRPr="00EB55C1">
        <w:rPr>
          <w:rFonts w:ascii="Times New Roman" w:eastAsia="Times New Roman" w:hAnsi="Times New Roman" w:cs="Times New Roman"/>
          <w:sz w:val="24"/>
          <w:szCs w:val="24"/>
        </w:rPr>
        <w:lastRenderedPageBreak/>
        <w:t>and that</w:t>
      </w:r>
      <w:r w:rsidR="00976E04" w:rsidRPr="00EB55C1">
        <w:rPr>
          <w:rFonts w:ascii="Times New Roman" w:eastAsia="Times New Roman" w:hAnsi="Times New Roman" w:cs="Times New Roman"/>
          <w:sz w:val="24"/>
          <w:szCs w:val="24"/>
        </w:rPr>
        <w:t xml:space="preserve"> support by </w:t>
      </w:r>
      <w:r w:rsidR="00646807" w:rsidRPr="00360D35">
        <w:rPr>
          <w:rFonts w:ascii="Times New Roman" w:eastAsia="Times New Roman" w:hAnsi="Times New Roman" w:cs="Times New Roman"/>
          <w:sz w:val="24"/>
          <w:szCs w:val="24"/>
        </w:rPr>
        <w:t>state</w:t>
      </w:r>
      <w:r w:rsidR="00976E04" w:rsidRPr="00EB55C1">
        <w:rPr>
          <w:rFonts w:ascii="Times New Roman" w:eastAsia="Times New Roman" w:hAnsi="Times New Roman" w:cs="Times New Roman"/>
          <w:sz w:val="24"/>
          <w:szCs w:val="24"/>
        </w:rPr>
        <w:t xml:space="preserve">s </w:t>
      </w:r>
      <w:r w:rsidR="00EB2BDB">
        <w:rPr>
          <w:rFonts w:ascii="Times New Roman" w:eastAsia="Times New Roman" w:hAnsi="Times New Roman" w:cs="Times New Roman"/>
          <w:sz w:val="24"/>
          <w:szCs w:val="24"/>
        </w:rPr>
        <w:t>for</w:t>
      </w:r>
      <w:r w:rsidR="00EB2BDB" w:rsidRPr="00EB55C1">
        <w:rPr>
          <w:rFonts w:ascii="Times New Roman" w:eastAsia="Times New Roman" w:hAnsi="Times New Roman" w:cs="Times New Roman"/>
          <w:sz w:val="24"/>
          <w:szCs w:val="24"/>
        </w:rPr>
        <w:t xml:space="preserve"> </w:t>
      </w:r>
      <w:r w:rsidR="00976E04" w:rsidRPr="00EB55C1">
        <w:rPr>
          <w:rFonts w:ascii="Times New Roman" w:eastAsia="Times New Roman" w:hAnsi="Times New Roman" w:cs="Times New Roman"/>
          <w:sz w:val="24"/>
          <w:szCs w:val="24"/>
        </w:rPr>
        <w:t xml:space="preserve">their work is a key component of this system, </w:t>
      </w:r>
      <w:r w:rsidR="0023262C" w:rsidRPr="00EB55C1">
        <w:rPr>
          <w:rFonts w:ascii="Times New Roman" w:eastAsia="Times New Roman" w:hAnsi="Times New Roman" w:cs="Times New Roman"/>
          <w:sz w:val="24"/>
          <w:szCs w:val="24"/>
        </w:rPr>
        <w:t xml:space="preserve">maximizing the impact of their work by </w:t>
      </w:r>
      <w:r w:rsidR="00976E04" w:rsidRPr="00EB55C1">
        <w:rPr>
          <w:rFonts w:ascii="Times New Roman" w:eastAsia="Times New Roman" w:hAnsi="Times New Roman" w:cs="Times New Roman"/>
          <w:sz w:val="24"/>
          <w:szCs w:val="24"/>
        </w:rPr>
        <w:t xml:space="preserve">ensuring </w:t>
      </w:r>
      <w:r w:rsidR="0023262C" w:rsidRPr="00EB55C1">
        <w:rPr>
          <w:rFonts w:ascii="Times New Roman" w:eastAsia="Times New Roman" w:hAnsi="Times New Roman" w:cs="Times New Roman"/>
          <w:sz w:val="24"/>
          <w:szCs w:val="24"/>
        </w:rPr>
        <w:t>proper</w:t>
      </w:r>
      <w:r w:rsidR="00976E04" w:rsidRPr="00EB55C1">
        <w:rPr>
          <w:rFonts w:ascii="Times New Roman" w:eastAsia="Times New Roman" w:hAnsi="Times New Roman" w:cs="Times New Roman"/>
          <w:sz w:val="24"/>
          <w:szCs w:val="24"/>
        </w:rPr>
        <w:t xml:space="preserve"> coordination of their action </w:t>
      </w:r>
      <w:r w:rsidR="005C4301" w:rsidRPr="00EB55C1">
        <w:rPr>
          <w:rFonts w:ascii="Times New Roman" w:eastAsia="Times New Roman" w:hAnsi="Times New Roman" w:cs="Times New Roman"/>
          <w:sz w:val="24"/>
          <w:szCs w:val="24"/>
        </w:rPr>
        <w:t xml:space="preserve">still represents </w:t>
      </w:r>
      <w:r w:rsidR="0023262C" w:rsidRPr="00EB55C1">
        <w:rPr>
          <w:rFonts w:ascii="Times New Roman" w:eastAsia="Times New Roman" w:hAnsi="Times New Roman" w:cs="Times New Roman"/>
          <w:sz w:val="24"/>
          <w:szCs w:val="24"/>
        </w:rPr>
        <w:t xml:space="preserve">an important </w:t>
      </w:r>
      <w:r w:rsidR="005C4301" w:rsidRPr="00EB55C1">
        <w:rPr>
          <w:rFonts w:ascii="Times New Roman" w:eastAsia="Times New Roman" w:hAnsi="Times New Roman" w:cs="Times New Roman"/>
          <w:sz w:val="24"/>
          <w:szCs w:val="24"/>
        </w:rPr>
        <w:t>challenge</w:t>
      </w:r>
      <w:r w:rsidR="0023262C" w:rsidRPr="00EB55C1">
        <w:rPr>
          <w:rFonts w:ascii="Times New Roman" w:eastAsia="Times New Roman" w:hAnsi="Times New Roman" w:cs="Times New Roman"/>
          <w:sz w:val="24"/>
          <w:szCs w:val="24"/>
        </w:rPr>
        <w:t>.</w:t>
      </w:r>
      <w:r w:rsidR="00623527" w:rsidRPr="00EB55C1">
        <w:rPr>
          <w:rFonts w:ascii="Times New Roman" w:eastAsia="Times New Roman" w:hAnsi="Times New Roman" w:cs="Times New Roman"/>
          <w:sz w:val="24"/>
          <w:szCs w:val="24"/>
        </w:rPr>
        <w:t xml:space="preserve"> </w:t>
      </w:r>
    </w:p>
    <w:p w14:paraId="62AF90F8" w14:textId="6A87DDE8" w:rsidR="004C6C9E" w:rsidRPr="00EB55C1" w:rsidRDefault="004C6C9E" w:rsidP="006952D9">
      <w:pPr>
        <w:spacing w:before="120" w:after="120" w:line="480" w:lineRule="auto"/>
        <w:ind w:firstLine="708"/>
        <w:rPr>
          <w:rFonts w:ascii="Times New Roman" w:eastAsia="Times New Roman" w:hAnsi="Times New Roman" w:cs="Times New Roman"/>
          <w:sz w:val="24"/>
          <w:szCs w:val="24"/>
        </w:rPr>
      </w:pPr>
    </w:p>
    <w:p w14:paraId="4DA33C5B" w14:textId="77777777" w:rsidR="00435DC2" w:rsidRPr="00EB55C1" w:rsidRDefault="00AE1CE7" w:rsidP="00EE6F41">
      <w:pPr>
        <w:pStyle w:val="Heading2"/>
        <w:spacing w:line="480" w:lineRule="auto"/>
      </w:pPr>
      <w:r w:rsidRPr="00EB55C1">
        <w:t>Conclusion</w:t>
      </w:r>
    </w:p>
    <w:p w14:paraId="2614C09F" w14:textId="160036D6" w:rsidR="00577F9C" w:rsidRPr="00EB55C1" w:rsidRDefault="005545FB" w:rsidP="006952D9">
      <w:pPr>
        <w:spacing w:before="120" w:after="120" w:line="480" w:lineRule="auto"/>
        <w:rPr>
          <w:rFonts w:ascii="Times New Roman" w:eastAsia="Times New Roman" w:hAnsi="Times New Roman" w:cs="Times New Roman"/>
          <w:sz w:val="24"/>
          <w:szCs w:val="24"/>
        </w:rPr>
      </w:pPr>
      <w:r w:rsidRPr="00EB55C1">
        <w:rPr>
          <w:rFonts w:ascii="Times New Roman" w:eastAsia="Times New Roman" w:hAnsi="Times New Roman" w:cs="Times New Roman"/>
          <w:sz w:val="24"/>
          <w:szCs w:val="24"/>
        </w:rPr>
        <w:t>As the means and methods of warfare change</w:t>
      </w:r>
      <w:r w:rsidR="00AF6F7D" w:rsidRPr="00EB55C1">
        <w:rPr>
          <w:rFonts w:ascii="Times New Roman" w:eastAsia="Times New Roman" w:hAnsi="Times New Roman" w:cs="Times New Roman"/>
          <w:sz w:val="24"/>
          <w:szCs w:val="24"/>
        </w:rPr>
        <w:t>,</w:t>
      </w:r>
      <w:r w:rsidR="0018554B" w:rsidRPr="00EB55C1">
        <w:rPr>
          <w:rFonts w:ascii="Times New Roman" w:eastAsia="Times New Roman" w:hAnsi="Times New Roman" w:cs="Times New Roman"/>
          <w:sz w:val="24"/>
          <w:szCs w:val="24"/>
        </w:rPr>
        <w:t xml:space="preserve"> </w:t>
      </w:r>
      <w:r w:rsidR="0006429D" w:rsidRPr="00EB55C1">
        <w:rPr>
          <w:rFonts w:ascii="Times New Roman" w:eastAsia="Times New Roman" w:hAnsi="Times New Roman" w:cs="Times New Roman"/>
          <w:sz w:val="24"/>
          <w:szCs w:val="24"/>
        </w:rPr>
        <w:t>constant</w:t>
      </w:r>
      <w:r w:rsidR="00EB2BDB">
        <w:rPr>
          <w:rFonts w:ascii="Times New Roman" w:eastAsia="Times New Roman" w:hAnsi="Times New Roman" w:cs="Times New Roman"/>
          <w:sz w:val="24"/>
          <w:szCs w:val="24"/>
        </w:rPr>
        <w:t>ly</w:t>
      </w:r>
      <w:r w:rsidR="0006429D" w:rsidRPr="00EB55C1">
        <w:rPr>
          <w:rFonts w:ascii="Times New Roman" w:eastAsia="Times New Roman" w:hAnsi="Times New Roman" w:cs="Times New Roman"/>
          <w:sz w:val="24"/>
          <w:szCs w:val="24"/>
        </w:rPr>
        <w:t xml:space="preserve"> </w:t>
      </w:r>
      <w:r w:rsidR="0018554B" w:rsidRPr="00EB55C1">
        <w:rPr>
          <w:rFonts w:ascii="Times New Roman" w:eastAsia="Times New Roman" w:hAnsi="Times New Roman" w:cs="Times New Roman"/>
          <w:sz w:val="24"/>
          <w:szCs w:val="24"/>
        </w:rPr>
        <w:t>query</w:t>
      </w:r>
      <w:r w:rsidR="00EB2BDB">
        <w:rPr>
          <w:rFonts w:ascii="Times New Roman" w:eastAsia="Times New Roman" w:hAnsi="Times New Roman" w:cs="Times New Roman"/>
          <w:sz w:val="24"/>
          <w:szCs w:val="24"/>
        </w:rPr>
        <w:t>ing</w:t>
      </w:r>
      <w:r w:rsidR="0018554B" w:rsidRPr="00EB55C1">
        <w:rPr>
          <w:rFonts w:ascii="Times New Roman" w:eastAsia="Times New Roman" w:hAnsi="Times New Roman" w:cs="Times New Roman"/>
          <w:sz w:val="24"/>
          <w:szCs w:val="24"/>
        </w:rPr>
        <w:t xml:space="preserve"> </w:t>
      </w:r>
      <w:r w:rsidR="0006429D" w:rsidRPr="00EB55C1">
        <w:rPr>
          <w:rFonts w:ascii="Times New Roman" w:eastAsia="Times New Roman" w:hAnsi="Times New Roman" w:cs="Times New Roman"/>
          <w:sz w:val="24"/>
          <w:szCs w:val="24"/>
        </w:rPr>
        <w:t>the</w:t>
      </w:r>
      <w:r w:rsidR="0018554B" w:rsidRPr="00EB55C1">
        <w:rPr>
          <w:rFonts w:ascii="Times New Roman" w:eastAsia="Times New Roman" w:hAnsi="Times New Roman" w:cs="Times New Roman"/>
          <w:sz w:val="24"/>
          <w:szCs w:val="24"/>
        </w:rPr>
        <w:t xml:space="preserve"> strength of rules</w:t>
      </w:r>
      <w:r w:rsidR="00FC4733" w:rsidRPr="00EB55C1">
        <w:rPr>
          <w:rFonts w:ascii="Times New Roman" w:eastAsia="Times New Roman" w:hAnsi="Times New Roman" w:cs="Times New Roman"/>
          <w:sz w:val="24"/>
          <w:szCs w:val="24"/>
        </w:rPr>
        <w:t xml:space="preserve"> governing</w:t>
      </w:r>
      <w:r w:rsidR="00715092" w:rsidRPr="00EB55C1">
        <w:rPr>
          <w:rFonts w:ascii="Times New Roman" w:eastAsia="Times New Roman" w:hAnsi="Times New Roman" w:cs="Times New Roman"/>
          <w:sz w:val="24"/>
          <w:szCs w:val="24"/>
        </w:rPr>
        <w:t xml:space="preserve"> </w:t>
      </w:r>
      <w:r w:rsidR="00FC4733" w:rsidRPr="00EB55C1">
        <w:rPr>
          <w:rFonts w:ascii="Times New Roman" w:eastAsia="Times New Roman" w:hAnsi="Times New Roman" w:cs="Times New Roman"/>
          <w:sz w:val="24"/>
          <w:szCs w:val="24"/>
        </w:rPr>
        <w:t xml:space="preserve">the protection of </w:t>
      </w:r>
      <w:r w:rsidR="00715092" w:rsidRPr="00EB55C1">
        <w:rPr>
          <w:rFonts w:ascii="Times New Roman" w:eastAsia="Times New Roman" w:hAnsi="Times New Roman" w:cs="Times New Roman"/>
          <w:sz w:val="24"/>
          <w:szCs w:val="24"/>
        </w:rPr>
        <w:t>cultural property</w:t>
      </w:r>
      <w:r w:rsidR="0018554B" w:rsidRPr="00EB55C1">
        <w:rPr>
          <w:rFonts w:ascii="Times New Roman" w:eastAsia="Times New Roman" w:hAnsi="Times New Roman" w:cs="Times New Roman"/>
          <w:sz w:val="24"/>
          <w:szCs w:val="24"/>
        </w:rPr>
        <w:t xml:space="preserve"> </w:t>
      </w:r>
      <w:r w:rsidR="0006429D" w:rsidRPr="00EB55C1">
        <w:rPr>
          <w:rFonts w:ascii="Times New Roman" w:eastAsia="Times New Roman" w:hAnsi="Times New Roman" w:cs="Times New Roman"/>
          <w:sz w:val="24"/>
          <w:szCs w:val="24"/>
        </w:rPr>
        <w:t xml:space="preserve">is </w:t>
      </w:r>
      <w:r w:rsidR="00A1655B" w:rsidRPr="00EB55C1">
        <w:rPr>
          <w:rFonts w:ascii="Times New Roman" w:eastAsia="Times New Roman" w:hAnsi="Times New Roman" w:cs="Times New Roman"/>
          <w:sz w:val="24"/>
          <w:szCs w:val="24"/>
        </w:rPr>
        <w:t xml:space="preserve">not only inevitable </w:t>
      </w:r>
      <w:r w:rsidR="00EB2BDB">
        <w:rPr>
          <w:rFonts w:ascii="Times New Roman" w:eastAsia="Times New Roman" w:hAnsi="Times New Roman" w:cs="Times New Roman"/>
          <w:sz w:val="24"/>
          <w:szCs w:val="24"/>
        </w:rPr>
        <w:t>but</w:t>
      </w:r>
      <w:r w:rsidR="00A1655B" w:rsidRPr="00EB55C1">
        <w:rPr>
          <w:rFonts w:ascii="Times New Roman" w:eastAsia="Times New Roman" w:hAnsi="Times New Roman" w:cs="Times New Roman"/>
          <w:sz w:val="24"/>
          <w:szCs w:val="24"/>
        </w:rPr>
        <w:t xml:space="preserve"> necessary.</w:t>
      </w:r>
      <w:r w:rsidR="00227F0E" w:rsidRPr="00EB55C1">
        <w:rPr>
          <w:rFonts w:ascii="Times New Roman" w:eastAsia="Times New Roman" w:hAnsi="Times New Roman" w:cs="Times New Roman"/>
          <w:sz w:val="24"/>
          <w:szCs w:val="24"/>
        </w:rPr>
        <w:t xml:space="preserve"> </w:t>
      </w:r>
      <w:r w:rsidR="001B6B8E" w:rsidRPr="00EB55C1">
        <w:rPr>
          <w:rFonts w:ascii="Times New Roman" w:eastAsia="Times New Roman" w:hAnsi="Times New Roman" w:cs="Times New Roman"/>
          <w:sz w:val="24"/>
          <w:szCs w:val="24"/>
        </w:rPr>
        <w:t>However</w:t>
      </w:r>
      <w:r w:rsidR="008D2409" w:rsidRPr="00EB55C1">
        <w:rPr>
          <w:rFonts w:ascii="Times New Roman" w:eastAsia="Times New Roman" w:hAnsi="Times New Roman" w:cs="Times New Roman"/>
          <w:sz w:val="24"/>
          <w:szCs w:val="24"/>
        </w:rPr>
        <w:t>,</w:t>
      </w:r>
      <w:r w:rsidR="00403443" w:rsidRPr="00EB55C1">
        <w:rPr>
          <w:rFonts w:ascii="Times New Roman" w:eastAsia="Times New Roman" w:hAnsi="Times New Roman" w:cs="Times New Roman"/>
          <w:sz w:val="24"/>
          <w:szCs w:val="24"/>
        </w:rPr>
        <w:t xml:space="preserve"> </w:t>
      </w:r>
      <w:r w:rsidR="008D2409" w:rsidRPr="00EB55C1">
        <w:rPr>
          <w:rFonts w:ascii="Times New Roman" w:eastAsia="Times New Roman" w:hAnsi="Times New Roman" w:cs="Times New Roman"/>
          <w:sz w:val="24"/>
          <w:szCs w:val="24"/>
        </w:rPr>
        <w:t>r</w:t>
      </w:r>
      <w:r w:rsidR="001F5424" w:rsidRPr="00EB55C1">
        <w:rPr>
          <w:rFonts w:ascii="Times New Roman" w:eastAsia="Times New Roman" w:hAnsi="Times New Roman" w:cs="Times New Roman"/>
          <w:sz w:val="24"/>
          <w:szCs w:val="24"/>
        </w:rPr>
        <w:t xml:space="preserve">evisiting the effectiveness of </w:t>
      </w:r>
      <w:r w:rsidR="00227F0E" w:rsidRPr="00EB55C1">
        <w:rPr>
          <w:rFonts w:ascii="Times New Roman" w:eastAsia="Times New Roman" w:hAnsi="Times New Roman" w:cs="Times New Roman"/>
          <w:sz w:val="24"/>
          <w:szCs w:val="24"/>
        </w:rPr>
        <w:t>th</w:t>
      </w:r>
      <w:r w:rsidR="004E0DB8" w:rsidRPr="00EB55C1">
        <w:rPr>
          <w:rFonts w:ascii="Times New Roman" w:eastAsia="Times New Roman" w:hAnsi="Times New Roman" w:cs="Times New Roman"/>
          <w:sz w:val="24"/>
          <w:szCs w:val="24"/>
        </w:rPr>
        <w:t>e</w:t>
      </w:r>
      <w:r w:rsidR="00227F0E" w:rsidRPr="00EB55C1">
        <w:rPr>
          <w:rFonts w:ascii="Times New Roman" w:eastAsia="Times New Roman" w:hAnsi="Times New Roman" w:cs="Times New Roman"/>
          <w:sz w:val="24"/>
          <w:szCs w:val="24"/>
        </w:rPr>
        <w:t>s</w:t>
      </w:r>
      <w:r w:rsidR="004E0DB8" w:rsidRPr="00EB55C1">
        <w:rPr>
          <w:rFonts w:ascii="Times New Roman" w:eastAsia="Times New Roman" w:hAnsi="Times New Roman" w:cs="Times New Roman"/>
          <w:sz w:val="24"/>
          <w:szCs w:val="24"/>
        </w:rPr>
        <w:t>e</w:t>
      </w:r>
      <w:r w:rsidR="00227F0E" w:rsidRPr="00EB55C1">
        <w:rPr>
          <w:rFonts w:ascii="Times New Roman" w:eastAsia="Times New Roman" w:hAnsi="Times New Roman" w:cs="Times New Roman"/>
          <w:sz w:val="24"/>
          <w:szCs w:val="24"/>
        </w:rPr>
        <w:t xml:space="preserve"> </w:t>
      </w:r>
      <w:r w:rsidR="00327B5B" w:rsidRPr="00EB55C1">
        <w:rPr>
          <w:rFonts w:ascii="Times New Roman" w:eastAsia="Times New Roman" w:hAnsi="Times New Roman" w:cs="Times New Roman"/>
          <w:sz w:val="24"/>
          <w:szCs w:val="24"/>
        </w:rPr>
        <w:t>rules</w:t>
      </w:r>
      <w:r w:rsidR="00B3245C" w:rsidRPr="00EB55C1">
        <w:rPr>
          <w:rFonts w:ascii="Times New Roman" w:eastAsia="Times New Roman" w:hAnsi="Times New Roman" w:cs="Times New Roman"/>
          <w:sz w:val="24"/>
          <w:szCs w:val="24"/>
        </w:rPr>
        <w:t xml:space="preserve"> </w:t>
      </w:r>
      <w:r w:rsidR="00BF23F2" w:rsidRPr="00EB55C1">
        <w:rPr>
          <w:rFonts w:ascii="Times New Roman" w:eastAsia="Times New Roman" w:hAnsi="Times New Roman" w:cs="Times New Roman"/>
          <w:sz w:val="24"/>
          <w:szCs w:val="24"/>
        </w:rPr>
        <w:t>must</w:t>
      </w:r>
      <w:r w:rsidR="00B3245C" w:rsidRPr="00EB55C1">
        <w:rPr>
          <w:rFonts w:ascii="Times New Roman" w:eastAsia="Times New Roman" w:hAnsi="Times New Roman" w:cs="Times New Roman"/>
          <w:sz w:val="24"/>
          <w:szCs w:val="24"/>
        </w:rPr>
        <w:t xml:space="preserve"> be </w:t>
      </w:r>
      <w:r w:rsidR="00D40CB2" w:rsidRPr="00EB55C1">
        <w:rPr>
          <w:rFonts w:ascii="Times New Roman" w:eastAsia="Times New Roman" w:hAnsi="Times New Roman" w:cs="Times New Roman"/>
          <w:sz w:val="24"/>
          <w:szCs w:val="24"/>
        </w:rPr>
        <w:t xml:space="preserve">conducted in a holistic manner. </w:t>
      </w:r>
      <w:r w:rsidR="00C05933">
        <w:rPr>
          <w:rFonts w:ascii="Times New Roman" w:eastAsia="Times New Roman" w:hAnsi="Times New Roman" w:cs="Times New Roman"/>
          <w:sz w:val="24"/>
          <w:szCs w:val="24"/>
        </w:rPr>
        <w:t>A f</w:t>
      </w:r>
      <w:r w:rsidR="0018554B" w:rsidRPr="00EB55C1">
        <w:rPr>
          <w:rFonts w:ascii="Times New Roman" w:eastAsia="Times New Roman" w:hAnsi="Times New Roman" w:cs="Times New Roman"/>
          <w:sz w:val="24"/>
          <w:szCs w:val="24"/>
        </w:rPr>
        <w:t xml:space="preserve">ocus on the </w:t>
      </w:r>
      <w:r w:rsidR="00BF23F2" w:rsidRPr="00EB55C1">
        <w:rPr>
          <w:rFonts w:ascii="Times New Roman" w:eastAsia="Times New Roman" w:hAnsi="Times New Roman" w:cs="Times New Roman"/>
          <w:sz w:val="24"/>
          <w:szCs w:val="24"/>
        </w:rPr>
        <w:t xml:space="preserve">relevance of the </w:t>
      </w:r>
      <w:r w:rsidR="0018554B" w:rsidRPr="00EB55C1">
        <w:rPr>
          <w:rFonts w:ascii="Times New Roman" w:eastAsia="Times New Roman" w:hAnsi="Times New Roman" w:cs="Times New Roman"/>
          <w:sz w:val="24"/>
          <w:szCs w:val="24"/>
        </w:rPr>
        <w:t>exist</w:t>
      </w:r>
      <w:r w:rsidR="00BF23F2" w:rsidRPr="00EB55C1">
        <w:rPr>
          <w:rFonts w:ascii="Times New Roman" w:eastAsia="Times New Roman" w:hAnsi="Times New Roman" w:cs="Times New Roman"/>
          <w:sz w:val="24"/>
          <w:szCs w:val="24"/>
        </w:rPr>
        <w:t>ing legal framework</w:t>
      </w:r>
      <w:r w:rsidR="009D305C" w:rsidRPr="00EB55C1">
        <w:rPr>
          <w:rFonts w:ascii="Times New Roman" w:eastAsia="Times New Roman" w:hAnsi="Times New Roman" w:cs="Times New Roman"/>
          <w:sz w:val="24"/>
          <w:szCs w:val="24"/>
        </w:rPr>
        <w:t xml:space="preserve"> must</w:t>
      </w:r>
      <w:r w:rsidR="00BF23F2" w:rsidRPr="00EB55C1">
        <w:rPr>
          <w:rFonts w:ascii="Times New Roman" w:eastAsia="Times New Roman" w:hAnsi="Times New Roman" w:cs="Times New Roman"/>
          <w:sz w:val="24"/>
          <w:szCs w:val="24"/>
        </w:rPr>
        <w:t xml:space="preserve"> be combined with an interest in </w:t>
      </w:r>
      <w:r w:rsidR="00B74440" w:rsidRPr="00EB55C1">
        <w:rPr>
          <w:rFonts w:ascii="Times New Roman" w:eastAsia="Times New Roman" w:hAnsi="Times New Roman" w:cs="Times New Roman"/>
          <w:sz w:val="24"/>
          <w:szCs w:val="24"/>
        </w:rPr>
        <w:t xml:space="preserve">strengthening its implementation on the ground. </w:t>
      </w:r>
    </w:p>
    <w:p w14:paraId="32B9BDC9" w14:textId="60B88FD2" w:rsidR="00851E93" w:rsidRPr="00EB55C1" w:rsidRDefault="00EA08D2" w:rsidP="006952D9">
      <w:pPr>
        <w:spacing w:before="120" w:after="120" w:line="480" w:lineRule="auto"/>
        <w:ind w:firstLine="708"/>
        <w:rPr>
          <w:rFonts w:ascii="Times New Roman" w:eastAsia="Times New Roman" w:hAnsi="Times New Roman" w:cs="Times New Roman"/>
          <w:sz w:val="24"/>
          <w:szCs w:val="24"/>
        </w:rPr>
      </w:pPr>
      <w:r w:rsidRPr="00EB55C1">
        <w:rPr>
          <w:rFonts w:ascii="Times New Roman" w:eastAsia="Times New Roman" w:hAnsi="Times New Roman" w:cs="Times New Roman"/>
          <w:sz w:val="24"/>
          <w:szCs w:val="24"/>
        </w:rPr>
        <w:t xml:space="preserve">In this vein, </w:t>
      </w:r>
      <w:r w:rsidR="00DF783F" w:rsidRPr="00EB55C1">
        <w:rPr>
          <w:rFonts w:ascii="Times New Roman" w:eastAsia="Times New Roman" w:hAnsi="Times New Roman" w:cs="Times New Roman"/>
          <w:sz w:val="24"/>
          <w:szCs w:val="24"/>
        </w:rPr>
        <w:t>existing</w:t>
      </w:r>
      <w:r w:rsidR="00B41576" w:rsidRPr="00EB55C1">
        <w:rPr>
          <w:rFonts w:ascii="Times New Roman" w:eastAsia="Times New Roman" w:hAnsi="Times New Roman" w:cs="Times New Roman"/>
          <w:sz w:val="24"/>
          <w:szCs w:val="24"/>
        </w:rPr>
        <w:t xml:space="preserve"> </w:t>
      </w:r>
      <w:r w:rsidR="00B74440" w:rsidRPr="00EB55C1">
        <w:rPr>
          <w:rFonts w:ascii="Times New Roman" w:eastAsia="Times New Roman" w:hAnsi="Times New Roman" w:cs="Times New Roman"/>
          <w:sz w:val="24"/>
          <w:szCs w:val="24"/>
        </w:rPr>
        <w:t xml:space="preserve">international humanitarian law arguably provides for a </w:t>
      </w:r>
      <w:r w:rsidR="00475B14" w:rsidRPr="00EB55C1">
        <w:rPr>
          <w:rFonts w:ascii="Times New Roman" w:eastAsia="Times New Roman" w:hAnsi="Times New Roman" w:cs="Times New Roman"/>
          <w:sz w:val="24"/>
          <w:szCs w:val="24"/>
        </w:rPr>
        <w:t>comprehensive set</w:t>
      </w:r>
      <w:r w:rsidR="00B74440" w:rsidRPr="00EB55C1">
        <w:rPr>
          <w:rFonts w:ascii="Times New Roman" w:eastAsia="Times New Roman" w:hAnsi="Times New Roman" w:cs="Times New Roman"/>
          <w:sz w:val="24"/>
          <w:szCs w:val="24"/>
        </w:rPr>
        <w:t xml:space="preserve"> </w:t>
      </w:r>
      <w:r w:rsidR="001B611E">
        <w:rPr>
          <w:rFonts w:ascii="Times New Roman" w:eastAsia="Times New Roman" w:hAnsi="Times New Roman" w:cs="Times New Roman"/>
          <w:sz w:val="24"/>
          <w:szCs w:val="24"/>
        </w:rPr>
        <w:t xml:space="preserve">of </w:t>
      </w:r>
      <w:r w:rsidR="00B74440" w:rsidRPr="00EB55C1">
        <w:rPr>
          <w:rFonts w:ascii="Times New Roman" w:eastAsia="Times New Roman" w:hAnsi="Times New Roman" w:cs="Times New Roman"/>
          <w:sz w:val="24"/>
          <w:szCs w:val="24"/>
        </w:rPr>
        <w:t>rules when it comes to protecting</w:t>
      </w:r>
      <w:r w:rsidR="00005079" w:rsidRPr="00EB55C1">
        <w:rPr>
          <w:rFonts w:ascii="Times New Roman" w:eastAsia="Times New Roman" w:hAnsi="Times New Roman" w:cs="Times New Roman"/>
          <w:sz w:val="24"/>
          <w:szCs w:val="24"/>
        </w:rPr>
        <w:t xml:space="preserve"> cultural property from </w:t>
      </w:r>
      <w:r w:rsidR="00B74440" w:rsidRPr="00EB55C1">
        <w:rPr>
          <w:rFonts w:ascii="Times New Roman" w:eastAsia="Times New Roman" w:hAnsi="Times New Roman" w:cs="Times New Roman"/>
          <w:sz w:val="24"/>
          <w:szCs w:val="24"/>
        </w:rPr>
        <w:t xml:space="preserve">the </w:t>
      </w:r>
      <w:r w:rsidR="00005079" w:rsidRPr="00EB55C1">
        <w:rPr>
          <w:rFonts w:ascii="Times New Roman" w:eastAsia="Times New Roman" w:hAnsi="Times New Roman" w:cs="Times New Roman"/>
          <w:sz w:val="24"/>
          <w:szCs w:val="24"/>
        </w:rPr>
        <w:t xml:space="preserve">effects of </w:t>
      </w:r>
      <w:r w:rsidR="00F44985" w:rsidRPr="00EB55C1">
        <w:rPr>
          <w:rFonts w:ascii="Times New Roman" w:eastAsia="Times New Roman" w:hAnsi="Times New Roman" w:cs="Times New Roman"/>
          <w:sz w:val="24"/>
          <w:szCs w:val="24"/>
        </w:rPr>
        <w:t>armed conflict</w:t>
      </w:r>
      <w:r w:rsidR="00B74440" w:rsidRPr="00EB55C1">
        <w:rPr>
          <w:rFonts w:ascii="Times New Roman" w:eastAsia="Times New Roman" w:hAnsi="Times New Roman" w:cs="Times New Roman"/>
          <w:sz w:val="24"/>
          <w:szCs w:val="24"/>
        </w:rPr>
        <w:t>. Not only does it restrict</w:t>
      </w:r>
      <w:r w:rsidR="009375DD" w:rsidRPr="00EB55C1">
        <w:rPr>
          <w:rFonts w:ascii="Times New Roman" w:eastAsia="Times New Roman" w:hAnsi="Times New Roman" w:cs="Times New Roman"/>
          <w:sz w:val="24"/>
          <w:szCs w:val="24"/>
        </w:rPr>
        <w:t xml:space="preserve"> the</w:t>
      </w:r>
      <w:r w:rsidR="00B74440" w:rsidRPr="00EB55C1">
        <w:rPr>
          <w:rFonts w:ascii="Times New Roman" w:eastAsia="Times New Roman" w:hAnsi="Times New Roman" w:cs="Times New Roman"/>
          <w:sz w:val="24"/>
          <w:szCs w:val="24"/>
        </w:rPr>
        <w:t xml:space="preserve"> behavior of the warring parties</w:t>
      </w:r>
      <w:r w:rsidR="009375DD" w:rsidRPr="00EB55C1">
        <w:rPr>
          <w:rFonts w:ascii="Times New Roman" w:eastAsia="Times New Roman" w:hAnsi="Times New Roman" w:cs="Times New Roman"/>
          <w:sz w:val="24"/>
          <w:szCs w:val="24"/>
        </w:rPr>
        <w:t xml:space="preserve"> in the course of</w:t>
      </w:r>
      <w:r w:rsidR="00B74440" w:rsidRPr="00EB55C1">
        <w:rPr>
          <w:rFonts w:ascii="Times New Roman" w:eastAsia="Times New Roman" w:hAnsi="Times New Roman" w:cs="Times New Roman"/>
          <w:sz w:val="24"/>
          <w:szCs w:val="24"/>
        </w:rPr>
        <w:t xml:space="preserve"> </w:t>
      </w:r>
      <w:r w:rsidR="00AB49BE" w:rsidRPr="00EB55C1">
        <w:rPr>
          <w:rFonts w:ascii="Times New Roman" w:eastAsia="Times New Roman" w:hAnsi="Times New Roman" w:cs="Times New Roman"/>
          <w:sz w:val="24"/>
          <w:szCs w:val="24"/>
        </w:rPr>
        <w:t>hostilities,</w:t>
      </w:r>
      <w:r w:rsidR="00D2481C" w:rsidRPr="00EB55C1">
        <w:rPr>
          <w:rFonts w:ascii="Times New Roman" w:eastAsia="Times New Roman" w:hAnsi="Times New Roman" w:cs="Times New Roman"/>
          <w:sz w:val="24"/>
          <w:szCs w:val="24"/>
        </w:rPr>
        <w:t xml:space="preserve"> but also </w:t>
      </w:r>
      <w:r w:rsidR="00886BF4" w:rsidRPr="00EB55C1">
        <w:rPr>
          <w:rFonts w:ascii="Times New Roman" w:eastAsia="Times New Roman" w:hAnsi="Times New Roman" w:cs="Times New Roman"/>
          <w:sz w:val="24"/>
          <w:szCs w:val="24"/>
        </w:rPr>
        <w:t>purports</w:t>
      </w:r>
      <w:r w:rsidR="00D2481C" w:rsidRPr="00EB55C1">
        <w:rPr>
          <w:rFonts w:ascii="Times New Roman" w:eastAsia="Times New Roman" w:hAnsi="Times New Roman" w:cs="Times New Roman"/>
          <w:sz w:val="24"/>
          <w:szCs w:val="24"/>
        </w:rPr>
        <w:t xml:space="preserve"> to prepare</w:t>
      </w:r>
      <w:r w:rsidR="003F7FB0" w:rsidRPr="00EB55C1">
        <w:rPr>
          <w:rFonts w:ascii="Times New Roman" w:eastAsia="Times New Roman" w:hAnsi="Times New Roman" w:cs="Times New Roman"/>
          <w:sz w:val="24"/>
          <w:szCs w:val="24"/>
        </w:rPr>
        <w:t xml:space="preserve"> the protection </w:t>
      </w:r>
      <w:r w:rsidR="00B74440" w:rsidRPr="00EB55C1">
        <w:rPr>
          <w:rFonts w:ascii="Times New Roman" w:eastAsia="Times New Roman" w:hAnsi="Times New Roman" w:cs="Times New Roman"/>
          <w:sz w:val="24"/>
          <w:szCs w:val="24"/>
        </w:rPr>
        <w:t xml:space="preserve">of valuable cultural property </w:t>
      </w:r>
      <w:r w:rsidR="003F7FB0" w:rsidRPr="00EB55C1">
        <w:rPr>
          <w:rFonts w:ascii="Times New Roman" w:eastAsia="Times New Roman" w:hAnsi="Times New Roman" w:cs="Times New Roman"/>
          <w:sz w:val="24"/>
          <w:szCs w:val="24"/>
        </w:rPr>
        <w:t>in peacetime</w:t>
      </w:r>
      <w:r w:rsidR="00B74440" w:rsidRPr="00EB55C1">
        <w:rPr>
          <w:rFonts w:ascii="Times New Roman" w:eastAsia="Times New Roman" w:hAnsi="Times New Roman" w:cs="Times New Roman"/>
          <w:sz w:val="24"/>
          <w:szCs w:val="24"/>
        </w:rPr>
        <w:t>.</w:t>
      </w:r>
      <w:r w:rsidR="00677E00" w:rsidRPr="00EB55C1">
        <w:rPr>
          <w:rFonts w:ascii="Times New Roman" w:eastAsia="Times New Roman" w:hAnsi="Times New Roman" w:cs="Times New Roman"/>
          <w:sz w:val="24"/>
          <w:szCs w:val="24"/>
        </w:rPr>
        <w:t xml:space="preserve"> </w:t>
      </w:r>
      <w:r w:rsidR="00851E93" w:rsidRPr="00EB55C1">
        <w:rPr>
          <w:rFonts w:ascii="Times New Roman" w:eastAsia="Times New Roman" w:hAnsi="Times New Roman" w:cs="Times New Roman"/>
          <w:sz w:val="24"/>
          <w:szCs w:val="24"/>
        </w:rPr>
        <w:t xml:space="preserve">While small normative gaps exist </w:t>
      </w:r>
      <w:r w:rsidR="006165FB" w:rsidRPr="00EB55C1">
        <w:rPr>
          <w:rFonts w:ascii="Times New Roman" w:eastAsia="Times New Roman" w:hAnsi="Times New Roman" w:cs="Times New Roman"/>
          <w:sz w:val="24"/>
          <w:szCs w:val="24"/>
        </w:rPr>
        <w:t xml:space="preserve">within </w:t>
      </w:r>
      <w:r w:rsidR="001959A0">
        <w:rPr>
          <w:rFonts w:ascii="Times New Roman" w:eastAsia="Times New Roman" w:hAnsi="Times New Roman" w:cs="Times New Roman"/>
          <w:sz w:val="24"/>
          <w:szCs w:val="24"/>
        </w:rPr>
        <w:t>the</w:t>
      </w:r>
      <w:r w:rsidR="001959A0" w:rsidRPr="00EB55C1">
        <w:rPr>
          <w:rFonts w:ascii="Times New Roman" w:eastAsia="Times New Roman" w:hAnsi="Times New Roman" w:cs="Times New Roman"/>
          <w:sz w:val="24"/>
          <w:szCs w:val="24"/>
        </w:rPr>
        <w:t xml:space="preserve"> </w:t>
      </w:r>
      <w:r w:rsidR="006165FB" w:rsidRPr="00EB55C1">
        <w:rPr>
          <w:rFonts w:ascii="Times New Roman" w:eastAsia="Times New Roman" w:hAnsi="Times New Roman" w:cs="Times New Roman"/>
          <w:sz w:val="24"/>
          <w:szCs w:val="24"/>
        </w:rPr>
        <w:t>framework</w:t>
      </w:r>
      <w:r w:rsidR="00851E93" w:rsidRPr="00EB55C1">
        <w:rPr>
          <w:rFonts w:ascii="Times New Roman" w:eastAsia="Times New Roman" w:hAnsi="Times New Roman" w:cs="Times New Roman"/>
          <w:sz w:val="24"/>
          <w:szCs w:val="24"/>
        </w:rPr>
        <w:t xml:space="preserve">, looking for ways to </w:t>
      </w:r>
      <w:r w:rsidR="0093290D">
        <w:rPr>
          <w:rFonts w:ascii="Times New Roman" w:eastAsia="Times New Roman" w:hAnsi="Times New Roman" w:cs="Times New Roman"/>
          <w:sz w:val="24"/>
          <w:szCs w:val="24"/>
        </w:rPr>
        <w:t>exploit</w:t>
      </w:r>
      <w:r w:rsidR="0093290D" w:rsidRPr="00EB55C1">
        <w:rPr>
          <w:rFonts w:ascii="Times New Roman" w:eastAsia="Times New Roman" w:hAnsi="Times New Roman" w:cs="Times New Roman"/>
          <w:sz w:val="24"/>
          <w:szCs w:val="24"/>
        </w:rPr>
        <w:t xml:space="preserve"> </w:t>
      </w:r>
      <w:r w:rsidR="00851E93" w:rsidRPr="00EB55C1">
        <w:rPr>
          <w:rFonts w:ascii="Times New Roman" w:eastAsia="Times New Roman" w:hAnsi="Times New Roman" w:cs="Times New Roman"/>
          <w:sz w:val="24"/>
          <w:szCs w:val="24"/>
        </w:rPr>
        <w:t xml:space="preserve">some of the </w:t>
      </w:r>
      <w:r w:rsidR="005364E1" w:rsidRPr="00EB55C1">
        <w:rPr>
          <w:rFonts w:ascii="Times New Roman" w:eastAsia="Times New Roman" w:hAnsi="Times New Roman" w:cs="Times New Roman"/>
          <w:sz w:val="24"/>
          <w:szCs w:val="24"/>
        </w:rPr>
        <w:t>untapped potential of</w:t>
      </w:r>
      <w:r w:rsidR="00D42247" w:rsidRPr="00EB55C1">
        <w:rPr>
          <w:rFonts w:ascii="Times New Roman" w:eastAsia="Times New Roman" w:hAnsi="Times New Roman" w:cs="Times New Roman"/>
          <w:sz w:val="24"/>
          <w:szCs w:val="24"/>
        </w:rPr>
        <w:t xml:space="preserve"> existing</w:t>
      </w:r>
      <w:r w:rsidR="005364E1" w:rsidRPr="00EB55C1">
        <w:rPr>
          <w:rFonts w:ascii="Times New Roman" w:eastAsia="Times New Roman" w:hAnsi="Times New Roman" w:cs="Times New Roman"/>
          <w:sz w:val="24"/>
          <w:szCs w:val="24"/>
        </w:rPr>
        <w:t xml:space="preserve"> </w:t>
      </w:r>
      <w:r w:rsidR="00851E93" w:rsidRPr="00EB55C1">
        <w:rPr>
          <w:rFonts w:ascii="Times New Roman" w:eastAsia="Times New Roman" w:hAnsi="Times New Roman" w:cs="Times New Roman"/>
          <w:sz w:val="24"/>
          <w:szCs w:val="24"/>
        </w:rPr>
        <w:t>implement</w:t>
      </w:r>
      <w:r w:rsidR="001959A0">
        <w:rPr>
          <w:rFonts w:ascii="Times New Roman" w:eastAsia="Times New Roman" w:hAnsi="Times New Roman" w:cs="Times New Roman"/>
          <w:sz w:val="24"/>
          <w:szCs w:val="24"/>
        </w:rPr>
        <w:t>ation</w:t>
      </w:r>
      <w:r w:rsidR="00851E93" w:rsidRPr="00EB55C1">
        <w:rPr>
          <w:rFonts w:ascii="Times New Roman" w:eastAsia="Times New Roman" w:hAnsi="Times New Roman" w:cs="Times New Roman"/>
          <w:sz w:val="24"/>
          <w:szCs w:val="24"/>
        </w:rPr>
        <w:t xml:space="preserve"> </w:t>
      </w:r>
      <w:r w:rsidR="00D42247" w:rsidRPr="00EB55C1">
        <w:rPr>
          <w:rFonts w:ascii="Times New Roman" w:eastAsia="Times New Roman" w:hAnsi="Times New Roman" w:cs="Times New Roman"/>
          <w:sz w:val="24"/>
          <w:szCs w:val="24"/>
        </w:rPr>
        <w:t>mechanisms</w:t>
      </w:r>
      <w:r w:rsidR="00851E93" w:rsidRPr="00EB55C1">
        <w:rPr>
          <w:rFonts w:ascii="Times New Roman" w:eastAsia="Times New Roman" w:hAnsi="Times New Roman" w:cs="Times New Roman"/>
          <w:sz w:val="24"/>
          <w:szCs w:val="24"/>
        </w:rPr>
        <w:t xml:space="preserve"> is </w:t>
      </w:r>
      <w:r w:rsidR="006165FB" w:rsidRPr="00EB55C1">
        <w:rPr>
          <w:rFonts w:ascii="Times New Roman" w:eastAsia="Times New Roman" w:hAnsi="Times New Roman" w:cs="Times New Roman"/>
          <w:sz w:val="24"/>
          <w:szCs w:val="24"/>
        </w:rPr>
        <w:t xml:space="preserve">one of </w:t>
      </w:r>
      <w:r w:rsidR="00851E93" w:rsidRPr="00EB55C1">
        <w:rPr>
          <w:rFonts w:ascii="Times New Roman" w:eastAsia="Times New Roman" w:hAnsi="Times New Roman" w:cs="Times New Roman"/>
          <w:sz w:val="24"/>
          <w:szCs w:val="24"/>
        </w:rPr>
        <w:t xml:space="preserve">the key </w:t>
      </w:r>
      <w:r w:rsidR="006165FB" w:rsidRPr="00EB55C1">
        <w:rPr>
          <w:rFonts w:ascii="Times New Roman" w:eastAsia="Times New Roman" w:hAnsi="Times New Roman" w:cs="Times New Roman"/>
          <w:sz w:val="24"/>
          <w:szCs w:val="24"/>
        </w:rPr>
        <w:t>challenges</w:t>
      </w:r>
      <w:r w:rsidR="00851E93" w:rsidRPr="00EB55C1">
        <w:rPr>
          <w:rFonts w:ascii="Times New Roman" w:eastAsia="Times New Roman" w:hAnsi="Times New Roman" w:cs="Times New Roman"/>
          <w:sz w:val="24"/>
          <w:szCs w:val="24"/>
        </w:rPr>
        <w:t xml:space="preserve"> to cultural property protection in time of armed conflict.</w:t>
      </w:r>
      <w:r w:rsidR="000065BA" w:rsidRPr="00EB55C1">
        <w:rPr>
          <w:rFonts w:ascii="Times New Roman" w:eastAsia="Times New Roman" w:hAnsi="Times New Roman" w:cs="Times New Roman"/>
          <w:sz w:val="24"/>
          <w:szCs w:val="24"/>
        </w:rPr>
        <w:t xml:space="preserve"> </w:t>
      </w:r>
    </w:p>
    <w:p w14:paraId="1A5E89F0" w14:textId="08076A97" w:rsidR="005867D6" w:rsidRPr="00360D35" w:rsidRDefault="00242795" w:rsidP="00D007BC">
      <w:pPr>
        <w:spacing w:before="120" w:after="12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272A5" w:rsidRPr="00EB55C1">
        <w:rPr>
          <w:rFonts w:ascii="Times New Roman" w:eastAsia="Times New Roman" w:hAnsi="Times New Roman" w:cs="Times New Roman"/>
          <w:sz w:val="24"/>
          <w:szCs w:val="24"/>
        </w:rPr>
        <w:t>mong other things,</w:t>
      </w:r>
      <w:r w:rsidR="009E5528" w:rsidRPr="00EB55C1">
        <w:rPr>
          <w:rFonts w:ascii="Times New Roman" w:eastAsia="Times New Roman" w:hAnsi="Times New Roman" w:cs="Times New Roman"/>
          <w:sz w:val="24"/>
          <w:szCs w:val="24"/>
        </w:rPr>
        <w:t xml:space="preserve"> effective and sustainable monitoring mechanisms</w:t>
      </w:r>
      <w:r w:rsidR="00F272A5" w:rsidRPr="00EB55C1">
        <w:rPr>
          <w:rFonts w:ascii="Times New Roman" w:eastAsia="Times New Roman" w:hAnsi="Times New Roman" w:cs="Times New Roman"/>
          <w:sz w:val="24"/>
          <w:szCs w:val="24"/>
        </w:rPr>
        <w:t>, supervised by the competent intergovernmental bodies, must be established</w:t>
      </w:r>
      <w:r w:rsidR="00851E93" w:rsidRPr="00EB55C1">
        <w:rPr>
          <w:rFonts w:ascii="Times New Roman" w:eastAsia="Times New Roman" w:hAnsi="Times New Roman" w:cs="Times New Roman"/>
          <w:sz w:val="24"/>
          <w:szCs w:val="24"/>
        </w:rPr>
        <w:t xml:space="preserve"> or reinforced</w:t>
      </w:r>
      <w:r w:rsidR="005975F7" w:rsidRPr="00EB55C1">
        <w:rPr>
          <w:rFonts w:ascii="Times New Roman" w:eastAsia="Times New Roman" w:hAnsi="Times New Roman" w:cs="Times New Roman"/>
          <w:sz w:val="24"/>
          <w:szCs w:val="24"/>
        </w:rPr>
        <w:t>;</w:t>
      </w:r>
      <w:r w:rsidR="00F272A5" w:rsidRPr="00EB55C1">
        <w:rPr>
          <w:rFonts w:ascii="Times New Roman" w:eastAsia="Times New Roman" w:hAnsi="Times New Roman" w:cs="Times New Roman"/>
          <w:sz w:val="24"/>
          <w:szCs w:val="24"/>
        </w:rPr>
        <w:t xml:space="preserve"> </w:t>
      </w:r>
      <w:r w:rsidR="001351CB" w:rsidRPr="00EB55C1">
        <w:rPr>
          <w:rFonts w:ascii="Times New Roman" w:eastAsia="Times New Roman" w:hAnsi="Times New Roman" w:cs="Times New Roman"/>
          <w:sz w:val="24"/>
          <w:szCs w:val="24"/>
        </w:rPr>
        <w:t xml:space="preserve">clear </w:t>
      </w:r>
      <w:r w:rsidR="00652054" w:rsidRPr="00EB55C1">
        <w:rPr>
          <w:rFonts w:ascii="Times New Roman" w:eastAsia="Times New Roman" w:hAnsi="Times New Roman" w:cs="Times New Roman"/>
          <w:sz w:val="24"/>
          <w:szCs w:val="24"/>
        </w:rPr>
        <w:t>procedures</w:t>
      </w:r>
      <w:r w:rsidR="001351CB" w:rsidRPr="00EB55C1">
        <w:rPr>
          <w:rFonts w:ascii="Times New Roman" w:eastAsia="Times New Roman" w:hAnsi="Times New Roman" w:cs="Times New Roman"/>
          <w:sz w:val="24"/>
          <w:szCs w:val="24"/>
        </w:rPr>
        <w:t xml:space="preserve"> </w:t>
      </w:r>
      <w:r w:rsidR="00851E93" w:rsidRPr="00EB55C1">
        <w:rPr>
          <w:rFonts w:ascii="Times New Roman" w:eastAsia="Times New Roman" w:hAnsi="Times New Roman" w:cs="Times New Roman"/>
          <w:sz w:val="24"/>
          <w:szCs w:val="24"/>
        </w:rPr>
        <w:t xml:space="preserve">and strong incentives </w:t>
      </w:r>
      <w:r w:rsidR="001351CB" w:rsidRPr="00EB55C1">
        <w:rPr>
          <w:rFonts w:ascii="Times New Roman" w:eastAsia="Times New Roman" w:hAnsi="Times New Roman" w:cs="Times New Roman"/>
          <w:sz w:val="24"/>
          <w:szCs w:val="24"/>
        </w:rPr>
        <w:t>must be developed for the inscription of cultural properties on international lists</w:t>
      </w:r>
      <w:r w:rsidR="005975F7" w:rsidRPr="00EB55C1">
        <w:rPr>
          <w:rFonts w:ascii="Times New Roman" w:eastAsia="Times New Roman" w:hAnsi="Times New Roman" w:cs="Times New Roman"/>
          <w:sz w:val="24"/>
          <w:szCs w:val="24"/>
        </w:rPr>
        <w:t xml:space="preserve">; </w:t>
      </w:r>
      <w:r w:rsidR="009867E1" w:rsidRPr="00EB55C1">
        <w:rPr>
          <w:rFonts w:ascii="Times New Roman" w:eastAsia="Times New Roman" w:hAnsi="Times New Roman" w:cs="Times New Roman"/>
          <w:sz w:val="24"/>
          <w:szCs w:val="24"/>
        </w:rPr>
        <w:t>and</w:t>
      </w:r>
      <w:r w:rsidR="001351CB" w:rsidRPr="00EB55C1">
        <w:rPr>
          <w:rFonts w:ascii="Times New Roman" w:eastAsia="Times New Roman" w:hAnsi="Times New Roman" w:cs="Times New Roman"/>
          <w:sz w:val="24"/>
          <w:szCs w:val="24"/>
        </w:rPr>
        <w:t xml:space="preserve"> </w:t>
      </w:r>
      <w:r w:rsidR="0003629E" w:rsidRPr="00EB55C1">
        <w:rPr>
          <w:rFonts w:ascii="Times New Roman" w:eastAsia="Times New Roman" w:hAnsi="Times New Roman" w:cs="Times New Roman"/>
          <w:sz w:val="24"/>
          <w:szCs w:val="24"/>
        </w:rPr>
        <w:t xml:space="preserve">international assistance </w:t>
      </w:r>
      <w:r w:rsidR="00851E93" w:rsidRPr="00EB55C1">
        <w:rPr>
          <w:rFonts w:ascii="Times New Roman" w:eastAsia="Times New Roman" w:hAnsi="Times New Roman" w:cs="Times New Roman"/>
          <w:sz w:val="24"/>
          <w:szCs w:val="24"/>
        </w:rPr>
        <w:t>and capacity-building</w:t>
      </w:r>
      <w:r w:rsidR="005975F7" w:rsidRPr="00EB55C1">
        <w:rPr>
          <w:rFonts w:ascii="Times New Roman" w:eastAsia="Times New Roman" w:hAnsi="Times New Roman" w:cs="Times New Roman"/>
          <w:sz w:val="24"/>
          <w:szCs w:val="24"/>
        </w:rPr>
        <w:t xml:space="preserve"> activities</w:t>
      </w:r>
      <w:r w:rsidR="00851E93" w:rsidRPr="00EB55C1">
        <w:rPr>
          <w:rFonts w:ascii="Times New Roman" w:eastAsia="Times New Roman" w:hAnsi="Times New Roman" w:cs="Times New Roman"/>
          <w:sz w:val="24"/>
          <w:szCs w:val="24"/>
        </w:rPr>
        <w:t xml:space="preserve"> </w:t>
      </w:r>
      <w:r w:rsidR="0003629E" w:rsidRPr="00EB55C1">
        <w:rPr>
          <w:rFonts w:ascii="Times New Roman" w:eastAsia="Times New Roman" w:hAnsi="Times New Roman" w:cs="Times New Roman"/>
          <w:sz w:val="24"/>
          <w:szCs w:val="24"/>
        </w:rPr>
        <w:t xml:space="preserve">must </w:t>
      </w:r>
      <w:r w:rsidR="009867E1" w:rsidRPr="00EB55C1">
        <w:rPr>
          <w:rFonts w:ascii="Times New Roman" w:eastAsia="Times New Roman" w:hAnsi="Times New Roman" w:cs="Times New Roman"/>
          <w:sz w:val="24"/>
          <w:szCs w:val="24"/>
        </w:rPr>
        <w:t xml:space="preserve">continue to </w:t>
      </w:r>
      <w:r w:rsidR="0003629E" w:rsidRPr="00EB55C1">
        <w:rPr>
          <w:rFonts w:ascii="Times New Roman" w:eastAsia="Times New Roman" w:hAnsi="Times New Roman" w:cs="Times New Roman"/>
          <w:sz w:val="24"/>
          <w:szCs w:val="24"/>
        </w:rPr>
        <w:t xml:space="preserve">be </w:t>
      </w:r>
      <w:r w:rsidR="009867E1" w:rsidRPr="00EB55C1">
        <w:rPr>
          <w:rFonts w:ascii="Times New Roman" w:eastAsia="Times New Roman" w:hAnsi="Times New Roman" w:cs="Times New Roman"/>
          <w:sz w:val="24"/>
          <w:szCs w:val="24"/>
        </w:rPr>
        <w:t xml:space="preserve">offered to </w:t>
      </w:r>
      <w:r w:rsidR="00646807" w:rsidRPr="00360D35">
        <w:rPr>
          <w:rFonts w:ascii="Times New Roman" w:eastAsia="Times New Roman" w:hAnsi="Times New Roman" w:cs="Times New Roman"/>
          <w:sz w:val="24"/>
          <w:szCs w:val="24"/>
        </w:rPr>
        <w:t>state</w:t>
      </w:r>
      <w:r w:rsidR="009867E1" w:rsidRPr="00EB55C1">
        <w:rPr>
          <w:rFonts w:ascii="Times New Roman" w:eastAsia="Times New Roman" w:hAnsi="Times New Roman" w:cs="Times New Roman"/>
          <w:sz w:val="24"/>
          <w:szCs w:val="24"/>
        </w:rPr>
        <w:t xml:space="preserve">s in order to both assist them in better </w:t>
      </w:r>
      <w:r w:rsidR="00760B4F" w:rsidRPr="00EB55C1">
        <w:rPr>
          <w:rFonts w:ascii="Times New Roman" w:eastAsia="Times New Roman" w:hAnsi="Times New Roman" w:cs="Times New Roman"/>
          <w:sz w:val="24"/>
          <w:szCs w:val="24"/>
        </w:rPr>
        <w:t>comply</w:t>
      </w:r>
      <w:r w:rsidR="009867E1" w:rsidRPr="00EB55C1">
        <w:rPr>
          <w:rFonts w:ascii="Times New Roman" w:eastAsia="Times New Roman" w:hAnsi="Times New Roman" w:cs="Times New Roman"/>
          <w:sz w:val="24"/>
          <w:szCs w:val="24"/>
        </w:rPr>
        <w:t>ing</w:t>
      </w:r>
      <w:r w:rsidR="00760B4F" w:rsidRPr="00EB55C1">
        <w:rPr>
          <w:rFonts w:ascii="Times New Roman" w:eastAsia="Times New Roman" w:hAnsi="Times New Roman" w:cs="Times New Roman"/>
          <w:sz w:val="24"/>
          <w:szCs w:val="24"/>
        </w:rPr>
        <w:t xml:space="preserve"> with the law</w:t>
      </w:r>
      <w:r w:rsidR="009867E1" w:rsidRPr="00EB55C1">
        <w:rPr>
          <w:rFonts w:ascii="Times New Roman" w:eastAsia="Times New Roman" w:hAnsi="Times New Roman" w:cs="Times New Roman"/>
          <w:sz w:val="24"/>
          <w:szCs w:val="24"/>
        </w:rPr>
        <w:t xml:space="preserve"> and to restore destroyed </w:t>
      </w:r>
      <w:r w:rsidR="009867E1" w:rsidRPr="00EB55C1">
        <w:rPr>
          <w:rFonts w:ascii="Times New Roman" w:eastAsia="Times New Roman" w:hAnsi="Times New Roman" w:cs="Times New Roman"/>
          <w:sz w:val="24"/>
          <w:szCs w:val="24"/>
        </w:rPr>
        <w:lastRenderedPageBreak/>
        <w:t>cultural property and sites</w:t>
      </w:r>
      <w:r w:rsidR="00DC3956" w:rsidRPr="00EB55C1">
        <w:rPr>
          <w:rFonts w:ascii="Times New Roman" w:eastAsia="Times New Roman" w:hAnsi="Times New Roman" w:cs="Times New Roman"/>
          <w:sz w:val="24"/>
          <w:szCs w:val="24"/>
        </w:rPr>
        <w:t>.</w:t>
      </w:r>
      <w:r w:rsidR="009867E1" w:rsidRPr="00EB55C1">
        <w:rPr>
          <w:rFonts w:ascii="Times New Roman" w:eastAsia="Times New Roman" w:hAnsi="Times New Roman" w:cs="Times New Roman"/>
          <w:sz w:val="24"/>
          <w:szCs w:val="24"/>
        </w:rPr>
        <w:t xml:space="preserve"> S</w:t>
      </w:r>
      <w:r w:rsidR="004E2898" w:rsidRPr="00EB55C1">
        <w:rPr>
          <w:rFonts w:ascii="Times New Roman" w:eastAsia="Times New Roman" w:hAnsi="Times New Roman" w:cs="Times New Roman"/>
          <w:sz w:val="24"/>
          <w:szCs w:val="24"/>
        </w:rPr>
        <w:t xml:space="preserve">upport </w:t>
      </w:r>
      <w:r w:rsidR="00513F64">
        <w:rPr>
          <w:rFonts w:ascii="Times New Roman" w:eastAsia="Times New Roman" w:hAnsi="Times New Roman" w:cs="Times New Roman"/>
          <w:sz w:val="24"/>
          <w:szCs w:val="24"/>
        </w:rPr>
        <w:t>for</w:t>
      </w:r>
      <w:r w:rsidR="00513F64" w:rsidRPr="00EB55C1">
        <w:rPr>
          <w:rFonts w:ascii="Times New Roman" w:eastAsia="Times New Roman" w:hAnsi="Times New Roman" w:cs="Times New Roman"/>
          <w:sz w:val="24"/>
          <w:szCs w:val="24"/>
        </w:rPr>
        <w:t xml:space="preserve"> </w:t>
      </w:r>
      <w:r w:rsidR="003A5AA5" w:rsidRPr="00EB55C1">
        <w:rPr>
          <w:rFonts w:ascii="Times New Roman" w:eastAsia="Times New Roman" w:hAnsi="Times New Roman" w:cs="Times New Roman"/>
          <w:sz w:val="24"/>
          <w:szCs w:val="24"/>
        </w:rPr>
        <w:t>multilateral institution</w:t>
      </w:r>
      <w:r w:rsidR="00556041" w:rsidRPr="00EB55C1">
        <w:rPr>
          <w:rFonts w:ascii="Times New Roman" w:eastAsia="Times New Roman" w:hAnsi="Times New Roman" w:cs="Times New Roman"/>
          <w:sz w:val="24"/>
          <w:szCs w:val="24"/>
        </w:rPr>
        <w:t>s</w:t>
      </w:r>
      <w:r w:rsidR="003A5AA5" w:rsidRPr="00EB55C1">
        <w:rPr>
          <w:rFonts w:ascii="Times New Roman" w:eastAsia="Times New Roman" w:hAnsi="Times New Roman" w:cs="Times New Roman"/>
          <w:sz w:val="24"/>
          <w:szCs w:val="24"/>
        </w:rPr>
        <w:t xml:space="preserve"> must be galvanized to</w:t>
      </w:r>
      <w:r w:rsidR="009B0233" w:rsidRPr="00EB55C1">
        <w:rPr>
          <w:rFonts w:ascii="Times New Roman" w:eastAsia="Times New Roman" w:hAnsi="Times New Roman" w:cs="Times New Roman"/>
          <w:sz w:val="24"/>
          <w:szCs w:val="24"/>
        </w:rPr>
        <w:t xml:space="preserve"> coordinate all these processes</w:t>
      </w:r>
      <w:r w:rsidR="005867D6" w:rsidRPr="00EB55C1">
        <w:rPr>
          <w:rFonts w:ascii="Times New Roman" w:eastAsia="Times New Roman" w:hAnsi="Times New Roman" w:cs="Times New Roman"/>
          <w:sz w:val="24"/>
          <w:szCs w:val="24"/>
        </w:rPr>
        <w:t>. Effective</w:t>
      </w:r>
      <w:r w:rsidR="000C536B">
        <w:rPr>
          <w:rFonts w:ascii="Times New Roman" w:eastAsia="Times New Roman" w:hAnsi="Times New Roman" w:cs="Times New Roman"/>
          <w:sz w:val="24"/>
          <w:szCs w:val="24"/>
        </w:rPr>
        <w:t xml:space="preserve"> responses to protect</w:t>
      </w:r>
      <w:r w:rsidR="005867D6" w:rsidRPr="00EB55C1">
        <w:rPr>
          <w:rFonts w:ascii="Times New Roman" w:eastAsia="Times New Roman" w:hAnsi="Times New Roman" w:cs="Times New Roman"/>
          <w:sz w:val="24"/>
          <w:szCs w:val="24"/>
        </w:rPr>
        <w:t xml:space="preserve"> cultural property </w:t>
      </w:r>
      <w:r w:rsidR="001C069B">
        <w:rPr>
          <w:rFonts w:ascii="Times New Roman" w:eastAsia="Times New Roman" w:hAnsi="Times New Roman" w:cs="Times New Roman"/>
          <w:sz w:val="24"/>
          <w:szCs w:val="24"/>
        </w:rPr>
        <w:t>require</w:t>
      </w:r>
      <w:r w:rsidR="000C536B">
        <w:rPr>
          <w:rFonts w:ascii="Times New Roman" w:eastAsia="Times New Roman" w:hAnsi="Times New Roman" w:cs="Times New Roman"/>
          <w:sz w:val="24"/>
          <w:szCs w:val="24"/>
        </w:rPr>
        <w:t>s</w:t>
      </w:r>
      <w:r w:rsidR="005867D6" w:rsidRPr="00EB55C1">
        <w:rPr>
          <w:rFonts w:ascii="Times New Roman" w:eastAsia="Times New Roman" w:hAnsi="Times New Roman" w:cs="Times New Roman"/>
          <w:sz w:val="24"/>
          <w:szCs w:val="24"/>
        </w:rPr>
        <w:t xml:space="preserve"> not only all important international actors</w:t>
      </w:r>
      <w:r w:rsidR="001C069B">
        <w:rPr>
          <w:rFonts w:ascii="Times New Roman" w:eastAsia="Times New Roman" w:hAnsi="Times New Roman" w:cs="Times New Roman"/>
          <w:sz w:val="24"/>
          <w:szCs w:val="24"/>
        </w:rPr>
        <w:t xml:space="preserve"> to</w:t>
      </w:r>
      <w:r w:rsidR="005867D6" w:rsidRPr="00EB55C1">
        <w:rPr>
          <w:rFonts w:ascii="Times New Roman" w:eastAsia="Times New Roman" w:hAnsi="Times New Roman" w:cs="Times New Roman"/>
          <w:sz w:val="24"/>
          <w:szCs w:val="24"/>
        </w:rPr>
        <w:t xml:space="preserve"> find ways to optimize the collective impact of their actions, but to </w:t>
      </w:r>
      <w:r w:rsidR="000C536B">
        <w:rPr>
          <w:rFonts w:ascii="Times New Roman" w:eastAsia="Times New Roman" w:hAnsi="Times New Roman" w:cs="Times New Roman"/>
          <w:sz w:val="24"/>
          <w:szCs w:val="24"/>
        </w:rPr>
        <w:t xml:space="preserve">also </w:t>
      </w:r>
      <w:r w:rsidR="005867D6" w:rsidRPr="00EB55C1">
        <w:rPr>
          <w:rFonts w:ascii="Times New Roman" w:eastAsia="Times New Roman" w:hAnsi="Times New Roman" w:cs="Times New Roman"/>
          <w:sz w:val="24"/>
          <w:szCs w:val="24"/>
        </w:rPr>
        <w:t>make the most of relevant and positive practices and policies</w:t>
      </w:r>
      <w:r w:rsidR="000C536B">
        <w:rPr>
          <w:rFonts w:ascii="Times New Roman" w:eastAsia="Times New Roman" w:hAnsi="Times New Roman" w:cs="Times New Roman"/>
          <w:sz w:val="24"/>
          <w:szCs w:val="24"/>
        </w:rPr>
        <w:t>—approaches</w:t>
      </w:r>
      <w:r w:rsidR="005867D6" w:rsidRPr="00EB55C1">
        <w:rPr>
          <w:rFonts w:ascii="Times New Roman" w:eastAsia="Times New Roman" w:hAnsi="Times New Roman" w:cs="Times New Roman"/>
          <w:sz w:val="24"/>
          <w:szCs w:val="24"/>
        </w:rPr>
        <w:t xml:space="preserve"> </w:t>
      </w:r>
      <w:r w:rsidR="000C536B">
        <w:rPr>
          <w:rFonts w:ascii="Times New Roman" w:eastAsia="Times New Roman" w:hAnsi="Times New Roman" w:cs="Times New Roman"/>
          <w:sz w:val="24"/>
          <w:szCs w:val="24"/>
        </w:rPr>
        <w:t xml:space="preserve">that </w:t>
      </w:r>
      <w:r w:rsidR="00927742">
        <w:rPr>
          <w:rFonts w:ascii="Times New Roman" w:eastAsia="Times New Roman" w:hAnsi="Times New Roman" w:cs="Times New Roman"/>
          <w:sz w:val="24"/>
          <w:szCs w:val="24"/>
        </w:rPr>
        <w:t xml:space="preserve">some </w:t>
      </w:r>
      <w:r w:rsidR="00646807" w:rsidRPr="00360D35">
        <w:rPr>
          <w:rFonts w:ascii="Times New Roman" w:eastAsia="Times New Roman" w:hAnsi="Times New Roman" w:cs="Times New Roman"/>
          <w:sz w:val="24"/>
          <w:szCs w:val="24"/>
        </w:rPr>
        <w:t>state</w:t>
      </w:r>
      <w:r w:rsidR="005867D6" w:rsidRPr="00EB55C1">
        <w:rPr>
          <w:rFonts w:ascii="Times New Roman" w:eastAsia="Times New Roman" w:hAnsi="Times New Roman" w:cs="Times New Roman"/>
          <w:sz w:val="24"/>
          <w:szCs w:val="24"/>
        </w:rPr>
        <w:t xml:space="preserve">s have </w:t>
      </w:r>
      <w:r w:rsidR="00927742">
        <w:rPr>
          <w:rFonts w:ascii="Times New Roman" w:eastAsia="Times New Roman" w:hAnsi="Times New Roman" w:cs="Times New Roman"/>
          <w:sz w:val="24"/>
          <w:szCs w:val="24"/>
        </w:rPr>
        <w:t xml:space="preserve">already </w:t>
      </w:r>
      <w:r w:rsidR="005867D6" w:rsidRPr="00EB55C1">
        <w:rPr>
          <w:rFonts w:ascii="Times New Roman" w:eastAsia="Times New Roman" w:hAnsi="Times New Roman" w:cs="Times New Roman"/>
          <w:sz w:val="24"/>
          <w:szCs w:val="24"/>
        </w:rPr>
        <w:t xml:space="preserve">put in place </w:t>
      </w:r>
      <w:r w:rsidR="000C536B">
        <w:rPr>
          <w:rFonts w:ascii="Times New Roman" w:eastAsia="Times New Roman" w:hAnsi="Times New Roman" w:cs="Times New Roman"/>
          <w:sz w:val="24"/>
          <w:szCs w:val="24"/>
        </w:rPr>
        <w:t xml:space="preserve">in order </w:t>
      </w:r>
      <w:r w:rsidR="00927742">
        <w:rPr>
          <w:rFonts w:ascii="Times New Roman" w:eastAsia="Times New Roman" w:hAnsi="Times New Roman" w:cs="Times New Roman"/>
          <w:sz w:val="24"/>
          <w:szCs w:val="24"/>
        </w:rPr>
        <w:t xml:space="preserve">to </w:t>
      </w:r>
      <w:r w:rsidR="005867D6" w:rsidRPr="00EB55C1">
        <w:rPr>
          <w:rFonts w:ascii="Times New Roman" w:eastAsia="Times New Roman" w:hAnsi="Times New Roman" w:cs="Times New Roman"/>
          <w:sz w:val="24"/>
          <w:szCs w:val="24"/>
        </w:rPr>
        <w:t>assist other</w:t>
      </w:r>
      <w:r w:rsidR="002F6090">
        <w:rPr>
          <w:rFonts w:ascii="Times New Roman" w:eastAsia="Times New Roman" w:hAnsi="Times New Roman" w:cs="Times New Roman"/>
          <w:sz w:val="24"/>
          <w:szCs w:val="24"/>
        </w:rPr>
        <w:t>s</w:t>
      </w:r>
      <w:r w:rsidR="005867D6" w:rsidRPr="00EB55C1">
        <w:rPr>
          <w:rFonts w:ascii="Times New Roman" w:eastAsia="Times New Roman" w:hAnsi="Times New Roman" w:cs="Times New Roman"/>
          <w:sz w:val="24"/>
          <w:szCs w:val="24"/>
        </w:rPr>
        <w:t xml:space="preserve"> </w:t>
      </w:r>
      <w:r w:rsidR="004C13FF">
        <w:rPr>
          <w:rFonts w:ascii="Times New Roman" w:eastAsia="Times New Roman" w:hAnsi="Times New Roman" w:cs="Times New Roman"/>
          <w:sz w:val="24"/>
          <w:szCs w:val="24"/>
        </w:rPr>
        <w:t xml:space="preserve">in </w:t>
      </w:r>
      <w:r w:rsidR="000C536B">
        <w:rPr>
          <w:rFonts w:ascii="Times New Roman" w:eastAsia="Times New Roman" w:hAnsi="Times New Roman" w:cs="Times New Roman"/>
          <w:sz w:val="24"/>
          <w:szCs w:val="24"/>
        </w:rPr>
        <w:t xml:space="preserve">aligning </w:t>
      </w:r>
      <w:r w:rsidR="005867D6" w:rsidRPr="00EB55C1">
        <w:rPr>
          <w:rFonts w:ascii="Times New Roman" w:eastAsia="Times New Roman" w:hAnsi="Times New Roman" w:cs="Times New Roman"/>
          <w:sz w:val="24"/>
          <w:szCs w:val="24"/>
        </w:rPr>
        <w:t xml:space="preserve">their actions </w:t>
      </w:r>
      <w:r w:rsidR="000C536B">
        <w:rPr>
          <w:rFonts w:ascii="Times New Roman" w:eastAsia="Times New Roman" w:hAnsi="Times New Roman" w:cs="Times New Roman"/>
          <w:sz w:val="24"/>
          <w:szCs w:val="24"/>
        </w:rPr>
        <w:t>accordingly</w:t>
      </w:r>
      <w:r w:rsidR="005867D6" w:rsidRPr="00EB55C1">
        <w:rPr>
          <w:rFonts w:ascii="Times New Roman" w:eastAsia="Times New Roman" w:hAnsi="Times New Roman" w:cs="Times New Roman"/>
          <w:sz w:val="24"/>
          <w:szCs w:val="24"/>
        </w:rPr>
        <w:t>.</w:t>
      </w:r>
      <w:r w:rsidR="00203175" w:rsidRPr="00EB55C1">
        <w:rPr>
          <w:rFonts w:ascii="Times New Roman" w:eastAsia="Times New Roman" w:hAnsi="Times New Roman" w:cs="Times New Roman"/>
          <w:sz w:val="24"/>
          <w:szCs w:val="24"/>
        </w:rPr>
        <w:t xml:space="preserve"> Finally, while international coordination is important, giving a role and space to local actors is equally crucial, since national responders are often in the strongest position to deliver rapid, culturally appropriate</w:t>
      </w:r>
      <w:r w:rsidR="002F6090">
        <w:rPr>
          <w:rFonts w:ascii="Times New Roman" w:eastAsia="Times New Roman" w:hAnsi="Times New Roman" w:cs="Times New Roman"/>
          <w:sz w:val="24"/>
          <w:szCs w:val="24"/>
        </w:rPr>
        <w:t>,</w:t>
      </w:r>
      <w:r w:rsidR="00203175" w:rsidRPr="00EB55C1">
        <w:rPr>
          <w:rFonts w:ascii="Times New Roman" w:eastAsia="Times New Roman" w:hAnsi="Times New Roman" w:cs="Times New Roman"/>
          <w:sz w:val="24"/>
          <w:szCs w:val="24"/>
        </w:rPr>
        <w:t xml:space="preserve"> and sustainable humanitarian assistance to their own communities. In other words, in this field probably more than in any other, both the preventive and the humanitarian response to the lack of protection of cultural property should be </w:t>
      </w:r>
      <w:r w:rsidR="007A7426" w:rsidRPr="00EB55C1">
        <w:rPr>
          <w:rFonts w:ascii="Times New Roman" w:eastAsia="Times New Roman" w:hAnsi="Times New Roman" w:cs="Times New Roman"/>
          <w:sz w:val="24"/>
          <w:szCs w:val="24"/>
        </w:rPr>
        <w:t>as international as necessary and as local as possible.</w:t>
      </w:r>
    </w:p>
    <w:p w14:paraId="724BD11F" w14:textId="173BAF0A" w:rsidR="001857BB" w:rsidRPr="00EB55C1" w:rsidRDefault="007A7426" w:rsidP="00D007BC">
      <w:pPr>
        <w:spacing w:before="120" w:after="120" w:line="480" w:lineRule="auto"/>
        <w:ind w:firstLine="708"/>
        <w:rPr>
          <w:rFonts w:ascii="Times New Roman" w:eastAsia="Times New Roman" w:hAnsi="Times New Roman" w:cs="Times New Roman"/>
          <w:sz w:val="24"/>
          <w:szCs w:val="24"/>
        </w:rPr>
      </w:pPr>
      <w:r w:rsidRPr="00EB55C1">
        <w:rPr>
          <w:rFonts w:ascii="Times New Roman" w:eastAsia="Times New Roman" w:hAnsi="Times New Roman" w:cs="Times New Roman"/>
          <w:sz w:val="24"/>
          <w:szCs w:val="24"/>
        </w:rPr>
        <w:t>O</w:t>
      </w:r>
      <w:r w:rsidR="002A02D9" w:rsidRPr="00EB55C1">
        <w:rPr>
          <w:rFonts w:ascii="Times New Roman" w:eastAsia="Times New Roman" w:hAnsi="Times New Roman" w:cs="Times New Roman"/>
          <w:sz w:val="24"/>
          <w:szCs w:val="24"/>
        </w:rPr>
        <w:t>verall</w:t>
      </w:r>
      <w:r w:rsidRPr="00EB55C1">
        <w:rPr>
          <w:rFonts w:ascii="Times New Roman" w:eastAsia="Times New Roman" w:hAnsi="Times New Roman" w:cs="Times New Roman"/>
          <w:sz w:val="24"/>
          <w:szCs w:val="24"/>
        </w:rPr>
        <w:t>, the</w:t>
      </w:r>
      <w:r w:rsidR="002A02D9" w:rsidRPr="00EB55C1">
        <w:rPr>
          <w:rFonts w:ascii="Times New Roman" w:eastAsia="Times New Roman" w:hAnsi="Times New Roman" w:cs="Times New Roman"/>
          <w:sz w:val="24"/>
          <w:szCs w:val="24"/>
        </w:rPr>
        <w:t xml:space="preserve"> international system of protection of cultural </w:t>
      </w:r>
      <w:r w:rsidRPr="00EB55C1">
        <w:rPr>
          <w:rFonts w:ascii="Times New Roman" w:eastAsia="Times New Roman" w:hAnsi="Times New Roman" w:cs="Times New Roman"/>
          <w:sz w:val="24"/>
          <w:szCs w:val="24"/>
        </w:rPr>
        <w:t>property in time of armed confl</w:t>
      </w:r>
      <w:r w:rsidR="002B2F1A" w:rsidRPr="00EB55C1">
        <w:rPr>
          <w:rFonts w:ascii="Times New Roman" w:eastAsia="Times New Roman" w:hAnsi="Times New Roman" w:cs="Times New Roman"/>
          <w:sz w:val="24"/>
          <w:szCs w:val="24"/>
        </w:rPr>
        <w:t>ict</w:t>
      </w:r>
      <w:r w:rsidR="002A02D9" w:rsidRPr="00EB55C1">
        <w:rPr>
          <w:rFonts w:ascii="Times New Roman" w:eastAsia="Times New Roman" w:hAnsi="Times New Roman" w:cs="Times New Roman"/>
          <w:sz w:val="24"/>
          <w:szCs w:val="24"/>
        </w:rPr>
        <w:t xml:space="preserve"> is better equipped today than </w:t>
      </w:r>
      <w:r w:rsidR="00846C0E">
        <w:rPr>
          <w:rFonts w:ascii="Times New Roman" w:eastAsia="Times New Roman" w:hAnsi="Times New Roman" w:cs="Times New Roman"/>
          <w:sz w:val="24"/>
          <w:szCs w:val="24"/>
        </w:rPr>
        <w:t>at</w:t>
      </w:r>
      <w:r w:rsidR="00846C0E" w:rsidRPr="00EB55C1">
        <w:rPr>
          <w:rFonts w:ascii="Times New Roman" w:eastAsia="Times New Roman" w:hAnsi="Times New Roman" w:cs="Times New Roman"/>
          <w:sz w:val="24"/>
          <w:szCs w:val="24"/>
        </w:rPr>
        <w:t xml:space="preserve"> </w:t>
      </w:r>
      <w:r w:rsidR="002B2F1A" w:rsidRPr="00EB55C1">
        <w:rPr>
          <w:rFonts w:ascii="Times New Roman" w:eastAsia="Times New Roman" w:hAnsi="Times New Roman" w:cs="Times New Roman"/>
          <w:sz w:val="24"/>
          <w:szCs w:val="24"/>
        </w:rPr>
        <w:t>any time</w:t>
      </w:r>
      <w:r w:rsidR="002A02D9" w:rsidRPr="00EB55C1">
        <w:rPr>
          <w:rFonts w:ascii="Times New Roman" w:eastAsia="Times New Roman" w:hAnsi="Times New Roman" w:cs="Times New Roman"/>
          <w:sz w:val="24"/>
          <w:szCs w:val="24"/>
        </w:rPr>
        <w:t xml:space="preserve"> </w:t>
      </w:r>
      <w:r w:rsidR="006F62F3" w:rsidRPr="00EB55C1">
        <w:rPr>
          <w:rFonts w:ascii="Times New Roman" w:eastAsia="Times New Roman" w:hAnsi="Times New Roman" w:cs="Times New Roman"/>
          <w:sz w:val="24"/>
          <w:szCs w:val="24"/>
        </w:rPr>
        <w:t xml:space="preserve">in </w:t>
      </w:r>
      <w:r w:rsidR="002A02D9" w:rsidRPr="00EB55C1">
        <w:rPr>
          <w:rFonts w:ascii="Times New Roman" w:eastAsia="Times New Roman" w:hAnsi="Times New Roman" w:cs="Times New Roman"/>
          <w:sz w:val="24"/>
          <w:szCs w:val="24"/>
        </w:rPr>
        <w:t>history</w:t>
      </w:r>
      <w:r w:rsidR="002B2F1A" w:rsidRPr="00EB55C1">
        <w:rPr>
          <w:rFonts w:ascii="Times New Roman" w:eastAsia="Times New Roman" w:hAnsi="Times New Roman" w:cs="Times New Roman"/>
          <w:sz w:val="24"/>
          <w:szCs w:val="24"/>
        </w:rPr>
        <w:t>. As a side effect of publicized intentional destruction of cultural sites and looting of artefacts in recent armed conflicts, p</w:t>
      </w:r>
      <w:r w:rsidR="00735867" w:rsidRPr="00EB55C1">
        <w:rPr>
          <w:rFonts w:ascii="Times New Roman" w:eastAsia="Times New Roman" w:hAnsi="Times New Roman" w:cs="Times New Roman"/>
          <w:sz w:val="24"/>
          <w:szCs w:val="24"/>
        </w:rPr>
        <w:t xml:space="preserve">ublic sensitivity to </w:t>
      </w:r>
      <w:r w:rsidR="002B2F1A" w:rsidRPr="00EB55C1">
        <w:rPr>
          <w:rFonts w:ascii="Times New Roman" w:eastAsia="Times New Roman" w:hAnsi="Times New Roman" w:cs="Times New Roman"/>
          <w:sz w:val="24"/>
          <w:szCs w:val="24"/>
        </w:rPr>
        <w:t>this issue</w:t>
      </w:r>
      <w:r w:rsidR="006F62F3" w:rsidRPr="00EB55C1">
        <w:rPr>
          <w:rFonts w:ascii="Times New Roman" w:eastAsia="Times New Roman" w:hAnsi="Times New Roman" w:cs="Times New Roman"/>
          <w:sz w:val="24"/>
          <w:szCs w:val="24"/>
        </w:rPr>
        <w:t xml:space="preserve"> is </w:t>
      </w:r>
      <w:r w:rsidR="002B2F1A" w:rsidRPr="00EB55C1">
        <w:rPr>
          <w:rFonts w:ascii="Times New Roman" w:eastAsia="Times New Roman" w:hAnsi="Times New Roman" w:cs="Times New Roman"/>
          <w:sz w:val="24"/>
          <w:szCs w:val="24"/>
        </w:rPr>
        <w:t xml:space="preserve">also arguably </w:t>
      </w:r>
      <w:r w:rsidR="006F62F3" w:rsidRPr="00EB55C1">
        <w:rPr>
          <w:rFonts w:ascii="Times New Roman" w:eastAsia="Times New Roman" w:hAnsi="Times New Roman" w:cs="Times New Roman"/>
          <w:sz w:val="24"/>
          <w:szCs w:val="24"/>
        </w:rPr>
        <w:t>higher</w:t>
      </w:r>
      <w:r w:rsidR="002B2F1A" w:rsidRPr="00EB55C1">
        <w:rPr>
          <w:rFonts w:ascii="Times New Roman" w:eastAsia="Times New Roman" w:hAnsi="Times New Roman" w:cs="Times New Roman"/>
          <w:sz w:val="24"/>
          <w:szCs w:val="24"/>
        </w:rPr>
        <w:t xml:space="preserve"> today</w:t>
      </w:r>
      <w:r w:rsidR="006F62F3" w:rsidRPr="00EB55C1">
        <w:rPr>
          <w:rFonts w:ascii="Times New Roman" w:eastAsia="Times New Roman" w:hAnsi="Times New Roman" w:cs="Times New Roman"/>
          <w:sz w:val="24"/>
          <w:szCs w:val="24"/>
        </w:rPr>
        <w:t xml:space="preserve"> </w:t>
      </w:r>
      <w:r w:rsidR="002B2F1A" w:rsidRPr="00EB55C1">
        <w:rPr>
          <w:rFonts w:ascii="Times New Roman" w:eastAsia="Times New Roman" w:hAnsi="Times New Roman" w:cs="Times New Roman"/>
          <w:sz w:val="24"/>
          <w:szCs w:val="24"/>
        </w:rPr>
        <w:t>than ever before</w:t>
      </w:r>
      <w:r w:rsidR="006F62F3" w:rsidRPr="00EB55C1">
        <w:rPr>
          <w:rFonts w:ascii="Times New Roman" w:eastAsia="Times New Roman" w:hAnsi="Times New Roman" w:cs="Times New Roman"/>
          <w:sz w:val="24"/>
          <w:szCs w:val="24"/>
        </w:rPr>
        <w:t>.</w:t>
      </w:r>
      <w:r w:rsidR="00030DC0" w:rsidRPr="00EB55C1">
        <w:rPr>
          <w:rFonts w:ascii="Times New Roman" w:eastAsia="Times New Roman" w:hAnsi="Times New Roman" w:cs="Times New Roman"/>
          <w:sz w:val="24"/>
          <w:szCs w:val="24"/>
        </w:rPr>
        <w:t xml:space="preserve"> </w:t>
      </w:r>
      <w:r w:rsidR="000C536B">
        <w:rPr>
          <w:rFonts w:ascii="Times New Roman" w:eastAsia="Times New Roman" w:hAnsi="Times New Roman" w:cs="Times New Roman"/>
          <w:sz w:val="24"/>
          <w:szCs w:val="24"/>
        </w:rPr>
        <w:t>In our view, t</w:t>
      </w:r>
      <w:r w:rsidR="00992942" w:rsidRPr="00EB55C1">
        <w:rPr>
          <w:rFonts w:ascii="Times New Roman" w:eastAsia="Times New Roman" w:hAnsi="Times New Roman" w:cs="Times New Roman"/>
          <w:sz w:val="24"/>
          <w:szCs w:val="24"/>
        </w:rPr>
        <w:t>his creates an unprecedented opportunity</w:t>
      </w:r>
      <w:r w:rsidR="000C536B">
        <w:rPr>
          <w:rFonts w:ascii="Times New Roman" w:eastAsia="Times New Roman" w:hAnsi="Times New Roman" w:cs="Times New Roman"/>
          <w:sz w:val="24"/>
          <w:szCs w:val="24"/>
        </w:rPr>
        <w:t xml:space="preserve"> ready to be </w:t>
      </w:r>
      <w:r w:rsidR="00992942" w:rsidRPr="00EB55C1">
        <w:rPr>
          <w:rFonts w:ascii="Times New Roman" w:eastAsia="Times New Roman" w:hAnsi="Times New Roman" w:cs="Times New Roman"/>
          <w:sz w:val="24"/>
          <w:szCs w:val="24"/>
        </w:rPr>
        <w:t>capitalized on.</w:t>
      </w:r>
    </w:p>
    <w:p w14:paraId="6DB749DD" w14:textId="2B998C43" w:rsidR="00344201" w:rsidRPr="00EB55C1" w:rsidRDefault="00344201" w:rsidP="00D007BC">
      <w:pPr>
        <w:spacing w:before="120" w:after="120" w:line="480" w:lineRule="auto"/>
        <w:rPr>
          <w:rFonts w:ascii="Times New Roman" w:eastAsia="Times New Roman" w:hAnsi="Times New Roman" w:cs="Times New Roman"/>
          <w:sz w:val="24"/>
          <w:szCs w:val="24"/>
        </w:rPr>
      </w:pPr>
    </w:p>
    <w:p w14:paraId="3CA6AC40" w14:textId="77777777" w:rsidR="00344201" w:rsidRPr="00EB55C1" w:rsidRDefault="00344201" w:rsidP="00252641">
      <w:pPr>
        <w:spacing w:before="120" w:after="120" w:line="480" w:lineRule="auto"/>
        <w:rPr>
          <w:rFonts w:ascii="Times New Roman" w:eastAsia="Times New Roman" w:hAnsi="Times New Roman" w:cs="Times New Roman"/>
          <w:sz w:val="24"/>
          <w:szCs w:val="24"/>
        </w:rPr>
      </w:pPr>
    </w:p>
    <w:p w14:paraId="6C31968F" w14:textId="0FCF8EFB" w:rsidR="00344201" w:rsidRPr="00EB55C1" w:rsidRDefault="00344201" w:rsidP="00EE6F41">
      <w:pPr>
        <w:pStyle w:val="Heading2"/>
        <w:spacing w:line="480" w:lineRule="auto"/>
        <w:rPr>
          <w:lang w:eastAsia="fr-CH"/>
        </w:rPr>
      </w:pPr>
      <w:r w:rsidRPr="00EB55C1">
        <w:rPr>
          <w:lang w:eastAsia="fr-CH"/>
        </w:rPr>
        <w:t>Suggested Readings</w:t>
      </w:r>
    </w:p>
    <w:p w14:paraId="0BE0228E" w14:textId="3AB04F5D" w:rsidR="00344201" w:rsidRPr="00360D35" w:rsidRDefault="00344201" w:rsidP="006952D9">
      <w:pPr>
        <w:spacing w:before="120" w:after="120" w:line="480" w:lineRule="auto"/>
        <w:rPr>
          <w:rFonts w:ascii="Times New Roman" w:eastAsia="Times New Roman" w:hAnsi="Times New Roman" w:cs="Times New Roman"/>
          <w:color w:val="000000"/>
          <w:sz w:val="24"/>
          <w:szCs w:val="24"/>
          <w:lang w:eastAsia="fr-CH"/>
        </w:rPr>
      </w:pPr>
      <w:r w:rsidRPr="00360D35">
        <w:rPr>
          <w:rFonts w:ascii="Times New Roman" w:eastAsia="Times New Roman" w:hAnsi="Times New Roman" w:cs="Times New Roman"/>
          <w:color w:val="000000"/>
          <w:sz w:val="24"/>
          <w:szCs w:val="24"/>
          <w:lang w:eastAsia="fr-CH"/>
        </w:rPr>
        <w:t xml:space="preserve">Kevin Chamberlain, </w:t>
      </w:r>
      <w:r w:rsidRPr="00360D35">
        <w:rPr>
          <w:rFonts w:ascii="Times New Roman" w:eastAsia="Times New Roman" w:hAnsi="Times New Roman" w:cs="Times New Roman"/>
          <w:i/>
          <w:iCs/>
          <w:color w:val="000000"/>
          <w:sz w:val="24"/>
          <w:szCs w:val="24"/>
          <w:lang w:eastAsia="fr-CH"/>
        </w:rPr>
        <w:t xml:space="preserve">War and Cultural Heritage: An Analysis of the 1954 Convention for the Protection of Cultural Property in the Event of Armed Conflict and </w:t>
      </w:r>
      <w:r w:rsidR="009B0A9D">
        <w:rPr>
          <w:rFonts w:ascii="Times New Roman" w:eastAsia="Times New Roman" w:hAnsi="Times New Roman" w:cs="Times New Roman"/>
          <w:i/>
          <w:iCs/>
          <w:color w:val="000000"/>
          <w:sz w:val="24"/>
          <w:szCs w:val="24"/>
          <w:lang w:eastAsia="fr-CH"/>
        </w:rPr>
        <w:t>I</w:t>
      </w:r>
      <w:r w:rsidRPr="00360D35">
        <w:rPr>
          <w:rFonts w:ascii="Times New Roman" w:eastAsia="Times New Roman" w:hAnsi="Times New Roman" w:cs="Times New Roman"/>
          <w:i/>
          <w:iCs/>
          <w:color w:val="000000"/>
          <w:sz w:val="24"/>
          <w:szCs w:val="24"/>
          <w:lang w:eastAsia="fr-CH"/>
        </w:rPr>
        <w:t>ts Two Protocols</w:t>
      </w:r>
      <w:r w:rsidR="009B0A9D">
        <w:rPr>
          <w:rFonts w:ascii="Times New Roman" w:eastAsia="Times New Roman" w:hAnsi="Times New Roman" w:cs="Times New Roman"/>
          <w:color w:val="000000"/>
          <w:sz w:val="24"/>
          <w:szCs w:val="24"/>
          <w:lang w:eastAsia="fr-CH"/>
        </w:rPr>
        <w:t>, 2nd ed.</w:t>
      </w:r>
      <w:r w:rsidRPr="00360D35">
        <w:rPr>
          <w:rFonts w:ascii="Times New Roman" w:eastAsia="Times New Roman" w:hAnsi="Times New Roman" w:cs="Times New Roman"/>
          <w:i/>
          <w:iCs/>
          <w:color w:val="000000"/>
          <w:sz w:val="24"/>
          <w:szCs w:val="24"/>
          <w:lang w:eastAsia="fr-CH"/>
        </w:rPr>
        <w:t xml:space="preserve"> </w:t>
      </w:r>
      <w:r w:rsidR="009B0A9D" w:rsidRPr="00EB55C1">
        <w:rPr>
          <w:rFonts w:ascii="Times New Roman" w:eastAsia="Times New Roman" w:hAnsi="Times New Roman" w:cs="Times New Roman"/>
          <w:color w:val="000000"/>
          <w:sz w:val="24"/>
          <w:szCs w:val="24"/>
          <w:lang w:eastAsia="fr-CH"/>
        </w:rPr>
        <w:t>(</w:t>
      </w:r>
      <w:proofErr w:type="spellStart"/>
      <w:r w:rsidR="000C08FD" w:rsidRPr="000C08FD">
        <w:rPr>
          <w:rFonts w:ascii="Times New Roman" w:eastAsia="Times New Roman" w:hAnsi="Times New Roman" w:cs="Times New Roman"/>
          <w:color w:val="000000"/>
          <w:sz w:val="24"/>
          <w:szCs w:val="24"/>
          <w:lang w:eastAsia="fr-CH"/>
        </w:rPr>
        <w:t>Builth</w:t>
      </w:r>
      <w:proofErr w:type="spellEnd"/>
      <w:r w:rsidR="000C08FD" w:rsidRPr="000C08FD">
        <w:rPr>
          <w:rFonts w:ascii="Times New Roman" w:eastAsia="Times New Roman" w:hAnsi="Times New Roman" w:cs="Times New Roman"/>
          <w:color w:val="000000"/>
          <w:sz w:val="24"/>
          <w:szCs w:val="24"/>
          <w:lang w:eastAsia="fr-CH"/>
        </w:rPr>
        <w:t xml:space="preserve"> Wells</w:t>
      </w:r>
      <w:r w:rsidR="000C08FD">
        <w:rPr>
          <w:rFonts w:ascii="Times New Roman" w:eastAsia="Times New Roman" w:hAnsi="Times New Roman" w:cs="Times New Roman"/>
          <w:color w:val="000000"/>
          <w:sz w:val="24"/>
          <w:szCs w:val="24"/>
          <w:lang w:eastAsia="fr-CH"/>
        </w:rPr>
        <w:t>, UK:</w:t>
      </w:r>
      <w:r w:rsidR="000C08FD" w:rsidRPr="000C08FD">
        <w:rPr>
          <w:rFonts w:ascii="Times New Roman" w:eastAsia="Times New Roman" w:hAnsi="Times New Roman" w:cs="Times New Roman"/>
          <w:color w:val="000000"/>
          <w:sz w:val="24"/>
          <w:szCs w:val="24"/>
          <w:lang w:eastAsia="fr-CH"/>
        </w:rPr>
        <w:t xml:space="preserve"> </w:t>
      </w:r>
      <w:r w:rsidRPr="00360D35">
        <w:rPr>
          <w:rFonts w:ascii="Times New Roman" w:eastAsia="Times New Roman" w:hAnsi="Times New Roman" w:cs="Times New Roman"/>
          <w:color w:val="000000"/>
          <w:sz w:val="24"/>
          <w:szCs w:val="24"/>
          <w:lang w:eastAsia="fr-CH"/>
        </w:rPr>
        <w:t xml:space="preserve">Institute of Art and </w:t>
      </w:r>
      <w:r w:rsidR="009B0A9D">
        <w:rPr>
          <w:rFonts w:ascii="Times New Roman" w:eastAsia="Times New Roman" w:hAnsi="Times New Roman" w:cs="Times New Roman"/>
          <w:color w:val="000000"/>
          <w:sz w:val="24"/>
          <w:szCs w:val="24"/>
          <w:lang w:eastAsia="fr-CH"/>
        </w:rPr>
        <w:t>L</w:t>
      </w:r>
      <w:r w:rsidRPr="00360D35">
        <w:rPr>
          <w:rFonts w:ascii="Times New Roman" w:eastAsia="Times New Roman" w:hAnsi="Times New Roman" w:cs="Times New Roman"/>
          <w:color w:val="000000"/>
          <w:sz w:val="24"/>
          <w:szCs w:val="24"/>
          <w:lang w:eastAsia="fr-CH"/>
        </w:rPr>
        <w:t>aw, 2012</w:t>
      </w:r>
      <w:r w:rsidR="009B0A9D">
        <w:rPr>
          <w:rFonts w:ascii="Times New Roman" w:eastAsia="Times New Roman" w:hAnsi="Times New Roman" w:cs="Times New Roman"/>
          <w:color w:val="000000"/>
          <w:sz w:val="24"/>
          <w:szCs w:val="24"/>
          <w:lang w:eastAsia="fr-CH"/>
        </w:rPr>
        <w:t>)</w:t>
      </w:r>
      <w:r w:rsidRPr="00360D35">
        <w:rPr>
          <w:rFonts w:ascii="Times New Roman" w:eastAsia="Times New Roman" w:hAnsi="Times New Roman" w:cs="Times New Roman"/>
          <w:color w:val="000000"/>
          <w:sz w:val="24"/>
          <w:szCs w:val="24"/>
          <w:lang w:eastAsia="fr-CH"/>
        </w:rPr>
        <w:t>.</w:t>
      </w:r>
    </w:p>
    <w:p w14:paraId="17790278" w14:textId="1D7E235A" w:rsidR="00344201" w:rsidRPr="00360D35" w:rsidRDefault="00344201" w:rsidP="006952D9">
      <w:pPr>
        <w:spacing w:before="120" w:after="120" w:line="480" w:lineRule="auto"/>
        <w:rPr>
          <w:rFonts w:ascii="Times New Roman" w:eastAsia="Times New Roman" w:hAnsi="Times New Roman" w:cs="Times New Roman"/>
          <w:color w:val="000000"/>
          <w:sz w:val="24"/>
          <w:szCs w:val="24"/>
          <w:lang w:eastAsia="fr-CH"/>
        </w:rPr>
      </w:pPr>
    </w:p>
    <w:p w14:paraId="3D68FFB5" w14:textId="70FEBC8E" w:rsidR="00344201" w:rsidRPr="00360D35" w:rsidRDefault="00344201" w:rsidP="006952D9">
      <w:pPr>
        <w:spacing w:before="120" w:after="120" w:line="480" w:lineRule="auto"/>
        <w:rPr>
          <w:rFonts w:ascii="Times New Roman" w:eastAsia="Times New Roman" w:hAnsi="Times New Roman" w:cs="Times New Roman"/>
          <w:color w:val="000000"/>
          <w:sz w:val="24"/>
          <w:szCs w:val="24"/>
          <w:lang w:eastAsia="fr-CH"/>
        </w:rPr>
      </w:pPr>
      <w:r w:rsidRPr="00360D35">
        <w:rPr>
          <w:rFonts w:ascii="Times New Roman" w:eastAsia="Times New Roman" w:hAnsi="Times New Roman" w:cs="Times New Roman"/>
          <w:color w:val="000000"/>
          <w:sz w:val="24"/>
          <w:szCs w:val="24"/>
          <w:lang w:eastAsia="fr-CH"/>
        </w:rPr>
        <w:t>Francesco Francioni and Ana Filipa Vrdoljak</w:t>
      </w:r>
      <w:r w:rsidRPr="00360D35">
        <w:rPr>
          <w:rFonts w:ascii="Times New Roman" w:eastAsia="Times New Roman" w:hAnsi="Times New Roman" w:cs="Times New Roman"/>
          <w:i/>
          <w:iCs/>
          <w:color w:val="000000"/>
          <w:sz w:val="24"/>
          <w:szCs w:val="24"/>
          <w:lang w:eastAsia="fr-CH"/>
        </w:rPr>
        <w:t>, The Oxford Handbook of International Cultural Heritage Law</w:t>
      </w:r>
      <w:r w:rsidRPr="00360D35">
        <w:rPr>
          <w:rFonts w:ascii="Times New Roman" w:eastAsia="Times New Roman" w:hAnsi="Times New Roman" w:cs="Times New Roman"/>
          <w:color w:val="000000"/>
          <w:sz w:val="24"/>
          <w:szCs w:val="24"/>
          <w:lang w:eastAsia="fr-CH"/>
        </w:rPr>
        <w:t xml:space="preserve"> </w:t>
      </w:r>
      <w:r w:rsidR="009D6D69">
        <w:rPr>
          <w:rFonts w:ascii="Times New Roman" w:eastAsia="Times New Roman" w:hAnsi="Times New Roman" w:cs="Times New Roman"/>
          <w:color w:val="000000"/>
          <w:sz w:val="24"/>
          <w:szCs w:val="24"/>
          <w:lang w:eastAsia="fr-CH"/>
        </w:rPr>
        <w:t xml:space="preserve">(Oxford: </w:t>
      </w:r>
      <w:r w:rsidRPr="00360D35">
        <w:rPr>
          <w:rFonts w:ascii="Times New Roman" w:eastAsia="Times New Roman" w:hAnsi="Times New Roman" w:cs="Times New Roman"/>
          <w:color w:val="000000"/>
          <w:sz w:val="24"/>
          <w:szCs w:val="24"/>
          <w:lang w:eastAsia="fr-CH"/>
        </w:rPr>
        <w:t>Oxford University Press, 2020</w:t>
      </w:r>
      <w:r w:rsidR="009D6D69">
        <w:rPr>
          <w:rFonts w:ascii="Times New Roman" w:eastAsia="Times New Roman" w:hAnsi="Times New Roman" w:cs="Times New Roman"/>
          <w:color w:val="000000"/>
          <w:sz w:val="24"/>
          <w:szCs w:val="24"/>
          <w:lang w:eastAsia="fr-CH"/>
        </w:rPr>
        <w:t>)</w:t>
      </w:r>
      <w:r w:rsidRPr="00360D35">
        <w:rPr>
          <w:rFonts w:ascii="Times New Roman" w:eastAsia="Times New Roman" w:hAnsi="Times New Roman" w:cs="Times New Roman"/>
          <w:color w:val="000000"/>
          <w:sz w:val="24"/>
          <w:szCs w:val="24"/>
          <w:lang w:eastAsia="fr-CH"/>
        </w:rPr>
        <w:t>.</w:t>
      </w:r>
    </w:p>
    <w:p w14:paraId="0B1EF350" w14:textId="77777777" w:rsidR="00344201" w:rsidRPr="00360D35" w:rsidRDefault="00344201" w:rsidP="00D007BC">
      <w:pPr>
        <w:spacing w:before="120" w:after="120" w:line="480" w:lineRule="auto"/>
        <w:rPr>
          <w:rFonts w:ascii="Times New Roman" w:eastAsia="Times New Roman" w:hAnsi="Times New Roman" w:cs="Times New Roman"/>
          <w:color w:val="000000"/>
          <w:sz w:val="24"/>
          <w:szCs w:val="24"/>
          <w:lang w:eastAsia="fr-CH"/>
        </w:rPr>
      </w:pPr>
    </w:p>
    <w:p w14:paraId="6C112531" w14:textId="4C64142E" w:rsidR="00344201" w:rsidRPr="00360D35" w:rsidRDefault="00344201" w:rsidP="00D007BC">
      <w:pPr>
        <w:spacing w:before="120" w:after="120" w:line="480" w:lineRule="auto"/>
        <w:rPr>
          <w:rFonts w:ascii="Times New Roman" w:eastAsia="Times New Roman" w:hAnsi="Times New Roman" w:cs="Times New Roman"/>
          <w:color w:val="000000"/>
          <w:sz w:val="24"/>
          <w:szCs w:val="24"/>
          <w:lang w:eastAsia="fr-CH"/>
        </w:rPr>
      </w:pPr>
      <w:r w:rsidRPr="00360D35">
        <w:rPr>
          <w:rFonts w:ascii="Times New Roman" w:eastAsia="Times New Roman" w:hAnsi="Times New Roman" w:cs="Times New Roman"/>
          <w:color w:val="000000"/>
          <w:sz w:val="24"/>
          <w:szCs w:val="24"/>
          <w:lang w:eastAsia="fr-CH"/>
        </w:rPr>
        <w:t xml:space="preserve">Marina Lostal, </w:t>
      </w:r>
      <w:r w:rsidRPr="00360D35">
        <w:rPr>
          <w:rFonts w:ascii="Times New Roman" w:eastAsia="Times New Roman" w:hAnsi="Times New Roman" w:cs="Times New Roman"/>
          <w:i/>
          <w:iCs/>
          <w:color w:val="000000"/>
          <w:sz w:val="24"/>
          <w:szCs w:val="24"/>
          <w:lang w:eastAsia="fr-CH"/>
        </w:rPr>
        <w:t>International Cultural Heritage Law in Armed Conflict: Case-Studies of Syria, Libya, Mali, the Invasion of Iraq, and the Buddhas of Bamiyan</w:t>
      </w:r>
      <w:r w:rsidRPr="00360D35">
        <w:rPr>
          <w:rFonts w:ascii="Times New Roman" w:eastAsia="Times New Roman" w:hAnsi="Times New Roman" w:cs="Times New Roman"/>
          <w:color w:val="000000"/>
          <w:sz w:val="24"/>
          <w:szCs w:val="24"/>
          <w:lang w:eastAsia="fr-CH"/>
        </w:rPr>
        <w:t xml:space="preserve"> </w:t>
      </w:r>
      <w:r w:rsidR="00AA09FE">
        <w:rPr>
          <w:rFonts w:ascii="Times New Roman" w:eastAsia="Times New Roman" w:hAnsi="Times New Roman" w:cs="Times New Roman"/>
          <w:color w:val="000000"/>
          <w:sz w:val="24"/>
          <w:szCs w:val="24"/>
          <w:lang w:eastAsia="fr-CH"/>
        </w:rPr>
        <w:t>(</w:t>
      </w:r>
      <w:r w:rsidR="00AA09FE" w:rsidRPr="00360D35">
        <w:rPr>
          <w:rFonts w:ascii="Times New Roman" w:eastAsia="Times New Roman" w:hAnsi="Times New Roman" w:cs="Times New Roman"/>
          <w:color w:val="000000"/>
          <w:sz w:val="24"/>
          <w:szCs w:val="24"/>
          <w:lang w:eastAsia="fr-CH"/>
        </w:rPr>
        <w:t>Cambridge</w:t>
      </w:r>
      <w:r w:rsidR="00AA09FE">
        <w:rPr>
          <w:rFonts w:ascii="Times New Roman" w:eastAsia="Times New Roman" w:hAnsi="Times New Roman" w:cs="Times New Roman"/>
          <w:color w:val="000000"/>
          <w:sz w:val="24"/>
          <w:szCs w:val="24"/>
          <w:lang w:eastAsia="fr-CH"/>
        </w:rPr>
        <w:t>:</w:t>
      </w:r>
      <w:r w:rsidR="00AA09FE" w:rsidRPr="00360D35">
        <w:rPr>
          <w:rFonts w:ascii="Times New Roman" w:eastAsia="Times New Roman" w:hAnsi="Times New Roman" w:cs="Times New Roman"/>
          <w:color w:val="000000"/>
          <w:sz w:val="24"/>
          <w:szCs w:val="24"/>
          <w:lang w:eastAsia="fr-CH"/>
        </w:rPr>
        <w:t xml:space="preserve"> </w:t>
      </w:r>
      <w:r w:rsidRPr="00360D35">
        <w:rPr>
          <w:rFonts w:ascii="Times New Roman" w:eastAsia="Times New Roman" w:hAnsi="Times New Roman" w:cs="Times New Roman"/>
          <w:color w:val="000000"/>
          <w:sz w:val="24"/>
          <w:szCs w:val="24"/>
          <w:lang w:eastAsia="fr-CH"/>
        </w:rPr>
        <w:t>Cambridge University Press, 2017</w:t>
      </w:r>
      <w:r w:rsidR="00AA09FE">
        <w:rPr>
          <w:rFonts w:ascii="Times New Roman" w:eastAsia="Times New Roman" w:hAnsi="Times New Roman" w:cs="Times New Roman"/>
          <w:color w:val="000000"/>
          <w:sz w:val="24"/>
          <w:szCs w:val="24"/>
          <w:lang w:eastAsia="fr-CH"/>
        </w:rPr>
        <w:t>)</w:t>
      </w:r>
      <w:r w:rsidRPr="00360D35">
        <w:rPr>
          <w:rFonts w:ascii="Times New Roman" w:eastAsia="Times New Roman" w:hAnsi="Times New Roman" w:cs="Times New Roman"/>
          <w:color w:val="000000"/>
          <w:sz w:val="24"/>
          <w:szCs w:val="24"/>
          <w:lang w:eastAsia="fr-CH"/>
        </w:rPr>
        <w:t>.</w:t>
      </w:r>
    </w:p>
    <w:p w14:paraId="568AD0F2" w14:textId="535F3316" w:rsidR="00344201" w:rsidRDefault="00344201" w:rsidP="00252641">
      <w:pPr>
        <w:spacing w:before="120" w:after="120" w:line="480" w:lineRule="auto"/>
        <w:rPr>
          <w:rFonts w:ascii="Times New Roman" w:eastAsia="Times New Roman" w:hAnsi="Times New Roman" w:cs="Times New Roman"/>
          <w:color w:val="000000"/>
          <w:sz w:val="24"/>
          <w:szCs w:val="24"/>
          <w:lang w:eastAsia="fr-CH"/>
        </w:rPr>
      </w:pPr>
    </w:p>
    <w:p w14:paraId="22D9C2F0" w14:textId="3667010D" w:rsidR="001D74AF" w:rsidRPr="001C33AA" w:rsidRDefault="001D74AF" w:rsidP="00252641">
      <w:pPr>
        <w:spacing w:before="120" w:after="120" w:line="480" w:lineRule="auto"/>
        <w:rPr>
          <w:rFonts w:ascii="Times New Roman" w:eastAsia="Times New Roman" w:hAnsi="Times New Roman" w:cs="Times New Roman"/>
          <w:color w:val="000000"/>
          <w:sz w:val="24"/>
          <w:szCs w:val="24"/>
          <w:lang w:eastAsia="fr-CH"/>
        </w:rPr>
      </w:pPr>
      <w:r w:rsidRPr="001C33AA">
        <w:rPr>
          <w:rFonts w:ascii="Times New Roman" w:eastAsia="Times New Roman" w:hAnsi="Times New Roman" w:cs="Times New Roman"/>
          <w:color w:val="000000"/>
          <w:sz w:val="24"/>
          <w:szCs w:val="24"/>
          <w:lang w:eastAsia="fr-CH"/>
        </w:rPr>
        <w:t xml:space="preserve">Roger O’Keefe, </w:t>
      </w:r>
      <w:r w:rsidRPr="001C33AA">
        <w:rPr>
          <w:rFonts w:ascii="Times New Roman" w:eastAsia="Times New Roman" w:hAnsi="Times New Roman" w:cs="Times New Roman"/>
          <w:i/>
          <w:iCs/>
          <w:color w:val="000000"/>
          <w:sz w:val="24"/>
          <w:szCs w:val="24"/>
          <w:lang w:eastAsia="fr-CH"/>
        </w:rPr>
        <w:t>The Protection of Cultural Property in Armed Conflict</w:t>
      </w:r>
      <w:r w:rsidRPr="001C33AA">
        <w:rPr>
          <w:rFonts w:ascii="Times New Roman" w:eastAsia="Times New Roman" w:hAnsi="Times New Roman" w:cs="Times New Roman"/>
          <w:color w:val="000000"/>
          <w:sz w:val="24"/>
          <w:szCs w:val="24"/>
          <w:lang w:eastAsia="fr-CH"/>
        </w:rPr>
        <w:t xml:space="preserve"> </w:t>
      </w:r>
      <w:r>
        <w:rPr>
          <w:rFonts w:ascii="Times New Roman" w:eastAsia="Times New Roman" w:hAnsi="Times New Roman" w:cs="Times New Roman"/>
          <w:color w:val="000000"/>
          <w:sz w:val="24"/>
          <w:szCs w:val="24"/>
          <w:lang w:eastAsia="fr-CH"/>
        </w:rPr>
        <w:t>(</w:t>
      </w:r>
      <w:r w:rsidRPr="00E13A56">
        <w:rPr>
          <w:rFonts w:ascii="Times New Roman" w:eastAsia="Times New Roman" w:hAnsi="Times New Roman" w:cs="Times New Roman"/>
          <w:color w:val="000000"/>
          <w:sz w:val="24"/>
          <w:szCs w:val="24"/>
          <w:lang w:eastAsia="fr-CH"/>
        </w:rPr>
        <w:t>Cambridge</w:t>
      </w:r>
      <w:r>
        <w:rPr>
          <w:rFonts w:ascii="Times New Roman" w:eastAsia="Times New Roman" w:hAnsi="Times New Roman" w:cs="Times New Roman"/>
          <w:color w:val="000000"/>
          <w:sz w:val="24"/>
          <w:szCs w:val="24"/>
          <w:lang w:eastAsia="fr-CH"/>
        </w:rPr>
        <w:t>:</w:t>
      </w:r>
      <w:r w:rsidRPr="00E13A56">
        <w:rPr>
          <w:rFonts w:ascii="Times New Roman" w:eastAsia="Times New Roman" w:hAnsi="Times New Roman" w:cs="Times New Roman"/>
          <w:color w:val="000000"/>
          <w:sz w:val="24"/>
          <w:szCs w:val="24"/>
          <w:lang w:eastAsia="fr-CH"/>
        </w:rPr>
        <w:t xml:space="preserve"> </w:t>
      </w:r>
      <w:r w:rsidRPr="001C33AA">
        <w:rPr>
          <w:rFonts w:ascii="Times New Roman" w:eastAsia="Times New Roman" w:hAnsi="Times New Roman" w:cs="Times New Roman"/>
          <w:color w:val="000000"/>
          <w:sz w:val="24"/>
          <w:szCs w:val="24"/>
          <w:lang w:eastAsia="fr-CH"/>
        </w:rPr>
        <w:t>Cambridge University Press, 2009</w:t>
      </w:r>
      <w:r>
        <w:rPr>
          <w:rFonts w:ascii="Times New Roman" w:eastAsia="Times New Roman" w:hAnsi="Times New Roman" w:cs="Times New Roman"/>
          <w:color w:val="000000"/>
          <w:sz w:val="24"/>
          <w:szCs w:val="24"/>
          <w:lang w:eastAsia="fr-CH"/>
        </w:rPr>
        <w:t>)</w:t>
      </w:r>
      <w:r w:rsidRPr="001C33AA">
        <w:rPr>
          <w:rFonts w:ascii="Times New Roman" w:eastAsia="Times New Roman" w:hAnsi="Times New Roman" w:cs="Times New Roman"/>
          <w:color w:val="000000"/>
          <w:sz w:val="24"/>
          <w:szCs w:val="24"/>
          <w:lang w:eastAsia="fr-CH"/>
        </w:rPr>
        <w:t>.</w:t>
      </w:r>
    </w:p>
    <w:p w14:paraId="0637B9A6" w14:textId="77777777" w:rsidR="001D74AF" w:rsidRDefault="001D74AF" w:rsidP="003162D4">
      <w:pPr>
        <w:spacing w:before="120" w:after="120" w:line="480" w:lineRule="auto"/>
        <w:rPr>
          <w:rFonts w:ascii="Times New Roman" w:eastAsia="Times New Roman" w:hAnsi="Times New Roman" w:cs="Times New Roman"/>
          <w:color w:val="000000"/>
          <w:sz w:val="24"/>
          <w:szCs w:val="24"/>
          <w:lang w:eastAsia="fr-CH"/>
        </w:rPr>
      </w:pPr>
    </w:p>
    <w:p w14:paraId="41AB6866" w14:textId="511951AD" w:rsidR="00344201" w:rsidRPr="00360D35" w:rsidRDefault="0009450A" w:rsidP="00944A32">
      <w:pPr>
        <w:spacing w:before="120" w:after="120" w:line="48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w:t>
      </w:r>
      <w:r w:rsidRPr="00E13A56">
        <w:rPr>
          <w:rFonts w:ascii="Times New Roman" w:eastAsia="Times New Roman" w:hAnsi="Times New Roman" w:cs="Times New Roman"/>
          <w:color w:val="000000"/>
          <w:sz w:val="24"/>
          <w:szCs w:val="24"/>
          <w:lang w:eastAsia="fr-CH"/>
        </w:rPr>
        <w:t>Protection of Cultural Property in Armed Conflict</w:t>
      </w:r>
      <w:r w:rsidRPr="00360D35">
        <w:rPr>
          <w:rFonts w:ascii="Times New Roman" w:eastAsia="Times New Roman" w:hAnsi="Times New Roman" w:cs="Times New Roman"/>
          <w:color w:val="000000"/>
          <w:sz w:val="24"/>
          <w:szCs w:val="24"/>
          <w:lang w:eastAsia="fr-CH"/>
        </w:rPr>
        <w:t>,</w:t>
      </w:r>
      <w:r>
        <w:rPr>
          <w:rFonts w:ascii="Times New Roman" w:eastAsia="Times New Roman" w:hAnsi="Times New Roman" w:cs="Times New Roman"/>
          <w:color w:val="000000"/>
          <w:sz w:val="24"/>
          <w:szCs w:val="24"/>
          <w:lang w:eastAsia="fr-CH"/>
        </w:rPr>
        <w:t>”</w:t>
      </w:r>
      <w:r w:rsidRPr="00360D35">
        <w:rPr>
          <w:rFonts w:ascii="Times New Roman" w:eastAsia="Times New Roman" w:hAnsi="Times New Roman" w:cs="Times New Roman"/>
          <w:color w:val="000000"/>
          <w:sz w:val="24"/>
          <w:szCs w:val="24"/>
          <w:lang w:eastAsia="fr-CH"/>
        </w:rPr>
        <w:t xml:space="preserve"> </w:t>
      </w:r>
      <w:r>
        <w:rPr>
          <w:rFonts w:ascii="Times New Roman" w:eastAsia="Times New Roman" w:hAnsi="Times New Roman" w:cs="Times New Roman"/>
          <w:color w:val="000000"/>
          <w:sz w:val="24"/>
          <w:szCs w:val="24"/>
          <w:lang w:eastAsia="fr-CH"/>
        </w:rPr>
        <w:t>special i</w:t>
      </w:r>
      <w:r w:rsidRPr="00360D35">
        <w:rPr>
          <w:rFonts w:ascii="Times New Roman" w:eastAsia="Times New Roman" w:hAnsi="Times New Roman" w:cs="Times New Roman"/>
          <w:color w:val="000000"/>
          <w:sz w:val="24"/>
          <w:szCs w:val="24"/>
          <w:lang w:eastAsia="fr-CH"/>
        </w:rPr>
        <w:t>ssue</w:t>
      </w:r>
      <w:r>
        <w:rPr>
          <w:rFonts w:ascii="Times New Roman" w:eastAsia="Times New Roman" w:hAnsi="Times New Roman" w:cs="Times New Roman"/>
          <w:color w:val="000000"/>
          <w:sz w:val="24"/>
          <w:szCs w:val="24"/>
          <w:lang w:eastAsia="fr-CH"/>
        </w:rPr>
        <w:t>,</w:t>
      </w:r>
      <w:r w:rsidRPr="00360D35">
        <w:t xml:space="preserve"> </w:t>
      </w:r>
      <w:r w:rsidRPr="00E13A56">
        <w:rPr>
          <w:rFonts w:ascii="Times New Roman" w:eastAsia="Times New Roman" w:hAnsi="Times New Roman" w:cs="Times New Roman"/>
          <w:i/>
          <w:iCs/>
          <w:color w:val="000000"/>
          <w:sz w:val="24"/>
          <w:szCs w:val="24"/>
          <w:lang w:eastAsia="fr-CH"/>
        </w:rPr>
        <w:t>International Review of the Red Cross</w:t>
      </w:r>
      <w:r>
        <w:rPr>
          <w:rFonts w:ascii="Times New Roman" w:eastAsia="Times New Roman" w:hAnsi="Times New Roman" w:cs="Times New Roman"/>
          <w:color w:val="000000"/>
          <w:sz w:val="24"/>
          <w:szCs w:val="24"/>
          <w:lang w:eastAsia="fr-CH"/>
        </w:rPr>
        <w:t>,</w:t>
      </w:r>
      <w:r w:rsidRPr="00E13A56">
        <w:rPr>
          <w:rFonts w:ascii="Times New Roman" w:eastAsia="Times New Roman" w:hAnsi="Times New Roman" w:cs="Times New Roman"/>
          <w:color w:val="000000"/>
          <w:sz w:val="24"/>
          <w:szCs w:val="24"/>
          <w:lang w:eastAsia="fr-CH"/>
        </w:rPr>
        <w:t xml:space="preserve"> </w:t>
      </w:r>
      <w:r>
        <w:rPr>
          <w:rFonts w:ascii="Times New Roman" w:eastAsia="Times New Roman" w:hAnsi="Times New Roman" w:cs="Times New Roman"/>
          <w:color w:val="000000"/>
          <w:sz w:val="24"/>
          <w:szCs w:val="24"/>
          <w:lang w:eastAsia="fr-CH"/>
        </w:rPr>
        <w:t xml:space="preserve">no. </w:t>
      </w:r>
      <w:r w:rsidRPr="00E13A56">
        <w:rPr>
          <w:rFonts w:ascii="Times New Roman" w:eastAsia="Times New Roman" w:hAnsi="Times New Roman" w:cs="Times New Roman"/>
          <w:color w:val="000000"/>
          <w:sz w:val="24"/>
          <w:szCs w:val="24"/>
          <w:lang w:eastAsia="fr-CH"/>
        </w:rPr>
        <w:t>854</w:t>
      </w:r>
      <w:r>
        <w:rPr>
          <w:rFonts w:ascii="Times New Roman" w:eastAsia="Times New Roman" w:hAnsi="Times New Roman" w:cs="Times New Roman"/>
          <w:color w:val="000000"/>
          <w:sz w:val="24"/>
          <w:szCs w:val="24"/>
          <w:lang w:eastAsia="fr-CH"/>
        </w:rPr>
        <w:t xml:space="preserve"> (</w:t>
      </w:r>
      <w:r w:rsidRPr="00360D35">
        <w:rPr>
          <w:rFonts w:ascii="Times New Roman" w:eastAsia="Times New Roman" w:hAnsi="Times New Roman" w:cs="Times New Roman"/>
          <w:color w:val="000000"/>
          <w:sz w:val="24"/>
          <w:szCs w:val="24"/>
          <w:lang w:eastAsia="fr-CH"/>
        </w:rPr>
        <w:t>June 2004</w:t>
      </w:r>
      <w:r>
        <w:rPr>
          <w:rFonts w:ascii="Times New Roman" w:eastAsia="Times New Roman" w:hAnsi="Times New Roman" w:cs="Times New Roman"/>
          <w:color w:val="000000"/>
          <w:sz w:val="24"/>
          <w:szCs w:val="24"/>
          <w:lang w:eastAsia="fr-CH"/>
        </w:rPr>
        <w:t>),</w:t>
      </w:r>
      <w:r w:rsidRPr="00360D35">
        <w:rPr>
          <w:rFonts w:ascii="Times New Roman" w:eastAsia="Times New Roman" w:hAnsi="Times New Roman" w:cs="Times New Roman"/>
          <w:color w:val="000000"/>
          <w:sz w:val="24"/>
          <w:szCs w:val="24"/>
          <w:lang w:eastAsia="fr-CH"/>
        </w:rPr>
        <w:t xml:space="preserve"> </w:t>
      </w:r>
      <w:r w:rsidRPr="00BA6E0A">
        <w:rPr>
          <w:rFonts w:ascii="Times New Roman" w:eastAsia="Times New Roman" w:hAnsi="Times New Roman" w:cs="Times New Roman"/>
          <w:color w:val="000000"/>
          <w:sz w:val="24"/>
          <w:szCs w:val="24"/>
          <w:lang w:eastAsia="fr-CH"/>
        </w:rPr>
        <w:t>https://international-review.icrc.org/reviews/irrc-no-854-protection-cultural-property-armed-conflict</w:t>
      </w:r>
      <w:r>
        <w:rPr>
          <w:rFonts w:ascii="Times New Roman" w:eastAsia="Times New Roman" w:hAnsi="Times New Roman" w:cs="Times New Roman"/>
          <w:color w:val="000000"/>
          <w:sz w:val="24"/>
          <w:szCs w:val="24"/>
          <w:lang w:eastAsia="fr-CH"/>
        </w:rPr>
        <w:t>.</w:t>
      </w:r>
    </w:p>
    <w:p w14:paraId="273E4AE5" w14:textId="612AD8C8" w:rsidR="00EB2C9E" w:rsidRPr="00EB55C1" w:rsidRDefault="00EB2C9E">
      <w:pPr>
        <w:spacing w:after="0" w:line="480" w:lineRule="auto"/>
        <w:rPr>
          <w:rFonts w:ascii="Times New Roman" w:eastAsia="Times New Roman" w:hAnsi="Times New Roman" w:cs="Times New Roman"/>
          <w:color w:val="000000"/>
          <w:sz w:val="24"/>
          <w:szCs w:val="24"/>
          <w:lang w:eastAsia="fr-CH"/>
        </w:rPr>
      </w:pPr>
    </w:p>
    <w:p w14:paraId="43CB6013" w14:textId="77777777" w:rsidR="00344201" w:rsidRPr="00EB55C1" w:rsidRDefault="00344201">
      <w:pPr>
        <w:spacing w:after="0" w:line="480" w:lineRule="auto"/>
        <w:rPr>
          <w:rFonts w:ascii="Times New Roman" w:eastAsia="Times New Roman" w:hAnsi="Times New Roman" w:cs="Times New Roman"/>
          <w:color w:val="000000"/>
          <w:sz w:val="24"/>
          <w:szCs w:val="24"/>
          <w:lang w:eastAsia="fr-CH"/>
        </w:rPr>
      </w:pPr>
    </w:p>
    <w:sectPr w:rsidR="00344201" w:rsidRPr="00EB55C1" w:rsidSect="00CB23F1">
      <w:footerReference w:type="even" r:id="rId9"/>
      <w:footerReference w:type="default" r:id="rId10"/>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2E357" w14:textId="77777777" w:rsidR="004550DE" w:rsidRDefault="004550DE" w:rsidP="00480C92">
      <w:pPr>
        <w:spacing w:after="0" w:line="240" w:lineRule="auto"/>
      </w:pPr>
      <w:r>
        <w:separator/>
      </w:r>
    </w:p>
  </w:endnote>
  <w:endnote w:type="continuationSeparator" w:id="0">
    <w:p w14:paraId="7682168E" w14:textId="77777777" w:rsidR="004550DE" w:rsidRDefault="004550DE" w:rsidP="00480C92">
      <w:pPr>
        <w:spacing w:after="0" w:line="240" w:lineRule="auto"/>
      </w:pPr>
      <w:r>
        <w:continuationSeparator/>
      </w:r>
    </w:p>
  </w:endnote>
  <w:endnote w:id="1">
    <w:p w14:paraId="2D99A449" w14:textId="6FF0AEA6" w:rsidR="00E1294E" w:rsidRPr="00907C29" w:rsidRDefault="00E1294E" w:rsidP="00907C29">
      <w:pPr>
        <w:pStyle w:val="EndnoteText"/>
        <w:spacing w:line="480" w:lineRule="auto"/>
        <w:rPr>
          <w:rFonts w:ascii="Times New Roman" w:hAnsi="Times New Roman" w:cs="Times New Roman"/>
          <w:sz w:val="24"/>
          <w:szCs w:val="24"/>
          <w:lang w:val="en-GB"/>
        </w:rPr>
      </w:pPr>
      <w:r w:rsidRPr="00907C29">
        <w:rPr>
          <w:rStyle w:val="EndnoteReference"/>
          <w:rFonts w:ascii="Times New Roman" w:hAnsi="Times New Roman" w:cs="Times New Roman"/>
          <w:sz w:val="24"/>
          <w:szCs w:val="24"/>
          <w:lang w:val="en-GB"/>
        </w:rPr>
        <w:endnoteRef/>
      </w:r>
      <w:r w:rsidRPr="00907C29">
        <w:rPr>
          <w:rFonts w:ascii="Times New Roman" w:hAnsi="Times New Roman" w:cs="Times New Roman"/>
          <w:sz w:val="24"/>
          <w:szCs w:val="24"/>
          <w:lang w:val="en-GB"/>
        </w:rPr>
        <w:t xml:space="preserve"> However, the distinction between </w:t>
      </w:r>
      <w:r w:rsidR="00DB1BA5" w:rsidRPr="00907C29">
        <w:rPr>
          <w:rFonts w:ascii="Times New Roman" w:hAnsi="Times New Roman" w:cs="Times New Roman"/>
          <w:sz w:val="24"/>
          <w:szCs w:val="24"/>
          <w:lang w:val="en-GB"/>
        </w:rPr>
        <w:t xml:space="preserve">the </w:t>
      </w:r>
      <w:r w:rsidRPr="00907C29">
        <w:rPr>
          <w:rFonts w:ascii="Times New Roman" w:hAnsi="Times New Roman" w:cs="Times New Roman"/>
          <w:sz w:val="24"/>
          <w:szCs w:val="24"/>
          <w:lang w:val="en-GB"/>
        </w:rPr>
        <w:t xml:space="preserve">concepts of </w:t>
      </w:r>
      <w:r w:rsidR="007E42BE" w:rsidRPr="00907C29">
        <w:rPr>
          <w:rFonts w:ascii="Times New Roman" w:hAnsi="Times New Roman" w:cs="Times New Roman"/>
          <w:sz w:val="24"/>
          <w:szCs w:val="24"/>
          <w:lang w:val="en-GB"/>
        </w:rPr>
        <w:t>“</w:t>
      </w:r>
      <w:r w:rsidRPr="00907C29">
        <w:rPr>
          <w:rFonts w:ascii="Times New Roman" w:hAnsi="Times New Roman" w:cs="Times New Roman"/>
          <w:sz w:val="24"/>
          <w:szCs w:val="24"/>
          <w:lang w:val="en-GB"/>
        </w:rPr>
        <w:t>cultural heritage</w:t>
      </w:r>
      <w:r w:rsidR="007E42BE" w:rsidRPr="00907C29">
        <w:rPr>
          <w:rFonts w:ascii="Times New Roman" w:hAnsi="Times New Roman" w:cs="Times New Roman"/>
          <w:sz w:val="24"/>
          <w:szCs w:val="24"/>
          <w:lang w:val="en-GB"/>
        </w:rPr>
        <w:t>”</w:t>
      </w:r>
      <w:r w:rsidRPr="00907C29">
        <w:rPr>
          <w:rFonts w:ascii="Times New Roman" w:hAnsi="Times New Roman" w:cs="Times New Roman"/>
          <w:sz w:val="24"/>
          <w:szCs w:val="24"/>
          <w:lang w:val="en-GB"/>
        </w:rPr>
        <w:t xml:space="preserve"> and </w:t>
      </w:r>
      <w:r w:rsidR="007E42BE" w:rsidRPr="00907C29">
        <w:rPr>
          <w:rFonts w:ascii="Times New Roman" w:hAnsi="Times New Roman" w:cs="Times New Roman"/>
          <w:sz w:val="24"/>
          <w:szCs w:val="24"/>
          <w:lang w:val="en-GB"/>
        </w:rPr>
        <w:t>“</w:t>
      </w:r>
      <w:r w:rsidRPr="00907C29">
        <w:rPr>
          <w:rFonts w:ascii="Times New Roman" w:hAnsi="Times New Roman" w:cs="Times New Roman"/>
          <w:sz w:val="24"/>
          <w:szCs w:val="24"/>
          <w:lang w:val="en-GB"/>
        </w:rPr>
        <w:t>cultural property</w:t>
      </w:r>
      <w:r w:rsidR="007E42BE" w:rsidRPr="00907C29">
        <w:rPr>
          <w:rFonts w:ascii="Times New Roman" w:hAnsi="Times New Roman" w:cs="Times New Roman"/>
          <w:sz w:val="24"/>
          <w:szCs w:val="24"/>
          <w:lang w:val="en-GB"/>
        </w:rPr>
        <w:t>”</w:t>
      </w:r>
      <w:r w:rsidRPr="00907C29">
        <w:rPr>
          <w:rFonts w:ascii="Times New Roman" w:hAnsi="Times New Roman" w:cs="Times New Roman"/>
          <w:sz w:val="24"/>
          <w:szCs w:val="24"/>
          <w:lang w:val="en-GB"/>
        </w:rPr>
        <w:t xml:space="preserve"> is not absolute. The 1972 Convention </w:t>
      </w:r>
      <w:r w:rsidR="00AA5671" w:rsidRPr="00907C29">
        <w:rPr>
          <w:rFonts w:ascii="Times New Roman" w:hAnsi="Times New Roman" w:cs="Times New Roman"/>
          <w:sz w:val="24"/>
          <w:szCs w:val="24"/>
          <w:lang w:val="en-GB"/>
        </w:rPr>
        <w:t>C</w:t>
      </w:r>
      <w:r w:rsidRPr="00907C29">
        <w:rPr>
          <w:rFonts w:ascii="Times New Roman" w:hAnsi="Times New Roman" w:cs="Times New Roman"/>
          <w:sz w:val="24"/>
          <w:szCs w:val="24"/>
          <w:lang w:val="en-GB"/>
        </w:rPr>
        <w:t>oncerning the Protection of the World Cultural and Natural Heritage use</w:t>
      </w:r>
      <w:r w:rsidR="00DB1BA5" w:rsidRPr="00907C29">
        <w:rPr>
          <w:rFonts w:ascii="Times New Roman" w:hAnsi="Times New Roman" w:cs="Times New Roman"/>
          <w:sz w:val="24"/>
          <w:szCs w:val="24"/>
          <w:lang w:val="en-GB"/>
        </w:rPr>
        <w:t>s</w:t>
      </w:r>
      <w:r w:rsidRPr="00907C29">
        <w:rPr>
          <w:rFonts w:ascii="Times New Roman" w:hAnsi="Times New Roman" w:cs="Times New Roman"/>
          <w:sz w:val="24"/>
          <w:szCs w:val="24"/>
          <w:lang w:val="en-GB"/>
        </w:rPr>
        <w:t xml:space="preserve"> the term “cultural heritage” to refer </w:t>
      </w:r>
      <w:r w:rsidR="00AA5671" w:rsidRPr="00907C29">
        <w:rPr>
          <w:rFonts w:ascii="Times New Roman" w:hAnsi="Times New Roman" w:cs="Times New Roman"/>
          <w:sz w:val="24"/>
          <w:szCs w:val="24"/>
          <w:lang w:val="en-GB"/>
        </w:rPr>
        <w:t xml:space="preserve">to </w:t>
      </w:r>
      <w:r w:rsidRPr="00907C29">
        <w:rPr>
          <w:rFonts w:ascii="Times New Roman" w:hAnsi="Times New Roman" w:cs="Times New Roman"/>
          <w:sz w:val="24"/>
          <w:szCs w:val="24"/>
          <w:lang w:val="en-GB"/>
        </w:rPr>
        <w:t xml:space="preserve">tangible objects. </w:t>
      </w:r>
    </w:p>
  </w:endnote>
  <w:endnote w:id="2">
    <w:p w14:paraId="1C18103A" w14:textId="7BCDFF59" w:rsidR="00E1294E" w:rsidRPr="00907C29" w:rsidRDefault="00E1294E" w:rsidP="00340CCB">
      <w:pPr>
        <w:pStyle w:val="EndnoteText"/>
        <w:spacing w:before="60" w:after="60" w:line="480" w:lineRule="auto"/>
        <w:rPr>
          <w:rFonts w:ascii="Times New Roman" w:hAnsi="Times New Roman" w:cs="Times New Roman"/>
          <w:sz w:val="24"/>
          <w:szCs w:val="24"/>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Pr="00907C29">
        <w:rPr>
          <w:rFonts w:ascii="Times New Roman" w:eastAsia="Times New Roman" w:hAnsi="Times New Roman" w:cs="Times New Roman"/>
          <w:color w:val="000000"/>
          <w:sz w:val="24"/>
          <w:szCs w:val="24"/>
          <w:lang w:eastAsia="fr-CH"/>
        </w:rPr>
        <w:t>Some aspects of IHL nevertheless apply during peacetime, such as the preventive measures intended to prepare the situation before any war erupts</w:t>
      </w:r>
      <w:r w:rsidR="00AA5671" w:rsidRPr="00907C29">
        <w:rPr>
          <w:rFonts w:ascii="Times New Roman" w:eastAsia="Times New Roman" w:hAnsi="Times New Roman" w:cs="Times New Roman"/>
          <w:color w:val="000000"/>
          <w:sz w:val="24"/>
          <w:szCs w:val="24"/>
          <w:lang w:eastAsia="fr-CH"/>
        </w:rPr>
        <w:t xml:space="preserve">: e.g., </w:t>
      </w:r>
      <w:r w:rsidRPr="00907C29">
        <w:rPr>
          <w:rFonts w:ascii="Times New Roman" w:eastAsia="Times New Roman" w:hAnsi="Times New Roman" w:cs="Times New Roman"/>
          <w:color w:val="000000"/>
          <w:sz w:val="24"/>
          <w:szCs w:val="24"/>
          <w:lang w:eastAsia="fr-CH"/>
        </w:rPr>
        <w:t xml:space="preserve">training </w:t>
      </w:r>
      <w:r w:rsidR="007E42BE" w:rsidRPr="00907C29">
        <w:rPr>
          <w:rFonts w:ascii="Times New Roman" w:eastAsia="Times New Roman" w:hAnsi="Times New Roman" w:cs="Times New Roman"/>
          <w:color w:val="000000"/>
          <w:sz w:val="24"/>
          <w:szCs w:val="24"/>
          <w:lang w:eastAsia="fr-CH"/>
        </w:rPr>
        <w:t>and</w:t>
      </w:r>
      <w:r w:rsidRPr="00907C29">
        <w:rPr>
          <w:rFonts w:ascii="Times New Roman" w:eastAsia="Times New Roman" w:hAnsi="Times New Roman" w:cs="Times New Roman"/>
          <w:color w:val="000000"/>
          <w:sz w:val="24"/>
          <w:szCs w:val="24"/>
          <w:lang w:eastAsia="fr-CH"/>
        </w:rPr>
        <w:t xml:space="preserve"> dissemination obligations, adapting domestic legislation and military doctrine in accordance with IHL obligations, </w:t>
      </w:r>
      <w:r w:rsidR="00AA5671" w:rsidRPr="00907C29">
        <w:rPr>
          <w:rFonts w:ascii="Times New Roman" w:eastAsia="Times New Roman" w:hAnsi="Times New Roman" w:cs="Times New Roman"/>
          <w:color w:val="000000"/>
          <w:sz w:val="24"/>
          <w:szCs w:val="24"/>
          <w:lang w:eastAsia="fr-CH"/>
        </w:rPr>
        <w:t xml:space="preserve">and </w:t>
      </w:r>
      <w:r w:rsidRPr="00907C29">
        <w:rPr>
          <w:rFonts w:ascii="Times New Roman" w:eastAsia="Times New Roman" w:hAnsi="Times New Roman" w:cs="Times New Roman"/>
          <w:color w:val="000000"/>
          <w:sz w:val="24"/>
          <w:szCs w:val="24"/>
          <w:lang w:eastAsia="fr-CH"/>
        </w:rPr>
        <w:t>marking protected buildings, sites</w:t>
      </w:r>
      <w:r w:rsidR="00C6074F"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and objects with a distinctive emblem.</w:t>
      </w:r>
    </w:p>
  </w:endnote>
  <w:endnote w:id="3">
    <w:p w14:paraId="7E993AB3" w14:textId="512FE69E" w:rsidR="00E1294E" w:rsidRPr="00907C29" w:rsidRDefault="00E1294E">
      <w:pPr>
        <w:pStyle w:val="EndnoteText"/>
        <w:spacing w:before="60" w:after="60" w:line="480" w:lineRule="auto"/>
        <w:rPr>
          <w:rFonts w:ascii="Times New Roman" w:eastAsia="Times New Roman" w:hAnsi="Times New Roman" w:cs="Times New Roman"/>
          <w:color w:val="000000"/>
          <w:sz w:val="24"/>
          <w:szCs w:val="24"/>
          <w:lang w:eastAsia="fr-CH"/>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Pr="00907C29">
        <w:rPr>
          <w:rFonts w:ascii="Times New Roman" w:eastAsia="Times New Roman" w:hAnsi="Times New Roman" w:cs="Times New Roman"/>
          <w:color w:val="000000"/>
          <w:sz w:val="24"/>
          <w:szCs w:val="24"/>
          <w:lang w:eastAsia="fr-CH"/>
        </w:rPr>
        <w:t xml:space="preserve">The constitutive elements of the concept of </w:t>
      </w:r>
      <w:r w:rsidR="007E42B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armed conflict</w:t>
      </w:r>
      <w:r w:rsidR="00CD7151"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which is technically not defined in treaty law, have essentially been defined by the jurisprudence of the ICTY in </w:t>
      </w:r>
      <w:r w:rsidRPr="00EB55C1">
        <w:rPr>
          <w:rFonts w:ascii="Times New Roman" w:eastAsia="Times New Roman" w:hAnsi="Times New Roman" w:cs="Times New Roman"/>
          <w:i/>
          <w:iCs/>
          <w:color w:val="000000"/>
          <w:sz w:val="24"/>
          <w:szCs w:val="24"/>
          <w:lang w:eastAsia="fr-CH"/>
        </w:rPr>
        <w:t>Dusko Tadi</w:t>
      </w:r>
      <w:r w:rsidR="00266C53" w:rsidRPr="00340CCB">
        <w:rPr>
          <w:rFonts w:ascii="Times New Roman" w:eastAsia="Times New Roman" w:hAnsi="Times New Roman" w:cs="Times New Roman"/>
          <w:i/>
          <w:iCs/>
          <w:color w:val="000000"/>
          <w:sz w:val="24"/>
          <w:szCs w:val="24"/>
          <w:lang w:eastAsia="fr-CH"/>
        </w:rPr>
        <w:t>ć</w:t>
      </w:r>
      <w:r w:rsidR="00786752" w:rsidRPr="00340CCB">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w:t>
      </w:r>
      <w:r w:rsidR="00786752" w:rsidRPr="00907C29">
        <w:rPr>
          <w:rFonts w:ascii="Times New Roman" w:eastAsia="Times New Roman" w:hAnsi="Times New Roman" w:cs="Times New Roman"/>
          <w:color w:val="000000"/>
          <w:sz w:val="24"/>
          <w:szCs w:val="24"/>
          <w:lang w:eastAsia="fr-CH"/>
        </w:rPr>
        <w:t>case no.</w:t>
      </w:r>
      <w:r w:rsidRPr="00907C29">
        <w:rPr>
          <w:rFonts w:ascii="Times New Roman" w:eastAsia="Times New Roman" w:hAnsi="Times New Roman" w:cs="Times New Roman"/>
          <w:color w:val="000000"/>
          <w:sz w:val="24"/>
          <w:szCs w:val="24"/>
          <w:lang w:eastAsia="fr-CH"/>
        </w:rPr>
        <w:t xml:space="preserve"> IT-94-1-T, </w:t>
      </w:r>
      <w:r w:rsidR="00367011" w:rsidRPr="00907C29">
        <w:rPr>
          <w:rFonts w:ascii="Times New Roman" w:eastAsia="Times New Roman" w:hAnsi="Times New Roman" w:cs="Times New Roman"/>
          <w:color w:val="000000"/>
          <w:sz w:val="24"/>
          <w:szCs w:val="24"/>
          <w:lang w:eastAsia="fr-CH"/>
        </w:rPr>
        <w:t xml:space="preserve">Judgment, </w:t>
      </w:r>
      <w:r w:rsidRPr="00907C29">
        <w:rPr>
          <w:rFonts w:ascii="Times New Roman" w:eastAsia="Times New Roman" w:hAnsi="Times New Roman" w:cs="Times New Roman"/>
          <w:color w:val="000000"/>
          <w:sz w:val="24"/>
          <w:szCs w:val="24"/>
          <w:lang w:eastAsia="fr-CH"/>
        </w:rPr>
        <w:t>7 May 1997. For an explanation of how this notion should be understood, see</w:t>
      </w:r>
      <w:r w:rsidR="000B57C9"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among many other sources</w:t>
      </w:r>
      <w:r w:rsidR="000B57C9" w:rsidRPr="00907C29">
        <w:rPr>
          <w:rFonts w:ascii="Times New Roman" w:eastAsia="Times New Roman" w:hAnsi="Times New Roman" w:cs="Times New Roman"/>
          <w:color w:val="000000"/>
          <w:sz w:val="24"/>
          <w:szCs w:val="24"/>
          <w:lang w:eastAsia="fr-CH"/>
        </w:rPr>
        <w:t>, the following opinion paper:</w:t>
      </w:r>
      <w:r w:rsidRPr="00907C29">
        <w:rPr>
          <w:rFonts w:ascii="Times New Roman" w:eastAsia="Times New Roman" w:hAnsi="Times New Roman" w:cs="Times New Roman"/>
          <w:color w:val="000000"/>
          <w:sz w:val="24"/>
          <w:szCs w:val="24"/>
          <w:lang w:eastAsia="fr-CH"/>
        </w:rPr>
        <w:t xml:space="preserve"> </w:t>
      </w:r>
      <w:r w:rsidR="000B57C9" w:rsidRPr="00907C29">
        <w:rPr>
          <w:rFonts w:ascii="Times New Roman" w:eastAsia="Times New Roman" w:hAnsi="Times New Roman" w:cs="Times New Roman"/>
          <w:color w:val="000000"/>
          <w:sz w:val="24"/>
          <w:szCs w:val="24"/>
          <w:lang w:eastAsia="fr-CH"/>
        </w:rPr>
        <w:t xml:space="preserve">International Committee of the Red Cross, </w:t>
      </w:r>
      <w:r w:rsidRPr="00907C29">
        <w:rPr>
          <w:rFonts w:ascii="Times New Roman" w:eastAsia="Times New Roman" w:hAnsi="Times New Roman" w:cs="Times New Roman"/>
          <w:color w:val="000000"/>
          <w:sz w:val="24"/>
          <w:szCs w:val="24"/>
          <w:lang w:eastAsia="fr-CH"/>
        </w:rPr>
        <w:t xml:space="preserve">“How </w:t>
      </w:r>
      <w:r w:rsidR="003B7AB3">
        <w:rPr>
          <w:rFonts w:ascii="Times New Roman" w:eastAsia="Times New Roman" w:hAnsi="Times New Roman" w:cs="Times New Roman"/>
          <w:color w:val="000000"/>
          <w:sz w:val="24"/>
          <w:szCs w:val="24"/>
          <w:lang w:eastAsia="fr-CH"/>
        </w:rPr>
        <w:t>I</w:t>
      </w:r>
      <w:r w:rsidRPr="00907C29">
        <w:rPr>
          <w:rFonts w:ascii="Times New Roman" w:eastAsia="Times New Roman" w:hAnsi="Times New Roman" w:cs="Times New Roman"/>
          <w:color w:val="000000"/>
          <w:sz w:val="24"/>
          <w:szCs w:val="24"/>
          <w:lang w:eastAsia="fr-CH"/>
        </w:rPr>
        <w:t xml:space="preserve">s the Term </w:t>
      </w:r>
      <w:r w:rsidR="000B023B"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Armed Conflict</w:t>
      </w:r>
      <w:r w:rsidR="000B023B"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Defined in International Humanitarian Law?</w:t>
      </w:r>
      <w:r w:rsidR="00CD7151"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March 2008</w:t>
      </w:r>
      <w:r w:rsidR="00FE7C3C" w:rsidRPr="00907C29">
        <w:rPr>
          <w:rFonts w:ascii="Times New Roman" w:eastAsia="Times New Roman" w:hAnsi="Times New Roman" w:cs="Times New Roman"/>
          <w:color w:val="000000"/>
          <w:sz w:val="24"/>
          <w:szCs w:val="24"/>
          <w:lang w:eastAsia="fr-CH"/>
        </w:rPr>
        <w:t>,</w:t>
      </w:r>
      <w:r w:rsidR="00FE7C3C" w:rsidRPr="00EB55C1">
        <w:rPr>
          <w:rFonts w:ascii="Times New Roman" w:hAnsi="Times New Roman" w:cs="Times New Roman"/>
          <w:sz w:val="24"/>
          <w:szCs w:val="24"/>
        </w:rPr>
        <w:t xml:space="preserve"> </w:t>
      </w:r>
      <w:r w:rsidR="00FE7C3C" w:rsidRPr="00340CCB">
        <w:rPr>
          <w:rFonts w:ascii="Times New Roman" w:eastAsia="Times New Roman" w:hAnsi="Times New Roman" w:cs="Times New Roman"/>
          <w:color w:val="000000"/>
          <w:sz w:val="24"/>
          <w:szCs w:val="24"/>
          <w:lang w:eastAsia="fr-CH"/>
        </w:rPr>
        <w:t>https://www.icrc.org/en/doc/assets/files/other/opinion-paper-armed-conflict.pdf.</w:t>
      </w:r>
    </w:p>
  </w:endnote>
  <w:endnote w:id="4">
    <w:p w14:paraId="2ED479BD" w14:textId="35AF2A25" w:rsidR="00E1294E" w:rsidRPr="00907C29" w:rsidRDefault="00E1294E" w:rsidP="00EB55C1">
      <w:pPr>
        <w:spacing w:before="60" w:after="60" w:line="480" w:lineRule="auto"/>
        <w:rPr>
          <w:rFonts w:ascii="Times New Roman" w:eastAsia="Times New Roman" w:hAnsi="Times New Roman" w:cs="Times New Roman"/>
          <w:color w:val="000000"/>
          <w:sz w:val="24"/>
          <w:szCs w:val="24"/>
          <w:lang w:val="en-GB" w:eastAsia="fr-CH"/>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Pr="00907C29">
        <w:rPr>
          <w:rFonts w:ascii="Times New Roman" w:eastAsia="Times New Roman" w:hAnsi="Times New Roman" w:cs="Times New Roman"/>
          <w:color w:val="000000"/>
          <w:sz w:val="24"/>
          <w:szCs w:val="24"/>
          <w:lang w:eastAsia="fr-CH"/>
        </w:rPr>
        <w:t>This is the case for many treaties and other legal instruments that regulate the use of weapons, that apply to naval warfare or to the regulation of the use of mercenaries</w:t>
      </w:r>
      <w:r w:rsidR="00967844"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and, as explained in this </w:t>
      </w:r>
      <w:r w:rsidR="00967844" w:rsidRPr="00907C29">
        <w:rPr>
          <w:rFonts w:ascii="Times New Roman" w:eastAsia="Times New Roman" w:hAnsi="Times New Roman" w:cs="Times New Roman"/>
          <w:color w:val="000000"/>
          <w:sz w:val="24"/>
          <w:szCs w:val="24"/>
          <w:lang w:eastAsia="fr-CH"/>
        </w:rPr>
        <w:t>c</w:t>
      </w:r>
      <w:r w:rsidRPr="00907C29">
        <w:rPr>
          <w:rFonts w:ascii="Times New Roman" w:eastAsia="Times New Roman" w:hAnsi="Times New Roman" w:cs="Times New Roman"/>
          <w:color w:val="000000"/>
          <w:sz w:val="24"/>
          <w:szCs w:val="24"/>
          <w:lang w:eastAsia="fr-CH"/>
        </w:rPr>
        <w:t xml:space="preserve">hapter, for treaties related to the protection of cultural property in the event of </w:t>
      </w:r>
      <w:r w:rsidRPr="00907C29">
        <w:rPr>
          <w:rFonts w:ascii="Times New Roman" w:eastAsia="Times New Roman" w:hAnsi="Times New Roman" w:cs="Times New Roman"/>
          <w:color w:val="000000"/>
          <w:sz w:val="24"/>
          <w:szCs w:val="24"/>
          <w:lang w:val="en-GB" w:eastAsia="fr-CH"/>
        </w:rPr>
        <w:t>armed conflict.</w:t>
      </w:r>
    </w:p>
  </w:endnote>
  <w:endnote w:id="5">
    <w:p w14:paraId="284F1D88" w14:textId="77F7353E" w:rsidR="00E1294E" w:rsidRPr="00907C29" w:rsidRDefault="00E1294E" w:rsidP="00EB55C1">
      <w:pPr>
        <w:spacing w:before="60" w:after="60" w:line="480" w:lineRule="auto"/>
        <w:rPr>
          <w:rFonts w:ascii="Times New Roman" w:eastAsia="Times New Roman" w:hAnsi="Times New Roman" w:cs="Times New Roman"/>
          <w:color w:val="000000"/>
          <w:sz w:val="24"/>
          <w:szCs w:val="24"/>
          <w:lang w:val="en-GB" w:eastAsia="fr-CH"/>
        </w:rPr>
      </w:pPr>
      <w:r w:rsidRPr="00340CCB">
        <w:rPr>
          <w:rStyle w:val="EndnoteReference"/>
          <w:rFonts w:ascii="Times New Roman" w:hAnsi="Times New Roman" w:cs="Times New Roman"/>
          <w:sz w:val="24"/>
          <w:szCs w:val="24"/>
          <w:lang w:val="en-GB"/>
        </w:rPr>
        <w:endnoteRef/>
      </w:r>
      <w:r w:rsidRPr="00340CCB">
        <w:rPr>
          <w:rFonts w:ascii="Times New Roman" w:hAnsi="Times New Roman" w:cs="Times New Roman"/>
          <w:sz w:val="24"/>
          <w:szCs w:val="24"/>
          <w:lang w:val="en-GB"/>
        </w:rPr>
        <w:t xml:space="preserve"> </w:t>
      </w:r>
      <w:r w:rsidRPr="00907C29">
        <w:rPr>
          <w:rFonts w:ascii="Times New Roman" w:eastAsia="Times New Roman" w:hAnsi="Times New Roman" w:cs="Times New Roman"/>
          <w:color w:val="000000"/>
          <w:sz w:val="24"/>
          <w:szCs w:val="24"/>
          <w:lang w:val="en-GB" w:eastAsia="fr-CH"/>
        </w:rPr>
        <w:t xml:space="preserve">After a </w:t>
      </w:r>
      <w:r w:rsidR="00B71AAA" w:rsidRPr="00907C29">
        <w:rPr>
          <w:rFonts w:ascii="Times New Roman" w:eastAsia="Times New Roman" w:hAnsi="Times New Roman" w:cs="Times New Roman"/>
          <w:color w:val="000000"/>
          <w:sz w:val="24"/>
          <w:szCs w:val="24"/>
          <w:lang w:val="en-GB" w:eastAsia="fr-CH"/>
        </w:rPr>
        <w:t>ten</w:t>
      </w:r>
      <w:r w:rsidRPr="00907C29">
        <w:rPr>
          <w:rFonts w:ascii="Times New Roman" w:eastAsia="Times New Roman" w:hAnsi="Times New Roman" w:cs="Times New Roman"/>
          <w:color w:val="000000"/>
          <w:sz w:val="24"/>
          <w:szCs w:val="24"/>
          <w:lang w:val="en-GB" w:eastAsia="fr-CH"/>
        </w:rPr>
        <w:t>-</w:t>
      </w:r>
      <w:r w:rsidR="00DB1BA5" w:rsidRPr="00907C29">
        <w:rPr>
          <w:rFonts w:ascii="Times New Roman" w:eastAsia="Times New Roman" w:hAnsi="Times New Roman" w:cs="Times New Roman"/>
          <w:color w:val="000000"/>
          <w:sz w:val="24"/>
          <w:szCs w:val="24"/>
          <w:lang w:val="en-GB" w:eastAsia="fr-CH"/>
        </w:rPr>
        <w:t>year</w:t>
      </w:r>
      <w:r w:rsidRPr="00907C29">
        <w:rPr>
          <w:rFonts w:ascii="Times New Roman" w:eastAsia="Times New Roman" w:hAnsi="Times New Roman" w:cs="Times New Roman"/>
          <w:color w:val="000000"/>
          <w:sz w:val="24"/>
          <w:szCs w:val="24"/>
          <w:lang w:val="en-GB" w:eastAsia="fr-CH"/>
        </w:rPr>
        <w:t xml:space="preserve"> study mandated by the International Conference of the Red Cross and </w:t>
      </w:r>
      <w:r w:rsidR="00B71AAA" w:rsidRPr="00907C29">
        <w:rPr>
          <w:rFonts w:ascii="Times New Roman" w:eastAsia="Times New Roman" w:hAnsi="Times New Roman" w:cs="Times New Roman"/>
          <w:color w:val="000000"/>
          <w:sz w:val="24"/>
          <w:szCs w:val="24"/>
          <w:lang w:val="en-GB" w:eastAsia="fr-CH"/>
        </w:rPr>
        <w:t>R</w:t>
      </w:r>
      <w:r w:rsidRPr="00907C29">
        <w:rPr>
          <w:rFonts w:ascii="Times New Roman" w:eastAsia="Times New Roman" w:hAnsi="Times New Roman" w:cs="Times New Roman"/>
          <w:color w:val="000000"/>
          <w:sz w:val="24"/>
          <w:szCs w:val="24"/>
          <w:lang w:val="en-GB" w:eastAsia="fr-CH"/>
        </w:rPr>
        <w:t>ed Crescent movement in 1995, the ICRC published a list of 161 rules of customary IHL, four of which specifically apply to the protection of cultural property. The study, which compiles relevant national and international practice related to each identified rule, is updated on an ongoing basis</w:t>
      </w:r>
      <w:r w:rsidR="00151E7C" w:rsidRPr="00907C29">
        <w:rPr>
          <w:rFonts w:ascii="Times New Roman" w:eastAsia="Times New Roman" w:hAnsi="Times New Roman" w:cs="Times New Roman"/>
          <w:color w:val="000000"/>
          <w:sz w:val="24"/>
          <w:szCs w:val="24"/>
          <w:lang w:val="en-GB" w:eastAsia="fr-CH"/>
        </w:rPr>
        <w:t>. See, ICRC, IHL Database: Customary IHL, https://ihl-databases.icrc.org/customary-ihl/eng/docs/home</w:t>
      </w:r>
      <w:r w:rsidR="007E42BE" w:rsidRPr="00340CCB">
        <w:rPr>
          <w:rFonts w:ascii="Times New Roman" w:eastAsia="Times New Roman" w:hAnsi="Times New Roman" w:cs="Times New Roman"/>
          <w:color w:val="000000"/>
          <w:sz w:val="24"/>
          <w:szCs w:val="24"/>
          <w:lang w:val="en-GB" w:eastAsia="fr-CH"/>
        </w:rPr>
        <w:t>.</w:t>
      </w:r>
    </w:p>
  </w:endnote>
  <w:endnote w:id="6">
    <w:p w14:paraId="3C24E276" w14:textId="7DBC843B" w:rsidR="00E1294E" w:rsidRPr="00907C29" w:rsidRDefault="00E1294E" w:rsidP="00EB55C1">
      <w:pPr>
        <w:spacing w:before="60" w:after="60" w:line="480" w:lineRule="auto"/>
        <w:rPr>
          <w:rFonts w:ascii="Times New Roman" w:eastAsia="Times New Roman" w:hAnsi="Times New Roman" w:cs="Times New Roman"/>
          <w:color w:val="000000"/>
          <w:sz w:val="24"/>
          <w:szCs w:val="24"/>
          <w:lang w:val="en-GB" w:eastAsia="fr-CH"/>
        </w:rPr>
      </w:pPr>
      <w:r w:rsidRPr="00340CCB">
        <w:rPr>
          <w:rStyle w:val="EndnoteReference"/>
          <w:rFonts w:ascii="Times New Roman" w:hAnsi="Times New Roman" w:cs="Times New Roman"/>
          <w:sz w:val="24"/>
          <w:szCs w:val="24"/>
          <w:lang w:val="en-GB"/>
        </w:rPr>
        <w:endnoteRef/>
      </w:r>
      <w:r w:rsidRPr="00340CCB">
        <w:rPr>
          <w:rFonts w:ascii="Times New Roman" w:hAnsi="Times New Roman" w:cs="Times New Roman"/>
          <w:sz w:val="24"/>
          <w:szCs w:val="24"/>
          <w:lang w:val="en-GB"/>
        </w:rPr>
        <w:t xml:space="preserve"> </w:t>
      </w:r>
      <w:r w:rsidRPr="00907C29">
        <w:rPr>
          <w:rFonts w:ascii="Times New Roman" w:eastAsia="Times New Roman" w:hAnsi="Times New Roman" w:cs="Times New Roman"/>
          <w:color w:val="000000"/>
          <w:sz w:val="24"/>
          <w:szCs w:val="24"/>
          <w:lang w:val="en-GB" w:eastAsia="fr-CH"/>
        </w:rPr>
        <w:t>See Regulations to the 1907 (IV) Hague Convention</w:t>
      </w:r>
      <w:r w:rsidR="00360A15" w:rsidRPr="00907C29">
        <w:rPr>
          <w:rFonts w:ascii="Times New Roman" w:eastAsia="Times New Roman" w:hAnsi="Times New Roman" w:cs="Times New Roman"/>
          <w:color w:val="000000"/>
          <w:sz w:val="24"/>
          <w:szCs w:val="24"/>
          <w:lang w:val="en-GB" w:eastAsia="fr-CH"/>
        </w:rPr>
        <w:t>, Art</w:t>
      </w:r>
      <w:r w:rsidR="00243C1A" w:rsidRPr="00907C29">
        <w:rPr>
          <w:rFonts w:ascii="Times New Roman" w:eastAsia="Times New Roman" w:hAnsi="Times New Roman" w:cs="Times New Roman"/>
          <w:color w:val="000000"/>
          <w:sz w:val="24"/>
          <w:szCs w:val="24"/>
          <w:lang w:val="en-GB" w:eastAsia="fr-CH"/>
        </w:rPr>
        <w:t>.</w:t>
      </w:r>
      <w:r w:rsidR="00360A15" w:rsidRPr="00907C29">
        <w:rPr>
          <w:rFonts w:ascii="Times New Roman" w:eastAsia="Times New Roman" w:hAnsi="Times New Roman" w:cs="Times New Roman"/>
          <w:color w:val="000000"/>
          <w:sz w:val="24"/>
          <w:szCs w:val="24"/>
          <w:lang w:val="en-GB" w:eastAsia="fr-CH"/>
        </w:rPr>
        <w:t xml:space="preserve"> 27, 56</w:t>
      </w:r>
      <w:r w:rsidRPr="00907C29">
        <w:rPr>
          <w:rFonts w:ascii="Times New Roman" w:eastAsia="Times New Roman" w:hAnsi="Times New Roman" w:cs="Times New Roman"/>
          <w:color w:val="000000"/>
          <w:sz w:val="24"/>
          <w:szCs w:val="24"/>
          <w:lang w:val="en-GB" w:eastAsia="fr-CH"/>
        </w:rPr>
        <w:t xml:space="preserve">. The 1907 (IX) </w:t>
      </w:r>
      <w:r w:rsidR="002C1778" w:rsidRPr="00907C29">
        <w:rPr>
          <w:rFonts w:ascii="Times New Roman" w:eastAsia="Times New Roman" w:hAnsi="Times New Roman" w:cs="Times New Roman"/>
          <w:color w:val="000000"/>
          <w:sz w:val="24"/>
          <w:szCs w:val="24"/>
          <w:lang w:val="en-GB" w:eastAsia="fr-CH"/>
        </w:rPr>
        <w:t>H</w:t>
      </w:r>
      <w:r w:rsidR="0063181C" w:rsidRPr="00907C29">
        <w:rPr>
          <w:rFonts w:ascii="Times New Roman" w:eastAsia="Times New Roman" w:hAnsi="Times New Roman" w:cs="Times New Roman"/>
          <w:color w:val="000000"/>
          <w:sz w:val="24"/>
          <w:szCs w:val="24"/>
          <w:lang w:val="en-GB" w:eastAsia="fr-CH"/>
        </w:rPr>
        <w:t xml:space="preserve">ague </w:t>
      </w:r>
      <w:r w:rsidRPr="00907C29">
        <w:rPr>
          <w:rFonts w:ascii="Times New Roman" w:eastAsia="Times New Roman" w:hAnsi="Times New Roman" w:cs="Times New Roman"/>
          <w:color w:val="000000"/>
          <w:sz w:val="24"/>
          <w:szCs w:val="24"/>
          <w:lang w:val="en-GB" w:eastAsia="fr-CH"/>
        </w:rPr>
        <w:t>Convention concerning bombardment by naval forces in time of war also contains a provision on the protection of cultural property (Article 5).</w:t>
      </w:r>
    </w:p>
  </w:endnote>
  <w:endnote w:id="7">
    <w:p w14:paraId="01180B9D" w14:textId="6C6993D5" w:rsidR="00907C29" w:rsidRPr="00EB55C1" w:rsidRDefault="00907C29" w:rsidP="00EB55C1">
      <w:pPr>
        <w:pStyle w:val="EndnoteText"/>
        <w:spacing w:line="480" w:lineRule="auto"/>
        <w:rPr>
          <w:rFonts w:ascii="Times New Roman" w:hAnsi="Times New Roman" w:cs="Times New Roman"/>
          <w:sz w:val="24"/>
          <w:szCs w:val="24"/>
        </w:rPr>
      </w:pPr>
      <w:r w:rsidRPr="00EB55C1">
        <w:rPr>
          <w:rStyle w:val="EndnoteReference"/>
          <w:rFonts w:ascii="Times New Roman" w:hAnsi="Times New Roman" w:cs="Times New Roman"/>
          <w:sz w:val="24"/>
          <w:szCs w:val="24"/>
        </w:rPr>
        <w:endnoteRef/>
      </w:r>
      <w:r w:rsidRPr="00EB55C1">
        <w:rPr>
          <w:rFonts w:ascii="Times New Roman" w:hAnsi="Times New Roman" w:cs="Times New Roman"/>
          <w:sz w:val="24"/>
          <w:szCs w:val="24"/>
        </w:rPr>
        <w:t xml:space="preserve"> 1954 Hague Convention, Art. 1.</w:t>
      </w:r>
    </w:p>
  </w:endnote>
  <w:endnote w:id="8">
    <w:p w14:paraId="5F98485A" w14:textId="56E67888" w:rsidR="00E1294E" w:rsidRPr="00907C29" w:rsidRDefault="00E1294E" w:rsidP="00340CCB">
      <w:pPr>
        <w:pStyle w:val="EndnoteText"/>
        <w:spacing w:before="60" w:after="60" w:line="480" w:lineRule="auto"/>
        <w:rPr>
          <w:rFonts w:ascii="Times New Roman" w:eastAsia="Times New Roman" w:hAnsi="Times New Roman" w:cs="Times New Roman"/>
          <w:color w:val="000000"/>
          <w:sz w:val="24"/>
          <w:szCs w:val="24"/>
          <w:lang w:eastAsia="fr-CH"/>
        </w:rPr>
      </w:pPr>
      <w:r w:rsidRPr="00340CCB">
        <w:rPr>
          <w:rStyle w:val="EndnoteReference"/>
          <w:rFonts w:ascii="Times New Roman" w:hAnsi="Times New Roman" w:cs="Times New Roman"/>
          <w:sz w:val="24"/>
          <w:szCs w:val="24"/>
          <w:lang w:val="en-GB"/>
        </w:rPr>
        <w:endnoteRef/>
      </w:r>
      <w:r w:rsidRPr="00340CCB">
        <w:rPr>
          <w:rFonts w:ascii="Times New Roman" w:hAnsi="Times New Roman" w:cs="Times New Roman"/>
          <w:sz w:val="24"/>
          <w:szCs w:val="24"/>
          <w:lang w:val="en-GB"/>
        </w:rPr>
        <w:t xml:space="preserve"> </w:t>
      </w:r>
      <w:r w:rsidRPr="00907C29">
        <w:rPr>
          <w:rFonts w:ascii="Times New Roman" w:eastAsia="Times New Roman" w:hAnsi="Times New Roman" w:cs="Times New Roman"/>
          <w:color w:val="000000"/>
          <w:sz w:val="24"/>
          <w:szCs w:val="24"/>
          <w:lang w:val="en-GB" w:eastAsia="fr-CH"/>
        </w:rPr>
        <w:t>Within the limits imposed by good faith and by the ordinary meaning of words, as imposed under international law</w:t>
      </w:r>
      <w:r w:rsidR="00201757" w:rsidRPr="00907C29">
        <w:rPr>
          <w:rFonts w:ascii="Times New Roman" w:eastAsia="Times New Roman" w:hAnsi="Times New Roman" w:cs="Times New Roman"/>
          <w:color w:val="000000"/>
          <w:sz w:val="24"/>
          <w:szCs w:val="24"/>
          <w:lang w:val="en-GB" w:eastAsia="fr-CH"/>
        </w:rPr>
        <w:t>. See</w:t>
      </w:r>
      <w:r w:rsidRPr="00907C29">
        <w:rPr>
          <w:rFonts w:ascii="Times New Roman" w:eastAsia="Times New Roman" w:hAnsi="Times New Roman" w:cs="Times New Roman"/>
          <w:color w:val="000000"/>
          <w:sz w:val="24"/>
          <w:szCs w:val="24"/>
          <w:lang w:val="en-GB" w:eastAsia="fr-CH"/>
        </w:rPr>
        <w:t xml:space="preserve"> Vienna Convention on the Law of Treaties, 23 May 1969</w:t>
      </w:r>
      <w:r w:rsidR="00201757" w:rsidRPr="00907C29">
        <w:rPr>
          <w:rFonts w:ascii="Times New Roman" w:eastAsia="Times New Roman" w:hAnsi="Times New Roman" w:cs="Times New Roman"/>
          <w:color w:val="000000"/>
          <w:sz w:val="24"/>
          <w:szCs w:val="24"/>
          <w:lang w:val="en-GB" w:eastAsia="fr-CH"/>
        </w:rPr>
        <w:t>, Art. 26</w:t>
      </w:r>
      <w:r w:rsidR="000F4F86" w:rsidRPr="00907C29">
        <w:rPr>
          <w:rFonts w:ascii="Times New Roman" w:eastAsia="Times New Roman" w:hAnsi="Times New Roman" w:cs="Times New Roman"/>
          <w:color w:val="000000"/>
          <w:sz w:val="24"/>
          <w:szCs w:val="24"/>
          <w:lang w:val="en-GB" w:eastAsia="fr-CH"/>
        </w:rPr>
        <w:t xml:space="preserve">, </w:t>
      </w:r>
      <w:r w:rsidR="00201757" w:rsidRPr="00907C29">
        <w:rPr>
          <w:rFonts w:ascii="Times New Roman" w:eastAsia="Times New Roman" w:hAnsi="Times New Roman" w:cs="Times New Roman"/>
          <w:color w:val="000000"/>
          <w:sz w:val="24"/>
          <w:szCs w:val="24"/>
          <w:lang w:val="en-GB" w:eastAsia="fr-CH"/>
        </w:rPr>
        <w:t>31</w:t>
      </w:r>
      <w:r w:rsidRPr="00907C29">
        <w:rPr>
          <w:rFonts w:ascii="Times New Roman" w:eastAsia="Times New Roman" w:hAnsi="Times New Roman" w:cs="Times New Roman"/>
          <w:color w:val="000000"/>
          <w:sz w:val="24"/>
          <w:szCs w:val="24"/>
          <w:lang w:val="en-GB" w:eastAsia="fr-CH"/>
        </w:rPr>
        <w:t>.</w:t>
      </w:r>
    </w:p>
  </w:endnote>
  <w:endnote w:id="9">
    <w:p w14:paraId="701C91A3" w14:textId="2E7D6A7A" w:rsidR="00E1294E" w:rsidRPr="00907C29" w:rsidRDefault="00E1294E">
      <w:pPr>
        <w:pStyle w:val="EndnoteText"/>
        <w:spacing w:before="60" w:after="60" w:line="480" w:lineRule="auto"/>
        <w:rPr>
          <w:rFonts w:ascii="Times New Roman" w:eastAsia="Times New Roman" w:hAnsi="Times New Roman" w:cs="Times New Roman"/>
          <w:color w:val="000000"/>
          <w:sz w:val="24"/>
          <w:szCs w:val="24"/>
          <w:lang w:eastAsia="fr-CH"/>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Pr="00907C29">
        <w:rPr>
          <w:rFonts w:ascii="Times New Roman" w:eastAsia="Times New Roman" w:hAnsi="Times New Roman" w:cs="Times New Roman"/>
          <w:color w:val="000000"/>
          <w:sz w:val="24"/>
          <w:szCs w:val="24"/>
          <w:lang w:eastAsia="fr-CH"/>
        </w:rPr>
        <w:t xml:space="preserve">On the other hand, in situations where the enemy has clearly demonstrated its intention not to respect the protective rules imposed by IHL, sharing inventories or </w:t>
      </w:r>
      <w:r w:rsidR="004A1CF0" w:rsidRPr="00907C29">
        <w:rPr>
          <w:rFonts w:ascii="Times New Roman" w:eastAsia="Times New Roman" w:hAnsi="Times New Roman" w:cs="Times New Roman"/>
          <w:color w:val="000000"/>
          <w:sz w:val="24"/>
          <w:szCs w:val="24"/>
          <w:lang w:eastAsia="fr-CH"/>
        </w:rPr>
        <w:t xml:space="preserve">the </w:t>
      </w:r>
      <w:r w:rsidRPr="00907C29">
        <w:rPr>
          <w:rFonts w:ascii="Times New Roman" w:eastAsia="Times New Roman" w:hAnsi="Times New Roman" w:cs="Times New Roman"/>
          <w:color w:val="000000"/>
          <w:sz w:val="24"/>
          <w:szCs w:val="24"/>
          <w:lang w:eastAsia="fr-CH"/>
        </w:rPr>
        <w:t>GPS coordinates of protected objects (</w:t>
      </w:r>
      <w:r w:rsidR="002D4A9B" w:rsidRPr="00907C29">
        <w:rPr>
          <w:rFonts w:ascii="Times New Roman" w:eastAsia="Times New Roman" w:hAnsi="Times New Roman" w:cs="Times New Roman"/>
          <w:color w:val="000000"/>
          <w:sz w:val="24"/>
          <w:szCs w:val="24"/>
          <w:lang w:eastAsia="fr-CH"/>
        </w:rPr>
        <w:t xml:space="preserve">inc. </w:t>
      </w:r>
      <w:r w:rsidRPr="00907C29">
        <w:rPr>
          <w:rFonts w:ascii="Times New Roman" w:eastAsia="Times New Roman" w:hAnsi="Times New Roman" w:cs="Times New Roman"/>
          <w:color w:val="000000"/>
          <w:sz w:val="24"/>
          <w:szCs w:val="24"/>
          <w:lang w:eastAsia="fr-CH"/>
        </w:rPr>
        <w:t>cultural property, hospitals, objects indispensable to the survival of the civilian population such as power stations or dams) or marking them with a distinctive emblem can in fact put these objects at higher risk. In such exceptional</w:t>
      </w:r>
      <w:r w:rsidR="00243228"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although not hypothetical</w:t>
      </w:r>
      <w:r w:rsidR="00243228"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circumstances, where there is indication that the marking of the objects would in fact defeat its intended purpose, the concerned belligerent party must carefully assess the relevance of not marking them and of the alternative protective measures that it will put in place. This can potentially be even more problematic when the marking of specific categories of protected cultural property is compulsory under treaty law, as is the case for buildings and items under </w:t>
      </w:r>
      <w:r w:rsidR="00687CAA" w:rsidRPr="00907C29">
        <w:rPr>
          <w:rFonts w:ascii="Times New Roman" w:eastAsia="Times New Roman" w:hAnsi="Times New Roman" w:cs="Times New Roman"/>
          <w:color w:val="000000"/>
          <w:sz w:val="24"/>
          <w:szCs w:val="24"/>
          <w:lang w:eastAsia="fr-CH"/>
        </w:rPr>
        <w:t>the categories of “</w:t>
      </w:r>
      <w:r w:rsidR="00B048FF" w:rsidRPr="00907C29">
        <w:rPr>
          <w:rFonts w:ascii="Times New Roman" w:eastAsia="Times New Roman" w:hAnsi="Times New Roman" w:cs="Times New Roman"/>
          <w:color w:val="000000"/>
          <w:sz w:val="24"/>
          <w:szCs w:val="24"/>
          <w:lang w:eastAsia="fr-CH"/>
        </w:rPr>
        <w:t>s</w:t>
      </w:r>
      <w:r w:rsidRPr="00907C29">
        <w:rPr>
          <w:rFonts w:ascii="Times New Roman" w:eastAsia="Times New Roman" w:hAnsi="Times New Roman" w:cs="Times New Roman"/>
          <w:color w:val="000000"/>
          <w:sz w:val="24"/>
          <w:szCs w:val="24"/>
          <w:lang w:eastAsia="fr-CH"/>
        </w:rPr>
        <w:t>pecial</w:t>
      </w:r>
      <w:r w:rsidR="00687CAA"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and </w:t>
      </w:r>
      <w:r w:rsidR="00687CAA" w:rsidRPr="00907C29">
        <w:rPr>
          <w:rFonts w:ascii="Times New Roman" w:eastAsia="Times New Roman" w:hAnsi="Times New Roman" w:cs="Times New Roman"/>
          <w:color w:val="000000"/>
          <w:sz w:val="24"/>
          <w:szCs w:val="24"/>
          <w:lang w:eastAsia="fr-CH"/>
        </w:rPr>
        <w:t>“e</w:t>
      </w:r>
      <w:r w:rsidRPr="00907C29">
        <w:rPr>
          <w:rFonts w:ascii="Times New Roman" w:eastAsia="Times New Roman" w:hAnsi="Times New Roman" w:cs="Times New Roman"/>
          <w:color w:val="000000"/>
          <w:sz w:val="24"/>
          <w:szCs w:val="24"/>
          <w:lang w:eastAsia="fr-CH"/>
        </w:rPr>
        <w:t>nhanced</w:t>
      </w:r>
      <w:r w:rsidR="007B208C"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protection.</w:t>
      </w:r>
    </w:p>
  </w:endnote>
  <w:endnote w:id="10">
    <w:p w14:paraId="130C1E77" w14:textId="515F5AFD" w:rsidR="00E1294E" w:rsidRPr="00907C29" w:rsidRDefault="00E1294E">
      <w:pPr>
        <w:pStyle w:val="EndnoteText"/>
        <w:spacing w:before="60" w:after="60" w:line="480" w:lineRule="auto"/>
        <w:rPr>
          <w:rFonts w:ascii="Times New Roman" w:eastAsia="Times New Roman" w:hAnsi="Times New Roman" w:cs="Times New Roman"/>
          <w:color w:val="000000"/>
          <w:sz w:val="24"/>
          <w:szCs w:val="24"/>
          <w:lang w:eastAsia="fr-CH"/>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Pr="00907C29">
        <w:rPr>
          <w:rFonts w:ascii="Times New Roman" w:eastAsia="Times New Roman" w:hAnsi="Times New Roman" w:cs="Times New Roman"/>
          <w:color w:val="000000"/>
          <w:sz w:val="24"/>
          <w:szCs w:val="24"/>
          <w:lang w:eastAsia="fr-CH"/>
        </w:rPr>
        <w:t xml:space="preserve">NIAC, which </w:t>
      </w:r>
      <w:r w:rsidR="00984633">
        <w:rPr>
          <w:rFonts w:ascii="Times New Roman" w:eastAsia="Times New Roman" w:hAnsi="Times New Roman" w:cs="Times New Roman"/>
          <w:color w:val="000000"/>
          <w:sz w:val="24"/>
          <w:szCs w:val="24"/>
          <w:lang w:eastAsia="fr-CH"/>
        </w:rPr>
        <w:t>is</w:t>
      </w:r>
      <w:r w:rsidR="00984633" w:rsidRPr="00907C29">
        <w:rPr>
          <w:rFonts w:ascii="Times New Roman" w:eastAsia="Times New Roman" w:hAnsi="Times New Roman" w:cs="Times New Roman"/>
          <w:color w:val="000000"/>
          <w:sz w:val="24"/>
          <w:szCs w:val="24"/>
          <w:lang w:eastAsia="fr-CH"/>
        </w:rPr>
        <w:t xml:space="preserve"> </w:t>
      </w:r>
      <w:r w:rsidRPr="00907C29">
        <w:rPr>
          <w:rFonts w:ascii="Times New Roman" w:eastAsia="Times New Roman" w:hAnsi="Times New Roman" w:cs="Times New Roman"/>
          <w:color w:val="000000"/>
          <w:sz w:val="24"/>
          <w:szCs w:val="24"/>
          <w:lang w:eastAsia="fr-CH"/>
        </w:rPr>
        <w:t xml:space="preserve">by far the most prevalent form of contemporary warfare, </w:t>
      </w:r>
      <w:r w:rsidR="00984633">
        <w:rPr>
          <w:rFonts w:ascii="Times New Roman" w:eastAsia="Times New Roman" w:hAnsi="Times New Roman" w:cs="Times New Roman"/>
          <w:color w:val="000000"/>
          <w:sz w:val="24"/>
          <w:szCs w:val="24"/>
          <w:lang w:eastAsia="fr-CH"/>
        </w:rPr>
        <w:t xml:space="preserve">is </w:t>
      </w:r>
      <w:r w:rsidRPr="00907C29">
        <w:rPr>
          <w:rFonts w:ascii="Times New Roman" w:eastAsia="Times New Roman" w:hAnsi="Times New Roman" w:cs="Times New Roman"/>
          <w:color w:val="000000"/>
          <w:sz w:val="24"/>
          <w:szCs w:val="24"/>
          <w:lang w:eastAsia="fr-CH"/>
        </w:rPr>
        <w:t xml:space="preserve">much less regulated under treaty law than IAC. Not only is </w:t>
      </w:r>
      <w:r w:rsidR="000517A8" w:rsidRPr="00907C29">
        <w:rPr>
          <w:rFonts w:ascii="Times New Roman" w:eastAsia="Times New Roman" w:hAnsi="Times New Roman" w:cs="Times New Roman"/>
          <w:color w:val="000000"/>
          <w:sz w:val="24"/>
          <w:szCs w:val="24"/>
          <w:lang w:eastAsia="fr-CH"/>
        </w:rPr>
        <w:t>A</w:t>
      </w:r>
      <w:r w:rsidRPr="00907C29">
        <w:rPr>
          <w:rFonts w:ascii="Times New Roman" w:eastAsia="Times New Roman" w:hAnsi="Times New Roman" w:cs="Times New Roman"/>
          <w:color w:val="000000"/>
          <w:sz w:val="24"/>
          <w:szCs w:val="24"/>
          <w:lang w:eastAsia="fr-CH"/>
        </w:rPr>
        <w:t>rt</w:t>
      </w:r>
      <w:r w:rsidR="000517A8" w:rsidRPr="00907C29">
        <w:rPr>
          <w:rFonts w:ascii="Times New Roman" w:eastAsia="Times New Roman" w:hAnsi="Times New Roman" w:cs="Times New Roman"/>
          <w:color w:val="000000"/>
          <w:sz w:val="24"/>
          <w:szCs w:val="24"/>
          <w:lang w:eastAsia="fr-CH"/>
        </w:rPr>
        <w:t>icle</w:t>
      </w:r>
      <w:r w:rsidRPr="00907C29">
        <w:rPr>
          <w:rFonts w:ascii="Times New Roman" w:eastAsia="Times New Roman" w:hAnsi="Times New Roman" w:cs="Times New Roman"/>
          <w:color w:val="000000"/>
          <w:sz w:val="24"/>
          <w:szCs w:val="24"/>
          <w:lang w:eastAsia="fr-CH"/>
        </w:rPr>
        <w:t xml:space="preserve"> 3 common to the four 1949 Geneva Conventions the only provision in </w:t>
      </w:r>
      <w:r w:rsidR="00E942E5" w:rsidRPr="00907C29">
        <w:rPr>
          <w:rFonts w:ascii="Times New Roman" w:eastAsia="Times New Roman" w:hAnsi="Times New Roman" w:cs="Times New Roman"/>
          <w:color w:val="000000"/>
          <w:sz w:val="24"/>
          <w:szCs w:val="24"/>
          <w:lang w:eastAsia="fr-CH"/>
        </w:rPr>
        <w:t>the c</w:t>
      </w:r>
      <w:r w:rsidRPr="00907C29">
        <w:rPr>
          <w:rFonts w:ascii="Times New Roman" w:eastAsia="Times New Roman" w:hAnsi="Times New Roman" w:cs="Times New Roman"/>
          <w:color w:val="000000"/>
          <w:sz w:val="24"/>
          <w:szCs w:val="24"/>
          <w:lang w:eastAsia="fr-CH"/>
        </w:rPr>
        <w:t xml:space="preserve">onventions that deals with situations of NIAC, but there is a major discrepancy between the level of detail laid out in </w:t>
      </w:r>
      <w:r w:rsidR="00E95522" w:rsidRPr="00907C29">
        <w:rPr>
          <w:rFonts w:ascii="Times New Roman" w:eastAsia="Times New Roman" w:hAnsi="Times New Roman" w:cs="Times New Roman"/>
          <w:color w:val="000000"/>
          <w:sz w:val="24"/>
          <w:szCs w:val="24"/>
          <w:lang w:eastAsia="fr-CH"/>
        </w:rPr>
        <w:t xml:space="preserve">AP I </w:t>
      </w:r>
      <w:r w:rsidRPr="00907C29">
        <w:rPr>
          <w:rFonts w:ascii="Times New Roman" w:eastAsia="Times New Roman" w:hAnsi="Times New Roman" w:cs="Times New Roman"/>
          <w:color w:val="000000"/>
          <w:sz w:val="24"/>
          <w:szCs w:val="24"/>
          <w:lang w:eastAsia="fr-CH"/>
        </w:rPr>
        <w:t xml:space="preserve">(102 articles) and the rudimentary provisions of </w:t>
      </w:r>
      <w:r w:rsidR="00E95522" w:rsidRPr="00907C29">
        <w:rPr>
          <w:rFonts w:ascii="Times New Roman" w:eastAsia="Times New Roman" w:hAnsi="Times New Roman" w:cs="Times New Roman"/>
          <w:color w:val="000000"/>
          <w:sz w:val="24"/>
          <w:szCs w:val="24"/>
          <w:lang w:eastAsia="fr-CH"/>
        </w:rPr>
        <w:t xml:space="preserve">AP II </w:t>
      </w:r>
      <w:r w:rsidRPr="00907C29">
        <w:rPr>
          <w:rFonts w:ascii="Times New Roman" w:eastAsia="Times New Roman" w:hAnsi="Times New Roman" w:cs="Times New Roman"/>
          <w:color w:val="000000"/>
          <w:sz w:val="24"/>
          <w:szCs w:val="24"/>
          <w:lang w:eastAsia="fr-CH"/>
        </w:rPr>
        <w:t>(</w:t>
      </w:r>
      <w:r w:rsidR="005F11E3" w:rsidRPr="00907C29">
        <w:rPr>
          <w:rFonts w:ascii="Times New Roman" w:eastAsia="Times New Roman" w:hAnsi="Times New Roman" w:cs="Times New Roman"/>
          <w:color w:val="000000"/>
          <w:sz w:val="24"/>
          <w:szCs w:val="24"/>
          <w:lang w:eastAsia="fr-CH"/>
        </w:rPr>
        <w:t xml:space="preserve">twenty-eight </w:t>
      </w:r>
      <w:r w:rsidRPr="00907C29">
        <w:rPr>
          <w:rFonts w:ascii="Times New Roman" w:eastAsia="Times New Roman" w:hAnsi="Times New Roman" w:cs="Times New Roman"/>
          <w:color w:val="000000"/>
          <w:sz w:val="24"/>
          <w:szCs w:val="24"/>
          <w:lang w:eastAsia="fr-CH"/>
        </w:rPr>
        <w:t>articles).</w:t>
      </w:r>
    </w:p>
  </w:endnote>
  <w:endnote w:id="11">
    <w:p w14:paraId="3438741E" w14:textId="432E5552" w:rsidR="00E1294E" w:rsidRPr="00907C29" w:rsidRDefault="00E1294E" w:rsidP="00EB55C1">
      <w:pPr>
        <w:spacing w:before="60" w:after="60" w:line="480" w:lineRule="auto"/>
        <w:rPr>
          <w:rFonts w:ascii="Times New Roman" w:eastAsia="Times New Roman" w:hAnsi="Times New Roman" w:cs="Times New Roman"/>
          <w:sz w:val="24"/>
          <w:szCs w:val="24"/>
          <w:lang w:eastAsia="fr-CH"/>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Pr="00907C29">
        <w:rPr>
          <w:rFonts w:ascii="Times New Roman" w:eastAsia="Times New Roman" w:hAnsi="Times New Roman" w:cs="Times New Roman"/>
          <w:color w:val="000000"/>
          <w:sz w:val="24"/>
          <w:szCs w:val="24"/>
          <w:lang w:eastAsia="fr-CH"/>
        </w:rPr>
        <w:t>Even when imperative military necessity can successfully be invoked, the attacking party is still bound by the core principles guiding the conduct of hostilities under IHL. This means that before launching an attack against any legitimate military objective (including against cultural property that has lost its protection) the attacking party must take a series of precautionary measures intended to limit the effects of the attack on the civilian population and on civilian objects</w:t>
      </w:r>
      <w:r w:rsidR="00C53964"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and keep them proportionate to the direct and concrete military advantage anticipated by the operation. The attacking party must also cancel or suspend the attack if it becomes apparent that the target is in fact protected under IHL or that collateral damage to protected persons and objects will be disproportionate. These obligations, which are deeply rooted in customary IHL, have been specifically adapted to the protection of cultural property in the 1999 Second Protocol</w:t>
      </w:r>
      <w:r w:rsidR="00C53964"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w:t>
      </w:r>
      <w:r w:rsidR="00C53964" w:rsidRPr="00907C29">
        <w:rPr>
          <w:rFonts w:ascii="Times New Roman" w:eastAsia="Times New Roman" w:hAnsi="Times New Roman" w:cs="Times New Roman"/>
          <w:color w:val="000000"/>
          <w:sz w:val="24"/>
          <w:szCs w:val="24"/>
          <w:lang w:eastAsia="fr-CH"/>
        </w:rPr>
        <w:t xml:space="preserve">Art. </w:t>
      </w:r>
      <w:r w:rsidRPr="00907C29">
        <w:rPr>
          <w:rFonts w:ascii="Times New Roman" w:eastAsia="Times New Roman" w:hAnsi="Times New Roman" w:cs="Times New Roman"/>
          <w:color w:val="000000"/>
          <w:sz w:val="24"/>
          <w:szCs w:val="24"/>
          <w:lang w:eastAsia="fr-CH"/>
        </w:rPr>
        <w:t>7</w:t>
      </w:r>
      <w:r w:rsidR="00C53964"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8.</w:t>
      </w:r>
    </w:p>
  </w:endnote>
  <w:endnote w:id="12">
    <w:p w14:paraId="7FF0AB2E" w14:textId="410B9463" w:rsidR="00E1294E" w:rsidRPr="00907C29" w:rsidRDefault="00E1294E" w:rsidP="00340CCB">
      <w:pPr>
        <w:pStyle w:val="EndnoteText"/>
        <w:spacing w:before="60" w:after="60" w:line="480" w:lineRule="auto"/>
        <w:rPr>
          <w:rFonts w:ascii="Times New Roman" w:eastAsia="Times New Roman" w:hAnsi="Times New Roman" w:cs="Times New Roman"/>
          <w:color w:val="000000"/>
          <w:sz w:val="24"/>
          <w:szCs w:val="24"/>
          <w:lang w:eastAsia="fr-CH"/>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T</w:t>
      </w:r>
      <w:r w:rsidRPr="00907C29">
        <w:rPr>
          <w:rFonts w:ascii="Times New Roman" w:eastAsia="Times New Roman" w:hAnsi="Times New Roman" w:cs="Times New Roman"/>
          <w:color w:val="000000"/>
          <w:sz w:val="24"/>
          <w:szCs w:val="24"/>
          <w:lang w:eastAsia="fr-CH"/>
        </w:rPr>
        <w:t xml:space="preserve">hese acts are: </w:t>
      </w:r>
      <w:r w:rsidR="00DA1D9B" w:rsidRPr="00907C29">
        <w:rPr>
          <w:rFonts w:ascii="Times New Roman" w:eastAsia="Times New Roman" w:hAnsi="Times New Roman" w:cs="Times New Roman"/>
          <w:color w:val="000000"/>
          <w:sz w:val="24"/>
          <w:szCs w:val="24"/>
          <w:lang w:eastAsia="fr-CH"/>
        </w:rPr>
        <w:t>“</w:t>
      </w:r>
      <w:r w:rsidR="00BD243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a</w:t>
      </w:r>
      <w:r w:rsidR="00BD243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Making cultural property under enhanced protection the object of attack; </w:t>
      </w:r>
      <w:r w:rsidR="00BD243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b</w:t>
      </w:r>
      <w:r w:rsidR="00BD243E" w:rsidRPr="00907C29">
        <w:rPr>
          <w:rFonts w:ascii="Times New Roman" w:eastAsia="Times New Roman" w:hAnsi="Times New Roman" w:cs="Times New Roman"/>
          <w:color w:val="000000"/>
          <w:sz w:val="24"/>
          <w:szCs w:val="24"/>
          <w:lang w:eastAsia="fr-CH"/>
        </w:rPr>
        <w:t xml:space="preserve">) </w:t>
      </w:r>
      <w:r w:rsidRPr="00907C29">
        <w:rPr>
          <w:rFonts w:ascii="Times New Roman" w:eastAsia="Times New Roman" w:hAnsi="Times New Roman" w:cs="Times New Roman"/>
          <w:color w:val="000000"/>
          <w:sz w:val="24"/>
          <w:szCs w:val="24"/>
          <w:lang w:eastAsia="fr-CH"/>
        </w:rPr>
        <w:t xml:space="preserve">Using cultural property under enhanced protection or its immediate surroundings in support of military action; </w:t>
      </w:r>
      <w:r w:rsidR="00BD243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c</w:t>
      </w:r>
      <w:r w:rsidR="00BD243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Extensive destruction or appropriation of any protected cultural property; </w:t>
      </w:r>
      <w:r w:rsidR="00BD243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d</w:t>
      </w:r>
      <w:r w:rsidR="00BD243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Making any protected cultural property the object of attack; </w:t>
      </w:r>
      <w:r w:rsidR="00BD243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e</w:t>
      </w:r>
      <w:r w:rsidR="00BD243E"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w:t>
      </w:r>
      <w:r w:rsidR="00DA1D9B" w:rsidRPr="00907C29">
        <w:rPr>
          <w:rFonts w:ascii="Times New Roman" w:eastAsia="Times New Roman" w:hAnsi="Times New Roman" w:cs="Times New Roman"/>
          <w:color w:val="000000"/>
          <w:sz w:val="24"/>
          <w:szCs w:val="24"/>
          <w:lang w:eastAsia="fr-CH"/>
        </w:rPr>
        <w:t>T</w:t>
      </w:r>
      <w:r w:rsidRPr="00907C29">
        <w:rPr>
          <w:rFonts w:ascii="Times New Roman" w:eastAsia="Times New Roman" w:hAnsi="Times New Roman" w:cs="Times New Roman"/>
          <w:color w:val="000000"/>
          <w:sz w:val="24"/>
          <w:szCs w:val="24"/>
          <w:lang w:eastAsia="fr-CH"/>
        </w:rPr>
        <w:t>heft, pillage, misappropriation of or vandalism directed against protected cultural property</w:t>
      </w:r>
      <w:r w:rsidR="00B00817"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w:t>
      </w:r>
      <w:r w:rsidR="00B00817" w:rsidRPr="00907C29">
        <w:rPr>
          <w:rFonts w:ascii="Times New Roman" w:eastAsia="Times New Roman" w:hAnsi="Times New Roman" w:cs="Times New Roman"/>
          <w:color w:val="000000"/>
          <w:sz w:val="24"/>
          <w:szCs w:val="24"/>
          <w:lang w:eastAsia="fr-CH"/>
        </w:rPr>
        <w:t xml:space="preserve">See </w:t>
      </w:r>
      <w:r w:rsidRPr="00907C29">
        <w:rPr>
          <w:rFonts w:ascii="Times New Roman" w:eastAsia="Times New Roman" w:hAnsi="Times New Roman" w:cs="Times New Roman"/>
          <w:color w:val="000000"/>
          <w:sz w:val="24"/>
          <w:szCs w:val="24"/>
          <w:lang w:eastAsia="fr-CH"/>
        </w:rPr>
        <w:t>Second Protocol</w:t>
      </w:r>
      <w:r w:rsidR="00B00817" w:rsidRPr="00907C29">
        <w:rPr>
          <w:rFonts w:ascii="Times New Roman" w:eastAsia="Times New Roman" w:hAnsi="Times New Roman" w:cs="Times New Roman"/>
          <w:color w:val="000000"/>
          <w:sz w:val="24"/>
          <w:szCs w:val="24"/>
          <w:lang w:eastAsia="fr-CH"/>
        </w:rPr>
        <w:t>, Art. 15</w:t>
      </w:r>
      <w:r w:rsidRPr="00907C29">
        <w:rPr>
          <w:rFonts w:ascii="Times New Roman" w:eastAsia="Times New Roman" w:hAnsi="Times New Roman" w:cs="Times New Roman"/>
          <w:color w:val="000000"/>
          <w:sz w:val="24"/>
          <w:szCs w:val="24"/>
          <w:lang w:eastAsia="fr-CH"/>
        </w:rPr>
        <w:t>.</w:t>
      </w:r>
    </w:p>
  </w:endnote>
  <w:endnote w:id="13">
    <w:p w14:paraId="2DBC5D0E" w14:textId="74488329" w:rsidR="00E1294E" w:rsidRPr="00907C29" w:rsidRDefault="00E1294E">
      <w:pPr>
        <w:pStyle w:val="EndnoteText"/>
        <w:spacing w:before="60" w:after="60" w:line="480" w:lineRule="auto"/>
        <w:rPr>
          <w:rFonts w:ascii="Times New Roman" w:eastAsia="Times New Roman" w:hAnsi="Times New Roman" w:cs="Times New Roman"/>
          <w:color w:val="000000"/>
          <w:sz w:val="24"/>
          <w:szCs w:val="24"/>
          <w:lang w:eastAsia="fr-CH"/>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Pr="00907C29">
        <w:rPr>
          <w:rFonts w:ascii="Times New Roman" w:eastAsia="Times New Roman" w:hAnsi="Times New Roman" w:cs="Times New Roman"/>
          <w:color w:val="000000"/>
          <w:sz w:val="24"/>
          <w:szCs w:val="24"/>
          <w:lang w:eastAsia="fr-CH"/>
        </w:rPr>
        <w:t>It is</w:t>
      </w:r>
      <w:r w:rsidR="007E0700"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however</w:t>
      </w:r>
      <w:r w:rsidR="007E0700" w:rsidRPr="00907C29">
        <w:rPr>
          <w:rFonts w:ascii="Times New Roman" w:eastAsia="Times New Roman" w:hAnsi="Times New Roman" w:cs="Times New Roman"/>
          <w:color w:val="000000"/>
          <w:sz w:val="24"/>
          <w:szCs w:val="24"/>
          <w:lang w:eastAsia="fr-CH"/>
        </w:rPr>
        <w:t>,</w:t>
      </w:r>
      <w:r w:rsidRPr="00907C29">
        <w:rPr>
          <w:rFonts w:ascii="Times New Roman" w:eastAsia="Times New Roman" w:hAnsi="Times New Roman" w:cs="Times New Roman"/>
          <w:color w:val="000000"/>
          <w:sz w:val="24"/>
          <w:szCs w:val="24"/>
          <w:lang w:eastAsia="fr-CH"/>
        </w:rPr>
        <w:t xml:space="preserve"> necessary that the alleged offender be apprehended on the territory of the prosecuting </w:t>
      </w:r>
      <w:r w:rsidR="00646807" w:rsidRPr="00907C29">
        <w:rPr>
          <w:rFonts w:ascii="Times New Roman" w:eastAsia="Times New Roman" w:hAnsi="Times New Roman" w:cs="Times New Roman"/>
          <w:color w:val="000000"/>
          <w:sz w:val="24"/>
          <w:szCs w:val="24"/>
          <w:lang w:eastAsia="fr-CH"/>
        </w:rPr>
        <w:t>state</w:t>
      </w:r>
      <w:r w:rsidRPr="00907C29">
        <w:rPr>
          <w:rFonts w:ascii="Times New Roman" w:eastAsia="Times New Roman" w:hAnsi="Times New Roman" w:cs="Times New Roman"/>
          <w:color w:val="000000"/>
          <w:sz w:val="24"/>
          <w:szCs w:val="24"/>
          <w:lang w:eastAsia="fr-CH"/>
        </w:rPr>
        <w:t>.</w:t>
      </w:r>
    </w:p>
  </w:endnote>
  <w:endnote w:id="14">
    <w:p w14:paraId="19D65805" w14:textId="6AFD18BB" w:rsidR="00E1294E" w:rsidRPr="00EB55C1" w:rsidRDefault="00E1294E" w:rsidP="00EB55C1">
      <w:pPr>
        <w:pStyle w:val="NormalWeb"/>
        <w:spacing w:line="480" w:lineRule="auto"/>
        <w:rPr>
          <w:lang w:eastAsia="en-US"/>
        </w:rPr>
      </w:pPr>
      <w:r w:rsidRPr="0075739F">
        <w:rPr>
          <w:rStyle w:val="EndnoteReference"/>
        </w:rPr>
        <w:endnoteRef/>
      </w:r>
      <w:r w:rsidRPr="0075739F">
        <w:t xml:space="preserve"> </w:t>
      </w:r>
      <w:r w:rsidRPr="0075739F">
        <w:rPr>
          <w:color w:val="000000"/>
        </w:rPr>
        <w:t>Beyond the fact that the sanction</w:t>
      </w:r>
      <w:r w:rsidR="008518F2">
        <w:rPr>
          <w:color w:val="000000"/>
        </w:rPr>
        <w:t>s</w:t>
      </w:r>
      <w:r w:rsidRPr="0075739F">
        <w:rPr>
          <w:color w:val="000000"/>
        </w:rPr>
        <w:t xml:space="preserve"> regime in the 1999 Second Protocol goes beyond the prescription </w:t>
      </w:r>
      <w:r w:rsidR="007E0700" w:rsidRPr="0075739F">
        <w:rPr>
          <w:color w:val="000000"/>
        </w:rPr>
        <w:t xml:space="preserve">in </w:t>
      </w:r>
      <w:r w:rsidR="00E95522" w:rsidRPr="0075739F">
        <w:rPr>
          <w:color w:val="000000"/>
        </w:rPr>
        <w:t>AP I</w:t>
      </w:r>
      <w:r w:rsidR="007E0700" w:rsidRPr="0075739F">
        <w:rPr>
          <w:color w:val="000000"/>
        </w:rPr>
        <w:t xml:space="preserve">, Art. 85 </w:t>
      </w:r>
      <w:r w:rsidRPr="0075739F">
        <w:rPr>
          <w:color w:val="000000"/>
        </w:rPr>
        <w:t xml:space="preserve">(which only applies to IAC), neither Article 3 common to the Geneva Conventions nor </w:t>
      </w:r>
      <w:r w:rsidR="00E95522" w:rsidRPr="0075739F">
        <w:rPr>
          <w:color w:val="000000"/>
        </w:rPr>
        <w:t xml:space="preserve">AP II </w:t>
      </w:r>
      <w:r w:rsidRPr="0075739F">
        <w:rPr>
          <w:color w:val="000000"/>
        </w:rPr>
        <w:t>contain provisions on the repression of war crimes in NIAC. The Second Protocol undeniably also goes beyond the prescription of the Rome Statute</w:t>
      </w:r>
      <w:r w:rsidR="00EF3286" w:rsidRPr="0075739F">
        <w:rPr>
          <w:color w:val="000000"/>
        </w:rPr>
        <w:t>,</w:t>
      </w:r>
      <w:r w:rsidRPr="0075739F">
        <w:rPr>
          <w:color w:val="000000"/>
        </w:rPr>
        <w:t xml:space="preserve"> which not only distinguishes crimes committed in IAC from those committed in NIAC but more importantly neither criminalizes </w:t>
      </w:r>
      <w:r w:rsidR="00360D35" w:rsidRPr="0075739F">
        <w:rPr>
          <w:color w:val="000000"/>
        </w:rPr>
        <w:t>offense</w:t>
      </w:r>
      <w:r w:rsidRPr="0075739F">
        <w:rPr>
          <w:color w:val="000000"/>
        </w:rPr>
        <w:t>s committed against movable cultural property nor the use of protected cultural property for military purposes</w:t>
      </w:r>
      <w:r w:rsidR="00EF3286" w:rsidRPr="0075739F">
        <w:rPr>
          <w:color w:val="000000"/>
        </w:rPr>
        <w:t>. See</w:t>
      </w:r>
      <w:r w:rsidR="00C13F6B" w:rsidRPr="0075739F">
        <w:rPr>
          <w:color w:val="000000"/>
        </w:rPr>
        <w:t xml:space="preserve"> Rome Statute</w:t>
      </w:r>
      <w:r w:rsidRPr="0075739F">
        <w:rPr>
          <w:color w:val="000000"/>
        </w:rPr>
        <w:t xml:space="preserve"> </w:t>
      </w:r>
      <w:r w:rsidR="00BF18FB" w:rsidRPr="00EB55C1">
        <w:rPr>
          <w:rFonts w:hint="eastAsia"/>
          <w:lang w:eastAsia="en-US"/>
        </w:rPr>
        <w:t>of the International Criminal Court</w:t>
      </w:r>
      <w:r w:rsidR="00BF18FB" w:rsidRPr="00340CCB">
        <w:rPr>
          <w:color w:val="000000"/>
        </w:rPr>
        <w:t xml:space="preserve">, </w:t>
      </w:r>
      <w:r w:rsidRPr="0075739F">
        <w:rPr>
          <w:color w:val="000000"/>
        </w:rPr>
        <w:t>Art</w:t>
      </w:r>
      <w:r w:rsidR="00C63571">
        <w:rPr>
          <w:color w:val="000000"/>
        </w:rPr>
        <w:t>s</w:t>
      </w:r>
      <w:r w:rsidR="00F23573">
        <w:rPr>
          <w:color w:val="000000"/>
        </w:rPr>
        <w:t>.</w:t>
      </w:r>
      <w:r w:rsidRPr="0075739F">
        <w:rPr>
          <w:color w:val="000000"/>
        </w:rPr>
        <w:t xml:space="preserve"> 8</w:t>
      </w:r>
      <w:r w:rsidR="00BF18FB" w:rsidRPr="0075739F">
        <w:rPr>
          <w:color w:val="000000"/>
        </w:rPr>
        <w:t>.</w:t>
      </w:r>
      <w:r w:rsidRPr="0075739F">
        <w:rPr>
          <w:color w:val="000000"/>
        </w:rPr>
        <w:t>2</w:t>
      </w:r>
      <w:r w:rsidR="00BF18FB" w:rsidRPr="0075739F">
        <w:rPr>
          <w:color w:val="000000"/>
        </w:rPr>
        <w:t>.</w:t>
      </w:r>
      <w:r w:rsidRPr="0075739F">
        <w:rPr>
          <w:color w:val="000000"/>
        </w:rPr>
        <w:t>b</w:t>
      </w:r>
      <w:r w:rsidR="00BF18FB" w:rsidRPr="0075739F">
        <w:rPr>
          <w:color w:val="000000"/>
        </w:rPr>
        <w:t>.</w:t>
      </w:r>
      <w:r w:rsidRPr="0075739F">
        <w:rPr>
          <w:color w:val="000000"/>
        </w:rPr>
        <w:t>ix</w:t>
      </w:r>
      <w:r w:rsidR="00BF18FB" w:rsidRPr="0075739F">
        <w:rPr>
          <w:color w:val="000000"/>
        </w:rPr>
        <w:t>,</w:t>
      </w:r>
      <w:r w:rsidRPr="0075739F">
        <w:rPr>
          <w:color w:val="000000"/>
        </w:rPr>
        <w:t xml:space="preserve"> 8</w:t>
      </w:r>
      <w:r w:rsidR="00BF18FB" w:rsidRPr="0075739F">
        <w:rPr>
          <w:color w:val="000000"/>
        </w:rPr>
        <w:t>.</w:t>
      </w:r>
      <w:r w:rsidRPr="0075739F">
        <w:rPr>
          <w:color w:val="000000"/>
        </w:rPr>
        <w:t>2</w:t>
      </w:r>
      <w:r w:rsidR="00BF18FB" w:rsidRPr="0075739F">
        <w:rPr>
          <w:color w:val="000000"/>
        </w:rPr>
        <w:t>.</w:t>
      </w:r>
      <w:r w:rsidRPr="0075739F">
        <w:rPr>
          <w:color w:val="000000"/>
        </w:rPr>
        <w:t>e</w:t>
      </w:r>
      <w:r w:rsidR="00BF18FB" w:rsidRPr="0075739F">
        <w:rPr>
          <w:color w:val="000000"/>
        </w:rPr>
        <w:t>.</w:t>
      </w:r>
      <w:r w:rsidRPr="0075739F">
        <w:rPr>
          <w:color w:val="000000"/>
        </w:rPr>
        <w:t>iv.</w:t>
      </w:r>
    </w:p>
  </w:endnote>
  <w:endnote w:id="15">
    <w:p w14:paraId="31C846D5" w14:textId="4A3C058E" w:rsidR="00E1294E" w:rsidRPr="00907C29" w:rsidRDefault="00E1294E" w:rsidP="00340CCB">
      <w:pPr>
        <w:pStyle w:val="EndnoteText"/>
        <w:spacing w:line="480" w:lineRule="auto"/>
        <w:rPr>
          <w:rFonts w:ascii="Times New Roman" w:hAnsi="Times New Roman" w:cs="Times New Roman"/>
          <w:sz w:val="24"/>
          <w:szCs w:val="24"/>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See the International List of Cultural Property under Enhanced Protection</w:t>
      </w:r>
      <w:r w:rsidR="001642AF" w:rsidRPr="00907C29">
        <w:rPr>
          <w:rFonts w:ascii="Times New Roman" w:hAnsi="Times New Roman" w:cs="Times New Roman"/>
          <w:sz w:val="24"/>
          <w:szCs w:val="24"/>
        </w:rPr>
        <w:t>:</w:t>
      </w:r>
      <w:r w:rsidRPr="00907C29">
        <w:rPr>
          <w:rFonts w:ascii="Times New Roman" w:hAnsi="Times New Roman" w:cs="Times New Roman"/>
          <w:sz w:val="24"/>
          <w:szCs w:val="24"/>
        </w:rPr>
        <w:t xml:space="preserve"> </w:t>
      </w:r>
      <w:r w:rsidR="001642AF" w:rsidRPr="00907C29">
        <w:rPr>
          <w:rFonts w:ascii="Times New Roman" w:hAnsi="Times New Roman" w:cs="Times New Roman"/>
          <w:sz w:val="24"/>
          <w:szCs w:val="24"/>
        </w:rPr>
        <w:t xml:space="preserve">UNESCO, </w:t>
      </w:r>
      <w:r w:rsidR="00615E23" w:rsidRPr="00907C29">
        <w:rPr>
          <w:rFonts w:ascii="Times New Roman" w:hAnsi="Times New Roman" w:cs="Times New Roman"/>
          <w:sz w:val="24"/>
          <w:szCs w:val="24"/>
        </w:rPr>
        <w:t>“</w:t>
      </w:r>
      <w:r w:rsidR="001642AF" w:rsidRPr="00907C29">
        <w:rPr>
          <w:rFonts w:ascii="Times New Roman" w:hAnsi="Times New Roman" w:cs="Times New Roman"/>
          <w:sz w:val="24"/>
          <w:szCs w:val="24"/>
        </w:rPr>
        <w:t>Armed Conflict and Heritage: Enhanced Protection,”</w:t>
      </w:r>
      <w:r w:rsidR="008D6410">
        <w:t xml:space="preserve"> </w:t>
      </w:r>
      <w:r w:rsidR="008D6410" w:rsidRPr="00EB55C1">
        <w:rPr>
          <w:rFonts w:ascii="Times New Roman" w:hAnsi="Times New Roman" w:cs="Times New Roman"/>
          <w:sz w:val="24"/>
          <w:szCs w:val="24"/>
        </w:rPr>
        <w:t>http://www.unesco.org/new/en/culture/themes/armed-conflict-and-heritage/lists/enhanced-protection/.</w:t>
      </w:r>
      <w:r w:rsidR="007F4A0D">
        <w:rPr>
          <w:rFonts w:ascii="Times New Roman" w:hAnsi="Times New Roman" w:cs="Times New Roman"/>
          <w:sz w:val="24"/>
          <w:szCs w:val="24"/>
        </w:rPr>
        <w:t xml:space="preserve"> </w:t>
      </w:r>
    </w:p>
  </w:endnote>
  <w:endnote w:id="16">
    <w:p w14:paraId="32D1EB32" w14:textId="21B42C0E" w:rsidR="00E1294E" w:rsidRPr="00907C29" w:rsidRDefault="00E1294E" w:rsidP="00340CCB">
      <w:pPr>
        <w:spacing w:line="480" w:lineRule="auto"/>
        <w:rPr>
          <w:rFonts w:ascii="Times New Roman" w:hAnsi="Times New Roman" w:cs="Times New Roman"/>
          <w:sz w:val="24"/>
          <w:szCs w:val="24"/>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00E822E1" w:rsidRPr="00907C29">
        <w:rPr>
          <w:rFonts w:ascii="Times New Roman" w:eastAsia="Times New Roman" w:hAnsi="Times New Roman" w:cs="Times New Roman"/>
          <w:sz w:val="24"/>
          <w:szCs w:val="24"/>
          <w:lang w:val="en-GB"/>
        </w:rPr>
        <w:t>I</w:t>
      </w:r>
      <w:r w:rsidRPr="00907C29">
        <w:rPr>
          <w:rFonts w:ascii="Times New Roman" w:eastAsia="Times New Roman" w:hAnsi="Times New Roman" w:cs="Times New Roman"/>
          <w:sz w:val="24"/>
          <w:szCs w:val="24"/>
          <w:lang w:val="en-GB"/>
        </w:rPr>
        <w:t xml:space="preserve">n </w:t>
      </w:r>
      <w:r w:rsidR="00EB606A" w:rsidRPr="00EB55C1">
        <w:rPr>
          <w:rFonts w:ascii="Times New Roman" w:eastAsia="Times New Roman" w:hAnsi="Times New Roman" w:cs="Times New Roman"/>
          <w:sz w:val="24"/>
          <w:szCs w:val="24"/>
          <w:lang w:val="en-GB"/>
        </w:rPr>
        <w:t>the</w:t>
      </w:r>
      <w:r w:rsidR="00EB606A" w:rsidRPr="00340CCB">
        <w:rPr>
          <w:rFonts w:ascii="Times New Roman" w:eastAsia="Times New Roman" w:hAnsi="Times New Roman" w:cs="Times New Roman"/>
          <w:i/>
          <w:iCs/>
          <w:sz w:val="24"/>
          <w:szCs w:val="24"/>
          <w:lang w:val="en-GB"/>
        </w:rPr>
        <w:t xml:space="preserve"> </w:t>
      </w:r>
      <w:r w:rsidRPr="00EB55C1">
        <w:rPr>
          <w:rFonts w:ascii="Times New Roman" w:eastAsia="Times New Roman" w:hAnsi="Times New Roman" w:cs="Times New Roman"/>
          <w:i/>
          <w:iCs/>
          <w:sz w:val="24"/>
          <w:szCs w:val="24"/>
          <w:lang w:val="en-GB"/>
        </w:rPr>
        <w:t>Al Mahdi</w:t>
      </w:r>
      <w:r w:rsidR="00EB606A" w:rsidRPr="00340CCB">
        <w:rPr>
          <w:rFonts w:ascii="Times New Roman" w:eastAsia="Times New Roman" w:hAnsi="Times New Roman" w:cs="Times New Roman"/>
          <w:sz w:val="24"/>
          <w:szCs w:val="24"/>
          <w:lang w:val="en-GB"/>
        </w:rPr>
        <w:t xml:space="preserve"> case</w:t>
      </w:r>
      <w:r w:rsidR="00E822E1" w:rsidRPr="00907C29">
        <w:rPr>
          <w:rFonts w:ascii="Times New Roman" w:eastAsia="Times New Roman" w:hAnsi="Times New Roman" w:cs="Times New Roman"/>
          <w:sz w:val="24"/>
          <w:szCs w:val="24"/>
          <w:lang w:val="en-GB"/>
        </w:rPr>
        <w:t>, the ICC stated</w:t>
      </w:r>
      <w:r w:rsidRPr="00907C29">
        <w:rPr>
          <w:rFonts w:ascii="Times New Roman" w:eastAsia="Times New Roman" w:hAnsi="Times New Roman" w:cs="Times New Roman"/>
          <w:sz w:val="24"/>
          <w:szCs w:val="24"/>
          <w:lang w:val="en-GB"/>
        </w:rPr>
        <w:t xml:space="preserve"> that </w:t>
      </w:r>
      <w:r w:rsidR="00F91F07" w:rsidRPr="00907C29">
        <w:rPr>
          <w:rFonts w:ascii="Times New Roman" w:eastAsia="Times New Roman" w:hAnsi="Times New Roman" w:cs="Times New Roman"/>
          <w:sz w:val="24"/>
          <w:szCs w:val="24"/>
          <w:lang w:val="en-GB"/>
        </w:rPr>
        <w:t xml:space="preserve">the </w:t>
      </w:r>
      <w:r w:rsidRPr="00907C29">
        <w:rPr>
          <w:rFonts w:ascii="Times New Roman" w:eastAsia="Times New Roman" w:hAnsi="Times New Roman" w:cs="Times New Roman"/>
          <w:sz w:val="24"/>
          <w:szCs w:val="24"/>
          <w:lang w:val="en-GB"/>
        </w:rPr>
        <w:t xml:space="preserve">attack against </w:t>
      </w:r>
      <w:r w:rsidR="00FE25D2" w:rsidRPr="00907C29">
        <w:rPr>
          <w:rFonts w:ascii="Times New Roman" w:eastAsia="Times New Roman" w:hAnsi="Times New Roman" w:cs="Times New Roman"/>
          <w:sz w:val="24"/>
          <w:szCs w:val="24"/>
          <w:lang w:val="en-GB"/>
        </w:rPr>
        <w:t xml:space="preserve">objects of </w:t>
      </w:r>
      <w:r w:rsidRPr="00907C29">
        <w:rPr>
          <w:rFonts w:ascii="Times New Roman" w:eastAsia="Times New Roman" w:hAnsi="Times New Roman" w:cs="Times New Roman"/>
          <w:sz w:val="24"/>
          <w:szCs w:val="24"/>
          <w:lang w:val="en-GB"/>
        </w:rPr>
        <w:t xml:space="preserve">the World Heritage </w:t>
      </w:r>
      <w:r w:rsidR="00F91F07" w:rsidRPr="00907C29">
        <w:rPr>
          <w:rFonts w:ascii="Times New Roman" w:eastAsia="Times New Roman" w:hAnsi="Times New Roman" w:cs="Times New Roman"/>
          <w:sz w:val="24"/>
          <w:szCs w:val="24"/>
          <w:lang w:val="en-GB"/>
        </w:rPr>
        <w:t>S</w:t>
      </w:r>
      <w:r w:rsidRPr="00907C29">
        <w:rPr>
          <w:rFonts w:ascii="Times New Roman" w:eastAsia="Times New Roman" w:hAnsi="Times New Roman" w:cs="Times New Roman"/>
          <w:sz w:val="24"/>
          <w:szCs w:val="24"/>
          <w:lang w:val="en-GB"/>
        </w:rPr>
        <w:t>ite “appears to be of particular gravity as their destruction does not only affect the direct victims of the crimes, namely the faithful and inhabitants of Timbuktu, but also people throughout Mali and the international community</w:t>
      </w:r>
      <w:r w:rsidR="00EB606A" w:rsidRPr="00907C29">
        <w:rPr>
          <w:rFonts w:ascii="Times New Roman" w:eastAsia="Times New Roman" w:hAnsi="Times New Roman" w:cs="Times New Roman"/>
          <w:sz w:val="24"/>
          <w:szCs w:val="24"/>
          <w:lang w:val="en-GB"/>
        </w:rPr>
        <w:t>.</w:t>
      </w:r>
      <w:r w:rsidRPr="00907C29">
        <w:rPr>
          <w:rFonts w:ascii="Times New Roman" w:eastAsia="Times New Roman" w:hAnsi="Times New Roman" w:cs="Times New Roman"/>
          <w:sz w:val="24"/>
          <w:szCs w:val="24"/>
          <w:lang w:val="en-GB"/>
        </w:rPr>
        <w:t xml:space="preserve">” </w:t>
      </w:r>
      <w:r w:rsidR="00EB606A" w:rsidRPr="00907C29">
        <w:rPr>
          <w:rFonts w:ascii="Times New Roman" w:eastAsia="Times New Roman" w:hAnsi="Times New Roman" w:cs="Times New Roman"/>
          <w:sz w:val="24"/>
          <w:szCs w:val="24"/>
          <w:lang w:val="en-GB"/>
        </w:rPr>
        <w:t xml:space="preserve">See ICC, </w:t>
      </w:r>
      <w:r w:rsidRPr="00EB55C1">
        <w:rPr>
          <w:rFonts w:ascii="Times New Roman" w:hAnsi="Times New Roman" w:cs="Times New Roman"/>
          <w:i/>
          <w:iCs/>
          <w:color w:val="000000"/>
          <w:sz w:val="24"/>
          <w:szCs w:val="24"/>
        </w:rPr>
        <w:t>Ahmad Al Faqi Al Mahdi</w:t>
      </w:r>
      <w:r w:rsidRPr="00340CCB">
        <w:rPr>
          <w:rFonts w:ascii="Times New Roman" w:hAnsi="Times New Roman" w:cs="Times New Roman"/>
          <w:color w:val="000000"/>
          <w:sz w:val="24"/>
          <w:szCs w:val="24"/>
        </w:rPr>
        <w:t xml:space="preserve">, </w:t>
      </w:r>
      <w:r w:rsidR="00A51DD6" w:rsidRPr="00907C29">
        <w:rPr>
          <w:rFonts w:ascii="Times New Roman" w:hAnsi="Times New Roman" w:cs="Times New Roman"/>
          <w:color w:val="000000"/>
          <w:sz w:val="24"/>
          <w:szCs w:val="24"/>
        </w:rPr>
        <w:t xml:space="preserve">case no. ICC-01/12-01/15, </w:t>
      </w:r>
      <w:r w:rsidR="00AA3DA1" w:rsidRPr="00340CCB">
        <w:rPr>
          <w:rFonts w:ascii="Times New Roman" w:hAnsi="Times New Roman" w:cs="Times New Roman"/>
          <w:color w:val="000000"/>
          <w:sz w:val="24"/>
          <w:szCs w:val="24"/>
        </w:rPr>
        <w:t>Judgement</w:t>
      </w:r>
      <w:r w:rsidR="00CC4C72">
        <w:rPr>
          <w:rFonts w:ascii="Times New Roman" w:hAnsi="Times New Roman" w:cs="Times New Roman"/>
          <w:color w:val="000000"/>
          <w:sz w:val="24"/>
          <w:szCs w:val="24"/>
        </w:rPr>
        <w:t xml:space="preserve"> and Sentence</w:t>
      </w:r>
      <w:r w:rsidR="00AA3DA1" w:rsidRPr="00340CCB">
        <w:rPr>
          <w:rFonts w:ascii="Times New Roman" w:hAnsi="Times New Roman" w:cs="Times New Roman"/>
          <w:color w:val="000000"/>
          <w:sz w:val="24"/>
          <w:szCs w:val="24"/>
        </w:rPr>
        <w:t xml:space="preserve">, </w:t>
      </w:r>
      <w:r w:rsidR="00A51DD6" w:rsidRPr="00907C29">
        <w:rPr>
          <w:rFonts w:ascii="Times New Roman" w:hAnsi="Times New Roman" w:cs="Times New Roman"/>
          <w:color w:val="000000"/>
          <w:sz w:val="24"/>
          <w:szCs w:val="24"/>
        </w:rPr>
        <w:t xml:space="preserve">27 September 2016, </w:t>
      </w:r>
      <w:r w:rsidRPr="00907C29">
        <w:rPr>
          <w:rFonts w:ascii="Times New Roman" w:hAnsi="Times New Roman" w:cs="Times New Roman"/>
          <w:color w:val="000000"/>
          <w:sz w:val="24"/>
          <w:szCs w:val="24"/>
        </w:rPr>
        <w:t>para. 80</w:t>
      </w:r>
      <w:r w:rsidR="008E64A4">
        <w:rPr>
          <w:rFonts w:ascii="Times New Roman" w:hAnsi="Times New Roman" w:cs="Times New Roman"/>
          <w:color w:val="000000"/>
          <w:sz w:val="24"/>
          <w:szCs w:val="24"/>
        </w:rPr>
        <w:t>,</w:t>
      </w:r>
      <w:r w:rsidR="008E64A4" w:rsidRPr="008E64A4">
        <w:t xml:space="preserve"> </w:t>
      </w:r>
      <w:r w:rsidR="00990BDC" w:rsidRPr="00990BDC">
        <w:rPr>
          <w:rFonts w:ascii="Times New Roman" w:hAnsi="Times New Roman" w:cs="Times New Roman"/>
          <w:color w:val="000000"/>
          <w:sz w:val="24"/>
          <w:szCs w:val="24"/>
        </w:rPr>
        <w:t>https://www.icc-cpi.int/CourtRecords/CR2016_07244.PDF</w:t>
      </w:r>
      <w:r w:rsidR="0039621A" w:rsidRPr="00907C29">
        <w:rPr>
          <w:rFonts w:ascii="Times New Roman" w:hAnsi="Times New Roman" w:cs="Times New Roman"/>
          <w:color w:val="000000"/>
          <w:sz w:val="24"/>
          <w:szCs w:val="24"/>
        </w:rPr>
        <w:t>.</w:t>
      </w:r>
    </w:p>
  </w:endnote>
  <w:endnote w:id="17">
    <w:p w14:paraId="3A7863F4" w14:textId="3D662707" w:rsidR="00E1294E" w:rsidRPr="00907C29" w:rsidRDefault="00E1294E">
      <w:pPr>
        <w:pStyle w:val="EndnoteText"/>
        <w:spacing w:line="480" w:lineRule="auto"/>
        <w:rPr>
          <w:rFonts w:ascii="Times New Roman" w:hAnsi="Times New Roman" w:cs="Times New Roman"/>
          <w:sz w:val="24"/>
          <w:szCs w:val="24"/>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On the other hand, it must be noted that </w:t>
      </w:r>
      <w:r w:rsidR="00B203B3" w:rsidRPr="00907C29">
        <w:rPr>
          <w:rFonts w:ascii="Times New Roman" w:hAnsi="Times New Roman" w:cs="Times New Roman"/>
          <w:sz w:val="24"/>
          <w:szCs w:val="24"/>
        </w:rPr>
        <w:t>inscribed</w:t>
      </w:r>
      <w:r w:rsidR="00E16C40" w:rsidRPr="00907C29">
        <w:rPr>
          <w:rFonts w:ascii="Times New Roman" w:hAnsi="Times New Roman" w:cs="Times New Roman"/>
          <w:sz w:val="24"/>
          <w:szCs w:val="24"/>
        </w:rPr>
        <w:t xml:space="preserve"> </w:t>
      </w:r>
      <w:r w:rsidRPr="00907C29">
        <w:rPr>
          <w:rFonts w:ascii="Times New Roman" w:hAnsi="Times New Roman" w:cs="Times New Roman"/>
          <w:sz w:val="24"/>
          <w:szCs w:val="24"/>
        </w:rPr>
        <w:t xml:space="preserve">cultural sites may also attract </w:t>
      </w:r>
      <w:r w:rsidR="00192ACA" w:rsidRPr="00907C29">
        <w:rPr>
          <w:rFonts w:ascii="Times New Roman" w:hAnsi="Times New Roman" w:cs="Times New Roman"/>
          <w:sz w:val="24"/>
          <w:szCs w:val="24"/>
        </w:rPr>
        <w:t xml:space="preserve">the </w:t>
      </w:r>
      <w:r w:rsidRPr="00907C29">
        <w:rPr>
          <w:rFonts w:ascii="Times New Roman" w:hAnsi="Times New Roman" w:cs="Times New Roman"/>
          <w:sz w:val="24"/>
          <w:szCs w:val="24"/>
        </w:rPr>
        <w:t xml:space="preserve">attention of warring parties, which may make them vulnerable </w:t>
      </w:r>
      <w:r w:rsidR="00192ACA" w:rsidRPr="00907C29">
        <w:rPr>
          <w:rFonts w:ascii="Times New Roman" w:hAnsi="Times New Roman" w:cs="Times New Roman"/>
          <w:sz w:val="24"/>
          <w:szCs w:val="24"/>
        </w:rPr>
        <w:t xml:space="preserve">to </w:t>
      </w:r>
      <w:r w:rsidRPr="00907C29">
        <w:rPr>
          <w:rFonts w:ascii="Times New Roman" w:hAnsi="Times New Roman" w:cs="Times New Roman"/>
          <w:sz w:val="24"/>
          <w:szCs w:val="24"/>
        </w:rPr>
        <w:t xml:space="preserve">damage or destruction. The capture of the </w:t>
      </w:r>
      <w:r w:rsidR="00192ACA" w:rsidRPr="00907C29">
        <w:rPr>
          <w:rFonts w:ascii="Times New Roman" w:hAnsi="Times New Roman" w:cs="Times New Roman"/>
          <w:sz w:val="24"/>
          <w:szCs w:val="24"/>
        </w:rPr>
        <w:t>s</w:t>
      </w:r>
      <w:r w:rsidRPr="00907C29">
        <w:rPr>
          <w:rFonts w:ascii="Times New Roman" w:hAnsi="Times New Roman" w:cs="Times New Roman"/>
          <w:sz w:val="24"/>
          <w:szCs w:val="24"/>
        </w:rPr>
        <w:t xml:space="preserve">ite of Palmyra </w:t>
      </w:r>
      <w:r w:rsidR="00FA2A10" w:rsidRPr="00907C29">
        <w:rPr>
          <w:rFonts w:ascii="Times New Roman" w:hAnsi="Times New Roman" w:cs="Times New Roman"/>
          <w:sz w:val="24"/>
          <w:szCs w:val="24"/>
        </w:rPr>
        <w:t xml:space="preserve">in </w:t>
      </w:r>
      <w:r w:rsidRPr="00907C29">
        <w:rPr>
          <w:rFonts w:ascii="Times New Roman" w:hAnsi="Times New Roman" w:cs="Times New Roman"/>
          <w:sz w:val="24"/>
          <w:szCs w:val="24"/>
        </w:rPr>
        <w:t xml:space="preserve">Syria and its use </w:t>
      </w:r>
      <w:r w:rsidR="00FA2A10" w:rsidRPr="00907C29">
        <w:rPr>
          <w:rFonts w:ascii="Times New Roman" w:hAnsi="Times New Roman" w:cs="Times New Roman"/>
          <w:sz w:val="24"/>
          <w:szCs w:val="24"/>
        </w:rPr>
        <w:t>by</w:t>
      </w:r>
      <w:r w:rsidR="007059ED" w:rsidRPr="00907C29">
        <w:rPr>
          <w:rFonts w:ascii="Times New Roman" w:hAnsi="Times New Roman" w:cs="Times New Roman"/>
          <w:sz w:val="24"/>
          <w:szCs w:val="24"/>
        </w:rPr>
        <w:t xml:space="preserve"> the</w:t>
      </w:r>
      <w:r w:rsidR="00FA2A10" w:rsidRPr="00907C29">
        <w:rPr>
          <w:rFonts w:ascii="Times New Roman" w:hAnsi="Times New Roman" w:cs="Times New Roman"/>
          <w:sz w:val="24"/>
          <w:szCs w:val="24"/>
        </w:rPr>
        <w:t xml:space="preserve"> </w:t>
      </w:r>
      <w:r w:rsidR="007059ED" w:rsidRPr="00907C29">
        <w:rPr>
          <w:rFonts w:ascii="Times New Roman" w:hAnsi="Times New Roman" w:cs="Times New Roman"/>
          <w:sz w:val="24"/>
          <w:szCs w:val="24"/>
        </w:rPr>
        <w:t xml:space="preserve">Islamic State of Iraq and the Levant (ISIL, also known as ISIS or Da’esh) </w:t>
      </w:r>
      <w:r w:rsidRPr="00907C29">
        <w:rPr>
          <w:rFonts w:ascii="Times New Roman" w:hAnsi="Times New Roman" w:cs="Times New Roman"/>
          <w:sz w:val="24"/>
          <w:szCs w:val="24"/>
        </w:rPr>
        <w:t xml:space="preserve">to attract public attention is well known. </w:t>
      </w:r>
    </w:p>
  </w:endnote>
  <w:endnote w:id="18">
    <w:p w14:paraId="73EE4692" w14:textId="379F3609" w:rsidR="00E1294E" w:rsidRPr="00907C29" w:rsidRDefault="00E1294E">
      <w:pPr>
        <w:spacing w:before="60" w:after="60" w:line="480" w:lineRule="auto"/>
        <w:rPr>
          <w:rFonts w:ascii="Times New Roman" w:hAnsi="Times New Roman" w:cs="Times New Roman"/>
          <w:sz w:val="24"/>
          <w:szCs w:val="24"/>
        </w:rPr>
      </w:pPr>
      <w:r w:rsidRPr="00340CCB">
        <w:rPr>
          <w:rFonts w:ascii="Times New Roman" w:hAnsi="Times New Roman" w:cs="Times New Roman"/>
          <w:sz w:val="24"/>
          <w:szCs w:val="24"/>
          <w:vertAlign w:val="superscript"/>
        </w:rPr>
        <w:endnoteRef/>
      </w:r>
      <w:r w:rsidRPr="00340CCB">
        <w:rPr>
          <w:rFonts w:ascii="Times New Roman" w:hAnsi="Times New Roman" w:cs="Times New Roman"/>
          <w:sz w:val="24"/>
          <w:szCs w:val="24"/>
        </w:rPr>
        <w:t xml:space="preserve"> </w:t>
      </w:r>
      <w:r w:rsidR="007E42BE" w:rsidRPr="00907C29">
        <w:rPr>
          <w:rFonts w:ascii="Times New Roman" w:hAnsi="Times New Roman" w:cs="Times New Roman"/>
          <w:sz w:val="24"/>
          <w:szCs w:val="24"/>
        </w:rPr>
        <w:t xml:space="preserve">Patrick </w:t>
      </w:r>
      <w:r w:rsidRPr="00907C29">
        <w:rPr>
          <w:rFonts w:ascii="Times New Roman" w:hAnsi="Times New Roman" w:cs="Times New Roman"/>
          <w:sz w:val="24"/>
          <w:szCs w:val="24"/>
        </w:rPr>
        <w:t xml:space="preserve">Boylan, </w:t>
      </w:r>
      <w:r w:rsidRPr="00EB55C1">
        <w:rPr>
          <w:rFonts w:ascii="Times New Roman" w:hAnsi="Times New Roman" w:cs="Times New Roman"/>
          <w:i/>
          <w:iCs/>
          <w:sz w:val="24"/>
          <w:szCs w:val="24"/>
        </w:rPr>
        <w:t>Review of the Convention for the Protection of Cultural Property for the Protection in the Event of Armed Conflict</w:t>
      </w:r>
      <w:r w:rsidR="006425C5" w:rsidRPr="00340CCB">
        <w:rPr>
          <w:rFonts w:ascii="Times New Roman" w:hAnsi="Times New Roman" w:cs="Times New Roman"/>
          <w:i/>
          <w:iCs/>
          <w:sz w:val="24"/>
          <w:szCs w:val="24"/>
        </w:rPr>
        <w:t xml:space="preserve"> (The Hague Convention of 1954)</w:t>
      </w:r>
      <w:r w:rsidRPr="00907C29">
        <w:rPr>
          <w:rFonts w:ascii="Times New Roman" w:hAnsi="Times New Roman" w:cs="Times New Roman"/>
          <w:sz w:val="24"/>
          <w:szCs w:val="24"/>
        </w:rPr>
        <w:t xml:space="preserve"> </w:t>
      </w:r>
      <w:r w:rsidR="006425C5" w:rsidRPr="00907C29">
        <w:rPr>
          <w:rFonts w:ascii="Times New Roman" w:hAnsi="Times New Roman" w:cs="Times New Roman"/>
          <w:sz w:val="24"/>
          <w:szCs w:val="24"/>
        </w:rPr>
        <w:t xml:space="preserve">(Paris: UNESCO, </w:t>
      </w:r>
      <w:r w:rsidRPr="00907C29">
        <w:rPr>
          <w:rFonts w:ascii="Times New Roman" w:hAnsi="Times New Roman" w:cs="Times New Roman"/>
          <w:sz w:val="24"/>
          <w:szCs w:val="24"/>
        </w:rPr>
        <w:t>1993</w:t>
      </w:r>
      <w:r w:rsidR="006425C5" w:rsidRPr="00907C29">
        <w:rPr>
          <w:rFonts w:ascii="Times New Roman" w:hAnsi="Times New Roman" w:cs="Times New Roman"/>
          <w:sz w:val="24"/>
          <w:szCs w:val="24"/>
        </w:rPr>
        <w:t>)</w:t>
      </w:r>
      <w:r w:rsidR="00526972" w:rsidRPr="00907C29">
        <w:rPr>
          <w:rFonts w:ascii="Times New Roman" w:hAnsi="Times New Roman" w:cs="Times New Roman"/>
          <w:sz w:val="24"/>
          <w:szCs w:val="24"/>
        </w:rPr>
        <w:t>.</w:t>
      </w:r>
      <w:r w:rsidRPr="00907C29">
        <w:rPr>
          <w:rFonts w:ascii="Times New Roman" w:hAnsi="Times New Roman" w:cs="Times New Roman"/>
          <w:sz w:val="24"/>
          <w:szCs w:val="24"/>
        </w:rPr>
        <w:t xml:space="preserve"> </w:t>
      </w:r>
    </w:p>
  </w:endnote>
  <w:endnote w:id="19">
    <w:p w14:paraId="3BDD8ADB" w14:textId="71E8BB60" w:rsidR="00E1294E" w:rsidRPr="00907C29" w:rsidRDefault="00E1294E">
      <w:pPr>
        <w:pStyle w:val="EndnoteText"/>
        <w:spacing w:line="480" w:lineRule="auto"/>
        <w:rPr>
          <w:rFonts w:ascii="Times New Roman" w:hAnsi="Times New Roman" w:cs="Times New Roman"/>
          <w:sz w:val="24"/>
          <w:szCs w:val="24"/>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00492314" w:rsidRPr="00907C29">
        <w:rPr>
          <w:rFonts w:ascii="Times New Roman" w:hAnsi="Times New Roman" w:cs="Times New Roman"/>
          <w:sz w:val="24"/>
          <w:szCs w:val="24"/>
        </w:rPr>
        <w:t>T</w:t>
      </w:r>
      <w:r w:rsidRPr="00907C29">
        <w:rPr>
          <w:rFonts w:ascii="Times New Roman" w:hAnsi="Times New Roman" w:cs="Times New Roman"/>
          <w:sz w:val="24"/>
          <w:szCs w:val="24"/>
        </w:rPr>
        <w:t>he Second Protocol</w:t>
      </w:r>
      <w:r w:rsidR="00492314" w:rsidRPr="00907C29">
        <w:rPr>
          <w:rFonts w:ascii="Times New Roman" w:hAnsi="Times New Roman" w:cs="Times New Roman"/>
          <w:sz w:val="24"/>
          <w:szCs w:val="24"/>
        </w:rPr>
        <w:t>, Art. 27</w:t>
      </w:r>
      <w:r w:rsidRPr="00907C29">
        <w:rPr>
          <w:rFonts w:ascii="Times New Roman" w:hAnsi="Times New Roman" w:cs="Times New Roman"/>
          <w:sz w:val="24"/>
          <w:szCs w:val="24"/>
        </w:rPr>
        <w:t xml:space="preserve"> lists the functions of the Committee for the Protection of Cultural Property in the Event of Armed Conflict. These include granting, suspending</w:t>
      </w:r>
      <w:r w:rsidR="009465F0" w:rsidRPr="00907C29">
        <w:rPr>
          <w:rFonts w:ascii="Times New Roman" w:hAnsi="Times New Roman" w:cs="Times New Roman"/>
          <w:sz w:val="24"/>
          <w:szCs w:val="24"/>
        </w:rPr>
        <w:t>,</w:t>
      </w:r>
      <w:r w:rsidRPr="00907C29">
        <w:rPr>
          <w:rFonts w:ascii="Times New Roman" w:hAnsi="Times New Roman" w:cs="Times New Roman"/>
          <w:sz w:val="24"/>
          <w:szCs w:val="24"/>
        </w:rPr>
        <w:t xml:space="preserve"> or canceling enhanced protection for cultural property and maintaining the List of Cultural Property under Enhanced Protection; monitoring and supervising the implementation of the Second Protocol</w:t>
      </w:r>
      <w:r w:rsidR="009465F0" w:rsidRPr="00907C29">
        <w:rPr>
          <w:rFonts w:ascii="Times New Roman" w:hAnsi="Times New Roman" w:cs="Times New Roman"/>
          <w:sz w:val="24"/>
          <w:szCs w:val="24"/>
        </w:rPr>
        <w:t>;</w:t>
      </w:r>
      <w:r w:rsidRPr="00907C29">
        <w:rPr>
          <w:rFonts w:ascii="Times New Roman" w:hAnsi="Times New Roman" w:cs="Times New Roman"/>
          <w:sz w:val="24"/>
          <w:szCs w:val="24"/>
        </w:rPr>
        <w:t xml:space="preserve"> and considering requests for international assistance.</w:t>
      </w:r>
    </w:p>
  </w:endnote>
  <w:endnote w:id="20">
    <w:p w14:paraId="115AB82C" w14:textId="6DF2257C" w:rsidR="00E1294E" w:rsidRPr="00907C29" w:rsidRDefault="00E1294E">
      <w:pPr>
        <w:pStyle w:val="EndnoteText"/>
        <w:spacing w:line="480" w:lineRule="auto"/>
        <w:rPr>
          <w:rFonts w:ascii="Times New Roman" w:hAnsi="Times New Roman" w:cs="Times New Roman"/>
          <w:sz w:val="24"/>
          <w:szCs w:val="24"/>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Pr="00907C29">
        <w:rPr>
          <w:rFonts w:ascii="Times New Roman" w:hAnsi="Times New Roman" w:cs="Times New Roman"/>
          <w:sz w:val="24"/>
          <w:szCs w:val="24"/>
        </w:rPr>
        <w:t xml:space="preserve">Although each is adapted to the specificities of its own </w:t>
      </w:r>
      <w:r w:rsidR="00646807" w:rsidRPr="00907C29">
        <w:rPr>
          <w:rFonts w:ascii="Times New Roman" w:hAnsi="Times New Roman" w:cs="Times New Roman"/>
          <w:sz w:val="24"/>
          <w:szCs w:val="24"/>
        </w:rPr>
        <w:t>state</w:t>
      </w:r>
      <w:r w:rsidRPr="00907C29">
        <w:rPr>
          <w:rFonts w:ascii="Times New Roman" w:hAnsi="Times New Roman" w:cs="Times New Roman"/>
          <w:sz w:val="24"/>
          <w:szCs w:val="24"/>
        </w:rPr>
        <w:t xml:space="preserve">, </w:t>
      </w:r>
      <w:r w:rsidR="00AD2064" w:rsidRPr="00907C29">
        <w:rPr>
          <w:rFonts w:ascii="Times New Roman" w:hAnsi="Times New Roman" w:cs="Times New Roman"/>
          <w:sz w:val="24"/>
          <w:szCs w:val="24"/>
        </w:rPr>
        <w:t xml:space="preserve">national </w:t>
      </w:r>
      <w:r w:rsidRPr="00907C29">
        <w:rPr>
          <w:rFonts w:ascii="Times New Roman" w:hAnsi="Times New Roman" w:cs="Times New Roman"/>
          <w:sz w:val="24"/>
          <w:szCs w:val="24"/>
        </w:rPr>
        <w:t>IHL</w:t>
      </w:r>
      <w:r w:rsidR="00AD2064" w:rsidRPr="00907C29">
        <w:rPr>
          <w:rFonts w:ascii="Times New Roman" w:hAnsi="Times New Roman" w:cs="Times New Roman"/>
          <w:sz w:val="24"/>
          <w:szCs w:val="24"/>
        </w:rPr>
        <w:t xml:space="preserve"> committees</w:t>
      </w:r>
      <w:r w:rsidRPr="00907C29">
        <w:rPr>
          <w:rFonts w:ascii="Times New Roman" w:hAnsi="Times New Roman" w:cs="Times New Roman"/>
          <w:sz w:val="24"/>
          <w:szCs w:val="24"/>
        </w:rPr>
        <w:t xml:space="preserve"> or similar bodies are generally composed of representatives of different ministries interested in IHL matters (</w:t>
      </w:r>
      <w:r w:rsidR="008B1ABA" w:rsidRPr="00907C29">
        <w:rPr>
          <w:rFonts w:ascii="Times New Roman" w:hAnsi="Times New Roman" w:cs="Times New Roman"/>
          <w:sz w:val="24"/>
          <w:szCs w:val="24"/>
        </w:rPr>
        <w:t>such as d</w:t>
      </w:r>
      <w:r w:rsidRPr="00907C29">
        <w:rPr>
          <w:rFonts w:ascii="Times New Roman" w:hAnsi="Times New Roman" w:cs="Times New Roman"/>
          <w:sz w:val="24"/>
          <w:szCs w:val="24"/>
        </w:rPr>
        <w:t xml:space="preserve">efense, </w:t>
      </w:r>
      <w:r w:rsidR="008B1ABA" w:rsidRPr="00907C29">
        <w:rPr>
          <w:rFonts w:ascii="Times New Roman" w:hAnsi="Times New Roman" w:cs="Times New Roman"/>
          <w:sz w:val="24"/>
          <w:szCs w:val="24"/>
        </w:rPr>
        <w:t>j</w:t>
      </w:r>
      <w:r w:rsidRPr="00907C29">
        <w:rPr>
          <w:rFonts w:ascii="Times New Roman" w:hAnsi="Times New Roman" w:cs="Times New Roman"/>
          <w:sz w:val="24"/>
          <w:szCs w:val="24"/>
        </w:rPr>
        <w:t xml:space="preserve">ustice, </w:t>
      </w:r>
      <w:r w:rsidR="008B1ABA" w:rsidRPr="00907C29">
        <w:rPr>
          <w:rFonts w:ascii="Times New Roman" w:hAnsi="Times New Roman" w:cs="Times New Roman"/>
          <w:sz w:val="24"/>
          <w:szCs w:val="24"/>
        </w:rPr>
        <w:t>f</w:t>
      </w:r>
      <w:r w:rsidRPr="00907C29">
        <w:rPr>
          <w:rFonts w:ascii="Times New Roman" w:hAnsi="Times New Roman" w:cs="Times New Roman"/>
          <w:sz w:val="24"/>
          <w:szCs w:val="24"/>
        </w:rPr>
        <w:t xml:space="preserve">oreign </w:t>
      </w:r>
      <w:r w:rsidR="008B1ABA" w:rsidRPr="00907C29">
        <w:rPr>
          <w:rFonts w:ascii="Times New Roman" w:hAnsi="Times New Roman" w:cs="Times New Roman"/>
          <w:sz w:val="24"/>
          <w:szCs w:val="24"/>
        </w:rPr>
        <w:t>a</w:t>
      </w:r>
      <w:r w:rsidRPr="00907C29">
        <w:rPr>
          <w:rFonts w:ascii="Times New Roman" w:hAnsi="Times New Roman" w:cs="Times New Roman"/>
          <w:sz w:val="24"/>
          <w:szCs w:val="24"/>
        </w:rPr>
        <w:t xml:space="preserve">ffairs, </w:t>
      </w:r>
      <w:r w:rsidR="008B1ABA" w:rsidRPr="00907C29">
        <w:rPr>
          <w:rFonts w:ascii="Times New Roman" w:hAnsi="Times New Roman" w:cs="Times New Roman"/>
          <w:sz w:val="24"/>
          <w:szCs w:val="24"/>
        </w:rPr>
        <w:t>i</w:t>
      </w:r>
      <w:r w:rsidRPr="00907C29">
        <w:rPr>
          <w:rFonts w:ascii="Times New Roman" w:hAnsi="Times New Roman" w:cs="Times New Roman"/>
          <w:sz w:val="24"/>
          <w:szCs w:val="24"/>
        </w:rPr>
        <w:t xml:space="preserve">nternal </w:t>
      </w:r>
      <w:r w:rsidR="008B1ABA" w:rsidRPr="00907C29">
        <w:rPr>
          <w:rFonts w:ascii="Times New Roman" w:hAnsi="Times New Roman" w:cs="Times New Roman"/>
          <w:sz w:val="24"/>
          <w:szCs w:val="24"/>
        </w:rPr>
        <w:t>a</w:t>
      </w:r>
      <w:r w:rsidRPr="00907C29">
        <w:rPr>
          <w:rFonts w:ascii="Times New Roman" w:hAnsi="Times New Roman" w:cs="Times New Roman"/>
          <w:sz w:val="24"/>
          <w:szCs w:val="24"/>
        </w:rPr>
        <w:t xml:space="preserve">ffairs, </w:t>
      </w:r>
      <w:r w:rsidR="008B1ABA" w:rsidRPr="00907C29">
        <w:rPr>
          <w:rFonts w:ascii="Times New Roman" w:hAnsi="Times New Roman" w:cs="Times New Roman"/>
          <w:sz w:val="24"/>
          <w:szCs w:val="24"/>
        </w:rPr>
        <w:t>h</w:t>
      </w:r>
      <w:r w:rsidRPr="00907C29">
        <w:rPr>
          <w:rFonts w:ascii="Times New Roman" w:hAnsi="Times New Roman" w:cs="Times New Roman"/>
          <w:sz w:val="24"/>
          <w:szCs w:val="24"/>
        </w:rPr>
        <w:t xml:space="preserve">ealth, </w:t>
      </w:r>
      <w:r w:rsidR="008B1ABA" w:rsidRPr="00907C29">
        <w:rPr>
          <w:rFonts w:ascii="Times New Roman" w:hAnsi="Times New Roman" w:cs="Times New Roman"/>
          <w:sz w:val="24"/>
          <w:szCs w:val="24"/>
        </w:rPr>
        <w:t>and the office of the chief executive</w:t>
      </w:r>
      <w:r w:rsidRPr="00907C29">
        <w:rPr>
          <w:rFonts w:ascii="Times New Roman" w:hAnsi="Times New Roman" w:cs="Times New Roman"/>
          <w:sz w:val="24"/>
          <w:szCs w:val="24"/>
        </w:rPr>
        <w:t xml:space="preserve">), with sometimes the addition of representatives from the </w:t>
      </w:r>
      <w:r w:rsidR="00B723EF" w:rsidRPr="00907C29">
        <w:rPr>
          <w:rFonts w:ascii="Times New Roman" w:hAnsi="Times New Roman" w:cs="Times New Roman"/>
          <w:sz w:val="24"/>
          <w:szCs w:val="24"/>
        </w:rPr>
        <w:t>legislature</w:t>
      </w:r>
      <w:r w:rsidRPr="00907C29">
        <w:rPr>
          <w:rFonts w:ascii="Times New Roman" w:hAnsi="Times New Roman" w:cs="Times New Roman"/>
          <w:sz w:val="24"/>
          <w:szCs w:val="24"/>
        </w:rPr>
        <w:t xml:space="preserve">, the </w:t>
      </w:r>
      <w:r w:rsidR="00B723EF" w:rsidRPr="00907C29">
        <w:rPr>
          <w:rFonts w:ascii="Times New Roman" w:hAnsi="Times New Roman" w:cs="Times New Roman"/>
          <w:sz w:val="24"/>
          <w:szCs w:val="24"/>
        </w:rPr>
        <w:t>j</w:t>
      </w:r>
      <w:r w:rsidRPr="00907C29">
        <w:rPr>
          <w:rFonts w:ascii="Times New Roman" w:hAnsi="Times New Roman" w:cs="Times New Roman"/>
          <w:sz w:val="24"/>
          <w:szCs w:val="24"/>
        </w:rPr>
        <w:t xml:space="preserve">udiciary, universities, </w:t>
      </w:r>
      <w:r w:rsidR="00367D39" w:rsidRPr="00907C29">
        <w:rPr>
          <w:rFonts w:ascii="Times New Roman" w:hAnsi="Times New Roman" w:cs="Times New Roman"/>
          <w:sz w:val="24"/>
          <w:szCs w:val="24"/>
        </w:rPr>
        <w:t>nongovernmental organizations</w:t>
      </w:r>
      <w:r w:rsidRPr="00907C29">
        <w:rPr>
          <w:rFonts w:ascii="Times New Roman" w:hAnsi="Times New Roman" w:cs="Times New Roman"/>
          <w:sz w:val="24"/>
          <w:szCs w:val="24"/>
        </w:rPr>
        <w:t>, and national Red Cross or Red Crescent societies.</w:t>
      </w:r>
    </w:p>
  </w:endnote>
  <w:endnote w:id="21">
    <w:p w14:paraId="11FCED5E" w14:textId="2AC825A5" w:rsidR="00E1294E" w:rsidRPr="00EB55C1" w:rsidRDefault="00E1294E">
      <w:pPr>
        <w:pStyle w:val="EndnoteText"/>
        <w:spacing w:line="480" w:lineRule="auto"/>
        <w:rPr>
          <w:rFonts w:ascii="Times New Roman" w:hAnsi="Times New Roman" w:cs="Times New Roman"/>
          <w:sz w:val="24"/>
          <w:szCs w:val="24"/>
        </w:rPr>
      </w:pPr>
      <w:r w:rsidRPr="00340CCB">
        <w:rPr>
          <w:rStyle w:val="EndnoteReference"/>
          <w:rFonts w:ascii="Times New Roman" w:hAnsi="Times New Roman" w:cs="Times New Roman"/>
          <w:sz w:val="24"/>
          <w:szCs w:val="24"/>
        </w:rPr>
        <w:endnoteRef/>
      </w:r>
      <w:r w:rsidRPr="00340CCB">
        <w:rPr>
          <w:rFonts w:ascii="Times New Roman" w:hAnsi="Times New Roman" w:cs="Times New Roman"/>
          <w:sz w:val="24"/>
          <w:szCs w:val="24"/>
        </w:rPr>
        <w:t xml:space="preserve"> </w:t>
      </w:r>
      <w:r w:rsidR="003B320F" w:rsidRPr="00907C29">
        <w:rPr>
          <w:rFonts w:ascii="Times New Roman" w:hAnsi="Times New Roman" w:cs="Times New Roman"/>
          <w:sz w:val="24"/>
          <w:szCs w:val="24"/>
        </w:rPr>
        <w:t>U</w:t>
      </w:r>
      <w:r w:rsidRPr="00907C29">
        <w:rPr>
          <w:rFonts w:ascii="Times New Roman" w:hAnsi="Times New Roman" w:cs="Times New Roman"/>
          <w:sz w:val="24"/>
          <w:szCs w:val="24"/>
        </w:rPr>
        <w:t>niversal Meeting of National Committees and Similar Bodies in International Humanitarian Law</w:t>
      </w:r>
      <w:r w:rsidR="003B320F" w:rsidRPr="00907C29">
        <w:rPr>
          <w:rFonts w:ascii="Times New Roman" w:hAnsi="Times New Roman" w:cs="Times New Roman"/>
          <w:sz w:val="24"/>
          <w:szCs w:val="24"/>
        </w:rPr>
        <w:t xml:space="preserve">, </w:t>
      </w:r>
      <w:r w:rsidR="00FA7899" w:rsidRPr="00907C29">
        <w:rPr>
          <w:rFonts w:ascii="Times New Roman" w:hAnsi="Times New Roman" w:cs="Times New Roman"/>
          <w:i/>
          <w:iCs/>
          <w:sz w:val="24"/>
          <w:szCs w:val="24"/>
        </w:rPr>
        <w:t xml:space="preserve">Enhancing Protection in Armed Conflict </w:t>
      </w:r>
      <w:r w:rsidR="003310B3">
        <w:rPr>
          <w:rFonts w:ascii="Times New Roman" w:hAnsi="Times New Roman" w:cs="Times New Roman"/>
          <w:i/>
          <w:iCs/>
          <w:sz w:val="24"/>
          <w:szCs w:val="24"/>
        </w:rPr>
        <w:t>t</w:t>
      </w:r>
      <w:r w:rsidR="00FA7899" w:rsidRPr="00907C29">
        <w:rPr>
          <w:rFonts w:ascii="Times New Roman" w:hAnsi="Times New Roman" w:cs="Times New Roman"/>
          <w:i/>
          <w:iCs/>
          <w:sz w:val="24"/>
          <w:szCs w:val="24"/>
        </w:rPr>
        <w:t>hrough Domestic law and Policy: Conference Overview, Geneva, Switzerland, 30 November–2 December 2016</w:t>
      </w:r>
      <w:r w:rsidRPr="00907C29">
        <w:rPr>
          <w:rFonts w:ascii="Times New Roman" w:hAnsi="Times New Roman" w:cs="Times New Roman"/>
          <w:sz w:val="24"/>
          <w:szCs w:val="24"/>
        </w:rPr>
        <w:t xml:space="preserve"> (</w:t>
      </w:r>
      <w:r w:rsidR="00FA7899" w:rsidRPr="00907C29">
        <w:rPr>
          <w:rFonts w:ascii="Times New Roman" w:hAnsi="Times New Roman" w:cs="Times New Roman"/>
          <w:sz w:val="24"/>
          <w:szCs w:val="24"/>
        </w:rPr>
        <w:t>Geneva</w:t>
      </w:r>
      <w:r w:rsidR="0029771C" w:rsidRPr="00907C29">
        <w:rPr>
          <w:rFonts w:ascii="Times New Roman" w:hAnsi="Times New Roman" w:cs="Times New Roman"/>
          <w:sz w:val="24"/>
          <w:szCs w:val="24"/>
        </w:rPr>
        <w:t>:</w:t>
      </w:r>
      <w:r w:rsidR="00FA7899" w:rsidRPr="00907C29">
        <w:rPr>
          <w:rFonts w:ascii="Times New Roman" w:hAnsi="Times New Roman" w:cs="Times New Roman"/>
          <w:sz w:val="24"/>
          <w:szCs w:val="24"/>
        </w:rPr>
        <w:t xml:space="preserve"> ICRC, 2016)</w:t>
      </w:r>
      <w:r w:rsidR="00EC4970" w:rsidRPr="00907C29">
        <w:rPr>
          <w:rFonts w:ascii="Times New Roman" w:hAnsi="Times New Roman" w:cs="Times New Roman"/>
          <w:sz w:val="24"/>
          <w:szCs w:val="24"/>
        </w:rPr>
        <w:t>,</w:t>
      </w:r>
      <w:r w:rsidR="004F1E8B">
        <w:rPr>
          <w:rFonts w:ascii="Times New Roman" w:hAnsi="Times New Roman" w:cs="Times New Roman"/>
          <w:sz w:val="24"/>
          <w:szCs w:val="24"/>
        </w:rPr>
        <w:t xml:space="preserve"> </w:t>
      </w:r>
      <w:r w:rsidR="004F1E8B" w:rsidRPr="004F1E8B">
        <w:rPr>
          <w:rFonts w:ascii="Times New Roman" w:hAnsi="Times New Roman" w:cs="Times New Roman"/>
          <w:sz w:val="24"/>
          <w:szCs w:val="24"/>
        </w:rPr>
        <w:t>https://www.icrc.org/en/publication/enhancing-protection-armed-conflict-through-domestic-law-and-policy.</w:t>
      </w:r>
      <w:r w:rsidR="007F4A0D">
        <w:rPr>
          <w:rFonts w:ascii="Times New Roman" w:hAnsi="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5783523"/>
      <w:docPartObj>
        <w:docPartGallery w:val="Page Numbers (Bottom of Page)"/>
        <w:docPartUnique/>
      </w:docPartObj>
    </w:sdtPr>
    <w:sdtEndPr>
      <w:rPr>
        <w:rStyle w:val="PageNumber"/>
      </w:rPr>
    </w:sdtEndPr>
    <w:sdtContent>
      <w:p w14:paraId="0577E824" w14:textId="09365ED3" w:rsidR="007727C5" w:rsidRDefault="007727C5" w:rsidP="00FD22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8685A" w14:textId="77777777" w:rsidR="007727C5" w:rsidRDefault="007727C5" w:rsidP="007727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8401762"/>
      <w:docPartObj>
        <w:docPartGallery w:val="Page Numbers (Bottom of Page)"/>
        <w:docPartUnique/>
      </w:docPartObj>
    </w:sdtPr>
    <w:sdtEndPr>
      <w:rPr>
        <w:rStyle w:val="PageNumber"/>
      </w:rPr>
    </w:sdtEndPr>
    <w:sdtContent>
      <w:p w14:paraId="164E0F2E" w14:textId="5DEA6101" w:rsidR="007727C5" w:rsidRDefault="007727C5" w:rsidP="00FD22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727C8" w14:textId="77777777" w:rsidR="007727C5" w:rsidRDefault="007727C5" w:rsidP="007727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4512" w14:textId="77777777" w:rsidR="004550DE" w:rsidRDefault="004550DE" w:rsidP="00480C92">
      <w:pPr>
        <w:spacing w:after="0" w:line="240" w:lineRule="auto"/>
      </w:pPr>
      <w:r>
        <w:separator/>
      </w:r>
    </w:p>
  </w:footnote>
  <w:footnote w:type="continuationSeparator" w:id="0">
    <w:p w14:paraId="213DC327" w14:textId="77777777" w:rsidR="004550DE" w:rsidRDefault="004550DE" w:rsidP="00480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93F"/>
    <w:multiLevelType w:val="multilevel"/>
    <w:tmpl w:val="3BEA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029BB"/>
    <w:multiLevelType w:val="multilevel"/>
    <w:tmpl w:val="61BE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D6AFE"/>
    <w:multiLevelType w:val="hybridMultilevel"/>
    <w:tmpl w:val="D9AA0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B4B5794"/>
    <w:multiLevelType w:val="hybridMultilevel"/>
    <w:tmpl w:val="2C0043C0"/>
    <w:lvl w:ilvl="0" w:tplc="6E02A720">
      <w:start w:val="3"/>
      <w:numFmt w:val="lowerLetter"/>
      <w:lvlText w:val="%1."/>
      <w:lvlJc w:val="left"/>
      <w:pPr>
        <w:tabs>
          <w:tab w:val="num" w:pos="720"/>
        </w:tabs>
        <w:ind w:left="720" w:hanging="360"/>
      </w:pPr>
    </w:lvl>
    <w:lvl w:ilvl="1" w:tplc="E7264040" w:tentative="1">
      <w:start w:val="1"/>
      <w:numFmt w:val="decimal"/>
      <w:lvlText w:val="%2."/>
      <w:lvlJc w:val="left"/>
      <w:pPr>
        <w:tabs>
          <w:tab w:val="num" w:pos="1440"/>
        </w:tabs>
        <w:ind w:left="1440" w:hanging="360"/>
      </w:pPr>
    </w:lvl>
    <w:lvl w:ilvl="2" w:tplc="3FFE5502" w:tentative="1">
      <w:start w:val="1"/>
      <w:numFmt w:val="decimal"/>
      <w:lvlText w:val="%3."/>
      <w:lvlJc w:val="left"/>
      <w:pPr>
        <w:tabs>
          <w:tab w:val="num" w:pos="2160"/>
        </w:tabs>
        <w:ind w:left="2160" w:hanging="360"/>
      </w:pPr>
    </w:lvl>
    <w:lvl w:ilvl="3" w:tplc="9BCC7A8C" w:tentative="1">
      <w:start w:val="1"/>
      <w:numFmt w:val="decimal"/>
      <w:lvlText w:val="%4."/>
      <w:lvlJc w:val="left"/>
      <w:pPr>
        <w:tabs>
          <w:tab w:val="num" w:pos="2880"/>
        </w:tabs>
        <w:ind w:left="2880" w:hanging="360"/>
      </w:pPr>
    </w:lvl>
    <w:lvl w:ilvl="4" w:tplc="D72C3AA2" w:tentative="1">
      <w:start w:val="1"/>
      <w:numFmt w:val="decimal"/>
      <w:lvlText w:val="%5."/>
      <w:lvlJc w:val="left"/>
      <w:pPr>
        <w:tabs>
          <w:tab w:val="num" w:pos="3600"/>
        </w:tabs>
        <w:ind w:left="3600" w:hanging="360"/>
      </w:pPr>
    </w:lvl>
    <w:lvl w:ilvl="5" w:tplc="CA64049A" w:tentative="1">
      <w:start w:val="1"/>
      <w:numFmt w:val="decimal"/>
      <w:lvlText w:val="%6."/>
      <w:lvlJc w:val="left"/>
      <w:pPr>
        <w:tabs>
          <w:tab w:val="num" w:pos="4320"/>
        </w:tabs>
        <w:ind w:left="4320" w:hanging="360"/>
      </w:pPr>
    </w:lvl>
    <w:lvl w:ilvl="6" w:tplc="F50EA924" w:tentative="1">
      <w:start w:val="1"/>
      <w:numFmt w:val="decimal"/>
      <w:lvlText w:val="%7."/>
      <w:lvlJc w:val="left"/>
      <w:pPr>
        <w:tabs>
          <w:tab w:val="num" w:pos="5040"/>
        </w:tabs>
        <w:ind w:left="5040" w:hanging="360"/>
      </w:pPr>
    </w:lvl>
    <w:lvl w:ilvl="7" w:tplc="7D20BDEE" w:tentative="1">
      <w:start w:val="1"/>
      <w:numFmt w:val="decimal"/>
      <w:lvlText w:val="%8."/>
      <w:lvlJc w:val="left"/>
      <w:pPr>
        <w:tabs>
          <w:tab w:val="num" w:pos="5760"/>
        </w:tabs>
        <w:ind w:left="5760" w:hanging="360"/>
      </w:pPr>
    </w:lvl>
    <w:lvl w:ilvl="8" w:tplc="CE74AE86" w:tentative="1">
      <w:start w:val="1"/>
      <w:numFmt w:val="decimal"/>
      <w:lvlText w:val="%9."/>
      <w:lvlJc w:val="left"/>
      <w:pPr>
        <w:tabs>
          <w:tab w:val="num" w:pos="6480"/>
        </w:tabs>
        <w:ind w:left="6480" w:hanging="360"/>
      </w:pPr>
    </w:lvl>
  </w:abstractNum>
  <w:abstractNum w:abstractNumId="4" w15:restartNumberingAfterBreak="0">
    <w:nsid w:val="73D168FC"/>
    <w:multiLevelType w:val="hybridMultilevel"/>
    <w:tmpl w:val="A2401614"/>
    <w:lvl w:ilvl="0" w:tplc="438EEEEC">
      <w:start w:val="2"/>
      <w:numFmt w:val="lowerLetter"/>
      <w:lvlText w:val="%1."/>
      <w:lvlJc w:val="left"/>
      <w:pPr>
        <w:tabs>
          <w:tab w:val="num" w:pos="720"/>
        </w:tabs>
        <w:ind w:left="720" w:hanging="360"/>
      </w:pPr>
    </w:lvl>
    <w:lvl w:ilvl="1" w:tplc="7DB2BE02" w:tentative="1">
      <w:start w:val="1"/>
      <w:numFmt w:val="decimal"/>
      <w:lvlText w:val="%2."/>
      <w:lvlJc w:val="left"/>
      <w:pPr>
        <w:tabs>
          <w:tab w:val="num" w:pos="1440"/>
        </w:tabs>
        <w:ind w:left="1440" w:hanging="360"/>
      </w:pPr>
    </w:lvl>
    <w:lvl w:ilvl="2" w:tplc="D80AA894" w:tentative="1">
      <w:start w:val="1"/>
      <w:numFmt w:val="decimal"/>
      <w:lvlText w:val="%3."/>
      <w:lvlJc w:val="left"/>
      <w:pPr>
        <w:tabs>
          <w:tab w:val="num" w:pos="2160"/>
        </w:tabs>
        <w:ind w:left="2160" w:hanging="360"/>
      </w:pPr>
    </w:lvl>
    <w:lvl w:ilvl="3" w:tplc="E736885A" w:tentative="1">
      <w:start w:val="1"/>
      <w:numFmt w:val="decimal"/>
      <w:lvlText w:val="%4."/>
      <w:lvlJc w:val="left"/>
      <w:pPr>
        <w:tabs>
          <w:tab w:val="num" w:pos="2880"/>
        </w:tabs>
        <w:ind w:left="2880" w:hanging="360"/>
      </w:pPr>
    </w:lvl>
    <w:lvl w:ilvl="4" w:tplc="6BEA5396" w:tentative="1">
      <w:start w:val="1"/>
      <w:numFmt w:val="decimal"/>
      <w:lvlText w:val="%5."/>
      <w:lvlJc w:val="left"/>
      <w:pPr>
        <w:tabs>
          <w:tab w:val="num" w:pos="3600"/>
        </w:tabs>
        <w:ind w:left="3600" w:hanging="360"/>
      </w:pPr>
    </w:lvl>
    <w:lvl w:ilvl="5" w:tplc="04208666" w:tentative="1">
      <w:start w:val="1"/>
      <w:numFmt w:val="decimal"/>
      <w:lvlText w:val="%6."/>
      <w:lvlJc w:val="left"/>
      <w:pPr>
        <w:tabs>
          <w:tab w:val="num" w:pos="4320"/>
        </w:tabs>
        <w:ind w:left="4320" w:hanging="360"/>
      </w:pPr>
    </w:lvl>
    <w:lvl w:ilvl="6" w:tplc="6BA2C052" w:tentative="1">
      <w:start w:val="1"/>
      <w:numFmt w:val="decimal"/>
      <w:lvlText w:val="%7."/>
      <w:lvlJc w:val="left"/>
      <w:pPr>
        <w:tabs>
          <w:tab w:val="num" w:pos="5040"/>
        </w:tabs>
        <w:ind w:left="5040" w:hanging="360"/>
      </w:pPr>
    </w:lvl>
    <w:lvl w:ilvl="7" w:tplc="98E658A0" w:tentative="1">
      <w:start w:val="1"/>
      <w:numFmt w:val="decimal"/>
      <w:lvlText w:val="%8."/>
      <w:lvlJc w:val="left"/>
      <w:pPr>
        <w:tabs>
          <w:tab w:val="num" w:pos="5760"/>
        </w:tabs>
        <w:ind w:left="5760" w:hanging="360"/>
      </w:pPr>
    </w:lvl>
    <w:lvl w:ilvl="8" w:tplc="7F708D7C"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zsDQyNzA1sDAytjBS0lEKTi0uzszPAykwqgUAKSBdDywAAAA="/>
  </w:docVars>
  <w:rsids>
    <w:rsidRoot w:val="00480C92"/>
    <w:rsid w:val="00000929"/>
    <w:rsid w:val="00005079"/>
    <w:rsid w:val="000065BA"/>
    <w:rsid w:val="00007714"/>
    <w:rsid w:val="00011220"/>
    <w:rsid w:val="000122FB"/>
    <w:rsid w:val="0002316C"/>
    <w:rsid w:val="00023950"/>
    <w:rsid w:val="00030CE8"/>
    <w:rsid w:val="00030DC0"/>
    <w:rsid w:val="00031648"/>
    <w:rsid w:val="00031C19"/>
    <w:rsid w:val="00031F18"/>
    <w:rsid w:val="00032801"/>
    <w:rsid w:val="00033845"/>
    <w:rsid w:val="00033C40"/>
    <w:rsid w:val="000346B4"/>
    <w:rsid w:val="000354EB"/>
    <w:rsid w:val="0003629E"/>
    <w:rsid w:val="0004214B"/>
    <w:rsid w:val="0004260A"/>
    <w:rsid w:val="00045986"/>
    <w:rsid w:val="000517A8"/>
    <w:rsid w:val="00052CA1"/>
    <w:rsid w:val="000559F5"/>
    <w:rsid w:val="00061CE5"/>
    <w:rsid w:val="0006429D"/>
    <w:rsid w:val="000717E7"/>
    <w:rsid w:val="00073B29"/>
    <w:rsid w:val="00074A48"/>
    <w:rsid w:val="000751A9"/>
    <w:rsid w:val="000772BF"/>
    <w:rsid w:val="000804E3"/>
    <w:rsid w:val="00081E3C"/>
    <w:rsid w:val="000825CF"/>
    <w:rsid w:val="000869CE"/>
    <w:rsid w:val="000909FC"/>
    <w:rsid w:val="00091CCF"/>
    <w:rsid w:val="00091EC2"/>
    <w:rsid w:val="0009398C"/>
    <w:rsid w:val="0009450A"/>
    <w:rsid w:val="000945B3"/>
    <w:rsid w:val="00095202"/>
    <w:rsid w:val="00096C23"/>
    <w:rsid w:val="000A0EF1"/>
    <w:rsid w:val="000A32DD"/>
    <w:rsid w:val="000A4A91"/>
    <w:rsid w:val="000A70A4"/>
    <w:rsid w:val="000B023B"/>
    <w:rsid w:val="000B081F"/>
    <w:rsid w:val="000B1A15"/>
    <w:rsid w:val="000B230F"/>
    <w:rsid w:val="000B280D"/>
    <w:rsid w:val="000B31D4"/>
    <w:rsid w:val="000B34A6"/>
    <w:rsid w:val="000B5395"/>
    <w:rsid w:val="000B57C9"/>
    <w:rsid w:val="000B5803"/>
    <w:rsid w:val="000C08FD"/>
    <w:rsid w:val="000C171F"/>
    <w:rsid w:val="000C30E2"/>
    <w:rsid w:val="000C35A7"/>
    <w:rsid w:val="000C38F0"/>
    <w:rsid w:val="000C536B"/>
    <w:rsid w:val="000C6187"/>
    <w:rsid w:val="000D034C"/>
    <w:rsid w:val="000D1021"/>
    <w:rsid w:val="000D282F"/>
    <w:rsid w:val="000D7866"/>
    <w:rsid w:val="000D7B3F"/>
    <w:rsid w:val="000E4F04"/>
    <w:rsid w:val="000F4F38"/>
    <w:rsid w:val="000F4F86"/>
    <w:rsid w:val="000F506A"/>
    <w:rsid w:val="0010311A"/>
    <w:rsid w:val="00103762"/>
    <w:rsid w:val="00103815"/>
    <w:rsid w:val="00104FAD"/>
    <w:rsid w:val="001107B3"/>
    <w:rsid w:val="00110C89"/>
    <w:rsid w:val="00117980"/>
    <w:rsid w:val="001228FD"/>
    <w:rsid w:val="0013157E"/>
    <w:rsid w:val="00131B4C"/>
    <w:rsid w:val="00133A0E"/>
    <w:rsid w:val="001351CB"/>
    <w:rsid w:val="00135696"/>
    <w:rsid w:val="00137B81"/>
    <w:rsid w:val="00140132"/>
    <w:rsid w:val="001417B0"/>
    <w:rsid w:val="001506DD"/>
    <w:rsid w:val="00151E7C"/>
    <w:rsid w:val="00162442"/>
    <w:rsid w:val="0016246B"/>
    <w:rsid w:val="001642AF"/>
    <w:rsid w:val="00165415"/>
    <w:rsid w:val="00170883"/>
    <w:rsid w:val="00170B36"/>
    <w:rsid w:val="00172064"/>
    <w:rsid w:val="00173FC4"/>
    <w:rsid w:val="001744B6"/>
    <w:rsid w:val="00182A21"/>
    <w:rsid w:val="00184725"/>
    <w:rsid w:val="0018554B"/>
    <w:rsid w:val="001857BB"/>
    <w:rsid w:val="00185A74"/>
    <w:rsid w:val="00192194"/>
    <w:rsid w:val="00192ACA"/>
    <w:rsid w:val="0019406A"/>
    <w:rsid w:val="00194945"/>
    <w:rsid w:val="001959A0"/>
    <w:rsid w:val="001A0465"/>
    <w:rsid w:val="001A0CEC"/>
    <w:rsid w:val="001A1802"/>
    <w:rsid w:val="001A304E"/>
    <w:rsid w:val="001A402D"/>
    <w:rsid w:val="001A6A86"/>
    <w:rsid w:val="001B1B68"/>
    <w:rsid w:val="001B24D5"/>
    <w:rsid w:val="001B611E"/>
    <w:rsid w:val="001B6B8E"/>
    <w:rsid w:val="001B6EC4"/>
    <w:rsid w:val="001B7E38"/>
    <w:rsid w:val="001C069B"/>
    <w:rsid w:val="001C3639"/>
    <w:rsid w:val="001C3B00"/>
    <w:rsid w:val="001C43B8"/>
    <w:rsid w:val="001C570B"/>
    <w:rsid w:val="001D558A"/>
    <w:rsid w:val="001D5E5C"/>
    <w:rsid w:val="001D74AF"/>
    <w:rsid w:val="001E00DC"/>
    <w:rsid w:val="001E1382"/>
    <w:rsid w:val="001E285E"/>
    <w:rsid w:val="001E7F48"/>
    <w:rsid w:val="001F04AC"/>
    <w:rsid w:val="001F2C17"/>
    <w:rsid w:val="001F4BA7"/>
    <w:rsid w:val="001F5424"/>
    <w:rsid w:val="001F5FE5"/>
    <w:rsid w:val="001F72AF"/>
    <w:rsid w:val="001F7CB1"/>
    <w:rsid w:val="00201371"/>
    <w:rsid w:val="00201757"/>
    <w:rsid w:val="00201CCE"/>
    <w:rsid w:val="00201D79"/>
    <w:rsid w:val="00203175"/>
    <w:rsid w:val="002049A6"/>
    <w:rsid w:val="00205642"/>
    <w:rsid w:val="002072C0"/>
    <w:rsid w:val="00212835"/>
    <w:rsid w:val="00213851"/>
    <w:rsid w:val="0021672F"/>
    <w:rsid w:val="002200FF"/>
    <w:rsid w:val="002203C6"/>
    <w:rsid w:val="00221975"/>
    <w:rsid w:val="00223260"/>
    <w:rsid w:val="00224CB6"/>
    <w:rsid w:val="00227F0E"/>
    <w:rsid w:val="00230F2C"/>
    <w:rsid w:val="0023175D"/>
    <w:rsid w:val="0023262C"/>
    <w:rsid w:val="002327D4"/>
    <w:rsid w:val="002330F2"/>
    <w:rsid w:val="002334C0"/>
    <w:rsid w:val="0023442D"/>
    <w:rsid w:val="00234BEF"/>
    <w:rsid w:val="00235C3A"/>
    <w:rsid w:val="00237ADD"/>
    <w:rsid w:val="002402C1"/>
    <w:rsid w:val="0024070C"/>
    <w:rsid w:val="00240A00"/>
    <w:rsid w:val="00241014"/>
    <w:rsid w:val="00242795"/>
    <w:rsid w:val="00243228"/>
    <w:rsid w:val="0024365F"/>
    <w:rsid w:val="00243C1A"/>
    <w:rsid w:val="00244EC4"/>
    <w:rsid w:val="00251F0D"/>
    <w:rsid w:val="00252641"/>
    <w:rsid w:val="00252F35"/>
    <w:rsid w:val="0025344B"/>
    <w:rsid w:val="002538AC"/>
    <w:rsid w:val="0025413A"/>
    <w:rsid w:val="00254E27"/>
    <w:rsid w:val="002559AF"/>
    <w:rsid w:val="0026031D"/>
    <w:rsid w:val="00260BD1"/>
    <w:rsid w:val="00261018"/>
    <w:rsid w:val="002610B2"/>
    <w:rsid w:val="0026177C"/>
    <w:rsid w:val="00263155"/>
    <w:rsid w:val="0026416D"/>
    <w:rsid w:val="00265734"/>
    <w:rsid w:val="0026596A"/>
    <w:rsid w:val="00266030"/>
    <w:rsid w:val="00266C53"/>
    <w:rsid w:val="00271689"/>
    <w:rsid w:val="002722B9"/>
    <w:rsid w:val="00273201"/>
    <w:rsid w:val="00275830"/>
    <w:rsid w:val="00275AA6"/>
    <w:rsid w:val="00276231"/>
    <w:rsid w:val="00283121"/>
    <w:rsid w:val="00285F05"/>
    <w:rsid w:val="002873A5"/>
    <w:rsid w:val="0028782C"/>
    <w:rsid w:val="002913CF"/>
    <w:rsid w:val="0029390C"/>
    <w:rsid w:val="0029771C"/>
    <w:rsid w:val="002A00A1"/>
    <w:rsid w:val="002A00CE"/>
    <w:rsid w:val="002A02D9"/>
    <w:rsid w:val="002A78B0"/>
    <w:rsid w:val="002B08FC"/>
    <w:rsid w:val="002B140A"/>
    <w:rsid w:val="002B212D"/>
    <w:rsid w:val="002B2F1A"/>
    <w:rsid w:val="002B3F7A"/>
    <w:rsid w:val="002B58CA"/>
    <w:rsid w:val="002B7ED6"/>
    <w:rsid w:val="002C1084"/>
    <w:rsid w:val="002C1778"/>
    <w:rsid w:val="002C2356"/>
    <w:rsid w:val="002C2A6C"/>
    <w:rsid w:val="002C3644"/>
    <w:rsid w:val="002C6130"/>
    <w:rsid w:val="002C715E"/>
    <w:rsid w:val="002D1BB1"/>
    <w:rsid w:val="002D2020"/>
    <w:rsid w:val="002D2459"/>
    <w:rsid w:val="002D4A9B"/>
    <w:rsid w:val="002E156E"/>
    <w:rsid w:val="002E653F"/>
    <w:rsid w:val="002F15AC"/>
    <w:rsid w:val="002F6090"/>
    <w:rsid w:val="002F7B3E"/>
    <w:rsid w:val="0030155F"/>
    <w:rsid w:val="003037C6"/>
    <w:rsid w:val="0030537B"/>
    <w:rsid w:val="00305930"/>
    <w:rsid w:val="00305D33"/>
    <w:rsid w:val="003109AC"/>
    <w:rsid w:val="00310A34"/>
    <w:rsid w:val="00312410"/>
    <w:rsid w:val="003127DC"/>
    <w:rsid w:val="003147F6"/>
    <w:rsid w:val="00316264"/>
    <w:rsid w:val="003162D4"/>
    <w:rsid w:val="003174BC"/>
    <w:rsid w:val="003212B7"/>
    <w:rsid w:val="00321B41"/>
    <w:rsid w:val="00322D57"/>
    <w:rsid w:val="00324D3B"/>
    <w:rsid w:val="00324DB5"/>
    <w:rsid w:val="00327B5B"/>
    <w:rsid w:val="003310B3"/>
    <w:rsid w:val="0033754E"/>
    <w:rsid w:val="00337FDE"/>
    <w:rsid w:val="00340CCB"/>
    <w:rsid w:val="0034262D"/>
    <w:rsid w:val="003434C3"/>
    <w:rsid w:val="00344201"/>
    <w:rsid w:val="00344EEA"/>
    <w:rsid w:val="00346BCE"/>
    <w:rsid w:val="003510E3"/>
    <w:rsid w:val="003526B2"/>
    <w:rsid w:val="00354C1C"/>
    <w:rsid w:val="00355386"/>
    <w:rsid w:val="00360A15"/>
    <w:rsid w:val="00360D35"/>
    <w:rsid w:val="00361446"/>
    <w:rsid w:val="003635D0"/>
    <w:rsid w:val="00364DA4"/>
    <w:rsid w:val="00367011"/>
    <w:rsid w:val="0036748E"/>
    <w:rsid w:val="00367604"/>
    <w:rsid w:val="00367BC8"/>
    <w:rsid w:val="00367D39"/>
    <w:rsid w:val="00371EA8"/>
    <w:rsid w:val="00372271"/>
    <w:rsid w:val="003732C7"/>
    <w:rsid w:val="00373E6A"/>
    <w:rsid w:val="00374D22"/>
    <w:rsid w:val="00375152"/>
    <w:rsid w:val="00375438"/>
    <w:rsid w:val="00380362"/>
    <w:rsid w:val="0038752A"/>
    <w:rsid w:val="003911FD"/>
    <w:rsid w:val="00391953"/>
    <w:rsid w:val="0039225E"/>
    <w:rsid w:val="00393E8A"/>
    <w:rsid w:val="00396020"/>
    <w:rsid w:val="0039621A"/>
    <w:rsid w:val="003A1622"/>
    <w:rsid w:val="003A1873"/>
    <w:rsid w:val="003A317B"/>
    <w:rsid w:val="003A3556"/>
    <w:rsid w:val="003A4240"/>
    <w:rsid w:val="003A5AA5"/>
    <w:rsid w:val="003B0FF3"/>
    <w:rsid w:val="003B320F"/>
    <w:rsid w:val="003B7AB3"/>
    <w:rsid w:val="003B7CA9"/>
    <w:rsid w:val="003C3050"/>
    <w:rsid w:val="003C5FEE"/>
    <w:rsid w:val="003D1A92"/>
    <w:rsid w:val="003D2175"/>
    <w:rsid w:val="003D2ADD"/>
    <w:rsid w:val="003D347B"/>
    <w:rsid w:val="003D4491"/>
    <w:rsid w:val="003D7734"/>
    <w:rsid w:val="003E325B"/>
    <w:rsid w:val="003E56C1"/>
    <w:rsid w:val="003F1634"/>
    <w:rsid w:val="003F293D"/>
    <w:rsid w:val="003F37E2"/>
    <w:rsid w:val="003F5BB9"/>
    <w:rsid w:val="003F7FB0"/>
    <w:rsid w:val="00400409"/>
    <w:rsid w:val="00403443"/>
    <w:rsid w:val="0040548C"/>
    <w:rsid w:val="00406047"/>
    <w:rsid w:val="004067C4"/>
    <w:rsid w:val="004122AE"/>
    <w:rsid w:val="00413C80"/>
    <w:rsid w:val="00414EC4"/>
    <w:rsid w:val="00415CF3"/>
    <w:rsid w:val="004206F3"/>
    <w:rsid w:val="004232F1"/>
    <w:rsid w:val="00425C63"/>
    <w:rsid w:val="004266BE"/>
    <w:rsid w:val="00430BB8"/>
    <w:rsid w:val="0043120F"/>
    <w:rsid w:val="00431C31"/>
    <w:rsid w:val="00433E9C"/>
    <w:rsid w:val="00434210"/>
    <w:rsid w:val="004350FE"/>
    <w:rsid w:val="00435DC2"/>
    <w:rsid w:val="00436CFF"/>
    <w:rsid w:val="00437D8A"/>
    <w:rsid w:val="00444EA7"/>
    <w:rsid w:val="00445C5A"/>
    <w:rsid w:val="00446FFA"/>
    <w:rsid w:val="004550DE"/>
    <w:rsid w:val="00455F56"/>
    <w:rsid w:val="00457D7D"/>
    <w:rsid w:val="00460B82"/>
    <w:rsid w:val="00466625"/>
    <w:rsid w:val="004701CB"/>
    <w:rsid w:val="0047187F"/>
    <w:rsid w:val="00471B3A"/>
    <w:rsid w:val="00471FDB"/>
    <w:rsid w:val="00472F21"/>
    <w:rsid w:val="0047364D"/>
    <w:rsid w:val="00475B14"/>
    <w:rsid w:val="00475D5B"/>
    <w:rsid w:val="00475E4C"/>
    <w:rsid w:val="004768ED"/>
    <w:rsid w:val="00476EAC"/>
    <w:rsid w:val="00480571"/>
    <w:rsid w:val="00480C92"/>
    <w:rsid w:val="00480FB9"/>
    <w:rsid w:val="0048202F"/>
    <w:rsid w:val="00485E18"/>
    <w:rsid w:val="00487A40"/>
    <w:rsid w:val="00490610"/>
    <w:rsid w:val="0049198E"/>
    <w:rsid w:val="00492314"/>
    <w:rsid w:val="004A1CF0"/>
    <w:rsid w:val="004A4D64"/>
    <w:rsid w:val="004B13EF"/>
    <w:rsid w:val="004B2D65"/>
    <w:rsid w:val="004B32ED"/>
    <w:rsid w:val="004B39C5"/>
    <w:rsid w:val="004C0F7D"/>
    <w:rsid w:val="004C13FF"/>
    <w:rsid w:val="004C18A7"/>
    <w:rsid w:val="004C6C9E"/>
    <w:rsid w:val="004D00B2"/>
    <w:rsid w:val="004D0472"/>
    <w:rsid w:val="004D3533"/>
    <w:rsid w:val="004D43D2"/>
    <w:rsid w:val="004D7AFA"/>
    <w:rsid w:val="004E0DB8"/>
    <w:rsid w:val="004E178A"/>
    <w:rsid w:val="004E2898"/>
    <w:rsid w:val="004F1E8B"/>
    <w:rsid w:val="004F42D8"/>
    <w:rsid w:val="004F700F"/>
    <w:rsid w:val="004F72EA"/>
    <w:rsid w:val="00501786"/>
    <w:rsid w:val="00513F64"/>
    <w:rsid w:val="00515454"/>
    <w:rsid w:val="00520A6F"/>
    <w:rsid w:val="005239D6"/>
    <w:rsid w:val="00525A22"/>
    <w:rsid w:val="00525D9F"/>
    <w:rsid w:val="00526972"/>
    <w:rsid w:val="00531E9D"/>
    <w:rsid w:val="00534B58"/>
    <w:rsid w:val="005362E2"/>
    <w:rsid w:val="005364E1"/>
    <w:rsid w:val="00537207"/>
    <w:rsid w:val="00540966"/>
    <w:rsid w:val="00540F19"/>
    <w:rsid w:val="0054674C"/>
    <w:rsid w:val="005515B7"/>
    <w:rsid w:val="00552144"/>
    <w:rsid w:val="0055224E"/>
    <w:rsid w:val="0055273B"/>
    <w:rsid w:val="00553104"/>
    <w:rsid w:val="005545FB"/>
    <w:rsid w:val="005550FE"/>
    <w:rsid w:val="00555B5D"/>
    <w:rsid w:val="00556041"/>
    <w:rsid w:val="00557261"/>
    <w:rsid w:val="005612C1"/>
    <w:rsid w:val="00562618"/>
    <w:rsid w:val="0056323A"/>
    <w:rsid w:val="00564026"/>
    <w:rsid w:val="00566345"/>
    <w:rsid w:val="00567CC3"/>
    <w:rsid w:val="00572772"/>
    <w:rsid w:val="00572F5B"/>
    <w:rsid w:val="0057357B"/>
    <w:rsid w:val="00577F9C"/>
    <w:rsid w:val="00584059"/>
    <w:rsid w:val="00584E12"/>
    <w:rsid w:val="005867A3"/>
    <w:rsid w:val="005867D6"/>
    <w:rsid w:val="00591CE9"/>
    <w:rsid w:val="00591E68"/>
    <w:rsid w:val="00592AC1"/>
    <w:rsid w:val="005930C7"/>
    <w:rsid w:val="005932E7"/>
    <w:rsid w:val="00594081"/>
    <w:rsid w:val="0059640C"/>
    <w:rsid w:val="00596B55"/>
    <w:rsid w:val="00597373"/>
    <w:rsid w:val="005975F7"/>
    <w:rsid w:val="005A327E"/>
    <w:rsid w:val="005A3A5A"/>
    <w:rsid w:val="005A3F2C"/>
    <w:rsid w:val="005A48B5"/>
    <w:rsid w:val="005A4C07"/>
    <w:rsid w:val="005A5235"/>
    <w:rsid w:val="005A612D"/>
    <w:rsid w:val="005A67CC"/>
    <w:rsid w:val="005A7885"/>
    <w:rsid w:val="005B1570"/>
    <w:rsid w:val="005B32CF"/>
    <w:rsid w:val="005B6750"/>
    <w:rsid w:val="005C0E33"/>
    <w:rsid w:val="005C2B60"/>
    <w:rsid w:val="005C3781"/>
    <w:rsid w:val="005C4301"/>
    <w:rsid w:val="005C461A"/>
    <w:rsid w:val="005C46F0"/>
    <w:rsid w:val="005D3495"/>
    <w:rsid w:val="005D44D3"/>
    <w:rsid w:val="005D55F5"/>
    <w:rsid w:val="005D59C6"/>
    <w:rsid w:val="005E0CE9"/>
    <w:rsid w:val="005E265D"/>
    <w:rsid w:val="005E2A2D"/>
    <w:rsid w:val="005E3BF0"/>
    <w:rsid w:val="005F00E6"/>
    <w:rsid w:val="005F11E3"/>
    <w:rsid w:val="005F1EED"/>
    <w:rsid w:val="005F3287"/>
    <w:rsid w:val="005F4176"/>
    <w:rsid w:val="005F54AB"/>
    <w:rsid w:val="005F77EF"/>
    <w:rsid w:val="0060015D"/>
    <w:rsid w:val="00603ADC"/>
    <w:rsid w:val="0060401E"/>
    <w:rsid w:val="006058D0"/>
    <w:rsid w:val="006063F3"/>
    <w:rsid w:val="00606DC5"/>
    <w:rsid w:val="00615978"/>
    <w:rsid w:val="00615E23"/>
    <w:rsid w:val="00616368"/>
    <w:rsid w:val="006165FB"/>
    <w:rsid w:val="006213C4"/>
    <w:rsid w:val="00623527"/>
    <w:rsid w:val="00623A44"/>
    <w:rsid w:val="00625A2A"/>
    <w:rsid w:val="00627FF2"/>
    <w:rsid w:val="0063181C"/>
    <w:rsid w:val="00633749"/>
    <w:rsid w:val="0063457E"/>
    <w:rsid w:val="00634618"/>
    <w:rsid w:val="00637ECA"/>
    <w:rsid w:val="00640014"/>
    <w:rsid w:val="00640192"/>
    <w:rsid w:val="006425C5"/>
    <w:rsid w:val="00643A3B"/>
    <w:rsid w:val="0064664E"/>
    <w:rsid w:val="00646807"/>
    <w:rsid w:val="00651A9F"/>
    <w:rsid w:val="00652054"/>
    <w:rsid w:val="006521FE"/>
    <w:rsid w:val="0065392B"/>
    <w:rsid w:val="00653F09"/>
    <w:rsid w:val="00654BAB"/>
    <w:rsid w:val="00654D1D"/>
    <w:rsid w:val="00656D0E"/>
    <w:rsid w:val="00657CB7"/>
    <w:rsid w:val="00662885"/>
    <w:rsid w:val="00663611"/>
    <w:rsid w:val="00664BE9"/>
    <w:rsid w:val="0066535A"/>
    <w:rsid w:val="006654A5"/>
    <w:rsid w:val="00665E79"/>
    <w:rsid w:val="006667D3"/>
    <w:rsid w:val="00667924"/>
    <w:rsid w:val="00671033"/>
    <w:rsid w:val="00671F50"/>
    <w:rsid w:val="00676057"/>
    <w:rsid w:val="00677AFD"/>
    <w:rsid w:val="00677C88"/>
    <w:rsid w:val="00677E00"/>
    <w:rsid w:val="006800ED"/>
    <w:rsid w:val="0068243C"/>
    <w:rsid w:val="00687CAA"/>
    <w:rsid w:val="006911E0"/>
    <w:rsid w:val="00692ADA"/>
    <w:rsid w:val="006952D9"/>
    <w:rsid w:val="006954B6"/>
    <w:rsid w:val="006A1EAF"/>
    <w:rsid w:val="006B75BE"/>
    <w:rsid w:val="006C2A55"/>
    <w:rsid w:val="006C55B8"/>
    <w:rsid w:val="006C6763"/>
    <w:rsid w:val="006C6FDD"/>
    <w:rsid w:val="006D00F0"/>
    <w:rsid w:val="006D29D6"/>
    <w:rsid w:val="006D34B8"/>
    <w:rsid w:val="006E13FE"/>
    <w:rsid w:val="006E1F83"/>
    <w:rsid w:val="006E5C22"/>
    <w:rsid w:val="006E6DE7"/>
    <w:rsid w:val="006F4CD5"/>
    <w:rsid w:val="006F53EC"/>
    <w:rsid w:val="006F5D2E"/>
    <w:rsid w:val="006F5F4C"/>
    <w:rsid w:val="006F62F3"/>
    <w:rsid w:val="006F7A04"/>
    <w:rsid w:val="006F7F37"/>
    <w:rsid w:val="007059ED"/>
    <w:rsid w:val="007060EC"/>
    <w:rsid w:val="007068F0"/>
    <w:rsid w:val="00706A4C"/>
    <w:rsid w:val="00710378"/>
    <w:rsid w:val="00715092"/>
    <w:rsid w:val="007210F6"/>
    <w:rsid w:val="007251E6"/>
    <w:rsid w:val="00726AF0"/>
    <w:rsid w:val="00732E87"/>
    <w:rsid w:val="00735867"/>
    <w:rsid w:val="007433B0"/>
    <w:rsid w:val="00745645"/>
    <w:rsid w:val="0074620C"/>
    <w:rsid w:val="00747969"/>
    <w:rsid w:val="007504BA"/>
    <w:rsid w:val="00752402"/>
    <w:rsid w:val="0075415F"/>
    <w:rsid w:val="007542A0"/>
    <w:rsid w:val="00755590"/>
    <w:rsid w:val="00757141"/>
    <w:rsid w:val="0075739F"/>
    <w:rsid w:val="007573D1"/>
    <w:rsid w:val="00760324"/>
    <w:rsid w:val="00760B4F"/>
    <w:rsid w:val="00762880"/>
    <w:rsid w:val="00763A58"/>
    <w:rsid w:val="0076627E"/>
    <w:rsid w:val="0077008E"/>
    <w:rsid w:val="007727C5"/>
    <w:rsid w:val="00774F89"/>
    <w:rsid w:val="00780A11"/>
    <w:rsid w:val="00781D43"/>
    <w:rsid w:val="00784AF6"/>
    <w:rsid w:val="00786752"/>
    <w:rsid w:val="00792E11"/>
    <w:rsid w:val="00794FDA"/>
    <w:rsid w:val="00795527"/>
    <w:rsid w:val="00795F78"/>
    <w:rsid w:val="00797F95"/>
    <w:rsid w:val="007A59A3"/>
    <w:rsid w:val="007A5C15"/>
    <w:rsid w:val="007A7426"/>
    <w:rsid w:val="007B208C"/>
    <w:rsid w:val="007B402B"/>
    <w:rsid w:val="007B4B10"/>
    <w:rsid w:val="007B61F1"/>
    <w:rsid w:val="007B6CD4"/>
    <w:rsid w:val="007C056A"/>
    <w:rsid w:val="007C12D4"/>
    <w:rsid w:val="007C2FAD"/>
    <w:rsid w:val="007C43E4"/>
    <w:rsid w:val="007C552A"/>
    <w:rsid w:val="007C6C09"/>
    <w:rsid w:val="007C6FF9"/>
    <w:rsid w:val="007C7003"/>
    <w:rsid w:val="007C713E"/>
    <w:rsid w:val="007D3FD7"/>
    <w:rsid w:val="007D672A"/>
    <w:rsid w:val="007D6772"/>
    <w:rsid w:val="007E0700"/>
    <w:rsid w:val="007E0718"/>
    <w:rsid w:val="007E1801"/>
    <w:rsid w:val="007E23B3"/>
    <w:rsid w:val="007E42BE"/>
    <w:rsid w:val="007E508A"/>
    <w:rsid w:val="007E5852"/>
    <w:rsid w:val="007E7F3D"/>
    <w:rsid w:val="007F07B3"/>
    <w:rsid w:val="007F0E6D"/>
    <w:rsid w:val="007F2ED2"/>
    <w:rsid w:val="007F2F33"/>
    <w:rsid w:val="007F3F5F"/>
    <w:rsid w:val="007F4A0D"/>
    <w:rsid w:val="007F70C1"/>
    <w:rsid w:val="008073BF"/>
    <w:rsid w:val="008109FE"/>
    <w:rsid w:val="008122C2"/>
    <w:rsid w:val="00814FF0"/>
    <w:rsid w:val="008175F3"/>
    <w:rsid w:val="008217D7"/>
    <w:rsid w:val="008228DC"/>
    <w:rsid w:val="008230F4"/>
    <w:rsid w:val="00824CD7"/>
    <w:rsid w:val="00832FEB"/>
    <w:rsid w:val="008374D3"/>
    <w:rsid w:val="0084143B"/>
    <w:rsid w:val="008436F5"/>
    <w:rsid w:val="0084371F"/>
    <w:rsid w:val="00846C0E"/>
    <w:rsid w:val="00851102"/>
    <w:rsid w:val="008518F2"/>
    <w:rsid w:val="00851E93"/>
    <w:rsid w:val="00852BF2"/>
    <w:rsid w:val="0085647C"/>
    <w:rsid w:val="00860B60"/>
    <w:rsid w:val="0086360F"/>
    <w:rsid w:val="00865DCA"/>
    <w:rsid w:val="00865FE1"/>
    <w:rsid w:val="00866EAF"/>
    <w:rsid w:val="00867C85"/>
    <w:rsid w:val="00881BEF"/>
    <w:rsid w:val="00881D00"/>
    <w:rsid w:val="0088438A"/>
    <w:rsid w:val="008844CA"/>
    <w:rsid w:val="00885CF8"/>
    <w:rsid w:val="00886918"/>
    <w:rsid w:val="00886BF4"/>
    <w:rsid w:val="00891B22"/>
    <w:rsid w:val="0089409C"/>
    <w:rsid w:val="00897E21"/>
    <w:rsid w:val="008A0A1E"/>
    <w:rsid w:val="008A384B"/>
    <w:rsid w:val="008A4DB6"/>
    <w:rsid w:val="008B1ABA"/>
    <w:rsid w:val="008C61E8"/>
    <w:rsid w:val="008D145D"/>
    <w:rsid w:val="008D21D7"/>
    <w:rsid w:val="008D2409"/>
    <w:rsid w:val="008D40EC"/>
    <w:rsid w:val="008D6055"/>
    <w:rsid w:val="008D62AE"/>
    <w:rsid w:val="008D6410"/>
    <w:rsid w:val="008D688E"/>
    <w:rsid w:val="008D6F0B"/>
    <w:rsid w:val="008E12D8"/>
    <w:rsid w:val="008E2A8C"/>
    <w:rsid w:val="008E64A4"/>
    <w:rsid w:val="008E66C2"/>
    <w:rsid w:val="008E7155"/>
    <w:rsid w:val="008F1B2C"/>
    <w:rsid w:val="008F3556"/>
    <w:rsid w:val="008F4042"/>
    <w:rsid w:val="008F69FE"/>
    <w:rsid w:val="008F6DA9"/>
    <w:rsid w:val="009027A1"/>
    <w:rsid w:val="009042CE"/>
    <w:rsid w:val="00907895"/>
    <w:rsid w:val="00907C29"/>
    <w:rsid w:val="00912A84"/>
    <w:rsid w:val="00916145"/>
    <w:rsid w:val="00923688"/>
    <w:rsid w:val="009264F3"/>
    <w:rsid w:val="00927742"/>
    <w:rsid w:val="00932304"/>
    <w:rsid w:val="0093290D"/>
    <w:rsid w:val="00934BB1"/>
    <w:rsid w:val="00935070"/>
    <w:rsid w:val="00935A7B"/>
    <w:rsid w:val="00935FA2"/>
    <w:rsid w:val="009375DD"/>
    <w:rsid w:val="00943B61"/>
    <w:rsid w:val="00944009"/>
    <w:rsid w:val="00944A32"/>
    <w:rsid w:val="00945010"/>
    <w:rsid w:val="009464E2"/>
    <w:rsid w:val="009465F0"/>
    <w:rsid w:val="009524EA"/>
    <w:rsid w:val="00954C7E"/>
    <w:rsid w:val="009566C6"/>
    <w:rsid w:val="009616A0"/>
    <w:rsid w:val="009617D9"/>
    <w:rsid w:val="00962461"/>
    <w:rsid w:val="009654A4"/>
    <w:rsid w:val="00966E56"/>
    <w:rsid w:val="00967844"/>
    <w:rsid w:val="00967E4E"/>
    <w:rsid w:val="00970287"/>
    <w:rsid w:val="0097130C"/>
    <w:rsid w:val="00976E04"/>
    <w:rsid w:val="00980331"/>
    <w:rsid w:val="00982EDC"/>
    <w:rsid w:val="0098317A"/>
    <w:rsid w:val="00984633"/>
    <w:rsid w:val="009867E1"/>
    <w:rsid w:val="00990BDC"/>
    <w:rsid w:val="00991AE0"/>
    <w:rsid w:val="00992942"/>
    <w:rsid w:val="009934EF"/>
    <w:rsid w:val="009943A5"/>
    <w:rsid w:val="009A7AB0"/>
    <w:rsid w:val="009B0233"/>
    <w:rsid w:val="009B0A9D"/>
    <w:rsid w:val="009B179E"/>
    <w:rsid w:val="009B1D49"/>
    <w:rsid w:val="009B288D"/>
    <w:rsid w:val="009C62CC"/>
    <w:rsid w:val="009C7A76"/>
    <w:rsid w:val="009D16DF"/>
    <w:rsid w:val="009D305C"/>
    <w:rsid w:val="009D6D69"/>
    <w:rsid w:val="009D7526"/>
    <w:rsid w:val="009E0DA2"/>
    <w:rsid w:val="009E2D46"/>
    <w:rsid w:val="009E5528"/>
    <w:rsid w:val="009E6D8D"/>
    <w:rsid w:val="009F060B"/>
    <w:rsid w:val="009F113B"/>
    <w:rsid w:val="009F3DE9"/>
    <w:rsid w:val="009F555B"/>
    <w:rsid w:val="00A0028B"/>
    <w:rsid w:val="00A01E09"/>
    <w:rsid w:val="00A04BF0"/>
    <w:rsid w:val="00A0544D"/>
    <w:rsid w:val="00A11741"/>
    <w:rsid w:val="00A1254E"/>
    <w:rsid w:val="00A15C9E"/>
    <w:rsid w:val="00A16092"/>
    <w:rsid w:val="00A1655B"/>
    <w:rsid w:val="00A16609"/>
    <w:rsid w:val="00A23C10"/>
    <w:rsid w:val="00A3010C"/>
    <w:rsid w:val="00A366DD"/>
    <w:rsid w:val="00A40C0E"/>
    <w:rsid w:val="00A43B78"/>
    <w:rsid w:val="00A43E15"/>
    <w:rsid w:val="00A45A2C"/>
    <w:rsid w:val="00A45C91"/>
    <w:rsid w:val="00A47E17"/>
    <w:rsid w:val="00A514D2"/>
    <w:rsid w:val="00A51DD6"/>
    <w:rsid w:val="00A525F7"/>
    <w:rsid w:val="00A52A72"/>
    <w:rsid w:val="00A54A02"/>
    <w:rsid w:val="00A57CA5"/>
    <w:rsid w:val="00A629C5"/>
    <w:rsid w:val="00A63BC7"/>
    <w:rsid w:val="00A6700F"/>
    <w:rsid w:val="00A745C5"/>
    <w:rsid w:val="00A75D9F"/>
    <w:rsid w:val="00A80E79"/>
    <w:rsid w:val="00A81025"/>
    <w:rsid w:val="00A810DD"/>
    <w:rsid w:val="00A8385A"/>
    <w:rsid w:val="00A84B0E"/>
    <w:rsid w:val="00A86C1F"/>
    <w:rsid w:val="00A9242C"/>
    <w:rsid w:val="00A92709"/>
    <w:rsid w:val="00A93166"/>
    <w:rsid w:val="00A934F3"/>
    <w:rsid w:val="00A949CA"/>
    <w:rsid w:val="00A95399"/>
    <w:rsid w:val="00A959E3"/>
    <w:rsid w:val="00AA09FE"/>
    <w:rsid w:val="00AA16C5"/>
    <w:rsid w:val="00AA2C2F"/>
    <w:rsid w:val="00AA3DA1"/>
    <w:rsid w:val="00AA400A"/>
    <w:rsid w:val="00AA4A5A"/>
    <w:rsid w:val="00AA5671"/>
    <w:rsid w:val="00AA5C1B"/>
    <w:rsid w:val="00AB064E"/>
    <w:rsid w:val="00AB2494"/>
    <w:rsid w:val="00AB36FC"/>
    <w:rsid w:val="00AB49BE"/>
    <w:rsid w:val="00AB5249"/>
    <w:rsid w:val="00AB6A90"/>
    <w:rsid w:val="00AC32FF"/>
    <w:rsid w:val="00AC3E7D"/>
    <w:rsid w:val="00AC471C"/>
    <w:rsid w:val="00AC6DC8"/>
    <w:rsid w:val="00AC742D"/>
    <w:rsid w:val="00AD2064"/>
    <w:rsid w:val="00AD4D8A"/>
    <w:rsid w:val="00AD5C08"/>
    <w:rsid w:val="00AD7129"/>
    <w:rsid w:val="00AE1B4C"/>
    <w:rsid w:val="00AE1CE7"/>
    <w:rsid w:val="00AE59AD"/>
    <w:rsid w:val="00AE6408"/>
    <w:rsid w:val="00AF2976"/>
    <w:rsid w:val="00AF2A35"/>
    <w:rsid w:val="00AF6F7D"/>
    <w:rsid w:val="00B00817"/>
    <w:rsid w:val="00B01AB7"/>
    <w:rsid w:val="00B02B09"/>
    <w:rsid w:val="00B048FF"/>
    <w:rsid w:val="00B0626E"/>
    <w:rsid w:val="00B06553"/>
    <w:rsid w:val="00B0668E"/>
    <w:rsid w:val="00B071C7"/>
    <w:rsid w:val="00B0785D"/>
    <w:rsid w:val="00B1143E"/>
    <w:rsid w:val="00B11691"/>
    <w:rsid w:val="00B136CD"/>
    <w:rsid w:val="00B13AE3"/>
    <w:rsid w:val="00B203B3"/>
    <w:rsid w:val="00B242E4"/>
    <w:rsid w:val="00B2698C"/>
    <w:rsid w:val="00B2768C"/>
    <w:rsid w:val="00B3245C"/>
    <w:rsid w:val="00B328A9"/>
    <w:rsid w:val="00B32DF5"/>
    <w:rsid w:val="00B36B90"/>
    <w:rsid w:val="00B41576"/>
    <w:rsid w:val="00B42141"/>
    <w:rsid w:val="00B440F4"/>
    <w:rsid w:val="00B452DA"/>
    <w:rsid w:val="00B53DA6"/>
    <w:rsid w:val="00B55B7A"/>
    <w:rsid w:val="00B56268"/>
    <w:rsid w:val="00B61246"/>
    <w:rsid w:val="00B64291"/>
    <w:rsid w:val="00B7048F"/>
    <w:rsid w:val="00B709B0"/>
    <w:rsid w:val="00B71AAA"/>
    <w:rsid w:val="00B723EF"/>
    <w:rsid w:val="00B74440"/>
    <w:rsid w:val="00B83418"/>
    <w:rsid w:val="00B8520D"/>
    <w:rsid w:val="00B85253"/>
    <w:rsid w:val="00B866E7"/>
    <w:rsid w:val="00B871B2"/>
    <w:rsid w:val="00B87BB6"/>
    <w:rsid w:val="00B91969"/>
    <w:rsid w:val="00B924F4"/>
    <w:rsid w:val="00B95FE3"/>
    <w:rsid w:val="00BA2DB2"/>
    <w:rsid w:val="00BA6E0A"/>
    <w:rsid w:val="00BA76F6"/>
    <w:rsid w:val="00BA776D"/>
    <w:rsid w:val="00BB112E"/>
    <w:rsid w:val="00BB1F55"/>
    <w:rsid w:val="00BB22B8"/>
    <w:rsid w:val="00BB3448"/>
    <w:rsid w:val="00BB46CB"/>
    <w:rsid w:val="00BC11A5"/>
    <w:rsid w:val="00BC319E"/>
    <w:rsid w:val="00BC3488"/>
    <w:rsid w:val="00BC74D9"/>
    <w:rsid w:val="00BD1B02"/>
    <w:rsid w:val="00BD243E"/>
    <w:rsid w:val="00BD40BB"/>
    <w:rsid w:val="00BD4641"/>
    <w:rsid w:val="00BD5926"/>
    <w:rsid w:val="00BD6E76"/>
    <w:rsid w:val="00BE5C20"/>
    <w:rsid w:val="00BE7525"/>
    <w:rsid w:val="00BF041A"/>
    <w:rsid w:val="00BF117D"/>
    <w:rsid w:val="00BF18FB"/>
    <w:rsid w:val="00BF23F2"/>
    <w:rsid w:val="00C008B0"/>
    <w:rsid w:val="00C05933"/>
    <w:rsid w:val="00C0718C"/>
    <w:rsid w:val="00C13F6B"/>
    <w:rsid w:val="00C208E2"/>
    <w:rsid w:val="00C27752"/>
    <w:rsid w:val="00C27F66"/>
    <w:rsid w:val="00C368AC"/>
    <w:rsid w:val="00C4088D"/>
    <w:rsid w:val="00C40FDF"/>
    <w:rsid w:val="00C43127"/>
    <w:rsid w:val="00C437D9"/>
    <w:rsid w:val="00C45B6D"/>
    <w:rsid w:val="00C47759"/>
    <w:rsid w:val="00C47BBA"/>
    <w:rsid w:val="00C5176A"/>
    <w:rsid w:val="00C532C9"/>
    <w:rsid w:val="00C53964"/>
    <w:rsid w:val="00C55D08"/>
    <w:rsid w:val="00C56261"/>
    <w:rsid w:val="00C5665F"/>
    <w:rsid w:val="00C6074F"/>
    <w:rsid w:val="00C61644"/>
    <w:rsid w:val="00C63571"/>
    <w:rsid w:val="00C66DB5"/>
    <w:rsid w:val="00C67009"/>
    <w:rsid w:val="00C67AFF"/>
    <w:rsid w:val="00C70DA3"/>
    <w:rsid w:val="00C71160"/>
    <w:rsid w:val="00C75A52"/>
    <w:rsid w:val="00C77073"/>
    <w:rsid w:val="00C8017A"/>
    <w:rsid w:val="00C84383"/>
    <w:rsid w:val="00C94C77"/>
    <w:rsid w:val="00C95753"/>
    <w:rsid w:val="00C95DC8"/>
    <w:rsid w:val="00C9784A"/>
    <w:rsid w:val="00C97E1C"/>
    <w:rsid w:val="00CA2EEA"/>
    <w:rsid w:val="00CA431E"/>
    <w:rsid w:val="00CA45D2"/>
    <w:rsid w:val="00CA4D45"/>
    <w:rsid w:val="00CA6B83"/>
    <w:rsid w:val="00CB23F1"/>
    <w:rsid w:val="00CC4C72"/>
    <w:rsid w:val="00CC7B54"/>
    <w:rsid w:val="00CC7CAA"/>
    <w:rsid w:val="00CD014A"/>
    <w:rsid w:val="00CD1317"/>
    <w:rsid w:val="00CD1659"/>
    <w:rsid w:val="00CD4761"/>
    <w:rsid w:val="00CD606E"/>
    <w:rsid w:val="00CD6B70"/>
    <w:rsid w:val="00CD7151"/>
    <w:rsid w:val="00CE047A"/>
    <w:rsid w:val="00CE287F"/>
    <w:rsid w:val="00CE4407"/>
    <w:rsid w:val="00CE5063"/>
    <w:rsid w:val="00CE57AE"/>
    <w:rsid w:val="00CE709C"/>
    <w:rsid w:val="00CF00D7"/>
    <w:rsid w:val="00CF202A"/>
    <w:rsid w:val="00CF33BE"/>
    <w:rsid w:val="00CF3D84"/>
    <w:rsid w:val="00CF4619"/>
    <w:rsid w:val="00CF794B"/>
    <w:rsid w:val="00D0041A"/>
    <w:rsid w:val="00D0048C"/>
    <w:rsid w:val="00D007BC"/>
    <w:rsid w:val="00D01420"/>
    <w:rsid w:val="00D022AB"/>
    <w:rsid w:val="00D02702"/>
    <w:rsid w:val="00D13AB5"/>
    <w:rsid w:val="00D16885"/>
    <w:rsid w:val="00D21232"/>
    <w:rsid w:val="00D22230"/>
    <w:rsid w:val="00D2361C"/>
    <w:rsid w:val="00D2481C"/>
    <w:rsid w:val="00D24D6C"/>
    <w:rsid w:val="00D33817"/>
    <w:rsid w:val="00D352F9"/>
    <w:rsid w:val="00D40CB2"/>
    <w:rsid w:val="00D41B92"/>
    <w:rsid w:val="00D42247"/>
    <w:rsid w:val="00D43511"/>
    <w:rsid w:val="00D439A0"/>
    <w:rsid w:val="00D4684F"/>
    <w:rsid w:val="00D53545"/>
    <w:rsid w:val="00D54F43"/>
    <w:rsid w:val="00D61BA5"/>
    <w:rsid w:val="00D65291"/>
    <w:rsid w:val="00D6725B"/>
    <w:rsid w:val="00D70D39"/>
    <w:rsid w:val="00D70F52"/>
    <w:rsid w:val="00D77F4B"/>
    <w:rsid w:val="00D804D4"/>
    <w:rsid w:val="00D81B40"/>
    <w:rsid w:val="00D82FF1"/>
    <w:rsid w:val="00D8426C"/>
    <w:rsid w:val="00D8532A"/>
    <w:rsid w:val="00D9050E"/>
    <w:rsid w:val="00DA1D9B"/>
    <w:rsid w:val="00DA27D3"/>
    <w:rsid w:val="00DA393D"/>
    <w:rsid w:val="00DA4A32"/>
    <w:rsid w:val="00DA6D5F"/>
    <w:rsid w:val="00DA72AE"/>
    <w:rsid w:val="00DB1BA5"/>
    <w:rsid w:val="00DB3079"/>
    <w:rsid w:val="00DB5A6C"/>
    <w:rsid w:val="00DB619A"/>
    <w:rsid w:val="00DB6254"/>
    <w:rsid w:val="00DB7E72"/>
    <w:rsid w:val="00DC3956"/>
    <w:rsid w:val="00DC4D03"/>
    <w:rsid w:val="00DC5E73"/>
    <w:rsid w:val="00DC6EC6"/>
    <w:rsid w:val="00DD0703"/>
    <w:rsid w:val="00DD16C7"/>
    <w:rsid w:val="00DD20EA"/>
    <w:rsid w:val="00DD3B27"/>
    <w:rsid w:val="00DD79DD"/>
    <w:rsid w:val="00DE0950"/>
    <w:rsid w:val="00DE199B"/>
    <w:rsid w:val="00DE1A13"/>
    <w:rsid w:val="00DE4DC6"/>
    <w:rsid w:val="00DE5106"/>
    <w:rsid w:val="00DE5B83"/>
    <w:rsid w:val="00DE68DF"/>
    <w:rsid w:val="00DF3B3C"/>
    <w:rsid w:val="00DF47F1"/>
    <w:rsid w:val="00DF49DE"/>
    <w:rsid w:val="00DF5273"/>
    <w:rsid w:val="00DF5D08"/>
    <w:rsid w:val="00DF6256"/>
    <w:rsid w:val="00DF7539"/>
    <w:rsid w:val="00DF783F"/>
    <w:rsid w:val="00E01620"/>
    <w:rsid w:val="00E0326A"/>
    <w:rsid w:val="00E107A8"/>
    <w:rsid w:val="00E11B4D"/>
    <w:rsid w:val="00E121A2"/>
    <w:rsid w:val="00E124D5"/>
    <w:rsid w:val="00E12928"/>
    <w:rsid w:val="00E1294E"/>
    <w:rsid w:val="00E16C40"/>
    <w:rsid w:val="00E17610"/>
    <w:rsid w:val="00E21619"/>
    <w:rsid w:val="00E220F8"/>
    <w:rsid w:val="00E225F8"/>
    <w:rsid w:val="00E23A67"/>
    <w:rsid w:val="00E3002A"/>
    <w:rsid w:val="00E33453"/>
    <w:rsid w:val="00E33C69"/>
    <w:rsid w:val="00E4299B"/>
    <w:rsid w:val="00E43DF1"/>
    <w:rsid w:val="00E509A1"/>
    <w:rsid w:val="00E52082"/>
    <w:rsid w:val="00E52E9A"/>
    <w:rsid w:val="00E536C3"/>
    <w:rsid w:val="00E561F3"/>
    <w:rsid w:val="00E57D55"/>
    <w:rsid w:val="00E70B46"/>
    <w:rsid w:val="00E72FBE"/>
    <w:rsid w:val="00E748DA"/>
    <w:rsid w:val="00E763D2"/>
    <w:rsid w:val="00E76BB9"/>
    <w:rsid w:val="00E822E1"/>
    <w:rsid w:val="00E83A4E"/>
    <w:rsid w:val="00E9168E"/>
    <w:rsid w:val="00E9220E"/>
    <w:rsid w:val="00E92215"/>
    <w:rsid w:val="00E93412"/>
    <w:rsid w:val="00E937F1"/>
    <w:rsid w:val="00E942E5"/>
    <w:rsid w:val="00E95522"/>
    <w:rsid w:val="00E96336"/>
    <w:rsid w:val="00EA045D"/>
    <w:rsid w:val="00EA08D2"/>
    <w:rsid w:val="00EA0CAF"/>
    <w:rsid w:val="00EA1BE1"/>
    <w:rsid w:val="00EA2DB4"/>
    <w:rsid w:val="00EA38FD"/>
    <w:rsid w:val="00EA5C6E"/>
    <w:rsid w:val="00EA5D0E"/>
    <w:rsid w:val="00EA7E64"/>
    <w:rsid w:val="00EB2BDB"/>
    <w:rsid w:val="00EB2C9E"/>
    <w:rsid w:val="00EB4617"/>
    <w:rsid w:val="00EB4808"/>
    <w:rsid w:val="00EB4F79"/>
    <w:rsid w:val="00EB55C1"/>
    <w:rsid w:val="00EB606A"/>
    <w:rsid w:val="00EB7D5A"/>
    <w:rsid w:val="00EC3D62"/>
    <w:rsid w:val="00EC3DBE"/>
    <w:rsid w:val="00EC4970"/>
    <w:rsid w:val="00EC5D7C"/>
    <w:rsid w:val="00EC68DD"/>
    <w:rsid w:val="00EC7E66"/>
    <w:rsid w:val="00ED215E"/>
    <w:rsid w:val="00ED4BBE"/>
    <w:rsid w:val="00ED5948"/>
    <w:rsid w:val="00ED71C9"/>
    <w:rsid w:val="00ED79FA"/>
    <w:rsid w:val="00EE319A"/>
    <w:rsid w:val="00EE6170"/>
    <w:rsid w:val="00EE6F41"/>
    <w:rsid w:val="00EF2013"/>
    <w:rsid w:val="00EF3286"/>
    <w:rsid w:val="00EF6A3D"/>
    <w:rsid w:val="00F00809"/>
    <w:rsid w:val="00F0145D"/>
    <w:rsid w:val="00F02B06"/>
    <w:rsid w:val="00F06F83"/>
    <w:rsid w:val="00F14DA0"/>
    <w:rsid w:val="00F16F6F"/>
    <w:rsid w:val="00F20C64"/>
    <w:rsid w:val="00F21202"/>
    <w:rsid w:val="00F23573"/>
    <w:rsid w:val="00F2434D"/>
    <w:rsid w:val="00F272A5"/>
    <w:rsid w:val="00F302CF"/>
    <w:rsid w:val="00F30CC9"/>
    <w:rsid w:val="00F33920"/>
    <w:rsid w:val="00F33972"/>
    <w:rsid w:val="00F3563E"/>
    <w:rsid w:val="00F357A2"/>
    <w:rsid w:val="00F44985"/>
    <w:rsid w:val="00F45079"/>
    <w:rsid w:val="00F46FB0"/>
    <w:rsid w:val="00F472E4"/>
    <w:rsid w:val="00F510E9"/>
    <w:rsid w:val="00F518DF"/>
    <w:rsid w:val="00F5198C"/>
    <w:rsid w:val="00F527A9"/>
    <w:rsid w:val="00F57081"/>
    <w:rsid w:val="00F6124D"/>
    <w:rsid w:val="00F61444"/>
    <w:rsid w:val="00F631C3"/>
    <w:rsid w:val="00F63E63"/>
    <w:rsid w:val="00F67327"/>
    <w:rsid w:val="00F721D6"/>
    <w:rsid w:val="00F73FEA"/>
    <w:rsid w:val="00F746E2"/>
    <w:rsid w:val="00F7565F"/>
    <w:rsid w:val="00F76072"/>
    <w:rsid w:val="00F77D64"/>
    <w:rsid w:val="00F80CF0"/>
    <w:rsid w:val="00F839E5"/>
    <w:rsid w:val="00F84CEC"/>
    <w:rsid w:val="00F854C8"/>
    <w:rsid w:val="00F856EC"/>
    <w:rsid w:val="00F87BCB"/>
    <w:rsid w:val="00F90371"/>
    <w:rsid w:val="00F91E91"/>
    <w:rsid w:val="00F91F07"/>
    <w:rsid w:val="00F97861"/>
    <w:rsid w:val="00FA2A10"/>
    <w:rsid w:val="00FA7899"/>
    <w:rsid w:val="00FB0967"/>
    <w:rsid w:val="00FB1ADC"/>
    <w:rsid w:val="00FB684A"/>
    <w:rsid w:val="00FB6D79"/>
    <w:rsid w:val="00FC4733"/>
    <w:rsid w:val="00FC5E4D"/>
    <w:rsid w:val="00FC65D4"/>
    <w:rsid w:val="00FD4A70"/>
    <w:rsid w:val="00FD696B"/>
    <w:rsid w:val="00FD698F"/>
    <w:rsid w:val="00FE00B5"/>
    <w:rsid w:val="00FE01C0"/>
    <w:rsid w:val="00FE05CD"/>
    <w:rsid w:val="00FE25D2"/>
    <w:rsid w:val="00FE7A99"/>
    <w:rsid w:val="00FE7C3C"/>
    <w:rsid w:val="00FF0506"/>
    <w:rsid w:val="00FF0C9A"/>
    <w:rsid w:val="00FF1D7C"/>
    <w:rsid w:val="00FF335A"/>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1A99"/>
  <w15:chartTrackingRefBased/>
  <w15:docId w15:val="{A059F4A5-7837-46EC-B16F-DE38B35B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lang w:val="en-US"/>
    </w:rPr>
  </w:style>
  <w:style w:type="paragraph" w:styleId="Heading1">
    <w:name w:val="heading 1"/>
    <w:basedOn w:val="Normal"/>
    <w:next w:val="Normal"/>
    <w:link w:val="Heading1Char"/>
    <w:uiPriority w:val="9"/>
    <w:qFormat/>
    <w:rsid w:val="00344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C9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DefaultParagraphFont"/>
    <w:uiPriority w:val="99"/>
    <w:unhideWhenUsed/>
    <w:rsid w:val="00480C92"/>
    <w:rPr>
      <w:color w:val="0000FF"/>
      <w:u w:val="single"/>
    </w:rPr>
  </w:style>
  <w:style w:type="paragraph" w:styleId="FootnoteText">
    <w:name w:val="footnote text"/>
    <w:basedOn w:val="Normal"/>
    <w:link w:val="FootnoteTextChar"/>
    <w:uiPriority w:val="99"/>
    <w:semiHidden/>
    <w:unhideWhenUsed/>
    <w:rsid w:val="00480C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C92"/>
    <w:rPr>
      <w:sz w:val="20"/>
      <w:szCs w:val="20"/>
    </w:rPr>
  </w:style>
  <w:style w:type="character" w:styleId="FootnoteReference">
    <w:name w:val="footnote reference"/>
    <w:basedOn w:val="DefaultParagraphFont"/>
    <w:uiPriority w:val="99"/>
    <w:semiHidden/>
    <w:unhideWhenUsed/>
    <w:rsid w:val="00480C92"/>
    <w:rPr>
      <w:vertAlign w:val="superscript"/>
    </w:rPr>
  </w:style>
  <w:style w:type="paragraph" w:styleId="BalloonText">
    <w:name w:val="Balloon Text"/>
    <w:basedOn w:val="Normal"/>
    <w:link w:val="BalloonTextChar"/>
    <w:uiPriority w:val="99"/>
    <w:semiHidden/>
    <w:unhideWhenUsed/>
    <w:rsid w:val="00EB2C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C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D7129"/>
    <w:rPr>
      <w:sz w:val="16"/>
      <w:szCs w:val="16"/>
    </w:rPr>
  </w:style>
  <w:style w:type="paragraph" w:styleId="CommentText">
    <w:name w:val="annotation text"/>
    <w:basedOn w:val="Normal"/>
    <w:link w:val="CommentTextChar"/>
    <w:uiPriority w:val="99"/>
    <w:unhideWhenUsed/>
    <w:rsid w:val="00AD7129"/>
    <w:pPr>
      <w:spacing w:line="240" w:lineRule="auto"/>
    </w:pPr>
    <w:rPr>
      <w:sz w:val="20"/>
      <w:szCs w:val="20"/>
    </w:rPr>
  </w:style>
  <w:style w:type="character" w:customStyle="1" w:styleId="CommentTextChar">
    <w:name w:val="Comment Text Char"/>
    <w:basedOn w:val="DefaultParagraphFont"/>
    <w:link w:val="CommentText"/>
    <w:uiPriority w:val="99"/>
    <w:rsid w:val="00AD7129"/>
    <w:rPr>
      <w:sz w:val="20"/>
      <w:szCs w:val="20"/>
    </w:rPr>
  </w:style>
  <w:style w:type="paragraph" w:styleId="CommentSubject">
    <w:name w:val="annotation subject"/>
    <w:basedOn w:val="CommentText"/>
    <w:next w:val="CommentText"/>
    <w:link w:val="CommentSubjectChar"/>
    <w:uiPriority w:val="99"/>
    <w:semiHidden/>
    <w:unhideWhenUsed/>
    <w:rsid w:val="00AD7129"/>
    <w:rPr>
      <w:b/>
      <w:bCs/>
    </w:rPr>
  </w:style>
  <w:style w:type="character" w:customStyle="1" w:styleId="CommentSubjectChar">
    <w:name w:val="Comment Subject Char"/>
    <w:basedOn w:val="CommentTextChar"/>
    <w:link w:val="CommentSubject"/>
    <w:uiPriority w:val="99"/>
    <w:semiHidden/>
    <w:rsid w:val="00AD7129"/>
    <w:rPr>
      <w:b/>
      <w:bCs/>
      <w:sz w:val="20"/>
      <w:szCs w:val="20"/>
    </w:rPr>
  </w:style>
  <w:style w:type="paragraph" w:styleId="EndnoteText">
    <w:name w:val="endnote text"/>
    <w:basedOn w:val="Normal"/>
    <w:link w:val="EndnoteTextChar"/>
    <w:uiPriority w:val="99"/>
    <w:semiHidden/>
    <w:unhideWhenUsed/>
    <w:rsid w:val="00BD59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926"/>
    <w:rPr>
      <w:sz w:val="20"/>
      <w:szCs w:val="20"/>
    </w:rPr>
  </w:style>
  <w:style w:type="character" w:styleId="EndnoteReference">
    <w:name w:val="endnote reference"/>
    <w:basedOn w:val="DefaultParagraphFont"/>
    <w:uiPriority w:val="99"/>
    <w:semiHidden/>
    <w:unhideWhenUsed/>
    <w:rsid w:val="00BD5926"/>
    <w:rPr>
      <w:vertAlign w:val="superscript"/>
    </w:rPr>
  </w:style>
  <w:style w:type="character" w:customStyle="1" w:styleId="apple-converted-space">
    <w:name w:val="apple-converted-space"/>
    <w:basedOn w:val="DefaultParagraphFont"/>
    <w:rsid w:val="000804E3"/>
  </w:style>
  <w:style w:type="character" w:styleId="UnresolvedMention">
    <w:name w:val="Unresolved Mention"/>
    <w:basedOn w:val="DefaultParagraphFont"/>
    <w:uiPriority w:val="99"/>
    <w:semiHidden/>
    <w:unhideWhenUsed/>
    <w:rsid w:val="00795F78"/>
    <w:rPr>
      <w:color w:val="605E5C"/>
      <w:shd w:val="clear" w:color="auto" w:fill="E1DFDD"/>
    </w:rPr>
  </w:style>
  <w:style w:type="paragraph" w:styleId="Revision">
    <w:name w:val="Revision"/>
    <w:hidden/>
    <w:uiPriority w:val="99"/>
    <w:semiHidden/>
    <w:rsid w:val="00534B58"/>
    <w:pPr>
      <w:spacing w:after="0" w:line="240" w:lineRule="auto"/>
    </w:pPr>
  </w:style>
  <w:style w:type="paragraph" w:styleId="Footer">
    <w:name w:val="footer"/>
    <w:basedOn w:val="Normal"/>
    <w:link w:val="FooterChar"/>
    <w:uiPriority w:val="99"/>
    <w:unhideWhenUsed/>
    <w:rsid w:val="00772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7C5"/>
  </w:style>
  <w:style w:type="character" w:styleId="PageNumber">
    <w:name w:val="page number"/>
    <w:basedOn w:val="DefaultParagraphFont"/>
    <w:uiPriority w:val="99"/>
    <w:semiHidden/>
    <w:unhideWhenUsed/>
    <w:rsid w:val="007727C5"/>
  </w:style>
  <w:style w:type="table" w:styleId="TableGrid">
    <w:name w:val="Table Grid"/>
    <w:basedOn w:val="TableNormal"/>
    <w:uiPriority w:val="39"/>
    <w:rsid w:val="001F5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F05"/>
    <w:pPr>
      <w:spacing w:line="252" w:lineRule="auto"/>
      <w:ind w:left="720"/>
      <w:contextualSpacing/>
    </w:pPr>
    <w:rPr>
      <w:rFonts w:ascii="Calibri" w:hAnsi="Calibri" w:cs="Calibri"/>
      <w:lang w:eastAsia="zh-CN"/>
    </w:rPr>
  </w:style>
  <w:style w:type="paragraph" w:customStyle="1" w:styleId="Default">
    <w:name w:val="Default"/>
    <w:rsid w:val="00BF23F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44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2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37606">
      <w:bodyDiv w:val="1"/>
      <w:marLeft w:val="0"/>
      <w:marRight w:val="0"/>
      <w:marTop w:val="0"/>
      <w:marBottom w:val="0"/>
      <w:divBdr>
        <w:top w:val="none" w:sz="0" w:space="0" w:color="auto"/>
        <w:left w:val="none" w:sz="0" w:space="0" w:color="auto"/>
        <w:bottom w:val="none" w:sz="0" w:space="0" w:color="auto"/>
        <w:right w:val="none" w:sz="0" w:space="0" w:color="auto"/>
      </w:divBdr>
    </w:div>
    <w:div w:id="290601360">
      <w:bodyDiv w:val="1"/>
      <w:marLeft w:val="0"/>
      <w:marRight w:val="0"/>
      <w:marTop w:val="0"/>
      <w:marBottom w:val="0"/>
      <w:divBdr>
        <w:top w:val="none" w:sz="0" w:space="0" w:color="auto"/>
        <w:left w:val="none" w:sz="0" w:space="0" w:color="auto"/>
        <w:bottom w:val="none" w:sz="0" w:space="0" w:color="auto"/>
        <w:right w:val="none" w:sz="0" w:space="0" w:color="auto"/>
      </w:divBdr>
    </w:div>
    <w:div w:id="414909154">
      <w:bodyDiv w:val="1"/>
      <w:marLeft w:val="0"/>
      <w:marRight w:val="0"/>
      <w:marTop w:val="0"/>
      <w:marBottom w:val="0"/>
      <w:divBdr>
        <w:top w:val="none" w:sz="0" w:space="0" w:color="auto"/>
        <w:left w:val="none" w:sz="0" w:space="0" w:color="auto"/>
        <w:bottom w:val="none" w:sz="0" w:space="0" w:color="auto"/>
        <w:right w:val="none" w:sz="0" w:space="0" w:color="auto"/>
      </w:divBdr>
    </w:div>
    <w:div w:id="1115637707">
      <w:bodyDiv w:val="1"/>
      <w:marLeft w:val="0"/>
      <w:marRight w:val="0"/>
      <w:marTop w:val="0"/>
      <w:marBottom w:val="0"/>
      <w:divBdr>
        <w:top w:val="none" w:sz="0" w:space="0" w:color="auto"/>
        <w:left w:val="none" w:sz="0" w:space="0" w:color="auto"/>
        <w:bottom w:val="none" w:sz="0" w:space="0" w:color="auto"/>
        <w:right w:val="none" w:sz="0" w:space="0" w:color="auto"/>
      </w:divBdr>
    </w:div>
    <w:div w:id="1122579094">
      <w:bodyDiv w:val="1"/>
      <w:marLeft w:val="0"/>
      <w:marRight w:val="0"/>
      <w:marTop w:val="0"/>
      <w:marBottom w:val="0"/>
      <w:divBdr>
        <w:top w:val="none" w:sz="0" w:space="0" w:color="auto"/>
        <w:left w:val="none" w:sz="0" w:space="0" w:color="auto"/>
        <w:bottom w:val="none" w:sz="0" w:space="0" w:color="auto"/>
        <w:right w:val="none" w:sz="0" w:space="0" w:color="auto"/>
      </w:divBdr>
      <w:divsChild>
        <w:div w:id="257370600">
          <w:marLeft w:val="0"/>
          <w:marRight w:val="0"/>
          <w:marTop w:val="0"/>
          <w:marBottom w:val="0"/>
          <w:divBdr>
            <w:top w:val="none" w:sz="0" w:space="0" w:color="auto"/>
            <w:left w:val="none" w:sz="0" w:space="0" w:color="auto"/>
            <w:bottom w:val="none" w:sz="0" w:space="0" w:color="auto"/>
            <w:right w:val="none" w:sz="0" w:space="0" w:color="auto"/>
          </w:divBdr>
          <w:divsChild>
            <w:div w:id="1632905486">
              <w:marLeft w:val="0"/>
              <w:marRight w:val="0"/>
              <w:marTop w:val="0"/>
              <w:marBottom w:val="0"/>
              <w:divBdr>
                <w:top w:val="none" w:sz="0" w:space="0" w:color="auto"/>
                <w:left w:val="none" w:sz="0" w:space="0" w:color="auto"/>
                <w:bottom w:val="none" w:sz="0" w:space="0" w:color="auto"/>
                <w:right w:val="none" w:sz="0" w:space="0" w:color="auto"/>
              </w:divBdr>
              <w:divsChild>
                <w:div w:id="17882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07968">
      <w:bodyDiv w:val="1"/>
      <w:marLeft w:val="0"/>
      <w:marRight w:val="0"/>
      <w:marTop w:val="0"/>
      <w:marBottom w:val="0"/>
      <w:divBdr>
        <w:top w:val="none" w:sz="0" w:space="0" w:color="auto"/>
        <w:left w:val="none" w:sz="0" w:space="0" w:color="auto"/>
        <w:bottom w:val="none" w:sz="0" w:space="0" w:color="auto"/>
        <w:right w:val="none" w:sz="0" w:space="0" w:color="auto"/>
      </w:divBdr>
      <w:divsChild>
        <w:div w:id="668214650">
          <w:marLeft w:val="0"/>
          <w:marRight w:val="0"/>
          <w:marTop w:val="0"/>
          <w:marBottom w:val="0"/>
          <w:divBdr>
            <w:top w:val="none" w:sz="0" w:space="0" w:color="auto"/>
            <w:left w:val="none" w:sz="0" w:space="0" w:color="auto"/>
            <w:bottom w:val="none" w:sz="0" w:space="0" w:color="auto"/>
            <w:right w:val="none" w:sz="0" w:space="0" w:color="auto"/>
          </w:divBdr>
          <w:divsChild>
            <w:div w:id="1015962281">
              <w:marLeft w:val="0"/>
              <w:marRight w:val="0"/>
              <w:marTop w:val="0"/>
              <w:marBottom w:val="0"/>
              <w:divBdr>
                <w:top w:val="none" w:sz="0" w:space="0" w:color="auto"/>
                <w:left w:val="none" w:sz="0" w:space="0" w:color="auto"/>
                <w:bottom w:val="none" w:sz="0" w:space="0" w:color="auto"/>
                <w:right w:val="none" w:sz="0" w:space="0" w:color="auto"/>
              </w:divBdr>
              <w:divsChild>
                <w:div w:id="2767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80153">
      <w:bodyDiv w:val="1"/>
      <w:marLeft w:val="0"/>
      <w:marRight w:val="0"/>
      <w:marTop w:val="0"/>
      <w:marBottom w:val="0"/>
      <w:divBdr>
        <w:top w:val="none" w:sz="0" w:space="0" w:color="auto"/>
        <w:left w:val="none" w:sz="0" w:space="0" w:color="auto"/>
        <w:bottom w:val="none" w:sz="0" w:space="0" w:color="auto"/>
        <w:right w:val="none" w:sz="0" w:space="0" w:color="auto"/>
      </w:divBdr>
    </w:div>
    <w:div w:id="1758864356">
      <w:bodyDiv w:val="1"/>
      <w:marLeft w:val="0"/>
      <w:marRight w:val="0"/>
      <w:marTop w:val="0"/>
      <w:marBottom w:val="0"/>
      <w:divBdr>
        <w:top w:val="none" w:sz="0" w:space="0" w:color="auto"/>
        <w:left w:val="none" w:sz="0" w:space="0" w:color="auto"/>
        <w:bottom w:val="none" w:sz="0" w:space="0" w:color="auto"/>
        <w:right w:val="none" w:sz="0" w:space="0" w:color="auto"/>
      </w:divBdr>
    </w:div>
    <w:div w:id="1781759901">
      <w:bodyDiv w:val="1"/>
      <w:marLeft w:val="0"/>
      <w:marRight w:val="0"/>
      <w:marTop w:val="0"/>
      <w:marBottom w:val="0"/>
      <w:divBdr>
        <w:top w:val="none" w:sz="0" w:space="0" w:color="auto"/>
        <w:left w:val="none" w:sz="0" w:space="0" w:color="auto"/>
        <w:bottom w:val="none" w:sz="0" w:space="0" w:color="auto"/>
        <w:right w:val="none" w:sz="0" w:space="0" w:color="auto"/>
      </w:divBdr>
    </w:div>
    <w:div w:id="209316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2FCDC-AADE-A84A-9C99-DBD462DC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6093</Words>
  <Characters>34735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Charlier</dc:creator>
  <cp:keywords/>
  <dc:description/>
  <cp:lastModifiedBy>Laura diZerega</cp:lastModifiedBy>
  <cp:revision>3</cp:revision>
  <cp:lastPrinted>2021-11-12T00:10:00Z</cp:lastPrinted>
  <dcterms:created xsi:type="dcterms:W3CDTF">2021-12-16T19:08:00Z</dcterms:created>
  <dcterms:modified xsi:type="dcterms:W3CDTF">2021-12-17T20:04:00Z</dcterms:modified>
</cp:coreProperties>
</file>