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CD9A2" w14:textId="10FC087F" w:rsidR="006143A9" w:rsidRPr="00695A82" w:rsidRDefault="00391B82" w:rsidP="00490CF3">
      <w:pPr>
        <w:pStyle w:val="Heading1"/>
        <w:rPr>
          <w:rFonts w:ascii="Times" w:hAnsi="Times" w:cs="Times"/>
          <w:lang w:val="en-US"/>
        </w:rPr>
      </w:pPr>
      <w:bookmarkStart w:id="0" w:name="_Toc230592204"/>
      <w:bookmarkStart w:id="1" w:name="_Toc251189230"/>
      <w:bookmarkStart w:id="2" w:name="_Toc251226260"/>
      <w:bookmarkStart w:id="3" w:name="_Toc252375320"/>
      <w:bookmarkStart w:id="4" w:name="_Toc259630732"/>
      <w:bookmarkStart w:id="5" w:name="_Toc368329445"/>
      <w:r w:rsidRPr="00E14EC2">
        <w:rPr>
          <w:lang w:val="en-US"/>
        </w:rPr>
        <w:t>International</w:t>
      </w:r>
      <w:r w:rsidR="00027142" w:rsidRPr="00014F2A">
        <w:rPr>
          <w:lang w:val="en-US"/>
        </w:rPr>
        <w:t xml:space="preserve"> </w:t>
      </w:r>
      <w:r w:rsidRPr="006935A6">
        <w:rPr>
          <w:lang w:val="en-US"/>
        </w:rPr>
        <w:t>Human Rights Law and Cultural Heritage</w:t>
      </w:r>
      <w:r w:rsidR="00D965F2">
        <w:rPr>
          <w:lang w:val="en-US"/>
        </w:rPr>
        <w:t xml:space="preserve"> Law</w:t>
      </w:r>
    </w:p>
    <w:p w14:paraId="23120F7B" w14:textId="74BF3763" w:rsidR="0090697F" w:rsidRPr="00E14EC2" w:rsidRDefault="00B4520A" w:rsidP="003373DF">
      <w:pPr>
        <w:spacing w:line="480" w:lineRule="auto"/>
        <w:rPr>
          <w:bCs/>
          <w:lang w:val="en-US"/>
        </w:rPr>
      </w:pPr>
      <w:r w:rsidRPr="00E14EC2">
        <w:rPr>
          <w:rFonts w:ascii="Times" w:hAnsi="Times" w:cs="Times"/>
          <w:lang w:val="en-US"/>
        </w:rPr>
        <w:t>Marc-André Renold and Alessandro Chechi</w:t>
      </w:r>
    </w:p>
    <w:p w14:paraId="2009D340" w14:textId="587487AD" w:rsidR="00F96D08" w:rsidRDefault="00F96D08" w:rsidP="00490CF3">
      <w:pPr>
        <w:spacing w:line="480" w:lineRule="auto"/>
        <w:rPr>
          <w:rFonts w:ascii="Times" w:hAnsi="Times" w:cs="Times"/>
          <w:lang w:val="en-US"/>
        </w:rPr>
      </w:pPr>
    </w:p>
    <w:p w14:paraId="7187538B" w14:textId="77777777" w:rsidR="00FB57C9" w:rsidRDefault="00FB57C9" w:rsidP="00FB57C9">
      <w:pPr>
        <w:spacing w:line="480" w:lineRule="auto"/>
      </w:pPr>
      <w:r w:rsidRPr="00CD6601">
        <w:t xml:space="preserve">© 2022 J. Paul Getty Trust. Originally published in </w:t>
      </w:r>
      <w:r w:rsidRPr="00CD6601">
        <w:rPr>
          <w:i/>
        </w:rPr>
        <w:t>Cultural Heritage and Mass Atrocities</w:t>
      </w:r>
      <w:r w:rsidRPr="00CD6601">
        <w:t xml:space="preserve"> © 2022 J. Paul Getty Trust, www.getty.edu/publicatio</w:t>
      </w:r>
      <w:r>
        <w:t>n</w:t>
      </w:r>
      <w:r w:rsidRPr="00CD6601">
        <w:t xml:space="preserve">s/cultural-heritage-mass-atrocities (licensed under </w:t>
      </w:r>
      <w:hyperlink r:id="rId8" w:history="1">
        <w:r w:rsidRPr="00CD6601">
          <w:rPr>
            <w:rStyle w:val="Hyperlink"/>
          </w:rPr>
          <w:t>CC BY 4.0</w:t>
        </w:r>
      </w:hyperlink>
      <w:r w:rsidRPr="00CD6601">
        <w:t>)</w:t>
      </w:r>
    </w:p>
    <w:p w14:paraId="0985EAA4" w14:textId="77777777" w:rsidR="00FB57C9" w:rsidRPr="00E14EC2" w:rsidRDefault="00FB57C9" w:rsidP="00490CF3">
      <w:pPr>
        <w:spacing w:line="480" w:lineRule="auto"/>
        <w:rPr>
          <w:rFonts w:ascii="Times" w:hAnsi="Times" w:cs="Times"/>
          <w:lang w:val="en-US"/>
        </w:rPr>
      </w:pPr>
      <w:bookmarkStart w:id="6" w:name="_GoBack"/>
      <w:bookmarkEnd w:id="6"/>
    </w:p>
    <w:p w14:paraId="69E35C0A" w14:textId="77777777" w:rsidR="007A3CAB" w:rsidRPr="006F4BEB" w:rsidRDefault="007A3CAB" w:rsidP="00490CF3">
      <w:pPr>
        <w:pStyle w:val="Heading2"/>
        <w:rPr>
          <w:lang w:val="en-US"/>
        </w:rPr>
      </w:pPr>
      <w:r w:rsidRPr="006F4BEB">
        <w:rPr>
          <w:lang w:val="en-US"/>
        </w:rPr>
        <w:t>Keynote</w:t>
      </w:r>
    </w:p>
    <w:p w14:paraId="696BDBFD" w14:textId="2500DF08" w:rsidR="007A3CAB" w:rsidRPr="00E14EC2" w:rsidRDefault="007A3CAB" w:rsidP="003373DF">
      <w:pPr>
        <w:spacing w:line="480" w:lineRule="auto"/>
        <w:rPr>
          <w:b/>
          <w:lang w:val="en-US"/>
        </w:rPr>
      </w:pPr>
      <w:r w:rsidRPr="00E14EC2">
        <w:rPr>
          <w:lang w:val="en-US"/>
        </w:rPr>
        <w:t xml:space="preserve">Human beings are not the only victims of armed conflict. Movable and immovable cultural objects are also targeted. This </w:t>
      </w:r>
      <w:r w:rsidR="00EF6509" w:rsidRPr="00E14EC2">
        <w:rPr>
          <w:lang w:val="en-US"/>
        </w:rPr>
        <w:t xml:space="preserve">occurs especially when </w:t>
      </w:r>
      <w:r w:rsidRPr="00E14EC2">
        <w:rPr>
          <w:lang w:val="en-US"/>
        </w:rPr>
        <w:t>belligerents seek to annihilate the identity of the</w:t>
      </w:r>
      <w:r w:rsidR="00EF6509" w:rsidRPr="00E14EC2">
        <w:rPr>
          <w:lang w:val="en-US"/>
        </w:rPr>
        <w:t>ir</w:t>
      </w:r>
      <w:r w:rsidRPr="00E14EC2">
        <w:rPr>
          <w:lang w:val="en-US"/>
        </w:rPr>
        <w:t xml:space="preserve"> enemies and hence to undermine their (cultural) survival. This chapter explores this problem by examining the interconnection between international human rights law and international cultural heritage law.</w:t>
      </w:r>
    </w:p>
    <w:p w14:paraId="625FC423" w14:textId="77777777" w:rsidR="00F96D08" w:rsidRPr="00E14EC2" w:rsidRDefault="00F96D08" w:rsidP="003373DF">
      <w:pPr>
        <w:spacing w:line="480" w:lineRule="auto"/>
        <w:rPr>
          <w:bCs/>
          <w:lang w:val="en-US"/>
        </w:rPr>
      </w:pPr>
    </w:p>
    <w:p w14:paraId="0EF45147" w14:textId="77777777" w:rsidR="00F96D08" w:rsidRPr="006F4BEB" w:rsidRDefault="00F96D08" w:rsidP="00490CF3">
      <w:pPr>
        <w:pStyle w:val="Heading2"/>
        <w:rPr>
          <w:lang w:val="en-US"/>
        </w:rPr>
      </w:pPr>
      <w:r w:rsidRPr="006F4BEB">
        <w:rPr>
          <w:lang w:val="en-US"/>
        </w:rPr>
        <w:t>Abstract</w:t>
      </w:r>
    </w:p>
    <w:p w14:paraId="4DDECD1C" w14:textId="786C3068" w:rsidR="00F96D08" w:rsidRPr="00E14EC2" w:rsidRDefault="00F96D08" w:rsidP="003373DF">
      <w:pPr>
        <w:spacing w:line="480" w:lineRule="auto"/>
        <w:rPr>
          <w:lang w:val="en-US"/>
        </w:rPr>
      </w:pPr>
      <w:r w:rsidRPr="00E14EC2">
        <w:rPr>
          <w:lang w:val="en-US"/>
        </w:rPr>
        <w:t>The tangible dimension of movable and immovable cultural objects is accompanied by an intangible human dimension, which derives from the symbolic, spiritual</w:t>
      </w:r>
      <w:r w:rsidR="009A1F71" w:rsidRPr="00E14EC2">
        <w:rPr>
          <w:lang w:val="en-US"/>
        </w:rPr>
        <w:t>,</w:t>
      </w:r>
      <w:r w:rsidRPr="00E14EC2">
        <w:rPr>
          <w:lang w:val="en-US"/>
        </w:rPr>
        <w:t xml:space="preserve"> or historical values embodied </w:t>
      </w:r>
      <w:r w:rsidR="00672FF8" w:rsidRPr="00E14EC2">
        <w:rPr>
          <w:lang w:val="en-US"/>
        </w:rPr>
        <w:t>in</w:t>
      </w:r>
      <w:r w:rsidRPr="00E14EC2">
        <w:rPr>
          <w:lang w:val="en-US"/>
        </w:rPr>
        <w:t xml:space="preserve"> such objects. Such values are assigned </w:t>
      </w:r>
      <w:r w:rsidR="00033930">
        <w:rPr>
          <w:lang w:val="en-US"/>
        </w:rPr>
        <w:t xml:space="preserve">to the object by its </w:t>
      </w:r>
      <w:r w:rsidR="00D965F2">
        <w:rPr>
          <w:lang w:val="en-US"/>
        </w:rPr>
        <w:t>makers</w:t>
      </w:r>
      <w:r w:rsidR="002850F2">
        <w:rPr>
          <w:lang w:val="en-US"/>
        </w:rPr>
        <w:t xml:space="preserve"> and </w:t>
      </w:r>
      <w:r w:rsidR="00033930">
        <w:rPr>
          <w:lang w:val="en-US"/>
        </w:rPr>
        <w:t>those who identify with it</w:t>
      </w:r>
      <w:r w:rsidRPr="00E14EC2">
        <w:rPr>
          <w:lang w:val="en-US"/>
        </w:rPr>
        <w:t>. This explains why mass</w:t>
      </w:r>
      <w:r w:rsidR="006671F3" w:rsidRPr="00E14EC2">
        <w:rPr>
          <w:lang w:val="en-US"/>
        </w:rPr>
        <w:t xml:space="preserve"> </w:t>
      </w:r>
      <w:r w:rsidRPr="00E14EC2">
        <w:rPr>
          <w:lang w:val="en-US"/>
        </w:rPr>
        <w:t xml:space="preserve">atrocity crimes committed during armed conflict are often accompanied by the destruction and looting of the tangible </w:t>
      </w:r>
      <w:r w:rsidR="0031242D">
        <w:rPr>
          <w:lang w:val="en-US"/>
        </w:rPr>
        <w:t xml:space="preserve">cultural </w:t>
      </w:r>
      <w:r w:rsidRPr="00E14EC2">
        <w:rPr>
          <w:lang w:val="en-US"/>
        </w:rPr>
        <w:t>heritage of the enem</w:t>
      </w:r>
      <w:r w:rsidR="0031242D">
        <w:rPr>
          <w:lang w:val="en-US"/>
        </w:rPr>
        <w:t>y</w:t>
      </w:r>
      <w:r w:rsidR="00672FF8" w:rsidRPr="00E14EC2">
        <w:rPr>
          <w:lang w:val="en-US"/>
        </w:rPr>
        <w:t>:</w:t>
      </w:r>
      <w:r w:rsidRPr="00E14EC2">
        <w:rPr>
          <w:lang w:val="en-US"/>
        </w:rPr>
        <w:t xml:space="preserve"> </w:t>
      </w:r>
      <w:r w:rsidR="00672FF8" w:rsidRPr="00E14EC2">
        <w:rPr>
          <w:lang w:val="en-US"/>
        </w:rPr>
        <w:t>b</w:t>
      </w:r>
      <w:r w:rsidRPr="00E14EC2">
        <w:rPr>
          <w:lang w:val="en-US"/>
        </w:rPr>
        <w:t>elligerents target cultural heritage to annihilate the identity of the</w:t>
      </w:r>
      <w:r w:rsidR="00981577" w:rsidRPr="00E14EC2">
        <w:rPr>
          <w:lang w:val="en-US"/>
        </w:rPr>
        <w:t>ir</w:t>
      </w:r>
      <w:r w:rsidRPr="00E14EC2">
        <w:rPr>
          <w:lang w:val="en-US"/>
        </w:rPr>
        <w:t xml:space="preserve"> enemies and </w:t>
      </w:r>
      <w:r w:rsidR="0031242D">
        <w:rPr>
          <w:lang w:val="en-US"/>
        </w:rPr>
        <w:t>even their very existence</w:t>
      </w:r>
      <w:r w:rsidRPr="00E14EC2">
        <w:rPr>
          <w:lang w:val="en-US"/>
        </w:rPr>
        <w:t xml:space="preserve">. </w:t>
      </w:r>
      <w:r w:rsidRPr="00D51FCB">
        <w:rPr>
          <w:lang w:val="en-US"/>
        </w:rPr>
        <w:t xml:space="preserve">This chapter explores </w:t>
      </w:r>
      <w:r w:rsidR="00981577" w:rsidRPr="00D51FCB">
        <w:rPr>
          <w:lang w:val="en-US"/>
        </w:rPr>
        <w:t xml:space="preserve">this </w:t>
      </w:r>
      <w:r w:rsidRPr="00D51FCB">
        <w:rPr>
          <w:lang w:val="en-US"/>
        </w:rPr>
        <w:t xml:space="preserve">link by examining the ways in which international human </w:t>
      </w:r>
      <w:r w:rsidRPr="00D51FCB">
        <w:rPr>
          <w:lang w:val="en-US"/>
        </w:rPr>
        <w:lastRenderedPageBreak/>
        <w:t>rights law has contributed to the growth of international cultural heritage law,</w:t>
      </w:r>
      <w:r w:rsidRPr="00E14EC2">
        <w:rPr>
          <w:lang w:val="en-US"/>
        </w:rPr>
        <w:t xml:space="preserve"> and by discussing how cultural heritage has increasingly been integrated into human rights treaties.</w:t>
      </w:r>
    </w:p>
    <w:p w14:paraId="0D936727" w14:textId="77777777" w:rsidR="00F96D08" w:rsidRPr="00E14EC2" w:rsidRDefault="00F96D08" w:rsidP="003373DF">
      <w:pPr>
        <w:spacing w:line="480" w:lineRule="auto"/>
        <w:rPr>
          <w:lang w:val="en-US"/>
        </w:rPr>
      </w:pPr>
    </w:p>
    <w:p w14:paraId="4D7AA3DC" w14:textId="77777777" w:rsidR="00C05F4C" w:rsidRPr="00E14EC2" w:rsidRDefault="00C05F4C" w:rsidP="00C05F4C">
      <w:pPr>
        <w:pStyle w:val="Heading2"/>
        <w:rPr>
          <w:lang w:val="en-US"/>
        </w:rPr>
      </w:pPr>
      <w:r w:rsidRPr="00E14EC2">
        <w:rPr>
          <w:lang w:val="en-US"/>
        </w:rPr>
        <w:t>Biographies</w:t>
      </w:r>
    </w:p>
    <w:p w14:paraId="74ED1186" w14:textId="4C5B5764" w:rsidR="00C05F4C" w:rsidRPr="00E14EC2" w:rsidRDefault="00C05F4C" w:rsidP="00C05F4C">
      <w:pPr>
        <w:spacing w:line="480" w:lineRule="auto"/>
        <w:rPr>
          <w:bCs/>
          <w:lang w:val="en-US"/>
        </w:rPr>
      </w:pPr>
      <w:r w:rsidRPr="00E14EC2">
        <w:rPr>
          <w:bCs/>
          <w:lang w:val="en-US"/>
        </w:rPr>
        <w:t>Marc-André Renold</w:t>
      </w:r>
      <w:r w:rsidR="006935A6">
        <w:rPr>
          <w:lang w:val="en-US"/>
        </w:rPr>
        <w:t xml:space="preserve"> </w:t>
      </w:r>
      <w:r w:rsidRPr="00E14EC2">
        <w:rPr>
          <w:bCs/>
          <w:lang w:val="en-US"/>
        </w:rPr>
        <w:t>is full professor at the University of Geneva Law School. He teaches art and cultural heritage law and since 2012 has held the UNESCO Chair in International Law for the Protection of Cultural Property. In this capacity he established the ArThemis database on the resolution of disputes relating to cultural heritage. He serves as the Director of the Art–Law Centre, which is dedicated to research and teaching on legal issues relating to works of art and cultural property. Renold is also a practicing attorney and member of the Geneva Bar, where he practices in particular in the fields of art and cultural heritage law, international civil and commercial law, and intellectual property law.</w:t>
      </w:r>
    </w:p>
    <w:p w14:paraId="45C64361" w14:textId="6989FD24" w:rsidR="00C05F4C" w:rsidRPr="00E14EC2" w:rsidRDefault="00C05F4C" w:rsidP="00C05F4C">
      <w:pPr>
        <w:spacing w:line="480" w:lineRule="auto"/>
        <w:rPr>
          <w:bCs/>
          <w:lang w:val="en-US"/>
        </w:rPr>
      </w:pPr>
      <w:r w:rsidRPr="00E14EC2">
        <w:rPr>
          <w:bCs/>
          <w:lang w:val="en-US"/>
        </w:rPr>
        <w:tab/>
        <w:t>Alessandro Chechi</w:t>
      </w:r>
      <w:r w:rsidR="006935A6">
        <w:rPr>
          <w:bCs/>
          <w:lang w:val="en-US"/>
        </w:rPr>
        <w:t xml:space="preserve"> </w:t>
      </w:r>
      <w:r w:rsidRPr="00E14EC2">
        <w:rPr>
          <w:bCs/>
          <w:lang w:val="en-US"/>
        </w:rPr>
        <w:t xml:space="preserve">is a senior researcher </w:t>
      </w:r>
      <w:r w:rsidR="00B65401">
        <w:rPr>
          <w:bCs/>
          <w:lang w:val="en-US"/>
        </w:rPr>
        <w:t xml:space="preserve">and lecturer </w:t>
      </w:r>
      <w:r w:rsidRPr="00E14EC2">
        <w:rPr>
          <w:bCs/>
          <w:lang w:val="en-US"/>
        </w:rPr>
        <w:t xml:space="preserve">at the University of Geneva, </w:t>
      </w:r>
      <w:r w:rsidR="00B65401">
        <w:rPr>
          <w:bCs/>
          <w:lang w:val="en-US"/>
        </w:rPr>
        <w:t xml:space="preserve">at </w:t>
      </w:r>
      <w:r w:rsidRPr="00E14EC2">
        <w:rPr>
          <w:bCs/>
          <w:lang w:val="en-US"/>
        </w:rPr>
        <w:t xml:space="preserve">the </w:t>
      </w:r>
      <w:r w:rsidR="00B65401">
        <w:rPr>
          <w:bCs/>
          <w:lang w:val="en-US"/>
        </w:rPr>
        <w:t>Geneva Academy of International Humanitarian Law and Human Rights</w:t>
      </w:r>
      <w:r w:rsidR="00E26E0B">
        <w:rPr>
          <w:bCs/>
          <w:lang w:val="en-US"/>
        </w:rPr>
        <w:t>,</w:t>
      </w:r>
      <w:r w:rsidR="00B65401">
        <w:rPr>
          <w:bCs/>
          <w:lang w:val="en-US"/>
        </w:rPr>
        <w:t xml:space="preserve"> and at the </w:t>
      </w:r>
      <w:r w:rsidRPr="00E14EC2">
        <w:rPr>
          <w:bCs/>
          <w:lang w:val="en-US"/>
        </w:rPr>
        <w:t xml:space="preserve">Université Catholique </w:t>
      </w:r>
      <w:r w:rsidR="00795EC5">
        <w:rPr>
          <w:bCs/>
          <w:lang w:val="en-US"/>
        </w:rPr>
        <w:t>de</w:t>
      </w:r>
      <w:r w:rsidRPr="00E14EC2">
        <w:rPr>
          <w:bCs/>
          <w:lang w:val="en-US"/>
        </w:rPr>
        <w:t xml:space="preserve"> Lille. Alessandro serves as a member of the editorial boards of the Italian Yearbook of International Law and the </w:t>
      </w:r>
      <w:r w:rsidRPr="00E14EC2">
        <w:rPr>
          <w:bCs/>
          <w:i/>
          <w:iCs/>
          <w:lang w:val="en-US"/>
        </w:rPr>
        <w:t>Santander Art and Culture Law Review</w:t>
      </w:r>
      <w:r w:rsidRPr="00E14EC2">
        <w:rPr>
          <w:bCs/>
          <w:lang w:val="en-US"/>
        </w:rPr>
        <w:t xml:space="preserve">. He was consultant for the European Committee on Crime Problems (CDPC) of the Council of Europe for the revision of the Convention on Offences Relating to Cultural Property. He is the author of </w:t>
      </w:r>
      <w:r w:rsidRPr="00E14EC2">
        <w:rPr>
          <w:bCs/>
          <w:i/>
          <w:iCs/>
          <w:lang w:val="en-US"/>
        </w:rPr>
        <w:t>The Settlement of International Cultural Heritage Disputes</w:t>
      </w:r>
      <w:r w:rsidRPr="00E14EC2">
        <w:rPr>
          <w:bCs/>
          <w:lang w:val="en-US"/>
        </w:rPr>
        <w:t xml:space="preserve"> (2014).</w:t>
      </w:r>
    </w:p>
    <w:p w14:paraId="78C7E527" w14:textId="77777777" w:rsidR="00F96D08" w:rsidRPr="00E14EC2" w:rsidRDefault="00F96D08" w:rsidP="003373DF">
      <w:pPr>
        <w:spacing w:line="480" w:lineRule="auto"/>
        <w:rPr>
          <w:b/>
          <w:lang w:val="en-US"/>
        </w:rPr>
      </w:pPr>
    </w:p>
    <w:p w14:paraId="635E83F3" w14:textId="649A3542" w:rsidR="0042743A" w:rsidRPr="00E14EC2" w:rsidRDefault="009746FE" w:rsidP="003373DF">
      <w:pPr>
        <w:spacing w:line="480" w:lineRule="auto"/>
        <w:rPr>
          <w:rFonts w:ascii="Times" w:hAnsi="Times" w:cs="Times"/>
          <w:lang w:val="en-US"/>
        </w:rPr>
      </w:pPr>
      <w:r w:rsidRPr="00E14EC2">
        <w:rPr>
          <w:lang w:val="en-US"/>
        </w:rPr>
        <w:t xml:space="preserve">The tangible dimension of </w:t>
      </w:r>
      <w:r w:rsidR="00807CD9" w:rsidRPr="00E14EC2">
        <w:rPr>
          <w:lang w:val="en-US"/>
        </w:rPr>
        <w:t xml:space="preserve">any </w:t>
      </w:r>
      <w:r w:rsidRPr="00E14EC2">
        <w:rPr>
          <w:lang w:val="en-US"/>
        </w:rPr>
        <w:t xml:space="preserve">movable and immovable cultural object is completed and accompanied by an intangible human dimension, which </w:t>
      </w:r>
      <w:r w:rsidR="00076C11" w:rsidRPr="00E14EC2">
        <w:rPr>
          <w:lang w:val="en-US"/>
        </w:rPr>
        <w:t>relates to</w:t>
      </w:r>
      <w:r w:rsidR="003B1F00" w:rsidRPr="00E14EC2">
        <w:rPr>
          <w:lang w:val="en-US"/>
        </w:rPr>
        <w:t xml:space="preserve"> </w:t>
      </w:r>
      <w:r w:rsidRPr="00E14EC2">
        <w:rPr>
          <w:lang w:val="en-US"/>
        </w:rPr>
        <w:t>the symbolic, spiritual</w:t>
      </w:r>
      <w:r w:rsidR="00735532" w:rsidRPr="00E14EC2">
        <w:rPr>
          <w:lang w:val="en-US"/>
        </w:rPr>
        <w:t>,</w:t>
      </w:r>
      <w:r w:rsidRPr="00E14EC2">
        <w:rPr>
          <w:lang w:val="en-US"/>
        </w:rPr>
        <w:t xml:space="preserve"> or historical values embodied </w:t>
      </w:r>
      <w:r w:rsidR="00672FF8" w:rsidRPr="00E14EC2">
        <w:rPr>
          <w:lang w:val="en-US"/>
        </w:rPr>
        <w:t>in</w:t>
      </w:r>
      <w:r w:rsidRPr="00E14EC2">
        <w:rPr>
          <w:lang w:val="en-US"/>
        </w:rPr>
        <w:t xml:space="preserve"> such objects. Such values</w:t>
      </w:r>
      <w:r w:rsidR="00FE37F5" w:rsidRPr="00E14EC2">
        <w:rPr>
          <w:lang w:val="en-US"/>
        </w:rPr>
        <w:t>—</w:t>
      </w:r>
      <w:r w:rsidR="00A96FD2" w:rsidRPr="00E14EC2">
        <w:rPr>
          <w:lang w:val="en-US"/>
        </w:rPr>
        <w:t>which</w:t>
      </w:r>
      <w:r w:rsidRPr="00E14EC2">
        <w:rPr>
          <w:lang w:val="en-US"/>
        </w:rPr>
        <w:t xml:space="preserve"> are independent </w:t>
      </w:r>
      <w:r w:rsidR="008673B0" w:rsidRPr="00E14EC2">
        <w:rPr>
          <w:lang w:val="en-US"/>
        </w:rPr>
        <w:t xml:space="preserve">of </w:t>
      </w:r>
      <w:r w:rsidRPr="00E14EC2">
        <w:rPr>
          <w:lang w:val="en-US"/>
        </w:rPr>
        <w:t>any aesthetic or monetary significance</w:t>
      </w:r>
      <w:r w:rsidR="00FE37F5" w:rsidRPr="00E14EC2">
        <w:rPr>
          <w:lang w:val="en-US"/>
        </w:rPr>
        <w:t>—</w:t>
      </w:r>
      <w:r w:rsidRPr="00E14EC2">
        <w:rPr>
          <w:lang w:val="en-US"/>
        </w:rPr>
        <w:t xml:space="preserve">are assigned to </w:t>
      </w:r>
      <w:r w:rsidR="00757678" w:rsidRPr="00E14EC2">
        <w:rPr>
          <w:lang w:val="en-US"/>
        </w:rPr>
        <w:t>cultural</w:t>
      </w:r>
      <w:r w:rsidRPr="00E14EC2">
        <w:rPr>
          <w:lang w:val="en-US"/>
        </w:rPr>
        <w:t xml:space="preserve"> </w:t>
      </w:r>
      <w:r w:rsidR="00D965F2">
        <w:rPr>
          <w:lang w:val="en-US"/>
        </w:rPr>
        <w:t>heritage</w:t>
      </w:r>
      <w:r w:rsidR="00D965F2" w:rsidRPr="00E14EC2">
        <w:rPr>
          <w:lang w:val="en-US"/>
        </w:rPr>
        <w:t xml:space="preserve"> </w:t>
      </w:r>
      <w:r w:rsidRPr="00E14EC2">
        <w:rPr>
          <w:lang w:val="en-US"/>
        </w:rPr>
        <w:t xml:space="preserve">by </w:t>
      </w:r>
      <w:r w:rsidR="00795EC5">
        <w:rPr>
          <w:lang w:val="en-US"/>
        </w:rPr>
        <w:t xml:space="preserve">its </w:t>
      </w:r>
      <w:r w:rsidR="00D965F2">
        <w:rPr>
          <w:lang w:val="en-US"/>
        </w:rPr>
        <w:t>makers</w:t>
      </w:r>
      <w:r w:rsidR="00717465">
        <w:rPr>
          <w:lang w:val="en-US"/>
        </w:rPr>
        <w:t xml:space="preserve"> and</w:t>
      </w:r>
      <w:r w:rsidR="00D965F2">
        <w:rPr>
          <w:lang w:val="en-US"/>
        </w:rPr>
        <w:t xml:space="preserve"> </w:t>
      </w:r>
      <w:r w:rsidR="00795EC5">
        <w:rPr>
          <w:lang w:val="en-US"/>
        </w:rPr>
        <w:t>those</w:t>
      </w:r>
      <w:r w:rsidR="00D965F2">
        <w:rPr>
          <w:lang w:val="en-US"/>
        </w:rPr>
        <w:t xml:space="preserve"> who identify </w:t>
      </w:r>
      <w:r w:rsidR="00D965F2">
        <w:rPr>
          <w:lang w:val="en-US"/>
        </w:rPr>
        <w:lastRenderedPageBreak/>
        <w:t>with these objects.</w:t>
      </w:r>
      <w:bookmarkEnd w:id="0"/>
      <w:bookmarkEnd w:id="1"/>
      <w:bookmarkEnd w:id="2"/>
      <w:bookmarkEnd w:id="3"/>
      <w:bookmarkEnd w:id="4"/>
      <w:bookmarkEnd w:id="5"/>
      <w:r w:rsidR="00583E93" w:rsidRPr="00014F2A">
        <w:rPr>
          <w:rStyle w:val="EndnoteReference"/>
          <w:lang w:val="en-US"/>
        </w:rPr>
        <w:endnoteReference w:id="1"/>
      </w:r>
      <w:r w:rsidR="0042743A" w:rsidRPr="00014F2A">
        <w:rPr>
          <w:lang w:val="en-US"/>
        </w:rPr>
        <w:t xml:space="preserve"> In other words, culture is understood, protected</w:t>
      </w:r>
      <w:r w:rsidR="00192E7E" w:rsidRPr="00E14EC2">
        <w:rPr>
          <w:lang w:val="en-US"/>
        </w:rPr>
        <w:t>,</w:t>
      </w:r>
      <w:r w:rsidR="0042743A" w:rsidRPr="00E14EC2">
        <w:rPr>
          <w:lang w:val="en-US"/>
        </w:rPr>
        <w:t xml:space="preserve"> and promoted not only for its physical manifestations</w:t>
      </w:r>
      <w:r w:rsidR="00A70CBF">
        <w:rPr>
          <w:lang w:val="en-US"/>
        </w:rPr>
        <w:t xml:space="preserve"> but for</w:t>
      </w:r>
      <w:r w:rsidR="0042743A" w:rsidRPr="00E14EC2">
        <w:rPr>
          <w:lang w:val="en-US"/>
        </w:rPr>
        <w:t xml:space="preserve"> the relationship of culture to people, individually or in groups, and the diversity of the relationships</w:t>
      </w:r>
      <w:r w:rsidR="00192E7E" w:rsidRPr="00E14EC2">
        <w:rPr>
          <w:lang w:val="en-US"/>
        </w:rPr>
        <w:t xml:space="preserve"> </w:t>
      </w:r>
      <w:r w:rsidR="0042743A" w:rsidRPr="00E14EC2">
        <w:rPr>
          <w:lang w:val="en-US"/>
        </w:rPr>
        <w:t>being protected and promoted.</w:t>
      </w:r>
      <w:r w:rsidR="0042743A" w:rsidRPr="00014F2A">
        <w:rPr>
          <w:rStyle w:val="EndnoteReference"/>
          <w:lang w:val="en-US"/>
        </w:rPr>
        <w:endnoteReference w:id="2"/>
      </w:r>
      <w:r w:rsidR="0042743A" w:rsidRPr="00014F2A">
        <w:rPr>
          <w:lang w:val="en-US"/>
        </w:rPr>
        <w:t xml:space="preserve"> </w:t>
      </w:r>
    </w:p>
    <w:p w14:paraId="3BF8DFB0" w14:textId="67E7E594" w:rsidR="006A2F5D" w:rsidRPr="00E14EC2" w:rsidRDefault="000C5689" w:rsidP="003373DF">
      <w:pPr>
        <w:spacing w:line="480" w:lineRule="auto"/>
        <w:rPr>
          <w:rFonts w:ascii="Times" w:hAnsi="Times" w:cs="Times"/>
          <w:lang w:val="en-US"/>
        </w:rPr>
      </w:pPr>
      <w:r w:rsidRPr="00E14EC2">
        <w:rPr>
          <w:lang w:val="en-US"/>
        </w:rPr>
        <w:tab/>
      </w:r>
      <w:r w:rsidR="00583E93" w:rsidRPr="00E14EC2">
        <w:rPr>
          <w:lang w:val="en-US"/>
        </w:rPr>
        <w:t>This intrinsic link between cultural objects and human beings explains why mass</w:t>
      </w:r>
      <w:r w:rsidR="003854FA" w:rsidRPr="00E14EC2">
        <w:rPr>
          <w:lang w:val="en-US"/>
        </w:rPr>
        <w:t xml:space="preserve"> </w:t>
      </w:r>
      <w:r w:rsidR="00583E93" w:rsidRPr="00E14EC2">
        <w:rPr>
          <w:lang w:val="en-US"/>
        </w:rPr>
        <w:t xml:space="preserve">atrocity crimes committed in the context of contemporary armed conflict are often accompanied by the destruction and looting of </w:t>
      </w:r>
      <w:r w:rsidR="003854FA" w:rsidRPr="00E14EC2">
        <w:rPr>
          <w:lang w:val="en-US"/>
        </w:rPr>
        <w:t xml:space="preserve">the </w:t>
      </w:r>
      <w:r w:rsidR="00A324F2" w:rsidRPr="00E14EC2">
        <w:rPr>
          <w:lang w:val="en-US"/>
        </w:rPr>
        <w:t>tangible heritage</w:t>
      </w:r>
      <w:r w:rsidR="005D5772" w:rsidRPr="00E14EC2">
        <w:rPr>
          <w:lang w:val="en-US"/>
        </w:rPr>
        <w:t xml:space="preserve"> of the enemy</w:t>
      </w:r>
      <w:r w:rsidR="00FE37F5" w:rsidRPr="00E14EC2">
        <w:rPr>
          <w:lang w:val="en-US"/>
        </w:rPr>
        <w:t>—</w:t>
      </w:r>
      <w:r w:rsidR="00A324F2" w:rsidRPr="00E14EC2">
        <w:rPr>
          <w:lang w:val="en-US"/>
        </w:rPr>
        <w:t>monuments, buildings, sites, archaeological materials</w:t>
      </w:r>
      <w:r w:rsidR="00A50219" w:rsidRPr="00E14EC2">
        <w:rPr>
          <w:lang w:val="en-US"/>
        </w:rPr>
        <w:t>,</w:t>
      </w:r>
      <w:r w:rsidR="00A324F2" w:rsidRPr="00E14EC2">
        <w:rPr>
          <w:lang w:val="en-US"/>
        </w:rPr>
        <w:t xml:space="preserve"> and sacred artifacts connected to </w:t>
      </w:r>
      <w:r w:rsidR="00CB7BDE" w:rsidRPr="00E14EC2">
        <w:rPr>
          <w:lang w:val="en-US"/>
        </w:rPr>
        <w:t>the history, literature, art</w:t>
      </w:r>
      <w:r w:rsidR="001C79E1" w:rsidRPr="00E14EC2">
        <w:rPr>
          <w:lang w:val="en-US"/>
        </w:rPr>
        <w:t>,</w:t>
      </w:r>
      <w:r w:rsidR="00CB7BDE" w:rsidRPr="00E14EC2">
        <w:rPr>
          <w:lang w:val="en-US"/>
        </w:rPr>
        <w:t xml:space="preserve"> or science</w:t>
      </w:r>
      <w:r w:rsidR="001C79E1" w:rsidRPr="00E14EC2">
        <w:rPr>
          <w:lang w:val="en-US"/>
        </w:rPr>
        <w:t xml:space="preserve"> of the target people</w:t>
      </w:r>
      <w:r w:rsidR="00037857" w:rsidRPr="00E14EC2">
        <w:rPr>
          <w:lang w:val="en-US"/>
        </w:rPr>
        <w:t>.</w:t>
      </w:r>
      <w:r w:rsidR="00A74A48" w:rsidRPr="00014F2A">
        <w:rPr>
          <w:rStyle w:val="EndnoteReference"/>
          <w:lang w:val="en-US"/>
        </w:rPr>
        <w:endnoteReference w:id="3"/>
      </w:r>
      <w:r w:rsidR="00A74A48" w:rsidRPr="00014F2A">
        <w:rPr>
          <w:lang w:val="en-US"/>
        </w:rPr>
        <w:t xml:space="preserve"> </w:t>
      </w:r>
      <w:r w:rsidR="00037857" w:rsidRPr="004E746E">
        <w:rPr>
          <w:lang w:val="en-US"/>
        </w:rPr>
        <w:t xml:space="preserve">Belligerents </w:t>
      </w:r>
      <w:r w:rsidR="00CB7BDE" w:rsidRPr="004E746E">
        <w:rPr>
          <w:lang w:val="en-US"/>
        </w:rPr>
        <w:t xml:space="preserve">target cultural heritage </w:t>
      </w:r>
      <w:r w:rsidR="00325B75" w:rsidRPr="004E746E">
        <w:rPr>
          <w:lang w:val="en-US"/>
        </w:rPr>
        <w:t xml:space="preserve">for reasons </w:t>
      </w:r>
      <w:r w:rsidR="004E746E" w:rsidRPr="00097F75">
        <w:rPr>
          <w:lang w:val="en-US"/>
        </w:rPr>
        <w:t>other than</w:t>
      </w:r>
      <w:r w:rsidR="00325B75" w:rsidRPr="004E746E">
        <w:rPr>
          <w:lang w:val="en-US"/>
        </w:rPr>
        <w:t xml:space="preserve"> the destruction of the object</w:t>
      </w:r>
      <w:r w:rsidR="00FD6285">
        <w:rPr>
          <w:lang w:val="en-US"/>
        </w:rPr>
        <w:t>: to</w:t>
      </w:r>
      <w:r w:rsidR="00325B75" w:rsidRPr="004E746E">
        <w:rPr>
          <w:lang w:val="en-US"/>
        </w:rPr>
        <w:t xml:space="preserve"> </w:t>
      </w:r>
      <w:r w:rsidR="00583E93" w:rsidRPr="004E746E">
        <w:rPr>
          <w:lang w:val="en-US"/>
        </w:rPr>
        <w:t>destroy the morale of the enemy</w:t>
      </w:r>
      <w:r w:rsidR="00037857" w:rsidRPr="004E746E">
        <w:rPr>
          <w:lang w:val="en-US"/>
        </w:rPr>
        <w:t>,</w:t>
      </w:r>
      <w:r w:rsidR="00583E93" w:rsidRPr="004E746E">
        <w:rPr>
          <w:lang w:val="en-US"/>
        </w:rPr>
        <w:t xml:space="preserve"> </w:t>
      </w:r>
      <w:r w:rsidR="00583E93" w:rsidRPr="00095DF8">
        <w:rPr>
          <w:lang w:val="en-US"/>
        </w:rPr>
        <w:t xml:space="preserve">annihilate the </w:t>
      </w:r>
      <w:r w:rsidR="000E76E2" w:rsidRPr="00095DF8">
        <w:rPr>
          <w:lang w:val="en-US"/>
        </w:rPr>
        <w:t xml:space="preserve">communal </w:t>
      </w:r>
      <w:r w:rsidR="00583E93" w:rsidRPr="00095DF8">
        <w:rPr>
          <w:lang w:val="en-US"/>
        </w:rPr>
        <w:t>identity of th</w:t>
      </w:r>
      <w:r w:rsidR="000E76E2" w:rsidRPr="00095DF8">
        <w:rPr>
          <w:lang w:val="en-US"/>
        </w:rPr>
        <w:t>os</w:t>
      </w:r>
      <w:r w:rsidR="00583E93" w:rsidRPr="00095DF8">
        <w:rPr>
          <w:lang w:val="en-US"/>
        </w:rPr>
        <w:t xml:space="preserve">e for whom </w:t>
      </w:r>
      <w:r w:rsidR="000E76E2" w:rsidRPr="00095DF8">
        <w:rPr>
          <w:lang w:val="en-US"/>
        </w:rPr>
        <w:t xml:space="preserve">it has </w:t>
      </w:r>
      <w:r w:rsidR="00583E93" w:rsidRPr="00095DF8">
        <w:rPr>
          <w:lang w:val="en-US"/>
        </w:rPr>
        <w:t>special significance</w:t>
      </w:r>
      <w:r w:rsidR="00037857" w:rsidRPr="00095DF8">
        <w:rPr>
          <w:lang w:val="en-US"/>
        </w:rPr>
        <w:t>, and undermine their (cultural) survival</w:t>
      </w:r>
      <w:r w:rsidR="00583E93" w:rsidRPr="00095DF8">
        <w:rPr>
          <w:lang w:val="en-US"/>
        </w:rPr>
        <w:t>.</w:t>
      </w:r>
      <w:r w:rsidR="00583E93" w:rsidRPr="004E746E">
        <w:rPr>
          <w:vertAlign w:val="superscript"/>
          <w:lang w:val="en-US"/>
        </w:rPr>
        <w:endnoteReference w:id="4"/>
      </w:r>
      <w:r w:rsidR="00757678" w:rsidRPr="004E746E">
        <w:rPr>
          <w:rFonts w:ascii="Times" w:hAnsi="Times" w:cs="Times"/>
          <w:lang w:val="en-US"/>
        </w:rPr>
        <w:t xml:space="preserve"> </w:t>
      </w:r>
      <w:r w:rsidR="00583E93" w:rsidRPr="004E746E">
        <w:rPr>
          <w:rFonts w:ascii="Times" w:hAnsi="Times" w:cs="Times"/>
          <w:lang w:val="en-US"/>
        </w:rPr>
        <w:t>It follows that the issue of cultural heritage</w:t>
      </w:r>
      <w:r w:rsidR="00583E93" w:rsidRPr="004E746E">
        <w:rPr>
          <w:rFonts w:ascii="Times" w:hAnsi="Times" w:cs="Times"/>
          <w:vertAlign w:val="superscript"/>
          <w:lang w:val="en-US"/>
        </w:rPr>
        <w:t xml:space="preserve"> </w:t>
      </w:r>
      <w:r w:rsidR="00583E93" w:rsidRPr="004E746E">
        <w:rPr>
          <w:rFonts w:ascii="Times" w:hAnsi="Times" w:cs="Times"/>
          <w:lang w:val="en-US"/>
        </w:rPr>
        <w:t>protection cannot be treated in isolation from human rights.</w:t>
      </w:r>
      <w:r w:rsidR="00D149A4" w:rsidRPr="004E746E">
        <w:rPr>
          <w:rStyle w:val="EndnoteReference"/>
          <w:rFonts w:ascii="Times" w:hAnsi="Times" w:cs="Times"/>
          <w:lang w:val="en-US"/>
        </w:rPr>
        <w:endnoteReference w:id="5"/>
      </w:r>
      <w:r w:rsidR="006A2F5D" w:rsidRPr="00014F2A">
        <w:rPr>
          <w:rFonts w:ascii="Times" w:hAnsi="Times" w:cs="Times"/>
          <w:lang w:val="en-US"/>
        </w:rPr>
        <w:t xml:space="preserve"> </w:t>
      </w:r>
    </w:p>
    <w:p w14:paraId="55AA37AE" w14:textId="24F6A328" w:rsidR="00583E93"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The aim of this chapter is to explore the interconnections between human rights and cultural heritage</w:t>
      </w:r>
      <w:r w:rsidR="000E76E2">
        <w:rPr>
          <w:rFonts w:ascii="Times" w:hAnsi="Times" w:cs="Times"/>
          <w:lang w:val="en-US"/>
        </w:rPr>
        <w:t>.</w:t>
      </w:r>
      <w:r w:rsidR="006331BA" w:rsidRPr="00014F2A">
        <w:rPr>
          <w:rStyle w:val="EndnoteReference"/>
          <w:rFonts w:ascii="Times" w:hAnsi="Times" w:cs="Times"/>
          <w:lang w:val="en-US"/>
        </w:rPr>
        <w:endnoteReference w:id="6"/>
      </w:r>
      <w:r w:rsidR="006331BA" w:rsidRPr="00014F2A">
        <w:rPr>
          <w:rFonts w:ascii="Times" w:hAnsi="Times" w:cs="Times"/>
          <w:lang w:val="en-US"/>
        </w:rPr>
        <w:t xml:space="preserve"> This chapter </w:t>
      </w:r>
      <w:r w:rsidR="0083530A" w:rsidRPr="00E14EC2">
        <w:rPr>
          <w:rFonts w:ascii="Times" w:hAnsi="Times" w:cs="Times"/>
          <w:lang w:val="en-US"/>
        </w:rPr>
        <w:t xml:space="preserve">first </w:t>
      </w:r>
      <w:r w:rsidR="00583E93" w:rsidRPr="00E14EC2">
        <w:rPr>
          <w:rFonts w:ascii="Times" w:hAnsi="Times" w:cs="Times"/>
          <w:lang w:val="en-US"/>
        </w:rPr>
        <w:t>examine</w:t>
      </w:r>
      <w:r w:rsidR="0083530A" w:rsidRPr="00E14EC2">
        <w:rPr>
          <w:rFonts w:ascii="Times" w:hAnsi="Times" w:cs="Times"/>
          <w:lang w:val="en-US"/>
        </w:rPr>
        <w:t>s</w:t>
      </w:r>
      <w:r w:rsidR="00583E93" w:rsidRPr="00E14EC2">
        <w:rPr>
          <w:rFonts w:ascii="Times" w:hAnsi="Times" w:cs="Times"/>
          <w:lang w:val="en-US"/>
        </w:rPr>
        <w:t xml:space="preserve"> the ways in which international human rights la</w:t>
      </w:r>
      <w:r w:rsidR="002040E2" w:rsidRPr="00E14EC2">
        <w:rPr>
          <w:rFonts w:ascii="Times" w:hAnsi="Times" w:cs="Times"/>
          <w:lang w:val="en-US"/>
        </w:rPr>
        <w:t xml:space="preserve">w has contributed to the </w:t>
      </w:r>
      <w:r w:rsidR="00583E93" w:rsidRPr="00E14EC2">
        <w:rPr>
          <w:rFonts w:ascii="Times" w:hAnsi="Times" w:cs="Times"/>
          <w:lang w:val="en-US"/>
        </w:rPr>
        <w:t xml:space="preserve">growth and maturity of international cultural heritage law as </w:t>
      </w:r>
      <w:r w:rsidR="00325B75">
        <w:rPr>
          <w:rFonts w:ascii="Times" w:hAnsi="Times" w:cs="Times"/>
          <w:lang w:val="en-US"/>
        </w:rPr>
        <w:t xml:space="preserve">its own </w:t>
      </w:r>
      <w:r w:rsidR="00583E93" w:rsidRPr="00E14EC2">
        <w:rPr>
          <w:rFonts w:ascii="Times" w:hAnsi="Times" w:cs="Times"/>
          <w:lang w:val="en-US"/>
        </w:rPr>
        <w:t>distinct field of international law.</w:t>
      </w:r>
      <w:r w:rsidR="009D4E84" w:rsidRPr="00014F2A">
        <w:rPr>
          <w:rStyle w:val="EndnoteReference"/>
          <w:rFonts w:ascii="Times" w:hAnsi="Times" w:cs="Times"/>
          <w:lang w:val="en-US"/>
        </w:rPr>
        <w:endnoteReference w:id="7"/>
      </w:r>
      <w:r w:rsidR="00583E93" w:rsidRPr="00014F2A">
        <w:rPr>
          <w:rFonts w:ascii="Times" w:hAnsi="Times" w:cs="Times"/>
          <w:lang w:val="en-US"/>
        </w:rPr>
        <w:t xml:space="preserve"> </w:t>
      </w:r>
      <w:r w:rsidR="0083530A" w:rsidRPr="00E14EC2">
        <w:rPr>
          <w:rFonts w:ascii="Times" w:hAnsi="Times" w:cs="Times"/>
          <w:lang w:val="en-US"/>
        </w:rPr>
        <w:t>It</w:t>
      </w:r>
      <w:r w:rsidR="00076C11" w:rsidRPr="00E14EC2">
        <w:rPr>
          <w:rFonts w:ascii="Times" w:hAnsi="Times" w:cs="Times"/>
          <w:lang w:val="en-US"/>
        </w:rPr>
        <w:t xml:space="preserve"> then discuss</w:t>
      </w:r>
      <w:r w:rsidR="0083530A" w:rsidRPr="00E14EC2">
        <w:rPr>
          <w:rFonts w:ascii="Times" w:hAnsi="Times" w:cs="Times"/>
          <w:lang w:val="en-US"/>
        </w:rPr>
        <w:t>es</w:t>
      </w:r>
      <w:r w:rsidR="00583E93" w:rsidRPr="00E14EC2">
        <w:rPr>
          <w:rFonts w:ascii="Times" w:hAnsi="Times" w:cs="Times"/>
          <w:lang w:val="en-US"/>
        </w:rPr>
        <w:t xml:space="preserve"> how cultural heritage</w:t>
      </w:r>
      <w:r w:rsidR="00387679" w:rsidRPr="00E14EC2">
        <w:rPr>
          <w:rFonts w:ascii="Times" w:hAnsi="Times" w:cs="Times"/>
          <w:lang w:val="en-US"/>
        </w:rPr>
        <w:t xml:space="preserve"> has</w:t>
      </w:r>
      <w:r w:rsidR="00583E93" w:rsidRPr="00E14EC2">
        <w:rPr>
          <w:rFonts w:ascii="Times" w:hAnsi="Times" w:cs="Times"/>
          <w:lang w:val="en-US"/>
        </w:rPr>
        <w:t xml:space="preserve"> increasingly been integrated into</w:t>
      </w:r>
      <w:r w:rsidR="00387679" w:rsidRPr="00E14EC2">
        <w:rPr>
          <w:rFonts w:ascii="Times" w:hAnsi="Times" w:cs="Times"/>
          <w:lang w:val="en-US"/>
        </w:rPr>
        <w:t xml:space="preserve"> </w:t>
      </w:r>
      <w:r w:rsidR="0083530A" w:rsidRPr="00E14EC2">
        <w:rPr>
          <w:rFonts w:ascii="Times" w:hAnsi="Times" w:cs="Times"/>
          <w:lang w:val="en-US"/>
        </w:rPr>
        <w:t>human rights treaties.</w:t>
      </w:r>
      <w:r w:rsidR="00076C11" w:rsidRPr="00E14EC2">
        <w:rPr>
          <w:rFonts w:ascii="Times" w:hAnsi="Times" w:cs="Times"/>
          <w:lang w:val="en-US"/>
        </w:rPr>
        <w:t xml:space="preserve"> </w:t>
      </w:r>
      <w:r w:rsidR="0083530A" w:rsidRPr="00E14EC2">
        <w:rPr>
          <w:rFonts w:ascii="Times" w:hAnsi="Times" w:cs="Times"/>
          <w:lang w:val="en-US"/>
        </w:rPr>
        <w:t>Finally, it</w:t>
      </w:r>
      <w:r w:rsidR="00076C11" w:rsidRPr="00E14EC2">
        <w:rPr>
          <w:rFonts w:ascii="Times" w:hAnsi="Times" w:cs="Times"/>
          <w:lang w:val="en-US"/>
        </w:rPr>
        <w:t xml:space="preserve"> </w:t>
      </w:r>
      <w:r w:rsidR="0083530A" w:rsidRPr="00E14EC2">
        <w:rPr>
          <w:rFonts w:ascii="Times" w:hAnsi="Times" w:cs="Times"/>
          <w:lang w:val="en-US"/>
        </w:rPr>
        <w:t xml:space="preserve">provides an </w:t>
      </w:r>
      <w:r w:rsidR="00076C11" w:rsidRPr="00E14EC2">
        <w:rPr>
          <w:rFonts w:ascii="Times" w:hAnsi="Times" w:cs="Times"/>
          <w:lang w:val="en-US"/>
        </w:rPr>
        <w:t>apprais</w:t>
      </w:r>
      <w:r w:rsidR="0083530A" w:rsidRPr="00E14EC2">
        <w:rPr>
          <w:rFonts w:ascii="Times" w:hAnsi="Times" w:cs="Times"/>
          <w:lang w:val="en-US"/>
        </w:rPr>
        <w:t>al of</w:t>
      </w:r>
      <w:r w:rsidR="00076C11" w:rsidRPr="00E14EC2">
        <w:rPr>
          <w:rFonts w:ascii="Times" w:hAnsi="Times" w:cs="Times"/>
          <w:lang w:val="en-US"/>
        </w:rPr>
        <w:t xml:space="preserve"> the</w:t>
      </w:r>
      <w:r w:rsidR="00AF210E" w:rsidRPr="00E14EC2">
        <w:rPr>
          <w:rFonts w:ascii="Times" w:hAnsi="Times" w:cs="Times"/>
          <w:lang w:val="en-US"/>
        </w:rPr>
        <w:t xml:space="preserve"> mutual interactions of the two fields.</w:t>
      </w:r>
    </w:p>
    <w:p w14:paraId="7E26F8C1" w14:textId="77777777" w:rsidR="005D5772" w:rsidRPr="00E14EC2" w:rsidRDefault="005D5772" w:rsidP="003373DF">
      <w:pPr>
        <w:spacing w:line="480" w:lineRule="auto"/>
        <w:rPr>
          <w:rFonts w:ascii="Times" w:hAnsi="Times" w:cs="Times"/>
          <w:bCs/>
          <w:lang w:val="en-US"/>
        </w:rPr>
      </w:pPr>
    </w:p>
    <w:p w14:paraId="0DBB95C7" w14:textId="016FB132" w:rsidR="00583E93" w:rsidRPr="00490CF3" w:rsidRDefault="00583E93" w:rsidP="00490CF3">
      <w:pPr>
        <w:pStyle w:val="Heading2"/>
        <w:rPr>
          <w:lang w:val="en-US"/>
        </w:rPr>
      </w:pPr>
      <w:r w:rsidRPr="00490CF3">
        <w:rPr>
          <w:lang w:val="en-US"/>
        </w:rPr>
        <w:t xml:space="preserve">The Human Rights Dimension of </w:t>
      </w:r>
      <w:r w:rsidR="005D7053" w:rsidRPr="00490CF3">
        <w:rPr>
          <w:lang w:val="en-US"/>
        </w:rPr>
        <w:t xml:space="preserve">UNESCO </w:t>
      </w:r>
      <w:r w:rsidRPr="00490CF3">
        <w:rPr>
          <w:lang w:val="en-US"/>
        </w:rPr>
        <w:t>Instruments</w:t>
      </w:r>
    </w:p>
    <w:p w14:paraId="25785B8F" w14:textId="77777777" w:rsidR="000E76E2" w:rsidRDefault="000E76E2" w:rsidP="003373DF">
      <w:pPr>
        <w:spacing w:line="480" w:lineRule="auto"/>
        <w:rPr>
          <w:rFonts w:ascii="Times" w:hAnsi="Times" w:cs="Times"/>
          <w:lang w:val="en-US"/>
        </w:rPr>
      </w:pPr>
    </w:p>
    <w:p w14:paraId="4945155F" w14:textId="424FACF9" w:rsidR="005A5E79" w:rsidRPr="00E14EC2" w:rsidRDefault="00E52050" w:rsidP="003373DF">
      <w:pPr>
        <w:spacing w:line="480" w:lineRule="auto"/>
        <w:rPr>
          <w:rFonts w:ascii="Times" w:hAnsi="Times" w:cs="Times"/>
          <w:lang w:val="en-US"/>
        </w:rPr>
      </w:pPr>
      <w:r w:rsidRPr="00014F2A">
        <w:rPr>
          <w:rFonts w:ascii="Times" w:hAnsi="Times" w:cs="Times"/>
          <w:lang w:val="en-US"/>
        </w:rPr>
        <w:t xml:space="preserve">International cultural heritage law has concerned itself predominantly with the preservation of </w:t>
      </w:r>
      <w:r w:rsidR="00877274" w:rsidRPr="00E14EC2">
        <w:rPr>
          <w:rFonts w:ascii="Times" w:hAnsi="Times" w:cs="Times"/>
          <w:lang w:val="en-US"/>
        </w:rPr>
        <w:t xml:space="preserve">the </w:t>
      </w:r>
      <w:r w:rsidRPr="00E14EC2">
        <w:rPr>
          <w:rFonts w:ascii="Times" w:hAnsi="Times" w:cs="Times"/>
          <w:lang w:val="en-US"/>
        </w:rPr>
        <w:t>integrity of tangible obj</w:t>
      </w:r>
      <w:r w:rsidR="00786A61" w:rsidRPr="00E14EC2">
        <w:rPr>
          <w:rFonts w:ascii="Times" w:hAnsi="Times" w:cs="Times"/>
          <w:lang w:val="en-US"/>
        </w:rPr>
        <w:t>e</w:t>
      </w:r>
      <w:r w:rsidRPr="00E14EC2">
        <w:rPr>
          <w:rFonts w:ascii="Times" w:hAnsi="Times" w:cs="Times"/>
          <w:lang w:val="en-US"/>
        </w:rPr>
        <w:t>cts</w:t>
      </w:r>
      <w:r w:rsidR="003E36D0" w:rsidRPr="00E14EC2">
        <w:rPr>
          <w:rFonts w:ascii="Times" w:hAnsi="Times" w:cs="Times"/>
          <w:lang w:val="en-US"/>
        </w:rPr>
        <w:t>. This is not surprising since the development of this branch of law can be connected to the effort to protect cultural heritage items in time of armed conflict</w:t>
      </w:r>
      <w:r w:rsidR="00DE544F" w:rsidRPr="00E14EC2">
        <w:rPr>
          <w:rFonts w:ascii="Times" w:hAnsi="Times" w:cs="Times"/>
          <w:lang w:val="en-US"/>
        </w:rPr>
        <w:t>, i</w:t>
      </w:r>
      <w:r w:rsidR="004827F2" w:rsidRPr="00E14EC2">
        <w:rPr>
          <w:rFonts w:ascii="Times" w:hAnsi="Times" w:cs="Times"/>
          <w:lang w:val="en-US"/>
        </w:rPr>
        <w:t>.</w:t>
      </w:r>
      <w:r w:rsidR="00DE544F" w:rsidRPr="00E14EC2">
        <w:rPr>
          <w:rFonts w:ascii="Times" w:hAnsi="Times" w:cs="Times"/>
          <w:lang w:val="en-US"/>
        </w:rPr>
        <w:t>e</w:t>
      </w:r>
      <w:r w:rsidR="004827F2" w:rsidRPr="00E14EC2">
        <w:rPr>
          <w:rFonts w:ascii="Times" w:hAnsi="Times" w:cs="Times"/>
          <w:lang w:val="en-US"/>
        </w:rPr>
        <w:t>.,</w:t>
      </w:r>
      <w:r w:rsidR="00DE544F" w:rsidRPr="00E14EC2">
        <w:rPr>
          <w:rFonts w:ascii="Times" w:hAnsi="Times" w:cs="Times"/>
          <w:lang w:val="en-US"/>
        </w:rPr>
        <w:t xml:space="preserve"> </w:t>
      </w:r>
      <w:r w:rsidR="00DE544F" w:rsidRPr="00E14EC2">
        <w:rPr>
          <w:rFonts w:ascii="Times" w:hAnsi="Times" w:cs="Times"/>
          <w:lang w:val="en-US"/>
        </w:rPr>
        <w:lastRenderedPageBreak/>
        <w:t>when damage and destruction of culture’s tangible elements can result either from intentional, direct acts of hostility or use for military purposes, or as combat-related collateral damage.</w:t>
      </w:r>
      <w:r w:rsidR="00786A61" w:rsidRPr="00E14EC2">
        <w:rPr>
          <w:rFonts w:ascii="Times" w:hAnsi="Times" w:cs="Times"/>
          <w:lang w:val="en-US"/>
        </w:rPr>
        <w:t xml:space="preserve"> Only in recent times</w:t>
      </w:r>
      <w:r w:rsidR="003E36D0" w:rsidRPr="00E14EC2">
        <w:rPr>
          <w:rFonts w:ascii="Times" w:hAnsi="Times" w:cs="Times"/>
          <w:lang w:val="en-US"/>
        </w:rPr>
        <w:t xml:space="preserve"> </w:t>
      </w:r>
      <w:r w:rsidR="00A4364D" w:rsidRPr="00E14EC2">
        <w:rPr>
          <w:rFonts w:ascii="Times" w:hAnsi="Times" w:cs="Times"/>
          <w:lang w:val="en-US"/>
        </w:rPr>
        <w:t xml:space="preserve">have </w:t>
      </w:r>
      <w:r w:rsidR="00786A61" w:rsidRPr="00E14EC2">
        <w:rPr>
          <w:rFonts w:ascii="Times" w:hAnsi="Times" w:cs="Times"/>
          <w:lang w:val="en-US"/>
        </w:rPr>
        <w:t xml:space="preserve">instruments adopted under the auspices of </w:t>
      </w:r>
      <w:r w:rsidR="00EB2209" w:rsidRPr="00E14EC2">
        <w:rPr>
          <w:rFonts w:ascii="Times" w:hAnsi="Times" w:cs="Times"/>
          <w:lang w:val="en-US"/>
        </w:rPr>
        <w:t xml:space="preserve">the </w:t>
      </w:r>
      <w:r w:rsidR="00EB2209" w:rsidRPr="00E14EC2">
        <w:rPr>
          <w:rFonts w:ascii="Times" w:hAnsi="Times" w:cs="Times"/>
          <w:bCs/>
          <w:lang w:val="en-US"/>
        </w:rPr>
        <w:t xml:space="preserve">United Nations Educational, Scientific, and Cultural Organization </w:t>
      </w:r>
      <w:r w:rsidR="00EB2209" w:rsidRPr="00E14EC2">
        <w:rPr>
          <w:rFonts w:ascii="Times" w:hAnsi="Times" w:cs="Times"/>
          <w:lang w:val="en-US"/>
        </w:rPr>
        <w:t>(</w:t>
      </w:r>
      <w:r w:rsidR="00786A61" w:rsidRPr="00E14EC2">
        <w:rPr>
          <w:rFonts w:ascii="Times" w:hAnsi="Times" w:cs="Times"/>
          <w:lang w:val="en-US"/>
        </w:rPr>
        <w:t>UNESCO</w:t>
      </w:r>
      <w:r w:rsidR="00EB2209" w:rsidRPr="00E14EC2">
        <w:rPr>
          <w:rFonts w:ascii="Times" w:hAnsi="Times" w:cs="Times"/>
          <w:lang w:val="en-US"/>
        </w:rPr>
        <w:t>)</w:t>
      </w:r>
      <w:r w:rsidR="00786A61" w:rsidRPr="00E14EC2">
        <w:rPr>
          <w:rFonts w:ascii="Times" w:hAnsi="Times" w:cs="Times"/>
          <w:lang w:val="en-US"/>
        </w:rPr>
        <w:t xml:space="preserve"> recognized</w:t>
      </w:r>
      <w:r w:rsidR="00453358">
        <w:rPr>
          <w:rFonts w:ascii="Times" w:hAnsi="Times" w:cs="Times"/>
          <w:lang w:val="en-US"/>
        </w:rPr>
        <w:t xml:space="preserve"> the </w:t>
      </w:r>
      <w:r w:rsidR="004E746E">
        <w:rPr>
          <w:rFonts w:ascii="Times" w:hAnsi="Times" w:cs="Times"/>
          <w:lang w:val="en-US"/>
        </w:rPr>
        <w:t>connection</w:t>
      </w:r>
      <w:r w:rsidR="0057150D">
        <w:rPr>
          <w:rFonts w:ascii="Times" w:hAnsi="Times" w:cs="Times"/>
          <w:lang w:val="en-US"/>
        </w:rPr>
        <w:t xml:space="preserve"> </w:t>
      </w:r>
      <w:r w:rsidR="00AA2D77">
        <w:rPr>
          <w:rFonts w:ascii="Times" w:hAnsi="Times" w:cs="Times"/>
          <w:lang w:val="en-US"/>
        </w:rPr>
        <w:t xml:space="preserve">between </w:t>
      </w:r>
      <w:r w:rsidR="00095DF8">
        <w:rPr>
          <w:rFonts w:ascii="Times" w:hAnsi="Times" w:cs="Times"/>
          <w:lang w:val="en-US"/>
        </w:rPr>
        <w:t>cultural heritage, its makers, and the</w:t>
      </w:r>
      <w:r w:rsidR="0057150D">
        <w:rPr>
          <w:rFonts w:ascii="Times" w:hAnsi="Times" w:cs="Times"/>
          <w:lang w:val="en-US"/>
        </w:rPr>
        <w:t xml:space="preserve"> </w:t>
      </w:r>
      <w:r w:rsidR="00095DF8">
        <w:rPr>
          <w:lang w:val="en-US"/>
        </w:rPr>
        <w:t>people who identify with it</w:t>
      </w:r>
      <w:r w:rsidR="0057150D">
        <w:rPr>
          <w:lang w:val="en-US"/>
        </w:rPr>
        <w:t xml:space="preserve">. </w:t>
      </w:r>
      <w:r w:rsidR="00AA2D77">
        <w:rPr>
          <w:lang w:val="en-US"/>
        </w:rPr>
        <w:t xml:space="preserve">By exploring </w:t>
      </w:r>
      <w:r w:rsidR="008D5613" w:rsidRPr="00E14EC2">
        <w:rPr>
          <w:rFonts w:ascii="Times" w:hAnsi="Times" w:cs="Times"/>
          <w:lang w:val="en-US"/>
        </w:rPr>
        <w:t xml:space="preserve">the contribution of </w:t>
      </w:r>
      <w:r w:rsidR="002040E2" w:rsidRPr="00E14EC2">
        <w:rPr>
          <w:rFonts w:ascii="Times" w:hAnsi="Times" w:cs="Times"/>
          <w:lang w:val="en-US"/>
        </w:rPr>
        <w:t xml:space="preserve">international human rights law to the </w:t>
      </w:r>
      <w:r w:rsidR="00DD6439" w:rsidRPr="00E14EC2">
        <w:rPr>
          <w:rFonts w:ascii="Times" w:hAnsi="Times" w:cs="Times"/>
          <w:lang w:val="en-US"/>
        </w:rPr>
        <w:t>development of</w:t>
      </w:r>
      <w:r w:rsidR="002040E2" w:rsidRPr="00E14EC2">
        <w:rPr>
          <w:rFonts w:ascii="Times" w:hAnsi="Times" w:cs="Times"/>
          <w:lang w:val="en-US"/>
        </w:rPr>
        <w:t xml:space="preserve"> international cultural heritage law</w:t>
      </w:r>
      <w:r w:rsidR="00AA2D77">
        <w:rPr>
          <w:rFonts w:ascii="Times" w:hAnsi="Times" w:cs="Times"/>
          <w:lang w:val="en-US"/>
        </w:rPr>
        <w:t xml:space="preserve">, this essay </w:t>
      </w:r>
      <w:r w:rsidR="00C03E9A" w:rsidRPr="00E14EC2">
        <w:rPr>
          <w:rFonts w:ascii="Times" w:hAnsi="Times" w:cs="Times"/>
          <w:lang w:val="en-US"/>
        </w:rPr>
        <w:t>demonstrate</w:t>
      </w:r>
      <w:r w:rsidR="008D5613" w:rsidRPr="00E14EC2">
        <w:rPr>
          <w:rFonts w:ascii="Times" w:hAnsi="Times" w:cs="Times"/>
          <w:lang w:val="en-US"/>
        </w:rPr>
        <w:t>s</w:t>
      </w:r>
      <w:r w:rsidR="00C03E9A" w:rsidRPr="00E14EC2">
        <w:rPr>
          <w:rFonts w:ascii="Times" w:hAnsi="Times" w:cs="Times"/>
          <w:lang w:val="en-US"/>
        </w:rPr>
        <w:t xml:space="preserve"> the </w:t>
      </w:r>
      <w:r w:rsidR="00AA2D77">
        <w:rPr>
          <w:rFonts w:ascii="Times" w:hAnsi="Times" w:cs="Times"/>
          <w:lang w:val="en-US"/>
        </w:rPr>
        <w:t xml:space="preserve">distinct human rights approach of </w:t>
      </w:r>
      <w:r w:rsidR="00C03E9A" w:rsidRPr="00E14EC2">
        <w:rPr>
          <w:rFonts w:ascii="Times" w:hAnsi="Times" w:cs="Times"/>
          <w:lang w:val="en-US"/>
        </w:rPr>
        <w:t>UNESCO</w:t>
      </w:r>
      <w:r w:rsidR="00AA2D77">
        <w:rPr>
          <w:rFonts w:ascii="Times" w:hAnsi="Times" w:cs="Times"/>
          <w:lang w:val="en-US"/>
        </w:rPr>
        <w:t>'s instruments</w:t>
      </w:r>
      <w:r w:rsidR="00C03E9A" w:rsidRPr="00E14EC2">
        <w:rPr>
          <w:rFonts w:ascii="Times" w:hAnsi="Times" w:cs="Times"/>
          <w:lang w:val="en-US"/>
        </w:rPr>
        <w:t xml:space="preserve">, </w:t>
      </w:r>
      <w:r w:rsidR="00AA2D77">
        <w:rPr>
          <w:rFonts w:ascii="Times" w:hAnsi="Times" w:cs="Times"/>
          <w:lang w:val="en-US"/>
        </w:rPr>
        <w:t>in which</w:t>
      </w:r>
      <w:r w:rsidR="00AA2D77" w:rsidRPr="00E14EC2">
        <w:rPr>
          <w:rFonts w:ascii="Times" w:hAnsi="Times" w:cs="Times"/>
          <w:lang w:val="en-US"/>
        </w:rPr>
        <w:t xml:space="preserve"> </w:t>
      </w:r>
      <w:r w:rsidR="00C03E9A" w:rsidRPr="00E14EC2">
        <w:rPr>
          <w:rFonts w:ascii="Times" w:hAnsi="Times" w:cs="Times"/>
          <w:lang w:val="en-US"/>
        </w:rPr>
        <w:t xml:space="preserve">human rights are </w:t>
      </w:r>
      <w:r w:rsidR="00AA2D77">
        <w:rPr>
          <w:rFonts w:ascii="Times" w:hAnsi="Times" w:cs="Times"/>
          <w:lang w:val="en-US"/>
        </w:rPr>
        <w:t>positioned</w:t>
      </w:r>
      <w:r w:rsidR="00AA2D77" w:rsidRPr="00E14EC2">
        <w:rPr>
          <w:rFonts w:ascii="Times" w:hAnsi="Times" w:cs="Times"/>
          <w:lang w:val="en-US"/>
        </w:rPr>
        <w:t xml:space="preserve"> </w:t>
      </w:r>
      <w:r w:rsidR="00C03E9A" w:rsidRPr="00E14EC2">
        <w:rPr>
          <w:rFonts w:ascii="Times" w:hAnsi="Times" w:cs="Times"/>
          <w:lang w:val="en-US"/>
        </w:rPr>
        <w:t xml:space="preserve">as important elements of cultural heritage protection. </w:t>
      </w:r>
    </w:p>
    <w:p w14:paraId="6991881F" w14:textId="05ABAC72" w:rsidR="00082B55" w:rsidRPr="00014F2A" w:rsidRDefault="005A5E79" w:rsidP="003373DF">
      <w:pPr>
        <w:spacing w:line="480" w:lineRule="auto"/>
        <w:rPr>
          <w:rFonts w:ascii="Times" w:hAnsi="Times" w:cs="Times"/>
          <w:iCs/>
          <w:lang w:val="en-US"/>
        </w:rPr>
      </w:pPr>
      <w:r w:rsidRPr="00E14EC2">
        <w:rPr>
          <w:lang w:val="en-US"/>
        </w:rPr>
        <w:tab/>
      </w:r>
      <w:r w:rsidR="00EB2209" w:rsidRPr="00E14EC2">
        <w:rPr>
          <w:rFonts w:ascii="Times" w:hAnsi="Times" w:cs="Times"/>
          <w:bCs/>
          <w:lang w:val="en-US"/>
        </w:rPr>
        <w:t>T</w:t>
      </w:r>
      <w:r w:rsidR="00EB2209" w:rsidRPr="00E14EC2">
        <w:rPr>
          <w:rFonts w:ascii="Times" w:hAnsi="Times" w:cs="Times"/>
          <w:lang w:val="en-US" w:bidi="he-IL"/>
        </w:rPr>
        <w:t xml:space="preserve">he </w:t>
      </w:r>
      <w:r w:rsidR="00583E93" w:rsidRPr="00E14EC2">
        <w:rPr>
          <w:rFonts w:ascii="Times" w:hAnsi="Times" w:cs="Times"/>
          <w:lang w:val="en-US"/>
        </w:rPr>
        <w:t xml:space="preserve">Convention for the Protection of Cultural Property in the Event of Armed Conflict </w:t>
      </w:r>
      <w:r w:rsidR="00EB2209" w:rsidRPr="00E14EC2">
        <w:rPr>
          <w:rFonts w:ascii="Times" w:hAnsi="Times" w:cs="Times"/>
          <w:lang w:val="en-US"/>
        </w:rPr>
        <w:t xml:space="preserve">was adopted by UNESCO </w:t>
      </w:r>
      <w:r w:rsidR="005D7053" w:rsidRPr="00E14EC2">
        <w:rPr>
          <w:rFonts w:ascii="Times" w:hAnsi="Times" w:cs="Times"/>
          <w:lang w:val="en-US"/>
        </w:rPr>
        <w:t>in</w:t>
      </w:r>
      <w:r w:rsidR="00583E93" w:rsidRPr="00E14EC2">
        <w:rPr>
          <w:rFonts w:ascii="Times" w:hAnsi="Times" w:cs="Times"/>
          <w:lang w:val="en-US" w:bidi="he-IL"/>
        </w:rPr>
        <w:t xml:space="preserve"> 1954</w:t>
      </w:r>
      <w:r w:rsidR="005D7053" w:rsidRPr="00E14EC2">
        <w:rPr>
          <w:rFonts w:ascii="Times" w:hAnsi="Times" w:cs="Times"/>
          <w:iCs/>
          <w:lang w:val="en-US"/>
        </w:rPr>
        <w:t xml:space="preserve">. </w:t>
      </w:r>
      <w:r w:rsidR="00D35D8D" w:rsidRPr="00E14EC2">
        <w:rPr>
          <w:rFonts w:ascii="Times" w:hAnsi="Times" w:cs="Times"/>
          <w:iCs/>
          <w:lang w:val="en-US"/>
        </w:rPr>
        <w:t xml:space="preserve">It </w:t>
      </w:r>
      <w:r w:rsidR="00583E93" w:rsidRPr="00E14EC2">
        <w:rPr>
          <w:rFonts w:ascii="Times" w:hAnsi="Times" w:cs="Times"/>
          <w:iCs/>
          <w:lang w:val="en-US"/>
        </w:rPr>
        <w:t xml:space="preserve">introduced for the first time </w:t>
      </w:r>
      <w:r w:rsidR="00583E93" w:rsidRPr="00E14EC2">
        <w:rPr>
          <w:rFonts w:ascii="Times" w:hAnsi="Times" w:cs="Times"/>
          <w:lang w:val="en-US" w:bidi="he-IL"/>
        </w:rPr>
        <w:t xml:space="preserve">the </w:t>
      </w:r>
      <w:r w:rsidR="00076C11" w:rsidRPr="00E14EC2">
        <w:rPr>
          <w:rFonts w:ascii="Times" w:hAnsi="Times" w:cs="Times"/>
          <w:lang w:val="en-US" w:bidi="he-IL"/>
        </w:rPr>
        <w:t xml:space="preserve">notion of </w:t>
      </w:r>
      <w:r w:rsidR="00583E93" w:rsidRPr="00E14EC2">
        <w:rPr>
          <w:rFonts w:ascii="Times" w:hAnsi="Times" w:cs="Times"/>
          <w:lang w:val="en-US" w:bidi="he-IL"/>
        </w:rPr>
        <w:t>“</w:t>
      </w:r>
      <w:r w:rsidR="00583E93" w:rsidRPr="00E14EC2">
        <w:rPr>
          <w:rFonts w:ascii="Times" w:hAnsi="Times" w:cs="Times"/>
          <w:lang w:val="en-US"/>
        </w:rPr>
        <w:t xml:space="preserve">cultural property” </w:t>
      </w:r>
      <w:r w:rsidR="00583E93" w:rsidRPr="00E14EC2">
        <w:rPr>
          <w:rFonts w:ascii="Times" w:hAnsi="Times" w:cs="Times"/>
          <w:lang w:val="en-US" w:bidi="he-IL"/>
        </w:rPr>
        <w:t>in an international legal context.</w:t>
      </w:r>
      <w:r w:rsidR="00F8342F" w:rsidRPr="00014F2A">
        <w:rPr>
          <w:rStyle w:val="EndnoteReference"/>
          <w:rFonts w:ascii="Times" w:hAnsi="Times" w:cs="Times"/>
          <w:lang w:val="en-US"/>
        </w:rPr>
        <w:endnoteReference w:id="8"/>
      </w:r>
      <w:r w:rsidR="00583E93" w:rsidRPr="00014F2A">
        <w:rPr>
          <w:rFonts w:ascii="Times" w:hAnsi="Times" w:cs="Times"/>
          <w:lang w:val="en-US" w:bidi="he-IL"/>
        </w:rPr>
        <w:t xml:space="preserve"> According to </w:t>
      </w:r>
      <w:r w:rsidR="00583E93" w:rsidRPr="00E14EC2">
        <w:rPr>
          <w:rFonts w:ascii="Times" w:hAnsi="Times" w:cs="Times"/>
          <w:lang w:val="en-US" w:bidi="he-IL"/>
        </w:rPr>
        <w:t>Article 1, this term</w:t>
      </w:r>
      <w:r w:rsidR="00583E93" w:rsidRPr="00E14EC2">
        <w:rPr>
          <w:rFonts w:ascii="Times" w:hAnsi="Times" w:cs="Times"/>
          <w:lang w:val="en-US"/>
        </w:rPr>
        <w:t xml:space="preserve"> includes movable and immovable property “</w:t>
      </w:r>
      <w:r w:rsidR="00583E93" w:rsidRPr="00E14EC2">
        <w:rPr>
          <w:rFonts w:ascii="Times" w:hAnsi="Times" w:cs="Times"/>
          <w:color w:val="000000"/>
          <w:lang w:val="en-US"/>
        </w:rPr>
        <w:t xml:space="preserve">of great importance to the cultural heritage of every people, such as monuments of architecture, art or history </w:t>
      </w:r>
      <w:r w:rsidR="003E5B21" w:rsidRPr="00E14EC2">
        <w:rPr>
          <w:rFonts w:ascii="Times" w:hAnsi="Times" w:cs="Times"/>
          <w:color w:val="000000"/>
          <w:lang w:val="en-US"/>
        </w:rPr>
        <w:t>…</w:t>
      </w:r>
      <w:r w:rsidR="00583E93" w:rsidRPr="00E14EC2">
        <w:rPr>
          <w:rFonts w:ascii="Times" w:hAnsi="Times" w:cs="Times"/>
          <w:color w:val="000000"/>
          <w:lang w:val="en-US"/>
        </w:rPr>
        <w:t xml:space="preserve"> archaeologi</w:t>
      </w:r>
      <w:r w:rsidR="003E5B21" w:rsidRPr="00E14EC2">
        <w:rPr>
          <w:rFonts w:ascii="Times" w:hAnsi="Times" w:cs="Times"/>
          <w:color w:val="000000"/>
          <w:lang w:val="en-US"/>
        </w:rPr>
        <w:t xml:space="preserve">cal sites; groups of buildings </w:t>
      </w:r>
      <w:r w:rsidR="00583E93" w:rsidRPr="00E14EC2">
        <w:rPr>
          <w:rFonts w:ascii="Times" w:hAnsi="Times" w:cs="Times"/>
          <w:color w:val="000000"/>
          <w:lang w:val="en-US"/>
        </w:rPr>
        <w:t>… works of art; manuscripts, books and other objects of artistic, histori</w:t>
      </w:r>
      <w:r w:rsidR="003E5B21" w:rsidRPr="00E14EC2">
        <w:rPr>
          <w:rFonts w:ascii="Times" w:hAnsi="Times" w:cs="Times"/>
          <w:color w:val="000000"/>
          <w:lang w:val="en-US"/>
        </w:rPr>
        <w:t>cal or archaeological interest</w:t>
      </w:r>
      <w:r w:rsidR="00B939CD" w:rsidRPr="00E14EC2">
        <w:rPr>
          <w:rFonts w:ascii="Times" w:hAnsi="Times" w:cs="Times"/>
          <w:color w:val="000000"/>
          <w:lang w:val="en-US"/>
        </w:rPr>
        <w:t>.</w:t>
      </w:r>
      <w:r w:rsidR="00583E93" w:rsidRPr="00E14EC2">
        <w:rPr>
          <w:rFonts w:ascii="Times" w:hAnsi="Times" w:cs="Times"/>
          <w:lang w:val="en-US"/>
        </w:rPr>
        <w:t>”</w:t>
      </w:r>
      <w:bookmarkStart w:id="7" w:name="_Ref46158359"/>
      <w:r w:rsidR="00583E93" w:rsidRPr="00014F2A">
        <w:rPr>
          <w:rStyle w:val="EndnoteReference"/>
          <w:rFonts w:ascii="Times" w:hAnsi="Times" w:cs="Times"/>
          <w:lang w:val="en-US"/>
        </w:rPr>
        <w:endnoteReference w:id="9"/>
      </w:r>
      <w:bookmarkEnd w:id="7"/>
      <w:r w:rsidR="00583E93" w:rsidRPr="00014F2A">
        <w:rPr>
          <w:rFonts w:ascii="Times" w:hAnsi="Times" w:cs="Times"/>
          <w:lang w:val="en-US"/>
        </w:rPr>
        <w:t xml:space="preserve"> </w:t>
      </w:r>
      <w:r w:rsidR="00583E93" w:rsidRPr="00E14EC2">
        <w:rPr>
          <w:rFonts w:ascii="Times" w:hAnsi="Times" w:cs="Times"/>
          <w:lang w:val="en-US" w:bidi="he-IL"/>
        </w:rPr>
        <w:t>This new concept was supposed to serve as a category of objects worth protecting because of their inherent value rather than because of their vulnerable character.</w:t>
      </w:r>
      <w:bookmarkStart w:id="8" w:name="_Ref249176273"/>
      <w:r w:rsidR="00583E93" w:rsidRPr="00014F2A">
        <w:rPr>
          <w:rStyle w:val="EndnoteReference"/>
          <w:rFonts w:ascii="Times" w:hAnsi="Times" w:cs="Times"/>
          <w:lang w:val="en-US" w:bidi="he-IL"/>
        </w:rPr>
        <w:endnoteReference w:id="10"/>
      </w:r>
      <w:bookmarkEnd w:id="8"/>
    </w:p>
    <w:p w14:paraId="0F1FE9E0" w14:textId="265BB7B9" w:rsidR="00966B43"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However, when applied to </w:t>
      </w:r>
      <w:r w:rsidR="00082B55" w:rsidRPr="00E14EC2">
        <w:rPr>
          <w:rFonts w:ascii="Times" w:hAnsi="Times" w:cs="Times"/>
          <w:lang w:val="en-US"/>
        </w:rPr>
        <w:t xml:space="preserve">objects of </w:t>
      </w:r>
      <w:r w:rsidR="007C5E01" w:rsidRPr="00E14EC2">
        <w:rPr>
          <w:rFonts w:ascii="Times" w:hAnsi="Times" w:cs="Times"/>
          <w:lang w:val="en-US"/>
        </w:rPr>
        <w:t>cultural</w:t>
      </w:r>
      <w:r w:rsidR="00082B55" w:rsidRPr="00E14EC2">
        <w:rPr>
          <w:rFonts w:ascii="Times" w:hAnsi="Times" w:cs="Times"/>
          <w:lang w:val="en-US"/>
        </w:rPr>
        <w:t xml:space="preserve"> value</w:t>
      </w:r>
      <w:r w:rsidR="00583E93" w:rsidRPr="00E14EC2">
        <w:rPr>
          <w:rFonts w:ascii="Times" w:hAnsi="Times" w:cs="Times"/>
          <w:lang w:val="en-US"/>
        </w:rPr>
        <w:t xml:space="preserve">, the term “property” </w:t>
      </w:r>
      <w:r w:rsidR="000E76E2">
        <w:rPr>
          <w:rFonts w:ascii="Times" w:hAnsi="Times" w:cs="Times"/>
          <w:lang w:val="en-US"/>
        </w:rPr>
        <w:t>cause</w:t>
      </w:r>
      <w:r w:rsidR="00583E93" w:rsidRPr="00E14EC2">
        <w:rPr>
          <w:rFonts w:ascii="Times" w:hAnsi="Times" w:cs="Times"/>
          <w:lang w:val="en-US"/>
        </w:rPr>
        <w:t>s significant problems</w:t>
      </w:r>
      <w:r w:rsidR="004878F1" w:rsidRPr="00E14EC2">
        <w:rPr>
          <w:rFonts w:ascii="Times" w:hAnsi="Times" w:cs="Times"/>
          <w:lang w:val="en-US"/>
        </w:rPr>
        <w:t>.</w:t>
      </w:r>
      <w:r w:rsidR="00583E93" w:rsidRPr="00E14EC2">
        <w:rPr>
          <w:rFonts w:ascii="Times" w:hAnsi="Times" w:cs="Times"/>
          <w:lang w:val="en-US"/>
        </w:rPr>
        <w:t xml:space="preserve"> </w:t>
      </w:r>
      <w:r w:rsidR="004878F1" w:rsidRPr="00E14EC2">
        <w:rPr>
          <w:rFonts w:ascii="Times" w:hAnsi="Times" w:cs="Times"/>
          <w:lang w:val="en-US"/>
        </w:rPr>
        <w:t>F</w:t>
      </w:r>
      <w:r w:rsidR="00583E93" w:rsidRPr="00E14EC2">
        <w:rPr>
          <w:rFonts w:ascii="Times" w:hAnsi="Times" w:cs="Times"/>
          <w:lang w:val="en-US"/>
        </w:rPr>
        <w:t>irst,</w:t>
      </w:r>
      <w:r w:rsidR="00EA05FB" w:rsidRPr="00E14EC2">
        <w:rPr>
          <w:rFonts w:ascii="Times" w:hAnsi="Times" w:cs="Times"/>
          <w:lang w:val="en-US"/>
        </w:rPr>
        <w:t xml:space="preserve"> </w:t>
      </w:r>
      <w:r w:rsidR="00341A01">
        <w:rPr>
          <w:rFonts w:ascii="Times" w:hAnsi="Times" w:cs="Times"/>
          <w:lang w:val="en-US"/>
        </w:rPr>
        <w:t>the term “property” is</w:t>
      </w:r>
      <w:r w:rsidR="00EA05FB" w:rsidRPr="00E14EC2">
        <w:rPr>
          <w:rFonts w:ascii="Times" w:hAnsi="Times" w:cs="Times"/>
          <w:lang w:val="en-US"/>
        </w:rPr>
        <w:t xml:space="preserve"> generally used to indicate material </w:t>
      </w:r>
      <w:r w:rsidR="00966B43" w:rsidRPr="00E14EC2">
        <w:rPr>
          <w:rFonts w:ascii="Times" w:hAnsi="Times" w:cs="Times"/>
          <w:lang w:val="en-US"/>
        </w:rPr>
        <w:t>things</w:t>
      </w:r>
      <w:r w:rsidR="00EA05FB" w:rsidRPr="00E14EC2">
        <w:rPr>
          <w:rFonts w:ascii="Times" w:hAnsi="Times" w:cs="Times"/>
          <w:lang w:val="en-US"/>
        </w:rPr>
        <w:t xml:space="preserve"> </w:t>
      </w:r>
      <w:r w:rsidR="00966B43" w:rsidRPr="00E14EC2">
        <w:rPr>
          <w:rFonts w:ascii="Times" w:hAnsi="Times" w:cs="Times"/>
          <w:lang w:val="en-US"/>
        </w:rPr>
        <w:t>subject to</w:t>
      </w:r>
      <w:r w:rsidR="00EA05FB" w:rsidRPr="00E14EC2">
        <w:rPr>
          <w:rFonts w:ascii="Times" w:hAnsi="Times" w:cs="Times"/>
          <w:lang w:val="en-US"/>
        </w:rPr>
        <w:t xml:space="preserve"> private</w:t>
      </w:r>
      <w:r w:rsidR="00843ACD">
        <w:rPr>
          <w:rFonts w:ascii="Times" w:hAnsi="Times" w:cs="Times"/>
          <w:lang w:val="en-US"/>
        </w:rPr>
        <w:t xml:space="preserve"> ownership</w:t>
      </w:r>
      <w:r w:rsidR="00EA05FB" w:rsidRPr="00E14EC2">
        <w:rPr>
          <w:rFonts w:ascii="Times" w:hAnsi="Times" w:cs="Times"/>
          <w:lang w:val="en-US"/>
        </w:rPr>
        <w:t xml:space="preserve"> rights of a predominantly economic nature</w:t>
      </w:r>
      <w:r w:rsidR="00843ACD">
        <w:rPr>
          <w:rFonts w:ascii="Times" w:hAnsi="Times" w:cs="Times"/>
          <w:lang w:val="en-US"/>
        </w:rPr>
        <w:t xml:space="preserve">. </w:t>
      </w:r>
      <w:r w:rsidR="004878F1" w:rsidRPr="00E14EC2">
        <w:rPr>
          <w:rFonts w:ascii="Times" w:hAnsi="Times" w:cs="Times"/>
          <w:lang w:val="en-US"/>
        </w:rPr>
        <w:t>S</w:t>
      </w:r>
      <w:r w:rsidR="00966B43" w:rsidRPr="00E14EC2">
        <w:rPr>
          <w:rFonts w:ascii="Times" w:hAnsi="Times" w:cs="Times"/>
          <w:lang w:val="en-US"/>
        </w:rPr>
        <w:t>econd,</w:t>
      </w:r>
      <w:r w:rsidR="00583E93" w:rsidRPr="00E14EC2">
        <w:rPr>
          <w:rFonts w:ascii="Times" w:hAnsi="Times" w:cs="Times"/>
          <w:lang w:val="en-US"/>
        </w:rPr>
        <w:t xml:space="preserve"> it emphasizes control in the form of an ability to alienate, exploit, dispose</w:t>
      </w:r>
      <w:r w:rsidR="00ED34B8" w:rsidRPr="00E14EC2">
        <w:rPr>
          <w:rFonts w:ascii="Times" w:hAnsi="Times" w:cs="Times"/>
          <w:lang w:val="en-US"/>
        </w:rPr>
        <w:t xml:space="preserve"> of,</w:t>
      </w:r>
      <w:r w:rsidR="00583E93" w:rsidRPr="00E14EC2">
        <w:rPr>
          <w:rFonts w:ascii="Times" w:hAnsi="Times" w:cs="Times"/>
          <w:lang w:val="en-US"/>
        </w:rPr>
        <w:t xml:space="preserve"> and exclude others</w:t>
      </w:r>
      <w:r w:rsidR="00583E93" w:rsidRPr="00E14EC2">
        <w:rPr>
          <w:rFonts w:ascii="Times" w:hAnsi="Times" w:cs="Times"/>
          <w:lang w:val="en-US" w:eastAsia="en-US"/>
        </w:rPr>
        <w:t xml:space="preserve"> from using or benefiting from an object (</w:t>
      </w:r>
      <w:r w:rsidR="0080177D" w:rsidRPr="00E14EC2">
        <w:rPr>
          <w:rFonts w:ascii="Times" w:hAnsi="Times" w:cs="Times"/>
          <w:lang w:val="en-US" w:eastAsia="en-US"/>
        </w:rPr>
        <w:t xml:space="preserve">known as the </w:t>
      </w:r>
      <w:r w:rsidR="0031527E" w:rsidRPr="00E14EC2">
        <w:rPr>
          <w:rFonts w:ascii="Times" w:hAnsi="Times" w:cs="Times"/>
          <w:lang w:val="en-US" w:eastAsia="en-US"/>
        </w:rPr>
        <w:t>“</w:t>
      </w:r>
      <w:r w:rsidR="0080177D" w:rsidRPr="00E14EC2">
        <w:rPr>
          <w:rFonts w:ascii="Times" w:hAnsi="Times" w:cs="Times"/>
          <w:lang w:val="en-US" w:eastAsia="en-US"/>
        </w:rPr>
        <w:t xml:space="preserve">right to </w:t>
      </w:r>
      <w:r w:rsidR="000648BB" w:rsidRPr="00E14EC2">
        <w:rPr>
          <w:rFonts w:ascii="Times" w:hAnsi="Times" w:cs="Times"/>
          <w:lang w:val="en-US" w:eastAsia="en-US"/>
        </w:rPr>
        <w:t>property</w:t>
      </w:r>
      <w:r w:rsidR="0031527E" w:rsidRPr="00E14EC2">
        <w:rPr>
          <w:rFonts w:ascii="Times" w:hAnsi="Times" w:cs="Times"/>
          <w:lang w:val="en-US" w:eastAsia="en-US"/>
        </w:rPr>
        <w:t>”</w:t>
      </w:r>
      <w:r w:rsidR="000648BB" w:rsidRPr="00E14EC2">
        <w:rPr>
          <w:rFonts w:ascii="Times" w:hAnsi="Times" w:cs="Times"/>
          <w:lang w:val="en-US" w:eastAsia="en-US"/>
        </w:rPr>
        <w:t xml:space="preserve"> </w:t>
      </w:r>
      <w:r w:rsidR="001A0061" w:rsidRPr="00E14EC2">
        <w:rPr>
          <w:rFonts w:ascii="Times" w:hAnsi="Times" w:cs="Times"/>
          <w:lang w:val="en-US" w:eastAsia="en-US"/>
        </w:rPr>
        <w:t xml:space="preserve">or </w:t>
      </w:r>
      <w:r w:rsidR="000648BB" w:rsidRPr="00E14EC2">
        <w:rPr>
          <w:rFonts w:ascii="Times" w:hAnsi="Times" w:cs="Times"/>
          <w:lang w:val="en-US" w:eastAsia="en-US"/>
        </w:rPr>
        <w:t xml:space="preserve">the </w:t>
      </w:r>
      <w:r w:rsidR="0031527E" w:rsidRPr="00E14EC2">
        <w:rPr>
          <w:rFonts w:ascii="Times" w:hAnsi="Times" w:cs="Times"/>
          <w:lang w:val="en-US" w:eastAsia="en-US"/>
        </w:rPr>
        <w:t>“</w:t>
      </w:r>
      <w:r w:rsidR="000648BB" w:rsidRPr="00E14EC2">
        <w:rPr>
          <w:rFonts w:ascii="Times" w:hAnsi="Times" w:cs="Times"/>
          <w:lang w:val="en-US" w:eastAsia="en-US"/>
        </w:rPr>
        <w:t xml:space="preserve">right to </w:t>
      </w:r>
      <w:r w:rsidR="0080177D" w:rsidRPr="00E14EC2">
        <w:rPr>
          <w:rFonts w:ascii="Times" w:hAnsi="Times" w:cs="Times"/>
          <w:lang w:val="en-US" w:eastAsia="en-US"/>
        </w:rPr>
        <w:t>destroy</w:t>
      </w:r>
      <w:r w:rsidR="000648BB" w:rsidRPr="00E14EC2">
        <w:rPr>
          <w:rFonts w:ascii="Times" w:hAnsi="Times" w:cs="Times"/>
          <w:lang w:val="en-US" w:eastAsia="en-US"/>
        </w:rPr>
        <w:t>,</w:t>
      </w:r>
      <w:r w:rsidR="0031527E" w:rsidRPr="00E14EC2">
        <w:rPr>
          <w:rFonts w:ascii="Times" w:hAnsi="Times" w:cs="Times"/>
          <w:lang w:val="en-US" w:eastAsia="en-US"/>
        </w:rPr>
        <w:t>”</w:t>
      </w:r>
      <w:r w:rsidR="0080177D" w:rsidRPr="00E14EC2">
        <w:rPr>
          <w:rFonts w:ascii="Times" w:hAnsi="Times" w:cs="Times"/>
          <w:lang w:val="en-US" w:eastAsia="en-US"/>
        </w:rPr>
        <w:t xml:space="preserve"> or </w:t>
      </w:r>
      <w:r w:rsidR="00583E93" w:rsidRPr="00E14EC2">
        <w:rPr>
          <w:rFonts w:ascii="Times" w:hAnsi="Times" w:cs="Times"/>
          <w:i/>
          <w:lang w:val="en-US" w:eastAsia="en-US"/>
        </w:rPr>
        <w:t>jus utendi et abutendi</w:t>
      </w:r>
      <w:r w:rsidR="00583E93" w:rsidRPr="00E14EC2">
        <w:rPr>
          <w:rFonts w:ascii="Times" w:hAnsi="Times" w:cs="Times"/>
          <w:lang w:val="en-US" w:eastAsia="en-US"/>
        </w:rPr>
        <w:t>)</w:t>
      </w:r>
      <w:r w:rsidR="00CB2D74" w:rsidRPr="00E14EC2">
        <w:rPr>
          <w:rFonts w:ascii="Times" w:hAnsi="Times" w:cs="Times"/>
          <w:lang w:val="en-US"/>
        </w:rPr>
        <w:t>.</w:t>
      </w:r>
      <w:r w:rsidR="0066239F" w:rsidRPr="00E14EC2">
        <w:rPr>
          <w:rFonts w:ascii="Times" w:hAnsi="Times" w:cs="Times"/>
          <w:lang w:val="en-US"/>
        </w:rPr>
        <w:t xml:space="preserve"> </w:t>
      </w:r>
      <w:r w:rsidR="00CB2D74" w:rsidRPr="00E14EC2">
        <w:rPr>
          <w:rFonts w:ascii="Times" w:hAnsi="Times" w:cs="Times"/>
          <w:lang w:val="en-US"/>
        </w:rPr>
        <w:t>T</w:t>
      </w:r>
      <w:r w:rsidR="00966B43" w:rsidRPr="00E14EC2">
        <w:rPr>
          <w:rFonts w:ascii="Times" w:hAnsi="Times" w:cs="Times"/>
          <w:lang w:val="en-US"/>
        </w:rPr>
        <w:t>hird</w:t>
      </w:r>
      <w:r w:rsidR="00583E93" w:rsidRPr="00E14EC2">
        <w:rPr>
          <w:rFonts w:ascii="Times" w:hAnsi="Times" w:cs="Times"/>
          <w:lang w:val="en-US"/>
        </w:rPr>
        <w:t xml:space="preserve">, </w:t>
      </w:r>
      <w:r w:rsidR="00082B55" w:rsidRPr="00E14EC2">
        <w:rPr>
          <w:rFonts w:ascii="Times" w:hAnsi="Times" w:cs="Times"/>
          <w:lang w:val="en-US"/>
        </w:rPr>
        <w:t>it</w:t>
      </w:r>
      <w:r w:rsidR="00583E93" w:rsidRPr="00E14EC2">
        <w:rPr>
          <w:rFonts w:ascii="Times" w:hAnsi="Times" w:cs="Times"/>
          <w:lang w:val="en-US"/>
        </w:rPr>
        <w:t xml:space="preserve"> entails an important contradiction</w:t>
      </w:r>
      <w:r w:rsidR="00082B55" w:rsidRPr="00E14EC2">
        <w:rPr>
          <w:rFonts w:ascii="Times" w:hAnsi="Times" w:cs="Times"/>
          <w:lang w:val="en-US"/>
        </w:rPr>
        <w:t xml:space="preserve"> between </w:t>
      </w:r>
      <w:r w:rsidR="00583E93" w:rsidRPr="00E14EC2">
        <w:rPr>
          <w:rFonts w:ascii="Times" w:hAnsi="Times" w:cs="Times"/>
          <w:lang w:val="en-US"/>
        </w:rPr>
        <w:t xml:space="preserve">the exclusive owner’s rights </w:t>
      </w:r>
      <w:r w:rsidR="00082B55" w:rsidRPr="00E14EC2">
        <w:rPr>
          <w:rFonts w:ascii="Times" w:hAnsi="Times" w:cs="Times"/>
          <w:lang w:val="en-US"/>
        </w:rPr>
        <w:lastRenderedPageBreak/>
        <w:t xml:space="preserve">and </w:t>
      </w:r>
      <w:r w:rsidR="00583E93" w:rsidRPr="00E14EC2">
        <w:rPr>
          <w:rFonts w:ascii="Times" w:hAnsi="Times" w:cs="Times"/>
          <w:lang w:val="en-US"/>
        </w:rPr>
        <w:t xml:space="preserve">the application of specific </w:t>
      </w:r>
      <w:r w:rsidR="00082B55" w:rsidRPr="00E14EC2">
        <w:rPr>
          <w:rFonts w:ascii="Times" w:hAnsi="Times" w:cs="Times"/>
          <w:lang w:val="en-US"/>
        </w:rPr>
        <w:t>protective rules</w:t>
      </w:r>
      <w:r w:rsidR="00583E93" w:rsidRPr="00E14EC2">
        <w:rPr>
          <w:rFonts w:ascii="Times" w:hAnsi="Times" w:cs="Times"/>
          <w:lang w:val="en-US"/>
        </w:rPr>
        <w:t xml:space="preserve"> that might curtail such rights</w:t>
      </w:r>
      <w:r w:rsidR="00344082" w:rsidRPr="00E14EC2">
        <w:rPr>
          <w:rFonts w:ascii="Times" w:hAnsi="Times" w:cs="Times"/>
          <w:lang w:val="en-US"/>
        </w:rPr>
        <w:t>.</w:t>
      </w:r>
      <w:r w:rsidR="0066239F" w:rsidRPr="00E14EC2">
        <w:rPr>
          <w:rFonts w:ascii="Times" w:hAnsi="Times" w:cs="Times"/>
          <w:lang w:val="en-US"/>
        </w:rPr>
        <w:t xml:space="preserve"> </w:t>
      </w:r>
      <w:r w:rsidR="00344082" w:rsidRPr="00E14EC2">
        <w:rPr>
          <w:rFonts w:ascii="Times" w:hAnsi="Times" w:cs="Times"/>
          <w:lang w:val="en-US"/>
        </w:rPr>
        <w:t>A</w:t>
      </w:r>
      <w:r w:rsidR="00D84B95" w:rsidRPr="00E14EC2">
        <w:rPr>
          <w:rFonts w:ascii="Times" w:hAnsi="Times" w:cs="Times"/>
          <w:lang w:val="en-US"/>
        </w:rPr>
        <w:t xml:space="preserve">nd </w:t>
      </w:r>
      <w:r w:rsidR="00966B43" w:rsidRPr="00E14EC2">
        <w:rPr>
          <w:rFonts w:ascii="Times" w:hAnsi="Times" w:cs="Times"/>
          <w:lang w:val="en-US"/>
        </w:rPr>
        <w:t>fourth</w:t>
      </w:r>
      <w:r w:rsidR="00583E93" w:rsidRPr="00E14EC2">
        <w:rPr>
          <w:rFonts w:ascii="Times" w:hAnsi="Times" w:cs="Times"/>
          <w:lang w:val="en-US"/>
        </w:rPr>
        <w:t xml:space="preserve">, </w:t>
      </w:r>
      <w:r w:rsidR="0066239F" w:rsidRPr="00E14EC2">
        <w:rPr>
          <w:rFonts w:ascii="Times" w:hAnsi="Times" w:cs="Times"/>
          <w:lang w:val="en-US"/>
        </w:rPr>
        <w:t>it clears the way for the “commodification” of cultural objects</w:t>
      </w:r>
      <w:bookmarkStart w:id="9" w:name="_Ref249189273"/>
      <w:r w:rsidR="0066239F" w:rsidRPr="00E14EC2">
        <w:rPr>
          <w:rFonts w:ascii="Times" w:hAnsi="Times" w:cs="Times"/>
          <w:lang w:val="en-US"/>
        </w:rPr>
        <w:t>, i</w:t>
      </w:r>
      <w:r w:rsidR="00C3292F" w:rsidRPr="00E14EC2">
        <w:rPr>
          <w:rFonts w:ascii="Times" w:hAnsi="Times" w:cs="Times"/>
          <w:lang w:val="en-US"/>
        </w:rPr>
        <w:t>.</w:t>
      </w:r>
      <w:r w:rsidR="0066239F" w:rsidRPr="00E14EC2">
        <w:rPr>
          <w:rFonts w:ascii="Times" w:hAnsi="Times" w:cs="Times"/>
          <w:lang w:val="en-US"/>
        </w:rPr>
        <w:t>e</w:t>
      </w:r>
      <w:r w:rsidR="00C3292F" w:rsidRPr="00E14EC2">
        <w:rPr>
          <w:rFonts w:ascii="Times" w:hAnsi="Times" w:cs="Times"/>
          <w:lang w:val="en-US"/>
        </w:rPr>
        <w:t>.,</w:t>
      </w:r>
      <w:r w:rsidR="0066239F" w:rsidRPr="00E14EC2">
        <w:rPr>
          <w:rFonts w:ascii="Times" w:hAnsi="Times" w:cs="Times"/>
          <w:lang w:val="en-US"/>
        </w:rPr>
        <w:t xml:space="preserve"> the attribution of market value.</w:t>
      </w:r>
      <w:r w:rsidR="0066239F" w:rsidRPr="00014F2A">
        <w:rPr>
          <w:rStyle w:val="EndnoteReference"/>
          <w:rFonts w:ascii="Times" w:hAnsi="Times" w:cs="Times"/>
          <w:lang w:val="en-US"/>
        </w:rPr>
        <w:endnoteReference w:id="11"/>
      </w:r>
      <w:bookmarkEnd w:id="9"/>
      <w:r w:rsidR="00DB42E3" w:rsidRPr="00014F2A">
        <w:rPr>
          <w:rFonts w:ascii="Times" w:hAnsi="Times" w:cs="Times"/>
          <w:lang w:val="en-US"/>
        </w:rPr>
        <w:t xml:space="preserve"> </w:t>
      </w:r>
    </w:p>
    <w:p w14:paraId="565BFD55" w14:textId="3B7E45C3" w:rsidR="00F04E2F" w:rsidRPr="00014F2A" w:rsidRDefault="000C5689" w:rsidP="003373DF">
      <w:pPr>
        <w:spacing w:line="480" w:lineRule="auto"/>
        <w:rPr>
          <w:rFonts w:ascii="Times" w:hAnsi="Times" w:cs="Times"/>
          <w:lang w:val="en-US"/>
        </w:rPr>
      </w:pPr>
      <w:r w:rsidRPr="00E14EC2">
        <w:rPr>
          <w:rFonts w:ascii="Times" w:hAnsi="Times" w:cs="Times"/>
          <w:lang w:val="en-US"/>
        </w:rPr>
        <w:tab/>
      </w:r>
      <w:r w:rsidR="00966B43" w:rsidRPr="00E14EC2">
        <w:rPr>
          <w:rFonts w:ascii="Times" w:hAnsi="Times" w:cs="Times"/>
          <w:lang w:val="en-US"/>
        </w:rPr>
        <w:t>T</w:t>
      </w:r>
      <w:r w:rsidR="00583E93" w:rsidRPr="00E14EC2">
        <w:rPr>
          <w:rFonts w:ascii="Times" w:hAnsi="Times" w:cs="Times"/>
          <w:lang w:val="en-US"/>
        </w:rPr>
        <w:t xml:space="preserve">he </w:t>
      </w:r>
      <w:r w:rsidR="00341A01">
        <w:rPr>
          <w:rFonts w:ascii="Times" w:hAnsi="Times" w:cs="Times"/>
          <w:lang w:val="en-US"/>
        </w:rPr>
        <w:t>term</w:t>
      </w:r>
      <w:r w:rsidR="00583E93" w:rsidRPr="00E14EC2">
        <w:rPr>
          <w:rFonts w:ascii="Times" w:hAnsi="Times" w:cs="Times"/>
          <w:lang w:val="en-US"/>
        </w:rPr>
        <w:t xml:space="preserve"> “cultural property” </w:t>
      </w:r>
      <w:r w:rsidR="00172517" w:rsidRPr="00E14EC2">
        <w:rPr>
          <w:rFonts w:ascii="Times" w:hAnsi="Times" w:cs="Times"/>
          <w:lang w:val="en-US"/>
        </w:rPr>
        <w:t xml:space="preserve">has been </w:t>
      </w:r>
      <w:r w:rsidR="00583E93" w:rsidRPr="00E14EC2">
        <w:rPr>
          <w:rFonts w:ascii="Times" w:hAnsi="Times" w:cs="Times"/>
          <w:lang w:val="en-US"/>
        </w:rPr>
        <w:t>superseded by the concept of “cultural heritage</w:t>
      </w:r>
      <w:r w:rsidR="003D4DB1" w:rsidRPr="00E14EC2">
        <w:rPr>
          <w:rFonts w:ascii="Times" w:hAnsi="Times" w:cs="Times"/>
          <w:lang w:val="en-US"/>
        </w:rPr>
        <w:t>,”</w:t>
      </w:r>
      <w:r w:rsidR="00583E93" w:rsidRPr="00E14EC2">
        <w:rPr>
          <w:rFonts w:ascii="Times" w:hAnsi="Times" w:cs="Times"/>
          <w:lang w:val="en-US"/>
        </w:rPr>
        <w:t xml:space="preserve"> which was </w:t>
      </w:r>
      <w:r w:rsidR="000A7D98" w:rsidRPr="00E14EC2">
        <w:rPr>
          <w:rFonts w:ascii="Times" w:hAnsi="Times" w:cs="Times"/>
          <w:lang w:val="en-US"/>
        </w:rPr>
        <w:t>originally</w:t>
      </w:r>
      <w:r w:rsidR="007C5E01" w:rsidRPr="00E14EC2">
        <w:rPr>
          <w:rFonts w:ascii="Times" w:hAnsi="Times" w:cs="Times"/>
          <w:lang w:val="en-US"/>
        </w:rPr>
        <w:t xml:space="preserve"> </w:t>
      </w:r>
      <w:r w:rsidR="00583E93" w:rsidRPr="00E14EC2">
        <w:rPr>
          <w:rFonts w:ascii="Times" w:hAnsi="Times" w:cs="Times"/>
          <w:lang w:val="en-US"/>
        </w:rPr>
        <w:t xml:space="preserve">developed with the </w:t>
      </w:r>
      <w:r w:rsidR="007C5E01" w:rsidRPr="00E14EC2">
        <w:rPr>
          <w:rFonts w:ascii="Times" w:hAnsi="Times" w:cs="Times"/>
          <w:lang w:val="en-US"/>
        </w:rPr>
        <w:t xml:space="preserve">1972 </w:t>
      </w:r>
      <w:r w:rsidR="00583E93" w:rsidRPr="00E14EC2">
        <w:rPr>
          <w:rFonts w:ascii="Times" w:hAnsi="Times" w:cs="Times"/>
          <w:iCs/>
          <w:lang w:val="en-US"/>
        </w:rPr>
        <w:t>Convention Concerning the Protection of the World Cultural and Natural Heritage</w:t>
      </w:r>
      <w:r w:rsidR="00583E93" w:rsidRPr="00E14EC2">
        <w:rPr>
          <w:rFonts w:ascii="Times" w:hAnsi="Times" w:cs="Times"/>
          <w:lang w:val="en-US"/>
        </w:rPr>
        <w:t xml:space="preserve"> (WHC), and </w:t>
      </w:r>
      <w:r w:rsidR="00F81727" w:rsidRPr="00E14EC2">
        <w:rPr>
          <w:rFonts w:ascii="Times" w:hAnsi="Times" w:cs="Times"/>
          <w:lang w:val="en-US"/>
        </w:rPr>
        <w:t xml:space="preserve">later </w:t>
      </w:r>
      <w:r w:rsidR="00583E93" w:rsidRPr="00E14EC2">
        <w:rPr>
          <w:rFonts w:ascii="Times" w:hAnsi="Times" w:cs="Times"/>
          <w:lang w:val="en-US"/>
        </w:rPr>
        <w:t xml:space="preserve">the </w:t>
      </w:r>
      <w:r w:rsidR="007C5E01" w:rsidRPr="00E14EC2">
        <w:rPr>
          <w:rFonts w:ascii="Times" w:hAnsi="Times" w:cs="Times"/>
          <w:lang w:val="en-US"/>
        </w:rPr>
        <w:t xml:space="preserve">2001 </w:t>
      </w:r>
      <w:r w:rsidR="00583E93" w:rsidRPr="00E14EC2">
        <w:rPr>
          <w:rFonts w:ascii="Times" w:hAnsi="Times" w:cs="Times"/>
          <w:lang w:val="en-US"/>
        </w:rPr>
        <w:t>Convention on the Protection of th</w:t>
      </w:r>
      <w:r w:rsidR="007C5E01" w:rsidRPr="00E14EC2">
        <w:rPr>
          <w:rFonts w:ascii="Times" w:hAnsi="Times" w:cs="Times"/>
          <w:lang w:val="en-US"/>
        </w:rPr>
        <w:t>e Underwater Cultural Heritage</w:t>
      </w:r>
      <w:r w:rsidR="00B77303" w:rsidRPr="00E14EC2">
        <w:rPr>
          <w:rFonts w:ascii="Times" w:hAnsi="Times" w:cs="Times"/>
          <w:lang w:val="en-US"/>
        </w:rPr>
        <w:t>.</w:t>
      </w:r>
      <w:r w:rsidR="00A95F33" w:rsidRPr="00E14EC2">
        <w:rPr>
          <w:rFonts w:ascii="Times" w:hAnsi="Times" w:cs="Times"/>
          <w:lang w:val="en-US"/>
        </w:rPr>
        <w:t xml:space="preserve"> </w:t>
      </w:r>
      <w:r w:rsidR="00F81727" w:rsidRPr="00E14EC2">
        <w:rPr>
          <w:rFonts w:ascii="Times" w:hAnsi="Times" w:cs="Times"/>
          <w:lang w:val="en-US"/>
        </w:rPr>
        <w:t>Specifically</w:t>
      </w:r>
      <w:r w:rsidR="001A7B63" w:rsidRPr="00E14EC2">
        <w:rPr>
          <w:rFonts w:ascii="Times" w:hAnsi="Times" w:cs="Times"/>
          <w:lang w:val="en-US"/>
        </w:rPr>
        <w:t xml:space="preserve">, </w:t>
      </w:r>
      <w:r w:rsidR="00F81727" w:rsidRPr="00E14EC2">
        <w:rPr>
          <w:rFonts w:ascii="Times" w:hAnsi="Times" w:cs="Times"/>
          <w:lang w:val="en-US"/>
        </w:rPr>
        <w:t xml:space="preserve">the WHC </w:t>
      </w:r>
      <w:r w:rsidR="00873A41" w:rsidRPr="00E14EC2">
        <w:rPr>
          <w:rFonts w:ascii="Times" w:hAnsi="Times" w:cs="Times"/>
          <w:lang w:val="en-US"/>
        </w:rPr>
        <w:t>bring</w:t>
      </w:r>
      <w:r w:rsidR="00966B43" w:rsidRPr="00E14EC2">
        <w:rPr>
          <w:rFonts w:ascii="Times" w:hAnsi="Times" w:cs="Times"/>
          <w:lang w:val="en-US"/>
        </w:rPr>
        <w:t>s</w:t>
      </w:r>
      <w:r w:rsidR="00873A41" w:rsidRPr="00E14EC2">
        <w:rPr>
          <w:rFonts w:ascii="Times" w:hAnsi="Times" w:cs="Times"/>
          <w:lang w:val="en-US"/>
        </w:rPr>
        <w:t xml:space="preserve"> together the safeguarding of the </w:t>
      </w:r>
      <w:r w:rsidR="00D24217" w:rsidRPr="00E14EC2">
        <w:rPr>
          <w:rFonts w:ascii="Times" w:hAnsi="Times" w:cs="Times"/>
          <w:lang w:val="en-US"/>
        </w:rPr>
        <w:t>human</w:t>
      </w:r>
      <w:r w:rsidR="00873A41" w:rsidRPr="00E14EC2">
        <w:rPr>
          <w:rFonts w:ascii="Times" w:hAnsi="Times" w:cs="Times"/>
          <w:lang w:val="en-US"/>
        </w:rPr>
        <w:t>-made environment of exceptional importance, on the one hand, and of the most extraordinary natural resources, on the other, as essential elements of the “human environment</w:t>
      </w:r>
      <w:r w:rsidR="00E50096" w:rsidRPr="00E14EC2">
        <w:rPr>
          <w:rFonts w:ascii="Times" w:hAnsi="Times" w:cs="Times"/>
          <w:lang w:val="en-US"/>
        </w:rPr>
        <w:t>.”</w:t>
      </w:r>
      <w:r w:rsidR="00873A41" w:rsidRPr="00E14EC2">
        <w:rPr>
          <w:rFonts w:ascii="Times" w:hAnsi="Times" w:cs="Times"/>
          <w:lang w:val="en-US"/>
        </w:rPr>
        <w:t xml:space="preserve"> </w:t>
      </w:r>
      <w:r w:rsidR="000E0A11" w:rsidRPr="00E14EC2">
        <w:rPr>
          <w:rFonts w:ascii="Times" w:hAnsi="Times" w:cs="Times"/>
          <w:lang w:val="en-US"/>
        </w:rPr>
        <w:t>T</w:t>
      </w:r>
      <w:r w:rsidR="00A36357" w:rsidRPr="00E14EC2">
        <w:rPr>
          <w:rFonts w:ascii="Times" w:hAnsi="Times" w:cs="Times"/>
          <w:lang w:val="en-US"/>
        </w:rPr>
        <w:t xml:space="preserve">he WHC </w:t>
      </w:r>
      <w:r w:rsidR="000E0A11" w:rsidRPr="00E14EC2">
        <w:rPr>
          <w:rFonts w:ascii="Times" w:hAnsi="Times" w:cs="Times"/>
          <w:lang w:val="en-US"/>
        </w:rPr>
        <w:t xml:space="preserve">is </w:t>
      </w:r>
      <w:r w:rsidR="00F40333" w:rsidRPr="00E14EC2">
        <w:rPr>
          <w:rFonts w:ascii="Times" w:hAnsi="Times" w:cs="Times"/>
          <w:lang w:val="en-US"/>
        </w:rPr>
        <w:t xml:space="preserve">thereby </w:t>
      </w:r>
      <w:r w:rsidR="000A7D98" w:rsidRPr="00E14EC2">
        <w:rPr>
          <w:rFonts w:ascii="Times" w:hAnsi="Times" w:cs="Times"/>
          <w:lang w:val="en-US"/>
        </w:rPr>
        <w:t xml:space="preserve">one of the </w:t>
      </w:r>
      <w:r w:rsidR="00BC5504" w:rsidRPr="00E14EC2">
        <w:rPr>
          <w:rFonts w:ascii="Times" w:hAnsi="Times" w:cs="Times"/>
          <w:lang w:val="en-US"/>
        </w:rPr>
        <w:t>signals of the dawn of international environmental law</w:t>
      </w:r>
      <w:r w:rsidR="002A6DAD" w:rsidRPr="00E14EC2">
        <w:rPr>
          <w:lang w:val="en-US"/>
        </w:rPr>
        <w:t>—</w:t>
      </w:r>
      <w:r w:rsidR="00EA05FB" w:rsidRPr="00E14EC2">
        <w:rPr>
          <w:rFonts w:ascii="Times" w:hAnsi="Times" w:cs="Times"/>
          <w:lang w:val="en-US"/>
        </w:rPr>
        <w:t>following the Stockholm Declaration of the United Nations Conference on the Human Environment in 1972</w:t>
      </w:r>
      <w:r w:rsidR="002A6DAD" w:rsidRPr="00E14EC2">
        <w:rPr>
          <w:lang w:val="en-US"/>
        </w:rPr>
        <w:t>—</w:t>
      </w:r>
      <w:r w:rsidR="00BC5504" w:rsidRPr="00E14EC2">
        <w:rPr>
          <w:rFonts w:ascii="Times" w:hAnsi="Times" w:cs="Times"/>
          <w:lang w:val="en-US"/>
        </w:rPr>
        <w:t>and of the international community’s engagement for preventing the loss or degradation of the natural and built heritage</w:t>
      </w:r>
      <w:r w:rsidR="000A7D98" w:rsidRPr="00E14EC2">
        <w:rPr>
          <w:rFonts w:ascii="Times" w:hAnsi="Times" w:cs="Times"/>
          <w:lang w:val="en-US"/>
        </w:rPr>
        <w:t xml:space="preserve">. </w:t>
      </w:r>
      <w:r w:rsidR="00EA05FB" w:rsidRPr="00E14EC2">
        <w:rPr>
          <w:rFonts w:ascii="Times" w:hAnsi="Times" w:cs="Times"/>
          <w:lang w:val="en-US"/>
        </w:rPr>
        <w:t>It is for these reasons that</w:t>
      </w:r>
      <w:r w:rsidR="00873A41" w:rsidRPr="00E14EC2">
        <w:rPr>
          <w:rFonts w:ascii="Times" w:hAnsi="Times" w:cs="Times"/>
          <w:lang w:val="en-US"/>
        </w:rPr>
        <w:t xml:space="preserve"> the </w:t>
      </w:r>
      <w:r w:rsidR="00EA05FB" w:rsidRPr="00E14EC2">
        <w:rPr>
          <w:rFonts w:ascii="Times" w:hAnsi="Times" w:cs="Times"/>
          <w:lang w:val="en-US"/>
        </w:rPr>
        <w:t>WHC</w:t>
      </w:r>
      <w:r w:rsidR="00873A41" w:rsidRPr="00E14EC2">
        <w:rPr>
          <w:rFonts w:ascii="Times" w:hAnsi="Times" w:cs="Times"/>
          <w:lang w:val="en-US"/>
        </w:rPr>
        <w:t xml:space="preserve"> brought about </w:t>
      </w:r>
      <w:r w:rsidR="00F81727" w:rsidRPr="00E14EC2">
        <w:rPr>
          <w:rFonts w:ascii="Times" w:hAnsi="Times" w:cs="Times"/>
          <w:lang w:val="en-US"/>
        </w:rPr>
        <w:t xml:space="preserve">the </w:t>
      </w:r>
      <w:r w:rsidR="001A7B63" w:rsidRPr="00E14EC2">
        <w:rPr>
          <w:rFonts w:ascii="Times" w:hAnsi="Times" w:cs="Times"/>
          <w:lang w:val="en-US"/>
        </w:rPr>
        <w:t>shift from</w:t>
      </w:r>
      <w:r w:rsidR="00873A41" w:rsidRPr="00E14EC2">
        <w:rPr>
          <w:rFonts w:ascii="Times" w:hAnsi="Times" w:cs="Times"/>
          <w:lang w:val="en-US"/>
        </w:rPr>
        <w:t xml:space="preserve"> </w:t>
      </w:r>
      <w:r w:rsidR="001A7B63" w:rsidRPr="00E14EC2">
        <w:rPr>
          <w:rFonts w:ascii="Times" w:hAnsi="Times" w:cs="Times"/>
          <w:lang w:val="en-US"/>
        </w:rPr>
        <w:t>“cultural property”</w:t>
      </w:r>
      <w:r w:rsidR="00EA05FB" w:rsidRPr="00E14EC2">
        <w:rPr>
          <w:rFonts w:ascii="Times" w:hAnsi="Times" w:cs="Times"/>
          <w:lang w:val="en-US"/>
        </w:rPr>
        <w:t xml:space="preserve"> </w:t>
      </w:r>
      <w:r w:rsidR="00386850" w:rsidRPr="00E14EC2">
        <w:rPr>
          <w:rFonts w:ascii="Times" w:hAnsi="Times" w:cs="Times"/>
          <w:lang w:val="en-US"/>
        </w:rPr>
        <w:t>to</w:t>
      </w:r>
      <w:r w:rsidR="001A7B63" w:rsidRPr="00E14EC2">
        <w:rPr>
          <w:rFonts w:ascii="Times" w:hAnsi="Times" w:cs="Times"/>
          <w:lang w:val="en-US"/>
        </w:rPr>
        <w:t xml:space="preserve"> </w:t>
      </w:r>
      <w:r w:rsidR="00F12A95">
        <w:rPr>
          <w:rFonts w:ascii="Times" w:hAnsi="Times" w:cs="Times"/>
          <w:lang w:val="en-US"/>
        </w:rPr>
        <w:t>the</w:t>
      </w:r>
      <w:r w:rsidR="007B1146">
        <w:rPr>
          <w:rFonts w:ascii="Times" w:hAnsi="Times" w:cs="Times"/>
          <w:lang w:val="en-US"/>
        </w:rPr>
        <w:t xml:space="preserve"> more </w:t>
      </w:r>
      <w:r w:rsidR="00873A41" w:rsidRPr="00E14EC2">
        <w:rPr>
          <w:rFonts w:ascii="Times" w:hAnsi="Times" w:cs="Times"/>
          <w:lang w:val="en-US"/>
        </w:rPr>
        <w:t xml:space="preserve">complex </w:t>
      </w:r>
      <w:r w:rsidR="00873A41" w:rsidRPr="007B1146">
        <w:rPr>
          <w:rFonts w:ascii="Times" w:hAnsi="Times" w:cs="Times"/>
          <w:lang w:val="en-US"/>
        </w:rPr>
        <w:t>concept</w:t>
      </w:r>
      <w:r w:rsidR="00873A41" w:rsidRPr="00E14EC2">
        <w:rPr>
          <w:rFonts w:ascii="Times" w:hAnsi="Times" w:cs="Times"/>
          <w:lang w:val="en-US"/>
        </w:rPr>
        <w:t xml:space="preserve"> of </w:t>
      </w:r>
      <w:r w:rsidR="001A7B63" w:rsidRPr="00E14EC2">
        <w:rPr>
          <w:rFonts w:ascii="Times" w:hAnsi="Times" w:cs="Times"/>
          <w:lang w:val="en-US"/>
        </w:rPr>
        <w:t>“cultural heritage</w:t>
      </w:r>
      <w:r w:rsidR="003D4DB1" w:rsidRPr="00E14EC2">
        <w:rPr>
          <w:rFonts w:ascii="Times" w:hAnsi="Times" w:cs="Times"/>
          <w:lang w:val="en-US"/>
        </w:rPr>
        <w:t>,”</w:t>
      </w:r>
      <w:r w:rsidR="000A7D98" w:rsidRPr="00E14EC2">
        <w:rPr>
          <w:rFonts w:ascii="Times" w:hAnsi="Times" w:cs="Times"/>
          <w:lang w:val="en-US"/>
        </w:rPr>
        <w:t xml:space="preserve"> and transformed the protection of cultural heritage items into a collective interest</w:t>
      </w:r>
      <w:r w:rsidR="00873A41" w:rsidRPr="00E14EC2">
        <w:rPr>
          <w:rFonts w:ascii="Times" w:hAnsi="Times" w:cs="Times"/>
          <w:lang w:val="en-US"/>
        </w:rPr>
        <w:t>.</w:t>
      </w:r>
      <w:r w:rsidR="00873A41" w:rsidRPr="00014F2A">
        <w:rPr>
          <w:rStyle w:val="EndnoteReference"/>
          <w:rFonts w:ascii="Times" w:hAnsi="Times" w:cs="Times"/>
          <w:lang w:val="en-US"/>
        </w:rPr>
        <w:endnoteReference w:id="12"/>
      </w:r>
      <w:r w:rsidR="00C85E53" w:rsidRPr="00014F2A">
        <w:rPr>
          <w:rFonts w:ascii="Times" w:hAnsi="Times" w:cs="Times"/>
          <w:lang w:val="en-US"/>
        </w:rPr>
        <w:t xml:space="preserve"> </w:t>
      </w:r>
      <w:r w:rsidR="0059496C" w:rsidRPr="00E14EC2">
        <w:rPr>
          <w:rFonts w:ascii="Times" w:hAnsi="Times" w:cs="Times"/>
          <w:lang w:val="en-US"/>
        </w:rPr>
        <w:t xml:space="preserve">Accordingly, the </w:t>
      </w:r>
      <w:r w:rsidR="00583E93" w:rsidRPr="007B1146">
        <w:rPr>
          <w:rFonts w:ascii="Times" w:hAnsi="Times" w:cs="Times"/>
          <w:lang w:val="en-US"/>
        </w:rPr>
        <w:t>term</w:t>
      </w:r>
      <w:r w:rsidR="00583E93" w:rsidRPr="00E14EC2">
        <w:rPr>
          <w:rFonts w:ascii="Times" w:hAnsi="Times" w:cs="Times"/>
          <w:lang w:val="en-US"/>
        </w:rPr>
        <w:t xml:space="preserve"> </w:t>
      </w:r>
      <w:r w:rsidR="00975BCC" w:rsidRPr="00E14EC2">
        <w:rPr>
          <w:rFonts w:ascii="Times" w:hAnsi="Times" w:cs="Times"/>
          <w:lang w:val="en-US"/>
        </w:rPr>
        <w:t>“</w:t>
      </w:r>
      <w:r w:rsidR="00583E93" w:rsidRPr="00E14EC2">
        <w:rPr>
          <w:rFonts w:ascii="Times" w:hAnsi="Times" w:cs="Times"/>
          <w:lang w:val="en-US"/>
        </w:rPr>
        <w:t>cultural heritage</w:t>
      </w:r>
      <w:r w:rsidR="00975BCC" w:rsidRPr="00E14EC2">
        <w:rPr>
          <w:rFonts w:ascii="Times" w:hAnsi="Times" w:cs="Times"/>
          <w:lang w:val="en-US"/>
        </w:rPr>
        <w:t>”</w:t>
      </w:r>
      <w:r w:rsidR="00583E93" w:rsidRPr="00E14EC2">
        <w:rPr>
          <w:rFonts w:ascii="Times" w:hAnsi="Times" w:cs="Times"/>
          <w:lang w:val="en-US"/>
        </w:rPr>
        <w:t xml:space="preserve"> is today used in legal parlance to embrace any manifestation of artistic and creative process</w:t>
      </w:r>
      <w:r w:rsidR="00DB544F" w:rsidRPr="00E14EC2">
        <w:rPr>
          <w:rFonts w:ascii="Times" w:hAnsi="Times" w:cs="Times"/>
          <w:lang w:val="en-US"/>
        </w:rPr>
        <w:t>es</w:t>
      </w:r>
      <w:r w:rsidR="002E2985" w:rsidRPr="00E14EC2">
        <w:rPr>
          <w:rFonts w:ascii="Times" w:hAnsi="Times" w:cs="Times"/>
          <w:lang w:val="en-US"/>
        </w:rPr>
        <w:t xml:space="preserve"> having a public or private dimension</w:t>
      </w:r>
      <w:r w:rsidR="00583E93" w:rsidRPr="00E14EC2">
        <w:rPr>
          <w:rFonts w:ascii="Times" w:hAnsi="Times" w:cs="Times"/>
          <w:lang w:val="en-US"/>
        </w:rPr>
        <w:t xml:space="preserve">. As such, </w:t>
      </w:r>
      <w:r w:rsidR="006F0F55">
        <w:rPr>
          <w:rFonts w:ascii="Times" w:hAnsi="Times" w:cs="Times"/>
          <w:lang w:val="en-US"/>
        </w:rPr>
        <w:t xml:space="preserve">cultural heritage </w:t>
      </w:r>
      <w:r w:rsidR="00583E93" w:rsidRPr="00E14EC2">
        <w:rPr>
          <w:rFonts w:ascii="Times" w:hAnsi="Times" w:cs="Times"/>
          <w:lang w:val="en-US"/>
        </w:rPr>
        <w:t xml:space="preserve">conveys a </w:t>
      </w:r>
      <w:r w:rsidR="00F12A95">
        <w:rPr>
          <w:rFonts w:ascii="Times" w:hAnsi="Times" w:cs="Times"/>
          <w:lang w:val="en-US"/>
        </w:rPr>
        <w:t>understanding</w:t>
      </w:r>
      <w:r w:rsidR="00F12A95" w:rsidRPr="00E14EC2">
        <w:rPr>
          <w:rFonts w:ascii="Times" w:hAnsi="Times" w:cs="Times"/>
          <w:lang w:val="en-US"/>
        </w:rPr>
        <w:t xml:space="preserve"> </w:t>
      </w:r>
      <w:r w:rsidR="00583E93" w:rsidRPr="00E14EC2">
        <w:rPr>
          <w:rFonts w:ascii="Times" w:hAnsi="Times" w:cs="Times"/>
          <w:lang w:val="en-US"/>
        </w:rPr>
        <w:t xml:space="preserve">that is </w:t>
      </w:r>
      <w:r w:rsidR="00F12A95">
        <w:rPr>
          <w:rFonts w:ascii="Times" w:hAnsi="Times" w:cs="Times"/>
          <w:lang w:val="en-US"/>
        </w:rPr>
        <w:t>broader</w:t>
      </w:r>
      <w:r w:rsidR="00F12A95" w:rsidRPr="00E14EC2">
        <w:rPr>
          <w:rFonts w:ascii="Times" w:hAnsi="Times" w:cs="Times"/>
          <w:lang w:val="en-US"/>
        </w:rPr>
        <w:t xml:space="preserve"> </w:t>
      </w:r>
      <w:r w:rsidR="00583E93" w:rsidRPr="00E14EC2">
        <w:rPr>
          <w:rFonts w:ascii="Times" w:hAnsi="Times" w:cs="Times"/>
          <w:lang w:val="en-US"/>
        </w:rPr>
        <w:t xml:space="preserve">than </w:t>
      </w:r>
      <w:r w:rsidR="00F12A95">
        <w:rPr>
          <w:rFonts w:ascii="Times" w:hAnsi="Times" w:cs="Times"/>
          <w:lang w:val="en-US"/>
        </w:rPr>
        <w:t>that of</w:t>
      </w:r>
      <w:r w:rsidR="00583E93" w:rsidRPr="00E14EC2">
        <w:rPr>
          <w:rFonts w:ascii="Times" w:hAnsi="Times" w:cs="Times"/>
          <w:lang w:val="en-US"/>
        </w:rPr>
        <w:t xml:space="preserve"> </w:t>
      </w:r>
      <w:r w:rsidR="00975BCC" w:rsidRPr="00E14EC2">
        <w:rPr>
          <w:rFonts w:ascii="Times" w:hAnsi="Times" w:cs="Times"/>
          <w:lang w:val="en-US"/>
        </w:rPr>
        <w:t>“</w:t>
      </w:r>
      <w:r w:rsidR="00583E93" w:rsidRPr="00E14EC2">
        <w:rPr>
          <w:rFonts w:ascii="Times" w:hAnsi="Times" w:cs="Times"/>
          <w:lang w:val="en-US"/>
        </w:rPr>
        <w:t>cultural property</w:t>
      </w:r>
      <w:r w:rsidR="00975BCC" w:rsidRPr="00E14EC2">
        <w:rPr>
          <w:rFonts w:ascii="Times" w:hAnsi="Times" w:cs="Times"/>
          <w:lang w:val="en-US"/>
        </w:rPr>
        <w:t>”</w:t>
      </w:r>
      <w:r w:rsidR="00583E93" w:rsidRPr="00E14EC2">
        <w:rPr>
          <w:rFonts w:ascii="Times" w:hAnsi="Times" w:cs="Times"/>
          <w:lang w:val="en-US"/>
        </w:rPr>
        <w:t xml:space="preserve"> (or </w:t>
      </w:r>
      <w:r w:rsidR="001F0175" w:rsidRPr="00E14EC2">
        <w:rPr>
          <w:rFonts w:ascii="Times" w:hAnsi="Times" w:cs="Times"/>
          <w:lang w:val="en-US"/>
        </w:rPr>
        <w:t>“</w:t>
      </w:r>
      <w:r w:rsidR="00583E93" w:rsidRPr="00E14EC2">
        <w:rPr>
          <w:rFonts w:ascii="Times" w:hAnsi="Times" w:cs="Times"/>
          <w:lang w:val="en-US"/>
        </w:rPr>
        <w:t>cultural objects</w:t>
      </w:r>
      <w:r w:rsidR="001F0175" w:rsidRPr="00E14EC2">
        <w:rPr>
          <w:rFonts w:ascii="Times" w:hAnsi="Times" w:cs="Times"/>
          <w:lang w:val="en-US"/>
        </w:rPr>
        <w:t>”</w:t>
      </w:r>
      <w:r w:rsidR="00583E93" w:rsidRPr="00E14EC2">
        <w:rPr>
          <w:rFonts w:ascii="Times" w:hAnsi="Times" w:cs="Times"/>
          <w:lang w:val="en-US"/>
        </w:rPr>
        <w:t xml:space="preserve"> or </w:t>
      </w:r>
      <w:r w:rsidR="001F0175" w:rsidRPr="00E14EC2">
        <w:rPr>
          <w:rFonts w:ascii="Times" w:hAnsi="Times" w:cs="Times"/>
          <w:lang w:val="en-US"/>
        </w:rPr>
        <w:t>“</w:t>
      </w:r>
      <w:r w:rsidR="00583E93" w:rsidRPr="00E14EC2">
        <w:rPr>
          <w:rFonts w:ascii="Times" w:hAnsi="Times" w:cs="Times"/>
          <w:lang w:val="en-US"/>
        </w:rPr>
        <w:t>cultural goods</w:t>
      </w:r>
      <w:r w:rsidR="001F0175" w:rsidRPr="00E14EC2">
        <w:rPr>
          <w:rFonts w:ascii="Times" w:hAnsi="Times" w:cs="Times"/>
          <w:lang w:val="en-US"/>
        </w:rPr>
        <w:t>”</w:t>
      </w:r>
      <w:r w:rsidR="00583E93" w:rsidRPr="00E14EC2">
        <w:rPr>
          <w:rFonts w:ascii="Times" w:hAnsi="Times" w:cs="Times"/>
          <w:lang w:val="en-US"/>
        </w:rPr>
        <w:t>) used to in</w:t>
      </w:r>
      <w:r w:rsidR="001F0175" w:rsidRPr="00E14EC2">
        <w:rPr>
          <w:rFonts w:ascii="Times" w:hAnsi="Times" w:cs="Times"/>
          <w:lang w:val="en-US"/>
        </w:rPr>
        <w:t>dicate tangible movable assets.</w:t>
      </w:r>
      <w:r w:rsidR="0059496C" w:rsidRPr="00E14EC2">
        <w:rPr>
          <w:rFonts w:ascii="Times" w:hAnsi="Times" w:cs="Times"/>
          <w:lang w:val="en-US"/>
        </w:rPr>
        <w:t xml:space="preserve"> </w:t>
      </w:r>
      <w:r w:rsidR="00975BCC" w:rsidRPr="00E14EC2">
        <w:rPr>
          <w:rFonts w:ascii="Times" w:hAnsi="Times" w:cs="Times"/>
          <w:lang w:val="en-US"/>
        </w:rPr>
        <w:t>In addition,</w:t>
      </w:r>
      <w:r w:rsidR="005A39D6" w:rsidRPr="00E14EC2">
        <w:rPr>
          <w:rFonts w:ascii="Times" w:hAnsi="Times" w:cs="Times"/>
          <w:lang w:val="en-US"/>
        </w:rPr>
        <w:t xml:space="preserve"> </w:t>
      </w:r>
      <w:r w:rsidR="00FA0FBE" w:rsidRPr="00E14EC2">
        <w:rPr>
          <w:rFonts w:ascii="Times" w:hAnsi="Times" w:cs="Times"/>
          <w:lang w:val="en-US"/>
        </w:rPr>
        <w:t>the term “</w:t>
      </w:r>
      <w:r w:rsidR="005A39D6" w:rsidRPr="00E14EC2">
        <w:rPr>
          <w:rFonts w:ascii="Times" w:hAnsi="Times" w:cs="Times"/>
          <w:lang w:val="en-US"/>
        </w:rPr>
        <w:t xml:space="preserve">cultural </w:t>
      </w:r>
      <w:r w:rsidR="00FA0FBE" w:rsidRPr="00E14EC2">
        <w:rPr>
          <w:rFonts w:ascii="Times" w:hAnsi="Times" w:cs="Times"/>
          <w:lang w:val="en-US"/>
        </w:rPr>
        <w:t xml:space="preserve">heritage” </w:t>
      </w:r>
      <w:r w:rsidR="00E36E4B" w:rsidRPr="00E14EC2">
        <w:rPr>
          <w:rFonts w:ascii="Times" w:hAnsi="Times" w:cs="Times"/>
          <w:lang w:val="en-US"/>
        </w:rPr>
        <w:t>emphasize</w:t>
      </w:r>
      <w:r w:rsidR="00975BCC" w:rsidRPr="00E14EC2">
        <w:rPr>
          <w:rFonts w:ascii="Times" w:hAnsi="Times" w:cs="Times"/>
          <w:lang w:val="en-US"/>
        </w:rPr>
        <w:t>s</w:t>
      </w:r>
      <w:r w:rsidR="00E36E4B" w:rsidRPr="00E14EC2">
        <w:rPr>
          <w:rFonts w:ascii="Times" w:hAnsi="Times" w:cs="Times"/>
          <w:lang w:val="en-US"/>
        </w:rPr>
        <w:t xml:space="preserve"> </w:t>
      </w:r>
      <w:r w:rsidR="00EB527F" w:rsidRPr="00E14EC2">
        <w:rPr>
          <w:rFonts w:ascii="Times" w:hAnsi="Times" w:cs="Times"/>
          <w:lang w:val="en-US"/>
        </w:rPr>
        <w:t xml:space="preserve">that the </w:t>
      </w:r>
      <w:r w:rsidR="00975BCC" w:rsidRPr="00E14EC2">
        <w:rPr>
          <w:rFonts w:ascii="Times" w:hAnsi="Times" w:cs="Times"/>
          <w:lang w:val="en-US"/>
        </w:rPr>
        <w:t>values inherent in cultural heritage expressions</w:t>
      </w:r>
      <w:r w:rsidR="002A6DAD" w:rsidRPr="00E14EC2">
        <w:rPr>
          <w:lang w:val="en-US"/>
        </w:rPr>
        <w:t>—</w:t>
      </w:r>
      <w:r w:rsidR="00975BCC" w:rsidRPr="00E14EC2">
        <w:rPr>
          <w:rFonts w:ascii="Times" w:hAnsi="Times" w:cs="Times"/>
          <w:lang w:val="en-US"/>
        </w:rPr>
        <w:t xml:space="preserve">which are </w:t>
      </w:r>
      <w:r w:rsidR="00341A01">
        <w:rPr>
          <w:rFonts w:ascii="Times" w:hAnsi="Times" w:cs="Times"/>
          <w:lang w:val="en-US"/>
        </w:rPr>
        <w:t>given</w:t>
      </w:r>
      <w:r w:rsidR="00975BCC" w:rsidRPr="00E14EC2">
        <w:rPr>
          <w:rFonts w:ascii="Times" w:hAnsi="Times" w:cs="Times"/>
          <w:lang w:val="en-US"/>
        </w:rPr>
        <w:t xml:space="preserve"> to them by the individual or the people who created them, or for whom they were created, or whose particular identity and history they </w:t>
      </w:r>
      <w:r w:rsidR="00341A01">
        <w:rPr>
          <w:rFonts w:ascii="Times" w:hAnsi="Times" w:cs="Times"/>
          <w:lang w:val="en-US"/>
        </w:rPr>
        <w:t>share</w:t>
      </w:r>
      <w:r w:rsidR="002A6DAD" w:rsidRPr="00E14EC2">
        <w:rPr>
          <w:lang w:val="en-US"/>
        </w:rPr>
        <w:t>—</w:t>
      </w:r>
      <w:r w:rsidR="00E36E4B" w:rsidRPr="00E14EC2">
        <w:rPr>
          <w:rFonts w:ascii="Times" w:hAnsi="Times" w:cs="Times"/>
          <w:lang w:val="en-US"/>
        </w:rPr>
        <w:t xml:space="preserve">must be </w:t>
      </w:r>
      <w:r w:rsidR="00FA0FBE" w:rsidRPr="00E14EC2">
        <w:rPr>
          <w:rFonts w:ascii="Times" w:hAnsi="Times" w:cs="Times"/>
          <w:lang w:val="en-US"/>
        </w:rPr>
        <w:t>transmitted from one generation to the next with the duty to preserve.</w:t>
      </w:r>
      <w:r w:rsidR="005A39D6" w:rsidRPr="00014F2A">
        <w:rPr>
          <w:rStyle w:val="EndnoteReference"/>
          <w:rFonts w:ascii="Times" w:hAnsi="Times" w:cs="Times"/>
          <w:lang w:val="en-US"/>
        </w:rPr>
        <w:endnoteReference w:id="13"/>
      </w:r>
    </w:p>
    <w:p w14:paraId="2212803F" w14:textId="5C6A0F24" w:rsidR="00583E93" w:rsidRPr="00E14EC2" w:rsidRDefault="000C5689" w:rsidP="003373DF">
      <w:pPr>
        <w:spacing w:line="480" w:lineRule="auto"/>
        <w:rPr>
          <w:rFonts w:ascii="Times" w:hAnsi="Times" w:cs="Times"/>
          <w:color w:val="000000"/>
          <w:lang w:val="en-US"/>
        </w:rPr>
      </w:pPr>
      <w:r w:rsidRPr="00014F2A">
        <w:rPr>
          <w:rFonts w:ascii="Times" w:hAnsi="Times" w:cs="Times"/>
          <w:lang w:val="en-US"/>
        </w:rPr>
        <w:lastRenderedPageBreak/>
        <w:tab/>
      </w:r>
      <w:r w:rsidR="005A39D6" w:rsidRPr="00014F2A">
        <w:rPr>
          <w:rFonts w:ascii="Times" w:hAnsi="Times" w:cs="Times"/>
          <w:lang w:val="en-US"/>
        </w:rPr>
        <w:t xml:space="preserve">Furthermore, the </w:t>
      </w:r>
      <w:r w:rsidR="006462A3" w:rsidRPr="00E14EC2">
        <w:rPr>
          <w:rFonts w:ascii="Times" w:hAnsi="Times" w:cs="Times"/>
          <w:lang w:val="en-US"/>
        </w:rPr>
        <w:t xml:space="preserve">introduction of the </w:t>
      </w:r>
      <w:r w:rsidR="006462A3" w:rsidRPr="00F12A95">
        <w:rPr>
          <w:rFonts w:ascii="Times" w:hAnsi="Times" w:cs="Times"/>
          <w:lang w:val="en-US"/>
        </w:rPr>
        <w:t>term</w:t>
      </w:r>
      <w:r w:rsidR="006462A3" w:rsidRPr="00E14EC2">
        <w:rPr>
          <w:rFonts w:ascii="Times" w:hAnsi="Times" w:cs="Times"/>
          <w:lang w:val="en-US"/>
        </w:rPr>
        <w:t xml:space="preserve"> </w:t>
      </w:r>
      <w:r w:rsidR="00341A01">
        <w:rPr>
          <w:rFonts w:ascii="Times" w:hAnsi="Times" w:cs="Times"/>
          <w:lang w:val="en-US"/>
        </w:rPr>
        <w:t xml:space="preserve">“cultural heritage” </w:t>
      </w:r>
      <w:r w:rsidR="00852003" w:rsidRPr="00E14EC2">
        <w:rPr>
          <w:rFonts w:ascii="Times" w:hAnsi="Times" w:cs="Times"/>
          <w:lang w:val="en-US"/>
        </w:rPr>
        <w:t xml:space="preserve">has </w:t>
      </w:r>
      <w:r w:rsidR="000D4986">
        <w:rPr>
          <w:rFonts w:ascii="Times" w:hAnsi="Times" w:cs="Times"/>
          <w:lang w:val="en-US"/>
        </w:rPr>
        <w:t>increasing</w:t>
      </w:r>
      <w:r w:rsidR="00852003" w:rsidRPr="00E14EC2">
        <w:rPr>
          <w:rFonts w:ascii="Times" w:hAnsi="Times" w:cs="Times"/>
          <w:lang w:val="en-US"/>
        </w:rPr>
        <w:t>ly</w:t>
      </w:r>
      <w:r w:rsidR="006462A3" w:rsidRPr="00E14EC2">
        <w:rPr>
          <w:rFonts w:ascii="Times" w:hAnsi="Times" w:cs="Times"/>
          <w:lang w:val="en-US"/>
        </w:rPr>
        <w:t xml:space="preserve"> exten</w:t>
      </w:r>
      <w:r w:rsidR="000D4986">
        <w:rPr>
          <w:rFonts w:ascii="Times" w:hAnsi="Times" w:cs="Times"/>
          <w:lang w:val="en-US"/>
        </w:rPr>
        <w:t>ded</w:t>
      </w:r>
      <w:r w:rsidR="006462A3" w:rsidRPr="00E14EC2">
        <w:rPr>
          <w:rFonts w:ascii="Times" w:hAnsi="Times" w:cs="Times"/>
          <w:lang w:val="en-US"/>
        </w:rPr>
        <w:t xml:space="preserve"> international protection to </w:t>
      </w:r>
      <w:r w:rsidR="00EB527F" w:rsidRPr="00E14EC2">
        <w:rPr>
          <w:rFonts w:ascii="Times" w:hAnsi="Times" w:cs="Times"/>
          <w:lang w:val="en-US"/>
        </w:rPr>
        <w:t xml:space="preserve">intangible </w:t>
      </w:r>
      <w:r w:rsidR="006462A3" w:rsidRPr="00E14EC2">
        <w:rPr>
          <w:rFonts w:ascii="Times" w:hAnsi="Times" w:cs="Times"/>
          <w:lang w:val="en-US"/>
        </w:rPr>
        <w:t>forms of cultural expression</w:t>
      </w:r>
      <w:r w:rsidR="0054717C" w:rsidRPr="00E14EC2">
        <w:rPr>
          <w:rFonts w:ascii="Times" w:hAnsi="Times" w:cs="Times"/>
          <w:lang w:val="en-US"/>
        </w:rPr>
        <w:t xml:space="preserve"> through a new generation of UNESCO instruments</w:t>
      </w:r>
      <w:r w:rsidR="00061BF6" w:rsidRPr="00E14EC2">
        <w:rPr>
          <w:rFonts w:ascii="Times" w:hAnsi="Times" w:cs="Times"/>
          <w:lang w:val="en-US"/>
        </w:rPr>
        <w:t xml:space="preserve"> </w:t>
      </w:r>
      <w:r w:rsidR="0054717C" w:rsidRPr="00E14EC2">
        <w:rPr>
          <w:rFonts w:ascii="Times" w:hAnsi="Times" w:cs="Times"/>
          <w:lang w:val="en-US"/>
        </w:rPr>
        <w:t xml:space="preserve">which </w:t>
      </w:r>
      <w:r w:rsidR="00DF439D" w:rsidRPr="00E14EC2">
        <w:rPr>
          <w:rFonts w:ascii="Times" w:hAnsi="Times" w:cs="Times"/>
          <w:lang w:val="en-US"/>
        </w:rPr>
        <w:t>explicitly emphasize the relationship between huma</w:t>
      </w:r>
      <w:r w:rsidR="0054717C" w:rsidRPr="00E14EC2">
        <w:rPr>
          <w:rFonts w:ascii="Times" w:hAnsi="Times" w:cs="Times"/>
          <w:lang w:val="en-US"/>
        </w:rPr>
        <w:t>n rights and cultural heritage</w:t>
      </w:r>
      <w:r w:rsidR="00061BF6" w:rsidRPr="00E14EC2">
        <w:rPr>
          <w:rFonts w:ascii="Times" w:hAnsi="Times" w:cs="Times"/>
          <w:lang w:val="en-US"/>
        </w:rPr>
        <w:t>. The</w:t>
      </w:r>
      <w:r w:rsidR="00A150E9" w:rsidRPr="00E14EC2">
        <w:rPr>
          <w:rFonts w:ascii="Times" w:hAnsi="Times" w:cs="Times"/>
          <w:lang w:val="en-US"/>
        </w:rPr>
        <w:t>se</w:t>
      </w:r>
      <w:r w:rsidR="00852003" w:rsidRPr="00E14EC2">
        <w:rPr>
          <w:rFonts w:ascii="Times" w:hAnsi="Times" w:cs="Times"/>
          <w:lang w:val="en-US"/>
        </w:rPr>
        <w:t xml:space="preserve"> </w:t>
      </w:r>
      <w:r w:rsidR="00DF439D" w:rsidRPr="00E14EC2">
        <w:rPr>
          <w:rFonts w:ascii="Times" w:hAnsi="Times" w:cs="Times"/>
          <w:lang w:val="en-US"/>
        </w:rPr>
        <w:t>include</w:t>
      </w:r>
      <w:r w:rsidR="00CB44D2" w:rsidRPr="00E14EC2">
        <w:rPr>
          <w:rFonts w:ascii="Times" w:hAnsi="Times" w:cs="Times"/>
          <w:lang w:val="en-US"/>
        </w:rPr>
        <w:t xml:space="preserve"> </w:t>
      </w:r>
      <w:r w:rsidR="00583E93" w:rsidRPr="00E14EC2">
        <w:rPr>
          <w:rFonts w:ascii="Times" w:hAnsi="Times" w:cs="Times"/>
          <w:lang w:val="en-US"/>
        </w:rPr>
        <w:t xml:space="preserve">the </w:t>
      </w:r>
      <w:r w:rsidR="00C00471" w:rsidRPr="00E14EC2">
        <w:rPr>
          <w:rFonts w:ascii="Times" w:hAnsi="Times" w:cs="Times"/>
          <w:lang w:val="en-US"/>
        </w:rPr>
        <w:t xml:space="preserve">2001 </w:t>
      </w:r>
      <w:r w:rsidR="00583E93" w:rsidRPr="00E14EC2">
        <w:rPr>
          <w:rFonts w:ascii="Times" w:hAnsi="Times" w:cs="Times"/>
          <w:iCs/>
          <w:lang w:val="en-US" w:bidi="he-IL"/>
        </w:rPr>
        <w:t>Universal</w:t>
      </w:r>
      <w:r w:rsidR="00583E93" w:rsidRPr="00E14EC2">
        <w:rPr>
          <w:rFonts w:ascii="Times" w:hAnsi="Times" w:cs="Times"/>
          <w:lang w:val="en-US" w:bidi="he-IL"/>
        </w:rPr>
        <w:t xml:space="preserve"> </w:t>
      </w:r>
      <w:r w:rsidR="00583E93" w:rsidRPr="00E14EC2">
        <w:rPr>
          <w:rFonts w:ascii="Times" w:hAnsi="Times" w:cs="Times"/>
          <w:iCs/>
          <w:lang w:val="en-US" w:bidi="he-IL"/>
        </w:rPr>
        <w:t>Declaration on Cultural Diversity</w:t>
      </w:r>
      <w:r w:rsidR="00583E93" w:rsidRPr="00E14EC2">
        <w:rPr>
          <w:rFonts w:ascii="Times" w:hAnsi="Times" w:cs="Times"/>
          <w:lang w:val="en-US" w:bidi="he-IL"/>
        </w:rPr>
        <w:t xml:space="preserve">, the </w:t>
      </w:r>
      <w:r w:rsidR="00C00471" w:rsidRPr="00E14EC2">
        <w:rPr>
          <w:rFonts w:ascii="Times" w:hAnsi="Times" w:cs="Times"/>
          <w:lang w:val="en-US" w:bidi="he-IL"/>
        </w:rPr>
        <w:t xml:space="preserve">2003 </w:t>
      </w:r>
      <w:r w:rsidR="00583E93" w:rsidRPr="00E14EC2">
        <w:rPr>
          <w:rFonts w:ascii="Times" w:hAnsi="Times" w:cs="Times"/>
          <w:lang w:val="en-US" w:bidi="he-IL"/>
        </w:rPr>
        <w:t xml:space="preserve">Declaration Concerning the Intentional Destruction of Cultural Heritage, </w:t>
      </w:r>
      <w:r w:rsidR="00583E93" w:rsidRPr="00E14EC2">
        <w:rPr>
          <w:rFonts w:ascii="Times" w:hAnsi="Times" w:cs="Times"/>
          <w:bCs/>
          <w:lang w:val="en-US" w:eastAsia="en-US"/>
        </w:rPr>
        <w:t xml:space="preserve">the </w:t>
      </w:r>
      <w:r w:rsidR="00C00471" w:rsidRPr="00E14EC2">
        <w:rPr>
          <w:rFonts w:ascii="Times" w:hAnsi="Times" w:cs="Times"/>
          <w:bCs/>
          <w:lang w:val="en-US" w:eastAsia="en-US"/>
        </w:rPr>
        <w:t xml:space="preserve">2003 </w:t>
      </w:r>
      <w:r w:rsidR="00583E93" w:rsidRPr="00E14EC2">
        <w:rPr>
          <w:rFonts w:ascii="Times" w:hAnsi="Times" w:cs="Times"/>
          <w:lang w:val="en-US"/>
        </w:rPr>
        <w:t>Convention for the Safeguarding of the Intangible Cultural Heritage</w:t>
      </w:r>
      <w:r w:rsidR="00583E93" w:rsidRPr="00E14EC2">
        <w:rPr>
          <w:rFonts w:ascii="Times" w:hAnsi="Times" w:cs="Times"/>
          <w:bCs/>
          <w:iCs/>
          <w:lang w:val="en-US" w:eastAsia="en-US"/>
        </w:rPr>
        <w:t>,</w:t>
      </w:r>
      <w:r w:rsidR="00583E93" w:rsidRPr="00E14EC2">
        <w:rPr>
          <w:rFonts w:ascii="Times" w:hAnsi="Times" w:cs="Times"/>
          <w:lang w:val="en-US"/>
        </w:rPr>
        <w:t xml:space="preserve"> and the</w:t>
      </w:r>
      <w:r w:rsidR="00583E93" w:rsidRPr="00E14EC2">
        <w:rPr>
          <w:rFonts w:ascii="Times" w:hAnsi="Times" w:cs="Times"/>
          <w:bCs/>
          <w:lang w:val="en-US" w:eastAsia="en-US"/>
        </w:rPr>
        <w:t xml:space="preserve"> </w:t>
      </w:r>
      <w:r w:rsidR="00C00471" w:rsidRPr="00E14EC2">
        <w:rPr>
          <w:rFonts w:ascii="Times" w:hAnsi="Times" w:cs="Times"/>
          <w:bCs/>
          <w:lang w:val="en-US" w:eastAsia="en-US"/>
        </w:rPr>
        <w:t xml:space="preserve">2005 </w:t>
      </w:r>
      <w:r w:rsidR="00583E93" w:rsidRPr="00E14EC2">
        <w:rPr>
          <w:rFonts w:ascii="Times" w:hAnsi="Times" w:cs="Times"/>
          <w:bCs/>
          <w:lang w:val="en-US" w:eastAsia="en-US"/>
        </w:rPr>
        <w:t>Convention on the Protection and Promotion of the Diversity of Cultural Expressions</w:t>
      </w:r>
      <w:r w:rsidR="00583E93" w:rsidRPr="00E14EC2">
        <w:rPr>
          <w:rFonts w:ascii="Times" w:hAnsi="Times" w:cs="Times"/>
          <w:lang w:val="en-US" w:bidi="he-IL"/>
        </w:rPr>
        <w:t xml:space="preserve">. </w:t>
      </w:r>
    </w:p>
    <w:p w14:paraId="3ACEA69C" w14:textId="269487DB" w:rsidR="00583E93"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The </w:t>
      </w:r>
      <w:r w:rsidR="00404FF1" w:rsidRPr="00E14EC2">
        <w:rPr>
          <w:rFonts w:ascii="Times" w:hAnsi="Times" w:cs="Times"/>
          <w:iCs/>
          <w:lang w:val="en-US" w:bidi="he-IL"/>
        </w:rPr>
        <w:t>Universal</w:t>
      </w:r>
      <w:r w:rsidR="00404FF1" w:rsidRPr="00E14EC2">
        <w:rPr>
          <w:rFonts w:ascii="Times" w:hAnsi="Times" w:cs="Times"/>
          <w:lang w:val="en-US" w:bidi="he-IL"/>
        </w:rPr>
        <w:t xml:space="preserve"> </w:t>
      </w:r>
      <w:r w:rsidR="00404FF1" w:rsidRPr="00E14EC2">
        <w:rPr>
          <w:rFonts w:ascii="Times" w:hAnsi="Times" w:cs="Times"/>
          <w:iCs/>
          <w:lang w:val="en-US" w:bidi="he-IL"/>
        </w:rPr>
        <w:t>Declaration on Cultural Diversity</w:t>
      </w:r>
      <w:r w:rsidR="00404FF1" w:rsidRPr="00E14EC2" w:rsidDel="00404FF1">
        <w:rPr>
          <w:rFonts w:ascii="Times" w:hAnsi="Times" w:cs="Times"/>
          <w:iCs/>
          <w:lang w:val="en-US" w:bidi="he-IL"/>
        </w:rPr>
        <w:t xml:space="preserve"> </w:t>
      </w:r>
      <w:r w:rsidR="00583E93" w:rsidRPr="00E14EC2">
        <w:rPr>
          <w:rFonts w:ascii="Times" w:hAnsi="Times" w:cs="Times"/>
          <w:lang w:val="en-US"/>
        </w:rPr>
        <w:t>contains multiple references to the imperative of human rights protection. For instance, its preamble affirms a commitment to the “full implementation of human rights</w:t>
      </w:r>
      <w:r w:rsidR="00E50096" w:rsidRPr="00E14EC2">
        <w:rPr>
          <w:rFonts w:ascii="Times" w:hAnsi="Times" w:cs="Times"/>
          <w:lang w:val="en-US"/>
        </w:rPr>
        <w:t>”</w:t>
      </w:r>
      <w:r w:rsidR="00583E93" w:rsidRPr="00E14EC2">
        <w:rPr>
          <w:rFonts w:ascii="Times" w:hAnsi="Times" w:cs="Times"/>
          <w:lang w:val="en-US"/>
        </w:rPr>
        <w:t xml:space="preserve"> </w:t>
      </w:r>
      <w:r w:rsidR="002E6890" w:rsidRPr="00E14EC2">
        <w:rPr>
          <w:rFonts w:ascii="Times" w:hAnsi="Times" w:cs="Times"/>
          <w:lang w:val="en-US"/>
        </w:rPr>
        <w:t>and</w:t>
      </w:r>
      <w:r w:rsidR="00583E93" w:rsidRPr="00E14EC2">
        <w:rPr>
          <w:rFonts w:ascii="Times" w:hAnsi="Times" w:cs="Times"/>
          <w:lang w:val="en-US"/>
        </w:rPr>
        <w:t xml:space="preserve"> proclaims that </w:t>
      </w:r>
      <w:r w:rsidR="00210F23" w:rsidRPr="00E14EC2">
        <w:rPr>
          <w:rFonts w:ascii="Times" w:hAnsi="Times" w:cs="Times"/>
          <w:lang w:val="en-US"/>
        </w:rPr>
        <w:t>“</w:t>
      </w:r>
      <w:r w:rsidR="00583E93" w:rsidRPr="00E14EC2">
        <w:rPr>
          <w:rFonts w:ascii="Times" w:hAnsi="Times" w:cs="Times"/>
          <w:lang w:val="en-US"/>
        </w:rPr>
        <w:t>the defence of cultural diversity is an ethical imperative</w:t>
      </w:r>
      <w:r w:rsidR="00210F23" w:rsidRPr="00E14EC2">
        <w:rPr>
          <w:rFonts w:ascii="Times" w:hAnsi="Times" w:cs="Times"/>
          <w:lang w:val="en-US"/>
        </w:rPr>
        <w:t>”</w:t>
      </w:r>
      <w:r w:rsidR="00583E93" w:rsidRPr="00014F2A">
        <w:rPr>
          <w:rFonts w:ascii="Times" w:hAnsi="Times" w:cs="Times"/>
          <w:lang w:val="en-US"/>
        </w:rPr>
        <w:t xml:space="preserve"> </w:t>
      </w:r>
      <w:r w:rsidR="002E6890" w:rsidRPr="00014F2A">
        <w:rPr>
          <w:rFonts w:ascii="Times" w:hAnsi="Times" w:cs="Times"/>
          <w:lang w:val="en-US"/>
        </w:rPr>
        <w:t xml:space="preserve">(Article </w:t>
      </w:r>
      <w:r w:rsidR="002E6890" w:rsidRPr="00E14EC2">
        <w:rPr>
          <w:rFonts w:ascii="Times" w:hAnsi="Times" w:cs="Times"/>
          <w:lang w:val="en-US"/>
        </w:rPr>
        <w:t xml:space="preserve">4) </w:t>
      </w:r>
      <w:r w:rsidR="00583E93" w:rsidRPr="00E14EC2">
        <w:rPr>
          <w:rFonts w:ascii="Times" w:hAnsi="Times" w:cs="Times"/>
          <w:lang w:val="en-US"/>
        </w:rPr>
        <w:t xml:space="preserve">and </w:t>
      </w:r>
      <w:r w:rsidR="00210F23" w:rsidRPr="00E14EC2">
        <w:rPr>
          <w:rFonts w:ascii="Times" w:hAnsi="Times" w:cs="Times"/>
          <w:lang w:val="en-US"/>
        </w:rPr>
        <w:t>“</w:t>
      </w:r>
      <w:r w:rsidR="00583E93" w:rsidRPr="00E14EC2">
        <w:rPr>
          <w:rFonts w:ascii="Times" w:hAnsi="Times" w:cs="Times"/>
          <w:lang w:val="en-US"/>
        </w:rPr>
        <w:t>cultural rights are an integral part of human rights</w:t>
      </w:r>
      <w:r w:rsidR="00E50096" w:rsidRPr="00E14EC2">
        <w:rPr>
          <w:rFonts w:ascii="Times" w:hAnsi="Times" w:cs="Times"/>
          <w:lang w:val="en-US"/>
        </w:rPr>
        <w:t>”</w:t>
      </w:r>
      <w:r w:rsidR="002E6890" w:rsidRPr="00014F2A">
        <w:rPr>
          <w:rFonts w:ascii="Times" w:hAnsi="Times" w:cs="Times"/>
          <w:lang w:val="en-US"/>
        </w:rPr>
        <w:t xml:space="preserve"> (</w:t>
      </w:r>
      <w:r w:rsidR="002E6890" w:rsidRPr="00E14EC2">
        <w:rPr>
          <w:rFonts w:ascii="Times" w:hAnsi="Times" w:cs="Times"/>
          <w:lang w:val="en-US"/>
        </w:rPr>
        <w:t>Article 5).</w:t>
      </w:r>
    </w:p>
    <w:p w14:paraId="24DA9194" w14:textId="2B2CB008" w:rsidR="00583E93"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The </w:t>
      </w:r>
      <w:r w:rsidR="004032FB" w:rsidRPr="00E14EC2">
        <w:rPr>
          <w:rFonts w:ascii="Times" w:hAnsi="Times" w:cs="Times"/>
          <w:lang w:val="en-US" w:bidi="he-IL"/>
        </w:rPr>
        <w:t>Declaration Concerning the Intentional Destruction of Cultural Heritage</w:t>
      </w:r>
      <w:r w:rsidR="004032FB" w:rsidRPr="00E14EC2" w:rsidDel="004032FB">
        <w:rPr>
          <w:rFonts w:ascii="Times" w:hAnsi="Times" w:cs="Times"/>
          <w:lang w:val="en-US"/>
        </w:rPr>
        <w:t xml:space="preserve"> </w:t>
      </w:r>
      <w:r w:rsidR="00583E93" w:rsidRPr="00E14EC2">
        <w:rPr>
          <w:rStyle w:val="title1"/>
          <w:rFonts w:ascii="Times" w:hAnsi="Times" w:cs="Times"/>
          <w:b w:val="0"/>
          <w:bCs w:val="0"/>
          <w:sz w:val="24"/>
          <w:szCs w:val="24"/>
          <w:lang w:val="en-US"/>
        </w:rPr>
        <w:t xml:space="preserve">was adopted by the </w:t>
      </w:r>
      <w:r w:rsidR="00583E93" w:rsidRPr="00E14EC2">
        <w:rPr>
          <w:rFonts w:ascii="Times" w:hAnsi="Times" w:cs="Times"/>
          <w:lang w:val="en-US"/>
        </w:rPr>
        <w:t>UNESCO General Conference</w:t>
      </w:r>
      <w:r w:rsidR="00207E6E">
        <w:rPr>
          <w:lang w:val="en-US"/>
        </w:rPr>
        <w:t xml:space="preserve"> </w:t>
      </w:r>
      <w:r w:rsidR="00583E93" w:rsidRPr="00E14EC2">
        <w:rPr>
          <w:rStyle w:val="title1"/>
          <w:rFonts w:ascii="Times" w:hAnsi="Times" w:cs="Times"/>
          <w:b w:val="0"/>
          <w:bCs w:val="0"/>
          <w:sz w:val="24"/>
          <w:szCs w:val="24"/>
          <w:lang w:val="en-US"/>
        </w:rPr>
        <w:t xml:space="preserve">as a reaction to the </w:t>
      </w:r>
      <w:r w:rsidR="00583E93" w:rsidRPr="00E14EC2">
        <w:rPr>
          <w:rFonts w:ascii="Times" w:hAnsi="Times" w:cs="Times"/>
          <w:lang w:val="en-US"/>
        </w:rPr>
        <w:t xml:space="preserve">demolition of </w:t>
      </w:r>
      <w:r w:rsidR="00583E93" w:rsidRPr="00E14EC2">
        <w:rPr>
          <w:rStyle w:val="title1"/>
          <w:rFonts w:ascii="Times" w:hAnsi="Times" w:cs="Times"/>
          <w:b w:val="0"/>
          <w:bCs w:val="0"/>
          <w:sz w:val="24"/>
          <w:szCs w:val="24"/>
          <w:lang w:val="en-US"/>
        </w:rPr>
        <w:t xml:space="preserve">two </w:t>
      </w:r>
      <w:r w:rsidR="00583E93" w:rsidRPr="00E14EC2">
        <w:rPr>
          <w:rFonts w:ascii="Times" w:hAnsi="Times" w:cs="Times"/>
          <w:lang w:val="en-US"/>
        </w:rPr>
        <w:t xml:space="preserve">Buddha </w:t>
      </w:r>
      <w:r w:rsidR="00583E93" w:rsidRPr="00E14EC2">
        <w:rPr>
          <w:rStyle w:val="title1"/>
          <w:rFonts w:ascii="Times" w:hAnsi="Times" w:cs="Times"/>
          <w:b w:val="0"/>
          <w:bCs w:val="0"/>
          <w:sz w:val="24"/>
          <w:szCs w:val="24"/>
          <w:lang w:val="en-US"/>
        </w:rPr>
        <w:t xml:space="preserve">statues in the Bamiyan </w:t>
      </w:r>
      <w:r w:rsidR="0000658B" w:rsidRPr="00E14EC2">
        <w:rPr>
          <w:rStyle w:val="title1"/>
          <w:rFonts w:ascii="Times" w:hAnsi="Times" w:cs="Times"/>
          <w:b w:val="0"/>
          <w:bCs w:val="0"/>
          <w:sz w:val="24"/>
          <w:szCs w:val="24"/>
          <w:lang w:val="en-US"/>
        </w:rPr>
        <w:t>V</w:t>
      </w:r>
      <w:r w:rsidR="00583E93" w:rsidRPr="00E14EC2">
        <w:rPr>
          <w:rStyle w:val="title1"/>
          <w:rFonts w:ascii="Times" w:hAnsi="Times" w:cs="Times"/>
          <w:b w:val="0"/>
          <w:bCs w:val="0"/>
          <w:sz w:val="24"/>
          <w:szCs w:val="24"/>
          <w:lang w:val="en-US"/>
        </w:rPr>
        <w:t xml:space="preserve">alley, Afghanistan, </w:t>
      </w:r>
      <w:r w:rsidR="0000658B" w:rsidRPr="00E14EC2">
        <w:rPr>
          <w:rStyle w:val="title1"/>
          <w:rFonts w:ascii="Times" w:hAnsi="Times" w:cs="Times"/>
          <w:b w:val="0"/>
          <w:bCs w:val="0"/>
          <w:sz w:val="24"/>
          <w:szCs w:val="24"/>
          <w:lang w:val="en-US"/>
        </w:rPr>
        <w:t xml:space="preserve">which date from the pre-Islamic era, </w:t>
      </w:r>
      <w:r w:rsidR="001C22FF" w:rsidRPr="00E14EC2">
        <w:rPr>
          <w:rFonts w:ascii="Times" w:hAnsi="Times" w:cs="Times"/>
          <w:lang w:val="en-US"/>
        </w:rPr>
        <w:t xml:space="preserve">perpetrated </w:t>
      </w:r>
      <w:r w:rsidR="00583E93" w:rsidRPr="00E14EC2">
        <w:rPr>
          <w:rFonts w:ascii="Times" w:hAnsi="Times" w:cs="Times"/>
          <w:lang w:val="en-US"/>
        </w:rPr>
        <w:t xml:space="preserve">by the Taliban in 2001. As </w:t>
      </w:r>
      <w:r w:rsidR="00A5244F" w:rsidRPr="00E14EC2">
        <w:rPr>
          <w:rFonts w:ascii="Times" w:hAnsi="Times" w:cs="Times"/>
          <w:lang w:val="en-US"/>
        </w:rPr>
        <w:t xml:space="preserve">is </w:t>
      </w:r>
      <w:r w:rsidR="00583E93" w:rsidRPr="00E14EC2">
        <w:rPr>
          <w:rFonts w:ascii="Times" w:hAnsi="Times" w:cs="Times"/>
          <w:lang w:val="en-US"/>
        </w:rPr>
        <w:t xml:space="preserve">well known, the Buddhas of </w:t>
      </w:r>
      <w:r w:rsidR="00583E93" w:rsidRPr="00E14EC2">
        <w:rPr>
          <w:rStyle w:val="title1"/>
          <w:rFonts w:ascii="Times" w:hAnsi="Times" w:cs="Times"/>
          <w:b w:val="0"/>
          <w:bCs w:val="0"/>
          <w:sz w:val="24"/>
          <w:szCs w:val="24"/>
          <w:lang w:val="en-US"/>
        </w:rPr>
        <w:t xml:space="preserve">Bamiyan were destroyed </w:t>
      </w:r>
      <w:r w:rsidR="00583E93" w:rsidRPr="00E14EC2">
        <w:rPr>
          <w:rFonts w:ascii="Times" w:hAnsi="Times" w:cs="Times"/>
          <w:lang w:val="en-US"/>
        </w:rPr>
        <w:t>for ideological reasons.</w:t>
      </w:r>
      <w:bookmarkStart w:id="10" w:name="_Ref249176775"/>
      <w:bookmarkStart w:id="11" w:name="_Ref265703395"/>
      <w:r w:rsidR="00583E93" w:rsidRPr="00014F2A">
        <w:rPr>
          <w:rStyle w:val="EndnoteReference"/>
          <w:rFonts w:ascii="Times" w:hAnsi="Times" w:cs="Times"/>
          <w:lang w:val="en-US"/>
        </w:rPr>
        <w:endnoteReference w:id="14"/>
      </w:r>
      <w:bookmarkEnd w:id="10"/>
      <w:bookmarkEnd w:id="11"/>
      <w:r w:rsidR="00583E93" w:rsidRPr="00014F2A">
        <w:rPr>
          <w:rFonts w:ascii="Times" w:hAnsi="Times" w:cs="Times"/>
          <w:lang w:val="en-US"/>
        </w:rPr>
        <w:t xml:space="preserve"> The </w:t>
      </w:r>
      <w:r w:rsidR="00115FA2" w:rsidRPr="00E14EC2">
        <w:rPr>
          <w:rFonts w:ascii="Times" w:hAnsi="Times" w:cs="Times"/>
          <w:lang w:val="en-US"/>
        </w:rPr>
        <w:t xml:space="preserve">preamble </w:t>
      </w:r>
      <w:r w:rsidR="00F057FA" w:rsidRPr="00E14EC2">
        <w:rPr>
          <w:rFonts w:ascii="Times" w:hAnsi="Times" w:cs="Times"/>
          <w:lang w:val="en-US"/>
        </w:rPr>
        <w:t xml:space="preserve">to </w:t>
      </w:r>
      <w:r w:rsidR="00115FA2" w:rsidRPr="00E14EC2">
        <w:rPr>
          <w:rFonts w:ascii="Times" w:hAnsi="Times" w:cs="Times"/>
          <w:lang w:val="en-US"/>
        </w:rPr>
        <w:t xml:space="preserve">the </w:t>
      </w:r>
      <w:r w:rsidR="00C00471" w:rsidRPr="00E14EC2">
        <w:rPr>
          <w:rFonts w:ascii="Times" w:hAnsi="Times" w:cs="Times"/>
          <w:lang w:val="en-US"/>
        </w:rPr>
        <w:t>d</w:t>
      </w:r>
      <w:r w:rsidR="00583E93" w:rsidRPr="00E14EC2">
        <w:rPr>
          <w:rFonts w:ascii="Times" w:hAnsi="Times" w:cs="Times"/>
          <w:lang w:val="en-US"/>
        </w:rPr>
        <w:t xml:space="preserve">eclaration </w:t>
      </w:r>
      <w:r w:rsidR="00CC7C64">
        <w:rPr>
          <w:rFonts w:ascii="Times" w:hAnsi="Times" w:cs="Times"/>
          <w:lang w:val="en-US"/>
        </w:rPr>
        <w:t>states</w:t>
      </w:r>
      <w:r w:rsidR="00CC7C64" w:rsidRPr="00E14EC2">
        <w:rPr>
          <w:rFonts w:ascii="Times" w:hAnsi="Times" w:cs="Times"/>
          <w:lang w:val="en-US"/>
        </w:rPr>
        <w:t xml:space="preserve"> </w:t>
      </w:r>
      <w:r w:rsidR="00115FA2" w:rsidRPr="00E14EC2">
        <w:rPr>
          <w:rFonts w:ascii="Times" w:hAnsi="Times" w:cs="Times"/>
          <w:lang w:val="en-US"/>
        </w:rPr>
        <w:t>that “cultural heritage is an important component of the cultural identity of communities, groups and individuals … so that its intentional destruction may have adverse consequences on human dignity and human rights</w:t>
      </w:r>
      <w:r w:rsidR="00E50096" w:rsidRPr="00E14EC2">
        <w:rPr>
          <w:rFonts w:ascii="Times" w:hAnsi="Times" w:cs="Times"/>
          <w:lang w:val="en-US"/>
        </w:rPr>
        <w:t>.”</w:t>
      </w:r>
      <w:r w:rsidR="00115FA2" w:rsidRPr="00E14EC2">
        <w:rPr>
          <w:rFonts w:ascii="Times" w:hAnsi="Times" w:cs="Times"/>
          <w:lang w:val="en-US"/>
        </w:rPr>
        <w:t xml:space="preserve"> More importantly, </w:t>
      </w:r>
      <w:r w:rsidR="00CB44D2" w:rsidRPr="00E14EC2">
        <w:rPr>
          <w:rFonts w:ascii="Times" w:hAnsi="Times" w:cs="Times"/>
          <w:lang w:val="en-US"/>
        </w:rPr>
        <w:t xml:space="preserve">Principle </w:t>
      </w:r>
      <w:r w:rsidR="00C447D0" w:rsidRPr="00E14EC2">
        <w:rPr>
          <w:rFonts w:ascii="Times" w:hAnsi="Times" w:cs="Times"/>
          <w:lang w:val="en-US"/>
        </w:rPr>
        <w:t>9</w:t>
      </w:r>
      <w:r w:rsidR="00CB44D2" w:rsidRPr="00E14EC2">
        <w:rPr>
          <w:rFonts w:ascii="Times" w:hAnsi="Times" w:cs="Times"/>
          <w:lang w:val="en-US"/>
        </w:rPr>
        <w:t xml:space="preserve"> </w:t>
      </w:r>
      <w:r w:rsidR="00373140" w:rsidRPr="00E14EC2">
        <w:rPr>
          <w:rFonts w:ascii="Times" w:hAnsi="Times" w:cs="Times"/>
          <w:lang w:val="en-US"/>
        </w:rPr>
        <w:t xml:space="preserve">of the declaration </w:t>
      </w:r>
      <w:r w:rsidR="00583E93" w:rsidRPr="00E14EC2">
        <w:rPr>
          <w:rFonts w:ascii="Times" w:hAnsi="Times" w:cs="Times"/>
          <w:lang w:val="en-US"/>
        </w:rPr>
        <w:t xml:space="preserve">links human rights to the duty incumbent upon every </w:t>
      </w:r>
      <w:r w:rsidR="00F057FA" w:rsidRPr="00E14EC2">
        <w:rPr>
          <w:rFonts w:ascii="Times" w:hAnsi="Times" w:cs="Times"/>
          <w:lang w:val="en-US"/>
        </w:rPr>
        <w:t>s</w:t>
      </w:r>
      <w:r w:rsidR="00583E93" w:rsidRPr="00E14EC2">
        <w:rPr>
          <w:rFonts w:ascii="Times" w:hAnsi="Times" w:cs="Times"/>
          <w:lang w:val="en-US"/>
        </w:rPr>
        <w:t xml:space="preserve">tate to protect </w:t>
      </w:r>
      <w:r w:rsidR="00CF76FC">
        <w:rPr>
          <w:rFonts w:ascii="Times" w:hAnsi="Times" w:cs="Times"/>
          <w:lang w:val="en-US"/>
        </w:rPr>
        <w:t xml:space="preserve">the </w:t>
      </w:r>
      <w:r w:rsidR="00583E93" w:rsidRPr="00E14EC2">
        <w:rPr>
          <w:rFonts w:ascii="Times" w:hAnsi="Times" w:cs="Times"/>
          <w:lang w:val="en-US"/>
        </w:rPr>
        <w:t>cultural heritage of significant importance for humanity situated within its territory: “States recognize the need to respect international rules related to the criminalization of gross violations of human rights and international humanitarian law, in particular, when intentional destruction of cultural heritage is linked to those violations</w:t>
      </w:r>
      <w:r w:rsidR="00E50096" w:rsidRPr="00E14EC2">
        <w:rPr>
          <w:rFonts w:ascii="Times" w:hAnsi="Times" w:cs="Times"/>
          <w:lang w:val="en-US"/>
        </w:rPr>
        <w:t>.”</w:t>
      </w:r>
    </w:p>
    <w:p w14:paraId="3BDDD88A" w14:textId="15894165" w:rsidR="008E7C8E"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The </w:t>
      </w:r>
      <w:r w:rsidR="000D05C0" w:rsidRPr="00E14EC2">
        <w:rPr>
          <w:rFonts w:ascii="Times" w:hAnsi="Times" w:cs="Times"/>
          <w:lang w:val="en-US"/>
        </w:rPr>
        <w:t>Convention for the Safeguarding of the Intangible Cultural Heritage</w:t>
      </w:r>
      <w:r w:rsidR="000D05C0" w:rsidRPr="00E14EC2" w:rsidDel="000D05C0">
        <w:rPr>
          <w:rFonts w:ascii="Times" w:hAnsi="Times" w:cs="Times"/>
          <w:lang w:val="en-US"/>
        </w:rPr>
        <w:t xml:space="preserve"> </w:t>
      </w:r>
      <w:r w:rsidR="00583E93" w:rsidRPr="00E14EC2">
        <w:rPr>
          <w:rFonts w:ascii="Times" w:hAnsi="Times" w:cs="Times"/>
          <w:lang w:val="en-US"/>
        </w:rPr>
        <w:t xml:space="preserve">is the first legally binding </w:t>
      </w:r>
      <w:r w:rsidR="00453D22" w:rsidRPr="00E14EC2">
        <w:rPr>
          <w:rFonts w:ascii="Times" w:hAnsi="Times" w:cs="Times"/>
          <w:lang w:val="en-US"/>
        </w:rPr>
        <w:t xml:space="preserve">international </w:t>
      </w:r>
      <w:r w:rsidR="00020DFC" w:rsidRPr="00E14EC2">
        <w:rPr>
          <w:rFonts w:ascii="Times" w:hAnsi="Times" w:cs="Times"/>
          <w:lang w:val="en-US"/>
        </w:rPr>
        <w:t xml:space="preserve">instrument </w:t>
      </w:r>
      <w:r w:rsidR="00B737E6" w:rsidRPr="00E14EC2">
        <w:rPr>
          <w:rFonts w:ascii="Times" w:hAnsi="Times" w:cs="Times"/>
          <w:lang w:val="en-US"/>
        </w:rPr>
        <w:t xml:space="preserve">to </w:t>
      </w:r>
      <w:r w:rsidR="00583E93" w:rsidRPr="00E14EC2">
        <w:rPr>
          <w:rFonts w:ascii="Times" w:hAnsi="Times" w:cs="Times"/>
          <w:lang w:val="en-US"/>
        </w:rPr>
        <w:t>focus on the intangible cultural heritage of communities, groups</w:t>
      </w:r>
      <w:r w:rsidR="00A5287C" w:rsidRPr="00E14EC2">
        <w:rPr>
          <w:rFonts w:ascii="Times" w:hAnsi="Times" w:cs="Times"/>
          <w:lang w:val="en-US"/>
        </w:rPr>
        <w:t>,</w:t>
      </w:r>
      <w:r w:rsidR="00583E93" w:rsidRPr="00E14EC2">
        <w:rPr>
          <w:rFonts w:ascii="Times" w:hAnsi="Times" w:cs="Times"/>
          <w:lang w:val="en-US"/>
        </w:rPr>
        <w:t xml:space="preserve"> and individuals. It defines “intangible cultural heritage” as “the practices, representations, expressions, knowledge, skills … that communities, groups and, in some cases, </w:t>
      </w:r>
      <w:r w:rsidR="00583E93" w:rsidRPr="00E14EC2">
        <w:rPr>
          <w:rFonts w:ascii="Times" w:hAnsi="Times" w:cs="Times"/>
          <w:lang w:val="en-US"/>
        </w:rPr>
        <w:lastRenderedPageBreak/>
        <w:t>individuals recognize as part of their cultural heritage. This intangible cultural heritage, transmitted from generation to generation, is constantly recreated by communities and groups in response to their environment, their interaction with nature and their history, and provides them with a sense of identity and continuity, thus promoting respect for cultural diversity and human creativity</w:t>
      </w:r>
      <w:r w:rsidR="00E50096" w:rsidRPr="00E14EC2">
        <w:rPr>
          <w:rFonts w:ascii="Times" w:hAnsi="Times" w:cs="Times"/>
          <w:lang w:val="en-US"/>
        </w:rPr>
        <w:t>.”</w:t>
      </w:r>
      <w:r w:rsidR="00583E93" w:rsidRPr="00E14EC2">
        <w:rPr>
          <w:rFonts w:ascii="Times" w:hAnsi="Times" w:cs="Times"/>
          <w:lang w:val="en-US"/>
        </w:rPr>
        <w:t xml:space="preserve"> </w:t>
      </w:r>
      <w:r w:rsidR="00CF76FC">
        <w:rPr>
          <w:rFonts w:ascii="Times" w:hAnsi="Times" w:cs="Times"/>
          <w:lang w:val="en-US"/>
        </w:rPr>
        <w:t>This definition</w:t>
      </w:r>
      <w:r w:rsidR="00583E93" w:rsidRPr="00E14EC2">
        <w:rPr>
          <w:rFonts w:ascii="Times" w:hAnsi="Times" w:cs="Times"/>
          <w:lang w:val="en-US"/>
        </w:rPr>
        <w:t xml:space="preserve"> </w:t>
      </w:r>
      <w:r w:rsidR="00CF76FC" w:rsidRPr="00E14EC2">
        <w:rPr>
          <w:rFonts w:ascii="Times" w:hAnsi="Times" w:cs="Times"/>
          <w:lang w:val="en-US"/>
        </w:rPr>
        <w:t>i</w:t>
      </w:r>
      <w:r w:rsidR="00CF76FC">
        <w:rPr>
          <w:rFonts w:ascii="Times" w:hAnsi="Times" w:cs="Times"/>
          <w:lang w:val="en-US"/>
        </w:rPr>
        <w:t>ncludes</w:t>
      </w:r>
      <w:r w:rsidR="00CF76FC" w:rsidRPr="00E14EC2">
        <w:rPr>
          <w:rFonts w:ascii="Times" w:hAnsi="Times" w:cs="Times"/>
          <w:lang w:val="en-US"/>
        </w:rPr>
        <w:t xml:space="preserve"> </w:t>
      </w:r>
      <w:r w:rsidR="00210F23" w:rsidRPr="00E14EC2">
        <w:rPr>
          <w:rFonts w:ascii="Times" w:hAnsi="Times" w:cs="Times"/>
          <w:lang w:val="en-US"/>
        </w:rPr>
        <w:t xml:space="preserve">music, literature, </w:t>
      </w:r>
      <w:r w:rsidR="00583E93" w:rsidRPr="00E14EC2">
        <w:rPr>
          <w:rFonts w:ascii="Times" w:hAnsi="Times" w:cs="Times"/>
          <w:lang w:val="en-US"/>
        </w:rPr>
        <w:t>dance, mythology, rituals, handicrafts</w:t>
      </w:r>
      <w:r w:rsidR="00CF76FC">
        <w:rPr>
          <w:rFonts w:ascii="Times" w:hAnsi="Times" w:cs="Times"/>
          <w:lang w:val="en-US"/>
        </w:rPr>
        <w:t>,</w:t>
      </w:r>
      <w:r w:rsidR="00583E93" w:rsidRPr="00E14EC2">
        <w:rPr>
          <w:rFonts w:ascii="Times" w:hAnsi="Times" w:cs="Times"/>
          <w:lang w:val="en-US"/>
        </w:rPr>
        <w:t xml:space="preserve"> and </w:t>
      </w:r>
      <w:r w:rsidR="00920C17">
        <w:rPr>
          <w:rFonts w:ascii="Times" w:hAnsi="Times" w:cs="Times"/>
          <w:lang w:val="en-US"/>
        </w:rPr>
        <w:t xml:space="preserve">other cultural manifestations </w:t>
      </w:r>
      <w:r w:rsidR="00583E93" w:rsidRPr="00E14EC2">
        <w:rPr>
          <w:rFonts w:ascii="Times" w:hAnsi="Times" w:cs="Times"/>
          <w:lang w:val="en-US"/>
        </w:rPr>
        <w:t>and establishes a direct</w:t>
      </w:r>
      <w:r w:rsidR="00920C17">
        <w:rPr>
          <w:rFonts w:ascii="Times" w:hAnsi="Times" w:cs="Times"/>
          <w:lang w:val="en-US"/>
        </w:rPr>
        <w:t xml:space="preserve"> connection</w:t>
      </w:r>
      <w:r w:rsidR="00583E93" w:rsidRPr="00E14EC2">
        <w:rPr>
          <w:rFonts w:ascii="Times" w:hAnsi="Times" w:cs="Times"/>
          <w:lang w:val="en-US"/>
        </w:rPr>
        <w:t xml:space="preserve"> between intangible heritage and the identity </w:t>
      </w:r>
      <w:r w:rsidR="00210F23" w:rsidRPr="00E14EC2">
        <w:rPr>
          <w:rFonts w:ascii="Times" w:hAnsi="Times" w:cs="Times"/>
          <w:lang w:val="en-US"/>
        </w:rPr>
        <w:t>of individuals and communities</w:t>
      </w:r>
      <w:r w:rsidR="00CF76FC">
        <w:rPr>
          <w:rFonts w:ascii="Times" w:hAnsi="Times" w:cs="Times"/>
          <w:lang w:val="en-US"/>
        </w:rPr>
        <w:t xml:space="preserve"> who create and maintain it</w:t>
      </w:r>
      <w:r w:rsidR="00210F23" w:rsidRPr="00E14EC2">
        <w:rPr>
          <w:rFonts w:ascii="Times" w:hAnsi="Times" w:cs="Times"/>
          <w:lang w:val="en-US"/>
        </w:rPr>
        <w:t>.</w:t>
      </w:r>
    </w:p>
    <w:p w14:paraId="700FAB9C" w14:textId="6518081F" w:rsidR="00583E93" w:rsidRPr="00014F2A" w:rsidRDefault="00583E93" w:rsidP="00490CF3">
      <w:pPr>
        <w:spacing w:line="480" w:lineRule="auto"/>
        <w:ind w:firstLine="708"/>
        <w:rPr>
          <w:rFonts w:ascii="Times" w:hAnsi="Times" w:cs="Times"/>
          <w:lang w:val="en-US"/>
        </w:rPr>
      </w:pPr>
      <w:r w:rsidRPr="00E14EC2">
        <w:rPr>
          <w:rFonts w:ascii="Times" w:hAnsi="Times" w:cs="Times"/>
          <w:lang w:val="en-US"/>
        </w:rPr>
        <w:t xml:space="preserve">Therefore, the novelty of the intangible heritage regime </w:t>
      </w:r>
      <w:r w:rsidR="00B932D0">
        <w:rPr>
          <w:rFonts w:ascii="Times" w:hAnsi="Times" w:cs="Times"/>
          <w:lang w:val="en-US"/>
        </w:rPr>
        <w:t xml:space="preserve">lies </w:t>
      </w:r>
      <w:r w:rsidRPr="00E14EC2">
        <w:rPr>
          <w:rFonts w:ascii="Times" w:hAnsi="Times" w:cs="Times"/>
          <w:lang w:val="en-US"/>
        </w:rPr>
        <w:t xml:space="preserve">in the protection of cultural </w:t>
      </w:r>
      <w:r w:rsidR="00CB0CC2">
        <w:rPr>
          <w:rFonts w:ascii="Times" w:hAnsi="Times" w:cs="Times"/>
          <w:lang w:val="en-US"/>
        </w:rPr>
        <w:t>objects</w:t>
      </w:r>
      <w:r w:rsidR="00CB0CC2" w:rsidRPr="00E14EC2">
        <w:rPr>
          <w:rFonts w:ascii="Times" w:hAnsi="Times" w:cs="Times"/>
          <w:lang w:val="en-US"/>
        </w:rPr>
        <w:t xml:space="preserve"> </w:t>
      </w:r>
      <w:r w:rsidRPr="00E14EC2">
        <w:rPr>
          <w:rFonts w:ascii="Times" w:hAnsi="Times" w:cs="Times"/>
          <w:lang w:val="en-US"/>
        </w:rPr>
        <w:t>not as</w:t>
      </w:r>
      <w:r w:rsidR="00CB0CC2">
        <w:rPr>
          <w:rFonts w:ascii="Times" w:hAnsi="Times" w:cs="Times"/>
          <w:lang w:val="en-US"/>
        </w:rPr>
        <w:t xml:space="preserve"> </w:t>
      </w:r>
      <w:r w:rsidRPr="00014F2A">
        <w:rPr>
          <w:rFonts w:ascii="Times" w:hAnsi="Times" w:cs="Times"/>
          <w:lang w:val="en-US"/>
        </w:rPr>
        <w:t xml:space="preserve">endowed with </w:t>
      </w:r>
      <w:r w:rsidR="008C6B5F">
        <w:rPr>
          <w:rFonts w:ascii="Times" w:hAnsi="Times" w:cs="Times"/>
          <w:lang w:val="en-US"/>
        </w:rPr>
        <w:t xml:space="preserve">their </w:t>
      </w:r>
      <w:r w:rsidRPr="00014F2A">
        <w:rPr>
          <w:rFonts w:ascii="Times" w:hAnsi="Times" w:cs="Times"/>
          <w:lang w:val="en-US"/>
        </w:rPr>
        <w:t xml:space="preserve">own intrinsic value, but because of </w:t>
      </w:r>
      <w:r w:rsidR="008C6B5F">
        <w:rPr>
          <w:rFonts w:ascii="Times" w:hAnsi="Times" w:cs="Times"/>
          <w:lang w:val="en-US"/>
        </w:rPr>
        <w:t xml:space="preserve">their </w:t>
      </w:r>
      <w:r w:rsidRPr="00014F2A">
        <w:rPr>
          <w:rFonts w:ascii="Times" w:hAnsi="Times" w:cs="Times"/>
          <w:lang w:val="en-US"/>
        </w:rPr>
        <w:t>association with a community which sees the safeguarding of its living culture as part of its human rights claim to maintain and develop its identity as a social body beyond the biological lif</w:t>
      </w:r>
      <w:r w:rsidRPr="00E14EC2">
        <w:rPr>
          <w:rFonts w:ascii="Times" w:hAnsi="Times" w:cs="Times"/>
          <w:lang w:val="en-US"/>
        </w:rPr>
        <w:t xml:space="preserve">e of its members. The 2003 </w:t>
      </w:r>
      <w:r w:rsidR="00C00471" w:rsidRPr="00E14EC2">
        <w:rPr>
          <w:rFonts w:ascii="Times" w:hAnsi="Times" w:cs="Times"/>
          <w:lang w:val="en-US"/>
        </w:rPr>
        <w:t>c</w:t>
      </w:r>
      <w:r w:rsidRPr="00E14EC2">
        <w:rPr>
          <w:rFonts w:ascii="Times" w:hAnsi="Times" w:cs="Times"/>
          <w:lang w:val="en-US"/>
        </w:rPr>
        <w:t>onvention therefore denotes a confluence of cultural heritage law with human rights law and the law on the protection of minorities and indigenous peoples.</w:t>
      </w:r>
      <w:bookmarkStart w:id="12" w:name="_Ref39573654"/>
      <w:r w:rsidRPr="00014F2A">
        <w:rPr>
          <w:rStyle w:val="EndnoteReference"/>
          <w:rFonts w:ascii="Times" w:hAnsi="Times" w:cs="Times"/>
          <w:lang w:val="en-US"/>
        </w:rPr>
        <w:endnoteReference w:id="15"/>
      </w:r>
      <w:bookmarkEnd w:id="12"/>
    </w:p>
    <w:p w14:paraId="24377F80" w14:textId="7E079AFA" w:rsidR="00583E93" w:rsidRPr="00E14EC2" w:rsidRDefault="000C5689" w:rsidP="003373DF">
      <w:pPr>
        <w:spacing w:line="480" w:lineRule="auto"/>
        <w:rPr>
          <w:rFonts w:ascii="Times" w:hAnsi="Times" w:cs="Times"/>
          <w:lang w:val="en-US"/>
        </w:rPr>
      </w:pPr>
      <w:r w:rsidRPr="00E14EC2">
        <w:rPr>
          <w:rFonts w:ascii="Times" w:hAnsi="Times" w:cs="Times"/>
          <w:lang w:val="en-US"/>
        </w:rPr>
        <w:tab/>
      </w:r>
      <w:r w:rsidR="00F1648C">
        <w:rPr>
          <w:rFonts w:ascii="Times" w:hAnsi="Times" w:cs="Times"/>
          <w:lang w:val="en-US"/>
        </w:rPr>
        <w:t>The</w:t>
      </w:r>
      <w:r w:rsidR="00AA0874" w:rsidRPr="00E14EC2">
        <w:rPr>
          <w:rFonts w:ascii="Times" w:hAnsi="Times" w:cs="Times"/>
          <w:lang w:val="en-US"/>
        </w:rPr>
        <w:t xml:space="preserve"> </w:t>
      </w:r>
      <w:r w:rsidR="00AA0874" w:rsidRPr="00E14EC2">
        <w:rPr>
          <w:rFonts w:ascii="Times" w:hAnsi="Times" w:cs="Times"/>
          <w:bCs/>
          <w:lang w:val="en-US" w:eastAsia="en-US"/>
        </w:rPr>
        <w:t>Convention on the Protection and Promotion of the Diversity of Cultural Expressions</w:t>
      </w:r>
      <w:r w:rsidR="00AA0874" w:rsidRPr="00E14EC2" w:rsidDel="00AA0874">
        <w:rPr>
          <w:rFonts w:ascii="Times" w:hAnsi="Times" w:cs="Times"/>
          <w:lang w:val="en-US"/>
        </w:rPr>
        <w:t xml:space="preserve"> </w:t>
      </w:r>
      <w:r w:rsidR="00583E93" w:rsidRPr="00E14EC2">
        <w:rPr>
          <w:rFonts w:ascii="Times" w:hAnsi="Times" w:cs="Times"/>
          <w:lang w:val="en-US"/>
        </w:rPr>
        <w:t xml:space="preserve">focuses on </w:t>
      </w:r>
      <w:r w:rsidR="002B75F9" w:rsidRPr="00E14EC2">
        <w:rPr>
          <w:rFonts w:ascii="Times" w:hAnsi="Times" w:cs="Times"/>
          <w:lang w:val="en-US"/>
        </w:rPr>
        <w:t>the plurality of culture</w:t>
      </w:r>
      <w:r w:rsidR="00B932D0">
        <w:rPr>
          <w:rFonts w:ascii="Times" w:hAnsi="Times" w:cs="Times"/>
          <w:lang w:val="en-US"/>
        </w:rPr>
        <w:t>s</w:t>
      </w:r>
      <w:r w:rsidR="002B75F9" w:rsidRPr="00E14EC2">
        <w:rPr>
          <w:rFonts w:ascii="Times" w:hAnsi="Times" w:cs="Times"/>
          <w:lang w:val="en-US"/>
        </w:rPr>
        <w:t xml:space="preserve"> and </w:t>
      </w:r>
      <w:r w:rsidR="00583E93" w:rsidRPr="00E14EC2">
        <w:rPr>
          <w:rFonts w:ascii="Times" w:hAnsi="Times" w:cs="Times"/>
          <w:lang w:val="en-US"/>
        </w:rPr>
        <w:t>cultural diversity</w:t>
      </w:r>
      <w:r w:rsidR="002B75F9" w:rsidRPr="00E14EC2">
        <w:rPr>
          <w:rFonts w:ascii="Times" w:hAnsi="Times" w:cs="Times"/>
          <w:lang w:val="en-US"/>
        </w:rPr>
        <w:t xml:space="preserve"> </w:t>
      </w:r>
      <w:r w:rsidR="00C55D05" w:rsidRPr="00E14EC2">
        <w:rPr>
          <w:rFonts w:ascii="Times" w:hAnsi="Times" w:cs="Times"/>
          <w:lang w:val="en-US"/>
        </w:rPr>
        <w:t xml:space="preserve">as </w:t>
      </w:r>
      <w:r w:rsidR="005975BC" w:rsidRPr="00E14EC2">
        <w:rPr>
          <w:rFonts w:ascii="Times" w:hAnsi="Times" w:cs="Times"/>
          <w:lang w:val="en-US"/>
        </w:rPr>
        <w:t>constitut</w:t>
      </w:r>
      <w:r w:rsidR="00C55D05" w:rsidRPr="00E14EC2">
        <w:rPr>
          <w:rFonts w:ascii="Times" w:hAnsi="Times" w:cs="Times"/>
          <w:lang w:val="en-US"/>
        </w:rPr>
        <w:t>ing</w:t>
      </w:r>
      <w:r w:rsidR="002B75F9" w:rsidRPr="00E14EC2">
        <w:rPr>
          <w:rFonts w:ascii="Times" w:hAnsi="Times" w:cs="Times"/>
          <w:lang w:val="en-US"/>
        </w:rPr>
        <w:t xml:space="preserve"> the </w:t>
      </w:r>
      <w:r w:rsidR="001E465C" w:rsidRPr="00E14EC2">
        <w:rPr>
          <w:rFonts w:ascii="Times" w:hAnsi="Times" w:cs="Times"/>
          <w:lang w:val="en-US"/>
        </w:rPr>
        <w:t>“</w:t>
      </w:r>
      <w:r w:rsidR="002B75F9" w:rsidRPr="00E14EC2">
        <w:rPr>
          <w:rFonts w:ascii="Times" w:hAnsi="Times" w:cs="Times"/>
          <w:lang w:val="en-US"/>
        </w:rPr>
        <w:t>common heritage of humanity</w:t>
      </w:r>
      <w:r w:rsidR="00E50096" w:rsidRPr="00E14EC2">
        <w:rPr>
          <w:rFonts w:ascii="Times" w:hAnsi="Times" w:cs="Times"/>
          <w:lang w:val="en-US"/>
        </w:rPr>
        <w:t>.”</w:t>
      </w:r>
      <w:r w:rsidR="002B75F9" w:rsidRPr="00014F2A">
        <w:rPr>
          <w:rStyle w:val="EndnoteReference"/>
          <w:rFonts w:ascii="Times" w:hAnsi="Times" w:cs="Times"/>
          <w:lang w:val="en-US"/>
        </w:rPr>
        <w:endnoteReference w:id="16"/>
      </w:r>
      <w:r w:rsidR="002B75F9" w:rsidRPr="00014F2A">
        <w:rPr>
          <w:rFonts w:ascii="Times" w:hAnsi="Times" w:cs="Times"/>
          <w:lang w:val="en-US"/>
        </w:rPr>
        <w:t xml:space="preserve"> </w:t>
      </w:r>
      <w:r w:rsidR="00641EAB" w:rsidRPr="00E14EC2">
        <w:rPr>
          <w:rFonts w:ascii="Times" w:hAnsi="Times" w:cs="Times"/>
          <w:lang w:val="en-US"/>
        </w:rPr>
        <w:t xml:space="preserve">But </w:t>
      </w:r>
      <w:r w:rsidR="00642669" w:rsidRPr="00E14EC2">
        <w:rPr>
          <w:rFonts w:ascii="Times" w:hAnsi="Times" w:cs="Times"/>
          <w:lang w:val="en-US"/>
        </w:rPr>
        <w:t>it</w:t>
      </w:r>
      <w:r w:rsidR="00CB1CA0" w:rsidRPr="00E14EC2">
        <w:rPr>
          <w:rFonts w:ascii="Times" w:hAnsi="Times" w:cs="Times"/>
          <w:lang w:val="en-US"/>
        </w:rPr>
        <w:t xml:space="preserve"> </w:t>
      </w:r>
      <w:r w:rsidR="00641EAB" w:rsidRPr="00E14EC2">
        <w:rPr>
          <w:rFonts w:ascii="Times" w:hAnsi="Times" w:cs="Times"/>
          <w:lang w:val="en-US"/>
        </w:rPr>
        <w:t xml:space="preserve">also </w:t>
      </w:r>
      <w:r w:rsidR="005975BC" w:rsidRPr="00E14EC2">
        <w:rPr>
          <w:rFonts w:ascii="Times" w:hAnsi="Times" w:cs="Times"/>
          <w:lang w:val="en-US"/>
        </w:rPr>
        <w:t xml:space="preserve">emphasizes that </w:t>
      </w:r>
      <w:r w:rsidR="00583E93" w:rsidRPr="00E14EC2">
        <w:rPr>
          <w:rFonts w:ascii="Times" w:hAnsi="Times" w:cs="Times"/>
          <w:lang w:val="en-US"/>
        </w:rPr>
        <w:t xml:space="preserve">protection of cultural diversity hinges on the protection of the rights of each individual, and not merely on the preservation of the tangible manifestations </w:t>
      </w:r>
      <w:r w:rsidR="00462C9A">
        <w:rPr>
          <w:rFonts w:ascii="Times" w:hAnsi="Times" w:cs="Times"/>
          <w:lang w:val="en-US"/>
        </w:rPr>
        <w:t>that</w:t>
      </w:r>
      <w:r w:rsidR="00583E93" w:rsidRPr="00E14EC2">
        <w:rPr>
          <w:rFonts w:ascii="Times" w:hAnsi="Times" w:cs="Times"/>
          <w:lang w:val="en-US"/>
        </w:rPr>
        <w:t xml:space="preserve"> express the</w:t>
      </w:r>
      <w:r w:rsidR="005975BC" w:rsidRPr="00E14EC2">
        <w:rPr>
          <w:rFonts w:ascii="Times" w:hAnsi="Times" w:cs="Times"/>
          <w:lang w:val="en-US"/>
        </w:rPr>
        <w:t>ir</w:t>
      </w:r>
      <w:r w:rsidR="00583E93" w:rsidRPr="00E14EC2">
        <w:rPr>
          <w:rFonts w:ascii="Times" w:hAnsi="Times" w:cs="Times"/>
          <w:lang w:val="en-US"/>
        </w:rPr>
        <w:t xml:space="preserve"> culture.</w:t>
      </w:r>
    </w:p>
    <w:p w14:paraId="23640AAF" w14:textId="05FE8F57" w:rsidR="00135AAB" w:rsidRPr="00E14EC2" w:rsidRDefault="000C5689" w:rsidP="003373DF">
      <w:pPr>
        <w:spacing w:line="480" w:lineRule="auto"/>
        <w:rPr>
          <w:rFonts w:ascii="Times" w:hAnsi="Times" w:cs="Times"/>
          <w:lang w:val="en-US"/>
        </w:rPr>
      </w:pPr>
      <w:r w:rsidRPr="00E14EC2">
        <w:rPr>
          <w:rFonts w:ascii="Times" w:hAnsi="Times" w:cs="Times"/>
          <w:lang w:val="en-US"/>
        </w:rPr>
        <w:tab/>
      </w:r>
      <w:r w:rsidR="00F1648C">
        <w:rPr>
          <w:rFonts w:ascii="Times" w:hAnsi="Times" w:cs="Times"/>
          <w:lang w:val="en-US"/>
        </w:rPr>
        <w:t>The</w:t>
      </w:r>
      <w:r w:rsidR="008F79F7" w:rsidRPr="00E14EC2">
        <w:rPr>
          <w:rFonts w:ascii="Times" w:hAnsi="Times" w:cs="Times"/>
          <w:lang w:val="en-US"/>
        </w:rPr>
        <w:t xml:space="preserve"> </w:t>
      </w:r>
      <w:r w:rsidR="0098754F" w:rsidRPr="00E14EC2">
        <w:rPr>
          <w:rFonts w:ascii="Times" w:hAnsi="Times" w:cs="Times"/>
          <w:lang w:val="en-US"/>
        </w:rPr>
        <w:t xml:space="preserve">scope of the </w:t>
      </w:r>
      <w:r w:rsidR="008F79F7" w:rsidRPr="00E14EC2">
        <w:rPr>
          <w:rFonts w:ascii="Times" w:hAnsi="Times" w:cs="Times"/>
          <w:lang w:val="en-US"/>
        </w:rPr>
        <w:t xml:space="preserve">international legal </w:t>
      </w:r>
      <w:r w:rsidR="008B040A" w:rsidRPr="00E14EC2">
        <w:rPr>
          <w:rFonts w:ascii="Times" w:hAnsi="Times" w:cs="Times"/>
          <w:lang w:val="en-US"/>
        </w:rPr>
        <w:t>framework</w:t>
      </w:r>
      <w:r w:rsidR="008F79F7" w:rsidRPr="00E14EC2">
        <w:rPr>
          <w:rFonts w:ascii="Times" w:hAnsi="Times" w:cs="Times"/>
          <w:lang w:val="en-US"/>
        </w:rPr>
        <w:t xml:space="preserve"> has changed dramatically since the establishment of UNESCO</w:t>
      </w:r>
      <w:r w:rsidR="0098754F" w:rsidRPr="00E14EC2">
        <w:rPr>
          <w:rFonts w:ascii="Times" w:hAnsi="Times" w:cs="Times"/>
          <w:lang w:val="en-US"/>
        </w:rPr>
        <w:t xml:space="preserve"> in 1945. </w:t>
      </w:r>
      <w:r w:rsidR="008B040A" w:rsidRPr="00E14EC2">
        <w:rPr>
          <w:rFonts w:ascii="Times" w:hAnsi="Times" w:cs="Times"/>
          <w:lang w:val="en-US"/>
        </w:rPr>
        <w:t xml:space="preserve">Initially, </w:t>
      </w:r>
      <w:r w:rsidR="0098754F" w:rsidRPr="00E14EC2">
        <w:rPr>
          <w:rFonts w:ascii="Times" w:hAnsi="Times" w:cs="Times"/>
          <w:lang w:val="en-US"/>
        </w:rPr>
        <w:t xml:space="preserve">it was concerned with the preservation of </w:t>
      </w:r>
      <w:r w:rsidR="008B040A" w:rsidRPr="00E14EC2">
        <w:rPr>
          <w:rFonts w:ascii="Times" w:hAnsi="Times" w:cs="Times"/>
          <w:lang w:val="en-US"/>
        </w:rPr>
        <w:t xml:space="preserve">the </w:t>
      </w:r>
      <w:r w:rsidR="0098754F" w:rsidRPr="00E14EC2">
        <w:rPr>
          <w:rFonts w:ascii="Times" w:hAnsi="Times" w:cs="Times"/>
          <w:lang w:val="en-US"/>
        </w:rPr>
        <w:t>integrity of tangible objects</w:t>
      </w:r>
      <w:r w:rsidR="005C57A5" w:rsidRPr="00E14EC2">
        <w:rPr>
          <w:rFonts w:ascii="Times" w:hAnsi="Times" w:cs="Times"/>
          <w:lang w:val="en-US"/>
        </w:rPr>
        <w:t xml:space="preserve"> </w:t>
      </w:r>
      <w:r w:rsidR="008B040A" w:rsidRPr="00E14EC2">
        <w:rPr>
          <w:rFonts w:ascii="Times" w:hAnsi="Times" w:cs="Times"/>
          <w:lang w:val="en-US"/>
        </w:rPr>
        <w:t>in time</w:t>
      </w:r>
      <w:r w:rsidR="00462C9A">
        <w:rPr>
          <w:rFonts w:ascii="Times" w:hAnsi="Times" w:cs="Times"/>
          <w:lang w:val="en-US"/>
        </w:rPr>
        <w:t>s</w:t>
      </w:r>
      <w:r w:rsidR="008B040A" w:rsidRPr="00E14EC2">
        <w:rPr>
          <w:rFonts w:ascii="Times" w:hAnsi="Times" w:cs="Times"/>
          <w:lang w:val="en-US"/>
        </w:rPr>
        <w:t xml:space="preserve"> of armed conflict.</w:t>
      </w:r>
      <w:r w:rsidR="008A30CF" w:rsidRPr="00E14EC2">
        <w:rPr>
          <w:rFonts w:ascii="Times" w:hAnsi="Times" w:cs="Times"/>
          <w:lang w:val="en-US"/>
        </w:rPr>
        <w:t xml:space="preserve"> Then</w:t>
      </w:r>
      <w:r w:rsidR="008B040A" w:rsidRPr="00E14EC2">
        <w:rPr>
          <w:rFonts w:ascii="Times" w:hAnsi="Times" w:cs="Times"/>
          <w:lang w:val="en-US"/>
        </w:rPr>
        <w:t xml:space="preserve">, </w:t>
      </w:r>
      <w:r w:rsidR="005C57A5" w:rsidRPr="00E14EC2">
        <w:rPr>
          <w:rFonts w:ascii="Times" w:hAnsi="Times" w:cs="Times"/>
          <w:lang w:val="en-US"/>
        </w:rPr>
        <w:t>in response to</w:t>
      </w:r>
      <w:r w:rsidR="00916304" w:rsidRPr="00E14EC2">
        <w:rPr>
          <w:rFonts w:ascii="Times" w:hAnsi="Times" w:cs="Times"/>
          <w:lang w:val="en-US"/>
        </w:rPr>
        <w:t xml:space="preserve"> environmental concerns, </w:t>
      </w:r>
      <w:r w:rsidR="008B040A" w:rsidRPr="00E14EC2">
        <w:rPr>
          <w:rFonts w:ascii="Times" w:hAnsi="Times" w:cs="Times"/>
          <w:lang w:val="en-US"/>
        </w:rPr>
        <w:t xml:space="preserve">protection was extended </w:t>
      </w:r>
      <w:r w:rsidR="008F79F7" w:rsidRPr="00E14EC2">
        <w:rPr>
          <w:rFonts w:ascii="Times" w:hAnsi="Times" w:cs="Times"/>
          <w:lang w:val="en-US"/>
        </w:rPr>
        <w:t xml:space="preserve">to </w:t>
      </w:r>
      <w:r w:rsidR="005C57A5" w:rsidRPr="00E14EC2">
        <w:rPr>
          <w:rFonts w:ascii="Times" w:hAnsi="Times" w:cs="Times"/>
          <w:lang w:val="en-US"/>
        </w:rPr>
        <w:t>s</w:t>
      </w:r>
      <w:r w:rsidR="002D79DF">
        <w:rPr>
          <w:rFonts w:ascii="Times" w:hAnsi="Times" w:cs="Times"/>
          <w:lang w:val="en-US"/>
        </w:rPr>
        <w:t>ites</w:t>
      </w:r>
      <w:r w:rsidR="005C57A5" w:rsidRPr="00E14EC2">
        <w:rPr>
          <w:rFonts w:ascii="Times" w:hAnsi="Times" w:cs="Times"/>
          <w:lang w:val="en-US"/>
        </w:rPr>
        <w:t xml:space="preserve"> of cultural and natural importance</w:t>
      </w:r>
      <w:r w:rsidR="00916304" w:rsidRPr="00E14EC2">
        <w:rPr>
          <w:rFonts w:ascii="Times" w:hAnsi="Times" w:cs="Times"/>
          <w:lang w:val="en-US"/>
        </w:rPr>
        <w:t xml:space="preserve">. </w:t>
      </w:r>
      <w:r w:rsidR="002D79DF">
        <w:rPr>
          <w:rFonts w:ascii="Times" w:hAnsi="Times" w:cs="Times"/>
          <w:lang w:val="en-US"/>
        </w:rPr>
        <w:t>More recently,</w:t>
      </w:r>
      <w:r w:rsidR="00916304" w:rsidRPr="00E14EC2">
        <w:rPr>
          <w:rFonts w:ascii="Times" w:hAnsi="Times" w:cs="Times"/>
          <w:lang w:val="en-US"/>
        </w:rPr>
        <w:t xml:space="preserve"> </w:t>
      </w:r>
      <w:r w:rsidR="008A30CF" w:rsidRPr="00E14EC2">
        <w:rPr>
          <w:rFonts w:ascii="Times" w:hAnsi="Times" w:cs="Times"/>
          <w:lang w:val="en-US"/>
        </w:rPr>
        <w:t xml:space="preserve">intangible heritage </w:t>
      </w:r>
      <w:r w:rsidR="00CE02F9" w:rsidRPr="00E14EC2">
        <w:rPr>
          <w:rFonts w:ascii="Times" w:hAnsi="Times" w:cs="Times"/>
          <w:lang w:val="en-US"/>
        </w:rPr>
        <w:t xml:space="preserve">was </w:t>
      </w:r>
      <w:r w:rsidR="0046556C" w:rsidRPr="00E14EC2">
        <w:rPr>
          <w:rFonts w:ascii="Times" w:hAnsi="Times" w:cs="Times"/>
          <w:lang w:val="en-US"/>
        </w:rPr>
        <w:t xml:space="preserve">included in the concept of </w:t>
      </w:r>
      <w:r w:rsidR="008A30CF" w:rsidRPr="00E14EC2">
        <w:rPr>
          <w:rFonts w:ascii="Times" w:hAnsi="Times" w:cs="Times"/>
          <w:lang w:val="en-US"/>
        </w:rPr>
        <w:t xml:space="preserve">cultural heritage. </w:t>
      </w:r>
      <w:r w:rsidR="0046556C" w:rsidRPr="00E14EC2">
        <w:rPr>
          <w:rFonts w:ascii="Times" w:hAnsi="Times" w:cs="Times"/>
          <w:lang w:val="en-US"/>
        </w:rPr>
        <w:t xml:space="preserve">Accordingly, </w:t>
      </w:r>
      <w:r w:rsidR="008A30CF" w:rsidRPr="00E14EC2">
        <w:rPr>
          <w:rFonts w:ascii="Times" w:hAnsi="Times" w:cs="Times"/>
          <w:lang w:val="en-US"/>
        </w:rPr>
        <w:t xml:space="preserve">today </w:t>
      </w:r>
      <w:r w:rsidR="0046556C" w:rsidRPr="00E14EC2">
        <w:rPr>
          <w:rFonts w:ascii="Times" w:hAnsi="Times" w:cs="Times"/>
          <w:lang w:val="en-US"/>
        </w:rPr>
        <w:t xml:space="preserve">the </w:t>
      </w:r>
      <w:r w:rsidR="0046556C" w:rsidRPr="00E14EC2">
        <w:rPr>
          <w:rFonts w:ascii="Times" w:hAnsi="Times" w:cs="Times"/>
          <w:lang w:val="en-US"/>
        </w:rPr>
        <w:lastRenderedPageBreak/>
        <w:t>international legal framework not only covers all types of cultural expressions, but also</w:t>
      </w:r>
      <w:r w:rsidR="002A6DAD" w:rsidRPr="00E14EC2">
        <w:rPr>
          <w:lang w:val="en-US"/>
        </w:rPr>
        <w:t>—</w:t>
      </w:r>
      <w:r w:rsidR="0046556C" w:rsidRPr="00E14EC2">
        <w:rPr>
          <w:rFonts w:ascii="Times" w:hAnsi="Times" w:cs="Times"/>
          <w:lang w:val="en-US"/>
        </w:rPr>
        <w:t>as</w:t>
      </w:r>
      <w:r w:rsidR="0028577F" w:rsidRPr="00E14EC2">
        <w:rPr>
          <w:rFonts w:ascii="Times" w:hAnsi="Times" w:cs="Times"/>
          <w:lang w:val="en-US"/>
        </w:rPr>
        <w:t xml:space="preserve"> </w:t>
      </w:r>
      <w:r w:rsidR="0046556C" w:rsidRPr="00E14EC2">
        <w:rPr>
          <w:rFonts w:ascii="Times" w:hAnsi="Times" w:cs="Times"/>
          <w:lang w:val="en-US"/>
        </w:rPr>
        <w:t xml:space="preserve">demonstrated </w:t>
      </w:r>
      <w:r w:rsidR="00EF5E34" w:rsidRPr="00E14EC2">
        <w:rPr>
          <w:rFonts w:ascii="Times" w:hAnsi="Times" w:cs="Times"/>
          <w:lang w:val="en-US"/>
        </w:rPr>
        <w:t>in the next section</w:t>
      </w:r>
      <w:r w:rsidR="002A6DAD" w:rsidRPr="00E14EC2">
        <w:rPr>
          <w:lang w:val="en-US"/>
        </w:rPr>
        <w:t>—</w:t>
      </w:r>
      <w:r w:rsidR="008F79F7" w:rsidRPr="00E14EC2">
        <w:rPr>
          <w:rFonts w:ascii="Times" w:hAnsi="Times" w:cs="Times"/>
          <w:lang w:val="en-US"/>
        </w:rPr>
        <w:t xml:space="preserve">the human </w:t>
      </w:r>
      <w:r w:rsidR="0046556C" w:rsidRPr="00E14EC2">
        <w:rPr>
          <w:rFonts w:ascii="Times" w:hAnsi="Times" w:cs="Times"/>
          <w:lang w:val="en-US"/>
        </w:rPr>
        <w:t xml:space="preserve">rights associated </w:t>
      </w:r>
      <w:r w:rsidR="005E2566" w:rsidRPr="00E14EC2">
        <w:rPr>
          <w:rFonts w:ascii="Times" w:hAnsi="Times" w:cs="Times"/>
          <w:lang w:val="en-US"/>
        </w:rPr>
        <w:t>with</w:t>
      </w:r>
      <w:r w:rsidR="0046556C" w:rsidRPr="00E14EC2">
        <w:rPr>
          <w:rFonts w:ascii="Times" w:hAnsi="Times" w:cs="Times"/>
          <w:lang w:val="en-US"/>
        </w:rPr>
        <w:t xml:space="preserve"> </w:t>
      </w:r>
      <w:r w:rsidR="00CE02F9" w:rsidRPr="00E14EC2">
        <w:rPr>
          <w:rFonts w:ascii="Times" w:hAnsi="Times" w:cs="Times"/>
          <w:lang w:val="en-US"/>
        </w:rPr>
        <w:t>them</w:t>
      </w:r>
      <w:r w:rsidR="0046556C" w:rsidRPr="00E14EC2">
        <w:rPr>
          <w:rFonts w:ascii="Times" w:hAnsi="Times" w:cs="Times"/>
          <w:lang w:val="en-US"/>
        </w:rPr>
        <w:t>.</w:t>
      </w:r>
    </w:p>
    <w:p w14:paraId="16501EC2" w14:textId="11CD9E1A" w:rsidR="00583E93" w:rsidRPr="00E14EC2" w:rsidRDefault="00135AAB" w:rsidP="003373DF">
      <w:pPr>
        <w:spacing w:line="480" w:lineRule="auto"/>
        <w:rPr>
          <w:rFonts w:ascii="Times" w:eastAsia="Calibri" w:hAnsi="Times" w:cs="Times"/>
          <w:lang w:val="en-US"/>
        </w:rPr>
      </w:pPr>
      <w:r w:rsidRPr="00E14EC2">
        <w:rPr>
          <w:rFonts w:ascii="Times" w:hAnsi="Times" w:cs="Times"/>
          <w:lang w:val="en-US"/>
        </w:rPr>
        <w:tab/>
      </w:r>
      <w:r w:rsidR="00583E93" w:rsidRPr="00E14EC2">
        <w:rPr>
          <w:rFonts w:ascii="Times" w:eastAsia="Calibri" w:hAnsi="Times" w:cs="Times"/>
          <w:lang w:val="en-US"/>
        </w:rPr>
        <w:t xml:space="preserve">Finally, </w:t>
      </w:r>
      <w:r w:rsidR="00513BEA" w:rsidRPr="00E14EC2">
        <w:rPr>
          <w:rFonts w:ascii="Times" w:eastAsia="Calibri" w:hAnsi="Times" w:cs="Times"/>
          <w:lang w:val="en-US"/>
        </w:rPr>
        <w:t xml:space="preserve">the </w:t>
      </w:r>
      <w:r w:rsidR="00583E93" w:rsidRPr="00E14EC2">
        <w:rPr>
          <w:rFonts w:ascii="Times" w:eastAsia="Calibri" w:hAnsi="Times" w:cs="Times"/>
          <w:lang w:val="en-US"/>
        </w:rPr>
        <w:t xml:space="preserve">influence </w:t>
      </w:r>
      <w:r w:rsidR="00513BEA" w:rsidRPr="00E14EC2">
        <w:rPr>
          <w:rFonts w:ascii="Times" w:eastAsia="Calibri" w:hAnsi="Times" w:cs="Times"/>
          <w:lang w:val="en-US"/>
        </w:rPr>
        <w:t xml:space="preserve">of international human rights law </w:t>
      </w:r>
      <w:r w:rsidR="00583E93" w:rsidRPr="00E14EC2">
        <w:rPr>
          <w:rFonts w:ascii="Times" w:eastAsia="Calibri" w:hAnsi="Times" w:cs="Times"/>
          <w:lang w:val="en-US"/>
        </w:rPr>
        <w:t xml:space="preserve">is discernible in treaty clauses </w:t>
      </w:r>
      <w:r w:rsidR="000171D5" w:rsidRPr="00E14EC2">
        <w:rPr>
          <w:rFonts w:ascii="Times" w:eastAsia="Calibri" w:hAnsi="Times" w:cs="Times"/>
          <w:lang w:val="en-US"/>
        </w:rPr>
        <w:t xml:space="preserve">which </w:t>
      </w:r>
      <w:r w:rsidR="00583E93" w:rsidRPr="00E14EC2">
        <w:rPr>
          <w:rFonts w:ascii="Times" w:eastAsia="Calibri" w:hAnsi="Times" w:cs="Times"/>
          <w:lang w:val="en-US"/>
        </w:rPr>
        <w:t xml:space="preserve">proclaim that </w:t>
      </w:r>
      <w:r w:rsidR="00EA4574" w:rsidRPr="00E14EC2">
        <w:rPr>
          <w:rFonts w:ascii="Times" w:eastAsia="Calibri" w:hAnsi="Times" w:cs="Times"/>
          <w:lang w:val="en-US"/>
        </w:rPr>
        <w:t>“</w:t>
      </w:r>
      <w:r w:rsidR="00EA4574" w:rsidRPr="00E14EC2">
        <w:rPr>
          <w:rFonts w:ascii="Times" w:hAnsi="Times" w:cs="Times"/>
          <w:lang w:val="en-US"/>
        </w:rPr>
        <w:t>harmful traditional practices”</w:t>
      </w:r>
      <w:r w:rsidR="00583E93" w:rsidRPr="00E14EC2">
        <w:rPr>
          <w:rFonts w:ascii="Times" w:eastAsia="Calibri" w:hAnsi="Times" w:cs="Times"/>
          <w:lang w:val="en-US"/>
        </w:rPr>
        <w:t xml:space="preserve"> </w:t>
      </w:r>
      <w:r w:rsidR="004E3B68" w:rsidRPr="00E14EC2">
        <w:rPr>
          <w:rFonts w:ascii="Times" w:eastAsia="Calibri" w:hAnsi="Times" w:cs="Times"/>
          <w:lang w:val="en-US"/>
        </w:rPr>
        <w:t xml:space="preserve">(such as </w:t>
      </w:r>
      <w:r w:rsidR="004E3B68" w:rsidRPr="00E14EC2">
        <w:rPr>
          <w:rFonts w:ascii="Times" w:hAnsi="Times" w:cs="Times"/>
          <w:lang w:val="en-US"/>
        </w:rPr>
        <w:t xml:space="preserve">female genital mutilation, polygamy, </w:t>
      </w:r>
      <w:r w:rsidR="004E3B68" w:rsidRPr="00E14EC2">
        <w:rPr>
          <w:rFonts w:ascii="Times" w:hAnsi="Times" w:cs="Times"/>
          <w:iCs/>
          <w:lang w:val="en-US"/>
        </w:rPr>
        <w:t xml:space="preserve">female infanticide, child </w:t>
      </w:r>
      <w:r w:rsidR="000171D5" w:rsidRPr="00E14EC2">
        <w:rPr>
          <w:rFonts w:ascii="Times" w:hAnsi="Times" w:cs="Times"/>
          <w:iCs/>
          <w:lang w:val="en-US"/>
        </w:rPr>
        <w:t>[</w:t>
      </w:r>
      <w:r w:rsidR="004E3B68" w:rsidRPr="00E14EC2">
        <w:rPr>
          <w:rFonts w:ascii="Times" w:hAnsi="Times" w:cs="Times"/>
          <w:iCs/>
          <w:lang w:val="en-US"/>
        </w:rPr>
        <w:t>forced</w:t>
      </w:r>
      <w:r w:rsidR="000171D5" w:rsidRPr="00E14EC2">
        <w:rPr>
          <w:rFonts w:ascii="Times" w:hAnsi="Times" w:cs="Times"/>
          <w:iCs/>
          <w:lang w:val="en-US"/>
        </w:rPr>
        <w:t>]</w:t>
      </w:r>
      <w:r w:rsidR="004E3B68" w:rsidRPr="00E14EC2">
        <w:rPr>
          <w:rFonts w:ascii="Times" w:hAnsi="Times" w:cs="Times"/>
          <w:iCs/>
          <w:lang w:val="en-US"/>
        </w:rPr>
        <w:t xml:space="preserve"> marriage, and </w:t>
      </w:r>
      <w:r w:rsidR="004E3B68" w:rsidRPr="00E14EC2">
        <w:rPr>
          <w:rFonts w:ascii="Times" w:hAnsi="Times" w:cs="Times"/>
          <w:lang w:val="en-US"/>
        </w:rPr>
        <w:t>honor killings</w:t>
      </w:r>
      <w:r w:rsidR="004E3B68" w:rsidRPr="00E14EC2">
        <w:rPr>
          <w:rFonts w:ascii="Times" w:eastAsia="Calibri" w:hAnsi="Times" w:cs="Times"/>
          <w:lang w:val="en-US"/>
        </w:rPr>
        <w:t>)</w:t>
      </w:r>
      <w:r w:rsidR="004E3B68" w:rsidRPr="00014F2A">
        <w:rPr>
          <w:rStyle w:val="EndnoteReference"/>
          <w:rFonts w:ascii="Times" w:eastAsia="Calibri" w:hAnsi="Times" w:cs="Times"/>
          <w:lang w:val="en-US"/>
        </w:rPr>
        <w:endnoteReference w:id="17"/>
      </w:r>
      <w:r w:rsidR="004E3B68" w:rsidRPr="00014F2A">
        <w:rPr>
          <w:rFonts w:ascii="Times" w:eastAsia="Calibri" w:hAnsi="Times" w:cs="Times"/>
          <w:lang w:val="en-US"/>
        </w:rPr>
        <w:t xml:space="preserve"> </w:t>
      </w:r>
      <w:r w:rsidR="00583E93" w:rsidRPr="00E14EC2">
        <w:rPr>
          <w:rFonts w:ascii="Times" w:hAnsi="Times" w:cs="Times"/>
          <w:lang w:val="en-US"/>
        </w:rPr>
        <w:t>are not worthy of protection</w:t>
      </w:r>
      <w:r w:rsidR="00583E93" w:rsidRPr="00E14EC2">
        <w:rPr>
          <w:rFonts w:ascii="Times" w:eastAsia="Calibri" w:hAnsi="Times" w:cs="Times"/>
          <w:lang w:val="en-US"/>
        </w:rPr>
        <w:t xml:space="preserve"> under cultural heritage law.</w:t>
      </w:r>
      <w:r w:rsidR="00432DC3" w:rsidRPr="00014F2A">
        <w:rPr>
          <w:rStyle w:val="EndnoteReference"/>
          <w:rFonts w:ascii="Times" w:eastAsia="Calibri" w:hAnsi="Times" w:cs="Times"/>
          <w:lang w:val="en-US"/>
        </w:rPr>
        <w:endnoteReference w:id="18"/>
      </w:r>
      <w:r w:rsidR="004E3B68" w:rsidRPr="00014F2A">
        <w:rPr>
          <w:rFonts w:ascii="Times" w:eastAsia="Calibri" w:hAnsi="Times" w:cs="Times"/>
          <w:lang w:val="en-US"/>
        </w:rPr>
        <w:t xml:space="preserve"> For instance, </w:t>
      </w:r>
      <w:r w:rsidR="003F1CB3" w:rsidRPr="00014F2A">
        <w:rPr>
          <w:rFonts w:ascii="Times" w:eastAsia="Calibri" w:hAnsi="Times" w:cs="Times"/>
          <w:lang w:val="en-US"/>
        </w:rPr>
        <w:t xml:space="preserve">Article 4 </w:t>
      </w:r>
      <w:r w:rsidR="00250A14" w:rsidRPr="00E14EC2">
        <w:rPr>
          <w:rFonts w:ascii="Times" w:eastAsia="Calibri" w:hAnsi="Times" w:cs="Times"/>
          <w:lang w:val="en-US"/>
        </w:rPr>
        <w:t xml:space="preserve">of the 2001 </w:t>
      </w:r>
      <w:r w:rsidR="00C00471" w:rsidRPr="00E14EC2">
        <w:rPr>
          <w:rFonts w:ascii="Times" w:eastAsia="Calibri" w:hAnsi="Times" w:cs="Times"/>
          <w:lang w:val="en-US"/>
        </w:rPr>
        <w:t>d</w:t>
      </w:r>
      <w:r w:rsidR="00250A14" w:rsidRPr="00E14EC2">
        <w:rPr>
          <w:rFonts w:ascii="Times" w:eastAsia="Calibri" w:hAnsi="Times" w:cs="Times"/>
          <w:lang w:val="en-US"/>
        </w:rPr>
        <w:t>eclaration</w:t>
      </w:r>
      <w:r w:rsidR="003F1CB3" w:rsidRPr="00E14EC2">
        <w:rPr>
          <w:rFonts w:ascii="Times" w:eastAsia="Calibri" w:hAnsi="Times" w:cs="Times"/>
          <w:lang w:val="en-US"/>
        </w:rPr>
        <w:t xml:space="preserve"> states that “n</w:t>
      </w:r>
      <w:r w:rsidR="003F1CB3" w:rsidRPr="00E14EC2">
        <w:rPr>
          <w:rFonts w:ascii="Times" w:hAnsi="Times" w:cs="Times"/>
          <w:lang w:val="en-US"/>
        </w:rPr>
        <w:t>o one may invoke cultural diversity to infringe upon human rights guaranteed by international law</w:t>
      </w:r>
      <w:r w:rsidR="00E50096" w:rsidRPr="00E14EC2">
        <w:rPr>
          <w:rFonts w:ascii="Times" w:hAnsi="Times" w:cs="Times"/>
          <w:bCs/>
          <w:lang w:val="en-US"/>
        </w:rPr>
        <w:t>.”</w:t>
      </w:r>
      <w:r w:rsidR="003F1CB3" w:rsidRPr="00E14EC2">
        <w:rPr>
          <w:rFonts w:ascii="Times" w:eastAsia="Calibri" w:hAnsi="Times" w:cs="Times"/>
          <w:lang w:val="en-US"/>
        </w:rPr>
        <w:t xml:space="preserve"> </w:t>
      </w:r>
      <w:r w:rsidR="004E3B68" w:rsidRPr="00E14EC2">
        <w:rPr>
          <w:rFonts w:ascii="Times" w:eastAsia="Calibri" w:hAnsi="Times" w:cs="Times"/>
          <w:lang w:val="en-US"/>
        </w:rPr>
        <w:t>Article 2</w:t>
      </w:r>
      <w:r w:rsidR="00565E97" w:rsidRPr="00E14EC2">
        <w:rPr>
          <w:rFonts w:ascii="Times" w:eastAsia="Calibri" w:hAnsi="Times" w:cs="Times"/>
          <w:lang w:val="en-US"/>
        </w:rPr>
        <w:t>.</w:t>
      </w:r>
      <w:r w:rsidR="004E3B68" w:rsidRPr="00E14EC2">
        <w:rPr>
          <w:rFonts w:ascii="Times" w:eastAsia="Calibri" w:hAnsi="Times" w:cs="Times"/>
          <w:lang w:val="en-US"/>
        </w:rPr>
        <w:t xml:space="preserve">1 of the 2003 </w:t>
      </w:r>
      <w:r w:rsidR="00C00471" w:rsidRPr="00E14EC2">
        <w:rPr>
          <w:rFonts w:ascii="Times" w:eastAsia="Calibri" w:hAnsi="Times" w:cs="Times"/>
          <w:lang w:val="en-US"/>
        </w:rPr>
        <w:t>c</w:t>
      </w:r>
      <w:r w:rsidR="004E3B68" w:rsidRPr="00E14EC2">
        <w:rPr>
          <w:rFonts w:ascii="Times" w:eastAsia="Calibri" w:hAnsi="Times" w:cs="Times"/>
          <w:lang w:val="en-US"/>
        </w:rPr>
        <w:t>onvention provides that “for the purposes of this Convention, consideration will be given solely to such intangible cultural heritage as is compatible with existing international human rights instruments</w:t>
      </w:r>
      <w:r w:rsidR="00E50096" w:rsidRPr="00E14EC2">
        <w:rPr>
          <w:rFonts w:ascii="Times" w:hAnsi="Times" w:cs="Times"/>
          <w:bCs/>
          <w:lang w:val="en-US"/>
        </w:rPr>
        <w:t>.”</w:t>
      </w:r>
      <w:r w:rsidR="004E3B68" w:rsidRPr="00E14EC2">
        <w:rPr>
          <w:rFonts w:ascii="Times" w:eastAsia="Calibri" w:hAnsi="Times" w:cs="Times"/>
          <w:lang w:val="en-US"/>
        </w:rPr>
        <w:t xml:space="preserve"> </w:t>
      </w:r>
      <w:r w:rsidR="004E3B68" w:rsidRPr="00E14EC2">
        <w:rPr>
          <w:rFonts w:ascii="Times" w:hAnsi="Times" w:cs="Times"/>
          <w:lang w:val="en-US"/>
        </w:rPr>
        <w:t>Similarly, Article 2</w:t>
      </w:r>
      <w:r w:rsidR="00E40A97" w:rsidRPr="00E14EC2">
        <w:rPr>
          <w:rFonts w:ascii="Times" w:hAnsi="Times" w:cs="Times"/>
          <w:lang w:val="en-US"/>
        </w:rPr>
        <w:t>.</w:t>
      </w:r>
      <w:r w:rsidR="004E3B68" w:rsidRPr="00E14EC2">
        <w:rPr>
          <w:rFonts w:ascii="Times" w:hAnsi="Times" w:cs="Times"/>
          <w:lang w:val="en-US"/>
        </w:rPr>
        <w:t xml:space="preserve">1 of the 2005 </w:t>
      </w:r>
      <w:r w:rsidR="00C00471" w:rsidRPr="00E14EC2">
        <w:rPr>
          <w:rFonts w:ascii="Times" w:eastAsia="Calibri" w:hAnsi="Times" w:cs="Times"/>
          <w:lang w:val="en-US"/>
        </w:rPr>
        <w:t>c</w:t>
      </w:r>
      <w:r w:rsidR="004E3B68" w:rsidRPr="00E14EC2">
        <w:rPr>
          <w:rFonts w:ascii="Times" w:eastAsia="Calibri" w:hAnsi="Times" w:cs="Times"/>
          <w:lang w:val="en-US"/>
        </w:rPr>
        <w:t>onvention</w:t>
      </w:r>
      <w:r w:rsidR="004E3B68" w:rsidRPr="00E14EC2">
        <w:rPr>
          <w:rFonts w:ascii="Times" w:hAnsi="Times" w:cs="Times"/>
          <w:lang w:val="en-US"/>
        </w:rPr>
        <w:t xml:space="preserve"> affirms </w:t>
      </w:r>
      <w:r w:rsidR="00E40A97" w:rsidRPr="00E14EC2">
        <w:rPr>
          <w:rFonts w:ascii="Times" w:hAnsi="Times" w:cs="Times"/>
          <w:lang w:val="en-US"/>
        </w:rPr>
        <w:t xml:space="preserve">that </w:t>
      </w:r>
      <w:r w:rsidR="004E3B68" w:rsidRPr="00E14EC2">
        <w:rPr>
          <w:rFonts w:ascii="Times" w:hAnsi="Times" w:cs="Times"/>
          <w:lang w:val="en-US"/>
        </w:rPr>
        <w:t>“no one may invoke the provisions of this Convention in order to infringe human rights and fundamental freedoms</w:t>
      </w:r>
      <w:r w:rsidR="00E50096" w:rsidRPr="00E14EC2">
        <w:rPr>
          <w:rFonts w:ascii="Times" w:hAnsi="Times" w:cs="Times"/>
          <w:bCs/>
          <w:lang w:val="en-US"/>
        </w:rPr>
        <w:t>.”</w:t>
      </w:r>
      <w:r w:rsidR="00462C9A">
        <w:rPr>
          <w:rFonts w:ascii="Times" w:hAnsi="Times" w:cs="Times"/>
          <w:lang w:val="en-US"/>
        </w:rPr>
        <w:t xml:space="preserve"> I</w:t>
      </w:r>
      <w:r w:rsidR="00583E93" w:rsidRPr="00E14EC2">
        <w:rPr>
          <w:rFonts w:ascii="Times" w:hAnsi="Times" w:cs="Times"/>
          <w:lang w:val="en-US"/>
        </w:rPr>
        <w:t>n all, the</w:t>
      </w:r>
      <w:r w:rsidR="001E75E2" w:rsidRPr="00E14EC2">
        <w:rPr>
          <w:rFonts w:ascii="Times" w:hAnsi="Times" w:cs="Times"/>
          <w:lang w:val="en-US"/>
        </w:rPr>
        <w:t>se</w:t>
      </w:r>
      <w:r w:rsidR="00583E93" w:rsidRPr="00E14EC2">
        <w:rPr>
          <w:rFonts w:ascii="Times" w:hAnsi="Times" w:cs="Times"/>
          <w:lang w:val="en-US"/>
        </w:rPr>
        <w:t xml:space="preserve"> provisions indicate that the imperative of cultural heritage protection s</w:t>
      </w:r>
      <w:r w:rsidR="00583E93" w:rsidRPr="00E14EC2">
        <w:rPr>
          <w:rFonts w:ascii="Times" w:hAnsi="Times" w:cs="Times"/>
          <w:lang w:val="en-US" w:bidi="he-IL"/>
        </w:rPr>
        <w:t xml:space="preserve">hould not be used to uphold violent or discriminatory </w:t>
      </w:r>
      <w:r w:rsidR="00583E93" w:rsidRPr="00E14EC2">
        <w:rPr>
          <w:rFonts w:ascii="Times" w:hAnsi="Times" w:cs="Times"/>
          <w:lang w:val="en-US"/>
        </w:rPr>
        <w:t>practices, even if an individual consent</w:t>
      </w:r>
      <w:r w:rsidR="003F1CB3" w:rsidRPr="00E14EC2">
        <w:rPr>
          <w:rFonts w:ascii="Times" w:hAnsi="Times" w:cs="Times"/>
          <w:lang w:val="en-US"/>
        </w:rPr>
        <w:t>s</w:t>
      </w:r>
      <w:r w:rsidR="00583E93" w:rsidRPr="00E14EC2">
        <w:rPr>
          <w:rFonts w:ascii="Times" w:hAnsi="Times" w:cs="Times"/>
          <w:lang w:val="en-US"/>
        </w:rPr>
        <w:t xml:space="preserve"> to a cultural practice, and even if the group to which that individual belongs believes that such a practice is valid</w:t>
      </w:r>
      <w:bookmarkStart w:id="13" w:name="_Ref526879183"/>
      <w:r w:rsidR="00583E93" w:rsidRPr="00E14EC2">
        <w:rPr>
          <w:rFonts w:ascii="Times" w:hAnsi="Times" w:cs="Times"/>
          <w:lang w:val="en-US"/>
        </w:rPr>
        <w:t>.</w:t>
      </w:r>
      <w:r w:rsidR="00583E93" w:rsidRPr="00014F2A">
        <w:rPr>
          <w:rStyle w:val="EndnoteReference"/>
          <w:rFonts w:ascii="Times" w:hAnsi="Times" w:cs="Times"/>
          <w:lang w:val="en-US"/>
        </w:rPr>
        <w:endnoteReference w:id="19"/>
      </w:r>
      <w:bookmarkEnd w:id="13"/>
      <w:r w:rsidR="00583E93" w:rsidRPr="00014F2A">
        <w:rPr>
          <w:rFonts w:ascii="Times" w:hAnsi="Times" w:cs="Times"/>
          <w:lang w:val="en-US"/>
        </w:rPr>
        <w:t xml:space="preserve"> </w:t>
      </w:r>
      <w:r w:rsidR="00583E93" w:rsidRPr="00014F2A">
        <w:rPr>
          <w:rFonts w:ascii="Times" w:hAnsi="Times" w:cs="Times"/>
          <w:lang w:val="en-US" w:bidi="he-IL"/>
        </w:rPr>
        <w:t xml:space="preserve">Put differently, </w:t>
      </w:r>
      <w:r w:rsidR="00583E93" w:rsidRPr="00E14EC2">
        <w:rPr>
          <w:rFonts w:ascii="Times" w:eastAsia="Calibri" w:hAnsi="Times" w:cs="Times"/>
          <w:lang w:val="en-US"/>
        </w:rPr>
        <w:t>the p</w:t>
      </w:r>
      <w:r w:rsidR="00583E93" w:rsidRPr="00E14EC2">
        <w:rPr>
          <w:rFonts w:ascii="Times" w:hAnsi="Times" w:cs="Times"/>
          <w:lang w:val="en-US"/>
        </w:rPr>
        <w:t>rotection of cultural heritage assumes the observance of human rights values and the repudiation of any violent, abusive</w:t>
      </w:r>
      <w:r w:rsidR="005A5E79" w:rsidRPr="00E14EC2">
        <w:rPr>
          <w:rFonts w:ascii="Times" w:hAnsi="Times" w:cs="Times"/>
          <w:lang w:val="en-US"/>
        </w:rPr>
        <w:t>,</w:t>
      </w:r>
      <w:r w:rsidR="00583E93" w:rsidRPr="00E14EC2">
        <w:rPr>
          <w:rFonts w:ascii="Times" w:hAnsi="Times" w:cs="Times"/>
          <w:lang w:val="en-US"/>
        </w:rPr>
        <w:t xml:space="preserve"> and discriminatory practice.</w:t>
      </w:r>
    </w:p>
    <w:p w14:paraId="1AB8B52C" w14:textId="77777777" w:rsidR="00583E93" w:rsidRPr="00E14EC2" w:rsidRDefault="00583E93" w:rsidP="003373DF">
      <w:pPr>
        <w:spacing w:line="480" w:lineRule="auto"/>
        <w:rPr>
          <w:rFonts w:ascii="Times" w:hAnsi="Times" w:cs="Times"/>
          <w:b/>
          <w:lang w:val="en-US"/>
        </w:rPr>
      </w:pPr>
    </w:p>
    <w:p w14:paraId="3B0B1168" w14:textId="4909F356" w:rsidR="00583E93" w:rsidRDefault="00583E93" w:rsidP="00490CF3">
      <w:pPr>
        <w:pStyle w:val="Heading2"/>
        <w:rPr>
          <w:lang w:val="en-US"/>
        </w:rPr>
      </w:pPr>
      <w:bookmarkStart w:id="14" w:name="_Toc230592200"/>
      <w:bookmarkStart w:id="15" w:name="_Toc251189226"/>
      <w:bookmarkStart w:id="16" w:name="_Toc251226256"/>
      <w:bookmarkStart w:id="17" w:name="_Toc252375316"/>
      <w:bookmarkStart w:id="18" w:name="_Toc259630728"/>
      <w:bookmarkStart w:id="19" w:name="_Toc368500102"/>
      <w:r w:rsidRPr="00E14EC2">
        <w:rPr>
          <w:lang w:val="en-US"/>
        </w:rPr>
        <w:t xml:space="preserve">The Cultural Dimension of </w:t>
      </w:r>
      <w:bookmarkEnd w:id="14"/>
      <w:bookmarkEnd w:id="15"/>
      <w:bookmarkEnd w:id="16"/>
      <w:bookmarkEnd w:id="17"/>
      <w:bookmarkEnd w:id="18"/>
      <w:bookmarkEnd w:id="19"/>
      <w:r w:rsidRPr="00E14EC2">
        <w:rPr>
          <w:lang w:val="en-US"/>
        </w:rPr>
        <w:t>International Human Rights Law</w:t>
      </w:r>
    </w:p>
    <w:p w14:paraId="1DC8FE9D" w14:textId="77777777" w:rsidR="00462C9A" w:rsidRPr="00462C9A" w:rsidRDefault="00462C9A" w:rsidP="00097F75">
      <w:pPr>
        <w:rPr>
          <w:lang w:val="en-US"/>
        </w:rPr>
      </w:pPr>
    </w:p>
    <w:p w14:paraId="32A79401" w14:textId="5631A1DE" w:rsidR="00583E93" w:rsidRPr="00014F2A" w:rsidRDefault="00F62602" w:rsidP="003373DF">
      <w:pPr>
        <w:spacing w:line="480" w:lineRule="auto"/>
        <w:rPr>
          <w:rFonts w:ascii="Times" w:hAnsi="Times" w:cs="Times"/>
          <w:lang w:val="en-US"/>
        </w:rPr>
      </w:pPr>
      <w:r>
        <w:rPr>
          <w:rFonts w:ascii="Times" w:hAnsi="Times" w:cs="Times"/>
          <w:lang w:val="en-US"/>
        </w:rPr>
        <w:t>P</w:t>
      </w:r>
      <w:r w:rsidR="00583E93" w:rsidRPr="00E14EC2">
        <w:rPr>
          <w:rFonts w:ascii="Times" w:hAnsi="Times" w:cs="Times"/>
          <w:lang w:val="en-US"/>
        </w:rPr>
        <w:t xml:space="preserve">reoccupation </w:t>
      </w:r>
      <w:r w:rsidR="00B66155" w:rsidRPr="00E14EC2">
        <w:rPr>
          <w:rFonts w:ascii="Times" w:hAnsi="Times" w:cs="Times"/>
          <w:lang w:val="en-US"/>
        </w:rPr>
        <w:t xml:space="preserve">with </w:t>
      </w:r>
      <w:r w:rsidR="00583E93" w:rsidRPr="00E14EC2">
        <w:rPr>
          <w:rFonts w:ascii="Times" w:hAnsi="Times" w:cs="Times"/>
          <w:lang w:val="en-US"/>
        </w:rPr>
        <w:t xml:space="preserve">the protection of </w:t>
      </w:r>
      <w:r>
        <w:rPr>
          <w:rFonts w:ascii="Times" w:hAnsi="Times" w:cs="Times"/>
          <w:lang w:val="en-US"/>
        </w:rPr>
        <w:t>cultural heritage</w:t>
      </w:r>
      <w:r w:rsidR="00583E93" w:rsidRPr="00E14EC2">
        <w:rPr>
          <w:rFonts w:ascii="Times" w:hAnsi="Times" w:cs="Times"/>
          <w:lang w:val="en-US"/>
        </w:rPr>
        <w:t xml:space="preserve"> ha</w:t>
      </w:r>
      <w:r>
        <w:rPr>
          <w:rFonts w:ascii="Times" w:hAnsi="Times" w:cs="Times"/>
          <w:lang w:val="en-US"/>
        </w:rPr>
        <w:t xml:space="preserve">s </w:t>
      </w:r>
      <w:r w:rsidR="00583E93" w:rsidRPr="00E14EC2">
        <w:rPr>
          <w:rFonts w:ascii="Times" w:hAnsi="Times" w:cs="Times"/>
          <w:lang w:val="en-US"/>
        </w:rPr>
        <w:t xml:space="preserve">progressively influenced the interpretation </w:t>
      </w:r>
      <w:r w:rsidR="00A3466C" w:rsidRPr="00E14EC2">
        <w:rPr>
          <w:rFonts w:ascii="Times" w:hAnsi="Times" w:cs="Times"/>
          <w:lang w:val="en-US"/>
        </w:rPr>
        <w:t xml:space="preserve">and implementation </w:t>
      </w:r>
      <w:r w:rsidR="00583E93" w:rsidRPr="00E14EC2">
        <w:rPr>
          <w:rFonts w:ascii="Times" w:hAnsi="Times" w:cs="Times"/>
          <w:lang w:val="en-US"/>
        </w:rPr>
        <w:t>of int</w:t>
      </w:r>
      <w:r w:rsidR="00432DC3" w:rsidRPr="00E14EC2">
        <w:rPr>
          <w:rFonts w:ascii="Times" w:hAnsi="Times" w:cs="Times"/>
          <w:lang w:val="en-US"/>
        </w:rPr>
        <w:t>ernational human rights treat</w:t>
      </w:r>
      <w:r w:rsidR="00A1096B" w:rsidRPr="00E14EC2">
        <w:rPr>
          <w:rFonts w:ascii="Times" w:hAnsi="Times" w:cs="Times"/>
          <w:lang w:val="en-US"/>
        </w:rPr>
        <w:t>ies</w:t>
      </w:r>
      <w:r w:rsidR="00583E93" w:rsidRPr="00E14EC2">
        <w:rPr>
          <w:rFonts w:ascii="Times" w:hAnsi="Times" w:cs="Times"/>
          <w:lang w:val="en-US"/>
        </w:rPr>
        <w:t>.</w:t>
      </w:r>
      <w:r w:rsidR="00F44CF2" w:rsidRPr="00E14EC2">
        <w:rPr>
          <w:rFonts w:ascii="Times" w:hAnsi="Times" w:cs="Times"/>
          <w:lang w:val="en-US"/>
        </w:rPr>
        <w:t xml:space="preserve"> </w:t>
      </w:r>
      <w:r w:rsidR="00583E93" w:rsidRPr="00E14EC2">
        <w:rPr>
          <w:rFonts w:ascii="Times" w:hAnsi="Times" w:cs="Times"/>
          <w:lang w:val="en-US"/>
        </w:rPr>
        <w:t xml:space="preserve">The most relevant are </w:t>
      </w:r>
      <w:r w:rsidR="00CB0CC2" w:rsidRPr="00E14EC2">
        <w:rPr>
          <w:rFonts w:ascii="Times" w:hAnsi="Times" w:cs="Times"/>
          <w:lang w:val="en-US"/>
        </w:rPr>
        <w:t>the 1965 Convention on the Elimination of All Forms of Racial Discrimination (</w:t>
      </w:r>
      <w:r w:rsidR="00CB0CC2" w:rsidRPr="00E14EC2">
        <w:rPr>
          <w:lang w:val="en-US"/>
        </w:rPr>
        <w:t>Article 5.e.vi)</w:t>
      </w:r>
      <w:r w:rsidR="00CB0CC2" w:rsidRPr="00E14EC2">
        <w:rPr>
          <w:rFonts w:ascii="Times" w:hAnsi="Times" w:cs="Times"/>
          <w:lang w:val="en-US"/>
        </w:rPr>
        <w:t>,</w:t>
      </w:r>
      <w:r w:rsidR="00CB0CC2" w:rsidRPr="00014F2A">
        <w:rPr>
          <w:rFonts w:ascii="Times" w:hAnsi="Times" w:cs="Times"/>
          <w:lang w:val="en-US"/>
        </w:rPr>
        <w:t xml:space="preserve"> </w:t>
      </w:r>
      <w:r w:rsidR="00583E93" w:rsidRPr="00014F2A">
        <w:rPr>
          <w:rFonts w:ascii="Times" w:hAnsi="Times" w:cs="Times"/>
          <w:lang w:val="en-US"/>
        </w:rPr>
        <w:t xml:space="preserve">the 1966 International Covenant on Economic, Social and Cultural Rights </w:t>
      </w:r>
      <w:r w:rsidR="00583E93" w:rsidRPr="00E14EC2">
        <w:rPr>
          <w:rFonts w:ascii="Times" w:hAnsi="Times" w:cs="Times"/>
          <w:lang w:val="en-US"/>
        </w:rPr>
        <w:t xml:space="preserve">(ICESCR), the 1966 </w:t>
      </w:r>
      <w:r w:rsidR="00583E93" w:rsidRPr="00E14EC2">
        <w:rPr>
          <w:rFonts w:ascii="Times" w:hAnsi="Times" w:cs="Times"/>
          <w:lang w:val="en-US"/>
        </w:rPr>
        <w:lastRenderedPageBreak/>
        <w:t xml:space="preserve">International Covenant on Civil and Political Rights (ICCPR), </w:t>
      </w:r>
      <w:r w:rsidR="00583E93" w:rsidRPr="00014F2A">
        <w:rPr>
          <w:rFonts w:ascii="Times" w:hAnsi="Times" w:cs="Times"/>
          <w:lang w:val="en-US"/>
        </w:rPr>
        <w:t xml:space="preserve">the 1981 Convention on the Elimination of All Forms of Discrimination </w:t>
      </w:r>
      <w:r w:rsidR="001A3A2D" w:rsidRPr="00E14EC2">
        <w:rPr>
          <w:rFonts w:ascii="Times" w:hAnsi="Times" w:cs="Times"/>
          <w:lang w:val="en-US"/>
        </w:rPr>
        <w:t>a</w:t>
      </w:r>
      <w:r w:rsidR="00583E93" w:rsidRPr="00E14EC2">
        <w:rPr>
          <w:rFonts w:ascii="Times" w:hAnsi="Times" w:cs="Times"/>
          <w:lang w:val="en-US"/>
        </w:rPr>
        <w:t>gainst Women</w:t>
      </w:r>
      <w:r w:rsidR="00C61406" w:rsidRPr="00E14EC2">
        <w:rPr>
          <w:rFonts w:ascii="Times" w:hAnsi="Times" w:cs="Times"/>
          <w:lang w:val="en-US"/>
        </w:rPr>
        <w:t xml:space="preserve"> (CEDAW</w:t>
      </w:r>
      <w:r w:rsidR="00FD4DAA" w:rsidRPr="00E14EC2">
        <w:rPr>
          <w:rFonts w:ascii="Times" w:hAnsi="Times" w:cs="Times"/>
          <w:lang w:val="en-US"/>
        </w:rPr>
        <w:t>,</w:t>
      </w:r>
      <w:r w:rsidR="006939C4" w:rsidRPr="00E14EC2">
        <w:rPr>
          <w:lang w:val="en-US"/>
        </w:rPr>
        <w:t xml:space="preserve"> Article 13.c)</w:t>
      </w:r>
      <w:r w:rsidR="00F44CF2" w:rsidRPr="00E14EC2">
        <w:rPr>
          <w:rFonts w:ascii="Times" w:hAnsi="Times" w:cs="Times"/>
          <w:lang w:val="en-US"/>
        </w:rPr>
        <w:t>,</w:t>
      </w:r>
      <w:r w:rsidR="00583E93" w:rsidRPr="00014F2A">
        <w:rPr>
          <w:rFonts w:ascii="Times" w:hAnsi="Times" w:cs="Times"/>
          <w:lang w:val="en-US"/>
        </w:rPr>
        <w:t xml:space="preserve"> the 1981 African Charter on Human and Peoples’ Rights</w:t>
      </w:r>
      <w:r w:rsidR="006939C4" w:rsidRPr="00014F2A">
        <w:rPr>
          <w:rFonts w:ascii="Times" w:hAnsi="Times" w:cs="Times"/>
          <w:lang w:val="en-US"/>
        </w:rPr>
        <w:t xml:space="preserve"> (</w:t>
      </w:r>
      <w:r w:rsidR="006939C4" w:rsidRPr="00014F2A">
        <w:rPr>
          <w:lang w:val="en-US"/>
        </w:rPr>
        <w:t>Article 17</w:t>
      </w:r>
      <w:r w:rsidR="006939C4" w:rsidRPr="00E14EC2">
        <w:rPr>
          <w:lang w:val="en-US"/>
        </w:rPr>
        <w:t>.2</w:t>
      </w:r>
      <w:r w:rsidR="006939C4" w:rsidRPr="00E14EC2">
        <w:rPr>
          <w:rFonts w:ascii="Times" w:hAnsi="Times" w:cs="Times"/>
          <w:lang w:val="en-US"/>
        </w:rPr>
        <w:t>)</w:t>
      </w:r>
      <w:r w:rsidR="00583E93" w:rsidRPr="00E14EC2">
        <w:rPr>
          <w:rFonts w:ascii="Times" w:hAnsi="Times" w:cs="Times"/>
          <w:lang w:val="en-US"/>
        </w:rPr>
        <w:t>,</w:t>
      </w:r>
      <w:r w:rsidR="00583E93" w:rsidRPr="00014F2A">
        <w:rPr>
          <w:rFonts w:ascii="Times" w:hAnsi="Times" w:cs="Times"/>
          <w:lang w:val="en-US"/>
        </w:rPr>
        <w:t xml:space="preserve"> the 1988 Additional Protocol to the American Convention on Human Rights in the Area of Economic, Social and Cultural Rights</w:t>
      </w:r>
      <w:r w:rsidR="006939C4" w:rsidRPr="00014F2A">
        <w:rPr>
          <w:rFonts w:ascii="Times" w:hAnsi="Times" w:cs="Times"/>
          <w:lang w:val="en-US"/>
        </w:rPr>
        <w:t xml:space="preserve"> (</w:t>
      </w:r>
      <w:r w:rsidR="006939C4" w:rsidRPr="00E14EC2">
        <w:rPr>
          <w:lang w:val="en-US"/>
        </w:rPr>
        <w:t>Article 14.1.</w:t>
      </w:r>
      <w:r w:rsidR="006939C4" w:rsidRPr="00E14EC2">
        <w:rPr>
          <w:iCs/>
          <w:lang w:val="en-US"/>
        </w:rPr>
        <w:t>a</w:t>
      </w:r>
      <w:r w:rsidR="006939C4" w:rsidRPr="00E14EC2">
        <w:rPr>
          <w:lang w:val="en-US"/>
        </w:rPr>
        <w:t>)</w:t>
      </w:r>
      <w:r w:rsidR="00CB0CC2">
        <w:rPr>
          <w:rFonts w:ascii="Times" w:hAnsi="Times" w:cs="Times"/>
          <w:lang w:val="en-US"/>
        </w:rPr>
        <w:t>, and</w:t>
      </w:r>
      <w:r w:rsidR="00583E93" w:rsidRPr="00014F2A">
        <w:rPr>
          <w:rFonts w:ascii="Times" w:hAnsi="Times" w:cs="Times"/>
          <w:lang w:val="en-US"/>
        </w:rPr>
        <w:t xml:space="preserve"> </w:t>
      </w:r>
      <w:r w:rsidR="00CB0CC2" w:rsidRPr="00014F2A">
        <w:rPr>
          <w:rFonts w:ascii="Times" w:hAnsi="Times" w:cs="Times"/>
          <w:lang w:val="en-US"/>
        </w:rPr>
        <w:t>the 1990 Convention on the Protection of the Rights of All Migrant Workers and</w:t>
      </w:r>
      <w:r w:rsidR="00CB0CC2" w:rsidRPr="00E14EC2">
        <w:rPr>
          <w:rFonts w:ascii="Times" w:hAnsi="Times" w:cs="Times"/>
          <w:lang w:val="en-US"/>
        </w:rPr>
        <w:t xml:space="preserve"> Members of their Families (</w:t>
      </w:r>
      <w:r w:rsidR="00CB0CC2" w:rsidRPr="00E14EC2">
        <w:rPr>
          <w:lang w:val="en-US"/>
        </w:rPr>
        <w:t>Articles 43.1.g and 45.1.d)</w:t>
      </w:r>
      <w:r w:rsidR="00CB0CC2">
        <w:rPr>
          <w:rFonts w:ascii="Times" w:hAnsi="Times" w:cs="Times"/>
          <w:lang w:val="en-US"/>
        </w:rPr>
        <w:t>.</w:t>
      </w:r>
    </w:p>
    <w:p w14:paraId="76ECCFA7" w14:textId="4C1BAE6C" w:rsidR="00ED32CC"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Despite the existence of provisions </w:t>
      </w:r>
      <w:r w:rsidR="00F62602">
        <w:rPr>
          <w:rFonts w:ascii="Times" w:hAnsi="Times" w:cs="Times"/>
          <w:lang w:val="en-US"/>
        </w:rPr>
        <w:t xml:space="preserve">for </w:t>
      </w:r>
      <w:r w:rsidR="00583E93" w:rsidRPr="00E14EC2">
        <w:rPr>
          <w:rFonts w:ascii="Times" w:hAnsi="Times" w:cs="Times"/>
          <w:lang w:val="en-US"/>
        </w:rPr>
        <w:t>cultural rights</w:t>
      </w:r>
      <w:r w:rsidR="00583E93" w:rsidRPr="00E14EC2">
        <w:rPr>
          <w:rFonts w:ascii="Times" w:hAnsi="Times" w:cs="Times"/>
          <w:lang w:val="en-US" w:bidi="he-IL"/>
        </w:rPr>
        <w:t xml:space="preserve"> </w:t>
      </w:r>
      <w:r w:rsidR="00F62602">
        <w:rPr>
          <w:rFonts w:ascii="Times" w:hAnsi="Times" w:cs="Times"/>
          <w:lang w:val="en-US" w:bidi="he-IL"/>
        </w:rPr>
        <w:t>in</w:t>
      </w:r>
      <w:r w:rsidR="00583E93" w:rsidRPr="00E14EC2">
        <w:rPr>
          <w:rFonts w:ascii="Times" w:hAnsi="Times" w:cs="Times"/>
          <w:lang w:val="en-US" w:bidi="he-IL"/>
        </w:rPr>
        <w:t xml:space="preserve"> a wide range of </w:t>
      </w:r>
      <w:r w:rsidR="00A3466C" w:rsidRPr="00E14EC2">
        <w:rPr>
          <w:rFonts w:ascii="Times" w:hAnsi="Times" w:cs="Times"/>
          <w:lang w:val="en-US"/>
        </w:rPr>
        <w:t>treaties</w:t>
      </w:r>
      <w:r w:rsidR="00583E93" w:rsidRPr="00E14EC2">
        <w:rPr>
          <w:rFonts w:ascii="Times" w:hAnsi="Times" w:cs="Times"/>
          <w:lang w:val="en-US"/>
        </w:rPr>
        <w:t xml:space="preserve"> and a number of studies undertaken by UNESCO,</w:t>
      </w:r>
      <w:r w:rsidR="00583E93" w:rsidRPr="00014F2A">
        <w:rPr>
          <w:rStyle w:val="EndnoteReference"/>
          <w:rFonts w:ascii="Times" w:hAnsi="Times" w:cs="Times"/>
          <w:lang w:val="en-US"/>
        </w:rPr>
        <w:endnoteReference w:id="20"/>
      </w:r>
      <w:r w:rsidR="00583E93" w:rsidRPr="00014F2A">
        <w:rPr>
          <w:rFonts w:ascii="Times" w:hAnsi="Times" w:cs="Times"/>
          <w:lang w:val="en-US"/>
        </w:rPr>
        <w:t xml:space="preserve"> </w:t>
      </w:r>
      <w:r w:rsidR="00583E93" w:rsidRPr="00E14EC2">
        <w:rPr>
          <w:rFonts w:ascii="Times" w:hAnsi="Times" w:cs="Times"/>
          <w:lang w:val="en-US"/>
        </w:rPr>
        <w:t xml:space="preserve">the meaning of such rights (and of the corresponding </w:t>
      </w:r>
      <w:r w:rsidR="006A2BF6" w:rsidRPr="00E14EC2">
        <w:rPr>
          <w:rFonts w:ascii="Times" w:hAnsi="Times" w:cs="Times"/>
          <w:lang w:val="en-US"/>
        </w:rPr>
        <w:t>s</w:t>
      </w:r>
      <w:r w:rsidR="00583E93" w:rsidRPr="00E14EC2">
        <w:rPr>
          <w:rFonts w:ascii="Times" w:hAnsi="Times" w:cs="Times"/>
          <w:lang w:val="en-US"/>
        </w:rPr>
        <w:t xml:space="preserve">tate obligations) have </w:t>
      </w:r>
      <w:r w:rsidR="008A0C00" w:rsidRPr="00E14EC2">
        <w:rPr>
          <w:rFonts w:ascii="Times" w:hAnsi="Times" w:cs="Times"/>
          <w:lang w:val="en-US"/>
        </w:rPr>
        <w:t xml:space="preserve">long </w:t>
      </w:r>
      <w:r w:rsidR="00583E93" w:rsidRPr="00E14EC2">
        <w:rPr>
          <w:rFonts w:ascii="Times" w:hAnsi="Times" w:cs="Times"/>
          <w:lang w:val="en-US"/>
        </w:rPr>
        <w:t xml:space="preserve">remained unexplored </w:t>
      </w:r>
      <w:r w:rsidR="00462C9A">
        <w:rPr>
          <w:rFonts w:ascii="Times" w:hAnsi="Times" w:cs="Times"/>
          <w:lang w:val="en-US"/>
        </w:rPr>
        <w:t>when compared</w:t>
      </w:r>
      <w:r w:rsidR="00583E93" w:rsidRPr="00E14EC2">
        <w:rPr>
          <w:rFonts w:ascii="Times" w:hAnsi="Times" w:cs="Times"/>
          <w:lang w:val="en-US"/>
        </w:rPr>
        <w:t xml:space="preserve"> to civil, political,</w:t>
      </w:r>
      <w:r w:rsidR="00E30D3B" w:rsidRPr="00E14EC2">
        <w:rPr>
          <w:rFonts w:ascii="Times" w:hAnsi="Times" w:cs="Times"/>
          <w:lang w:val="en-US"/>
        </w:rPr>
        <w:t xml:space="preserve"> economic</w:t>
      </w:r>
      <w:r w:rsidR="00F44CF2" w:rsidRPr="00E14EC2">
        <w:rPr>
          <w:rFonts w:ascii="Times" w:hAnsi="Times" w:cs="Times"/>
          <w:lang w:val="en-US"/>
        </w:rPr>
        <w:t>,</w:t>
      </w:r>
      <w:r w:rsidR="00E30D3B" w:rsidRPr="00E14EC2">
        <w:rPr>
          <w:rFonts w:ascii="Times" w:hAnsi="Times" w:cs="Times"/>
          <w:lang w:val="en-US"/>
        </w:rPr>
        <w:t xml:space="preserve"> and social rights</w:t>
      </w:r>
      <w:r w:rsidR="00583E93" w:rsidRPr="00E14EC2">
        <w:rPr>
          <w:rFonts w:ascii="Times" w:hAnsi="Times" w:cs="Times"/>
          <w:lang w:val="en-US" w:bidi="he-IL"/>
        </w:rPr>
        <w:t xml:space="preserve"> </w:t>
      </w:r>
      <w:r w:rsidR="00462C9A">
        <w:rPr>
          <w:rFonts w:ascii="Times" w:hAnsi="Times" w:cs="Times"/>
          <w:lang w:val="en-US" w:bidi="he-IL"/>
        </w:rPr>
        <w:t xml:space="preserve">in terms of </w:t>
      </w:r>
      <w:r w:rsidR="00583E93" w:rsidRPr="00E14EC2">
        <w:rPr>
          <w:rFonts w:ascii="Times" w:hAnsi="Times" w:cs="Times"/>
          <w:lang w:val="en-US" w:bidi="he-IL"/>
        </w:rPr>
        <w:t>their scope, legal content, enforceability</w:t>
      </w:r>
      <w:r w:rsidR="00F44CF2" w:rsidRPr="00E14EC2">
        <w:rPr>
          <w:rFonts w:ascii="Times" w:hAnsi="Times" w:cs="Times"/>
          <w:lang w:val="en-US" w:bidi="he-IL"/>
        </w:rPr>
        <w:t>,</w:t>
      </w:r>
      <w:r w:rsidR="00583E93" w:rsidRPr="00E14EC2">
        <w:rPr>
          <w:rFonts w:ascii="Times" w:hAnsi="Times" w:cs="Times"/>
          <w:lang w:val="en-US" w:bidi="he-IL"/>
        </w:rPr>
        <w:t xml:space="preserve"> and </w:t>
      </w:r>
      <w:r w:rsidR="00583E93" w:rsidRPr="00E14EC2">
        <w:rPr>
          <w:rFonts w:ascii="Times" w:hAnsi="Times" w:cs="Times"/>
          <w:lang w:val="en-US"/>
        </w:rPr>
        <w:t>justiciability.</w:t>
      </w:r>
      <w:bookmarkStart w:id="20" w:name="_Ref249189646"/>
      <w:r w:rsidR="00583E93" w:rsidRPr="00014F2A">
        <w:rPr>
          <w:rStyle w:val="EndnoteReference"/>
          <w:rFonts w:ascii="Times" w:hAnsi="Times" w:cs="Times"/>
          <w:lang w:val="en-US" w:bidi="he-IL"/>
        </w:rPr>
        <w:endnoteReference w:id="21"/>
      </w:r>
      <w:bookmarkEnd w:id="20"/>
      <w:r w:rsidR="00583E93" w:rsidRPr="00014F2A">
        <w:rPr>
          <w:rFonts w:ascii="Times" w:hAnsi="Times" w:cs="Times"/>
          <w:lang w:val="en-US"/>
        </w:rPr>
        <w:t xml:space="preserve"> One reason for this is that culture was frequently addressed in the context of other rights, such as t</w:t>
      </w:r>
      <w:r w:rsidR="00583E93" w:rsidRPr="00E14EC2">
        <w:rPr>
          <w:rFonts w:ascii="Times" w:hAnsi="Times" w:cs="Times"/>
          <w:lang w:val="en-US"/>
        </w:rPr>
        <w:t xml:space="preserve">he right to </w:t>
      </w:r>
      <w:r w:rsidR="00462C9A">
        <w:rPr>
          <w:rFonts w:ascii="Times" w:hAnsi="Times" w:cs="Times"/>
          <w:lang w:val="en-US"/>
        </w:rPr>
        <w:t xml:space="preserve">practice </w:t>
      </w:r>
      <w:r w:rsidR="00583E93" w:rsidRPr="00E14EC2">
        <w:rPr>
          <w:rFonts w:ascii="Times" w:hAnsi="Times" w:cs="Times"/>
          <w:lang w:val="en-US"/>
        </w:rPr>
        <w:t>religion or freedom of expression.</w:t>
      </w:r>
      <w:r w:rsidR="00583E93" w:rsidRPr="00014F2A">
        <w:rPr>
          <w:rStyle w:val="EndnoteReference"/>
          <w:rFonts w:ascii="Times" w:hAnsi="Times" w:cs="Times"/>
          <w:lang w:val="en-US"/>
        </w:rPr>
        <w:endnoteReference w:id="22"/>
      </w:r>
      <w:r w:rsidR="00583E93" w:rsidRPr="00014F2A">
        <w:rPr>
          <w:rFonts w:ascii="Times" w:hAnsi="Times" w:cs="Times"/>
          <w:lang w:val="en-US"/>
        </w:rPr>
        <w:t xml:space="preserve"> Another reason is that the Committee on Economic, Social and Cultural Rights (CESCR)</w:t>
      </w:r>
      <w:r w:rsidR="00BE0E56" w:rsidRPr="00E14EC2">
        <w:rPr>
          <w:rFonts w:ascii="Times" w:hAnsi="Times" w:cs="Times"/>
          <w:lang w:val="en-US"/>
        </w:rPr>
        <w:t>, the body of independent experts that monitors implementation of the ICESCR</w:t>
      </w:r>
      <w:r w:rsidR="004B4A57" w:rsidRPr="00E14EC2">
        <w:rPr>
          <w:rFonts w:ascii="Times" w:hAnsi="Times" w:cs="Times"/>
          <w:lang w:val="en-US"/>
        </w:rPr>
        <w:t xml:space="preserve"> under the authority of the </w:t>
      </w:r>
      <w:r w:rsidR="004B4A57" w:rsidRPr="00490CF3">
        <w:rPr>
          <w:lang w:val="en-US"/>
        </w:rPr>
        <w:t>UN Economic and Social Council (ECOSOC)</w:t>
      </w:r>
      <w:r w:rsidR="00BE0E56" w:rsidRPr="00014F2A">
        <w:rPr>
          <w:rFonts w:ascii="Times" w:hAnsi="Times" w:cs="Times"/>
          <w:lang w:val="en-US"/>
        </w:rPr>
        <w:t xml:space="preserve">, </w:t>
      </w:r>
      <w:r w:rsidR="00583E93" w:rsidRPr="00E14EC2">
        <w:rPr>
          <w:rFonts w:ascii="Times" w:hAnsi="Times" w:cs="Times"/>
          <w:lang w:val="en-US"/>
        </w:rPr>
        <w:t>was established only in 1985, i</w:t>
      </w:r>
      <w:r w:rsidR="00531D07" w:rsidRPr="00E14EC2">
        <w:rPr>
          <w:rFonts w:ascii="Times" w:hAnsi="Times" w:cs="Times"/>
          <w:lang w:val="en-US"/>
        </w:rPr>
        <w:t>.</w:t>
      </w:r>
      <w:r w:rsidR="00583E93" w:rsidRPr="00E14EC2">
        <w:rPr>
          <w:rFonts w:ascii="Times" w:hAnsi="Times" w:cs="Times"/>
          <w:lang w:val="en-US"/>
        </w:rPr>
        <w:t>e</w:t>
      </w:r>
      <w:r w:rsidR="00531D07" w:rsidRPr="00E14EC2">
        <w:rPr>
          <w:rFonts w:ascii="Times" w:hAnsi="Times" w:cs="Times"/>
          <w:lang w:val="en-US"/>
        </w:rPr>
        <w:t>.,</w:t>
      </w:r>
      <w:r w:rsidR="00583E93" w:rsidRPr="00E14EC2">
        <w:rPr>
          <w:rFonts w:ascii="Times" w:hAnsi="Times" w:cs="Times"/>
          <w:lang w:val="en-US"/>
        </w:rPr>
        <w:t xml:space="preserve"> nearly </w:t>
      </w:r>
      <w:r w:rsidR="00531D07" w:rsidRPr="00E14EC2">
        <w:rPr>
          <w:rFonts w:ascii="Times" w:hAnsi="Times" w:cs="Times"/>
          <w:lang w:val="en-US"/>
        </w:rPr>
        <w:t xml:space="preserve">twenty </w:t>
      </w:r>
      <w:r w:rsidR="00583E93" w:rsidRPr="00E14EC2">
        <w:rPr>
          <w:rFonts w:ascii="Times" w:hAnsi="Times" w:cs="Times"/>
          <w:lang w:val="en-US"/>
        </w:rPr>
        <w:t xml:space="preserve">years after the adoption of the </w:t>
      </w:r>
      <w:r w:rsidR="00FF2DDA" w:rsidRPr="00E14EC2">
        <w:rPr>
          <w:rFonts w:ascii="Times" w:hAnsi="Times" w:cs="Times"/>
          <w:lang w:val="en-US"/>
        </w:rPr>
        <w:t>covenant</w:t>
      </w:r>
      <w:r w:rsidR="00583E93" w:rsidRPr="00E14EC2">
        <w:rPr>
          <w:rFonts w:ascii="Times" w:hAnsi="Times" w:cs="Times"/>
          <w:lang w:val="en-US"/>
        </w:rPr>
        <w:t xml:space="preserve">. </w:t>
      </w:r>
      <w:r w:rsidR="00BE0E56" w:rsidRPr="00E14EC2">
        <w:rPr>
          <w:rFonts w:ascii="Times" w:hAnsi="Times" w:cs="Times"/>
          <w:lang w:val="en-US"/>
        </w:rPr>
        <w:t xml:space="preserve">Moreover, as demonstrated, </w:t>
      </w:r>
      <w:r w:rsidR="00583E93" w:rsidRPr="00E14EC2">
        <w:rPr>
          <w:rFonts w:ascii="Times" w:hAnsi="Times" w:cs="Times"/>
          <w:lang w:val="en-US"/>
        </w:rPr>
        <w:t>the existence of the human dimension of cultural heritage has been acknowledged only in recent times.</w:t>
      </w:r>
      <w:r w:rsidR="001C5CE0" w:rsidRPr="00014F2A">
        <w:rPr>
          <w:rStyle w:val="EndnoteReference"/>
          <w:rFonts w:ascii="Times" w:hAnsi="Times" w:cs="Times"/>
          <w:lang w:val="en-US"/>
        </w:rPr>
        <w:endnoteReference w:id="23"/>
      </w:r>
      <w:r w:rsidR="00ED32CC" w:rsidRPr="00014F2A">
        <w:rPr>
          <w:rFonts w:ascii="Times" w:hAnsi="Times" w:cs="Times"/>
          <w:lang w:val="en-US"/>
        </w:rPr>
        <w:t xml:space="preserve"> </w:t>
      </w:r>
      <w:r w:rsidR="00B35677">
        <w:rPr>
          <w:rFonts w:ascii="Times" w:hAnsi="Times" w:cs="Times"/>
          <w:lang w:val="en-US"/>
        </w:rPr>
        <w:t>As such, h</w:t>
      </w:r>
      <w:r w:rsidR="00E30D3B" w:rsidRPr="00E14EC2">
        <w:rPr>
          <w:rFonts w:ascii="Times" w:hAnsi="Times" w:cs="Times"/>
          <w:lang w:val="en-US"/>
        </w:rPr>
        <w:t>uman rights bodies</w:t>
      </w:r>
      <w:r w:rsidR="00071E5B" w:rsidRPr="00E14EC2">
        <w:rPr>
          <w:rFonts w:ascii="Times" w:hAnsi="Times" w:cs="Times"/>
          <w:lang w:val="en-US"/>
        </w:rPr>
        <w:t xml:space="preserve"> </w:t>
      </w:r>
      <w:r w:rsidR="00583E93" w:rsidRPr="00E14EC2">
        <w:rPr>
          <w:rFonts w:ascii="Times" w:hAnsi="Times" w:cs="Times"/>
          <w:lang w:val="en-US"/>
        </w:rPr>
        <w:t xml:space="preserve">have explored the concepts of culture and cultural heritage from a human rights perspective. The findings of these bodies </w:t>
      </w:r>
      <w:r w:rsidR="00ED32CC" w:rsidRPr="00E14EC2">
        <w:rPr>
          <w:rFonts w:ascii="Times" w:hAnsi="Times" w:cs="Times"/>
          <w:lang w:val="en-US"/>
        </w:rPr>
        <w:t xml:space="preserve">are now </w:t>
      </w:r>
      <w:r w:rsidR="00583E93" w:rsidRPr="00E14EC2">
        <w:rPr>
          <w:rFonts w:ascii="Times" w:hAnsi="Times" w:cs="Times"/>
          <w:lang w:val="en-US"/>
        </w:rPr>
        <w:t xml:space="preserve">examined. </w:t>
      </w:r>
    </w:p>
    <w:p w14:paraId="26AEA9F7" w14:textId="00C25520" w:rsidR="00583E93" w:rsidRPr="00E14EC2" w:rsidRDefault="00ED32CC" w:rsidP="003373DF">
      <w:pPr>
        <w:spacing w:line="480" w:lineRule="auto"/>
        <w:rPr>
          <w:rFonts w:ascii="Times" w:hAnsi="Times" w:cs="Times"/>
          <w:lang w:val="en-US"/>
        </w:rPr>
      </w:pPr>
      <w:r w:rsidRPr="00E14EC2">
        <w:rPr>
          <w:rFonts w:ascii="Times" w:hAnsi="Times" w:cs="Times"/>
          <w:lang w:val="en-US"/>
        </w:rPr>
        <w:tab/>
      </w:r>
      <w:r w:rsidR="00D71150">
        <w:rPr>
          <w:rFonts w:ascii="Times" w:hAnsi="Times" w:cs="Times"/>
          <w:iCs/>
          <w:lang w:val="en-US"/>
        </w:rPr>
        <w:t>In t</w:t>
      </w:r>
      <w:r w:rsidR="00583E93" w:rsidRPr="00E14EC2">
        <w:rPr>
          <w:rFonts w:ascii="Times" w:hAnsi="Times" w:cs="Times"/>
          <w:iCs/>
          <w:lang w:val="en-US"/>
        </w:rPr>
        <w:t xml:space="preserve">he </w:t>
      </w:r>
      <w:r w:rsidR="00583E93" w:rsidRPr="00E14EC2">
        <w:rPr>
          <w:rFonts w:ascii="Times" w:hAnsi="Times" w:cs="Times"/>
          <w:lang w:val="en-US"/>
        </w:rPr>
        <w:t>ICESCR</w:t>
      </w:r>
      <w:r w:rsidR="00D71150">
        <w:rPr>
          <w:rFonts w:ascii="Times" w:hAnsi="Times" w:cs="Times"/>
          <w:lang w:val="en-US"/>
        </w:rPr>
        <w:t xml:space="preserve">, </w:t>
      </w:r>
      <w:r w:rsidR="00583E93" w:rsidRPr="00E14EC2">
        <w:rPr>
          <w:rFonts w:ascii="Times" w:hAnsi="Times" w:cs="Times"/>
          <w:lang w:val="en-US"/>
        </w:rPr>
        <w:t>the most comprehensive treaty on the protection of cultural rights</w:t>
      </w:r>
      <w:r w:rsidR="00D71150">
        <w:rPr>
          <w:rFonts w:ascii="Times" w:hAnsi="Times" w:cs="Times"/>
          <w:lang w:val="en-US"/>
        </w:rPr>
        <w:t>,</w:t>
      </w:r>
      <w:r w:rsidR="00583E93" w:rsidRPr="00E14EC2">
        <w:rPr>
          <w:rFonts w:ascii="Times" w:hAnsi="Times" w:cs="Times"/>
          <w:lang w:val="en-US"/>
        </w:rPr>
        <w:t xml:space="preserve"> </w:t>
      </w:r>
      <w:r w:rsidR="00E30D3B" w:rsidRPr="00E14EC2">
        <w:rPr>
          <w:rFonts w:ascii="Times" w:hAnsi="Times" w:cs="Times"/>
          <w:lang w:val="en-US"/>
        </w:rPr>
        <w:t xml:space="preserve">Part III </w:t>
      </w:r>
      <w:r w:rsidR="00583E93" w:rsidRPr="00E14EC2">
        <w:rPr>
          <w:rFonts w:ascii="Times" w:hAnsi="Times" w:cs="Times"/>
          <w:lang w:val="en-US"/>
        </w:rPr>
        <w:t xml:space="preserve">outlines the substantive rights </w:t>
      </w:r>
      <w:r w:rsidR="00236BEC" w:rsidRPr="00E14EC2">
        <w:rPr>
          <w:rFonts w:ascii="Times" w:hAnsi="Times" w:cs="Times"/>
          <w:lang w:val="en-US"/>
        </w:rPr>
        <w:t xml:space="preserve">to be protected: </w:t>
      </w:r>
      <w:r w:rsidR="00583E93" w:rsidRPr="00E14EC2">
        <w:rPr>
          <w:rFonts w:ascii="Times" w:hAnsi="Times" w:cs="Times"/>
          <w:lang w:val="en-US"/>
        </w:rPr>
        <w:t>to education</w:t>
      </w:r>
      <w:r w:rsidR="00601BAD" w:rsidRPr="00E14EC2">
        <w:rPr>
          <w:rFonts w:ascii="Times" w:hAnsi="Times" w:cs="Times"/>
          <w:lang w:val="en-US"/>
        </w:rPr>
        <w:t xml:space="preserve"> (Articles 13</w:t>
      </w:r>
      <w:r w:rsidR="00A71F6C" w:rsidRPr="00E14EC2">
        <w:rPr>
          <w:rFonts w:ascii="Times" w:hAnsi="Times" w:cs="Times"/>
          <w:lang w:val="en-US"/>
        </w:rPr>
        <w:t>–</w:t>
      </w:r>
      <w:r w:rsidR="00601BAD" w:rsidRPr="00E14EC2">
        <w:rPr>
          <w:rFonts w:ascii="Times" w:hAnsi="Times" w:cs="Times"/>
          <w:lang w:val="en-US"/>
        </w:rPr>
        <w:t>14)</w:t>
      </w:r>
      <w:r w:rsidR="00583E93" w:rsidRPr="00E14EC2">
        <w:rPr>
          <w:rFonts w:ascii="Times" w:hAnsi="Times" w:cs="Times"/>
          <w:lang w:val="en-US"/>
        </w:rPr>
        <w:t>; to participate in cultural life</w:t>
      </w:r>
      <w:r w:rsidR="00601BAD" w:rsidRPr="00E14EC2">
        <w:rPr>
          <w:rFonts w:ascii="Times" w:hAnsi="Times" w:cs="Times"/>
          <w:lang w:val="en-US"/>
        </w:rPr>
        <w:t xml:space="preserve"> (Article 15</w:t>
      </w:r>
      <w:r w:rsidR="005C5D62" w:rsidRPr="00E14EC2">
        <w:rPr>
          <w:rFonts w:ascii="Times" w:hAnsi="Times" w:cs="Times"/>
          <w:lang w:val="en-US"/>
        </w:rPr>
        <w:t>.</w:t>
      </w:r>
      <w:r w:rsidR="00601BAD" w:rsidRPr="00E14EC2">
        <w:rPr>
          <w:rFonts w:ascii="Times" w:hAnsi="Times" w:cs="Times"/>
          <w:lang w:val="en-US"/>
        </w:rPr>
        <w:t>1</w:t>
      </w:r>
      <w:r w:rsidR="005C5D62" w:rsidRPr="00E14EC2">
        <w:rPr>
          <w:rFonts w:ascii="Times" w:hAnsi="Times" w:cs="Times"/>
          <w:lang w:val="en-US"/>
        </w:rPr>
        <w:t>.</w:t>
      </w:r>
      <w:r w:rsidR="00601BAD" w:rsidRPr="00E14EC2">
        <w:rPr>
          <w:rFonts w:ascii="Times" w:hAnsi="Times" w:cs="Times"/>
          <w:lang w:val="en-US"/>
        </w:rPr>
        <w:t>a)</w:t>
      </w:r>
      <w:r w:rsidR="00583E93" w:rsidRPr="00E14EC2">
        <w:rPr>
          <w:rFonts w:ascii="Times" w:hAnsi="Times" w:cs="Times"/>
          <w:lang w:val="en-US"/>
        </w:rPr>
        <w:t>; to enjoy the benefits of scientific progress and its applications</w:t>
      </w:r>
      <w:r w:rsidR="00601BAD" w:rsidRPr="00E14EC2">
        <w:rPr>
          <w:rFonts w:ascii="Times" w:hAnsi="Times" w:cs="Times"/>
          <w:lang w:val="en-US"/>
        </w:rPr>
        <w:t xml:space="preserve"> (Article 15</w:t>
      </w:r>
      <w:r w:rsidR="00E37AF3" w:rsidRPr="00E14EC2">
        <w:rPr>
          <w:rFonts w:ascii="Times" w:hAnsi="Times" w:cs="Times"/>
          <w:lang w:val="en-US"/>
        </w:rPr>
        <w:t>.</w:t>
      </w:r>
      <w:r w:rsidR="00601BAD" w:rsidRPr="00E14EC2">
        <w:rPr>
          <w:rFonts w:ascii="Times" w:hAnsi="Times" w:cs="Times"/>
          <w:lang w:val="en-US"/>
        </w:rPr>
        <w:t>1</w:t>
      </w:r>
      <w:r w:rsidR="00E37AF3" w:rsidRPr="00E14EC2">
        <w:rPr>
          <w:rFonts w:ascii="Times" w:hAnsi="Times" w:cs="Times"/>
          <w:lang w:val="en-US"/>
        </w:rPr>
        <w:t>.</w:t>
      </w:r>
      <w:r w:rsidR="00601BAD" w:rsidRPr="00E14EC2">
        <w:rPr>
          <w:rFonts w:ascii="Times" w:hAnsi="Times" w:cs="Times"/>
          <w:lang w:val="en-US"/>
        </w:rPr>
        <w:t>b)</w:t>
      </w:r>
      <w:r w:rsidR="00583E93" w:rsidRPr="00E14EC2">
        <w:rPr>
          <w:rFonts w:ascii="Times" w:hAnsi="Times" w:cs="Times"/>
          <w:lang w:val="en-US"/>
        </w:rPr>
        <w:t>;</w:t>
      </w:r>
      <w:r w:rsidR="00236BEC" w:rsidRPr="00E14EC2">
        <w:rPr>
          <w:rFonts w:ascii="Times" w:hAnsi="Times" w:cs="Times"/>
          <w:lang w:val="en-US"/>
        </w:rPr>
        <w:t xml:space="preserve"> </w:t>
      </w:r>
      <w:r w:rsidR="00583E93" w:rsidRPr="00E14EC2">
        <w:rPr>
          <w:rFonts w:ascii="Times" w:hAnsi="Times" w:cs="Times"/>
          <w:lang w:val="en-US"/>
        </w:rPr>
        <w:t xml:space="preserve">to benefit from the protection of the moral and material interests resulting from </w:t>
      </w:r>
      <w:r w:rsidR="00583E93" w:rsidRPr="00E14EC2">
        <w:rPr>
          <w:rFonts w:ascii="Times" w:hAnsi="Times" w:cs="Times"/>
          <w:lang w:val="en-US"/>
        </w:rPr>
        <w:lastRenderedPageBreak/>
        <w:t>any scientific, literary or artistic production of which the person is the author</w:t>
      </w:r>
      <w:r w:rsidR="00601BAD" w:rsidRPr="00E14EC2">
        <w:rPr>
          <w:rFonts w:ascii="Times" w:hAnsi="Times" w:cs="Times"/>
          <w:lang w:val="en-US"/>
        </w:rPr>
        <w:t xml:space="preserve"> (Article 15</w:t>
      </w:r>
      <w:r w:rsidR="00E37AF3" w:rsidRPr="00E14EC2">
        <w:rPr>
          <w:rFonts w:ascii="Times" w:hAnsi="Times" w:cs="Times"/>
          <w:lang w:val="en-US"/>
        </w:rPr>
        <w:t>.</w:t>
      </w:r>
      <w:r w:rsidR="00601BAD" w:rsidRPr="00E14EC2">
        <w:rPr>
          <w:rFonts w:ascii="Times" w:hAnsi="Times" w:cs="Times"/>
          <w:lang w:val="en-US"/>
        </w:rPr>
        <w:t>1</w:t>
      </w:r>
      <w:r w:rsidR="00E37AF3" w:rsidRPr="00E14EC2">
        <w:rPr>
          <w:rFonts w:ascii="Times" w:hAnsi="Times" w:cs="Times"/>
          <w:lang w:val="en-US"/>
        </w:rPr>
        <w:t>.</w:t>
      </w:r>
      <w:r w:rsidR="00601BAD" w:rsidRPr="00E14EC2">
        <w:rPr>
          <w:rFonts w:ascii="Times" w:hAnsi="Times" w:cs="Times"/>
          <w:lang w:val="en-US"/>
        </w:rPr>
        <w:t>c)</w:t>
      </w:r>
      <w:r w:rsidR="00583E93" w:rsidRPr="00E14EC2">
        <w:rPr>
          <w:rFonts w:ascii="Times" w:hAnsi="Times" w:cs="Times"/>
          <w:lang w:val="en-US"/>
        </w:rPr>
        <w:t>;</w:t>
      </w:r>
      <w:r w:rsidR="00236BEC" w:rsidRPr="00E14EC2">
        <w:rPr>
          <w:rFonts w:ascii="Times" w:hAnsi="Times" w:cs="Times"/>
          <w:lang w:val="en-US"/>
        </w:rPr>
        <w:t xml:space="preserve"> and </w:t>
      </w:r>
      <w:r w:rsidR="00583E93" w:rsidRPr="00E14EC2">
        <w:rPr>
          <w:rFonts w:ascii="Times" w:hAnsi="Times" w:cs="Times"/>
          <w:lang w:val="en-US"/>
        </w:rPr>
        <w:t>the freedom for scientific research and creative activity</w:t>
      </w:r>
      <w:r w:rsidR="00601BAD" w:rsidRPr="00E14EC2">
        <w:rPr>
          <w:rFonts w:ascii="Times" w:hAnsi="Times" w:cs="Times"/>
          <w:lang w:val="en-US"/>
        </w:rPr>
        <w:t xml:space="preserve"> (Article 15</w:t>
      </w:r>
      <w:r w:rsidR="00E37AF3" w:rsidRPr="00E14EC2">
        <w:rPr>
          <w:rFonts w:ascii="Times" w:hAnsi="Times" w:cs="Times"/>
          <w:lang w:val="en-US"/>
        </w:rPr>
        <w:t>.</w:t>
      </w:r>
      <w:r w:rsidR="00601BAD" w:rsidRPr="00E14EC2">
        <w:rPr>
          <w:rFonts w:ascii="Times" w:hAnsi="Times" w:cs="Times"/>
          <w:lang w:val="en-US"/>
        </w:rPr>
        <w:t>3).</w:t>
      </w:r>
    </w:p>
    <w:p w14:paraId="497A694B" w14:textId="628836BC" w:rsidR="00C2666B" w:rsidRPr="00E14EC2" w:rsidRDefault="00583E93" w:rsidP="00490CF3">
      <w:pPr>
        <w:spacing w:line="480" w:lineRule="auto"/>
        <w:ind w:firstLine="708"/>
        <w:rPr>
          <w:rFonts w:ascii="Times" w:hAnsi="Times" w:cs="Times"/>
          <w:lang w:val="en-US"/>
        </w:rPr>
      </w:pPr>
      <w:r w:rsidRPr="00E14EC2">
        <w:rPr>
          <w:rFonts w:ascii="Times" w:hAnsi="Times" w:cs="Times"/>
          <w:lang w:val="en-US"/>
        </w:rPr>
        <w:t>Article 15</w:t>
      </w:r>
      <w:r w:rsidR="006A55F7" w:rsidRPr="00E14EC2">
        <w:rPr>
          <w:rFonts w:ascii="Times" w:hAnsi="Times" w:cs="Times"/>
          <w:lang w:val="en-US"/>
        </w:rPr>
        <w:t>.</w:t>
      </w:r>
      <w:r w:rsidRPr="00E14EC2">
        <w:rPr>
          <w:rFonts w:ascii="Times" w:hAnsi="Times" w:cs="Times"/>
          <w:lang w:val="en-US"/>
        </w:rPr>
        <w:t>1</w:t>
      </w:r>
      <w:r w:rsidR="006A55F7" w:rsidRPr="00E14EC2">
        <w:rPr>
          <w:rFonts w:ascii="Times" w:hAnsi="Times" w:cs="Times"/>
          <w:lang w:val="en-US"/>
        </w:rPr>
        <w:t>.</w:t>
      </w:r>
      <w:r w:rsidR="00D71150">
        <w:rPr>
          <w:rFonts w:ascii="Times" w:hAnsi="Times" w:cs="Times"/>
          <w:lang w:val="en-US"/>
        </w:rPr>
        <w:t xml:space="preserve">a, </w:t>
      </w:r>
      <w:r w:rsidRPr="00E14EC2">
        <w:rPr>
          <w:rFonts w:ascii="Times" w:hAnsi="Times" w:cs="Times"/>
          <w:lang w:val="en-US"/>
        </w:rPr>
        <w:t>on the right to participate in cultural life</w:t>
      </w:r>
      <w:r w:rsidR="00D71150">
        <w:rPr>
          <w:rFonts w:ascii="Times" w:hAnsi="Times" w:cs="Times"/>
          <w:lang w:val="en-US"/>
        </w:rPr>
        <w:t xml:space="preserve">, </w:t>
      </w:r>
      <w:r w:rsidRPr="00E14EC2">
        <w:rPr>
          <w:rFonts w:ascii="Times" w:hAnsi="Times" w:cs="Times"/>
          <w:lang w:val="en-US"/>
        </w:rPr>
        <w:t>contains a very general and vague assertion.</w:t>
      </w:r>
      <w:bookmarkStart w:id="21" w:name="_Ref261869115"/>
      <w:r w:rsidRPr="00E14EC2">
        <w:rPr>
          <w:rFonts w:ascii="Times" w:hAnsi="Times" w:cs="Times"/>
          <w:lang w:val="en-US"/>
        </w:rPr>
        <w:t xml:space="preserve"> Neither a literal interpretation nor the consultation of its</w:t>
      </w:r>
      <w:r w:rsidR="00AD679E" w:rsidRPr="00E14EC2">
        <w:rPr>
          <w:rFonts w:ascii="Times" w:hAnsi="Times" w:cs="Times"/>
          <w:lang w:val="en-US"/>
        </w:rPr>
        <w:t xml:space="preserve"> </w:t>
      </w:r>
      <w:r w:rsidRPr="00097F75">
        <w:rPr>
          <w:rFonts w:ascii="Times" w:hAnsi="Times" w:cs="Times"/>
          <w:i/>
          <w:iCs/>
          <w:lang w:val="en-US"/>
        </w:rPr>
        <w:t>travaux préparatoires</w:t>
      </w:r>
      <w:r w:rsidR="001E3F4F" w:rsidRPr="00014F2A">
        <w:rPr>
          <w:rFonts w:ascii="Times" w:hAnsi="Times" w:cs="Times"/>
          <w:iCs/>
          <w:lang w:val="en-US"/>
        </w:rPr>
        <w:t>,</w:t>
      </w:r>
      <w:r w:rsidR="00D31550" w:rsidRPr="00014F2A">
        <w:rPr>
          <w:rFonts w:ascii="Times" w:hAnsi="Times" w:cs="Times"/>
          <w:iCs/>
          <w:lang w:val="en-US"/>
        </w:rPr>
        <w:t xml:space="preserve"> </w:t>
      </w:r>
      <w:r w:rsidR="001E3F4F" w:rsidRPr="00E14EC2">
        <w:rPr>
          <w:rFonts w:ascii="Times" w:hAnsi="Times" w:cs="Times"/>
          <w:iCs/>
          <w:lang w:val="en-US"/>
        </w:rPr>
        <w:t xml:space="preserve">or </w:t>
      </w:r>
      <w:r w:rsidR="00D31550" w:rsidRPr="00E14EC2">
        <w:rPr>
          <w:rFonts w:ascii="Times" w:hAnsi="Times" w:cs="Times"/>
          <w:lang w:val="en-US"/>
        </w:rPr>
        <w:t>drafting history</w:t>
      </w:r>
      <w:r w:rsidR="00AD679E" w:rsidRPr="00E14EC2">
        <w:rPr>
          <w:rFonts w:ascii="Times" w:hAnsi="Times" w:cs="Times"/>
          <w:iCs/>
          <w:lang w:val="en-US"/>
        </w:rPr>
        <w:t>,</w:t>
      </w:r>
      <w:r w:rsidRPr="00E14EC2">
        <w:rPr>
          <w:rFonts w:ascii="Times" w:hAnsi="Times" w:cs="Times"/>
          <w:lang w:val="en-US"/>
        </w:rPr>
        <w:t xml:space="preserve"> are of </w:t>
      </w:r>
      <w:r w:rsidR="00005B45">
        <w:rPr>
          <w:rFonts w:ascii="Times" w:hAnsi="Times" w:cs="Times"/>
          <w:lang w:val="en-US"/>
        </w:rPr>
        <w:t>assistance</w:t>
      </w:r>
      <w:r w:rsidRPr="00E14EC2">
        <w:rPr>
          <w:rFonts w:ascii="Times" w:hAnsi="Times" w:cs="Times"/>
          <w:lang w:val="en-US"/>
        </w:rPr>
        <w:t xml:space="preserve"> in understanding the exact meaning of th</w:t>
      </w:r>
      <w:r w:rsidR="00393317" w:rsidRPr="00E14EC2">
        <w:rPr>
          <w:rFonts w:ascii="Times" w:hAnsi="Times" w:cs="Times"/>
          <w:lang w:val="en-US"/>
        </w:rPr>
        <w:t>e</w:t>
      </w:r>
      <w:r w:rsidRPr="00E14EC2">
        <w:rPr>
          <w:rFonts w:ascii="Times" w:hAnsi="Times" w:cs="Times"/>
          <w:lang w:val="en-US"/>
        </w:rPr>
        <w:t xml:space="preserve"> provision.</w:t>
      </w:r>
      <w:r w:rsidRPr="00014F2A">
        <w:rPr>
          <w:rStyle w:val="EndnoteReference"/>
          <w:rFonts w:ascii="Times" w:hAnsi="Times" w:cs="Times"/>
          <w:lang w:val="en-US"/>
        </w:rPr>
        <w:endnoteReference w:id="24"/>
      </w:r>
      <w:bookmarkEnd w:id="21"/>
      <w:r w:rsidRPr="00014F2A">
        <w:rPr>
          <w:rFonts w:ascii="Times" w:hAnsi="Times" w:cs="Times"/>
          <w:lang w:val="en-US"/>
        </w:rPr>
        <w:t xml:space="preserve"> The normative content of this right was fleshed out by the CESCR in </w:t>
      </w:r>
      <w:r w:rsidRPr="00E14EC2">
        <w:rPr>
          <w:rFonts w:ascii="Times" w:hAnsi="Times" w:cs="Times"/>
          <w:lang w:val="en-US"/>
        </w:rPr>
        <w:t xml:space="preserve">General Comment No. 21 </w:t>
      </w:r>
      <w:r w:rsidR="00BE0B4A" w:rsidRPr="00E14EC2">
        <w:rPr>
          <w:rFonts w:ascii="Times" w:hAnsi="Times" w:cs="Times"/>
          <w:lang w:val="en-US"/>
        </w:rPr>
        <w:t>of</w:t>
      </w:r>
      <w:r w:rsidRPr="00E14EC2">
        <w:rPr>
          <w:rFonts w:ascii="Times" w:hAnsi="Times" w:cs="Times"/>
          <w:lang w:val="en-US"/>
        </w:rPr>
        <w:t xml:space="preserve"> 2009.</w:t>
      </w:r>
      <w:bookmarkStart w:id="22" w:name="_Ref364160214"/>
      <w:r w:rsidRPr="00014F2A">
        <w:rPr>
          <w:rStyle w:val="EndnoteReference"/>
          <w:rFonts w:ascii="Times" w:hAnsi="Times" w:cs="Times"/>
          <w:lang w:val="en-US"/>
        </w:rPr>
        <w:endnoteReference w:id="25"/>
      </w:r>
      <w:bookmarkEnd w:id="22"/>
      <w:r w:rsidRPr="00014F2A">
        <w:rPr>
          <w:rFonts w:ascii="Times" w:hAnsi="Times" w:cs="Times"/>
          <w:lang w:val="en-US"/>
        </w:rPr>
        <w:t xml:space="preserve"> </w:t>
      </w:r>
      <w:r w:rsidRPr="00E14EC2">
        <w:rPr>
          <w:rFonts w:ascii="Times" w:hAnsi="Times" w:cs="Times"/>
          <w:lang w:val="en-US"/>
        </w:rPr>
        <w:t xml:space="preserve">At the outset, </w:t>
      </w:r>
      <w:r w:rsidR="00CB02E5">
        <w:rPr>
          <w:rFonts w:ascii="Times" w:hAnsi="Times" w:cs="Times"/>
          <w:lang w:val="en-US"/>
        </w:rPr>
        <w:t xml:space="preserve">in the document </w:t>
      </w:r>
      <w:r w:rsidRPr="00014F2A">
        <w:rPr>
          <w:rFonts w:ascii="Times" w:hAnsi="Times" w:cs="Times"/>
          <w:lang w:val="en-US"/>
        </w:rPr>
        <w:t>the CESCR recalled that “</w:t>
      </w:r>
      <w:r w:rsidRPr="00E14EC2">
        <w:rPr>
          <w:rFonts w:ascii="Times" w:hAnsi="Times" w:cs="Times"/>
          <w:lang w:val="en-US"/>
        </w:rPr>
        <w:t>cultural rights are an integral part of human rights and, like other rights, are universal, indivisible and interdependent</w:t>
      </w:r>
      <w:r w:rsidR="00E50096" w:rsidRPr="00E14EC2">
        <w:rPr>
          <w:rFonts w:ascii="Times" w:hAnsi="Times" w:cs="Times"/>
          <w:lang w:val="en-US"/>
        </w:rPr>
        <w:t>.”</w:t>
      </w:r>
      <w:r w:rsidRPr="00014F2A">
        <w:rPr>
          <w:rFonts w:ascii="Times" w:hAnsi="Times" w:cs="Times"/>
          <w:lang w:val="en-US"/>
        </w:rPr>
        <w:t xml:space="preserve"> </w:t>
      </w:r>
      <w:r w:rsidR="00A52F33" w:rsidRPr="00E14EC2">
        <w:rPr>
          <w:rFonts w:ascii="Times" w:hAnsi="Times" w:cs="Times"/>
          <w:lang w:val="en-US"/>
        </w:rPr>
        <w:t>I</w:t>
      </w:r>
      <w:r w:rsidRPr="00E14EC2">
        <w:rPr>
          <w:rFonts w:ascii="Times" w:hAnsi="Times" w:cs="Times"/>
          <w:lang w:val="en-US"/>
        </w:rPr>
        <w:t xml:space="preserve">t </w:t>
      </w:r>
      <w:r w:rsidR="00A52F33" w:rsidRPr="00E14EC2">
        <w:rPr>
          <w:rFonts w:ascii="Times" w:hAnsi="Times" w:cs="Times"/>
          <w:lang w:val="en-US"/>
        </w:rPr>
        <w:t xml:space="preserve">also </w:t>
      </w:r>
      <w:r w:rsidRPr="00E14EC2">
        <w:rPr>
          <w:rFonts w:ascii="Times" w:hAnsi="Times" w:cs="Times"/>
          <w:lang w:val="en-US"/>
        </w:rPr>
        <w:t>made clear that cultural rights may be exercised by “a person (a) as an individual, (b) in association with others, or (c) within a community or group</w:t>
      </w:r>
      <w:r w:rsidR="00E50096" w:rsidRPr="00E14EC2">
        <w:rPr>
          <w:rFonts w:ascii="Times" w:hAnsi="Times" w:cs="Times"/>
          <w:lang w:val="en-US"/>
        </w:rPr>
        <w:t>.”</w:t>
      </w:r>
      <w:r w:rsidRPr="00014F2A">
        <w:rPr>
          <w:rFonts w:ascii="Times" w:hAnsi="Times" w:cs="Times"/>
          <w:lang w:val="en-US"/>
        </w:rPr>
        <w:t xml:space="preserve"> It follows that the right to participate in cultural life belongs to all individuals, regardless of the bond of citizenship. </w:t>
      </w:r>
      <w:r w:rsidR="00F82C50">
        <w:rPr>
          <w:rFonts w:ascii="Times" w:hAnsi="Times" w:cs="Times"/>
          <w:lang w:val="en-US"/>
        </w:rPr>
        <w:t>T</w:t>
      </w:r>
      <w:r w:rsidR="00BD73D1">
        <w:rPr>
          <w:rFonts w:ascii="Times" w:hAnsi="Times" w:cs="Times"/>
          <w:lang w:val="en-US"/>
        </w:rPr>
        <w:t xml:space="preserve">he committee </w:t>
      </w:r>
      <w:r w:rsidRPr="00014F2A">
        <w:rPr>
          <w:rFonts w:ascii="Times" w:hAnsi="Times" w:cs="Times"/>
          <w:lang w:val="en-US"/>
        </w:rPr>
        <w:t>also confirmed that the rights related to cultural heritage cannot be invoked to infringe upon other human rights</w:t>
      </w:r>
      <w:bookmarkStart w:id="23" w:name="_Ref486857019"/>
      <w:r w:rsidR="00326D09">
        <w:rPr>
          <w:rFonts w:ascii="Times" w:hAnsi="Times" w:cs="Times"/>
          <w:lang w:val="en-US"/>
        </w:rPr>
        <w:t>,</w:t>
      </w:r>
      <w:r w:rsidRPr="00014F2A">
        <w:rPr>
          <w:rStyle w:val="EndnoteReference"/>
          <w:rFonts w:ascii="Times" w:hAnsi="Times" w:cs="Times"/>
          <w:lang w:val="en-US"/>
        </w:rPr>
        <w:endnoteReference w:id="26"/>
      </w:r>
      <w:bookmarkEnd w:id="23"/>
      <w:r w:rsidRPr="00014F2A">
        <w:rPr>
          <w:rFonts w:ascii="Times" w:hAnsi="Times" w:cs="Times"/>
          <w:lang w:val="en-US"/>
        </w:rPr>
        <w:t xml:space="preserve"> </w:t>
      </w:r>
      <w:r w:rsidR="00326D09">
        <w:rPr>
          <w:rFonts w:ascii="Times" w:hAnsi="Times" w:cs="Times"/>
          <w:lang w:val="en-US"/>
        </w:rPr>
        <w:t>and</w:t>
      </w:r>
      <w:r w:rsidRPr="00014F2A">
        <w:rPr>
          <w:rFonts w:ascii="Times" w:hAnsi="Times" w:cs="Times"/>
          <w:lang w:val="en-US"/>
        </w:rPr>
        <w:t xml:space="preserve"> </w:t>
      </w:r>
      <w:r w:rsidR="00050763">
        <w:rPr>
          <w:rFonts w:ascii="Times" w:hAnsi="Times" w:cs="Times"/>
          <w:lang w:val="en-US"/>
        </w:rPr>
        <w:t>it</w:t>
      </w:r>
      <w:r w:rsidRPr="00014F2A">
        <w:rPr>
          <w:rFonts w:ascii="Times" w:hAnsi="Times" w:cs="Times"/>
          <w:lang w:val="en-US"/>
        </w:rPr>
        <w:t xml:space="preserve"> elaborated on the terms “culture” and “participation</w:t>
      </w:r>
      <w:r w:rsidR="00E50096" w:rsidRPr="00E14EC2">
        <w:rPr>
          <w:rFonts w:ascii="Times" w:hAnsi="Times" w:cs="Times"/>
          <w:lang w:val="en-US"/>
        </w:rPr>
        <w:t>.”</w:t>
      </w:r>
      <w:r w:rsidR="00C2666B" w:rsidRPr="00E14EC2">
        <w:rPr>
          <w:rFonts w:ascii="Times" w:hAnsi="Times" w:cs="Times"/>
          <w:lang w:val="en-US"/>
        </w:rPr>
        <w:t xml:space="preserve"> </w:t>
      </w:r>
    </w:p>
    <w:p w14:paraId="782631AB" w14:textId="6E27E7AE" w:rsidR="00583E93" w:rsidRPr="00014F2A"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According to the </w:t>
      </w:r>
      <w:r w:rsidR="00F82C50" w:rsidRPr="0057150D">
        <w:rPr>
          <w:lang w:val="en-GB"/>
        </w:rPr>
        <w:t>CESCR</w:t>
      </w:r>
      <w:r w:rsidR="00583E93" w:rsidRPr="00E14EC2">
        <w:rPr>
          <w:rFonts w:ascii="Times" w:hAnsi="Times" w:cs="Times"/>
          <w:lang w:val="en-US"/>
        </w:rPr>
        <w:t>, the term “culture” reflects “a living process, historical, dynamic and evolving</w:t>
      </w:r>
      <w:r w:rsidR="003D4DB1" w:rsidRPr="00E14EC2">
        <w:rPr>
          <w:rFonts w:ascii="Times" w:hAnsi="Times" w:cs="Times"/>
          <w:lang w:val="en-US"/>
        </w:rPr>
        <w:t>,”</w:t>
      </w:r>
      <w:r w:rsidR="00583E93" w:rsidRPr="00E14EC2">
        <w:rPr>
          <w:rFonts w:ascii="Times" w:hAnsi="Times" w:cs="Times"/>
          <w:lang w:val="en-US"/>
        </w:rPr>
        <w:t xml:space="preserve"> one that encompasses “all manifestations of human existence</w:t>
      </w:r>
      <w:r w:rsidR="003D4DB1" w:rsidRPr="00E14EC2">
        <w:rPr>
          <w:rFonts w:ascii="Times" w:hAnsi="Times" w:cs="Times"/>
          <w:lang w:val="en-US"/>
        </w:rPr>
        <w:t>,”</w:t>
      </w:r>
      <w:r w:rsidR="00583E93" w:rsidRPr="00E14EC2">
        <w:rPr>
          <w:rFonts w:ascii="Times" w:hAnsi="Times" w:cs="Times"/>
          <w:lang w:val="en-US"/>
        </w:rPr>
        <w:t xml:space="preserve"> such as “ways of life, language, oral and written literature, music and song, non-verbal communication, religion or belief systems, rites and ceremonies, sport and games, methods of production or technology, natural and man-made environments, food, clothing </w:t>
      </w:r>
      <w:r w:rsidR="00540B4F" w:rsidRPr="00E14EC2">
        <w:rPr>
          <w:rFonts w:ascii="Times" w:hAnsi="Times" w:cs="Times"/>
          <w:lang w:val="en-US"/>
        </w:rPr>
        <w:t>…</w:t>
      </w:r>
      <w:r w:rsidR="00583E93" w:rsidRPr="00E14EC2">
        <w:rPr>
          <w:rFonts w:ascii="Times" w:hAnsi="Times" w:cs="Times"/>
          <w:lang w:val="en-US"/>
        </w:rPr>
        <w:t xml:space="preserve"> and the arts, customs and traditions</w:t>
      </w:r>
      <w:r w:rsidR="003D4DB1" w:rsidRPr="00E14EC2">
        <w:rPr>
          <w:rFonts w:ascii="Times" w:hAnsi="Times" w:cs="Times"/>
          <w:lang w:val="en-US"/>
        </w:rPr>
        <w:t>”</w:t>
      </w:r>
      <w:r w:rsidR="00583E93" w:rsidRPr="00E14EC2">
        <w:rPr>
          <w:rFonts w:ascii="Times" w:hAnsi="Times" w:cs="Times"/>
          <w:lang w:val="en-US"/>
        </w:rPr>
        <w:t xml:space="preserve"> that are essential to individuals and communities to “express their humanity and the meaning they give to their existence, and build their world view representing their encounter with the external forces affecting their lives</w:t>
      </w:r>
      <w:r w:rsidR="00E50096" w:rsidRPr="00E14EC2">
        <w:rPr>
          <w:rFonts w:ascii="Times" w:hAnsi="Times" w:cs="Times"/>
          <w:lang w:val="en-US"/>
        </w:rPr>
        <w:t>.”</w:t>
      </w:r>
      <w:r w:rsidR="00583E93" w:rsidRPr="00014F2A">
        <w:rPr>
          <w:rStyle w:val="EndnoteReference"/>
          <w:rFonts w:ascii="Times" w:hAnsi="Times" w:cs="Times"/>
          <w:lang w:val="en-US"/>
        </w:rPr>
        <w:endnoteReference w:id="27"/>
      </w:r>
      <w:r w:rsidR="00583E93" w:rsidRPr="00014F2A">
        <w:rPr>
          <w:rFonts w:ascii="Times" w:hAnsi="Times" w:cs="Times"/>
          <w:lang w:val="en-US"/>
        </w:rPr>
        <w:t xml:space="preserve"> These statements indicate that</w:t>
      </w:r>
      <w:r w:rsidR="00674774" w:rsidRPr="00E14EC2">
        <w:rPr>
          <w:rFonts w:ascii="Times" w:hAnsi="Times" w:cs="Times"/>
          <w:lang w:val="en-US"/>
        </w:rPr>
        <w:t>:</w:t>
      </w:r>
      <w:r w:rsidR="00583E93" w:rsidRPr="00E14EC2">
        <w:rPr>
          <w:rFonts w:ascii="Times" w:hAnsi="Times" w:cs="Times"/>
          <w:lang w:val="en-US"/>
        </w:rPr>
        <w:t xml:space="preserve"> the CESCR considered culture in its broadest form as a dynamic process apart from its material side;</w:t>
      </w:r>
      <w:r w:rsidR="00583E93" w:rsidRPr="00014F2A">
        <w:rPr>
          <w:rStyle w:val="EndnoteReference"/>
          <w:rFonts w:ascii="Times" w:hAnsi="Times" w:cs="Times"/>
          <w:lang w:val="en-US"/>
        </w:rPr>
        <w:endnoteReference w:id="28"/>
      </w:r>
      <w:r w:rsidR="00583E93" w:rsidRPr="00014F2A">
        <w:rPr>
          <w:rFonts w:ascii="Times" w:hAnsi="Times" w:cs="Times"/>
          <w:lang w:val="en-US"/>
        </w:rPr>
        <w:t xml:space="preserve"> individuals and communities </w:t>
      </w:r>
      <w:r w:rsidR="00BE0B4A" w:rsidRPr="00014F2A">
        <w:rPr>
          <w:rFonts w:ascii="Times" w:hAnsi="Times" w:cs="Times"/>
          <w:lang w:val="en-US"/>
        </w:rPr>
        <w:t>are regarded as right</w:t>
      </w:r>
      <w:r w:rsidR="00123F60" w:rsidRPr="00E14EC2">
        <w:rPr>
          <w:rFonts w:ascii="Times" w:hAnsi="Times" w:cs="Times"/>
          <w:lang w:val="en-US"/>
        </w:rPr>
        <w:t xml:space="preserve">s </w:t>
      </w:r>
      <w:r w:rsidR="00BE0B4A" w:rsidRPr="00E14EC2">
        <w:rPr>
          <w:rFonts w:ascii="Times" w:hAnsi="Times" w:cs="Times"/>
          <w:lang w:val="en-US"/>
        </w:rPr>
        <w:t xml:space="preserve">holders; </w:t>
      </w:r>
      <w:r w:rsidR="00674774" w:rsidRPr="00E14EC2">
        <w:rPr>
          <w:rFonts w:ascii="Times" w:hAnsi="Times" w:cs="Times"/>
          <w:lang w:val="en-US"/>
        </w:rPr>
        <w:t xml:space="preserve">and </w:t>
      </w:r>
      <w:r w:rsidR="00583E93" w:rsidRPr="00E14EC2">
        <w:rPr>
          <w:rFonts w:ascii="Times" w:hAnsi="Times" w:cs="Times"/>
          <w:lang w:val="en-US"/>
        </w:rPr>
        <w:t xml:space="preserve">the right to take part in cultural </w:t>
      </w:r>
      <w:r w:rsidR="00583E93" w:rsidRPr="00E14EC2">
        <w:rPr>
          <w:rFonts w:ascii="Times" w:hAnsi="Times" w:cs="Times"/>
          <w:lang w:val="en-US"/>
        </w:rPr>
        <w:lastRenderedPageBreak/>
        <w:t>life is not limited to the enjoyment of what is considered to be of outstanding value to humanity or the “national culture” (i</w:t>
      </w:r>
      <w:r w:rsidR="00130684" w:rsidRPr="00E14EC2">
        <w:rPr>
          <w:rFonts w:ascii="Times" w:hAnsi="Times" w:cs="Times"/>
          <w:lang w:val="en-US"/>
        </w:rPr>
        <w:t>.</w:t>
      </w:r>
      <w:r w:rsidR="00583E93" w:rsidRPr="00E14EC2">
        <w:rPr>
          <w:rFonts w:ascii="Times" w:hAnsi="Times" w:cs="Times"/>
          <w:lang w:val="en-US"/>
        </w:rPr>
        <w:t>e</w:t>
      </w:r>
      <w:r w:rsidR="00130684" w:rsidRPr="00E14EC2">
        <w:rPr>
          <w:rFonts w:ascii="Times" w:hAnsi="Times" w:cs="Times"/>
          <w:lang w:val="en-US"/>
        </w:rPr>
        <w:t>.,</w:t>
      </w:r>
      <w:r w:rsidR="00583E93" w:rsidRPr="00E14EC2">
        <w:rPr>
          <w:rFonts w:ascii="Times" w:hAnsi="Times" w:cs="Times"/>
          <w:lang w:val="en-US"/>
        </w:rPr>
        <w:t xml:space="preserve"> the culture of the dominant group), rather such </w:t>
      </w:r>
      <w:r w:rsidR="00FC4C37" w:rsidRPr="00E14EC2">
        <w:rPr>
          <w:rFonts w:ascii="Times" w:hAnsi="Times" w:cs="Times"/>
          <w:lang w:val="en-US"/>
        </w:rPr>
        <w:t xml:space="preserve">a </w:t>
      </w:r>
      <w:r w:rsidR="00583E93" w:rsidRPr="00E14EC2">
        <w:rPr>
          <w:rFonts w:ascii="Times" w:hAnsi="Times" w:cs="Times"/>
          <w:lang w:val="en-US"/>
        </w:rPr>
        <w:t>right is understood as encompassing what is of significance for individuals and communities (their own culture or the “the cultural heritage and the creation of other individuals and communities”).</w:t>
      </w:r>
      <w:r w:rsidR="00583E93" w:rsidRPr="00014F2A">
        <w:rPr>
          <w:rStyle w:val="EndnoteReference"/>
          <w:rFonts w:ascii="Times" w:hAnsi="Times" w:cs="Times"/>
          <w:lang w:val="en-US"/>
        </w:rPr>
        <w:endnoteReference w:id="29"/>
      </w:r>
      <w:r w:rsidR="00583E93" w:rsidRPr="00014F2A">
        <w:rPr>
          <w:rFonts w:ascii="Times" w:hAnsi="Times" w:cs="Times"/>
          <w:lang w:val="en-US"/>
        </w:rPr>
        <w:t xml:space="preserve"> </w:t>
      </w:r>
    </w:p>
    <w:p w14:paraId="6C4C5BA3" w14:textId="64A99F2A" w:rsidR="00583E93" w:rsidRPr="00014F2A" w:rsidRDefault="000C5689" w:rsidP="003373DF">
      <w:pPr>
        <w:spacing w:line="480" w:lineRule="auto"/>
        <w:rPr>
          <w:rFonts w:ascii="Times" w:hAnsi="Times" w:cs="Times"/>
          <w:lang w:val="en-US"/>
        </w:rPr>
      </w:pPr>
      <w:r w:rsidRPr="00E14EC2">
        <w:rPr>
          <w:rFonts w:ascii="Times" w:hAnsi="Times" w:cs="Times"/>
          <w:lang w:val="en-US"/>
        </w:rPr>
        <w:tab/>
      </w:r>
      <w:r w:rsidR="005E3E97">
        <w:rPr>
          <w:rFonts w:ascii="Times" w:hAnsi="Times" w:cs="Times"/>
          <w:lang w:val="en-US"/>
        </w:rPr>
        <w:t xml:space="preserve">Also in </w:t>
      </w:r>
      <w:r w:rsidR="005E3E97" w:rsidRPr="001C33AA">
        <w:rPr>
          <w:rFonts w:ascii="Times" w:hAnsi="Times" w:cs="Times"/>
          <w:lang w:val="en-US"/>
        </w:rPr>
        <w:t>General Comment No. 21</w:t>
      </w:r>
      <w:r w:rsidR="00F82C50">
        <w:rPr>
          <w:rFonts w:ascii="Times" w:hAnsi="Times" w:cs="Times"/>
          <w:lang w:val="en-US"/>
        </w:rPr>
        <w:t>, t</w:t>
      </w:r>
      <w:r w:rsidR="00583E93" w:rsidRPr="00E14EC2">
        <w:rPr>
          <w:rFonts w:ascii="Times" w:hAnsi="Times" w:cs="Times"/>
          <w:lang w:val="en-US"/>
        </w:rPr>
        <w:t xml:space="preserve">he notion of participation was interpreted by the </w:t>
      </w:r>
      <w:r w:rsidR="001E2E7C">
        <w:rPr>
          <w:rFonts w:ascii="Times" w:hAnsi="Times" w:cs="Times"/>
          <w:lang w:val="en-US"/>
        </w:rPr>
        <w:t>committee</w:t>
      </w:r>
      <w:r w:rsidR="001E2E7C" w:rsidRPr="00014F2A">
        <w:rPr>
          <w:rFonts w:ascii="Times" w:hAnsi="Times" w:cs="Times"/>
          <w:lang w:val="en-US"/>
        </w:rPr>
        <w:t xml:space="preserve"> </w:t>
      </w:r>
      <w:r w:rsidR="007B6A9A">
        <w:rPr>
          <w:rFonts w:ascii="Times" w:hAnsi="Times" w:cs="Times"/>
          <w:lang w:val="en-US"/>
        </w:rPr>
        <w:t>to</w:t>
      </w:r>
      <w:r w:rsidR="00583E93" w:rsidRPr="00014F2A">
        <w:rPr>
          <w:rFonts w:ascii="Times" w:hAnsi="Times" w:cs="Times"/>
          <w:lang w:val="en-US"/>
        </w:rPr>
        <w:t xml:space="preserve"> includ</w:t>
      </w:r>
      <w:r w:rsidR="007B6A9A">
        <w:rPr>
          <w:rFonts w:ascii="Times" w:hAnsi="Times" w:cs="Times"/>
          <w:lang w:val="en-US"/>
        </w:rPr>
        <w:t>e</w:t>
      </w:r>
      <w:r w:rsidR="00583E93" w:rsidRPr="00014F2A">
        <w:rPr>
          <w:rFonts w:ascii="Times" w:hAnsi="Times" w:cs="Times"/>
          <w:lang w:val="en-US"/>
        </w:rPr>
        <w:t xml:space="preserve"> participation in, access to, and contribution to cultural life. From a passive perspective, tak</w:t>
      </w:r>
      <w:r w:rsidR="007B6A9A">
        <w:rPr>
          <w:rFonts w:ascii="Times" w:hAnsi="Times" w:cs="Times"/>
          <w:lang w:val="en-US"/>
        </w:rPr>
        <w:t>ing</w:t>
      </w:r>
      <w:r w:rsidR="00583E93" w:rsidRPr="00014F2A">
        <w:rPr>
          <w:rFonts w:ascii="Times" w:hAnsi="Times" w:cs="Times"/>
          <w:lang w:val="en-US"/>
        </w:rPr>
        <w:t xml:space="preserve"> part</w:t>
      </w:r>
      <w:r w:rsidR="00063533">
        <w:rPr>
          <w:rFonts w:ascii="Times" w:hAnsi="Times" w:cs="Times"/>
          <w:lang w:val="en-US"/>
        </w:rPr>
        <w:t xml:space="preserve"> in cultural life</w:t>
      </w:r>
      <w:r w:rsidR="00583E93" w:rsidRPr="00014F2A">
        <w:rPr>
          <w:rFonts w:ascii="Times" w:hAnsi="Times" w:cs="Times"/>
          <w:lang w:val="en-US"/>
        </w:rPr>
        <w:t xml:space="preserve"> means hav</w:t>
      </w:r>
      <w:r w:rsidR="007B6A9A">
        <w:rPr>
          <w:rFonts w:ascii="Times" w:hAnsi="Times" w:cs="Times"/>
          <w:lang w:val="en-US"/>
        </w:rPr>
        <w:t>ing</w:t>
      </w:r>
      <w:r w:rsidR="00583E93" w:rsidRPr="00014F2A">
        <w:rPr>
          <w:rFonts w:ascii="Times" w:hAnsi="Times" w:cs="Times"/>
          <w:lang w:val="en-US"/>
        </w:rPr>
        <w:t xml:space="preserve"> access to </w:t>
      </w:r>
      <w:r w:rsidR="00D354E8">
        <w:rPr>
          <w:rFonts w:ascii="Times" w:hAnsi="Times" w:cs="Times"/>
          <w:lang w:val="en-US"/>
        </w:rPr>
        <w:t>it</w:t>
      </w:r>
      <w:r w:rsidR="00583E93" w:rsidRPr="00014F2A">
        <w:rPr>
          <w:rFonts w:ascii="Times" w:hAnsi="Times" w:cs="Times"/>
          <w:lang w:val="en-US"/>
        </w:rPr>
        <w:t xml:space="preserve"> (and to informat</w:t>
      </w:r>
      <w:r w:rsidR="00583E93" w:rsidRPr="00E14EC2">
        <w:rPr>
          <w:rFonts w:ascii="Times" w:hAnsi="Times" w:cs="Times"/>
          <w:lang w:val="en-US"/>
        </w:rPr>
        <w:t>ion about it) and enjoy</w:t>
      </w:r>
      <w:r w:rsidR="007B6A9A">
        <w:rPr>
          <w:rFonts w:ascii="Times" w:hAnsi="Times" w:cs="Times"/>
          <w:lang w:val="en-US"/>
        </w:rPr>
        <w:t>ing</w:t>
      </w:r>
      <w:r w:rsidR="00583E93" w:rsidRPr="00E14EC2">
        <w:rPr>
          <w:rFonts w:ascii="Times" w:hAnsi="Times" w:cs="Times"/>
          <w:lang w:val="en-US"/>
        </w:rPr>
        <w:t xml:space="preserve"> its benefits without any form of discrimination. From this perspective, </w:t>
      </w:r>
      <w:r w:rsidR="00063533">
        <w:rPr>
          <w:rFonts w:ascii="Times" w:hAnsi="Times" w:cs="Times"/>
          <w:lang w:val="en-US"/>
        </w:rPr>
        <w:t xml:space="preserve">to </w:t>
      </w:r>
      <w:r w:rsidR="00583E93" w:rsidRPr="00E14EC2">
        <w:rPr>
          <w:rFonts w:ascii="Times" w:hAnsi="Times" w:cs="Times"/>
          <w:lang w:val="en-US"/>
        </w:rPr>
        <w:t>tak</w:t>
      </w:r>
      <w:r w:rsidR="00063533">
        <w:rPr>
          <w:rFonts w:ascii="Times" w:hAnsi="Times" w:cs="Times"/>
          <w:lang w:val="en-US"/>
        </w:rPr>
        <w:t>e</w:t>
      </w:r>
      <w:r w:rsidR="00583E93" w:rsidRPr="00E14EC2">
        <w:rPr>
          <w:rFonts w:ascii="Times" w:hAnsi="Times" w:cs="Times"/>
          <w:lang w:val="en-US"/>
        </w:rPr>
        <w:t xml:space="preserve"> part implies that the cultural heritage that is related to</w:t>
      </w:r>
      <w:r w:rsidR="00063533">
        <w:rPr>
          <w:rFonts w:ascii="Times" w:hAnsi="Times" w:cs="Times"/>
          <w:lang w:val="en-US"/>
        </w:rPr>
        <w:t xml:space="preserve"> </w:t>
      </w:r>
      <w:r w:rsidR="00063533" w:rsidRPr="00E14EC2">
        <w:rPr>
          <w:rFonts w:ascii="Times" w:hAnsi="Times" w:cs="Times"/>
          <w:lang w:val="en-US"/>
        </w:rPr>
        <w:t>cultural life</w:t>
      </w:r>
      <w:r w:rsidR="00583E93" w:rsidRPr="00E14EC2">
        <w:rPr>
          <w:rFonts w:ascii="Times" w:hAnsi="Times" w:cs="Times"/>
          <w:lang w:val="en-US"/>
        </w:rPr>
        <w:t xml:space="preserve"> is protected and preserved</w:t>
      </w:r>
      <w:r w:rsidR="00FC4C37" w:rsidRPr="00E14EC2">
        <w:rPr>
          <w:rFonts w:ascii="Times" w:hAnsi="Times" w:cs="Times"/>
          <w:lang w:val="en-US"/>
        </w:rPr>
        <w:t>,</w:t>
      </w:r>
      <w:r w:rsidR="00583E93" w:rsidRPr="00E14EC2">
        <w:rPr>
          <w:rFonts w:ascii="Times" w:hAnsi="Times" w:cs="Times"/>
          <w:lang w:val="en-US"/>
        </w:rPr>
        <w:t xml:space="preserve"> and that every</w:t>
      </w:r>
      <w:r w:rsidR="007B6A9A">
        <w:rPr>
          <w:rFonts w:ascii="Times" w:hAnsi="Times" w:cs="Times"/>
          <w:lang w:val="en-US"/>
        </w:rPr>
        <w:t>one</w:t>
      </w:r>
      <w:r w:rsidR="00583E93" w:rsidRPr="00E14EC2">
        <w:rPr>
          <w:rFonts w:ascii="Times" w:hAnsi="Times" w:cs="Times"/>
          <w:lang w:val="en-US"/>
        </w:rPr>
        <w:t>, including individuals belonging to nondominant groups, has the right to access monuments, cultural spaces</w:t>
      </w:r>
      <w:r w:rsidR="00393529" w:rsidRPr="00E14EC2">
        <w:rPr>
          <w:rFonts w:ascii="Times" w:hAnsi="Times" w:cs="Times"/>
          <w:lang w:val="en-US"/>
        </w:rPr>
        <w:t>,</w:t>
      </w:r>
      <w:r w:rsidR="00583E93" w:rsidRPr="00E14EC2">
        <w:rPr>
          <w:rFonts w:ascii="Times" w:hAnsi="Times" w:cs="Times"/>
          <w:lang w:val="en-US"/>
        </w:rPr>
        <w:t xml:space="preserve"> and art objects</w:t>
      </w:r>
      <w:r w:rsidR="007B6A9A">
        <w:rPr>
          <w:rFonts w:ascii="Times" w:hAnsi="Times" w:cs="Times"/>
          <w:lang w:val="en-US"/>
        </w:rPr>
        <w:t xml:space="preserve"> </w:t>
      </w:r>
      <w:r w:rsidR="00583E93" w:rsidRPr="00E14EC2">
        <w:rPr>
          <w:rFonts w:ascii="Times" w:hAnsi="Times" w:cs="Times"/>
          <w:lang w:val="en-US"/>
        </w:rPr>
        <w:t>in museums and similar institutions. From an active perspective, tak</w:t>
      </w:r>
      <w:r w:rsidR="007B6A9A">
        <w:rPr>
          <w:rFonts w:ascii="Times" w:hAnsi="Times" w:cs="Times"/>
          <w:lang w:val="en-US"/>
        </w:rPr>
        <w:t>ing</w:t>
      </w:r>
      <w:r w:rsidR="00583E93" w:rsidRPr="00E14EC2">
        <w:rPr>
          <w:rFonts w:ascii="Times" w:hAnsi="Times" w:cs="Times"/>
          <w:lang w:val="en-US"/>
        </w:rPr>
        <w:t xml:space="preserve"> part </w:t>
      </w:r>
      <w:r w:rsidR="00063533">
        <w:rPr>
          <w:rFonts w:ascii="Times" w:hAnsi="Times" w:cs="Times"/>
          <w:lang w:val="en-US"/>
        </w:rPr>
        <w:t xml:space="preserve">in cultural life </w:t>
      </w:r>
      <w:r w:rsidR="00583E93" w:rsidRPr="00E14EC2">
        <w:rPr>
          <w:rFonts w:ascii="Times" w:hAnsi="Times" w:cs="Times"/>
          <w:lang w:val="en-US"/>
        </w:rPr>
        <w:t xml:space="preserve">means </w:t>
      </w:r>
      <w:r w:rsidR="007B6A9A">
        <w:rPr>
          <w:rFonts w:ascii="Times" w:hAnsi="Times" w:cs="Times"/>
          <w:lang w:val="en-US"/>
        </w:rPr>
        <w:t xml:space="preserve">having </w:t>
      </w:r>
      <w:r w:rsidR="00583E93" w:rsidRPr="00E14EC2">
        <w:rPr>
          <w:rFonts w:ascii="Times" w:hAnsi="Times" w:cs="Times"/>
          <w:lang w:val="en-US"/>
        </w:rPr>
        <w:t xml:space="preserve">the right to choose and change a cultural affiliation, and to freely contribute to cultural life by means </w:t>
      </w:r>
      <w:r w:rsidR="00540B4F" w:rsidRPr="00E14EC2">
        <w:rPr>
          <w:rFonts w:ascii="Times" w:hAnsi="Times" w:cs="Times"/>
          <w:lang w:val="en-US"/>
        </w:rPr>
        <w:t xml:space="preserve">of </w:t>
      </w:r>
      <w:r w:rsidR="00583E93" w:rsidRPr="00E14EC2">
        <w:rPr>
          <w:rFonts w:ascii="Times" w:hAnsi="Times" w:cs="Times"/>
          <w:lang w:val="en-US"/>
        </w:rPr>
        <w:t>creative activities</w:t>
      </w:r>
      <w:r w:rsidR="00BE0B4A" w:rsidRPr="00E14EC2">
        <w:rPr>
          <w:rFonts w:ascii="Times" w:hAnsi="Times" w:cs="Times"/>
          <w:lang w:val="en-US"/>
        </w:rPr>
        <w:t xml:space="preserve"> and by </w:t>
      </w:r>
      <w:r w:rsidR="00583E93" w:rsidRPr="00E14EC2">
        <w:rPr>
          <w:rFonts w:ascii="Times" w:hAnsi="Times" w:cs="Times"/>
          <w:lang w:val="en-US"/>
        </w:rPr>
        <w:t>participati</w:t>
      </w:r>
      <w:r w:rsidR="00BE0B4A" w:rsidRPr="00E14EC2">
        <w:rPr>
          <w:rFonts w:ascii="Times" w:hAnsi="Times" w:cs="Times"/>
          <w:lang w:val="en-US"/>
        </w:rPr>
        <w:t>ng</w:t>
      </w:r>
      <w:r w:rsidR="00583E93" w:rsidRPr="00E14EC2">
        <w:rPr>
          <w:rFonts w:ascii="Times" w:hAnsi="Times" w:cs="Times"/>
          <w:lang w:val="en-US"/>
        </w:rPr>
        <w:t xml:space="preserve"> in the identification, interpretation, protection</w:t>
      </w:r>
      <w:r w:rsidR="004B5DC5" w:rsidRPr="00E14EC2">
        <w:rPr>
          <w:rFonts w:ascii="Times" w:hAnsi="Times" w:cs="Times"/>
          <w:lang w:val="en-US"/>
        </w:rPr>
        <w:t>,</w:t>
      </w:r>
      <w:r w:rsidR="00583E93" w:rsidRPr="00E14EC2">
        <w:rPr>
          <w:rFonts w:ascii="Times" w:hAnsi="Times" w:cs="Times"/>
          <w:lang w:val="en-US"/>
        </w:rPr>
        <w:t xml:space="preserve"> and development of</w:t>
      </w:r>
      <w:r w:rsidR="007B6A9A">
        <w:rPr>
          <w:rFonts w:ascii="Times" w:hAnsi="Times" w:cs="Times"/>
          <w:lang w:val="en-US"/>
        </w:rPr>
        <w:t xml:space="preserve"> </w:t>
      </w:r>
      <w:r w:rsidR="00583E93" w:rsidRPr="00E14EC2">
        <w:rPr>
          <w:rFonts w:ascii="Times" w:hAnsi="Times" w:cs="Times"/>
          <w:lang w:val="en-US"/>
        </w:rPr>
        <w:t>cultural heritage meaningful to them, and in decision-making processes concerning the design and implementation of policies and programs.</w:t>
      </w:r>
      <w:r w:rsidR="00583E93" w:rsidRPr="00014F2A">
        <w:rPr>
          <w:rStyle w:val="EndnoteReference"/>
          <w:rFonts w:ascii="Times" w:hAnsi="Times" w:cs="Times"/>
          <w:lang w:val="en-US"/>
        </w:rPr>
        <w:endnoteReference w:id="30"/>
      </w:r>
    </w:p>
    <w:p w14:paraId="4864796B" w14:textId="69F7CB62" w:rsidR="002E4DE6" w:rsidRPr="00E14EC2" w:rsidRDefault="000C5689" w:rsidP="003373DF">
      <w:pPr>
        <w:spacing w:line="480" w:lineRule="auto"/>
        <w:rPr>
          <w:lang w:val="en-US"/>
        </w:rPr>
      </w:pPr>
      <w:r w:rsidRPr="00014F2A">
        <w:rPr>
          <w:lang w:val="en-US"/>
        </w:rPr>
        <w:tab/>
      </w:r>
      <w:r w:rsidR="00583E93" w:rsidRPr="00E14EC2">
        <w:rPr>
          <w:lang w:val="en-US"/>
        </w:rPr>
        <w:t xml:space="preserve">General Comment </w:t>
      </w:r>
      <w:r w:rsidR="003667FA" w:rsidRPr="00E14EC2">
        <w:rPr>
          <w:lang w:val="en-US"/>
        </w:rPr>
        <w:t xml:space="preserve">No. 21 </w:t>
      </w:r>
      <w:r w:rsidR="00014F2A">
        <w:rPr>
          <w:lang w:val="en-US"/>
        </w:rPr>
        <w:t xml:space="preserve">also </w:t>
      </w:r>
      <w:r w:rsidR="00583E93" w:rsidRPr="00E14EC2">
        <w:rPr>
          <w:lang w:val="en-US"/>
        </w:rPr>
        <w:t>confirm</w:t>
      </w:r>
      <w:r w:rsidR="00BE0B4A" w:rsidRPr="00E14EC2">
        <w:rPr>
          <w:lang w:val="en-US"/>
        </w:rPr>
        <w:t>ed</w:t>
      </w:r>
      <w:r w:rsidR="00583E93" w:rsidRPr="00E14EC2">
        <w:rPr>
          <w:lang w:val="en-US"/>
        </w:rPr>
        <w:t xml:space="preserve"> that </w:t>
      </w:r>
      <w:r w:rsidR="00221A0F" w:rsidRPr="00E14EC2">
        <w:rPr>
          <w:lang w:val="en-US"/>
        </w:rPr>
        <w:t>state</w:t>
      </w:r>
      <w:r w:rsidR="00583E93" w:rsidRPr="00E14EC2">
        <w:rPr>
          <w:lang w:val="en-US"/>
        </w:rPr>
        <w:t xml:space="preserve">s retain the primary responsibility for the promotion of cultural rights and the protection of cultural </w:t>
      </w:r>
      <w:r w:rsidR="00BE0B4A" w:rsidRPr="00E14EC2">
        <w:rPr>
          <w:lang w:val="en-US"/>
        </w:rPr>
        <w:t>heritage. The concept of human</w:t>
      </w:r>
      <w:r w:rsidR="00583E93" w:rsidRPr="00E14EC2">
        <w:rPr>
          <w:lang w:val="en-US"/>
        </w:rPr>
        <w:t xml:space="preserve"> rights assumes the existence of </w:t>
      </w:r>
      <w:r w:rsidR="00221A0F" w:rsidRPr="00E14EC2">
        <w:rPr>
          <w:lang w:val="en-US"/>
        </w:rPr>
        <w:t>state</w:t>
      </w:r>
      <w:r w:rsidR="00583E93" w:rsidRPr="00E14EC2">
        <w:rPr>
          <w:lang w:val="en-US"/>
        </w:rPr>
        <w:t xml:space="preserve"> duties. Without these obligations human rights would be meaningless. Depending on the situation, ICESCR </w:t>
      </w:r>
      <w:r w:rsidR="00221A0F" w:rsidRPr="00E14EC2">
        <w:rPr>
          <w:lang w:val="en-US"/>
        </w:rPr>
        <w:t>state</w:t>
      </w:r>
      <w:r w:rsidR="00583E93" w:rsidRPr="00E14EC2">
        <w:rPr>
          <w:lang w:val="en-US"/>
        </w:rPr>
        <w:t xml:space="preserve"> </w:t>
      </w:r>
      <w:r w:rsidR="00221A0F" w:rsidRPr="00E14EC2">
        <w:rPr>
          <w:lang w:val="en-US"/>
        </w:rPr>
        <w:t>p</w:t>
      </w:r>
      <w:r w:rsidR="00583E93" w:rsidRPr="00E14EC2">
        <w:rPr>
          <w:lang w:val="en-US"/>
        </w:rPr>
        <w:t>arties are under a negative obligation to refrain from interference with the exercise of cultural practices and with access to cultural objects, and under a positive obligation to take measures to guarantee participation in, access to, and enjoyment of cultural heritage.</w:t>
      </w:r>
      <w:r w:rsidR="00BE0B4A" w:rsidRPr="00014F2A">
        <w:rPr>
          <w:lang w:val="en-US"/>
        </w:rPr>
        <w:t xml:space="preserve"> </w:t>
      </w:r>
      <w:r w:rsidR="00583E93" w:rsidRPr="00E14EC2">
        <w:rPr>
          <w:lang w:val="en-US"/>
        </w:rPr>
        <w:t>All in all, the CESCR endeavored to articulate</w:t>
      </w:r>
      <w:r w:rsidR="007B6A9A">
        <w:rPr>
          <w:lang w:val="en-US"/>
        </w:rPr>
        <w:t xml:space="preserve"> the obligation </w:t>
      </w:r>
      <w:r w:rsidR="007B6A9A">
        <w:rPr>
          <w:lang w:val="en-US"/>
        </w:rPr>
        <w:lastRenderedPageBreak/>
        <w:t xml:space="preserve">of </w:t>
      </w:r>
      <w:r w:rsidR="00583E93" w:rsidRPr="00E14EC2">
        <w:rPr>
          <w:lang w:val="en-US"/>
        </w:rPr>
        <w:t xml:space="preserve"> </w:t>
      </w:r>
      <w:r w:rsidR="00221A0F" w:rsidRPr="00E14EC2">
        <w:rPr>
          <w:lang w:val="en-US"/>
        </w:rPr>
        <w:t>state</w:t>
      </w:r>
      <w:r w:rsidR="00583E93" w:rsidRPr="00E14EC2">
        <w:rPr>
          <w:lang w:val="en-US"/>
        </w:rPr>
        <w:t xml:space="preserve"> </w:t>
      </w:r>
      <w:r w:rsidR="00221A0F" w:rsidRPr="00E14EC2">
        <w:rPr>
          <w:lang w:val="en-US"/>
        </w:rPr>
        <w:t>p</w:t>
      </w:r>
      <w:r w:rsidR="00583E93" w:rsidRPr="00E14EC2">
        <w:rPr>
          <w:lang w:val="en-US"/>
        </w:rPr>
        <w:t>arties’ to ensure the protection of tangible and intangible cultural heritage within their jurisdiction, including the cultural heritage of minorities and indigenous peoples, and the right to take part in cultural life a freedom as opposed to mere opportunities to engage in cultural activities.</w:t>
      </w:r>
      <w:r w:rsidR="00583E93" w:rsidRPr="00014F2A">
        <w:rPr>
          <w:rStyle w:val="EndnoteReference"/>
          <w:lang w:val="en-US"/>
        </w:rPr>
        <w:endnoteReference w:id="31"/>
      </w:r>
      <w:r w:rsidR="00B17C58" w:rsidRPr="00014F2A">
        <w:rPr>
          <w:lang w:val="en-US"/>
        </w:rPr>
        <w:t xml:space="preserve"> In effect, the preservation of monuments, </w:t>
      </w:r>
      <w:r w:rsidR="00B17C58" w:rsidRPr="00E14EC2">
        <w:rPr>
          <w:lang w:val="en-US"/>
        </w:rPr>
        <w:t>sites</w:t>
      </w:r>
      <w:r w:rsidR="00872E30" w:rsidRPr="00E14EC2">
        <w:rPr>
          <w:lang w:val="en-US"/>
        </w:rPr>
        <w:t>,</w:t>
      </w:r>
      <w:r w:rsidR="00B17C58" w:rsidRPr="00E14EC2">
        <w:rPr>
          <w:lang w:val="en-US"/>
        </w:rPr>
        <w:t xml:space="preserve"> and artifacts of archaeological, historical, religious</w:t>
      </w:r>
      <w:r w:rsidR="00872E30" w:rsidRPr="00E14EC2">
        <w:rPr>
          <w:lang w:val="en-US"/>
        </w:rPr>
        <w:t>,</w:t>
      </w:r>
      <w:r w:rsidR="00B17C58" w:rsidRPr="00E14EC2">
        <w:rPr>
          <w:lang w:val="en-US"/>
        </w:rPr>
        <w:t xml:space="preserve"> or aesthetic value can be regarded as instrumental in safeguarding the rights and identity of the individuals and communities who created them, or for whom they were created, or whose identity and history</w:t>
      </w:r>
      <w:r w:rsidR="00872E30" w:rsidRPr="00E14EC2">
        <w:rPr>
          <w:lang w:val="en-US"/>
        </w:rPr>
        <w:t xml:space="preserve"> they</w:t>
      </w:r>
      <w:r w:rsidR="00B17C58" w:rsidRPr="00E14EC2">
        <w:rPr>
          <w:lang w:val="en-US"/>
        </w:rPr>
        <w:t xml:space="preserve"> are bound up with.</w:t>
      </w:r>
      <w:r w:rsidR="002E4DE6" w:rsidRPr="00E14EC2">
        <w:rPr>
          <w:lang w:val="en-US"/>
        </w:rPr>
        <w:t xml:space="preserve"> Indeed, it is pointless to pursue the preservation of cultural heritage items for their own sake and not for the sake of the people for whom they have </w:t>
      </w:r>
      <w:r w:rsidR="00415965">
        <w:rPr>
          <w:lang w:val="en-US"/>
        </w:rPr>
        <w:t xml:space="preserve">special </w:t>
      </w:r>
      <w:r w:rsidR="002E4DE6" w:rsidRPr="00E14EC2">
        <w:rPr>
          <w:lang w:val="en-US"/>
        </w:rPr>
        <w:t>meaning.</w:t>
      </w:r>
    </w:p>
    <w:p w14:paraId="6D77987E" w14:textId="5671E8ED" w:rsidR="004A6AC4" w:rsidRPr="00E14EC2" w:rsidRDefault="00E4068C"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Over the years, the </w:t>
      </w:r>
      <w:r w:rsidR="00071E5B" w:rsidRPr="00E14EC2">
        <w:rPr>
          <w:rFonts w:ascii="Times" w:hAnsi="Times" w:cs="Times"/>
          <w:lang w:val="en-US"/>
        </w:rPr>
        <w:t>Human Rights Committee (HRC)</w:t>
      </w:r>
      <w:r w:rsidR="006D0396" w:rsidRPr="00E14EC2">
        <w:rPr>
          <w:rFonts w:ascii="Times" w:hAnsi="Times" w:cs="Times"/>
          <w:lang w:val="en-US"/>
        </w:rPr>
        <w:t xml:space="preserve">, </w:t>
      </w:r>
      <w:r w:rsidR="00E72630" w:rsidRPr="00E14EC2">
        <w:rPr>
          <w:rFonts w:ascii="Times" w:hAnsi="Times" w:cs="Times"/>
          <w:lang w:val="en-US"/>
        </w:rPr>
        <w:t xml:space="preserve">which is </w:t>
      </w:r>
      <w:r w:rsidR="006D0396" w:rsidRPr="00E14EC2">
        <w:rPr>
          <w:rFonts w:ascii="Times" w:hAnsi="Times" w:cs="Times"/>
          <w:lang w:val="en-US"/>
        </w:rPr>
        <w:t xml:space="preserve">charged with overseeing </w:t>
      </w:r>
      <w:r w:rsidR="004839D7" w:rsidRPr="00E14EC2">
        <w:rPr>
          <w:rFonts w:ascii="Times" w:hAnsi="Times" w:cs="Times"/>
          <w:lang w:val="en-US"/>
        </w:rPr>
        <w:t xml:space="preserve">state </w:t>
      </w:r>
      <w:r w:rsidR="006D0396" w:rsidRPr="00E14EC2">
        <w:rPr>
          <w:rFonts w:ascii="Times" w:hAnsi="Times" w:cs="Times"/>
          <w:lang w:val="en-US"/>
        </w:rPr>
        <w:t>compliance with the ICCPR,</w:t>
      </w:r>
      <w:r w:rsidR="00071E5B" w:rsidRPr="00E14EC2">
        <w:rPr>
          <w:rFonts w:ascii="Times" w:hAnsi="Times" w:cs="Times"/>
          <w:lang w:val="en-US"/>
        </w:rPr>
        <w:t xml:space="preserve"> </w:t>
      </w:r>
      <w:r w:rsidR="00583E93" w:rsidRPr="00E14EC2">
        <w:rPr>
          <w:rFonts w:ascii="Times" w:hAnsi="Times" w:cs="Times"/>
          <w:lang w:val="en-US"/>
        </w:rPr>
        <w:t>has developed an important body of practice on the cultural rights of minorities based on ICCPR</w:t>
      </w:r>
      <w:r w:rsidR="00F85FCF" w:rsidRPr="00E14EC2">
        <w:rPr>
          <w:rFonts w:ascii="Times" w:hAnsi="Times" w:cs="Times"/>
          <w:lang w:val="en-US"/>
        </w:rPr>
        <w:t xml:space="preserve"> Article 27</w:t>
      </w:r>
      <w:r w:rsidR="00583E93" w:rsidRPr="00E14EC2">
        <w:rPr>
          <w:rFonts w:ascii="Times" w:hAnsi="Times" w:cs="Times"/>
          <w:lang w:val="en-US"/>
        </w:rPr>
        <w:t>, which provides: “</w:t>
      </w:r>
      <w:r w:rsidR="00F85FCF" w:rsidRPr="00E14EC2">
        <w:rPr>
          <w:rFonts w:ascii="Times" w:hAnsi="Times" w:cs="Times"/>
          <w:lang w:val="en-US"/>
        </w:rPr>
        <w:t>I</w:t>
      </w:r>
      <w:r w:rsidR="00583E93" w:rsidRPr="00E14EC2">
        <w:rPr>
          <w:rFonts w:ascii="Times" w:hAnsi="Times" w:cs="Times"/>
          <w:lang w:val="en-US"/>
        </w:rPr>
        <w:t>n those States in which ethnic, religious or linguistic minorities exist, persons belonging to such minorities shall not be denied the right, in community with the other members of their group, to enjoy their own culture, to profess and practise their own religion, or to use their own language</w:t>
      </w:r>
      <w:r w:rsidR="00E50096" w:rsidRPr="00E14EC2">
        <w:rPr>
          <w:rFonts w:ascii="Times" w:hAnsi="Times" w:cs="Times"/>
          <w:lang w:val="en-US"/>
        </w:rPr>
        <w:t>.”</w:t>
      </w:r>
      <w:r w:rsidR="00583E93" w:rsidRPr="00E14EC2">
        <w:rPr>
          <w:rFonts w:ascii="Times" w:hAnsi="Times" w:cs="Times"/>
          <w:lang w:val="en-US"/>
        </w:rPr>
        <w:t xml:space="preserve"> The </w:t>
      </w:r>
      <w:r w:rsidR="0062768F" w:rsidRPr="00E14EC2">
        <w:rPr>
          <w:rFonts w:ascii="Times" w:hAnsi="Times" w:cs="Times"/>
          <w:lang w:val="en-US"/>
        </w:rPr>
        <w:t xml:space="preserve">article’s </w:t>
      </w:r>
      <w:r w:rsidR="00583E93" w:rsidRPr="00E14EC2">
        <w:rPr>
          <w:rFonts w:ascii="Times" w:hAnsi="Times" w:cs="Times"/>
          <w:lang w:val="en-US"/>
        </w:rPr>
        <w:t xml:space="preserve">reach can be delineated as follows. </w:t>
      </w:r>
    </w:p>
    <w:p w14:paraId="20221B2D" w14:textId="3130CF19" w:rsidR="000E5275"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First, the HRC has endorsed a broad and dynamic interpretation of </w:t>
      </w:r>
      <w:r w:rsidR="004A6AC4" w:rsidRPr="00E14EC2">
        <w:rPr>
          <w:rFonts w:ascii="Times" w:hAnsi="Times" w:cs="Times"/>
          <w:lang w:val="en-US"/>
        </w:rPr>
        <w:t>“</w:t>
      </w:r>
      <w:r w:rsidR="00583E93" w:rsidRPr="00E14EC2">
        <w:rPr>
          <w:rFonts w:ascii="Times" w:hAnsi="Times" w:cs="Times"/>
          <w:lang w:val="en-US"/>
        </w:rPr>
        <w:t>culture</w:t>
      </w:r>
      <w:r w:rsidR="00E50096" w:rsidRPr="00E14EC2">
        <w:rPr>
          <w:rFonts w:ascii="Times" w:hAnsi="Times" w:cs="Times"/>
          <w:lang w:val="en-US"/>
        </w:rPr>
        <w:t>.”</w:t>
      </w:r>
      <w:r w:rsidR="00583E93" w:rsidRPr="00E14EC2">
        <w:rPr>
          <w:rFonts w:ascii="Times" w:hAnsi="Times" w:cs="Times"/>
          <w:lang w:val="en-US"/>
        </w:rPr>
        <w:t xml:space="preserve"> In General Comment No. 23, </w:t>
      </w:r>
      <w:r w:rsidR="00E72630" w:rsidRPr="00E14EC2">
        <w:rPr>
          <w:rFonts w:ascii="Times" w:hAnsi="Times" w:cs="Times"/>
          <w:lang w:val="en-US"/>
        </w:rPr>
        <w:t>it</w:t>
      </w:r>
      <w:r w:rsidR="00583E93" w:rsidRPr="00E14EC2">
        <w:rPr>
          <w:rFonts w:ascii="Times" w:hAnsi="Times" w:cs="Times"/>
          <w:lang w:val="en-US"/>
        </w:rPr>
        <w:t xml:space="preserve"> defined </w:t>
      </w:r>
      <w:r w:rsidR="007F6704" w:rsidRPr="00E14EC2">
        <w:rPr>
          <w:rFonts w:ascii="Times" w:hAnsi="Times" w:cs="Times"/>
          <w:lang w:val="en-US"/>
        </w:rPr>
        <w:t xml:space="preserve">culture </w:t>
      </w:r>
      <w:r w:rsidR="00583E93" w:rsidRPr="00E14EC2">
        <w:rPr>
          <w:rFonts w:ascii="Times" w:hAnsi="Times" w:cs="Times"/>
          <w:lang w:val="en-US"/>
        </w:rPr>
        <w:t xml:space="preserve">as a dynamic </w:t>
      </w:r>
      <w:r w:rsidR="00FE4BBF">
        <w:rPr>
          <w:rFonts w:ascii="Times" w:hAnsi="Times" w:cs="Times"/>
          <w:lang w:val="en-US"/>
        </w:rPr>
        <w:t>concept</w:t>
      </w:r>
      <w:r w:rsidR="00583E93" w:rsidRPr="00E14EC2">
        <w:rPr>
          <w:rFonts w:ascii="Times" w:hAnsi="Times" w:cs="Times"/>
          <w:lang w:val="en-US"/>
        </w:rPr>
        <w:t>, one that includes the way of life of a given community</w:t>
      </w:r>
      <w:r w:rsidR="00583E93" w:rsidRPr="00014F2A">
        <w:rPr>
          <w:rStyle w:val="EndnoteReference"/>
          <w:rFonts w:ascii="Times" w:hAnsi="Times" w:cs="Times"/>
          <w:lang w:val="en-US"/>
        </w:rPr>
        <w:endnoteReference w:id="32"/>
      </w:r>
      <w:r w:rsidR="00583E93" w:rsidRPr="00014F2A">
        <w:rPr>
          <w:rFonts w:ascii="Times" w:hAnsi="Times" w:cs="Times"/>
          <w:lang w:val="en-US"/>
        </w:rPr>
        <w:t xml:space="preserve"> or one through which the group expresses its cultural distinctiveness.</w:t>
      </w:r>
      <w:r w:rsidR="00583E93" w:rsidRPr="00014F2A">
        <w:rPr>
          <w:rStyle w:val="EndnoteReference"/>
          <w:rFonts w:ascii="Times" w:hAnsi="Times" w:cs="Times"/>
          <w:lang w:val="en-US"/>
        </w:rPr>
        <w:endnoteReference w:id="33"/>
      </w:r>
      <w:r w:rsidR="00583E93" w:rsidRPr="00014F2A">
        <w:rPr>
          <w:rFonts w:ascii="Times" w:hAnsi="Times" w:cs="Times"/>
          <w:lang w:val="en-US"/>
        </w:rPr>
        <w:t xml:space="preserve"> </w:t>
      </w:r>
      <w:r w:rsidR="00FE4BBF">
        <w:rPr>
          <w:rFonts w:ascii="Times" w:hAnsi="Times" w:cs="Times"/>
          <w:lang w:val="en-US"/>
        </w:rPr>
        <w:t xml:space="preserve">This definition allows that, </w:t>
      </w:r>
      <w:r w:rsidR="00583E93" w:rsidRPr="00014F2A">
        <w:rPr>
          <w:rFonts w:ascii="Times" w:hAnsi="Times" w:cs="Times"/>
          <w:lang w:val="en-US"/>
        </w:rPr>
        <w:t xml:space="preserve">for example, modern equipment or techniques </w:t>
      </w:r>
      <w:r w:rsidR="00FE4BBF">
        <w:rPr>
          <w:rFonts w:ascii="Times" w:hAnsi="Times" w:cs="Times"/>
          <w:lang w:val="en-US"/>
        </w:rPr>
        <w:t>may be</w:t>
      </w:r>
      <w:r w:rsidR="00FE4BBF" w:rsidRPr="00014F2A">
        <w:rPr>
          <w:rFonts w:ascii="Times" w:hAnsi="Times" w:cs="Times"/>
          <w:lang w:val="en-US"/>
        </w:rPr>
        <w:t xml:space="preserve"> </w:t>
      </w:r>
      <w:r w:rsidR="00583E93" w:rsidRPr="00014F2A">
        <w:rPr>
          <w:rFonts w:ascii="Times" w:hAnsi="Times" w:cs="Times"/>
          <w:lang w:val="en-US"/>
        </w:rPr>
        <w:t>used for handicraft, music performances</w:t>
      </w:r>
      <w:r w:rsidR="007F6704" w:rsidRPr="00E14EC2">
        <w:rPr>
          <w:rFonts w:ascii="Times" w:hAnsi="Times" w:cs="Times"/>
          <w:lang w:val="en-US"/>
        </w:rPr>
        <w:t>,</w:t>
      </w:r>
      <w:r w:rsidR="00583E93" w:rsidRPr="00E14EC2">
        <w:rPr>
          <w:rFonts w:ascii="Times" w:hAnsi="Times" w:cs="Times"/>
          <w:lang w:val="en-US"/>
        </w:rPr>
        <w:t xml:space="preserve"> or traditional activities such as fishing and hunting</w:t>
      </w:r>
      <w:r w:rsidR="008A6BEC">
        <w:rPr>
          <w:rFonts w:ascii="Times" w:hAnsi="Times" w:cs="Times"/>
          <w:lang w:val="en-US"/>
        </w:rPr>
        <w:t>,</w:t>
      </w:r>
      <w:r w:rsidR="00583E93" w:rsidRPr="00E14EC2">
        <w:rPr>
          <w:rFonts w:ascii="Times" w:hAnsi="Times" w:cs="Times"/>
          <w:lang w:val="en-US"/>
        </w:rPr>
        <w:t xml:space="preserve"> </w:t>
      </w:r>
      <w:r w:rsidR="00FE4BBF">
        <w:rPr>
          <w:rFonts w:ascii="Times" w:hAnsi="Times" w:cs="Times"/>
          <w:lang w:val="en-US"/>
        </w:rPr>
        <w:t>without making these</w:t>
      </w:r>
      <w:r w:rsidR="00583E93" w:rsidRPr="00E14EC2">
        <w:rPr>
          <w:rFonts w:ascii="Times" w:hAnsi="Times" w:cs="Times"/>
          <w:lang w:val="en-US"/>
        </w:rPr>
        <w:t xml:space="preserve"> activities </w:t>
      </w:r>
      <w:r w:rsidR="00FE4BBF">
        <w:rPr>
          <w:rFonts w:ascii="Times" w:hAnsi="Times" w:cs="Times"/>
          <w:lang w:val="en-US"/>
        </w:rPr>
        <w:t xml:space="preserve">any </w:t>
      </w:r>
      <w:r w:rsidR="00583E93" w:rsidRPr="00E14EC2">
        <w:rPr>
          <w:rFonts w:ascii="Times" w:hAnsi="Times" w:cs="Times"/>
          <w:lang w:val="en-US"/>
        </w:rPr>
        <w:t>less worthy of protection.</w:t>
      </w:r>
    </w:p>
    <w:p w14:paraId="57795B7F" w14:textId="1DF69D05" w:rsidR="004A6AC4" w:rsidRPr="00E14EC2" w:rsidRDefault="000C5689" w:rsidP="003373DF">
      <w:pPr>
        <w:spacing w:line="480" w:lineRule="auto"/>
        <w:rPr>
          <w:rFonts w:ascii="Times" w:hAnsi="Times" w:cs="Times"/>
          <w:lang w:val="en-US"/>
        </w:rPr>
      </w:pPr>
      <w:r w:rsidRPr="00E14EC2">
        <w:rPr>
          <w:rFonts w:ascii="Times" w:hAnsi="Times" w:cs="Times"/>
          <w:lang w:val="en-US"/>
        </w:rPr>
        <w:lastRenderedPageBreak/>
        <w:tab/>
      </w:r>
      <w:r w:rsidR="004A6AC4" w:rsidRPr="00E14EC2">
        <w:rPr>
          <w:rFonts w:ascii="Times" w:hAnsi="Times" w:cs="Times"/>
          <w:lang w:val="en-US"/>
        </w:rPr>
        <w:t xml:space="preserve">Second, the HRC has repeatedly affirmed that the right of Article 27 can only be realized meaningfully when exercised “in community” (though </w:t>
      </w:r>
      <w:r w:rsidR="007F6704" w:rsidRPr="00E14EC2">
        <w:rPr>
          <w:rFonts w:ascii="Times" w:hAnsi="Times" w:cs="Times"/>
          <w:lang w:val="en-US"/>
        </w:rPr>
        <w:t>the a</w:t>
      </w:r>
      <w:r w:rsidR="004A6AC4" w:rsidRPr="00E14EC2">
        <w:rPr>
          <w:rFonts w:ascii="Times" w:hAnsi="Times" w:cs="Times"/>
          <w:lang w:val="en-US"/>
        </w:rPr>
        <w:t xml:space="preserve">rticle </w:t>
      </w:r>
      <w:r w:rsidR="00385CAB" w:rsidRPr="00E14EC2">
        <w:rPr>
          <w:rFonts w:ascii="Times" w:hAnsi="Times" w:cs="Times"/>
          <w:lang w:val="en-US"/>
        </w:rPr>
        <w:t xml:space="preserve">also </w:t>
      </w:r>
      <w:r w:rsidR="004A6AC4" w:rsidRPr="00E14EC2">
        <w:rPr>
          <w:rFonts w:ascii="Times" w:hAnsi="Times" w:cs="Times"/>
          <w:lang w:val="en-US"/>
        </w:rPr>
        <w:t>speaks about the rights of “persons” belonging to minorities).</w:t>
      </w:r>
      <w:bookmarkStart w:id="24" w:name="_Ref478652345"/>
      <w:r w:rsidR="004A6AC4" w:rsidRPr="00014F2A">
        <w:rPr>
          <w:rStyle w:val="EndnoteReference"/>
          <w:rFonts w:ascii="Times" w:hAnsi="Times" w:cs="Times"/>
          <w:lang w:val="en-US"/>
        </w:rPr>
        <w:endnoteReference w:id="34"/>
      </w:r>
      <w:bookmarkEnd w:id="24"/>
      <w:r w:rsidR="004A6AC4" w:rsidRPr="00014F2A">
        <w:rPr>
          <w:rFonts w:ascii="Times" w:hAnsi="Times" w:cs="Times"/>
          <w:lang w:val="en-US"/>
        </w:rPr>
        <w:t xml:space="preserve"> In addition, in order to identify the minorities who are the subjects of Article 27 (and the persons belonging to such minorities) a subjective element is required, namely the existence of a connection with a common past and </w:t>
      </w:r>
      <w:r w:rsidR="009D68CB" w:rsidRPr="00E14EC2">
        <w:rPr>
          <w:rFonts w:ascii="Times" w:hAnsi="Times" w:cs="Times"/>
          <w:lang w:val="en-US"/>
        </w:rPr>
        <w:t xml:space="preserve">common </w:t>
      </w:r>
      <w:r w:rsidR="004A6AC4" w:rsidRPr="00E14EC2">
        <w:rPr>
          <w:rFonts w:ascii="Times" w:hAnsi="Times" w:cs="Times"/>
          <w:lang w:val="en-US"/>
        </w:rPr>
        <w:t xml:space="preserve">traditions. This element bears a strong parallel with the purposes of </w:t>
      </w:r>
      <w:r w:rsidR="00415965">
        <w:rPr>
          <w:rFonts w:ascii="Times" w:hAnsi="Times" w:cs="Times"/>
          <w:lang w:val="en-US"/>
        </w:rPr>
        <w:t xml:space="preserve">cultural </w:t>
      </w:r>
      <w:r w:rsidR="004A6AC4" w:rsidRPr="00E14EC2">
        <w:rPr>
          <w:rFonts w:ascii="Times" w:hAnsi="Times" w:cs="Times"/>
          <w:lang w:val="en-US"/>
        </w:rPr>
        <w:t>heritage</w:t>
      </w:r>
      <w:r w:rsidR="00415965">
        <w:rPr>
          <w:rFonts w:ascii="Times" w:hAnsi="Times" w:cs="Times"/>
          <w:lang w:val="en-US"/>
        </w:rPr>
        <w:t xml:space="preserve"> as</w:t>
      </w:r>
      <w:r w:rsidR="004A6AC4" w:rsidRPr="00E14EC2">
        <w:rPr>
          <w:rFonts w:ascii="Times" w:hAnsi="Times" w:cs="Times"/>
          <w:lang w:val="en-US"/>
        </w:rPr>
        <w:t xml:space="preserve"> ha</w:t>
      </w:r>
      <w:r w:rsidR="00415965">
        <w:rPr>
          <w:rFonts w:ascii="Times" w:hAnsi="Times" w:cs="Times"/>
          <w:lang w:val="en-US"/>
        </w:rPr>
        <w:t>ving</w:t>
      </w:r>
      <w:r w:rsidR="004A6AC4" w:rsidRPr="00E14EC2">
        <w:rPr>
          <w:rFonts w:ascii="Times" w:hAnsi="Times" w:cs="Times"/>
          <w:lang w:val="en-US"/>
        </w:rPr>
        <w:t xml:space="preserve"> meaning for those who identify with it as their own.</w:t>
      </w:r>
      <w:r w:rsidR="004A6AC4" w:rsidRPr="00014F2A">
        <w:rPr>
          <w:rStyle w:val="EndnoteReference"/>
          <w:rFonts w:ascii="Times" w:hAnsi="Times" w:cs="Times"/>
          <w:lang w:val="en-US"/>
        </w:rPr>
        <w:endnoteReference w:id="35"/>
      </w:r>
      <w:r w:rsidR="004A6AC4" w:rsidRPr="00014F2A">
        <w:rPr>
          <w:rFonts w:ascii="Times" w:hAnsi="Times" w:cs="Times"/>
          <w:lang w:val="en-US"/>
        </w:rPr>
        <w:t xml:space="preserve"> </w:t>
      </w:r>
      <w:r w:rsidR="00071E5B" w:rsidRPr="00014F2A">
        <w:rPr>
          <w:rFonts w:ascii="Times" w:hAnsi="Times" w:cs="Times"/>
          <w:lang w:val="en-US"/>
        </w:rPr>
        <w:t>Accordingly</w:t>
      </w:r>
      <w:r w:rsidR="004A6AC4" w:rsidRPr="00E14EC2">
        <w:rPr>
          <w:rFonts w:ascii="Times" w:hAnsi="Times" w:cs="Times"/>
          <w:lang w:val="en-US"/>
        </w:rPr>
        <w:t>, the enjoyment of rights</w:t>
      </w:r>
      <w:r w:rsidR="001D2F58" w:rsidRPr="00E14EC2">
        <w:rPr>
          <w:rFonts w:ascii="Times" w:hAnsi="Times" w:cs="Times"/>
          <w:lang w:val="en-US"/>
        </w:rPr>
        <w:t xml:space="preserve"> under the ICCPR</w:t>
      </w:r>
      <w:r w:rsidR="004A6AC4" w:rsidRPr="00E14EC2">
        <w:rPr>
          <w:rFonts w:ascii="Times" w:hAnsi="Times" w:cs="Times"/>
          <w:lang w:val="en-US"/>
        </w:rPr>
        <w:t xml:space="preserve"> does not depend on a formal bond of citizenship between the members of a group and a </w:t>
      </w:r>
      <w:r w:rsidR="00221A0F" w:rsidRPr="00E14EC2">
        <w:rPr>
          <w:rFonts w:ascii="Times" w:hAnsi="Times" w:cs="Times"/>
          <w:lang w:val="en-US"/>
        </w:rPr>
        <w:t>state</w:t>
      </w:r>
      <w:r w:rsidR="004A6AC4" w:rsidRPr="00E14EC2">
        <w:rPr>
          <w:rFonts w:ascii="Times" w:hAnsi="Times" w:cs="Times"/>
          <w:lang w:val="en-US"/>
        </w:rPr>
        <w:t>, but on the display of stable characteristics by a group, which distinguishes it from the rest of the population</w:t>
      </w:r>
      <w:r w:rsidR="004A6AC4" w:rsidRPr="00E14EC2">
        <w:rPr>
          <w:rFonts w:ascii="Times" w:hAnsi="Times" w:cs="Times"/>
          <w:lang w:val="en-US" w:eastAsia="fr-CH"/>
        </w:rPr>
        <w:t>.</w:t>
      </w:r>
      <w:r w:rsidR="004A6AC4" w:rsidRPr="00014F2A">
        <w:rPr>
          <w:rStyle w:val="EndnoteReference"/>
          <w:rFonts w:ascii="Times" w:hAnsi="Times" w:cs="Times"/>
          <w:lang w:val="en-US"/>
        </w:rPr>
        <w:endnoteReference w:id="36"/>
      </w:r>
      <w:r w:rsidR="004A6AC4" w:rsidRPr="00014F2A">
        <w:rPr>
          <w:rFonts w:ascii="Times" w:hAnsi="Times" w:cs="Times"/>
          <w:lang w:val="en-US"/>
        </w:rPr>
        <w:t xml:space="preserve"> In this sense it must be stressed that cult</w:t>
      </w:r>
      <w:r w:rsidR="004A6AC4" w:rsidRPr="00E14EC2">
        <w:rPr>
          <w:rFonts w:ascii="Times" w:hAnsi="Times" w:cs="Times"/>
          <w:lang w:val="en-US"/>
        </w:rPr>
        <w:t>ural rights and minority rights are different in terms of their application because while the former are afforded to all, the latter are only afforded to recognized minorities.</w:t>
      </w:r>
    </w:p>
    <w:p w14:paraId="65B80248" w14:textId="3AB8E41B" w:rsidR="00583E93" w:rsidRPr="00014F2A"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Third, although the right contained in Article 27 is negatively conferred (</w:t>
      </w:r>
      <w:r w:rsidR="00CF4340" w:rsidRPr="00E14EC2">
        <w:rPr>
          <w:rFonts w:ascii="Times" w:hAnsi="Times" w:cs="Times"/>
          <w:lang w:val="en-US"/>
        </w:rPr>
        <w:t>“</w:t>
      </w:r>
      <w:r w:rsidR="00583E93" w:rsidRPr="00E14EC2">
        <w:rPr>
          <w:rFonts w:ascii="Times" w:hAnsi="Times" w:cs="Times"/>
          <w:lang w:val="en-US"/>
        </w:rPr>
        <w:t>shall not be denied the right</w:t>
      </w:r>
      <w:r w:rsidR="00CF4340" w:rsidRPr="00E14EC2">
        <w:rPr>
          <w:rFonts w:ascii="Times" w:hAnsi="Times" w:cs="Times"/>
          <w:lang w:val="en-US"/>
        </w:rPr>
        <w:t>”</w:t>
      </w:r>
      <w:r w:rsidR="00583E93" w:rsidRPr="00E14EC2">
        <w:rPr>
          <w:rFonts w:ascii="Times" w:hAnsi="Times" w:cs="Times"/>
          <w:lang w:val="en-US"/>
        </w:rPr>
        <w:t xml:space="preserve">), </w:t>
      </w:r>
      <w:r w:rsidR="00BD401D" w:rsidRPr="00E14EC2">
        <w:rPr>
          <w:rFonts w:ascii="Times" w:hAnsi="Times" w:cs="Times"/>
          <w:lang w:val="en-US"/>
        </w:rPr>
        <w:t xml:space="preserve">in addition to the requirement that </w:t>
      </w:r>
      <w:r w:rsidR="00221A0F" w:rsidRPr="00E14EC2">
        <w:rPr>
          <w:rFonts w:ascii="Times" w:hAnsi="Times" w:cs="Times"/>
          <w:lang w:val="en-US"/>
        </w:rPr>
        <w:t>state</w:t>
      </w:r>
      <w:r w:rsidR="00583E93" w:rsidRPr="00E14EC2">
        <w:rPr>
          <w:rFonts w:ascii="Times" w:hAnsi="Times" w:cs="Times"/>
          <w:lang w:val="en-US"/>
        </w:rPr>
        <w:t xml:space="preserve">s </w:t>
      </w:r>
      <w:r w:rsidR="00071E5B" w:rsidRPr="00E14EC2">
        <w:rPr>
          <w:rFonts w:ascii="Times" w:hAnsi="Times" w:cs="Times"/>
          <w:lang w:val="en-US"/>
        </w:rPr>
        <w:t xml:space="preserve">not interfere with the ability of minorities to enjoy their own culture, </w:t>
      </w:r>
      <w:r w:rsidR="00C45223" w:rsidRPr="00E14EC2">
        <w:rPr>
          <w:rFonts w:ascii="Times" w:hAnsi="Times" w:cs="Times"/>
          <w:lang w:val="en-US"/>
        </w:rPr>
        <w:t xml:space="preserve">they are obliged </w:t>
      </w:r>
      <w:r w:rsidR="00583E93" w:rsidRPr="00E14EC2">
        <w:rPr>
          <w:rFonts w:ascii="Times" w:hAnsi="Times" w:cs="Times"/>
          <w:lang w:val="en-US"/>
        </w:rPr>
        <w:t>to act proactively on behalf of right</w:t>
      </w:r>
      <w:r w:rsidR="00BD401D" w:rsidRPr="00E14EC2">
        <w:rPr>
          <w:rFonts w:ascii="Times" w:hAnsi="Times" w:cs="Times"/>
          <w:lang w:val="en-US"/>
        </w:rPr>
        <w:t xml:space="preserve">s </w:t>
      </w:r>
      <w:r w:rsidR="00583E93" w:rsidRPr="00E14EC2">
        <w:rPr>
          <w:rFonts w:ascii="Times" w:hAnsi="Times" w:cs="Times"/>
          <w:lang w:val="en-US"/>
        </w:rPr>
        <w:t>holders</w:t>
      </w:r>
      <w:r w:rsidR="00561BA1" w:rsidRPr="00E14EC2">
        <w:rPr>
          <w:rFonts w:ascii="Times" w:hAnsi="Times" w:cs="Times"/>
          <w:lang w:val="en-US"/>
        </w:rPr>
        <w:t xml:space="preserve"> to protect their identity as well as the tangible religious or historical property that is indispensable to them</w:t>
      </w:r>
      <w:r w:rsidR="009D68CB" w:rsidRPr="00E14EC2">
        <w:rPr>
          <w:rFonts w:ascii="Times" w:hAnsi="Times" w:cs="Times"/>
          <w:lang w:val="en-US"/>
        </w:rPr>
        <w:t xml:space="preserve">. States are also required </w:t>
      </w:r>
      <w:r w:rsidR="00583E93" w:rsidRPr="00E14EC2">
        <w:rPr>
          <w:rFonts w:ascii="Times" w:hAnsi="Times" w:cs="Times"/>
          <w:lang w:val="en-US"/>
        </w:rPr>
        <w:t>to take measure</w:t>
      </w:r>
      <w:r w:rsidR="00397162" w:rsidRPr="00E14EC2">
        <w:rPr>
          <w:rFonts w:ascii="Times" w:hAnsi="Times" w:cs="Times"/>
          <w:lang w:val="en-US"/>
        </w:rPr>
        <w:t>s</w:t>
      </w:r>
      <w:r w:rsidR="00583E93" w:rsidRPr="00E14EC2">
        <w:rPr>
          <w:rFonts w:ascii="Times" w:hAnsi="Times" w:cs="Times"/>
          <w:lang w:val="en-US"/>
        </w:rPr>
        <w:t xml:space="preserve"> to ensure the continued access </w:t>
      </w:r>
      <w:r w:rsidR="00A07C43">
        <w:rPr>
          <w:rFonts w:ascii="Times" w:hAnsi="Times" w:cs="Times"/>
          <w:lang w:val="en-US"/>
        </w:rPr>
        <w:t>of</w:t>
      </w:r>
      <w:r w:rsidR="00A07C43" w:rsidRPr="00E14EC2">
        <w:rPr>
          <w:rFonts w:ascii="Times" w:hAnsi="Times" w:cs="Times"/>
          <w:lang w:val="en-US"/>
        </w:rPr>
        <w:t xml:space="preserve"> </w:t>
      </w:r>
      <w:r w:rsidR="00583E93" w:rsidRPr="00E14EC2">
        <w:rPr>
          <w:rFonts w:ascii="Times" w:hAnsi="Times" w:cs="Times"/>
          <w:lang w:val="en-US"/>
        </w:rPr>
        <w:t xml:space="preserve">minority communities to their heritage </w:t>
      </w:r>
      <w:r w:rsidR="00A07C43">
        <w:rPr>
          <w:rFonts w:ascii="Times" w:hAnsi="Times" w:cs="Times"/>
          <w:lang w:val="en-US"/>
        </w:rPr>
        <w:t>along with the</w:t>
      </w:r>
      <w:r w:rsidR="00583E93" w:rsidRPr="00E14EC2">
        <w:rPr>
          <w:rFonts w:ascii="Times" w:hAnsi="Times" w:cs="Times"/>
          <w:lang w:val="en-US"/>
        </w:rPr>
        <w:t xml:space="preserve"> ability to create and maintain it.</w:t>
      </w:r>
      <w:r w:rsidR="00583E93" w:rsidRPr="00014F2A">
        <w:rPr>
          <w:rStyle w:val="EndnoteReference"/>
          <w:rFonts w:ascii="Times" w:hAnsi="Times" w:cs="Times"/>
          <w:lang w:val="en-US"/>
        </w:rPr>
        <w:endnoteReference w:id="37"/>
      </w:r>
    </w:p>
    <w:p w14:paraId="5F3C7A9E" w14:textId="6E7FBCD5" w:rsidR="00583E93" w:rsidRPr="00E14EC2" w:rsidRDefault="000C5689" w:rsidP="003373DF">
      <w:pPr>
        <w:spacing w:line="480" w:lineRule="auto"/>
        <w:rPr>
          <w:rFonts w:ascii="Times" w:hAnsi="Times" w:cs="Times"/>
          <w:lang w:val="en-US"/>
        </w:rPr>
      </w:pPr>
      <w:r w:rsidRPr="00E14EC2">
        <w:rPr>
          <w:rFonts w:ascii="Times" w:hAnsi="Times" w:cs="Times"/>
          <w:lang w:val="en-US"/>
        </w:rPr>
        <w:tab/>
      </w:r>
      <w:r w:rsidR="00583E93" w:rsidRPr="00E14EC2">
        <w:rPr>
          <w:rFonts w:ascii="Times" w:hAnsi="Times" w:cs="Times"/>
          <w:lang w:val="en-US"/>
        </w:rPr>
        <w:t xml:space="preserve">Although Article 27 does not specifically refer to indigenous peoples, the HRC has not hesitated to extend </w:t>
      </w:r>
      <w:r w:rsidR="00D670BE" w:rsidRPr="00E14EC2">
        <w:rPr>
          <w:rFonts w:ascii="Times" w:hAnsi="Times" w:cs="Times"/>
          <w:lang w:val="en-US"/>
        </w:rPr>
        <w:t xml:space="preserve">to them </w:t>
      </w:r>
      <w:r w:rsidR="00583E93" w:rsidRPr="00E14EC2">
        <w:rPr>
          <w:rFonts w:ascii="Times" w:hAnsi="Times" w:cs="Times"/>
          <w:lang w:val="en-US"/>
        </w:rPr>
        <w:t>the protection afforded by this rule.</w:t>
      </w:r>
      <w:r w:rsidR="00583E93" w:rsidRPr="00014F2A">
        <w:rPr>
          <w:rStyle w:val="EndnoteReference"/>
          <w:rFonts w:ascii="Times" w:hAnsi="Times" w:cs="Times"/>
          <w:lang w:val="en-US"/>
        </w:rPr>
        <w:endnoteReference w:id="38"/>
      </w:r>
      <w:r w:rsidR="00583E93" w:rsidRPr="00014F2A">
        <w:rPr>
          <w:rFonts w:ascii="Times" w:hAnsi="Times" w:cs="Times"/>
          <w:lang w:val="en-US"/>
        </w:rPr>
        <w:t xml:space="preserve"> However, today the rights of indigenous peoples</w:t>
      </w:r>
      <w:r w:rsidR="00583E93" w:rsidRPr="00E14EC2">
        <w:rPr>
          <w:rFonts w:ascii="Times" w:hAnsi="Times" w:cs="Times"/>
          <w:lang w:val="en-US"/>
        </w:rPr>
        <w:t xml:space="preserve"> are enshrined in the </w:t>
      </w:r>
      <w:r w:rsidR="00263ED1" w:rsidRPr="00E14EC2">
        <w:rPr>
          <w:rFonts w:ascii="Times" w:hAnsi="Times" w:cs="Times"/>
          <w:lang w:val="en-US"/>
        </w:rPr>
        <w:t xml:space="preserve">2007 </w:t>
      </w:r>
      <w:r w:rsidR="00583E93" w:rsidRPr="00E14EC2">
        <w:rPr>
          <w:rFonts w:ascii="Times" w:hAnsi="Times" w:cs="Times"/>
          <w:iCs/>
          <w:lang w:val="en-US"/>
        </w:rPr>
        <w:t>U</w:t>
      </w:r>
      <w:r w:rsidR="00263ED1" w:rsidRPr="00E14EC2">
        <w:rPr>
          <w:rFonts w:ascii="Times" w:hAnsi="Times" w:cs="Times"/>
          <w:iCs/>
          <w:lang w:val="en-US"/>
        </w:rPr>
        <w:t xml:space="preserve">nited </w:t>
      </w:r>
      <w:r w:rsidR="00583E93" w:rsidRPr="00E14EC2">
        <w:rPr>
          <w:rFonts w:ascii="Times" w:hAnsi="Times" w:cs="Times"/>
          <w:iCs/>
          <w:lang w:val="en-US"/>
        </w:rPr>
        <w:t>N</w:t>
      </w:r>
      <w:r w:rsidR="00263ED1" w:rsidRPr="00E14EC2">
        <w:rPr>
          <w:rFonts w:ascii="Times" w:hAnsi="Times" w:cs="Times"/>
          <w:iCs/>
          <w:lang w:val="en-US"/>
        </w:rPr>
        <w:t>ations</w:t>
      </w:r>
      <w:r w:rsidR="00561BA1" w:rsidRPr="00E14EC2">
        <w:rPr>
          <w:rFonts w:ascii="Times" w:hAnsi="Times" w:cs="Times"/>
          <w:iCs/>
          <w:lang w:val="en-US"/>
        </w:rPr>
        <w:t xml:space="preserve"> </w:t>
      </w:r>
      <w:r w:rsidR="00583E93" w:rsidRPr="00E14EC2">
        <w:rPr>
          <w:rFonts w:ascii="Times" w:hAnsi="Times" w:cs="Times"/>
          <w:iCs/>
          <w:lang w:val="en-US"/>
        </w:rPr>
        <w:t>D</w:t>
      </w:r>
      <w:r w:rsidR="00561BA1" w:rsidRPr="00E14EC2">
        <w:rPr>
          <w:rFonts w:ascii="Times" w:hAnsi="Times" w:cs="Times"/>
          <w:iCs/>
          <w:lang w:val="en-US"/>
        </w:rPr>
        <w:t xml:space="preserve">eclaration on the </w:t>
      </w:r>
      <w:r w:rsidR="00583E93" w:rsidRPr="00E14EC2">
        <w:rPr>
          <w:rFonts w:ascii="Times" w:hAnsi="Times" w:cs="Times"/>
          <w:iCs/>
          <w:lang w:val="en-US"/>
        </w:rPr>
        <w:t>R</w:t>
      </w:r>
      <w:r w:rsidR="00561BA1" w:rsidRPr="00E14EC2">
        <w:rPr>
          <w:rFonts w:ascii="Times" w:hAnsi="Times" w:cs="Times"/>
          <w:iCs/>
          <w:lang w:val="en-US"/>
        </w:rPr>
        <w:t xml:space="preserve">ights of </w:t>
      </w:r>
      <w:r w:rsidR="00561BA1" w:rsidRPr="00E14EC2">
        <w:rPr>
          <w:rFonts w:ascii="Times" w:hAnsi="Times" w:cs="Times"/>
          <w:lang w:val="en-US"/>
        </w:rPr>
        <w:t>Indigenous Peoples (UNDRIP)</w:t>
      </w:r>
      <w:r w:rsidR="00583E93" w:rsidRPr="00E14EC2">
        <w:rPr>
          <w:rFonts w:ascii="Times" w:hAnsi="Times" w:cs="Times"/>
          <w:iCs/>
          <w:lang w:val="en-US"/>
        </w:rPr>
        <w:t xml:space="preserve">. </w:t>
      </w:r>
      <w:r w:rsidR="00EB388D" w:rsidRPr="00E14EC2">
        <w:rPr>
          <w:rFonts w:ascii="Times" w:hAnsi="Times" w:cs="Times"/>
          <w:lang w:val="en-US"/>
        </w:rPr>
        <w:t xml:space="preserve">It </w:t>
      </w:r>
      <w:r w:rsidR="00583E93" w:rsidRPr="00E14EC2">
        <w:rPr>
          <w:rFonts w:ascii="Times" w:hAnsi="Times" w:cs="Times"/>
          <w:lang w:val="en-US"/>
        </w:rPr>
        <w:t>recognizes the legal personality of indigenous peoples and contains far-reaching guarantees concerning their rights to self-determination</w:t>
      </w:r>
      <w:r w:rsidR="000E793C" w:rsidRPr="00E14EC2">
        <w:rPr>
          <w:rFonts w:ascii="Times" w:hAnsi="Times" w:cs="Times"/>
          <w:lang w:val="en-US"/>
        </w:rPr>
        <w:t xml:space="preserve"> (</w:t>
      </w:r>
      <w:r w:rsidR="000E793C" w:rsidRPr="00E14EC2">
        <w:rPr>
          <w:lang w:val="en-US"/>
        </w:rPr>
        <w:t>Articles 3–5)</w:t>
      </w:r>
      <w:r w:rsidR="00583E93" w:rsidRPr="00E14EC2">
        <w:rPr>
          <w:rFonts w:ascii="Times" w:hAnsi="Times" w:cs="Times"/>
          <w:lang w:val="en-US"/>
        </w:rPr>
        <w:t>.</w:t>
      </w:r>
      <w:r w:rsidR="00583E93" w:rsidRPr="00014F2A">
        <w:rPr>
          <w:rFonts w:ascii="Times" w:hAnsi="Times" w:cs="Times"/>
          <w:lang w:val="en-US"/>
        </w:rPr>
        <w:t xml:space="preserve"> </w:t>
      </w:r>
      <w:r w:rsidR="00231B34" w:rsidRPr="00E14EC2">
        <w:rPr>
          <w:rFonts w:ascii="Times" w:hAnsi="Times" w:cs="Times"/>
          <w:lang w:val="en-US"/>
        </w:rPr>
        <w:t xml:space="preserve">But </w:t>
      </w:r>
      <w:r w:rsidR="00231B34" w:rsidRPr="00E14EC2">
        <w:rPr>
          <w:rFonts w:ascii="Times" w:hAnsi="Times" w:cs="Times"/>
          <w:lang w:val="en-US"/>
        </w:rPr>
        <w:lastRenderedPageBreak/>
        <w:t>t</w:t>
      </w:r>
      <w:r w:rsidR="00583E93" w:rsidRPr="00E14EC2">
        <w:rPr>
          <w:rFonts w:ascii="Times" w:hAnsi="Times" w:cs="Times"/>
          <w:lang w:val="en-US"/>
        </w:rPr>
        <w:t>he protection of these prerogatives</w:t>
      </w:r>
      <w:r w:rsidR="00231B34" w:rsidRPr="00E14EC2">
        <w:rPr>
          <w:rFonts w:ascii="Times" w:hAnsi="Times" w:cs="Times"/>
          <w:lang w:val="en-US"/>
        </w:rPr>
        <w:t xml:space="preserve"> may </w:t>
      </w:r>
      <w:r w:rsidR="00583E93" w:rsidRPr="00E14EC2">
        <w:rPr>
          <w:rFonts w:ascii="Times" w:hAnsi="Times" w:cs="Times"/>
          <w:lang w:val="en-US"/>
        </w:rPr>
        <w:t>be substantially impaired by the very nature of the</w:t>
      </w:r>
      <w:r w:rsidR="001A6613" w:rsidRPr="00E14EC2">
        <w:rPr>
          <w:rFonts w:ascii="Times" w:hAnsi="Times" w:cs="Times"/>
          <w:lang w:val="en-US"/>
        </w:rPr>
        <w:t xml:space="preserve"> UN</w:t>
      </w:r>
      <w:r w:rsidR="001A6613" w:rsidRPr="00E14EC2">
        <w:rPr>
          <w:rFonts w:ascii="Times" w:hAnsi="Times" w:cs="Times"/>
          <w:iCs/>
          <w:lang w:val="en-US"/>
        </w:rPr>
        <w:t>DRIP</w:t>
      </w:r>
      <w:r w:rsidR="00583E93" w:rsidRPr="00E14EC2">
        <w:rPr>
          <w:rFonts w:ascii="Times" w:hAnsi="Times" w:cs="Times"/>
          <w:lang w:val="en-US"/>
        </w:rPr>
        <w:t xml:space="preserve">, which lacks binding force. Concerning the material scope, the </w:t>
      </w:r>
      <w:r w:rsidR="001A6613" w:rsidRPr="00E14EC2">
        <w:rPr>
          <w:rFonts w:ascii="Times" w:hAnsi="Times" w:cs="Times"/>
          <w:lang w:val="en-US"/>
        </w:rPr>
        <w:t>UN</w:t>
      </w:r>
      <w:r w:rsidR="001A6613" w:rsidRPr="00E14EC2">
        <w:rPr>
          <w:rFonts w:ascii="Times" w:hAnsi="Times" w:cs="Times"/>
          <w:iCs/>
          <w:lang w:val="en-US"/>
        </w:rPr>
        <w:t xml:space="preserve">DRIP </w:t>
      </w:r>
      <w:r w:rsidR="00583E93" w:rsidRPr="00E14EC2">
        <w:rPr>
          <w:rFonts w:ascii="Times" w:hAnsi="Times" w:cs="Times"/>
          <w:lang w:val="en-US"/>
        </w:rPr>
        <w:t>is the first human rights instrument to contain explicit references to cultural heritage</w:t>
      </w:r>
      <w:r w:rsidR="00EF3CF5" w:rsidRPr="00E14EC2">
        <w:rPr>
          <w:rFonts w:ascii="Times" w:hAnsi="Times" w:cs="Times"/>
          <w:lang w:val="en-US"/>
        </w:rPr>
        <w:t xml:space="preserve">. </w:t>
      </w:r>
      <w:r w:rsidR="007376DF" w:rsidRPr="00E14EC2">
        <w:rPr>
          <w:rFonts w:ascii="Times" w:hAnsi="Times" w:cs="Times"/>
          <w:lang w:val="en-US"/>
        </w:rPr>
        <w:t xml:space="preserve">This should not be surprising since it was adopted a few years after </w:t>
      </w:r>
      <w:r w:rsidR="008C68AF">
        <w:rPr>
          <w:rFonts w:ascii="Times" w:hAnsi="Times" w:cs="Times"/>
          <w:lang w:val="en-US"/>
        </w:rPr>
        <w:t>that</w:t>
      </w:r>
      <w:r w:rsidR="007376DF" w:rsidRPr="00E14EC2">
        <w:rPr>
          <w:rFonts w:ascii="Times" w:hAnsi="Times" w:cs="Times"/>
          <w:lang w:val="en-US"/>
        </w:rPr>
        <w:t xml:space="preserve"> of UNESCO’s new generation instruments, namely the </w:t>
      </w:r>
      <w:r w:rsidR="00A21D6D" w:rsidRPr="00E14EC2">
        <w:rPr>
          <w:rFonts w:ascii="Times" w:hAnsi="Times" w:cs="Times"/>
          <w:lang w:val="en-US"/>
        </w:rPr>
        <w:t xml:space="preserve">2001 </w:t>
      </w:r>
      <w:r w:rsidR="007376DF" w:rsidRPr="00E14EC2">
        <w:rPr>
          <w:rFonts w:ascii="Times" w:hAnsi="Times" w:cs="Times"/>
          <w:iCs/>
          <w:lang w:val="en-US" w:bidi="he-IL"/>
        </w:rPr>
        <w:t>Universal</w:t>
      </w:r>
      <w:r w:rsidR="007376DF" w:rsidRPr="00E14EC2">
        <w:rPr>
          <w:rFonts w:ascii="Times" w:hAnsi="Times" w:cs="Times"/>
          <w:lang w:val="en-US" w:bidi="he-IL"/>
        </w:rPr>
        <w:t xml:space="preserve"> </w:t>
      </w:r>
      <w:r w:rsidR="007376DF" w:rsidRPr="00E14EC2">
        <w:rPr>
          <w:rFonts w:ascii="Times" w:hAnsi="Times" w:cs="Times"/>
          <w:iCs/>
          <w:lang w:val="en-US" w:bidi="he-IL"/>
        </w:rPr>
        <w:t xml:space="preserve">Declaration on Cultural Diversity and </w:t>
      </w:r>
      <w:r w:rsidR="007376DF" w:rsidRPr="00E14EC2">
        <w:rPr>
          <w:rFonts w:ascii="Times" w:hAnsi="Times" w:cs="Times"/>
          <w:bCs/>
          <w:lang w:val="en-US" w:eastAsia="en-US"/>
        </w:rPr>
        <w:t xml:space="preserve">the </w:t>
      </w:r>
      <w:r w:rsidR="00A21D6D" w:rsidRPr="00E14EC2">
        <w:rPr>
          <w:rFonts w:ascii="Times" w:hAnsi="Times" w:cs="Times"/>
          <w:bCs/>
          <w:lang w:val="en-US" w:eastAsia="en-US"/>
        </w:rPr>
        <w:t xml:space="preserve">2003 </w:t>
      </w:r>
      <w:r w:rsidR="007376DF" w:rsidRPr="00E14EC2">
        <w:rPr>
          <w:rFonts w:ascii="Times" w:hAnsi="Times" w:cs="Times"/>
          <w:lang w:val="en-US"/>
        </w:rPr>
        <w:t xml:space="preserve">Convention for the Safeguarding of the Intangible Cultural Heritage. </w:t>
      </w:r>
      <w:r w:rsidR="00250A14" w:rsidRPr="00E14EC2">
        <w:rPr>
          <w:rFonts w:ascii="Times" w:hAnsi="Times" w:cs="Times"/>
          <w:lang w:val="en-US"/>
        </w:rPr>
        <w:t xml:space="preserve">Notably, </w:t>
      </w:r>
      <w:r w:rsidR="00583E93" w:rsidRPr="00E14EC2">
        <w:rPr>
          <w:rFonts w:ascii="Times" w:hAnsi="Times" w:cs="Times"/>
          <w:lang w:val="en-US"/>
        </w:rPr>
        <w:t>Article 31</w:t>
      </w:r>
      <w:r w:rsidR="00EF3CF5" w:rsidRPr="00E14EC2">
        <w:rPr>
          <w:rFonts w:ascii="Times" w:hAnsi="Times" w:cs="Times"/>
          <w:lang w:val="en-US"/>
        </w:rPr>
        <w:t xml:space="preserve"> </w:t>
      </w:r>
      <w:r w:rsidR="008106F4" w:rsidRPr="00E14EC2">
        <w:rPr>
          <w:rFonts w:ascii="Times" w:hAnsi="Times" w:cs="Times"/>
          <w:lang w:val="en-US"/>
        </w:rPr>
        <w:t xml:space="preserve">of </w:t>
      </w:r>
      <w:r w:rsidR="005D4CC0" w:rsidRPr="00E14EC2">
        <w:rPr>
          <w:rFonts w:ascii="Times" w:hAnsi="Times" w:cs="Times"/>
          <w:lang w:val="en-US"/>
        </w:rPr>
        <w:t xml:space="preserve">the </w:t>
      </w:r>
      <w:r w:rsidR="007376DF" w:rsidRPr="00E14EC2">
        <w:rPr>
          <w:rFonts w:ascii="Times" w:hAnsi="Times" w:cs="Times"/>
          <w:lang w:val="en-US"/>
        </w:rPr>
        <w:t xml:space="preserve">UNDRIP </w:t>
      </w:r>
      <w:r w:rsidR="00EF3CF5" w:rsidRPr="00E14EC2">
        <w:rPr>
          <w:rFonts w:ascii="Times" w:hAnsi="Times" w:cs="Times"/>
          <w:lang w:val="en-US"/>
        </w:rPr>
        <w:t>reads:</w:t>
      </w:r>
      <w:r w:rsidR="00583E93" w:rsidRPr="00E14EC2">
        <w:rPr>
          <w:rFonts w:ascii="Times" w:hAnsi="Times" w:cs="Times"/>
          <w:lang w:val="en-US"/>
        </w:rPr>
        <w:t xml:space="preserve"> </w:t>
      </w:r>
      <w:r w:rsidR="001A6613" w:rsidRPr="00E14EC2">
        <w:rPr>
          <w:rFonts w:ascii="Times" w:hAnsi="Times" w:cs="Times"/>
          <w:lang w:val="en-US"/>
        </w:rPr>
        <w:t>“</w:t>
      </w:r>
      <w:r w:rsidR="00583E93" w:rsidRPr="00E14EC2">
        <w:rPr>
          <w:rFonts w:ascii="Times" w:hAnsi="Times" w:cs="Times"/>
          <w:lang w:val="en-US"/>
        </w:rPr>
        <w:t>Indigenous peoples have the right to maintain, control, protect and develop their cultural heritage, traditional knowledge and traditional cultural expressions, as well as the manifestations of their sciences, technologies and cultures, including human and genetic resources, seeds, medicines, knowledge of the properties of fauna and flora, oral traditions, literatures, designs, sports and traditional games and visual and performing arts. They also have the right to maintain, control, protect and develop their intellectual property over such cultural heritage, traditional knowledge, and traditional cultural expressions</w:t>
      </w:r>
      <w:r w:rsidR="00E50096" w:rsidRPr="00E14EC2">
        <w:rPr>
          <w:rFonts w:ascii="Times" w:hAnsi="Times" w:cs="Times"/>
          <w:lang w:val="en-US"/>
        </w:rPr>
        <w:t>.”</w:t>
      </w:r>
      <w:r w:rsidR="00583E93" w:rsidRPr="00E14EC2">
        <w:rPr>
          <w:rFonts w:ascii="Times" w:hAnsi="Times" w:cs="Times"/>
          <w:lang w:val="en-US"/>
        </w:rPr>
        <w:t xml:space="preserve"> </w:t>
      </w:r>
      <w:r w:rsidR="00402717" w:rsidRPr="00E14EC2">
        <w:rPr>
          <w:rFonts w:ascii="Times" w:hAnsi="Times" w:cs="Times"/>
          <w:lang w:val="en-US"/>
        </w:rPr>
        <w:t xml:space="preserve">As such, </w:t>
      </w:r>
      <w:r w:rsidR="00250A14" w:rsidRPr="00E14EC2">
        <w:rPr>
          <w:rFonts w:ascii="Times" w:hAnsi="Times" w:cs="Times"/>
          <w:lang w:val="en-US"/>
        </w:rPr>
        <w:t>UNDRIP</w:t>
      </w:r>
      <w:r w:rsidR="00583E93" w:rsidRPr="00E14EC2">
        <w:rPr>
          <w:rFonts w:ascii="Times" w:hAnsi="Times" w:cs="Times"/>
          <w:lang w:val="en-US"/>
        </w:rPr>
        <w:t xml:space="preserve"> acknowledges indigenous peoples’ holistic conceptualization of cultural heritage, which covers land, immovable and movable heritage, </w:t>
      </w:r>
      <w:r w:rsidR="00395AE1" w:rsidRPr="00E14EC2">
        <w:rPr>
          <w:rFonts w:ascii="Times" w:hAnsi="Times" w:cs="Times"/>
          <w:lang w:val="en-US"/>
        </w:rPr>
        <w:t xml:space="preserve">and </w:t>
      </w:r>
      <w:r w:rsidR="00583E93" w:rsidRPr="00E14EC2">
        <w:rPr>
          <w:rFonts w:ascii="Times" w:hAnsi="Times" w:cs="Times"/>
          <w:lang w:val="en-US"/>
        </w:rPr>
        <w:t>tangible and intangible elements, and assumes a symbiotic relationship between these elements.</w:t>
      </w:r>
      <w:r w:rsidR="00402717" w:rsidRPr="00E14EC2">
        <w:rPr>
          <w:rFonts w:ascii="Times" w:hAnsi="Times" w:cs="Times"/>
          <w:lang w:val="en-US"/>
        </w:rPr>
        <w:t xml:space="preserve"> For </w:t>
      </w:r>
      <w:r w:rsidR="008D5696" w:rsidRPr="00E14EC2">
        <w:rPr>
          <w:rFonts w:ascii="Times" w:hAnsi="Times" w:cs="Times"/>
          <w:lang w:val="en-US"/>
        </w:rPr>
        <w:t>indigenous peoples</w:t>
      </w:r>
      <w:r w:rsidR="00081712" w:rsidRPr="00E14EC2">
        <w:rPr>
          <w:rFonts w:ascii="Times" w:hAnsi="Times" w:cs="Times"/>
          <w:lang w:val="en-US"/>
        </w:rPr>
        <w:t>,</w:t>
      </w:r>
      <w:r w:rsidR="008D5696" w:rsidRPr="00E14EC2">
        <w:rPr>
          <w:rFonts w:ascii="Times" w:hAnsi="Times" w:cs="Times"/>
          <w:lang w:val="en-US"/>
        </w:rPr>
        <w:t xml:space="preserve"> </w:t>
      </w:r>
      <w:r w:rsidR="00402717" w:rsidRPr="00E14EC2">
        <w:rPr>
          <w:rFonts w:ascii="Times" w:hAnsi="Times" w:cs="Times"/>
          <w:lang w:val="en-US"/>
        </w:rPr>
        <w:t>cultural heritage includes everything that belongs to their distinct identity, not only the things regarded as the creative production of human thought and craftsmanship (such as songs, stories, and artworks), but also human remains, the natural features of the landscape, and species of plants and animals.</w:t>
      </w:r>
      <w:r w:rsidR="00583E93" w:rsidRPr="00014F2A">
        <w:rPr>
          <w:rStyle w:val="EndnoteReference"/>
          <w:rFonts w:ascii="Times" w:hAnsi="Times" w:cs="Times"/>
          <w:lang w:val="en-US"/>
        </w:rPr>
        <w:endnoteReference w:id="39"/>
      </w:r>
      <w:r w:rsidR="00583E93" w:rsidRPr="00014F2A">
        <w:rPr>
          <w:rFonts w:ascii="Times" w:hAnsi="Times" w:cs="Times"/>
          <w:lang w:val="en-US"/>
        </w:rPr>
        <w:t xml:space="preserve"> </w:t>
      </w:r>
      <w:r w:rsidR="00EF3CF5" w:rsidRPr="00E14EC2">
        <w:rPr>
          <w:rFonts w:ascii="Times" w:hAnsi="Times" w:cs="Times"/>
          <w:lang w:val="en-US"/>
        </w:rPr>
        <w:t xml:space="preserve">This means that the idea of cultural heritage embodied in UNDRIP is antagonistic to the idea of </w:t>
      </w:r>
      <w:r w:rsidR="00081712" w:rsidRPr="00E14EC2">
        <w:rPr>
          <w:rFonts w:ascii="Times" w:hAnsi="Times" w:cs="Times"/>
          <w:lang w:val="en-US"/>
        </w:rPr>
        <w:t xml:space="preserve">the </w:t>
      </w:r>
      <w:r w:rsidR="00EF3CF5" w:rsidRPr="00E14EC2">
        <w:rPr>
          <w:rFonts w:ascii="Times" w:hAnsi="Times" w:cs="Times"/>
          <w:lang w:val="en-US"/>
        </w:rPr>
        <w:t>public</w:t>
      </w:r>
      <w:r w:rsidR="00263ED1" w:rsidRPr="00E14EC2">
        <w:rPr>
          <w:rFonts w:ascii="Times" w:hAnsi="Times" w:cs="Times"/>
          <w:lang w:val="en-US"/>
        </w:rPr>
        <w:t xml:space="preserve"> heritage</w:t>
      </w:r>
      <w:r w:rsidR="00EF3CF5" w:rsidRPr="00E14EC2">
        <w:rPr>
          <w:rFonts w:ascii="Times" w:hAnsi="Times" w:cs="Times"/>
          <w:lang w:val="en-US"/>
        </w:rPr>
        <w:t xml:space="preserve"> of a nation.</w:t>
      </w:r>
      <w:r w:rsidR="00EF3CF5" w:rsidRPr="00014F2A">
        <w:rPr>
          <w:rStyle w:val="EndnoteReference"/>
          <w:rFonts w:ascii="Times" w:hAnsi="Times" w:cs="Times"/>
          <w:lang w:val="en-US"/>
        </w:rPr>
        <w:endnoteReference w:id="40"/>
      </w:r>
      <w:r w:rsidR="00250A14" w:rsidRPr="00014F2A">
        <w:rPr>
          <w:rFonts w:ascii="Times" w:hAnsi="Times" w:cs="Times"/>
          <w:lang w:val="en-US"/>
        </w:rPr>
        <w:t xml:space="preserve"> More importantly, UNDRIP acknowledges the human dimension of indigenous cultural heritage.</w:t>
      </w:r>
    </w:p>
    <w:p w14:paraId="2E38DFE8" w14:textId="77777777" w:rsidR="00402717" w:rsidRPr="00E14EC2" w:rsidRDefault="00402717" w:rsidP="003373DF">
      <w:pPr>
        <w:spacing w:line="480" w:lineRule="auto"/>
        <w:rPr>
          <w:rFonts w:ascii="Times" w:hAnsi="Times" w:cs="Times"/>
          <w:lang w:val="en-US"/>
        </w:rPr>
      </w:pPr>
    </w:p>
    <w:p w14:paraId="56F29F52" w14:textId="32087736" w:rsidR="00583E93" w:rsidRDefault="00583E93" w:rsidP="00490CF3">
      <w:pPr>
        <w:pStyle w:val="Heading2"/>
        <w:rPr>
          <w:lang w:val="en-US"/>
        </w:rPr>
      </w:pPr>
      <w:r w:rsidRPr="00E14EC2">
        <w:rPr>
          <w:lang w:val="en-US"/>
        </w:rPr>
        <w:lastRenderedPageBreak/>
        <w:t>Appraisal</w:t>
      </w:r>
    </w:p>
    <w:p w14:paraId="09D227BD" w14:textId="77777777" w:rsidR="00415965" w:rsidRPr="00415965" w:rsidRDefault="00415965" w:rsidP="00097F75">
      <w:pPr>
        <w:rPr>
          <w:lang w:val="en-US"/>
        </w:rPr>
      </w:pPr>
    </w:p>
    <w:p w14:paraId="35D003D7" w14:textId="357C1E42" w:rsidR="00FD4DBC" w:rsidRPr="00014F2A" w:rsidRDefault="00D55D52" w:rsidP="003373DF">
      <w:pPr>
        <w:spacing w:line="480" w:lineRule="auto"/>
        <w:rPr>
          <w:rFonts w:ascii="Times" w:hAnsi="Times" w:cs="Times"/>
          <w:lang w:val="en-US"/>
        </w:rPr>
      </w:pPr>
      <w:r w:rsidRPr="00E14EC2">
        <w:rPr>
          <w:rFonts w:ascii="Times" w:hAnsi="Times" w:cs="Times"/>
          <w:lang w:val="en-US"/>
        </w:rPr>
        <w:t>T</w:t>
      </w:r>
      <w:r w:rsidR="00043833" w:rsidRPr="00E14EC2">
        <w:rPr>
          <w:rFonts w:ascii="Times" w:hAnsi="Times" w:cs="Times"/>
          <w:lang w:val="en-US"/>
        </w:rPr>
        <w:t xml:space="preserve">he legal instruments on cultural heritage adopted by UNESCO </w:t>
      </w:r>
      <w:r w:rsidR="00583E93" w:rsidRPr="00E14EC2">
        <w:rPr>
          <w:rFonts w:ascii="Times" w:hAnsi="Times" w:cs="Times"/>
          <w:lang w:val="en-US"/>
        </w:rPr>
        <w:t>display a clear human rights approach</w:t>
      </w:r>
      <w:r w:rsidR="00F0271E" w:rsidRPr="00E14EC2">
        <w:rPr>
          <w:rFonts w:ascii="Times" w:hAnsi="Times" w:cs="Times"/>
          <w:lang w:val="en-US"/>
        </w:rPr>
        <w:t>,</w:t>
      </w:r>
      <w:r w:rsidR="00583E93" w:rsidRPr="00E14EC2">
        <w:rPr>
          <w:rFonts w:ascii="Times" w:hAnsi="Times" w:cs="Times"/>
          <w:lang w:val="en-US"/>
        </w:rPr>
        <w:t xml:space="preserve"> whereby human rights are </w:t>
      </w:r>
      <w:r w:rsidR="00A07C43">
        <w:rPr>
          <w:rFonts w:ascii="Times" w:hAnsi="Times" w:cs="Times"/>
          <w:lang w:val="en-US"/>
        </w:rPr>
        <w:t>considered</w:t>
      </w:r>
      <w:r w:rsidR="00A07C43" w:rsidRPr="00E14EC2">
        <w:rPr>
          <w:rFonts w:ascii="Times" w:hAnsi="Times" w:cs="Times"/>
          <w:lang w:val="en-US"/>
        </w:rPr>
        <w:t xml:space="preserve"> </w:t>
      </w:r>
      <w:r w:rsidR="00583E93" w:rsidRPr="00E14EC2">
        <w:rPr>
          <w:rFonts w:ascii="Times" w:hAnsi="Times" w:cs="Times"/>
          <w:lang w:val="en-US"/>
        </w:rPr>
        <w:t xml:space="preserve">as important elements of </w:t>
      </w:r>
      <w:r w:rsidR="00043833" w:rsidRPr="00E14EC2">
        <w:rPr>
          <w:rFonts w:ascii="Times" w:hAnsi="Times" w:cs="Times"/>
          <w:lang w:val="en-US"/>
        </w:rPr>
        <w:t xml:space="preserve">cultural </w:t>
      </w:r>
      <w:r w:rsidR="00583E93" w:rsidRPr="00E14EC2">
        <w:rPr>
          <w:rFonts w:ascii="Times" w:hAnsi="Times" w:cs="Times"/>
          <w:lang w:val="en-US"/>
        </w:rPr>
        <w:t xml:space="preserve">heritage protection. </w:t>
      </w:r>
      <w:r w:rsidR="00043833" w:rsidRPr="00E14EC2">
        <w:rPr>
          <w:rFonts w:ascii="Times" w:hAnsi="Times" w:cs="Times"/>
          <w:lang w:val="en-US"/>
        </w:rPr>
        <w:t xml:space="preserve">By </w:t>
      </w:r>
      <w:r w:rsidR="00583E93" w:rsidRPr="00E14EC2">
        <w:rPr>
          <w:rFonts w:ascii="Times" w:hAnsi="Times" w:cs="Times"/>
          <w:lang w:val="en-US"/>
        </w:rPr>
        <w:t>fostering the safeguarding of intangible cultural heritage, cultural identity</w:t>
      </w:r>
      <w:r w:rsidR="00E7631A" w:rsidRPr="00E14EC2">
        <w:rPr>
          <w:rFonts w:ascii="Times" w:hAnsi="Times" w:cs="Times"/>
          <w:lang w:val="en-US"/>
        </w:rPr>
        <w:t>,</w:t>
      </w:r>
      <w:r w:rsidR="00583E93" w:rsidRPr="00E14EC2">
        <w:rPr>
          <w:rFonts w:ascii="Times" w:hAnsi="Times" w:cs="Times"/>
          <w:lang w:val="en-US"/>
        </w:rPr>
        <w:t xml:space="preserve"> and cultural diversity, </w:t>
      </w:r>
      <w:r w:rsidR="00F0271E" w:rsidRPr="00E14EC2">
        <w:rPr>
          <w:rFonts w:ascii="Times" w:hAnsi="Times" w:cs="Times"/>
          <w:lang w:val="en-US"/>
        </w:rPr>
        <w:t xml:space="preserve">the most recent </w:t>
      </w:r>
      <w:r w:rsidR="00583E93" w:rsidRPr="00E14EC2">
        <w:rPr>
          <w:rFonts w:ascii="Times" w:hAnsi="Times" w:cs="Times"/>
          <w:lang w:val="en-US"/>
        </w:rPr>
        <w:t xml:space="preserve">UNESCO </w:t>
      </w:r>
      <w:r w:rsidR="004118F5" w:rsidRPr="00E14EC2">
        <w:rPr>
          <w:rFonts w:ascii="Times" w:hAnsi="Times" w:cs="Times"/>
          <w:lang w:val="en-US"/>
        </w:rPr>
        <w:t>instruments</w:t>
      </w:r>
      <w:r w:rsidR="00F0271E" w:rsidRPr="00E14EC2">
        <w:rPr>
          <w:rFonts w:ascii="Times" w:hAnsi="Times" w:cs="Times"/>
          <w:lang w:val="en-US"/>
        </w:rPr>
        <w:t xml:space="preserve"> </w:t>
      </w:r>
      <w:r w:rsidR="00583E93" w:rsidRPr="00E14EC2">
        <w:rPr>
          <w:rFonts w:ascii="Times" w:hAnsi="Times" w:cs="Times"/>
          <w:lang w:val="en-US"/>
        </w:rPr>
        <w:t>place human rights issues more directly at the forefront of cultural heritage protection than was previously the case.</w:t>
      </w:r>
      <w:r w:rsidR="00583E93" w:rsidRPr="00014F2A">
        <w:rPr>
          <w:rStyle w:val="EndnoteReference"/>
          <w:rFonts w:ascii="Times" w:hAnsi="Times" w:cs="Times"/>
          <w:lang w:val="en-US"/>
        </w:rPr>
        <w:endnoteReference w:id="41"/>
      </w:r>
      <w:r w:rsidR="00FD4DBC" w:rsidRPr="00014F2A">
        <w:rPr>
          <w:rFonts w:ascii="Times" w:hAnsi="Times" w:cs="Times"/>
          <w:lang w:val="en-US"/>
        </w:rPr>
        <w:t xml:space="preserve"> </w:t>
      </w:r>
      <w:r w:rsidR="00395DAC" w:rsidRPr="00E14EC2">
        <w:rPr>
          <w:rFonts w:ascii="Times" w:hAnsi="Times" w:cs="Times"/>
          <w:lang w:val="en-US"/>
        </w:rPr>
        <w:t>T</w:t>
      </w:r>
      <w:r w:rsidR="00FD4DBC" w:rsidRPr="00E14EC2">
        <w:rPr>
          <w:rFonts w:ascii="Times" w:hAnsi="Times" w:cs="Times"/>
          <w:lang w:val="en-US"/>
        </w:rPr>
        <w:t xml:space="preserve">hese </w:t>
      </w:r>
      <w:r w:rsidR="004118F5" w:rsidRPr="00E14EC2">
        <w:rPr>
          <w:rFonts w:ascii="Times" w:hAnsi="Times" w:cs="Times"/>
          <w:lang w:val="en-US"/>
        </w:rPr>
        <w:t>legal tools</w:t>
      </w:r>
      <w:r w:rsidR="00FD4DBC" w:rsidRPr="00E14EC2">
        <w:rPr>
          <w:rFonts w:ascii="Times" w:hAnsi="Times" w:cs="Times"/>
          <w:lang w:val="en-US"/>
        </w:rPr>
        <w:t xml:space="preserve"> place greater emphasis on the importance of the promotion and protection of cultural heritage as a fundamental element for the construction and expression of </w:t>
      </w:r>
      <w:r w:rsidR="00CC2C08" w:rsidRPr="00E14EC2">
        <w:rPr>
          <w:rFonts w:ascii="Times" w:hAnsi="Times" w:cs="Times"/>
          <w:lang w:val="en-US"/>
        </w:rPr>
        <w:t xml:space="preserve">the </w:t>
      </w:r>
      <w:r w:rsidR="00FD4DBC" w:rsidRPr="00E14EC2">
        <w:rPr>
          <w:rFonts w:ascii="Times" w:hAnsi="Times" w:cs="Times"/>
          <w:lang w:val="en-US"/>
        </w:rPr>
        <w:t>cultural identity of individuals and communities</w:t>
      </w:r>
      <w:r w:rsidR="005015B7" w:rsidRPr="00E14EC2">
        <w:rPr>
          <w:rFonts w:ascii="Times" w:hAnsi="Times" w:cs="Times"/>
          <w:lang w:val="en-US"/>
        </w:rPr>
        <w:t>,</w:t>
      </w:r>
      <w:r w:rsidR="00FD4DBC" w:rsidRPr="00E14EC2">
        <w:rPr>
          <w:rFonts w:ascii="Times" w:hAnsi="Times" w:cs="Times"/>
          <w:lang w:val="en-US"/>
        </w:rPr>
        <w:t xml:space="preserve"> and for fostering cultural diversity. In other words, a shift has taken place from protecting cultural </w:t>
      </w:r>
      <w:r w:rsidR="004118F5" w:rsidRPr="00E14EC2">
        <w:rPr>
          <w:rFonts w:ascii="Times" w:hAnsi="Times" w:cs="Times"/>
          <w:lang w:val="en-US"/>
        </w:rPr>
        <w:t>objects</w:t>
      </w:r>
      <w:r w:rsidR="00FD4DBC" w:rsidRPr="00E14EC2">
        <w:rPr>
          <w:rFonts w:ascii="Times" w:hAnsi="Times" w:cs="Times"/>
          <w:lang w:val="en-US"/>
        </w:rPr>
        <w:t xml:space="preserve"> for humankind </w:t>
      </w:r>
      <w:r w:rsidR="004118F5" w:rsidRPr="00E14EC2">
        <w:rPr>
          <w:rFonts w:ascii="Times" w:hAnsi="Times" w:cs="Times"/>
          <w:lang w:val="en-US"/>
        </w:rPr>
        <w:t xml:space="preserve">as a whole </w:t>
      </w:r>
      <w:r w:rsidR="00FD4DBC" w:rsidRPr="00E14EC2">
        <w:rPr>
          <w:rFonts w:ascii="Times" w:hAnsi="Times" w:cs="Times"/>
          <w:lang w:val="en-US"/>
        </w:rPr>
        <w:t>to safegua</w:t>
      </w:r>
      <w:r w:rsidR="004118F5" w:rsidRPr="00E14EC2">
        <w:rPr>
          <w:rFonts w:ascii="Times" w:hAnsi="Times" w:cs="Times"/>
          <w:lang w:val="en-US"/>
        </w:rPr>
        <w:t xml:space="preserve">rding cultural heritage for </w:t>
      </w:r>
      <w:r w:rsidR="00FD4DBC" w:rsidRPr="00E14EC2">
        <w:rPr>
          <w:rFonts w:ascii="Times" w:hAnsi="Times" w:cs="Times"/>
          <w:lang w:val="en-US"/>
        </w:rPr>
        <w:t xml:space="preserve">communities. One reason for this evolution resides in the (ongoing or dormant) interethnic and interreligious conflicts that plague many </w:t>
      </w:r>
      <w:r w:rsidR="00221A0F" w:rsidRPr="00E14EC2">
        <w:rPr>
          <w:rFonts w:ascii="Times" w:hAnsi="Times" w:cs="Times"/>
          <w:lang w:val="en-US"/>
        </w:rPr>
        <w:t>state</w:t>
      </w:r>
      <w:r w:rsidR="00FD4DBC" w:rsidRPr="00E14EC2">
        <w:rPr>
          <w:rFonts w:ascii="Times" w:hAnsi="Times" w:cs="Times"/>
          <w:lang w:val="en-US"/>
        </w:rPr>
        <w:t>s where discrimination against</w:t>
      </w:r>
      <w:r w:rsidR="00AF210E" w:rsidRPr="00E14EC2">
        <w:rPr>
          <w:rFonts w:ascii="Times" w:hAnsi="Times" w:cs="Times"/>
          <w:lang w:val="en-US"/>
        </w:rPr>
        <w:t>,</w:t>
      </w:r>
      <w:r w:rsidR="00FD4DBC" w:rsidRPr="00E14EC2">
        <w:rPr>
          <w:rFonts w:ascii="Times" w:hAnsi="Times" w:cs="Times"/>
          <w:lang w:val="en-US"/>
        </w:rPr>
        <w:t xml:space="preserve"> and persecution of</w:t>
      </w:r>
      <w:r w:rsidR="00AF210E" w:rsidRPr="00E14EC2">
        <w:rPr>
          <w:rFonts w:ascii="Times" w:hAnsi="Times" w:cs="Times"/>
          <w:lang w:val="en-US"/>
        </w:rPr>
        <w:t>,</w:t>
      </w:r>
      <w:r w:rsidR="00FD4DBC" w:rsidRPr="00E14EC2">
        <w:rPr>
          <w:rFonts w:ascii="Times" w:hAnsi="Times" w:cs="Times"/>
          <w:lang w:val="en-US"/>
        </w:rPr>
        <w:t xml:space="preserve"> individuals within ethnic or religious communities are common. The international community is engaged in promoting cultural diversity (rather than suppressing cultural, ethnic</w:t>
      </w:r>
      <w:r w:rsidR="00953EBE" w:rsidRPr="00E14EC2">
        <w:rPr>
          <w:rFonts w:ascii="Times" w:hAnsi="Times" w:cs="Times"/>
          <w:lang w:val="en-US"/>
        </w:rPr>
        <w:t>,</w:t>
      </w:r>
      <w:r w:rsidR="00FD4DBC" w:rsidRPr="00E14EC2">
        <w:rPr>
          <w:rFonts w:ascii="Times" w:hAnsi="Times" w:cs="Times"/>
          <w:lang w:val="en-US"/>
        </w:rPr>
        <w:t xml:space="preserve"> or religious differences) in order to address the root causes of such conflicts and to ensure peace and human rights for all.</w:t>
      </w:r>
      <w:r w:rsidR="00FD4DBC" w:rsidRPr="00014F2A">
        <w:rPr>
          <w:rStyle w:val="EndnoteReference"/>
          <w:rFonts w:ascii="Times" w:hAnsi="Times" w:cs="Times"/>
          <w:lang w:val="en-US"/>
        </w:rPr>
        <w:endnoteReference w:id="42"/>
      </w:r>
    </w:p>
    <w:p w14:paraId="08301458" w14:textId="4C5A3EDE" w:rsidR="00115FA2" w:rsidRPr="00E14EC2" w:rsidRDefault="000C5689" w:rsidP="003373DF">
      <w:pPr>
        <w:spacing w:line="480" w:lineRule="auto"/>
        <w:rPr>
          <w:rFonts w:ascii="Times" w:hAnsi="Times" w:cs="Times"/>
          <w:lang w:val="en-US"/>
        </w:rPr>
      </w:pPr>
      <w:r w:rsidRPr="00E14EC2">
        <w:rPr>
          <w:rFonts w:ascii="Times" w:hAnsi="Times" w:cs="Times"/>
          <w:lang w:val="en-US"/>
        </w:rPr>
        <w:tab/>
      </w:r>
      <w:r w:rsidR="00043833" w:rsidRPr="00E14EC2">
        <w:rPr>
          <w:rFonts w:ascii="Times" w:hAnsi="Times" w:cs="Times"/>
          <w:lang w:val="en-US"/>
        </w:rPr>
        <w:t>H</w:t>
      </w:r>
      <w:r w:rsidR="009D32C1" w:rsidRPr="00E14EC2">
        <w:rPr>
          <w:rFonts w:ascii="Times" w:hAnsi="Times" w:cs="Times"/>
          <w:lang w:val="en-US"/>
        </w:rPr>
        <w:t>owever</w:t>
      </w:r>
      <w:r w:rsidR="002666DC" w:rsidRPr="00E14EC2">
        <w:rPr>
          <w:rFonts w:ascii="Times" w:hAnsi="Times" w:cs="Times"/>
          <w:lang w:val="en-US"/>
        </w:rPr>
        <w:t xml:space="preserve">, </w:t>
      </w:r>
      <w:r w:rsidR="00115FA2" w:rsidRPr="00E14EC2">
        <w:rPr>
          <w:rFonts w:ascii="Times" w:hAnsi="Times" w:cs="Times"/>
          <w:lang w:val="en-US"/>
        </w:rPr>
        <w:t xml:space="preserve">human rights concerns </w:t>
      </w:r>
      <w:r w:rsidR="002666DC" w:rsidRPr="00E14EC2">
        <w:rPr>
          <w:rFonts w:ascii="Times" w:hAnsi="Times" w:cs="Times"/>
          <w:lang w:val="en-US"/>
        </w:rPr>
        <w:t>can also be found (albeit sometimes implicitly) in</w:t>
      </w:r>
      <w:r w:rsidR="00C27E82">
        <w:rPr>
          <w:rFonts w:ascii="Times" w:hAnsi="Times" w:cs="Times"/>
          <w:lang w:val="en-US"/>
        </w:rPr>
        <w:t xml:space="preserve"> </w:t>
      </w:r>
      <w:r w:rsidR="00115FA2" w:rsidRPr="00E14EC2">
        <w:rPr>
          <w:rFonts w:ascii="Times" w:hAnsi="Times" w:cs="Times"/>
          <w:lang w:val="en-US"/>
        </w:rPr>
        <w:t>UNESCO convention</w:t>
      </w:r>
      <w:r w:rsidR="002666DC" w:rsidRPr="00E14EC2">
        <w:rPr>
          <w:rFonts w:ascii="Times" w:hAnsi="Times" w:cs="Times"/>
          <w:lang w:val="en-US"/>
        </w:rPr>
        <w:t>s on tangible cultural heritage</w:t>
      </w:r>
      <w:r w:rsidR="00115FA2" w:rsidRPr="00E14EC2">
        <w:rPr>
          <w:rFonts w:ascii="Times" w:hAnsi="Times" w:cs="Times"/>
          <w:lang w:val="en-US"/>
        </w:rPr>
        <w:t xml:space="preserve">. This is demonstrated by the reference to “people” (and not </w:t>
      </w:r>
      <w:r w:rsidR="00AF2C9E" w:rsidRPr="00E14EC2">
        <w:rPr>
          <w:rFonts w:ascii="Times" w:hAnsi="Times" w:cs="Times"/>
          <w:lang w:val="en-US"/>
        </w:rPr>
        <w:t>s</w:t>
      </w:r>
      <w:r w:rsidR="00115FA2" w:rsidRPr="00E14EC2">
        <w:rPr>
          <w:rFonts w:ascii="Times" w:hAnsi="Times" w:cs="Times"/>
          <w:lang w:val="en-US"/>
        </w:rPr>
        <w:t xml:space="preserve">tates) in the 1954 </w:t>
      </w:r>
      <w:r w:rsidR="00C867D8" w:rsidRPr="00E14EC2">
        <w:rPr>
          <w:rFonts w:ascii="Times" w:hAnsi="Times" w:cs="Times"/>
          <w:lang w:val="en-US"/>
        </w:rPr>
        <w:t>Convention for the Protection of Cultural Property in the Event of Armed Conflict</w:t>
      </w:r>
      <w:r w:rsidR="00115FA2" w:rsidRPr="00E14EC2">
        <w:rPr>
          <w:rFonts w:ascii="Times" w:hAnsi="Times" w:cs="Times"/>
          <w:lang w:val="en-US"/>
        </w:rPr>
        <w:t xml:space="preserve">, by the involvement of local communities in the process leading up to the inscription of sites </w:t>
      </w:r>
      <w:r w:rsidR="007C79E8" w:rsidRPr="00E14EC2">
        <w:rPr>
          <w:rFonts w:ascii="Times" w:hAnsi="Times" w:cs="Times"/>
          <w:lang w:val="en-US"/>
        </w:rPr>
        <w:t xml:space="preserve">on </w:t>
      </w:r>
      <w:r w:rsidR="00115FA2" w:rsidRPr="00E14EC2">
        <w:rPr>
          <w:rFonts w:ascii="Times" w:hAnsi="Times" w:cs="Times"/>
          <w:lang w:val="en-US"/>
        </w:rPr>
        <w:t xml:space="preserve">the </w:t>
      </w:r>
      <w:r w:rsidR="00856829" w:rsidRPr="00E14EC2">
        <w:rPr>
          <w:rFonts w:ascii="Times" w:hAnsi="Times" w:cs="Times"/>
          <w:lang w:val="en-US"/>
        </w:rPr>
        <w:t xml:space="preserve">World Heritage </w:t>
      </w:r>
      <w:r w:rsidR="00115FA2" w:rsidRPr="00E14EC2">
        <w:rPr>
          <w:rFonts w:ascii="Times" w:hAnsi="Times" w:cs="Times"/>
          <w:lang w:val="en-US"/>
        </w:rPr>
        <w:t>List under the WHC and in the subsequent management of such sites</w:t>
      </w:r>
      <w:bookmarkStart w:id="25" w:name="_Ref39501657"/>
      <w:r w:rsidR="00115FA2" w:rsidRPr="00E14EC2">
        <w:rPr>
          <w:rFonts w:ascii="Times" w:hAnsi="Times" w:cs="Times"/>
          <w:lang w:val="en-US"/>
        </w:rPr>
        <w:t>,</w:t>
      </w:r>
      <w:bookmarkEnd w:id="25"/>
      <w:r w:rsidR="00115FA2" w:rsidRPr="00E14EC2">
        <w:rPr>
          <w:rFonts w:ascii="Times" w:hAnsi="Times" w:cs="Times"/>
          <w:lang w:val="en-US"/>
        </w:rPr>
        <w:t xml:space="preserve"> and by </w:t>
      </w:r>
      <w:r w:rsidR="0055040B" w:rsidRPr="00E14EC2">
        <w:rPr>
          <w:rFonts w:ascii="Times" w:hAnsi="Times" w:cs="Times"/>
          <w:lang w:val="en-US"/>
        </w:rPr>
        <w:t>articles referring to the</w:t>
      </w:r>
      <w:r w:rsidR="00115FA2" w:rsidRPr="00E14EC2">
        <w:rPr>
          <w:rFonts w:ascii="Times" w:hAnsi="Times" w:cs="Times"/>
          <w:lang w:val="en-US"/>
        </w:rPr>
        <w:t xml:space="preserve"> objects belonging to tribal or indigenous communities in the 1995 </w:t>
      </w:r>
      <w:r w:rsidR="00115FA2" w:rsidRPr="00E14EC2">
        <w:rPr>
          <w:rFonts w:ascii="Times" w:hAnsi="Times" w:cs="Times"/>
          <w:bCs/>
          <w:lang w:val="en-US"/>
        </w:rPr>
        <w:t xml:space="preserve">Convention on Stolen or Illegally Exported Cultural </w:t>
      </w:r>
      <w:r w:rsidR="00115FA2" w:rsidRPr="00E14EC2">
        <w:rPr>
          <w:rFonts w:ascii="Times" w:hAnsi="Times" w:cs="Times"/>
          <w:bCs/>
          <w:lang w:val="en-US"/>
        </w:rPr>
        <w:lastRenderedPageBreak/>
        <w:t>Objects.</w:t>
      </w:r>
      <w:r w:rsidR="00115FA2" w:rsidRPr="00014F2A">
        <w:rPr>
          <w:rStyle w:val="EndnoteReference"/>
          <w:rFonts w:ascii="Times" w:hAnsi="Times" w:cs="Times"/>
          <w:lang w:val="en-US"/>
        </w:rPr>
        <w:endnoteReference w:id="43"/>
      </w:r>
      <w:r w:rsidR="00115FA2" w:rsidRPr="00014F2A">
        <w:rPr>
          <w:rFonts w:ascii="Times" w:hAnsi="Times" w:cs="Times"/>
          <w:lang w:val="en-US"/>
        </w:rPr>
        <w:t xml:space="preserve"> In addition, the latest version of the WHC </w:t>
      </w:r>
      <w:r w:rsidR="00C563DF" w:rsidRPr="00E14EC2">
        <w:rPr>
          <w:rFonts w:ascii="Times" w:hAnsi="Times" w:cs="Times"/>
          <w:lang w:val="en-US"/>
        </w:rPr>
        <w:t>o</w:t>
      </w:r>
      <w:r w:rsidR="00115FA2" w:rsidRPr="00E14EC2">
        <w:rPr>
          <w:rFonts w:ascii="Times" w:hAnsi="Times" w:cs="Times"/>
          <w:lang w:val="en-US"/>
        </w:rPr>
        <w:t xml:space="preserve">perational </w:t>
      </w:r>
      <w:r w:rsidR="00C563DF" w:rsidRPr="00E14EC2">
        <w:rPr>
          <w:rFonts w:ascii="Times" w:hAnsi="Times" w:cs="Times"/>
          <w:lang w:val="en-US"/>
        </w:rPr>
        <w:t>g</w:t>
      </w:r>
      <w:r w:rsidR="00115FA2" w:rsidRPr="00E14EC2">
        <w:rPr>
          <w:rFonts w:ascii="Times" w:hAnsi="Times" w:cs="Times"/>
          <w:lang w:val="en-US"/>
        </w:rPr>
        <w:t xml:space="preserve">uidelines proclaim for the first time that </w:t>
      </w:r>
      <w:r w:rsidR="00221A0F" w:rsidRPr="00E14EC2">
        <w:rPr>
          <w:rFonts w:ascii="Times" w:hAnsi="Times" w:cs="Times"/>
          <w:lang w:val="en-US"/>
        </w:rPr>
        <w:t>state</w:t>
      </w:r>
      <w:r w:rsidR="00115FA2" w:rsidRPr="00E14EC2">
        <w:rPr>
          <w:rFonts w:ascii="Times" w:hAnsi="Times" w:cs="Times"/>
          <w:lang w:val="en-US"/>
        </w:rPr>
        <w:t xml:space="preserve"> </w:t>
      </w:r>
      <w:r w:rsidR="00221A0F" w:rsidRPr="00E14EC2">
        <w:rPr>
          <w:rFonts w:ascii="Times" w:hAnsi="Times" w:cs="Times"/>
          <w:lang w:val="en-US"/>
        </w:rPr>
        <w:t>p</w:t>
      </w:r>
      <w:r w:rsidR="00115FA2" w:rsidRPr="00E14EC2">
        <w:rPr>
          <w:rFonts w:ascii="Times" w:hAnsi="Times" w:cs="Times"/>
          <w:lang w:val="en-US"/>
        </w:rPr>
        <w:t xml:space="preserve">arties </w:t>
      </w:r>
      <w:r w:rsidR="000F08A0" w:rsidRPr="00E14EC2">
        <w:rPr>
          <w:rFonts w:ascii="Times" w:hAnsi="Times" w:cs="Times"/>
          <w:lang w:val="en-US"/>
        </w:rPr>
        <w:t>“</w:t>
      </w:r>
      <w:r w:rsidR="00115FA2" w:rsidRPr="00E14EC2">
        <w:rPr>
          <w:rFonts w:ascii="Times" w:hAnsi="Times" w:cs="Times"/>
          <w:lang w:val="en-US"/>
        </w:rPr>
        <w:t>are encouraged to adopt a human-rights based approach, and ensure gender-balanced participation of a wide variety of stakeholders and rights-holders, including … local communities, indigenous peoples … and other interested parties and partners in the identification, nomination, management and protection processes of World Heritage properties</w:t>
      </w:r>
      <w:r w:rsidR="00E50096" w:rsidRPr="00E14EC2">
        <w:rPr>
          <w:rFonts w:ascii="Times" w:hAnsi="Times" w:cs="Times"/>
          <w:lang w:val="en-US"/>
        </w:rPr>
        <w:t>.”</w:t>
      </w:r>
      <w:r w:rsidR="00115FA2" w:rsidRPr="00014F2A">
        <w:rPr>
          <w:rStyle w:val="EndnoteReference"/>
          <w:rFonts w:ascii="Times" w:hAnsi="Times" w:cs="Times"/>
          <w:lang w:val="en-US"/>
        </w:rPr>
        <w:endnoteReference w:id="44"/>
      </w:r>
      <w:r w:rsidR="00115FA2" w:rsidRPr="00014F2A">
        <w:rPr>
          <w:rFonts w:ascii="Times" w:hAnsi="Times" w:cs="Times"/>
          <w:lang w:val="en-US"/>
        </w:rPr>
        <w:t xml:space="preserve"> Similarly, </w:t>
      </w:r>
      <w:r w:rsidR="000F08A0" w:rsidRPr="00E14EC2">
        <w:rPr>
          <w:rFonts w:ascii="Times" w:hAnsi="Times" w:cs="Times"/>
          <w:lang w:val="en-US"/>
        </w:rPr>
        <w:t xml:space="preserve">the latest version of the </w:t>
      </w:r>
      <w:r w:rsidR="00C563DF" w:rsidRPr="00E14EC2">
        <w:rPr>
          <w:rFonts w:ascii="Times" w:hAnsi="Times" w:cs="Times"/>
          <w:lang w:val="en-US"/>
        </w:rPr>
        <w:t>o</w:t>
      </w:r>
      <w:r w:rsidR="00115FA2" w:rsidRPr="00E14EC2">
        <w:rPr>
          <w:rFonts w:ascii="Times" w:hAnsi="Times" w:cs="Times"/>
          <w:lang w:val="en-US"/>
        </w:rPr>
        <w:t xml:space="preserve">perational </w:t>
      </w:r>
      <w:r w:rsidR="00C563DF" w:rsidRPr="00E14EC2">
        <w:rPr>
          <w:rFonts w:ascii="Times" w:hAnsi="Times" w:cs="Times"/>
          <w:lang w:val="en-US"/>
        </w:rPr>
        <w:t>g</w:t>
      </w:r>
      <w:r w:rsidR="00115FA2" w:rsidRPr="00E14EC2">
        <w:rPr>
          <w:rFonts w:ascii="Times" w:hAnsi="Times" w:cs="Times"/>
          <w:lang w:val="en-US"/>
        </w:rPr>
        <w:t xml:space="preserve">uidelines for the implementation of the </w:t>
      </w:r>
      <w:r w:rsidR="00803DD9" w:rsidRPr="00E14EC2">
        <w:rPr>
          <w:rFonts w:ascii="Times" w:hAnsi="Times" w:cs="Times"/>
          <w:lang w:val="en-US"/>
        </w:rPr>
        <w:t xml:space="preserve">1970 </w:t>
      </w:r>
      <w:r w:rsidR="00043833" w:rsidRPr="00E14EC2">
        <w:rPr>
          <w:rFonts w:ascii="Times" w:hAnsi="Times" w:cs="Times"/>
          <w:lang w:val="en-US"/>
        </w:rPr>
        <w:t xml:space="preserve">UNESCO </w:t>
      </w:r>
      <w:r w:rsidR="00115FA2" w:rsidRPr="00E14EC2">
        <w:rPr>
          <w:rStyle w:val="title1"/>
          <w:rFonts w:ascii="Times" w:hAnsi="Times" w:cs="Times"/>
          <w:b w:val="0"/>
          <w:bCs w:val="0"/>
          <w:iCs/>
          <w:sz w:val="24"/>
          <w:szCs w:val="24"/>
          <w:lang w:val="en-US"/>
        </w:rPr>
        <w:t>Convention on the Means of Prohibiting and Preventing the Illicit Import, Export and Transfer of Ownership of Cultural Property</w:t>
      </w:r>
      <w:r w:rsidR="00115FA2" w:rsidRPr="00E14EC2">
        <w:rPr>
          <w:rFonts w:ascii="Times" w:hAnsi="Times" w:cs="Times"/>
          <w:iCs/>
          <w:lang w:val="en-US"/>
        </w:rPr>
        <w:t xml:space="preserve"> </w:t>
      </w:r>
      <w:r w:rsidR="00115FA2" w:rsidRPr="00E14EC2">
        <w:rPr>
          <w:rFonts w:ascii="Times" w:hAnsi="Times" w:cs="Times"/>
          <w:lang w:val="en-US"/>
        </w:rPr>
        <w:t xml:space="preserve">affirm that the </w:t>
      </w:r>
      <w:r w:rsidR="000F08A0" w:rsidRPr="00E14EC2">
        <w:rPr>
          <w:rFonts w:ascii="Times" w:hAnsi="Times" w:cs="Times"/>
          <w:lang w:val="en-US"/>
        </w:rPr>
        <w:t>“</w:t>
      </w:r>
      <w:r w:rsidR="00115FA2" w:rsidRPr="00E14EC2">
        <w:rPr>
          <w:rFonts w:ascii="Times" w:hAnsi="Times" w:cs="Times"/>
          <w:lang w:val="en-US"/>
        </w:rPr>
        <w:t>loss, through theft, damage, clandestine excavations, illicit transfer or trade, of its invaluable and exceptional contents constitutes an impoverishment of the cultural heritage of all nations and peoples of the world and infringes upon the fundamental human rights to culture and development</w:t>
      </w:r>
      <w:r w:rsidR="00E50096" w:rsidRPr="00E14EC2">
        <w:rPr>
          <w:rFonts w:ascii="Times" w:hAnsi="Times" w:cs="Times"/>
          <w:lang w:val="en-US"/>
        </w:rPr>
        <w:t>.”</w:t>
      </w:r>
      <w:r w:rsidR="00115FA2" w:rsidRPr="00014F2A">
        <w:rPr>
          <w:rStyle w:val="EndnoteReference"/>
          <w:rFonts w:ascii="Times" w:hAnsi="Times" w:cs="Times"/>
          <w:lang w:val="en-US"/>
        </w:rPr>
        <w:endnoteReference w:id="45"/>
      </w:r>
      <w:r w:rsidR="00115FA2" w:rsidRPr="00014F2A">
        <w:rPr>
          <w:rFonts w:ascii="Times" w:hAnsi="Times" w:cs="Times"/>
          <w:lang w:val="en-US"/>
        </w:rPr>
        <w:t xml:space="preserve"> </w:t>
      </w:r>
      <w:r w:rsidR="00AF210E" w:rsidRPr="00E14EC2">
        <w:rPr>
          <w:rFonts w:ascii="Times" w:hAnsi="Times" w:cs="Times"/>
          <w:lang w:val="en-US"/>
        </w:rPr>
        <w:t>T</w:t>
      </w:r>
      <w:r w:rsidR="00115FA2" w:rsidRPr="00E14EC2">
        <w:rPr>
          <w:rFonts w:ascii="Times" w:hAnsi="Times" w:cs="Times"/>
          <w:lang w:val="en-US"/>
        </w:rPr>
        <w:t>he symbiosis between cult</w:t>
      </w:r>
      <w:r w:rsidR="007F1088" w:rsidRPr="00E14EC2">
        <w:rPr>
          <w:rFonts w:ascii="Times" w:hAnsi="Times" w:cs="Times"/>
          <w:lang w:val="en-US"/>
        </w:rPr>
        <w:t xml:space="preserve">ural heritage and human rights </w:t>
      </w:r>
      <w:r w:rsidR="00115FA2" w:rsidRPr="00E14EC2">
        <w:rPr>
          <w:rFonts w:ascii="Times" w:hAnsi="Times" w:cs="Times"/>
          <w:lang w:val="en-US"/>
        </w:rPr>
        <w:t>is emphasized in order to reiterate the detrimental effects of the illicit trafficking in cultural property (theft, clandestine excavation, illicit export), and to facilitate the restitution of cultural objects.</w:t>
      </w:r>
      <w:r w:rsidR="00115FA2" w:rsidRPr="00014F2A">
        <w:rPr>
          <w:rStyle w:val="EndnoteReference"/>
          <w:rFonts w:ascii="Times" w:hAnsi="Times" w:cs="Times"/>
          <w:lang w:val="en-US"/>
        </w:rPr>
        <w:endnoteReference w:id="46"/>
      </w:r>
      <w:r w:rsidR="00115FA2" w:rsidRPr="00014F2A">
        <w:rPr>
          <w:rFonts w:ascii="Times" w:hAnsi="Times" w:cs="Times"/>
          <w:lang w:val="en-US"/>
        </w:rPr>
        <w:t xml:space="preserve"> </w:t>
      </w:r>
    </w:p>
    <w:p w14:paraId="37892127" w14:textId="04ED4E2F" w:rsidR="00355FDF" w:rsidRPr="00E14EC2" w:rsidRDefault="000C5689" w:rsidP="003373DF">
      <w:pPr>
        <w:spacing w:line="480" w:lineRule="auto"/>
        <w:rPr>
          <w:rFonts w:ascii="Times" w:hAnsi="Times" w:cs="Times"/>
          <w:lang w:val="en-US"/>
        </w:rPr>
      </w:pPr>
      <w:r w:rsidRPr="00E14EC2">
        <w:rPr>
          <w:rFonts w:ascii="Times" w:hAnsi="Times" w:cs="Times"/>
          <w:lang w:val="en-US"/>
        </w:rPr>
        <w:tab/>
      </w:r>
      <w:r w:rsidR="00355FDF" w:rsidRPr="00E14EC2">
        <w:rPr>
          <w:rFonts w:ascii="Times" w:hAnsi="Times" w:cs="Times"/>
          <w:lang w:val="en-US"/>
        </w:rPr>
        <w:t>Furthermore</w:t>
      </w:r>
      <w:r w:rsidR="00CE20DC" w:rsidRPr="00E14EC2">
        <w:rPr>
          <w:rFonts w:ascii="Times" w:hAnsi="Times" w:cs="Times"/>
          <w:lang w:val="en-US"/>
        </w:rPr>
        <w:t xml:space="preserve">, </w:t>
      </w:r>
      <w:r w:rsidR="0055040B" w:rsidRPr="00E14EC2">
        <w:rPr>
          <w:rFonts w:ascii="Times" w:hAnsi="Times" w:cs="Times"/>
          <w:lang w:val="en-US"/>
        </w:rPr>
        <w:t xml:space="preserve">the above overview also demonstrates that </w:t>
      </w:r>
      <w:r w:rsidR="00E412D8" w:rsidRPr="00E14EC2">
        <w:rPr>
          <w:rFonts w:ascii="Times" w:hAnsi="Times" w:cs="Times"/>
          <w:lang w:val="en-US"/>
        </w:rPr>
        <w:t xml:space="preserve">cultural </w:t>
      </w:r>
      <w:r w:rsidR="00F26CBC" w:rsidRPr="00E14EC2">
        <w:rPr>
          <w:rFonts w:ascii="Times" w:hAnsi="Times" w:cs="Times"/>
          <w:lang w:val="en-US"/>
        </w:rPr>
        <w:t xml:space="preserve">rights </w:t>
      </w:r>
      <w:r w:rsidR="00713109" w:rsidRPr="00E14EC2">
        <w:rPr>
          <w:rFonts w:ascii="Times" w:hAnsi="Times" w:cs="Times"/>
          <w:lang w:val="en-US"/>
        </w:rPr>
        <w:t>are now recognized as forming part of the catalogue of human rights. This is due to the exponential expansion of the understanding of culture and cultural heritage, on the one hand, and to deeper interpretations of human rights norms, on the other.</w:t>
      </w:r>
      <w:r w:rsidR="00713109" w:rsidRPr="00014F2A">
        <w:rPr>
          <w:rStyle w:val="EndnoteReference"/>
          <w:rFonts w:ascii="Times" w:hAnsi="Times" w:cs="Times"/>
          <w:lang w:val="en-US"/>
        </w:rPr>
        <w:endnoteReference w:id="47"/>
      </w:r>
      <w:r w:rsidR="00713109" w:rsidRPr="00014F2A">
        <w:rPr>
          <w:rFonts w:ascii="Times" w:hAnsi="Times" w:cs="Times"/>
          <w:lang w:val="en-US"/>
        </w:rPr>
        <w:t xml:space="preserve"> </w:t>
      </w:r>
    </w:p>
    <w:p w14:paraId="22C99CF4" w14:textId="3D2A97D3" w:rsidR="00AF5E6F" w:rsidRPr="00E14EC2" w:rsidRDefault="000C5689" w:rsidP="003373DF">
      <w:pPr>
        <w:spacing w:line="480" w:lineRule="auto"/>
        <w:rPr>
          <w:lang w:val="en-US"/>
        </w:rPr>
      </w:pPr>
      <w:r w:rsidRPr="00E14EC2">
        <w:rPr>
          <w:lang w:val="en-US"/>
        </w:rPr>
        <w:tab/>
      </w:r>
      <w:r w:rsidR="00713109" w:rsidRPr="00E14EC2">
        <w:rPr>
          <w:lang w:val="en-US"/>
        </w:rPr>
        <w:t xml:space="preserve">However, </w:t>
      </w:r>
      <w:r w:rsidR="00C0147A">
        <w:rPr>
          <w:lang w:val="en-US"/>
        </w:rPr>
        <w:t>while</w:t>
      </w:r>
      <w:r w:rsidR="00C0147A" w:rsidRPr="00E14EC2">
        <w:rPr>
          <w:lang w:val="en-US"/>
        </w:rPr>
        <w:t xml:space="preserve"> </w:t>
      </w:r>
      <w:r w:rsidR="00713109" w:rsidRPr="00E14EC2">
        <w:rPr>
          <w:lang w:val="en-US"/>
        </w:rPr>
        <w:t>the link between human rights and cultural heritage is generally recognized today, respect, protection</w:t>
      </w:r>
      <w:r w:rsidR="00374F12" w:rsidRPr="00E14EC2">
        <w:rPr>
          <w:lang w:val="en-US"/>
        </w:rPr>
        <w:t>,</w:t>
      </w:r>
      <w:r w:rsidR="00713109" w:rsidRPr="00E14EC2">
        <w:rPr>
          <w:lang w:val="en-US"/>
        </w:rPr>
        <w:t xml:space="preserve"> and </w:t>
      </w:r>
      <w:r w:rsidR="006C3F6E">
        <w:rPr>
          <w:lang w:val="en-US"/>
        </w:rPr>
        <w:t xml:space="preserve">the </w:t>
      </w:r>
      <w:r w:rsidR="00713109" w:rsidRPr="00E14EC2">
        <w:rPr>
          <w:lang w:val="en-US"/>
        </w:rPr>
        <w:t xml:space="preserve">fulfillment of cultural rights are </w:t>
      </w:r>
      <w:r w:rsidR="00C27E82">
        <w:rPr>
          <w:lang w:val="en-US"/>
        </w:rPr>
        <w:t xml:space="preserve">not yet sufficiently </w:t>
      </w:r>
      <w:r w:rsidR="00713109" w:rsidRPr="00E14EC2">
        <w:rPr>
          <w:lang w:val="en-US"/>
        </w:rPr>
        <w:t>achieved. The main reason</w:t>
      </w:r>
      <w:r w:rsidR="00C27E82">
        <w:rPr>
          <w:lang w:val="en-US"/>
        </w:rPr>
        <w:t xml:space="preserve"> for this</w:t>
      </w:r>
      <w:r w:rsidR="00713109" w:rsidRPr="00E14EC2">
        <w:rPr>
          <w:lang w:val="en-US"/>
        </w:rPr>
        <w:t xml:space="preserve"> is that </w:t>
      </w:r>
      <w:r w:rsidR="00250137" w:rsidRPr="00E14EC2">
        <w:rPr>
          <w:lang w:val="en-US"/>
        </w:rPr>
        <w:t xml:space="preserve">human rights and cultural heritage </w:t>
      </w:r>
      <w:r w:rsidR="00AF5E6F" w:rsidRPr="00E14EC2">
        <w:rPr>
          <w:lang w:val="en-US"/>
        </w:rPr>
        <w:t>instruments</w:t>
      </w:r>
      <w:r w:rsidR="00250137" w:rsidRPr="00E14EC2">
        <w:rPr>
          <w:lang w:val="en-US"/>
        </w:rPr>
        <w:t xml:space="preserve"> preserve </w:t>
      </w:r>
      <w:r w:rsidR="00221A0F" w:rsidRPr="00E14EC2">
        <w:rPr>
          <w:lang w:val="en-US"/>
        </w:rPr>
        <w:t>state</w:t>
      </w:r>
      <w:r w:rsidR="00713109" w:rsidRPr="00E14EC2">
        <w:rPr>
          <w:lang w:val="en-US"/>
        </w:rPr>
        <w:t>s</w:t>
      </w:r>
      <w:r w:rsidR="00355FDF" w:rsidRPr="00E14EC2">
        <w:rPr>
          <w:lang w:val="en-US"/>
        </w:rPr>
        <w:t>’</w:t>
      </w:r>
      <w:r w:rsidR="00713109" w:rsidRPr="00E14EC2">
        <w:rPr>
          <w:lang w:val="en-US"/>
        </w:rPr>
        <w:t xml:space="preserve"> </w:t>
      </w:r>
      <w:r w:rsidR="00355FDF" w:rsidRPr="00E14EC2">
        <w:rPr>
          <w:lang w:val="en-US"/>
        </w:rPr>
        <w:t>sovereign powers</w:t>
      </w:r>
      <w:r w:rsidR="00713109" w:rsidRPr="00E14EC2">
        <w:rPr>
          <w:lang w:val="en-US"/>
        </w:rPr>
        <w:t xml:space="preserve">. </w:t>
      </w:r>
      <w:r w:rsidR="005F036D" w:rsidRPr="00E14EC2">
        <w:rPr>
          <w:lang w:val="en-US"/>
        </w:rPr>
        <w:t xml:space="preserve">In particular, the UNESCO treaties remain classical international treaties in the sense that they mainly have a horizontal character as agreements </w:t>
      </w:r>
      <w:r w:rsidR="005F036D" w:rsidRPr="00E14EC2">
        <w:rPr>
          <w:lang w:val="en-US"/>
        </w:rPr>
        <w:lastRenderedPageBreak/>
        <w:t xml:space="preserve">between </w:t>
      </w:r>
      <w:r w:rsidR="00221A0F" w:rsidRPr="00E14EC2">
        <w:rPr>
          <w:lang w:val="en-US"/>
        </w:rPr>
        <w:t>state</w:t>
      </w:r>
      <w:r w:rsidR="005F036D" w:rsidRPr="00E14EC2">
        <w:rPr>
          <w:lang w:val="en-US"/>
        </w:rPr>
        <w:t>s creating mutual rights and obligations.</w:t>
      </w:r>
      <w:r w:rsidR="006064F7" w:rsidRPr="00014F2A">
        <w:rPr>
          <w:rStyle w:val="EndnoteReference"/>
          <w:lang w:val="en-US"/>
        </w:rPr>
        <w:endnoteReference w:id="48"/>
      </w:r>
      <w:r w:rsidR="005F036D" w:rsidRPr="00014F2A">
        <w:rPr>
          <w:lang w:val="en-US"/>
        </w:rPr>
        <w:t xml:space="preserve"> As such they do not provide for</w:t>
      </w:r>
      <w:r w:rsidR="001C5CE0" w:rsidRPr="00E14EC2">
        <w:rPr>
          <w:lang w:val="en-US"/>
        </w:rPr>
        <w:t xml:space="preserve"> clear</w:t>
      </w:r>
      <w:r w:rsidR="005F036D" w:rsidRPr="00E14EC2">
        <w:rPr>
          <w:lang w:val="en-US"/>
        </w:rPr>
        <w:t xml:space="preserve"> substantive rights </w:t>
      </w:r>
      <w:r w:rsidR="001958C9" w:rsidRPr="00E14EC2">
        <w:rPr>
          <w:lang w:val="en-US"/>
        </w:rPr>
        <w:t xml:space="preserve">to cultural heritage </w:t>
      </w:r>
      <w:r w:rsidR="005F036D" w:rsidRPr="00E14EC2">
        <w:rPr>
          <w:lang w:val="en-US"/>
        </w:rPr>
        <w:t>for individuals and communities.</w:t>
      </w:r>
      <w:r w:rsidR="005F036D" w:rsidRPr="00014F2A">
        <w:rPr>
          <w:rStyle w:val="EndnoteReference"/>
          <w:lang w:val="en-US"/>
        </w:rPr>
        <w:endnoteReference w:id="49"/>
      </w:r>
      <w:r w:rsidR="005F036D" w:rsidRPr="00014F2A">
        <w:rPr>
          <w:lang w:val="en-US"/>
        </w:rPr>
        <w:t xml:space="preserve"> </w:t>
      </w:r>
      <w:r w:rsidR="00250137" w:rsidRPr="00E14EC2">
        <w:rPr>
          <w:lang w:val="en-US"/>
        </w:rPr>
        <w:t xml:space="preserve">As a result, </w:t>
      </w:r>
      <w:r w:rsidR="00221A0F" w:rsidRPr="00E14EC2">
        <w:rPr>
          <w:lang w:val="en-US"/>
        </w:rPr>
        <w:t>state</w:t>
      </w:r>
      <w:r w:rsidR="00713109" w:rsidRPr="00E14EC2">
        <w:rPr>
          <w:lang w:val="en-US"/>
        </w:rPr>
        <w:t xml:space="preserve">s retain </w:t>
      </w:r>
      <w:r w:rsidR="00250137" w:rsidRPr="00E14EC2">
        <w:rPr>
          <w:lang w:val="en-US"/>
        </w:rPr>
        <w:t>a wide margin of discretion with respect to the</w:t>
      </w:r>
      <w:r w:rsidR="00713109" w:rsidRPr="00E14EC2">
        <w:rPr>
          <w:lang w:val="en-US"/>
        </w:rPr>
        <w:t xml:space="preserve"> </w:t>
      </w:r>
      <w:r w:rsidR="00504C1F" w:rsidRPr="00E14EC2">
        <w:rPr>
          <w:lang w:val="en-US"/>
        </w:rPr>
        <w:t xml:space="preserve">fulfillment of the obligations set out in existing treaties regarding the </w:t>
      </w:r>
      <w:r w:rsidR="00713109" w:rsidRPr="00E14EC2">
        <w:rPr>
          <w:lang w:val="en-US"/>
        </w:rPr>
        <w:t>select</w:t>
      </w:r>
      <w:r w:rsidR="00250137" w:rsidRPr="00E14EC2">
        <w:rPr>
          <w:lang w:val="en-US"/>
        </w:rPr>
        <w:t xml:space="preserve">ion, </w:t>
      </w:r>
      <w:r w:rsidR="00713109" w:rsidRPr="00E14EC2">
        <w:rPr>
          <w:lang w:val="en-US"/>
        </w:rPr>
        <w:t>recogni</w:t>
      </w:r>
      <w:r w:rsidR="00250137" w:rsidRPr="00E14EC2">
        <w:rPr>
          <w:lang w:val="en-US"/>
        </w:rPr>
        <w:t>tion</w:t>
      </w:r>
      <w:r w:rsidR="00F64FA8" w:rsidRPr="00E14EC2">
        <w:rPr>
          <w:lang w:val="en-US"/>
        </w:rPr>
        <w:t>,</w:t>
      </w:r>
      <w:r w:rsidR="00713109" w:rsidRPr="00E14EC2">
        <w:rPr>
          <w:lang w:val="en-US"/>
        </w:rPr>
        <w:t xml:space="preserve"> and protect</w:t>
      </w:r>
      <w:r w:rsidR="00250137" w:rsidRPr="00E14EC2">
        <w:rPr>
          <w:lang w:val="en-US"/>
        </w:rPr>
        <w:t>ion</w:t>
      </w:r>
      <w:r w:rsidR="00713109" w:rsidRPr="00E14EC2">
        <w:rPr>
          <w:lang w:val="en-US"/>
        </w:rPr>
        <w:t xml:space="preserve"> </w:t>
      </w:r>
      <w:r w:rsidR="00250137" w:rsidRPr="00E14EC2">
        <w:rPr>
          <w:lang w:val="en-US"/>
        </w:rPr>
        <w:t xml:space="preserve">of </w:t>
      </w:r>
      <w:r w:rsidR="001958C9" w:rsidRPr="00E14EC2">
        <w:rPr>
          <w:lang w:val="en-US"/>
        </w:rPr>
        <w:t>the cultural heritage and</w:t>
      </w:r>
      <w:r w:rsidR="00250137" w:rsidRPr="00E14EC2">
        <w:rPr>
          <w:lang w:val="en-US"/>
        </w:rPr>
        <w:t xml:space="preserve"> cultural rights of communities </w:t>
      </w:r>
      <w:r w:rsidR="00713109" w:rsidRPr="00E14EC2">
        <w:rPr>
          <w:lang w:val="en-US"/>
        </w:rPr>
        <w:t>and individuals.</w:t>
      </w:r>
      <w:r w:rsidR="00CB563D" w:rsidRPr="00E14EC2">
        <w:rPr>
          <w:lang w:val="en-US"/>
        </w:rPr>
        <w:t xml:space="preserve"> </w:t>
      </w:r>
    </w:p>
    <w:p w14:paraId="2B96F091" w14:textId="12728C43" w:rsidR="0015589C" w:rsidRPr="00E14EC2" w:rsidRDefault="000C5689" w:rsidP="003373DF">
      <w:pPr>
        <w:spacing w:line="480" w:lineRule="auto"/>
        <w:rPr>
          <w:rFonts w:ascii="Times" w:hAnsi="Times" w:cs="Times"/>
          <w:lang w:val="en-US"/>
        </w:rPr>
      </w:pPr>
      <w:r w:rsidRPr="00E14EC2">
        <w:rPr>
          <w:lang w:val="en-US"/>
        </w:rPr>
        <w:tab/>
      </w:r>
      <w:r w:rsidR="001958C9" w:rsidRPr="00E14EC2">
        <w:rPr>
          <w:lang w:val="en-US"/>
        </w:rPr>
        <w:t xml:space="preserve">To </w:t>
      </w:r>
      <w:r w:rsidR="00645AB4" w:rsidRPr="00E14EC2">
        <w:rPr>
          <w:lang w:val="en-US"/>
        </w:rPr>
        <w:t xml:space="preserve">this </w:t>
      </w:r>
      <w:r w:rsidR="001958C9" w:rsidRPr="00E14EC2">
        <w:rPr>
          <w:lang w:val="en-US"/>
        </w:rPr>
        <w:t xml:space="preserve">must also be added that many </w:t>
      </w:r>
      <w:r w:rsidR="009C3256" w:rsidRPr="00E14EC2">
        <w:rPr>
          <w:lang w:val="en-US"/>
        </w:rPr>
        <w:t xml:space="preserve">ICESCR </w:t>
      </w:r>
      <w:r w:rsidR="00221A0F" w:rsidRPr="00E14EC2">
        <w:rPr>
          <w:lang w:val="en-US"/>
        </w:rPr>
        <w:t>c</w:t>
      </w:r>
      <w:r w:rsidR="009C3256" w:rsidRPr="00E14EC2">
        <w:rPr>
          <w:lang w:val="en-US"/>
        </w:rPr>
        <w:t xml:space="preserve">ontracting </w:t>
      </w:r>
      <w:r w:rsidR="00221A0F" w:rsidRPr="00E14EC2">
        <w:rPr>
          <w:lang w:val="en-US"/>
        </w:rPr>
        <w:t>state</w:t>
      </w:r>
      <w:r w:rsidR="009C3256" w:rsidRPr="00E14EC2">
        <w:rPr>
          <w:lang w:val="en-US"/>
        </w:rPr>
        <w:t>s not only fail to adopt adequate measures to remove the obstacles inhibiting or limiting access to</w:t>
      </w:r>
      <w:r w:rsidR="00854C01" w:rsidRPr="00E14EC2">
        <w:rPr>
          <w:lang w:val="en-US"/>
        </w:rPr>
        <w:t xml:space="preserve"> a community’s </w:t>
      </w:r>
      <w:r w:rsidR="009C3256" w:rsidRPr="00E14EC2">
        <w:rPr>
          <w:lang w:val="en-US"/>
        </w:rPr>
        <w:t>own and other cultures, but also to preserve and protect the tangible cultural heritage situated on their territory.</w:t>
      </w:r>
      <w:r w:rsidR="009C3256" w:rsidRPr="00014F2A">
        <w:rPr>
          <w:rStyle w:val="EndnoteReference"/>
          <w:lang w:val="en-US"/>
        </w:rPr>
        <w:endnoteReference w:id="50"/>
      </w:r>
      <w:r w:rsidR="009C3256" w:rsidRPr="00014F2A">
        <w:rPr>
          <w:lang w:val="en-US"/>
        </w:rPr>
        <w:t xml:space="preserve"> </w:t>
      </w:r>
      <w:r w:rsidR="00CB563D" w:rsidRPr="00E14EC2">
        <w:rPr>
          <w:lang w:val="en-US"/>
        </w:rPr>
        <w:t xml:space="preserve">In addition, </w:t>
      </w:r>
      <w:r w:rsidR="00DB2AC5" w:rsidRPr="00E14EC2">
        <w:rPr>
          <w:lang w:val="en-US"/>
        </w:rPr>
        <w:t xml:space="preserve">the rights of </w:t>
      </w:r>
      <w:r w:rsidR="00DB2AC5" w:rsidRPr="00E14EC2">
        <w:rPr>
          <w:rFonts w:ascii="Times" w:hAnsi="Times" w:cs="Times"/>
          <w:lang w:val="en-US"/>
        </w:rPr>
        <w:t xml:space="preserve">indigenous peoples </w:t>
      </w:r>
      <w:r w:rsidR="00CB563D" w:rsidRPr="00E14EC2">
        <w:rPr>
          <w:rFonts w:ascii="Times" w:hAnsi="Times" w:cs="Times"/>
          <w:lang w:val="en-US"/>
        </w:rPr>
        <w:t xml:space="preserve">set out in </w:t>
      </w:r>
      <w:r w:rsidR="00CB563D" w:rsidRPr="00E14EC2">
        <w:rPr>
          <w:lang w:val="en-US"/>
        </w:rPr>
        <w:t>the UNDRIP</w:t>
      </w:r>
      <w:r w:rsidR="00CB563D" w:rsidRPr="00E14EC2">
        <w:rPr>
          <w:rFonts w:ascii="Times" w:hAnsi="Times" w:cs="Times"/>
          <w:lang w:val="en-US"/>
        </w:rPr>
        <w:t xml:space="preserve"> </w:t>
      </w:r>
      <w:r w:rsidR="00DB2AC5" w:rsidRPr="00E14EC2">
        <w:rPr>
          <w:rFonts w:ascii="Times" w:hAnsi="Times" w:cs="Times"/>
          <w:lang w:val="en-US"/>
        </w:rPr>
        <w:t xml:space="preserve">are </w:t>
      </w:r>
      <w:r w:rsidR="00AF210E" w:rsidRPr="00E14EC2">
        <w:rPr>
          <w:rFonts w:ascii="Times" w:hAnsi="Times" w:cs="Times"/>
          <w:lang w:val="en-US"/>
        </w:rPr>
        <w:t xml:space="preserve">often </w:t>
      </w:r>
      <w:r w:rsidR="00DB2AC5" w:rsidRPr="00E14EC2">
        <w:rPr>
          <w:rFonts w:ascii="Times" w:hAnsi="Times" w:cs="Times"/>
          <w:lang w:val="en-US"/>
        </w:rPr>
        <w:t xml:space="preserve">curtailed by </w:t>
      </w:r>
      <w:r w:rsidR="00221A0F" w:rsidRPr="00E14EC2">
        <w:rPr>
          <w:rFonts w:ascii="Times" w:hAnsi="Times" w:cs="Times"/>
          <w:lang w:val="en-US"/>
        </w:rPr>
        <w:t>state</w:t>
      </w:r>
      <w:r w:rsidR="00DB2AC5" w:rsidRPr="00E14EC2">
        <w:rPr>
          <w:rFonts w:ascii="Times" w:hAnsi="Times" w:cs="Times"/>
          <w:lang w:val="en-US"/>
        </w:rPr>
        <w:t>s. For instance, regarding the “cultural, intellectual, religious and spiritual property taken without their free, prior and informed consent or in violation of their laws, traditions and customs</w:t>
      </w:r>
      <w:r w:rsidR="003D4DB1" w:rsidRPr="00E14EC2">
        <w:rPr>
          <w:rFonts w:ascii="Times" w:hAnsi="Times" w:cs="Times"/>
          <w:lang w:val="en-US"/>
        </w:rPr>
        <w:t>,”</w:t>
      </w:r>
      <w:r w:rsidR="00DB2AC5" w:rsidRPr="00E14EC2">
        <w:rPr>
          <w:rFonts w:ascii="Times" w:hAnsi="Times" w:cs="Times"/>
          <w:lang w:val="en-US"/>
        </w:rPr>
        <w:t xml:space="preserve"> Article 11</w:t>
      </w:r>
      <w:r w:rsidR="00EB5AE6" w:rsidRPr="00E14EC2">
        <w:rPr>
          <w:rFonts w:ascii="Times" w:hAnsi="Times" w:cs="Times"/>
          <w:lang w:val="en-US"/>
        </w:rPr>
        <w:t>.</w:t>
      </w:r>
      <w:r w:rsidR="00DB2AC5" w:rsidRPr="00E14EC2">
        <w:rPr>
          <w:rFonts w:ascii="Times" w:hAnsi="Times" w:cs="Times"/>
          <w:lang w:val="en-US"/>
        </w:rPr>
        <w:t>2 affirms that “States shall provide redress through effective mechanisms, which may include restitution, developed in conjunction with indigenous peoples</w:t>
      </w:r>
      <w:r w:rsidR="00E50096" w:rsidRPr="00E14EC2">
        <w:rPr>
          <w:rFonts w:ascii="Times" w:hAnsi="Times" w:cs="Times"/>
          <w:lang w:val="en-US"/>
        </w:rPr>
        <w:t>.”</w:t>
      </w:r>
      <w:r w:rsidR="00DB2AC5" w:rsidRPr="00E14EC2">
        <w:rPr>
          <w:rFonts w:ascii="Times" w:hAnsi="Times" w:cs="Times"/>
          <w:lang w:val="en-US"/>
        </w:rPr>
        <w:t xml:space="preserve"> Moreover, Article 12 provides that </w:t>
      </w:r>
      <w:r w:rsidR="00EF659B" w:rsidRPr="00E14EC2">
        <w:rPr>
          <w:rFonts w:ascii="Times" w:hAnsi="Times" w:cs="Times"/>
          <w:lang w:val="en-US"/>
        </w:rPr>
        <w:t>“</w:t>
      </w:r>
      <w:r w:rsidR="00DB2AC5" w:rsidRPr="00844046">
        <w:rPr>
          <w:rFonts w:ascii="Times" w:hAnsi="Times" w:cs="Times"/>
          <w:lang w:val="en-US"/>
        </w:rPr>
        <w:t xml:space="preserve">States shall seek to enable the access and/or repatriation of </w:t>
      </w:r>
      <w:r w:rsidR="00DB2AC5" w:rsidRPr="00E14EC2">
        <w:rPr>
          <w:rFonts w:ascii="Times" w:hAnsi="Times" w:cs="Times"/>
          <w:lang w:val="en-US"/>
        </w:rPr>
        <w:t>ceremonial objects and human remains in their possession through fair, transparent and effective mechanisms developed in conjunction wi</w:t>
      </w:r>
      <w:r w:rsidR="001958C9" w:rsidRPr="00E14EC2">
        <w:rPr>
          <w:rFonts w:ascii="Times" w:hAnsi="Times" w:cs="Times"/>
          <w:lang w:val="en-US"/>
        </w:rPr>
        <w:t>th indigenous peoples concerned</w:t>
      </w:r>
      <w:r w:rsidR="00E50096" w:rsidRPr="00E14EC2">
        <w:rPr>
          <w:rFonts w:ascii="Times" w:hAnsi="Times" w:cs="Times"/>
          <w:lang w:val="en-US"/>
        </w:rPr>
        <w:t>.”</w:t>
      </w:r>
      <w:r w:rsidR="00DB2AC5" w:rsidRPr="00E14EC2">
        <w:rPr>
          <w:rFonts w:ascii="Times" w:hAnsi="Times" w:cs="Times"/>
          <w:lang w:val="en-US"/>
        </w:rPr>
        <w:t xml:space="preserve"> </w:t>
      </w:r>
      <w:r w:rsidR="00F65CFA" w:rsidRPr="00E14EC2">
        <w:rPr>
          <w:rFonts w:ascii="Times" w:hAnsi="Times" w:cs="Times"/>
          <w:lang w:val="en-US"/>
        </w:rPr>
        <w:t xml:space="preserve">Regrettably, this means that the </w:t>
      </w:r>
      <w:r w:rsidR="00F65CFA" w:rsidRPr="00490CF3">
        <w:rPr>
          <w:rFonts w:ascii="Times" w:hAnsi="Times" w:cs="Times"/>
          <w:lang w:val="en-US"/>
        </w:rPr>
        <w:t xml:space="preserve">restitution of the objects important to indigenous peoples does not constitute an autonomous right but, rather, one of the outcomes of the negotiation between a </w:t>
      </w:r>
      <w:r w:rsidR="00221A0F" w:rsidRPr="00014F2A">
        <w:rPr>
          <w:rFonts w:ascii="Times" w:hAnsi="Times" w:cs="Times"/>
          <w:lang w:val="en-US"/>
        </w:rPr>
        <w:t>state</w:t>
      </w:r>
      <w:r w:rsidR="00F65CFA" w:rsidRPr="00490CF3">
        <w:rPr>
          <w:rFonts w:ascii="Times" w:hAnsi="Times" w:cs="Times"/>
          <w:lang w:val="en-US"/>
        </w:rPr>
        <w:t xml:space="preserve"> and the community concerned</w:t>
      </w:r>
      <w:r w:rsidR="00F65CFA" w:rsidRPr="00014F2A">
        <w:rPr>
          <w:rFonts w:ascii="Times" w:hAnsi="Times" w:cs="Times"/>
          <w:lang w:val="en-US"/>
        </w:rPr>
        <w:t>.</w:t>
      </w:r>
      <w:r w:rsidR="00CB563D" w:rsidRPr="00E14EC2">
        <w:rPr>
          <w:rFonts w:ascii="Times" w:hAnsi="Times" w:cs="Times"/>
          <w:lang w:val="en-US"/>
        </w:rPr>
        <w:t xml:space="preserve"> </w:t>
      </w:r>
    </w:p>
    <w:p w14:paraId="5897BFCB" w14:textId="19C2A2AD" w:rsidR="005F22DC" w:rsidRPr="00014F2A" w:rsidRDefault="000C5689" w:rsidP="003373DF">
      <w:pPr>
        <w:spacing w:line="480" w:lineRule="auto"/>
        <w:rPr>
          <w:lang w:val="en-US"/>
        </w:rPr>
      </w:pPr>
      <w:r w:rsidRPr="00E14EC2">
        <w:rPr>
          <w:lang w:val="en-US"/>
        </w:rPr>
        <w:tab/>
      </w:r>
      <w:r w:rsidR="00541121" w:rsidRPr="00E14EC2">
        <w:rPr>
          <w:lang w:val="en-US"/>
        </w:rPr>
        <w:t>Further</w:t>
      </w:r>
      <w:r w:rsidR="00504C1F" w:rsidRPr="00E14EC2">
        <w:rPr>
          <w:lang w:val="en-US"/>
        </w:rPr>
        <w:t xml:space="preserve">, </w:t>
      </w:r>
      <w:r w:rsidR="00713109" w:rsidRPr="00E14EC2">
        <w:rPr>
          <w:lang w:val="en-US"/>
        </w:rPr>
        <w:t xml:space="preserve">human rights enforcement procedures often prove </w:t>
      </w:r>
      <w:r w:rsidR="00504C1F" w:rsidRPr="00E14EC2">
        <w:rPr>
          <w:lang w:val="en-US"/>
        </w:rPr>
        <w:t>in</w:t>
      </w:r>
      <w:r w:rsidR="00713109" w:rsidRPr="00E14EC2">
        <w:rPr>
          <w:lang w:val="en-US"/>
        </w:rPr>
        <w:t>effective for individuals and communities.</w:t>
      </w:r>
      <w:r w:rsidR="00713109" w:rsidRPr="00014F2A">
        <w:rPr>
          <w:rStyle w:val="EndnoteReference"/>
          <w:lang w:val="en-US"/>
        </w:rPr>
        <w:endnoteReference w:id="51"/>
      </w:r>
      <w:r w:rsidR="00713109" w:rsidRPr="00014F2A">
        <w:rPr>
          <w:lang w:val="en-US"/>
        </w:rPr>
        <w:t xml:space="preserve"> </w:t>
      </w:r>
      <w:r w:rsidR="0030280E" w:rsidRPr="00E14EC2">
        <w:rPr>
          <w:rFonts w:eastAsiaTheme="majorEastAsia"/>
          <w:lang w:val="en-US"/>
        </w:rPr>
        <w:t>Whether international compliance mechanisms and remedies are available and whether they are directly accessible by individuals and groups will depend on the treaties (or the</w:t>
      </w:r>
      <w:r w:rsidR="008D1D47" w:rsidRPr="00E14EC2">
        <w:rPr>
          <w:rFonts w:eastAsiaTheme="majorEastAsia"/>
          <w:lang w:val="en-US"/>
        </w:rPr>
        <w:t>ir</w:t>
      </w:r>
      <w:r w:rsidR="0030280E" w:rsidRPr="00E14EC2">
        <w:rPr>
          <w:rFonts w:eastAsiaTheme="majorEastAsia"/>
          <w:lang w:val="en-US"/>
        </w:rPr>
        <w:t xml:space="preserve"> optional protocols) to which the </w:t>
      </w:r>
      <w:r w:rsidR="00221A0F" w:rsidRPr="00E14EC2">
        <w:rPr>
          <w:rFonts w:eastAsiaTheme="majorEastAsia"/>
          <w:lang w:val="en-US"/>
        </w:rPr>
        <w:t>state</w:t>
      </w:r>
      <w:r w:rsidR="0030280E" w:rsidRPr="00E14EC2">
        <w:rPr>
          <w:rFonts w:eastAsiaTheme="majorEastAsia"/>
          <w:lang w:val="en-US"/>
        </w:rPr>
        <w:t xml:space="preserve"> in question is party, and on the rule on exhaustion of </w:t>
      </w:r>
      <w:r w:rsidR="0030280E" w:rsidRPr="00E14EC2">
        <w:rPr>
          <w:rFonts w:eastAsiaTheme="majorEastAsia"/>
          <w:lang w:val="en-US"/>
        </w:rPr>
        <w:lastRenderedPageBreak/>
        <w:t>local remedies (</w:t>
      </w:r>
      <w:r w:rsidR="004A1F5E" w:rsidRPr="00E14EC2">
        <w:rPr>
          <w:lang w:val="en-US"/>
        </w:rPr>
        <w:t>where relevant</w:t>
      </w:r>
      <w:r w:rsidR="0030280E" w:rsidRPr="00E14EC2">
        <w:rPr>
          <w:rFonts w:eastAsiaTheme="majorEastAsia"/>
          <w:lang w:val="en-US"/>
        </w:rPr>
        <w:t xml:space="preserve">). </w:t>
      </w:r>
      <w:r w:rsidR="0031432A" w:rsidRPr="00E14EC2">
        <w:rPr>
          <w:rFonts w:eastAsiaTheme="majorEastAsia"/>
          <w:lang w:val="en-US"/>
        </w:rPr>
        <w:t>T</w:t>
      </w:r>
      <w:r w:rsidR="0015589C" w:rsidRPr="00E14EC2">
        <w:rPr>
          <w:rFonts w:eastAsiaTheme="majorEastAsia"/>
          <w:lang w:val="en-US"/>
        </w:rPr>
        <w:t xml:space="preserve">he protection of cultural rights </w:t>
      </w:r>
      <w:r w:rsidR="0031432A" w:rsidRPr="00E14EC2">
        <w:rPr>
          <w:rFonts w:eastAsiaTheme="majorEastAsia"/>
          <w:lang w:val="en-US"/>
        </w:rPr>
        <w:t xml:space="preserve">also </w:t>
      </w:r>
      <w:r w:rsidR="0015589C" w:rsidRPr="00E14EC2">
        <w:rPr>
          <w:rFonts w:eastAsiaTheme="majorEastAsia"/>
          <w:lang w:val="en-US"/>
        </w:rPr>
        <w:t>needs transparent and effective accountability mechanisms to ensure that they are respected, protected, and fulfilled</w:t>
      </w:r>
      <w:r w:rsidR="00A93B18" w:rsidRPr="00E14EC2">
        <w:rPr>
          <w:rFonts w:eastAsiaTheme="majorEastAsia"/>
          <w:lang w:val="en-US"/>
        </w:rPr>
        <w:t>,</w:t>
      </w:r>
      <w:r w:rsidR="0015589C" w:rsidRPr="00E14EC2">
        <w:rPr>
          <w:rFonts w:eastAsiaTheme="majorEastAsia"/>
          <w:lang w:val="en-US"/>
        </w:rPr>
        <w:t xml:space="preserve"> and that victims can obtain redress. Such redress could take several forms, including investigation into gross and systematic violations, damages to victims, restitution, satisfaction, and guarantees of nonrepetition.</w:t>
      </w:r>
      <w:r w:rsidR="0015589C" w:rsidRPr="00014F2A">
        <w:rPr>
          <w:rStyle w:val="EndnoteReference"/>
          <w:lang w:val="en-US"/>
        </w:rPr>
        <w:endnoteReference w:id="52"/>
      </w:r>
      <w:r w:rsidR="0015589C" w:rsidRPr="00014F2A">
        <w:rPr>
          <w:rFonts w:eastAsiaTheme="majorEastAsia"/>
          <w:lang w:val="en-US"/>
        </w:rPr>
        <w:t xml:space="preserve"> </w:t>
      </w:r>
      <w:r w:rsidR="0030280E" w:rsidRPr="00E14EC2">
        <w:rPr>
          <w:rFonts w:eastAsiaTheme="majorEastAsia"/>
          <w:lang w:val="en-US"/>
        </w:rPr>
        <w:t>In terms of the powers of these institutions, the three regional human rights courts</w:t>
      </w:r>
      <w:r w:rsidR="000D06AA">
        <w:rPr>
          <w:rFonts w:eastAsiaTheme="majorEastAsia"/>
          <w:lang w:val="en-US"/>
        </w:rPr>
        <w:t xml:space="preserve">, </w:t>
      </w:r>
      <w:r w:rsidR="0030280E" w:rsidRPr="00E14EC2">
        <w:rPr>
          <w:rFonts w:eastAsiaTheme="majorEastAsia"/>
          <w:lang w:val="en-US"/>
        </w:rPr>
        <w:t>the European Court of Human Rights, the Inter-American Court of Human Rights</w:t>
      </w:r>
      <w:r w:rsidR="00AF5E6F" w:rsidRPr="00E14EC2">
        <w:rPr>
          <w:rFonts w:eastAsiaTheme="majorEastAsia"/>
          <w:lang w:val="en-US"/>
        </w:rPr>
        <w:t>,</w:t>
      </w:r>
      <w:r w:rsidR="0030280E" w:rsidRPr="00E14EC2">
        <w:rPr>
          <w:rFonts w:eastAsiaTheme="majorEastAsia"/>
          <w:lang w:val="en-US"/>
        </w:rPr>
        <w:t xml:space="preserve"> and the African Court of Human and Peoples’ Rights</w:t>
      </w:r>
      <w:r w:rsidR="000D06AA">
        <w:rPr>
          <w:rFonts w:eastAsiaTheme="majorEastAsia"/>
          <w:lang w:val="en-US"/>
        </w:rPr>
        <w:t>,</w:t>
      </w:r>
      <w:r w:rsidR="0030280E" w:rsidRPr="00E14EC2">
        <w:rPr>
          <w:rFonts w:eastAsiaTheme="majorEastAsia"/>
          <w:lang w:val="en-US"/>
        </w:rPr>
        <w:t xml:space="preserve"> are each vested with jurisdiction authoritatively to determine a </w:t>
      </w:r>
      <w:r w:rsidR="00221A0F" w:rsidRPr="00E14EC2">
        <w:rPr>
          <w:rFonts w:eastAsiaTheme="majorEastAsia"/>
          <w:lang w:val="en-US"/>
        </w:rPr>
        <w:t>state</w:t>
      </w:r>
      <w:r w:rsidR="0030280E" w:rsidRPr="00E14EC2">
        <w:rPr>
          <w:rFonts w:eastAsiaTheme="majorEastAsia"/>
          <w:lang w:val="en-US"/>
        </w:rPr>
        <w:t xml:space="preserve">’s breach of the treaty in question and to award or order one or more forms of reparation. In contrast, treaty monitoring bodies such as the HRC and the CESCR have no power to declare a </w:t>
      </w:r>
      <w:r w:rsidR="00221A0F" w:rsidRPr="00E14EC2">
        <w:rPr>
          <w:rFonts w:eastAsiaTheme="majorEastAsia"/>
          <w:lang w:val="en-US"/>
        </w:rPr>
        <w:t>state</w:t>
      </w:r>
      <w:r w:rsidR="0030280E" w:rsidRPr="00E14EC2">
        <w:rPr>
          <w:rFonts w:eastAsiaTheme="majorEastAsia"/>
          <w:lang w:val="en-US"/>
        </w:rPr>
        <w:t xml:space="preserve"> in breach of treaty, let alone make binding orders for reparation or adopt provisional measures.</w:t>
      </w:r>
      <w:r w:rsidR="004A1F5E" w:rsidRPr="00014F2A">
        <w:rPr>
          <w:rStyle w:val="EndnoteReference"/>
          <w:lang w:val="en-US"/>
        </w:rPr>
        <w:endnoteReference w:id="53"/>
      </w:r>
      <w:r w:rsidR="00AF5E6F" w:rsidRPr="00014F2A">
        <w:rPr>
          <w:lang w:val="en-US"/>
        </w:rPr>
        <w:t xml:space="preserve"> T</w:t>
      </w:r>
      <w:r w:rsidR="00F65CFA" w:rsidRPr="00E14EC2">
        <w:rPr>
          <w:lang w:val="en-US"/>
        </w:rPr>
        <w:t xml:space="preserve">he monitoring systems </w:t>
      </w:r>
      <w:r w:rsidR="00AF5E6F" w:rsidRPr="00E14EC2">
        <w:rPr>
          <w:lang w:val="en-US"/>
        </w:rPr>
        <w:t xml:space="preserve">of the </w:t>
      </w:r>
      <w:r w:rsidR="00F65CFA" w:rsidRPr="00E14EC2">
        <w:rPr>
          <w:lang w:val="en-US"/>
        </w:rPr>
        <w:t>ICCPR and ICESCR are</w:t>
      </w:r>
      <w:r w:rsidR="00AF5E6F" w:rsidRPr="00E14EC2">
        <w:rPr>
          <w:lang w:val="en-US"/>
        </w:rPr>
        <w:t xml:space="preserve"> therefore fully in the hands of </w:t>
      </w:r>
      <w:r w:rsidR="00221A0F" w:rsidRPr="00E14EC2">
        <w:rPr>
          <w:lang w:val="en-US"/>
        </w:rPr>
        <w:t>state</w:t>
      </w:r>
      <w:r w:rsidR="00AF5E6F" w:rsidRPr="00E14EC2">
        <w:rPr>
          <w:lang w:val="en-US"/>
        </w:rPr>
        <w:t>s.</w:t>
      </w:r>
      <w:r w:rsidR="00AF5E6F" w:rsidRPr="00014F2A">
        <w:rPr>
          <w:rStyle w:val="EndnoteReference"/>
          <w:lang w:val="en-US"/>
        </w:rPr>
        <w:endnoteReference w:id="54"/>
      </w:r>
      <w:r w:rsidR="00AF5E6F" w:rsidRPr="00014F2A">
        <w:rPr>
          <w:lang w:val="en-US"/>
        </w:rPr>
        <w:t xml:space="preserve"> </w:t>
      </w:r>
      <w:r w:rsidR="004A1F5E" w:rsidRPr="00E14EC2">
        <w:rPr>
          <w:lang w:val="en-US"/>
        </w:rPr>
        <w:t xml:space="preserve">Nevertheless, </w:t>
      </w:r>
      <w:r w:rsidR="0030280E" w:rsidRPr="00E14EC2">
        <w:rPr>
          <w:lang w:val="en-US"/>
        </w:rPr>
        <w:t xml:space="preserve">it may well be that </w:t>
      </w:r>
      <w:r w:rsidR="004A1F5E" w:rsidRPr="00E14EC2">
        <w:rPr>
          <w:lang w:val="en-US"/>
        </w:rPr>
        <w:t xml:space="preserve">domestic courts </w:t>
      </w:r>
      <w:r w:rsidR="0030280E" w:rsidRPr="00E14EC2">
        <w:rPr>
          <w:lang w:val="en-US"/>
        </w:rPr>
        <w:t xml:space="preserve">are available to </w:t>
      </w:r>
      <w:r w:rsidR="004A1F5E" w:rsidRPr="00E14EC2">
        <w:rPr>
          <w:lang w:val="en-US"/>
        </w:rPr>
        <w:t>victims</w:t>
      </w:r>
      <w:r w:rsidR="0030280E" w:rsidRPr="00E14EC2">
        <w:rPr>
          <w:lang w:val="en-US"/>
        </w:rPr>
        <w:t xml:space="preserve">. In many </w:t>
      </w:r>
      <w:r w:rsidR="00221A0F" w:rsidRPr="00E14EC2">
        <w:rPr>
          <w:lang w:val="en-US"/>
        </w:rPr>
        <w:t>state</w:t>
      </w:r>
      <w:r w:rsidR="004A1F5E" w:rsidRPr="00E14EC2">
        <w:rPr>
          <w:lang w:val="en-US"/>
        </w:rPr>
        <w:t>s</w:t>
      </w:r>
      <w:r w:rsidR="0030280E" w:rsidRPr="00E14EC2">
        <w:rPr>
          <w:lang w:val="en-US"/>
        </w:rPr>
        <w:t xml:space="preserve">, treaty-based human rights guarantees are self-executing in national law or have been enacted into national law by the legislature. Provided that the applicable rules on standing are satisfied, this enables individuals and groups to enforce these rights through </w:t>
      </w:r>
      <w:r w:rsidR="004A1F5E" w:rsidRPr="00E14EC2">
        <w:rPr>
          <w:lang w:val="en-US"/>
        </w:rPr>
        <w:t>domestic courts</w:t>
      </w:r>
      <w:r w:rsidR="0030280E" w:rsidRPr="00E14EC2">
        <w:rPr>
          <w:lang w:val="en-US"/>
        </w:rPr>
        <w:t>.</w:t>
      </w:r>
      <w:r w:rsidR="004A1F5E" w:rsidRPr="00014F2A">
        <w:rPr>
          <w:rStyle w:val="EndnoteReference"/>
          <w:lang w:val="en-US"/>
        </w:rPr>
        <w:endnoteReference w:id="55"/>
      </w:r>
    </w:p>
    <w:p w14:paraId="50A5B5C6" w14:textId="3587147F" w:rsidR="00311603" w:rsidRPr="00E14EC2" w:rsidRDefault="000C5689" w:rsidP="003373DF">
      <w:pPr>
        <w:spacing w:line="480" w:lineRule="auto"/>
        <w:rPr>
          <w:lang w:val="en-US"/>
        </w:rPr>
      </w:pPr>
      <w:r w:rsidRPr="00E14EC2">
        <w:rPr>
          <w:lang w:val="en-US"/>
        </w:rPr>
        <w:tab/>
      </w:r>
      <w:r w:rsidR="00AF5E6F" w:rsidRPr="00E14EC2">
        <w:rPr>
          <w:lang w:val="en-US"/>
        </w:rPr>
        <w:t xml:space="preserve">To conclude, </w:t>
      </w:r>
      <w:r w:rsidR="008C19FF" w:rsidRPr="00E14EC2">
        <w:rPr>
          <w:lang w:val="en-US"/>
        </w:rPr>
        <w:t>the synergy between the</w:t>
      </w:r>
      <w:r w:rsidR="00BE2987" w:rsidRPr="00E14EC2">
        <w:rPr>
          <w:lang w:val="en-US"/>
        </w:rPr>
        <w:t xml:space="preserve"> international</w:t>
      </w:r>
      <w:r w:rsidR="008C19FF" w:rsidRPr="00E14EC2">
        <w:rPr>
          <w:lang w:val="en-US"/>
        </w:rPr>
        <w:t xml:space="preserve"> legal frameworks developed to ensure the protection</w:t>
      </w:r>
      <w:r w:rsidR="00BE2987" w:rsidRPr="00E14EC2">
        <w:rPr>
          <w:lang w:val="en-US"/>
        </w:rPr>
        <w:t xml:space="preserve"> of</w:t>
      </w:r>
      <w:r w:rsidR="008C19FF" w:rsidRPr="00E14EC2">
        <w:rPr>
          <w:lang w:val="en-US"/>
        </w:rPr>
        <w:t xml:space="preserve"> human rights and cultural heritage</w:t>
      </w:r>
      <w:r w:rsidR="005F22DC" w:rsidRPr="00E14EC2">
        <w:rPr>
          <w:lang w:val="en-US"/>
        </w:rPr>
        <w:t xml:space="preserve"> is essential to prevent the intentional destruction and looting of cultural heritage associated </w:t>
      </w:r>
      <w:r w:rsidR="005E2D6D" w:rsidRPr="00E14EC2">
        <w:rPr>
          <w:lang w:val="en-US"/>
        </w:rPr>
        <w:t xml:space="preserve">with </w:t>
      </w:r>
      <w:r w:rsidR="005F22DC" w:rsidRPr="00E14EC2">
        <w:rPr>
          <w:lang w:val="en-US"/>
        </w:rPr>
        <w:t xml:space="preserve">mass atrocities committed in the context of contemporary armed conflict by belligerents belonging to a </w:t>
      </w:r>
      <w:r w:rsidR="00221A0F" w:rsidRPr="00E14EC2">
        <w:rPr>
          <w:lang w:val="en-US"/>
        </w:rPr>
        <w:t>s</w:t>
      </w:r>
      <w:r w:rsidR="005F22DC" w:rsidRPr="00E14EC2">
        <w:rPr>
          <w:lang w:val="en-US"/>
        </w:rPr>
        <w:t>tate’s armed forces or to non</w:t>
      </w:r>
      <w:r w:rsidR="00221A0F" w:rsidRPr="00E14EC2">
        <w:rPr>
          <w:lang w:val="en-US"/>
        </w:rPr>
        <w:t>state</w:t>
      </w:r>
      <w:r w:rsidR="003E2A9B" w:rsidRPr="00E14EC2">
        <w:rPr>
          <w:lang w:val="en-US"/>
        </w:rPr>
        <w:t xml:space="preserve"> </w:t>
      </w:r>
      <w:r w:rsidR="005F22DC" w:rsidRPr="00E14EC2">
        <w:rPr>
          <w:lang w:val="en-US"/>
        </w:rPr>
        <w:t xml:space="preserve">armed groups. </w:t>
      </w:r>
      <w:r w:rsidR="003E2A9B" w:rsidRPr="00E14EC2">
        <w:rPr>
          <w:lang w:val="en-US"/>
        </w:rPr>
        <w:t xml:space="preserve">In </w:t>
      </w:r>
      <w:r w:rsidR="00BE2987" w:rsidRPr="00E14EC2">
        <w:rPr>
          <w:lang w:val="en-US"/>
        </w:rPr>
        <w:t xml:space="preserve">other words, such legal frameworks are mutually supportive to the extent that </w:t>
      </w:r>
      <w:r w:rsidR="003E2A9B" w:rsidRPr="00E14EC2">
        <w:rPr>
          <w:lang w:val="en-US"/>
        </w:rPr>
        <w:t xml:space="preserve">the protection of cultural heritage and the rights associated </w:t>
      </w:r>
      <w:r w:rsidR="005E2566" w:rsidRPr="00E14EC2">
        <w:rPr>
          <w:lang w:val="en-US"/>
        </w:rPr>
        <w:t>with</w:t>
      </w:r>
      <w:r w:rsidR="003E2A9B" w:rsidRPr="00E14EC2">
        <w:rPr>
          <w:lang w:val="en-US"/>
        </w:rPr>
        <w:t xml:space="preserve"> it may indirectly protect human beings.</w:t>
      </w:r>
      <w:r w:rsidR="006A5867" w:rsidRPr="00E14EC2">
        <w:rPr>
          <w:lang w:val="en-US"/>
        </w:rPr>
        <w:t xml:space="preserve"> </w:t>
      </w:r>
      <w:r w:rsidR="00BE2987" w:rsidRPr="00E14EC2">
        <w:rPr>
          <w:lang w:val="en-US"/>
        </w:rPr>
        <w:t>We also argue that t</w:t>
      </w:r>
      <w:r w:rsidR="00331EE4" w:rsidRPr="00E14EC2">
        <w:rPr>
          <w:lang w:val="en-US"/>
        </w:rPr>
        <w:t>he adoption of a h</w:t>
      </w:r>
      <w:r w:rsidR="005F22DC" w:rsidRPr="00E14EC2">
        <w:rPr>
          <w:bCs/>
          <w:lang w:val="en-US"/>
        </w:rPr>
        <w:t xml:space="preserve">uman rights approach to cultural </w:t>
      </w:r>
      <w:r w:rsidR="005F22DC" w:rsidRPr="00E14EC2">
        <w:rPr>
          <w:bCs/>
          <w:lang w:val="en-US"/>
        </w:rPr>
        <w:lastRenderedPageBreak/>
        <w:t>heritage is required</w:t>
      </w:r>
      <w:r w:rsidR="005F22DC" w:rsidRPr="00E14EC2">
        <w:rPr>
          <w:lang w:val="en-US"/>
        </w:rPr>
        <w:t xml:space="preserve"> to address the root causes of </w:t>
      </w:r>
      <w:r w:rsidR="00331EE4" w:rsidRPr="00E14EC2">
        <w:rPr>
          <w:lang w:val="en-US"/>
        </w:rPr>
        <w:t>the</w:t>
      </w:r>
      <w:r w:rsidR="005F22DC" w:rsidRPr="00E14EC2">
        <w:rPr>
          <w:lang w:val="en-US"/>
        </w:rPr>
        <w:t xml:space="preserve"> crimes</w:t>
      </w:r>
      <w:r w:rsidR="00331EE4" w:rsidRPr="00E14EC2">
        <w:rPr>
          <w:lang w:val="en-US"/>
        </w:rPr>
        <w:t xml:space="preserve"> under consideration</w:t>
      </w:r>
      <w:r w:rsidR="005F22DC" w:rsidRPr="00E14EC2">
        <w:rPr>
          <w:lang w:val="en-US"/>
        </w:rPr>
        <w:t xml:space="preserve">, namely extremism in its diverse forms. </w:t>
      </w:r>
      <w:r w:rsidR="00311603" w:rsidRPr="00E14EC2">
        <w:rPr>
          <w:lang w:val="en-US"/>
        </w:rPr>
        <w:t>Although essential to the prevention of acts of deliberate destruction of cultural heritage acc</w:t>
      </w:r>
      <w:r w:rsidR="00BE2987" w:rsidRPr="00E14EC2">
        <w:rPr>
          <w:lang w:val="en-US"/>
        </w:rPr>
        <w:t xml:space="preserve">ompanying large-scale killings and other heinous </w:t>
      </w:r>
      <w:r w:rsidR="00311603" w:rsidRPr="00E14EC2">
        <w:rPr>
          <w:lang w:val="en-US"/>
        </w:rPr>
        <w:t>violations, the human right</w:t>
      </w:r>
      <w:r w:rsidR="007841E1" w:rsidRPr="00E14EC2">
        <w:rPr>
          <w:lang w:val="en-US"/>
        </w:rPr>
        <w:t>s</w:t>
      </w:r>
      <w:r w:rsidR="00311603" w:rsidRPr="00E14EC2">
        <w:rPr>
          <w:lang w:val="en-US"/>
        </w:rPr>
        <w:t xml:space="preserve"> approach under consideration would also be crucial for the promotion of human rights after the end of hostilities in the context of peacebuilding processes.</w:t>
      </w:r>
    </w:p>
    <w:p w14:paraId="003B3D68" w14:textId="1A2A27C7" w:rsidR="003750B5" w:rsidRPr="00014F2A" w:rsidRDefault="000C5689" w:rsidP="003373DF">
      <w:pPr>
        <w:spacing w:line="480" w:lineRule="auto"/>
        <w:rPr>
          <w:lang w:val="en-US"/>
        </w:rPr>
      </w:pPr>
      <w:r w:rsidRPr="00E14EC2">
        <w:rPr>
          <w:lang w:val="en-US"/>
        </w:rPr>
        <w:tab/>
      </w:r>
      <w:r w:rsidR="005F22DC" w:rsidRPr="00E14EC2">
        <w:rPr>
          <w:lang w:val="en-US"/>
        </w:rPr>
        <w:t xml:space="preserve">Given that fundamentalist ideologies are the cause of attacks against individual rights and freedoms as well as against cultural heritage, education </w:t>
      </w:r>
      <w:r w:rsidR="00215422" w:rsidRPr="00E14EC2">
        <w:rPr>
          <w:lang w:val="en-US"/>
        </w:rPr>
        <w:t xml:space="preserve">on </w:t>
      </w:r>
      <w:r w:rsidR="005F22DC" w:rsidRPr="00E14EC2">
        <w:rPr>
          <w:lang w:val="en-US"/>
        </w:rPr>
        <w:t>human rights and the values of tangible and intangible cultural heritage should be deployed to prevent and fight the spread of such dangerous ideas.</w:t>
      </w:r>
      <w:r w:rsidR="00345E9F" w:rsidRPr="00014F2A">
        <w:rPr>
          <w:vertAlign w:val="superscript"/>
          <w:lang w:val="en-US"/>
        </w:rPr>
        <w:endnoteReference w:id="56"/>
      </w:r>
      <w:r w:rsidR="005F22DC" w:rsidRPr="00014F2A">
        <w:rPr>
          <w:lang w:val="en-US"/>
        </w:rPr>
        <w:t xml:space="preserve"> </w:t>
      </w:r>
      <w:r w:rsidR="00CD5F1A" w:rsidRPr="00E14EC2">
        <w:rPr>
          <w:lang w:val="en-US"/>
        </w:rPr>
        <w:t>Efforts in</w:t>
      </w:r>
      <w:r w:rsidR="00215422" w:rsidRPr="00E14EC2">
        <w:rPr>
          <w:lang w:val="en-US"/>
        </w:rPr>
        <w:t xml:space="preserve"> e</w:t>
      </w:r>
      <w:r w:rsidR="00345E9F" w:rsidRPr="00E14EC2">
        <w:rPr>
          <w:lang w:val="en-US"/>
        </w:rPr>
        <w:t>ducation should be fostered because cultural heritage and human rights can</w:t>
      </w:r>
      <w:r w:rsidR="00215422" w:rsidRPr="00E14EC2">
        <w:rPr>
          <w:lang w:val="en-US"/>
        </w:rPr>
        <w:t xml:space="preserve"> only</w:t>
      </w:r>
      <w:r w:rsidR="00345E9F" w:rsidRPr="00E14EC2">
        <w:rPr>
          <w:lang w:val="en-US"/>
        </w:rPr>
        <w:t xml:space="preserve"> be protected and fulfilled if they are known and understood by people, from the professionals having responsibilities in the field (lawyers, judges</w:t>
      </w:r>
      <w:r w:rsidR="00297C2F" w:rsidRPr="00E14EC2">
        <w:rPr>
          <w:lang w:val="en-US"/>
        </w:rPr>
        <w:t>,</w:t>
      </w:r>
      <w:r w:rsidR="00345E9F" w:rsidRPr="00E14EC2">
        <w:rPr>
          <w:lang w:val="en-US"/>
        </w:rPr>
        <w:t xml:space="preserve"> and law-enforcement officers) to the laymen</w:t>
      </w:r>
      <w:r w:rsidR="00297C2F" w:rsidRPr="00E14EC2">
        <w:rPr>
          <w:lang w:val="en-US"/>
        </w:rPr>
        <w:t xml:space="preserve"> and </w:t>
      </w:r>
      <w:r w:rsidR="00C31DD6">
        <w:rPr>
          <w:lang w:val="en-US"/>
        </w:rPr>
        <w:t>lay</w:t>
      </w:r>
      <w:r w:rsidR="00297C2F" w:rsidRPr="00E14EC2">
        <w:rPr>
          <w:lang w:val="en-US"/>
        </w:rPr>
        <w:t>women</w:t>
      </w:r>
      <w:r w:rsidR="00BE2987" w:rsidRPr="00E14EC2">
        <w:rPr>
          <w:lang w:val="en-US"/>
        </w:rPr>
        <w:t xml:space="preserve"> living in the vicinity of the relevant heritage</w:t>
      </w:r>
      <w:r w:rsidR="00345E9F" w:rsidRPr="00E14EC2">
        <w:rPr>
          <w:lang w:val="en-US"/>
        </w:rPr>
        <w:t>.</w:t>
      </w:r>
      <w:r w:rsidR="00345E9F" w:rsidRPr="00014F2A">
        <w:rPr>
          <w:bCs/>
          <w:vertAlign w:val="superscript"/>
          <w:lang w:val="en-US"/>
        </w:rPr>
        <w:endnoteReference w:id="57"/>
      </w:r>
      <w:r w:rsidR="00345E9F" w:rsidRPr="00014F2A">
        <w:rPr>
          <w:lang w:val="en-US"/>
        </w:rPr>
        <w:t xml:space="preserve"> </w:t>
      </w:r>
      <w:r w:rsidR="006B4E72" w:rsidRPr="00E14EC2">
        <w:rPr>
          <w:lang w:val="en-US"/>
        </w:rPr>
        <w:t xml:space="preserve">Through </w:t>
      </w:r>
      <w:r w:rsidR="006B4E72" w:rsidRPr="00490CF3">
        <w:rPr>
          <w:lang w:val="en-US"/>
        </w:rPr>
        <w:t>human rights education, cultural rights can become “empowering rights</w:t>
      </w:r>
      <w:r w:rsidR="00E50096" w:rsidRPr="00014F2A">
        <w:rPr>
          <w:lang w:val="en-US"/>
        </w:rPr>
        <w:t>.”</w:t>
      </w:r>
      <w:r w:rsidR="006B4E72" w:rsidRPr="00490CF3">
        <w:rPr>
          <w:lang w:val="en-US"/>
        </w:rPr>
        <w:t xml:space="preserve"> As posited by </w:t>
      </w:r>
      <w:r w:rsidR="00CA2520" w:rsidRPr="00014F2A">
        <w:rPr>
          <w:rFonts w:ascii="Times" w:hAnsi="Times" w:cs="Times"/>
          <w:lang w:val="en-US"/>
        </w:rPr>
        <w:t>Janusz</w:t>
      </w:r>
      <w:r w:rsidR="00CA2520" w:rsidRPr="00E14EC2">
        <w:rPr>
          <w:lang w:val="en-US"/>
        </w:rPr>
        <w:t xml:space="preserve"> </w:t>
      </w:r>
      <w:r w:rsidR="006B4E72" w:rsidRPr="00490CF3">
        <w:rPr>
          <w:lang w:val="en-US"/>
        </w:rPr>
        <w:t>Symonides, “without their recognition and observance, without implementation of the right to cultural identity, to education, to creativity or to information, neither may human dignity be guaranteed nor other human rights fully implemented. Without the recognition of cultural rights, cultural plurality and diversity</w:t>
      </w:r>
      <w:r w:rsidR="00720310">
        <w:rPr>
          <w:lang w:val="en-US"/>
        </w:rPr>
        <w:t>,</w:t>
      </w:r>
      <w:r w:rsidR="006B4E72" w:rsidRPr="00490CF3">
        <w:rPr>
          <w:lang w:val="en-US"/>
        </w:rPr>
        <w:t xml:space="preserve"> </w:t>
      </w:r>
      <w:r w:rsidR="00720310">
        <w:rPr>
          <w:lang w:val="en-US"/>
        </w:rPr>
        <w:t>fully</w:t>
      </w:r>
      <w:r w:rsidR="006B4E72" w:rsidRPr="00490CF3">
        <w:rPr>
          <w:lang w:val="en-US"/>
        </w:rPr>
        <w:t xml:space="preserve"> democratic societies cannot function properly</w:t>
      </w:r>
      <w:r w:rsidR="00E50096" w:rsidRPr="00014F2A">
        <w:rPr>
          <w:lang w:val="en-US"/>
        </w:rPr>
        <w:t>.”</w:t>
      </w:r>
      <w:r w:rsidR="006B4E72" w:rsidRPr="00490CF3">
        <w:rPr>
          <w:rStyle w:val="EndnoteReference"/>
          <w:lang w:val="en-US"/>
        </w:rPr>
        <w:endnoteReference w:id="58"/>
      </w:r>
    </w:p>
    <w:p w14:paraId="7BAF7567" w14:textId="798D61C1" w:rsidR="00215422" w:rsidRPr="00E14EC2" w:rsidRDefault="000C5689" w:rsidP="003373DF">
      <w:pPr>
        <w:spacing w:line="480" w:lineRule="auto"/>
        <w:rPr>
          <w:lang w:val="en-US"/>
        </w:rPr>
      </w:pPr>
      <w:r w:rsidRPr="00E14EC2">
        <w:rPr>
          <w:lang w:val="en-US"/>
        </w:rPr>
        <w:tab/>
      </w:r>
      <w:r w:rsidR="003750B5" w:rsidRPr="00E14EC2">
        <w:rPr>
          <w:lang w:val="en-US"/>
        </w:rPr>
        <w:t xml:space="preserve">The </w:t>
      </w:r>
      <w:r w:rsidR="00345E9F" w:rsidRPr="00E14EC2">
        <w:rPr>
          <w:lang w:val="en-US"/>
        </w:rPr>
        <w:t xml:space="preserve">importance of promoting and developing human rights education is underlined in many documents. </w:t>
      </w:r>
      <w:r w:rsidR="003750B5" w:rsidRPr="00E14EC2">
        <w:rPr>
          <w:lang w:val="en-US"/>
        </w:rPr>
        <w:t>Apart from UNESCO conventions</w:t>
      </w:r>
      <w:r w:rsidR="00C61406" w:rsidRPr="00014F2A">
        <w:rPr>
          <w:rStyle w:val="EndnoteReference"/>
          <w:lang w:val="en-US"/>
        </w:rPr>
        <w:endnoteReference w:id="59"/>
      </w:r>
      <w:r w:rsidR="003750B5" w:rsidRPr="00014F2A">
        <w:rPr>
          <w:lang w:val="en-US"/>
        </w:rPr>
        <w:t xml:space="preserve"> and human rights treaties,</w:t>
      </w:r>
      <w:r w:rsidR="003750B5" w:rsidRPr="00014F2A">
        <w:rPr>
          <w:rStyle w:val="EndnoteReference"/>
          <w:lang w:val="en-US"/>
        </w:rPr>
        <w:endnoteReference w:id="60"/>
      </w:r>
      <w:r w:rsidR="003750B5" w:rsidRPr="00014F2A">
        <w:rPr>
          <w:lang w:val="en-US"/>
        </w:rPr>
        <w:t xml:space="preserve"> </w:t>
      </w:r>
      <w:r w:rsidR="003750B5" w:rsidRPr="00E14EC2">
        <w:rPr>
          <w:bCs/>
          <w:iCs/>
          <w:lang w:val="en-US"/>
        </w:rPr>
        <w:t xml:space="preserve">the </w:t>
      </w:r>
      <w:r w:rsidR="000E5E86" w:rsidRPr="00E14EC2">
        <w:rPr>
          <w:bCs/>
          <w:iCs/>
          <w:lang w:val="en-US"/>
        </w:rPr>
        <w:t>c</w:t>
      </w:r>
      <w:r w:rsidR="00D22EC6" w:rsidRPr="00E14EC2">
        <w:rPr>
          <w:bCs/>
          <w:iCs/>
          <w:lang w:val="en-US"/>
        </w:rPr>
        <w:t>onstitution of UNESCO</w:t>
      </w:r>
      <w:r w:rsidR="00D22EC6" w:rsidRPr="00E14EC2">
        <w:rPr>
          <w:lang w:val="en-US"/>
        </w:rPr>
        <w:t xml:space="preserve"> contains multiple references to the </w:t>
      </w:r>
      <w:r w:rsidR="0096617B" w:rsidRPr="00E14EC2">
        <w:rPr>
          <w:lang w:val="en-US"/>
        </w:rPr>
        <w:t>idea</w:t>
      </w:r>
      <w:r w:rsidR="00D22EC6" w:rsidRPr="00E14EC2">
        <w:rPr>
          <w:lang w:val="en-US"/>
        </w:rPr>
        <w:t xml:space="preserve"> of human rights education, as it provides that: “since wars begin in the minds of men, it is in the minds of men that the defences of peace must be constructed”; “the wide diffusion of culture, and the education of humanity for justice and liberty and peace are indispensable to the dignity of man and constitute a sacred duty </w:t>
      </w:r>
      <w:r w:rsidR="00D22EC6" w:rsidRPr="00E14EC2">
        <w:rPr>
          <w:lang w:val="en-US"/>
        </w:rPr>
        <w:lastRenderedPageBreak/>
        <w:t xml:space="preserve">which all the nations must </w:t>
      </w:r>
      <w:r w:rsidR="00D22EC6" w:rsidRPr="00490CF3">
        <w:rPr>
          <w:lang w:val="en-US"/>
        </w:rPr>
        <w:t>fulfil</w:t>
      </w:r>
      <w:r w:rsidR="00D22EC6" w:rsidRPr="00014F2A">
        <w:rPr>
          <w:lang w:val="en-US"/>
        </w:rPr>
        <w:t xml:space="preserve"> in a spirit of mutual assistance and concern”;</w:t>
      </w:r>
      <w:r w:rsidR="00CE73F5" w:rsidRPr="00E14EC2">
        <w:rPr>
          <w:lang w:val="en-US"/>
        </w:rPr>
        <w:t xml:space="preserve"> and</w:t>
      </w:r>
      <w:r w:rsidR="00D22EC6" w:rsidRPr="00E14EC2">
        <w:rPr>
          <w:lang w:val="en-US"/>
        </w:rPr>
        <w:t xml:space="preserve"> “a peace based exclusively upon the political and economic arrangements of governments would not be a peace which could secure the unanimous, lasting and sincere support of the peoples of the world, and that the peace must therefore be founded, if it is not to fail, upon the intellectual and moral solidarity of mankind</w:t>
      </w:r>
      <w:r w:rsidR="00E50096" w:rsidRPr="00E14EC2">
        <w:rPr>
          <w:lang w:val="en-US"/>
        </w:rPr>
        <w:t>.”</w:t>
      </w:r>
      <w:r w:rsidR="00D22EC6" w:rsidRPr="00E14EC2">
        <w:rPr>
          <w:lang w:val="en-US"/>
        </w:rPr>
        <w:t xml:space="preserve"> </w:t>
      </w:r>
      <w:r w:rsidR="0096617B" w:rsidRPr="00E14EC2">
        <w:rPr>
          <w:lang w:val="en-US"/>
        </w:rPr>
        <w:t>Arguably, s</w:t>
      </w:r>
      <w:r w:rsidR="00E34ECA" w:rsidRPr="00E14EC2">
        <w:rPr>
          <w:lang w:val="en-US"/>
        </w:rPr>
        <w:t>uch “</w:t>
      </w:r>
      <w:r w:rsidR="00D22EC6" w:rsidRPr="00E14EC2">
        <w:rPr>
          <w:lang w:val="en-US"/>
        </w:rPr>
        <w:t>intellectual a</w:t>
      </w:r>
      <w:r w:rsidR="00E34ECA" w:rsidRPr="00E14EC2">
        <w:rPr>
          <w:lang w:val="en-US"/>
        </w:rPr>
        <w:t xml:space="preserve">nd moral solidarity of </w:t>
      </w:r>
      <w:r w:rsidR="000F47E1">
        <w:rPr>
          <w:lang w:val="en-US"/>
        </w:rPr>
        <w:t>[hu]</w:t>
      </w:r>
      <w:r w:rsidR="00E34ECA" w:rsidRPr="00E14EC2">
        <w:rPr>
          <w:lang w:val="en-US"/>
        </w:rPr>
        <w:t xml:space="preserve">mankind” </w:t>
      </w:r>
      <w:r w:rsidR="00D22EC6" w:rsidRPr="00E14EC2">
        <w:rPr>
          <w:lang w:val="en-US"/>
        </w:rPr>
        <w:t>include</w:t>
      </w:r>
      <w:r w:rsidR="00CE73F5" w:rsidRPr="00E14EC2">
        <w:rPr>
          <w:lang w:val="en-US"/>
        </w:rPr>
        <w:t>s</w:t>
      </w:r>
      <w:r w:rsidR="00D22EC6" w:rsidRPr="00E14EC2">
        <w:rPr>
          <w:lang w:val="en-US"/>
        </w:rPr>
        <w:t xml:space="preserve"> </w:t>
      </w:r>
      <w:r w:rsidR="00E34ECA" w:rsidRPr="00E14EC2">
        <w:rPr>
          <w:lang w:val="en-US"/>
        </w:rPr>
        <w:t xml:space="preserve">awareness and </w:t>
      </w:r>
      <w:r w:rsidR="00D22EC6" w:rsidRPr="00E14EC2">
        <w:rPr>
          <w:lang w:val="en-US"/>
        </w:rPr>
        <w:t>respect for cultural heritage</w:t>
      </w:r>
      <w:r w:rsidR="0096617B" w:rsidRPr="00E14EC2">
        <w:rPr>
          <w:lang w:val="en-US"/>
        </w:rPr>
        <w:t xml:space="preserve">, the rights associated </w:t>
      </w:r>
      <w:r w:rsidR="005E2566" w:rsidRPr="00E14EC2">
        <w:rPr>
          <w:lang w:val="en-US"/>
        </w:rPr>
        <w:t>with</w:t>
      </w:r>
      <w:r w:rsidR="0096617B" w:rsidRPr="00E14EC2">
        <w:rPr>
          <w:lang w:val="en-US"/>
        </w:rPr>
        <w:t xml:space="preserve"> it,</w:t>
      </w:r>
      <w:r w:rsidR="00D22EC6" w:rsidRPr="00E14EC2">
        <w:rPr>
          <w:lang w:val="en-US"/>
        </w:rPr>
        <w:t xml:space="preserve"> and for the diversity of its expressions.</w:t>
      </w:r>
      <w:r w:rsidR="00D22EC6" w:rsidRPr="00014F2A">
        <w:rPr>
          <w:vertAlign w:val="superscript"/>
          <w:lang w:val="en-US"/>
        </w:rPr>
        <w:endnoteReference w:id="61"/>
      </w:r>
      <w:r w:rsidR="003750B5" w:rsidRPr="00014F2A">
        <w:rPr>
          <w:lang w:val="en-US"/>
        </w:rPr>
        <w:t xml:space="preserve"> </w:t>
      </w:r>
    </w:p>
    <w:p w14:paraId="1ABB6A7E" w14:textId="2F8C6E3D" w:rsidR="005C3238" w:rsidRPr="00014F2A" w:rsidRDefault="000C5689" w:rsidP="003373DF">
      <w:pPr>
        <w:spacing w:line="480" w:lineRule="auto"/>
        <w:rPr>
          <w:rFonts w:ascii="Times" w:hAnsi="Times" w:cs="Times"/>
          <w:lang w:val="en-US"/>
        </w:rPr>
      </w:pPr>
      <w:r w:rsidRPr="00E14EC2">
        <w:rPr>
          <w:lang w:val="en-US"/>
        </w:rPr>
        <w:tab/>
      </w:r>
    </w:p>
    <w:p w14:paraId="6C6A501D" w14:textId="41B18D87" w:rsidR="007A3CAB" w:rsidRPr="006F4BEB" w:rsidRDefault="007A3CAB" w:rsidP="00490CF3">
      <w:pPr>
        <w:pStyle w:val="Heading2"/>
        <w:rPr>
          <w:lang w:val="en-US"/>
        </w:rPr>
      </w:pPr>
      <w:r w:rsidRPr="006F4BEB">
        <w:rPr>
          <w:lang w:val="en-US"/>
        </w:rPr>
        <w:t>Suggested R</w:t>
      </w:r>
      <w:r w:rsidRPr="00490CF3">
        <w:rPr>
          <w:lang w:val="en-US"/>
        </w:rPr>
        <w:t>eadings</w:t>
      </w:r>
    </w:p>
    <w:p w14:paraId="45905A0D" w14:textId="3941A494" w:rsidR="007A3CAB" w:rsidRPr="00490CF3" w:rsidRDefault="00926A62" w:rsidP="00490CF3">
      <w:pPr>
        <w:spacing w:line="480" w:lineRule="auto"/>
        <w:jc w:val="both"/>
        <w:rPr>
          <w:lang w:val="en-US"/>
        </w:rPr>
      </w:pPr>
      <w:r w:rsidRPr="00E14EC2">
        <w:rPr>
          <w:lang w:val="en-US"/>
        </w:rPr>
        <w:t xml:space="preserve">Janet </w:t>
      </w:r>
      <w:r w:rsidR="007A3CAB" w:rsidRPr="00490CF3">
        <w:rPr>
          <w:lang w:val="en-US"/>
        </w:rPr>
        <w:t xml:space="preserve">Blake, </w:t>
      </w:r>
      <w:r w:rsidR="007A3CAB" w:rsidRPr="00490CF3">
        <w:rPr>
          <w:i/>
          <w:lang w:val="en-US"/>
        </w:rPr>
        <w:t>International Cultural Heritage Law</w:t>
      </w:r>
      <w:r w:rsidR="007A3CAB" w:rsidRPr="00490CF3">
        <w:rPr>
          <w:lang w:val="en-US"/>
        </w:rPr>
        <w:t xml:space="preserve"> </w:t>
      </w:r>
      <w:r w:rsidRPr="00014F2A">
        <w:rPr>
          <w:lang w:val="en-US"/>
        </w:rPr>
        <w:t>(</w:t>
      </w:r>
      <w:r w:rsidR="007A3CAB" w:rsidRPr="00490CF3">
        <w:rPr>
          <w:lang w:val="en-US"/>
        </w:rPr>
        <w:t>Oxford: Oxford University Press, 2015</w:t>
      </w:r>
      <w:r w:rsidRPr="00014F2A">
        <w:rPr>
          <w:lang w:val="en-US"/>
        </w:rPr>
        <w:t>)</w:t>
      </w:r>
      <w:r w:rsidR="007A3CAB" w:rsidRPr="00490CF3">
        <w:rPr>
          <w:lang w:val="en-US"/>
        </w:rPr>
        <w:t>.</w:t>
      </w:r>
    </w:p>
    <w:p w14:paraId="616E4023" w14:textId="77777777" w:rsidR="00926A62" w:rsidRPr="00014F2A" w:rsidRDefault="00926A62" w:rsidP="00926A62">
      <w:pPr>
        <w:spacing w:line="480" w:lineRule="auto"/>
        <w:jc w:val="both"/>
        <w:rPr>
          <w:lang w:val="en-US"/>
        </w:rPr>
      </w:pPr>
    </w:p>
    <w:p w14:paraId="4DDB85C1" w14:textId="6AC1393E" w:rsidR="007A3CAB" w:rsidRDefault="007A3CAB" w:rsidP="00490CF3">
      <w:pPr>
        <w:spacing w:line="480" w:lineRule="auto"/>
        <w:jc w:val="both"/>
        <w:rPr>
          <w:lang w:val="en-US"/>
        </w:rPr>
      </w:pPr>
      <w:r w:rsidRPr="00490CF3">
        <w:rPr>
          <w:lang w:val="en-US"/>
        </w:rPr>
        <w:t xml:space="preserve">Francesco </w:t>
      </w:r>
      <w:r w:rsidR="00926A62" w:rsidRPr="00014F2A">
        <w:rPr>
          <w:lang w:val="en-US"/>
        </w:rPr>
        <w:t xml:space="preserve">Francioni </w:t>
      </w:r>
      <w:r w:rsidRPr="00490CF3">
        <w:rPr>
          <w:lang w:val="en-US"/>
        </w:rPr>
        <w:t xml:space="preserve">and </w:t>
      </w:r>
      <w:r w:rsidR="002444EF" w:rsidRPr="00014F2A">
        <w:rPr>
          <w:lang w:val="en-US"/>
        </w:rPr>
        <w:t xml:space="preserve">Ana </w:t>
      </w:r>
      <w:r w:rsidR="00A05436" w:rsidRPr="00E14EC2">
        <w:rPr>
          <w:lang w:val="en-US"/>
        </w:rPr>
        <w:t xml:space="preserve">Filipa </w:t>
      </w:r>
      <w:r w:rsidRPr="00490CF3">
        <w:rPr>
          <w:lang w:val="en-US"/>
        </w:rPr>
        <w:t>Vrdoljak</w:t>
      </w:r>
      <w:r w:rsidR="002444EF" w:rsidRPr="00014F2A">
        <w:rPr>
          <w:lang w:val="en-US"/>
        </w:rPr>
        <w:t xml:space="preserve">, </w:t>
      </w:r>
      <w:r w:rsidRPr="00490CF3">
        <w:rPr>
          <w:lang w:val="en-US"/>
        </w:rPr>
        <w:t>eds.</w:t>
      </w:r>
      <w:r w:rsidR="002444EF" w:rsidRPr="00014F2A">
        <w:rPr>
          <w:lang w:val="en-US"/>
        </w:rPr>
        <w:t>,</w:t>
      </w:r>
      <w:r w:rsidRPr="00490CF3">
        <w:rPr>
          <w:lang w:val="en-US"/>
        </w:rPr>
        <w:t xml:space="preserve"> </w:t>
      </w:r>
      <w:r w:rsidR="00056907" w:rsidRPr="00490CF3">
        <w:rPr>
          <w:i/>
          <w:iCs/>
          <w:lang w:val="en-US"/>
        </w:rPr>
        <w:t>The</w:t>
      </w:r>
      <w:r w:rsidR="00056907">
        <w:rPr>
          <w:i/>
          <w:lang w:val="en-US"/>
        </w:rPr>
        <w:t xml:space="preserve"> </w:t>
      </w:r>
      <w:r w:rsidRPr="00014F2A">
        <w:rPr>
          <w:i/>
          <w:lang w:val="en-US"/>
        </w:rPr>
        <w:t>Oxford Handbook o</w:t>
      </w:r>
      <w:r w:rsidR="00A05436" w:rsidRPr="00E14EC2">
        <w:rPr>
          <w:i/>
          <w:lang w:val="en-US"/>
        </w:rPr>
        <w:t>f</w:t>
      </w:r>
      <w:r w:rsidRPr="00E14EC2">
        <w:rPr>
          <w:i/>
          <w:lang w:val="en-US"/>
        </w:rPr>
        <w:t xml:space="preserve"> International Cultural Heritage Law</w:t>
      </w:r>
      <w:r w:rsidRPr="00E14EC2">
        <w:rPr>
          <w:lang w:val="en-US"/>
        </w:rPr>
        <w:t xml:space="preserve"> </w:t>
      </w:r>
      <w:r w:rsidR="002444EF" w:rsidRPr="00E14EC2">
        <w:rPr>
          <w:lang w:val="en-US"/>
        </w:rPr>
        <w:t>(</w:t>
      </w:r>
      <w:r w:rsidRPr="00E14EC2">
        <w:rPr>
          <w:lang w:val="en-US"/>
        </w:rPr>
        <w:t>Oxford: Oxford University Press, 2020</w:t>
      </w:r>
      <w:r w:rsidR="002444EF" w:rsidRPr="00E14EC2">
        <w:rPr>
          <w:lang w:val="en-US"/>
        </w:rPr>
        <w:t>)</w:t>
      </w:r>
      <w:r w:rsidRPr="00E14EC2">
        <w:rPr>
          <w:lang w:val="en-US"/>
        </w:rPr>
        <w:t>.</w:t>
      </w:r>
    </w:p>
    <w:p w14:paraId="11182A1E" w14:textId="77777777" w:rsidR="007955E5" w:rsidRDefault="007955E5" w:rsidP="007955E5">
      <w:pPr>
        <w:spacing w:line="480" w:lineRule="auto"/>
        <w:jc w:val="both"/>
        <w:rPr>
          <w:lang w:val="en-US"/>
        </w:rPr>
      </w:pPr>
    </w:p>
    <w:p w14:paraId="3CBD373C" w14:textId="0AA90457" w:rsidR="007955E5" w:rsidRDefault="007955E5" w:rsidP="007955E5">
      <w:pPr>
        <w:spacing w:line="480" w:lineRule="auto"/>
        <w:jc w:val="both"/>
        <w:rPr>
          <w:lang w:val="en-US"/>
        </w:rPr>
      </w:pPr>
      <w:r w:rsidRPr="007955E5">
        <w:rPr>
          <w:lang w:val="en-US"/>
        </w:rPr>
        <w:t>Federico</w:t>
      </w:r>
      <w:r>
        <w:rPr>
          <w:lang w:val="en-US"/>
        </w:rPr>
        <w:t xml:space="preserve"> </w:t>
      </w:r>
      <w:r w:rsidRPr="007955E5">
        <w:rPr>
          <w:lang w:val="en-US"/>
        </w:rPr>
        <w:t xml:space="preserve">Lenzerini, </w:t>
      </w:r>
      <w:r w:rsidRPr="00FF0BD6">
        <w:rPr>
          <w:i/>
          <w:iCs/>
          <w:lang w:val="en-US"/>
        </w:rPr>
        <w:t>The Culturalization of Human Rights Law</w:t>
      </w:r>
      <w:r w:rsidRPr="007955E5">
        <w:rPr>
          <w:lang w:val="en-US"/>
        </w:rPr>
        <w:t xml:space="preserve"> (Oxford</w:t>
      </w:r>
      <w:r>
        <w:rPr>
          <w:lang w:val="en-US"/>
        </w:rPr>
        <w:t>:</w:t>
      </w:r>
      <w:r w:rsidRPr="007955E5">
        <w:rPr>
          <w:lang w:val="en-US"/>
        </w:rPr>
        <w:t xml:space="preserve"> Oxford University Press</w:t>
      </w:r>
      <w:r>
        <w:rPr>
          <w:lang w:val="en-US"/>
        </w:rPr>
        <w:t>,</w:t>
      </w:r>
      <w:r w:rsidRPr="007955E5">
        <w:rPr>
          <w:lang w:val="en-US"/>
        </w:rPr>
        <w:t xml:space="preserve"> 2014)</w:t>
      </w:r>
      <w:r>
        <w:rPr>
          <w:lang w:val="en-US"/>
        </w:rPr>
        <w:t>.</w:t>
      </w:r>
    </w:p>
    <w:p w14:paraId="160366B8" w14:textId="77777777" w:rsidR="007955E5" w:rsidRDefault="007955E5" w:rsidP="007955E5">
      <w:pPr>
        <w:spacing w:line="480" w:lineRule="auto"/>
        <w:jc w:val="both"/>
        <w:rPr>
          <w:lang w:val="en-US"/>
        </w:rPr>
      </w:pPr>
    </w:p>
    <w:p w14:paraId="18386AC6" w14:textId="772BEA1C" w:rsidR="007955E5" w:rsidRPr="00FF0BD6" w:rsidRDefault="007955E5" w:rsidP="00490CF3">
      <w:pPr>
        <w:spacing w:line="480" w:lineRule="auto"/>
        <w:jc w:val="both"/>
        <w:rPr>
          <w:lang w:val="en-GB"/>
        </w:rPr>
      </w:pPr>
      <w:r w:rsidRPr="00FF0BD6">
        <w:rPr>
          <w:rStyle w:val="Emphasis"/>
          <w:i w:val="0"/>
          <w:iCs w:val="0"/>
          <w:lang w:val="en-GB"/>
        </w:rPr>
        <w:t>Roger</w:t>
      </w:r>
      <w:r>
        <w:rPr>
          <w:rStyle w:val="Emphasis"/>
          <w:i w:val="0"/>
          <w:iCs w:val="0"/>
          <w:lang w:val="en-GB"/>
        </w:rPr>
        <w:t xml:space="preserve"> O’Keefe,</w:t>
      </w:r>
      <w:r w:rsidRPr="00FF0BD6">
        <w:rPr>
          <w:rStyle w:val="Emphasis"/>
          <w:i w:val="0"/>
          <w:iCs w:val="0"/>
          <w:lang w:val="en-GB"/>
        </w:rPr>
        <w:t xml:space="preserve"> </w:t>
      </w:r>
      <w:r w:rsidRPr="00FF0BD6">
        <w:rPr>
          <w:rStyle w:val="Emphasis"/>
          <w:lang w:val="en-GB"/>
        </w:rPr>
        <w:t>The Protection of Cultural Property in Armed Conflict</w:t>
      </w:r>
      <w:r w:rsidRPr="00FF0BD6">
        <w:rPr>
          <w:lang w:val="en-GB"/>
        </w:rPr>
        <w:t xml:space="preserve"> (Cambridge: Cambridge University Press, 2006</w:t>
      </w:r>
      <w:r>
        <w:rPr>
          <w:lang w:val="en-GB"/>
        </w:rPr>
        <w:t>).</w:t>
      </w:r>
    </w:p>
    <w:p w14:paraId="50D94558" w14:textId="77777777" w:rsidR="00926A62" w:rsidRPr="00E14EC2" w:rsidRDefault="00926A62" w:rsidP="00926A62">
      <w:pPr>
        <w:autoSpaceDE w:val="0"/>
        <w:autoSpaceDN w:val="0"/>
        <w:adjustRightInd w:val="0"/>
        <w:spacing w:line="480" w:lineRule="auto"/>
        <w:jc w:val="both"/>
        <w:rPr>
          <w:lang w:val="en-US"/>
        </w:rPr>
      </w:pPr>
    </w:p>
    <w:p w14:paraId="79A71F91" w14:textId="06B7AEBF" w:rsidR="007A3CAB" w:rsidRPr="00E14EC2" w:rsidRDefault="00BA4A1C" w:rsidP="00490CF3">
      <w:pPr>
        <w:autoSpaceDE w:val="0"/>
        <w:autoSpaceDN w:val="0"/>
        <w:adjustRightInd w:val="0"/>
        <w:spacing w:line="480" w:lineRule="auto"/>
        <w:jc w:val="both"/>
        <w:rPr>
          <w:lang w:val="en-US"/>
        </w:rPr>
      </w:pPr>
      <w:r w:rsidRPr="00E14EC2">
        <w:rPr>
          <w:lang w:val="en-US"/>
        </w:rPr>
        <w:t xml:space="preserve">Riccardo </w:t>
      </w:r>
      <w:r w:rsidR="007A3CAB" w:rsidRPr="00E14EC2">
        <w:rPr>
          <w:lang w:val="en-US"/>
        </w:rPr>
        <w:t xml:space="preserve">Pavoni, </w:t>
      </w:r>
      <w:r w:rsidRPr="00E14EC2">
        <w:rPr>
          <w:lang w:val="en-US"/>
        </w:rPr>
        <w:t>“</w:t>
      </w:r>
      <w:r w:rsidR="007A3CAB" w:rsidRPr="00E14EC2">
        <w:rPr>
          <w:lang w:val="en-US"/>
        </w:rPr>
        <w:t>International Legal Protection of Cultural Heritage in Armed Conflict: Achievements and Developments</w:t>
      </w:r>
      <w:r w:rsidR="003D4DB1" w:rsidRPr="00E14EC2">
        <w:rPr>
          <w:lang w:val="en-US"/>
        </w:rPr>
        <w:t>,”</w:t>
      </w:r>
      <w:r w:rsidR="007A3CAB" w:rsidRPr="00E14EC2">
        <w:rPr>
          <w:lang w:val="en-US"/>
        </w:rPr>
        <w:t xml:space="preserve"> </w:t>
      </w:r>
      <w:r w:rsidR="007A3CAB" w:rsidRPr="00490CF3">
        <w:rPr>
          <w:i/>
          <w:iCs/>
          <w:lang w:val="en-US"/>
        </w:rPr>
        <w:t>Studi Senesi</w:t>
      </w:r>
      <w:r w:rsidR="00992469" w:rsidRPr="00E14EC2">
        <w:rPr>
          <w:lang w:val="en-US"/>
        </w:rPr>
        <w:t xml:space="preserve"> </w:t>
      </w:r>
      <w:r w:rsidR="007A3CAB" w:rsidRPr="00E14EC2">
        <w:rPr>
          <w:lang w:val="en-US"/>
        </w:rPr>
        <w:t xml:space="preserve">132, </w:t>
      </w:r>
      <w:r w:rsidR="00B52712" w:rsidRPr="00E14EC2">
        <w:rPr>
          <w:lang w:val="en-US"/>
        </w:rPr>
        <w:t xml:space="preserve">no. 2 </w:t>
      </w:r>
      <w:r w:rsidR="00992469" w:rsidRPr="00E14EC2">
        <w:rPr>
          <w:lang w:val="en-US"/>
        </w:rPr>
        <w:t>(</w:t>
      </w:r>
      <w:r w:rsidR="007A3CAB" w:rsidRPr="00E14EC2">
        <w:rPr>
          <w:lang w:val="en-US"/>
        </w:rPr>
        <w:t>2020</w:t>
      </w:r>
      <w:r w:rsidR="00992469" w:rsidRPr="00E14EC2">
        <w:rPr>
          <w:lang w:val="en-US"/>
        </w:rPr>
        <w:t>)</w:t>
      </w:r>
      <w:r w:rsidR="00B52712" w:rsidRPr="00E14EC2">
        <w:rPr>
          <w:lang w:val="en-US"/>
        </w:rPr>
        <w:t>: 335–57</w:t>
      </w:r>
      <w:r w:rsidR="007A3CAB" w:rsidRPr="00E14EC2">
        <w:rPr>
          <w:lang w:val="en-US"/>
        </w:rPr>
        <w:t>.</w:t>
      </w:r>
    </w:p>
    <w:p w14:paraId="13B39BBD" w14:textId="77777777" w:rsidR="007A3CAB" w:rsidRPr="00E14EC2" w:rsidRDefault="007A3CAB" w:rsidP="003373DF">
      <w:pPr>
        <w:spacing w:line="480" w:lineRule="auto"/>
        <w:rPr>
          <w:rFonts w:ascii="Times" w:hAnsi="Times" w:cs="Times"/>
          <w:lang w:val="en-US"/>
        </w:rPr>
      </w:pPr>
    </w:p>
    <w:p w14:paraId="76A00BFC" w14:textId="77777777" w:rsidR="00215422" w:rsidRPr="00490CF3" w:rsidRDefault="00215422" w:rsidP="003373DF">
      <w:pPr>
        <w:pStyle w:val="ListParagraph"/>
        <w:spacing w:line="480" w:lineRule="auto"/>
        <w:rPr>
          <w:rFonts w:ascii="Times" w:hAnsi="Times" w:cs="Times"/>
          <w:lang w:val="en-US"/>
        </w:rPr>
      </w:pPr>
    </w:p>
    <w:p w14:paraId="74F8B6E8" w14:textId="380D9D6C" w:rsidR="00215422" w:rsidRPr="00490CF3" w:rsidRDefault="00215422" w:rsidP="003373DF">
      <w:pPr>
        <w:spacing w:line="480" w:lineRule="auto"/>
        <w:rPr>
          <w:rFonts w:ascii="Times" w:hAnsi="Times" w:cs="Times"/>
          <w:b/>
          <w:bCs/>
          <w:lang w:val="en-US"/>
        </w:rPr>
      </w:pPr>
    </w:p>
    <w:sectPr w:rsidR="00215422" w:rsidRPr="00490CF3" w:rsidSect="00082901">
      <w:footerReference w:type="default" r:id="rId9"/>
      <w:endnotePr>
        <w:numFmt w:val="decimal"/>
      </w:endnotePr>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02E58" w14:textId="77777777" w:rsidR="009E7093" w:rsidRDefault="009E7093" w:rsidP="00D21805">
      <w:r>
        <w:separator/>
      </w:r>
    </w:p>
  </w:endnote>
  <w:endnote w:type="continuationSeparator" w:id="0">
    <w:p w14:paraId="27C657E0" w14:textId="77777777" w:rsidR="009E7093" w:rsidRDefault="009E7093" w:rsidP="00D21805">
      <w:r>
        <w:continuationSeparator/>
      </w:r>
    </w:p>
  </w:endnote>
  <w:endnote w:id="1">
    <w:p w14:paraId="287359DA" w14:textId="7D5D0C73" w:rsidR="00EA05FB" w:rsidRPr="003E507E" w:rsidRDefault="00EA05FB" w:rsidP="00FF0BD6">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FB6836" w:rsidRPr="003E507E">
        <w:rPr>
          <w:sz w:val="24"/>
          <w:szCs w:val="24"/>
          <w:lang w:val="en-US"/>
        </w:rPr>
        <w:t xml:space="preserve">Yvonne Donders, “Cultural Heritage and Human Rights,” in </w:t>
      </w:r>
      <w:r w:rsidR="00D5697E" w:rsidRPr="003E507E">
        <w:rPr>
          <w:i/>
          <w:iCs/>
          <w:sz w:val="24"/>
          <w:szCs w:val="24"/>
          <w:lang w:val="en-US"/>
        </w:rPr>
        <w:t xml:space="preserve">The </w:t>
      </w:r>
      <w:r w:rsidR="00FB6836" w:rsidRPr="003E507E">
        <w:rPr>
          <w:i/>
          <w:sz w:val="24"/>
          <w:szCs w:val="24"/>
          <w:lang w:val="en-US"/>
        </w:rPr>
        <w:t>Oxford Handbook of International Cultural Heritage Law</w:t>
      </w:r>
      <w:r w:rsidR="00FB6836" w:rsidRPr="003E507E">
        <w:rPr>
          <w:sz w:val="24"/>
          <w:szCs w:val="24"/>
          <w:lang w:val="en-US"/>
        </w:rPr>
        <w:t xml:space="preserve">, ed. Francesco Francioni and Ana Filipa Vrdoljak (Oxford: Oxford University Press, 2020), </w:t>
      </w:r>
      <w:r w:rsidRPr="003E507E">
        <w:rPr>
          <w:sz w:val="24"/>
          <w:szCs w:val="24"/>
          <w:lang w:val="en-US"/>
        </w:rPr>
        <w:t xml:space="preserve">385. </w:t>
      </w:r>
    </w:p>
  </w:endnote>
  <w:endnote w:id="2">
    <w:p w14:paraId="6C4AB817" w14:textId="4118D6E1"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F73114" w:rsidRPr="003E507E">
        <w:rPr>
          <w:sz w:val="24"/>
          <w:szCs w:val="24"/>
          <w:lang w:val="en-US"/>
        </w:rPr>
        <w:t>Ana F. Vrdoljak</w:t>
      </w:r>
      <w:r w:rsidR="00F73114" w:rsidRPr="003E507E">
        <w:rPr>
          <w:iCs/>
          <w:sz w:val="24"/>
          <w:szCs w:val="24"/>
          <w:lang w:val="en-US"/>
        </w:rPr>
        <w:t xml:space="preserve">, </w:t>
      </w:r>
      <w:r w:rsidR="00E01434" w:rsidRPr="003E507E">
        <w:rPr>
          <w:iCs/>
          <w:sz w:val="24"/>
          <w:szCs w:val="24"/>
          <w:lang w:val="en-US"/>
        </w:rPr>
        <w:t>introduction to</w:t>
      </w:r>
      <w:r w:rsidR="00F73114" w:rsidRPr="003E507E">
        <w:rPr>
          <w:iCs/>
          <w:sz w:val="24"/>
          <w:szCs w:val="24"/>
          <w:lang w:val="en-US"/>
        </w:rPr>
        <w:t xml:space="preserve"> </w:t>
      </w:r>
      <w:r w:rsidR="00F73114" w:rsidRPr="003E507E">
        <w:rPr>
          <w:i/>
          <w:iCs/>
          <w:sz w:val="24"/>
          <w:szCs w:val="24"/>
          <w:lang w:val="en-US"/>
        </w:rPr>
        <w:t>The Cultural Dimension of Human Rights</w:t>
      </w:r>
      <w:r w:rsidR="00F73114" w:rsidRPr="003E507E">
        <w:rPr>
          <w:iCs/>
          <w:sz w:val="24"/>
          <w:szCs w:val="24"/>
          <w:lang w:val="en-US"/>
        </w:rPr>
        <w:t xml:space="preserve">, ed. </w:t>
      </w:r>
      <w:r w:rsidR="00F73114" w:rsidRPr="003E507E">
        <w:rPr>
          <w:sz w:val="24"/>
          <w:szCs w:val="24"/>
          <w:lang w:val="en-US"/>
        </w:rPr>
        <w:t>Ana F</w:t>
      </w:r>
      <w:r w:rsidR="00C30A08" w:rsidRPr="003E507E">
        <w:rPr>
          <w:sz w:val="24"/>
          <w:szCs w:val="24"/>
          <w:lang w:val="en-US"/>
        </w:rPr>
        <w:t>ilipa</w:t>
      </w:r>
      <w:r w:rsidR="00F73114" w:rsidRPr="003E507E">
        <w:rPr>
          <w:sz w:val="24"/>
          <w:szCs w:val="24"/>
          <w:lang w:val="en-US"/>
        </w:rPr>
        <w:t xml:space="preserve"> Vrdoljak</w:t>
      </w:r>
      <w:r w:rsidR="00F73114" w:rsidRPr="003E507E">
        <w:rPr>
          <w:iCs/>
          <w:sz w:val="24"/>
          <w:szCs w:val="24"/>
          <w:lang w:val="en-US"/>
        </w:rPr>
        <w:t xml:space="preserve"> (</w:t>
      </w:r>
      <w:r w:rsidR="00F73114" w:rsidRPr="003E507E">
        <w:rPr>
          <w:sz w:val="24"/>
          <w:szCs w:val="24"/>
          <w:lang w:val="en-US"/>
        </w:rPr>
        <w:t>Oxford: Oxford University Press</w:t>
      </w:r>
      <w:r w:rsidR="00F73114" w:rsidRPr="003E507E">
        <w:rPr>
          <w:iCs/>
          <w:sz w:val="24"/>
          <w:szCs w:val="24"/>
          <w:lang w:val="en-US"/>
        </w:rPr>
        <w:t>, 2013), 1</w:t>
      </w:r>
      <w:r w:rsidRPr="003E507E">
        <w:rPr>
          <w:sz w:val="24"/>
          <w:szCs w:val="24"/>
          <w:lang w:val="en-US"/>
        </w:rPr>
        <w:t xml:space="preserve">. See also </w:t>
      </w:r>
      <w:r w:rsidR="00A75968" w:rsidRPr="003E507E">
        <w:rPr>
          <w:sz w:val="24"/>
          <w:szCs w:val="24"/>
          <w:lang w:val="en-US"/>
        </w:rPr>
        <w:t xml:space="preserve">Roger O’Keefe, “Tangible Cultural Heritage and International Human Rights Law,” in </w:t>
      </w:r>
      <w:r w:rsidR="00A75968" w:rsidRPr="003E507E">
        <w:rPr>
          <w:i/>
          <w:sz w:val="24"/>
          <w:szCs w:val="24"/>
          <w:lang w:val="en-US"/>
        </w:rPr>
        <w:t>Realising Cultural Heritage Law: Festschrift for Patrick O’Keefe</w:t>
      </w:r>
      <w:r w:rsidR="00A75968" w:rsidRPr="003E507E">
        <w:rPr>
          <w:sz w:val="24"/>
          <w:szCs w:val="24"/>
          <w:lang w:val="en-US"/>
        </w:rPr>
        <w:t>, ed. Lyndel V. Prott, Ruth Redmond-Cooper, and Stephen Urice (</w:t>
      </w:r>
      <w:r w:rsidR="00A75968" w:rsidRPr="00490CF3">
        <w:rPr>
          <w:color w:val="000000"/>
          <w:sz w:val="24"/>
          <w:szCs w:val="24"/>
          <w:lang w:val="en-US" w:eastAsia="fr-CH"/>
        </w:rPr>
        <w:t>Builth Wells, UK:</w:t>
      </w:r>
      <w:r w:rsidR="00A75968" w:rsidRPr="003E507E">
        <w:rPr>
          <w:sz w:val="24"/>
          <w:szCs w:val="24"/>
          <w:lang w:val="en-US"/>
        </w:rPr>
        <w:t xml:space="preserve"> Institute of Art and Law, 2013), </w:t>
      </w:r>
      <w:r w:rsidRPr="003E507E">
        <w:rPr>
          <w:sz w:val="24"/>
          <w:szCs w:val="24"/>
          <w:lang w:val="en-US"/>
        </w:rPr>
        <w:t>95.</w:t>
      </w:r>
    </w:p>
  </w:endnote>
  <w:endnote w:id="3">
    <w:p w14:paraId="09853788" w14:textId="7F684593" w:rsidR="00EA05FB" w:rsidRPr="003E507E" w:rsidRDefault="00EA05FB">
      <w:pPr>
        <w:pStyle w:val="EndnoteText"/>
        <w:spacing w:line="480" w:lineRule="auto"/>
        <w:rPr>
          <w:sz w:val="24"/>
          <w:lang w:val="en-US"/>
        </w:rPr>
      </w:pPr>
      <w:r w:rsidRPr="00490CF3">
        <w:rPr>
          <w:rStyle w:val="EndnoteReference"/>
          <w:sz w:val="24"/>
          <w:lang w:val="en-US"/>
        </w:rPr>
        <w:endnoteRef/>
      </w:r>
      <w:r w:rsidRPr="00490CF3">
        <w:rPr>
          <w:sz w:val="24"/>
          <w:lang w:val="en-US"/>
        </w:rPr>
        <w:t xml:space="preserve"> This chapter focuses on atrocities committed during armed conflict and their deleterious impact on cultural heritage. However, egregious violations of cultural heritage and cultural rights also occur in time of peace. This is testified by the systematic persecution of Tibetans, Uighur</w:t>
      </w:r>
      <w:r w:rsidR="00EC6CBB" w:rsidRPr="003E507E">
        <w:rPr>
          <w:sz w:val="24"/>
          <w:lang w:val="en-US"/>
        </w:rPr>
        <w:t>s,</w:t>
      </w:r>
      <w:r w:rsidRPr="00490CF3">
        <w:rPr>
          <w:sz w:val="24"/>
          <w:lang w:val="en-US"/>
        </w:rPr>
        <w:t xml:space="preserve"> and other Muslim minorities</w:t>
      </w:r>
      <w:r w:rsidRPr="00490CF3">
        <w:rPr>
          <w:sz w:val="24"/>
          <w:szCs w:val="24"/>
          <w:lang w:val="en-US"/>
        </w:rPr>
        <w:t xml:space="preserve"> </w:t>
      </w:r>
      <w:r w:rsidRPr="00490CF3">
        <w:rPr>
          <w:sz w:val="24"/>
          <w:lang w:val="en-US"/>
        </w:rPr>
        <w:t>in China, which is accompanied by the destruction of the</w:t>
      </w:r>
      <w:r w:rsidR="00D42E11" w:rsidRPr="003E507E">
        <w:rPr>
          <w:sz w:val="24"/>
          <w:lang w:val="en-US"/>
        </w:rPr>
        <w:t>ir</w:t>
      </w:r>
      <w:r w:rsidRPr="00490CF3">
        <w:rPr>
          <w:sz w:val="24"/>
          <w:lang w:val="en-US"/>
        </w:rPr>
        <w:t xml:space="preserve"> heritage.</w:t>
      </w:r>
    </w:p>
  </w:endnote>
  <w:endnote w:id="4">
    <w:p w14:paraId="56B0028B" w14:textId="3CA899A4"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037F28" w:rsidRPr="003E507E">
        <w:rPr>
          <w:bCs/>
          <w:sz w:val="24"/>
          <w:szCs w:val="24"/>
          <w:lang w:val="en-US"/>
        </w:rPr>
        <w:t xml:space="preserve">Farida Shaheed, </w:t>
      </w:r>
      <w:r w:rsidRPr="00490CF3">
        <w:rPr>
          <w:bCs/>
          <w:i/>
          <w:iCs/>
          <w:sz w:val="24"/>
          <w:szCs w:val="24"/>
          <w:lang w:val="en-US"/>
        </w:rPr>
        <w:t>Report</w:t>
      </w:r>
      <w:r w:rsidRPr="00490CF3">
        <w:rPr>
          <w:i/>
          <w:iCs/>
          <w:sz w:val="24"/>
          <w:szCs w:val="24"/>
          <w:lang w:val="en-US"/>
        </w:rPr>
        <w:t xml:space="preserve"> of the </w:t>
      </w:r>
      <w:r w:rsidR="00037F28" w:rsidRPr="00490CF3">
        <w:rPr>
          <w:bCs/>
          <w:i/>
          <w:iCs/>
          <w:sz w:val="24"/>
          <w:szCs w:val="24"/>
          <w:lang w:val="en-US"/>
        </w:rPr>
        <w:t>I</w:t>
      </w:r>
      <w:r w:rsidRPr="00490CF3">
        <w:rPr>
          <w:bCs/>
          <w:i/>
          <w:iCs/>
          <w:sz w:val="24"/>
          <w:szCs w:val="24"/>
          <w:lang w:val="en-US"/>
        </w:rPr>
        <w:t xml:space="preserve">ndependent </w:t>
      </w:r>
      <w:r w:rsidR="00037F28" w:rsidRPr="00490CF3">
        <w:rPr>
          <w:bCs/>
          <w:i/>
          <w:iCs/>
          <w:sz w:val="24"/>
          <w:szCs w:val="24"/>
          <w:lang w:val="en-US"/>
        </w:rPr>
        <w:t>E</w:t>
      </w:r>
      <w:r w:rsidRPr="00490CF3">
        <w:rPr>
          <w:bCs/>
          <w:i/>
          <w:iCs/>
          <w:sz w:val="24"/>
          <w:szCs w:val="24"/>
          <w:lang w:val="en-US"/>
        </w:rPr>
        <w:t xml:space="preserve">xpert in the </w:t>
      </w:r>
      <w:r w:rsidR="00037F28" w:rsidRPr="00490CF3">
        <w:rPr>
          <w:bCs/>
          <w:i/>
          <w:iCs/>
          <w:sz w:val="24"/>
          <w:szCs w:val="24"/>
          <w:lang w:val="en-US"/>
        </w:rPr>
        <w:t>F</w:t>
      </w:r>
      <w:r w:rsidRPr="00490CF3">
        <w:rPr>
          <w:bCs/>
          <w:i/>
          <w:iCs/>
          <w:sz w:val="24"/>
          <w:szCs w:val="24"/>
          <w:lang w:val="en-US"/>
        </w:rPr>
        <w:t xml:space="preserve">ield of </w:t>
      </w:r>
      <w:r w:rsidR="00037F28" w:rsidRPr="00490CF3">
        <w:rPr>
          <w:bCs/>
          <w:i/>
          <w:iCs/>
          <w:sz w:val="24"/>
          <w:szCs w:val="24"/>
          <w:lang w:val="en-US"/>
        </w:rPr>
        <w:t>C</w:t>
      </w:r>
      <w:r w:rsidRPr="00490CF3">
        <w:rPr>
          <w:bCs/>
          <w:i/>
          <w:iCs/>
          <w:sz w:val="24"/>
          <w:szCs w:val="24"/>
          <w:lang w:val="en-US"/>
        </w:rPr>
        <w:t xml:space="preserve">ultural </w:t>
      </w:r>
      <w:r w:rsidR="00037F28" w:rsidRPr="00490CF3">
        <w:rPr>
          <w:bCs/>
          <w:i/>
          <w:iCs/>
          <w:sz w:val="24"/>
          <w:szCs w:val="24"/>
          <w:lang w:val="en-US"/>
        </w:rPr>
        <w:t>R</w:t>
      </w:r>
      <w:r w:rsidRPr="00490CF3">
        <w:rPr>
          <w:bCs/>
          <w:i/>
          <w:iCs/>
          <w:sz w:val="24"/>
          <w:szCs w:val="24"/>
          <w:lang w:val="en-US"/>
        </w:rPr>
        <w:t>ights</w:t>
      </w:r>
      <w:r w:rsidRPr="003E507E">
        <w:rPr>
          <w:bCs/>
          <w:sz w:val="24"/>
          <w:szCs w:val="24"/>
          <w:lang w:val="en-US"/>
        </w:rPr>
        <w:t xml:space="preserve">, </w:t>
      </w:r>
      <w:r w:rsidR="00783595" w:rsidRPr="003E507E">
        <w:rPr>
          <w:bCs/>
          <w:sz w:val="24"/>
          <w:szCs w:val="24"/>
          <w:lang w:val="en-US"/>
        </w:rPr>
        <w:t>Human Rights Council</w:t>
      </w:r>
      <w:r w:rsidRPr="003E507E">
        <w:rPr>
          <w:bCs/>
          <w:sz w:val="24"/>
          <w:szCs w:val="24"/>
          <w:lang w:val="en-US"/>
        </w:rPr>
        <w:t xml:space="preserve">, </w:t>
      </w:r>
      <w:r w:rsidR="00783595" w:rsidRPr="003E507E">
        <w:rPr>
          <w:bCs/>
          <w:sz w:val="24"/>
          <w:szCs w:val="24"/>
          <w:lang w:val="en-US"/>
        </w:rPr>
        <w:t xml:space="preserve">UN doc. </w:t>
      </w:r>
      <w:r w:rsidRPr="003E507E">
        <w:rPr>
          <w:bCs/>
          <w:sz w:val="24"/>
          <w:szCs w:val="24"/>
          <w:lang w:val="en-US"/>
        </w:rPr>
        <w:t xml:space="preserve">A/HRC/17/38, </w:t>
      </w:r>
      <w:r w:rsidR="00783595" w:rsidRPr="003E507E">
        <w:rPr>
          <w:bCs/>
          <w:sz w:val="24"/>
          <w:szCs w:val="24"/>
          <w:lang w:val="en-US"/>
        </w:rPr>
        <w:t xml:space="preserve">21 March 2001, </w:t>
      </w:r>
      <w:r w:rsidRPr="003E507E">
        <w:rPr>
          <w:bCs/>
          <w:sz w:val="24"/>
          <w:szCs w:val="24"/>
          <w:lang w:val="en-US"/>
        </w:rPr>
        <w:t>para. 18.</w:t>
      </w:r>
    </w:p>
  </w:endnote>
  <w:endnote w:id="5">
    <w:p w14:paraId="395E79CB" w14:textId="2B1AF3B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E25CA9" w:rsidRPr="003E507E">
        <w:rPr>
          <w:sz w:val="24"/>
          <w:szCs w:val="24"/>
          <w:lang w:val="en-US"/>
        </w:rPr>
        <w:t xml:space="preserve">Francesco Francioni, “Beyond State Sovereignty: The Protection of Cultural Heritage as a Shared Interest of Humanity,” </w:t>
      </w:r>
      <w:r w:rsidR="00E25CA9" w:rsidRPr="003E507E">
        <w:rPr>
          <w:i/>
          <w:sz w:val="24"/>
          <w:szCs w:val="24"/>
          <w:lang w:val="en-US"/>
        </w:rPr>
        <w:t>Michigan Journal of International Law</w:t>
      </w:r>
      <w:r w:rsidR="00E25CA9" w:rsidRPr="003E507E">
        <w:rPr>
          <w:sz w:val="24"/>
          <w:szCs w:val="24"/>
          <w:lang w:val="en-US"/>
        </w:rPr>
        <w:t xml:space="preserve"> </w:t>
      </w:r>
      <w:r w:rsidR="004E58A0" w:rsidRPr="003E507E">
        <w:rPr>
          <w:sz w:val="24"/>
          <w:szCs w:val="24"/>
          <w:lang w:val="en-US"/>
        </w:rPr>
        <w:t xml:space="preserve">25, no. 4 </w:t>
      </w:r>
      <w:r w:rsidR="00E25CA9" w:rsidRPr="003E507E">
        <w:rPr>
          <w:sz w:val="24"/>
          <w:szCs w:val="24"/>
          <w:lang w:val="en-US"/>
        </w:rPr>
        <w:t xml:space="preserve">(2004): </w:t>
      </w:r>
      <w:r w:rsidRPr="00490CF3">
        <w:rPr>
          <w:sz w:val="24"/>
          <w:szCs w:val="24"/>
          <w:lang w:val="en-US"/>
        </w:rPr>
        <w:t>1221.</w:t>
      </w:r>
    </w:p>
  </w:endnote>
  <w:endnote w:id="6">
    <w:p w14:paraId="78733EC7" w14:textId="44052DE4"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021FA0" w:rsidRPr="003E507E">
        <w:rPr>
          <w:iCs/>
          <w:sz w:val="24"/>
          <w:szCs w:val="24"/>
          <w:lang w:val="en-US"/>
        </w:rPr>
        <w:t>Sarah Joseph,</w:t>
      </w:r>
      <w:r w:rsidR="00021FA0" w:rsidRPr="003E507E">
        <w:rPr>
          <w:sz w:val="24"/>
          <w:szCs w:val="24"/>
          <w:lang w:val="en-US"/>
        </w:rPr>
        <w:t xml:space="preserve"> “Art and Human Rights Law,”</w:t>
      </w:r>
      <w:r w:rsidR="00021FA0" w:rsidRPr="003E507E">
        <w:rPr>
          <w:iCs/>
          <w:sz w:val="24"/>
          <w:szCs w:val="24"/>
          <w:lang w:val="en-US"/>
        </w:rPr>
        <w:t xml:space="preserve"> in </w:t>
      </w:r>
      <w:r w:rsidR="00021FA0" w:rsidRPr="003E507E">
        <w:rPr>
          <w:i/>
          <w:iCs/>
          <w:sz w:val="24"/>
          <w:szCs w:val="24"/>
          <w:lang w:val="en-US"/>
        </w:rPr>
        <w:t>Research Handbook on Art and Law</w:t>
      </w:r>
      <w:r w:rsidR="00021FA0" w:rsidRPr="003E507E">
        <w:rPr>
          <w:iCs/>
          <w:sz w:val="24"/>
          <w:szCs w:val="24"/>
          <w:lang w:val="en-US"/>
        </w:rPr>
        <w:t>, ed. Jani McCutcheon and Fiona McGaughey (Cheltenham, UK: Edward Elgar, 2020)</w:t>
      </w:r>
      <w:r w:rsidRPr="003E507E">
        <w:rPr>
          <w:iCs/>
          <w:sz w:val="24"/>
          <w:szCs w:val="24"/>
          <w:lang w:val="en-US"/>
        </w:rPr>
        <w:t>, 389</w:t>
      </w:r>
      <w:r w:rsidRPr="00490CF3">
        <w:rPr>
          <w:sz w:val="24"/>
          <w:szCs w:val="24"/>
          <w:lang w:val="en-US"/>
        </w:rPr>
        <w:t>.</w:t>
      </w:r>
    </w:p>
  </w:endnote>
  <w:endnote w:id="7">
    <w:p w14:paraId="783C56EB" w14:textId="0D1DA9B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On the question </w:t>
      </w:r>
      <w:r w:rsidR="002237CE" w:rsidRPr="003E507E">
        <w:rPr>
          <w:sz w:val="24"/>
          <w:szCs w:val="24"/>
          <w:lang w:val="en-US"/>
        </w:rPr>
        <w:t xml:space="preserve">of </w:t>
      </w:r>
      <w:r w:rsidRPr="00490CF3">
        <w:rPr>
          <w:sz w:val="24"/>
          <w:szCs w:val="24"/>
          <w:lang w:val="en-US"/>
        </w:rPr>
        <w:t>whether international cultural heritage law constitutes a subsection of public international law</w:t>
      </w:r>
      <w:r w:rsidR="00860090" w:rsidRPr="003E507E">
        <w:rPr>
          <w:sz w:val="24"/>
          <w:szCs w:val="24"/>
          <w:lang w:val="en-US"/>
        </w:rPr>
        <w:t>,</w:t>
      </w:r>
      <w:r w:rsidRPr="00490CF3">
        <w:rPr>
          <w:sz w:val="24"/>
          <w:szCs w:val="24"/>
          <w:lang w:val="en-US"/>
        </w:rPr>
        <w:t xml:space="preserve"> see </w:t>
      </w:r>
      <w:r w:rsidR="0031371A" w:rsidRPr="003E507E">
        <w:rPr>
          <w:sz w:val="24"/>
          <w:szCs w:val="24"/>
          <w:lang w:val="en-US"/>
        </w:rPr>
        <w:t xml:space="preserve">Ana Filipa Vrdoljak and Francesco Francioni, </w:t>
      </w:r>
      <w:r w:rsidR="00860090" w:rsidRPr="003E507E">
        <w:rPr>
          <w:sz w:val="24"/>
          <w:szCs w:val="24"/>
          <w:lang w:val="en-US"/>
        </w:rPr>
        <w:t>i</w:t>
      </w:r>
      <w:r w:rsidR="0031371A" w:rsidRPr="003E507E">
        <w:rPr>
          <w:sz w:val="24"/>
          <w:szCs w:val="24"/>
          <w:lang w:val="en-US"/>
        </w:rPr>
        <w:t>ntroduction</w:t>
      </w:r>
      <w:r w:rsidR="00860090" w:rsidRPr="003E507E">
        <w:rPr>
          <w:sz w:val="24"/>
          <w:szCs w:val="24"/>
          <w:lang w:val="en-US"/>
        </w:rPr>
        <w:t xml:space="preserve"> to</w:t>
      </w:r>
      <w:r w:rsidR="0036634E" w:rsidRPr="003E507E">
        <w:rPr>
          <w:sz w:val="24"/>
          <w:szCs w:val="24"/>
          <w:lang w:val="en-US"/>
        </w:rPr>
        <w:t xml:space="preserve"> </w:t>
      </w:r>
      <w:r w:rsidR="0031371A" w:rsidRPr="003E507E">
        <w:rPr>
          <w:i/>
          <w:sz w:val="24"/>
          <w:szCs w:val="24"/>
          <w:lang w:val="en-US"/>
        </w:rPr>
        <w:t>Oxford Handbook on International Cultural Heritage Law</w:t>
      </w:r>
      <w:r w:rsidR="0031371A" w:rsidRPr="003E507E">
        <w:rPr>
          <w:sz w:val="24"/>
          <w:szCs w:val="24"/>
          <w:lang w:val="en-US"/>
        </w:rPr>
        <w:t xml:space="preserve">, ed. Francioni and Vrdoljak, </w:t>
      </w:r>
      <w:r w:rsidRPr="00490CF3">
        <w:rPr>
          <w:sz w:val="24"/>
          <w:szCs w:val="24"/>
          <w:lang w:val="en-US"/>
        </w:rPr>
        <w:t>9.</w:t>
      </w:r>
      <w:r w:rsidRPr="003E507E">
        <w:rPr>
          <w:sz w:val="24"/>
          <w:szCs w:val="24"/>
          <w:lang w:val="en-US"/>
        </w:rPr>
        <w:t xml:space="preserve"> </w:t>
      </w:r>
    </w:p>
  </w:endnote>
  <w:endnote w:id="8">
    <w:p w14:paraId="3DDF74AD" w14:textId="1D21166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The term </w:t>
      </w:r>
      <w:r w:rsidR="007C2CC9" w:rsidRPr="003E507E">
        <w:rPr>
          <w:sz w:val="24"/>
          <w:szCs w:val="24"/>
          <w:lang w:val="en-US"/>
        </w:rPr>
        <w:t>“</w:t>
      </w:r>
      <w:r w:rsidRPr="003E507E">
        <w:rPr>
          <w:sz w:val="24"/>
          <w:szCs w:val="24"/>
          <w:lang w:val="en-US"/>
        </w:rPr>
        <w:t>cultural property</w:t>
      </w:r>
      <w:r w:rsidR="007C2CC9" w:rsidRPr="003E507E">
        <w:rPr>
          <w:sz w:val="24"/>
          <w:szCs w:val="24"/>
          <w:lang w:val="en-US"/>
        </w:rPr>
        <w:t>”</w:t>
      </w:r>
      <w:r w:rsidRPr="003E507E">
        <w:rPr>
          <w:sz w:val="24"/>
          <w:szCs w:val="24"/>
          <w:lang w:val="en-US"/>
        </w:rPr>
        <w:t xml:space="preserve"> was also used in the </w:t>
      </w:r>
      <w:r w:rsidR="005F6A82" w:rsidRPr="003E507E">
        <w:rPr>
          <w:sz w:val="24"/>
          <w:szCs w:val="24"/>
          <w:lang w:val="en-US"/>
        </w:rPr>
        <w:t xml:space="preserve">1970 </w:t>
      </w:r>
      <w:r w:rsidRPr="003E507E">
        <w:rPr>
          <w:sz w:val="24"/>
          <w:szCs w:val="24"/>
          <w:lang w:val="en-US"/>
        </w:rPr>
        <w:t xml:space="preserve">UNESCO </w:t>
      </w:r>
      <w:r w:rsidRPr="003E507E">
        <w:rPr>
          <w:iCs/>
          <w:sz w:val="24"/>
          <w:szCs w:val="24"/>
          <w:lang w:val="en-US"/>
        </w:rPr>
        <w:t>Convention on the Means of Prohibiting and Preventing the Illicit Import, Export and Transfer of Ownership of Cultural Property.</w:t>
      </w:r>
      <w:r w:rsidRPr="003E507E">
        <w:rPr>
          <w:sz w:val="24"/>
          <w:szCs w:val="24"/>
          <w:lang w:val="en-US"/>
        </w:rPr>
        <w:t xml:space="preserve"> </w:t>
      </w:r>
    </w:p>
  </w:endnote>
  <w:endnote w:id="9">
    <w:p w14:paraId="408BDBB4" w14:textId="1A8704CD"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Earlier treaties did not contain a precise term. Movable and immovable cultural object</w:t>
      </w:r>
      <w:r w:rsidR="002C1D7B" w:rsidRPr="003E507E">
        <w:rPr>
          <w:sz w:val="24"/>
          <w:szCs w:val="24"/>
          <w:lang w:val="en-US"/>
        </w:rPr>
        <w:t>s</w:t>
      </w:r>
      <w:r w:rsidRPr="003E507E">
        <w:rPr>
          <w:sz w:val="24"/>
          <w:szCs w:val="24"/>
          <w:lang w:val="en-US"/>
        </w:rPr>
        <w:t xml:space="preserve"> were identified based on their use. For instance, the </w:t>
      </w:r>
      <w:r w:rsidRPr="003E507E">
        <w:rPr>
          <w:iCs/>
          <w:sz w:val="24"/>
          <w:szCs w:val="24"/>
          <w:lang w:val="en-US"/>
        </w:rPr>
        <w:t xml:space="preserve">Regulations Respecting the Laws and Customs of War on Land </w:t>
      </w:r>
      <w:r w:rsidR="00335DFD" w:rsidRPr="003E507E">
        <w:rPr>
          <w:iCs/>
          <w:sz w:val="24"/>
          <w:szCs w:val="24"/>
          <w:lang w:val="en-US"/>
        </w:rPr>
        <w:t>A</w:t>
      </w:r>
      <w:r w:rsidRPr="003E507E">
        <w:rPr>
          <w:iCs/>
          <w:sz w:val="24"/>
          <w:szCs w:val="24"/>
          <w:lang w:val="en-US"/>
        </w:rPr>
        <w:t>nnexed to</w:t>
      </w:r>
      <w:r w:rsidRPr="003E507E">
        <w:rPr>
          <w:sz w:val="24"/>
          <w:szCs w:val="24"/>
          <w:lang w:val="en-US"/>
        </w:rPr>
        <w:t xml:space="preserve"> Hague </w:t>
      </w:r>
      <w:r w:rsidRPr="003E507E">
        <w:rPr>
          <w:iCs/>
          <w:sz w:val="24"/>
          <w:szCs w:val="24"/>
          <w:lang w:val="en-US"/>
        </w:rPr>
        <w:t>Convention</w:t>
      </w:r>
      <w:r w:rsidRPr="003E507E">
        <w:rPr>
          <w:sz w:val="24"/>
          <w:szCs w:val="24"/>
          <w:lang w:val="en-US"/>
        </w:rPr>
        <w:t xml:space="preserve"> </w:t>
      </w:r>
      <w:r w:rsidRPr="003E507E">
        <w:rPr>
          <w:iCs/>
          <w:sz w:val="24"/>
          <w:szCs w:val="24"/>
          <w:lang w:val="en-US"/>
        </w:rPr>
        <w:t>(IV) Respecting the Laws and Customs of War on Land</w:t>
      </w:r>
      <w:r w:rsidRPr="003E507E">
        <w:rPr>
          <w:sz w:val="24"/>
          <w:szCs w:val="24"/>
          <w:lang w:val="en-US"/>
        </w:rPr>
        <w:t xml:space="preserve"> of 1907</w:t>
      </w:r>
      <w:r w:rsidR="00D83596" w:rsidRPr="003E507E">
        <w:rPr>
          <w:sz w:val="24"/>
          <w:szCs w:val="24"/>
          <w:lang w:val="en-US"/>
        </w:rPr>
        <w:t>, Art. 56</w:t>
      </w:r>
      <w:r w:rsidRPr="003E507E">
        <w:rPr>
          <w:sz w:val="24"/>
          <w:szCs w:val="24"/>
          <w:lang w:val="en-US"/>
        </w:rPr>
        <w:t xml:space="preserve"> refers to “property of municipalities [and] … of institutions dedicated to religion, charity and education, the arts and sciences … historic monuments, works of art and science</w:t>
      </w:r>
      <w:r w:rsidR="00E50096" w:rsidRPr="003E507E">
        <w:rPr>
          <w:sz w:val="24"/>
          <w:szCs w:val="24"/>
          <w:lang w:val="en-US"/>
        </w:rPr>
        <w:t>.”</w:t>
      </w:r>
    </w:p>
  </w:endnote>
  <w:endnote w:id="10">
    <w:p w14:paraId="50784D79" w14:textId="48CFE2F2" w:rsidR="00EA05FB" w:rsidRPr="00490CF3"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490CF3">
        <w:rPr>
          <w:rFonts w:ascii="Times New Roman" w:hAnsi="Times New Roman"/>
          <w:lang w:val="en-US"/>
        </w:rPr>
        <w:t xml:space="preserve"> </w:t>
      </w:r>
      <w:r w:rsidR="001548E6" w:rsidRPr="003E507E">
        <w:rPr>
          <w:rFonts w:ascii="Times" w:hAnsi="Times" w:cs="Times"/>
          <w:lang w:val="en-US"/>
        </w:rPr>
        <w:t xml:space="preserve">Francesco Francioni, “A Dynamic Evolution of Concept and Scope: From Cultural Property to Cultural Heritage,” in </w:t>
      </w:r>
      <w:r w:rsidR="001548E6" w:rsidRPr="003E507E">
        <w:rPr>
          <w:rFonts w:ascii="Times" w:hAnsi="Times" w:cs="Times"/>
          <w:bCs/>
          <w:i/>
          <w:lang w:val="en-US"/>
        </w:rPr>
        <w:t xml:space="preserve">Standard-Setting in UNESCO, </w:t>
      </w:r>
      <w:r w:rsidR="001548E6" w:rsidRPr="003E507E">
        <w:rPr>
          <w:rFonts w:ascii="Times" w:hAnsi="Times" w:cs="Times"/>
          <w:i/>
          <w:lang w:val="en-US"/>
        </w:rPr>
        <w:t>Normative Action in Education, Science and Culture</w:t>
      </w:r>
      <w:r w:rsidR="001548E6" w:rsidRPr="003E507E">
        <w:rPr>
          <w:rFonts w:ascii="Times" w:hAnsi="Times" w:cs="Times"/>
          <w:lang w:val="en-US"/>
        </w:rPr>
        <w:t xml:space="preserve">, ed. Abdulqawi A. Yusuf (Leiden, Netherlands: Martinus Nijhoff and UNESCO, 2007), </w:t>
      </w:r>
      <w:r w:rsidRPr="00490CF3">
        <w:rPr>
          <w:rFonts w:ascii="Times New Roman" w:hAnsi="Times New Roman"/>
          <w:lang w:val="en-US"/>
        </w:rPr>
        <w:t>225.</w:t>
      </w:r>
    </w:p>
  </w:endnote>
  <w:endnote w:id="11">
    <w:p w14:paraId="324106EE" w14:textId="6A4239C6" w:rsidR="00EA05FB" w:rsidRPr="00490CF3"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490CF3">
        <w:rPr>
          <w:rFonts w:ascii="Times New Roman" w:hAnsi="Times New Roman"/>
          <w:lang w:val="en-US"/>
        </w:rPr>
        <w:t xml:space="preserve"> </w:t>
      </w:r>
      <w:r w:rsidR="00FB7C22" w:rsidRPr="003E507E">
        <w:rPr>
          <w:rFonts w:ascii="Times" w:hAnsi="Times" w:cs="Times"/>
          <w:lang w:val="en-US"/>
        </w:rPr>
        <w:t xml:space="preserve">Lyndel V. Prott and Patrick O’Keefe, “‘Cultural Heritage’ or ‘Cultural Property’?” </w:t>
      </w:r>
      <w:r w:rsidR="00FB7C22" w:rsidRPr="003E507E">
        <w:rPr>
          <w:rFonts w:ascii="Times" w:hAnsi="Times" w:cs="Times"/>
          <w:i/>
          <w:lang w:val="en-US"/>
        </w:rPr>
        <w:t>International Journal of Cultural Property</w:t>
      </w:r>
      <w:r w:rsidR="00FB7C22" w:rsidRPr="003E507E">
        <w:rPr>
          <w:rFonts w:ascii="Times" w:hAnsi="Times" w:cs="Times"/>
          <w:lang w:val="en-US"/>
        </w:rPr>
        <w:t xml:space="preserve"> </w:t>
      </w:r>
      <w:r w:rsidR="00BD3DE0" w:rsidRPr="003E507E">
        <w:rPr>
          <w:rFonts w:ascii="Times" w:hAnsi="Times" w:cs="Times"/>
          <w:lang w:val="en-US"/>
        </w:rPr>
        <w:t xml:space="preserve">1, no. 2 </w:t>
      </w:r>
      <w:r w:rsidR="00FB7C22" w:rsidRPr="003E507E">
        <w:rPr>
          <w:rFonts w:ascii="Times" w:hAnsi="Times" w:cs="Times"/>
          <w:lang w:val="en-US"/>
        </w:rPr>
        <w:t xml:space="preserve">(1992): </w:t>
      </w:r>
      <w:r w:rsidRPr="00490CF3">
        <w:rPr>
          <w:rFonts w:ascii="Times New Roman" w:hAnsi="Times New Roman"/>
          <w:lang w:val="en-US"/>
        </w:rPr>
        <w:t>311.</w:t>
      </w:r>
    </w:p>
  </w:endnote>
  <w:endnote w:id="12">
    <w:p w14:paraId="03B3A87D" w14:textId="66925D4D" w:rsidR="00EA05FB" w:rsidRPr="00490CF3"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490CF3">
        <w:rPr>
          <w:rFonts w:ascii="Times New Roman" w:hAnsi="Times New Roman"/>
          <w:lang w:val="en-US"/>
        </w:rPr>
        <w:t xml:space="preserve"> </w:t>
      </w:r>
      <w:r w:rsidR="00EC1318" w:rsidRPr="003E507E">
        <w:rPr>
          <w:rFonts w:ascii="Times" w:hAnsi="Times" w:cs="Times"/>
          <w:lang w:val="en-US"/>
        </w:rPr>
        <w:t xml:space="preserve">Francesco Francioni, “World Cultural Heritage,” in </w:t>
      </w:r>
      <w:r w:rsidR="00EC1318" w:rsidRPr="003E507E">
        <w:rPr>
          <w:rFonts w:ascii="Times" w:hAnsi="Times" w:cs="Times"/>
          <w:i/>
          <w:lang w:val="en-US"/>
        </w:rPr>
        <w:t>Oxford Handbook on International Cultural Heritage Law</w:t>
      </w:r>
      <w:r w:rsidR="00EC1318" w:rsidRPr="003E507E">
        <w:rPr>
          <w:rFonts w:ascii="Times" w:hAnsi="Times" w:cs="Times"/>
          <w:lang w:val="en-US"/>
        </w:rPr>
        <w:t xml:space="preserve">, ed. Francioni and Vrdoljak, </w:t>
      </w:r>
      <w:r w:rsidR="00C167A0" w:rsidRPr="00490CF3">
        <w:rPr>
          <w:rFonts w:ascii="Times New Roman" w:hAnsi="Times New Roman"/>
          <w:lang w:val="en-US"/>
        </w:rPr>
        <w:t>250</w:t>
      </w:r>
      <w:r w:rsidR="00EB06BF" w:rsidRPr="00490CF3">
        <w:rPr>
          <w:rFonts w:ascii="Times New Roman" w:hAnsi="Times New Roman"/>
          <w:lang w:val="en-US"/>
        </w:rPr>
        <w:t>–</w:t>
      </w:r>
      <w:r w:rsidR="00C167A0" w:rsidRPr="00490CF3">
        <w:rPr>
          <w:rFonts w:ascii="Times New Roman" w:hAnsi="Times New Roman"/>
          <w:lang w:val="en-US"/>
        </w:rPr>
        <w:t>51</w:t>
      </w:r>
      <w:r w:rsidRPr="00490CF3">
        <w:rPr>
          <w:rFonts w:ascii="Times New Roman" w:hAnsi="Times New Roman"/>
          <w:lang w:val="en-US"/>
        </w:rPr>
        <w:t>.</w:t>
      </w:r>
    </w:p>
  </w:endnote>
  <w:endnote w:id="13">
    <w:p w14:paraId="1E537697" w14:textId="69584CA5" w:rsidR="00EA05FB" w:rsidRPr="00490CF3"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490CF3">
        <w:rPr>
          <w:rFonts w:ascii="Times New Roman" w:hAnsi="Times New Roman"/>
          <w:lang w:val="en-US"/>
        </w:rPr>
        <w:t xml:space="preserve"> </w:t>
      </w:r>
      <w:r w:rsidR="00AF01CE" w:rsidRPr="00490CF3">
        <w:rPr>
          <w:rFonts w:ascii="Times New Roman" w:hAnsi="Times New Roman"/>
          <w:lang w:val="en-US"/>
        </w:rPr>
        <w:t xml:space="preserve">Prott and O’Keefe, </w:t>
      </w:r>
      <w:r w:rsidR="00BD3DE0" w:rsidRPr="003E507E">
        <w:rPr>
          <w:rFonts w:ascii="Times" w:hAnsi="Times" w:cs="Times"/>
          <w:lang w:val="en-US"/>
        </w:rPr>
        <w:t xml:space="preserve">“‘Cultural Heritage’ or ‘Cultural Property’?” </w:t>
      </w:r>
      <w:r w:rsidR="00AF01CE" w:rsidRPr="00490CF3">
        <w:rPr>
          <w:rFonts w:ascii="Times New Roman" w:hAnsi="Times New Roman"/>
          <w:lang w:val="en-US"/>
        </w:rPr>
        <w:t>307</w:t>
      </w:r>
      <w:r w:rsidR="00A1645E" w:rsidRPr="00490CF3">
        <w:rPr>
          <w:rFonts w:ascii="Times New Roman" w:hAnsi="Times New Roman"/>
          <w:lang w:val="en-US"/>
        </w:rPr>
        <w:t>, 311</w:t>
      </w:r>
      <w:r w:rsidRPr="00490CF3">
        <w:rPr>
          <w:rFonts w:ascii="Times New Roman" w:hAnsi="Times New Roman"/>
          <w:lang w:val="en-US"/>
        </w:rPr>
        <w:t>.</w:t>
      </w:r>
    </w:p>
  </w:endnote>
  <w:endnote w:id="14">
    <w:p w14:paraId="3697A53A" w14:textId="18124E02" w:rsidR="00EA05FB" w:rsidRPr="003E507E"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3E507E">
        <w:rPr>
          <w:rFonts w:ascii="Times New Roman" w:hAnsi="Times New Roman"/>
          <w:lang w:val="en-US"/>
        </w:rPr>
        <w:t xml:space="preserve"> </w:t>
      </w:r>
      <w:r w:rsidR="00884776" w:rsidRPr="003E507E">
        <w:rPr>
          <w:rFonts w:ascii="Times" w:hAnsi="Times" w:cs="Times"/>
          <w:lang w:val="en-US"/>
        </w:rPr>
        <w:t xml:space="preserve">Kristy Campion, “Blast through the Past: Terrorist Attacks on Art and Antiquities as a Reconquest of the Modern Jihadi Identity,” </w:t>
      </w:r>
      <w:r w:rsidR="00884776" w:rsidRPr="003E507E">
        <w:rPr>
          <w:rFonts w:ascii="Times" w:hAnsi="Times" w:cs="Times"/>
          <w:i/>
          <w:lang w:val="en-US"/>
        </w:rPr>
        <w:t>Perspectives on Terrorism</w:t>
      </w:r>
      <w:r w:rsidR="00884776" w:rsidRPr="003E507E">
        <w:rPr>
          <w:rFonts w:ascii="Times" w:hAnsi="Times" w:cs="Times"/>
          <w:lang w:val="en-US"/>
        </w:rPr>
        <w:t xml:space="preserve"> 11, no. 1 (2017): </w:t>
      </w:r>
      <w:r w:rsidRPr="003E507E">
        <w:rPr>
          <w:rFonts w:ascii="Times New Roman" w:hAnsi="Times New Roman"/>
          <w:lang w:val="en-US"/>
        </w:rPr>
        <w:t>28.</w:t>
      </w:r>
    </w:p>
  </w:endnote>
  <w:endnote w:id="15">
    <w:p w14:paraId="72AA6C8C" w14:textId="6609657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827A7A" w:rsidRPr="003E507E">
        <w:rPr>
          <w:sz w:val="24"/>
          <w:szCs w:val="24"/>
          <w:lang w:val="en-US"/>
        </w:rPr>
        <w:t>Francesco Francioni, “</w:t>
      </w:r>
      <w:r w:rsidR="00827A7A" w:rsidRPr="003E507E">
        <w:rPr>
          <w:iCs/>
          <w:sz w:val="24"/>
          <w:szCs w:val="24"/>
          <w:lang w:val="en-US"/>
        </w:rPr>
        <w:t>Public and Private in the International Protection of Global Cultural Goods,</w:t>
      </w:r>
      <w:r w:rsidR="00827A7A" w:rsidRPr="003E507E">
        <w:rPr>
          <w:sz w:val="24"/>
          <w:szCs w:val="24"/>
          <w:lang w:val="en-US"/>
        </w:rPr>
        <w:t xml:space="preserve">” </w:t>
      </w:r>
      <w:r w:rsidR="00827A7A" w:rsidRPr="003E507E">
        <w:rPr>
          <w:i/>
          <w:iCs/>
          <w:sz w:val="24"/>
          <w:szCs w:val="24"/>
          <w:lang w:val="en-US"/>
        </w:rPr>
        <w:t>European</w:t>
      </w:r>
      <w:r w:rsidR="00827A7A" w:rsidRPr="003E507E">
        <w:rPr>
          <w:iCs/>
          <w:sz w:val="24"/>
          <w:szCs w:val="24"/>
          <w:lang w:val="en-US"/>
        </w:rPr>
        <w:t xml:space="preserve"> </w:t>
      </w:r>
      <w:r w:rsidR="00827A7A" w:rsidRPr="003E507E">
        <w:rPr>
          <w:i/>
          <w:iCs/>
          <w:sz w:val="24"/>
          <w:szCs w:val="24"/>
          <w:lang w:val="en-US"/>
        </w:rPr>
        <w:t xml:space="preserve">Journal of International Law </w:t>
      </w:r>
      <w:r w:rsidR="000428D4" w:rsidRPr="003E507E">
        <w:rPr>
          <w:sz w:val="24"/>
          <w:szCs w:val="24"/>
          <w:lang w:val="en-US"/>
        </w:rPr>
        <w:t xml:space="preserve">23, no. 3 </w:t>
      </w:r>
      <w:r w:rsidR="00827A7A" w:rsidRPr="003E507E">
        <w:rPr>
          <w:iCs/>
          <w:sz w:val="24"/>
          <w:szCs w:val="24"/>
          <w:lang w:val="en-US"/>
        </w:rPr>
        <w:t>(</w:t>
      </w:r>
      <w:r w:rsidR="00827A7A" w:rsidRPr="003E507E">
        <w:rPr>
          <w:sz w:val="24"/>
          <w:szCs w:val="24"/>
          <w:lang w:val="en-US"/>
        </w:rPr>
        <w:t xml:space="preserve">2012): </w:t>
      </w:r>
      <w:r w:rsidRPr="003E507E">
        <w:rPr>
          <w:sz w:val="24"/>
          <w:szCs w:val="24"/>
          <w:lang w:val="en-US"/>
        </w:rPr>
        <w:t>726.</w:t>
      </w:r>
    </w:p>
  </w:endnote>
  <w:endnote w:id="16">
    <w:p w14:paraId="0F1325D5" w14:textId="1187450E"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Preamble, </w:t>
      </w:r>
      <w:r w:rsidR="003C56D2" w:rsidRPr="003E507E">
        <w:rPr>
          <w:sz w:val="24"/>
          <w:szCs w:val="24"/>
          <w:lang w:val="en-US"/>
        </w:rPr>
        <w:t>para. 2</w:t>
      </w:r>
      <w:r w:rsidRPr="003E507E">
        <w:rPr>
          <w:sz w:val="24"/>
          <w:szCs w:val="24"/>
          <w:lang w:val="en-US"/>
        </w:rPr>
        <w:t>.</w:t>
      </w:r>
    </w:p>
  </w:endnote>
  <w:endnote w:id="17">
    <w:p w14:paraId="6C9F104D" w14:textId="23AA79CA"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Harmful traditional practices can be defined as any pattern of conduct that: is regarded by the members of a given community as forming part of their culture; is deeply rooted in the idiosyncratic sociocultural and/or religious customs according to which certain vulnerable groups (i</w:t>
      </w:r>
      <w:r w:rsidR="00E77156" w:rsidRPr="003E507E">
        <w:rPr>
          <w:sz w:val="24"/>
          <w:szCs w:val="24"/>
          <w:lang w:val="en-US"/>
        </w:rPr>
        <w:t>.</w:t>
      </w:r>
      <w:r w:rsidRPr="003E507E">
        <w:rPr>
          <w:sz w:val="24"/>
          <w:szCs w:val="24"/>
          <w:lang w:val="en-US"/>
        </w:rPr>
        <w:t>e</w:t>
      </w:r>
      <w:r w:rsidR="00E77156" w:rsidRPr="003E507E">
        <w:rPr>
          <w:sz w:val="24"/>
          <w:szCs w:val="24"/>
          <w:lang w:val="en-US"/>
        </w:rPr>
        <w:t>.,</w:t>
      </w:r>
      <w:r w:rsidRPr="003E507E">
        <w:rPr>
          <w:sz w:val="24"/>
          <w:szCs w:val="24"/>
          <w:lang w:val="en-US"/>
        </w:rPr>
        <w:t xml:space="preserve"> women and girls) are inferior; is perceived as having beneficial effects for the victims of such practices, their families</w:t>
      </w:r>
      <w:r w:rsidR="00AC34D4" w:rsidRPr="003E507E">
        <w:rPr>
          <w:sz w:val="24"/>
          <w:szCs w:val="24"/>
          <w:lang w:val="en-US"/>
        </w:rPr>
        <w:t>,</w:t>
      </w:r>
      <w:r w:rsidRPr="003E507E">
        <w:rPr>
          <w:sz w:val="24"/>
          <w:szCs w:val="24"/>
          <w:lang w:val="en-US"/>
        </w:rPr>
        <w:t xml:space="preserve"> and the wider community; entails physical or mental harm or suffering, threats of such act, coercion</w:t>
      </w:r>
      <w:r w:rsidR="00AC34D4" w:rsidRPr="003E507E">
        <w:rPr>
          <w:sz w:val="24"/>
          <w:szCs w:val="24"/>
          <w:lang w:val="en-US"/>
        </w:rPr>
        <w:t>,</w:t>
      </w:r>
      <w:r w:rsidRPr="003E507E">
        <w:rPr>
          <w:sz w:val="24"/>
          <w:szCs w:val="24"/>
          <w:lang w:val="en-US"/>
        </w:rPr>
        <w:t xml:space="preserve"> and other deprivations of liberty, which often reach the threshold of torture or cruel, inhuman</w:t>
      </w:r>
      <w:r w:rsidR="00AC34D4" w:rsidRPr="003E507E">
        <w:rPr>
          <w:sz w:val="24"/>
          <w:szCs w:val="24"/>
          <w:lang w:val="en-US"/>
        </w:rPr>
        <w:t>,</w:t>
      </w:r>
      <w:r w:rsidRPr="003E507E">
        <w:rPr>
          <w:sz w:val="24"/>
          <w:szCs w:val="24"/>
          <w:lang w:val="en-US"/>
        </w:rPr>
        <w:t xml:space="preserve"> and degrading treatment; is imposed on women and children by family members, traditional and religious leaders</w:t>
      </w:r>
      <w:r w:rsidR="00AC34D4" w:rsidRPr="003E507E">
        <w:rPr>
          <w:sz w:val="24"/>
          <w:szCs w:val="24"/>
          <w:lang w:val="en-US"/>
        </w:rPr>
        <w:t>,</w:t>
      </w:r>
      <w:r w:rsidRPr="003E507E">
        <w:rPr>
          <w:sz w:val="24"/>
          <w:szCs w:val="24"/>
          <w:lang w:val="en-US"/>
        </w:rPr>
        <w:t xml:space="preserve"> and/or their community, regardless of whether the victim provides, or is able to provide, full, free</w:t>
      </w:r>
      <w:r w:rsidR="00AC34D4" w:rsidRPr="003E507E">
        <w:rPr>
          <w:sz w:val="24"/>
          <w:szCs w:val="24"/>
          <w:lang w:val="en-US"/>
        </w:rPr>
        <w:t>,</w:t>
      </w:r>
      <w:r w:rsidRPr="003E507E">
        <w:rPr>
          <w:sz w:val="24"/>
          <w:szCs w:val="24"/>
          <w:lang w:val="en-US"/>
        </w:rPr>
        <w:t xml:space="preserve"> and informed consent;</w:t>
      </w:r>
      <w:r w:rsidR="00AC34D4" w:rsidRPr="003E507E">
        <w:rPr>
          <w:sz w:val="24"/>
          <w:szCs w:val="24"/>
          <w:lang w:val="en-US"/>
        </w:rPr>
        <w:t xml:space="preserve"> or</w:t>
      </w:r>
      <w:r w:rsidRPr="003E507E">
        <w:rPr>
          <w:sz w:val="24"/>
          <w:szCs w:val="24"/>
          <w:lang w:val="en-US"/>
        </w:rPr>
        <w:t xml:space="preserve"> is maintained by social norms, i.e.</w:t>
      </w:r>
      <w:r w:rsidR="00AC34D4" w:rsidRPr="003E507E">
        <w:rPr>
          <w:sz w:val="24"/>
          <w:szCs w:val="24"/>
          <w:lang w:val="en-US"/>
        </w:rPr>
        <w:t>,</w:t>
      </w:r>
      <w:r w:rsidRPr="003E507E">
        <w:rPr>
          <w:sz w:val="24"/>
          <w:szCs w:val="24"/>
          <w:lang w:val="en-US"/>
        </w:rPr>
        <w:t xml:space="preserve"> informal rules that create a sense of obligation that conditions the behavior of community members</w:t>
      </w:r>
      <w:r w:rsidRPr="00670671">
        <w:rPr>
          <w:sz w:val="24"/>
          <w:szCs w:val="24"/>
          <w:lang w:val="en-US"/>
        </w:rPr>
        <w:t>.</w:t>
      </w:r>
    </w:p>
  </w:endnote>
  <w:endnote w:id="18">
    <w:p w14:paraId="2D415575" w14:textId="0EAE979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See </w:t>
      </w:r>
      <w:r w:rsidR="006E6C8D" w:rsidRPr="003E507E">
        <w:rPr>
          <w:sz w:val="24"/>
          <w:szCs w:val="24"/>
          <w:lang w:val="en-US"/>
        </w:rPr>
        <w:t xml:space="preserve">Alessandro Chechi, “When Culture and Human Rights Collide: The Long Road to the Elimination of Gender-Based Harmful Traditional Practices,” </w:t>
      </w:r>
      <w:r w:rsidR="006E6C8D" w:rsidRPr="003E507E">
        <w:rPr>
          <w:i/>
          <w:sz w:val="24"/>
          <w:szCs w:val="24"/>
          <w:lang w:val="en-US"/>
        </w:rPr>
        <w:t>Rivista Ordine internazionale e diritti umani</w:t>
      </w:r>
      <w:r w:rsidR="006E6C8D" w:rsidRPr="003E507E">
        <w:rPr>
          <w:sz w:val="24"/>
          <w:szCs w:val="24"/>
          <w:lang w:val="en-US"/>
        </w:rPr>
        <w:t xml:space="preserve"> (2020): 839–62</w:t>
      </w:r>
      <w:r w:rsidRPr="00490CF3">
        <w:rPr>
          <w:sz w:val="24"/>
          <w:szCs w:val="24"/>
          <w:lang w:val="en-US"/>
        </w:rPr>
        <w:t>.</w:t>
      </w:r>
    </w:p>
  </w:endnote>
  <w:endnote w:id="19">
    <w:p w14:paraId="3E782A2B" w14:textId="396DD98D"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842206" w:rsidRPr="003E507E">
        <w:rPr>
          <w:sz w:val="24"/>
          <w:szCs w:val="24"/>
          <w:lang w:val="en-US"/>
        </w:rPr>
        <w:t xml:space="preserve">Alexandra Xanthaki, “Multiculturalism and International Law: Discussing Universal Standards,” </w:t>
      </w:r>
      <w:r w:rsidR="00842206" w:rsidRPr="003E507E">
        <w:rPr>
          <w:i/>
          <w:sz w:val="24"/>
          <w:szCs w:val="24"/>
          <w:lang w:val="en-US"/>
        </w:rPr>
        <w:t xml:space="preserve">Human Rights Quarterly </w:t>
      </w:r>
      <w:r w:rsidR="00D657C1" w:rsidRPr="003E507E">
        <w:rPr>
          <w:iCs/>
          <w:sz w:val="24"/>
          <w:szCs w:val="24"/>
          <w:lang w:val="en-US"/>
        </w:rPr>
        <w:t xml:space="preserve">32, no. 1 </w:t>
      </w:r>
      <w:r w:rsidR="00842206" w:rsidRPr="003E507E">
        <w:rPr>
          <w:sz w:val="24"/>
          <w:szCs w:val="24"/>
          <w:lang w:val="en-US"/>
        </w:rPr>
        <w:t xml:space="preserve">(2010): </w:t>
      </w:r>
      <w:r w:rsidRPr="003E507E">
        <w:rPr>
          <w:sz w:val="24"/>
          <w:szCs w:val="24"/>
          <w:lang w:val="en-US"/>
        </w:rPr>
        <w:t>43.</w:t>
      </w:r>
    </w:p>
  </w:endnote>
  <w:endnote w:id="20">
    <w:p w14:paraId="0DC4E7F2" w14:textId="684ACFC0"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6D68CB" w:rsidRPr="003E507E">
        <w:rPr>
          <w:sz w:val="24"/>
          <w:szCs w:val="24"/>
          <w:lang w:val="en-US"/>
        </w:rPr>
        <w:t xml:space="preserve">Since 1952, </w:t>
      </w:r>
      <w:r w:rsidRPr="003E507E">
        <w:rPr>
          <w:sz w:val="24"/>
          <w:szCs w:val="24"/>
          <w:lang w:val="en-US"/>
        </w:rPr>
        <w:t>UNESCO has organized several expert meetings on cultural rights.</w:t>
      </w:r>
    </w:p>
  </w:endnote>
  <w:endnote w:id="21">
    <w:p w14:paraId="5602E576" w14:textId="1910E207" w:rsidR="00EA05FB" w:rsidRPr="00490CF3"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490CF3">
        <w:rPr>
          <w:rFonts w:ascii="Times New Roman" w:hAnsi="Times New Roman"/>
          <w:lang w:val="en-US"/>
        </w:rPr>
        <w:t xml:space="preserve"> See </w:t>
      </w:r>
      <w:r w:rsidR="00540B7C" w:rsidRPr="003E507E">
        <w:rPr>
          <w:rFonts w:ascii="Times" w:hAnsi="Times" w:cs="Times"/>
          <w:lang w:val="en-US"/>
        </w:rPr>
        <w:t xml:space="preserve">Janusz Symonides, “Cultural Rights: A Neglected Category of Human Rights,” </w:t>
      </w:r>
      <w:r w:rsidR="00540B7C" w:rsidRPr="003E507E">
        <w:rPr>
          <w:rFonts w:ascii="Times" w:hAnsi="Times" w:cs="Times"/>
          <w:i/>
          <w:lang w:val="en-US"/>
        </w:rPr>
        <w:t>International Social Science Journal</w:t>
      </w:r>
      <w:r w:rsidR="00540B7C" w:rsidRPr="003E507E">
        <w:rPr>
          <w:rFonts w:ascii="Times" w:hAnsi="Times" w:cs="Times"/>
          <w:lang w:val="en-US"/>
        </w:rPr>
        <w:t xml:space="preserve"> (1998): 559–72</w:t>
      </w:r>
      <w:r w:rsidRPr="00490CF3">
        <w:rPr>
          <w:rFonts w:ascii="Times New Roman" w:hAnsi="Times New Roman"/>
          <w:lang w:val="en-US"/>
        </w:rPr>
        <w:t>.</w:t>
      </w:r>
    </w:p>
  </w:endnote>
  <w:endnote w:id="22">
    <w:p w14:paraId="4829C2B3" w14:textId="3DD595E9"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694B9A" w:rsidRPr="003E507E">
        <w:rPr>
          <w:sz w:val="24"/>
          <w:szCs w:val="24"/>
          <w:lang w:val="en-US"/>
        </w:rPr>
        <w:t xml:space="preserve">Pok Yin S. Chow, “Culture as Collective Memories: An Emerging Concept in International Law and Discourse on Cultural Rights,” </w:t>
      </w:r>
      <w:r w:rsidR="00694B9A" w:rsidRPr="003E507E">
        <w:rPr>
          <w:i/>
          <w:sz w:val="24"/>
          <w:szCs w:val="24"/>
          <w:lang w:val="en-US"/>
        </w:rPr>
        <w:t>Human Rights Law Review</w:t>
      </w:r>
      <w:r w:rsidR="00694B9A" w:rsidRPr="003E507E">
        <w:rPr>
          <w:sz w:val="24"/>
          <w:szCs w:val="24"/>
          <w:lang w:val="en-US"/>
        </w:rPr>
        <w:t xml:space="preserve"> </w:t>
      </w:r>
      <w:r w:rsidR="00CB7152" w:rsidRPr="003E507E">
        <w:rPr>
          <w:sz w:val="24"/>
          <w:szCs w:val="24"/>
          <w:lang w:val="en-US"/>
        </w:rPr>
        <w:t xml:space="preserve">14, no. 4 </w:t>
      </w:r>
      <w:r w:rsidR="00694B9A" w:rsidRPr="003E507E">
        <w:rPr>
          <w:sz w:val="24"/>
          <w:szCs w:val="24"/>
          <w:lang w:val="en-US"/>
        </w:rPr>
        <w:t>(2014):</w:t>
      </w:r>
      <w:r w:rsidRPr="003E507E">
        <w:rPr>
          <w:sz w:val="24"/>
          <w:szCs w:val="24"/>
          <w:lang w:val="en-US"/>
        </w:rPr>
        <w:t xml:space="preserve"> 617.</w:t>
      </w:r>
    </w:p>
  </w:endnote>
  <w:endnote w:id="23">
    <w:p w14:paraId="051F16E9" w14:textId="0E0A143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vertAlign w:val="superscript"/>
          <w:lang w:val="en-US"/>
        </w:rPr>
        <w:t xml:space="preserve"> </w:t>
      </w:r>
      <w:r w:rsidR="00D81029" w:rsidRPr="003E507E">
        <w:rPr>
          <w:sz w:val="24"/>
          <w:szCs w:val="24"/>
          <w:lang w:val="en-US"/>
        </w:rPr>
        <w:t xml:space="preserve">Vanessa </w:t>
      </w:r>
      <w:r w:rsidRPr="003E507E">
        <w:rPr>
          <w:sz w:val="24"/>
          <w:szCs w:val="24"/>
          <w:lang w:val="en-US"/>
        </w:rPr>
        <w:t xml:space="preserve">Tünsmeyer, </w:t>
      </w:r>
      <w:r w:rsidR="00D81029" w:rsidRPr="003E507E">
        <w:rPr>
          <w:sz w:val="24"/>
          <w:szCs w:val="24"/>
          <w:lang w:val="en-US"/>
        </w:rPr>
        <w:t xml:space="preserve">“Bridging the Gap between International Human Rights and International Cultural Heritage Law Instruments: A Functions Approach,” in </w:t>
      </w:r>
      <w:r w:rsidR="00D81029" w:rsidRPr="003E507E">
        <w:rPr>
          <w:i/>
          <w:sz w:val="24"/>
          <w:szCs w:val="24"/>
          <w:lang w:val="en-US"/>
        </w:rPr>
        <w:t>Intersections in International Cultural Heritage Law</w:t>
      </w:r>
      <w:r w:rsidR="00D81029" w:rsidRPr="003E507E">
        <w:rPr>
          <w:sz w:val="24"/>
          <w:szCs w:val="24"/>
          <w:lang w:val="en-US"/>
        </w:rPr>
        <w:t xml:space="preserve">, ed. Anne-Marie Carstens and Elizabeth Varner (Oxford: Oxford University Press, 2020), </w:t>
      </w:r>
      <w:r w:rsidRPr="003E507E">
        <w:rPr>
          <w:sz w:val="24"/>
          <w:szCs w:val="24"/>
          <w:lang w:val="en-US"/>
        </w:rPr>
        <w:t>321.</w:t>
      </w:r>
    </w:p>
  </w:endnote>
  <w:endnote w:id="24">
    <w:p w14:paraId="14BE9FDF" w14:textId="45E4DA52" w:rsidR="00EA05FB" w:rsidRPr="00490CF3" w:rsidRDefault="00EA05FB">
      <w:pPr>
        <w:pStyle w:val="Textodenotaalpie"/>
        <w:spacing w:line="480" w:lineRule="auto"/>
        <w:rPr>
          <w:rFonts w:ascii="Times New Roman" w:hAnsi="Times New Roman"/>
          <w:lang w:val="en-US"/>
        </w:rPr>
      </w:pPr>
      <w:r w:rsidRPr="00490CF3">
        <w:rPr>
          <w:rStyle w:val="EndnoteReference"/>
          <w:rFonts w:ascii="Times New Roman" w:hAnsi="Times New Roman"/>
          <w:lang w:val="en-US"/>
        </w:rPr>
        <w:endnoteRef/>
      </w:r>
      <w:r w:rsidRPr="00490CF3">
        <w:rPr>
          <w:rFonts w:ascii="Times New Roman" w:hAnsi="Times New Roman"/>
          <w:lang w:val="en-US"/>
        </w:rPr>
        <w:t xml:space="preserve"> </w:t>
      </w:r>
      <w:r w:rsidR="00FA63F3" w:rsidRPr="003E507E">
        <w:rPr>
          <w:rFonts w:ascii="Times" w:hAnsi="Times" w:cs="Times"/>
          <w:lang w:val="en-US"/>
        </w:rPr>
        <w:t xml:space="preserve">Laura Pineschi, “Cultural Diversity as a Human Right? General Comment No. 21 of the Committee on Economic, Social and Cultural Rights,” in </w:t>
      </w:r>
      <w:r w:rsidR="00FA63F3" w:rsidRPr="003E507E">
        <w:rPr>
          <w:rFonts w:ascii="Times" w:hAnsi="Times" w:cs="Times"/>
          <w:i/>
          <w:lang w:val="en-US"/>
        </w:rPr>
        <w:t>Cultural Heritage, Cultural Rights, Cultural Diversity: New Developments in International Law</w:t>
      </w:r>
      <w:r w:rsidR="00FA63F3" w:rsidRPr="003E507E">
        <w:rPr>
          <w:rFonts w:ascii="Times" w:hAnsi="Times" w:cs="Times"/>
          <w:iCs/>
          <w:lang w:val="en-US"/>
        </w:rPr>
        <w:t xml:space="preserve">, ed. </w:t>
      </w:r>
      <w:r w:rsidR="00FA63F3" w:rsidRPr="003E507E">
        <w:rPr>
          <w:rFonts w:ascii="Times" w:hAnsi="Times" w:cs="Times"/>
          <w:lang w:val="en-US"/>
        </w:rPr>
        <w:t xml:space="preserve">Silvia Borelli and </w:t>
      </w:r>
      <w:r w:rsidR="00FA63F3" w:rsidRPr="003E507E">
        <w:rPr>
          <w:rFonts w:ascii="Times" w:hAnsi="Times" w:cs="Times"/>
          <w:iCs/>
          <w:lang w:val="en-US"/>
        </w:rPr>
        <w:t xml:space="preserve">Federico </w:t>
      </w:r>
      <w:r w:rsidR="00FA63F3" w:rsidRPr="003E507E">
        <w:rPr>
          <w:rFonts w:ascii="Times" w:hAnsi="Times" w:cs="Times"/>
          <w:lang w:val="en-US"/>
        </w:rPr>
        <w:t>Lenzerini</w:t>
      </w:r>
      <w:r w:rsidR="00FA63F3" w:rsidRPr="003E507E">
        <w:rPr>
          <w:rFonts w:ascii="Times" w:hAnsi="Times" w:cs="Times"/>
          <w:iCs/>
          <w:lang w:val="en-US"/>
        </w:rPr>
        <w:t xml:space="preserve"> (Leiden</w:t>
      </w:r>
      <w:r w:rsidR="0030121E" w:rsidRPr="003E507E">
        <w:rPr>
          <w:rFonts w:ascii="Times" w:hAnsi="Times" w:cs="Times"/>
          <w:iCs/>
          <w:lang w:val="en-US"/>
        </w:rPr>
        <w:t>, Netherlands</w:t>
      </w:r>
      <w:r w:rsidR="00FA63F3" w:rsidRPr="003E507E">
        <w:rPr>
          <w:rFonts w:ascii="Times" w:hAnsi="Times" w:cs="Times"/>
          <w:iCs/>
          <w:lang w:val="en-US"/>
        </w:rPr>
        <w:t>:</w:t>
      </w:r>
      <w:r w:rsidR="00FA63F3" w:rsidRPr="003E507E">
        <w:rPr>
          <w:rFonts w:ascii="Times" w:hAnsi="Times" w:cs="Times"/>
          <w:lang w:val="en-US"/>
        </w:rPr>
        <w:t xml:space="preserve"> Martinus Nijhoff, 2012)</w:t>
      </w:r>
      <w:r w:rsidR="00FA63F3" w:rsidRPr="003E507E">
        <w:rPr>
          <w:rFonts w:ascii="Times" w:hAnsi="Times" w:cs="Times"/>
          <w:iCs/>
          <w:lang w:val="en-US"/>
        </w:rPr>
        <w:t>, 29–53</w:t>
      </w:r>
      <w:r w:rsidRPr="00490CF3">
        <w:rPr>
          <w:rFonts w:ascii="Times New Roman" w:hAnsi="Times New Roman"/>
          <w:iCs/>
          <w:lang w:val="en-US"/>
        </w:rPr>
        <w:t>.</w:t>
      </w:r>
    </w:p>
  </w:endnote>
  <w:endnote w:id="25">
    <w:p w14:paraId="7007DC77" w14:textId="6C04785A" w:rsidR="00EA05FB" w:rsidRPr="00490CF3"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w:t>
      </w:r>
      <w:r w:rsidR="00832C26" w:rsidRPr="003E507E">
        <w:rPr>
          <w:sz w:val="24"/>
          <w:szCs w:val="24"/>
          <w:lang w:val="en-US" w:bidi="he-IL"/>
        </w:rPr>
        <w:t>ECOSOC</w:t>
      </w:r>
      <w:r w:rsidR="00F873A8" w:rsidRPr="003E507E">
        <w:rPr>
          <w:sz w:val="24"/>
          <w:szCs w:val="24"/>
          <w:lang w:val="en-US" w:bidi="he-IL"/>
        </w:rPr>
        <w:t xml:space="preserve">, </w:t>
      </w:r>
      <w:r w:rsidR="00F873A8" w:rsidRPr="003E507E">
        <w:rPr>
          <w:sz w:val="24"/>
          <w:szCs w:val="24"/>
          <w:lang w:val="en-US"/>
        </w:rPr>
        <w:t>“</w:t>
      </w:r>
      <w:r w:rsidRPr="00490CF3">
        <w:rPr>
          <w:iCs/>
          <w:sz w:val="24"/>
          <w:szCs w:val="24"/>
          <w:lang w:val="en-US" w:bidi="he-IL"/>
        </w:rPr>
        <w:t xml:space="preserve">General Comment No. 21: Right of </w:t>
      </w:r>
      <w:r w:rsidR="00F873A8" w:rsidRPr="003E507E">
        <w:rPr>
          <w:iCs/>
          <w:sz w:val="24"/>
          <w:szCs w:val="24"/>
          <w:lang w:val="en-US" w:bidi="he-IL"/>
        </w:rPr>
        <w:t>E</w:t>
      </w:r>
      <w:r w:rsidRPr="00490CF3">
        <w:rPr>
          <w:iCs/>
          <w:sz w:val="24"/>
          <w:szCs w:val="24"/>
          <w:lang w:val="en-US" w:bidi="he-IL"/>
        </w:rPr>
        <w:t xml:space="preserve">veryone to </w:t>
      </w:r>
      <w:r w:rsidR="00F873A8" w:rsidRPr="003E507E">
        <w:rPr>
          <w:iCs/>
          <w:sz w:val="24"/>
          <w:szCs w:val="24"/>
          <w:lang w:val="en-US" w:bidi="he-IL"/>
        </w:rPr>
        <w:t>T</w:t>
      </w:r>
      <w:r w:rsidRPr="00490CF3">
        <w:rPr>
          <w:iCs/>
          <w:sz w:val="24"/>
          <w:szCs w:val="24"/>
          <w:lang w:val="en-US" w:bidi="he-IL"/>
        </w:rPr>
        <w:t xml:space="preserve">ake </w:t>
      </w:r>
      <w:r w:rsidR="00F873A8" w:rsidRPr="003E507E">
        <w:rPr>
          <w:iCs/>
          <w:sz w:val="24"/>
          <w:szCs w:val="24"/>
          <w:lang w:val="en-US" w:bidi="he-IL"/>
        </w:rPr>
        <w:t>P</w:t>
      </w:r>
      <w:r w:rsidRPr="00490CF3">
        <w:rPr>
          <w:iCs/>
          <w:sz w:val="24"/>
          <w:szCs w:val="24"/>
          <w:lang w:val="en-US" w:bidi="he-IL"/>
        </w:rPr>
        <w:t xml:space="preserve">art in </w:t>
      </w:r>
      <w:r w:rsidR="00F873A8" w:rsidRPr="003E507E">
        <w:rPr>
          <w:iCs/>
          <w:sz w:val="24"/>
          <w:szCs w:val="24"/>
          <w:lang w:val="en-US" w:bidi="he-IL"/>
        </w:rPr>
        <w:t>C</w:t>
      </w:r>
      <w:r w:rsidRPr="00490CF3">
        <w:rPr>
          <w:iCs/>
          <w:sz w:val="24"/>
          <w:szCs w:val="24"/>
          <w:lang w:val="en-US" w:bidi="he-IL"/>
        </w:rPr>
        <w:t xml:space="preserve">ultural </w:t>
      </w:r>
      <w:r w:rsidR="00F873A8" w:rsidRPr="003E507E">
        <w:rPr>
          <w:iCs/>
          <w:sz w:val="24"/>
          <w:szCs w:val="24"/>
          <w:lang w:val="en-US" w:bidi="he-IL"/>
        </w:rPr>
        <w:t>L</w:t>
      </w:r>
      <w:r w:rsidRPr="00490CF3">
        <w:rPr>
          <w:iCs/>
          <w:sz w:val="24"/>
          <w:szCs w:val="24"/>
          <w:lang w:val="en-US" w:bidi="he-IL"/>
        </w:rPr>
        <w:t>ife (</w:t>
      </w:r>
      <w:r w:rsidR="00F873A8" w:rsidRPr="003E507E">
        <w:rPr>
          <w:iCs/>
          <w:sz w:val="24"/>
          <w:szCs w:val="24"/>
          <w:lang w:val="en-US" w:bidi="he-IL"/>
        </w:rPr>
        <w:t>A</w:t>
      </w:r>
      <w:r w:rsidRPr="00490CF3">
        <w:rPr>
          <w:iCs/>
          <w:sz w:val="24"/>
          <w:szCs w:val="24"/>
          <w:lang w:val="en-US" w:bidi="he-IL"/>
        </w:rPr>
        <w:t xml:space="preserve">rt. 15, </w:t>
      </w:r>
      <w:r w:rsidR="00F873A8" w:rsidRPr="003E507E">
        <w:rPr>
          <w:iCs/>
          <w:sz w:val="24"/>
          <w:szCs w:val="24"/>
          <w:lang w:val="en-US" w:bidi="he-IL"/>
        </w:rPr>
        <w:t>P</w:t>
      </w:r>
      <w:r w:rsidRPr="00490CF3">
        <w:rPr>
          <w:iCs/>
          <w:sz w:val="24"/>
          <w:szCs w:val="24"/>
          <w:lang w:val="en-US" w:bidi="he-IL"/>
        </w:rPr>
        <w:t xml:space="preserve">ara. 1 (a), of the </w:t>
      </w:r>
      <w:r w:rsidR="00F873A8" w:rsidRPr="003E507E">
        <w:rPr>
          <w:iCs/>
          <w:sz w:val="24"/>
          <w:szCs w:val="24"/>
          <w:lang w:val="en-US" w:bidi="he-IL"/>
        </w:rPr>
        <w:t>International Covenant on Economic, Social and Cultural Rights</w:t>
      </w:r>
      <w:r w:rsidRPr="00490CF3">
        <w:rPr>
          <w:sz w:val="24"/>
          <w:szCs w:val="24"/>
          <w:lang w:val="en-US" w:bidi="he-IL"/>
        </w:rPr>
        <w:t>,</w:t>
      </w:r>
      <w:r w:rsidR="00F873A8" w:rsidRPr="003E507E">
        <w:rPr>
          <w:sz w:val="24"/>
          <w:szCs w:val="24"/>
          <w:lang w:val="en-US" w:bidi="he-IL"/>
        </w:rPr>
        <w:t>”</w:t>
      </w:r>
      <w:r w:rsidRPr="00490CF3">
        <w:rPr>
          <w:sz w:val="24"/>
          <w:szCs w:val="24"/>
          <w:lang w:val="en-US" w:bidi="he-IL"/>
        </w:rPr>
        <w:t xml:space="preserve"> UN </w:t>
      </w:r>
      <w:r w:rsidR="009A275F" w:rsidRPr="003E507E">
        <w:rPr>
          <w:sz w:val="24"/>
          <w:szCs w:val="24"/>
          <w:lang w:val="en-US" w:bidi="he-IL"/>
        </w:rPr>
        <w:t>d</w:t>
      </w:r>
      <w:r w:rsidRPr="00490CF3">
        <w:rPr>
          <w:sz w:val="24"/>
          <w:szCs w:val="24"/>
          <w:lang w:val="en-US" w:bidi="he-IL"/>
        </w:rPr>
        <w:t>oc. E/C.12/GC</w:t>
      </w:r>
      <w:r w:rsidR="009A275F" w:rsidRPr="003E507E">
        <w:rPr>
          <w:sz w:val="24"/>
          <w:szCs w:val="24"/>
          <w:lang w:val="en-US" w:bidi="he-IL"/>
        </w:rPr>
        <w:t>/</w:t>
      </w:r>
      <w:r w:rsidRPr="00490CF3">
        <w:rPr>
          <w:sz w:val="24"/>
          <w:szCs w:val="24"/>
          <w:lang w:val="en-US" w:bidi="he-IL"/>
        </w:rPr>
        <w:t>21, 21 December 2009.</w:t>
      </w:r>
    </w:p>
  </w:endnote>
  <w:endnote w:id="26">
    <w:p w14:paraId="078F2D68" w14:textId="0289F847" w:rsidR="00EA05FB" w:rsidRPr="00490CF3"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w:t>
      </w:r>
      <w:r w:rsidR="007E1390" w:rsidRPr="003E507E">
        <w:rPr>
          <w:sz w:val="24"/>
          <w:szCs w:val="24"/>
          <w:lang w:val="en-US" w:bidi="he-IL"/>
        </w:rPr>
        <w:t>ECOSOC</w:t>
      </w:r>
      <w:r w:rsidRPr="00490CF3">
        <w:rPr>
          <w:sz w:val="24"/>
          <w:szCs w:val="24"/>
          <w:lang w:val="en-US"/>
        </w:rPr>
        <w:t>, para</w:t>
      </w:r>
      <w:r w:rsidR="00F873A8" w:rsidRPr="003E507E">
        <w:rPr>
          <w:sz w:val="24"/>
          <w:szCs w:val="24"/>
          <w:lang w:val="en-US"/>
        </w:rPr>
        <w:t>s</w:t>
      </w:r>
      <w:r w:rsidRPr="00490CF3">
        <w:rPr>
          <w:sz w:val="24"/>
          <w:szCs w:val="24"/>
          <w:lang w:val="en-US"/>
        </w:rPr>
        <w:t>.</w:t>
      </w:r>
      <w:r w:rsidR="00F873A8" w:rsidRPr="003E507E">
        <w:rPr>
          <w:sz w:val="24"/>
          <w:szCs w:val="24"/>
          <w:lang w:val="en-US"/>
        </w:rPr>
        <w:t xml:space="preserve"> 1, 9,</w:t>
      </w:r>
      <w:r w:rsidRPr="00490CF3">
        <w:rPr>
          <w:sz w:val="24"/>
          <w:szCs w:val="24"/>
          <w:lang w:val="en-US"/>
        </w:rPr>
        <w:t xml:space="preserve"> 17</w:t>
      </w:r>
      <w:r w:rsidR="00EB06BF" w:rsidRPr="00490CF3">
        <w:rPr>
          <w:sz w:val="24"/>
          <w:szCs w:val="24"/>
          <w:lang w:val="en-US"/>
        </w:rPr>
        <w:t>–</w:t>
      </w:r>
      <w:r w:rsidRPr="00490CF3">
        <w:rPr>
          <w:sz w:val="24"/>
          <w:szCs w:val="24"/>
          <w:lang w:val="en-US"/>
        </w:rPr>
        <w:t>20, 64.</w:t>
      </w:r>
    </w:p>
  </w:endnote>
  <w:endnote w:id="27">
    <w:p w14:paraId="1ACD9CDD" w14:textId="02067EB5" w:rsidR="00EA05FB" w:rsidRPr="00490CF3"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w:t>
      </w:r>
      <w:r w:rsidR="007E1390" w:rsidRPr="003E507E">
        <w:rPr>
          <w:sz w:val="24"/>
          <w:szCs w:val="24"/>
          <w:lang w:val="en-US" w:bidi="he-IL"/>
        </w:rPr>
        <w:t>ECOSOC</w:t>
      </w:r>
      <w:r w:rsidRPr="00490CF3">
        <w:rPr>
          <w:sz w:val="24"/>
          <w:szCs w:val="24"/>
          <w:lang w:val="en-US"/>
        </w:rPr>
        <w:t>, paras. 11</w:t>
      </w:r>
      <w:r w:rsidR="00EB06BF" w:rsidRPr="00490CF3">
        <w:rPr>
          <w:sz w:val="24"/>
          <w:szCs w:val="24"/>
          <w:lang w:val="en-US"/>
        </w:rPr>
        <w:t>–</w:t>
      </w:r>
      <w:r w:rsidRPr="00490CF3">
        <w:rPr>
          <w:sz w:val="24"/>
          <w:szCs w:val="24"/>
          <w:lang w:val="en-US"/>
        </w:rPr>
        <w:t>13.</w:t>
      </w:r>
    </w:p>
  </w:endnote>
  <w:endnote w:id="28">
    <w:p w14:paraId="5D0798F5" w14:textId="33F10FA6" w:rsidR="00EA05FB" w:rsidRPr="00490CF3"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Donders, </w:t>
      </w:r>
      <w:r w:rsidR="00D008A3" w:rsidRPr="003E507E">
        <w:rPr>
          <w:sz w:val="24"/>
          <w:szCs w:val="24"/>
          <w:lang w:val="en-US"/>
        </w:rPr>
        <w:t xml:space="preserve">“Cultural Heritage and Human Rights,” </w:t>
      </w:r>
      <w:r w:rsidRPr="00490CF3">
        <w:rPr>
          <w:sz w:val="24"/>
          <w:szCs w:val="24"/>
          <w:lang w:val="en-US"/>
        </w:rPr>
        <w:t>391.</w:t>
      </w:r>
    </w:p>
  </w:endnote>
  <w:endnote w:id="29">
    <w:p w14:paraId="0783E492" w14:textId="03F52403" w:rsidR="00EA05FB" w:rsidRPr="00FF0BD6" w:rsidRDefault="00EA05FB">
      <w:pPr>
        <w:pStyle w:val="EndnoteText"/>
        <w:spacing w:line="480" w:lineRule="auto"/>
        <w:rPr>
          <w:sz w:val="24"/>
          <w:szCs w:val="24"/>
          <w:lang w:val="it-CH"/>
        </w:rPr>
      </w:pPr>
      <w:r w:rsidRPr="00490CF3">
        <w:rPr>
          <w:rStyle w:val="EndnoteReference"/>
          <w:sz w:val="24"/>
          <w:szCs w:val="24"/>
          <w:lang w:val="en-US"/>
        </w:rPr>
        <w:endnoteRef/>
      </w:r>
      <w:r w:rsidRPr="00FF0BD6">
        <w:rPr>
          <w:sz w:val="24"/>
          <w:szCs w:val="24"/>
          <w:lang w:val="it-CH"/>
        </w:rPr>
        <w:t xml:space="preserve"> </w:t>
      </w:r>
      <w:r w:rsidR="00D008A3" w:rsidRPr="00FF0BD6">
        <w:rPr>
          <w:sz w:val="24"/>
          <w:szCs w:val="24"/>
          <w:lang w:val="it-CH" w:bidi="he-IL"/>
        </w:rPr>
        <w:t>ECOSOC</w:t>
      </w:r>
      <w:r w:rsidRPr="00FF0BD6">
        <w:rPr>
          <w:sz w:val="24"/>
          <w:szCs w:val="24"/>
          <w:lang w:val="it-CH"/>
        </w:rPr>
        <w:t xml:space="preserve">, </w:t>
      </w:r>
      <w:r w:rsidR="00E15023" w:rsidRPr="00FF0BD6">
        <w:rPr>
          <w:sz w:val="24"/>
          <w:szCs w:val="24"/>
          <w:lang w:val="it-CH"/>
        </w:rPr>
        <w:t>“</w:t>
      </w:r>
      <w:r w:rsidR="00E15023" w:rsidRPr="00FF0BD6">
        <w:rPr>
          <w:iCs/>
          <w:sz w:val="24"/>
          <w:szCs w:val="24"/>
          <w:lang w:val="it-CH" w:bidi="he-IL"/>
        </w:rPr>
        <w:t>General Comment No. 2</w:t>
      </w:r>
      <w:r w:rsidR="00DB1748" w:rsidRPr="00FF0BD6">
        <w:rPr>
          <w:iCs/>
          <w:sz w:val="24"/>
          <w:szCs w:val="24"/>
          <w:lang w:val="it-CH" w:bidi="he-IL"/>
        </w:rPr>
        <w:t>1</w:t>
      </w:r>
      <w:r w:rsidR="00E15023" w:rsidRPr="00FF0BD6">
        <w:rPr>
          <w:iCs/>
          <w:sz w:val="24"/>
          <w:szCs w:val="24"/>
          <w:lang w:val="it-CH" w:bidi="he-IL"/>
        </w:rPr>
        <w:t xml:space="preserve">,” </w:t>
      </w:r>
      <w:r w:rsidRPr="00FF0BD6">
        <w:rPr>
          <w:sz w:val="24"/>
          <w:szCs w:val="24"/>
          <w:lang w:val="it-CH"/>
        </w:rPr>
        <w:t>para. 15</w:t>
      </w:r>
      <w:r w:rsidR="00297229" w:rsidRPr="00FF0BD6">
        <w:rPr>
          <w:sz w:val="24"/>
          <w:szCs w:val="24"/>
          <w:lang w:val="it-CH"/>
        </w:rPr>
        <w:t>.</w:t>
      </w:r>
      <w:r w:rsidRPr="00FF0BD6">
        <w:rPr>
          <w:sz w:val="24"/>
          <w:szCs w:val="24"/>
          <w:lang w:val="it-CH"/>
        </w:rPr>
        <w:t>b.</w:t>
      </w:r>
    </w:p>
  </w:endnote>
  <w:endnote w:id="30">
    <w:p w14:paraId="69E4684A" w14:textId="017E8458" w:rsidR="00EA05FB" w:rsidRPr="00490CF3"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w:t>
      </w:r>
      <w:r w:rsidRPr="00490CF3">
        <w:rPr>
          <w:sz w:val="24"/>
          <w:szCs w:val="24"/>
          <w:lang w:val="en-US" w:bidi="he-IL"/>
        </w:rPr>
        <w:t xml:space="preserve">Donders, </w:t>
      </w:r>
      <w:r w:rsidR="00D008A3" w:rsidRPr="003E507E">
        <w:rPr>
          <w:sz w:val="24"/>
          <w:szCs w:val="24"/>
          <w:lang w:val="en-US"/>
        </w:rPr>
        <w:t xml:space="preserve">“Cultural Heritage and Human Rights,” </w:t>
      </w:r>
      <w:r w:rsidRPr="00490CF3">
        <w:rPr>
          <w:sz w:val="24"/>
          <w:szCs w:val="24"/>
          <w:lang w:val="en-US" w:bidi="he-IL"/>
        </w:rPr>
        <w:t>392.</w:t>
      </w:r>
    </w:p>
  </w:endnote>
  <w:endnote w:id="31">
    <w:p w14:paraId="5EFCD2D7" w14:textId="03CB4ED0" w:rsidR="00EA05FB" w:rsidRPr="00490CF3" w:rsidRDefault="00EA05FB">
      <w:pPr>
        <w:pStyle w:val="EndnoteText"/>
        <w:spacing w:line="480" w:lineRule="auto"/>
        <w:rPr>
          <w:sz w:val="24"/>
          <w:szCs w:val="24"/>
          <w:lang w:val="en-US"/>
        </w:rPr>
      </w:pPr>
      <w:r w:rsidRPr="00490CF3">
        <w:rPr>
          <w:rStyle w:val="EndnoteReference"/>
          <w:sz w:val="24"/>
          <w:szCs w:val="24"/>
          <w:lang w:val="en-US"/>
        </w:rPr>
        <w:endnoteRef/>
      </w:r>
      <w:r w:rsidRPr="00490CF3">
        <w:rPr>
          <w:sz w:val="24"/>
          <w:szCs w:val="24"/>
          <w:lang w:val="en-US"/>
        </w:rPr>
        <w:t xml:space="preserve"> </w:t>
      </w:r>
      <w:r w:rsidR="0002073A" w:rsidRPr="003E507E">
        <w:rPr>
          <w:sz w:val="24"/>
          <w:szCs w:val="24"/>
          <w:lang w:val="en-US" w:bidi="he-IL"/>
        </w:rPr>
        <w:t>ECOSOC</w:t>
      </w:r>
      <w:r w:rsidRPr="00490CF3">
        <w:rPr>
          <w:sz w:val="24"/>
          <w:szCs w:val="24"/>
          <w:lang w:val="en-US"/>
        </w:rPr>
        <w:t xml:space="preserve">, </w:t>
      </w:r>
      <w:r w:rsidR="007E75A0" w:rsidRPr="003E507E">
        <w:rPr>
          <w:sz w:val="24"/>
          <w:szCs w:val="24"/>
          <w:lang w:val="en-US"/>
        </w:rPr>
        <w:t>“</w:t>
      </w:r>
      <w:r w:rsidR="007E75A0" w:rsidRPr="003E507E">
        <w:rPr>
          <w:iCs/>
          <w:sz w:val="24"/>
          <w:szCs w:val="24"/>
          <w:lang w:val="en-US" w:bidi="he-IL"/>
        </w:rPr>
        <w:t xml:space="preserve">General Comment No. 21,” </w:t>
      </w:r>
      <w:r w:rsidRPr="00490CF3">
        <w:rPr>
          <w:sz w:val="24"/>
          <w:szCs w:val="24"/>
          <w:lang w:val="en-US"/>
        </w:rPr>
        <w:t>paras. 6</w:t>
      </w:r>
      <w:r w:rsidR="00297229" w:rsidRPr="003E507E">
        <w:rPr>
          <w:sz w:val="24"/>
          <w:szCs w:val="24"/>
          <w:lang w:val="en-US"/>
        </w:rPr>
        <w:t>,</w:t>
      </w:r>
      <w:r w:rsidRPr="00490CF3">
        <w:rPr>
          <w:sz w:val="24"/>
          <w:szCs w:val="24"/>
          <w:lang w:val="en-US"/>
        </w:rPr>
        <w:t xml:space="preserve"> </w:t>
      </w:r>
      <w:r w:rsidR="0002073A" w:rsidRPr="003E507E">
        <w:rPr>
          <w:sz w:val="24"/>
          <w:szCs w:val="24"/>
          <w:lang w:val="en-US"/>
        </w:rPr>
        <w:t xml:space="preserve">44–59, </w:t>
      </w:r>
      <w:r w:rsidRPr="00490CF3">
        <w:rPr>
          <w:sz w:val="24"/>
          <w:szCs w:val="24"/>
          <w:lang w:val="en-US"/>
        </w:rPr>
        <w:t>54</w:t>
      </w:r>
      <w:r w:rsidR="00297229" w:rsidRPr="003E507E">
        <w:rPr>
          <w:sz w:val="24"/>
          <w:szCs w:val="24"/>
          <w:lang w:val="en-US"/>
        </w:rPr>
        <w:t>.</w:t>
      </w:r>
      <w:r w:rsidRPr="00490CF3">
        <w:rPr>
          <w:sz w:val="24"/>
          <w:szCs w:val="24"/>
          <w:lang w:val="en-US"/>
        </w:rPr>
        <w:t>b.</w:t>
      </w:r>
    </w:p>
  </w:endnote>
  <w:endnote w:id="32">
    <w:p w14:paraId="243175B9" w14:textId="729EB8EB"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Human Rights Committee, </w:t>
      </w:r>
      <w:r w:rsidR="00B36E91" w:rsidRPr="003E507E">
        <w:rPr>
          <w:sz w:val="24"/>
          <w:szCs w:val="24"/>
          <w:lang w:val="en-US"/>
        </w:rPr>
        <w:t>“</w:t>
      </w:r>
      <w:r w:rsidRPr="003E507E">
        <w:rPr>
          <w:sz w:val="24"/>
          <w:szCs w:val="24"/>
          <w:lang w:val="en-US"/>
        </w:rPr>
        <w:t>General Comment No. 23</w:t>
      </w:r>
      <w:r w:rsidR="00B36E91" w:rsidRPr="003E507E">
        <w:rPr>
          <w:sz w:val="24"/>
          <w:szCs w:val="24"/>
          <w:lang w:val="en-US"/>
        </w:rPr>
        <w:t>: The Rights of Minorities</w:t>
      </w:r>
      <w:r w:rsidRPr="003E507E">
        <w:rPr>
          <w:sz w:val="24"/>
          <w:szCs w:val="24"/>
          <w:lang w:val="en-US"/>
        </w:rPr>
        <w:t xml:space="preserve"> </w:t>
      </w:r>
      <w:r w:rsidR="00B36E91" w:rsidRPr="003E507E">
        <w:rPr>
          <w:sz w:val="24"/>
          <w:szCs w:val="24"/>
          <w:lang w:val="en-US"/>
        </w:rPr>
        <w:t xml:space="preserve">(Art. </w:t>
      </w:r>
      <w:r w:rsidRPr="003E507E">
        <w:rPr>
          <w:sz w:val="24"/>
          <w:szCs w:val="24"/>
          <w:lang w:val="en-US"/>
        </w:rPr>
        <w:t>27</w:t>
      </w:r>
      <w:r w:rsidR="00B36E91" w:rsidRPr="003E507E">
        <w:rPr>
          <w:sz w:val="24"/>
          <w:szCs w:val="24"/>
          <w:lang w:val="en-US"/>
        </w:rPr>
        <w:t>)</w:t>
      </w:r>
      <w:r w:rsidRPr="003E507E">
        <w:rPr>
          <w:sz w:val="24"/>
          <w:szCs w:val="24"/>
          <w:lang w:val="en-US"/>
        </w:rPr>
        <w:t>,</w:t>
      </w:r>
      <w:r w:rsidR="00B36E91" w:rsidRPr="003E507E">
        <w:rPr>
          <w:sz w:val="24"/>
          <w:szCs w:val="24"/>
          <w:lang w:val="en-US"/>
        </w:rPr>
        <w:t>”</w:t>
      </w:r>
      <w:r w:rsidRPr="003E507E">
        <w:rPr>
          <w:sz w:val="24"/>
          <w:szCs w:val="24"/>
          <w:lang w:val="en-US"/>
        </w:rPr>
        <w:t xml:space="preserve"> </w:t>
      </w:r>
      <w:r w:rsidR="00B36E91" w:rsidRPr="003E507E">
        <w:rPr>
          <w:sz w:val="24"/>
          <w:szCs w:val="24"/>
          <w:lang w:val="en-US"/>
        </w:rPr>
        <w:t xml:space="preserve">UN doc. </w:t>
      </w:r>
      <w:r w:rsidRPr="003E507E">
        <w:rPr>
          <w:sz w:val="24"/>
          <w:szCs w:val="24"/>
          <w:lang w:val="en-US"/>
        </w:rPr>
        <w:t>CCPR/C/21/Rev.1/Add.5, 26 April 1994, para</w:t>
      </w:r>
      <w:r w:rsidR="00B36E91" w:rsidRPr="003E507E">
        <w:rPr>
          <w:sz w:val="24"/>
          <w:szCs w:val="24"/>
          <w:lang w:val="en-US"/>
        </w:rPr>
        <w:t>s</w:t>
      </w:r>
      <w:r w:rsidRPr="003E507E">
        <w:rPr>
          <w:sz w:val="24"/>
          <w:szCs w:val="24"/>
          <w:lang w:val="en-US"/>
        </w:rPr>
        <w:t xml:space="preserve">. </w:t>
      </w:r>
      <w:r w:rsidR="00B36E91" w:rsidRPr="003E507E">
        <w:rPr>
          <w:sz w:val="24"/>
          <w:szCs w:val="24"/>
          <w:lang w:val="en-US"/>
        </w:rPr>
        <w:t xml:space="preserve">7, </w:t>
      </w:r>
      <w:r w:rsidRPr="003E507E">
        <w:rPr>
          <w:sz w:val="24"/>
          <w:szCs w:val="24"/>
          <w:lang w:val="en-US"/>
        </w:rPr>
        <w:t>9.</w:t>
      </w:r>
    </w:p>
  </w:endnote>
  <w:endnote w:id="33">
    <w:p w14:paraId="187DF81A" w14:textId="124BF4F1"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Chow, </w:t>
      </w:r>
      <w:r w:rsidR="00CB7152" w:rsidRPr="003E507E">
        <w:rPr>
          <w:sz w:val="24"/>
          <w:szCs w:val="24"/>
          <w:lang w:val="en-US"/>
        </w:rPr>
        <w:t xml:space="preserve">“Culture as Collective Memories,” </w:t>
      </w:r>
      <w:r w:rsidRPr="003E507E">
        <w:rPr>
          <w:sz w:val="24"/>
          <w:szCs w:val="24"/>
          <w:lang w:val="en-US"/>
        </w:rPr>
        <w:t>632</w:t>
      </w:r>
      <w:r w:rsidR="00EB06BF" w:rsidRPr="003E507E">
        <w:rPr>
          <w:sz w:val="24"/>
          <w:szCs w:val="24"/>
          <w:lang w:val="en-US"/>
        </w:rPr>
        <w:t>–</w:t>
      </w:r>
      <w:r w:rsidRPr="003E507E">
        <w:rPr>
          <w:sz w:val="24"/>
          <w:szCs w:val="24"/>
          <w:lang w:val="en-US"/>
        </w:rPr>
        <w:t xml:space="preserve">35, discussing </w:t>
      </w:r>
      <w:r w:rsidR="00C46065" w:rsidRPr="003E507E">
        <w:rPr>
          <w:sz w:val="24"/>
          <w:szCs w:val="24"/>
          <w:lang w:val="en-US"/>
        </w:rPr>
        <w:t xml:space="preserve">a case decided by the Human Rights Committee, </w:t>
      </w:r>
      <w:r w:rsidRPr="003E507E">
        <w:rPr>
          <w:i/>
          <w:sz w:val="24"/>
          <w:szCs w:val="24"/>
          <w:lang w:val="en-US"/>
        </w:rPr>
        <w:t>JGA Diergaardt et al. v. Namibia</w:t>
      </w:r>
      <w:r w:rsidRPr="003E507E">
        <w:rPr>
          <w:sz w:val="24"/>
          <w:szCs w:val="24"/>
          <w:lang w:val="en-US"/>
        </w:rPr>
        <w:t xml:space="preserve"> (Communication </w:t>
      </w:r>
      <w:r w:rsidR="00C46065" w:rsidRPr="003E507E">
        <w:rPr>
          <w:sz w:val="24"/>
          <w:szCs w:val="24"/>
          <w:lang w:val="en-US"/>
        </w:rPr>
        <w:t xml:space="preserve">No. </w:t>
      </w:r>
      <w:r w:rsidRPr="003E507E">
        <w:rPr>
          <w:sz w:val="24"/>
          <w:szCs w:val="24"/>
          <w:lang w:val="en-US"/>
        </w:rPr>
        <w:t xml:space="preserve">760/1997), </w:t>
      </w:r>
      <w:r w:rsidR="002456E7" w:rsidRPr="003E507E">
        <w:rPr>
          <w:sz w:val="24"/>
          <w:szCs w:val="24"/>
          <w:lang w:val="en-US"/>
        </w:rPr>
        <w:t>UN doc.</w:t>
      </w:r>
      <w:r w:rsidR="00DD0CBF" w:rsidRPr="003E507E">
        <w:rPr>
          <w:sz w:val="24"/>
          <w:szCs w:val="24"/>
          <w:lang w:val="en-US"/>
        </w:rPr>
        <w:t xml:space="preserve"> </w:t>
      </w:r>
      <w:r w:rsidRPr="003E507E">
        <w:rPr>
          <w:sz w:val="24"/>
          <w:szCs w:val="24"/>
          <w:lang w:val="en-US"/>
        </w:rPr>
        <w:t>CCPR/C/69/D/760/1997</w:t>
      </w:r>
      <w:r w:rsidR="005C564A" w:rsidRPr="003E507E">
        <w:rPr>
          <w:sz w:val="24"/>
          <w:szCs w:val="24"/>
          <w:lang w:val="en-US"/>
        </w:rPr>
        <w:t>, 25 July</w:t>
      </w:r>
      <w:r w:rsidRPr="003E507E">
        <w:rPr>
          <w:sz w:val="24"/>
          <w:szCs w:val="24"/>
          <w:lang w:val="en-US"/>
        </w:rPr>
        <w:t xml:space="preserve"> 2000.</w:t>
      </w:r>
    </w:p>
  </w:endnote>
  <w:endnote w:id="34">
    <w:p w14:paraId="33A3B245" w14:textId="608F4E2B"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See the </w:t>
      </w:r>
      <w:r w:rsidR="002D697E" w:rsidRPr="003E507E">
        <w:rPr>
          <w:sz w:val="24"/>
          <w:szCs w:val="24"/>
          <w:lang w:val="en-US"/>
        </w:rPr>
        <w:t xml:space="preserve">Human Rights Committee </w:t>
      </w:r>
      <w:r w:rsidRPr="003E507E">
        <w:rPr>
          <w:sz w:val="24"/>
          <w:szCs w:val="24"/>
          <w:lang w:val="en-US"/>
        </w:rPr>
        <w:t xml:space="preserve">cases </w:t>
      </w:r>
      <w:r w:rsidRPr="00490CF3">
        <w:rPr>
          <w:i/>
          <w:sz w:val="24"/>
          <w:szCs w:val="24"/>
          <w:lang w:val="en-US"/>
        </w:rPr>
        <w:t>Ilmari Länsman and others v. Finland</w:t>
      </w:r>
      <w:r w:rsidRPr="00490CF3">
        <w:rPr>
          <w:sz w:val="24"/>
          <w:szCs w:val="24"/>
          <w:lang w:val="en-US"/>
        </w:rPr>
        <w:t xml:space="preserve"> (Communication No. 511/1992</w:t>
      </w:r>
      <w:r w:rsidR="000522CE" w:rsidRPr="003E507E">
        <w:rPr>
          <w:sz w:val="24"/>
          <w:szCs w:val="24"/>
          <w:lang w:val="en-US"/>
        </w:rPr>
        <w:t>)</w:t>
      </w:r>
      <w:r w:rsidRPr="00490CF3">
        <w:rPr>
          <w:sz w:val="24"/>
          <w:szCs w:val="24"/>
          <w:lang w:val="en-US"/>
        </w:rPr>
        <w:t>, 14 October 1993</w:t>
      </w:r>
      <w:r w:rsidR="000522CE" w:rsidRPr="003E507E">
        <w:rPr>
          <w:sz w:val="24"/>
          <w:szCs w:val="24"/>
          <w:lang w:val="en-US"/>
        </w:rPr>
        <w:t>,</w:t>
      </w:r>
      <w:r w:rsidRPr="00490CF3">
        <w:rPr>
          <w:sz w:val="24"/>
          <w:szCs w:val="24"/>
          <w:lang w:val="en-US"/>
        </w:rPr>
        <w:t xml:space="preserve"> and </w:t>
      </w:r>
      <w:r w:rsidRPr="00490CF3">
        <w:rPr>
          <w:i/>
          <w:sz w:val="24"/>
          <w:szCs w:val="24"/>
          <w:lang w:val="en-US"/>
        </w:rPr>
        <w:t>Bernard Ominayak, Chief of the Lubicon Lake Band v. Canada</w:t>
      </w:r>
      <w:r w:rsidRPr="00490CF3">
        <w:rPr>
          <w:sz w:val="24"/>
          <w:szCs w:val="24"/>
          <w:lang w:val="en-US"/>
        </w:rPr>
        <w:t xml:space="preserve"> (Communication No. 167/1984</w:t>
      </w:r>
      <w:r w:rsidR="000522CE" w:rsidRPr="003E507E">
        <w:rPr>
          <w:sz w:val="24"/>
          <w:szCs w:val="24"/>
          <w:lang w:val="en-US"/>
        </w:rPr>
        <w:t>)</w:t>
      </w:r>
      <w:r w:rsidRPr="00490CF3">
        <w:rPr>
          <w:sz w:val="24"/>
          <w:szCs w:val="24"/>
          <w:lang w:val="en-US"/>
        </w:rPr>
        <w:t>, 26 March 1990</w:t>
      </w:r>
      <w:r w:rsidRPr="003E507E">
        <w:rPr>
          <w:sz w:val="24"/>
          <w:szCs w:val="24"/>
          <w:lang w:val="en-US"/>
        </w:rPr>
        <w:t xml:space="preserve">. See also </w:t>
      </w:r>
      <w:r w:rsidR="007555BF" w:rsidRPr="003E507E">
        <w:rPr>
          <w:sz w:val="24"/>
          <w:szCs w:val="24"/>
          <w:lang w:val="en-US"/>
        </w:rPr>
        <w:t>Human Rights Committee, “</w:t>
      </w:r>
      <w:r w:rsidRPr="003E507E">
        <w:rPr>
          <w:sz w:val="24"/>
          <w:szCs w:val="24"/>
          <w:lang w:val="en-US"/>
        </w:rPr>
        <w:t>General Comment No. 23,</w:t>
      </w:r>
      <w:r w:rsidR="007555BF" w:rsidRPr="003E507E">
        <w:rPr>
          <w:sz w:val="24"/>
          <w:szCs w:val="24"/>
          <w:lang w:val="en-US"/>
        </w:rPr>
        <w:t>”</w:t>
      </w:r>
      <w:r w:rsidRPr="003E507E">
        <w:rPr>
          <w:sz w:val="24"/>
          <w:szCs w:val="24"/>
          <w:lang w:val="en-US"/>
        </w:rPr>
        <w:t xml:space="preserve"> para. 6</w:t>
      </w:r>
      <w:r w:rsidR="00E02140" w:rsidRPr="003E507E">
        <w:rPr>
          <w:sz w:val="24"/>
          <w:szCs w:val="24"/>
          <w:lang w:val="en-US"/>
        </w:rPr>
        <w:t>.</w:t>
      </w:r>
      <w:r w:rsidRPr="003E507E">
        <w:rPr>
          <w:sz w:val="24"/>
          <w:szCs w:val="24"/>
          <w:lang w:val="en-US"/>
        </w:rPr>
        <w:t>2.</w:t>
      </w:r>
    </w:p>
  </w:endnote>
  <w:endnote w:id="35">
    <w:p w14:paraId="29FADD14" w14:textId="74B6B863"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803144" w:rsidRPr="003E507E">
        <w:rPr>
          <w:sz w:val="24"/>
          <w:szCs w:val="24"/>
          <w:lang w:val="en-US"/>
        </w:rPr>
        <w:t xml:space="preserve">Janet Blake, </w:t>
      </w:r>
      <w:r w:rsidR="00803144" w:rsidRPr="003E507E">
        <w:rPr>
          <w:i/>
          <w:sz w:val="24"/>
          <w:szCs w:val="24"/>
          <w:lang w:val="en-US"/>
        </w:rPr>
        <w:t>International Cultural Heritage Law</w:t>
      </w:r>
      <w:r w:rsidR="00803144" w:rsidRPr="003E507E">
        <w:rPr>
          <w:sz w:val="24"/>
          <w:szCs w:val="24"/>
          <w:lang w:val="en-US"/>
        </w:rPr>
        <w:t xml:space="preserve"> (Oxford: Oxford University Press, 2015)</w:t>
      </w:r>
      <w:r w:rsidRPr="003E507E">
        <w:rPr>
          <w:sz w:val="24"/>
          <w:szCs w:val="24"/>
          <w:lang w:val="en-US"/>
        </w:rPr>
        <w:t xml:space="preserve">, 292. </w:t>
      </w:r>
    </w:p>
  </w:endnote>
  <w:endnote w:id="36">
    <w:p w14:paraId="18002435" w14:textId="595C70F3"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Human Rights Committee, </w:t>
      </w:r>
      <w:r w:rsidR="001A6BC1" w:rsidRPr="003E507E">
        <w:rPr>
          <w:sz w:val="24"/>
          <w:szCs w:val="24"/>
          <w:lang w:val="en-US"/>
        </w:rPr>
        <w:t>“</w:t>
      </w:r>
      <w:r w:rsidRPr="003E507E">
        <w:rPr>
          <w:sz w:val="24"/>
          <w:szCs w:val="24"/>
          <w:lang w:val="en-US"/>
        </w:rPr>
        <w:t>General Comment No. 23,</w:t>
      </w:r>
      <w:r w:rsidR="001A6BC1" w:rsidRPr="003E507E">
        <w:rPr>
          <w:sz w:val="24"/>
          <w:szCs w:val="24"/>
          <w:lang w:val="en-US"/>
        </w:rPr>
        <w:t>”</w:t>
      </w:r>
      <w:r w:rsidRPr="003E507E">
        <w:rPr>
          <w:sz w:val="24"/>
          <w:szCs w:val="24"/>
          <w:lang w:val="en-US"/>
        </w:rPr>
        <w:t xml:space="preserve"> para. 6</w:t>
      </w:r>
      <w:r w:rsidR="001A6BC1" w:rsidRPr="003E507E">
        <w:rPr>
          <w:sz w:val="24"/>
          <w:szCs w:val="24"/>
          <w:lang w:val="en-US"/>
        </w:rPr>
        <w:t>.</w:t>
      </w:r>
      <w:r w:rsidRPr="003E507E">
        <w:rPr>
          <w:sz w:val="24"/>
          <w:szCs w:val="24"/>
          <w:lang w:val="en-US"/>
        </w:rPr>
        <w:t>2.</w:t>
      </w:r>
    </w:p>
  </w:endnote>
  <w:endnote w:id="37">
    <w:p w14:paraId="5879B3DC" w14:textId="78328DEB"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Human Rights Committee, </w:t>
      </w:r>
      <w:r w:rsidRPr="003E507E">
        <w:rPr>
          <w:iCs/>
          <w:sz w:val="24"/>
          <w:szCs w:val="24"/>
          <w:lang w:val="en-US"/>
        </w:rPr>
        <w:t xml:space="preserve">paras. </w:t>
      </w:r>
      <w:r w:rsidRPr="003E507E">
        <w:rPr>
          <w:sz w:val="24"/>
          <w:szCs w:val="24"/>
          <w:lang w:val="en-US"/>
        </w:rPr>
        <w:t>6</w:t>
      </w:r>
      <w:r w:rsidR="001A6BC1" w:rsidRPr="003E507E">
        <w:rPr>
          <w:sz w:val="24"/>
          <w:szCs w:val="24"/>
          <w:lang w:val="en-US"/>
        </w:rPr>
        <w:t>.</w:t>
      </w:r>
      <w:r w:rsidRPr="003E507E">
        <w:rPr>
          <w:sz w:val="24"/>
          <w:szCs w:val="24"/>
          <w:lang w:val="en-US"/>
        </w:rPr>
        <w:t>1</w:t>
      </w:r>
      <w:r w:rsidR="001A6BC1" w:rsidRPr="003E507E">
        <w:rPr>
          <w:sz w:val="24"/>
          <w:szCs w:val="24"/>
          <w:lang w:val="en-US"/>
        </w:rPr>
        <w:t xml:space="preserve">, </w:t>
      </w:r>
      <w:r w:rsidRPr="003E507E">
        <w:rPr>
          <w:sz w:val="24"/>
          <w:szCs w:val="24"/>
          <w:lang w:val="en-US"/>
        </w:rPr>
        <w:t>6</w:t>
      </w:r>
      <w:r w:rsidR="001A6BC1" w:rsidRPr="003E507E">
        <w:rPr>
          <w:sz w:val="24"/>
          <w:szCs w:val="24"/>
          <w:lang w:val="en-US"/>
        </w:rPr>
        <w:t>.</w:t>
      </w:r>
      <w:r w:rsidRPr="003E507E">
        <w:rPr>
          <w:sz w:val="24"/>
          <w:szCs w:val="24"/>
          <w:lang w:val="en-US"/>
        </w:rPr>
        <w:t xml:space="preserve">2. See also Blake, </w:t>
      </w:r>
      <w:r w:rsidR="00803144" w:rsidRPr="003E507E">
        <w:rPr>
          <w:i/>
          <w:sz w:val="24"/>
          <w:szCs w:val="24"/>
          <w:lang w:val="en-US"/>
        </w:rPr>
        <w:t>International Cultural Heritage Law</w:t>
      </w:r>
      <w:r w:rsidR="00803144" w:rsidRPr="003E507E">
        <w:rPr>
          <w:sz w:val="24"/>
          <w:szCs w:val="24"/>
          <w:lang w:val="en-US"/>
        </w:rPr>
        <w:t xml:space="preserve">, </w:t>
      </w:r>
      <w:r w:rsidRPr="003E507E">
        <w:rPr>
          <w:sz w:val="24"/>
          <w:szCs w:val="24"/>
          <w:lang w:val="en-US"/>
        </w:rPr>
        <w:t>292.</w:t>
      </w:r>
    </w:p>
  </w:endnote>
  <w:endnote w:id="38">
    <w:p w14:paraId="4FF5D803" w14:textId="54B789B5"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Human Rights Committee, paras. 3</w:t>
      </w:r>
      <w:r w:rsidR="001A6BC1" w:rsidRPr="003E507E">
        <w:rPr>
          <w:sz w:val="24"/>
          <w:szCs w:val="24"/>
          <w:lang w:val="en-US"/>
        </w:rPr>
        <w:t>.</w:t>
      </w:r>
      <w:r w:rsidRPr="003E507E">
        <w:rPr>
          <w:sz w:val="24"/>
          <w:szCs w:val="24"/>
          <w:lang w:val="en-US"/>
        </w:rPr>
        <w:t>2</w:t>
      </w:r>
      <w:r w:rsidR="001A6BC1" w:rsidRPr="003E507E">
        <w:rPr>
          <w:sz w:val="24"/>
          <w:szCs w:val="24"/>
          <w:lang w:val="en-US"/>
        </w:rPr>
        <w:t>,</w:t>
      </w:r>
      <w:r w:rsidRPr="003E507E">
        <w:rPr>
          <w:sz w:val="24"/>
          <w:szCs w:val="24"/>
          <w:lang w:val="en-US"/>
        </w:rPr>
        <w:t xml:space="preserve"> 7.</w:t>
      </w:r>
    </w:p>
  </w:endnote>
  <w:endnote w:id="39">
    <w:p w14:paraId="58A09212" w14:textId="7096CFEE"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Vrdoljak, “</w:t>
      </w:r>
      <w:r w:rsidRPr="003E507E">
        <w:rPr>
          <w:bCs/>
          <w:sz w:val="24"/>
          <w:szCs w:val="24"/>
          <w:lang w:val="en-US"/>
        </w:rPr>
        <w:t>Human Rights and Cultural Heritage,</w:t>
      </w:r>
      <w:r w:rsidRPr="003E507E">
        <w:rPr>
          <w:sz w:val="24"/>
          <w:szCs w:val="24"/>
          <w:lang w:val="en-US"/>
        </w:rPr>
        <w:t>”</w:t>
      </w:r>
      <w:r w:rsidR="008C4D19" w:rsidRPr="003E507E">
        <w:rPr>
          <w:sz w:val="24"/>
          <w:szCs w:val="24"/>
          <w:lang w:val="en-US"/>
        </w:rPr>
        <w:t xml:space="preserve"> </w:t>
      </w:r>
      <w:r w:rsidRPr="003E507E">
        <w:rPr>
          <w:sz w:val="24"/>
          <w:szCs w:val="24"/>
          <w:lang w:val="en-US"/>
        </w:rPr>
        <w:t>158.</w:t>
      </w:r>
    </w:p>
  </w:endnote>
  <w:endnote w:id="40">
    <w:p w14:paraId="2310AD62" w14:textId="4F9B8627"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827A7A" w:rsidRPr="003E507E">
        <w:rPr>
          <w:sz w:val="24"/>
          <w:szCs w:val="24"/>
          <w:lang w:val="en-US"/>
        </w:rPr>
        <w:t>Francioni, “</w:t>
      </w:r>
      <w:r w:rsidR="00827A7A" w:rsidRPr="003E507E">
        <w:rPr>
          <w:iCs/>
          <w:sz w:val="24"/>
          <w:szCs w:val="24"/>
          <w:lang w:val="en-US"/>
        </w:rPr>
        <w:t xml:space="preserve">Public and Private in the International Protection,” </w:t>
      </w:r>
      <w:r w:rsidRPr="003E507E">
        <w:rPr>
          <w:sz w:val="24"/>
          <w:szCs w:val="24"/>
          <w:lang w:val="en-US"/>
        </w:rPr>
        <w:t>722.</w:t>
      </w:r>
    </w:p>
  </w:endnote>
  <w:endnote w:id="41">
    <w:p w14:paraId="51D85135" w14:textId="19CA53E3"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Blake, </w:t>
      </w:r>
      <w:r w:rsidR="001A6BC1" w:rsidRPr="003E507E">
        <w:rPr>
          <w:i/>
          <w:sz w:val="24"/>
          <w:szCs w:val="24"/>
          <w:lang w:val="en-US"/>
        </w:rPr>
        <w:t>International Cultural Heritage Law</w:t>
      </w:r>
      <w:r w:rsidR="001A6BC1" w:rsidRPr="003E507E">
        <w:rPr>
          <w:sz w:val="24"/>
          <w:szCs w:val="24"/>
          <w:lang w:val="en-US"/>
        </w:rPr>
        <w:t xml:space="preserve">, </w:t>
      </w:r>
      <w:r w:rsidRPr="003E507E">
        <w:rPr>
          <w:sz w:val="24"/>
          <w:szCs w:val="24"/>
          <w:lang w:val="en-US"/>
        </w:rPr>
        <w:t>271.</w:t>
      </w:r>
    </w:p>
  </w:endnote>
  <w:endnote w:id="42">
    <w:p w14:paraId="72B03877" w14:textId="64B3D4D2"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Vrdoljak, “</w:t>
      </w:r>
      <w:r w:rsidRPr="00490CF3">
        <w:rPr>
          <w:sz w:val="24"/>
          <w:szCs w:val="24"/>
          <w:lang w:val="en-US"/>
        </w:rPr>
        <w:t xml:space="preserve">Human Rights and </w:t>
      </w:r>
      <w:r w:rsidRPr="003E507E">
        <w:rPr>
          <w:bCs/>
          <w:sz w:val="24"/>
          <w:szCs w:val="24"/>
          <w:lang w:val="en-US"/>
        </w:rPr>
        <w:t>Cultural Heritage</w:t>
      </w:r>
      <w:r w:rsidR="008C4D19" w:rsidRPr="003E507E">
        <w:rPr>
          <w:bCs/>
          <w:sz w:val="24"/>
          <w:szCs w:val="24"/>
          <w:lang w:val="en-US"/>
        </w:rPr>
        <w:t>,</w:t>
      </w:r>
      <w:r w:rsidRPr="003E507E">
        <w:rPr>
          <w:sz w:val="24"/>
          <w:szCs w:val="24"/>
          <w:lang w:val="en-US"/>
        </w:rPr>
        <w:t>” 139.</w:t>
      </w:r>
    </w:p>
  </w:endnote>
  <w:endnote w:id="43">
    <w:p w14:paraId="6D7321BE" w14:textId="220D4DA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See Articles 3</w:t>
      </w:r>
      <w:r w:rsidR="008C4D19" w:rsidRPr="003E507E">
        <w:rPr>
          <w:sz w:val="24"/>
          <w:szCs w:val="24"/>
          <w:lang w:val="en-US"/>
        </w:rPr>
        <w:t>.</w:t>
      </w:r>
      <w:r w:rsidRPr="003E507E">
        <w:rPr>
          <w:sz w:val="24"/>
          <w:szCs w:val="24"/>
          <w:lang w:val="en-US"/>
        </w:rPr>
        <w:t>8 and 5</w:t>
      </w:r>
      <w:r w:rsidR="00FC7FC2" w:rsidRPr="003E507E">
        <w:rPr>
          <w:sz w:val="24"/>
          <w:szCs w:val="24"/>
          <w:lang w:val="en-US"/>
        </w:rPr>
        <w:t>.</w:t>
      </w:r>
      <w:r w:rsidRPr="003E507E">
        <w:rPr>
          <w:sz w:val="24"/>
          <w:szCs w:val="24"/>
          <w:lang w:val="en-US"/>
        </w:rPr>
        <w:t>3</w:t>
      </w:r>
      <w:r w:rsidR="008C4D19" w:rsidRPr="003E507E">
        <w:rPr>
          <w:sz w:val="24"/>
          <w:szCs w:val="24"/>
          <w:lang w:val="en-US"/>
        </w:rPr>
        <w:t>.</w:t>
      </w:r>
      <w:r w:rsidRPr="003E507E">
        <w:rPr>
          <w:sz w:val="24"/>
          <w:szCs w:val="24"/>
          <w:lang w:val="en-US"/>
        </w:rPr>
        <w:t>d. Th</w:t>
      </w:r>
      <w:r w:rsidR="00FC7FC2" w:rsidRPr="003E507E">
        <w:rPr>
          <w:sz w:val="24"/>
          <w:szCs w:val="24"/>
          <w:lang w:val="en-US"/>
        </w:rPr>
        <w:t>e</w:t>
      </w:r>
      <w:r w:rsidRPr="003E507E">
        <w:rPr>
          <w:sz w:val="24"/>
          <w:szCs w:val="24"/>
          <w:lang w:val="en-US"/>
        </w:rPr>
        <w:t xml:space="preserve"> </w:t>
      </w:r>
      <w:r w:rsidR="00FC7FC2" w:rsidRPr="003E507E">
        <w:rPr>
          <w:sz w:val="24"/>
          <w:szCs w:val="24"/>
          <w:lang w:val="en-US"/>
        </w:rPr>
        <w:t>c</w:t>
      </w:r>
      <w:r w:rsidRPr="003E507E">
        <w:rPr>
          <w:sz w:val="24"/>
          <w:szCs w:val="24"/>
          <w:lang w:val="en-US"/>
        </w:rPr>
        <w:t xml:space="preserve">onvention was adopted on </w:t>
      </w:r>
      <w:r w:rsidRPr="003E507E">
        <w:rPr>
          <w:bCs/>
          <w:sz w:val="24"/>
          <w:szCs w:val="24"/>
          <w:lang w:val="en-US"/>
        </w:rPr>
        <w:t xml:space="preserve">24 June 1995 </w:t>
      </w:r>
      <w:r w:rsidRPr="003E507E">
        <w:rPr>
          <w:sz w:val="24"/>
          <w:szCs w:val="24"/>
          <w:lang w:val="en-US"/>
        </w:rPr>
        <w:t>by the International Institute for the Unification of Private Law (UNIDROIT) upon request of UNESCO.</w:t>
      </w:r>
    </w:p>
  </w:endnote>
  <w:endnote w:id="44">
    <w:p w14:paraId="74E2613E" w14:textId="330F6F23"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0413D5" w:rsidRPr="003E507E">
        <w:rPr>
          <w:sz w:val="24"/>
          <w:szCs w:val="24"/>
          <w:lang w:val="en-US"/>
        </w:rPr>
        <w:t>UNESCO</w:t>
      </w:r>
      <w:r w:rsidR="0061560B" w:rsidRPr="003E507E">
        <w:rPr>
          <w:sz w:val="24"/>
          <w:szCs w:val="24"/>
          <w:lang w:val="en-US"/>
        </w:rPr>
        <w:t xml:space="preserve">, </w:t>
      </w:r>
      <w:r w:rsidRPr="00490CF3">
        <w:rPr>
          <w:i/>
          <w:iCs/>
          <w:sz w:val="24"/>
          <w:szCs w:val="24"/>
          <w:lang w:val="en-US"/>
        </w:rPr>
        <w:t xml:space="preserve">Operational Guidelines for the </w:t>
      </w:r>
      <w:r w:rsidR="00015415" w:rsidRPr="003E507E">
        <w:rPr>
          <w:i/>
          <w:iCs/>
          <w:sz w:val="24"/>
          <w:szCs w:val="24"/>
          <w:lang w:val="en-US"/>
        </w:rPr>
        <w:t>I</w:t>
      </w:r>
      <w:r w:rsidRPr="00490CF3">
        <w:rPr>
          <w:i/>
          <w:iCs/>
          <w:sz w:val="24"/>
          <w:szCs w:val="24"/>
          <w:lang w:val="en-US"/>
        </w:rPr>
        <w:t xml:space="preserve">mplementation of the </w:t>
      </w:r>
      <w:r w:rsidR="000B0351" w:rsidRPr="00490CF3">
        <w:rPr>
          <w:i/>
          <w:iCs/>
          <w:sz w:val="24"/>
          <w:szCs w:val="24"/>
          <w:lang w:val="en-US"/>
        </w:rPr>
        <w:t>World Heritage Convention</w:t>
      </w:r>
      <w:r w:rsidRPr="003E507E">
        <w:rPr>
          <w:sz w:val="24"/>
          <w:szCs w:val="24"/>
          <w:lang w:val="en-US"/>
        </w:rPr>
        <w:t xml:space="preserve">, </w:t>
      </w:r>
      <w:r w:rsidR="00E65C08" w:rsidRPr="003E507E">
        <w:rPr>
          <w:sz w:val="24"/>
          <w:szCs w:val="24"/>
          <w:lang w:val="en-US"/>
        </w:rPr>
        <w:t xml:space="preserve">doc. no. WHC.19/01, </w:t>
      </w:r>
      <w:r w:rsidRPr="003E507E">
        <w:rPr>
          <w:sz w:val="24"/>
          <w:szCs w:val="24"/>
          <w:lang w:val="en-US"/>
        </w:rPr>
        <w:t>10 July 2019, para. 12.</w:t>
      </w:r>
    </w:p>
  </w:endnote>
  <w:endnote w:id="45">
    <w:p w14:paraId="2BB98508" w14:textId="67A718A7"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E26313" w:rsidRPr="003E507E">
        <w:rPr>
          <w:sz w:val="24"/>
          <w:szCs w:val="24"/>
          <w:lang w:val="en-US"/>
        </w:rPr>
        <w:t xml:space="preserve">UNESCO, </w:t>
      </w:r>
      <w:r w:rsidRPr="00490CF3">
        <w:rPr>
          <w:i/>
          <w:iCs/>
          <w:sz w:val="24"/>
          <w:szCs w:val="24"/>
          <w:lang w:val="en-US"/>
        </w:rPr>
        <w:t xml:space="preserve">Operational Guidelines for the </w:t>
      </w:r>
      <w:r w:rsidR="00043D9F" w:rsidRPr="003E507E">
        <w:rPr>
          <w:i/>
          <w:iCs/>
          <w:sz w:val="24"/>
          <w:szCs w:val="24"/>
          <w:lang w:val="en-US"/>
        </w:rPr>
        <w:t>I</w:t>
      </w:r>
      <w:r w:rsidRPr="00490CF3">
        <w:rPr>
          <w:i/>
          <w:iCs/>
          <w:sz w:val="24"/>
          <w:szCs w:val="24"/>
          <w:lang w:val="en-US"/>
        </w:rPr>
        <w:t>mplementation of the Convention on the Means of Prohibiting and Preventing the Illicit Import, Export and Transfer of Ownership of Cultural Property</w:t>
      </w:r>
      <w:r w:rsidR="00E26313" w:rsidRPr="00490CF3">
        <w:rPr>
          <w:i/>
          <w:iCs/>
          <w:sz w:val="24"/>
          <w:szCs w:val="24"/>
          <w:lang w:val="en-US"/>
        </w:rPr>
        <w:t xml:space="preserve"> (UNESCO, Paris, 1970)</w:t>
      </w:r>
      <w:r w:rsidR="00ED2427" w:rsidRPr="003E507E">
        <w:rPr>
          <w:sz w:val="24"/>
          <w:szCs w:val="24"/>
          <w:lang w:val="en-US"/>
        </w:rPr>
        <w:t xml:space="preserve"> (Paris: UNESCO,</w:t>
      </w:r>
      <w:r w:rsidRPr="003E507E">
        <w:rPr>
          <w:sz w:val="24"/>
          <w:szCs w:val="24"/>
          <w:lang w:val="en-US"/>
        </w:rPr>
        <w:t xml:space="preserve"> May 2015</w:t>
      </w:r>
      <w:r w:rsidR="00ED2427" w:rsidRPr="003E507E">
        <w:rPr>
          <w:sz w:val="24"/>
          <w:szCs w:val="24"/>
          <w:lang w:val="en-US"/>
        </w:rPr>
        <w:t>)</w:t>
      </w:r>
      <w:r w:rsidRPr="003E507E">
        <w:rPr>
          <w:sz w:val="24"/>
          <w:szCs w:val="24"/>
          <w:lang w:val="en-US"/>
        </w:rPr>
        <w:t>.</w:t>
      </w:r>
    </w:p>
  </w:endnote>
  <w:endnote w:id="46">
    <w:p w14:paraId="073140FA" w14:textId="506D97CF"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Pr="00490CF3">
        <w:rPr>
          <w:sz w:val="24"/>
          <w:szCs w:val="24"/>
          <w:lang w:val="en-US" w:eastAsia="es-ES"/>
        </w:rPr>
        <w:t>Vrdoljak</w:t>
      </w:r>
      <w:r w:rsidRPr="00490CF3">
        <w:rPr>
          <w:sz w:val="24"/>
          <w:szCs w:val="24"/>
          <w:lang w:val="en-US"/>
        </w:rPr>
        <w:t>, “Human Rights and Illicit Trade</w:t>
      </w:r>
      <w:r w:rsidR="00F722C3" w:rsidRPr="003E507E">
        <w:rPr>
          <w:sz w:val="24"/>
          <w:szCs w:val="24"/>
          <w:lang w:val="en-US"/>
        </w:rPr>
        <w:t>,</w:t>
      </w:r>
      <w:r w:rsidRPr="00490CF3">
        <w:rPr>
          <w:sz w:val="24"/>
          <w:szCs w:val="24"/>
          <w:lang w:val="en-US"/>
        </w:rPr>
        <w:t xml:space="preserve">” </w:t>
      </w:r>
      <w:r w:rsidRPr="003E507E">
        <w:rPr>
          <w:sz w:val="24"/>
          <w:szCs w:val="24"/>
          <w:lang w:val="en-US"/>
        </w:rPr>
        <w:t>124.</w:t>
      </w:r>
    </w:p>
  </w:endnote>
  <w:endnote w:id="47">
    <w:p w14:paraId="07966BB9" w14:textId="77777777"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Pr="00490CF3">
        <w:rPr>
          <w:sz w:val="24"/>
          <w:szCs w:val="24"/>
          <w:lang w:val="en-US" w:eastAsia="es-ES"/>
        </w:rPr>
        <w:t>Vrdoljak</w:t>
      </w:r>
      <w:r w:rsidRPr="003E507E">
        <w:rPr>
          <w:sz w:val="24"/>
          <w:szCs w:val="24"/>
          <w:lang w:val="en-US"/>
        </w:rPr>
        <w:t>, “</w:t>
      </w:r>
      <w:r w:rsidRPr="003E507E">
        <w:rPr>
          <w:bCs/>
          <w:sz w:val="24"/>
          <w:szCs w:val="24"/>
          <w:lang w:val="en-US"/>
        </w:rPr>
        <w:t xml:space="preserve">Human Rights and Cultural Heritage,” </w:t>
      </w:r>
      <w:r w:rsidRPr="003E507E">
        <w:rPr>
          <w:sz w:val="24"/>
          <w:szCs w:val="24"/>
          <w:lang w:val="en-US"/>
        </w:rPr>
        <w:t>140.</w:t>
      </w:r>
    </w:p>
  </w:endnote>
  <w:endnote w:id="48">
    <w:p w14:paraId="30AF54D3" w14:textId="22B1B18E"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Tünsmeyer, </w:t>
      </w:r>
      <w:r w:rsidR="007B0F2A" w:rsidRPr="003E507E">
        <w:rPr>
          <w:sz w:val="24"/>
          <w:szCs w:val="24"/>
          <w:lang w:val="en-US"/>
        </w:rPr>
        <w:t>“Bridging the Gap,</w:t>
      </w:r>
      <w:r w:rsidR="007B14C1" w:rsidRPr="003E507E">
        <w:rPr>
          <w:sz w:val="24"/>
          <w:szCs w:val="24"/>
          <w:lang w:val="en-US"/>
        </w:rPr>
        <w:t>”</w:t>
      </w:r>
      <w:r w:rsidR="007B0F2A" w:rsidRPr="003E507E">
        <w:rPr>
          <w:sz w:val="24"/>
          <w:szCs w:val="24"/>
          <w:lang w:val="en-US"/>
        </w:rPr>
        <w:t xml:space="preserve"> </w:t>
      </w:r>
      <w:r w:rsidRPr="003E507E">
        <w:rPr>
          <w:sz w:val="24"/>
          <w:szCs w:val="24"/>
          <w:lang w:val="en-US"/>
        </w:rPr>
        <w:t>319</w:t>
      </w:r>
      <w:r w:rsidR="00EB06BF" w:rsidRPr="003E507E">
        <w:rPr>
          <w:sz w:val="24"/>
          <w:szCs w:val="24"/>
          <w:lang w:val="en-US"/>
        </w:rPr>
        <w:t>–</w:t>
      </w:r>
      <w:r w:rsidRPr="003E507E">
        <w:rPr>
          <w:sz w:val="24"/>
          <w:szCs w:val="24"/>
          <w:lang w:val="en-US"/>
        </w:rPr>
        <w:t>20.</w:t>
      </w:r>
    </w:p>
  </w:endnote>
  <w:endnote w:id="49">
    <w:p w14:paraId="5155FA78" w14:textId="1069B6C8"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Donders, </w:t>
      </w:r>
      <w:r w:rsidR="00914A53" w:rsidRPr="003E507E">
        <w:rPr>
          <w:sz w:val="24"/>
          <w:szCs w:val="24"/>
          <w:lang w:val="en-US"/>
        </w:rPr>
        <w:t xml:space="preserve">“Cultural Heritage and Human Rights,” </w:t>
      </w:r>
      <w:r w:rsidRPr="003E507E">
        <w:rPr>
          <w:sz w:val="24"/>
          <w:szCs w:val="24"/>
          <w:lang w:val="en-US"/>
        </w:rPr>
        <w:t xml:space="preserve">383; </w:t>
      </w:r>
      <w:r w:rsidR="007B0F2A" w:rsidRPr="003E507E">
        <w:rPr>
          <w:sz w:val="24"/>
          <w:szCs w:val="24"/>
          <w:lang w:val="en-US"/>
        </w:rPr>
        <w:t xml:space="preserve">and </w:t>
      </w:r>
      <w:r w:rsidRPr="003E507E">
        <w:rPr>
          <w:sz w:val="24"/>
          <w:szCs w:val="24"/>
          <w:lang w:val="en-US"/>
        </w:rPr>
        <w:t>Tünsmeyer</w:t>
      </w:r>
      <w:r w:rsidR="007B0F2A" w:rsidRPr="003E507E">
        <w:rPr>
          <w:sz w:val="24"/>
          <w:szCs w:val="24"/>
          <w:lang w:val="en-US"/>
        </w:rPr>
        <w:t xml:space="preserve">, </w:t>
      </w:r>
      <w:r w:rsidRPr="003E507E">
        <w:rPr>
          <w:sz w:val="24"/>
          <w:szCs w:val="24"/>
          <w:lang w:val="en-US"/>
        </w:rPr>
        <w:t>321.</w:t>
      </w:r>
    </w:p>
  </w:endnote>
  <w:endnote w:id="50">
    <w:p w14:paraId="6A76A2EF" w14:textId="3FE36B7C"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O’Keefe</w:t>
      </w:r>
      <w:r w:rsidRPr="00490CF3">
        <w:rPr>
          <w:sz w:val="24"/>
          <w:szCs w:val="24"/>
          <w:lang w:val="en-US"/>
        </w:rPr>
        <w:t xml:space="preserve">, </w:t>
      </w:r>
      <w:r w:rsidR="007B0F2A" w:rsidRPr="003E507E">
        <w:rPr>
          <w:sz w:val="24"/>
          <w:szCs w:val="24"/>
          <w:lang w:val="en-US"/>
        </w:rPr>
        <w:t xml:space="preserve">“Tangible Cultural Heritage,” </w:t>
      </w:r>
      <w:r w:rsidRPr="00490CF3">
        <w:rPr>
          <w:sz w:val="24"/>
          <w:szCs w:val="24"/>
          <w:lang w:val="en-US"/>
        </w:rPr>
        <w:t>91.</w:t>
      </w:r>
    </w:p>
  </w:endnote>
  <w:endnote w:id="51">
    <w:p w14:paraId="6455A6C1" w14:textId="7D7CD006"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Blake, </w:t>
      </w:r>
      <w:r w:rsidR="00803144" w:rsidRPr="003E507E">
        <w:rPr>
          <w:i/>
          <w:sz w:val="24"/>
          <w:szCs w:val="24"/>
          <w:lang w:val="en-US"/>
        </w:rPr>
        <w:t>International Cultural Heritage Law</w:t>
      </w:r>
      <w:r w:rsidR="00803144" w:rsidRPr="003E507E">
        <w:rPr>
          <w:sz w:val="24"/>
          <w:szCs w:val="24"/>
          <w:lang w:val="en-US"/>
        </w:rPr>
        <w:t xml:space="preserve">, </w:t>
      </w:r>
      <w:r w:rsidRPr="003E507E">
        <w:rPr>
          <w:sz w:val="24"/>
          <w:szCs w:val="24"/>
          <w:lang w:val="en-US"/>
        </w:rPr>
        <w:t>311.</w:t>
      </w:r>
    </w:p>
  </w:endnote>
  <w:endnote w:id="52">
    <w:p w14:paraId="44EB2496" w14:textId="4295D0A7"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w:t>
      </w:r>
      <w:r w:rsidR="00914A53" w:rsidRPr="003E507E">
        <w:rPr>
          <w:sz w:val="24"/>
          <w:szCs w:val="24"/>
          <w:lang w:val="en-US"/>
        </w:rPr>
        <w:t xml:space="preserve">Manisuli Ssenyonjo, </w:t>
      </w:r>
      <w:r w:rsidR="00914A53" w:rsidRPr="003E507E">
        <w:rPr>
          <w:i/>
          <w:sz w:val="24"/>
          <w:szCs w:val="24"/>
          <w:lang w:val="en-US"/>
        </w:rPr>
        <w:t>Economic, Social and Cultural Rights in International Law</w:t>
      </w:r>
      <w:r w:rsidR="00914A53" w:rsidRPr="003E507E">
        <w:rPr>
          <w:sz w:val="24"/>
          <w:szCs w:val="24"/>
          <w:lang w:val="en-US"/>
        </w:rPr>
        <w:t xml:space="preserve"> (Oxford: Hart, 2009)</w:t>
      </w:r>
      <w:r w:rsidRPr="003E507E">
        <w:rPr>
          <w:sz w:val="24"/>
          <w:szCs w:val="24"/>
          <w:lang w:val="en-US"/>
        </w:rPr>
        <w:t>, 403.</w:t>
      </w:r>
    </w:p>
  </w:endnote>
  <w:endnote w:id="53">
    <w:p w14:paraId="0BE76C9B" w14:textId="09BD9E29"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O’Keefe, </w:t>
      </w:r>
      <w:r w:rsidR="007B0F2A" w:rsidRPr="003E507E">
        <w:rPr>
          <w:sz w:val="24"/>
          <w:szCs w:val="24"/>
          <w:lang w:val="en-US"/>
        </w:rPr>
        <w:t xml:space="preserve">“Tangible Cultural Heritage,” </w:t>
      </w:r>
      <w:r w:rsidRPr="003E507E">
        <w:rPr>
          <w:sz w:val="24"/>
          <w:szCs w:val="24"/>
          <w:lang w:val="en-US"/>
        </w:rPr>
        <w:t>88.</w:t>
      </w:r>
    </w:p>
  </w:endnote>
  <w:endnote w:id="54">
    <w:p w14:paraId="483E2F2E" w14:textId="5DB03251"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Donders, </w:t>
      </w:r>
      <w:r w:rsidR="00914A53" w:rsidRPr="003E507E">
        <w:rPr>
          <w:sz w:val="24"/>
          <w:szCs w:val="24"/>
          <w:lang w:val="en-US"/>
        </w:rPr>
        <w:t xml:space="preserve">“Cultural Heritage and Human Rights,” </w:t>
      </w:r>
      <w:r w:rsidRPr="003E507E">
        <w:rPr>
          <w:sz w:val="24"/>
          <w:szCs w:val="24"/>
          <w:lang w:val="en-US"/>
        </w:rPr>
        <w:t>383.</w:t>
      </w:r>
    </w:p>
  </w:endnote>
  <w:endnote w:id="55">
    <w:p w14:paraId="14A4CC62" w14:textId="4D87833F"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O’Keefe, </w:t>
      </w:r>
      <w:r w:rsidR="007B0F2A" w:rsidRPr="003E507E">
        <w:rPr>
          <w:sz w:val="24"/>
          <w:szCs w:val="24"/>
          <w:lang w:val="en-US"/>
        </w:rPr>
        <w:t xml:space="preserve">“Tangible Cultural Heritage,” </w:t>
      </w:r>
      <w:r w:rsidRPr="003E507E">
        <w:rPr>
          <w:sz w:val="24"/>
          <w:szCs w:val="24"/>
          <w:lang w:val="en-US"/>
        </w:rPr>
        <w:t>88</w:t>
      </w:r>
      <w:r w:rsidR="00EB06BF" w:rsidRPr="003E507E">
        <w:rPr>
          <w:sz w:val="24"/>
          <w:szCs w:val="24"/>
          <w:lang w:val="en-US"/>
        </w:rPr>
        <w:t>–</w:t>
      </w:r>
      <w:r w:rsidRPr="003E507E">
        <w:rPr>
          <w:sz w:val="24"/>
          <w:szCs w:val="24"/>
          <w:lang w:val="en-US"/>
        </w:rPr>
        <w:t>89.</w:t>
      </w:r>
    </w:p>
  </w:endnote>
  <w:endnote w:id="56">
    <w:p w14:paraId="114188D2" w14:textId="62C84C9F"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The adoption of a human rights approach centered on educational programs has been advocated by </w:t>
      </w:r>
      <w:r w:rsidR="009E0737" w:rsidRPr="003E507E">
        <w:rPr>
          <w:sz w:val="24"/>
          <w:szCs w:val="24"/>
          <w:lang w:val="en-US"/>
        </w:rPr>
        <w:t>UN s</w:t>
      </w:r>
      <w:r w:rsidRPr="003E507E">
        <w:rPr>
          <w:sz w:val="24"/>
          <w:szCs w:val="24"/>
          <w:lang w:val="en-US"/>
        </w:rPr>
        <w:t xml:space="preserve">pecial </w:t>
      </w:r>
      <w:r w:rsidR="009E0737" w:rsidRPr="003E507E">
        <w:rPr>
          <w:sz w:val="24"/>
          <w:szCs w:val="24"/>
          <w:lang w:val="en-US"/>
        </w:rPr>
        <w:t>r</w:t>
      </w:r>
      <w:r w:rsidRPr="003E507E">
        <w:rPr>
          <w:sz w:val="24"/>
          <w:szCs w:val="24"/>
          <w:lang w:val="en-US"/>
        </w:rPr>
        <w:t>apporteur Ka</w:t>
      </w:r>
      <w:r w:rsidR="00036CCB" w:rsidRPr="003E507E">
        <w:rPr>
          <w:sz w:val="24"/>
          <w:szCs w:val="24"/>
          <w:lang w:val="en-US"/>
        </w:rPr>
        <w:t>r</w:t>
      </w:r>
      <w:r w:rsidRPr="003E507E">
        <w:rPr>
          <w:sz w:val="24"/>
          <w:szCs w:val="24"/>
          <w:lang w:val="en-US"/>
        </w:rPr>
        <w:t xml:space="preserve">ima Bennoune. See </w:t>
      </w:r>
      <w:r w:rsidR="00314F4E" w:rsidRPr="00490CF3">
        <w:rPr>
          <w:sz w:val="24"/>
          <w:szCs w:val="24"/>
          <w:lang w:val="en-US"/>
        </w:rPr>
        <w:t xml:space="preserve">Karima Bennoune, </w:t>
      </w:r>
      <w:r w:rsidR="00314F4E" w:rsidRPr="00490CF3">
        <w:rPr>
          <w:i/>
          <w:iCs/>
          <w:sz w:val="24"/>
          <w:szCs w:val="24"/>
          <w:lang w:val="en-US"/>
        </w:rPr>
        <w:t>Report of the Special Rapporteur in the Field of Cultural Rights</w:t>
      </w:r>
      <w:r w:rsidR="00314F4E" w:rsidRPr="00490CF3">
        <w:rPr>
          <w:sz w:val="24"/>
          <w:szCs w:val="24"/>
          <w:lang w:val="en-US"/>
        </w:rPr>
        <w:t xml:space="preserve">, Human Rights Council, UN doc. A/HRC/31/59, 3 February 2016; </w:t>
      </w:r>
      <w:r w:rsidRPr="003E507E">
        <w:rPr>
          <w:sz w:val="24"/>
          <w:szCs w:val="24"/>
          <w:lang w:val="en-US"/>
        </w:rPr>
        <w:t xml:space="preserve">and </w:t>
      </w:r>
      <w:r w:rsidR="00B91C51" w:rsidRPr="00490CF3">
        <w:rPr>
          <w:i/>
          <w:iCs/>
          <w:sz w:val="24"/>
          <w:szCs w:val="24"/>
          <w:lang w:val="en-US"/>
        </w:rPr>
        <w:t>Report of the Special Rapporteur in the Field of Cultural Rights</w:t>
      </w:r>
      <w:r w:rsidR="00B91C51" w:rsidRPr="00490CF3">
        <w:rPr>
          <w:sz w:val="24"/>
          <w:szCs w:val="24"/>
          <w:lang w:val="en-US"/>
        </w:rPr>
        <w:t xml:space="preserve">, </w:t>
      </w:r>
      <w:r w:rsidR="002E7A8A" w:rsidRPr="00490CF3">
        <w:rPr>
          <w:sz w:val="24"/>
          <w:szCs w:val="24"/>
          <w:lang w:val="en-US"/>
        </w:rPr>
        <w:t>General Assembly</w:t>
      </w:r>
      <w:r w:rsidR="00B91C51" w:rsidRPr="00490CF3">
        <w:rPr>
          <w:sz w:val="24"/>
          <w:szCs w:val="24"/>
          <w:lang w:val="en-US"/>
        </w:rPr>
        <w:t xml:space="preserve">, UN doc. </w:t>
      </w:r>
      <w:r w:rsidRPr="003E507E">
        <w:rPr>
          <w:sz w:val="24"/>
          <w:szCs w:val="24"/>
          <w:lang w:val="en-US"/>
        </w:rPr>
        <w:t>A/71/317</w:t>
      </w:r>
      <w:r w:rsidR="00B91C51" w:rsidRPr="003E507E">
        <w:rPr>
          <w:sz w:val="24"/>
          <w:szCs w:val="24"/>
          <w:lang w:val="en-US"/>
        </w:rPr>
        <w:t>, 9 August 2016</w:t>
      </w:r>
      <w:r w:rsidRPr="003E507E">
        <w:rPr>
          <w:sz w:val="24"/>
          <w:szCs w:val="24"/>
          <w:lang w:val="en-US"/>
        </w:rPr>
        <w:t>, paras. 55, 78.</w:t>
      </w:r>
    </w:p>
  </w:endnote>
  <w:endnote w:id="57">
    <w:p w14:paraId="1A2AA321" w14:textId="266B938C" w:rsidR="00EA05FB" w:rsidRPr="00FF0BD6" w:rsidRDefault="00EA05FB" w:rsidP="00FF0BD6">
      <w:pPr>
        <w:pStyle w:val="EndnoteText"/>
        <w:spacing w:line="480" w:lineRule="auto"/>
        <w:rPr>
          <w:sz w:val="24"/>
          <w:szCs w:val="24"/>
          <w:lang w:val="en-GB"/>
        </w:rPr>
      </w:pPr>
      <w:r w:rsidRPr="00490CF3">
        <w:rPr>
          <w:rStyle w:val="EndnoteReference"/>
          <w:sz w:val="24"/>
          <w:szCs w:val="24"/>
          <w:lang w:val="en-US"/>
        </w:rPr>
        <w:endnoteRef/>
      </w:r>
      <w:r w:rsidRPr="00FF0BD6">
        <w:rPr>
          <w:bCs/>
          <w:sz w:val="24"/>
          <w:szCs w:val="24"/>
          <w:lang w:val="en-GB"/>
        </w:rPr>
        <w:t xml:space="preserve"> </w:t>
      </w:r>
      <w:r w:rsidR="00D84CA0">
        <w:rPr>
          <w:bCs/>
          <w:sz w:val="24"/>
          <w:szCs w:val="24"/>
          <w:lang w:val="en-GB"/>
        </w:rPr>
        <w:t xml:space="preserve">Janusz </w:t>
      </w:r>
      <w:r w:rsidR="00540B7C" w:rsidRPr="00FF0BD6">
        <w:rPr>
          <w:bCs/>
          <w:sz w:val="24"/>
          <w:szCs w:val="24"/>
          <w:lang w:val="en-GB"/>
        </w:rPr>
        <w:t>Symonides, “</w:t>
      </w:r>
      <w:r w:rsidR="00D84CA0" w:rsidRPr="00FF0BD6">
        <w:rPr>
          <w:bCs/>
          <w:sz w:val="24"/>
          <w:szCs w:val="24"/>
          <w:lang w:val="en-GB"/>
        </w:rPr>
        <w:t>UNESCO’s Contribution to the</w:t>
      </w:r>
      <w:r w:rsidR="00D84CA0">
        <w:rPr>
          <w:bCs/>
          <w:sz w:val="24"/>
          <w:szCs w:val="24"/>
          <w:lang w:val="en-GB"/>
        </w:rPr>
        <w:t xml:space="preserve"> Progressive Development of Human Rights</w:t>
      </w:r>
      <w:r w:rsidR="00670671">
        <w:rPr>
          <w:bCs/>
          <w:sz w:val="24"/>
          <w:szCs w:val="24"/>
          <w:lang w:val="en-GB"/>
        </w:rPr>
        <w:t>,</w:t>
      </w:r>
      <w:r w:rsidR="00540B7C" w:rsidRPr="00FF0BD6">
        <w:rPr>
          <w:bCs/>
          <w:sz w:val="24"/>
          <w:szCs w:val="24"/>
          <w:lang w:val="en-GB"/>
        </w:rPr>
        <w:t>”</w:t>
      </w:r>
      <w:r w:rsidR="00D84CA0">
        <w:rPr>
          <w:bCs/>
          <w:sz w:val="24"/>
          <w:szCs w:val="24"/>
          <w:lang w:val="en-GB"/>
        </w:rPr>
        <w:t xml:space="preserve"> in </w:t>
      </w:r>
      <w:r w:rsidR="00D84CA0" w:rsidRPr="00FF0BD6">
        <w:rPr>
          <w:bCs/>
          <w:i/>
          <w:iCs/>
          <w:sz w:val="24"/>
          <w:szCs w:val="24"/>
          <w:lang w:val="en-GB"/>
        </w:rPr>
        <w:t>Max Planck Yearbook of United Nations</w:t>
      </w:r>
      <w:r w:rsidR="00D23204" w:rsidRPr="00FF0BD6">
        <w:rPr>
          <w:bCs/>
          <w:i/>
          <w:iCs/>
          <w:sz w:val="24"/>
          <w:szCs w:val="24"/>
          <w:lang w:val="en-GB"/>
        </w:rPr>
        <w:t xml:space="preserve"> Law</w:t>
      </w:r>
      <w:r w:rsidR="00D84CA0" w:rsidRPr="00FF0BD6">
        <w:rPr>
          <w:bCs/>
          <w:i/>
          <w:iCs/>
          <w:sz w:val="24"/>
          <w:szCs w:val="24"/>
          <w:lang w:val="en-GB"/>
        </w:rPr>
        <w:t xml:space="preserve">, </w:t>
      </w:r>
      <w:r w:rsidR="00D23204" w:rsidRPr="00FF0BD6">
        <w:rPr>
          <w:bCs/>
          <w:i/>
          <w:iCs/>
          <w:sz w:val="24"/>
          <w:szCs w:val="24"/>
          <w:lang w:val="en-GB"/>
        </w:rPr>
        <w:t>Vol. 5</w:t>
      </w:r>
      <w:r w:rsidR="00D23204">
        <w:rPr>
          <w:bCs/>
          <w:sz w:val="24"/>
          <w:szCs w:val="24"/>
          <w:lang w:val="en-GB"/>
        </w:rPr>
        <w:t xml:space="preserve">, </w:t>
      </w:r>
      <w:r w:rsidR="00670671" w:rsidRPr="00670671">
        <w:rPr>
          <w:bCs/>
          <w:sz w:val="24"/>
          <w:szCs w:val="24"/>
          <w:lang w:val="en-GB"/>
        </w:rPr>
        <w:t>ed. Jochen A. Frowein</w:t>
      </w:r>
      <w:r w:rsidR="00D23204">
        <w:rPr>
          <w:bCs/>
          <w:sz w:val="24"/>
          <w:szCs w:val="24"/>
          <w:lang w:val="en-GB"/>
        </w:rPr>
        <w:t xml:space="preserve">, </w:t>
      </w:r>
      <w:r w:rsidR="00670671" w:rsidRPr="00670671">
        <w:rPr>
          <w:bCs/>
          <w:sz w:val="24"/>
          <w:szCs w:val="24"/>
          <w:lang w:val="en-GB"/>
        </w:rPr>
        <w:t>Rüdiger Wolfrum</w:t>
      </w:r>
      <w:r w:rsidR="00D23204">
        <w:rPr>
          <w:bCs/>
          <w:sz w:val="24"/>
          <w:szCs w:val="24"/>
          <w:lang w:val="en-GB"/>
        </w:rPr>
        <w:t>, and Christiane E. Philipp</w:t>
      </w:r>
      <w:r w:rsidR="00670671" w:rsidRPr="00670671">
        <w:rPr>
          <w:bCs/>
          <w:sz w:val="24"/>
          <w:szCs w:val="24"/>
          <w:lang w:val="en-GB"/>
        </w:rPr>
        <w:t xml:space="preserve"> (</w:t>
      </w:r>
      <w:r w:rsidR="001B6035">
        <w:rPr>
          <w:bCs/>
          <w:sz w:val="24"/>
          <w:szCs w:val="24"/>
          <w:lang w:val="en-GB"/>
        </w:rPr>
        <w:t xml:space="preserve">Boston: Brill, </w:t>
      </w:r>
      <w:r w:rsidR="00D84CA0" w:rsidRPr="00670671">
        <w:rPr>
          <w:bCs/>
          <w:sz w:val="24"/>
          <w:szCs w:val="24"/>
          <w:lang w:val="en-GB"/>
        </w:rPr>
        <w:t>2001</w:t>
      </w:r>
      <w:r w:rsidR="00670671" w:rsidRPr="00670671">
        <w:rPr>
          <w:bCs/>
          <w:sz w:val="24"/>
          <w:szCs w:val="24"/>
          <w:lang w:val="en-GB"/>
        </w:rPr>
        <w:t>)</w:t>
      </w:r>
      <w:r w:rsidR="00D84CA0" w:rsidRPr="00670671">
        <w:rPr>
          <w:bCs/>
          <w:sz w:val="24"/>
          <w:szCs w:val="24"/>
          <w:lang w:val="en-GB"/>
        </w:rPr>
        <w:t>, 307</w:t>
      </w:r>
      <w:r w:rsidR="00670671" w:rsidRPr="00670671">
        <w:rPr>
          <w:bCs/>
          <w:sz w:val="24"/>
          <w:szCs w:val="24"/>
          <w:lang w:val="en-GB"/>
        </w:rPr>
        <w:t>–</w:t>
      </w:r>
      <w:r w:rsidR="00D84CA0" w:rsidRPr="00670671">
        <w:rPr>
          <w:bCs/>
          <w:sz w:val="24"/>
          <w:szCs w:val="24"/>
          <w:lang w:val="en-GB"/>
        </w:rPr>
        <w:t>40</w:t>
      </w:r>
      <w:r w:rsidRPr="00FF0BD6">
        <w:rPr>
          <w:bCs/>
          <w:sz w:val="24"/>
          <w:szCs w:val="24"/>
          <w:lang w:val="en-GB"/>
        </w:rPr>
        <w:t>.</w:t>
      </w:r>
    </w:p>
  </w:endnote>
  <w:endnote w:id="58">
    <w:p w14:paraId="70C0DD5C" w14:textId="2643C3A3" w:rsidR="00EA05FB" w:rsidRPr="00670671" w:rsidRDefault="00EA05FB">
      <w:pPr>
        <w:pStyle w:val="EndnoteText"/>
        <w:spacing w:line="480" w:lineRule="auto"/>
        <w:rPr>
          <w:sz w:val="24"/>
          <w:szCs w:val="24"/>
          <w:lang w:val="en-US"/>
        </w:rPr>
      </w:pPr>
      <w:r w:rsidRPr="00670671">
        <w:rPr>
          <w:rStyle w:val="EndnoteReference"/>
          <w:sz w:val="24"/>
          <w:szCs w:val="24"/>
          <w:lang w:val="en-US"/>
        </w:rPr>
        <w:endnoteRef/>
      </w:r>
      <w:r w:rsidRPr="00670671">
        <w:rPr>
          <w:sz w:val="24"/>
          <w:szCs w:val="24"/>
          <w:lang w:val="en-US"/>
        </w:rPr>
        <w:t xml:space="preserve"> </w:t>
      </w:r>
      <w:r w:rsidRPr="00670671">
        <w:rPr>
          <w:bCs/>
          <w:sz w:val="24"/>
          <w:szCs w:val="24"/>
          <w:lang w:val="en-US"/>
        </w:rPr>
        <w:t xml:space="preserve">Symonides, </w:t>
      </w:r>
      <w:r w:rsidRPr="00FF0BD6">
        <w:rPr>
          <w:bCs/>
          <w:sz w:val="24"/>
          <w:szCs w:val="24"/>
          <w:lang w:val="en-US"/>
        </w:rPr>
        <w:t>340.</w:t>
      </w:r>
    </w:p>
  </w:endnote>
  <w:endnote w:id="59">
    <w:p w14:paraId="31F9115A" w14:textId="563E6D4A" w:rsidR="00EA05FB" w:rsidRPr="003E507E" w:rsidRDefault="00EA05FB">
      <w:pPr>
        <w:pStyle w:val="EndnoteText"/>
        <w:spacing w:line="480" w:lineRule="auto"/>
        <w:rPr>
          <w:sz w:val="24"/>
          <w:szCs w:val="24"/>
          <w:lang w:val="en-US"/>
        </w:rPr>
      </w:pPr>
      <w:r w:rsidRPr="00670671">
        <w:rPr>
          <w:rStyle w:val="EndnoteReference"/>
          <w:sz w:val="24"/>
          <w:szCs w:val="24"/>
          <w:lang w:val="en-US"/>
        </w:rPr>
        <w:endnoteRef/>
      </w:r>
      <w:r w:rsidRPr="00670671">
        <w:rPr>
          <w:sz w:val="24"/>
          <w:szCs w:val="24"/>
          <w:lang w:val="en-US"/>
        </w:rPr>
        <w:t xml:space="preserve"> See the </w:t>
      </w:r>
      <w:r w:rsidR="00DA72D0" w:rsidRPr="00670671">
        <w:rPr>
          <w:sz w:val="24"/>
          <w:szCs w:val="24"/>
          <w:lang w:val="en-US"/>
        </w:rPr>
        <w:t>20</w:t>
      </w:r>
      <w:r w:rsidR="00DA72D0" w:rsidRPr="003E507E">
        <w:rPr>
          <w:sz w:val="24"/>
          <w:szCs w:val="24"/>
          <w:lang w:val="en-US"/>
        </w:rPr>
        <w:t xml:space="preserve">01 </w:t>
      </w:r>
      <w:r w:rsidR="00DA72D0" w:rsidRPr="003E507E">
        <w:rPr>
          <w:iCs/>
          <w:sz w:val="24"/>
          <w:szCs w:val="24"/>
          <w:lang w:val="en-US"/>
        </w:rPr>
        <w:t>Universal</w:t>
      </w:r>
      <w:r w:rsidR="00DA72D0" w:rsidRPr="003E507E">
        <w:rPr>
          <w:sz w:val="24"/>
          <w:szCs w:val="24"/>
          <w:lang w:val="en-US"/>
        </w:rPr>
        <w:t xml:space="preserve"> </w:t>
      </w:r>
      <w:r w:rsidR="00DA72D0" w:rsidRPr="003E507E">
        <w:rPr>
          <w:iCs/>
          <w:sz w:val="24"/>
          <w:szCs w:val="24"/>
          <w:lang w:val="en-US"/>
        </w:rPr>
        <w:t>Declaration on Cultural Diversity, Art. 5;</w:t>
      </w:r>
      <w:r w:rsidR="00DA72D0" w:rsidRPr="003E507E">
        <w:rPr>
          <w:sz w:val="24"/>
          <w:szCs w:val="24"/>
          <w:lang w:val="en-US"/>
        </w:rPr>
        <w:t xml:space="preserve"> </w:t>
      </w:r>
      <w:r w:rsidR="00DA72D0" w:rsidRPr="003E507E">
        <w:rPr>
          <w:bCs/>
          <w:sz w:val="24"/>
          <w:szCs w:val="24"/>
          <w:lang w:val="en-US"/>
        </w:rPr>
        <w:t xml:space="preserve">the 2003 </w:t>
      </w:r>
      <w:r w:rsidR="00DA72D0" w:rsidRPr="003E507E">
        <w:rPr>
          <w:sz w:val="24"/>
          <w:szCs w:val="24"/>
          <w:lang w:val="en-US"/>
        </w:rPr>
        <w:t xml:space="preserve">Convention for the Safeguarding of the Intangible Cultural Heritage, Art. 2.3, 14; and the </w:t>
      </w:r>
      <w:r w:rsidRPr="00490CF3">
        <w:rPr>
          <w:sz w:val="24"/>
          <w:szCs w:val="24"/>
          <w:lang w:val="en-US"/>
        </w:rPr>
        <w:t xml:space="preserve">2005 Convention </w:t>
      </w:r>
      <w:r w:rsidR="00DA72D0" w:rsidRPr="003E507E">
        <w:rPr>
          <w:bCs/>
          <w:sz w:val="24"/>
          <w:szCs w:val="24"/>
          <w:lang w:val="en-US"/>
        </w:rPr>
        <w:t>on the Protection and Promotion of the Diversity of Cultural Expressions,</w:t>
      </w:r>
      <w:r w:rsidR="00DA72D0" w:rsidRPr="003E507E">
        <w:rPr>
          <w:sz w:val="24"/>
          <w:szCs w:val="24"/>
          <w:lang w:val="en-US"/>
        </w:rPr>
        <w:t xml:space="preserve"> </w:t>
      </w:r>
      <w:r w:rsidRPr="00490CF3">
        <w:rPr>
          <w:sz w:val="24"/>
          <w:szCs w:val="24"/>
          <w:lang w:val="en-US"/>
        </w:rPr>
        <w:t>Art</w:t>
      </w:r>
      <w:r w:rsidR="00DA72D0" w:rsidRPr="003E507E">
        <w:rPr>
          <w:sz w:val="24"/>
          <w:szCs w:val="24"/>
          <w:lang w:val="en-US"/>
        </w:rPr>
        <w:t>.</w:t>
      </w:r>
      <w:r w:rsidRPr="00490CF3">
        <w:rPr>
          <w:sz w:val="24"/>
          <w:szCs w:val="24"/>
          <w:lang w:val="en-US"/>
        </w:rPr>
        <w:t xml:space="preserve"> 10</w:t>
      </w:r>
      <w:r w:rsidR="00DA72D0" w:rsidRPr="003E507E">
        <w:rPr>
          <w:sz w:val="24"/>
          <w:szCs w:val="24"/>
          <w:lang w:val="en-US"/>
        </w:rPr>
        <w:t>.</w:t>
      </w:r>
      <w:r w:rsidR="00DA72D0" w:rsidRPr="003E507E">
        <w:rPr>
          <w:bCs/>
          <w:sz w:val="24"/>
          <w:szCs w:val="24"/>
          <w:lang w:val="en-US"/>
        </w:rPr>
        <w:t xml:space="preserve"> </w:t>
      </w:r>
    </w:p>
  </w:endnote>
  <w:endnote w:id="60">
    <w:p w14:paraId="3B1B7825" w14:textId="3552A413" w:rsidR="00EA05FB" w:rsidRPr="003E507E" w:rsidRDefault="00EA05FB">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See </w:t>
      </w:r>
      <w:r w:rsidRPr="00490CF3">
        <w:rPr>
          <w:sz w:val="24"/>
          <w:szCs w:val="24"/>
          <w:lang w:val="en-US"/>
        </w:rPr>
        <w:t>the 1989 Convention on the Rights of the Child</w:t>
      </w:r>
      <w:r w:rsidR="00B1287D" w:rsidRPr="003E507E">
        <w:rPr>
          <w:sz w:val="24"/>
          <w:szCs w:val="24"/>
          <w:lang w:val="en-US"/>
        </w:rPr>
        <w:t>,</w:t>
      </w:r>
      <w:r w:rsidRPr="00490CF3">
        <w:rPr>
          <w:sz w:val="24"/>
          <w:szCs w:val="24"/>
          <w:lang w:val="en-US"/>
        </w:rPr>
        <w:t xml:space="preserve"> Art</w:t>
      </w:r>
      <w:r w:rsidR="00B1287D" w:rsidRPr="003E507E">
        <w:rPr>
          <w:sz w:val="24"/>
          <w:szCs w:val="24"/>
          <w:lang w:val="en-US"/>
        </w:rPr>
        <w:t>.</w:t>
      </w:r>
      <w:r w:rsidRPr="00490CF3">
        <w:rPr>
          <w:sz w:val="24"/>
          <w:szCs w:val="24"/>
          <w:lang w:val="en-US"/>
        </w:rPr>
        <w:t xml:space="preserve"> 28</w:t>
      </w:r>
      <w:r w:rsidR="00EB06BF" w:rsidRPr="00490CF3">
        <w:rPr>
          <w:sz w:val="24"/>
          <w:szCs w:val="24"/>
          <w:lang w:val="en-US"/>
        </w:rPr>
        <w:t>–</w:t>
      </w:r>
      <w:r w:rsidRPr="00490CF3">
        <w:rPr>
          <w:sz w:val="24"/>
          <w:szCs w:val="24"/>
          <w:lang w:val="en-US"/>
        </w:rPr>
        <w:t>29</w:t>
      </w:r>
      <w:r w:rsidR="00B1287D" w:rsidRPr="003E507E">
        <w:rPr>
          <w:sz w:val="24"/>
          <w:szCs w:val="24"/>
          <w:lang w:val="en-US"/>
        </w:rPr>
        <w:t>;</w:t>
      </w:r>
      <w:r w:rsidRPr="00490CF3">
        <w:rPr>
          <w:sz w:val="24"/>
          <w:szCs w:val="24"/>
          <w:lang w:val="en-US"/>
        </w:rPr>
        <w:t xml:space="preserve"> the CEDAW</w:t>
      </w:r>
      <w:r w:rsidR="00F72020" w:rsidRPr="003E507E">
        <w:rPr>
          <w:sz w:val="24"/>
          <w:szCs w:val="24"/>
          <w:lang w:val="en-US"/>
        </w:rPr>
        <w:t>,</w:t>
      </w:r>
      <w:r w:rsidRPr="00490CF3">
        <w:rPr>
          <w:sz w:val="24"/>
          <w:szCs w:val="24"/>
          <w:lang w:val="en-US"/>
        </w:rPr>
        <w:t xml:space="preserve"> Art</w:t>
      </w:r>
      <w:r w:rsidR="00F541F9" w:rsidRPr="003E507E">
        <w:rPr>
          <w:sz w:val="24"/>
          <w:szCs w:val="24"/>
          <w:lang w:val="en-US"/>
        </w:rPr>
        <w:t>.</w:t>
      </w:r>
      <w:r w:rsidRPr="00490CF3">
        <w:rPr>
          <w:sz w:val="24"/>
          <w:szCs w:val="24"/>
          <w:lang w:val="en-US"/>
        </w:rPr>
        <w:t xml:space="preserve"> 10</w:t>
      </w:r>
      <w:r w:rsidR="00F541F9" w:rsidRPr="003E507E">
        <w:rPr>
          <w:sz w:val="24"/>
          <w:szCs w:val="24"/>
          <w:lang w:val="en-US"/>
        </w:rPr>
        <w:t>;</w:t>
      </w:r>
      <w:r w:rsidRPr="00490CF3">
        <w:rPr>
          <w:sz w:val="24"/>
          <w:szCs w:val="24"/>
          <w:lang w:val="en-US"/>
        </w:rPr>
        <w:t xml:space="preserve"> the 1998 Declaration on the Right and Responsibility of Individuals, Groups and Organs of Society to Promote and Protect Universally Recognized Human Rights and Fundamental Freedoms</w:t>
      </w:r>
      <w:r w:rsidR="00F541F9" w:rsidRPr="003E507E">
        <w:rPr>
          <w:sz w:val="24"/>
          <w:szCs w:val="24"/>
          <w:lang w:val="en-US"/>
        </w:rPr>
        <w:t>,</w:t>
      </w:r>
      <w:r w:rsidRPr="00490CF3">
        <w:rPr>
          <w:sz w:val="24"/>
          <w:szCs w:val="24"/>
          <w:lang w:val="en-US"/>
        </w:rPr>
        <w:t xml:space="preserve"> Art</w:t>
      </w:r>
      <w:r w:rsidR="00F541F9" w:rsidRPr="003E507E">
        <w:rPr>
          <w:sz w:val="24"/>
          <w:szCs w:val="24"/>
          <w:lang w:val="en-US"/>
        </w:rPr>
        <w:t>.</w:t>
      </w:r>
      <w:r w:rsidRPr="00490CF3">
        <w:rPr>
          <w:sz w:val="24"/>
          <w:szCs w:val="24"/>
          <w:lang w:val="en-US"/>
        </w:rPr>
        <w:t xml:space="preserve"> 15</w:t>
      </w:r>
      <w:r w:rsidR="00EB06BF" w:rsidRPr="00490CF3">
        <w:rPr>
          <w:sz w:val="24"/>
          <w:szCs w:val="24"/>
          <w:lang w:val="en-US"/>
        </w:rPr>
        <w:t>–</w:t>
      </w:r>
      <w:r w:rsidRPr="00490CF3">
        <w:rPr>
          <w:sz w:val="24"/>
          <w:szCs w:val="24"/>
          <w:lang w:val="en-US"/>
        </w:rPr>
        <w:t>16; and the 2011 UN Declaration on Human Rights Education and Training.</w:t>
      </w:r>
    </w:p>
  </w:endnote>
  <w:endnote w:id="61">
    <w:p w14:paraId="27DD041A" w14:textId="77777777" w:rsidR="00EA05FB" w:rsidRPr="003E507E" w:rsidRDefault="00EA05FB" w:rsidP="00FF0BD6">
      <w:pPr>
        <w:pStyle w:val="EndnoteText"/>
        <w:spacing w:line="480" w:lineRule="auto"/>
        <w:rPr>
          <w:sz w:val="24"/>
          <w:szCs w:val="24"/>
          <w:lang w:val="en-US"/>
        </w:rPr>
      </w:pPr>
      <w:r w:rsidRPr="00490CF3">
        <w:rPr>
          <w:rStyle w:val="EndnoteReference"/>
          <w:sz w:val="24"/>
          <w:szCs w:val="24"/>
          <w:lang w:val="en-US"/>
        </w:rPr>
        <w:endnoteRef/>
      </w:r>
      <w:r w:rsidRPr="003E507E">
        <w:rPr>
          <w:sz w:val="24"/>
          <w:szCs w:val="24"/>
          <w:lang w:val="en-US"/>
        </w:rPr>
        <w:t xml:space="preserve"> Vrdoljak, “Cultural Heritage, Transitional Justice, and Rule of Law,” 173.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362234"/>
      <w:docPartObj>
        <w:docPartGallery w:val="Page Numbers (Bottom of Page)"/>
        <w:docPartUnique/>
      </w:docPartObj>
    </w:sdtPr>
    <w:sdtEndPr>
      <w:rPr>
        <w:sz w:val="20"/>
      </w:rPr>
    </w:sdtEndPr>
    <w:sdtContent>
      <w:p w14:paraId="6F3BCC08" w14:textId="77777777" w:rsidR="00EA05FB" w:rsidRDefault="00EA05FB">
        <w:pPr>
          <w:pStyle w:val="Footer"/>
          <w:jc w:val="right"/>
        </w:pPr>
        <w:r w:rsidRPr="00BB5337">
          <w:rPr>
            <w:sz w:val="20"/>
          </w:rPr>
          <w:fldChar w:fldCharType="begin"/>
        </w:r>
        <w:r w:rsidRPr="00BB5337">
          <w:rPr>
            <w:sz w:val="20"/>
          </w:rPr>
          <w:instrText xml:space="preserve"> PAGE   \* MERGEFORMAT </w:instrText>
        </w:r>
        <w:r w:rsidRPr="00BB5337">
          <w:rPr>
            <w:sz w:val="20"/>
          </w:rPr>
          <w:fldChar w:fldCharType="separate"/>
        </w:r>
        <w:r w:rsidR="00886DC0">
          <w:rPr>
            <w:noProof/>
            <w:sz w:val="20"/>
          </w:rPr>
          <w:t>25</w:t>
        </w:r>
        <w:r w:rsidRPr="00BB5337">
          <w:rPr>
            <w:sz w:val="20"/>
          </w:rPr>
          <w:fldChar w:fldCharType="end"/>
        </w:r>
      </w:p>
    </w:sdtContent>
  </w:sdt>
  <w:p w14:paraId="640F2EE3" w14:textId="77777777" w:rsidR="00EA05FB" w:rsidRDefault="00EA05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035A2" w14:textId="77777777" w:rsidR="009E7093" w:rsidRDefault="009E7093" w:rsidP="00D21805">
      <w:r>
        <w:separator/>
      </w:r>
    </w:p>
  </w:footnote>
  <w:footnote w:type="continuationSeparator" w:id="0">
    <w:p w14:paraId="34086528" w14:textId="77777777" w:rsidR="009E7093" w:rsidRDefault="009E7093" w:rsidP="00D218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8B41D7"/>
    <w:multiLevelType w:val="multilevel"/>
    <w:tmpl w:val="10607CE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1B7483"/>
    <w:multiLevelType w:val="hybridMultilevel"/>
    <w:tmpl w:val="BC161A62"/>
    <w:lvl w:ilvl="0" w:tplc="6A060656">
      <w:start w:val="1"/>
      <w:numFmt w:val="decimal"/>
      <w:lvlText w:val="%1."/>
      <w:lvlJc w:val="left"/>
      <w:pPr>
        <w:ind w:left="1075" w:hanging="720"/>
      </w:pPr>
      <w:rPr>
        <w:rFonts w:hint="default"/>
        <w:color w:val="auto"/>
      </w:rPr>
    </w:lvl>
    <w:lvl w:ilvl="1" w:tplc="08090019">
      <w:start w:val="1"/>
      <w:numFmt w:val="lowerLetter"/>
      <w:lvlText w:val="%2."/>
      <w:lvlJc w:val="left"/>
      <w:pPr>
        <w:ind w:left="1435" w:hanging="360"/>
      </w:p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2" w15:restartNumberingAfterBreak="0">
    <w:nsid w:val="37E45983"/>
    <w:multiLevelType w:val="hybridMultilevel"/>
    <w:tmpl w:val="7F02E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A7010C"/>
    <w:multiLevelType w:val="hybridMultilevel"/>
    <w:tmpl w:val="B9A0A464"/>
    <w:lvl w:ilvl="0" w:tplc="10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7F16388"/>
    <w:multiLevelType w:val="hybridMultilevel"/>
    <w:tmpl w:val="F96A2194"/>
    <w:lvl w:ilvl="0" w:tplc="B01CC022">
      <w:start w:val="1"/>
      <w:numFmt w:val="decimal"/>
      <w:lvlText w:val="%1."/>
      <w:lvlJc w:val="left"/>
      <w:pPr>
        <w:tabs>
          <w:tab w:val="num" w:pos="720"/>
        </w:tabs>
        <w:ind w:left="720" w:hanging="360"/>
      </w:pPr>
      <w:rPr>
        <w:rFonts w:hint="default"/>
        <w:lang w:val="en-US"/>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AB54A0"/>
    <w:multiLevelType w:val="hybridMultilevel"/>
    <w:tmpl w:val="C13EE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D7B5A"/>
    <w:multiLevelType w:val="hybridMultilevel"/>
    <w:tmpl w:val="B442BF9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805"/>
    <w:rsid w:val="000001DC"/>
    <w:rsid w:val="000017F8"/>
    <w:rsid w:val="000042A0"/>
    <w:rsid w:val="000058CE"/>
    <w:rsid w:val="00005B45"/>
    <w:rsid w:val="00005D87"/>
    <w:rsid w:val="0000658B"/>
    <w:rsid w:val="000076F5"/>
    <w:rsid w:val="00007789"/>
    <w:rsid w:val="00011B7F"/>
    <w:rsid w:val="0001460B"/>
    <w:rsid w:val="00014F2A"/>
    <w:rsid w:val="000150F6"/>
    <w:rsid w:val="00015415"/>
    <w:rsid w:val="000171D5"/>
    <w:rsid w:val="0002050A"/>
    <w:rsid w:val="0002073A"/>
    <w:rsid w:val="00020DFC"/>
    <w:rsid w:val="000211A5"/>
    <w:rsid w:val="00021B0D"/>
    <w:rsid w:val="00021B86"/>
    <w:rsid w:val="00021C31"/>
    <w:rsid w:val="00021FA0"/>
    <w:rsid w:val="0002258C"/>
    <w:rsid w:val="00022D42"/>
    <w:rsid w:val="000244F8"/>
    <w:rsid w:val="00024F96"/>
    <w:rsid w:val="00027142"/>
    <w:rsid w:val="00032822"/>
    <w:rsid w:val="00033930"/>
    <w:rsid w:val="00036CCB"/>
    <w:rsid w:val="00037857"/>
    <w:rsid w:val="00037F28"/>
    <w:rsid w:val="00041091"/>
    <w:rsid w:val="000413D5"/>
    <w:rsid w:val="000428D4"/>
    <w:rsid w:val="00043833"/>
    <w:rsid w:val="00043D9F"/>
    <w:rsid w:val="00044B31"/>
    <w:rsid w:val="00045B13"/>
    <w:rsid w:val="00050763"/>
    <w:rsid w:val="0005083C"/>
    <w:rsid w:val="0005176C"/>
    <w:rsid w:val="000522CE"/>
    <w:rsid w:val="000532FC"/>
    <w:rsid w:val="00053C80"/>
    <w:rsid w:val="00053F9D"/>
    <w:rsid w:val="00055B52"/>
    <w:rsid w:val="00056907"/>
    <w:rsid w:val="000613A4"/>
    <w:rsid w:val="00061BF6"/>
    <w:rsid w:val="000620D0"/>
    <w:rsid w:val="00062421"/>
    <w:rsid w:val="000625D0"/>
    <w:rsid w:val="00063533"/>
    <w:rsid w:val="000648BB"/>
    <w:rsid w:val="0006510C"/>
    <w:rsid w:val="00065AAC"/>
    <w:rsid w:val="00067D19"/>
    <w:rsid w:val="00070E28"/>
    <w:rsid w:val="00071BA1"/>
    <w:rsid w:val="00071E5B"/>
    <w:rsid w:val="00072B4C"/>
    <w:rsid w:val="0007308D"/>
    <w:rsid w:val="0007330C"/>
    <w:rsid w:val="00073F96"/>
    <w:rsid w:val="00074951"/>
    <w:rsid w:val="000761BD"/>
    <w:rsid w:val="00076C11"/>
    <w:rsid w:val="00077CD2"/>
    <w:rsid w:val="00081712"/>
    <w:rsid w:val="00082250"/>
    <w:rsid w:val="00082901"/>
    <w:rsid w:val="00082B55"/>
    <w:rsid w:val="00083CB0"/>
    <w:rsid w:val="00084BEB"/>
    <w:rsid w:val="00085DD2"/>
    <w:rsid w:val="00094385"/>
    <w:rsid w:val="00095DF8"/>
    <w:rsid w:val="00096D2D"/>
    <w:rsid w:val="00096EEB"/>
    <w:rsid w:val="00097942"/>
    <w:rsid w:val="00097F75"/>
    <w:rsid w:val="000A2710"/>
    <w:rsid w:val="000A2AA5"/>
    <w:rsid w:val="000A342C"/>
    <w:rsid w:val="000A6063"/>
    <w:rsid w:val="000A6BD5"/>
    <w:rsid w:val="000A72D1"/>
    <w:rsid w:val="000A7D98"/>
    <w:rsid w:val="000B0351"/>
    <w:rsid w:val="000B37AE"/>
    <w:rsid w:val="000B70D8"/>
    <w:rsid w:val="000B7741"/>
    <w:rsid w:val="000C3C1D"/>
    <w:rsid w:val="000C5689"/>
    <w:rsid w:val="000C62B4"/>
    <w:rsid w:val="000C74A4"/>
    <w:rsid w:val="000C7ABD"/>
    <w:rsid w:val="000D05C0"/>
    <w:rsid w:val="000D06AA"/>
    <w:rsid w:val="000D1003"/>
    <w:rsid w:val="000D1BA9"/>
    <w:rsid w:val="000D2659"/>
    <w:rsid w:val="000D27A7"/>
    <w:rsid w:val="000D3B04"/>
    <w:rsid w:val="000D4986"/>
    <w:rsid w:val="000D62B9"/>
    <w:rsid w:val="000E0318"/>
    <w:rsid w:val="000E0A11"/>
    <w:rsid w:val="000E2BAC"/>
    <w:rsid w:val="000E5275"/>
    <w:rsid w:val="000E562E"/>
    <w:rsid w:val="000E5E86"/>
    <w:rsid w:val="000E6A39"/>
    <w:rsid w:val="000E6ABB"/>
    <w:rsid w:val="000E6E20"/>
    <w:rsid w:val="000E76E2"/>
    <w:rsid w:val="000E793C"/>
    <w:rsid w:val="000F07EF"/>
    <w:rsid w:val="000F08A0"/>
    <w:rsid w:val="000F1763"/>
    <w:rsid w:val="000F3AF1"/>
    <w:rsid w:val="000F3D5F"/>
    <w:rsid w:val="000F47E1"/>
    <w:rsid w:val="000F6080"/>
    <w:rsid w:val="00102DFD"/>
    <w:rsid w:val="0010476B"/>
    <w:rsid w:val="001050BE"/>
    <w:rsid w:val="00105DB5"/>
    <w:rsid w:val="00106D62"/>
    <w:rsid w:val="00110CA4"/>
    <w:rsid w:val="0011249E"/>
    <w:rsid w:val="00112968"/>
    <w:rsid w:val="00115420"/>
    <w:rsid w:val="00115FA2"/>
    <w:rsid w:val="001204B1"/>
    <w:rsid w:val="00120C8F"/>
    <w:rsid w:val="001219BF"/>
    <w:rsid w:val="00122C14"/>
    <w:rsid w:val="00122FCF"/>
    <w:rsid w:val="00123B1B"/>
    <w:rsid w:val="00123F60"/>
    <w:rsid w:val="001267D4"/>
    <w:rsid w:val="00126F98"/>
    <w:rsid w:val="00130684"/>
    <w:rsid w:val="00131A01"/>
    <w:rsid w:val="00132E76"/>
    <w:rsid w:val="001332D3"/>
    <w:rsid w:val="00135AAB"/>
    <w:rsid w:val="001360F5"/>
    <w:rsid w:val="0013746C"/>
    <w:rsid w:val="00140223"/>
    <w:rsid w:val="00141B7E"/>
    <w:rsid w:val="001422B0"/>
    <w:rsid w:val="0014465B"/>
    <w:rsid w:val="00145380"/>
    <w:rsid w:val="001473C6"/>
    <w:rsid w:val="00147B2B"/>
    <w:rsid w:val="001548E6"/>
    <w:rsid w:val="0015589C"/>
    <w:rsid w:val="00155E89"/>
    <w:rsid w:val="001561DA"/>
    <w:rsid w:val="00163174"/>
    <w:rsid w:val="00164141"/>
    <w:rsid w:val="001649E3"/>
    <w:rsid w:val="00166296"/>
    <w:rsid w:val="001674F7"/>
    <w:rsid w:val="00172517"/>
    <w:rsid w:val="00175AFA"/>
    <w:rsid w:val="001764C5"/>
    <w:rsid w:val="00176B73"/>
    <w:rsid w:val="00180939"/>
    <w:rsid w:val="00180D45"/>
    <w:rsid w:val="00181A8B"/>
    <w:rsid w:val="001823F6"/>
    <w:rsid w:val="001825A4"/>
    <w:rsid w:val="00182B88"/>
    <w:rsid w:val="00183059"/>
    <w:rsid w:val="00184C0A"/>
    <w:rsid w:val="00185105"/>
    <w:rsid w:val="001853F0"/>
    <w:rsid w:val="00192D2F"/>
    <w:rsid w:val="00192E7E"/>
    <w:rsid w:val="001958C9"/>
    <w:rsid w:val="00196B1E"/>
    <w:rsid w:val="00197706"/>
    <w:rsid w:val="001A0061"/>
    <w:rsid w:val="001A1B57"/>
    <w:rsid w:val="001A271F"/>
    <w:rsid w:val="001A27FC"/>
    <w:rsid w:val="001A2953"/>
    <w:rsid w:val="001A3684"/>
    <w:rsid w:val="001A3A2D"/>
    <w:rsid w:val="001A450A"/>
    <w:rsid w:val="001A56D8"/>
    <w:rsid w:val="001A6613"/>
    <w:rsid w:val="001A6BC1"/>
    <w:rsid w:val="001A7B63"/>
    <w:rsid w:val="001B2205"/>
    <w:rsid w:val="001B3568"/>
    <w:rsid w:val="001B3651"/>
    <w:rsid w:val="001B44E3"/>
    <w:rsid w:val="001B6035"/>
    <w:rsid w:val="001B6C50"/>
    <w:rsid w:val="001C049C"/>
    <w:rsid w:val="001C22FF"/>
    <w:rsid w:val="001C3DE8"/>
    <w:rsid w:val="001C5CE0"/>
    <w:rsid w:val="001C5F98"/>
    <w:rsid w:val="001C7269"/>
    <w:rsid w:val="001C79E1"/>
    <w:rsid w:val="001C7CDE"/>
    <w:rsid w:val="001D1ED9"/>
    <w:rsid w:val="001D1F50"/>
    <w:rsid w:val="001D2F58"/>
    <w:rsid w:val="001D31DA"/>
    <w:rsid w:val="001D324F"/>
    <w:rsid w:val="001D3B3B"/>
    <w:rsid w:val="001D4FC8"/>
    <w:rsid w:val="001D5A7F"/>
    <w:rsid w:val="001D5DB2"/>
    <w:rsid w:val="001D7498"/>
    <w:rsid w:val="001D782B"/>
    <w:rsid w:val="001E2406"/>
    <w:rsid w:val="001E28E6"/>
    <w:rsid w:val="001E28EE"/>
    <w:rsid w:val="001E2E7C"/>
    <w:rsid w:val="001E35E8"/>
    <w:rsid w:val="001E3F4F"/>
    <w:rsid w:val="001E465C"/>
    <w:rsid w:val="001E609A"/>
    <w:rsid w:val="001E6A35"/>
    <w:rsid w:val="001E6DE8"/>
    <w:rsid w:val="001E75E2"/>
    <w:rsid w:val="001F0175"/>
    <w:rsid w:val="001F0A99"/>
    <w:rsid w:val="001F2451"/>
    <w:rsid w:val="001F42F1"/>
    <w:rsid w:val="001F54FA"/>
    <w:rsid w:val="001F581E"/>
    <w:rsid w:val="001F71AE"/>
    <w:rsid w:val="001F720F"/>
    <w:rsid w:val="002009FB"/>
    <w:rsid w:val="00200CB6"/>
    <w:rsid w:val="00202498"/>
    <w:rsid w:val="002040E2"/>
    <w:rsid w:val="0020604F"/>
    <w:rsid w:val="00207E6E"/>
    <w:rsid w:val="00210F23"/>
    <w:rsid w:val="00212239"/>
    <w:rsid w:val="00212C47"/>
    <w:rsid w:val="00213B88"/>
    <w:rsid w:val="00215038"/>
    <w:rsid w:val="00215422"/>
    <w:rsid w:val="002155E7"/>
    <w:rsid w:val="00217549"/>
    <w:rsid w:val="002179D6"/>
    <w:rsid w:val="002216DC"/>
    <w:rsid w:val="00221A0F"/>
    <w:rsid w:val="00221A76"/>
    <w:rsid w:val="00223546"/>
    <w:rsid w:val="002237CE"/>
    <w:rsid w:val="00224EE0"/>
    <w:rsid w:val="00226750"/>
    <w:rsid w:val="00227109"/>
    <w:rsid w:val="00231B34"/>
    <w:rsid w:val="00235435"/>
    <w:rsid w:val="0023571F"/>
    <w:rsid w:val="002358F8"/>
    <w:rsid w:val="00235C93"/>
    <w:rsid w:val="00236BEC"/>
    <w:rsid w:val="00237852"/>
    <w:rsid w:val="002378C4"/>
    <w:rsid w:val="0024351E"/>
    <w:rsid w:val="00244171"/>
    <w:rsid w:val="002444EF"/>
    <w:rsid w:val="002456E7"/>
    <w:rsid w:val="00250137"/>
    <w:rsid w:val="00250A14"/>
    <w:rsid w:val="0025361E"/>
    <w:rsid w:val="002568BD"/>
    <w:rsid w:val="00263BAD"/>
    <w:rsid w:val="00263ED1"/>
    <w:rsid w:val="00265238"/>
    <w:rsid w:val="002654B6"/>
    <w:rsid w:val="002666DC"/>
    <w:rsid w:val="002739DE"/>
    <w:rsid w:val="00274B33"/>
    <w:rsid w:val="00276199"/>
    <w:rsid w:val="002775F0"/>
    <w:rsid w:val="00284195"/>
    <w:rsid w:val="002850F2"/>
    <w:rsid w:val="0028577F"/>
    <w:rsid w:val="00285B87"/>
    <w:rsid w:val="002862CE"/>
    <w:rsid w:val="0029243F"/>
    <w:rsid w:val="00293307"/>
    <w:rsid w:val="002958F4"/>
    <w:rsid w:val="0029687F"/>
    <w:rsid w:val="00296CBB"/>
    <w:rsid w:val="00297229"/>
    <w:rsid w:val="00297C2F"/>
    <w:rsid w:val="002A10F7"/>
    <w:rsid w:val="002A1BE6"/>
    <w:rsid w:val="002A22A9"/>
    <w:rsid w:val="002A471A"/>
    <w:rsid w:val="002A6DAD"/>
    <w:rsid w:val="002B383D"/>
    <w:rsid w:val="002B3C9C"/>
    <w:rsid w:val="002B5EEF"/>
    <w:rsid w:val="002B75F9"/>
    <w:rsid w:val="002C1D7B"/>
    <w:rsid w:val="002C23DC"/>
    <w:rsid w:val="002C2610"/>
    <w:rsid w:val="002C4F48"/>
    <w:rsid w:val="002C6034"/>
    <w:rsid w:val="002C72C0"/>
    <w:rsid w:val="002D0FF2"/>
    <w:rsid w:val="002D4627"/>
    <w:rsid w:val="002D58C8"/>
    <w:rsid w:val="002D6327"/>
    <w:rsid w:val="002D697E"/>
    <w:rsid w:val="002D79DF"/>
    <w:rsid w:val="002E2110"/>
    <w:rsid w:val="002E2985"/>
    <w:rsid w:val="002E4DE6"/>
    <w:rsid w:val="002E53CC"/>
    <w:rsid w:val="002E5B54"/>
    <w:rsid w:val="002E6890"/>
    <w:rsid w:val="002E73C6"/>
    <w:rsid w:val="002E7A8A"/>
    <w:rsid w:val="002F03A5"/>
    <w:rsid w:val="002F376C"/>
    <w:rsid w:val="002F497B"/>
    <w:rsid w:val="002F5DA7"/>
    <w:rsid w:val="002F6352"/>
    <w:rsid w:val="002F664E"/>
    <w:rsid w:val="002F6876"/>
    <w:rsid w:val="0030094D"/>
    <w:rsid w:val="0030121E"/>
    <w:rsid w:val="003023E5"/>
    <w:rsid w:val="0030280E"/>
    <w:rsid w:val="00304FC4"/>
    <w:rsid w:val="00305C07"/>
    <w:rsid w:val="0030636E"/>
    <w:rsid w:val="003073C4"/>
    <w:rsid w:val="00311603"/>
    <w:rsid w:val="0031168A"/>
    <w:rsid w:val="00311E1F"/>
    <w:rsid w:val="0031242D"/>
    <w:rsid w:val="003132DA"/>
    <w:rsid w:val="003134F8"/>
    <w:rsid w:val="0031371A"/>
    <w:rsid w:val="0031391C"/>
    <w:rsid w:val="0031432A"/>
    <w:rsid w:val="00314F4E"/>
    <w:rsid w:val="0031527E"/>
    <w:rsid w:val="00316312"/>
    <w:rsid w:val="00320E40"/>
    <w:rsid w:val="00322776"/>
    <w:rsid w:val="00323FED"/>
    <w:rsid w:val="00324D23"/>
    <w:rsid w:val="00324F42"/>
    <w:rsid w:val="00325552"/>
    <w:rsid w:val="00325B75"/>
    <w:rsid w:val="003262EF"/>
    <w:rsid w:val="00326D09"/>
    <w:rsid w:val="003278A9"/>
    <w:rsid w:val="00330B39"/>
    <w:rsid w:val="00331EE4"/>
    <w:rsid w:val="00335DFD"/>
    <w:rsid w:val="003373DF"/>
    <w:rsid w:val="003379E4"/>
    <w:rsid w:val="00337DA9"/>
    <w:rsid w:val="00340A91"/>
    <w:rsid w:val="00341A01"/>
    <w:rsid w:val="00341C2B"/>
    <w:rsid w:val="00341E17"/>
    <w:rsid w:val="003429FA"/>
    <w:rsid w:val="00342C50"/>
    <w:rsid w:val="00343165"/>
    <w:rsid w:val="00344082"/>
    <w:rsid w:val="003450DC"/>
    <w:rsid w:val="00345767"/>
    <w:rsid w:val="00345E9F"/>
    <w:rsid w:val="00351943"/>
    <w:rsid w:val="00351C39"/>
    <w:rsid w:val="0035276D"/>
    <w:rsid w:val="00352BC8"/>
    <w:rsid w:val="003530B1"/>
    <w:rsid w:val="003540DE"/>
    <w:rsid w:val="00355FDF"/>
    <w:rsid w:val="003561CF"/>
    <w:rsid w:val="00357226"/>
    <w:rsid w:val="003634BF"/>
    <w:rsid w:val="0036361E"/>
    <w:rsid w:val="003646A9"/>
    <w:rsid w:val="0036634E"/>
    <w:rsid w:val="003667A4"/>
    <w:rsid w:val="003667FA"/>
    <w:rsid w:val="00366F18"/>
    <w:rsid w:val="00370F0A"/>
    <w:rsid w:val="00373140"/>
    <w:rsid w:val="00374C96"/>
    <w:rsid w:val="00374F12"/>
    <w:rsid w:val="003750B5"/>
    <w:rsid w:val="00375AF8"/>
    <w:rsid w:val="0037674F"/>
    <w:rsid w:val="003775FD"/>
    <w:rsid w:val="00377ACF"/>
    <w:rsid w:val="0038396C"/>
    <w:rsid w:val="00385469"/>
    <w:rsid w:val="003854FA"/>
    <w:rsid w:val="003856B9"/>
    <w:rsid w:val="00385CAB"/>
    <w:rsid w:val="00386850"/>
    <w:rsid w:val="003868F1"/>
    <w:rsid w:val="00387679"/>
    <w:rsid w:val="003903AE"/>
    <w:rsid w:val="003914A5"/>
    <w:rsid w:val="00391B82"/>
    <w:rsid w:val="00391EF7"/>
    <w:rsid w:val="003925AE"/>
    <w:rsid w:val="00393317"/>
    <w:rsid w:val="00393529"/>
    <w:rsid w:val="00393CDE"/>
    <w:rsid w:val="003940C4"/>
    <w:rsid w:val="00394673"/>
    <w:rsid w:val="003957FA"/>
    <w:rsid w:val="00395AE1"/>
    <w:rsid w:val="00395DAC"/>
    <w:rsid w:val="00397162"/>
    <w:rsid w:val="003A1158"/>
    <w:rsid w:val="003A1839"/>
    <w:rsid w:val="003A6468"/>
    <w:rsid w:val="003A744B"/>
    <w:rsid w:val="003A7729"/>
    <w:rsid w:val="003B1F00"/>
    <w:rsid w:val="003C04CF"/>
    <w:rsid w:val="003C0DB5"/>
    <w:rsid w:val="003C1908"/>
    <w:rsid w:val="003C19D2"/>
    <w:rsid w:val="003C2988"/>
    <w:rsid w:val="003C56D2"/>
    <w:rsid w:val="003C6331"/>
    <w:rsid w:val="003C6347"/>
    <w:rsid w:val="003C6424"/>
    <w:rsid w:val="003C6671"/>
    <w:rsid w:val="003D12B5"/>
    <w:rsid w:val="003D16C6"/>
    <w:rsid w:val="003D3464"/>
    <w:rsid w:val="003D4938"/>
    <w:rsid w:val="003D4DB1"/>
    <w:rsid w:val="003D5A0B"/>
    <w:rsid w:val="003D5DE0"/>
    <w:rsid w:val="003E2A9B"/>
    <w:rsid w:val="003E2EDF"/>
    <w:rsid w:val="003E36D0"/>
    <w:rsid w:val="003E507E"/>
    <w:rsid w:val="003E5AFD"/>
    <w:rsid w:val="003E5B21"/>
    <w:rsid w:val="003E7ECF"/>
    <w:rsid w:val="003F016F"/>
    <w:rsid w:val="003F037E"/>
    <w:rsid w:val="003F1083"/>
    <w:rsid w:val="003F1CB3"/>
    <w:rsid w:val="003F27D3"/>
    <w:rsid w:val="003F2D34"/>
    <w:rsid w:val="003F35BE"/>
    <w:rsid w:val="003F5099"/>
    <w:rsid w:val="003F6C44"/>
    <w:rsid w:val="00402717"/>
    <w:rsid w:val="004032FB"/>
    <w:rsid w:val="004037F0"/>
    <w:rsid w:val="00404E1B"/>
    <w:rsid w:val="00404FF1"/>
    <w:rsid w:val="00406FCC"/>
    <w:rsid w:val="004118F5"/>
    <w:rsid w:val="0041425A"/>
    <w:rsid w:val="00415965"/>
    <w:rsid w:val="00420354"/>
    <w:rsid w:val="00422569"/>
    <w:rsid w:val="00422DFE"/>
    <w:rsid w:val="004236DC"/>
    <w:rsid w:val="00425636"/>
    <w:rsid w:val="0042634D"/>
    <w:rsid w:val="0042743A"/>
    <w:rsid w:val="004315E7"/>
    <w:rsid w:val="0043190A"/>
    <w:rsid w:val="00432CCD"/>
    <w:rsid w:val="00432DC3"/>
    <w:rsid w:val="00434E2E"/>
    <w:rsid w:val="004350D0"/>
    <w:rsid w:val="0043565C"/>
    <w:rsid w:val="0044044F"/>
    <w:rsid w:val="00441491"/>
    <w:rsid w:val="004423DE"/>
    <w:rsid w:val="00442E2D"/>
    <w:rsid w:val="00442F19"/>
    <w:rsid w:val="00446379"/>
    <w:rsid w:val="00446E7A"/>
    <w:rsid w:val="00447720"/>
    <w:rsid w:val="00450FD1"/>
    <w:rsid w:val="0045126B"/>
    <w:rsid w:val="00451475"/>
    <w:rsid w:val="00452898"/>
    <w:rsid w:val="00453358"/>
    <w:rsid w:val="00453B8B"/>
    <w:rsid w:val="00453D22"/>
    <w:rsid w:val="00454C3E"/>
    <w:rsid w:val="004603A9"/>
    <w:rsid w:val="00460F48"/>
    <w:rsid w:val="00461DCE"/>
    <w:rsid w:val="00461F8E"/>
    <w:rsid w:val="00462235"/>
    <w:rsid w:val="00462BA8"/>
    <w:rsid w:val="00462C9A"/>
    <w:rsid w:val="0046556C"/>
    <w:rsid w:val="00465FB9"/>
    <w:rsid w:val="004707DB"/>
    <w:rsid w:val="00470C03"/>
    <w:rsid w:val="00473341"/>
    <w:rsid w:val="00473F1A"/>
    <w:rsid w:val="00474880"/>
    <w:rsid w:val="00475315"/>
    <w:rsid w:val="00475D74"/>
    <w:rsid w:val="00481DDA"/>
    <w:rsid w:val="004827F2"/>
    <w:rsid w:val="004839D7"/>
    <w:rsid w:val="004878F1"/>
    <w:rsid w:val="00490033"/>
    <w:rsid w:val="00490CF3"/>
    <w:rsid w:val="00490D1D"/>
    <w:rsid w:val="00493786"/>
    <w:rsid w:val="00496C9E"/>
    <w:rsid w:val="004A1F5E"/>
    <w:rsid w:val="004A22F7"/>
    <w:rsid w:val="004A3B9D"/>
    <w:rsid w:val="004A3F32"/>
    <w:rsid w:val="004A4FD6"/>
    <w:rsid w:val="004A502E"/>
    <w:rsid w:val="004A5485"/>
    <w:rsid w:val="004A6AC4"/>
    <w:rsid w:val="004A7304"/>
    <w:rsid w:val="004A78AA"/>
    <w:rsid w:val="004B2F6C"/>
    <w:rsid w:val="004B31D1"/>
    <w:rsid w:val="004B4465"/>
    <w:rsid w:val="004B4A57"/>
    <w:rsid w:val="004B5DC5"/>
    <w:rsid w:val="004B6419"/>
    <w:rsid w:val="004C0B40"/>
    <w:rsid w:val="004C0F81"/>
    <w:rsid w:val="004C5396"/>
    <w:rsid w:val="004C63DF"/>
    <w:rsid w:val="004C7D21"/>
    <w:rsid w:val="004D04E0"/>
    <w:rsid w:val="004D0F99"/>
    <w:rsid w:val="004D2459"/>
    <w:rsid w:val="004D49D2"/>
    <w:rsid w:val="004D5D38"/>
    <w:rsid w:val="004E100C"/>
    <w:rsid w:val="004E3B68"/>
    <w:rsid w:val="004E3F89"/>
    <w:rsid w:val="004E58A0"/>
    <w:rsid w:val="004E5F5F"/>
    <w:rsid w:val="004E746E"/>
    <w:rsid w:val="004F207A"/>
    <w:rsid w:val="004F5F0F"/>
    <w:rsid w:val="004F6933"/>
    <w:rsid w:val="004F7A81"/>
    <w:rsid w:val="005015B7"/>
    <w:rsid w:val="00504BA0"/>
    <w:rsid w:val="00504C1F"/>
    <w:rsid w:val="0050744C"/>
    <w:rsid w:val="0050760C"/>
    <w:rsid w:val="00507625"/>
    <w:rsid w:val="005114AB"/>
    <w:rsid w:val="00511B3D"/>
    <w:rsid w:val="00512E38"/>
    <w:rsid w:val="005135F1"/>
    <w:rsid w:val="00513BEA"/>
    <w:rsid w:val="00514B08"/>
    <w:rsid w:val="00516443"/>
    <w:rsid w:val="005213E9"/>
    <w:rsid w:val="00521AC7"/>
    <w:rsid w:val="00522784"/>
    <w:rsid w:val="00524973"/>
    <w:rsid w:val="00524F92"/>
    <w:rsid w:val="0052568F"/>
    <w:rsid w:val="00531D07"/>
    <w:rsid w:val="0053470A"/>
    <w:rsid w:val="00534AF2"/>
    <w:rsid w:val="00537499"/>
    <w:rsid w:val="00537D09"/>
    <w:rsid w:val="00540B4F"/>
    <w:rsid w:val="00540B7C"/>
    <w:rsid w:val="00541121"/>
    <w:rsid w:val="005417BB"/>
    <w:rsid w:val="005440A2"/>
    <w:rsid w:val="00544DCC"/>
    <w:rsid w:val="00545351"/>
    <w:rsid w:val="005459FF"/>
    <w:rsid w:val="0054717C"/>
    <w:rsid w:val="0054749F"/>
    <w:rsid w:val="00547A2D"/>
    <w:rsid w:val="0055040B"/>
    <w:rsid w:val="005510F7"/>
    <w:rsid w:val="00551FFE"/>
    <w:rsid w:val="00556B85"/>
    <w:rsid w:val="00561BA1"/>
    <w:rsid w:val="00562DED"/>
    <w:rsid w:val="00564964"/>
    <w:rsid w:val="00565E97"/>
    <w:rsid w:val="0056622C"/>
    <w:rsid w:val="005665EB"/>
    <w:rsid w:val="0056684F"/>
    <w:rsid w:val="00567688"/>
    <w:rsid w:val="0057150D"/>
    <w:rsid w:val="005717F3"/>
    <w:rsid w:val="00571C2C"/>
    <w:rsid w:val="005739A2"/>
    <w:rsid w:val="00573CA7"/>
    <w:rsid w:val="0057425E"/>
    <w:rsid w:val="005805AF"/>
    <w:rsid w:val="00580AB1"/>
    <w:rsid w:val="00580B87"/>
    <w:rsid w:val="00581AB2"/>
    <w:rsid w:val="0058389D"/>
    <w:rsid w:val="00583E93"/>
    <w:rsid w:val="00583EAD"/>
    <w:rsid w:val="00585416"/>
    <w:rsid w:val="005863A9"/>
    <w:rsid w:val="00591E3F"/>
    <w:rsid w:val="0059415B"/>
    <w:rsid w:val="0059496C"/>
    <w:rsid w:val="00595EA2"/>
    <w:rsid w:val="0059685B"/>
    <w:rsid w:val="005975BC"/>
    <w:rsid w:val="005A1254"/>
    <w:rsid w:val="005A171C"/>
    <w:rsid w:val="005A1B60"/>
    <w:rsid w:val="005A29CD"/>
    <w:rsid w:val="005A39D6"/>
    <w:rsid w:val="005A52DC"/>
    <w:rsid w:val="005A5E79"/>
    <w:rsid w:val="005B0C1B"/>
    <w:rsid w:val="005B0F56"/>
    <w:rsid w:val="005B319E"/>
    <w:rsid w:val="005B3716"/>
    <w:rsid w:val="005B56B0"/>
    <w:rsid w:val="005C0701"/>
    <w:rsid w:val="005C1908"/>
    <w:rsid w:val="005C3238"/>
    <w:rsid w:val="005C564A"/>
    <w:rsid w:val="005C57A5"/>
    <w:rsid w:val="005C5D62"/>
    <w:rsid w:val="005C6201"/>
    <w:rsid w:val="005D46E0"/>
    <w:rsid w:val="005D4C99"/>
    <w:rsid w:val="005D4CC0"/>
    <w:rsid w:val="005D50E9"/>
    <w:rsid w:val="005D5660"/>
    <w:rsid w:val="005D5772"/>
    <w:rsid w:val="005D5790"/>
    <w:rsid w:val="005D6F0E"/>
    <w:rsid w:val="005D7053"/>
    <w:rsid w:val="005E071C"/>
    <w:rsid w:val="005E100B"/>
    <w:rsid w:val="005E2566"/>
    <w:rsid w:val="005E2D6D"/>
    <w:rsid w:val="005E3E97"/>
    <w:rsid w:val="005E47DD"/>
    <w:rsid w:val="005E5183"/>
    <w:rsid w:val="005F036D"/>
    <w:rsid w:val="005F0542"/>
    <w:rsid w:val="005F22DC"/>
    <w:rsid w:val="005F4D07"/>
    <w:rsid w:val="005F6A82"/>
    <w:rsid w:val="005F7257"/>
    <w:rsid w:val="005F77A5"/>
    <w:rsid w:val="00600A45"/>
    <w:rsid w:val="00601BAD"/>
    <w:rsid w:val="006034C9"/>
    <w:rsid w:val="0060537D"/>
    <w:rsid w:val="00605578"/>
    <w:rsid w:val="006064F7"/>
    <w:rsid w:val="00606BBF"/>
    <w:rsid w:val="00606DDA"/>
    <w:rsid w:val="00611464"/>
    <w:rsid w:val="00611FCA"/>
    <w:rsid w:val="00613B49"/>
    <w:rsid w:val="006143A9"/>
    <w:rsid w:val="00614A58"/>
    <w:rsid w:val="00614F39"/>
    <w:rsid w:val="00615166"/>
    <w:rsid w:val="0061560B"/>
    <w:rsid w:val="006165B5"/>
    <w:rsid w:val="0062000C"/>
    <w:rsid w:val="00621516"/>
    <w:rsid w:val="0062768F"/>
    <w:rsid w:val="006276D8"/>
    <w:rsid w:val="00630413"/>
    <w:rsid w:val="006331BA"/>
    <w:rsid w:val="00634384"/>
    <w:rsid w:val="00634622"/>
    <w:rsid w:val="00634B3B"/>
    <w:rsid w:val="006366B0"/>
    <w:rsid w:val="0063689D"/>
    <w:rsid w:val="00641EAB"/>
    <w:rsid w:val="00642669"/>
    <w:rsid w:val="00644909"/>
    <w:rsid w:val="00645AB4"/>
    <w:rsid w:val="006462A3"/>
    <w:rsid w:val="006471BE"/>
    <w:rsid w:val="0064734A"/>
    <w:rsid w:val="00650564"/>
    <w:rsid w:val="00650C0E"/>
    <w:rsid w:val="00650E9C"/>
    <w:rsid w:val="006524FA"/>
    <w:rsid w:val="006538C2"/>
    <w:rsid w:val="006546C9"/>
    <w:rsid w:val="00654F3B"/>
    <w:rsid w:val="006606F5"/>
    <w:rsid w:val="0066087A"/>
    <w:rsid w:val="0066239F"/>
    <w:rsid w:val="006648FE"/>
    <w:rsid w:val="006666AA"/>
    <w:rsid w:val="0066704F"/>
    <w:rsid w:val="006671B8"/>
    <w:rsid w:val="006671F3"/>
    <w:rsid w:val="00670671"/>
    <w:rsid w:val="0067273E"/>
    <w:rsid w:val="00672FF8"/>
    <w:rsid w:val="00674774"/>
    <w:rsid w:val="00680BFA"/>
    <w:rsid w:val="00680E53"/>
    <w:rsid w:val="006818C6"/>
    <w:rsid w:val="00681A65"/>
    <w:rsid w:val="00681EA7"/>
    <w:rsid w:val="00682DDC"/>
    <w:rsid w:val="006839C5"/>
    <w:rsid w:val="00683DAE"/>
    <w:rsid w:val="00684943"/>
    <w:rsid w:val="006860CA"/>
    <w:rsid w:val="00686703"/>
    <w:rsid w:val="00686D82"/>
    <w:rsid w:val="00690A27"/>
    <w:rsid w:val="00690D17"/>
    <w:rsid w:val="006920C4"/>
    <w:rsid w:val="006935A6"/>
    <w:rsid w:val="006939C4"/>
    <w:rsid w:val="00693E36"/>
    <w:rsid w:val="00694B9A"/>
    <w:rsid w:val="00694FD4"/>
    <w:rsid w:val="00695A82"/>
    <w:rsid w:val="006A1C67"/>
    <w:rsid w:val="006A1E82"/>
    <w:rsid w:val="006A2BF6"/>
    <w:rsid w:val="006A2D30"/>
    <w:rsid w:val="006A2F5D"/>
    <w:rsid w:val="006A3188"/>
    <w:rsid w:val="006A4128"/>
    <w:rsid w:val="006A55F7"/>
    <w:rsid w:val="006A5867"/>
    <w:rsid w:val="006A5BF0"/>
    <w:rsid w:val="006A5D1D"/>
    <w:rsid w:val="006A65B7"/>
    <w:rsid w:val="006A6D89"/>
    <w:rsid w:val="006A7BF6"/>
    <w:rsid w:val="006B4E72"/>
    <w:rsid w:val="006B6493"/>
    <w:rsid w:val="006B730E"/>
    <w:rsid w:val="006B798C"/>
    <w:rsid w:val="006B7BBD"/>
    <w:rsid w:val="006C095D"/>
    <w:rsid w:val="006C0F2F"/>
    <w:rsid w:val="006C3365"/>
    <w:rsid w:val="006C3F6E"/>
    <w:rsid w:val="006C4266"/>
    <w:rsid w:val="006C4415"/>
    <w:rsid w:val="006C55BA"/>
    <w:rsid w:val="006D0396"/>
    <w:rsid w:val="006D0598"/>
    <w:rsid w:val="006D385A"/>
    <w:rsid w:val="006D52D5"/>
    <w:rsid w:val="006D5AF1"/>
    <w:rsid w:val="006D68CB"/>
    <w:rsid w:val="006D6EB7"/>
    <w:rsid w:val="006E09DF"/>
    <w:rsid w:val="006E4354"/>
    <w:rsid w:val="006E5093"/>
    <w:rsid w:val="006E6067"/>
    <w:rsid w:val="006E62CA"/>
    <w:rsid w:val="006E6C8D"/>
    <w:rsid w:val="006E7AD0"/>
    <w:rsid w:val="006F0F55"/>
    <w:rsid w:val="006F0FA1"/>
    <w:rsid w:val="006F2467"/>
    <w:rsid w:val="006F3261"/>
    <w:rsid w:val="006F38E3"/>
    <w:rsid w:val="006F4BEB"/>
    <w:rsid w:val="006F58DC"/>
    <w:rsid w:val="006F5B1C"/>
    <w:rsid w:val="00702EB5"/>
    <w:rsid w:val="007043A4"/>
    <w:rsid w:val="007045C3"/>
    <w:rsid w:val="00704A36"/>
    <w:rsid w:val="007070FB"/>
    <w:rsid w:val="00710401"/>
    <w:rsid w:val="00712F63"/>
    <w:rsid w:val="00713109"/>
    <w:rsid w:val="00713DC2"/>
    <w:rsid w:val="00713FB7"/>
    <w:rsid w:val="00716379"/>
    <w:rsid w:val="00716536"/>
    <w:rsid w:val="00717465"/>
    <w:rsid w:val="0072007E"/>
    <w:rsid w:val="00720310"/>
    <w:rsid w:val="007204EF"/>
    <w:rsid w:val="00722F66"/>
    <w:rsid w:val="0072410A"/>
    <w:rsid w:val="007270D4"/>
    <w:rsid w:val="007278CD"/>
    <w:rsid w:val="007312AC"/>
    <w:rsid w:val="007314E0"/>
    <w:rsid w:val="00735532"/>
    <w:rsid w:val="00735605"/>
    <w:rsid w:val="007376DF"/>
    <w:rsid w:val="007456EA"/>
    <w:rsid w:val="007509DE"/>
    <w:rsid w:val="00751575"/>
    <w:rsid w:val="00755523"/>
    <w:rsid w:val="007555BF"/>
    <w:rsid w:val="00755E38"/>
    <w:rsid w:val="00757678"/>
    <w:rsid w:val="007627FD"/>
    <w:rsid w:val="007649A0"/>
    <w:rsid w:val="00765DA6"/>
    <w:rsid w:val="007672FC"/>
    <w:rsid w:val="00772637"/>
    <w:rsid w:val="007730FA"/>
    <w:rsid w:val="007738B3"/>
    <w:rsid w:val="0077428F"/>
    <w:rsid w:val="00777379"/>
    <w:rsid w:val="00783595"/>
    <w:rsid w:val="007841E1"/>
    <w:rsid w:val="00785AC7"/>
    <w:rsid w:val="00786A61"/>
    <w:rsid w:val="00787F6F"/>
    <w:rsid w:val="00790513"/>
    <w:rsid w:val="00790AF7"/>
    <w:rsid w:val="007910A8"/>
    <w:rsid w:val="00791C9A"/>
    <w:rsid w:val="00794CCF"/>
    <w:rsid w:val="007955E5"/>
    <w:rsid w:val="00795EC5"/>
    <w:rsid w:val="0079785E"/>
    <w:rsid w:val="007A0C12"/>
    <w:rsid w:val="007A16E5"/>
    <w:rsid w:val="007A1AC5"/>
    <w:rsid w:val="007A3CAB"/>
    <w:rsid w:val="007A5678"/>
    <w:rsid w:val="007A5873"/>
    <w:rsid w:val="007A691E"/>
    <w:rsid w:val="007A74B0"/>
    <w:rsid w:val="007B0F2A"/>
    <w:rsid w:val="007B0F93"/>
    <w:rsid w:val="007B1146"/>
    <w:rsid w:val="007B14C1"/>
    <w:rsid w:val="007B26F8"/>
    <w:rsid w:val="007B5BAF"/>
    <w:rsid w:val="007B6A06"/>
    <w:rsid w:val="007B6A9A"/>
    <w:rsid w:val="007B74D5"/>
    <w:rsid w:val="007B7CF5"/>
    <w:rsid w:val="007B7DA5"/>
    <w:rsid w:val="007C2CC9"/>
    <w:rsid w:val="007C2F25"/>
    <w:rsid w:val="007C5CA4"/>
    <w:rsid w:val="007C5E01"/>
    <w:rsid w:val="007C79E8"/>
    <w:rsid w:val="007D0E19"/>
    <w:rsid w:val="007D1033"/>
    <w:rsid w:val="007D146E"/>
    <w:rsid w:val="007D2BE1"/>
    <w:rsid w:val="007D61C1"/>
    <w:rsid w:val="007E1390"/>
    <w:rsid w:val="007E16DC"/>
    <w:rsid w:val="007E2342"/>
    <w:rsid w:val="007E2541"/>
    <w:rsid w:val="007E58CA"/>
    <w:rsid w:val="007E75A0"/>
    <w:rsid w:val="007F1088"/>
    <w:rsid w:val="007F252C"/>
    <w:rsid w:val="007F4057"/>
    <w:rsid w:val="007F457C"/>
    <w:rsid w:val="007F4AF0"/>
    <w:rsid w:val="007F5014"/>
    <w:rsid w:val="007F6704"/>
    <w:rsid w:val="008004CB"/>
    <w:rsid w:val="0080177D"/>
    <w:rsid w:val="00802909"/>
    <w:rsid w:val="00803144"/>
    <w:rsid w:val="00803DD9"/>
    <w:rsid w:val="008047DC"/>
    <w:rsid w:val="00805C59"/>
    <w:rsid w:val="00807575"/>
    <w:rsid w:val="0080782F"/>
    <w:rsid w:val="00807CD9"/>
    <w:rsid w:val="008106F4"/>
    <w:rsid w:val="00810BCC"/>
    <w:rsid w:val="0081420B"/>
    <w:rsid w:val="00815CF6"/>
    <w:rsid w:val="00820DF5"/>
    <w:rsid w:val="00824D98"/>
    <w:rsid w:val="0082741B"/>
    <w:rsid w:val="00827A7A"/>
    <w:rsid w:val="00832C26"/>
    <w:rsid w:val="00833D98"/>
    <w:rsid w:val="00833DDF"/>
    <w:rsid w:val="0083530A"/>
    <w:rsid w:val="00837852"/>
    <w:rsid w:val="00840F57"/>
    <w:rsid w:val="00842206"/>
    <w:rsid w:val="00842DF5"/>
    <w:rsid w:val="00843ACD"/>
    <w:rsid w:val="00844046"/>
    <w:rsid w:val="00845883"/>
    <w:rsid w:val="008460AC"/>
    <w:rsid w:val="00846C51"/>
    <w:rsid w:val="00847123"/>
    <w:rsid w:val="00851284"/>
    <w:rsid w:val="00852003"/>
    <w:rsid w:val="00852F34"/>
    <w:rsid w:val="00853348"/>
    <w:rsid w:val="00854C01"/>
    <w:rsid w:val="00855338"/>
    <w:rsid w:val="0085543D"/>
    <w:rsid w:val="00855522"/>
    <w:rsid w:val="00856829"/>
    <w:rsid w:val="00860090"/>
    <w:rsid w:val="00862FF3"/>
    <w:rsid w:val="00863EBC"/>
    <w:rsid w:val="008653ED"/>
    <w:rsid w:val="00866166"/>
    <w:rsid w:val="00866E84"/>
    <w:rsid w:val="008673B0"/>
    <w:rsid w:val="00867FDA"/>
    <w:rsid w:val="0087161E"/>
    <w:rsid w:val="00872E30"/>
    <w:rsid w:val="00873A41"/>
    <w:rsid w:val="00875772"/>
    <w:rsid w:val="00876FAA"/>
    <w:rsid w:val="00877274"/>
    <w:rsid w:val="00882AFC"/>
    <w:rsid w:val="00882CDE"/>
    <w:rsid w:val="00883A6C"/>
    <w:rsid w:val="00884776"/>
    <w:rsid w:val="00886429"/>
    <w:rsid w:val="00886DC0"/>
    <w:rsid w:val="00890C9C"/>
    <w:rsid w:val="00890F04"/>
    <w:rsid w:val="00892CDC"/>
    <w:rsid w:val="00893B25"/>
    <w:rsid w:val="008964A9"/>
    <w:rsid w:val="00897F79"/>
    <w:rsid w:val="008A082E"/>
    <w:rsid w:val="008A0C00"/>
    <w:rsid w:val="008A192D"/>
    <w:rsid w:val="008A20C4"/>
    <w:rsid w:val="008A2A58"/>
    <w:rsid w:val="008A30CF"/>
    <w:rsid w:val="008A347E"/>
    <w:rsid w:val="008A6BEC"/>
    <w:rsid w:val="008A6CF1"/>
    <w:rsid w:val="008B040A"/>
    <w:rsid w:val="008B0BC3"/>
    <w:rsid w:val="008B46A3"/>
    <w:rsid w:val="008B54DA"/>
    <w:rsid w:val="008B6C44"/>
    <w:rsid w:val="008C03D6"/>
    <w:rsid w:val="008C19FF"/>
    <w:rsid w:val="008C3CB2"/>
    <w:rsid w:val="008C4D19"/>
    <w:rsid w:val="008C53A4"/>
    <w:rsid w:val="008C54BC"/>
    <w:rsid w:val="008C68AF"/>
    <w:rsid w:val="008C6B1A"/>
    <w:rsid w:val="008C6B5F"/>
    <w:rsid w:val="008C6DAF"/>
    <w:rsid w:val="008C7839"/>
    <w:rsid w:val="008D1D47"/>
    <w:rsid w:val="008D23B8"/>
    <w:rsid w:val="008D2707"/>
    <w:rsid w:val="008D3C7F"/>
    <w:rsid w:val="008D3CAF"/>
    <w:rsid w:val="008D5613"/>
    <w:rsid w:val="008D5696"/>
    <w:rsid w:val="008D6E65"/>
    <w:rsid w:val="008E1710"/>
    <w:rsid w:val="008E2400"/>
    <w:rsid w:val="008E3851"/>
    <w:rsid w:val="008E4875"/>
    <w:rsid w:val="008E7C8E"/>
    <w:rsid w:val="008F0033"/>
    <w:rsid w:val="008F0A9F"/>
    <w:rsid w:val="008F1EF4"/>
    <w:rsid w:val="008F3CE9"/>
    <w:rsid w:val="008F4B40"/>
    <w:rsid w:val="008F5824"/>
    <w:rsid w:val="008F5F8C"/>
    <w:rsid w:val="008F79F7"/>
    <w:rsid w:val="008F7BB8"/>
    <w:rsid w:val="009009BE"/>
    <w:rsid w:val="00901A6B"/>
    <w:rsid w:val="00906169"/>
    <w:rsid w:val="009062ED"/>
    <w:rsid w:val="00906492"/>
    <w:rsid w:val="009067E3"/>
    <w:rsid w:val="0090697F"/>
    <w:rsid w:val="00907095"/>
    <w:rsid w:val="00912FDF"/>
    <w:rsid w:val="00914790"/>
    <w:rsid w:val="00914A53"/>
    <w:rsid w:val="00916304"/>
    <w:rsid w:val="009164C4"/>
    <w:rsid w:val="0091674F"/>
    <w:rsid w:val="00917E11"/>
    <w:rsid w:val="009208FF"/>
    <w:rsid w:val="00920C17"/>
    <w:rsid w:val="00920CCD"/>
    <w:rsid w:val="0092130A"/>
    <w:rsid w:val="0092356B"/>
    <w:rsid w:val="00926A62"/>
    <w:rsid w:val="00926A88"/>
    <w:rsid w:val="00926EF1"/>
    <w:rsid w:val="00927A44"/>
    <w:rsid w:val="00932665"/>
    <w:rsid w:val="00932CFD"/>
    <w:rsid w:val="0093330F"/>
    <w:rsid w:val="00933321"/>
    <w:rsid w:val="00940DE5"/>
    <w:rsid w:val="00942430"/>
    <w:rsid w:val="00951775"/>
    <w:rsid w:val="00953EBE"/>
    <w:rsid w:val="0095507B"/>
    <w:rsid w:val="00962B12"/>
    <w:rsid w:val="00964E23"/>
    <w:rsid w:val="0096617B"/>
    <w:rsid w:val="00966B43"/>
    <w:rsid w:val="00966D8B"/>
    <w:rsid w:val="009674C5"/>
    <w:rsid w:val="00967D06"/>
    <w:rsid w:val="0097113A"/>
    <w:rsid w:val="00972C45"/>
    <w:rsid w:val="009746FE"/>
    <w:rsid w:val="00974EE8"/>
    <w:rsid w:val="0097513F"/>
    <w:rsid w:val="00975242"/>
    <w:rsid w:val="00975BCC"/>
    <w:rsid w:val="009779A6"/>
    <w:rsid w:val="00977B23"/>
    <w:rsid w:val="00981577"/>
    <w:rsid w:val="0098207F"/>
    <w:rsid w:val="00982634"/>
    <w:rsid w:val="00983F2F"/>
    <w:rsid w:val="009844C2"/>
    <w:rsid w:val="00984F27"/>
    <w:rsid w:val="00985C83"/>
    <w:rsid w:val="0098754F"/>
    <w:rsid w:val="00987666"/>
    <w:rsid w:val="00992469"/>
    <w:rsid w:val="0099282D"/>
    <w:rsid w:val="00992A4C"/>
    <w:rsid w:val="0099349A"/>
    <w:rsid w:val="00994631"/>
    <w:rsid w:val="00995D06"/>
    <w:rsid w:val="00995F38"/>
    <w:rsid w:val="009973D7"/>
    <w:rsid w:val="009A173A"/>
    <w:rsid w:val="009A1F71"/>
    <w:rsid w:val="009A202F"/>
    <w:rsid w:val="009A275F"/>
    <w:rsid w:val="009A4D2D"/>
    <w:rsid w:val="009A66CB"/>
    <w:rsid w:val="009A7DB1"/>
    <w:rsid w:val="009B270B"/>
    <w:rsid w:val="009B3483"/>
    <w:rsid w:val="009B3DF9"/>
    <w:rsid w:val="009B5094"/>
    <w:rsid w:val="009B515C"/>
    <w:rsid w:val="009B6903"/>
    <w:rsid w:val="009B7072"/>
    <w:rsid w:val="009C170F"/>
    <w:rsid w:val="009C3256"/>
    <w:rsid w:val="009C4997"/>
    <w:rsid w:val="009D2F15"/>
    <w:rsid w:val="009D32C1"/>
    <w:rsid w:val="009D4E84"/>
    <w:rsid w:val="009D60C3"/>
    <w:rsid w:val="009D6111"/>
    <w:rsid w:val="009D68CB"/>
    <w:rsid w:val="009E0699"/>
    <w:rsid w:val="009E0737"/>
    <w:rsid w:val="009E13B0"/>
    <w:rsid w:val="009E2167"/>
    <w:rsid w:val="009E27E9"/>
    <w:rsid w:val="009E375B"/>
    <w:rsid w:val="009E7093"/>
    <w:rsid w:val="009E71C6"/>
    <w:rsid w:val="009F0061"/>
    <w:rsid w:val="009F0931"/>
    <w:rsid w:val="009F0E85"/>
    <w:rsid w:val="009F174B"/>
    <w:rsid w:val="009F2066"/>
    <w:rsid w:val="009F6AB1"/>
    <w:rsid w:val="00A011CF"/>
    <w:rsid w:val="00A01CB0"/>
    <w:rsid w:val="00A024B8"/>
    <w:rsid w:val="00A03EE3"/>
    <w:rsid w:val="00A05436"/>
    <w:rsid w:val="00A07C43"/>
    <w:rsid w:val="00A1096B"/>
    <w:rsid w:val="00A10FDA"/>
    <w:rsid w:val="00A13E69"/>
    <w:rsid w:val="00A14563"/>
    <w:rsid w:val="00A150E9"/>
    <w:rsid w:val="00A15323"/>
    <w:rsid w:val="00A15F47"/>
    <w:rsid w:val="00A1645E"/>
    <w:rsid w:val="00A177EF"/>
    <w:rsid w:val="00A17841"/>
    <w:rsid w:val="00A211E7"/>
    <w:rsid w:val="00A21D6D"/>
    <w:rsid w:val="00A2261B"/>
    <w:rsid w:val="00A30D28"/>
    <w:rsid w:val="00A3239B"/>
    <w:rsid w:val="00A324F2"/>
    <w:rsid w:val="00A327F2"/>
    <w:rsid w:val="00A33E9E"/>
    <w:rsid w:val="00A3466C"/>
    <w:rsid w:val="00A3504E"/>
    <w:rsid w:val="00A352FA"/>
    <w:rsid w:val="00A35ECD"/>
    <w:rsid w:val="00A36357"/>
    <w:rsid w:val="00A423B7"/>
    <w:rsid w:val="00A42D43"/>
    <w:rsid w:val="00A4364D"/>
    <w:rsid w:val="00A45B35"/>
    <w:rsid w:val="00A4759A"/>
    <w:rsid w:val="00A47D16"/>
    <w:rsid w:val="00A50219"/>
    <w:rsid w:val="00A5244F"/>
    <w:rsid w:val="00A5287C"/>
    <w:rsid w:val="00A52F33"/>
    <w:rsid w:val="00A53F64"/>
    <w:rsid w:val="00A550C2"/>
    <w:rsid w:val="00A56036"/>
    <w:rsid w:val="00A579AB"/>
    <w:rsid w:val="00A60BD6"/>
    <w:rsid w:val="00A60E59"/>
    <w:rsid w:val="00A62CDD"/>
    <w:rsid w:val="00A64025"/>
    <w:rsid w:val="00A645D1"/>
    <w:rsid w:val="00A65C47"/>
    <w:rsid w:val="00A66100"/>
    <w:rsid w:val="00A6683D"/>
    <w:rsid w:val="00A66B60"/>
    <w:rsid w:val="00A7095D"/>
    <w:rsid w:val="00A70CBF"/>
    <w:rsid w:val="00A71F6C"/>
    <w:rsid w:val="00A74A48"/>
    <w:rsid w:val="00A758C3"/>
    <w:rsid w:val="00A75968"/>
    <w:rsid w:val="00A75B95"/>
    <w:rsid w:val="00A76A57"/>
    <w:rsid w:val="00A76C7D"/>
    <w:rsid w:val="00A77793"/>
    <w:rsid w:val="00A84829"/>
    <w:rsid w:val="00A903C0"/>
    <w:rsid w:val="00A9049B"/>
    <w:rsid w:val="00A91DB5"/>
    <w:rsid w:val="00A91DDE"/>
    <w:rsid w:val="00A93B18"/>
    <w:rsid w:val="00A9533C"/>
    <w:rsid w:val="00A957B4"/>
    <w:rsid w:val="00A95F33"/>
    <w:rsid w:val="00A95F93"/>
    <w:rsid w:val="00A962CB"/>
    <w:rsid w:val="00A96FD2"/>
    <w:rsid w:val="00AA07F7"/>
    <w:rsid w:val="00AA0874"/>
    <w:rsid w:val="00AA1808"/>
    <w:rsid w:val="00AA1DA0"/>
    <w:rsid w:val="00AA2D77"/>
    <w:rsid w:val="00AA32DA"/>
    <w:rsid w:val="00AA48CD"/>
    <w:rsid w:val="00AA5474"/>
    <w:rsid w:val="00AA654C"/>
    <w:rsid w:val="00AA6612"/>
    <w:rsid w:val="00AA74F1"/>
    <w:rsid w:val="00AB0191"/>
    <w:rsid w:val="00AB1656"/>
    <w:rsid w:val="00AB363E"/>
    <w:rsid w:val="00AB38F7"/>
    <w:rsid w:val="00AB4C35"/>
    <w:rsid w:val="00AB500D"/>
    <w:rsid w:val="00AB718D"/>
    <w:rsid w:val="00AB7E01"/>
    <w:rsid w:val="00AC067B"/>
    <w:rsid w:val="00AC12DD"/>
    <w:rsid w:val="00AC34D4"/>
    <w:rsid w:val="00AC769F"/>
    <w:rsid w:val="00AD0DB2"/>
    <w:rsid w:val="00AD14F4"/>
    <w:rsid w:val="00AD1BC0"/>
    <w:rsid w:val="00AD1DCF"/>
    <w:rsid w:val="00AD213F"/>
    <w:rsid w:val="00AD4FB4"/>
    <w:rsid w:val="00AD6173"/>
    <w:rsid w:val="00AD679E"/>
    <w:rsid w:val="00AD7D3E"/>
    <w:rsid w:val="00AE10CF"/>
    <w:rsid w:val="00AE3BBD"/>
    <w:rsid w:val="00AE4053"/>
    <w:rsid w:val="00AE4489"/>
    <w:rsid w:val="00AE476D"/>
    <w:rsid w:val="00AE5EB8"/>
    <w:rsid w:val="00AE608D"/>
    <w:rsid w:val="00AF01CE"/>
    <w:rsid w:val="00AF0392"/>
    <w:rsid w:val="00AF0776"/>
    <w:rsid w:val="00AF19D8"/>
    <w:rsid w:val="00AF210E"/>
    <w:rsid w:val="00AF2C9E"/>
    <w:rsid w:val="00AF31A9"/>
    <w:rsid w:val="00AF4BE9"/>
    <w:rsid w:val="00AF4CD7"/>
    <w:rsid w:val="00AF55E8"/>
    <w:rsid w:val="00AF5B14"/>
    <w:rsid w:val="00AF5E6F"/>
    <w:rsid w:val="00B0051A"/>
    <w:rsid w:val="00B02E50"/>
    <w:rsid w:val="00B03620"/>
    <w:rsid w:val="00B038E7"/>
    <w:rsid w:val="00B03A79"/>
    <w:rsid w:val="00B05A5B"/>
    <w:rsid w:val="00B113CE"/>
    <w:rsid w:val="00B12474"/>
    <w:rsid w:val="00B1287D"/>
    <w:rsid w:val="00B14ABA"/>
    <w:rsid w:val="00B14CB2"/>
    <w:rsid w:val="00B15047"/>
    <w:rsid w:val="00B161F6"/>
    <w:rsid w:val="00B16509"/>
    <w:rsid w:val="00B16B1E"/>
    <w:rsid w:val="00B17C58"/>
    <w:rsid w:val="00B20A81"/>
    <w:rsid w:val="00B246CA"/>
    <w:rsid w:val="00B2698F"/>
    <w:rsid w:val="00B27967"/>
    <w:rsid w:val="00B309C8"/>
    <w:rsid w:val="00B32523"/>
    <w:rsid w:val="00B34E76"/>
    <w:rsid w:val="00B35677"/>
    <w:rsid w:val="00B358DF"/>
    <w:rsid w:val="00B36E91"/>
    <w:rsid w:val="00B406AA"/>
    <w:rsid w:val="00B40E32"/>
    <w:rsid w:val="00B44328"/>
    <w:rsid w:val="00B44643"/>
    <w:rsid w:val="00B4520A"/>
    <w:rsid w:val="00B466A9"/>
    <w:rsid w:val="00B50367"/>
    <w:rsid w:val="00B520AE"/>
    <w:rsid w:val="00B520F3"/>
    <w:rsid w:val="00B5241D"/>
    <w:rsid w:val="00B52712"/>
    <w:rsid w:val="00B547A6"/>
    <w:rsid w:val="00B612BB"/>
    <w:rsid w:val="00B63DBA"/>
    <w:rsid w:val="00B651C6"/>
    <w:rsid w:val="00B65401"/>
    <w:rsid w:val="00B66155"/>
    <w:rsid w:val="00B737E6"/>
    <w:rsid w:val="00B73922"/>
    <w:rsid w:val="00B7634A"/>
    <w:rsid w:val="00B77303"/>
    <w:rsid w:val="00B836C5"/>
    <w:rsid w:val="00B90818"/>
    <w:rsid w:val="00B9090F"/>
    <w:rsid w:val="00B91C51"/>
    <w:rsid w:val="00B9234B"/>
    <w:rsid w:val="00B932D0"/>
    <w:rsid w:val="00B939CD"/>
    <w:rsid w:val="00B94789"/>
    <w:rsid w:val="00B9613C"/>
    <w:rsid w:val="00B9769E"/>
    <w:rsid w:val="00BA0686"/>
    <w:rsid w:val="00BA20D7"/>
    <w:rsid w:val="00BA3CE0"/>
    <w:rsid w:val="00BA4286"/>
    <w:rsid w:val="00BA4A1C"/>
    <w:rsid w:val="00BB022D"/>
    <w:rsid w:val="00BB2F2E"/>
    <w:rsid w:val="00BB3D66"/>
    <w:rsid w:val="00BB5337"/>
    <w:rsid w:val="00BB6193"/>
    <w:rsid w:val="00BB7E0A"/>
    <w:rsid w:val="00BC0CF5"/>
    <w:rsid w:val="00BC4D5F"/>
    <w:rsid w:val="00BC5504"/>
    <w:rsid w:val="00BC5A12"/>
    <w:rsid w:val="00BD1743"/>
    <w:rsid w:val="00BD3DE0"/>
    <w:rsid w:val="00BD401D"/>
    <w:rsid w:val="00BD6057"/>
    <w:rsid w:val="00BD6F58"/>
    <w:rsid w:val="00BD73D1"/>
    <w:rsid w:val="00BD7E9E"/>
    <w:rsid w:val="00BE0B4A"/>
    <w:rsid w:val="00BE0E56"/>
    <w:rsid w:val="00BE1356"/>
    <w:rsid w:val="00BE1406"/>
    <w:rsid w:val="00BE1C97"/>
    <w:rsid w:val="00BE2987"/>
    <w:rsid w:val="00BE2DDA"/>
    <w:rsid w:val="00BE30B7"/>
    <w:rsid w:val="00BE5AE4"/>
    <w:rsid w:val="00BE615D"/>
    <w:rsid w:val="00BE63F2"/>
    <w:rsid w:val="00BF7003"/>
    <w:rsid w:val="00C00471"/>
    <w:rsid w:val="00C0147A"/>
    <w:rsid w:val="00C022B9"/>
    <w:rsid w:val="00C02800"/>
    <w:rsid w:val="00C03E9A"/>
    <w:rsid w:val="00C057BB"/>
    <w:rsid w:val="00C05822"/>
    <w:rsid w:val="00C05F4C"/>
    <w:rsid w:val="00C10F00"/>
    <w:rsid w:val="00C11204"/>
    <w:rsid w:val="00C16379"/>
    <w:rsid w:val="00C167A0"/>
    <w:rsid w:val="00C17ECB"/>
    <w:rsid w:val="00C238FE"/>
    <w:rsid w:val="00C24241"/>
    <w:rsid w:val="00C2666B"/>
    <w:rsid w:val="00C27E82"/>
    <w:rsid w:val="00C30351"/>
    <w:rsid w:val="00C30A08"/>
    <w:rsid w:val="00C30D26"/>
    <w:rsid w:val="00C31DD6"/>
    <w:rsid w:val="00C31FE9"/>
    <w:rsid w:val="00C325FA"/>
    <w:rsid w:val="00C3292F"/>
    <w:rsid w:val="00C343E8"/>
    <w:rsid w:val="00C36F16"/>
    <w:rsid w:val="00C4226B"/>
    <w:rsid w:val="00C447D0"/>
    <w:rsid w:val="00C45223"/>
    <w:rsid w:val="00C46065"/>
    <w:rsid w:val="00C471D7"/>
    <w:rsid w:val="00C50028"/>
    <w:rsid w:val="00C55773"/>
    <w:rsid w:val="00C55D05"/>
    <w:rsid w:val="00C563DF"/>
    <w:rsid w:val="00C610C9"/>
    <w:rsid w:val="00C61406"/>
    <w:rsid w:val="00C6287A"/>
    <w:rsid w:val="00C6456E"/>
    <w:rsid w:val="00C66A8F"/>
    <w:rsid w:val="00C700E2"/>
    <w:rsid w:val="00C702F4"/>
    <w:rsid w:val="00C70C9D"/>
    <w:rsid w:val="00C72993"/>
    <w:rsid w:val="00C75B38"/>
    <w:rsid w:val="00C761B0"/>
    <w:rsid w:val="00C77330"/>
    <w:rsid w:val="00C830DC"/>
    <w:rsid w:val="00C85A53"/>
    <w:rsid w:val="00C85E53"/>
    <w:rsid w:val="00C867D8"/>
    <w:rsid w:val="00C87125"/>
    <w:rsid w:val="00C8779E"/>
    <w:rsid w:val="00C917A5"/>
    <w:rsid w:val="00C940E9"/>
    <w:rsid w:val="00C9630D"/>
    <w:rsid w:val="00C96ABD"/>
    <w:rsid w:val="00CA0BEF"/>
    <w:rsid w:val="00CA19BB"/>
    <w:rsid w:val="00CA1DBF"/>
    <w:rsid w:val="00CA2486"/>
    <w:rsid w:val="00CA2520"/>
    <w:rsid w:val="00CA36E1"/>
    <w:rsid w:val="00CA50DB"/>
    <w:rsid w:val="00CA5C67"/>
    <w:rsid w:val="00CA77A0"/>
    <w:rsid w:val="00CB02E5"/>
    <w:rsid w:val="00CB0CC2"/>
    <w:rsid w:val="00CB0F99"/>
    <w:rsid w:val="00CB1CA0"/>
    <w:rsid w:val="00CB2D74"/>
    <w:rsid w:val="00CB2EEE"/>
    <w:rsid w:val="00CB3C59"/>
    <w:rsid w:val="00CB44D2"/>
    <w:rsid w:val="00CB563D"/>
    <w:rsid w:val="00CB5874"/>
    <w:rsid w:val="00CB5DD1"/>
    <w:rsid w:val="00CB6F9A"/>
    <w:rsid w:val="00CB7152"/>
    <w:rsid w:val="00CB7909"/>
    <w:rsid w:val="00CB7BDE"/>
    <w:rsid w:val="00CC05D8"/>
    <w:rsid w:val="00CC15B1"/>
    <w:rsid w:val="00CC2AE2"/>
    <w:rsid w:val="00CC2C08"/>
    <w:rsid w:val="00CC5DED"/>
    <w:rsid w:val="00CC66C0"/>
    <w:rsid w:val="00CC6751"/>
    <w:rsid w:val="00CC7C64"/>
    <w:rsid w:val="00CD10BD"/>
    <w:rsid w:val="00CD1338"/>
    <w:rsid w:val="00CD2291"/>
    <w:rsid w:val="00CD3D83"/>
    <w:rsid w:val="00CD3DE4"/>
    <w:rsid w:val="00CD5F1A"/>
    <w:rsid w:val="00CD6964"/>
    <w:rsid w:val="00CD7DC2"/>
    <w:rsid w:val="00CE02F9"/>
    <w:rsid w:val="00CE037A"/>
    <w:rsid w:val="00CE03C1"/>
    <w:rsid w:val="00CE20DC"/>
    <w:rsid w:val="00CE2374"/>
    <w:rsid w:val="00CE409B"/>
    <w:rsid w:val="00CE5353"/>
    <w:rsid w:val="00CE73F5"/>
    <w:rsid w:val="00CE780C"/>
    <w:rsid w:val="00CF17C2"/>
    <w:rsid w:val="00CF332A"/>
    <w:rsid w:val="00CF35A7"/>
    <w:rsid w:val="00CF3993"/>
    <w:rsid w:val="00CF4340"/>
    <w:rsid w:val="00CF4D4F"/>
    <w:rsid w:val="00CF61A4"/>
    <w:rsid w:val="00CF753E"/>
    <w:rsid w:val="00CF76FC"/>
    <w:rsid w:val="00D00179"/>
    <w:rsid w:val="00D008A3"/>
    <w:rsid w:val="00D03BDE"/>
    <w:rsid w:val="00D04919"/>
    <w:rsid w:val="00D10047"/>
    <w:rsid w:val="00D11507"/>
    <w:rsid w:val="00D123A8"/>
    <w:rsid w:val="00D13901"/>
    <w:rsid w:val="00D13E0F"/>
    <w:rsid w:val="00D13F10"/>
    <w:rsid w:val="00D149A4"/>
    <w:rsid w:val="00D14A0A"/>
    <w:rsid w:val="00D156EE"/>
    <w:rsid w:val="00D1728E"/>
    <w:rsid w:val="00D21805"/>
    <w:rsid w:val="00D22D34"/>
    <w:rsid w:val="00D22EC6"/>
    <w:rsid w:val="00D23204"/>
    <w:rsid w:val="00D23247"/>
    <w:rsid w:val="00D24217"/>
    <w:rsid w:val="00D24CC0"/>
    <w:rsid w:val="00D259E3"/>
    <w:rsid w:val="00D273B2"/>
    <w:rsid w:val="00D275B6"/>
    <w:rsid w:val="00D3028D"/>
    <w:rsid w:val="00D304C8"/>
    <w:rsid w:val="00D31550"/>
    <w:rsid w:val="00D354E8"/>
    <w:rsid w:val="00D35D8D"/>
    <w:rsid w:val="00D37285"/>
    <w:rsid w:val="00D37AAC"/>
    <w:rsid w:val="00D41D9B"/>
    <w:rsid w:val="00D42959"/>
    <w:rsid w:val="00D42E11"/>
    <w:rsid w:val="00D434F6"/>
    <w:rsid w:val="00D46E9C"/>
    <w:rsid w:val="00D476AC"/>
    <w:rsid w:val="00D50CE6"/>
    <w:rsid w:val="00D51FCB"/>
    <w:rsid w:val="00D53A34"/>
    <w:rsid w:val="00D53C4C"/>
    <w:rsid w:val="00D5418E"/>
    <w:rsid w:val="00D54E3D"/>
    <w:rsid w:val="00D55D52"/>
    <w:rsid w:val="00D565EA"/>
    <w:rsid w:val="00D5697E"/>
    <w:rsid w:val="00D612ED"/>
    <w:rsid w:val="00D64390"/>
    <w:rsid w:val="00D648C1"/>
    <w:rsid w:val="00D657C1"/>
    <w:rsid w:val="00D6702A"/>
    <w:rsid w:val="00D670BE"/>
    <w:rsid w:val="00D6774E"/>
    <w:rsid w:val="00D7075B"/>
    <w:rsid w:val="00D71150"/>
    <w:rsid w:val="00D72216"/>
    <w:rsid w:val="00D7332F"/>
    <w:rsid w:val="00D7439A"/>
    <w:rsid w:val="00D745AD"/>
    <w:rsid w:val="00D76E20"/>
    <w:rsid w:val="00D80572"/>
    <w:rsid w:val="00D80DC9"/>
    <w:rsid w:val="00D81029"/>
    <w:rsid w:val="00D81F2E"/>
    <w:rsid w:val="00D825A6"/>
    <w:rsid w:val="00D83596"/>
    <w:rsid w:val="00D84B95"/>
    <w:rsid w:val="00D84CA0"/>
    <w:rsid w:val="00D94CBA"/>
    <w:rsid w:val="00D95225"/>
    <w:rsid w:val="00D965F2"/>
    <w:rsid w:val="00DA138A"/>
    <w:rsid w:val="00DA622D"/>
    <w:rsid w:val="00DA7221"/>
    <w:rsid w:val="00DA72D0"/>
    <w:rsid w:val="00DB10F0"/>
    <w:rsid w:val="00DB1748"/>
    <w:rsid w:val="00DB232F"/>
    <w:rsid w:val="00DB2AC5"/>
    <w:rsid w:val="00DB2DDE"/>
    <w:rsid w:val="00DB3706"/>
    <w:rsid w:val="00DB42E3"/>
    <w:rsid w:val="00DB4CA4"/>
    <w:rsid w:val="00DB544F"/>
    <w:rsid w:val="00DB5CFB"/>
    <w:rsid w:val="00DB7C37"/>
    <w:rsid w:val="00DC071D"/>
    <w:rsid w:val="00DC227F"/>
    <w:rsid w:val="00DC2386"/>
    <w:rsid w:val="00DC5AD1"/>
    <w:rsid w:val="00DC69FF"/>
    <w:rsid w:val="00DD06F1"/>
    <w:rsid w:val="00DD0B1E"/>
    <w:rsid w:val="00DD0CBF"/>
    <w:rsid w:val="00DD1146"/>
    <w:rsid w:val="00DD2848"/>
    <w:rsid w:val="00DD4096"/>
    <w:rsid w:val="00DD4170"/>
    <w:rsid w:val="00DD51A3"/>
    <w:rsid w:val="00DD6439"/>
    <w:rsid w:val="00DD7423"/>
    <w:rsid w:val="00DE06CE"/>
    <w:rsid w:val="00DE49C4"/>
    <w:rsid w:val="00DE4CA9"/>
    <w:rsid w:val="00DE544F"/>
    <w:rsid w:val="00DE675F"/>
    <w:rsid w:val="00DF1834"/>
    <w:rsid w:val="00DF1FAA"/>
    <w:rsid w:val="00DF23EC"/>
    <w:rsid w:val="00DF3127"/>
    <w:rsid w:val="00DF3A80"/>
    <w:rsid w:val="00DF439D"/>
    <w:rsid w:val="00DF6E8E"/>
    <w:rsid w:val="00DF7090"/>
    <w:rsid w:val="00E01434"/>
    <w:rsid w:val="00E02140"/>
    <w:rsid w:val="00E043A4"/>
    <w:rsid w:val="00E05672"/>
    <w:rsid w:val="00E062F5"/>
    <w:rsid w:val="00E07F0B"/>
    <w:rsid w:val="00E14EC2"/>
    <w:rsid w:val="00E15023"/>
    <w:rsid w:val="00E15DED"/>
    <w:rsid w:val="00E161AE"/>
    <w:rsid w:val="00E21102"/>
    <w:rsid w:val="00E23AB6"/>
    <w:rsid w:val="00E2422C"/>
    <w:rsid w:val="00E25CA9"/>
    <w:rsid w:val="00E25F3A"/>
    <w:rsid w:val="00E26313"/>
    <w:rsid w:val="00E26E0B"/>
    <w:rsid w:val="00E30B5E"/>
    <w:rsid w:val="00E30D3B"/>
    <w:rsid w:val="00E3258F"/>
    <w:rsid w:val="00E34ECA"/>
    <w:rsid w:val="00E36CBD"/>
    <w:rsid w:val="00E36E4B"/>
    <w:rsid w:val="00E37AF3"/>
    <w:rsid w:val="00E4059B"/>
    <w:rsid w:val="00E4068C"/>
    <w:rsid w:val="00E406EA"/>
    <w:rsid w:val="00E40A97"/>
    <w:rsid w:val="00E412D8"/>
    <w:rsid w:val="00E42AEF"/>
    <w:rsid w:val="00E43687"/>
    <w:rsid w:val="00E46195"/>
    <w:rsid w:val="00E47E5A"/>
    <w:rsid w:val="00E50096"/>
    <w:rsid w:val="00E5032F"/>
    <w:rsid w:val="00E50649"/>
    <w:rsid w:val="00E509FF"/>
    <w:rsid w:val="00E52050"/>
    <w:rsid w:val="00E559D2"/>
    <w:rsid w:val="00E55E80"/>
    <w:rsid w:val="00E56038"/>
    <w:rsid w:val="00E6027A"/>
    <w:rsid w:val="00E65C08"/>
    <w:rsid w:val="00E66B64"/>
    <w:rsid w:val="00E67D16"/>
    <w:rsid w:val="00E72545"/>
    <w:rsid w:val="00E72548"/>
    <w:rsid w:val="00E72630"/>
    <w:rsid w:val="00E73AEF"/>
    <w:rsid w:val="00E7631A"/>
    <w:rsid w:val="00E77156"/>
    <w:rsid w:val="00E776B7"/>
    <w:rsid w:val="00E77862"/>
    <w:rsid w:val="00E81896"/>
    <w:rsid w:val="00E81BC3"/>
    <w:rsid w:val="00E862F1"/>
    <w:rsid w:val="00E900C7"/>
    <w:rsid w:val="00E9107D"/>
    <w:rsid w:val="00E91DD9"/>
    <w:rsid w:val="00E94350"/>
    <w:rsid w:val="00E96B4F"/>
    <w:rsid w:val="00E96ED1"/>
    <w:rsid w:val="00EA05FB"/>
    <w:rsid w:val="00EA1220"/>
    <w:rsid w:val="00EA21D0"/>
    <w:rsid w:val="00EA4574"/>
    <w:rsid w:val="00EA629F"/>
    <w:rsid w:val="00EB0593"/>
    <w:rsid w:val="00EB06BF"/>
    <w:rsid w:val="00EB1BF1"/>
    <w:rsid w:val="00EB2209"/>
    <w:rsid w:val="00EB2F2B"/>
    <w:rsid w:val="00EB388D"/>
    <w:rsid w:val="00EB415D"/>
    <w:rsid w:val="00EB4B05"/>
    <w:rsid w:val="00EB51EE"/>
    <w:rsid w:val="00EB527F"/>
    <w:rsid w:val="00EB5AE6"/>
    <w:rsid w:val="00EB79C7"/>
    <w:rsid w:val="00EC1318"/>
    <w:rsid w:val="00EC3F37"/>
    <w:rsid w:val="00EC5959"/>
    <w:rsid w:val="00EC6CBB"/>
    <w:rsid w:val="00EC72DA"/>
    <w:rsid w:val="00EC77FE"/>
    <w:rsid w:val="00ED09EF"/>
    <w:rsid w:val="00ED2427"/>
    <w:rsid w:val="00ED32CC"/>
    <w:rsid w:val="00ED34B8"/>
    <w:rsid w:val="00ED7010"/>
    <w:rsid w:val="00EE0571"/>
    <w:rsid w:val="00EE4DBD"/>
    <w:rsid w:val="00EE7A46"/>
    <w:rsid w:val="00EF1D1E"/>
    <w:rsid w:val="00EF29F8"/>
    <w:rsid w:val="00EF3A7D"/>
    <w:rsid w:val="00EF3CF5"/>
    <w:rsid w:val="00EF3F07"/>
    <w:rsid w:val="00EF420E"/>
    <w:rsid w:val="00EF5E34"/>
    <w:rsid w:val="00EF6486"/>
    <w:rsid w:val="00EF6509"/>
    <w:rsid w:val="00EF659B"/>
    <w:rsid w:val="00EF7503"/>
    <w:rsid w:val="00F0154A"/>
    <w:rsid w:val="00F0271E"/>
    <w:rsid w:val="00F02753"/>
    <w:rsid w:val="00F04E2F"/>
    <w:rsid w:val="00F057FA"/>
    <w:rsid w:val="00F0651A"/>
    <w:rsid w:val="00F07FAC"/>
    <w:rsid w:val="00F12A95"/>
    <w:rsid w:val="00F12AD6"/>
    <w:rsid w:val="00F12EED"/>
    <w:rsid w:val="00F1307D"/>
    <w:rsid w:val="00F143C5"/>
    <w:rsid w:val="00F14E10"/>
    <w:rsid w:val="00F160A8"/>
    <w:rsid w:val="00F1648C"/>
    <w:rsid w:val="00F1739D"/>
    <w:rsid w:val="00F2143E"/>
    <w:rsid w:val="00F224BE"/>
    <w:rsid w:val="00F2537F"/>
    <w:rsid w:val="00F25CCE"/>
    <w:rsid w:val="00F26CBC"/>
    <w:rsid w:val="00F26F7A"/>
    <w:rsid w:val="00F300D1"/>
    <w:rsid w:val="00F31538"/>
    <w:rsid w:val="00F32143"/>
    <w:rsid w:val="00F32F49"/>
    <w:rsid w:val="00F336AC"/>
    <w:rsid w:val="00F34895"/>
    <w:rsid w:val="00F34A32"/>
    <w:rsid w:val="00F35032"/>
    <w:rsid w:val="00F36F53"/>
    <w:rsid w:val="00F37DD0"/>
    <w:rsid w:val="00F37E39"/>
    <w:rsid w:val="00F40333"/>
    <w:rsid w:val="00F422BD"/>
    <w:rsid w:val="00F43321"/>
    <w:rsid w:val="00F4421A"/>
    <w:rsid w:val="00F44CF2"/>
    <w:rsid w:val="00F515C7"/>
    <w:rsid w:val="00F541F9"/>
    <w:rsid w:val="00F549F3"/>
    <w:rsid w:val="00F56C46"/>
    <w:rsid w:val="00F57874"/>
    <w:rsid w:val="00F62602"/>
    <w:rsid w:val="00F635EE"/>
    <w:rsid w:val="00F6498B"/>
    <w:rsid w:val="00F64FA8"/>
    <w:rsid w:val="00F65CFA"/>
    <w:rsid w:val="00F66AB9"/>
    <w:rsid w:val="00F66EBB"/>
    <w:rsid w:val="00F705E1"/>
    <w:rsid w:val="00F72020"/>
    <w:rsid w:val="00F722C3"/>
    <w:rsid w:val="00F72FCB"/>
    <w:rsid w:val="00F73114"/>
    <w:rsid w:val="00F733CE"/>
    <w:rsid w:val="00F74520"/>
    <w:rsid w:val="00F76437"/>
    <w:rsid w:val="00F808AB"/>
    <w:rsid w:val="00F81727"/>
    <w:rsid w:val="00F81F73"/>
    <w:rsid w:val="00F82C50"/>
    <w:rsid w:val="00F8342F"/>
    <w:rsid w:val="00F840B5"/>
    <w:rsid w:val="00F84306"/>
    <w:rsid w:val="00F85273"/>
    <w:rsid w:val="00F8586E"/>
    <w:rsid w:val="00F85FCF"/>
    <w:rsid w:val="00F873A8"/>
    <w:rsid w:val="00F905A3"/>
    <w:rsid w:val="00F9068A"/>
    <w:rsid w:val="00F918F1"/>
    <w:rsid w:val="00F92671"/>
    <w:rsid w:val="00F938CB"/>
    <w:rsid w:val="00F93B1E"/>
    <w:rsid w:val="00F95861"/>
    <w:rsid w:val="00F966B6"/>
    <w:rsid w:val="00F96D08"/>
    <w:rsid w:val="00F96FE7"/>
    <w:rsid w:val="00FA0FBE"/>
    <w:rsid w:val="00FA1521"/>
    <w:rsid w:val="00FA1D67"/>
    <w:rsid w:val="00FA2C84"/>
    <w:rsid w:val="00FA5B5C"/>
    <w:rsid w:val="00FA5D4D"/>
    <w:rsid w:val="00FA63F3"/>
    <w:rsid w:val="00FA78B4"/>
    <w:rsid w:val="00FB0F40"/>
    <w:rsid w:val="00FB57C9"/>
    <w:rsid w:val="00FB6836"/>
    <w:rsid w:val="00FB7C22"/>
    <w:rsid w:val="00FC190D"/>
    <w:rsid w:val="00FC1EFE"/>
    <w:rsid w:val="00FC1F76"/>
    <w:rsid w:val="00FC433C"/>
    <w:rsid w:val="00FC4C37"/>
    <w:rsid w:val="00FC73C6"/>
    <w:rsid w:val="00FC7FC2"/>
    <w:rsid w:val="00FD02F2"/>
    <w:rsid w:val="00FD0511"/>
    <w:rsid w:val="00FD164D"/>
    <w:rsid w:val="00FD4DAA"/>
    <w:rsid w:val="00FD4DBC"/>
    <w:rsid w:val="00FD574A"/>
    <w:rsid w:val="00FD6285"/>
    <w:rsid w:val="00FD6B4E"/>
    <w:rsid w:val="00FD72C5"/>
    <w:rsid w:val="00FD72CF"/>
    <w:rsid w:val="00FD7520"/>
    <w:rsid w:val="00FE37F5"/>
    <w:rsid w:val="00FE4BBF"/>
    <w:rsid w:val="00FE4BE7"/>
    <w:rsid w:val="00FE4BF5"/>
    <w:rsid w:val="00FE4FE3"/>
    <w:rsid w:val="00FE542F"/>
    <w:rsid w:val="00FE6892"/>
    <w:rsid w:val="00FE6F33"/>
    <w:rsid w:val="00FF0BD6"/>
    <w:rsid w:val="00FF1A2E"/>
    <w:rsid w:val="00FF2DDA"/>
    <w:rsid w:val="00FF45A0"/>
    <w:rsid w:val="00FF4AB7"/>
    <w:rsid w:val="00FF51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D1926"/>
  <w15:docId w15:val="{B0FA96EF-4AFC-41F2-BB79-669D9A40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Cs w:val="22"/>
        <w:lang w:val="it-IT" w:eastAsia="en-US" w:bidi="ar-SA"/>
      </w:rPr>
    </w:rPrDefault>
    <w:pPrDefault>
      <w:pPr>
        <w:ind w:firstLine="56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1805"/>
    <w:pPr>
      <w:ind w:firstLine="0"/>
      <w:jc w:val="left"/>
    </w:pPr>
    <w:rPr>
      <w:rFonts w:eastAsia="Times New Roman"/>
      <w:sz w:val="24"/>
      <w:szCs w:val="24"/>
      <w:lang w:eastAsia="it-IT"/>
    </w:rPr>
  </w:style>
  <w:style w:type="paragraph" w:styleId="Heading1">
    <w:name w:val="heading 1"/>
    <w:basedOn w:val="Normal"/>
    <w:next w:val="Normal"/>
    <w:link w:val="Heading1Char"/>
    <w:uiPriority w:val="9"/>
    <w:qFormat/>
    <w:rsid w:val="002D58C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58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21805"/>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unhideWhenUsed/>
    <w:qFormat/>
    <w:rsid w:val="00A903C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425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21805"/>
    <w:rPr>
      <w:rFonts w:ascii="Arial" w:eastAsia="Times New Roman" w:hAnsi="Arial"/>
      <w:b/>
      <w:bCs/>
      <w:sz w:val="26"/>
      <w:szCs w:val="26"/>
      <w:lang w:eastAsia="it-IT"/>
    </w:rPr>
  </w:style>
  <w:style w:type="paragraph" w:styleId="NormalWeb">
    <w:name w:val="Normal (Web)"/>
    <w:basedOn w:val="Normal"/>
    <w:uiPriority w:val="99"/>
    <w:rsid w:val="00D21805"/>
    <w:pPr>
      <w:spacing w:before="100" w:beforeAutospacing="1" w:after="100" w:afterAutospacing="1"/>
    </w:pPr>
    <w:rPr>
      <w:rFonts w:eastAsia="MS Mincho"/>
      <w:color w:val="990033"/>
      <w:lang w:eastAsia="ja-JP"/>
    </w:rPr>
  </w:style>
  <w:style w:type="paragraph" w:styleId="FootnoteText">
    <w:name w:val="footnote text"/>
    <w:aliases w:val="Footnote Text Char Char Char Char Char,Footnote Text Char Char Char Char,fn,footnote text,Footnote ak,Footnotes,Footnotes Char,Footnotes Char Char,ft,fn cafc,Footnote Text Char1,fn Char Char,footnote text Char Char,fn Char,FA"/>
    <w:basedOn w:val="Normal"/>
    <w:link w:val="FootnoteTextChar"/>
    <w:qFormat/>
    <w:rsid w:val="00D21805"/>
    <w:rPr>
      <w:sz w:val="20"/>
      <w:szCs w:val="20"/>
    </w:rPr>
  </w:style>
  <w:style w:type="character" w:customStyle="1" w:styleId="FootnoteTextChar">
    <w:name w:val="Footnote Text Char"/>
    <w:aliases w:val="Footnote Text Char Char Char Char Char Char,Footnote Text Char Char Char Char Char1,fn Char1,footnote text Char,Footnote ak Char,Footnotes Char1,Footnotes Char Char1,Footnotes Char Char Char,ft Char,fn cafc Char,fn Char Char Char"/>
    <w:basedOn w:val="DefaultParagraphFont"/>
    <w:link w:val="FootnoteText"/>
    <w:uiPriority w:val="99"/>
    <w:rsid w:val="00D21805"/>
    <w:rPr>
      <w:rFonts w:eastAsia="Times New Roman"/>
      <w:szCs w:val="20"/>
      <w:lang w:eastAsia="it-IT"/>
    </w:rPr>
  </w:style>
  <w:style w:type="character" w:styleId="FootnoteReference">
    <w:name w:val="footnote reference"/>
    <w:aliases w:val="Ref,de nota al pie,註腳內容,de nota al pie + (Asian) MS Mincho,11 pt,f,16 Point,Superscript 6 Point,4_G,note de bas de page,Footnote Reference AYBIL,BVI fnr,ftref,Знак сноски 1,Footnotemark,Footnotemark1,FR,Footnotemark2,FR1,FR2"/>
    <w:qFormat/>
    <w:rsid w:val="00D21805"/>
    <w:rPr>
      <w:vertAlign w:val="superscript"/>
    </w:rPr>
  </w:style>
  <w:style w:type="character" w:customStyle="1" w:styleId="longdesc1">
    <w:name w:val="long_desc1"/>
    <w:rsid w:val="00D21805"/>
    <w:rPr>
      <w:rFonts w:ascii="Verdana" w:hAnsi="Verdana" w:hint="default"/>
      <w:strike w:val="0"/>
      <w:dstrike w:val="0"/>
      <w:color w:val="000000"/>
      <w:sz w:val="10"/>
      <w:szCs w:val="10"/>
      <w:u w:val="none"/>
      <w:effect w:val="none"/>
    </w:rPr>
  </w:style>
  <w:style w:type="character" w:customStyle="1" w:styleId="title1">
    <w:name w:val="title1"/>
    <w:rsid w:val="00D21805"/>
    <w:rPr>
      <w:rFonts w:ascii="Verdana" w:hAnsi="Verdana" w:hint="default"/>
      <w:b/>
      <w:bCs/>
      <w:strike w:val="0"/>
      <w:dstrike w:val="0"/>
      <w:color w:val="000000"/>
      <w:sz w:val="12"/>
      <w:szCs w:val="12"/>
      <w:u w:val="none"/>
      <w:effect w:val="none"/>
    </w:rPr>
  </w:style>
  <w:style w:type="character" w:customStyle="1" w:styleId="txtflex1">
    <w:name w:val="txtflex1"/>
    <w:rsid w:val="00D21805"/>
    <w:rPr>
      <w:rFonts w:ascii="Verdana" w:hAnsi="Verdana" w:hint="default"/>
      <w:b w:val="0"/>
      <w:bCs w:val="0"/>
      <w:i w:val="0"/>
      <w:iCs w:val="0"/>
      <w:strike w:val="0"/>
      <w:dstrike w:val="0"/>
      <w:color w:val="000000"/>
      <w:sz w:val="20"/>
      <w:szCs w:val="20"/>
      <w:u w:val="none"/>
      <w:effect w:val="none"/>
    </w:rPr>
  </w:style>
  <w:style w:type="character" w:styleId="Strong">
    <w:name w:val="Strong"/>
    <w:uiPriority w:val="22"/>
    <w:qFormat/>
    <w:rsid w:val="00D21805"/>
    <w:rPr>
      <w:b/>
      <w:bCs/>
    </w:rPr>
  </w:style>
  <w:style w:type="paragraph" w:customStyle="1" w:styleId="Textodenotaalpie">
    <w:name w:val="Texto de nota al pie"/>
    <w:basedOn w:val="Normal"/>
    <w:rsid w:val="00D21805"/>
    <w:pPr>
      <w:widowControl w:val="0"/>
      <w:autoSpaceDE w:val="0"/>
      <w:autoSpaceDN w:val="0"/>
      <w:adjustRightInd w:val="0"/>
    </w:pPr>
    <w:rPr>
      <w:rFonts w:ascii="Courier New" w:hAnsi="Courier New"/>
      <w:lang w:val="es-ES_tradnl" w:eastAsia="es-ES"/>
    </w:rPr>
  </w:style>
  <w:style w:type="character" w:customStyle="1" w:styleId="csshit">
    <w:name w:val="csshit"/>
    <w:basedOn w:val="DefaultParagraphFont"/>
    <w:rsid w:val="00D21805"/>
  </w:style>
  <w:style w:type="character" w:customStyle="1" w:styleId="style511">
    <w:name w:val="style511"/>
    <w:rsid w:val="00D21805"/>
    <w:rPr>
      <w:rFonts w:ascii="Verdana" w:hAnsi="Verdana" w:hint="default"/>
      <w:sz w:val="13"/>
      <w:szCs w:val="13"/>
    </w:rPr>
  </w:style>
  <w:style w:type="character" w:customStyle="1" w:styleId="style151">
    <w:name w:val="style151"/>
    <w:rsid w:val="00D21805"/>
    <w:rPr>
      <w:sz w:val="24"/>
      <w:szCs w:val="24"/>
    </w:rPr>
  </w:style>
  <w:style w:type="character" w:customStyle="1" w:styleId="tlid-translation">
    <w:name w:val="tlid-translation"/>
    <w:basedOn w:val="DefaultParagraphFont"/>
    <w:rsid w:val="006A2D30"/>
  </w:style>
  <w:style w:type="paragraph" w:styleId="HTMLPreformatted">
    <w:name w:val="HTML Preformatted"/>
    <w:basedOn w:val="Normal"/>
    <w:link w:val="HTMLPreformattedChar"/>
    <w:uiPriority w:val="99"/>
    <w:semiHidden/>
    <w:unhideWhenUsed/>
    <w:rsid w:val="00E72548"/>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E72548"/>
    <w:rPr>
      <w:rFonts w:ascii="Consolas" w:eastAsia="Times New Roman" w:hAnsi="Consolas" w:cs="Consolas"/>
      <w:szCs w:val="20"/>
      <w:lang w:eastAsia="it-IT"/>
    </w:rPr>
  </w:style>
  <w:style w:type="character" w:styleId="CommentReference">
    <w:name w:val="annotation reference"/>
    <w:basedOn w:val="DefaultParagraphFont"/>
    <w:rsid w:val="007E16DC"/>
    <w:rPr>
      <w:sz w:val="16"/>
      <w:szCs w:val="16"/>
    </w:rPr>
  </w:style>
  <w:style w:type="paragraph" w:styleId="CommentText">
    <w:name w:val="annotation text"/>
    <w:basedOn w:val="Normal"/>
    <w:link w:val="CommentTextChar"/>
    <w:rsid w:val="007E16DC"/>
    <w:pPr>
      <w:spacing w:line="360" w:lineRule="auto"/>
      <w:ind w:firstLine="709"/>
      <w:jc w:val="both"/>
    </w:pPr>
    <w:rPr>
      <w:rFonts w:eastAsia="MS Mincho"/>
      <w:sz w:val="20"/>
      <w:szCs w:val="20"/>
      <w:lang w:val="en-GB" w:eastAsia="ja-JP"/>
    </w:rPr>
  </w:style>
  <w:style w:type="character" w:customStyle="1" w:styleId="CommentTextChar">
    <w:name w:val="Comment Text Char"/>
    <w:basedOn w:val="DefaultParagraphFont"/>
    <w:link w:val="CommentText"/>
    <w:rsid w:val="007E16DC"/>
    <w:rPr>
      <w:rFonts w:eastAsia="MS Mincho"/>
      <w:szCs w:val="20"/>
      <w:lang w:val="en-GB" w:eastAsia="ja-JP"/>
    </w:rPr>
  </w:style>
  <w:style w:type="paragraph" w:styleId="BalloonText">
    <w:name w:val="Balloon Text"/>
    <w:basedOn w:val="Normal"/>
    <w:link w:val="BalloonTextChar"/>
    <w:uiPriority w:val="99"/>
    <w:semiHidden/>
    <w:unhideWhenUsed/>
    <w:rsid w:val="007E16DC"/>
    <w:rPr>
      <w:rFonts w:ascii="Tahoma" w:hAnsi="Tahoma" w:cs="Tahoma"/>
      <w:sz w:val="16"/>
      <w:szCs w:val="16"/>
    </w:rPr>
  </w:style>
  <w:style w:type="character" w:customStyle="1" w:styleId="BalloonTextChar">
    <w:name w:val="Balloon Text Char"/>
    <w:basedOn w:val="DefaultParagraphFont"/>
    <w:link w:val="BalloonText"/>
    <w:uiPriority w:val="99"/>
    <w:semiHidden/>
    <w:rsid w:val="007E16DC"/>
    <w:rPr>
      <w:rFonts w:ascii="Tahoma" w:eastAsia="Times New Roman" w:hAnsi="Tahoma" w:cs="Tahoma"/>
      <w:sz w:val="16"/>
      <w:szCs w:val="16"/>
      <w:lang w:eastAsia="it-IT"/>
    </w:rPr>
  </w:style>
  <w:style w:type="paragraph" w:customStyle="1" w:styleId="SectionHead">
    <w:name w:val="_SectionHead"/>
    <w:basedOn w:val="Normal"/>
    <w:next w:val="Normal"/>
    <w:rsid w:val="000A6063"/>
    <w:pPr>
      <w:autoSpaceDE w:val="0"/>
      <w:autoSpaceDN w:val="0"/>
      <w:adjustRightInd w:val="0"/>
      <w:spacing w:after="480"/>
    </w:pPr>
    <w:rPr>
      <w:lang w:bidi="he-IL"/>
    </w:rPr>
  </w:style>
  <w:style w:type="character" w:styleId="Emphasis">
    <w:name w:val="Emphasis"/>
    <w:uiPriority w:val="20"/>
    <w:qFormat/>
    <w:rsid w:val="00AA1DA0"/>
    <w:rPr>
      <w:i/>
      <w:iCs/>
    </w:rPr>
  </w:style>
  <w:style w:type="character" w:customStyle="1" w:styleId="StyleTexte1Exposant">
    <w:name w:val="Style Texte 1 Exposant"/>
    <w:basedOn w:val="DefaultParagraphFont"/>
    <w:rsid w:val="004B31D1"/>
    <w:rPr>
      <w:color w:val="000000" w:themeColor="text1"/>
      <w:sz w:val="16"/>
      <w:vertAlign w:val="superscript"/>
    </w:rPr>
  </w:style>
  <w:style w:type="character" w:styleId="Hyperlink">
    <w:name w:val="Hyperlink"/>
    <w:basedOn w:val="DefaultParagraphFont"/>
    <w:uiPriority w:val="99"/>
    <w:unhideWhenUsed/>
    <w:rsid w:val="00DD7423"/>
    <w:rPr>
      <w:color w:val="0000FF" w:themeColor="hyperlink"/>
      <w:u w:val="single"/>
    </w:rPr>
  </w:style>
  <w:style w:type="paragraph" w:styleId="DocumentMap">
    <w:name w:val="Document Map"/>
    <w:basedOn w:val="Normal"/>
    <w:link w:val="DocumentMapChar"/>
    <w:uiPriority w:val="99"/>
    <w:semiHidden/>
    <w:unhideWhenUsed/>
    <w:rsid w:val="002D58C8"/>
    <w:rPr>
      <w:rFonts w:ascii="Tahoma" w:hAnsi="Tahoma" w:cs="Tahoma"/>
      <w:sz w:val="16"/>
      <w:szCs w:val="16"/>
    </w:rPr>
  </w:style>
  <w:style w:type="character" w:customStyle="1" w:styleId="DocumentMapChar">
    <w:name w:val="Document Map Char"/>
    <w:basedOn w:val="DefaultParagraphFont"/>
    <w:link w:val="DocumentMap"/>
    <w:uiPriority w:val="99"/>
    <w:semiHidden/>
    <w:rsid w:val="002D58C8"/>
    <w:rPr>
      <w:rFonts w:ascii="Tahoma" w:eastAsia="Times New Roman" w:hAnsi="Tahoma" w:cs="Tahoma"/>
      <w:sz w:val="16"/>
      <w:szCs w:val="16"/>
      <w:lang w:eastAsia="it-IT"/>
    </w:rPr>
  </w:style>
  <w:style w:type="character" w:customStyle="1" w:styleId="Heading1Char">
    <w:name w:val="Heading 1 Char"/>
    <w:basedOn w:val="DefaultParagraphFont"/>
    <w:link w:val="Heading1"/>
    <w:uiPriority w:val="9"/>
    <w:rsid w:val="002D58C8"/>
    <w:rPr>
      <w:rFonts w:asciiTheme="majorHAnsi" w:eastAsiaTheme="majorEastAsia" w:hAnsiTheme="majorHAnsi" w:cstheme="majorBidi"/>
      <w:b/>
      <w:bCs/>
      <w:color w:val="365F91" w:themeColor="accent1" w:themeShade="BF"/>
      <w:sz w:val="28"/>
      <w:szCs w:val="28"/>
      <w:lang w:eastAsia="it-IT"/>
    </w:rPr>
  </w:style>
  <w:style w:type="character" w:customStyle="1" w:styleId="Heading2Char">
    <w:name w:val="Heading 2 Char"/>
    <w:basedOn w:val="DefaultParagraphFont"/>
    <w:link w:val="Heading2"/>
    <w:uiPriority w:val="9"/>
    <w:rsid w:val="002D58C8"/>
    <w:rPr>
      <w:rFonts w:asciiTheme="majorHAnsi" w:eastAsiaTheme="majorEastAsia" w:hAnsiTheme="majorHAnsi" w:cstheme="majorBidi"/>
      <w:b/>
      <w:bCs/>
      <w:color w:val="4F81BD" w:themeColor="accent1"/>
      <w:sz w:val="26"/>
      <w:szCs w:val="26"/>
      <w:lang w:eastAsia="it-IT"/>
    </w:rPr>
  </w:style>
  <w:style w:type="character" w:customStyle="1" w:styleId="hps">
    <w:name w:val="hps"/>
    <w:basedOn w:val="DefaultParagraphFont"/>
    <w:rsid w:val="00475D74"/>
  </w:style>
  <w:style w:type="paragraph" w:styleId="BodyText">
    <w:name w:val="Body Text"/>
    <w:basedOn w:val="Normal"/>
    <w:link w:val="BodyTextChar"/>
    <w:rsid w:val="00A76A57"/>
    <w:pPr>
      <w:spacing w:line="360" w:lineRule="auto"/>
      <w:jc w:val="both"/>
    </w:pPr>
    <w:rPr>
      <w:b/>
      <w:szCs w:val="20"/>
      <w:u w:val="single"/>
    </w:rPr>
  </w:style>
  <w:style w:type="character" w:customStyle="1" w:styleId="BodyTextChar">
    <w:name w:val="Body Text Char"/>
    <w:basedOn w:val="DefaultParagraphFont"/>
    <w:link w:val="BodyText"/>
    <w:rsid w:val="00A76A57"/>
    <w:rPr>
      <w:rFonts w:eastAsia="Times New Roman"/>
      <w:b/>
      <w:sz w:val="24"/>
      <w:szCs w:val="20"/>
      <w:u w:val="single"/>
      <w:lang w:eastAsia="it-IT"/>
    </w:rPr>
  </w:style>
  <w:style w:type="character" w:customStyle="1" w:styleId="longdesc">
    <w:name w:val="long_desc"/>
    <w:basedOn w:val="DefaultParagraphFont"/>
    <w:rsid w:val="00A76A57"/>
  </w:style>
  <w:style w:type="character" w:customStyle="1" w:styleId="normal10">
    <w:name w:val="normal10"/>
    <w:basedOn w:val="DefaultParagraphFont"/>
    <w:rsid w:val="000076F5"/>
  </w:style>
  <w:style w:type="character" w:customStyle="1" w:styleId="author">
    <w:name w:val="author"/>
    <w:basedOn w:val="DefaultParagraphFont"/>
    <w:rsid w:val="00615166"/>
  </w:style>
  <w:style w:type="paragraph" w:styleId="CommentSubject">
    <w:name w:val="annotation subject"/>
    <w:basedOn w:val="CommentText"/>
    <w:next w:val="CommentText"/>
    <w:link w:val="CommentSubjectChar"/>
    <w:uiPriority w:val="99"/>
    <w:semiHidden/>
    <w:unhideWhenUsed/>
    <w:rsid w:val="00442F19"/>
    <w:pPr>
      <w:spacing w:line="240" w:lineRule="auto"/>
      <w:ind w:firstLine="0"/>
      <w:jc w:val="left"/>
    </w:pPr>
    <w:rPr>
      <w:rFonts w:eastAsia="Times New Roman"/>
      <w:b/>
      <w:bCs/>
      <w:lang w:val="it-IT" w:eastAsia="it-IT"/>
    </w:rPr>
  </w:style>
  <w:style w:type="character" w:customStyle="1" w:styleId="CommentSubjectChar">
    <w:name w:val="Comment Subject Char"/>
    <w:basedOn w:val="CommentTextChar"/>
    <w:link w:val="CommentSubject"/>
    <w:uiPriority w:val="99"/>
    <w:semiHidden/>
    <w:rsid w:val="00442F19"/>
    <w:rPr>
      <w:rFonts w:eastAsia="Times New Roman"/>
      <w:b/>
      <w:bCs/>
      <w:szCs w:val="20"/>
      <w:lang w:val="en-GB" w:eastAsia="it-IT"/>
    </w:rPr>
  </w:style>
  <w:style w:type="character" w:customStyle="1" w:styleId="Heading4Char">
    <w:name w:val="Heading 4 Char"/>
    <w:basedOn w:val="DefaultParagraphFont"/>
    <w:link w:val="Heading4"/>
    <w:uiPriority w:val="9"/>
    <w:rsid w:val="00A903C0"/>
    <w:rPr>
      <w:rFonts w:asciiTheme="majorHAnsi" w:eastAsiaTheme="majorEastAsia" w:hAnsiTheme="majorHAnsi" w:cstheme="majorBidi"/>
      <w:b/>
      <w:bCs/>
      <w:i/>
      <w:iCs/>
      <w:color w:val="4F81BD" w:themeColor="accent1"/>
      <w:sz w:val="24"/>
      <w:szCs w:val="24"/>
      <w:lang w:eastAsia="it-IT"/>
    </w:rPr>
  </w:style>
  <w:style w:type="character" w:customStyle="1" w:styleId="Titre1">
    <w:name w:val="Titre1"/>
    <w:basedOn w:val="DefaultParagraphFont"/>
    <w:rsid w:val="00CB5DD1"/>
  </w:style>
  <w:style w:type="character" w:customStyle="1" w:styleId="page-scan-current-page">
    <w:name w:val="page-scan-current-page"/>
    <w:basedOn w:val="DefaultParagraphFont"/>
    <w:rsid w:val="00D80DC9"/>
  </w:style>
  <w:style w:type="character" w:customStyle="1" w:styleId="bibitem">
    <w:name w:val="bibitem"/>
    <w:basedOn w:val="DefaultParagraphFont"/>
    <w:rsid w:val="003F1083"/>
  </w:style>
  <w:style w:type="character" w:customStyle="1" w:styleId="citationbook">
    <w:name w:val="citation book"/>
    <w:basedOn w:val="DefaultParagraphFont"/>
    <w:rsid w:val="0030094D"/>
  </w:style>
  <w:style w:type="character" w:customStyle="1" w:styleId="Heading5Char">
    <w:name w:val="Heading 5 Char"/>
    <w:basedOn w:val="DefaultParagraphFont"/>
    <w:link w:val="Heading5"/>
    <w:uiPriority w:val="9"/>
    <w:rsid w:val="0057425E"/>
    <w:rPr>
      <w:rFonts w:asciiTheme="majorHAnsi" w:eastAsiaTheme="majorEastAsia" w:hAnsiTheme="majorHAnsi" w:cstheme="majorBidi"/>
      <w:color w:val="243F60" w:themeColor="accent1" w:themeShade="7F"/>
      <w:sz w:val="24"/>
      <w:szCs w:val="24"/>
      <w:lang w:eastAsia="it-IT"/>
    </w:rPr>
  </w:style>
  <w:style w:type="paragraph" w:styleId="Header">
    <w:name w:val="header"/>
    <w:basedOn w:val="Normal"/>
    <w:link w:val="HeaderChar"/>
    <w:uiPriority w:val="99"/>
    <w:unhideWhenUsed/>
    <w:rsid w:val="00BB5337"/>
    <w:pPr>
      <w:tabs>
        <w:tab w:val="center" w:pos="4819"/>
        <w:tab w:val="right" w:pos="9638"/>
      </w:tabs>
    </w:pPr>
  </w:style>
  <w:style w:type="character" w:customStyle="1" w:styleId="HeaderChar">
    <w:name w:val="Header Char"/>
    <w:basedOn w:val="DefaultParagraphFont"/>
    <w:link w:val="Header"/>
    <w:uiPriority w:val="99"/>
    <w:rsid w:val="00BB5337"/>
    <w:rPr>
      <w:rFonts w:eastAsia="Times New Roman"/>
      <w:sz w:val="24"/>
      <w:szCs w:val="24"/>
      <w:lang w:eastAsia="it-IT"/>
    </w:rPr>
  </w:style>
  <w:style w:type="paragraph" w:styleId="Footer">
    <w:name w:val="footer"/>
    <w:basedOn w:val="Normal"/>
    <w:link w:val="FooterChar"/>
    <w:uiPriority w:val="99"/>
    <w:unhideWhenUsed/>
    <w:rsid w:val="00BB5337"/>
    <w:pPr>
      <w:tabs>
        <w:tab w:val="center" w:pos="4819"/>
        <w:tab w:val="right" w:pos="9638"/>
      </w:tabs>
    </w:pPr>
  </w:style>
  <w:style w:type="character" w:customStyle="1" w:styleId="FooterChar">
    <w:name w:val="Footer Char"/>
    <w:basedOn w:val="DefaultParagraphFont"/>
    <w:link w:val="Footer"/>
    <w:uiPriority w:val="99"/>
    <w:rsid w:val="00BB5337"/>
    <w:rPr>
      <w:rFonts w:eastAsia="Times New Roman"/>
      <w:sz w:val="24"/>
      <w:szCs w:val="24"/>
      <w:lang w:eastAsia="it-IT"/>
    </w:rPr>
  </w:style>
  <w:style w:type="paragraph" w:styleId="EndnoteText">
    <w:name w:val="endnote text"/>
    <w:basedOn w:val="Normal"/>
    <w:link w:val="EndnoteTextChar"/>
    <w:uiPriority w:val="99"/>
    <w:unhideWhenUsed/>
    <w:rsid w:val="009A66CB"/>
    <w:rPr>
      <w:sz w:val="20"/>
      <w:szCs w:val="20"/>
    </w:rPr>
  </w:style>
  <w:style w:type="character" w:customStyle="1" w:styleId="EndnoteTextChar">
    <w:name w:val="Endnote Text Char"/>
    <w:basedOn w:val="DefaultParagraphFont"/>
    <w:link w:val="EndnoteText"/>
    <w:uiPriority w:val="99"/>
    <w:rsid w:val="009A66CB"/>
    <w:rPr>
      <w:rFonts w:eastAsia="Times New Roman"/>
      <w:szCs w:val="20"/>
      <w:lang w:eastAsia="it-IT"/>
    </w:rPr>
  </w:style>
  <w:style w:type="character" w:styleId="EndnoteReference">
    <w:name w:val="endnote reference"/>
    <w:basedOn w:val="DefaultParagraphFont"/>
    <w:uiPriority w:val="99"/>
    <w:semiHidden/>
    <w:unhideWhenUsed/>
    <w:rsid w:val="009A66CB"/>
    <w:rPr>
      <w:vertAlign w:val="superscript"/>
    </w:rPr>
  </w:style>
  <w:style w:type="paragraph" w:styleId="ListParagraph">
    <w:name w:val="List Paragraph"/>
    <w:basedOn w:val="Normal"/>
    <w:uiPriority w:val="34"/>
    <w:qFormat/>
    <w:rsid w:val="00713109"/>
    <w:pPr>
      <w:ind w:left="720"/>
      <w:contextualSpacing/>
    </w:pPr>
  </w:style>
  <w:style w:type="character" w:customStyle="1" w:styleId="Mentionnonrsolue1">
    <w:name w:val="Mention non résolue1"/>
    <w:basedOn w:val="DefaultParagraphFont"/>
    <w:uiPriority w:val="99"/>
    <w:semiHidden/>
    <w:unhideWhenUsed/>
    <w:rsid w:val="00215422"/>
    <w:rPr>
      <w:color w:val="605E5C"/>
      <w:shd w:val="clear" w:color="auto" w:fill="E1DFDD"/>
    </w:rPr>
  </w:style>
  <w:style w:type="paragraph" w:customStyle="1" w:styleId="CVNormal-FirstLine">
    <w:name w:val="CV Normal - First Line"/>
    <w:basedOn w:val="Normal"/>
    <w:next w:val="Normal"/>
    <w:rsid w:val="000B37AE"/>
    <w:pPr>
      <w:suppressAutoHyphens/>
      <w:spacing w:before="74"/>
      <w:ind w:left="113" w:right="113"/>
    </w:pPr>
    <w:rPr>
      <w:rFonts w:ascii="Arial Narrow" w:hAnsi="Arial Narrow"/>
      <w:sz w:val="20"/>
      <w:szCs w:val="20"/>
      <w:lang w:val="en-GB" w:eastAsia="ar-SA"/>
    </w:rPr>
  </w:style>
  <w:style w:type="paragraph" w:styleId="Revision">
    <w:name w:val="Revision"/>
    <w:hidden/>
    <w:uiPriority w:val="99"/>
    <w:semiHidden/>
    <w:rsid w:val="00A4364D"/>
    <w:pPr>
      <w:ind w:firstLine="0"/>
      <w:jc w:val="left"/>
    </w:pPr>
    <w:rPr>
      <w:rFonts w:eastAsia="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6985">
      <w:bodyDiv w:val="1"/>
      <w:marLeft w:val="0"/>
      <w:marRight w:val="0"/>
      <w:marTop w:val="0"/>
      <w:marBottom w:val="0"/>
      <w:divBdr>
        <w:top w:val="none" w:sz="0" w:space="0" w:color="auto"/>
        <w:left w:val="none" w:sz="0" w:space="0" w:color="auto"/>
        <w:bottom w:val="none" w:sz="0" w:space="0" w:color="auto"/>
        <w:right w:val="none" w:sz="0" w:space="0" w:color="auto"/>
      </w:divBdr>
    </w:div>
    <w:div w:id="207305628">
      <w:bodyDiv w:val="1"/>
      <w:marLeft w:val="0"/>
      <w:marRight w:val="0"/>
      <w:marTop w:val="0"/>
      <w:marBottom w:val="0"/>
      <w:divBdr>
        <w:top w:val="none" w:sz="0" w:space="0" w:color="auto"/>
        <w:left w:val="none" w:sz="0" w:space="0" w:color="auto"/>
        <w:bottom w:val="none" w:sz="0" w:space="0" w:color="auto"/>
        <w:right w:val="none" w:sz="0" w:space="0" w:color="auto"/>
      </w:divBdr>
    </w:div>
    <w:div w:id="239869961">
      <w:bodyDiv w:val="1"/>
      <w:marLeft w:val="0"/>
      <w:marRight w:val="0"/>
      <w:marTop w:val="0"/>
      <w:marBottom w:val="0"/>
      <w:divBdr>
        <w:top w:val="none" w:sz="0" w:space="0" w:color="auto"/>
        <w:left w:val="none" w:sz="0" w:space="0" w:color="auto"/>
        <w:bottom w:val="none" w:sz="0" w:space="0" w:color="auto"/>
        <w:right w:val="none" w:sz="0" w:space="0" w:color="auto"/>
      </w:divBdr>
    </w:div>
    <w:div w:id="315301218">
      <w:bodyDiv w:val="1"/>
      <w:marLeft w:val="0"/>
      <w:marRight w:val="0"/>
      <w:marTop w:val="0"/>
      <w:marBottom w:val="0"/>
      <w:divBdr>
        <w:top w:val="none" w:sz="0" w:space="0" w:color="auto"/>
        <w:left w:val="none" w:sz="0" w:space="0" w:color="auto"/>
        <w:bottom w:val="none" w:sz="0" w:space="0" w:color="auto"/>
        <w:right w:val="none" w:sz="0" w:space="0" w:color="auto"/>
      </w:divBdr>
    </w:div>
    <w:div w:id="634407377">
      <w:bodyDiv w:val="1"/>
      <w:marLeft w:val="0"/>
      <w:marRight w:val="0"/>
      <w:marTop w:val="0"/>
      <w:marBottom w:val="0"/>
      <w:divBdr>
        <w:top w:val="none" w:sz="0" w:space="0" w:color="auto"/>
        <w:left w:val="none" w:sz="0" w:space="0" w:color="auto"/>
        <w:bottom w:val="none" w:sz="0" w:space="0" w:color="auto"/>
        <w:right w:val="none" w:sz="0" w:space="0" w:color="auto"/>
      </w:divBdr>
      <w:divsChild>
        <w:div w:id="597099851">
          <w:marLeft w:val="0"/>
          <w:marRight w:val="0"/>
          <w:marTop w:val="0"/>
          <w:marBottom w:val="0"/>
          <w:divBdr>
            <w:top w:val="none" w:sz="0" w:space="0" w:color="auto"/>
            <w:left w:val="none" w:sz="0" w:space="0" w:color="auto"/>
            <w:bottom w:val="none" w:sz="0" w:space="0" w:color="auto"/>
            <w:right w:val="none" w:sz="0" w:space="0" w:color="auto"/>
          </w:divBdr>
        </w:div>
      </w:divsChild>
    </w:div>
    <w:div w:id="645358519">
      <w:bodyDiv w:val="1"/>
      <w:marLeft w:val="0"/>
      <w:marRight w:val="0"/>
      <w:marTop w:val="0"/>
      <w:marBottom w:val="0"/>
      <w:divBdr>
        <w:top w:val="none" w:sz="0" w:space="0" w:color="auto"/>
        <w:left w:val="none" w:sz="0" w:space="0" w:color="auto"/>
        <w:bottom w:val="none" w:sz="0" w:space="0" w:color="auto"/>
        <w:right w:val="none" w:sz="0" w:space="0" w:color="auto"/>
      </w:divBdr>
    </w:div>
    <w:div w:id="662247019">
      <w:bodyDiv w:val="1"/>
      <w:marLeft w:val="0"/>
      <w:marRight w:val="0"/>
      <w:marTop w:val="0"/>
      <w:marBottom w:val="0"/>
      <w:divBdr>
        <w:top w:val="none" w:sz="0" w:space="0" w:color="auto"/>
        <w:left w:val="none" w:sz="0" w:space="0" w:color="auto"/>
        <w:bottom w:val="none" w:sz="0" w:space="0" w:color="auto"/>
        <w:right w:val="none" w:sz="0" w:space="0" w:color="auto"/>
      </w:divBdr>
      <w:divsChild>
        <w:div w:id="1321469513">
          <w:marLeft w:val="0"/>
          <w:marRight w:val="0"/>
          <w:marTop w:val="0"/>
          <w:marBottom w:val="0"/>
          <w:divBdr>
            <w:top w:val="none" w:sz="0" w:space="0" w:color="auto"/>
            <w:left w:val="none" w:sz="0" w:space="0" w:color="auto"/>
            <w:bottom w:val="none" w:sz="0" w:space="0" w:color="auto"/>
            <w:right w:val="none" w:sz="0" w:space="0" w:color="auto"/>
          </w:divBdr>
        </w:div>
      </w:divsChild>
    </w:div>
    <w:div w:id="748770662">
      <w:bodyDiv w:val="1"/>
      <w:marLeft w:val="0"/>
      <w:marRight w:val="0"/>
      <w:marTop w:val="0"/>
      <w:marBottom w:val="0"/>
      <w:divBdr>
        <w:top w:val="none" w:sz="0" w:space="0" w:color="auto"/>
        <w:left w:val="none" w:sz="0" w:space="0" w:color="auto"/>
        <w:bottom w:val="none" w:sz="0" w:space="0" w:color="auto"/>
        <w:right w:val="none" w:sz="0" w:space="0" w:color="auto"/>
      </w:divBdr>
      <w:divsChild>
        <w:div w:id="2093426118">
          <w:marLeft w:val="0"/>
          <w:marRight w:val="0"/>
          <w:marTop w:val="0"/>
          <w:marBottom w:val="0"/>
          <w:divBdr>
            <w:top w:val="none" w:sz="0" w:space="0" w:color="auto"/>
            <w:left w:val="none" w:sz="0" w:space="0" w:color="auto"/>
            <w:bottom w:val="none" w:sz="0" w:space="0" w:color="auto"/>
            <w:right w:val="none" w:sz="0" w:space="0" w:color="auto"/>
          </w:divBdr>
        </w:div>
      </w:divsChild>
    </w:div>
    <w:div w:id="777718044">
      <w:bodyDiv w:val="1"/>
      <w:marLeft w:val="0"/>
      <w:marRight w:val="0"/>
      <w:marTop w:val="0"/>
      <w:marBottom w:val="0"/>
      <w:divBdr>
        <w:top w:val="none" w:sz="0" w:space="0" w:color="auto"/>
        <w:left w:val="none" w:sz="0" w:space="0" w:color="auto"/>
        <w:bottom w:val="none" w:sz="0" w:space="0" w:color="auto"/>
        <w:right w:val="none" w:sz="0" w:space="0" w:color="auto"/>
      </w:divBdr>
    </w:div>
    <w:div w:id="966279917">
      <w:bodyDiv w:val="1"/>
      <w:marLeft w:val="0"/>
      <w:marRight w:val="0"/>
      <w:marTop w:val="0"/>
      <w:marBottom w:val="0"/>
      <w:divBdr>
        <w:top w:val="none" w:sz="0" w:space="0" w:color="auto"/>
        <w:left w:val="none" w:sz="0" w:space="0" w:color="auto"/>
        <w:bottom w:val="none" w:sz="0" w:space="0" w:color="auto"/>
        <w:right w:val="none" w:sz="0" w:space="0" w:color="auto"/>
      </w:divBdr>
    </w:div>
    <w:div w:id="1143352074">
      <w:bodyDiv w:val="1"/>
      <w:marLeft w:val="0"/>
      <w:marRight w:val="0"/>
      <w:marTop w:val="0"/>
      <w:marBottom w:val="0"/>
      <w:divBdr>
        <w:top w:val="none" w:sz="0" w:space="0" w:color="auto"/>
        <w:left w:val="none" w:sz="0" w:space="0" w:color="auto"/>
        <w:bottom w:val="none" w:sz="0" w:space="0" w:color="auto"/>
        <w:right w:val="none" w:sz="0" w:space="0" w:color="auto"/>
      </w:divBdr>
      <w:divsChild>
        <w:div w:id="1909146377">
          <w:marLeft w:val="0"/>
          <w:marRight w:val="0"/>
          <w:marTop w:val="0"/>
          <w:marBottom w:val="0"/>
          <w:divBdr>
            <w:top w:val="none" w:sz="0" w:space="0" w:color="auto"/>
            <w:left w:val="none" w:sz="0" w:space="0" w:color="auto"/>
            <w:bottom w:val="none" w:sz="0" w:space="0" w:color="auto"/>
            <w:right w:val="none" w:sz="0" w:space="0" w:color="auto"/>
          </w:divBdr>
        </w:div>
      </w:divsChild>
    </w:div>
    <w:div w:id="1152528641">
      <w:bodyDiv w:val="1"/>
      <w:marLeft w:val="0"/>
      <w:marRight w:val="0"/>
      <w:marTop w:val="0"/>
      <w:marBottom w:val="0"/>
      <w:divBdr>
        <w:top w:val="none" w:sz="0" w:space="0" w:color="auto"/>
        <w:left w:val="none" w:sz="0" w:space="0" w:color="auto"/>
        <w:bottom w:val="none" w:sz="0" w:space="0" w:color="auto"/>
        <w:right w:val="none" w:sz="0" w:space="0" w:color="auto"/>
      </w:divBdr>
    </w:div>
    <w:div w:id="1628196242">
      <w:bodyDiv w:val="1"/>
      <w:marLeft w:val="0"/>
      <w:marRight w:val="0"/>
      <w:marTop w:val="0"/>
      <w:marBottom w:val="0"/>
      <w:divBdr>
        <w:top w:val="none" w:sz="0" w:space="0" w:color="auto"/>
        <w:left w:val="none" w:sz="0" w:space="0" w:color="auto"/>
        <w:bottom w:val="none" w:sz="0" w:space="0" w:color="auto"/>
        <w:right w:val="none" w:sz="0" w:space="0" w:color="auto"/>
      </w:divBdr>
      <w:divsChild>
        <w:div w:id="1414741075">
          <w:marLeft w:val="0"/>
          <w:marRight w:val="0"/>
          <w:marTop w:val="0"/>
          <w:marBottom w:val="0"/>
          <w:divBdr>
            <w:top w:val="none" w:sz="0" w:space="0" w:color="auto"/>
            <w:left w:val="none" w:sz="0" w:space="0" w:color="auto"/>
            <w:bottom w:val="none" w:sz="0" w:space="0" w:color="auto"/>
            <w:right w:val="none" w:sz="0" w:space="0" w:color="auto"/>
          </w:divBdr>
        </w:div>
      </w:divsChild>
    </w:div>
    <w:div w:id="1739013204">
      <w:bodyDiv w:val="1"/>
      <w:marLeft w:val="0"/>
      <w:marRight w:val="0"/>
      <w:marTop w:val="0"/>
      <w:marBottom w:val="0"/>
      <w:divBdr>
        <w:top w:val="none" w:sz="0" w:space="0" w:color="auto"/>
        <w:left w:val="none" w:sz="0" w:space="0" w:color="auto"/>
        <w:bottom w:val="none" w:sz="0" w:space="0" w:color="auto"/>
        <w:right w:val="none" w:sz="0" w:space="0" w:color="auto"/>
      </w:divBdr>
    </w:div>
    <w:div w:id="1763989342">
      <w:bodyDiv w:val="1"/>
      <w:marLeft w:val="0"/>
      <w:marRight w:val="0"/>
      <w:marTop w:val="0"/>
      <w:marBottom w:val="0"/>
      <w:divBdr>
        <w:top w:val="none" w:sz="0" w:space="0" w:color="auto"/>
        <w:left w:val="none" w:sz="0" w:space="0" w:color="auto"/>
        <w:bottom w:val="none" w:sz="0" w:space="0" w:color="auto"/>
        <w:right w:val="none" w:sz="0" w:space="0" w:color="auto"/>
      </w:divBdr>
      <w:divsChild>
        <w:div w:id="1906956">
          <w:marLeft w:val="0"/>
          <w:marRight w:val="0"/>
          <w:marTop w:val="0"/>
          <w:marBottom w:val="0"/>
          <w:divBdr>
            <w:top w:val="none" w:sz="0" w:space="0" w:color="auto"/>
            <w:left w:val="none" w:sz="0" w:space="0" w:color="auto"/>
            <w:bottom w:val="none" w:sz="0" w:space="0" w:color="auto"/>
            <w:right w:val="none" w:sz="0" w:space="0" w:color="auto"/>
          </w:divBdr>
        </w:div>
      </w:divsChild>
    </w:div>
    <w:div w:id="1778258199">
      <w:bodyDiv w:val="1"/>
      <w:marLeft w:val="0"/>
      <w:marRight w:val="0"/>
      <w:marTop w:val="0"/>
      <w:marBottom w:val="0"/>
      <w:divBdr>
        <w:top w:val="none" w:sz="0" w:space="0" w:color="auto"/>
        <w:left w:val="none" w:sz="0" w:space="0" w:color="auto"/>
        <w:bottom w:val="none" w:sz="0" w:space="0" w:color="auto"/>
        <w:right w:val="none" w:sz="0" w:space="0" w:color="auto"/>
      </w:divBdr>
      <w:divsChild>
        <w:div w:id="1866208607">
          <w:marLeft w:val="0"/>
          <w:marRight w:val="0"/>
          <w:marTop w:val="0"/>
          <w:marBottom w:val="0"/>
          <w:divBdr>
            <w:top w:val="none" w:sz="0" w:space="0" w:color="auto"/>
            <w:left w:val="none" w:sz="0" w:space="0" w:color="auto"/>
            <w:bottom w:val="none" w:sz="0" w:space="0" w:color="auto"/>
            <w:right w:val="none" w:sz="0" w:space="0" w:color="auto"/>
          </w:divBdr>
        </w:div>
      </w:divsChild>
    </w:div>
    <w:div w:id="1903564576">
      <w:bodyDiv w:val="1"/>
      <w:marLeft w:val="0"/>
      <w:marRight w:val="0"/>
      <w:marTop w:val="0"/>
      <w:marBottom w:val="0"/>
      <w:divBdr>
        <w:top w:val="none" w:sz="0" w:space="0" w:color="auto"/>
        <w:left w:val="none" w:sz="0" w:space="0" w:color="auto"/>
        <w:bottom w:val="none" w:sz="0" w:space="0" w:color="auto"/>
        <w:right w:val="none" w:sz="0" w:space="0" w:color="auto"/>
      </w:divBdr>
    </w:div>
    <w:div w:id="1941185055">
      <w:bodyDiv w:val="1"/>
      <w:marLeft w:val="0"/>
      <w:marRight w:val="0"/>
      <w:marTop w:val="0"/>
      <w:marBottom w:val="0"/>
      <w:divBdr>
        <w:top w:val="none" w:sz="0" w:space="0" w:color="auto"/>
        <w:left w:val="none" w:sz="0" w:space="0" w:color="auto"/>
        <w:bottom w:val="none" w:sz="0" w:space="0" w:color="auto"/>
        <w:right w:val="none" w:sz="0" w:space="0" w:color="auto"/>
      </w:divBdr>
    </w:div>
    <w:div w:id="1966230232">
      <w:bodyDiv w:val="1"/>
      <w:marLeft w:val="0"/>
      <w:marRight w:val="0"/>
      <w:marTop w:val="0"/>
      <w:marBottom w:val="0"/>
      <w:divBdr>
        <w:top w:val="none" w:sz="0" w:space="0" w:color="auto"/>
        <w:left w:val="none" w:sz="0" w:space="0" w:color="auto"/>
        <w:bottom w:val="none" w:sz="0" w:space="0" w:color="auto"/>
        <w:right w:val="none" w:sz="0" w:space="0" w:color="auto"/>
      </w:divBdr>
    </w:div>
    <w:div w:id="1969315021">
      <w:bodyDiv w:val="1"/>
      <w:marLeft w:val="0"/>
      <w:marRight w:val="0"/>
      <w:marTop w:val="0"/>
      <w:marBottom w:val="0"/>
      <w:divBdr>
        <w:top w:val="none" w:sz="0" w:space="0" w:color="auto"/>
        <w:left w:val="none" w:sz="0" w:space="0" w:color="auto"/>
        <w:bottom w:val="none" w:sz="0" w:space="0" w:color="auto"/>
        <w:right w:val="none" w:sz="0" w:space="0" w:color="auto"/>
      </w:divBdr>
      <w:divsChild>
        <w:div w:id="1645772765">
          <w:marLeft w:val="0"/>
          <w:marRight w:val="0"/>
          <w:marTop w:val="0"/>
          <w:marBottom w:val="0"/>
          <w:divBdr>
            <w:top w:val="none" w:sz="0" w:space="0" w:color="auto"/>
            <w:left w:val="none" w:sz="0" w:space="0" w:color="auto"/>
            <w:bottom w:val="none" w:sz="0" w:space="0" w:color="auto"/>
            <w:right w:val="none" w:sz="0" w:space="0" w:color="auto"/>
          </w:divBdr>
          <w:divsChild>
            <w:div w:id="1999184444">
              <w:marLeft w:val="0"/>
              <w:marRight w:val="0"/>
              <w:marTop w:val="0"/>
              <w:marBottom w:val="0"/>
              <w:divBdr>
                <w:top w:val="none" w:sz="0" w:space="0" w:color="auto"/>
                <w:left w:val="none" w:sz="0" w:space="0" w:color="auto"/>
                <w:bottom w:val="none" w:sz="0" w:space="0" w:color="auto"/>
                <w:right w:val="none" w:sz="0" w:space="0" w:color="auto"/>
              </w:divBdr>
              <w:divsChild>
                <w:div w:id="17167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10157">
      <w:bodyDiv w:val="1"/>
      <w:marLeft w:val="0"/>
      <w:marRight w:val="0"/>
      <w:marTop w:val="0"/>
      <w:marBottom w:val="0"/>
      <w:divBdr>
        <w:top w:val="none" w:sz="0" w:space="0" w:color="auto"/>
        <w:left w:val="none" w:sz="0" w:space="0" w:color="auto"/>
        <w:bottom w:val="none" w:sz="0" w:space="0" w:color="auto"/>
        <w:right w:val="none" w:sz="0" w:space="0" w:color="auto"/>
      </w:divBdr>
    </w:div>
    <w:div w:id="2027558806">
      <w:bodyDiv w:val="1"/>
      <w:marLeft w:val="0"/>
      <w:marRight w:val="0"/>
      <w:marTop w:val="0"/>
      <w:marBottom w:val="0"/>
      <w:divBdr>
        <w:top w:val="none" w:sz="0" w:space="0" w:color="auto"/>
        <w:left w:val="none" w:sz="0" w:space="0" w:color="auto"/>
        <w:bottom w:val="none" w:sz="0" w:space="0" w:color="auto"/>
        <w:right w:val="none" w:sz="0" w:space="0" w:color="auto"/>
      </w:divBdr>
    </w:div>
    <w:div w:id="2039352046">
      <w:bodyDiv w:val="1"/>
      <w:marLeft w:val="0"/>
      <w:marRight w:val="0"/>
      <w:marTop w:val="0"/>
      <w:marBottom w:val="0"/>
      <w:divBdr>
        <w:top w:val="none" w:sz="0" w:space="0" w:color="auto"/>
        <w:left w:val="none" w:sz="0" w:space="0" w:color="auto"/>
        <w:bottom w:val="none" w:sz="0" w:space="0" w:color="auto"/>
        <w:right w:val="none" w:sz="0" w:space="0" w:color="auto"/>
      </w:divBdr>
    </w:div>
    <w:div w:id="2112630052">
      <w:bodyDiv w:val="1"/>
      <w:marLeft w:val="0"/>
      <w:marRight w:val="0"/>
      <w:marTop w:val="0"/>
      <w:marBottom w:val="0"/>
      <w:divBdr>
        <w:top w:val="none" w:sz="0" w:space="0" w:color="auto"/>
        <w:left w:val="none" w:sz="0" w:space="0" w:color="auto"/>
        <w:bottom w:val="none" w:sz="0" w:space="0" w:color="auto"/>
        <w:right w:val="none" w:sz="0" w:space="0" w:color="auto"/>
      </w:divBdr>
    </w:div>
    <w:div w:id="2117754314">
      <w:bodyDiv w:val="1"/>
      <w:marLeft w:val="0"/>
      <w:marRight w:val="0"/>
      <w:marTop w:val="0"/>
      <w:marBottom w:val="0"/>
      <w:divBdr>
        <w:top w:val="none" w:sz="0" w:space="0" w:color="auto"/>
        <w:left w:val="none" w:sz="0" w:space="0" w:color="auto"/>
        <w:bottom w:val="none" w:sz="0" w:space="0" w:color="auto"/>
        <w:right w:val="none" w:sz="0" w:space="0" w:color="auto"/>
      </w:divBdr>
      <w:divsChild>
        <w:div w:id="1825927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83C693-03E1-8747-AC2B-18217E883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5920</Words>
  <Characters>33750</Characters>
  <Application>Microsoft Office Word</Application>
  <DocSecurity>0</DocSecurity>
  <Lines>281</Lines>
  <Paragraphs>79</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Hewlett-Packard Company</Company>
  <LinksUpToDate>false</LinksUpToDate>
  <CharactersWithSpaces>39591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dc:creator>
  <cp:lastModifiedBy>Laura diZerega</cp:lastModifiedBy>
  <cp:revision>3</cp:revision>
  <cp:lastPrinted>2021-09-20T21:03:00Z</cp:lastPrinted>
  <dcterms:created xsi:type="dcterms:W3CDTF">2021-12-16T19:09:00Z</dcterms:created>
  <dcterms:modified xsi:type="dcterms:W3CDTF">2021-12-17T20:05:00Z</dcterms:modified>
</cp:coreProperties>
</file>