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F2616" w14:textId="691F02B1" w:rsidR="00FA740B" w:rsidRPr="001C6D27" w:rsidRDefault="000B183A" w:rsidP="001C6D27">
      <w:pPr>
        <w:pStyle w:val="Heading1"/>
        <w:rPr>
          <w:lang w:val="en-US"/>
        </w:rPr>
      </w:pPr>
      <w:r w:rsidRPr="001C6D27">
        <w:rPr>
          <w:lang w:val="en-US"/>
        </w:rPr>
        <w:t>Custom</w:t>
      </w:r>
      <w:r w:rsidR="00B565B3" w:rsidRPr="001C6D27">
        <w:rPr>
          <w:lang w:val="en-US"/>
        </w:rPr>
        <w:t>s,</w:t>
      </w:r>
      <w:r w:rsidR="00140E3A" w:rsidRPr="001C6D27">
        <w:rPr>
          <w:lang w:val="en-US"/>
        </w:rPr>
        <w:t xml:space="preserve"> Gen</w:t>
      </w:r>
      <w:r w:rsidR="00B40DF2" w:rsidRPr="001C6D27">
        <w:rPr>
          <w:lang w:val="en-US"/>
        </w:rPr>
        <w:t>e</w:t>
      </w:r>
      <w:r w:rsidR="00140E3A" w:rsidRPr="001C6D27">
        <w:rPr>
          <w:lang w:val="en-US"/>
        </w:rPr>
        <w:t>ral Principles</w:t>
      </w:r>
      <w:r w:rsidR="0031286F" w:rsidRPr="001C6D27">
        <w:rPr>
          <w:lang w:val="en-US"/>
        </w:rPr>
        <w:t>,</w:t>
      </w:r>
      <w:r w:rsidR="00140E3A" w:rsidRPr="001C6D27">
        <w:rPr>
          <w:lang w:val="en-US"/>
        </w:rPr>
        <w:t xml:space="preserve"> </w:t>
      </w:r>
      <w:r w:rsidRPr="001C6D27">
        <w:rPr>
          <w:lang w:val="en-US"/>
        </w:rPr>
        <w:t xml:space="preserve">and the </w:t>
      </w:r>
      <w:r w:rsidR="00332833" w:rsidRPr="001C6D27">
        <w:rPr>
          <w:lang w:val="en-US"/>
        </w:rPr>
        <w:t xml:space="preserve">Intentional </w:t>
      </w:r>
      <w:r w:rsidR="00D343F2" w:rsidRPr="001C6D27">
        <w:rPr>
          <w:lang w:val="en-US"/>
        </w:rPr>
        <w:t>Des</w:t>
      </w:r>
      <w:r w:rsidR="00D30732" w:rsidRPr="001C6D27">
        <w:rPr>
          <w:lang w:val="en-US"/>
        </w:rPr>
        <w:t>truction</w:t>
      </w:r>
      <w:r w:rsidR="003A4643" w:rsidRPr="001C6D27">
        <w:rPr>
          <w:lang w:val="en-US"/>
        </w:rPr>
        <w:t xml:space="preserve"> </w:t>
      </w:r>
      <w:r w:rsidR="00140E3A" w:rsidRPr="001C6D27">
        <w:rPr>
          <w:lang w:val="en-US"/>
        </w:rPr>
        <w:t>of Cultural Propert</w:t>
      </w:r>
      <w:r w:rsidR="00032C38" w:rsidRPr="001C6D27">
        <w:rPr>
          <w:lang w:val="en-US"/>
        </w:rPr>
        <w:t xml:space="preserve">y </w:t>
      </w:r>
    </w:p>
    <w:p w14:paraId="1DC1FEC1" w14:textId="06412A14" w:rsidR="001A62EE" w:rsidRDefault="00D343F2" w:rsidP="00F44484">
      <w:pPr>
        <w:spacing w:line="480" w:lineRule="auto"/>
        <w:ind w:left="1410" w:hanging="1410"/>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Francesco Francioni</w:t>
      </w:r>
      <w:r w:rsidR="001A62EE" w:rsidRPr="00912992">
        <w:rPr>
          <w:rFonts w:ascii="Times New Roman" w:hAnsi="Times New Roman" w:cs="Times New Roman"/>
          <w:bCs/>
          <w:sz w:val="24"/>
          <w:szCs w:val="24"/>
          <w:lang w:val="en-US"/>
        </w:rPr>
        <w:t xml:space="preserve"> </w:t>
      </w:r>
    </w:p>
    <w:p w14:paraId="0CF7EADB" w14:textId="77777777" w:rsidR="00842BEA" w:rsidRDefault="00842BEA" w:rsidP="00F44484">
      <w:pPr>
        <w:spacing w:line="480" w:lineRule="auto"/>
        <w:ind w:left="1410" w:hanging="1410"/>
        <w:jc w:val="both"/>
        <w:rPr>
          <w:rFonts w:ascii="Times New Roman" w:hAnsi="Times New Roman" w:cs="Times New Roman"/>
          <w:bCs/>
          <w:sz w:val="24"/>
          <w:szCs w:val="24"/>
          <w:lang w:val="en-US"/>
        </w:rPr>
      </w:pPr>
      <w:bookmarkStart w:id="0" w:name="_GoBack"/>
      <w:bookmarkEnd w:id="0"/>
    </w:p>
    <w:p w14:paraId="24492A17" w14:textId="77777777" w:rsidR="00842BEA" w:rsidRPr="00842BEA" w:rsidRDefault="00842BEA" w:rsidP="00842BEA">
      <w:pPr>
        <w:spacing w:line="480" w:lineRule="auto"/>
        <w:rPr>
          <w:rFonts w:ascii="Times New Roman" w:hAnsi="Times New Roman" w:cs="Times New Roman"/>
          <w:sz w:val="24"/>
          <w:szCs w:val="24"/>
        </w:rPr>
      </w:pPr>
      <w:r w:rsidRPr="00842BEA">
        <w:rPr>
          <w:rFonts w:ascii="Times New Roman" w:hAnsi="Times New Roman" w:cs="Times New Roman"/>
          <w:sz w:val="24"/>
          <w:szCs w:val="24"/>
        </w:rPr>
        <w:t xml:space="preserve">© 2022 J. Paul Getty Trust. Originally published in </w:t>
      </w:r>
      <w:r w:rsidRPr="00842BEA">
        <w:rPr>
          <w:rFonts w:ascii="Times New Roman" w:hAnsi="Times New Roman" w:cs="Times New Roman"/>
          <w:i/>
          <w:sz w:val="24"/>
          <w:szCs w:val="24"/>
        </w:rPr>
        <w:t>Cultural Heritage and Mass Atrocities</w:t>
      </w:r>
      <w:r w:rsidRPr="00842BEA">
        <w:rPr>
          <w:rFonts w:ascii="Times New Roman" w:hAnsi="Times New Roman" w:cs="Times New Roman"/>
          <w:sz w:val="24"/>
          <w:szCs w:val="24"/>
        </w:rPr>
        <w:t xml:space="preserve"> © 2022 J. Paul Getty Trust, www.getty.edu/publications/cultural-heritage-mass-atrocities (licensed under </w:t>
      </w:r>
      <w:hyperlink r:id="rId8" w:history="1">
        <w:r w:rsidRPr="00842BEA">
          <w:rPr>
            <w:rStyle w:val="Hyperlink"/>
            <w:rFonts w:ascii="Times New Roman" w:hAnsi="Times New Roman" w:cs="Times New Roman"/>
            <w:sz w:val="24"/>
            <w:szCs w:val="24"/>
          </w:rPr>
          <w:t>CC BY 4.0</w:t>
        </w:r>
      </w:hyperlink>
      <w:r w:rsidRPr="00842BEA">
        <w:rPr>
          <w:rFonts w:ascii="Times New Roman" w:hAnsi="Times New Roman" w:cs="Times New Roman"/>
          <w:sz w:val="24"/>
          <w:szCs w:val="24"/>
        </w:rPr>
        <w:t>)</w:t>
      </w:r>
    </w:p>
    <w:p w14:paraId="6D814B87" w14:textId="77777777" w:rsidR="00F44484" w:rsidRPr="00912992" w:rsidRDefault="00F44484" w:rsidP="000D3355">
      <w:pPr>
        <w:spacing w:line="480" w:lineRule="auto"/>
        <w:ind w:left="1410" w:hanging="1410"/>
        <w:jc w:val="both"/>
        <w:rPr>
          <w:rFonts w:ascii="Times New Roman" w:hAnsi="Times New Roman" w:cs="Times New Roman"/>
          <w:bCs/>
          <w:sz w:val="24"/>
          <w:szCs w:val="24"/>
          <w:lang w:val="en-US"/>
        </w:rPr>
      </w:pPr>
    </w:p>
    <w:p w14:paraId="1654BE6C" w14:textId="77777777" w:rsidR="00D94E4C" w:rsidRPr="000D3355" w:rsidRDefault="00137E2A" w:rsidP="001C6D27">
      <w:pPr>
        <w:pStyle w:val="Heading2"/>
        <w:spacing w:line="480" w:lineRule="auto"/>
        <w:rPr>
          <w:lang w:val="en-US"/>
        </w:rPr>
      </w:pPr>
      <w:r w:rsidRPr="000D3355">
        <w:rPr>
          <w:lang w:val="en-US"/>
        </w:rPr>
        <w:t>Keynote</w:t>
      </w:r>
    </w:p>
    <w:p w14:paraId="0F9C1BA7" w14:textId="115D56B8" w:rsidR="006478D3" w:rsidRPr="00D468C4" w:rsidRDefault="00687934" w:rsidP="001C6D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While c</w:t>
      </w:r>
      <w:r w:rsidR="0095384B" w:rsidRPr="00113A95">
        <w:rPr>
          <w:rFonts w:ascii="Times New Roman" w:hAnsi="Times New Roman" w:cs="Times New Roman"/>
          <w:sz w:val="24"/>
          <w:szCs w:val="24"/>
          <w:lang w:val="en-US"/>
        </w:rPr>
        <w:t xml:space="preserve">ertain customary rules have emerged with regard to the prohibition of intentional destruction and looting of cultural </w:t>
      </w:r>
      <w:r w:rsidR="00B448F7">
        <w:rPr>
          <w:rFonts w:ascii="Times New Roman" w:hAnsi="Times New Roman" w:cs="Times New Roman"/>
          <w:sz w:val="24"/>
          <w:szCs w:val="24"/>
          <w:lang w:val="en-US"/>
        </w:rPr>
        <w:t>heritage</w:t>
      </w:r>
      <w:r>
        <w:rPr>
          <w:rFonts w:ascii="Times New Roman" w:hAnsi="Times New Roman" w:cs="Times New Roman"/>
          <w:sz w:val="24"/>
          <w:szCs w:val="24"/>
          <w:lang w:val="en-US"/>
        </w:rPr>
        <w:t>,</w:t>
      </w:r>
      <w:r w:rsidR="0095384B" w:rsidRPr="00113A95">
        <w:rPr>
          <w:rFonts w:ascii="Times New Roman" w:hAnsi="Times New Roman" w:cs="Times New Roman"/>
          <w:sz w:val="24"/>
          <w:szCs w:val="24"/>
          <w:lang w:val="en-US"/>
        </w:rPr>
        <w:t xml:space="preserve"> the</w:t>
      </w:r>
      <w:r w:rsidR="0095384B">
        <w:rPr>
          <w:rFonts w:ascii="Times New Roman" w:hAnsi="Times New Roman" w:cs="Times New Roman"/>
          <w:sz w:val="24"/>
          <w:szCs w:val="24"/>
          <w:lang w:val="en-US"/>
        </w:rPr>
        <w:t>y</w:t>
      </w:r>
      <w:r w:rsidR="0095384B" w:rsidRPr="00113A95">
        <w:rPr>
          <w:rFonts w:ascii="Times New Roman" w:hAnsi="Times New Roman" w:cs="Times New Roman"/>
          <w:sz w:val="24"/>
          <w:szCs w:val="24"/>
          <w:lang w:val="en-US"/>
        </w:rPr>
        <w:t xml:space="preserve"> are applicable only in the context</w:t>
      </w:r>
      <w:r w:rsidR="0095384B">
        <w:rPr>
          <w:rFonts w:ascii="Times New Roman" w:hAnsi="Times New Roman" w:cs="Times New Roman"/>
          <w:sz w:val="24"/>
          <w:szCs w:val="24"/>
          <w:lang w:val="en-US"/>
        </w:rPr>
        <w:t>s</w:t>
      </w:r>
      <w:r w:rsidR="0095384B" w:rsidRPr="00113A95">
        <w:rPr>
          <w:rFonts w:ascii="Times New Roman" w:hAnsi="Times New Roman" w:cs="Times New Roman"/>
          <w:sz w:val="24"/>
          <w:szCs w:val="24"/>
          <w:lang w:val="en-US"/>
        </w:rPr>
        <w:t xml:space="preserve"> of armed conflict</w:t>
      </w:r>
      <w:r w:rsidR="00EB5480">
        <w:rPr>
          <w:rFonts w:ascii="Times New Roman" w:hAnsi="Times New Roman" w:cs="Times New Roman"/>
          <w:sz w:val="24"/>
          <w:szCs w:val="24"/>
          <w:lang w:val="en-US"/>
        </w:rPr>
        <w:t xml:space="preserve"> </w:t>
      </w:r>
      <w:r w:rsidR="0095384B" w:rsidRPr="00113A95">
        <w:rPr>
          <w:rFonts w:ascii="Times New Roman" w:hAnsi="Times New Roman" w:cs="Times New Roman"/>
          <w:sz w:val="24"/>
          <w:szCs w:val="24"/>
          <w:lang w:val="en-US"/>
        </w:rPr>
        <w:t xml:space="preserve">and terrorism. </w:t>
      </w:r>
      <w:r w:rsidR="00E30DDC">
        <w:rPr>
          <w:rFonts w:ascii="Times New Roman" w:hAnsi="Times New Roman" w:cs="Times New Roman"/>
          <w:sz w:val="24"/>
          <w:szCs w:val="24"/>
          <w:lang w:val="en-US"/>
        </w:rPr>
        <w:t xml:space="preserve">Nonetheless, </w:t>
      </w:r>
      <w:r w:rsidR="00EB5480" w:rsidRPr="000D3355">
        <w:rPr>
          <w:rFonts w:ascii="Times New Roman" w:hAnsi="Times New Roman" w:cs="Times New Roman"/>
          <w:sz w:val="24"/>
          <w:szCs w:val="24"/>
        </w:rPr>
        <w:t>a number</w:t>
      </w:r>
      <w:r w:rsidR="00EB5480" w:rsidRPr="00113A95">
        <w:rPr>
          <w:rFonts w:ascii="Times New Roman" w:hAnsi="Times New Roman" w:cs="Times New Roman"/>
          <w:sz w:val="24"/>
          <w:szCs w:val="24"/>
        </w:rPr>
        <w:t xml:space="preserve"> of general principles of law can provide direct and indirect protection against intentional destruction </w:t>
      </w:r>
      <w:r w:rsidR="00E30DDC">
        <w:rPr>
          <w:rFonts w:ascii="Times New Roman" w:hAnsi="Times New Roman" w:cs="Times New Roman"/>
          <w:sz w:val="24"/>
          <w:szCs w:val="24"/>
        </w:rPr>
        <w:t>in peacetime</w:t>
      </w:r>
      <w:r w:rsidR="00074780">
        <w:rPr>
          <w:rFonts w:ascii="Times New Roman" w:hAnsi="Times New Roman" w:cs="Times New Roman"/>
          <w:sz w:val="24"/>
          <w:szCs w:val="24"/>
        </w:rPr>
        <w:t>.</w:t>
      </w:r>
    </w:p>
    <w:p w14:paraId="6EC34555" w14:textId="62EDED72" w:rsidR="00137E2A" w:rsidRPr="000D3355" w:rsidRDefault="00137E2A" w:rsidP="00D468C4">
      <w:pPr>
        <w:spacing w:line="480" w:lineRule="auto"/>
        <w:rPr>
          <w:rFonts w:ascii="Times New Roman" w:hAnsi="Times New Roman" w:cs="Times New Roman"/>
          <w:bCs/>
          <w:sz w:val="24"/>
          <w:szCs w:val="24"/>
          <w:lang w:val="en-US"/>
        </w:rPr>
      </w:pPr>
    </w:p>
    <w:p w14:paraId="251250F2" w14:textId="6E6EBA78" w:rsidR="00D94E4C" w:rsidRDefault="00137E2A" w:rsidP="00D468C4">
      <w:pPr>
        <w:pStyle w:val="Heading2"/>
        <w:rPr>
          <w:i/>
          <w:iCs/>
        </w:rPr>
      </w:pPr>
      <w:r w:rsidRPr="00912992">
        <w:rPr>
          <w:lang w:val="en-US"/>
        </w:rPr>
        <w:t>Abstract</w:t>
      </w:r>
      <w:r w:rsidR="000746D8">
        <w:rPr>
          <w:lang w:val="en-US"/>
        </w:rPr>
        <w:t xml:space="preserve"> </w:t>
      </w:r>
    </w:p>
    <w:p w14:paraId="4AB82729" w14:textId="123F7E26" w:rsidR="00D94E4C" w:rsidRPr="00D468C4" w:rsidRDefault="00D94E4C" w:rsidP="00D468C4">
      <w:pPr>
        <w:spacing w:line="480" w:lineRule="auto"/>
        <w:rPr>
          <w:rFonts w:ascii="Times New Roman" w:hAnsi="Times New Roman" w:cs="Times New Roman"/>
          <w:sz w:val="24"/>
          <w:szCs w:val="24"/>
        </w:rPr>
      </w:pPr>
      <w:r w:rsidRPr="00D468C4">
        <w:rPr>
          <w:rFonts w:ascii="Times New Roman" w:hAnsi="Times New Roman" w:cs="Times New Roman"/>
          <w:sz w:val="24"/>
          <w:szCs w:val="24"/>
          <w:lang w:val="en-US"/>
        </w:rPr>
        <w:t xml:space="preserve">This </w:t>
      </w:r>
      <w:r w:rsidR="003D05B2">
        <w:rPr>
          <w:rFonts w:ascii="Times New Roman" w:hAnsi="Times New Roman" w:cs="Times New Roman"/>
          <w:sz w:val="24"/>
          <w:szCs w:val="24"/>
          <w:lang w:val="en-US"/>
        </w:rPr>
        <w:t>chapter</w:t>
      </w:r>
      <w:r w:rsidRPr="00D468C4">
        <w:rPr>
          <w:rFonts w:ascii="Times New Roman" w:hAnsi="Times New Roman" w:cs="Times New Roman"/>
          <w:sz w:val="24"/>
          <w:szCs w:val="24"/>
          <w:lang w:val="en-US"/>
        </w:rPr>
        <w:t xml:space="preserve"> examines the practice of states</w:t>
      </w:r>
      <w:r w:rsidR="003D05B2">
        <w:rPr>
          <w:rFonts w:ascii="Times New Roman" w:hAnsi="Times New Roman" w:cs="Times New Roman"/>
          <w:sz w:val="24"/>
          <w:szCs w:val="24"/>
          <w:lang w:val="en-US"/>
        </w:rPr>
        <w:t>, i</w:t>
      </w:r>
      <w:r w:rsidRPr="00D468C4">
        <w:rPr>
          <w:rFonts w:ascii="Times New Roman" w:hAnsi="Times New Roman" w:cs="Times New Roman"/>
          <w:sz w:val="24"/>
          <w:szCs w:val="24"/>
          <w:lang w:val="en-US"/>
        </w:rPr>
        <w:t>nternational bodies, international judicial organs</w:t>
      </w:r>
      <w:r w:rsidR="005E0C91">
        <w:rPr>
          <w:rFonts w:ascii="Times New Roman" w:hAnsi="Times New Roman" w:cs="Times New Roman"/>
          <w:sz w:val="24"/>
          <w:szCs w:val="24"/>
          <w:lang w:val="en-US"/>
        </w:rPr>
        <w:t>,</w:t>
      </w:r>
      <w:r w:rsidRPr="00D468C4">
        <w:rPr>
          <w:rFonts w:ascii="Times New Roman" w:hAnsi="Times New Roman" w:cs="Times New Roman"/>
          <w:sz w:val="24"/>
          <w:szCs w:val="24"/>
          <w:lang w:val="en-US"/>
        </w:rPr>
        <w:t xml:space="preserve"> and domestic courts in order to verify whether certain legal obligation</w:t>
      </w:r>
      <w:r w:rsidR="00C23CCB" w:rsidRPr="00D468C4">
        <w:rPr>
          <w:rFonts w:ascii="Times New Roman" w:hAnsi="Times New Roman" w:cs="Times New Roman"/>
          <w:sz w:val="24"/>
          <w:szCs w:val="24"/>
          <w:lang w:val="en-US"/>
        </w:rPr>
        <w:t>s</w:t>
      </w:r>
      <w:r w:rsidRPr="00D468C4">
        <w:rPr>
          <w:rFonts w:ascii="Times New Roman" w:hAnsi="Times New Roman" w:cs="Times New Roman"/>
          <w:sz w:val="24"/>
          <w:szCs w:val="24"/>
          <w:lang w:val="en-US"/>
        </w:rPr>
        <w:t xml:space="preserve"> exist in the field of cultural heritage protection which are binding upon states as a matter of customary international law and general principles of law. The conclusion is that certain customary rules have emerged with regard to the pr</w:t>
      </w:r>
      <w:r w:rsidR="00C23CCB" w:rsidRPr="00D468C4">
        <w:rPr>
          <w:rFonts w:ascii="Times New Roman" w:hAnsi="Times New Roman" w:cs="Times New Roman"/>
          <w:sz w:val="24"/>
          <w:szCs w:val="24"/>
          <w:lang w:val="en-US"/>
        </w:rPr>
        <w:t>o</w:t>
      </w:r>
      <w:r w:rsidRPr="00D468C4">
        <w:rPr>
          <w:rFonts w:ascii="Times New Roman" w:hAnsi="Times New Roman" w:cs="Times New Roman"/>
          <w:sz w:val="24"/>
          <w:szCs w:val="24"/>
          <w:lang w:val="en-US"/>
        </w:rPr>
        <w:t>hibition of intentional destruction and looting of cultural property, but the</w:t>
      </w:r>
      <w:r w:rsidR="004532D6">
        <w:rPr>
          <w:rFonts w:ascii="Times New Roman" w:hAnsi="Times New Roman" w:cs="Times New Roman"/>
          <w:sz w:val="24"/>
          <w:szCs w:val="24"/>
          <w:lang w:val="en-US"/>
        </w:rPr>
        <w:t>y</w:t>
      </w:r>
      <w:r w:rsidRPr="00D468C4">
        <w:rPr>
          <w:rFonts w:ascii="Times New Roman" w:hAnsi="Times New Roman" w:cs="Times New Roman"/>
          <w:sz w:val="24"/>
          <w:szCs w:val="24"/>
          <w:lang w:val="en-US"/>
        </w:rPr>
        <w:t xml:space="preserve"> are applicable only in the context</w:t>
      </w:r>
      <w:r w:rsidR="00606A0D">
        <w:rPr>
          <w:rFonts w:ascii="Times New Roman" w:hAnsi="Times New Roman" w:cs="Times New Roman"/>
          <w:sz w:val="24"/>
          <w:szCs w:val="24"/>
          <w:lang w:val="en-US"/>
        </w:rPr>
        <w:t>s</w:t>
      </w:r>
      <w:r w:rsidRPr="00D468C4">
        <w:rPr>
          <w:rFonts w:ascii="Times New Roman" w:hAnsi="Times New Roman" w:cs="Times New Roman"/>
          <w:sz w:val="24"/>
          <w:szCs w:val="24"/>
          <w:lang w:val="en-US"/>
        </w:rPr>
        <w:t xml:space="preserve"> of armed conflict, international and non</w:t>
      </w:r>
      <w:r w:rsidR="004532D6">
        <w:rPr>
          <w:rFonts w:ascii="Times New Roman" w:hAnsi="Times New Roman" w:cs="Times New Roman"/>
          <w:sz w:val="24"/>
          <w:szCs w:val="24"/>
          <w:lang w:val="en-US"/>
        </w:rPr>
        <w:t>-</w:t>
      </w:r>
      <w:r w:rsidRPr="00D468C4">
        <w:rPr>
          <w:rFonts w:ascii="Times New Roman" w:hAnsi="Times New Roman" w:cs="Times New Roman"/>
          <w:sz w:val="24"/>
          <w:szCs w:val="24"/>
          <w:lang w:val="en-US"/>
        </w:rPr>
        <w:t xml:space="preserve">international, and of </w:t>
      </w:r>
      <w:r w:rsidRPr="00D468C4">
        <w:rPr>
          <w:rFonts w:ascii="Times New Roman" w:hAnsi="Times New Roman" w:cs="Times New Roman"/>
          <w:sz w:val="24"/>
          <w:szCs w:val="24"/>
          <w:lang w:val="en-US"/>
        </w:rPr>
        <w:lastRenderedPageBreak/>
        <w:t xml:space="preserve">terrorism. </w:t>
      </w:r>
      <w:r w:rsidRPr="00D468C4">
        <w:rPr>
          <w:rFonts w:ascii="Times New Roman" w:hAnsi="Times New Roman" w:cs="Times New Roman"/>
          <w:sz w:val="24"/>
          <w:szCs w:val="24"/>
        </w:rPr>
        <w:t>No compelling evidence exists today that such customary rules are applicable to peacetime activities. This does not mean that international law is indifferent to peacetime destruction of cultural heritage</w:t>
      </w:r>
      <w:r w:rsidR="008A73E6">
        <w:rPr>
          <w:rFonts w:ascii="Times New Roman" w:hAnsi="Times New Roman" w:cs="Times New Roman"/>
          <w:sz w:val="24"/>
          <w:szCs w:val="24"/>
        </w:rPr>
        <w:t>—</w:t>
      </w:r>
      <w:r w:rsidRPr="00D468C4">
        <w:rPr>
          <w:rFonts w:ascii="Times New Roman" w:hAnsi="Times New Roman" w:cs="Times New Roman"/>
          <w:sz w:val="24"/>
          <w:szCs w:val="24"/>
        </w:rPr>
        <w:t>a number of general principles of law, within the meaning of Article 38</w:t>
      </w:r>
      <w:r w:rsidR="008A73E6">
        <w:rPr>
          <w:rFonts w:ascii="Times New Roman" w:hAnsi="Times New Roman" w:cs="Times New Roman"/>
          <w:sz w:val="24"/>
          <w:szCs w:val="24"/>
        </w:rPr>
        <w:t>.</w:t>
      </w:r>
      <w:r w:rsidRPr="00D468C4">
        <w:rPr>
          <w:rFonts w:ascii="Times New Roman" w:hAnsi="Times New Roman" w:cs="Times New Roman"/>
          <w:sz w:val="24"/>
          <w:szCs w:val="24"/>
        </w:rPr>
        <w:t>1</w:t>
      </w:r>
      <w:r w:rsidR="008A73E6">
        <w:rPr>
          <w:rFonts w:ascii="Times New Roman" w:hAnsi="Times New Roman" w:cs="Times New Roman"/>
          <w:sz w:val="24"/>
          <w:szCs w:val="24"/>
        </w:rPr>
        <w:t>.</w:t>
      </w:r>
      <w:r w:rsidRPr="00D468C4">
        <w:rPr>
          <w:rFonts w:ascii="Times New Roman" w:hAnsi="Times New Roman" w:cs="Times New Roman"/>
          <w:sz w:val="24"/>
          <w:szCs w:val="24"/>
        </w:rPr>
        <w:t xml:space="preserve">c of the </w:t>
      </w:r>
      <w:r w:rsidR="00FB4BC5">
        <w:rPr>
          <w:rFonts w:ascii="Times New Roman" w:hAnsi="Times New Roman" w:cs="Times New Roman"/>
          <w:sz w:val="24"/>
          <w:szCs w:val="24"/>
        </w:rPr>
        <w:t xml:space="preserve">Statute of the </w:t>
      </w:r>
      <w:r w:rsidRPr="00D468C4">
        <w:rPr>
          <w:rFonts w:ascii="Times New Roman" w:hAnsi="Times New Roman" w:cs="Times New Roman"/>
          <w:sz w:val="24"/>
          <w:szCs w:val="24"/>
        </w:rPr>
        <w:t>International Court of Justice, can provide direct and indirect protection against the intentional destruction of cultural heritage and related mass atrocities.</w:t>
      </w:r>
      <w:r w:rsidR="000746D8">
        <w:rPr>
          <w:rFonts w:ascii="Times New Roman" w:hAnsi="Times New Roman" w:cs="Times New Roman"/>
          <w:sz w:val="24"/>
          <w:szCs w:val="24"/>
        </w:rPr>
        <w:t xml:space="preserve">  </w:t>
      </w:r>
    </w:p>
    <w:p w14:paraId="3D1CAD22" w14:textId="6AF4F318" w:rsidR="00137E2A" w:rsidRPr="00912992" w:rsidRDefault="00137E2A" w:rsidP="007E496E">
      <w:pPr>
        <w:pStyle w:val="Heading2"/>
        <w:spacing w:line="480" w:lineRule="auto"/>
        <w:rPr>
          <w:lang w:val="en-US"/>
        </w:rPr>
      </w:pPr>
      <w:r w:rsidRPr="00912992">
        <w:rPr>
          <w:lang w:val="en-US"/>
        </w:rPr>
        <w:t>Biography</w:t>
      </w:r>
    </w:p>
    <w:p w14:paraId="23FCB120" w14:textId="44F04BF3" w:rsidR="00137E2A" w:rsidRPr="00C23CCB" w:rsidRDefault="00D32524" w:rsidP="000D335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Francesco Francioni</w:t>
      </w:r>
      <w:r w:rsidR="00A351F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00137E2A" w:rsidRPr="00665F17">
        <w:rPr>
          <w:rFonts w:ascii="Times New Roman" w:hAnsi="Times New Roman" w:cs="Times New Roman"/>
          <w:sz w:val="24"/>
          <w:szCs w:val="24"/>
          <w:lang w:val="en-US"/>
        </w:rPr>
        <w:t xml:space="preserve">Professor Emeritus of International Law, </w:t>
      </w:r>
      <w:r w:rsidR="00600868">
        <w:rPr>
          <w:rFonts w:ascii="Times New Roman" w:hAnsi="Times New Roman" w:cs="Times New Roman"/>
          <w:sz w:val="24"/>
          <w:szCs w:val="24"/>
          <w:lang w:val="en-US"/>
        </w:rPr>
        <w:t xml:space="preserve">the </w:t>
      </w:r>
      <w:r w:rsidR="00137E2A" w:rsidRPr="00665F17">
        <w:rPr>
          <w:rFonts w:ascii="Times New Roman" w:hAnsi="Times New Roman" w:cs="Times New Roman"/>
          <w:sz w:val="24"/>
          <w:szCs w:val="24"/>
          <w:lang w:val="en-US"/>
        </w:rPr>
        <w:t>European University Institute, and Professor of International Cultural Heritage Law, LUISS University, Rome.</w:t>
      </w:r>
      <w:r w:rsidR="000746D8">
        <w:rPr>
          <w:rFonts w:ascii="Times New Roman" w:hAnsi="Times New Roman" w:cs="Times New Roman"/>
          <w:sz w:val="24"/>
          <w:szCs w:val="24"/>
          <w:lang w:val="en-US"/>
        </w:rPr>
        <w:t xml:space="preserve"> </w:t>
      </w:r>
      <w:r w:rsidR="00443180">
        <w:rPr>
          <w:rFonts w:ascii="Times New Roman" w:hAnsi="Times New Roman" w:cs="Times New Roman"/>
          <w:sz w:val="24"/>
          <w:szCs w:val="24"/>
          <w:lang w:val="en-US"/>
        </w:rPr>
        <w:t xml:space="preserve">A member of the Institut de </w:t>
      </w:r>
      <w:r w:rsidR="00811A3C">
        <w:rPr>
          <w:rFonts w:ascii="Times New Roman" w:hAnsi="Times New Roman" w:cs="Times New Roman"/>
          <w:sz w:val="24"/>
          <w:szCs w:val="24"/>
          <w:lang w:val="en-US"/>
        </w:rPr>
        <w:t>D</w:t>
      </w:r>
      <w:r w:rsidR="00443180">
        <w:rPr>
          <w:rFonts w:ascii="Times New Roman" w:hAnsi="Times New Roman" w:cs="Times New Roman"/>
          <w:sz w:val="24"/>
          <w:szCs w:val="24"/>
          <w:lang w:val="en-US"/>
        </w:rPr>
        <w:t>roit</w:t>
      </w:r>
      <w:r w:rsidR="000746D8">
        <w:rPr>
          <w:rFonts w:ascii="Times New Roman" w:hAnsi="Times New Roman" w:cs="Times New Roman"/>
          <w:sz w:val="24"/>
          <w:szCs w:val="24"/>
          <w:lang w:val="en-US"/>
        </w:rPr>
        <w:t xml:space="preserve"> </w:t>
      </w:r>
      <w:r w:rsidR="00443180">
        <w:rPr>
          <w:rFonts w:ascii="Times New Roman" w:hAnsi="Times New Roman" w:cs="Times New Roman"/>
          <w:sz w:val="24"/>
          <w:szCs w:val="24"/>
          <w:lang w:val="en-US"/>
        </w:rPr>
        <w:t>International and of the America</w:t>
      </w:r>
      <w:r w:rsidR="00CB6BBA">
        <w:rPr>
          <w:rFonts w:ascii="Times New Roman" w:hAnsi="Times New Roman" w:cs="Times New Roman"/>
          <w:sz w:val="24"/>
          <w:szCs w:val="24"/>
          <w:lang w:val="en-US"/>
        </w:rPr>
        <w:t>n</w:t>
      </w:r>
      <w:r w:rsidR="00443180">
        <w:rPr>
          <w:rFonts w:ascii="Times New Roman" w:hAnsi="Times New Roman" w:cs="Times New Roman"/>
          <w:sz w:val="24"/>
          <w:szCs w:val="24"/>
          <w:lang w:val="en-US"/>
        </w:rPr>
        <w:t xml:space="preserve"> Law Institute, he </w:t>
      </w:r>
      <w:r>
        <w:rPr>
          <w:rFonts w:ascii="Times New Roman" w:hAnsi="Times New Roman" w:cs="Times New Roman"/>
          <w:sz w:val="24"/>
          <w:szCs w:val="24"/>
          <w:lang w:val="en-US"/>
        </w:rPr>
        <w:t>held the chair of international law at the University of Siena</w:t>
      </w:r>
      <w:r w:rsidR="00CB6BBA">
        <w:rPr>
          <w:rFonts w:ascii="Times New Roman" w:hAnsi="Times New Roman" w:cs="Times New Roman"/>
          <w:sz w:val="24"/>
          <w:szCs w:val="24"/>
          <w:lang w:val="en-US"/>
        </w:rPr>
        <w:t xml:space="preserve"> from 1980 to 2003</w:t>
      </w:r>
      <w:r>
        <w:rPr>
          <w:rFonts w:ascii="Times New Roman" w:hAnsi="Times New Roman" w:cs="Times New Roman"/>
          <w:sz w:val="24"/>
          <w:szCs w:val="24"/>
          <w:lang w:val="en-US"/>
        </w:rPr>
        <w:t xml:space="preserve"> and was </w:t>
      </w:r>
      <w:r w:rsidR="00C23CCB">
        <w:rPr>
          <w:rFonts w:ascii="Times New Roman" w:hAnsi="Times New Roman" w:cs="Times New Roman"/>
          <w:sz w:val="24"/>
          <w:szCs w:val="24"/>
          <w:lang w:val="en-US"/>
        </w:rPr>
        <w:t xml:space="preserve">visiting professor in the law faculties of Cornell University, </w:t>
      </w:r>
      <w:r w:rsidR="00E2288B">
        <w:rPr>
          <w:rFonts w:ascii="Times New Roman" w:hAnsi="Times New Roman" w:cs="Times New Roman"/>
          <w:sz w:val="24"/>
          <w:szCs w:val="24"/>
          <w:lang w:val="en-US"/>
        </w:rPr>
        <w:t xml:space="preserve">the University of </w:t>
      </w:r>
      <w:r w:rsidR="00C23CCB">
        <w:rPr>
          <w:rFonts w:ascii="Times New Roman" w:hAnsi="Times New Roman" w:cs="Times New Roman"/>
          <w:sz w:val="24"/>
          <w:szCs w:val="24"/>
          <w:lang w:val="en-US"/>
        </w:rPr>
        <w:t xml:space="preserve">Texas, </w:t>
      </w:r>
      <w:r w:rsidR="00E2288B">
        <w:rPr>
          <w:rFonts w:ascii="Times New Roman" w:hAnsi="Times New Roman" w:cs="Times New Roman"/>
          <w:sz w:val="24"/>
          <w:szCs w:val="24"/>
          <w:lang w:val="en-US"/>
        </w:rPr>
        <w:t xml:space="preserve">the University of </w:t>
      </w:r>
      <w:r w:rsidR="00C23CCB">
        <w:rPr>
          <w:rFonts w:ascii="Times New Roman" w:hAnsi="Times New Roman" w:cs="Times New Roman"/>
          <w:sz w:val="24"/>
          <w:szCs w:val="24"/>
          <w:lang w:val="en-US"/>
        </w:rPr>
        <w:t>Ox</w:t>
      </w:r>
      <w:r w:rsidR="003918B0">
        <w:rPr>
          <w:rFonts w:ascii="Times New Roman" w:hAnsi="Times New Roman" w:cs="Times New Roman"/>
          <w:sz w:val="24"/>
          <w:szCs w:val="24"/>
          <w:lang w:val="en-US"/>
        </w:rPr>
        <w:t>f</w:t>
      </w:r>
      <w:r w:rsidR="00C23CCB">
        <w:rPr>
          <w:rFonts w:ascii="Times New Roman" w:hAnsi="Times New Roman" w:cs="Times New Roman"/>
          <w:sz w:val="24"/>
          <w:szCs w:val="24"/>
          <w:lang w:val="en-US"/>
        </w:rPr>
        <w:t xml:space="preserve">ord, Columbia </w:t>
      </w:r>
      <w:r w:rsidR="00E2288B">
        <w:rPr>
          <w:rFonts w:ascii="Times New Roman" w:hAnsi="Times New Roman" w:cs="Times New Roman"/>
          <w:sz w:val="24"/>
          <w:szCs w:val="24"/>
          <w:lang w:val="en-US"/>
        </w:rPr>
        <w:t>Univer</w:t>
      </w:r>
      <w:r w:rsidR="006813E2">
        <w:rPr>
          <w:rFonts w:ascii="Times New Roman" w:hAnsi="Times New Roman" w:cs="Times New Roman"/>
          <w:sz w:val="24"/>
          <w:szCs w:val="24"/>
          <w:lang w:val="en-US"/>
        </w:rPr>
        <w:t>s</w:t>
      </w:r>
      <w:r w:rsidR="00E2288B">
        <w:rPr>
          <w:rFonts w:ascii="Times New Roman" w:hAnsi="Times New Roman" w:cs="Times New Roman"/>
          <w:sz w:val="24"/>
          <w:szCs w:val="24"/>
          <w:lang w:val="en-US"/>
        </w:rPr>
        <w:t>ity</w:t>
      </w:r>
      <w:r w:rsidR="006813E2">
        <w:rPr>
          <w:rFonts w:ascii="Times New Roman" w:hAnsi="Times New Roman" w:cs="Times New Roman"/>
          <w:sz w:val="24"/>
          <w:szCs w:val="24"/>
          <w:lang w:val="en-US"/>
        </w:rPr>
        <w:t>,</w:t>
      </w:r>
      <w:r w:rsidR="00E2288B">
        <w:rPr>
          <w:rFonts w:ascii="Times New Roman" w:hAnsi="Times New Roman" w:cs="Times New Roman"/>
          <w:sz w:val="24"/>
          <w:szCs w:val="24"/>
          <w:lang w:val="en-US"/>
        </w:rPr>
        <w:t xml:space="preserve"> </w:t>
      </w:r>
      <w:r w:rsidR="00C23CCB">
        <w:rPr>
          <w:rFonts w:ascii="Times New Roman" w:hAnsi="Times New Roman" w:cs="Times New Roman"/>
          <w:sz w:val="24"/>
          <w:szCs w:val="24"/>
          <w:lang w:val="en-US"/>
        </w:rPr>
        <w:t xml:space="preserve">and </w:t>
      </w:r>
      <w:r w:rsidR="006813E2" w:rsidRPr="006813E2">
        <w:rPr>
          <w:rFonts w:ascii="Times New Roman" w:hAnsi="Times New Roman" w:cs="Times New Roman"/>
          <w:sz w:val="24"/>
          <w:szCs w:val="24"/>
          <w:lang w:val="en-US"/>
        </w:rPr>
        <w:t>Panthéon-Assas University</w:t>
      </w:r>
      <w:r w:rsidR="006813E2">
        <w:rPr>
          <w:rFonts w:ascii="Times New Roman" w:hAnsi="Times New Roman" w:cs="Times New Roman"/>
          <w:sz w:val="24"/>
          <w:szCs w:val="24"/>
          <w:lang w:val="en-US"/>
        </w:rPr>
        <w:t xml:space="preserve"> (</w:t>
      </w:r>
      <w:r w:rsidR="00C23CCB">
        <w:rPr>
          <w:rFonts w:ascii="Times New Roman" w:hAnsi="Times New Roman" w:cs="Times New Roman"/>
          <w:sz w:val="24"/>
          <w:szCs w:val="24"/>
          <w:lang w:val="en-US"/>
        </w:rPr>
        <w:t>Paris 2</w:t>
      </w:r>
      <w:r w:rsidR="006813E2">
        <w:rPr>
          <w:rFonts w:ascii="Times New Roman" w:hAnsi="Times New Roman" w:cs="Times New Roman"/>
          <w:sz w:val="24"/>
          <w:szCs w:val="24"/>
          <w:lang w:val="en-US"/>
        </w:rPr>
        <w:t>)</w:t>
      </w:r>
      <w:r>
        <w:rPr>
          <w:rFonts w:ascii="Times New Roman" w:hAnsi="Times New Roman" w:cs="Times New Roman"/>
          <w:sz w:val="24"/>
          <w:szCs w:val="24"/>
          <w:lang w:val="en-US"/>
        </w:rPr>
        <w:t>.</w:t>
      </w:r>
      <w:r w:rsidR="00C23C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He </w:t>
      </w:r>
      <w:r w:rsidR="00C23CCB">
        <w:rPr>
          <w:rFonts w:ascii="Times New Roman" w:hAnsi="Times New Roman" w:cs="Times New Roman"/>
          <w:sz w:val="24"/>
          <w:szCs w:val="24"/>
          <w:lang w:val="en-US"/>
        </w:rPr>
        <w:t>is the</w:t>
      </w:r>
      <w:r w:rsidR="00443180">
        <w:rPr>
          <w:rFonts w:ascii="Times New Roman" w:hAnsi="Times New Roman" w:cs="Times New Roman"/>
          <w:sz w:val="24"/>
          <w:szCs w:val="24"/>
          <w:lang w:val="en-US"/>
        </w:rPr>
        <w:t xml:space="preserve"> author and editor of a large number of books and article</w:t>
      </w:r>
      <w:r w:rsidR="001345EC">
        <w:rPr>
          <w:rFonts w:ascii="Times New Roman" w:hAnsi="Times New Roman" w:cs="Times New Roman"/>
          <w:sz w:val="24"/>
          <w:szCs w:val="24"/>
          <w:lang w:val="en-US"/>
        </w:rPr>
        <w:t>s</w:t>
      </w:r>
      <w:r w:rsidR="00443180">
        <w:rPr>
          <w:rFonts w:ascii="Times New Roman" w:hAnsi="Times New Roman" w:cs="Times New Roman"/>
          <w:sz w:val="24"/>
          <w:szCs w:val="24"/>
          <w:lang w:val="en-US"/>
        </w:rPr>
        <w:t xml:space="preserve"> on cultural heritage and international law, including </w:t>
      </w:r>
      <w:r w:rsidR="003E50D0" w:rsidRPr="007E496E">
        <w:rPr>
          <w:rFonts w:ascii="Times New Roman" w:hAnsi="Times New Roman" w:cs="Times New Roman"/>
          <w:i/>
          <w:iCs/>
          <w:sz w:val="24"/>
          <w:szCs w:val="24"/>
          <w:lang w:val="en-US"/>
        </w:rPr>
        <w:t>T</w:t>
      </w:r>
      <w:r w:rsidR="00443180" w:rsidRPr="007E496E">
        <w:rPr>
          <w:rFonts w:ascii="Times New Roman" w:hAnsi="Times New Roman" w:cs="Times New Roman"/>
          <w:i/>
          <w:iCs/>
          <w:sz w:val="24"/>
          <w:szCs w:val="24"/>
          <w:lang w:val="en-US"/>
        </w:rPr>
        <w:t>he</w:t>
      </w:r>
      <w:r w:rsidR="00443180">
        <w:rPr>
          <w:rFonts w:ascii="Times New Roman" w:hAnsi="Times New Roman" w:cs="Times New Roman"/>
          <w:sz w:val="24"/>
          <w:szCs w:val="24"/>
          <w:lang w:val="en-US"/>
        </w:rPr>
        <w:t xml:space="preserve"> </w:t>
      </w:r>
      <w:r w:rsidR="00443180" w:rsidRPr="007E496E">
        <w:rPr>
          <w:rFonts w:ascii="Times New Roman" w:hAnsi="Times New Roman" w:cs="Times New Roman"/>
          <w:i/>
          <w:iCs/>
          <w:sz w:val="24"/>
          <w:szCs w:val="24"/>
          <w:lang w:val="en-US"/>
        </w:rPr>
        <w:t>Oxford Commentary to the 1972 World Heritage Convention</w:t>
      </w:r>
      <w:r w:rsidR="00443180">
        <w:rPr>
          <w:rFonts w:ascii="Times New Roman" w:hAnsi="Times New Roman" w:cs="Times New Roman"/>
          <w:sz w:val="24"/>
          <w:szCs w:val="24"/>
          <w:lang w:val="en-US"/>
        </w:rPr>
        <w:t xml:space="preserve"> </w:t>
      </w:r>
      <w:r w:rsidR="007562FA">
        <w:rPr>
          <w:rFonts w:ascii="Times New Roman" w:hAnsi="Times New Roman" w:cs="Times New Roman"/>
          <w:sz w:val="24"/>
          <w:szCs w:val="24"/>
          <w:lang w:val="en-US"/>
        </w:rPr>
        <w:t xml:space="preserve">(2008), </w:t>
      </w:r>
      <w:r w:rsidR="00443180">
        <w:rPr>
          <w:rFonts w:ascii="Times New Roman" w:hAnsi="Times New Roman" w:cs="Times New Roman"/>
          <w:sz w:val="24"/>
          <w:szCs w:val="24"/>
          <w:lang w:val="en-US"/>
        </w:rPr>
        <w:t xml:space="preserve">with </w:t>
      </w:r>
      <w:r w:rsidR="00DE4259" w:rsidRPr="006079F6">
        <w:rPr>
          <w:rFonts w:ascii="Times New Roman" w:hAnsi="Times New Roman" w:cs="Times New Roman"/>
          <w:sz w:val="24"/>
          <w:szCs w:val="24"/>
          <w:lang w:val="en-US"/>
        </w:rPr>
        <w:t>Federico</w:t>
      </w:r>
      <w:r w:rsidR="00443180">
        <w:rPr>
          <w:rFonts w:ascii="Times New Roman" w:hAnsi="Times New Roman" w:cs="Times New Roman"/>
          <w:sz w:val="24"/>
          <w:szCs w:val="24"/>
          <w:lang w:val="en-US"/>
        </w:rPr>
        <w:t xml:space="preserve"> Lenzerini</w:t>
      </w:r>
      <w:r w:rsidR="007562FA">
        <w:rPr>
          <w:rFonts w:ascii="Times New Roman" w:hAnsi="Times New Roman" w:cs="Times New Roman"/>
          <w:sz w:val="24"/>
          <w:szCs w:val="24"/>
          <w:lang w:val="en-US"/>
        </w:rPr>
        <w:t>,</w:t>
      </w:r>
      <w:r w:rsidR="007562FA" w:rsidRPr="007E496E">
        <w:rPr>
          <w:rFonts w:ascii="Times New Roman" w:hAnsi="Times New Roman" w:cs="Times New Roman"/>
          <w:sz w:val="24"/>
          <w:szCs w:val="24"/>
          <w:lang w:val="en-US"/>
        </w:rPr>
        <w:t xml:space="preserve"> </w:t>
      </w:r>
      <w:r w:rsidR="007562FA">
        <w:rPr>
          <w:rFonts w:ascii="Times New Roman" w:hAnsi="Times New Roman" w:cs="Times New Roman"/>
          <w:sz w:val="24"/>
          <w:szCs w:val="24"/>
          <w:lang w:val="en-US"/>
        </w:rPr>
        <w:t xml:space="preserve">and </w:t>
      </w:r>
      <w:r w:rsidR="003E50D0" w:rsidRPr="007E496E">
        <w:rPr>
          <w:rFonts w:ascii="Times New Roman" w:hAnsi="Times New Roman" w:cs="Times New Roman"/>
          <w:i/>
          <w:iCs/>
          <w:sz w:val="24"/>
          <w:szCs w:val="24"/>
          <w:lang w:val="en-US"/>
        </w:rPr>
        <w:t>T</w:t>
      </w:r>
      <w:r w:rsidR="007562FA" w:rsidRPr="007E496E">
        <w:rPr>
          <w:rFonts w:ascii="Times New Roman" w:hAnsi="Times New Roman" w:cs="Times New Roman"/>
          <w:i/>
          <w:iCs/>
          <w:sz w:val="24"/>
          <w:szCs w:val="24"/>
          <w:lang w:val="en-US"/>
        </w:rPr>
        <w:t>he</w:t>
      </w:r>
      <w:r w:rsidR="007562FA">
        <w:rPr>
          <w:rFonts w:ascii="Times New Roman" w:hAnsi="Times New Roman" w:cs="Times New Roman"/>
          <w:sz w:val="24"/>
          <w:szCs w:val="24"/>
          <w:lang w:val="en-US"/>
        </w:rPr>
        <w:t xml:space="preserve"> </w:t>
      </w:r>
      <w:r w:rsidR="007562FA" w:rsidRPr="00113A95">
        <w:rPr>
          <w:rFonts w:ascii="Times New Roman" w:hAnsi="Times New Roman" w:cs="Times New Roman"/>
          <w:i/>
          <w:iCs/>
          <w:sz w:val="24"/>
          <w:szCs w:val="24"/>
          <w:lang w:val="en-US"/>
        </w:rPr>
        <w:t>Oxford Handbook of International Cultural Heritage Law</w:t>
      </w:r>
      <w:r w:rsidR="007562FA">
        <w:rPr>
          <w:rFonts w:ascii="Times New Roman" w:hAnsi="Times New Roman" w:cs="Times New Roman"/>
          <w:sz w:val="24"/>
          <w:szCs w:val="24"/>
          <w:lang w:val="en-US"/>
        </w:rPr>
        <w:t xml:space="preserve"> (2020), with </w:t>
      </w:r>
      <w:r w:rsidR="007562FA" w:rsidRPr="001C35F3">
        <w:rPr>
          <w:rFonts w:ascii="Times New Roman" w:hAnsi="Times New Roman" w:cs="Times New Roman"/>
          <w:sz w:val="24"/>
          <w:szCs w:val="24"/>
          <w:lang w:val="en-US"/>
        </w:rPr>
        <w:t>Ana Filipa</w:t>
      </w:r>
      <w:r w:rsidR="007562FA">
        <w:rPr>
          <w:rFonts w:ascii="Times New Roman" w:hAnsi="Times New Roman" w:cs="Times New Roman"/>
          <w:sz w:val="24"/>
          <w:szCs w:val="24"/>
          <w:lang w:val="en-US"/>
        </w:rPr>
        <w:t xml:space="preserve"> Vrdoljak</w:t>
      </w:r>
      <w:r w:rsidR="00443180">
        <w:rPr>
          <w:rFonts w:ascii="Times New Roman" w:hAnsi="Times New Roman" w:cs="Times New Roman"/>
          <w:sz w:val="24"/>
          <w:szCs w:val="24"/>
          <w:lang w:val="en-US"/>
        </w:rPr>
        <w:t xml:space="preserve">. He </w:t>
      </w:r>
      <w:r w:rsidR="00C23CCB">
        <w:rPr>
          <w:rFonts w:ascii="Times New Roman" w:hAnsi="Times New Roman" w:cs="Times New Roman"/>
          <w:sz w:val="24"/>
          <w:szCs w:val="24"/>
          <w:lang w:val="en-US"/>
        </w:rPr>
        <w:t>participated in the negotiation and drafting of the 1995 UNIDROIT Convention</w:t>
      </w:r>
      <w:r w:rsidR="00A372DB">
        <w:rPr>
          <w:rFonts w:ascii="Times New Roman" w:hAnsi="Times New Roman" w:cs="Times New Roman"/>
          <w:sz w:val="24"/>
          <w:szCs w:val="24"/>
          <w:lang w:val="en-US"/>
        </w:rPr>
        <w:t xml:space="preserve">, </w:t>
      </w:r>
      <w:r w:rsidR="00417E58">
        <w:rPr>
          <w:rFonts w:ascii="Times New Roman" w:hAnsi="Times New Roman" w:cs="Times New Roman"/>
          <w:sz w:val="24"/>
          <w:szCs w:val="24"/>
          <w:lang w:val="en-US"/>
        </w:rPr>
        <w:t xml:space="preserve">the 1999 Second Protocol to the 1954 Hague Convention, the </w:t>
      </w:r>
      <w:r w:rsidR="00A372DB">
        <w:rPr>
          <w:rFonts w:ascii="Times New Roman" w:hAnsi="Times New Roman" w:cs="Times New Roman"/>
          <w:sz w:val="24"/>
          <w:szCs w:val="24"/>
          <w:lang w:val="en-US"/>
        </w:rPr>
        <w:t xml:space="preserve">2003 </w:t>
      </w:r>
      <w:r w:rsidR="000B5B3D" w:rsidRPr="000B5B3D">
        <w:rPr>
          <w:rFonts w:ascii="Times New Roman" w:hAnsi="Times New Roman" w:cs="Times New Roman"/>
          <w:sz w:val="24"/>
          <w:szCs w:val="24"/>
          <w:lang w:val="en-US"/>
        </w:rPr>
        <w:t>Convention for the Safeguarding of the Intangible Cultural Heritage</w:t>
      </w:r>
      <w:r w:rsidR="000B5B3D">
        <w:rPr>
          <w:rFonts w:ascii="Times New Roman" w:hAnsi="Times New Roman" w:cs="Times New Roman"/>
          <w:sz w:val="24"/>
          <w:szCs w:val="24"/>
          <w:lang w:val="en-US"/>
        </w:rPr>
        <w:t>,</w:t>
      </w:r>
      <w:r w:rsidR="00C23CCB">
        <w:rPr>
          <w:rFonts w:ascii="Times New Roman" w:hAnsi="Times New Roman" w:cs="Times New Roman"/>
          <w:sz w:val="24"/>
          <w:szCs w:val="24"/>
          <w:lang w:val="en-US"/>
        </w:rPr>
        <w:t xml:space="preserve"> and the 2003 UNESCO </w:t>
      </w:r>
      <w:r w:rsidR="000B5B3D" w:rsidRPr="000B5B3D">
        <w:rPr>
          <w:rFonts w:ascii="Times New Roman" w:hAnsi="Times New Roman" w:cs="Times New Roman"/>
          <w:sz w:val="24"/>
          <w:szCs w:val="24"/>
          <w:lang w:val="en-US"/>
        </w:rPr>
        <w:t>Declaration Concerning the Intentional Destruction of Cultural Heritage</w:t>
      </w:r>
      <w:r w:rsidR="00443180">
        <w:rPr>
          <w:rFonts w:ascii="Times New Roman" w:hAnsi="Times New Roman" w:cs="Times New Roman"/>
          <w:sz w:val="24"/>
          <w:szCs w:val="24"/>
          <w:lang w:val="en-US"/>
        </w:rPr>
        <w:t xml:space="preserve">. </w:t>
      </w:r>
      <w:r w:rsidR="00C23CCB">
        <w:rPr>
          <w:rFonts w:ascii="Times New Roman" w:hAnsi="Times New Roman" w:cs="Times New Roman"/>
          <w:sz w:val="24"/>
          <w:szCs w:val="24"/>
          <w:lang w:val="en-US"/>
        </w:rPr>
        <w:t>In 1997</w:t>
      </w:r>
      <w:r w:rsidR="00355424">
        <w:rPr>
          <w:rFonts w:ascii="Times New Roman" w:hAnsi="Times New Roman" w:cs="Times New Roman"/>
          <w:sz w:val="24"/>
          <w:szCs w:val="24"/>
          <w:lang w:val="en-US"/>
        </w:rPr>
        <w:t>–</w:t>
      </w:r>
      <w:r w:rsidR="00C23CCB">
        <w:rPr>
          <w:rFonts w:ascii="Times New Roman" w:hAnsi="Times New Roman" w:cs="Times New Roman"/>
          <w:sz w:val="24"/>
          <w:szCs w:val="24"/>
          <w:lang w:val="en-US"/>
        </w:rPr>
        <w:t>98 he</w:t>
      </w:r>
      <w:r w:rsidR="008005C4">
        <w:rPr>
          <w:rFonts w:ascii="Times New Roman" w:hAnsi="Times New Roman" w:cs="Times New Roman"/>
          <w:sz w:val="24"/>
          <w:szCs w:val="24"/>
          <w:lang w:val="en-US"/>
        </w:rPr>
        <w:t xml:space="preserve"> was President of the </w:t>
      </w:r>
      <w:r w:rsidR="00C23CCB">
        <w:rPr>
          <w:rFonts w:ascii="Times New Roman" w:hAnsi="Times New Roman" w:cs="Times New Roman"/>
          <w:sz w:val="24"/>
          <w:szCs w:val="24"/>
          <w:lang w:val="en-US"/>
        </w:rPr>
        <w:t>UNESCO</w:t>
      </w:r>
      <w:r w:rsidR="000746D8">
        <w:rPr>
          <w:rFonts w:ascii="Times New Roman" w:hAnsi="Times New Roman" w:cs="Times New Roman"/>
          <w:sz w:val="24"/>
          <w:szCs w:val="24"/>
          <w:lang w:val="en-US"/>
        </w:rPr>
        <w:t xml:space="preserve"> </w:t>
      </w:r>
      <w:r w:rsidR="008005C4">
        <w:rPr>
          <w:rFonts w:ascii="Times New Roman" w:hAnsi="Times New Roman" w:cs="Times New Roman"/>
          <w:sz w:val="24"/>
          <w:szCs w:val="24"/>
          <w:lang w:val="en-US"/>
        </w:rPr>
        <w:t xml:space="preserve">World Heritage </w:t>
      </w:r>
      <w:r w:rsidR="00443180">
        <w:rPr>
          <w:rFonts w:ascii="Times New Roman" w:hAnsi="Times New Roman" w:cs="Times New Roman"/>
          <w:sz w:val="24"/>
          <w:szCs w:val="24"/>
          <w:lang w:val="en-US"/>
        </w:rPr>
        <w:t>Committee</w:t>
      </w:r>
      <w:r w:rsidR="000D3355">
        <w:rPr>
          <w:rFonts w:ascii="Times New Roman" w:hAnsi="Times New Roman" w:cs="Times New Roman"/>
          <w:sz w:val="24"/>
          <w:szCs w:val="24"/>
          <w:lang w:val="en-US"/>
        </w:rPr>
        <w:t>.</w:t>
      </w:r>
    </w:p>
    <w:p w14:paraId="41424FD0" w14:textId="27FCC8BD" w:rsidR="00137E2A" w:rsidRPr="00912992" w:rsidRDefault="00137E2A" w:rsidP="000D3355">
      <w:pPr>
        <w:spacing w:line="480" w:lineRule="auto"/>
        <w:ind w:hanging="1126"/>
        <w:jc w:val="both"/>
        <w:rPr>
          <w:rFonts w:ascii="Times New Roman" w:hAnsi="Times New Roman" w:cs="Times New Roman"/>
          <w:bCs/>
          <w:sz w:val="24"/>
          <w:szCs w:val="24"/>
          <w:lang w:val="en-US"/>
        </w:rPr>
      </w:pPr>
    </w:p>
    <w:p w14:paraId="27ADBCE6" w14:textId="4F348CE9" w:rsidR="00137E2A" w:rsidRPr="00912992" w:rsidRDefault="00137E2A" w:rsidP="000D3355">
      <w:pPr>
        <w:spacing w:line="480" w:lineRule="auto"/>
        <w:ind w:hanging="1126"/>
        <w:jc w:val="both"/>
        <w:rPr>
          <w:rFonts w:ascii="Times New Roman" w:hAnsi="Times New Roman" w:cs="Times New Roman"/>
          <w:bCs/>
          <w:sz w:val="24"/>
          <w:szCs w:val="24"/>
          <w:lang w:val="en-US"/>
        </w:rPr>
      </w:pPr>
    </w:p>
    <w:p w14:paraId="48EDD66A" w14:textId="5EF28E05" w:rsidR="006E715E"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lastRenderedPageBreak/>
        <w:t xml:space="preserve">At a time when terrorists destroy temples and monuments declared </w:t>
      </w:r>
      <w:r w:rsidR="00146719">
        <w:rPr>
          <w:rFonts w:ascii="Times New Roman" w:hAnsi="Times New Roman" w:cs="Times New Roman"/>
          <w:bCs/>
          <w:sz w:val="24"/>
          <w:szCs w:val="24"/>
          <w:lang w:val="en-US"/>
        </w:rPr>
        <w:t xml:space="preserve">the </w:t>
      </w:r>
      <w:r w:rsidRPr="00912992">
        <w:rPr>
          <w:rFonts w:ascii="Times New Roman" w:hAnsi="Times New Roman" w:cs="Times New Roman"/>
          <w:bCs/>
          <w:sz w:val="24"/>
          <w:szCs w:val="24"/>
          <w:lang w:val="en-US"/>
        </w:rPr>
        <w:t>patrimony of humanity and angry crowds tear down statues memorializing controversial symbols of the past, we may well ask what does international law have to say with regard to this phenomenon? To answer this question one must remember that in the past half century, international law on the protection of cultural heritage has undergone a spectacular development at the level of standard setting. UNESCO has promoted the adoption of treaty regimes for the prevention of cultural destruction in time of war</w:t>
      </w:r>
      <w:r w:rsidR="00146719">
        <w:rPr>
          <w:rFonts w:ascii="Times New Roman" w:hAnsi="Times New Roman" w:cs="Times New Roman"/>
          <w:bCs/>
          <w:sz w:val="24"/>
          <w:szCs w:val="24"/>
          <w:lang w:val="en-US"/>
        </w:rPr>
        <w:t>,</w:t>
      </w:r>
      <w:r w:rsidR="000746D8">
        <w:rPr>
          <w:rStyle w:val="EndnoteReference"/>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of illicit traffic in cultural property</w:t>
      </w:r>
      <w:r w:rsidR="00146719">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for the protection of </w:t>
      </w:r>
      <w:r w:rsidR="00585B9D">
        <w:rPr>
          <w:rFonts w:ascii="Times New Roman" w:hAnsi="Times New Roman" w:cs="Times New Roman"/>
          <w:bCs/>
          <w:sz w:val="24"/>
          <w:szCs w:val="24"/>
          <w:lang w:val="en-US"/>
        </w:rPr>
        <w:t>w</w:t>
      </w:r>
      <w:r w:rsidRPr="00912992">
        <w:rPr>
          <w:rFonts w:ascii="Times New Roman" w:hAnsi="Times New Roman" w:cs="Times New Roman"/>
          <w:bCs/>
          <w:sz w:val="24"/>
          <w:szCs w:val="24"/>
          <w:lang w:val="en-US"/>
        </w:rPr>
        <w:t xml:space="preserve">orld </w:t>
      </w:r>
      <w:r w:rsidR="00585B9D">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 xml:space="preserve">ultural </w:t>
      </w:r>
      <w:r w:rsidR="00585B9D">
        <w:rPr>
          <w:rFonts w:ascii="Times New Roman" w:hAnsi="Times New Roman" w:cs="Times New Roman"/>
          <w:bCs/>
          <w:sz w:val="24"/>
          <w:szCs w:val="24"/>
          <w:lang w:val="en-US"/>
        </w:rPr>
        <w:t>h</w:t>
      </w:r>
      <w:r w:rsidRPr="00912992">
        <w:rPr>
          <w:rFonts w:ascii="Times New Roman" w:hAnsi="Times New Roman" w:cs="Times New Roman"/>
          <w:bCs/>
          <w:sz w:val="24"/>
          <w:szCs w:val="24"/>
          <w:lang w:val="en-US"/>
        </w:rPr>
        <w:t>eritage and underwater cultural heritage</w:t>
      </w:r>
      <w:r w:rsidR="00146719">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for the safeguarding of intangible cultural heritage, and for the protection and promotion of cultural diversity.</w:t>
      </w:r>
      <w:r w:rsidRPr="00912992">
        <w:rPr>
          <w:rStyle w:val="EndnoteReference"/>
          <w:rFonts w:ascii="Times New Roman" w:hAnsi="Times New Roman" w:cs="Times New Roman"/>
          <w:bCs/>
          <w:sz w:val="24"/>
          <w:szCs w:val="24"/>
          <w:lang w:val="en-US"/>
        </w:rPr>
        <w:endnoteReference w:id="1"/>
      </w:r>
      <w:r w:rsidRPr="00912992">
        <w:rPr>
          <w:rFonts w:ascii="Times New Roman" w:hAnsi="Times New Roman" w:cs="Times New Roman"/>
          <w:bCs/>
          <w:sz w:val="24"/>
          <w:szCs w:val="24"/>
          <w:lang w:val="en-US"/>
        </w:rPr>
        <w:t xml:space="preserve"> But the obligations undertaken by states in this field are still predominantly treaty based, i.e., they are founded on consent expressed by states in their acts of ratification or accession to relevant treaties. As such, they are binding only for the states parties to these treaties and place no obligations on third parties. If we look at the most relevant international instrument for the prevention of cultural property destruction, the 1954 Hague Convention on the Protection of Cultural Heritage in the Event of Armed Conflict, it is in force for 133 </w:t>
      </w:r>
      <w:r w:rsidR="00146719">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 xml:space="preserve">tates, a fairly high number of contracting parties, considering also that they include major military powers, and, after the United Kingdom’s accession in 2017, all </w:t>
      </w:r>
      <w:r w:rsidR="00C8102D">
        <w:rPr>
          <w:rFonts w:ascii="Times New Roman" w:hAnsi="Times New Roman" w:cs="Times New Roman"/>
          <w:bCs/>
          <w:sz w:val="24"/>
          <w:szCs w:val="24"/>
          <w:lang w:val="en-US"/>
        </w:rPr>
        <w:t>five p</w:t>
      </w:r>
      <w:r w:rsidRPr="00912992">
        <w:rPr>
          <w:rFonts w:ascii="Times New Roman" w:hAnsi="Times New Roman" w:cs="Times New Roman"/>
          <w:bCs/>
          <w:sz w:val="24"/>
          <w:szCs w:val="24"/>
          <w:lang w:val="en-US"/>
        </w:rPr>
        <w:t xml:space="preserve">ermanent </w:t>
      </w:r>
      <w:r w:rsidR="00C8102D">
        <w:rPr>
          <w:rFonts w:ascii="Times New Roman" w:hAnsi="Times New Roman" w:cs="Times New Roman"/>
          <w:bCs/>
          <w:sz w:val="24"/>
          <w:szCs w:val="24"/>
          <w:lang w:val="en-US"/>
        </w:rPr>
        <w:t>m</w:t>
      </w:r>
      <w:r w:rsidRPr="00912992">
        <w:rPr>
          <w:rFonts w:ascii="Times New Roman" w:hAnsi="Times New Roman" w:cs="Times New Roman"/>
          <w:bCs/>
          <w:sz w:val="24"/>
          <w:szCs w:val="24"/>
          <w:lang w:val="en-US"/>
        </w:rPr>
        <w:t xml:space="preserve">embers of the </w:t>
      </w:r>
      <w:r w:rsidR="004A2AA2">
        <w:rPr>
          <w:rFonts w:ascii="Times New Roman" w:hAnsi="Times New Roman" w:cs="Times New Roman"/>
          <w:bCs/>
          <w:sz w:val="24"/>
          <w:szCs w:val="24"/>
          <w:lang w:val="en-US"/>
        </w:rPr>
        <w:t xml:space="preserve">UN </w:t>
      </w:r>
      <w:r w:rsidRPr="00912992">
        <w:rPr>
          <w:rFonts w:ascii="Times New Roman" w:hAnsi="Times New Roman" w:cs="Times New Roman"/>
          <w:bCs/>
          <w:sz w:val="24"/>
          <w:szCs w:val="24"/>
          <w:lang w:val="en-US"/>
        </w:rPr>
        <w:t>Security Council</w:t>
      </w:r>
      <w:r w:rsidR="00DD32F8">
        <w:rPr>
          <w:rFonts w:ascii="Times New Roman" w:hAnsi="Times New Roman" w:cs="Times New Roman"/>
          <w:bCs/>
          <w:sz w:val="24"/>
          <w:szCs w:val="24"/>
          <w:lang w:val="en-US"/>
        </w:rPr>
        <w:t xml:space="preserve"> (the </w:t>
      </w:r>
      <w:r w:rsidR="009D7879">
        <w:rPr>
          <w:rFonts w:ascii="Times New Roman" w:hAnsi="Times New Roman" w:cs="Times New Roman"/>
          <w:bCs/>
          <w:sz w:val="24"/>
          <w:szCs w:val="24"/>
          <w:lang w:val="en-US"/>
        </w:rPr>
        <w:t xml:space="preserve">so-called </w:t>
      </w:r>
      <w:r w:rsidR="00DD32F8">
        <w:rPr>
          <w:rFonts w:ascii="Times New Roman" w:hAnsi="Times New Roman" w:cs="Times New Roman"/>
          <w:bCs/>
          <w:sz w:val="24"/>
          <w:szCs w:val="24"/>
          <w:lang w:val="en-US"/>
        </w:rPr>
        <w:t>P5)</w:t>
      </w:r>
      <w:r w:rsidRPr="00912992">
        <w:rPr>
          <w:rFonts w:ascii="Times New Roman" w:hAnsi="Times New Roman" w:cs="Times New Roman"/>
          <w:bCs/>
          <w:sz w:val="24"/>
          <w:szCs w:val="24"/>
          <w:lang w:val="en-US"/>
        </w:rPr>
        <w:t xml:space="preserve">. </w:t>
      </w:r>
    </w:p>
    <w:p w14:paraId="78546642" w14:textId="224D0DFA" w:rsidR="001A62EE" w:rsidRPr="00912992" w:rsidRDefault="001A62EE" w:rsidP="000D3355">
      <w:pPr>
        <w:spacing w:line="480" w:lineRule="auto"/>
        <w:ind w:firstLine="708"/>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 xml:space="preserve">Yet, a significant number of states are still not bound by this convention. Besides, the much more stringent </w:t>
      </w:r>
      <w:r w:rsidR="00BA15D0">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 xml:space="preserve">econd Protocol to the </w:t>
      </w:r>
      <w:r w:rsidR="00912992">
        <w:rPr>
          <w:rFonts w:ascii="Times New Roman" w:hAnsi="Times New Roman" w:cs="Times New Roman"/>
          <w:bCs/>
          <w:sz w:val="24"/>
          <w:szCs w:val="24"/>
          <w:lang w:val="en-US"/>
        </w:rPr>
        <w:t xml:space="preserve">1954 </w:t>
      </w:r>
      <w:r w:rsidRPr="00912992">
        <w:rPr>
          <w:rFonts w:ascii="Times New Roman" w:hAnsi="Times New Roman" w:cs="Times New Roman"/>
          <w:bCs/>
          <w:sz w:val="24"/>
          <w:szCs w:val="24"/>
          <w:lang w:val="en-US"/>
        </w:rPr>
        <w:t>Hague Convention, adopted in 1999</w:t>
      </w:r>
      <w:r w:rsidRPr="00912992">
        <w:rPr>
          <w:rStyle w:val="EndnoteReference"/>
          <w:rFonts w:ascii="Times New Roman" w:hAnsi="Times New Roman" w:cs="Times New Roman"/>
          <w:bCs/>
          <w:sz w:val="24"/>
          <w:szCs w:val="24"/>
          <w:lang w:val="en-US"/>
        </w:rPr>
        <w:endnoteReference w:id="2"/>
      </w:r>
      <w:r w:rsidRPr="00912992">
        <w:rPr>
          <w:rFonts w:ascii="Times New Roman" w:hAnsi="Times New Roman" w:cs="Times New Roman"/>
          <w:bCs/>
          <w:sz w:val="24"/>
          <w:szCs w:val="24"/>
          <w:lang w:val="en-US"/>
        </w:rPr>
        <w:t xml:space="preserve"> to fill certain gaps and improve the </w:t>
      </w:r>
      <w:r w:rsidR="00DD32F8">
        <w:rPr>
          <w:rFonts w:ascii="Times New Roman" w:hAnsi="Times New Roman" w:cs="Times New Roman"/>
          <w:bCs/>
          <w:sz w:val="24"/>
          <w:szCs w:val="24"/>
          <w:lang w:val="en-US"/>
        </w:rPr>
        <w:t xml:space="preserve">convention’s </w:t>
      </w:r>
      <w:r w:rsidRPr="00912992">
        <w:rPr>
          <w:rFonts w:ascii="Times New Roman" w:hAnsi="Times New Roman" w:cs="Times New Roman"/>
          <w:bCs/>
          <w:sz w:val="24"/>
          <w:szCs w:val="24"/>
          <w:lang w:val="en-US"/>
        </w:rPr>
        <w:t xml:space="preserve">effectiveness, is in force for only 83 parties and, of the </w:t>
      </w:r>
      <w:r w:rsidR="00DD32F8">
        <w:rPr>
          <w:rFonts w:ascii="Times New Roman" w:hAnsi="Times New Roman" w:cs="Times New Roman"/>
          <w:bCs/>
          <w:sz w:val="24"/>
          <w:szCs w:val="24"/>
          <w:lang w:val="en-US"/>
        </w:rPr>
        <w:t>P5</w:t>
      </w:r>
      <w:r w:rsidRPr="00912992">
        <w:rPr>
          <w:rFonts w:ascii="Times New Roman" w:hAnsi="Times New Roman" w:cs="Times New Roman"/>
          <w:bCs/>
          <w:sz w:val="24"/>
          <w:szCs w:val="24"/>
          <w:lang w:val="en-US"/>
        </w:rPr>
        <w:t xml:space="preserve">, </w:t>
      </w:r>
      <w:r w:rsidR="008F31BF">
        <w:rPr>
          <w:rFonts w:ascii="Times New Roman" w:hAnsi="Times New Roman" w:cs="Times New Roman"/>
          <w:bCs/>
          <w:sz w:val="24"/>
          <w:szCs w:val="24"/>
          <w:lang w:val="en-US"/>
        </w:rPr>
        <w:t xml:space="preserve">it has only been ratified by </w:t>
      </w:r>
      <w:r w:rsidRPr="00912992">
        <w:rPr>
          <w:rFonts w:ascii="Times New Roman" w:hAnsi="Times New Roman" w:cs="Times New Roman"/>
          <w:bCs/>
          <w:sz w:val="24"/>
          <w:szCs w:val="24"/>
          <w:lang w:val="en-US"/>
        </w:rPr>
        <w:t xml:space="preserve">France and the United Kingdom. Therefore, a good number of states remain outside the most advanced international regime for the prohibition and suppression of cultural property destruction in time of war. As for the prohibition of intentional destruction of </w:t>
      </w:r>
      <w:r w:rsidRPr="00912992">
        <w:rPr>
          <w:rFonts w:ascii="Times New Roman" w:hAnsi="Times New Roman" w:cs="Times New Roman"/>
          <w:bCs/>
          <w:sz w:val="24"/>
          <w:szCs w:val="24"/>
          <w:lang w:val="en-US"/>
        </w:rPr>
        <w:lastRenderedPageBreak/>
        <w:t xml:space="preserve">cultural property in peacetime, no treaty exists. The only instrument is the “soft law” </w:t>
      </w:r>
      <w:r w:rsidR="003E5F88">
        <w:rPr>
          <w:rFonts w:ascii="Times New Roman" w:hAnsi="Times New Roman" w:cs="Times New Roman"/>
          <w:bCs/>
          <w:sz w:val="24"/>
          <w:szCs w:val="24"/>
          <w:lang w:val="en-US"/>
        </w:rPr>
        <w:t xml:space="preserve">2003 </w:t>
      </w:r>
      <w:r w:rsidRPr="00912992">
        <w:rPr>
          <w:rFonts w:ascii="Times New Roman" w:hAnsi="Times New Roman" w:cs="Times New Roman"/>
          <w:bCs/>
          <w:sz w:val="24"/>
          <w:szCs w:val="24"/>
          <w:lang w:val="en-US"/>
        </w:rPr>
        <w:t xml:space="preserve">Declaration </w:t>
      </w:r>
      <w:r w:rsidR="00F72701">
        <w:rPr>
          <w:rFonts w:ascii="Times New Roman" w:hAnsi="Times New Roman" w:cs="Times New Roman"/>
          <w:bCs/>
          <w:sz w:val="24"/>
          <w:szCs w:val="24"/>
          <w:lang w:val="en-US"/>
        </w:rPr>
        <w:t>Concerning</w:t>
      </w:r>
      <w:r w:rsidR="00F72701"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the Intentional Destruction of Cultural Heritage</w:t>
      </w:r>
      <w:r w:rsidR="00033BC9">
        <w:rPr>
          <w:rFonts w:ascii="Times New Roman" w:hAnsi="Times New Roman" w:cs="Times New Roman"/>
          <w:bCs/>
          <w:sz w:val="24"/>
          <w:szCs w:val="24"/>
          <w:lang w:val="en-US"/>
        </w:rPr>
        <w:t>, which was</w:t>
      </w:r>
      <w:r w:rsidRPr="00912992">
        <w:rPr>
          <w:rFonts w:ascii="Times New Roman" w:hAnsi="Times New Roman" w:cs="Times New Roman"/>
          <w:bCs/>
          <w:sz w:val="24"/>
          <w:szCs w:val="24"/>
          <w:lang w:val="en-US"/>
        </w:rPr>
        <w:t xml:space="preserve"> adopted by the General Conference</w:t>
      </w:r>
      <w:r w:rsidR="00033BC9">
        <w:rPr>
          <w:rFonts w:ascii="Times New Roman" w:hAnsi="Times New Roman" w:cs="Times New Roman"/>
          <w:bCs/>
          <w:sz w:val="24"/>
          <w:szCs w:val="24"/>
          <w:lang w:val="en-US"/>
        </w:rPr>
        <w:t xml:space="preserve">—the </w:t>
      </w:r>
      <w:r w:rsidR="00033BC9" w:rsidRPr="00033BC9">
        <w:rPr>
          <w:rFonts w:ascii="Times New Roman" w:hAnsi="Times New Roman" w:cs="Times New Roman"/>
          <w:bCs/>
          <w:sz w:val="24"/>
          <w:szCs w:val="24"/>
          <w:lang w:val="en-US"/>
        </w:rPr>
        <w:t>biannual meeting of member states</w:t>
      </w:r>
      <w:r w:rsidR="00033BC9">
        <w:rPr>
          <w:rFonts w:ascii="Times New Roman" w:hAnsi="Times New Roman" w:cs="Times New Roman"/>
          <w:bCs/>
          <w:sz w:val="24"/>
          <w:szCs w:val="24"/>
          <w:lang w:val="en-US"/>
        </w:rPr>
        <w:t xml:space="preserve">—of </w:t>
      </w:r>
      <w:r w:rsidR="002C4BE4">
        <w:rPr>
          <w:rFonts w:ascii="Times New Roman" w:hAnsi="Times New Roman" w:cs="Times New Roman"/>
          <w:bCs/>
          <w:sz w:val="24"/>
          <w:szCs w:val="24"/>
          <w:lang w:val="en-US"/>
        </w:rPr>
        <w:t xml:space="preserve">the </w:t>
      </w:r>
      <w:r w:rsidR="002C4BE4" w:rsidRPr="002C4BE4">
        <w:rPr>
          <w:rFonts w:ascii="Times New Roman" w:hAnsi="Times New Roman" w:cs="Times New Roman"/>
          <w:bCs/>
          <w:sz w:val="24"/>
          <w:szCs w:val="24"/>
          <w:lang w:val="en-US"/>
        </w:rPr>
        <w:t>UN Educational, Scientific and Cultural Organization</w:t>
      </w:r>
      <w:r w:rsidRPr="00912992">
        <w:rPr>
          <w:rFonts w:ascii="Times New Roman" w:hAnsi="Times New Roman" w:cs="Times New Roman"/>
          <w:bCs/>
          <w:sz w:val="24"/>
          <w:szCs w:val="24"/>
          <w:lang w:val="en-US"/>
        </w:rPr>
        <w:t xml:space="preserve"> </w:t>
      </w:r>
      <w:r w:rsidR="002C4BE4">
        <w:rPr>
          <w:rFonts w:ascii="Times New Roman" w:hAnsi="Times New Roman" w:cs="Times New Roman"/>
          <w:bCs/>
          <w:sz w:val="24"/>
          <w:szCs w:val="24"/>
          <w:lang w:val="en-US"/>
        </w:rPr>
        <w:t xml:space="preserve">(UNESCO) </w:t>
      </w:r>
      <w:r w:rsidRPr="00912992">
        <w:rPr>
          <w:rFonts w:ascii="Times New Roman" w:hAnsi="Times New Roman" w:cs="Times New Roman"/>
          <w:bCs/>
          <w:sz w:val="24"/>
          <w:szCs w:val="24"/>
          <w:lang w:val="en-US"/>
        </w:rPr>
        <w:t>in the wake of the</w:t>
      </w:r>
      <w:r w:rsidR="003E5F88">
        <w:rPr>
          <w:rFonts w:ascii="Times New Roman" w:hAnsi="Times New Roman" w:cs="Times New Roman"/>
          <w:bCs/>
          <w:sz w:val="24"/>
          <w:szCs w:val="24"/>
          <w:lang w:val="en-US"/>
        </w:rPr>
        <w:t xml:space="preserve"> 2001</w:t>
      </w:r>
      <w:r w:rsidRPr="00912992">
        <w:rPr>
          <w:rFonts w:ascii="Times New Roman" w:hAnsi="Times New Roman" w:cs="Times New Roman"/>
          <w:bCs/>
          <w:sz w:val="24"/>
          <w:szCs w:val="24"/>
          <w:lang w:val="en-US"/>
        </w:rPr>
        <w:t xml:space="preserve"> destruction of the Buddhas of Bamiyan </w:t>
      </w:r>
      <w:r w:rsidR="00C62A5A">
        <w:rPr>
          <w:rFonts w:ascii="Times New Roman" w:hAnsi="Times New Roman" w:cs="Times New Roman"/>
          <w:bCs/>
          <w:sz w:val="24"/>
          <w:szCs w:val="24"/>
          <w:lang w:val="en-US"/>
        </w:rPr>
        <w:t xml:space="preserve">in </w:t>
      </w:r>
      <w:r w:rsidR="00C62A5A" w:rsidRPr="001F22B1">
        <w:rPr>
          <w:rFonts w:ascii="Times New Roman" w:hAnsi="Times New Roman" w:cs="Times New Roman"/>
          <w:bCs/>
          <w:sz w:val="24"/>
          <w:szCs w:val="24"/>
          <w:lang w:val="en-US"/>
        </w:rPr>
        <w:t>Afghanistan</w:t>
      </w:r>
      <w:r w:rsidR="00C62A5A"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by the Taliban.</w:t>
      </w:r>
      <w:r w:rsidRPr="00912992">
        <w:rPr>
          <w:rStyle w:val="EndnoteReference"/>
          <w:rFonts w:ascii="Times New Roman" w:hAnsi="Times New Roman" w:cs="Times New Roman"/>
          <w:bCs/>
          <w:sz w:val="24"/>
          <w:szCs w:val="24"/>
          <w:lang w:val="en-US"/>
        </w:rPr>
        <w:endnoteReference w:id="3"/>
      </w:r>
      <w:r w:rsidRPr="00912992">
        <w:rPr>
          <w:rFonts w:ascii="Times New Roman" w:hAnsi="Times New Roman" w:cs="Times New Roman"/>
          <w:bCs/>
          <w:sz w:val="24"/>
          <w:szCs w:val="24"/>
          <w:lang w:val="en-US"/>
        </w:rPr>
        <w:t xml:space="preserve"> This situation makes it necessary to inquire whether, besides treaty obligations in force for state parties, international law contains general norms and principles prohibiting the destruction of cultural heritage which are binding on all states independently of their consent to be bound. </w:t>
      </w:r>
    </w:p>
    <w:p w14:paraId="7A9F57DE" w14:textId="7E4B1BC1" w:rsidR="00D32524"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The relevance and timelines</w:t>
      </w:r>
      <w:r w:rsidR="00F1532B">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 xml:space="preserve"> of this question become more apparent when we think that even for the states bound by the </w:t>
      </w:r>
      <w:r w:rsidR="00DD6A71">
        <w:rPr>
          <w:rFonts w:ascii="Times New Roman" w:hAnsi="Times New Roman" w:cs="Times New Roman"/>
          <w:bCs/>
          <w:sz w:val="24"/>
          <w:szCs w:val="24"/>
          <w:lang w:val="en-US"/>
        </w:rPr>
        <w:t xml:space="preserve">1954 </w:t>
      </w:r>
      <w:r w:rsidRPr="00912992">
        <w:rPr>
          <w:rFonts w:ascii="Times New Roman" w:hAnsi="Times New Roman" w:cs="Times New Roman"/>
          <w:bCs/>
          <w:sz w:val="24"/>
          <w:szCs w:val="24"/>
          <w:lang w:val="en-US"/>
        </w:rPr>
        <w:t xml:space="preserve">Hague Convention and its </w:t>
      </w:r>
      <w:r w:rsidR="00341C01">
        <w:rPr>
          <w:rFonts w:ascii="Times New Roman" w:hAnsi="Times New Roman" w:cs="Times New Roman"/>
          <w:bCs/>
          <w:sz w:val="24"/>
          <w:szCs w:val="24"/>
          <w:lang w:val="en-US"/>
        </w:rPr>
        <w:t>p</w:t>
      </w:r>
      <w:r w:rsidRPr="00912992">
        <w:rPr>
          <w:rFonts w:ascii="Times New Roman" w:hAnsi="Times New Roman" w:cs="Times New Roman"/>
          <w:bCs/>
          <w:sz w:val="24"/>
          <w:szCs w:val="24"/>
          <w:lang w:val="en-US"/>
        </w:rPr>
        <w:t xml:space="preserve">rotocols, and by other relevant treaties on the subject, the obligations undertaken have no retroactive effect. Thus, situations and disputes concerning destruction of cultural property that </w:t>
      </w:r>
      <w:r w:rsidR="005C5B8C">
        <w:rPr>
          <w:rFonts w:ascii="Times New Roman" w:hAnsi="Times New Roman" w:cs="Times New Roman"/>
          <w:bCs/>
          <w:sz w:val="24"/>
          <w:szCs w:val="24"/>
          <w:lang w:val="en-US"/>
        </w:rPr>
        <w:t>arose</w:t>
      </w:r>
      <w:r w:rsidRPr="00912992">
        <w:rPr>
          <w:rFonts w:ascii="Times New Roman" w:hAnsi="Times New Roman" w:cs="Times New Roman"/>
          <w:bCs/>
          <w:sz w:val="24"/>
          <w:szCs w:val="24"/>
          <w:lang w:val="en-US"/>
        </w:rPr>
        <w:t xml:space="preserve"> before the entry into force</w:t>
      </w:r>
      <w:r w:rsidR="00911B5C">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of those international instruments remain </w:t>
      </w:r>
      <w:r w:rsidR="00911B5C">
        <w:rPr>
          <w:rFonts w:ascii="Times New Roman" w:hAnsi="Times New Roman" w:cs="Times New Roman"/>
          <w:bCs/>
          <w:sz w:val="24"/>
          <w:szCs w:val="24"/>
          <w:lang w:val="en-US"/>
        </w:rPr>
        <w:t xml:space="preserve">beyond the reach of such instruments. </w:t>
      </w:r>
    </w:p>
    <w:p w14:paraId="42B74D8D" w14:textId="3C5D4642" w:rsidR="001A62EE" w:rsidRDefault="0093751D" w:rsidP="000D3355">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addition</w:t>
      </w:r>
      <w:r w:rsidR="00406496">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the recognition of the character of custom</w:t>
      </w:r>
      <w:r w:rsidR="00911B5C">
        <w:rPr>
          <w:rFonts w:ascii="Times New Roman" w:hAnsi="Times New Roman" w:cs="Times New Roman"/>
          <w:bCs/>
          <w:sz w:val="24"/>
          <w:szCs w:val="24"/>
          <w:lang w:val="en-US"/>
        </w:rPr>
        <w:t>ary norm</w:t>
      </w:r>
      <w:r w:rsidR="001A62EE" w:rsidRPr="00912992">
        <w:rPr>
          <w:rFonts w:ascii="Times New Roman" w:hAnsi="Times New Roman" w:cs="Times New Roman"/>
          <w:bCs/>
          <w:sz w:val="24"/>
          <w:szCs w:val="24"/>
          <w:lang w:val="en-US"/>
        </w:rPr>
        <w:t xml:space="preserve"> or</w:t>
      </w:r>
      <w:r w:rsidR="005B3376">
        <w:rPr>
          <w:rFonts w:ascii="Times New Roman" w:hAnsi="Times New Roman" w:cs="Times New Roman"/>
          <w:bCs/>
          <w:sz w:val="24"/>
          <w:szCs w:val="24"/>
          <w:lang w:val="en-US"/>
        </w:rPr>
        <w:t xml:space="preserve"> general</w:t>
      </w:r>
      <w:r w:rsidR="001A62EE" w:rsidRPr="00912992">
        <w:rPr>
          <w:rFonts w:ascii="Times New Roman" w:hAnsi="Times New Roman" w:cs="Times New Roman"/>
          <w:bCs/>
          <w:sz w:val="24"/>
          <w:szCs w:val="24"/>
          <w:lang w:val="en-US"/>
        </w:rPr>
        <w:t xml:space="preserve"> principle</w:t>
      </w:r>
      <w:r w:rsidR="005B3376">
        <w:rPr>
          <w:rFonts w:ascii="Times New Roman" w:hAnsi="Times New Roman" w:cs="Times New Roman"/>
          <w:bCs/>
          <w:sz w:val="24"/>
          <w:szCs w:val="24"/>
          <w:lang w:val="en-US"/>
        </w:rPr>
        <w:t xml:space="preserve"> of the obligation to avoid and prevent destruction of cultural heritage</w:t>
      </w:r>
      <w:r w:rsidR="000746D8">
        <w:rPr>
          <w:rFonts w:ascii="Times New Roman" w:hAnsi="Times New Roman" w:cs="Times New Roman"/>
          <w:bCs/>
          <w:sz w:val="24"/>
          <w:szCs w:val="24"/>
          <w:lang w:val="en-US"/>
        </w:rPr>
        <w:t xml:space="preserve"> </w:t>
      </w:r>
      <w:r w:rsidR="005B3376">
        <w:rPr>
          <w:rFonts w:ascii="Times New Roman" w:hAnsi="Times New Roman" w:cs="Times New Roman"/>
          <w:bCs/>
          <w:sz w:val="24"/>
          <w:szCs w:val="24"/>
          <w:lang w:val="en-US"/>
        </w:rPr>
        <w:t xml:space="preserve">can place such norm and general principle on a position of hierarchical </w:t>
      </w:r>
      <w:r w:rsidR="001A62EE" w:rsidRPr="00912992">
        <w:rPr>
          <w:rFonts w:ascii="Times New Roman" w:hAnsi="Times New Roman" w:cs="Times New Roman"/>
          <w:bCs/>
          <w:sz w:val="24"/>
          <w:szCs w:val="24"/>
          <w:lang w:val="en-US"/>
        </w:rPr>
        <w:t>superior</w:t>
      </w:r>
      <w:r>
        <w:rPr>
          <w:rFonts w:ascii="Times New Roman" w:hAnsi="Times New Roman" w:cs="Times New Roman"/>
          <w:bCs/>
          <w:sz w:val="24"/>
          <w:szCs w:val="24"/>
          <w:lang w:val="en-US"/>
        </w:rPr>
        <w:t>ity</w:t>
      </w:r>
      <w:r w:rsidR="001A62EE" w:rsidRPr="00912992">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over</w:t>
      </w:r>
      <w:r w:rsidR="001A62EE" w:rsidRPr="00912992">
        <w:rPr>
          <w:rFonts w:ascii="Times New Roman" w:hAnsi="Times New Roman" w:cs="Times New Roman"/>
          <w:bCs/>
          <w:sz w:val="24"/>
          <w:szCs w:val="24"/>
          <w:lang w:val="en-US"/>
        </w:rPr>
        <w:t xml:space="preserve"> treaty law within </w:t>
      </w:r>
      <w:r w:rsidR="00D22762">
        <w:rPr>
          <w:rFonts w:ascii="Times New Roman" w:hAnsi="Times New Roman" w:cs="Times New Roman"/>
          <w:bCs/>
          <w:sz w:val="24"/>
          <w:szCs w:val="24"/>
          <w:lang w:val="en-US"/>
        </w:rPr>
        <w:t xml:space="preserve">the </w:t>
      </w:r>
      <w:r>
        <w:rPr>
          <w:rFonts w:ascii="Times New Roman" w:hAnsi="Times New Roman" w:cs="Times New Roman"/>
          <w:bCs/>
          <w:sz w:val="24"/>
          <w:szCs w:val="24"/>
          <w:lang w:val="en-US"/>
        </w:rPr>
        <w:t>domestic</w:t>
      </w:r>
      <w:r w:rsidR="001A62EE" w:rsidRPr="00912992">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legal </w:t>
      </w:r>
      <w:r w:rsidR="001A62EE" w:rsidRPr="00912992">
        <w:rPr>
          <w:rFonts w:ascii="Times New Roman" w:hAnsi="Times New Roman" w:cs="Times New Roman"/>
          <w:bCs/>
          <w:sz w:val="24"/>
          <w:szCs w:val="24"/>
          <w:lang w:val="en-US"/>
        </w:rPr>
        <w:t>system</w:t>
      </w:r>
      <w:r w:rsidR="00500486" w:rsidRPr="00500486">
        <w:rPr>
          <w:rFonts w:ascii="Times New Roman" w:hAnsi="Times New Roman" w:cs="Times New Roman"/>
          <w:bCs/>
          <w:sz w:val="24"/>
          <w:szCs w:val="24"/>
          <w:lang w:val="en-US"/>
        </w:rPr>
        <w:t xml:space="preserve"> </w:t>
      </w:r>
      <w:r w:rsidR="006E0299">
        <w:rPr>
          <w:rFonts w:ascii="Times New Roman" w:hAnsi="Times New Roman" w:cs="Times New Roman"/>
          <w:bCs/>
          <w:sz w:val="24"/>
          <w:szCs w:val="24"/>
          <w:lang w:val="en-US"/>
        </w:rPr>
        <w:t>of</w:t>
      </w:r>
      <w:r w:rsidR="00500486">
        <w:rPr>
          <w:rFonts w:ascii="Times New Roman" w:hAnsi="Times New Roman" w:cs="Times New Roman"/>
          <w:bCs/>
          <w:sz w:val="24"/>
          <w:szCs w:val="24"/>
          <w:lang w:val="en-US"/>
        </w:rPr>
        <w:t xml:space="preserve"> some states</w:t>
      </w:r>
      <w:r w:rsidR="001C4BD1">
        <w:rPr>
          <w:rFonts w:ascii="Times New Roman" w:hAnsi="Times New Roman" w:cs="Times New Roman"/>
          <w:bCs/>
          <w:sz w:val="24"/>
          <w:szCs w:val="24"/>
          <w:lang w:val="en-US"/>
        </w:rPr>
        <w:t>,</w:t>
      </w:r>
      <w:r w:rsidR="00DB1679">
        <w:rPr>
          <w:rFonts w:ascii="Times New Roman" w:hAnsi="Times New Roman" w:cs="Times New Roman"/>
          <w:bCs/>
          <w:sz w:val="24"/>
          <w:szCs w:val="24"/>
          <w:lang w:val="en-US"/>
        </w:rPr>
        <w:t xml:space="preserve"> thus enhancing the effectiveness of their enforcement at the level of domestic law.</w:t>
      </w:r>
      <w:r w:rsidR="001A62EE" w:rsidRPr="00912992">
        <w:rPr>
          <w:rStyle w:val="EndnoteReference"/>
          <w:rFonts w:ascii="Times New Roman" w:hAnsi="Times New Roman" w:cs="Times New Roman"/>
          <w:bCs/>
          <w:sz w:val="24"/>
          <w:szCs w:val="24"/>
          <w:lang w:val="en-US"/>
        </w:rPr>
        <w:endnoteReference w:id="4"/>
      </w:r>
      <w:r w:rsidR="00E30EB4">
        <w:rPr>
          <w:rFonts w:ascii="Times New Roman" w:hAnsi="Times New Roman" w:cs="Times New Roman"/>
          <w:bCs/>
          <w:sz w:val="24"/>
          <w:szCs w:val="24"/>
          <w:lang w:val="en-US"/>
        </w:rPr>
        <w:t xml:space="preserve"> </w:t>
      </w:r>
    </w:p>
    <w:p w14:paraId="77229C7A" w14:textId="77777777" w:rsidR="001A3331" w:rsidRPr="00912992" w:rsidRDefault="001A3331" w:rsidP="000D3355">
      <w:pPr>
        <w:spacing w:line="480" w:lineRule="auto"/>
        <w:jc w:val="both"/>
        <w:rPr>
          <w:rFonts w:ascii="Times New Roman" w:hAnsi="Times New Roman" w:cs="Times New Roman"/>
          <w:bCs/>
          <w:sz w:val="24"/>
          <w:szCs w:val="24"/>
          <w:lang w:val="en-US"/>
        </w:rPr>
      </w:pPr>
    </w:p>
    <w:p w14:paraId="785EB800" w14:textId="20EE5607" w:rsidR="001A62EE" w:rsidRPr="00912992" w:rsidRDefault="001A62EE" w:rsidP="001C6D27">
      <w:pPr>
        <w:pStyle w:val="Heading2"/>
        <w:spacing w:line="480" w:lineRule="auto"/>
        <w:rPr>
          <w:lang w:val="en-US"/>
        </w:rPr>
      </w:pPr>
      <w:r w:rsidRPr="00912992">
        <w:rPr>
          <w:lang w:val="en-US"/>
        </w:rPr>
        <w:t xml:space="preserve">Identifying </w:t>
      </w:r>
      <w:r w:rsidR="000A2AB8" w:rsidRPr="00912992">
        <w:rPr>
          <w:lang w:val="en-US"/>
        </w:rPr>
        <w:t xml:space="preserve">Customary Cultural Heritage </w:t>
      </w:r>
      <w:r w:rsidR="00306E95">
        <w:rPr>
          <w:lang w:val="en-US"/>
        </w:rPr>
        <w:t>L</w:t>
      </w:r>
      <w:r w:rsidR="000A2AB8" w:rsidRPr="00912992">
        <w:rPr>
          <w:lang w:val="en-US"/>
        </w:rPr>
        <w:t>aw</w:t>
      </w:r>
      <w:r w:rsidR="000A2AB8">
        <w:rPr>
          <w:lang w:val="en-US"/>
        </w:rPr>
        <w:t xml:space="preserve"> and</w:t>
      </w:r>
      <w:r w:rsidR="000A2AB8" w:rsidRPr="00912992">
        <w:rPr>
          <w:lang w:val="en-US"/>
        </w:rPr>
        <w:t xml:space="preserve"> the Contribution of the </w:t>
      </w:r>
      <w:r w:rsidR="000255EF">
        <w:rPr>
          <w:lang w:val="en-US"/>
        </w:rPr>
        <w:t>International Court of Justice</w:t>
      </w:r>
    </w:p>
    <w:p w14:paraId="3284322D" w14:textId="75EC434F" w:rsidR="00541C48" w:rsidRDefault="000212A3" w:rsidP="000D3355">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w:t>
      </w:r>
      <w:r w:rsidR="001A62EE" w:rsidRPr="00912992">
        <w:rPr>
          <w:rFonts w:ascii="Times New Roman" w:hAnsi="Times New Roman" w:cs="Times New Roman"/>
          <w:bCs/>
          <w:sz w:val="24"/>
          <w:szCs w:val="24"/>
          <w:lang w:val="en-US"/>
        </w:rPr>
        <w:t xml:space="preserve">ow do we determine the existence of customary norms or general principles that would establish a general prohibition of the intentional destruction of cultural heritage? Do we </w:t>
      </w:r>
      <w:proofErr w:type="gramStart"/>
      <w:r w:rsidR="001A62EE" w:rsidRPr="00912992">
        <w:rPr>
          <w:rFonts w:ascii="Times New Roman" w:hAnsi="Times New Roman" w:cs="Times New Roman"/>
          <w:bCs/>
          <w:sz w:val="24"/>
          <w:szCs w:val="24"/>
          <w:lang w:val="en-US"/>
        </w:rPr>
        <w:t>take into account</w:t>
      </w:r>
      <w:proofErr w:type="gramEnd"/>
      <w:r w:rsidR="001A62EE" w:rsidRPr="00912992">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lastRenderedPageBreak/>
        <w:t xml:space="preserve">the practice of all states, including those that have already accepted a treaty obligation to prevent and avoid such destruction? Or do we limit our investigation only to the practice of those that are not bound by treaty obligations, on the assumption that only their behavior is relevant to the finding of a practice and of a sense of legal obligation that does not depend on the consent expressed in a treaty? </w:t>
      </w:r>
    </w:p>
    <w:p w14:paraId="3EE6C737" w14:textId="4025992B" w:rsidR="00242652" w:rsidRDefault="001A62EE" w:rsidP="000D3355">
      <w:pPr>
        <w:spacing w:line="480" w:lineRule="auto"/>
        <w:ind w:firstLine="708"/>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 xml:space="preserve">A formalistic approach to </w:t>
      </w:r>
      <w:r w:rsidR="002A2666">
        <w:rPr>
          <w:rFonts w:ascii="Times New Roman" w:hAnsi="Times New Roman" w:cs="Times New Roman"/>
          <w:bCs/>
          <w:sz w:val="24"/>
          <w:szCs w:val="24"/>
          <w:lang w:val="en-US"/>
        </w:rPr>
        <w:t>the first</w:t>
      </w:r>
      <w:r w:rsidR="002A2666"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question would suggest following the latter option since only </w:t>
      </w:r>
      <w:r w:rsidR="00B744F0">
        <w:rPr>
          <w:rFonts w:ascii="Times New Roman" w:hAnsi="Times New Roman" w:cs="Times New Roman"/>
          <w:bCs/>
          <w:sz w:val="24"/>
          <w:szCs w:val="24"/>
          <w:lang w:val="en-US"/>
        </w:rPr>
        <w:t xml:space="preserve">the </w:t>
      </w:r>
      <w:r w:rsidRPr="00912992">
        <w:rPr>
          <w:rFonts w:ascii="Times New Roman" w:hAnsi="Times New Roman" w:cs="Times New Roman"/>
          <w:bCs/>
          <w:sz w:val="24"/>
          <w:szCs w:val="24"/>
          <w:lang w:val="en-US"/>
        </w:rPr>
        <w:t xml:space="preserve">behavior </w:t>
      </w:r>
      <w:r w:rsidR="00B744F0">
        <w:rPr>
          <w:rFonts w:ascii="Times New Roman" w:hAnsi="Times New Roman" w:cs="Times New Roman"/>
          <w:bCs/>
          <w:sz w:val="24"/>
          <w:szCs w:val="24"/>
          <w:lang w:val="en-US"/>
        </w:rPr>
        <w:t xml:space="preserve">of nonparties </w:t>
      </w:r>
      <w:r w:rsidRPr="00912992">
        <w:rPr>
          <w:rFonts w:ascii="Times New Roman" w:hAnsi="Times New Roman" w:cs="Times New Roman"/>
          <w:bCs/>
          <w:sz w:val="24"/>
          <w:szCs w:val="24"/>
          <w:lang w:val="en-US"/>
        </w:rPr>
        <w:t xml:space="preserve">can disclose a sense of legal obligation that does not depend on treaties. However, this approach would be inappropriate in the context of cultural heritage and wrong from a methodological point of view. </w:t>
      </w:r>
      <w:r w:rsidR="00541C48">
        <w:rPr>
          <w:rFonts w:ascii="Times New Roman" w:hAnsi="Times New Roman" w:cs="Times New Roman"/>
          <w:bCs/>
          <w:sz w:val="24"/>
          <w:szCs w:val="24"/>
          <w:lang w:val="en-US"/>
        </w:rPr>
        <w:t>M</w:t>
      </w:r>
      <w:r w:rsidRPr="00912992">
        <w:rPr>
          <w:rFonts w:ascii="Times New Roman" w:hAnsi="Times New Roman" w:cs="Times New Roman"/>
          <w:bCs/>
          <w:sz w:val="24"/>
          <w:szCs w:val="24"/>
          <w:lang w:val="en-US"/>
        </w:rPr>
        <w:t xml:space="preserve">ultilateral treaties in this field have a very high number of </w:t>
      </w:r>
      <w:r w:rsidR="00541C48">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tate parties</w:t>
      </w:r>
      <w:r w:rsidR="001473DB">
        <w:rPr>
          <w:rFonts w:ascii="Times New Roman" w:hAnsi="Times New Roman" w:cs="Times New Roman"/>
          <w:bCs/>
          <w:sz w:val="24"/>
          <w:szCs w:val="24"/>
          <w:lang w:val="en-US"/>
        </w:rPr>
        <w:t>, which</w:t>
      </w:r>
      <w:r w:rsidRPr="00912992">
        <w:rPr>
          <w:rFonts w:ascii="Times New Roman" w:hAnsi="Times New Roman" w:cs="Times New Roman"/>
          <w:bCs/>
          <w:sz w:val="24"/>
          <w:szCs w:val="24"/>
          <w:lang w:val="en-US"/>
        </w:rPr>
        <w:t xml:space="preserve"> has the effect of shrinking the scope of the potentially relevant practice of nonparties.</w:t>
      </w:r>
      <w:r w:rsidRPr="00912992">
        <w:rPr>
          <w:rStyle w:val="EndnoteReference"/>
          <w:rFonts w:ascii="Times New Roman" w:hAnsi="Times New Roman" w:cs="Times New Roman"/>
          <w:bCs/>
          <w:sz w:val="24"/>
          <w:szCs w:val="24"/>
          <w:lang w:val="en-US"/>
        </w:rPr>
        <w:endnoteReference w:id="5"/>
      </w:r>
      <w:r w:rsidRPr="00912992">
        <w:rPr>
          <w:rFonts w:ascii="Times New Roman" w:hAnsi="Times New Roman" w:cs="Times New Roman"/>
          <w:bCs/>
          <w:sz w:val="24"/>
          <w:szCs w:val="24"/>
          <w:lang w:val="en-US"/>
        </w:rPr>
        <w:t xml:space="preserve"> </w:t>
      </w:r>
      <w:r w:rsidR="00DB778C">
        <w:rPr>
          <w:rFonts w:ascii="Times New Roman" w:hAnsi="Times New Roman" w:cs="Times New Roman"/>
          <w:bCs/>
          <w:sz w:val="24"/>
          <w:szCs w:val="24"/>
          <w:lang w:val="en-US"/>
        </w:rPr>
        <w:t>T</w:t>
      </w:r>
      <w:r w:rsidRPr="00912992">
        <w:rPr>
          <w:rFonts w:ascii="Times New Roman" w:hAnsi="Times New Roman" w:cs="Times New Roman"/>
          <w:bCs/>
          <w:sz w:val="24"/>
          <w:szCs w:val="24"/>
          <w:lang w:val="en-US"/>
        </w:rPr>
        <w:t>he proof of a widespread practice by non</w:t>
      </w:r>
      <w:r w:rsidR="00DB778C">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treaty parties would become extremely difficult and perhaps misleading.</w:t>
      </w:r>
      <w:r w:rsidRPr="00912992">
        <w:rPr>
          <w:rStyle w:val="EndnoteReference"/>
          <w:rFonts w:ascii="Times New Roman" w:hAnsi="Times New Roman" w:cs="Times New Roman"/>
          <w:bCs/>
          <w:sz w:val="24"/>
          <w:szCs w:val="24"/>
          <w:lang w:val="en-US"/>
        </w:rPr>
        <w:endnoteReference w:id="6"/>
      </w:r>
      <w:r w:rsidRPr="00912992">
        <w:rPr>
          <w:rFonts w:ascii="Times New Roman" w:hAnsi="Times New Roman" w:cs="Times New Roman"/>
          <w:bCs/>
          <w:sz w:val="24"/>
          <w:szCs w:val="24"/>
          <w:lang w:val="en-US"/>
        </w:rPr>
        <w:t xml:space="preserve"> </w:t>
      </w:r>
    </w:p>
    <w:p w14:paraId="053E987F" w14:textId="750255D7" w:rsidR="001A62EE" w:rsidRPr="00912992" w:rsidRDefault="009D162A" w:rsidP="000D3355">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Additionally</w:t>
      </w:r>
      <w:r w:rsidR="001A62EE" w:rsidRPr="00912992">
        <w:rPr>
          <w:rFonts w:ascii="Times New Roman" w:hAnsi="Times New Roman" w:cs="Times New Roman"/>
          <w:bCs/>
          <w:sz w:val="24"/>
          <w:szCs w:val="24"/>
          <w:lang w:val="en-US"/>
        </w:rPr>
        <w:t xml:space="preserve">, it would be illogical and counterproductive to limit the investigation over the existence of general norms or principles of international law to the sole group of states that are not bound by treaties relevant to the destruction or dispersion of cultural heritage. Such a restrictive approach would deprive us of the benefit of considering the possibility that state parties may </w:t>
      </w:r>
      <w:r w:rsidR="00242652">
        <w:rPr>
          <w:rFonts w:ascii="Times New Roman" w:hAnsi="Times New Roman" w:cs="Times New Roman"/>
          <w:bCs/>
          <w:sz w:val="24"/>
          <w:szCs w:val="24"/>
          <w:lang w:val="en-US"/>
        </w:rPr>
        <w:t xml:space="preserve">also </w:t>
      </w:r>
      <w:r w:rsidR="001A62EE" w:rsidRPr="00912992">
        <w:rPr>
          <w:rFonts w:ascii="Times New Roman" w:hAnsi="Times New Roman" w:cs="Times New Roman"/>
          <w:bCs/>
          <w:sz w:val="24"/>
          <w:szCs w:val="24"/>
          <w:lang w:val="en-US"/>
        </w:rPr>
        <w:t xml:space="preserve">comply with the obligation to prevent and avoid destruction of cultural heritage by virtue of an </w:t>
      </w:r>
      <w:r w:rsidR="001A62EE" w:rsidRPr="00912992">
        <w:rPr>
          <w:rFonts w:ascii="Times New Roman" w:hAnsi="Times New Roman" w:cs="Times New Roman"/>
          <w:bCs/>
          <w:i/>
          <w:sz w:val="24"/>
          <w:szCs w:val="24"/>
          <w:lang w:val="en-US"/>
        </w:rPr>
        <w:t>opinio iuris</w:t>
      </w:r>
      <w:r w:rsidR="00C32EC3">
        <w:rPr>
          <w:rFonts w:ascii="Times New Roman" w:hAnsi="Times New Roman" w:cs="Times New Roman"/>
          <w:bCs/>
          <w:iCs/>
          <w:sz w:val="24"/>
          <w:szCs w:val="24"/>
          <w:lang w:val="en-US"/>
        </w:rPr>
        <w:t>,</w:t>
      </w:r>
      <w:r w:rsidR="00C32EC3" w:rsidRPr="00C32EC3">
        <w:rPr>
          <w:iCs/>
        </w:rPr>
        <w:t xml:space="preserve"> </w:t>
      </w:r>
      <w:r w:rsidR="00C32EC3" w:rsidRPr="00665F17">
        <w:rPr>
          <w:rFonts w:ascii="Times New Roman" w:hAnsi="Times New Roman" w:cs="Times New Roman"/>
          <w:bCs/>
          <w:iCs/>
          <w:sz w:val="24"/>
          <w:szCs w:val="24"/>
          <w:lang w:val="en-US"/>
        </w:rPr>
        <w:t>that is, evidence that the practice derives from a felt sense of legal obligation</w:t>
      </w:r>
      <w:r w:rsidR="00901CF1">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 xml:space="preserve">beyond the terms of </w:t>
      </w:r>
      <w:r w:rsidR="00F5024E">
        <w:rPr>
          <w:rFonts w:ascii="Times New Roman" w:hAnsi="Times New Roman" w:cs="Times New Roman"/>
          <w:bCs/>
          <w:sz w:val="24"/>
          <w:szCs w:val="24"/>
          <w:lang w:val="en-US"/>
        </w:rPr>
        <w:t xml:space="preserve">any </w:t>
      </w:r>
      <w:r w:rsidR="001A62EE" w:rsidRPr="00912992">
        <w:rPr>
          <w:rFonts w:ascii="Times New Roman" w:hAnsi="Times New Roman" w:cs="Times New Roman"/>
          <w:bCs/>
          <w:sz w:val="24"/>
          <w:szCs w:val="24"/>
          <w:lang w:val="en-US"/>
        </w:rPr>
        <w:t xml:space="preserve">applicable treaty. Besides, such </w:t>
      </w:r>
      <w:r w:rsidR="00CE61CF">
        <w:rPr>
          <w:rFonts w:ascii="Times New Roman" w:hAnsi="Times New Roman" w:cs="Times New Roman"/>
          <w:bCs/>
          <w:sz w:val="24"/>
          <w:szCs w:val="24"/>
          <w:lang w:val="en-US"/>
        </w:rPr>
        <w:t xml:space="preserve">a </w:t>
      </w:r>
      <w:r w:rsidR="001A62EE" w:rsidRPr="00912992">
        <w:rPr>
          <w:rFonts w:ascii="Times New Roman" w:hAnsi="Times New Roman" w:cs="Times New Roman"/>
          <w:bCs/>
          <w:sz w:val="24"/>
          <w:szCs w:val="24"/>
          <w:lang w:val="en-US"/>
        </w:rPr>
        <w:t xml:space="preserve">narrow approach would prevent the consideration of the unavoidable interaction between treaty parties and nonparties, and of the possibility that norms of customary international law or general principles prohibiting destruction of cultural heritage may have emerged by way of abstraction from existing treaties. </w:t>
      </w:r>
    </w:p>
    <w:p w14:paraId="33A074CF" w14:textId="69E5FAD5" w:rsidR="001A62EE" w:rsidRPr="00912992"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lastRenderedPageBreak/>
        <w:tab/>
        <w:t xml:space="preserve">With these general observations in mind, </w:t>
      </w:r>
      <w:r w:rsidR="002124D6">
        <w:rPr>
          <w:rFonts w:ascii="Times New Roman" w:hAnsi="Times New Roman" w:cs="Times New Roman"/>
          <w:bCs/>
          <w:sz w:val="24"/>
          <w:szCs w:val="24"/>
          <w:lang w:val="en-US"/>
        </w:rPr>
        <w:t xml:space="preserve">the </w:t>
      </w:r>
      <w:r w:rsidRPr="00912992">
        <w:rPr>
          <w:rFonts w:ascii="Times New Roman" w:hAnsi="Times New Roman" w:cs="Times New Roman"/>
          <w:bCs/>
          <w:sz w:val="24"/>
          <w:szCs w:val="24"/>
          <w:lang w:val="en-US"/>
        </w:rPr>
        <w:t>following discussion examine</w:t>
      </w:r>
      <w:r w:rsidR="002124D6">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 xml:space="preserve">, first, the existence of norms of customary international law, and then the relevance of general principles of law in the field of cultural heritage protection against acts of deliberate destruction. Customary norms of international law are created by the combination of </w:t>
      </w:r>
      <w:r w:rsidR="00841248" w:rsidRPr="00912992">
        <w:rPr>
          <w:rFonts w:ascii="Times New Roman" w:hAnsi="Times New Roman" w:cs="Times New Roman"/>
          <w:bCs/>
          <w:i/>
          <w:sz w:val="24"/>
          <w:szCs w:val="24"/>
          <w:lang w:val="en-US"/>
        </w:rPr>
        <w:t>diuturnitas</w:t>
      </w:r>
      <w:r w:rsidR="00841248">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a widespread and consistent practice</w:t>
      </w:r>
      <w:r w:rsidR="00841248">
        <w:rPr>
          <w:rFonts w:ascii="Times New Roman" w:hAnsi="Times New Roman" w:cs="Times New Roman"/>
          <w:bCs/>
          <w:sz w:val="24"/>
          <w:szCs w:val="24"/>
          <w:lang w:val="en-US"/>
        </w:rPr>
        <w:t xml:space="preserve">—and </w:t>
      </w:r>
      <w:r w:rsidRPr="00912992">
        <w:rPr>
          <w:rFonts w:ascii="Times New Roman" w:hAnsi="Times New Roman" w:cs="Times New Roman"/>
          <w:bCs/>
          <w:i/>
          <w:iCs/>
          <w:sz w:val="24"/>
          <w:szCs w:val="24"/>
          <w:lang w:val="en-US"/>
        </w:rPr>
        <w:t>opinio iuris</w:t>
      </w:r>
      <w:r w:rsidRPr="00912992">
        <w:rPr>
          <w:rFonts w:ascii="Times New Roman" w:hAnsi="Times New Roman" w:cs="Times New Roman"/>
          <w:bCs/>
          <w:sz w:val="24"/>
          <w:szCs w:val="24"/>
          <w:lang w:val="en-US"/>
        </w:rPr>
        <w:t xml:space="preserve">. This dual structure of custom has been confirmed in the jurisprudence of the International </w:t>
      </w:r>
      <w:r w:rsidR="00817A7C">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ourt of Justice</w:t>
      </w:r>
      <w:r w:rsidR="00817A7C">
        <w:rPr>
          <w:rFonts w:ascii="Times New Roman" w:hAnsi="Times New Roman" w:cs="Times New Roman"/>
          <w:bCs/>
          <w:sz w:val="24"/>
          <w:szCs w:val="24"/>
          <w:lang w:val="en-US"/>
        </w:rPr>
        <w:t xml:space="preserve"> (ICJ)</w:t>
      </w:r>
      <w:r w:rsidRPr="00912992">
        <w:rPr>
          <w:rStyle w:val="EndnoteReference"/>
          <w:rFonts w:ascii="Times New Roman" w:hAnsi="Times New Roman" w:cs="Times New Roman"/>
          <w:bCs/>
          <w:sz w:val="24"/>
          <w:szCs w:val="24"/>
          <w:lang w:val="en-US"/>
        </w:rPr>
        <w:endnoteReference w:id="7"/>
      </w:r>
      <w:r w:rsidR="00272054"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and in the ongoing work of the International Law Commission on the Identification of Customary International Law.</w:t>
      </w:r>
      <w:r w:rsidRPr="00912992">
        <w:rPr>
          <w:rStyle w:val="EndnoteReference"/>
          <w:rFonts w:ascii="Times New Roman" w:hAnsi="Times New Roman" w:cs="Times New Roman"/>
          <w:bCs/>
          <w:sz w:val="24"/>
          <w:szCs w:val="24"/>
          <w:lang w:val="en-US"/>
        </w:rPr>
        <w:endnoteReference w:id="8"/>
      </w:r>
      <w:r w:rsidRPr="00912992">
        <w:rPr>
          <w:rFonts w:ascii="Times New Roman" w:hAnsi="Times New Roman" w:cs="Times New Roman"/>
          <w:bCs/>
          <w:sz w:val="24"/>
          <w:szCs w:val="24"/>
          <w:lang w:val="en-US"/>
        </w:rPr>
        <w:t xml:space="preserve"> Requiring </w:t>
      </w:r>
      <w:r w:rsidR="00B525B9">
        <w:rPr>
          <w:rFonts w:ascii="Times New Roman" w:hAnsi="Times New Roman" w:cs="Times New Roman"/>
          <w:bCs/>
          <w:sz w:val="24"/>
          <w:szCs w:val="24"/>
          <w:lang w:val="en-US"/>
        </w:rPr>
        <w:t xml:space="preserve">both </w:t>
      </w:r>
      <w:r w:rsidRPr="00912992">
        <w:rPr>
          <w:rFonts w:ascii="Times New Roman" w:hAnsi="Times New Roman" w:cs="Times New Roman"/>
          <w:bCs/>
          <w:sz w:val="24"/>
          <w:szCs w:val="24"/>
          <w:lang w:val="en-US"/>
        </w:rPr>
        <w:t xml:space="preserve">elements obviously makes it more difficult </w:t>
      </w:r>
      <w:r w:rsidR="00026A6F">
        <w:rPr>
          <w:rFonts w:ascii="Times New Roman" w:hAnsi="Times New Roman" w:cs="Times New Roman"/>
          <w:bCs/>
          <w:sz w:val="24"/>
          <w:szCs w:val="24"/>
          <w:lang w:val="en-US"/>
        </w:rPr>
        <w:t xml:space="preserve">to </w:t>
      </w:r>
      <w:r w:rsidRPr="00912992">
        <w:rPr>
          <w:rFonts w:ascii="Times New Roman" w:hAnsi="Times New Roman" w:cs="Times New Roman"/>
          <w:bCs/>
          <w:sz w:val="24"/>
          <w:szCs w:val="24"/>
          <w:lang w:val="en-US"/>
        </w:rPr>
        <w:t>determin</w:t>
      </w:r>
      <w:r w:rsidR="00026A6F">
        <w:rPr>
          <w:rFonts w:ascii="Times New Roman" w:hAnsi="Times New Roman" w:cs="Times New Roman"/>
          <w:bCs/>
          <w:sz w:val="24"/>
          <w:szCs w:val="24"/>
          <w:lang w:val="en-US"/>
        </w:rPr>
        <w:t>e</w:t>
      </w:r>
      <w:r w:rsidRPr="00912992">
        <w:rPr>
          <w:rFonts w:ascii="Times New Roman" w:hAnsi="Times New Roman" w:cs="Times New Roman"/>
          <w:bCs/>
          <w:sz w:val="24"/>
          <w:szCs w:val="24"/>
          <w:lang w:val="en-US"/>
        </w:rPr>
        <w:t xml:space="preserve"> the existence of a binding rule of customary international law. This becomes clear especially in the field of cultural heritage</w:t>
      </w:r>
      <w:r w:rsidR="009C0D46">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where manifestations of state practice and expressions of </w:t>
      </w:r>
      <w:r w:rsidR="00602153" w:rsidRPr="00665F17">
        <w:rPr>
          <w:rFonts w:ascii="Times New Roman" w:hAnsi="Times New Roman" w:cs="Times New Roman"/>
          <w:bCs/>
          <w:iCs/>
          <w:sz w:val="24"/>
          <w:szCs w:val="24"/>
          <w:lang w:val="en-US"/>
        </w:rPr>
        <w:t>legal obligation</w:t>
      </w:r>
      <w:r w:rsidRPr="00912992">
        <w:rPr>
          <w:rFonts w:ascii="Times New Roman" w:hAnsi="Times New Roman" w:cs="Times New Roman"/>
          <w:bCs/>
          <w:sz w:val="24"/>
          <w:szCs w:val="24"/>
          <w:lang w:val="en-US"/>
        </w:rPr>
        <w:t xml:space="preserve"> are far from abundant. </w:t>
      </w:r>
    </w:p>
    <w:p w14:paraId="107F4A4E" w14:textId="3102ECC0" w:rsidR="001A62EE" w:rsidRPr="00912992"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 xml:space="preserve">The ICJ, whose case law represents the most authoritative source of evidence </w:t>
      </w:r>
      <w:r w:rsidR="00D5674E">
        <w:rPr>
          <w:rFonts w:ascii="Times New Roman" w:hAnsi="Times New Roman" w:cs="Times New Roman"/>
          <w:bCs/>
          <w:sz w:val="24"/>
          <w:szCs w:val="24"/>
          <w:lang w:val="en-US"/>
        </w:rPr>
        <w:t xml:space="preserve">for </w:t>
      </w:r>
      <w:r w:rsidRPr="00912992">
        <w:rPr>
          <w:rFonts w:ascii="Times New Roman" w:hAnsi="Times New Roman" w:cs="Times New Roman"/>
          <w:bCs/>
          <w:sz w:val="24"/>
          <w:szCs w:val="24"/>
          <w:lang w:val="en-US"/>
        </w:rPr>
        <w:t xml:space="preserve">the existence of customary norms, has had few opportunities </w:t>
      </w:r>
      <w:r w:rsidR="0030347D">
        <w:rPr>
          <w:rFonts w:ascii="Times New Roman" w:hAnsi="Times New Roman" w:cs="Times New Roman"/>
          <w:bCs/>
          <w:sz w:val="24"/>
          <w:szCs w:val="24"/>
          <w:lang w:val="en-US"/>
        </w:rPr>
        <w:t>to</w:t>
      </w:r>
      <w:r w:rsidR="0030347D"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address questions of cultural heritage from the point of view of </w:t>
      </w:r>
      <w:r w:rsidR="000D3355">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general international law</w:t>
      </w:r>
      <w:r w:rsidR="000D3355">
        <w:rPr>
          <w:rFonts w:ascii="Times New Roman" w:hAnsi="Times New Roman" w:cs="Times New Roman"/>
          <w:bCs/>
          <w:sz w:val="24"/>
          <w:szCs w:val="24"/>
          <w:lang w:val="en-US"/>
        </w:rPr>
        <w:t>” (</w:t>
      </w:r>
      <w:r w:rsidR="007F5527">
        <w:rPr>
          <w:rFonts w:ascii="Times New Roman" w:hAnsi="Times New Roman" w:cs="Times New Roman"/>
          <w:bCs/>
          <w:sz w:val="24"/>
          <w:szCs w:val="24"/>
          <w:lang w:val="en-US"/>
        </w:rPr>
        <w:t>which refers to</w:t>
      </w:r>
      <w:r w:rsidR="000D3355">
        <w:rPr>
          <w:rFonts w:ascii="Times New Roman" w:hAnsi="Times New Roman" w:cs="Times New Roman"/>
          <w:bCs/>
          <w:sz w:val="24"/>
          <w:szCs w:val="24"/>
          <w:lang w:val="en-US"/>
        </w:rPr>
        <w:t xml:space="preserve"> </w:t>
      </w:r>
      <w:r w:rsidR="00652DCF">
        <w:rPr>
          <w:rFonts w:ascii="Times New Roman" w:hAnsi="Times New Roman" w:cs="Times New Roman"/>
          <w:bCs/>
          <w:sz w:val="24"/>
          <w:szCs w:val="24"/>
          <w:lang w:val="en-US"/>
        </w:rPr>
        <w:t xml:space="preserve">the combination </w:t>
      </w:r>
      <w:r w:rsidR="003F5787">
        <w:rPr>
          <w:rFonts w:ascii="Times New Roman" w:hAnsi="Times New Roman" w:cs="Times New Roman"/>
          <w:bCs/>
          <w:sz w:val="24"/>
          <w:szCs w:val="24"/>
          <w:lang w:val="en-US"/>
        </w:rPr>
        <w:t xml:space="preserve">of </w:t>
      </w:r>
      <w:r w:rsidR="000D3355">
        <w:rPr>
          <w:rFonts w:ascii="Times New Roman" w:hAnsi="Times New Roman" w:cs="Times New Roman"/>
          <w:bCs/>
          <w:sz w:val="24"/>
          <w:szCs w:val="24"/>
          <w:lang w:val="en-US"/>
        </w:rPr>
        <w:t>customary international law and general pri</w:t>
      </w:r>
      <w:r w:rsidR="007F5527">
        <w:rPr>
          <w:rFonts w:ascii="Times New Roman" w:hAnsi="Times New Roman" w:cs="Times New Roman"/>
          <w:bCs/>
          <w:sz w:val="24"/>
          <w:szCs w:val="24"/>
          <w:lang w:val="en-US"/>
        </w:rPr>
        <w:t>n</w:t>
      </w:r>
      <w:r w:rsidR="000D3355">
        <w:rPr>
          <w:rFonts w:ascii="Times New Roman" w:hAnsi="Times New Roman" w:cs="Times New Roman"/>
          <w:bCs/>
          <w:sz w:val="24"/>
          <w:szCs w:val="24"/>
          <w:lang w:val="en-US"/>
        </w:rPr>
        <w:t>ciples)</w:t>
      </w:r>
      <w:r w:rsidRPr="00912992">
        <w:rPr>
          <w:rFonts w:ascii="Times New Roman" w:hAnsi="Times New Roman" w:cs="Times New Roman"/>
          <w:bCs/>
          <w:sz w:val="24"/>
          <w:szCs w:val="24"/>
          <w:lang w:val="en-US"/>
        </w:rPr>
        <w:t xml:space="preserve">. In the case of </w:t>
      </w:r>
      <w:r w:rsidRPr="00912992">
        <w:rPr>
          <w:rFonts w:ascii="Times New Roman" w:hAnsi="Times New Roman" w:cs="Times New Roman"/>
          <w:bCs/>
          <w:i/>
          <w:sz w:val="24"/>
          <w:szCs w:val="24"/>
          <w:lang w:val="en-US"/>
        </w:rPr>
        <w:t xml:space="preserve">Temple of Preah Vihear </w:t>
      </w:r>
      <w:r w:rsidRPr="00665F17">
        <w:rPr>
          <w:rFonts w:ascii="Times New Roman" w:hAnsi="Times New Roman" w:cs="Times New Roman"/>
          <w:bCs/>
          <w:i/>
          <w:iCs/>
          <w:sz w:val="24"/>
          <w:szCs w:val="24"/>
          <w:lang w:val="en-US"/>
        </w:rPr>
        <w:t>(Cambodia v</w:t>
      </w:r>
      <w:r w:rsidR="00614E6A">
        <w:rPr>
          <w:rFonts w:ascii="Times New Roman" w:hAnsi="Times New Roman" w:cs="Times New Roman"/>
          <w:bCs/>
          <w:i/>
          <w:iCs/>
          <w:sz w:val="24"/>
          <w:szCs w:val="24"/>
          <w:lang w:val="en-US"/>
        </w:rPr>
        <w:t>.</w:t>
      </w:r>
      <w:r w:rsidRPr="00665F17">
        <w:rPr>
          <w:rFonts w:ascii="Times New Roman" w:hAnsi="Times New Roman" w:cs="Times New Roman"/>
          <w:bCs/>
          <w:i/>
          <w:iCs/>
          <w:sz w:val="24"/>
          <w:szCs w:val="24"/>
          <w:lang w:val="en-US"/>
        </w:rPr>
        <w:t xml:space="preserve"> Thailand)</w:t>
      </w:r>
      <w:r w:rsidRPr="00912992">
        <w:rPr>
          <w:rFonts w:ascii="Times New Roman" w:hAnsi="Times New Roman" w:cs="Times New Roman"/>
          <w:bCs/>
          <w:sz w:val="24"/>
          <w:szCs w:val="24"/>
          <w:lang w:val="en-US"/>
        </w:rPr>
        <w:t>,</w:t>
      </w:r>
      <w:r w:rsidRPr="00912992">
        <w:rPr>
          <w:rFonts w:ascii="Times New Roman" w:hAnsi="Times New Roman" w:cs="Times New Roman"/>
          <w:bCs/>
          <w:i/>
          <w:sz w:val="24"/>
          <w:szCs w:val="24"/>
          <w:lang w:val="en-US"/>
        </w:rPr>
        <w:t xml:space="preserve"> </w:t>
      </w:r>
      <w:r w:rsidRPr="00912992">
        <w:rPr>
          <w:rFonts w:ascii="Times New Roman" w:hAnsi="Times New Roman" w:cs="Times New Roman"/>
          <w:bCs/>
          <w:sz w:val="24"/>
          <w:szCs w:val="24"/>
          <w:lang w:val="en-US"/>
        </w:rPr>
        <w:t xml:space="preserve">decided first in 1962 and again in 2013 on a request for interpretation, the </w:t>
      </w:r>
      <w:r w:rsidR="00823ADB">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 xml:space="preserve">ourt ruled that Thailand had an obligation to respect Cambodia’s sovereignty over the area of the </w:t>
      </w:r>
      <w:r w:rsidR="00196F55">
        <w:rPr>
          <w:rFonts w:ascii="Times New Roman" w:hAnsi="Times New Roman" w:cs="Times New Roman"/>
          <w:bCs/>
          <w:sz w:val="24"/>
          <w:szCs w:val="24"/>
          <w:lang w:val="en-US"/>
        </w:rPr>
        <w:t>t</w:t>
      </w:r>
      <w:r w:rsidRPr="00912992">
        <w:rPr>
          <w:rFonts w:ascii="Times New Roman" w:hAnsi="Times New Roman" w:cs="Times New Roman"/>
          <w:bCs/>
          <w:sz w:val="24"/>
          <w:szCs w:val="24"/>
          <w:lang w:val="en-US"/>
        </w:rPr>
        <w:t xml:space="preserve">emple, to return to Cambodia parts of the cultural heritage removed from the monument during the period of </w:t>
      </w:r>
      <w:r w:rsidR="0008299B">
        <w:rPr>
          <w:rFonts w:ascii="Times New Roman" w:hAnsi="Times New Roman" w:cs="Times New Roman"/>
          <w:bCs/>
          <w:sz w:val="24"/>
          <w:szCs w:val="24"/>
          <w:lang w:val="en-US"/>
        </w:rPr>
        <w:t xml:space="preserve">its </w:t>
      </w:r>
      <w:r w:rsidRPr="00912992">
        <w:rPr>
          <w:rFonts w:ascii="Times New Roman" w:hAnsi="Times New Roman" w:cs="Times New Roman"/>
          <w:bCs/>
          <w:sz w:val="24"/>
          <w:szCs w:val="24"/>
          <w:lang w:val="en-US"/>
        </w:rPr>
        <w:t>military occupation of the site</w:t>
      </w:r>
      <w:r w:rsidR="0008299B">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to ensure cooperation at bilateral and multilateral level</w:t>
      </w:r>
      <w:r w:rsidR="0008299B">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 xml:space="preserve"> </w:t>
      </w:r>
      <w:r w:rsidR="0008299B">
        <w:rPr>
          <w:rFonts w:ascii="Times New Roman" w:hAnsi="Times New Roman" w:cs="Times New Roman"/>
          <w:bCs/>
          <w:sz w:val="24"/>
          <w:szCs w:val="24"/>
          <w:lang w:val="en-US"/>
        </w:rPr>
        <w:t xml:space="preserve">to </w:t>
      </w:r>
      <w:r w:rsidRPr="00912992">
        <w:rPr>
          <w:rFonts w:ascii="Times New Roman" w:hAnsi="Times New Roman" w:cs="Times New Roman"/>
          <w:bCs/>
          <w:sz w:val="24"/>
          <w:szCs w:val="24"/>
          <w:lang w:val="en-US"/>
        </w:rPr>
        <w:t xml:space="preserve">safeguard the important cultural and religious value of the </w:t>
      </w:r>
      <w:r w:rsidR="0077663D">
        <w:rPr>
          <w:rFonts w:ascii="Times New Roman" w:hAnsi="Times New Roman" w:cs="Times New Roman"/>
          <w:bCs/>
          <w:sz w:val="24"/>
          <w:szCs w:val="24"/>
          <w:lang w:val="en-US"/>
        </w:rPr>
        <w:t>t</w:t>
      </w:r>
      <w:r w:rsidRPr="00912992">
        <w:rPr>
          <w:rFonts w:ascii="Times New Roman" w:hAnsi="Times New Roman" w:cs="Times New Roman"/>
          <w:bCs/>
          <w:sz w:val="24"/>
          <w:szCs w:val="24"/>
          <w:lang w:val="en-US"/>
        </w:rPr>
        <w:t>emple</w:t>
      </w:r>
      <w:r w:rsidR="0008299B">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and not to “take any deliberate measure</w:t>
      </w:r>
      <w:r w:rsidR="001F0BBE">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 xml:space="preserve"> which might damage directly or indirectly </w:t>
      </w:r>
      <w:r w:rsidR="001F0BBE">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such</w:t>
      </w:r>
      <w:r w:rsidR="001F0BBE">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heritage</w:t>
      </w:r>
      <w:r w:rsidR="00084914">
        <w:rPr>
          <w:rFonts w:ascii="Times New Roman" w:hAnsi="Times New Roman" w:cs="Times New Roman"/>
          <w:bCs/>
          <w:sz w:val="24"/>
          <w:szCs w:val="24"/>
          <w:lang w:val="en-US"/>
        </w:rPr>
        <w:t>.”</w:t>
      </w:r>
      <w:r w:rsidRPr="00912992">
        <w:rPr>
          <w:rStyle w:val="EndnoteReference"/>
          <w:rFonts w:ascii="Times New Roman" w:hAnsi="Times New Roman" w:cs="Times New Roman"/>
          <w:bCs/>
          <w:sz w:val="24"/>
          <w:szCs w:val="24"/>
          <w:lang w:val="en-US"/>
        </w:rPr>
        <w:endnoteReference w:id="9"/>
      </w:r>
      <w:r w:rsidRPr="00912992">
        <w:rPr>
          <w:rFonts w:ascii="Times New Roman" w:hAnsi="Times New Roman" w:cs="Times New Roman"/>
          <w:bCs/>
          <w:sz w:val="24"/>
          <w:szCs w:val="24"/>
          <w:lang w:val="en-US"/>
        </w:rPr>
        <w:t xml:space="preserve"> These statements imply a general sense of duty to respect cultural heritage of great importance, but fall short of a specific recognition of a customary norm prohibiting the intentional destruction of cultural heritage. Another case brought before the </w:t>
      </w:r>
      <w:r w:rsidR="005505D2">
        <w:rPr>
          <w:rFonts w:ascii="Times New Roman" w:hAnsi="Times New Roman" w:cs="Times New Roman"/>
          <w:bCs/>
          <w:sz w:val="24"/>
          <w:szCs w:val="24"/>
          <w:lang w:val="en-US"/>
        </w:rPr>
        <w:t>ICJ</w:t>
      </w:r>
      <w:r w:rsidRPr="00912992">
        <w:rPr>
          <w:rFonts w:ascii="Times New Roman" w:hAnsi="Times New Roman" w:cs="Times New Roman"/>
          <w:bCs/>
          <w:sz w:val="24"/>
          <w:szCs w:val="24"/>
          <w:lang w:val="en-US"/>
        </w:rPr>
        <w:t xml:space="preserve">, </w:t>
      </w:r>
      <w:r w:rsidRPr="00912992">
        <w:rPr>
          <w:rFonts w:ascii="Times New Roman" w:hAnsi="Times New Roman" w:cs="Times New Roman"/>
          <w:bCs/>
          <w:i/>
          <w:sz w:val="24"/>
          <w:szCs w:val="24"/>
          <w:lang w:val="en-US"/>
        </w:rPr>
        <w:t>Liechtenstein v</w:t>
      </w:r>
      <w:r w:rsidR="00614E6A">
        <w:rPr>
          <w:rFonts w:ascii="Times New Roman" w:hAnsi="Times New Roman" w:cs="Times New Roman"/>
          <w:bCs/>
          <w:i/>
          <w:sz w:val="24"/>
          <w:szCs w:val="24"/>
          <w:lang w:val="en-US"/>
        </w:rPr>
        <w:t>.</w:t>
      </w:r>
      <w:r w:rsidRPr="00912992">
        <w:rPr>
          <w:rFonts w:ascii="Times New Roman" w:hAnsi="Times New Roman" w:cs="Times New Roman"/>
          <w:bCs/>
          <w:i/>
          <w:sz w:val="24"/>
          <w:szCs w:val="24"/>
          <w:lang w:val="en-US"/>
        </w:rPr>
        <w:t xml:space="preserve"> Germany</w:t>
      </w:r>
      <w:r w:rsidRPr="00912992">
        <w:rPr>
          <w:rFonts w:ascii="Times New Roman" w:hAnsi="Times New Roman" w:cs="Times New Roman"/>
          <w:bCs/>
          <w:sz w:val="24"/>
          <w:szCs w:val="24"/>
          <w:lang w:val="en-US"/>
        </w:rPr>
        <w:t xml:space="preserve"> (2005), for the restitution of cultural property expropriated by a third country after World War II, never went beyond the phase of preliminary objections, </w:t>
      </w:r>
      <w:r w:rsidR="006A63F2">
        <w:rPr>
          <w:rFonts w:ascii="Times New Roman" w:hAnsi="Times New Roman" w:cs="Times New Roman"/>
          <w:bCs/>
          <w:sz w:val="24"/>
          <w:szCs w:val="24"/>
          <w:lang w:val="en-US"/>
        </w:rPr>
        <w:t xml:space="preserve">with </w:t>
      </w:r>
      <w:r w:rsidRPr="00912992">
        <w:rPr>
          <w:rFonts w:ascii="Times New Roman" w:hAnsi="Times New Roman" w:cs="Times New Roman"/>
          <w:bCs/>
          <w:sz w:val="24"/>
          <w:szCs w:val="24"/>
          <w:lang w:val="en-US"/>
        </w:rPr>
        <w:t xml:space="preserve">the </w:t>
      </w:r>
      <w:r w:rsidR="005505D2">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ourt declar</w:t>
      </w:r>
      <w:r w:rsidR="006A63F2">
        <w:rPr>
          <w:rFonts w:ascii="Times New Roman" w:hAnsi="Times New Roman" w:cs="Times New Roman"/>
          <w:bCs/>
          <w:sz w:val="24"/>
          <w:szCs w:val="24"/>
          <w:lang w:val="en-US"/>
        </w:rPr>
        <w:t>ing</w:t>
      </w:r>
      <w:r w:rsidRPr="00912992">
        <w:rPr>
          <w:rFonts w:ascii="Times New Roman" w:hAnsi="Times New Roman" w:cs="Times New Roman"/>
          <w:bCs/>
          <w:sz w:val="24"/>
          <w:szCs w:val="24"/>
          <w:lang w:val="en-US"/>
        </w:rPr>
        <w:t xml:space="preserve"> its lack of jurisdiction.</w:t>
      </w:r>
      <w:r w:rsidRPr="00912992">
        <w:rPr>
          <w:rStyle w:val="EndnoteReference"/>
          <w:rFonts w:ascii="Times New Roman" w:hAnsi="Times New Roman" w:cs="Times New Roman"/>
          <w:bCs/>
          <w:sz w:val="24"/>
          <w:szCs w:val="24"/>
          <w:lang w:val="en-US"/>
        </w:rPr>
        <w:endnoteReference w:id="10"/>
      </w:r>
      <w:r w:rsidRPr="00912992">
        <w:rPr>
          <w:rFonts w:ascii="Times New Roman" w:hAnsi="Times New Roman" w:cs="Times New Roman"/>
          <w:bCs/>
          <w:sz w:val="24"/>
          <w:szCs w:val="24"/>
          <w:lang w:val="en-US"/>
        </w:rPr>
        <w:t xml:space="preserve"> </w:t>
      </w:r>
    </w:p>
    <w:p w14:paraId="4927C12B" w14:textId="43AF6949" w:rsidR="009C28D4" w:rsidRDefault="00032C38"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lastRenderedPageBreak/>
        <w:tab/>
      </w:r>
      <w:r w:rsidR="001A62EE" w:rsidRPr="00912992">
        <w:rPr>
          <w:rFonts w:ascii="Times New Roman" w:hAnsi="Times New Roman" w:cs="Times New Roman"/>
          <w:bCs/>
          <w:sz w:val="24"/>
          <w:szCs w:val="24"/>
          <w:lang w:val="en-US"/>
        </w:rPr>
        <w:t xml:space="preserve">In the </w:t>
      </w:r>
      <w:r w:rsidR="001A62EE" w:rsidRPr="00912992">
        <w:rPr>
          <w:rFonts w:ascii="Times New Roman" w:hAnsi="Times New Roman" w:cs="Times New Roman"/>
          <w:bCs/>
          <w:i/>
          <w:sz w:val="24"/>
          <w:szCs w:val="24"/>
          <w:lang w:val="en-US"/>
        </w:rPr>
        <w:t>Genocide</w:t>
      </w:r>
      <w:r w:rsidR="001A62EE" w:rsidRPr="00912992">
        <w:rPr>
          <w:rFonts w:ascii="Times New Roman" w:hAnsi="Times New Roman" w:cs="Times New Roman"/>
          <w:bCs/>
          <w:sz w:val="24"/>
          <w:szCs w:val="24"/>
          <w:lang w:val="en-US"/>
        </w:rPr>
        <w:t xml:space="preserve"> case (2007)</w:t>
      </w:r>
      <w:r w:rsidR="005E3912">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the ICJ was confronted with the question whether the documented destruction by Serbia of religious, historical</w:t>
      </w:r>
      <w:r w:rsidR="00F62407">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and cultural monuments and sites </w:t>
      </w:r>
      <w:r w:rsidR="00700687">
        <w:rPr>
          <w:rFonts w:ascii="Times New Roman" w:hAnsi="Times New Roman" w:cs="Times New Roman"/>
          <w:bCs/>
          <w:sz w:val="24"/>
          <w:szCs w:val="24"/>
          <w:lang w:val="en-US"/>
        </w:rPr>
        <w:t xml:space="preserve">within </w:t>
      </w:r>
      <w:r w:rsidR="001A62EE" w:rsidRPr="00912992">
        <w:rPr>
          <w:rFonts w:ascii="Times New Roman" w:hAnsi="Times New Roman" w:cs="Times New Roman"/>
          <w:bCs/>
          <w:sz w:val="24"/>
          <w:szCs w:val="24"/>
          <w:lang w:val="en-US"/>
        </w:rPr>
        <w:t xml:space="preserve">Bosnia </w:t>
      </w:r>
      <w:r w:rsidR="00F62407">
        <w:rPr>
          <w:rFonts w:ascii="Times New Roman" w:hAnsi="Times New Roman" w:cs="Times New Roman"/>
          <w:bCs/>
          <w:sz w:val="24"/>
          <w:szCs w:val="24"/>
          <w:lang w:val="en-US"/>
        </w:rPr>
        <w:t xml:space="preserve">and </w:t>
      </w:r>
      <w:r w:rsidR="001A62EE" w:rsidRPr="00912992">
        <w:rPr>
          <w:rFonts w:ascii="Times New Roman" w:hAnsi="Times New Roman" w:cs="Times New Roman"/>
          <w:bCs/>
          <w:sz w:val="24"/>
          <w:szCs w:val="24"/>
          <w:lang w:val="en-US"/>
        </w:rPr>
        <w:t xml:space="preserve">Herzegovina during the </w:t>
      </w:r>
      <w:r w:rsidR="00A009E8">
        <w:rPr>
          <w:rFonts w:ascii="Times New Roman" w:hAnsi="Times New Roman" w:cs="Times New Roman"/>
          <w:bCs/>
          <w:sz w:val="24"/>
          <w:szCs w:val="24"/>
          <w:lang w:val="en-US"/>
        </w:rPr>
        <w:t>Bosnian W</w:t>
      </w:r>
      <w:r w:rsidR="001A62EE" w:rsidRPr="00912992">
        <w:rPr>
          <w:rFonts w:ascii="Times New Roman" w:hAnsi="Times New Roman" w:cs="Times New Roman"/>
          <w:bCs/>
          <w:sz w:val="24"/>
          <w:szCs w:val="24"/>
          <w:lang w:val="en-US"/>
        </w:rPr>
        <w:t xml:space="preserve">ar </w:t>
      </w:r>
      <w:r w:rsidR="00515B7D">
        <w:rPr>
          <w:rFonts w:ascii="Times New Roman" w:hAnsi="Times New Roman" w:cs="Times New Roman"/>
          <w:bCs/>
          <w:sz w:val="24"/>
          <w:szCs w:val="24"/>
          <w:lang w:val="en-US"/>
        </w:rPr>
        <w:t xml:space="preserve">(1992–95) </w:t>
      </w:r>
      <w:r w:rsidR="001A62EE" w:rsidRPr="00912992">
        <w:rPr>
          <w:rFonts w:ascii="Times New Roman" w:hAnsi="Times New Roman" w:cs="Times New Roman"/>
          <w:bCs/>
          <w:sz w:val="24"/>
          <w:szCs w:val="24"/>
          <w:lang w:val="en-US"/>
        </w:rPr>
        <w:t xml:space="preserve">could be considered part of the criminal enterprise of genocide. The </w:t>
      </w:r>
      <w:r w:rsidR="006357A5">
        <w:rPr>
          <w:rFonts w:ascii="Times New Roman" w:hAnsi="Times New Roman" w:cs="Times New Roman"/>
          <w:bCs/>
          <w:sz w:val="24"/>
          <w:szCs w:val="24"/>
          <w:lang w:val="en-US"/>
        </w:rPr>
        <w:t>c</w:t>
      </w:r>
      <w:r w:rsidR="001A62EE" w:rsidRPr="00912992">
        <w:rPr>
          <w:rFonts w:ascii="Times New Roman" w:hAnsi="Times New Roman" w:cs="Times New Roman"/>
          <w:bCs/>
          <w:sz w:val="24"/>
          <w:szCs w:val="24"/>
          <w:lang w:val="en-US"/>
        </w:rPr>
        <w:t>ourt concluded that the intentional destruction of cultural property</w:t>
      </w:r>
      <w:r w:rsidR="00A569FD">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 xml:space="preserve">“does not fall within the category of acts of genocide set out in Article II of the </w:t>
      </w:r>
      <w:r w:rsidR="00A569FD">
        <w:rPr>
          <w:rFonts w:ascii="Times New Roman" w:hAnsi="Times New Roman" w:cs="Times New Roman"/>
          <w:bCs/>
          <w:sz w:val="24"/>
          <w:szCs w:val="24"/>
          <w:lang w:val="en-US"/>
        </w:rPr>
        <w:t xml:space="preserve">[1948 Genocide] </w:t>
      </w:r>
      <w:r w:rsidR="001A62EE" w:rsidRPr="00912992">
        <w:rPr>
          <w:rFonts w:ascii="Times New Roman" w:hAnsi="Times New Roman" w:cs="Times New Roman"/>
          <w:bCs/>
          <w:sz w:val="24"/>
          <w:szCs w:val="24"/>
          <w:lang w:val="en-US"/>
        </w:rPr>
        <w:t>Convention</w:t>
      </w:r>
      <w:r w:rsidR="00084914">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However, in the same paragraph, the </w:t>
      </w:r>
      <w:r w:rsidR="00A3274C">
        <w:rPr>
          <w:rFonts w:ascii="Times New Roman" w:hAnsi="Times New Roman" w:cs="Times New Roman"/>
          <w:bCs/>
          <w:sz w:val="24"/>
          <w:szCs w:val="24"/>
          <w:lang w:val="en-US"/>
        </w:rPr>
        <w:t>ICJ</w:t>
      </w:r>
      <w:r w:rsidR="00A3274C" w:rsidRPr="00912992">
        <w:rPr>
          <w:rFonts w:ascii="Times New Roman" w:hAnsi="Times New Roman" w:cs="Times New Roman"/>
          <w:bCs/>
          <w:sz w:val="24"/>
          <w:szCs w:val="24"/>
          <w:lang w:val="en-US"/>
        </w:rPr>
        <w:t xml:space="preserve"> </w:t>
      </w:r>
      <w:r w:rsidR="00A3274C">
        <w:rPr>
          <w:rFonts w:ascii="Times New Roman" w:hAnsi="Times New Roman" w:cs="Times New Roman"/>
          <w:bCs/>
          <w:sz w:val="24"/>
          <w:szCs w:val="24"/>
          <w:lang w:val="en-US"/>
        </w:rPr>
        <w:t xml:space="preserve">also </w:t>
      </w:r>
      <w:r w:rsidR="001A62EE" w:rsidRPr="00912992">
        <w:rPr>
          <w:rFonts w:ascii="Times New Roman" w:hAnsi="Times New Roman" w:cs="Times New Roman"/>
          <w:bCs/>
          <w:sz w:val="24"/>
          <w:szCs w:val="24"/>
          <w:lang w:val="en-US"/>
        </w:rPr>
        <w:t>recognized that “the elimination of all traces of the cultural or religious presence of a group” may be “contrary to other legal norms</w:t>
      </w:r>
      <w:r w:rsidR="00084914">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The judgment does not clarify</w:t>
      </w:r>
      <w:r w:rsidR="0057359F" w:rsidRPr="0057359F">
        <w:rPr>
          <w:rFonts w:ascii="Times New Roman" w:hAnsi="Times New Roman" w:cs="Times New Roman"/>
          <w:bCs/>
          <w:sz w:val="24"/>
          <w:szCs w:val="24"/>
          <w:lang w:val="en-US"/>
        </w:rPr>
        <w:t xml:space="preserve"> </w:t>
      </w:r>
      <w:r w:rsidR="0057359F">
        <w:rPr>
          <w:rFonts w:ascii="Times New Roman" w:hAnsi="Times New Roman" w:cs="Times New Roman"/>
          <w:bCs/>
          <w:sz w:val="24"/>
          <w:szCs w:val="24"/>
          <w:lang w:val="en-US"/>
        </w:rPr>
        <w:t>w</w:t>
      </w:r>
      <w:r w:rsidR="0057359F" w:rsidRPr="00912992">
        <w:rPr>
          <w:rFonts w:ascii="Times New Roman" w:hAnsi="Times New Roman" w:cs="Times New Roman"/>
          <w:bCs/>
          <w:sz w:val="24"/>
          <w:szCs w:val="24"/>
          <w:lang w:val="en-US"/>
        </w:rPr>
        <w:t xml:space="preserve">hat kind of legal norms the </w:t>
      </w:r>
      <w:r w:rsidR="0057359F">
        <w:rPr>
          <w:rFonts w:ascii="Times New Roman" w:hAnsi="Times New Roman" w:cs="Times New Roman"/>
          <w:bCs/>
          <w:sz w:val="24"/>
          <w:szCs w:val="24"/>
          <w:lang w:val="en-US"/>
        </w:rPr>
        <w:t>c</w:t>
      </w:r>
      <w:r w:rsidR="0057359F" w:rsidRPr="00912992">
        <w:rPr>
          <w:rFonts w:ascii="Times New Roman" w:hAnsi="Times New Roman" w:cs="Times New Roman"/>
          <w:bCs/>
          <w:sz w:val="24"/>
          <w:szCs w:val="24"/>
          <w:lang w:val="en-US"/>
        </w:rPr>
        <w:t>ourt ha</w:t>
      </w:r>
      <w:r w:rsidR="0057359F">
        <w:rPr>
          <w:rFonts w:ascii="Times New Roman" w:hAnsi="Times New Roman" w:cs="Times New Roman"/>
          <w:bCs/>
          <w:sz w:val="24"/>
          <w:szCs w:val="24"/>
          <w:lang w:val="en-US"/>
        </w:rPr>
        <w:t>d</w:t>
      </w:r>
      <w:r w:rsidR="0057359F" w:rsidRPr="00912992">
        <w:rPr>
          <w:rFonts w:ascii="Times New Roman" w:hAnsi="Times New Roman" w:cs="Times New Roman"/>
          <w:bCs/>
          <w:sz w:val="24"/>
          <w:szCs w:val="24"/>
          <w:lang w:val="en-US"/>
        </w:rPr>
        <w:t xml:space="preserve"> in mind</w:t>
      </w:r>
      <w:r w:rsidR="0057359F">
        <w:rPr>
          <w:rFonts w:ascii="Times New Roman" w:hAnsi="Times New Roman" w:cs="Times New Roman"/>
          <w:bCs/>
          <w:sz w:val="24"/>
          <w:szCs w:val="24"/>
          <w:lang w:val="en-US"/>
        </w:rPr>
        <w:t>, whether</w:t>
      </w:r>
      <w:r w:rsidR="0057359F" w:rsidRPr="00912992">
        <w:rPr>
          <w:rFonts w:ascii="Times New Roman" w:hAnsi="Times New Roman" w:cs="Times New Roman"/>
          <w:bCs/>
          <w:sz w:val="24"/>
          <w:szCs w:val="24"/>
          <w:lang w:val="en-US"/>
        </w:rPr>
        <w:t xml:space="preserve"> </w:t>
      </w:r>
      <w:r w:rsidR="0057359F">
        <w:rPr>
          <w:rFonts w:ascii="Times New Roman" w:hAnsi="Times New Roman" w:cs="Times New Roman"/>
          <w:bCs/>
          <w:sz w:val="24"/>
          <w:szCs w:val="24"/>
          <w:lang w:val="en-US"/>
        </w:rPr>
        <w:t>t</w:t>
      </w:r>
      <w:r w:rsidR="0057359F" w:rsidRPr="00912992">
        <w:rPr>
          <w:rFonts w:ascii="Times New Roman" w:hAnsi="Times New Roman" w:cs="Times New Roman"/>
          <w:bCs/>
          <w:sz w:val="24"/>
          <w:szCs w:val="24"/>
          <w:lang w:val="en-US"/>
        </w:rPr>
        <w:t>reaty norms</w:t>
      </w:r>
      <w:r w:rsidR="0057359F">
        <w:rPr>
          <w:rFonts w:ascii="Times New Roman" w:hAnsi="Times New Roman" w:cs="Times New Roman"/>
          <w:bCs/>
          <w:sz w:val="24"/>
          <w:szCs w:val="24"/>
          <w:lang w:val="en-US"/>
        </w:rPr>
        <w:t xml:space="preserve"> or</w:t>
      </w:r>
      <w:r w:rsidR="0057359F" w:rsidRPr="00912992">
        <w:rPr>
          <w:rFonts w:ascii="Times New Roman" w:hAnsi="Times New Roman" w:cs="Times New Roman"/>
          <w:bCs/>
          <w:sz w:val="24"/>
          <w:szCs w:val="24"/>
          <w:lang w:val="en-US"/>
        </w:rPr>
        <w:t xml:space="preserve"> </w:t>
      </w:r>
      <w:r w:rsidR="0057359F">
        <w:rPr>
          <w:rFonts w:ascii="Times New Roman" w:hAnsi="Times New Roman" w:cs="Times New Roman"/>
          <w:bCs/>
          <w:sz w:val="24"/>
          <w:szCs w:val="24"/>
          <w:lang w:val="en-US"/>
        </w:rPr>
        <w:t>c</w:t>
      </w:r>
      <w:r w:rsidR="0057359F" w:rsidRPr="00912992">
        <w:rPr>
          <w:rFonts w:ascii="Times New Roman" w:hAnsi="Times New Roman" w:cs="Times New Roman"/>
          <w:bCs/>
          <w:sz w:val="24"/>
          <w:szCs w:val="24"/>
          <w:lang w:val="en-US"/>
        </w:rPr>
        <w:t>ustomary rules</w:t>
      </w:r>
      <w:r w:rsidR="0057359F">
        <w:rPr>
          <w:rFonts w:ascii="Times New Roman" w:hAnsi="Times New Roman" w:cs="Times New Roman"/>
          <w:bCs/>
          <w:sz w:val="24"/>
          <w:szCs w:val="24"/>
          <w:lang w:val="en-US"/>
        </w:rPr>
        <w:t xml:space="preserve">, </w:t>
      </w:r>
      <w:r w:rsidR="00A81182">
        <w:rPr>
          <w:rFonts w:ascii="Times New Roman" w:hAnsi="Times New Roman" w:cs="Times New Roman"/>
          <w:bCs/>
          <w:sz w:val="24"/>
          <w:szCs w:val="24"/>
          <w:lang w:val="en-US"/>
        </w:rPr>
        <w:t>for example</w:t>
      </w:r>
      <w:r w:rsidR="001A62EE" w:rsidRPr="00912992">
        <w:rPr>
          <w:rFonts w:ascii="Times New Roman" w:hAnsi="Times New Roman" w:cs="Times New Roman"/>
          <w:bCs/>
          <w:sz w:val="24"/>
          <w:szCs w:val="24"/>
          <w:lang w:val="en-US"/>
        </w:rPr>
        <w:t xml:space="preserve">. And this is quite understandable since the </w:t>
      </w:r>
      <w:r w:rsidR="00956113">
        <w:rPr>
          <w:rFonts w:ascii="Times New Roman" w:hAnsi="Times New Roman" w:cs="Times New Roman"/>
          <w:bCs/>
          <w:sz w:val="24"/>
          <w:szCs w:val="24"/>
          <w:lang w:val="en-US"/>
        </w:rPr>
        <w:t xml:space="preserve">court’s </w:t>
      </w:r>
      <w:r w:rsidR="001A62EE" w:rsidRPr="00912992">
        <w:rPr>
          <w:rFonts w:ascii="Times New Roman" w:hAnsi="Times New Roman" w:cs="Times New Roman"/>
          <w:bCs/>
          <w:sz w:val="24"/>
          <w:szCs w:val="24"/>
          <w:lang w:val="en-US"/>
        </w:rPr>
        <w:t>jurisdiction in th</w:t>
      </w:r>
      <w:r w:rsidR="00956113">
        <w:rPr>
          <w:rFonts w:ascii="Times New Roman" w:hAnsi="Times New Roman" w:cs="Times New Roman"/>
          <w:bCs/>
          <w:sz w:val="24"/>
          <w:szCs w:val="24"/>
          <w:lang w:val="en-US"/>
        </w:rPr>
        <w:t>e</w:t>
      </w:r>
      <w:r w:rsidR="001A62EE" w:rsidRPr="00912992">
        <w:rPr>
          <w:rFonts w:ascii="Times New Roman" w:hAnsi="Times New Roman" w:cs="Times New Roman"/>
          <w:bCs/>
          <w:sz w:val="24"/>
          <w:szCs w:val="24"/>
          <w:lang w:val="en-US"/>
        </w:rPr>
        <w:t xml:space="preserve"> case was grounded in the Genocide Convention and could not, therefore, extend to the application </w:t>
      </w:r>
      <w:r w:rsidR="00360598">
        <w:rPr>
          <w:rFonts w:ascii="Times New Roman" w:hAnsi="Times New Roman" w:cs="Times New Roman"/>
          <w:bCs/>
          <w:sz w:val="24"/>
          <w:szCs w:val="24"/>
          <w:lang w:val="en-US"/>
        </w:rPr>
        <w:t xml:space="preserve">of </w:t>
      </w:r>
      <w:r w:rsidR="004C26AD">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other legal norms,</w:t>
      </w:r>
      <w:r w:rsidR="004C26AD">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however significant </w:t>
      </w:r>
      <w:r w:rsidR="004C26AD">
        <w:rPr>
          <w:rFonts w:ascii="Times New Roman" w:hAnsi="Times New Roman" w:cs="Times New Roman"/>
          <w:bCs/>
          <w:sz w:val="24"/>
          <w:szCs w:val="24"/>
          <w:lang w:val="en-US"/>
        </w:rPr>
        <w:t xml:space="preserve">those </w:t>
      </w:r>
      <w:r w:rsidR="001A62EE" w:rsidRPr="00912992">
        <w:rPr>
          <w:rFonts w:ascii="Times New Roman" w:hAnsi="Times New Roman" w:cs="Times New Roman"/>
          <w:bCs/>
          <w:sz w:val="24"/>
          <w:szCs w:val="24"/>
          <w:lang w:val="en-US"/>
        </w:rPr>
        <w:t xml:space="preserve">on cultural destruction could have been as a matter of applicable law. </w:t>
      </w:r>
    </w:p>
    <w:p w14:paraId="0466F434" w14:textId="395B73FC" w:rsidR="001A62EE" w:rsidRPr="00912992" w:rsidRDefault="009C28D4" w:rsidP="000D3355">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Nevertheless</w:t>
      </w:r>
      <w:r w:rsidR="001A62EE" w:rsidRPr="00912992">
        <w:rPr>
          <w:rFonts w:ascii="Times New Roman" w:hAnsi="Times New Roman" w:cs="Times New Roman"/>
          <w:bCs/>
          <w:sz w:val="24"/>
          <w:szCs w:val="24"/>
          <w:lang w:val="en-US"/>
        </w:rPr>
        <w:t xml:space="preserve">, this precedent </w:t>
      </w:r>
      <w:r w:rsidR="0073482F">
        <w:rPr>
          <w:rFonts w:ascii="Times New Roman" w:hAnsi="Times New Roman" w:cs="Times New Roman"/>
          <w:bCs/>
          <w:sz w:val="24"/>
          <w:szCs w:val="24"/>
          <w:lang w:val="en-US"/>
        </w:rPr>
        <w:t>provides</w:t>
      </w:r>
      <w:r w:rsidR="001A62EE" w:rsidRPr="00912992">
        <w:rPr>
          <w:rFonts w:ascii="Times New Roman" w:hAnsi="Times New Roman" w:cs="Times New Roman"/>
          <w:bCs/>
          <w:sz w:val="24"/>
          <w:szCs w:val="24"/>
          <w:lang w:val="en-US"/>
        </w:rPr>
        <w:t xml:space="preserve"> an explicit recognition that systematic destruction of historical, cultural</w:t>
      </w:r>
      <w:r w:rsidR="0073482F">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and religious heritage can be contrary to international “legal norms</w:t>
      </w:r>
      <w:r w:rsidR="00EB72A4">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which certainly may include rules of customary international law.</w:t>
      </w:r>
      <w:r w:rsidR="001A62EE" w:rsidRPr="00912992">
        <w:rPr>
          <w:rStyle w:val="EndnoteReference"/>
          <w:rFonts w:ascii="Times New Roman" w:hAnsi="Times New Roman" w:cs="Times New Roman"/>
          <w:bCs/>
          <w:sz w:val="24"/>
          <w:szCs w:val="24"/>
          <w:lang w:val="en-US"/>
        </w:rPr>
        <w:endnoteReference w:id="11"/>
      </w:r>
      <w:r w:rsidR="001A62EE" w:rsidRPr="00912992">
        <w:rPr>
          <w:rFonts w:ascii="Times New Roman" w:hAnsi="Times New Roman" w:cs="Times New Roman"/>
          <w:bCs/>
          <w:sz w:val="24"/>
          <w:szCs w:val="24"/>
          <w:lang w:val="en-US"/>
        </w:rPr>
        <w:t xml:space="preserve"> In the subsequent </w:t>
      </w:r>
      <w:r w:rsidR="001A62EE" w:rsidRPr="00912992">
        <w:rPr>
          <w:rFonts w:ascii="Times New Roman" w:hAnsi="Times New Roman" w:cs="Times New Roman"/>
          <w:bCs/>
          <w:i/>
          <w:sz w:val="24"/>
          <w:szCs w:val="24"/>
          <w:lang w:val="en-US"/>
        </w:rPr>
        <w:t xml:space="preserve">Genocide </w:t>
      </w:r>
      <w:r w:rsidR="001A62EE" w:rsidRPr="00912992">
        <w:rPr>
          <w:rFonts w:ascii="Times New Roman" w:hAnsi="Times New Roman" w:cs="Times New Roman"/>
          <w:bCs/>
          <w:sz w:val="24"/>
          <w:szCs w:val="24"/>
          <w:lang w:val="en-US"/>
        </w:rPr>
        <w:t>case (Croatia v</w:t>
      </w:r>
      <w:r w:rsidR="00F13BA5">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Serbia), decided in 2013, the </w:t>
      </w:r>
      <w:r w:rsidR="009332BF">
        <w:rPr>
          <w:rFonts w:ascii="Times New Roman" w:hAnsi="Times New Roman" w:cs="Times New Roman"/>
          <w:bCs/>
          <w:sz w:val="24"/>
          <w:szCs w:val="24"/>
          <w:lang w:val="en-US"/>
        </w:rPr>
        <w:t>ICJ</w:t>
      </w:r>
      <w:r w:rsidR="009332BF" w:rsidRPr="00912992">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 xml:space="preserve">confirmed the </w:t>
      </w:r>
      <w:r w:rsidR="00EA3EAE">
        <w:rPr>
          <w:rFonts w:ascii="Times New Roman" w:hAnsi="Times New Roman" w:cs="Times New Roman"/>
          <w:bCs/>
          <w:sz w:val="24"/>
          <w:szCs w:val="24"/>
          <w:lang w:val="en-US"/>
        </w:rPr>
        <w:t>legal opinion in the 2007 case</w:t>
      </w:r>
      <w:r w:rsidR="00EA3EAE" w:rsidRPr="00912992">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 xml:space="preserve">that destruction of cultural heritage in the context of armed conflict falls outside the definition of genocide under the </w:t>
      </w:r>
      <w:r w:rsidR="00EA3EAE">
        <w:rPr>
          <w:rFonts w:ascii="Times New Roman" w:hAnsi="Times New Roman" w:cs="Times New Roman"/>
          <w:bCs/>
          <w:sz w:val="24"/>
          <w:szCs w:val="24"/>
          <w:lang w:val="en-US"/>
        </w:rPr>
        <w:t>c</w:t>
      </w:r>
      <w:r w:rsidR="001A62EE" w:rsidRPr="00912992">
        <w:rPr>
          <w:rFonts w:ascii="Times New Roman" w:hAnsi="Times New Roman" w:cs="Times New Roman"/>
          <w:bCs/>
          <w:sz w:val="24"/>
          <w:szCs w:val="24"/>
          <w:lang w:val="en-US"/>
        </w:rPr>
        <w:t>onvention. At the same time, the judgment contains the following important statement: “The Court recalls, however, that it may take account of attacks on cultural and religious property in order to establish an intent to destroy the group physically</w:t>
      </w:r>
      <w:r w:rsidR="00084914">
        <w:rPr>
          <w:rFonts w:ascii="Times New Roman" w:hAnsi="Times New Roman" w:cs="Times New Roman"/>
          <w:bCs/>
          <w:sz w:val="24"/>
          <w:szCs w:val="24"/>
          <w:lang w:val="en-US"/>
        </w:rPr>
        <w:t>.”</w:t>
      </w:r>
      <w:r w:rsidR="001A62EE" w:rsidRPr="00912992">
        <w:rPr>
          <w:rStyle w:val="EndnoteReference"/>
          <w:rFonts w:ascii="Times New Roman" w:hAnsi="Times New Roman" w:cs="Times New Roman"/>
          <w:bCs/>
          <w:sz w:val="24"/>
          <w:szCs w:val="24"/>
          <w:lang w:val="en-US"/>
        </w:rPr>
        <w:endnoteReference w:id="12"/>
      </w:r>
      <w:r w:rsidR="001A62EE" w:rsidRPr="00912992">
        <w:rPr>
          <w:rFonts w:ascii="Times New Roman" w:hAnsi="Times New Roman" w:cs="Times New Roman"/>
          <w:bCs/>
          <w:sz w:val="24"/>
          <w:szCs w:val="24"/>
          <w:lang w:val="en-US"/>
        </w:rPr>
        <w:t xml:space="preserve"> The reference to intent echoes the jurisprudence of the International Criminal Tribunal for </w:t>
      </w:r>
      <w:r w:rsidR="00A665A4">
        <w:rPr>
          <w:rFonts w:ascii="Times New Roman" w:hAnsi="Times New Roman" w:cs="Times New Roman"/>
          <w:bCs/>
          <w:sz w:val="24"/>
          <w:szCs w:val="24"/>
          <w:lang w:val="en-US"/>
        </w:rPr>
        <w:t xml:space="preserve">the former </w:t>
      </w:r>
      <w:r w:rsidR="001A62EE" w:rsidRPr="00912992">
        <w:rPr>
          <w:rFonts w:ascii="Times New Roman" w:hAnsi="Times New Roman" w:cs="Times New Roman"/>
          <w:bCs/>
          <w:sz w:val="24"/>
          <w:szCs w:val="24"/>
          <w:lang w:val="en-US"/>
        </w:rPr>
        <w:t>Yugoslavia</w:t>
      </w:r>
      <w:r w:rsidR="004F3CB8">
        <w:rPr>
          <w:rFonts w:ascii="Times New Roman" w:hAnsi="Times New Roman" w:cs="Times New Roman"/>
          <w:bCs/>
          <w:sz w:val="24"/>
          <w:szCs w:val="24"/>
          <w:lang w:val="en-US"/>
        </w:rPr>
        <w:t xml:space="preserve"> (ICTY)</w:t>
      </w:r>
      <w:r w:rsidR="001A62EE" w:rsidRPr="00912992">
        <w:rPr>
          <w:rFonts w:ascii="Times New Roman" w:hAnsi="Times New Roman" w:cs="Times New Roman"/>
          <w:bCs/>
          <w:sz w:val="24"/>
          <w:szCs w:val="24"/>
          <w:lang w:val="en-US"/>
        </w:rPr>
        <w:t xml:space="preserve">, which had already recognized the intentional destruction of cultural heritage as the indicator of </w:t>
      </w:r>
      <w:r w:rsidR="008B11E5">
        <w:rPr>
          <w:rFonts w:ascii="Times New Roman" w:hAnsi="Times New Roman" w:cs="Times New Roman"/>
          <w:bCs/>
          <w:sz w:val="24"/>
          <w:szCs w:val="24"/>
          <w:lang w:val="en-US"/>
        </w:rPr>
        <w:t xml:space="preserve">the </w:t>
      </w:r>
      <w:r w:rsidR="0011666C">
        <w:rPr>
          <w:rFonts w:ascii="Times New Roman" w:hAnsi="Times New Roman" w:cs="Times New Roman"/>
          <w:bCs/>
          <w:sz w:val="24"/>
          <w:szCs w:val="24"/>
          <w:lang w:val="en-US"/>
        </w:rPr>
        <w:t xml:space="preserve">special intent, </w:t>
      </w:r>
      <w:r w:rsidR="008B11E5">
        <w:rPr>
          <w:rFonts w:ascii="Times New Roman" w:hAnsi="Times New Roman" w:cs="Times New Roman"/>
          <w:bCs/>
          <w:i/>
          <w:sz w:val="24"/>
          <w:szCs w:val="24"/>
          <w:lang w:val="en-US"/>
        </w:rPr>
        <w:t>dolus specialis</w:t>
      </w:r>
      <w:r w:rsidR="0011666C" w:rsidRPr="00DB1679">
        <w:rPr>
          <w:rFonts w:ascii="Times New Roman" w:hAnsi="Times New Roman" w:cs="Times New Roman"/>
          <w:bCs/>
          <w:iCs/>
          <w:sz w:val="24"/>
          <w:szCs w:val="24"/>
          <w:lang w:val="en-US"/>
        </w:rPr>
        <w:t>,</w:t>
      </w:r>
      <w:r w:rsidR="000746D8" w:rsidRPr="00DB1679">
        <w:rPr>
          <w:rFonts w:ascii="Times New Roman" w:hAnsi="Times New Roman" w:cs="Times New Roman"/>
          <w:bCs/>
          <w:iCs/>
          <w:sz w:val="24"/>
          <w:szCs w:val="24"/>
          <w:lang w:val="en-US"/>
        </w:rPr>
        <w:t xml:space="preserve"> </w:t>
      </w:r>
      <w:r w:rsidR="001A62EE" w:rsidRPr="00912992">
        <w:rPr>
          <w:rFonts w:ascii="Times New Roman" w:hAnsi="Times New Roman" w:cs="Times New Roman"/>
          <w:bCs/>
          <w:sz w:val="24"/>
          <w:szCs w:val="24"/>
          <w:lang w:val="en-US"/>
        </w:rPr>
        <w:t>a</w:t>
      </w:r>
      <w:r w:rsidR="0011666C">
        <w:rPr>
          <w:rFonts w:ascii="Times New Roman" w:hAnsi="Times New Roman" w:cs="Times New Roman"/>
          <w:bCs/>
          <w:sz w:val="24"/>
          <w:szCs w:val="24"/>
          <w:lang w:val="en-US"/>
        </w:rPr>
        <w:t>s an</w:t>
      </w:r>
      <w:r w:rsidR="001A62EE" w:rsidRPr="00912992">
        <w:rPr>
          <w:rFonts w:ascii="Times New Roman" w:hAnsi="Times New Roman" w:cs="Times New Roman"/>
          <w:bCs/>
          <w:sz w:val="24"/>
          <w:szCs w:val="24"/>
          <w:lang w:val="en-US"/>
        </w:rPr>
        <w:t xml:space="preserve"> element of the crime of genocide.</w:t>
      </w:r>
      <w:r w:rsidR="001A62EE" w:rsidRPr="00912992">
        <w:rPr>
          <w:rStyle w:val="EndnoteReference"/>
          <w:rFonts w:ascii="Times New Roman" w:hAnsi="Times New Roman" w:cs="Times New Roman"/>
          <w:bCs/>
          <w:sz w:val="24"/>
          <w:szCs w:val="24"/>
          <w:lang w:val="en-US"/>
        </w:rPr>
        <w:endnoteReference w:id="13"/>
      </w:r>
      <w:r w:rsidR="001A62EE" w:rsidRPr="00912992">
        <w:rPr>
          <w:rFonts w:ascii="Times New Roman" w:hAnsi="Times New Roman" w:cs="Times New Roman"/>
          <w:bCs/>
          <w:sz w:val="24"/>
          <w:szCs w:val="24"/>
          <w:lang w:val="en-US"/>
        </w:rPr>
        <w:t xml:space="preserve"> By implication, if </w:t>
      </w:r>
      <w:r w:rsidR="001A62EE" w:rsidRPr="00912992">
        <w:rPr>
          <w:rFonts w:ascii="Times New Roman" w:hAnsi="Times New Roman" w:cs="Times New Roman"/>
          <w:bCs/>
          <w:sz w:val="24"/>
          <w:szCs w:val="24"/>
          <w:lang w:val="en-US"/>
        </w:rPr>
        <w:lastRenderedPageBreak/>
        <w:t xml:space="preserve">intentional destruction of cultural property can be evidence of </w:t>
      </w:r>
      <w:r w:rsidR="00113289">
        <w:rPr>
          <w:rFonts w:ascii="Times New Roman" w:hAnsi="Times New Roman" w:cs="Times New Roman"/>
          <w:bCs/>
          <w:i/>
          <w:sz w:val="24"/>
          <w:szCs w:val="24"/>
          <w:lang w:val="en-US"/>
        </w:rPr>
        <w:t>dolus specialis</w:t>
      </w:r>
      <w:r w:rsidR="001A62EE" w:rsidRPr="00912992">
        <w:rPr>
          <w:rFonts w:ascii="Times New Roman" w:hAnsi="Times New Roman" w:cs="Times New Roman"/>
          <w:bCs/>
          <w:i/>
          <w:sz w:val="24"/>
          <w:szCs w:val="24"/>
          <w:lang w:val="en-US"/>
        </w:rPr>
        <w:t xml:space="preserve"> </w:t>
      </w:r>
      <w:r w:rsidR="001A0ADA">
        <w:rPr>
          <w:rFonts w:ascii="Times New Roman" w:hAnsi="Times New Roman" w:cs="Times New Roman"/>
          <w:bCs/>
          <w:sz w:val="24"/>
          <w:szCs w:val="24"/>
          <w:lang w:val="en-US"/>
        </w:rPr>
        <w:t xml:space="preserve">in relation to </w:t>
      </w:r>
      <w:r w:rsidR="001A62EE" w:rsidRPr="00912992">
        <w:rPr>
          <w:rFonts w:ascii="Times New Roman" w:hAnsi="Times New Roman" w:cs="Times New Roman"/>
          <w:bCs/>
          <w:sz w:val="24"/>
          <w:szCs w:val="24"/>
          <w:lang w:val="en-US"/>
        </w:rPr>
        <w:t xml:space="preserve">genocide, the destruction itself must constitute a prohibited act under international law. </w:t>
      </w:r>
    </w:p>
    <w:p w14:paraId="3952833B" w14:textId="082F0C60" w:rsidR="001A62EE" w:rsidRPr="00912992"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 xml:space="preserve">In its recent jurisprudence, the ICJ has </w:t>
      </w:r>
      <w:r w:rsidR="00C0630D">
        <w:rPr>
          <w:rFonts w:ascii="Times New Roman" w:hAnsi="Times New Roman" w:cs="Times New Roman"/>
          <w:bCs/>
          <w:sz w:val="24"/>
          <w:szCs w:val="24"/>
          <w:lang w:val="en-US"/>
        </w:rPr>
        <w:t xml:space="preserve">also </w:t>
      </w:r>
      <w:r w:rsidRPr="00912992">
        <w:rPr>
          <w:rFonts w:ascii="Times New Roman" w:hAnsi="Times New Roman" w:cs="Times New Roman"/>
          <w:bCs/>
          <w:sz w:val="24"/>
          <w:szCs w:val="24"/>
          <w:lang w:val="en-US"/>
        </w:rPr>
        <w:t xml:space="preserve">had occasion </w:t>
      </w:r>
      <w:r w:rsidR="00C0630D">
        <w:rPr>
          <w:rFonts w:ascii="Times New Roman" w:hAnsi="Times New Roman" w:cs="Times New Roman"/>
          <w:bCs/>
          <w:sz w:val="24"/>
          <w:szCs w:val="24"/>
          <w:lang w:val="en-US"/>
        </w:rPr>
        <w:t xml:space="preserve">to </w:t>
      </w:r>
      <w:r w:rsidRPr="00912992">
        <w:rPr>
          <w:rFonts w:ascii="Times New Roman" w:hAnsi="Times New Roman" w:cs="Times New Roman"/>
          <w:bCs/>
          <w:sz w:val="24"/>
          <w:szCs w:val="24"/>
          <w:lang w:val="en-US"/>
        </w:rPr>
        <w:t>address the obligation of states to respect and protect forms of cultural heritage related to ways of life, social structures</w:t>
      </w:r>
      <w:r w:rsidR="00D6286D">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and socioeconomic processes, which today fall within the broad category of “intangible cultural heritage</w:t>
      </w:r>
      <w:r w:rsidR="00084914">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Two examples are the case concerning </w:t>
      </w:r>
      <w:r w:rsidRPr="00912992">
        <w:rPr>
          <w:rFonts w:ascii="Times New Roman" w:hAnsi="Times New Roman" w:cs="Times New Roman"/>
          <w:bCs/>
          <w:i/>
          <w:sz w:val="24"/>
          <w:szCs w:val="24"/>
          <w:lang w:val="en-US"/>
        </w:rPr>
        <w:t xml:space="preserve">Navigational and Related Rights </w:t>
      </w:r>
      <w:r w:rsidRPr="00912992">
        <w:rPr>
          <w:rFonts w:ascii="Times New Roman" w:hAnsi="Times New Roman" w:cs="Times New Roman"/>
          <w:bCs/>
          <w:sz w:val="24"/>
          <w:szCs w:val="24"/>
          <w:lang w:val="en-US"/>
        </w:rPr>
        <w:t xml:space="preserve">between Costa Rica and Nicaragua (2009), and the </w:t>
      </w:r>
      <w:r w:rsidRPr="00912992">
        <w:rPr>
          <w:rFonts w:ascii="Times New Roman" w:hAnsi="Times New Roman" w:cs="Times New Roman"/>
          <w:bCs/>
          <w:i/>
          <w:sz w:val="24"/>
          <w:szCs w:val="24"/>
          <w:lang w:val="en-US"/>
        </w:rPr>
        <w:t xml:space="preserve">Frontier Dispute </w:t>
      </w:r>
      <w:r w:rsidRPr="00912992">
        <w:rPr>
          <w:rFonts w:ascii="Times New Roman" w:hAnsi="Times New Roman" w:cs="Times New Roman"/>
          <w:bCs/>
          <w:sz w:val="24"/>
          <w:szCs w:val="24"/>
          <w:lang w:val="en-US"/>
        </w:rPr>
        <w:t>between Burkina Faso and Niger (2013). In the first</w:t>
      </w:r>
      <w:r w:rsidR="00D6286D">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the </w:t>
      </w:r>
      <w:r w:rsidR="00D6286D">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ourt, in assessing the sovereign rights of the parties over the San Juan river, recognized that the exercise of these rights should not entail the destruction of the cultural rights of the local indigenous communities to have access to the river resources, and affirmed the obligation of the riparian state to respect those communities’ traditional practices of resource utilization along the river as a form of subsistence economy.</w:t>
      </w:r>
      <w:r w:rsidRPr="00912992">
        <w:rPr>
          <w:rStyle w:val="EndnoteReference"/>
          <w:rFonts w:ascii="Times New Roman" w:hAnsi="Times New Roman" w:cs="Times New Roman"/>
          <w:bCs/>
          <w:sz w:val="24"/>
          <w:szCs w:val="24"/>
          <w:lang w:val="en-US"/>
        </w:rPr>
        <w:endnoteReference w:id="14"/>
      </w:r>
      <w:r w:rsidRPr="00912992">
        <w:rPr>
          <w:rFonts w:ascii="Times New Roman" w:hAnsi="Times New Roman" w:cs="Times New Roman"/>
          <w:bCs/>
          <w:sz w:val="24"/>
          <w:szCs w:val="24"/>
          <w:lang w:val="en-US"/>
        </w:rPr>
        <w:t xml:space="preserve"> In the second case, the </w:t>
      </w:r>
      <w:r w:rsidR="00BD1F28">
        <w:rPr>
          <w:rFonts w:ascii="Times New Roman" w:hAnsi="Times New Roman" w:cs="Times New Roman"/>
          <w:bCs/>
          <w:sz w:val="24"/>
          <w:szCs w:val="24"/>
          <w:lang w:val="en-US"/>
        </w:rPr>
        <w:t>ICJ</w:t>
      </w:r>
      <w:r w:rsidR="00BD1F28"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was confronted with a </w:t>
      </w:r>
      <w:r w:rsidR="00D875F2" w:rsidRPr="00912992">
        <w:rPr>
          <w:rFonts w:ascii="Times New Roman" w:hAnsi="Times New Roman" w:cs="Times New Roman"/>
          <w:bCs/>
          <w:sz w:val="24"/>
          <w:szCs w:val="24"/>
          <w:lang w:val="en-US"/>
        </w:rPr>
        <w:t>classic</w:t>
      </w:r>
      <w:r w:rsidRPr="00912992">
        <w:rPr>
          <w:rFonts w:ascii="Times New Roman" w:hAnsi="Times New Roman" w:cs="Times New Roman"/>
          <w:bCs/>
          <w:sz w:val="24"/>
          <w:szCs w:val="24"/>
          <w:lang w:val="en-US"/>
        </w:rPr>
        <w:t xml:space="preserve"> case of frontier delimitation. While the judgment was ultimately based on the application of the traditional principle of </w:t>
      </w:r>
      <w:r w:rsidRPr="00912992">
        <w:rPr>
          <w:rFonts w:ascii="Times New Roman" w:hAnsi="Times New Roman" w:cs="Times New Roman"/>
          <w:bCs/>
          <w:i/>
          <w:sz w:val="24"/>
          <w:szCs w:val="24"/>
          <w:lang w:val="en-US"/>
        </w:rPr>
        <w:t>uti possidetis</w:t>
      </w:r>
      <w:r w:rsidR="00D10310" w:rsidRPr="0066324A">
        <w:rPr>
          <w:rStyle w:val="EndnoteReference"/>
          <w:rFonts w:ascii="Times New Roman" w:hAnsi="Times New Roman" w:cs="Times New Roman"/>
          <w:bCs/>
          <w:sz w:val="24"/>
          <w:szCs w:val="24"/>
          <w:lang w:val="en-US"/>
        </w:rPr>
        <w:endnoteReference w:id="15"/>
      </w:r>
      <w:r w:rsidR="00D10310" w:rsidRPr="0066324A">
        <w:rPr>
          <w:rFonts w:ascii="Times New Roman" w:hAnsi="Times New Roman" w:cs="Times New Roman"/>
          <w:bCs/>
          <w:sz w:val="24"/>
          <w:szCs w:val="24"/>
          <w:lang w:val="en-US"/>
        </w:rPr>
        <w:t>—</w:t>
      </w:r>
      <w:r w:rsidRPr="0066324A">
        <w:rPr>
          <w:rFonts w:ascii="Times New Roman" w:hAnsi="Times New Roman" w:cs="Times New Roman"/>
          <w:bCs/>
          <w:sz w:val="24"/>
          <w:szCs w:val="24"/>
          <w:lang w:val="en-US"/>
        </w:rPr>
        <w:t>respect</w:t>
      </w:r>
      <w:r w:rsidRPr="00912992">
        <w:rPr>
          <w:rFonts w:ascii="Times New Roman" w:hAnsi="Times New Roman" w:cs="Times New Roman"/>
          <w:bCs/>
          <w:sz w:val="24"/>
          <w:szCs w:val="24"/>
          <w:lang w:val="en-US"/>
        </w:rPr>
        <w:t xml:space="preserve"> for the territorial demarcation drawn at the time of independence</w:t>
      </w:r>
      <w:r w:rsidR="00D10310">
        <w:rPr>
          <w:rFonts w:ascii="Times New Roman" w:hAnsi="Times New Roman" w:cs="Times New Roman"/>
          <w:bCs/>
          <w:sz w:val="24"/>
          <w:szCs w:val="24"/>
          <w:lang w:val="en-US"/>
        </w:rPr>
        <w:t>—</w:t>
      </w:r>
      <w:r w:rsidR="00766884">
        <w:rPr>
          <w:rFonts w:ascii="Times New Roman" w:hAnsi="Times New Roman" w:cs="Times New Roman"/>
          <w:bCs/>
          <w:sz w:val="24"/>
          <w:szCs w:val="24"/>
          <w:lang w:val="en-US"/>
        </w:rPr>
        <w:t xml:space="preserve">a </w:t>
      </w:r>
      <w:r w:rsidRPr="00912992">
        <w:rPr>
          <w:rFonts w:ascii="Times New Roman" w:hAnsi="Times New Roman" w:cs="Times New Roman"/>
          <w:bCs/>
          <w:sz w:val="24"/>
          <w:szCs w:val="24"/>
          <w:lang w:val="en-US"/>
        </w:rPr>
        <w:t xml:space="preserve">strong call for the integration of this territorial principle with a more modern approach based on respect </w:t>
      </w:r>
      <w:r w:rsidR="00766884">
        <w:rPr>
          <w:rFonts w:ascii="Times New Roman" w:hAnsi="Times New Roman" w:cs="Times New Roman"/>
          <w:bCs/>
          <w:sz w:val="24"/>
          <w:szCs w:val="24"/>
          <w:lang w:val="en-US"/>
        </w:rPr>
        <w:t xml:space="preserve">for </w:t>
      </w:r>
      <w:r w:rsidRPr="00912992">
        <w:rPr>
          <w:rFonts w:ascii="Times New Roman" w:hAnsi="Times New Roman" w:cs="Times New Roman"/>
          <w:bCs/>
          <w:sz w:val="24"/>
          <w:szCs w:val="24"/>
          <w:lang w:val="en-US"/>
        </w:rPr>
        <w:t xml:space="preserve">the local traditions and the cultural practices of the population was made in the separate opinion of </w:t>
      </w:r>
      <w:r w:rsidR="00D760E6">
        <w:rPr>
          <w:rFonts w:ascii="Times New Roman" w:hAnsi="Times New Roman" w:cs="Times New Roman"/>
          <w:bCs/>
          <w:sz w:val="24"/>
          <w:szCs w:val="24"/>
          <w:lang w:val="en-US"/>
        </w:rPr>
        <w:t>J</w:t>
      </w:r>
      <w:r w:rsidRPr="00912992">
        <w:rPr>
          <w:rFonts w:ascii="Times New Roman" w:hAnsi="Times New Roman" w:cs="Times New Roman"/>
          <w:bCs/>
          <w:sz w:val="24"/>
          <w:szCs w:val="24"/>
          <w:lang w:val="en-US"/>
        </w:rPr>
        <w:t xml:space="preserve">udge </w:t>
      </w:r>
      <w:r w:rsidR="00D760E6" w:rsidRPr="0062416E">
        <w:rPr>
          <w:rFonts w:ascii="Times New Roman" w:hAnsi="Times New Roman" w:cs="Times New Roman"/>
          <w:sz w:val="24"/>
          <w:szCs w:val="24"/>
        </w:rPr>
        <w:t xml:space="preserve">Antônio Augusto </w:t>
      </w:r>
      <w:r w:rsidRPr="00912992">
        <w:rPr>
          <w:rFonts w:ascii="Times New Roman" w:hAnsi="Times New Roman" w:cs="Times New Roman"/>
          <w:bCs/>
          <w:sz w:val="24"/>
          <w:szCs w:val="24"/>
          <w:lang w:val="en-US"/>
        </w:rPr>
        <w:t>Can</w:t>
      </w:r>
      <w:r w:rsidR="00D760E6">
        <w:rPr>
          <w:rFonts w:ascii="Times New Roman" w:hAnsi="Times New Roman" w:cs="Times New Roman"/>
          <w:bCs/>
          <w:sz w:val="24"/>
          <w:szCs w:val="24"/>
          <w:lang w:val="en-US"/>
        </w:rPr>
        <w:t>ç</w:t>
      </w:r>
      <w:r w:rsidRPr="00912992">
        <w:rPr>
          <w:rFonts w:ascii="Times New Roman" w:hAnsi="Times New Roman" w:cs="Times New Roman"/>
          <w:bCs/>
          <w:sz w:val="24"/>
          <w:szCs w:val="24"/>
          <w:lang w:val="en-US"/>
        </w:rPr>
        <w:t xml:space="preserve">ado Trindade and in the declaration of </w:t>
      </w:r>
      <w:r w:rsidR="006F05D5">
        <w:rPr>
          <w:rFonts w:ascii="Times New Roman" w:hAnsi="Times New Roman" w:cs="Times New Roman"/>
          <w:bCs/>
          <w:sz w:val="24"/>
          <w:szCs w:val="24"/>
          <w:lang w:val="en-US"/>
        </w:rPr>
        <w:t>J</w:t>
      </w:r>
      <w:r w:rsidRPr="00912992">
        <w:rPr>
          <w:rFonts w:ascii="Times New Roman" w:hAnsi="Times New Roman" w:cs="Times New Roman"/>
          <w:bCs/>
          <w:sz w:val="24"/>
          <w:szCs w:val="24"/>
          <w:lang w:val="en-US"/>
        </w:rPr>
        <w:t xml:space="preserve">udge </w:t>
      </w:r>
      <w:r w:rsidR="006F05D5" w:rsidRPr="006F05D5">
        <w:rPr>
          <w:rFonts w:ascii="Times New Roman" w:hAnsi="Times New Roman" w:cs="Times New Roman"/>
          <w:bCs/>
          <w:sz w:val="24"/>
          <w:szCs w:val="24"/>
          <w:lang w:val="en-US"/>
        </w:rPr>
        <w:t xml:space="preserve">Mohamed </w:t>
      </w:r>
      <w:r w:rsidRPr="00912992">
        <w:rPr>
          <w:rFonts w:ascii="Times New Roman" w:hAnsi="Times New Roman" w:cs="Times New Roman"/>
          <w:bCs/>
          <w:sz w:val="24"/>
          <w:szCs w:val="24"/>
          <w:lang w:val="en-US"/>
        </w:rPr>
        <w:t>Bennouna.</w:t>
      </w:r>
      <w:r w:rsidRPr="00912992">
        <w:rPr>
          <w:rStyle w:val="EndnoteReference"/>
          <w:rFonts w:ascii="Times New Roman" w:hAnsi="Times New Roman" w:cs="Times New Roman"/>
          <w:bCs/>
          <w:sz w:val="24"/>
          <w:szCs w:val="24"/>
          <w:lang w:val="en-US"/>
        </w:rPr>
        <w:endnoteReference w:id="16"/>
      </w:r>
      <w:r w:rsidRPr="00912992">
        <w:rPr>
          <w:rFonts w:ascii="Times New Roman" w:hAnsi="Times New Roman" w:cs="Times New Roman"/>
          <w:bCs/>
          <w:i/>
          <w:sz w:val="24"/>
          <w:szCs w:val="24"/>
          <w:lang w:val="en-US"/>
        </w:rPr>
        <w:t xml:space="preserve"> </w:t>
      </w:r>
    </w:p>
    <w:p w14:paraId="3DE5C138" w14:textId="1E619210" w:rsidR="001A62EE"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 xml:space="preserve"> The jurisprudence of the International Court of Justice shows a clear tendency to </w:t>
      </w:r>
      <w:proofErr w:type="gramStart"/>
      <w:r w:rsidRPr="00912992">
        <w:rPr>
          <w:rFonts w:ascii="Times New Roman" w:hAnsi="Times New Roman" w:cs="Times New Roman"/>
          <w:bCs/>
          <w:sz w:val="24"/>
          <w:szCs w:val="24"/>
          <w:lang w:val="en-US"/>
        </w:rPr>
        <w:t>take into account</w:t>
      </w:r>
      <w:proofErr w:type="gramEnd"/>
      <w:r w:rsidRPr="00912992">
        <w:rPr>
          <w:rFonts w:ascii="Times New Roman" w:hAnsi="Times New Roman" w:cs="Times New Roman"/>
          <w:bCs/>
          <w:sz w:val="24"/>
          <w:szCs w:val="24"/>
          <w:lang w:val="en-US"/>
        </w:rPr>
        <w:t xml:space="preserve"> the value of cultural heritage for the purpose of interpreting other norms or principles of international law applicable to the case. However, we cannot say that such jurisprudence offers conclusive evidence of the existence of a customary norm prohibiting the destruction of cultural </w:t>
      </w:r>
      <w:r w:rsidRPr="00912992">
        <w:rPr>
          <w:rFonts w:ascii="Times New Roman" w:hAnsi="Times New Roman" w:cs="Times New Roman"/>
          <w:bCs/>
          <w:sz w:val="24"/>
          <w:szCs w:val="24"/>
          <w:lang w:val="en-US"/>
        </w:rPr>
        <w:lastRenderedPageBreak/>
        <w:t>heritage even in the limited context of armed conflict.</w:t>
      </w:r>
      <w:r w:rsidR="00C62FD0"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We need to look at other manifestations of the practice to establish the existence of customary norms. </w:t>
      </w:r>
    </w:p>
    <w:p w14:paraId="312AE064" w14:textId="77777777" w:rsidR="00F25822" w:rsidRPr="00912992" w:rsidRDefault="00F25822" w:rsidP="000D3355">
      <w:pPr>
        <w:spacing w:line="480" w:lineRule="auto"/>
        <w:jc w:val="both"/>
        <w:rPr>
          <w:rFonts w:ascii="Times New Roman" w:hAnsi="Times New Roman" w:cs="Times New Roman"/>
          <w:bCs/>
          <w:sz w:val="24"/>
          <w:szCs w:val="24"/>
          <w:lang w:val="en-US"/>
        </w:rPr>
      </w:pPr>
    </w:p>
    <w:p w14:paraId="005E411B" w14:textId="4E40B338" w:rsidR="001A62EE" w:rsidRPr="00912992" w:rsidRDefault="001A62EE" w:rsidP="00DB1679">
      <w:pPr>
        <w:pStyle w:val="Heading2"/>
        <w:spacing w:line="480" w:lineRule="auto"/>
        <w:rPr>
          <w:u w:val="single"/>
          <w:lang w:val="en-US"/>
        </w:rPr>
      </w:pPr>
      <w:r w:rsidRPr="00912992">
        <w:rPr>
          <w:lang w:val="en-US"/>
        </w:rPr>
        <w:t xml:space="preserve">The Customary Law Prohibition of Intentional </w:t>
      </w:r>
      <w:r w:rsidR="00E50D11">
        <w:rPr>
          <w:lang w:val="en-US"/>
        </w:rPr>
        <w:t>D</w:t>
      </w:r>
      <w:r w:rsidRPr="00912992">
        <w:rPr>
          <w:lang w:val="en-US"/>
        </w:rPr>
        <w:t xml:space="preserve">estruction of </w:t>
      </w:r>
      <w:r w:rsidR="00E50D11">
        <w:rPr>
          <w:lang w:val="en-US"/>
        </w:rPr>
        <w:t>C</w:t>
      </w:r>
      <w:r w:rsidRPr="00912992">
        <w:rPr>
          <w:lang w:val="en-US"/>
        </w:rPr>
        <w:t xml:space="preserve">ultural Heritage in the </w:t>
      </w:r>
      <w:r w:rsidR="00E50D11">
        <w:rPr>
          <w:lang w:val="en-US"/>
        </w:rPr>
        <w:t>C</w:t>
      </w:r>
      <w:r w:rsidRPr="00912992">
        <w:rPr>
          <w:lang w:val="en-US"/>
        </w:rPr>
        <w:t>ontext of Armed Conflict</w:t>
      </w:r>
    </w:p>
    <w:p w14:paraId="4CA08772" w14:textId="688A3CF3" w:rsidR="001A62EE" w:rsidRPr="00912992"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 xml:space="preserve">Arbitration as a means of settling cultural heritage disputes is quite rare, but it is </w:t>
      </w:r>
      <w:r w:rsidR="001E321B">
        <w:rPr>
          <w:rFonts w:ascii="Times New Roman" w:hAnsi="Times New Roman" w:cs="Times New Roman"/>
          <w:bCs/>
          <w:sz w:val="24"/>
          <w:szCs w:val="24"/>
          <w:lang w:val="en-US"/>
        </w:rPr>
        <w:t xml:space="preserve">here </w:t>
      </w:r>
      <w:r w:rsidRPr="00912992">
        <w:rPr>
          <w:rFonts w:ascii="Times New Roman" w:hAnsi="Times New Roman" w:cs="Times New Roman"/>
          <w:bCs/>
          <w:sz w:val="24"/>
          <w:szCs w:val="24"/>
          <w:lang w:val="en-US"/>
        </w:rPr>
        <w:t>that we find one of the most important manifestations of the explicit recognition of a customary norm prohibiting the destruction of cultural heritage</w:t>
      </w:r>
      <w:r w:rsidR="001E321B">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w:t>
      </w:r>
      <w:r w:rsidR="001E321B">
        <w:rPr>
          <w:rFonts w:ascii="Times New Roman" w:hAnsi="Times New Roman" w:cs="Times New Roman"/>
          <w:bCs/>
          <w:sz w:val="24"/>
          <w:szCs w:val="24"/>
          <w:lang w:val="en-US"/>
        </w:rPr>
        <w:t xml:space="preserve">in </w:t>
      </w:r>
      <w:r w:rsidRPr="00912992">
        <w:rPr>
          <w:rFonts w:ascii="Times New Roman" w:hAnsi="Times New Roman" w:cs="Times New Roman"/>
          <w:bCs/>
          <w:sz w:val="24"/>
          <w:szCs w:val="24"/>
          <w:lang w:val="en-US"/>
        </w:rPr>
        <w:t>the 2004 ruling of the Eritrea</w:t>
      </w:r>
      <w:r w:rsidR="001E321B">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Ethiopia Claims Commission on the “Stela of Matara</w:t>
      </w:r>
      <w:r w:rsidR="00084914">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The stela, an ancient obelisk of great historical and cultural importance for both Eritrea and Ethiopia, was felled by explosives during the military occupation of the </w:t>
      </w:r>
      <w:r w:rsidR="006B5159">
        <w:rPr>
          <w:rFonts w:ascii="Times New Roman" w:hAnsi="Times New Roman" w:cs="Times New Roman"/>
          <w:bCs/>
          <w:sz w:val="24"/>
          <w:szCs w:val="24"/>
          <w:lang w:val="en-US"/>
        </w:rPr>
        <w:t>surrounding</w:t>
      </w:r>
      <w:r w:rsidR="006B5159"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area by Ethiopian forces. Based on evidence provided by Eritrea, including proof of the presence of an Ethiopian military contingent in the vicinity of the monument the night </w:t>
      </w:r>
      <w:r w:rsidR="00B6269B">
        <w:rPr>
          <w:rFonts w:ascii="Times New Roman" w:hAnsi="Times New Roman" w:cs="Times New Roman"/>
          <w:bCs/>
          <w:sz w:val="24"/>
          <w:szCs w:val="24"/>
          <w:lang w:val="en-US"/>
        </w:rPr>
        <w:t>it</w:t>
      </w:r>
      <w:r w:rsidRPr="00912992">
        <w:rPr>
          <w:rFonts w:ascii="Times New Roman" w:hAnsi="Times New Roman" w:cs="Times New Roman"/>
          <w:bCs/>
          <w:sz w:val="24"/>
          <w:szCs w:val="24"/>
          <w:lang w:val="en-US"/>
        </w:rPr>
        <w:t xml:space="preserve"> was </w:t>
      </w:r>
      <w:r w:rsidR="006B5159">
        <w:rPr>
          <w:rFonts w:ascii="Times New Roman" w:hAnsi="Times New Roman" w:cs="Times New Roman"/>
          <w:bCs/>
          <w:sz w:val="24"/>
          <w:szCs w:val="24"/>
          <w:lang w:val="en-US"/>
        </w:rPr>
        <w:t>toppled</w:t>
      </w:r>
      <w:r w:rsidRPr="00912992">
        <w:rPr>
          <w:rFonts w:ascii="Times New Roman" w:hAnsi="Times New Roman" w:cs="Times New Roman"/>
          <w:bCs/>
          <w:sz w:val="24"/>
          <w:szCs w:val="24"/>
          <w:lang w:val="en-US"/>
        </w:rPr>
        <w:t xml:space="preserve">, the </w:t>
      </w:r>
      <w:r w:rsidR="00B148A5">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ommission reached the following conclusion:</w:t>
      </w:r>
      <w:r w:rsidR="00B148A5">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w:t>
      </w:r>
      <w:r w:rsidR="00B148A5">
        <w:rPr>
          <w:rFonts w:ascii="Times New Roman" w:hAnsi="Times New Roman" w:cs="Times New Roman"/>
          <w:bCs/>
          <w:sz w:val="24"/>
          <w:szCs w:val="24"/>
          <w:lang w:val="en-US"/>
        </w:rPr>
        <w:t>T</w:t>
      </w:r>
      <w:r w:rsidRPr="00912992">
        <w:rPr>
          <w:rFonts w:ascii="Times New Roman" w:hAnsi="Times New Roman" w:cs="Times New Roman"/>
          <w:bCs/>
          <w:sz w:val="24"/>
          <w:szCs w:val="24"/>
          <w:lang w:val="en-US"/>
        </w:rPr>
        <w:t xml:space="preserve">he felling of the stela was a violation of customary international humanitarian law. While the 1954 Hague </w:t>
      </w:r>
      <w:r w:rsidR="00AC274C">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 xml:space="preserve">onvention on the Protection of Cultural Property was not applicable, as neither Eritrea nor Ethiopia was a </w:t>
      </w:r>
      <w:r w:rsidR="00AC274C">
        <w:rPr>
          <w:rFonts w:ascii="Times New Roman" w:hAnsi="Times New Roman" w:cs="Times New Roman"/>
          <w:bCs/>
          <w:sz w:val="24"/>
          <w:szCs w:val="24"/>
          <w:lang w:val="en-US"/>
        </w:rPr>
        <w:t>P</w:t>
      </w:r>
      <w:r w:rsidRPr="00912992">
        <w:rPr>
          <w:rFonts w:ascii="Times New Roman" w:hAnsi="Times New Roman" w:cs="Times New Roman"/>
          <w:bCs/>
          <w:sz w:val="24"/>
          <w:szCs w:val="24"/>
          <w:lang w:val="en-US"/>
        </w:rPr>
        <w:t xml:space="preserve">arty to it, deliberate destruction of historic monuments was prohibited by </w:t>
      </w:r>
      <w:r w:rsidR="00AC274C">
        <w:rPr>
          <w:rFonts w:ascii="Times New Roman" w:hAnsi="Times New Roman" w:cs="Times New Roman"/>
          <w:bCs/>
          <w:sz w:val="24"/>
          <w:szCs w:val="24"/>
          <w:lang w:val="en-US"/>
        </w:rPr>
        <w:t>A</w:t>
      </w:r>
      <w:r w:rsidRPr="00912992">
        <w:rPr>
          <w:rFonts w:ascii="Times New Roman" w:hAnsi="Times New Roman" w:cs="Times New Roman"/>
          <w:bCs/>
          <w:sz w:val="24"/>
          <w:szCs w:val="24"/>
          <w:lang w:val="en-US"/>
        </w:rPr>
        <w:t xml:space="preserve">rticle 56 of the Hague Regulations, which prohibition is part of customary law. Moreover, as civilian property in occupied territory, the stela’s destruction was prohibited by </w:t>
      </w:r>
      <w:r w:rsidR="00E33A78">
        <w:rPr>
          <w:rFonts w:ascii="Times New Roman" w:hAnsi="Times New Roman" w:cs="Times New Roman"/>
          <w:bCs/>
          <w:sz w:val="24"/>
          <w:szCs w:val="24"/>
          <w:lang w:val="en-US"/>
        </w:rPr>
        <w:t>A</w:t>
      </w:r>
      <w:r w:rsidRPr="00912992">
        <w:rPr>
          <w:rFonts w:ascii="Times New Roman" w:hAnsi="Times New Roman" w:cs="Times New Roman"/>
          <w:bCs/>
          <w:sz w:val="24"/>
          <w:szCs w:val="24"/>
          <w:lang w:val="en-US"/>
        </w:rPr>
        <w:t xml:space="preserve">rticle 53 of the Geneva Convention IV and by </w:t>
      </w:r>
      <w:r w:rsidR="00E33A78">
        <w:rPr>
          <w:rFonts w:ascii="Times New Roman" w:hAnsi="Times New Roman" w:cs="Times New Roman"/>
          <w:bCs/>
          <w:sz w:val="24"/>
          <w:szCs w:val="24"/>
          <w:lang w:val="en-US"/>
        </w:rPr>
        <w:t>A</w:t>
      </w:r>
      <w:r w:rsidRPr="00912992">
        <w:rPr>
          <w:rFonts w:ascii="Times New Roman" w:hAnsi="Times New Roman" w:cs="Times New Roman"/>
          <w:bCs/>
          <w:sz w:val="24"/>
          <w:szCs w:val="24"/>
          <w:lang w:val="en-US"/>
        </w:rPr>
        <w:t>rticle 52 of Protocol I.”</w:t>
      </w:r>
      <w:r w:rsidRPr="00912992">
        <w:rPr>
          <w:rStyle w:val="EndnoteReference"/>
          <w:rFonts w:ascii="Times New Roman" w:hAnsi="Times New Roman" w:cs="Times New Roman"/>
          <w:bCs/>
          <w:sz w:val="24"/>
          <w:szCs w:val="24"/>
          <w:lang w:val="en-US"/>
        </w:rPr>
        <w:endnoteReference w:id="17"/>
      </w:r>
      <w:r w:rsidRPr="00912992">
        <w:rPr>
          <w:rFonts w:ascii="Times New Roman" w:hAnsi="Times New Roman" w:cs="Times New Roman"/>
          <w:bCs/>
          <w:sz w:val="24"/>
          <w:szCs w:val="24"/>
          <w:lang w:val="en-US"/>
        </w:rPr>
        <w:t xml:space="preserve"> </w:t>
      </w:r>
    </w:p>
    <w:p w14:paraId="1663778F" w14:textId="22011B4F" w:rsidR="001A62EE" w:rsidRPr="00912992" w:rsidRDefault="001A62EE" w:rsidP="000D3355">
      <w:pPr>
        <w:spacing w:line="480" w:lineRule="auto"/>
        <w:ind w:firstLine="708"/>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This is a typical example of determination of the existence of a rule of customary international law by a process of abstraction from well</w:t>
      </w:r>
      <w:r w:rsidR="000559CA">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settled treaty rules, in this case pertaining to the law of armed conflict and humanitarian law. This is a perfectly valid method of customary </w:t>
      </w:r>
      <w:r w:rsidRPr="00912992">
        <w:rPr>
          <w:rFonts w:ascii="Times New Roman" w:hAnsi="Times New Roman" w:cs="Times New Roman"/>
          <w:bCs/>
          <w:sz w:val="24"/>
          <w:szCs w:val="24"/>
          <w:lang w:val="en-US"/>
        </w:rPr>
        <w:lastRenderedPageBreak/>
        <w:t xml:space="preserve">law reconstruction. It is regrettable, however, that the </w:t>
      </w:r>
      <w:r w:rsidR="0001562C">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 xml:space="preserve">ommission in this case did not go beyond mere treaty practice in its search for a customary legal basis of the obligation to avoid destruction of cultural property. </w:t>
      </w:r>
      <w:r w:rsidR="002A394F">
        <w:rPr>
          <w:rFonts w:ascii="Times New Roman" w:hAnsi="Times New Roman" w:cs="Times New Roman"/>
          <w:bCs/>
          <w:sz w:val="24"/>
          <w:szCs w:val="24"/>
          <w:lang w:val="en-US"/>
        </w:rPr>
        <w:t>By</w:t>
      </w:r>
      <w:r w:rsidR="002A394F"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2004, </w:t>
      </w:r>
      <w:r w:rsidR="0001562C">
        <w:rPr>
          <w:rFonts w:ascii="Times New Roman" w:hAnsi="Times New Roman" w:cs="Times New Roman"/>
          <w:bCs/>
          <w:sz w:val="24"/>
          <w:szCs w:val="24"/>
          <w:lang w:val="en-US"/>
        </w:rPr>
        <w:t>the year</w:t>
      </w:r>
      <w:r w:rsidR="0001562C"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of the </w:t>
      </w:r>
      <w:r w:rsidR="0001562C">
        <w:rPr>
          <w:rFonts w:ascii="Times New Roman" w:hAnsi="Times New Roman" w:cs="Times New Roman"/>
          <w:bCs/>
          <w:sz w:val="24"/>
          <w:szCs w:val="24"/>
          <w:lang w:val="en-US"/>
        </w:rPr>
        <w:t xml:space="preserve">commission’s </w:t>
      </w:r>
      <w:r w:rsidRPr="00912992">
        <w:rPr>
          <w:rFonts w:ascii="Times New Roman" w:hAnsi="Times New Roman" w:cs="Times New Roman"/>
          <w:bCs/>
          <w:sz w:val="24"/>
          <w:szCs w:val="24"/>
          <w:lang w:val="en-US"/>
        </w:rPr>
        <w:t xml:space="preserve">decision, other important manifestations of state practice had emerged to support such </w:t>
      </w:r>
      <w:r w:rsidR="00243AF3">
        <w:rPr>
          <w:rFonts w:ascii="Times New Roman" w:hAnsi="Times New Roman" w:cs="Times New Roman"/>
          <w:bCs/>
          <w:sz w:val="24"/>
          <w:szCs w:val="24"/>
          <w:lang w:val="en-US"/>
        </w:rPr>
        <w:t xml:space="preserve">a </w:t>
      </w:r>
      <w:r w:rsidRPr="00912992">
        <w:rPr>
          <w:rFonts w:ascii="Times New Roman" w:hAnsi="Times New Roman" w:cs="Times New Roman"/>
          <w:bCs/>
          <w:sz w:val="24"/>
          <w:szCs w:val="24"/>
          <w:lang w:val="en-US"/>
        </w:rPr>
        <w:t>general obligation. Suffice it to mention the unanimous reaction of condemnation by the international community of the deliberate destruction of the great Buddhas of Bam</w:t>
      </w:r>
      <w:r w:rsidR="003331CA">
        <w:rPr>
          <w:rFonts w:ascii="Times New Roman" w:hAnsi="Times New Roman" w:cs="Times New Roman"/>
          <w:bCs/>
          <w:sz w:val="24"/>
          <w:szCs w:val="24"/>
          <w:lang w:val="en-US"/>
        </w:rPr>
        <w:t>iy</w:t>
      </w:r>
      <w:r w:rsidRPr="00912992">
        <w:rPr>
          <w:rFonts w:ascii="Times New Roman" w:hAnsi="Times New Roman" w:cs="Times New Roman"/>
          <w:bCs/>
          <w:sz w:val="24"/>
          <w:szCs w:val="24"/>
          <w:lang w:val="en-US"/>
        </w:rPr>
        <w:t>an in 2001</w:t>
      </w:r>
      <w:r w:rsidR="002A394F">
        <w:rPr>
          <w:rFonts w:ascii="Times New Roman" w:hAnsi="Times New Roman" w:cs="Times New Roman"/>
          <w:bCs/>
          <w:sz w:val="24"/>
          <w:szCs w:val="24"/>
          <w:lang w:val="en-US"/>
        </w:rPr>
        <w:t>.</w:t>
      </w:r>
      <w:r w:rsidRPr="00912992">
        <w:rPr>
          <w:rStyle w:val="EndnoteReference"/>
          <w:rFonts w:ascii="Times New Roman" w:hAnsi="Times New Roman" w:cs="Times New Roman"/>
          <w:bCs/>
          <w:sz w:val="24"/>
          <w:szCs w:val="24"/>
          <w:lang w:val="en-US"/>
        </w:rPr>
        <w:endnoteReference w:id="18"/>
      </w:r>
      <w:r w:rsidRPr="00912992">
        <w:rPr>
          <w:rFonts w:ascii="Times New Roman" w:hAnsi="Times New Roman" w:cs="Times New Roman"/>
          <w:bCs/>
          <w:sz w:val="24"/>
          <w:szCs w:val="24"/>
          <w:lang w:val="en-US"/>
        </w:rPr>
        <w:t xml:space="preserve"> This reaction left little doubt about the conviction that such egregious, discriminatory destruction, in defiance of appeals by UNESCO, the </w:t>
      </w:r>
      <w:r w:rsidR="00FD42BA">
        <w:rPr>
          <w:rFonts w:ascii="Times New Roman" w:hAnsi="Times New Roman" w:cs="Times New Roman"/>
          <w:bCs/>
          <w:sz w:val="24"/>
          <w:szCs w:val="24"/>
          <w:lang w:val="en-US"/>
        </w:rPr>
        <w:t xml:space="preserve">broader </w:t>
      </w:r>
      <w:r w:rsidRPr="00912992">
        <w:rPr>
          <w:rFonts w:ascii="Times New Roman" w:hAnsi="Times New Roman" w:cs="Times New Roman"/>
          <w:bCs/>
          <w:sz w:val="24"/>
          <w:szCs w:val="24"/>
          <w:lang w:val="en-US"/>
        </w:rPr>
        <w:t xml:space="preserve">UN, and the international community as a whole, was not only morally and politically condemnable, but also wrongful under international legal standards. </w:t>
      </w:r>
    </w:p>
    <w:p w14:paraId="7F378213" w14:textId="285F69C3" w:rsidR="001A62EE" w:rsidRPr="00912992"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The best proof of this conviction was the organization under the auspices of UNESCO of a diplomatic effort aimed at drafting a normative instrument prohibiting the intentional destruction of cultural heritage in time of war and in time of peace</w:t>
      </w:r>
      <w:r w:rsidR="00AE66D0">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This instrument took the form of </w:t>
      </w:r>
      <w:r w:rsidR="00A165F4">
        <w:rPr>
          <w:rFonts w:ascii="Times New Roman" w:hAnsi="Times New Roman" w:cs="Times New Roman"/>
          <w:bCs/>
          <w:sz w:val="24"/>
          <w:szCs w:val="24"/>
          <w:lang w:val="en-US"/>
        </w:rPr>
        <w:t xml:space="preserve">the </w:t>
      </w:r>
      <w:r w:rsidRPr="00912992">
        <w:rPr>
          <w:rFonts w:ascii="Times New Roman" w:hAnsi="Times New Roman" w:cs="Times New Roman"/>
          <w:bCs/>
          <w:sz w:val="24"/>
          <w:szCs w:val="24"/>
          <w:lang w:val="en-US"/>
        </w:rPr>
        <w:t xml:space="preserve">UNESCO Declaration </w:t>
      </w:r>
      <w:r w:rsidR="00F72701">
        <w:rPr>
          <w:rFonts w:ascii="Times New Roman" w:hAnsi="Times New Roman" w:cs="Times New Roman"/>
          <w:bCs/>
          <w:sz w:val="24"/>
          <w:szCs w:val="24"/>
          <w:lang w:val="en-US"/>
        </w:rPr>
        <w:t>Concerning</w:t>
      </w:r>
      <w:r w:rsidR="00F72701"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the Intentional Destruction of Cultural Heritage, which was adopted by the </w:t>
      </w:r>
      <w:r w:rsidR="005C66CA">
        <w:rPr>
          <w:rFonts w:ascii="Times New Roman" w:hAnsi="Times New Roman" w:cs="Times New Roman"/>
          <w:bCs/>
          <w:sz w:val="24"/>
          <w:szCs w:val="24"/>
          <w:lang w:val="en-US"/>
        </w:rPr>
        <w:t xml:space="preserve">organization’s </w:t>
      </w:r>
      <w:r w:rsidRPr="00912992">
        <w:rPr>
          <w:rFonts w:ascii="Times New Roman" w:hAnsi="Times New Roman" w:cs="Times New Roman"/>
          <w:bCs/>
          <w:sz w:val="24"/>
          <w:szCs w:val="24"/>
          <w:lang w:val="en-US"/>
        </w:rPr>
        <w:t>General Conference on 17 October</w:t>
      </w:r>
      <w:r w:rsidR="00C62FD0"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2003.</w:t>
      </w:r>
      <w:r w:rsidRPr="00912992">
        <w:rPr>
          <w:rStyle w:val="EndnoteReference"/>
          <w:rFonts w:ascii="Times New Roman" w:hAnsi="Times New Roman" w:cs="Times New Roman"/>
          <w:bCs/>
          <w:sz w:val="24"/>
          <w:szCs w:val="24"/>
          <w:lang w:val="en-US"/>
        </w:rPr>
        <w:endnoteReference w:id="19"/>
      </w:r>
      <w:r w:rsidRPr="00912992">
        <w:rPr>
          <w:rFonts w:ascii="Times New Roman" w:hAnsi="Times New Roman" w:cs="Times New Roman"/>
          <w:bCs/>
          <w:sz w:val="24"/>
          <w:szCs w:val="24"/>
          <w:lang w:val="en-US"/>
        </w:rPr>
        <w:t xml:space="preserve"> Article </w:t>
      </w:r>
      <w:r w:rsidR="00E05F7C">
        <w:rPr>
          <w:rFonts w:ascii="Times New Roman" w:hAnsi="Times New Roman" w:cs="Times New Roman"/>
          <w:bCs/>
          <w:sz w:val="24"/>
          <w:szCs w:val="24"/>
          <w:lang w:val="en-US"/>
        </w:rPr>
        <w:t>2</w:t>
      </w:r>
      <w:r w:rsidRPr="00912992">
        <w:rPr>
          <w:rFonts w:ascii="Times New Roman" w:hAnsi="Times New Roman" w:cs="Times New Roman"/>
          <w:bCs/>
          <w:sz w:val="24"/>
          <w:szCs w:val="24"/>
          <w:lang w:val="en-US"/>
        </w:rPr>
        <w:t xml:space="preserve"> defines international destruction as:</w:t>
      </w:r>
      <w:r w:rsidR="0015126E">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“an act intended to destroy in whole or in part cultural heritage thus compromising its integrity, in a manner that constitutes a violation of international law or an unjustifiable offence to the principles of humanity and dictates of public conscience</w:t>
      </w:r>
      <w:r w:rsidR="00084914">
        <w:rPr>
          <w:rFonts w:ascii="Times New Roman" w:hAnsi="Times New Roman" w:cs="Times New Roman"/>
          <w:bCs/>
          <w:sz w:val="24"/>
          <w:szCs w:val="24"/>
          <w:lang w:val="en-US"/>
        </w:rPr>
        <w:t>.”</w:t>
      </w:r>
      <w:r w:rsidR="0015126E">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Article </w:t>
      </w:r>
      <w:r w:rsidR="0015126E">
        <w:rPr>
          <w:rFonts w:ascii="Times New Roman" w:hAnsi="Times New Roman" w:cs="Times New Roman"/>
          <w:bCs/>
          <w:sz w:val="24"/>
          <w:szCs w:val="24"/>
          <w:lang w:val="en-US"/>
        </w:rPr>
        <w:t>6</w:t>
      </w:r>
      <w:r w:rsidRPr="00912992">
        <w:rPr>
          <w:rFonts w:ascii="Times New Roman" w:hAnsi="Times New Roman" w:cs="Times New Roman"/>
          <w:bCs/>
          <w:sz w:val="24"/>
          <w:szCs w:val="24"/>
          <w:lang w:val="en-US"/>
        </w:rPr>
        <w:t xml:space="preserve"> further provides that</w:t>
      </w:r>
      <w:r w:rsidR="0015126E">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w:t>
      </w:r>
      <w:r w:rsidR="0015126E">
        <w:rPr>
          <w:rFonts w:ascii="Times New Roman" w:hAnsi="Times New Roman" w:cs="Times New Roman"/>
          <w:bCs/>
          <w:sz w:val="24"/>
          <w:szCs w:val="24"/>
          <w:lang w:val="en-US"/>
        </w:rPr>
        <w:t>a</w:t>
      </w:r>
      <w:r w:rsidRPr="00912992">
        <w:rPr>
          <w:rFonts w:ascii="Times New Roman" w:hAnsi="Times New Roman" w:cs="Times New Roman"/>
          <w:bCs/>
          <w:sz w:val="24"/>
          <w:szCs w:val="24"/>
          <w:lang w:val="en-US"/>
        </w:rPr>
        <w:t xml:space="preserve"> State that intentionally destroys or intentionally fails to take appropriate measures to prohibit, prevent, stop, and punish any </w:t>
      </w:r>
      <w:r w:rsidR="00456735">
        <w:rPr>
          <w:rFonts w:ascii="Times New Roman" w:hAnsi="Times New Roman" w:cs="Times New Roman"/>
          <w:bCs/>
          <w:sz w:val="24"/>
          <w:szCs w:val="24"/>
          <w:lang w:val="en-US"/>
        </w:rPr>
        <w:t xml:space="preserve">intentional </w:t>
      </w:r>
      <w:r w:rsidRPr="00912992">
        <w:rPr>
          <w:rFonts w:ascii="Times New Roman" w:hAnsi="Times New Roman" w:cs="Times New Roman"/>
          <w:bCs/>
          <w:sz w:val="24"/>
          <w:szCs w:val="24"/>
          <w:lang w:val="en-US"/>
        </w:rPr>
        <w:t>destruction of cultural heritage of great importance for humanity</w:t>
      </w:r>
      <w:r w:rsidR="00456735">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 bears the responsibility for such destruction</w:t>
      </w:r>
      <w:r w:rsidR="0099359C">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to the extent provided </w:t>
      </w:r>
      <w:r w:rsidR="0099359C">
        <w:rPr>
          <w:rFonts w:ascii="Times New Roman" w:hAnsi="Times New Roman" w:cs="Times New Roman"/>
          <w:bCs/>
          <w:sz w:val="24"/>
          <w:szCs w:val="24"/>
          <w:lang w:val="en-US"/>
        </w:rPr>
        <w:t xml:space="preserve">for </w:t>
      </w:r>
      <w:r w:rsidRPr="00912992">
        <w:rPr>
          <w:rFonts w:ascii="Times New Roman" w:hAnsi="Times New Roman" w:cs="Times New Roman"/>
          <w:bCs/>
          <w:sz w:val="24"/>
          <w:szCs w:val="24"/>
          <w:lang w:val="en-US"/>
        </w:rPr>
        <w:t>by international law.”</w:t>
      </w:r>
    </w:p>
    <w:p w14:paraId="42308229" w14:textId="11DE02EC" w:rsidR="001A62EE" w:rsidRPr="00912992" w:rsidRDefault="001A62EE" w:rsidP="000D3355">
      <w:pPr>
        <w:tabs>
          <w:tab w:val="left" w:pos="7371"/>
        </w:tabs>
        <w:spacing w:line="480" w:lineRule="auto"/>
        <w:ind w:firstLine="720"/>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 xml:space="preserve">The </w:t>
      </w:r>
      <w:r w:rsidR="008D4F66">
        <w:rPr>
          <w:rFonts w:ascii="Times New Roman" w:hAnsi="Times New Roman" w:cs="Times New Roman"/>
          <w:bCs/>
          <w:sz w:val="24"/>
          <w:szCs w:val="24"/>
          <w:lang w:val="en-US"/>
        </w:rPr>
        <w:t>d</w:t>
      </w:r>
      <w:r w:rsidRPr="00912992">
        <w:rPr>
          <w:rFonts w:ascii="Times New Roman" w:hAnsi="Times New Roman" w:cs="Times New Roman"/>
          <w:bCs/>
          <w:sz w:val="24"/>
          <w:szCs w:val="24"/>
          <w:lang w:val="en-US"/>
        </w:rPr>
        <w:t xml:space="preserve">eclaration was adopted by acclamation. No participating </w:t>
      </w:r>
      <w:r w:rsidR="008D0FA2">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tate attached reservation</w:t>
      </w:r>
      <w:r w:rsidR="008D0FA2">
        <w:rPr>
          <w:rFonts w:ascii="Times New Roman" w:hAnsi="Times New Roman" w:cs="Times New Roman"/>
          <w:bCs/>
          <w:sz w:val="24"/>
          <w:szCs w:val="24"/>
          <w:lang w:val="en-US"/>
        </w:rPr>
        <w:t>s</w:t>
      </w:r>
      <w:r w:rsidR="000746D8">
        <w:rPr>
          <w:rFonts w:ascii="Times New Roman" w:hAnsi="Times New Roman" w:cs="Times New Roman"/>
          <w:bCs/>
          <w:sz w:val="24"/>
          <w:szCs w:val="24"/>
          <w:lang w:val="en-US"/>
        </w:rPr>
        <w:t xml:space="preserve"> </w:t>
      </w:r>
      <w:r w:rsidR="001B10CD">
        <w:rPr>
          <w:rFonts w:ascii="Times New Roman" w:hAnsi="Times New Roman" w:cs="Times New Roman"/>
          <w:bCs/>
          <w:sz w:val="24"/>
          <w:szCs w:val="24"/>
          <w:lang w:val="en-US"/>
        </w:rPr>
        <w:t xml:space="preserve">or </w:t>
      </w:r>
      <w:r w:rsidRPr="00912992">
        <w:rPr>
          <w:rFonts w:ascii="Times New Roman" w:hAnsi="Times New Roman" w:cs="Times New Roman"/>
          <w:bCs/>
          <w:sz w:val="24"/>
          <w:szCs w:val="24"/>
          <w:lang w:val="en-US"/>
        </w:rPr>
        <w:t xml:space="preserve">restrictive understandings to its text. The General Conference comprised at the time of its </w:t>
      </w:r>
      <w:r w:rsidRPr="00912992">
        <w:rPr>
          <w:rFonts w:ascii="Times New Roman" w:hAnsi="Times New Roman" w:cs="Times New Roman"/>
          <w:bCs/>
          <w:sz w:val="24"/>
          <w:szCs w:val="24"/>
          <w:lang w:val="en-US"/>
        </w:rPr>
        <w:lastRenderedPageBreak/>
        <w:t xml:space="preserve">adoption </w:t>
      </w:r>
      <w:r w:rsidR="005053B5">
        <w:rPr>
          <w:rFonts w:ascii="Times New Roman" w:hAnsi="Times New Roman" w:cs="Times New Roman"/>
          <w:bCs/>
          <w:sz w:val="24"/>
          <w:szCs w:val="24"/>
          <w:lang w:val="en-US"/>
        </w:rPr>
        <w:t>nearly all</w:t>
      </w:r>
      <w:r w:rsidR="009A3E30">
        <w:rPr>
          <w:rFonts w:ascii="Times New Roman" w:hAnsi="Times New Roman" w:cs="Times New Roman"/>
          <w:bCs/>
          <w:sz w:val="24"/>
          <w:szCs w:val="24"/>
          <w:lang w:val="en-US"/>
        </w:rPr>
        <w:t xml:space="preserve"> </w:t>
      </w:r>
      <w:r w:rsidR="005053B5">
        <w:rPr>
          <w:rFonts w:ascii="Times New Roman" w:hAnsi="Times New Roman" w:cs="Times New Roman"/>
          <w:bCs/>
          <w:sz w:val="24"/>
          <w:szCs w:val="24"/>
          <w:lang w:val="en-US"/>
        </w:rPr>
        <w:t>recognized states</w:t>
      </w:r>
      <w:r w:rsidR="00B87C99">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including the United States and the United Kingdom, which had rejoined UNESCO after their previous withdrawal. Even if the </w:t>
      </w:r>
      <w:r w:rsidR="007F18F4">
        <w:rPr>
          <w:rFonts w:ascii="Times New Roman" w:hAnsi="Times New Roman" w:cs="Times New Roman"/>
          <w:bCs/>
          <w:sz w:val="24"/>
          <w:szCs w:val="24"/>
          <w:lang w:val="en-US"/>
        </w:rPr>
        <w:t>d</w:t>
      </w:r>
      <w:r w:rsidRPr="00912992">
        <w:rPr>
          <w:rFonts w:ascii="Times New Roman" w:hAnsi="Times New Roman" w:cs="Times New Roman"/>
          <w:bCs/>
          <w:sz w:val="24"/>
          <w:szCs w:val="24"/>
          <w:lang w:val="en-US"/>
        </w:rPr>
        <w:t xml:space="preserve">eclaration remains formally a soft law instrument, it is difficult to dismiss its value as evidence of a widespread </w:t>
      </w:r>
      <w:r w:rsidRPr="00912992">
        <w:rPr>
          <w:rFonts w:ascii="Times New Roman" w:hAnsi="Times New Roman" w:cs="Times New Roman"/>
          <w:bCs/>
          <w:i/>
          <w:sz w:val="24"/>
          <w:szCs w:val="24"/>
          <w:lang w:val="en-US"/>
        </w:rPr>
        <w:t xml:space="preserve">opinio iuris </w:t>
      </w:r>
      <w:r w:rsidRPr="00912992">
        <w:rPr>
          <w:rFonts w:ascii="Times New Roman" w:hAnsi="Times New Roman" w:cs="Times New Roman"/>
          <w:bCs/>
          <w:sz w:val="24"/>
          <w:szCs w:val="24"/>
          <w:lang w:val="en-US"/>
        </w:rPr>
        <w:t xml:space="preserve">about the existence of an international obligation to avoid and prevent intentional destruction of cultural heritage of great importance for humanity in a context of conflict </w:t>
      </w:r>
      <w:r w:rsidR="001B10CD">
        <w:rPr>
          <w:rFonts w:ascii="Times New Roman" w:hAnsi="Times New Roman" w:cs="Times New Roman"/>
          <w:bCs/>
          <w:sz w:val="24"/>
          <w:szCs w:val="24"/>
          <w:lang w:val="en-US"/>
        </w:rPr>
        <w:t>or</w:t>
      </w:r>
      <w:r w:rsidRPr="00912992">
        <w:rPr>
          <w:rFonts w:ascii="Times New Roman" w:hAnsi="Times New Roman" w:cs="Times New Roman"/>
          <w:bCs/>
          <w:sz w:val="24"/>
          <w:szCs w:val="24"/>
          <w:lang w:val="en-US"/>
        </w:rPr>
        <w:t xml:space="preserve"> terrorism.</w:t>
      </w:r>
    </w:p>
    <w:p w14:paraId="49A6A2EE" w14:textId="5835926F" w:rsidR="001A62EE" w:rsidRPr="00912992" w:rsidRDefault="001A62EE" w:rsidP="000D3355">
      <w:pPr>
        <w:tabs>
          <w:tab w:val="left" w:pos="7371"/>
        </w:tabs>
        <w:spacing w:line="480" w:lineRule="auto"/>
        <w:ind w:firstLine="720"/>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 xml:space="preserve">Other important elements of international practice support the existence of such </w:t>
      </w:r>
      <w:r w:rsidR="004F3CB8">
        <w:rPr>
          <w:rFonts w:ascii="Times New Roman" w:hAnsi="Times New Roman" w:cs="Times New Roman"/>
          <w:bCs/>
          <w:sz w:val="24"/>
          <w:szCs w:val="24"/>
          <w:lang w:val="en-US"/>
        </w:rPr>
        <w:t xml:space="preserve">a </w:t>
      </w:r>
      <w:r w:rsidRPr="00912992">
        <w:rPr>
          <w:rFonts w:ascii="Times New Roman" w:hAnsi="Times New Roman" w:cs="Times New Roman"/>
          <w:bCs/>
          <w:sz w:val="24"/>
          <w:szCs w:val="24"/>
          <w:lang w:val="en-US"/>
        </w:rPr>
        <w:t>customary norm</w:t>
      </w:r>
      <w:r w:rsidR="004F3CB8">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They can be found in the case law of international criminal tribunals and in the practice of United Nations organs. </w:t>
      </w:r>
      <w:r w:rsidR="004F3CB8">
        <w:rPr>
          <w:rFonts w:ascii="Times New Roman" w:hAnsi="Times New Roman" w:cs="Times New Roman"/>
          <w:bCs/>
          <w:sz w:val="24"/>
          <w:szCs w:val="24"/>
          <w:lang w:val="en-US"/>
        </w:rPr>
        <w:t xml:space="preserve">In the </w:t>
      </w:r>
      <w:r w:rsidR="004F3CB8" w:rsidRPr="00912992">
        <w:rPr>
          <w:rFonts w:ascii="Times New Roman" w:hAnsi="Times New Roman" w:cs="Times New Roman"/>
          <w:bCs/>
          <w:i/>
          <w:sz w:val="24"/>
          <w:szCs w:val="24"/>
          <w:lang w:val="en-US"/>
        </w:rPr>
        <w:t>Tadi</w:t>
      </w:r>
      <w:r w:rsidR="008F4A22">
        <w:rPr>
          <w:rFonts w:ascii="Times New Roman" w:hAnsi="Times New Roman" w:cs="Times New Roman"/>
          <w:bCs/>
          <w:i/>
          <w:sz w:val="24"/>
          <w:szCs w:val="24"/>
          <w:lang w:val="en-US"/>
        </w:rPr>
        <w:t>ć</w:t>
      </w:r>
      <w:r w:rsidR="004F3CB8" w:rsidRPr="00912992">
        <w:rPr>
          <w:rFonts w:ascii="Times New Roman" w:hAnsi="Times New Roman" w:cs="Times New Roman"/>
          <w:bCs/>
          <w:i/>
          <w:sz w:val="24"/>
          <w:szCs w:val="24"/>
          <w:lang w:val="en-US"/>
        </w:rPr>
        <w:t xml:space="preserve"> </w:t>
      </w:r>
      <w:r w:rsidR="004F3CB8">
        <w:rPr>
          <w:rFonts w:ascii="Times New Roman" w:hAnsi="Times New Roman" w:cs="Times New Roman"/>
          <w:bCs/>
          <w:iCs/>
          <w:sz w:val="24"/>
          <w:szCs w:val="24"/>
          <w:lang w:val="en-US"/>
        </w:rPr>
        <w:t xml:space="preserve">case, the </w:t>
      </w:r>
      <w:r w:rsidRPr="00912992">
        <w:rPr>
          <w:rFonts w:ascii="Times New Roman" w:hAnsi="Times New Roman" w:cs="Times New Roman"/>
          <w:bCs/>
          <w:sz w:val="24"/>
          <w:szCs w:val="24"/>
          <w:lang w:val="en-US"/>
        </w:rPr>
        <w:t>ICTY stated that: “The emergence of international rules governing civil strife has occurred at two different levels: at the level of customary law and at that of treaty law</w:t>
      </w:r>
      <w:r w:rsidR="00D7723A">
        <w:rPr>
          <w:rFonts w:ascii="Times New Roman" w:hAnsi="Times New Roman" w:cs="Times New Roman"/>
          <w:bCs/>
          <w:sz w:val="24"/>
          <w:szCs w:val="24"/>
          <w:lang w:val="en-US"/>
        </w:rPr>
        <w:t>.</w:t>
      </w:r>
      <w:r w:rsidR="007346AB">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w:t>
      </w:r>
      <w:r w:rsidR="007346AB">
        <w:rPr>
          <w:rFonts w:ascii="Times New Roman" w:hAnsi="Times New Roman" w:cs="Times New Roman"/>
          <w:bCs/>
          <w:sz w:val="24"/>
          <w:szCs w:val="24"/>
          <w:lang w:val="en-US"/>
        </w:rPr>
        <w:t xml:space="preserve"> </w:t>
      </w:r>
      <w:r w:rsidR="00D7723A">
        <w:rPr>
          <w:rFonts w:ascii="Times New Roman" w:hAnsi="Times New Roman" w:cs="Times New Roman"/>
          <w:bCs/>
          <w:sz w:val="24"/>
          <w:szCs w:val="24"/>
          <w:lang w:val="en-US"/>
        </w:rPr>
        <w:t>T</w:t>
      </w:r>
      <w:r w:rsidRPr="00912992">
        <w:rPr>
          <w:rFonts w:ascii="Times New Roman" w:hAnsi="Times New Roman" w:cs="Times New Roman"/>
          <w:bCs/>
          <w:sz w:val="24"/>
          <w:szCs w:val="24"/>
          <w:lang w:val="en-US"/>
        </w:rPr>
        <w:t xml:space="preserve">he interplay between the two sets of rules is such that some treaty rules have gradually become </w:t>
      </w:r>
      <w:r w:rsidRPr="00912992">
        <w:rPr>
          <w:rFonts w:ascii="Times New Roman" w:hAnsi="Times New Roman" w:cs="Times New Roman"/>
          <w:bCs/>
          <w:i/>
          <w:sz w:val="24"/>
          <w:szCs w:val="24"/>
          <w:lang w:val="en-US"/>
        </w:rPr>
        <w:t>part of customary international law</w:t>
      </w:r>
      <w:r w:rsidRPr="00912992">
        <w:rPr>
          <w:rFonts w:ascii="Times New Roman" w:hAnsi="Times New Roman" w:cs="Times New Roman"/>
          <w:bCs/>
          <w:sz w:val="24"/>
          <w:szCs w:val="24"/>
          <w:lang w:val="en-US"/>
        </w:rPr>
        <w:t>. This</w:t>
      </w:r>
      <w:r w:rsidR="00D7723A">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also applies to Article 19 of the Hague Convention for the Protection of Cultural Property in the Event of Armed Conflict</w:t>
      </w:r>
      <w:r w:rsidR="00084914">
        <w:rPr>
          <w:rFonts w:ascii="Times New Roman" w:hAnsi="Times New Roman" w:cs="Times New Roman"/>
          <w:bCs/>
          <w:sz w:val="24"/>
          <w:szCs w:val="24"/>
          <w:lang w:val="en-US"/>
        </w:rPr>
        <w:t>.”</w:t>
      </w:r>
      <w:r w:rsidRPr="00912992">
        <w:rPr>
          <w:rStyle w:val="EndnoteReference"/>
          <w:rFonts w:ascii="Times New Roman" w:hAnsi="Times New Roman" w:cs="Times New Roman"/>
          <w:bCs/>
          <w:sz w:val="24"/>
          <w:szCs w:val="24"/>
          <w:lang w:val="en-US"/>
        </w:rPr>
        <w:endnoteReference w:id="20"/>
      </w:r>
      <w:r w:rsidRPr="00912992">
        <w:rPr>
          <w:rFonts w:ascii="Times New Roman" w:hAnsi="Times New Roman" w:cs="Times New Roman"/>
          <w:bCs/>
          <w:sz w:val="24"/>
          <w:szCs w:val="24"/>
          <w:lang w:val="en-US"/>
        </w:rPr>
        <w:t xml:space="preserve"> Article 19 concerns the obligations of the parties to a non</w:t>
      </w:r>
      <w:r w:rsidR="00D7723A">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international armed conflict to abide as a minimum by “the provisions of the</w:t>
      </w:r>
      <w:r w:rsidR="00C12413">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w:t>
      </w:r>
      <w:r w:rsidR="00C12413">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Convention which relate to respect for cultural property</w:t>
      </w:r>
      <w:r w:rsidR="00084914">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Thus, the </w:t>
      </w:r>
      <w:r w:rsidRPr="00912992">
        <w:rPr>
          <w:rFonts w:ascii="Times New Roman" w:hAnsi="Times New Roman" w:cs="Times New Roman"/>
          <w:bCs/>
          <w:i/>
          <w:iCs/>
          <w:sz w:val="24"/>
          <w:szCs w:val="24"/>
          <w:lang w:val="en-US"/>
        </w:rPr>
        <w:t>Tadi</w:t>
      </w:r>
      <w:r w:rsidR="00C12413">
        <w:rPr>
          <w:rFonts w:ascii="Times New Roman" w:hAnsi="Times New Roman" w:cs="Times New Roman"/>
          <w:bCs/>
          <w:i/>
          <w:iCs/>
          <w:sz w:val="24"/>
          <w:szCs w:val="24"/>
          <w:lang w:val="en-US"/>
        </w:rPr>
        <w:t>ć</w:t>
      </w:r>
      <w:r w:rsidRPr="00912992">
        <w:rPr>
          <w:rFonts w:ascii="Times New Roman" w:hAnsi="Times New Roman" w:cs="Times New Roman"/>
          <w:bCs/>
          <w:sz w:val="24"/>
          <w:szCs w:val="24"/>
          <w:lang w:val="en-US"/>
        </w:rPr>
        <w:t xml:space="preserve"> judgment would confirm the customary law character of the prohibition to destroy cultural heritage in armed conflict, including non-international</w:t>
      </w:r>
      <w:r w:rsidR="001B10CD">
        <w:rPr>
          <w:rFonts w:ascii="Times New Roman" w:hAnsi="Times New Roman" w:cs="Times New Roman"/>
          <w:bCs/>
          <w:sz w:val="24"/>
          <w:szCs w:val="24"/>
          <w:lang w:val="en-US"/>
        </w:rPr>
        <w:t xml:space="preserve"> conflict</w:t>
      </w:r>
      <w:r w:rsidRPr="00912992">
        <w:rPr>
          <w:rFonts w:ascii="Times New Roman" w:hAnsi="Times New Roman" w:cs="Times New Roman"/>
          <w:bCs/>
          <w:sz w:val="24"/>
          <w:szCs w:val="24"/>
          <w:lang w:val="en-US"/>
        </w:rPr>
        <w:t>.</w:t>
      </w:r>
    </w:p>
    <w:p w14:paraId="5550471D" w14:textId="22722A5D" w:rsidR="001A62EE" w:rsidRPr="00665F17" w:rsidRDefault="001A62EE" w:rsidP="000D3355">
      <w:pPr>
        <w:tabs>
          <w:tab w:val="left" w:pos="7371"/>
        </w:tabs>
        <w:spacing w:line="480" w:lineRule="auto"/>
        <w:ind w:firstLine="720"/>
        <w:jc w:val="both"/>
        <w:rPr>
          <w:rFonts w:ascii="Times New Roman" w:eastAsia="Times New Roman" w:hAnsi="Times New Roman" w:cs="Times New Roman"/>
          <w:sz w:val="24"/>
          <w:szCs w:val="24"/>
          <w:lang w:val="en-US" w:eastAsia="it-IT"/>
        </w:rPr>
      </w:pPr>
      <w:r w:rsidRPr="00912992">
        <w:rPr>
          <w:rFonts w:ascii="Times New Roman" w:hAnsi="Times New Roman" w:cs="Times New Roman"/>
          <w:bCs/>
          <w:sz w:val="24"/>
          <w:szCs w:val="24"/>
          <w:lang w:val="en-US"/>
        </w:rPr>
        <w:t xml:space="preserve">As far as the practice of UN organs is concerned, </w:t>
      </w:r>
      <w:r w:rsidR="007554E1">
        <w:rPr>
          <w:rFonts w:ascii="Times New Roman" w:hAnsi="Times New Roman" w:cs="Times New Roman"/>
          <w:bCs/>
          <w:sz w:val="24"/>
          <w:szCs w:val="24"/>
          <w:lang w:val="en-US"/>
        </w:rPr>
        <w:t xml:space="preserve">a </w:t>
      </w:r>
      <w:r w:rsidR="00D03280">
        <w:rPr>
          <w:rFonts w:ascii="Times New Roman" w:hAnsi="Times New Roman" w:cs="Times New Roman"/>
          <w:bCs/>
          <w:sz w:val="24"/>
          <w:szCs w:val="24"/>
          <w:lang w:val="en-US"/>
        </w:rPr>
        <w:t>1999</w:t>
      </w:r>
      <w:r w:rsidR="00265268">
        <w:rPr>
          <w:rFonts w:ascii="Times New Roman" w:hAnsi="Times New Roman" w:cs="Times New Roman"/>
          <w:bCs/>
          <w:sz w:val="24"/>
          <w:szCs w:val="24"/>
          <w:lang w:val="en-US"/>
        </w:rPr>
        <w:t xml:space="preserve"> “bulletin” from the</w:t>
      </w:r>
      <w:r w:rsidR="00D03280">
        <w:rPr>
          <w:rFonts w:ascii="Times New Roman" w:hAnsi="Times New Roman" w:cs="Times New Roman"/>
          <w:bCs/>
          <w:sz w:val="24"/>
          <w:szCs w:val="24"/>
          <w:lang w:val="en-US"/>
        </w:rPr>
        <w:t xml:space="preserve"> </w:t>
      </w:r>
      <w:r w:rsidR="007554E1" w:rsidRPr="007554E1">
        <w:rPr>
          <w:rFonts w:ascii="Times New Roman" w:hAnsi="Times New Roman" w:cs="Times New Roman"/>
          <w:bCs/>
          <w:sz w:val="24"/>
          <w:szCs w:val="24"/>
          <w:lang w:val="en-US"/>
        </w:rPr>
        <w:t>Secretary-General</w:t>
      </w:r>
      <w:r w:rsidR="00C62FD0"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concerning the obligations of UN forces to respect the rules of international humanitarian law </w:t>
      </w:r>
      <w:r w:rsidR="003E4649">
        <w:rPr>
          <w:rFonts w:ascii="Times New Roman" w:hAnsi="Times New Roman" w:cs="Times New Roman"/>
          <w:bCs/>
          <w:sz w:val="24"/>
          <w:szCs w:val="24"/>
          <w:lang w:val="en-US"/>
        </w:rPr>
        <w:t xml:space="preserve">delineated </w:t>
      </w:r>
      <w:r w:rsidRPr="00912992">
        <w:rPr>
          <w:rFonts w:ascii="Times New Roman" w:hAnsi="Times New Roman" w:cs="Times New Roman"/>
          <w:bCs/>
          <w:sz w:val="24"/>
          <w:szCs w:val="24"/>
          <w:lang w:val="en-US"/>
        </w:rPr>
        <w:t>the following</w:t>
      </w:r>
      <w:r w:rsidR="00C62FD0"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obligation: “In its area of operation, the United Nations forces</w:t>
      </w:r>
      <w:r w:rsidR="00C62FD0"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shall not use such cultural property, monuments of art, architecture or history, archaeological sites, works of art, places of worship and museums and libraries which constitute the cultural or spiritual heritage of peoples or their immediate surroundings for purposes which might expose them to destruction or damage.</w:t>
      </w:r>
      <w:r w:rsidR="007554E1">
        <w:rPr>
          <w:rFonts w:ascii="Times New Roman" w:hAnsi="Times New Roman" w:cs="Times New Roman"/>
          <w:bCs/>
          <w:sz w:val="24"/>
          <w:szCs w:val="24"/>
          <w:lang w:val="en-US"/>
        </w:rPr>
        <w:t>”</w:t>
      </w:r>
      <w:r w:rsidRPr="00912992">
        <w:rPr>
          <w:rStyle w:val="EndnoteReference"/>
          <w:rFonts w:ascii="Times New Roman" w:hAnsi="Times New Roman" w:cs="Times New Roman"/>
          <w:bCs/>
          <w:sz w:val="24"/>
          <w:szCs w:val="24"/>
          <w:lang w:val="en-US"/>
        </w:rPr>
        <w:endnoteReference w:id="21"/>
      </w:r>
      <w:r w:rsidR="000D696C">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The General Assembly</w:t>
      </w:r>
      <w:r w:rsidR="005E27AC">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adopted </w:t>
      </w:r>
      <w:r w:rsidR="00B8127B">
        <w:rPr>
          <w:rFonts w:ascii="Times New Roman" w:hAnsi="Times New Roman" w:cs="Times New Roman"/>
          <w:bCs/>
          <w:sz w:val="24"/>
          <w:szCs w:val="24"/>
          <w:lang w:val="en-US"/>
        </w:rPr>
        <w:t>a r</w:t>
      </w:r>
      <w:r w:rsidRPr="00912992">
        <w:rPr>
          <w:rFonts w:ascii="Times New Roman" w:hAnsi="Times New Roman" w:cs="Times New Roman"/>
          <w:bCs/>
          <w:sz w:val="24"/>
          <w:szCs w:val="24"/>
          <w:lang w:val="en-US"/>
        </w:rPr>
        <w:t xml:space="preserve">esolution </w:t>
      </w:r>
      <w:r w:rsidR="00B8127B">
        <w:rPr>
          <w:rFonts w:ascii="Times New Roman" w:hAnsi="Times New Roman" w:cs="Times New Roman"/>
          <w:bCs/>
          <w:sz w:val="24"/>
          <w:szCs w:val="24"/>
          <w:lang w:val="en-US"/>
        </w:rPr>
        <w:t xml:space="preserve">in </w:t>
      </w:r>
      <w:r w:rsidRPr="00912992">
        <w:rPr>
          <w:rFonts w:ascii="Times New Roman" w:hAnsi="Times New Roman" w:cs="Times New Roman"/>
          <w:bCs/>
          <w:sz w:val="24"/>
          <w:szCs w:val="24"/>
          <w:lang w:val="en-US"/>
        </w:rPr>
        <w:t xml:space="preserve">2015, </w:t>
      </w:r>
      <w:r w:rsidRPr="00912992">
        <w:rPr>
          <w:rFonts w:ascii="Times New Roman" w:hAnsi="Times New Roman" w:cs="Times New Roman"/>
          <w:bCs/>
          <w:i/>
          <w:sz w:val="24"/>
          <w:szCs w:val="24"/>
          <w:lang w:val="en-US"/>
        </w:rPr>
        <w:t xml:space="preserve">Saving </w:t>
      </w:r>
      <w:r w:rsidR="00B40FBA">
        <w:rPr>
          <w:rFonts w:ascii="Times New Roman" w:hAnsi="Times New Roman" w:cs="Times New Roman"/>
          <w:bCs/>
          <w:i/>
          <w:sz w:val="24"/>
          <w:szCs w:val="24"/>
          <w:lang w:val="en-US"/>
        </w:rPr>
        <w:t xml:space="preserve">the </w:t>
      </w:r>
      <w:r w:rsidRPr="00912992">
        <w:rPr>
          <w:rFonts w:ascii="Times New Roman" w:hAnsi="Times New Roman" w:cs="Times New Roman"/>
          <w:bCs/>
          <w:i/>
          <w:sz w:val="24"/>
          <w:szCs w:val="24"/>
          <w:lang w:val="en-US"/>
        </w:rPr>
        <w:t xml:space="preserve">Cultural </w:t>
      </w:r>
      <w:r w:rsidRPr="00912992">
        <w:rPr>
          <w:rFonts w:ascii="Times New Roman" w:hAnsi="Times New Roman" w:cs="Times New Roman"/>
          <w:bCs/>
          <w:i/>
          <w:sz w:val="24"/>
          <w:szCs w:val="24"/>
          <w:lang w:val="en-US"/>
        </w:rPr>
        <w:lastRenderedPageBreak/>
        <w:t>Heritage of Iraq</w:t>
      </w:r>
      <w:r w:rsidRPr="00665F17">
        <w:rPr>
          <w:rFonts w:ascii="Times New Roman" w:hAnsi="Times New Roman" w:cs="Times New Roman"/>
          <w:bCs/>
          <w:iCs/>
          <w:sz w:val="24"/>
          <w:szCs w:val="24"/>
          <w:lang w:val="en-US"/>
        </w:rPr>
        <w:t>,</w:t>
      </w:r>
      <w:r w:rsidRPr="000D696C">
        <w:rPr>
          <w:rFonts w:ascii="Times New Roman" w:hAnsi="Times New Roman" w:cs="Times New Roman"/>
          <w:bCs/>
          <w:iCs/>
          <w:sz w:val="24"/>
          <w:szCs w:val="24"/>
          <w:lang w:val="en-US"/>
        </w:rPr>
        <w:t xml:space="preserve"> </w:t>
      </w:r>
      <w:r w:rsidRPr="00912992">
        <w:rPr>
          <w:rFonts w:ascii="Times New Roman" w:hAnsi="Times New Roman" w:cs="Times New Roman"/>
          <w:bCs/>
          <w:sz w:val="24"/>
          <w:szCs w:val="24"/>
          <w:lang w:val="en-US"/>
        </w:rPr>
        <w:t>which unambiguously condemn</w:t>
      </w:r>
      <w:r w:rsidR="002E6686">
        <w:rPr>
          <w:rFonts w:ascii="Times New Roman" w:hAnsi="Times New Roman" w:cs="Times New Roman"/>
          <w:bCs/>
          <w:sz w:val="24"/>
          <w:szCs w:val="24"/>
          <w:lang w:val="en-US"/>
        </w:rPr>
        <w:t>ed</w:t>
      </w:r>
      <w:r w:rsidRPr="00912992">
        <w:rPr>
          <w:rFonts w:ascii="Times New Roman" w:hAnsi="Times New Roman" w:cs="Times New Roman"/>
          <w:bCs/>
          <w:sz w:val="24"/>
          <w:szCs w:val="24"/>
          <w:lang w:val="en-US"/>
        </w:rPr>
        <w:t xml:space="preserve"> the intentional destruction of cultural heritage by the Islamic State </w:t>
      </w:r>
      <w:r w:rsidR="00336255" w:rsidRPr="00336255">
        <w:rPr>
          <w:rFonts w:ascii="Times New Roman" w:hAnsi="Times New Roman" w:cs="Times New Roman"/>
          <w:bCs/>
          <w:sz w:val="24"/>
          <w:szCs w:val="24"/>
          <w:lang w:val="en-US"/>
        </w:rPr>
        <w:t>of Iraq and the Levant (ISIL, also known as ISIS or Da’esh)</w:t>
      </w:r>
      <w:r w:rsidR="00336255">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and affirm</w:t>
      </w:r>
      <w:r w:rsidR="002E6686">
        <w:rPr>
          <w:rFonts w:ascii="Times New Roman" w:hAnsi="Times New Roman" w:cs="Times New Roman"/>
          <w:bCs/>
          <w:sz w:val="24"/>
          <w:szCs w:val="24"/>
          <w:lang w:val="en-US"/>
        </w:rPr>
        <w:t>ed</w:t>
      </w:r>
      <w:r w:rsidRPr="00912992">
        <w:rPr>
          <w:rFonts w:ascii="Times New Roman" w:hAnsi="Times New Roman" w:cs="Times New Roman"/>
          <w:bCs/>
          <w:sz w:val="24"/>
          <w:szCs w:val="24"/>
          <w:lang w:val="en-US"/>
        </w:rPr>
        <w:t xml:space="preserve"> that “the destruction </w:t>
      </w:r>
      <w:r w:rsidRPr="00665F17">
        <w:rPr>
          <w:rFonts w:ascii="Times New Roman" w:eastAsia="Times New Roman" w:hAnsi="Times New Roman" w:cs="Times New Roman"/>
          <w:sz w:val="24"/>
          <w:szCs w:val="24"/>
          <w:lang w:val="en-US" w:eastAsia="it-IT"/>
        </w:rPr>
        <w:t xml:space="preserve">of cultural heritage, which is representative of the diversity of human culture, erases the collective memories of a nation, destabilizes communities and threatens their cultural </w:t>
      </w:r>
      <w:r w:rsidR="007C1BF5">
        <w:rPr>
          <w:rFonts w:ascii="Times New Roman" w:eastAsia="Times New Roman" w:hAnsi="Times New Roman" w:cs="Times New Roman"/>
          <w:sz w:val="24"/>
          <w:szCs w:val="24"/>
          <w:lang w:val="en-US" w:eastAsia="it-IT"/>
        </w:rPr>
        <w:t>i</w:t>
      </w:r>
      <w:r w:rsidRPr="00665F17">
        <w:rPr>
          <w:rFonts w:ascii="Times New Roman" w:eastAsia="Times New Roman" w:hAnsi="Times New Roman" w:cs="Times New Roman"/>
          <w:sz w:val="24"/>
          <w:szCs w:val="24"/>
          <w:lang w:val="en-US" w:eastAsia="it-IT"/>
        </w:rPr>
        <w:t xml:space="preserve">dentity, and </w:t>
      </w:r>
      <w:r w:rsidR="00A81A2C" w:rsidRPr="00665F17">
        <w:rPr>
          <w:rFonts w:ascii="Times New Roman" w:eastAsia="Times New Roman" w:hAnsi="Times New Roman" w:cs="Times New Roman"/>
          <w:sz w:val="24"/>
          <w:szCs w:val="24"/>
          <w:lang w:val="en-US" w:eastAsia="it-IT"/>
        </w:rPr>
        <w:t>emphasiz</w:t>
      </w:r>
      <w:r w:rsidR="00A81A2C">
        <w:rPr>
          <w:rFonts w:ascii="Times New Roman" w:eastAsia="Times New Roman" w:hAnsi="Times New Roman" w:cs="Times New Roman"/>
          <w:sz w:val="24"/>
          <w:szCs w:val="24"/>
          <w:lang w:val="en-US" w:eastAsia="it-IT"/>
        </w:rPr>
        <w:t>[ed]</w:t>
      </w:r>
      <w:r w:rsidR="00A81A2C" w:rsidRPr="00665F17">
        <w:rPr>
          <w:rFonts w:ascii="Times New Roman" w:eastAsia="Times New Roman" w:hAnsi="Times New Roman" w:cs="Times New Roman"/>
          <w:sz w:val="24"/>
          <w:szCs w:val="24"/>
          <w:lang w:val="en-US" w:eastAsia="it-IT"/>
        </w:rPr>
        <w:t xml:space="preserve"> </w:t>
      </w:r>
      <w:r w:rsidRPr="00665F17">
        <w:rPr>
          <w:rFonts w:ascii="Times New Roman" w:eastAsia="Times New Roman" w:hAnsi="Times New Roman" w:cs="Times New Roman"/>
          <w:sz w:val="24"/>
          <w:szCs w:val="24"/>
          <w:lang w:val="en-US" w:eastAsia="it-IT"/>
        </w:rPr>
        <w:t>the importance of cultural diversity and pluralism as well as freedom of religion and belief for achieving peace, stability, reconciliation and social cohesion.”</w:t>
      </w:r>
      <w:r w:rsidRPr="00665F17">
        <w:rPr>
          <w:rStyle w:val="EndnoteReference"/>
          <w:rFonts w:ascii="Times New Roman" w:eastAsia="Times New Roman" w:hAnsi="Times New Roman" w:cs="Times New Roman"/>
          <w:sz w:val="24"/>
          <w:szCs w:val="24"/>
          <w:lang w:val="en-US" w:eastAsia="it-IT"/>
        </w:rPr>
        <w:endnoteReference w:id="22"/>
      </w:r>
      <w:r w:rsidRPr="00665F17">
        <w:rPr>
          <w:rFonts w:ascii="Times New Roman" w:eastAsia="Times New Roman" w:hAnsi="Times New Roman" w:cs="Times New Roman"/>
          <w:sz w:val="24"/>
          <w:szCs w:val="24"/>
          <w:lang w:val="en-US" w:eastAsia="it-IT"/>
        </w:rPr>
        <w:t xml:space="preserve"> The </w:t>
      </w:r>
      <w:r w:rsidR="00A149FB">
        <w:rPr>
          <w:rFonts w:ascii="Times New Roman" w:eastAsia="Times New Roman" w:hAnsi="Times New Roman" w:cs="Times New Roman"/>
          <w:sz w:val="24"/>
          <w:szCs w:val="24"/>
          <w:lang w:val="en-US" w:eastAsia="it-IT"/>
        </w:rPr>
        <w:t xml:space="preserve">UN </w:t>
      </w:r>
      <w:r w:rsidRPr="00665F17">
        <w:rPr>
          <w:rFonts w:ascii="Times New Roman" w:eastAsia="Times New Roman" w:hAnsi="Times New Roman" w:cs="Times New Roman"/>
          <w:sz w:val="24"/>
          <w:szCs w:val="24"/>
          <w:lang w:val="en-US" w:eastAsia="it-IT"/>
        </w:rPr>
        <w:t xml:space="preserve">Human Rights Council has </w:t>
      </w:r>
      <w:r w:rsidR="00A149FB">
        <w:rPr>
          <w:rFonts w:ascii="Times New Roman" w:eastAsia="Times New Roman" w:hAnsi="Times New Roman" w:cs="Times New Roman"/>
          <w:sz w:val="24"/>
          <w:szCs w:val="24"/>
          <w:lang w:val="en-US" w:eastAsia="it-IT"/>
        </w:rPr>
        <w:t xml:space="preserve">also </w:t>
      </w:r>
      <w:r w:rsidRPr="00665F17">
        <w:rPr>
          <w:rFonts w:ascii="Times New Roman" w:eastAsia="Times New Roman" w:hAnsi="Times New Roman" w:cs="Times New Roman"/>
          <w:sz w:val="24"/>
          <w:szCs w:val="24"/>
          <w:lang w:val="en-US" w:eastAsia="it-IT"/>
        </w:rPr>
        <w:t xml:space="preserve">addressed the enormity of the atrocities committed by </w:t>
      </w:r>
      <w:r w:rsidR="00336255">
        <w:rPr>
          <w:rFonts w:ascii="Times New Roman" w:eastAsia="Times New Roman" w:hAnsi="Times New Roman" w:cs="Times New Roman"/>
          <w:sz w:val="24"/>
          <w:szCs w:val="24"/>
          <w:lang w:val="en-US" w:eastAsia="it-IT"/>
        </w:rPr>
        <w:t>ISIL</w:t>
      </w:r>
      <w:r w:rsidRPr="00665F17">
        <w:rPr>
          <w:rFonts w:ascii="Times New Roman" w:eastAsia="Times New Roman" w:hAnsi="Times New Roman" w:cs="Times New Roman"/>
          <w:sz w:val="24"/>
          <w:szCs w:val="24"/>
          <w:lang w:val="en-US" w:eastAsia="it-IT"/>
        </w:rPr>
        <w:t xml:space="preserve"> and related </w:t>
      </w:r>
      <w:r w:rsidR="00556F48">
        <w:rPr>
          <w:rFonts w:ascii="Times New Roman" w:eastAsia="Times New Roman" w:hAnsi="Times New Roman" w:cs="Times New Roman"/>
          <w:sz w:val="24"/>
          <w:szCs w:val="24"/>
          <w:lang w:val="en-US" w:eastAsia="it-IT"/>
        </w:rPr>
        <w:t>nonstate armed</w:t>
      </w:r>
      <w:r w:rsidR="00556F48" w:rsidRPr="00665F17">
        <w:rPr>
          <w:rFonts w:ascii="Times New Roman" w:eastAsia="Times New Roman" w:hAnsi="Times New Roman" w:cs="Times New Roman"/>
          <w:sz w:val="24"/>
          <w:szCs w:val="24"/>
          <w:lang w:val="en-US" w:eastAsia="it-IT"/>
        </w:rPr>
        <w:t xml:space="preserve"> </w:t>
      </w:r>
      <w:r w:rsidRPr="00665F17">
        <w:rPr>
          <w:rFonts w:ascii="Times New Roman" w:eastAsia="Times New Roman" w:hAnsi="Times New Roman" w:cs="Times New Roman"/>
          <w:sz w:val="24"/>
          <w:szCs w:val="24"/>
          <w:lang w:val="en-US" w:eastAsia="it-IT"/>
        </w:rPr>
        <w:t xml:space="preserve">groups in Iraq, and included in </w:t>
      </w:r>
      <w:r w:rsidR="003F16EF">
        <w:rPr>
          <w:rFonts w:ascii="Times New Roman" w:eastAsia="Times New Roman" w:hAnsi="Times New Roman" w:cs="Times New Roman"/>
          <w:sz w:val="24"/>
          <w:szCs w:val="24"/>
          <w:lang w:val="en-US" w:eastAsia="it-IT"/>
        </w:rPr>
        <w:t>a</w:t>
      </w:r>
      <w:r w:rsidR="003F16EF" w:rsidRPr="00665F17">
        <w:rPr>
          <w:rFonts w:ascii="Times New Roman" w:eastAsia="Times New Roman" w:hAnsi="Times New Roman" w:cs="Times New Roman"/>
          <w:sz w:val="24"/>
          <w:szCs w:val="24"/>
          <w:lang w:val="en-US" w:eastAsia="it-IT"/>
        </w:rPr>
        <w:t xml:space="preserve"> </w:t>
      </w:r>
      <w:r w:rsidR="003F16EF">
        <w:rPr>
          <w:rFonts w:ascii="Times New Roman" w:eastAsia="Times New Roman" w:hAnsi="Times New Roman" w:cs="Times New Roman"/>
          <w:sz w:val="24"/>
          <w:szCs w:val="24"/>
          <w:lang w:val="en-US" w:eastAsia="it-IT"/>
        </w:rPr>
        <w:t>2014 r</w:t>
      </w:r>
      <w:r w:rsidRPr="00665F17">
        <w:rPr>
          <w:rFonts w:ascii="Times New Roman" w:eastAsia="Times New Roman" w:hAnsi="Times New Roman" w:cs="Times New Roman"/>
          <w:sz w:val="24"/>
          <w:szCs w:val="24"/>
          <w:lang w:val="en-US" w:eastAsia="it-IT"/>
        </w:rPr>
        <w:t>esolution a specific paragraph concerning the intentional destruction of cultural heritage.</w:t>
      </w:r>
      <w:r w:rsidRPr="00665F17">
        <w:rPr>
          <w:rStyle w:val="EndnoteReference"/>
          <w:rFonts w:ascii="Times New Roman" w:eastAsia="Times New Roman" w:hAnsi="Times New Roman" w:cs="Times New Roman"/>
          <w:sz w:val="24"/>
          <w:szCs w:val="24"/>
          <w:lang w:val="en-US" w:eastAsia="it-IT"/>
        </w:rPr>
        <w:endnoteReference w:id="23"/>
      </w:r>
      <w:r w:rsidRPr="00665F17">
        <w:rPr>
          <w:rFonts w:ascii="Times New Roman" w:eastAsia="Times New Roman" w:hAnsi="Times New Roman" w:cs="Times New Roman"/>
          <w:sz w:val="24"/>
          <w:szCs w:val="24"/>
          <w:lang w:val="en-US" w:eastAsia="it-IT"/>
        </w:rPr>
        <w:t xml:space="preserve"> </w:t>
      </w:r>
    </w:p>
    <w:p w14:paraId="43B59F6B" w14:textId="1522FF95" w:rsidR="000966ED" w:rsidRDefault="001A62EE" w:rsidP="000D3355">
      <w:pPr>
        <w:tabs>
          <w:tab w:val="left" w:pos="7371"/>
        </w:tabs>
        <w:spacing w:line="480" w:lineRule="auto"/>
        <w:ind w:firstLine="720"/>
        <w:jc w:val="both"/>
        <w:rPr>
          <w:rFonts w:ascii="Times New Roman" w:eastAsia="Times New Roman" w:hAnsi="Times New Roman" w:cs="Times New Roman"/>
          <w:sz w:val="24"/>
          <w:szCs w:val="24"/>
          <w:lang w:val="en-US" w:eastAsia="it-IT"/>
        </w:rPr>
      </w:pPr>
      <w:r w:rsidRPr="00665F17">
        <w:rPr>
          <w:rFonts w:ascii="Times New Roman" w:eastAsia="Times New Roman" w:hAnsi="Times New Roman" w:cs="Times New Roman"/>
          <w:sz w:val="24"/>
          <w:szCs w:val="24"/>
          <w:lang w:val="en-US" w:eastAsia="it-IT"/>
        </w:rPr>
        <w:t xml:space="preserve">But the most conclusive evidence about the existence of a general prohibition of intentional destruction of cultural property in the context of armed conflict and terrorism comes from the practice of the Security Council. Over the past twenty years this practice has shown a growing concern with the international security implications of the intentional destruction of cultural heritage. It started with </w:t>
      </w:r>
      <w:r w:rsidR="004A2AA2">
        <w:rPr>
          <w:rFonts w:ascii="Times New Roman" w:eastAsia="Times New Roman" w:hAnsi="Times New Roman" w:cs="Times New Roman"/>
          <w:sz w:val="24"/>
          <w:szCs w:val="24"/>
          <w:lang w:val="en-US" w:eastAsia="it-IT"/>
        </w:rPr>
        <w:t>r</w:t>
      </w:r>
      <w:r w:rsidRPr="00665F17">
        <w:rPr>
          <w:rFonts w:ascii="Times New Roman" w:eastAsia="Times New Roman" w:hAnsi="Times New Roman" w:cs="Times New Roman"/>
          <w:sz w:val="24"/>
          <w:szCs w:val="24"/>
          <w:lang w:val="en-US" w:eastAsia="it-IT"/>
        </w:rPr>
        <w:t xml:space="preserve">esolution 1485 of 22 May 2003 </w:t>
      </w:r>
      <w:r w:rsidR="005D43E1">
        <w:rPr>
          <w:rFonts w:ascii="Times New Roman" w:eastAsia="Times New Roman" w:hAnsi="Times New Roman" w:cs="Times New Roman"/>
          <w:sz w:val="24"/>
          <w:szCs w:val="24"/>
          <w:lang w:val="en-US" w:eastAsia="it-IT"/>
        </w:rPr>
        <w:t>(</w:t>
      </w:r>
      <w:r w:rsidR="00E154F8">
        <w:rPr>
          <w:rFonts w:ascii="Times New Roman" w:eastAsia="Times New Roman" w:hAnsi="Times New Roman" w:cs="Times New Roman"/>
          <w:sz w:val="24"/>
          <w:szCs w:val="24"/>
          <w:lang w:val="en-US" w:eastAsia="it-IT"/>
        </w:rPr>
        <w:t>p</w:t>
      </w:r>
      <w:r w:rsidR="005D43E1">
        <w:rPr>
          <w:rFonts w:ascii="Times New Roman" w:eastAsia="Times New Roman" w:hAnsi="Times New Roman" w:cs="Times New Roman"/>
          <w:sz w:val="24"/>
          <w:szCs w:val="24"/>
          <w:lang w:val="en-US" w:eastAsia="it-IT"/>
        </w:rPr>
        <w:t xml:space="preserve">aragraph 7) </w:t>
      </w:r>
      <w:r w:rsidRPr="00665F17">
        <w:rPr>
          <w:rFonts w:ascii="Times New Roman" w:eastAsia="Times New Roman" w:hAnsi="Times New Roman" w:cs="Times New Roman"/>
          <w:sz w:val="24"/>
          <w:szCs w:val="24"/>
          <w:lang w:val="en-US" w:eastAsia="it-IT"/>
        </w:rPr>
        <w:t>concerning the rampant destruction and d</w:t>
      </w:r>
      <w:r w:rsidR="0093046F">
        <w:rPr>
          <w:rFonts w:ascii="Times New Roman" w:eastAsia="Times New Roman" w:hAnsi="Times New Roman" w:cs="Times New Roman"/>
          <w:sz w:val="24"/>
          <w:szCs w:val="24"/>
          <w:lang w:val="en-US" w:eastAsia="it-IT"/>
        </w:rPr>
        <w:t>i</w:t>
      </w:r>
      <w:r w:rsidRPr="00665F17">
        <w:rPr>
          <w:rFonts w:ascii="Times New Roman" w:eastAsia="Times New Roman" w:hAnsi="Times New Roman" w:cs="Times New Roman"/>
          <w:sz w:val="24"/>
          <w:szCs w:val="24"/>
          <w:lang w:val="en-US" w:eastAsia="it-IT"/>
        </w:rPr>
        <w:t xml:space="preserve">spersion of Iraqi cultural heritage in the chaos that followed the </w:t>
      </w:r>
      <w:r w:rsidR="005D43E1">
        <w:rPr>
          <w:rFonts w:ascii="Times New Roman" w:eastAsia="Times New Roman" w:hAnsi="Times New Roman" w:cs="Times New Roman"/>
          <w:sz w:val="24"/>
          <w:szCs w:val="24"/>
          <w:lang w:val="en-US" w:eastAsia="it-IT"/>
        </w:rPr>
        <w:t>US-</w:t>
      </w:r>
      <w:r w:rsidRPr="00665F17">
        <w:rPr>
          <w:rFonts w:ascii="Times New Roman" w:eastAsia="Times New Roman" w:hAnsi="Times New Roman" w:cs="Times New Roman"/>
          <w:sz w:val="24"/>
          <w:szCs w:val="24"/>
          <w:lang w:val="en-US" w:eastAsia="it-IT"/>
        </w:rPr>
        <w:t xml:space="preserve">led invasion. It continued with a series of </w:t>
      </w:r>
      <w:r w:rsidR="005D43E1">
        <w:rPr>
          <w:rFonts w:ascii="Times New Roman" w:eastAsia="Times New Roman" w:hAnsi="Times New Roman" w:cs="Times New Roman"/>
          <w:sz w:val="24"/>
          <w:szCs w:val="24"/>
          <w:lang w:val="en-US" w:eastAsia="it-IT"/>
        </w:rPr>
        <w:t>r</w:t>
      </w:r>
      <w:r w:rsidRPr="00665F17">
        <w:rPr>
          <w:rFonts w:ascii="Times New Roman" w:eastAsia="Times New Roman" w:hAnsi="Times New Roman" w:cs="Times New Roman"/>
          <w:sz w:val="24"/>
          <w:szCs w:val="24"/>
          <w:lang w:val="en-US" w:eastAsia="it-IT"/>
        </w:rPr>
        <w:t xml:space="preserve">esolutions linking the willful destruction of cultural heritage to terrorism and threats to the peace, including </w:t>
      </w:r>
      <w:r w:rsidR="005D43E1">
        <w:rPr>
          <w:rFonts w:ascii="Times New Roman" w:eastAsia="Times New Roman" w:hAnsi="Times New Roman" w:cs="Times New Roman"/>
          <w:sz w:val="24"/>
          <w:szCs w:val="24"/>
          <w:lang w:val="en-US" w:eastAsia="it-IT"/>
        </w:rPr>
        <w:t>r</w:t>
      </w:r>
      <w:r w:rsidRPr="00665F17">
        <w:rPr>
          <w:rFonts w:ascii="Times New Roman" w:eastAsia="Times New Roman" w:hAnsi="Times New Roman" w:cs="Times New Roman"/>
          <w:sz w:val="24"/>
          <w:szCs w:val="24"/>
          <w:lang w:val="en-US" w:eastAsia="it-IT"/>
        </w:rPr>
        <w:t>esolution 2170 of 15 August 2014</w:t>
      </w:r>
      <w:r w:rsidR="005D43E1">
        <w:rPr>
          <w:rFonts w:ascii="Times New Roman" w:eastAsia="Times New Roman" w:hAnsi="Times New Roman" w:cs="Times New Roman"/>
          <w:sz w:val="24"/>
          <w:szCs w:val="24"/>
          <w:lang w:val="en-US" w:eastAsia="it-IT"/>
        </w:rPr>
        <w:t xml:space="preserve"> (</w:t>
      </w:r>
      <w:r w:rsidR="0071009A">
        <w:rPr>
          <w:rFonts w:ascii="Times New Roman" w:eastAsia="Times New Roman" w:hAnsi="Times New Roman" w:cs="Times New Roman"/>
          <w:sz w:val="24"/>
          <w:szCs w:val="24"/>
          <w:lang w:val="en-US" w:eastAsia="it-IT"/>
        </w:rPr>
        <w:t>p</w:t>
      </w:r>
      <w:r w:rsidR="005D43E1">
        <w:rPr>
          <w:rFonts w:ascii="Times New Roman" w:eastAsia="Times New Roman" w:hAnsi="Times New Roman" w:cs="Times New Roman"/>
          <w:sz w:val="24"/>
          <w:szCs w:val="24"/>
          <w:lang w:val="en-US" w:eastAsia="it-IT"/>
        </w:rPr>
        <w:t>reamble)</w:t>
      </w:r>
      <w:r w:rsidRPr="00665F17">
        <w:rPr>
          <w:rFonts w:ascii="Times New Roman" w:eastAsia="Times New Roman" w:hAnsi="Times New Roman" w:cs="Times New Roman"/>
          <w:sz w:val="24"/>
          <w:szCs w:val="24"/>
          <w:lang w:val="en-US" w:eastAsia="it-IT"/>
        </w:rPr>
        <w:t xml:space="preserve">, and it culminated with </w:t>
      </w:r>
      <w:r w:rsidR="002A5EB9">
        <w:rPr>
          <w:rFonts w:ascii="Times New Roman" w:eastAsia="Times New Roman" w:hAnsi="Times New Roman" w:cs="Times New Roman"/>
          <w:sz w:val="24"/>
          <w:szCs w:val="24"/>
          <w:lang w:val="en-US" w:eastAsia="it-IT"/>
        </w:rPr>
        <w:t>r</w:t>
      </w:r>
      <w:r w:rsidRPr="00665F17">
        <w:rPr>
          <w:rFonts w:ascii="Times New Roman" w:eastAsia="Times New Roman" w:hAnsi="Times New Roman" w:cs="Times New Roman"/>
          <w:sz w:val="24"/>
          <w:szCs w:val="24"/>
          <w:lang w:val="en-US" w:eastAsia="it-IT"/>
        </w:rPr>
        <w:t xml:space="preserve">esolution 2347 of 24 March 2017, which is entirely dedicated to the prescription of measures to be taken in order to prevent the destruction of cultural heritage as well as the dispersion and illegal commerce of looted cultural property. </w:t>
      </w:r>
    </w:p>
    <w:p w14:paraId="30467FE2" w14:textId="44C0D42F" w:rsidR="001A62EE" w:rsidRPr="00912992" w:rsidRDefault="001A62EE" w:rsidP="000D3355">
      <w:pPr>
        <w:tabs>
          <w:tab w:val="left" w:pos="7371"/>
        </w:tabs>
        <w:spacing w:line="480" w:lineRule="auto"/>
        <w:ind w:firstLine="720"/>
        <w:jc w:val="both"/>
        <w:rPr>
          <w:rFonts w:ascii="Times New Roman" w:hAnsi="Times New Roman" w:cs="Times New Roman"/>
          <w:bCs/>
          <w:sz w:val="24"/>
          <w:szCs w:val="24"/>
          <w:lang w:val="en-US"/>
        </w:rPr>
      </w:pPr>
      <w:r w:rsidRPr="00665F17">
        <w:rPr>
          <w:rFonts w:ascii="Times New Roman" w:eastAsia="Times New Roman" w:hAnsi="Times New Roman" w:cs="Times New Roman"/>
          <w:sz w:val="24"/>
          <w:szCs w:val="24"/>
          <w:lang w:val="en-US" w:eastAsia="it-IT"/>
        </w:rPr>
        <w:t xml:space="preserve">In </w:t>
      </w:r>
      <w:r w:rsidR="0097061E">
        <w:rPr>
          <w:rFonts w:ascii="Times New Roman" w:eastAsia="Times New Roman" w:hAnsi="Times New Roman" w:cs="Times New Roman"/>
          <w:sz w:val="24"/>
          <w:szCs w:val="24"/>
          <w:lang w:val="en-US" w:eastAsia="it-IT"/>
        </w:rPr>
        <w:t>r</w:t>
      </w:r>
      <w:r w:rsidRPr="00665F17">
        <w:rPr>
          <w:rFonts w:ascii="Times New Roman" w:eastAsia="Times New Roman" w:hAnsi="Times New Roman" w:cs="Times New Roman"/>
          <w:sz w:val="24"/>
          <w:szCs w:val="24"/>
          <w:lang w:val="en-US" w:eastAsia="it-IT"/>
        </w:rPr>
        <w:t xml:space="preserve">esolution </w:t>
      </w:r>
      <w:r w:rsidR="0097061E">
        <w:rPr>
          <w:rFonts w:ascii="Times New Roman" w:eastAsia="Times New Roman" w:hAnsi="Times New Roman" w:cs="Times New Roman"/>
          <w:sz w:val="24"/>
          <w:szCs w:val="24"/>
          <w:lang w:val="en-US" w:eastAsia="it-IT"/>
        </w:rPr>
        <w:t>2347</w:t>
      </w:r>
      <w:r w:rsidR="00EB7D12">
        <w:rPr>
          <w:rFonts w:ascii="Times New Roman" w:eastAsia="Times New Roman" w:hAnsi="Times New Roman" w:cs="Times New Roman"/>
          <w:sz w:val="24"/>
          <w:szCs w:val="24"/>
          <w:lang w:val="en-US" w:eastAsia="it-IT"/>
        </w:rPr>
        <w:t xml:space="preserve"> (</w:t>
      </w:r>
      <w:r w:rsidR="000E3B00">
        <w:rPr>
          <w:rFonts w:ascii="Times New Roman" w:eastAsia="Times New Roman" w:hAnsi="Times New Roman" w:cs="Times New Roman"/>
          <w:sz w:val="24"/>
          <w:szCs w:val="24"/>
          <w:lang w:val="en-US" w:eastAsia="it-IT"/>
        </w:rPr>
        <w:t>p</w:t>
      </w:r>
      <w:r w:rsidR="00EB7D12">
        <w:rPr>
          <w:rFonts w:ascii="Times New Roman" w:eastAsia="Times New Roman" w:hAnsi="Times New Roman" w:cs="Times New Roman"/>
          <w:sz w:val="24"/>
          <w:szCs w:val="24"/>
          <w:lang w:val="en-US" w:eastAsia="it-IT"/>
        </w:rPr>
        <w:t>aragraph 1)</w:t>
      </w:r>
      <w:r w:rsidR="000966ED">
        <w:rPr>
          <w:rFonts w:ascii="Times New Roman" w:eastAsia="Times New Roman" w:hAnsi="Times New Roman" w:cs="Times New Roman"/>
          <w:sz w:val="24"/>
          <w:szCs w:val="24"/>
          <w:lang w:val="en-US" w:eastAsia="it-IT"/>
        </w:rPr>
        <w:t>,</w:t>
      </w:r>
      <w:r w:rsidR="0097061E">
        <w:rPr>
          <w:rFonts w:ascii="Times New Roman" w:eastAsia="Times New Roman" w:hAnsi="Times New Roman" w:cs="Times New Roman"/>
          <w:sz w:val="24"/>
          <w:szCs w:val="24"/>
          <w:lang w:val="en-US" w:eastAsia="it-IT"/>
        </w:rPr>
        <w:t xml:space="preserve"> </w:t>
      </w:r>
      <w:r w:rsidRPr="00665F17">
        <w:rPr>
          <w:rFonts w:ascii="Times New Roman" w:eastAsia="Times New Roman" w:hAnsi="Times New Roman" w:cs="Times New Roman"/>
          <w:sz w:val="24"/>
          <w:szCs w:val="24"/>
          <w:lang w:val="en-US" w:eastAsia="it-IT"/>
        </w:rPr>
        <w:t>the</w:t>
      </w:r>
      <w:r w:rsidR="000B5B08">
        <w:rPr>
          <w:rFonts w:ascii="Times New Roman" w:eastAsia="Times New Roman" w:hAnsi="Times New Roman" w:cs="Times New Roman"/>
          <w:sz w:val="24"/>
          <w:szCs w:val="24"/>
          <w:lang w:val="en-US" w:eastAsia="it-IT"/>
        </w:rPr>
        <w:t xml:space="preserve"> Security</w:t>
      </w:r>
      <w:r w:rsidRPr="00665F17">
        <w:rPr>
          <w:rFonts w:ascii="Times New Roman" w:eastAsia="Times New Roman" w:hAnsi="Times New Roman" w:cs="Times New Roman"/>
          <w:sz w:val="24"/>
          <w:szCs w:val="24"/>
          <w:lang w:val="en-US" w:eastAsia="it-IT"/>
        </w:rPr>
        <w:t xml:space="preserve"> </w:t>
      </w:r>
      <w:r w:rsidR="00E442F3">
        <w:rPr>
          <w:rFonts w:ascii="Times New Roman" w:eastAsia="Times New Roman" w:hAnsi="Times New Roman" w:cs="Times New Roman"/>
          <w:sz w:val="24"/>
          <w:szCs w:val="24"/>
          <w:lang w:val="en-US" w:eastAsia="it-IT"/>
        </w:rPr>
        <w:t>C</w:t>
      </w:r>
      <w:r w:rsidRPr="00665F17">
        <w:rPr>
          <w:rFonts w:ascii="Times New Roman" w:eastAsia="Times New Roman" w:hAnsi="Times New Roman" w:cs="Times New Roman"/>
          <w:sz w:val="24"/>
          <w:szCs w:val="24"/>
          <w:lang w:val="en-US" w:eastAsia="it-IT"/>
        </w:rPr>
        <w:t>ouncil</w:t>
      </w:r>
      <w:r w:rsidR="0097061E">
        <w:rPr>
          <w:rFonts w:ascii="Times New Roman" w:eastAsia="Times New Roman" w:hAnsi="Times New Roman" w:cs="Times New Roman"/>
          <w:sz w:val="24"/>
          <w:szCs w:val="24"/>
          <w:lang w:val="en-US" w:eastAsia="it-IT"/>
        </w:rPr>
        <w:t xml:space="preserve">: </w:t>
      </w:r>
      <w:r w:rsidRPr="00665F17">
        <w:rPr>
          <w:rFonts w:ascii="Times New Roman" w:eastAsia="Times New Roman" w:hAnsi="Times New Roman" w:cs="Times New Roman"/>
          <w:sz w:val="24"/>
          <w:szCs w:val="24"/>
          <w:lang w:val="en-US" w:eastAsia="it-IT"/>
        </w:rPr>
        <w:t>“</w:t>
      </w:r>
      <w:r w:rsidRPr="00665F17">
        <w:rPr>
          <w:rFonts w:ascii="Times New Roman" w:eastAsia="Times New Roman" w:hAnsi="Times New Roman" w:cs="Times New Roman"/>
          <w:i/>
          <w:iCs/>
          <w:sz w:val="24"/>
          <w:szCs w:val="24"/>
          <w:lang w:val="en-US" w:eastAsia="it-IT"/>
        </w:rPr>
        <w:t>Deplores and condemns</w:t>
      </w:r>
      <w:r w:rsidRPr="00665F17">
        <w:rPr>
          <w:rFonts w:ascii="Times New Roman" w:eastAsia="Times New Roman" w:hAnsi="Times New Roman" w:cs="Times New Roman"/>
          <w:sz w:val="24"/>
          <w:szCs w:val="24"/>
          <w:lang w:val="en-US" w:eastAsia="it-IT"/>
        </w:rPr>
        <w:t xml:space="preserve"> the unlawful destruction of cultural heritage</w:t>
      </w:r>
      <w:r w:rsidRPr="00912992">
        <w:rPr>
          <w:rFonts w:ascii="Times New Roman" w:hAnsi="Times New Roman" w:cs="Times New Roman"/>
          <w:bCs/>
          <w:sz w:val="24"/>
          <w:szCs w:val="24"/>
          <w:lang w:val="en-US"/>
        </w:rPr>
        <w:t xml:space="preserve">, inter alia the destruction of religious sites and artefacts, as well as looting and smuggling of cultural property from archaeological sites, museums, libraries, </w:t>
      </w:r>
      <w:r w:rsidRPr="00912992">
        <w:rPr>
          <w:rFonts w:ascii="Times New Roman" w:hAnsi="Times New Roman" w:cs="Times New Roman"/>
          <w:bCs/>
          <w:sz w:val="24"/>
          <w:szCs w:val="24"/>
          <w:lang w:val="en-US"/>
        </w:rPr>
        <w:lastRenderedPageBreak/>
        <w:t>archives and other sites, in the context of armed conflicts</w:t>
      </w:r>
      <w:r w:rsidR="000966ED">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w:t>
      </w:r>
      <w:r w:rsidR="000966ED">
        <w:rPr>
          <w:rFonts w:ascii="Times New Roman" w:hAnsi="Times New Roman" w:cs="Times New Roman"/>
          <w:bCs/>
          <w:i/>
          <w:iCs/>
          <w:sz w:val="24"/>
          <w:szCs w:val="24"/>
          <w:lang w:val="en-US"/>
        </w:rPr>
        <w:t xml:space="preserve"> </w:t>
      </w:r>
      <w:r w:rsidR="0062085A">
        <w:rPr>
          <w:rFonts w:ascii="Times New Roman" w:hAnsi="Times New Roman" w:cs="Times New Roman"/>
          <w:bCs/>
          <w:i/>
          <w:iCs/>
          <w:sz w:val="24"/>
          <w:szCs w:val="24"/>
          <w:lang w:val="en-US"/>
        </w:rPr>
        <w:t>A</w:t>
      </w:r>
      <w:r w:rsidRPr="00912992">
        <w:rPr>
          <w:rFonts w:ascii="Times New Roman" w:hAnsi="Times New Roman" w:cs="Times New Roman"/>
          <w:bCs/>
          <w:i/>
          <w:iCs/>
          <w:sz w:val="24"/>
          <w:szCs w:val="24"/>
          <w:lang w:val="en-US"/>
        </w:rPr>
        <w:t>ffirms</w:t>
      </w:r>
      <w:r w:rsidRPr="00912992">
        <w:rPr>
          <w:rFonts w:ascii="Times New Roman" w:hAnsi="Times New Roman" w:cs="Times New Roman"/>
          <w:bCs/>
          <w:sz w:val="24"/>
          <w:szCs w:val="24"/>
          <w:lang w:val="en-US"/>
        </w:rPr>
        <w:t xml:space="preserve"> that directing unlawful attacks against sites and buildings dedicated to religion, education, art, science or charitable purposes, or historic monuments may constitute, under certain circumstances and pursuant to international law</w:t>
      </w:r>
      <w:r w:rsidR="00EB7D12">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a war crime and that perpetrators of such attacks must be brought to justice</w:t>
      </w:r>
      <w:r w:rsidR="00EB7D12">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w:t>
      </w:r>
    </w:p>
    <w:p w14:paraId="0FDD6A09" w14:textId="281F4CD3" w:rsidR="001A62EE"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 xml:space="preserve">The practice </w:t>
      </w:r>
      <w:r w:rsidR="00BB5489">
        <w:rPr>
          <w:rFonts w:ascii="Times New Roman" w:hAnsi="Times New Roman" w:cs="Times New Roman"/>
          <w:bCs/>
          <w:sz w:val="24"/>
          <w:szCs w:val="24"/>
          <w:lang w:val="en-US"/>
        </w:rPr>
        <w:t xml:space="preserve">examined above </w:t>
      </w:r>
      <w:r w:rsidRPr="00912992">
        <w:rPr>
          <w:rFonts w:ascii="Times New Roman" w:hAnsi="Times New Roman" w:cs="Times New Roman"/>
          <w:bCs/>
          <w:sz w:val="24"/>
          <w:szCs w:val="24"/>
          <w:lang w:val="en-US"/>
        </w:rPr>
        <w:t>includes treaties of almost universal application, arbitral awards, decisions of international tribunals, soft law</w:t>
      </w:r>
      <w:r w:rsidR="007D2497">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including the 2003 UNESCO </w:t>
      </w:r>
      <w:r w:rsidR="007D2497">
        <w:rPr>
          <w:rFonts w:ascii="Times New Roman" w:hAnsi="Times New Roman" w:cs="Times New Roman"/>
          <w:bCs/>
          <w:sz w:val="24"/>
          <w:szCs w:val="24"/>
          <w:lang w:val="en-US"/>
        </w:rPr>
        <w:t>d</w:t>
      </w:r>
      <w:r w:rsidRPr="00912992">
        <w:rPr>
          <w:rFonts w:ascii="Times New Roman" w:hAnsi="Times New Roman" w:cs="Times New Roman"/>
          <w:bCs/>
          <w:sz w:val="24"/>
          <w:szCs w:val="24"/>
          <w:lang w:val="en-US"/>
        </w:rPr>
        <w:t>eclaration</w:t>
      </w:r>
      <w:r w:rsidR="007D2497">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w:t>
      </w:r>
      <w:r w:rsidR="00EC359D">
        <w:rPr>
          <w:rFonts w:ascii="Times New Roman" w:hAnsi="Times New Roman" w:cs="Times New Roman"/>
          <w:bCs/>
          <w:sz w:val="24"/>
          <w:szCs w:val="24"/>
          <w:lang w:val="en-US"/>
        </w:rPr>
        <w:t xml:space="preserve">the </w:t>
      </w:r>
      <w:r w:rsidRPr="00912992">
        <w:rPr>
          <w:rFonts w:ascii="Times New Roman" w:hAnsi="Times New Roman" w:cs="Times New Roman"/>
          <w:bCs/>
          <w:sz w:val="24"/>
          <w:szCs w:val="24"/>
          <w:lang w:val="en-US"/>
        </w:rPr>
        <w:t>verbal practice of UN organs, and Security Council binding decisions under Chapter VII of the UN Charter</w:t>
      </w:r>
      <w:r w:rsidR="00F41001">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w:t>
      </w:r>
      <w:r w:rsidR="00C577BC">
        <w:rPr>
          <w:rFonts w:ascii="Times New Roman" w:hAnsi="Times New Roman" w:cs="Times New Roman"/>
          <w:bCs/>
          <w:sz w:val="24"/>
          <w:szCs w:val="24"/>
          <w:lang w:val="en-US"/>
        </w:rPr>
        <w:t xml:space="preserve">which </w:t>
      </w:r>
      <w:r w:rsidR="00F41001" w:rsidRPr="00665F17">
        <w:rPr>
          <w:rFonts w:ascii="Times New Roman" w:hAnsi="Times New Roman" w:cs="Times New Roman"/>
          <w:bCs/>
          <w:sz w:val="24"/>
          <w:szCs w:val="24"/>
          <w:lang w:val="en-US"/>
        </w:rPr>
        <w:t>permit military enforcement</w:t>
      </w:r>
      <w:r w:rsidRPr="00912992">
        <w:rPr>
          <w:rFonts w:ascii="Times New Roman" w:hAnsi="Times New Roman" w:cs="Times New Roman"/>
          <w:bCs/>
          <w:sz w:val="24"/>
          <w:szCs w:val="24"/>
          <w:lang w:val="en-US"/>
        </w:rPr>
        <w:t xml:space="preserve">. All these elements concur in forming a solid legal basis for the identification of a customary law establishing an obligation to abstain from and prevent the intentional destruction of cultural heritage in the context of armed conflict and terrorism. This </w:t>
      </w:r>
      <w:r w:rsidR="00A97AD2">
        <w:rPr>
          <w:rFonts w:ascii="Times New Roman" w:hAnsi="Times New Roman" w:cs="Times New Roman"/>
          <w:bCs/>
          <w:sz w:val="24"/>
          <w:szCs w:val="24"/>
          <w:lang w:val="en-US"/>
        </w:rPr>
        <w:t>obligation</w:t>
      </w:r>
      <w:r w:rsidR="00A97AD2"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has two corollaries: the responsibility of the state for breach of such primary obligation, as ruled in </w:t>
      </w:r>
      <w:r w:rsidRPr="00912992">
        <w:rPr>
          <w:rFonts w:ascii="Times New Roman" w:hAnsi="Times New Roman" w:cs="Times New Roman"/>
          <w:bCs/>
          <w:i/>
          <w:sz w:val="24"/>
          <w:szCs w:val="24"/>
          <w:lang w:val="en-US"/>
        </w:rPr>
        <w:t>Stela of Matara</w:t>
      </w:r>
      <w:r w:rsidRPr="00665F17">
        <w:rPr>
          <w:rFonts w:ascii="Times New Roman" w:hAnsi="Times New Roman" w:cs="Times New Roman"/>
          <w:bCs/>
          <w:iCs/>
          <w:sz w:val="24"/>
          <w:szCs w:val="24"/>
          <w:lang w:val="en-US"/>
        </w:rPr>
        <w:t>,</w:t>
      </w:r>
      <w:r w:rsidRPr="00912992">
        <w:rPr>
          <w:rFonts w:ascii="Times New Roman" w:hAnsi="Times New Roman" w:cs="Times New Roman"/>
          <w:bCs/>
          <w:sz w:val="24"/>
          <w:szCs w:val="24"/>
          <w:lang w:val="en-US"/>
        </w:rPr>
        <w:t xml:space="preserve"> and the international criminal responsibility of the individual perpetrator of the crime of cultural destruction. This second aspect, already well developed in the case law of the ICTY, is now confirmed by recent decisions of the International Criminal Court (ICC) in </w:t>
      </w:r>
      <w:r w:rsidR="00F7629B">
        <w:rPr>
          <w:rFonts w:ascii="Times New Roman" w:hAnsi="Times New Roman" w:cs="Times New Roman"/>
          <w:bCs/>
          <w:sz w:val="24"/>
          <w:szCs w:val="24"/>
          <w:lang w:val="en-US"/>
        </w:rPr>
        <w:t xml:space="preserve">the </w:t>
      </w:r>
      <w:r w:rsidRPr="00912992">
        <w:rPr>
          <w:rFonts w:ascii="Times New Roman" w:hAnsi="Times New Roman" w:cs="Times New Roman"/>
          <w:bCs/>
          <w:i/>
          <w:sz w:val="24"/>
          <w:szCs w:val="24"/>
          <w:lang w:val="en-US"/>
        </w:rPr>
        <w:t>Al Mahdi</w:t>
      </w:r>
      <w:r w:rsidR="00F7629B">
        <w:rPr>
          <w:rFonts w:ascii="Times New Roman" w:hAnsi="Times New Roman" w:cs="Times New Roman"/>
          <w:bCs/>
          <w:iCs/>
          <w:sz w:val="24"/>
          <w:szCs w:val="24"/>
          <w:lang w:val="en-US"/>
        </w:rPr>
        <w:t xml:space="preserve"> case</w:t>
      </w:r>
      <w:r w:rsidRPr="00912992">
        <w:rPr>
          <w:rFonts w:ascii="Times New Roman" w:hAnsi="Times New Roman" w:cs="Times New Roman"/>
          <w:bCs/>
          <w:sz w:val="24"/>
          <w:szCs w:val="24"/>
          <w:lang w:val="en-US"/>
        </w:rPr>
        <w:t xml:space="preserve">, in which the </w:t>
      </w:r>
      <w:r w:rsidR="00F7629B">
        <w:rPr>
          <w:rFonts w:ascii="Times New Roman" w:hAnsi="Times New Roman" w:cs="Times New Roman"/>
          <w:bCs/>
          <w:sz w:val="24"/>
          <w:szCs w:val="24"/>
          <w:lang w:val="en-US"/>
        </w:rPr>
        <w:t>c</w:t>
      </w:r>
      <w:r w:rsidRPr="00912992">
        <w:rPr>
          <w:rFonts w:ascii="Times New Roman" w:hAnsi="Times New Roman" w:cs="Times New Roman"/>
          <w:bCs/>
          <w:sz w:val="24"/>
          <w:szCs w:val="24"/>
          <w:lang w:val="en-US"/>
        </w:rPr>
        <w:t xml:space="preserve">ourt found that the extensive destruction of cultural heritage </w:t>
      </w:r>
      <w:r w:rsidR="00B8286D">
        <w:rPr>
          <w:rFonts w:ascii="Times New Roman" w:hAnsi="Times New Roman" w:cs="Times New Roman"/>
          <w:bCs/>
          <w:sz w:val="24"/>
          <w:szCs w:val="24"/>
          <w:lang w:val="en-US"/>
        </w:rPr>
        <w:t>in</w:t>
      </w:r>
      <w:r w:rsidR="00B8286D"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Mali during the 2012 internal armed conflict constituted in itself a war</w:t>
      </w:r>
      <w:r w:rsidR="00F7629B">
        <w:rPr>
          <w:rFonts w:ascii="Times New Roman" w:hAnsi="Times New Roman" w:cs="Times New Roman"/>
          <w:bCs/>
          <w:sz w:val="24"/>
          <w:szCs w:val="24"/>
          <w:lang w:val="en-US"/>
        </w:rPr>
        <w:t xml:space="preserve"> crime.</w:t>
      </w:r>
      <w:r w:rsidRPr="00912992">
        <w:rPr>
          <w:rStyle w:val="EndnoteReference"/>
          <w:rFonts w:ascii="Times New Roman" w:hAnsi="Times New Roman" w:cs="Times New Roman"/>
          <w:bCs/>
          <w:sz w:val="24"/>
          <w:szCs w:val="24"/>
          <w:lang w:val="en-US"/>
        </w:rPr>
        <w:endnoteReference w:id="24"/>
      </w:r>
    </w:p>
    <w:p w14:paraId="3C71B90F" w14:textId="77777777" w:rsidR="00FB574A" w:rsidRPr="00912992" w:rsidRDefault="00FB574A" w:rsidP="000D3355">
      <w:pPr>
        <w:spacing w:line="480" w:lineRule="auto"/>
        <w:jc w:val="both"/>
        <w:rPr>
          <w:rFonts w:ascii="Times New Roman" w:hAnsi="Times New Roman" w:cs="Times New Roman"/>
          <w:bCs/>
          <w:sz w:val="24"/>
          <w:szCs w:val="24"/>
          <w:lang w:val="en-US"/>
        </w:rPr>
      </w:pPr>
    </w:p>
    <w:p w14:paraId="648C22BA" w14:textId="72F71055" w:rsidR="001A62EE" w:rsidRPr="00912992" w:rsidRDefault="001A62EE" w:rsidP="00DB1679">
      <w:pPr>
        <w:pStyle w:val="Heading2"/>
        <w:spacing w:line="480" w:lineRule="auto"/>
        <w:rPr>
          <w:lang w:val="en-US"/>
        </w:rPr>
      </w:pPr>
      <w:r w:rsidRPr="00912992">
        <w:rPr>
          <w:lang w:val="en-US"/>
        </w:rPr>
        <w:t xml:space="preserve">Destruction and </w:t>
      </w:r>
      <w:r w:rsidR="00FB574A">
        <w:rPr>
          <w:lang w:val="en-US"/>
        </w:rPr>
        <w:t>D</w:t>
      </w:r>
      <w:r w:rsidRPr="00912992">
        <w:rPr>
          <w:lang w:val="en-US"/>
        </w:rPr>
        <w:t xml:space="preserve">ispersion by Looting and Illicit Transfer from </w:t>
      </w:r>
      <w:r w:rsidR="00FB574A">
        <w:rPr>
          <w:lang w:val="en-US"/>
        </w:rPr>
        <w:t>T</w:t>
      </w:r>
      <w:r w:rsidRPr="00912992">
        <w:rPr>
          <w:lang w:val="en-US"/>
        </w:rPr>
        <w:t xml:space="preserve">erritories under </w:t>
      </w:r>
      <w:r w:rsidR="00FB574A">
        <w:rPr>
          <w:lang w:val="en-US"/>
        </w:rPr>
        <w:t>M</w:t>
      </w:r>
      <w:r w:rsidRPr="00912992">
        <w:rPr>
          <w:lang w:val="en-US"/>
        </w:rPr>
        <w:t xml:space="preserve">ilitary </w:t>
      </w:r>
      <w:r w:rsidR="00FB574A">
        <w:rPr>
          <w:lang w:val="en-US"/>
        </w:rPr>
        <w:t>O</w:t>
      </w:r>
      <w:r w:rsidRPr="00912992">
        <w:rPr>
          <w:lang w:val="en-US"/>
        </w:rPr>
        <w:t>ccupation</w:t>
      </w:r>
    </w:p>
    <w:p w14:paraId="51CBF81A" w14:textId="3707D584" w:rsidR="001A62EE" w:rsidRPr="00665F17" w:rsidRDefault="001A62EE" w:rsidP="000D3355">
      <w:pPr>
        <w:spacing w:line="480" w:lineRule="auto"/>
        <w:rPr>
          <w:rFonts w:ascii="Times New Roman" w:eastAsia="Times New Roman" w:hAnsi="Times New Roman" w:cs="Times New Roman"/>
          <w:sz w:val="24"/>
          <w:szCs w:val="24"/>
          <w:lang w:val="en-US"/>
        </w:rPr>
      </w:pPr>
      <w:r w:rsidRPr="00912992">
        <w:rPr>
          <w:rFonts w:ascii="Times New Roman" w:hAnsi="Times New Roman" w:cs="Times New Roman"/>
          <w:bCs/>
          <w:sz w:val="24"/>
          <w:szCs w:val="24"/>
          <w:lang w:val="en-US"/>
        </w:rPr>
        <w:t>Besides the customary rule prohibiting intentional destruction in the context of armed conflict</w:t>
      </w:r>
      <w:r w:rsidR="0092150B">
        <w:rPr>
          <w:rFonts w:ascii="Times New Roman" w:hAnsi="Times New Roman" w:cs="Times New Roman"/>
          <w:bCs/>
          <w:sz w:val="24"/>
          <w:szCs w:val="24"/>
          <w:lang w:val="en-US"/>
        </w:rPr>
        <w:t>,</w:t>
      </w:r>
      <w:r w:rsidR="00C62FD0" w:rsidRPr="00912992">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 xml:space="preserve">does customary international law prohibit indirect forms of destruction by looting, dispersion, </w:t>
      </w:r>
      <w:r w:rsidRPr="00912992">
        <w:rPr>
          <w:rFonts w:ascii="Times New Roman" w:hAnsi="Times New Roman" w:cs="Times New Roman"/>
          <w:bCs/>
          <w:sz w:val="24"/>
          <w:szCs w:val="24"/>
          <w:lang w:val="en-US"/>
        </w:rPr>
        <w:lastRenderedPageBreak/>
        <w:t xml:space="preserve">and illicit transfer of cultural property from occupied territories? </w:t>
      </w:r>
      <w:r w:rsidRPr="00665F17">
        <w:rPr>
          <w:rFonts w:ascii="Times New Roman" w:eastAsia="Times New Roman" w:hAnsi="Times New Roman" w:cs="Times New Roman"/>
          <w:sz w:val="24"/>
          <w:szCs w:val="24"/>
          <w:lang w:val="en-US"/>
        </w:rPr>
        <w:t xml:space="preserve">This question has been addressed by treaty for over a century, starting with the </w:t>
      </w:r>
      <w:r w:rsidR="0092150B">
        <w:rPr>
          <w:rFonts w:ascii="Times New Roman" w:eastAsia="Times New Roman" w:hAnsi="Times New Roman" w:cs="Times New Roman"/>
          <w:sz w:val="24"/>
          <w:szCs w:val="24"/>
          <w:lang w:val="en-US"/>
        </w:rPr>
        <w:t>r</w:t>
      </w:r>
      <w:r w:rsidRPr="00665F17">
        <w:rPr>
          <w:rFonts w:ascii="Times New Roman" w:eastAsia="Times New Roman" w:hAnsi="Times New Roman" w:cs="Times New Roman"/>
          <w:sz w:val="24"/>
          <w:szCs w:val="24"/>
          <w:lang w:val="en-US"/>
        </w:rPr>
        <w:t>egulations attached to the 1907 Hague Convention on Land Warfare</w:t>
      </w:r>
      <w:r w:rsidR="0092150B">
        <w:rPr>
          <w:rFonts w:ascii="Times New Roman" w:eastAsia="Times New Roman" w:hAnsi="Times New Roman" w:cs="Times New Roman"/>
          <w:sz w:val="24"/>
          <w:szCs w:val="24"/>
          <w:lang w:val="en-US"/>
        </w:rPr>
        <w:t xml:space="preserve"> (</w:t>
      </w:r>
      <w:r w:rsidR="0092150B" w:rsidRPr="001F22B1">
        <w:rPr>
          <w:rFonts w:ascii="Times New Roman" w:eastAsia="Times New Roman" w:hAnsi="Times New Roman" w:cs="Times New Roman"/>
          <w:sz w:val="24"/>
          <w:szCs w:val="24"/>
          <w:lang w:val="en-US"/>
        </w:rPr>
        <w:t>Articles 46 and 47</w:t>
      </w:r>
      <w:r w:rsidR="0092150B">
        <w:rPr>
          <w:rFonts w:ascii="Times New Roman" w:eastAsia="Times New Roman" w:hAnsi="Times New Roman" w:cs="Times New Roman"/>
          <w:sz w:val="24"/>
          <w:szCs w:val="24"/>
          <w:lang w:val="en-US"/>
        </w:rPr>
        <w:t>)</w:t>
      </w:r>
      <w:r w:rsidR="00825205">
        <w:rPr>
          <w:rFonts w:ascii="Times New Roman" w:eastAsia="Times New Roman" w:hAnsi="Times New Roman" w:cs="Times New Roman"/>
          <w:sz w:val="24"/>
          <w:szCs w:val="24"/>
          <w:lang w:val="en-US"/>
        </w:rPr>
        <w:t xml:space="preserve"> and</w:t>
      </w:r>
      <w:r w:rsidRPr="00665F17">
        <w:rPr>
          <w:rFonts w:ascii="Times New Roman" w:eastAsia="Times New Roman" w:hAnsi="Times New Roman" w:cs="Times New Roman"/>
          <w:sz w:val="24"/>
          <w:szCs w:val="24"/>
          <w:lang w:val="en-US"/>
        </w:rPr>
        <w:t xml:space="preserve"> the restitution practice of peace treaties after </w:t>
      </w:r>
      <w:r w:rsidR="00825205">
        <w:rPr>
          <w:rFonts w:ascii="Times New Roman" w:eastAsia="Times New Roman" w:hAnsi="Times New Roman" w:cs="Times New Roman"/>
          <w:sz w:val="24"/>
          <w:szCs w:val="24"/>
          <w:lang w:val="en-US"/>
        </w:rPr>
        <w:t xml:space="preserve">World War </w:t>
      </w:r>
      <w:r w:rsidRPr="00665F17">
        <w:rPr>
          <w:rFonts w:ascii="Times New Roman" w:eastAsia="Times New Roman" w:hAnsi="Times New Roman" w:cs="Times New Roman"/>
          <w:sz w:val="24"/>
          <w:szCs w:val="24"/>
          <w:lang w:val="en-US"/>
        </w:rPr>
        <w:t>I</w:t>
      </w:r>
      <w:r w:rsidR="00825205">
        <w:rPr>
          <w:rFonts w:ascii="Times New Roman" w:eastAsia="Times New Roman" w:hAnsi="Times New Roman" w:cs="Times New Roman"/>
          <w:sz w:val="24"/>
          <w:szCs w:val="24"/>
          <w:lang w:val="en-US"/>
        </w:rPr>
        <w:t>,</w:t>
      </w:r>
      <w:r w:rsidRPr="00665F17">
        <w:rPr>
          <w:rStyle w:val="EndnoteReference"/>
          <w:rFonts w:ascii="Times New Roman" w:eastAsia="Times New Roman" w:hAnsi="Times New Roman" w:cs="Times New Roman"/>
          <w:sz w:val="24"/>
          <w:szCs w:val="24"/>
          <w:lang w:val="en-US"/>
        </w:rPr>
        <w:endnoteReference w:id="25"/>
      </w:r>
      <w:r w:rsidRPr="00665F17">
        <w:rPr>
          <w:rFonts w:ascii="Times New Roman" w:eastAsia="Times New Roman" w:hAnsi="Times New Roman" w:cs="Times New Roman"/>
          <w:sz w:val="24"/>
          <w:szCs w:val="24"/>
          <w:lang w:val="en-US"/>
        </w:rPr>
        <w:t xml:space="preserve"> up to the </w:t>
      </w:r>
      <w:r w:rsidR="00825205">
        <w:rPr>
          <w:rFonts w:ascii="Times New Roman" w:eastAsia="Times New Roman" w:hAnsi="Times New Roman" w:cs="Times New Roman"/>
          <w:sz w:val="24"/>
          <w:szCs w:val="24"/>
          <w:lang w:val="en-US"/>
        </w:rPr>
        <w:t xml:space="preserve">First </w:t>
      </w:r>
      <w:r w:rsidRPr="00665F17">
        <w:rPr>
          <w:rFonts w:ascii="Times New Roman" w:eastAsia="Times New Roman" w:hAnsi="Times New Roman" w:cs="Times New Roman"/>
          <w:sz w:val="24"/>
          <w:szCs w:val="24"/>
          <w:lang w:val="en-US"/>
        </w:rPr>
        <w:t xml:space="preserve">Protocol to the 1954 Hague Convention and the 1970 UNESCO Convention </w:t>
      </w:r>
      <w:r w:rsidR="00C56F98" w:rsidRPr="00C56F98">
        <w:rPr>
          <w:rFonts w:ascii="Times New Roman" w:eastAsia="Times New Roman" w:hAnsi="Times New Roman" w:cs="Times New Roman"/>
          <w:sz w:val="24"/>
          <w:szCs w:val="24"/>
          <w:lang w:val="en-US"/>
        </w:rPr>
        <w:t>on the Means of Prohibiting and Preventing the Illicit Import, Export and Transfer of Ownership of Cultural Property</w:t>
      </w:r>
      <w:r w:rsidR="00C56F98" w:rsidRPr="00C56F98" w:rsidDel="00C56F98">
        <w:rPr>
          <w:rFonts w:ascii="Times New Roman" w:eastAsia="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rPr>
        <w:t xml:space="preserve">(Article 11). To these one needs to add the important </w:t>
      </w:r>
      <w:r w:rsidR="001F431D" w:rsidRPr="001F431D">
        <w:rPr>
          <w:rFonts w:ascii="Times New Roman" w:eastAsia="Times New Roman" w:hAnsi="Times New Roman" w:cs="Times New Roman"/>
          <w:sz w:val="24"/>
          <w:szCs w:val="24"/>
          <w:lang w:val="en-US"/>
        </w:rPr>
        <w:t>Declaration of St James’s Palace on Punishment for War Crimes</w:t>
      </w:r>
      <w:r w:rsidR="001F431D">
        <w:rPr>
          <w:rFonts w:ascii="Times New Roman" w:eastAsia="Times New Roman" w:hAnsi="Times New Roman" w:cs="Times New Roman"/>
          <w:sz w:val="24"/>
          <w:szCs w:val="24"/>
          <w:lang w:val="en-US"/>
        </w:rPr>
        <w:t>, also known as the</w:t>
      </w:r>
      <w:r w:rsidR="001F431D" w:rsidRPr="001F431D">
        <w:rPr>
          <w:rFonts w:ascii="Times New Roman" w:eastAsia="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rPr>
        <w:t>London Declaration</w:t>
      </w:r>
      <w:r w:rsidR="001F431D">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 xml:space="preserve"> issued by the Allied Powers in 1943 with the intent of notifying their determination to nullify and reverse, under a general presumption of duress, all acts of transfer of property, including cultural property, </w:t>
      </w:r>
      <w:r w:rsidR="00335717">
        <w:rPr>
          <w:rFonts w:ascii="Times New Roman" w:eastAsia="Times New Roman" w:hAnsi="Times New Roman" w:cs="Times New Roman"/>
          <w:sz w:val="24"/>
          <w:szCs w:val="24"/>
          <w:lang w:val="en-US"/>
        </w:rPr>
        <w:t xml:space="preserve">which </w:t>
      </w:r>
      <w:r w:rsidRPr="00665F17">
        <w:rPr>
          <w:rFonts w:ascii="Times New Roman" w:eastAsia="Times New Roman" w:hAnsi="Times New Roman" w:cs="Times New Roman"/>
          <w:sz w:val="24"/>
          <w:szCs w:val="24"/>
          <w:lang w:val="en-US"/>
        </w:rPr>
        <w:t>occurred in the territories occupied by Nazi Germany and its allies.</w:t>
      </w:r>
    </w:p>
    <w:p w14:paraId="32B9F371" w14:textId="40E2182F" w:rsidR="004D1695" w:rsidRDefault="00032C38" w:rsidP="000D3355">
      <w:pPr>
        <w:spacing w:line="480" w:lineRule="auto"/>
        <w:rPr>
          <w:rFonts w:ascii="Times New Roman" w:eastAsia="Times New Roman" w:hAnsi="Times New Roman" w:cs="Times New Roman"/>
          <w:sz w:val="24"/>
          <w:szCs w:val="24"/>
          <w:lang w:val="en-US"/>
        </w:rPr>
      </w:pPr>
      <w:r w:rsidRPr="00665F17">
        <w:rPr>
          <w:rFonts w:ascii="Times New Roman" w:eastAsia="Times New Roman" w:hAnsi="Times New Roman" w:cs="Times New Roman"/>
          <w:sz w:val="24"/>
          <w:szCs w:val="24"/>
          <w:lang w:val="en-US"/>
        </w:rPr>
        <w:tab/>
      </w:r>
      <w:r w:rsidR="00A65742">
        <w:rPr>
          <w:rFonts w:ascii="Times New Roman" w:eastAsia="Times New Roman" w:hAnsi="Times New Roman" w:cs="Times New Roman"/>
          <w:sz w:val="24"/>
          <w:szCs w:val="24"/>
          <w:lang w:val="en-US"/>
        </w:rPr>
        <w:t xml:space="preserve">However, it needs to be determined whether </w:t>
      </w:r>
      <w:r w:rsidR="001A62EE" w:rsidRPr="00665F17">
        <w:rPr>
          <w:rFonts w:ascii="Times New Roman" w:eastAsia="Times New Roman" w:hAnsi="Times New Roman" w:cs="Times New Roman"/>
          <w:sz w:val="24"/>
          <w:szCs w:val="24"/>
          <w:lang w:val="en-US"/>
        </w:rPr>
        <w:t xml:space="preserve">this practice </w:t>
      </w:r>
      <w:r w:rsidR="00A65742">
        <w:rPr>
          <w:rFonts w:ascii="Times New Roman" w:eastAsia="Times New Roman" w:hAnsi="Times New Roman" w:cs="Times New Roman"/>
          <w:sz w:val="24"/>
          <w:szCs w:val="24"/>
          <w:lang w:val="en-US"/>
        </w:rPr>
        <w:t xml:space="preserve">constitutes </w:t>
      </w:r>
      <w:r w:rsidR="001A62EE" w:rsidRPr="00665F17">
        <w:rPr>
          <w:rFonts w:ascii="Times New Roman" w:eastAsia="Times New Roman" w:hAnsi="Times New Roman" w:cs="Times New Roman"/>
          <w:sz w:val="24"/>
          <w:szCs w:val="24"/>
          <w:lang w:val="en-US"/>
        </w:rPr>
        <w:t>evidence of a general rule grounded in customary law</w:t>
      </w:r>
      <w:r w:rsidR="00335717">
        <w:rPr>
          <w:rFonts w:ascii="Times New Roman" w:eastAsia="Times New Roman" w:hAnsi="Times New Roman" w:cs="Times New Roman"/>
          <w:sz w:val="24"/>
          <w:szCs w:val="24"/>
          <w:lang w:val="en-US"/>
        </w:rPr>
        <w:t xml:space="preserve">. </w:t>
      </w:r>
      <w:r w:rsidR="001A62EE" w:rsidRPr="00665F17">
        <w:rPr>
          <w:rFonts w:ascii="Times New Roman" w:eastAsia="Times New Roman" w:hAnsi="Times New Roman" w:cs="Times New Roman"/>
          <w:sz w:val="24"/>
          <w:szCs w:val="24"/>
          <w:lang w:val="en-US"/>
        </w:rPr>
        <w:t>In the past a s</w:t>
      </w:r>
      <w:r w:rsidR="00335717">
        <w:rPr>
          <w:rFonts w:ascii="Times New Roman" w:eastAsia="Times New Roman" w:hAnsi="Times New Roman" w:cs="Times New Roman"/>
          <w:sz w:val="24"/>
          <w:szCs w:val="24"/>
          <w:lang w:val="en-US"/>
        </w:rPr>
        <w:t>k</w:t>
      </w:r>
      <w:r w:rsidR="001A62EE" w:rsidRPr="00665F17">
        <w:rPr>
          <w:rFonts w:ascii="Times New Roman" w:eastAsia="Times New Roman" w:hAnsi="Times New Roman" w:cs="Times New Roman"/>
          <w:sz w:val="24"/>
          <w:szCs w:val="24"/>
          <w:lang w:val="en-US"/>
        </w:rPr>
        <w:t>eptical view has been expressed by a number of legal scholars</w:t>
      </w:r>
      <w:r w:rsidR="00424B12">
        <w:rPr>
          <w:rFonts w:ascii="Times New Roman" w:eastAsia="Times New Roman" w:hAnsi="Times New Roman" w:cs="Times New Roman"/>
          <w:sz w:val="24"/>
          <w:szCs w:val="24"/>
          <w:lang w:val="en-US"/>
        </w:rPr>
        <w:t>,</w:t>
      </w:r>
      <w:r w:rsidR="001A62EE" w:rsidRPr="00665F17">
        <w:rPr>
          <w:rStyle w:val="EndnoteReference"/>
          <w:rFonts w:ascii="Times New Roman" w:eastAsia="Times New Roman" w:hAnsi="Times New Roman" w:cs="Times New Roman"/>
          <w:sz w:val="24"/>
          <w:szCs w:val="24"/>
          <w:lang w:val="en-US"/>
        </w:rPr>
        <w:endnoteReference w:id="26"/>
      </w:r>
      <w:r w:rsidR="001A62EE" w:rsidRPr="00665F17">
        <w:rPr>
          <w:rFonts w:ascii="Times New Roman" w:eastAsia="Times New Roman" w:hAnsi="Times New Roman" w:cs="Times New Roman"/>
          <w:sz w:val="24"/>
          <w:szCs w:val="24"/>
          <w:lang w:val="en-US"/>
        </w:rPr>
        <w:t xml:space="preserve"> </w:t>
      </w:r>
      <w:r w:rsidR="00424B12">
        <w:rPr>
          <w:rFonts w:ascii="Times New Roman" w:eastAsia="Times New Roman" w:hAnsi="Times New Roman" w:cs="Times New Roman"/>
          <w:sz w:val="24"/>
          <w:szCs w:val="24"/>
          <w:lang w:val="en-US"/>
        </w:rPr>
        <w:t>b</w:t>
      </w:r>
      <w:r w:rsidR="001A62EE" w:rsidRPr="00665F17">
        <w:rPr>
          <w:rFonts w:ascii="Times New Roman" w:eastAsia="Times New Roman" w:hAnsi="Times New Roman" w:cs="Times New Roman"/>
          <w:sz w:val="24"/>
          <w:szCs w:val="24"/>
          <w:lang w:val="en-US"/>
        </w:rPr>
        <w:t xml:space="preserve">ut this </w:t>
      </w:r>
      <w:r w:rsidR="00424B12" w:rsidRPr="00424B12">
        <w:rPr>
          <w:rFonts w:ascii="Times New Roman" w:eastAsia="Times New Roman" w:hAnsi="Times New Roman" w:cs="Times New Roman"/>
          <w:sz w:val="24"/>
          <w:szCs w:val="24"/>
          <w:lang w:val="en-US"/>
        </w:rPr>
        <w:t>interpretation</w:t>
      </w:r>
      <w:r w:rsidR="00424B12">
        <w:rPr>
          <w:rFonts w:ascii="Times New Roman" w:eastAsia="Times New Roman" w:hAnsi="Times New Roman" w:cs="Times New Roman"/>
          <w:sz w:val="24"/>
          <w:szCs w:val="24"/>
          <w:lang w:val="en-US"/>
        </w:rPr>
        <w:t xml:space="preserve"> </w:t>
      </w:r>
      <w:r w:rsidR="001A62EE" w:rsidRPr="00665F17">
        <w:rPr>
          <w:rFonts w:ascii="Times New Roman" w:eastAsia="Times New Roman" w:hAnsi="Times New Roman" w:cs="Times New Roman"/>
          <w:sz w:val="24"/>
          <w:szCs w:val="24"/>
          <w:lang w:val="en-US"/>
        </w:rPr>
        <w:t>has become untenable in light of the great acceleration that international practice has undergone in this field in the past twenty years. First, a more robust international reaction to the scourge of illicit excavation and looting of cultural objects in occupied territories has developed, hand in hand with the increasing sense of indignation and condemnation of such acts as a perverse component of foreign occupation, and sometimes of ethnic conflict and ethnic cleansing. This is shown by the response to the well documented atrocities of the Yugoslav war</w:t>
      </w:r>
      <w:r w:rsidR="00BF6DE0">
        <w:rPr>
          <w:rFonts w:ascii="Times New Roman" w:eastAsia="Times New Roman" w:hAnsi="Times New Roman" w:cs="Times New Roman"/>
          <w:sz w:val="24"/>
          <w:szCs w:val="24"/>
          <w:lang w:val="en-US"/>
        </w:rPr>
        <w:t>s</w:t>
      </w:r>
      <w:r w:rsidR="001A62EE" w:rsidRPr="00665F17">
        <w:rPr>
          <w:rFonts w:ascii="Times New Roman" w:eastAsia="Times New Roman" w:hAnsi="Times New Roman" w:cs="Times New Roman"/>
          <w:sz w:val="24"/>
          <w:szCs w:val="24"/>
          <w:lang w:val="en-US"/>
        </w:rPr>
        <w:t xml:space="preserve"> </w:t>
      </w:r>
      <w:r w:rsidR="00BF6DE0">
        <w:rPr>
          <w:rFonts w:ascii="Times New Roman" w:eastAsia="Times New Roman" w:hAnsi="Times New Roman" w:cs="Times New Roman"/>
          <w:sz w:val="24"/>
          <w:szCs w:val="24"/>
          <w:lang w:val="en-US"/>
        </w:rPr>
        <w:t xml:space="preserve">of the 1990s </w:t>
      </w:r>
      <w:r w:rsidR="001A62EE" w:rsidRPr="00665F17">
        <w:rPr>
          <w:rFonts w:ascii="Times New Roman" w:eastAsia="Times New Roman" w:hAnsi="Times New Roman" w:cs="Times New Roman"/>
          <w:sz w:val="24"/>
          <w:szCs w:val="24"/>
          <w:lang w:val="en-US"/>
        </w:rPr>
        <w:t xml:space="preserve">and to the abominable criminal enterprise of </w:t>
      </w:r>
      <w:r w:rsidR="002D0FA9">
        <w:rPr>
          <w:rFonts w:ascii="Times New Roman" w:eastAsia="Times New Roman" w:hAnsi="Times New Roman" w:cs="Times New Roman"/>
          <w:sz w:val="24"/>
          <w:szCs w:val="24"/>
          <w:lang w:val="en-US"/>
        </w:rPr>
        <w:t>ISIL</w:t>
      </w:r>
      <w:r w:rsidR="001A62EE" w:rsidRPr="00665F17">
        <w:rPr>
          <w:rFonts w:ascii="Times New Roman" w:eastAsia="Times New Roman" w:hAnsi="Times New Roman" w:cs="Times New Roman"/>
          <w:sz w:val="24"/>
          <w:szCs w:val="24"/>
          <w:lang w:val="en-US"/>
        </w:rPr>
        <w:t xml:space="preserve"> and related </w:t>
      </w:r>
      <w:r w:rsidR="00297E4D">
        <w:rPr>
          <w:rFonts w:ascii="Times New Roman" w:eastAsia="Times New Roman" w:hAnsi="Times New Roman" w:cs="Times New Roman"/>
          <w:sz w:val="24"/>
          <w:szCs w:val="24"/>
          <w:lang w:val="en-US"/>
        </w:rPr>
        <w:t>nonstate armed</w:t>
      </w:r>
      <w:r w:rsidR="00297E4D" w:rsidRPr="00665F17">
        <w:rPr>
          <w:rFonts w:ascii="Times New Roman" w:eastAsia="Times New Roman" w:hAnsi="Times New Roman" w:cs="Times New Roman"/>
          <w:sz w:val="24"/>
          <w:szCs w:val="24"/>
          <w:lang w:val="en-US"/>
        </w:rPr>
        <w:t xml:space="preserve"> </w:t>
      </w:r>
      <w:r w:rsidR="001A62EE" w:rsidRPr="00665F17">
        <w:rPr>
          <w:rFonts w:ascii="Times New Roman" w:eastAsia="Times New Roman" w:hAnsi="Times New Roman" w:cs="Times New Roman"/>
          <w:sz w:val="24"/>
          <w:szCs w:val="24"/>
          <w:lang w:val="en-US"/>
        </w:rPr>
        <w:t>groups in the occupied territories of Iraq and Syria.</w:t>
      </w:r>
    </w:p>
    <w:p w14:paraId="46E5ECFF" w14:textId="77777777" w:rsidR="00E442F3" w:rsidRDefault="001A62EE" w:rsidP="000D3355">
      <w:pPr>
        <w:spacing w:line="480" w:lineRule="auto"/>
        <w:ind w:firstLine="708"/>
        <w:rPr>
          <w:rFonts w:ascii="Times New Roman" w:eastAsia="Times New Roman" w:hAnsi="Times New Roman" w:cs="Times New Roman"/>
          <w:sz w:val="24"/>
          <w:szCs w:val="24"/>
          <w:lang w:val="en-US"/>
        </w:rPr>
      </w:pPr>
      <w:r w:rsidRPr="00665F17">
        <w:rPr>
          <w:rFonts w:ascii="Times New Roman" w:eastAsia="Times New Roman" w:hAnsi="Times New Roman" w:cs="Times New Roman"/>
          <w:sz w:val="24"/>
          <w:szCs w:val="24"/>
          <w:lang w:val="en-US"/>
        </w:rPr>
        <w:t xml:space="preserve">Second, the number of states that have ratified or acceded to the </w:t>
      </w:r>
      <w:r w:rsidR="00CE3071">
        <w:rPr>
          <w:rFonts w:ascii="Times New Roman" w:eastAsia="Times New Roman" w:hAnsi="Times New Roman" w:cs="Times New Roman"/>
          <w:sz w:val="24"/>
          <w:szCs w:val="24"/>
          <w:lang w:val="en-US"/>
        </w:rPr>
        <w:t xml:space="preserve">First </w:t>
      </w:r>
      <w:r w:rsidRPr="00665F17">
        <w:rPr>
          <w:rFonts w:ascii="Times New Roman" w:eastAsia="Times New Roman" w:hAnsi="Times New Roman" w:cs="Times New Roman"/>
          <w:sz w:val="24"/>
          <w:szCs w:val="24"/>
          <w:lang w:val="en-US"/>
        </w:rPr>
        <w:t xml:space="preserve">Protocol to the 1954 Hague </w:t>
      </w:r>
      <w:r w:rsidR="00CE3071">
        <w:rPr>
          <w:rFonts w:ascii="Times New Roman" w:eastAsia="Times New Roman" w:hAnsi="Times New Roman" w:cs="Times New Roman"/>
          <w:sz w:val="24"/>
          <w:szCs w:val="24"/>
          <w:lang w:val="en-US"/>
        </w:rPr>
        <w:t>C</w:t>
      </w:r>
      <w:r w:rsidRPr="00665F17">
        <w:rPr>
          <w:rFonts w:ascii="Times New Roman" w:eastAsia="Times New Roman" w:hAnsi="Times New Roman" w:cs="Times New Roman"/>
          <w:sz w:val="24"/>
          <w:szCs w:val="24"/>
          <w:lang w:val="en-US"/>
        </w:rPr>
        <w:t xml:space="preserve">onvention has increased significantly since 2000 to include many important source </w:t>
      </w:r>
      <w:r w:rsidRPr="00665F17">
        <w:rPr>
          <w:rFonts w:ascii="Times New Roman" w:eastAsia="Times New Roman" w:hAnsi="Times New Roman" w:cs="Times New Roman"/>
          <w:sz w:val="24"/>
          <w:szCs w:val="24"/>
          <w:lang w:val="en-US"/>
        </w:rPr>
        <w:lastRenderedPageBreak/>
        <w:t xml:space="preserve">and market countries of cultural heritage, such as China, the United Kingdom, Canada, Japan, Italy, the Netherlands, </w:t>
      </w:r>
      <w:r w:rsidR="001A1118">
        <w:rPr>
          <w:rFonts w:ascii="Times New Roman" w:eastAsia="Times New Roman" w:hAnsi="Times New Roman" w:cs="Times New Roman"/>
          <w:sz w:val="24"/>
          <w:szCs w:val="24"/>
          <w:lang w:val="en-US"/>
        </w:rPr>
        <w:t xml:space="preserve">and </w:t>
      </w:r>
      <w:r w:rsidRPr="00665F17">
        <w:rPr>
          <w:rFonts w:ascii="Times New Roman" w:eastAsia="Times New Roman" w:hAnsi="Times New Roman" w:cs="Times New Roman"/>
          <w:sz w:val="24"/>
          <w:szCs w:val="24"/>
          <w:lang w:val="en-US"/>
        </w:rPr>
        <w:t xml:space="preserve">Germany, thus supporting the presumption of a sense of obligation of a general character. </w:t>
      </w:r>
    </w:p>
    <w:p w14:paraId="43ED1B62" w14:textId="000B270E" w:rsidR="001A62EE" w:rsidRPr="00665F17" w:rsidRDefault="001A62EE" w:rsidP="000D3355">
      <w:pPr>
        <w:spacing w:line="480" w:lineRule="auto"/>
        <w:ind w:firstLine="708"/>
        <w:rPr>
          <w:rFonts w:ascii="Times New Roman" w:eastAsia="Times New Roman" w:hAnsi="Times New Roman" w:cs="Times New Roman"/>
          <w:sz w:val="24"/>
          <w:szCs w:val="24"/>
          <w:lang w:val="en-US"/>
        </w:rPr>
      </w:pPr>
      <w:r w:rsidRPr="00665F17">
        <w:rPr>
          <w:rFonts w:ascii="Times New Roman" w:eastAsia="Times New Roman" w:hAnsi="Times New Roman" w:cs="Times New Roman"/>
          <w:sz w:val="24"/>
          <w:szCs w:val="24"/>
          <w:lang w:val="en-US"/>
        </w:rPr>
        <w:t xml:space="preserve">Third, the practice of domestic courts now tends to enforce the international prohibition of appropriation of cultural objects in occupied territories and the obligation to return </w:t>
      </w:r>
      <w:r w:rsidR="001A1118">
        <w:rPr>
          <w:rFonts w:ascii="Times New Roman" w:eastAsia="Times New Roman" w:hAnsi="Times New Roman" w:cs="Times New Roman"/>
          <w:sz w:val="24"/>
          <w:szCs w:val="24"/>
          <w:lang w:val="en-US"/>
        </w:rPr>
        <w:t>them</w:t>
      </w:r>
      <w:r w:rsidRPr="00665F17">
        <w:rPr>
          <w:rFonts w:ascii="Times New Roman" w:eastAsia="Times New Roman" w:hAnsi="Times New Roman" w:cs="Times New Roman"/>
          <w:sz w:val="24"/>
          <w:szCs w:val="24"/>
          <w:lang w:val="en-US"/>
        </w:rPr>
        <w:t xml:space="preserve">, even in the absence of specific treaty obligations. An </w:t>
      </w:r>
      <w:r w:rsidR="00E82A71" w:rsidRPr="00E82A71">
        <w:rPr>
          <w:rFonts w:ascii="Times New Roman" w:eastAsia="Times New Roman" w:hAnsi="Times New Roman" w:cs="Times New Roman"/>
          <w:sz w:val="24"/>
          <w:szCs w:val="24"/>
          <w:lang w:val="en-US"/>
        </w:rPr>
        <w:t>important</w:t>
      </w:r>
      <w:r w:rsidRPr="00665F17">
        <w:rPr>
          <w:rFonts w:ascii="Times New Roman" w:eastAsia="Times New Roman" w:hAnsi="Times New Roman" w:cs="Times New Roman"/>
          <w:sz w:val="24"/>
          <w:szCs w:val="24"/>
          <w:lang w:val="en-US"/>
        </w:rPr>
        <w:t xml:space="preserve"> example of this practice is provided by </w:t>
      </w:r>
      <w:r w:rsidR="00334D71">
        <w:rPr>
          <w:rFonts w:ascii="Times New Roman" w:eastAsia="Times New Roman" w:hAnsi="Times New Roman" w:cs="Times New Roman"/>
          <w:sz w:val="24"/>
          <w:szCs w:val="24"/>
          <w:lang w:val="en-US"/>
        </w:rPr>
        <w:t xml:space="preserve">the </w:t>
      </w:r>
      <w:r w:rsidRPr="00665F17">
        <w:rPr>
          <w:rFonts w:ascii="Times New Roman" w:eastAsia="Times New Roman" w:hAnsi="Times New Roman" w:cs="Times New Roman"/>
          <w:sz w:val="24"/>
          <w:szCs w:val="24"/>
          <w:lang w:val="en-US"/>
        </w:rPr>
        <w:t xml:space="preserve">decision to return to the Church of Cyprus the </w:t>
      </w:r>
      <w:r w:rsidR="00B0110A">
        <w:rPr>
          <w:rFonts w:ascii="Times New Roman" w:eastAsia="Times New Roman" w:hAnsi="Times New Roman" w:cs="Times New Roman"/>
          <w:sz w:val="24"/>
          <w:szCs w:val="24"/>
          <w:lang w:val="en-US"/>
        </w:rPr>
        <w:t>wall paintings</w:t>
      </w:r>
      <w:r w:rsidRPr="00665F17">
        <w:rPr>
          <w:rFonts w:ascii="Times New Roman" w:eastAsia="Times New Roman" w:hAnsi="Times New Roman" w:cs="Times New Roman"/>
          <w:sz w:val="24"/>
          <w:szCs w:val="24"/>
          <w:lang w:val="en-US"/>
        </w:rPr>
        <w:t xml:space="preserve"> of the Byzantine </w:t>
      </w:r>
      <w:r w:rsidR="00A227BE">
        <w:rPr>
          <w:rFonts w:ascii="Times New Roman" w:eastAsia="Times New Roman" w:hAnsi="Times New Roman" w:cs="Times New Roman"/>
          <w:sz w:val="24"/>
          <w:szCs w:val="24"/>
          <w:lang w:val="en-US"/>
        </w:rPr>
        <w:t>Fresco C</w:t>
      </w:r>
      <w:r w:rsidRPr="00665F17">
        <w:rPr>
          <w:rFonts w:ascii="Times New Roman" w:eastAsia="Times New Roman" w:hAnsi="Times New Roman" w:cs="Times New Roman"/>
          <w:sz w:val="24"/>
          <w:szCs w:val="24"/>
          <w:lang w:val="en-US"/>
        </w:rPr>
        <w:t>hapel</w:t>
      </w:r>
      <w:r w:rsidR="00A227BE">
        <w:rPr>
          <w:rFonts w:ascii="Times New Roman" w:eastAsia="Times New Roman" w:hAnsi="Times New Roman" w:cs="Times New Roman"/>
          <w:sz w:val="24"/>
          <w:szCs w:val="24"/>
          <w:lang w:val="en-US"/>
        </w:rPr>
        <w:t xml:space="preserve"> in Houston</w:t>
      </w:r>
      <w:r w:rsidR="00990686">
        <w:rPr>
          <w:rFonts w:ascii="Times New Roman" w:eastAsia="Times New Roman" w:hAnsi="Times New Roman" w:cs="Times New Roman"/>
          <w:sz w:val="24"/>
          <w:szCs w:val="24"/>
          <w:lang w:val="en-US"/>
        </w:rPr>
        <w:t>, Texas</w:t>
      </w:r>
      <w:r w:rsidRPr="00665F17">
        <w:rPr>
          <w:rFonts w:ascii="Times New Roman" w:eastAsia="Times New Roman" w:hAnsi="Times New Roman" w:cs="Times New Roman"/>
          <w:sz w:val="24"/>
          <w:szCs w:val="24"/>
          <w:lang w:val="en-US"/>
        </w:rPr>
        <w:t>. The</w:t>
      </w:r>
      <w:r w:rsidR="00167DB2">
        <w:rPr>
          <w:rFonts w:ascii="Times New Roman" w:eastAsia="Times New Roman" w:hAnsi="Times New Roman" w:cs="Times New Roman"/>
          <w:sz w:val="24"/>
          <w:szCs w:val="24"/>
          <w:lang w:val="en-US"/>
        </w:rPr>
        <w:t>se</w:t>
      </w:r>
      <w:r w:rsidRPr="00665F17">
        <w:rPr>
          <w:rFonts w:ascii="Times New Roman" w:eastAsia="Times New Roman" w:hAnsi="Times New Roman" w:cs="Times New Roman"/>
          <w:sz w:val="24"/>
          <w:szCs w:val="24"/>
          <w:lang w:val="en-US"/>
        </w:rPr>
        <w:t xml:space="preserve"> rare Medieval frescoes had been looted in the town of Lysl in Northe</w:t>
      </w:r>
      <w:r w:rsidR="001F3416">
        <w:rPr>
          <w:rFonts w:ascii="Times New Roman" w:eastAsia="Times New Roman" w:hAnsi="Times New Roman" w:cs="Times New Roman"/>
          <w:sz w:val="24"/>
          <w:szCs w:val="24"/>
          <w:lang w:val="en-US"/>
        </w:rPr>
        <w:t>r</w:t>
      </w:r>
      <w:r w:rsidRPr="00665F17">
        <w:rPr>
          <w:rFonts w:ascii="Times New Roman" w:eastAsia="Times New Roman" w:hAnsi="Times New Roman" w:cs="Times New Roman"/>
          <w:sz w:val="24"/>
          <w:szCs w:val="24"/>
          <w:lang w:val="en-US"/>
        </w:rPr>
        <w:t>n Cyprus in the aftermath of the Turkish invasion of the island in 1974 and later purchased and imported in</w:t>
      </w:r>
      <w:r w:rsidR="00B339E2">
        <w:rPr>
          <w:rFonts w:ascii="Times New Roman" w:eastAsia="Times New Roman" w:hAnsi="Times New Roman" w:cs="Times New Roman"/>
          <w:sz w:val="24"/>
          <w:szCs w:val="24"/>
          <w:lang w:val="en-US"/>
        </w:rPr>
        <w:t>to</w:t>
      </w:r>
      <w:r w:rsidRPr="00665F17">
        <w:rPr>
          <w:rFonts w:ascii="Times New Roman" w:eastAsia="Times New Roman" w:hAnsi="Times New Roman" w:cs="Times New Roman"/>
          <w:sz w:val="24"/>
          <w:szCs w:val="24"/>
          <w:lang w:val="en-US"/>
        </w:rPr>
        <w:t xml:space="preserve"> the United States by the Menil Foundation. By a voluntary agreement concluded in March 2012 between the </w:t>
      </w:r>
      <w:r w:rsidR="00144BE8">
        <w:rPr>
          <w:rFonts w:ascii="Times New Roman" w:eastAsia="Times New Roman" w:hAnsi="Times New Roman" w:cs="Times New Roman"/>
          <w:sz w:val="24"/>
          <w:szCs w:val="24"/>
          <w:lang w:val="en-US"/>
        </w:rPr>
        <w:t>f</w:t>
      </w:r>
      <w:r w:rsidRPr="00665F17">
        <w:rPr>
          <w:rFonts w:ascii="Times New Roman" w:eastAsia="Times New Roman" w:hAnsi="Times New Roman" w:cs="Times New Roman"/>
          <w:sz w:val="24"/>
          <w:szCs w:val="24"/>
          <w:lang w:val="en-US"/>
        </w:rPr>
        <w:t>oundation and the Church of Cyprus</w:t>
      </w:r>
      <w:r w:rsidR="00144BE8">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 xml:space="preserve"> the fresco</w:t>
      </w:r>
      <w:r w:rsidR="000F67FB">
        <w:rPr>
          <w:rFonts w:ascii="Times New Roman" w:eastAsia="Times New Roman" w:hAnsi="Times New Roman" w:cs="Times New Roman"/>
          <w:sz w:val="24"/>
          <w:szCs w:val="24"/>
          <w:lang w:val="en-US"/>
        </w:rPr>
        <w:t>e</w:t>
      </w:r>
      <w:r w:rsidRPr="00665F17">
        <w:rPr>
          <w:rFonts w:ascii="Times New Roman" w:eastAsia="Times New Roman" w:hAnsi="Times New Roman" w:cs="Times New Roman"/>
          <w:sz w:val="24"/>
          <w:szCs w:val="24"/>
          <w:lang w:val="en-US"/>
        </w:rPr>
        <w:t xml:space="preserve">s were returned to the original owner after meticulous restoration and public exhibition in Houston for several years. Other important precedents, supporting the </w:t>
      </w:r>
      <w:r w:rsidRPr="00665F17">
        <w:rPr>
          <w:rFonts w:ascii="Times New Roman" w:eastAsia="Times New Roman" w:hAnsi="Times New Roman" w:cs="Times New Roman"/>
          <w:i/>
          <w:sz w:val="24"/>
          <w:szCs w:val="24"/>
          <w:lang w:val="en-US"/>
        </w:rPr>
        <w:t>opinio iuris</w:t>
      </w:r>
      <w:r w:rsidRPr="00665F17">
        <w:rPr>
          <w:rFonts w:ascii="Times New Roman" w:eastAsia="Times New Roman" w:hAnsi="Times New Roman" w:cs="Times New Roman"/>
          <w:sz w:val="24"/>
          <w:szCs w:val="24"/>
          <w:lang w:val="en-US"/>
        </w:rPr>
        <w:t xml:space="preserve"> that cultural property looted in foreign countries must be returned to the original owner, are the decision of </w:t>
      </w:r>
      <w:r w:rsidR="001A601D">
        <w:rPr>
          <w:rFonts w:ascii="Times New Roman" w:eastAsia="Times New Roman" w:hAnsi="Times New Roman" w:cs="Times New Roman"/>
          <w:sz w:val="24"/>
          <w:szCs w:val="24"/>
          <w:lang w:val="en-US"/>
        </w:rPr>
        <w:t>US c</w:t>
      </w:r>
      <w:r w:rsidRPr="00665F17">
        <w:rPr>
          <w:rFonts w:ascii="Times New Roman" w:eastAsia="Times New Roman" w:hAnsi="Times New Roman" w:cs="Times New Roman"/>
          <w:sz w:val="24"/>
          <w:szCs w:val="24"/>
          <w:lang w:val="en-US"/>
        </w:rPr>
        <w:t xml:space="preserve">ourts in </w:t>
      </w:r>
      <w:r w:rsidRPr="00665F17">
        <w:rPr>
          <w:rFonts w:ascii="Times New Roman" w:eastAsia="Times New Roman" w:hAnsi="Times New Roman" w:cs="Times New Roman"/>
          <w:i/>
          <w:sz w:val="24"/>
          <w:szCs w:val="24"/>
          <w:lang w:val="en-US"/>
        </w:rPr>
        <w:t>Elicofon</w:t>
      </w:r>
      <w:r w:rsidRPr="00665F17">
        <w:rPr>
          <w:rStyle w:val="EndnoteReference"/>
          <w:rFonts w:ascii="Times New Roman" w:eastAsia="Times New Roman" w:hAnsi="Times New Roman" w:cs="Times New Roman"/>
          <w:sz w:val="24"/>
          <w:szCs w:val="24"/>
          <w:lang w:val="en-US"/>
        </w:rPr>
        <w:endnoteReference w:id="27"/>
      </w:r>
      <w:r w:rsidRPr="00665F17">
        <w:rPr>
          <w:rFonts w:ascii="Times New Roman" w:eastAsia="Times New Roman" w:hAnsi="Times New Roman" w:cs="Times New Roman"/>
          <w:i/>
          <w:sz w:val="24"/>
          <w:szCs w:val="24"/>
          <w:lang w:val="en-US"/>
        </w:rPr>
        <w:t xml:space="preserve"> </w:t>
      </w:r>
      <w:r w:rsidRPr="00665F17">
        <w:rPr>
          <w:rFonts w:ascii="Times New Roman" w:eastAsia="Times New Roman" w:hAnsi="Times New Roman" w:cs="Times New Roman"/>
          <w:sz w:val="24"/>
          <w:szCs w:val="24"/>
          <w:lang w:val="en-US"/>
        </w:rPr>
        <w:t xml:space="preserve">and </w:t>
      </w:r>
      <w:r w:rsidRPr="00665F17">
        <w:rPr>
          <w:rFonts w:ascii="Times New Roman" w:eastAsia="Times New Roman" w:hAnsi="Times New Roman" w:cs="Times New Roman"/>
          <w:i/>
          <w:sz w:val="24"/>
          <w:szCs w:val="24"/>
          <w:lang w:val="en-US"/>
        </w:rPr>
        <w:t>Church of Cyprus and the Republic of Cyprus v</w:t>
      </w:r>
      <w:r w:rsidR="00310D32">
        <w:rPr>
          <w:rFonts w:ascii="Times New Roman" w:eastAsia="Times New Roman" w:hAnsi="Times New Roman" w:cs="Times New Roman"/>
          <w:i/>
          <w:sz w:val="24"/>
          <w:szCs w:val="24"/>
          <w:lang w:val="en-US"/>
        </w:rPr>
        <w:t>.</w:t>
      </w:r>
      <w:r w:rsidRPr="00665F17">
        <w:rPr>
          <w:rFonts w:ascii="Times New Roman" w:eastAsia="Times New Roman" w:hAnsi="Times New Roman" w:cs="Times New Roman"/>
          <w:i/>
          <w:sz w:val="24"/>
          <w:szCs w:val="24"/>
          <w:lang w:val="en-US"/>
        </w:rPr>
        <w:t xml:space="preserve"> Goldberg</w:t>
      </w:r>
      <w:r w:rsidRPr="00665F17">
        <w:rPr>
          <w:rFonts w:ascii="Times New Roman" w:eastAsia="Times New Roman" w:hAnsi="Times New Roman" w:cs="Times New Roman"/>
          <w:sz w:val="24"/>
          <w:szCs w:val="24"/>
          <w:lang w:val="en-US"/>
        </w:rPr>
        <w:t>.</w:t>
      </w:r>
      <w:r w:rsidRPr="00665F17">
        <w:rPr>
          <w:rStyle w:val="EndnoteReference"/>
          <w:rFonts w:ascii="Times New Roman" w:eastAsia="Times New Roman" w:hAnsi="Times New Roman" w:cs="Times New Roman"/>
          <w:sz w:val="24"/>
          <w:szCs w:val="24"/>
          <w:lang w:val="en-US"/>
        </w:rPr>
        <w:endnoteReference w:id="28"/>
      </w:r>
      <w:r w:rsidRPr="00665F17">
        <w:rPr>
          <w:rFonts w:ascii="Times New Roman" w:eastAsia="Times New Roman" w:hAnsi="Times New Roman" w:cs="Times New Roman"/>
          <w:sz w:val="24"/>
          <w:szCs w:val="24"/>
          <w:lang w:val="en-US"/>
        </w:rPr>
        <w:t xml:space="preserve"> Th</w:t>
      </w:r>
      <w:r w:rsidR="00310D32">
        <w:rPr>
          <w:rFonts w:ascii="Times New Roman" w:eastAsia="Times New Roman" w:hAnsi="Times New Roman" w:cs="Times New Roman"/>
          <w:sz w:val="24"/>
          <w:szCs w:val="24"/>
          <w:lang w:val="en-US"/>
        </w:rPr>
        <w:t>e</w:t>
      </w:r>
      <w:r w:rsidRPr="00665F17">
        <w:rPr>
          <w:rFonts w:ascii="Times New Roman" w:eastAsia="Times New Roman" w:hAnsi="Times New Roman" w:cs="Times New Roman"/>
          <w:sz w:val="24"/>
          <w:szCs w:val="24"/>
          <w:lang w:val="en-US"/>
        </w:rPr>
        <w:t xml:space="preserve"> latter concerned the determination of title over ancient mosaics stolen from a religious monument in Northern Cyprus in circumstances similar to those of the </w:t>
      </w:r>
      <w:r w:rsidR="00AD0DE7">
        <w:rPr>
          <w:rFonts w:ascii="Times New Roman" w:eastAsia="Times New Roman" w:hAnsi="Times New Roman" w:cs="Times New Roman"/>
          <w:sz w:val="24"/>
          <w:szCs w:val="24"/>
          <w:lang w:val="en-US"/>
        </w:rPr>
        <w:t>Byzantine</w:t>
      </w:r>
      <w:r w:rsidR="00AD0DE7" w:rsidRPr="00665F17">
        <w:rPr>
          <w:rFonts w:ascii="Times New Roman" w:eastAsia="Times New Roman" w:hAnsi="Times New Roman" w:cs="Times New Roman"/>
          <w:sz w:val="24"/>
          <w:szCs w:val="24"/>
          <w:lang w:val="en-US"/>
        </w:rPr>
        <w:t xml:space="preserve"> </w:t>
      </w:r>
      <w:r w:rsidR="0032104D">
        <w:rPr>
          <w:rFonts w:ascii="Times New Roman" w:eastAsia="Times New Roman" w:hAnsi="Times New Roman" w:cs="Times New Roman"/>
          <w:sz w:val="24"/>
          <w:szCs w:val="24"/>
          <w:lang w:val="en-US"/>
        </w:rPr>
        <w:t>c</w:t>
      </w:r>
      <w:r w:rsidRPr="00665F17">
        <w:rPr>
          <w:rFonts w:ascii="Times New Roman" w:eastAsia="Times New Roman" w:hAnsi="Times New Roman" w:cs="Times New Roman"/>
          <w:sz w:val="24"/>
          <w:szCs w:val="24"/>
          <w:lang w:val="en-US"/>
        </w:rPr>
        <w:t>hapel. In both cases the illegally</w:t>
      </w:r>
      <w:r w:rsidR="00023A42" w:rsidRPr="00665F17">
        <w:rPr>
          <w:rFonts w:ascii="Times New Roman" w:eastAsia="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rPr>
        <w:t>transferred cultural objects were returned to the country of origin in the absence of any specific treaty obligation</w:t>
      </w:r>
      <w:r w:rsidR="005C5373">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 xml:space="preserve"> since the United States was not a party </w:t>
      </w:r>
      <w:r w:rsidR="005C5373">
        <w:rPr>
          <w:rFonts w:ascii="Times New Roman" w:eastAsia="Times New Roman" w:hAnsi="Times New Roman" w:cs="Times New Roman"/>
          <w:sz w:val="24"/>
          <w:szCs w:val="24"/>
          <w:lang w:val="en-US"/>
        </w:rPr>
        <w:t>t</w:t>
      </w:r>
      <w:r w:rsidRPr="00665F17">
        <w:rPr>
          <w:rFonts w:ascii="Times New Roman" w:eastAsia="Times New Roman" w:hAnsi="Times New Roman" w:cs="Times New Roman"/>
          <w:sz w:val="24"/>
          <w:szCs w:val="24"/>
          <w:lang w:val="en-US"/>
        </w:rPr>
        <w:t xml:space="preserve">o </w:t>
      </w:r>
      <w:r w:rsidR="005C5373">
        <w:rPr>
          <w:rFonts w:ascii="Times New Roman" w:eastAsia="Times New Roman" w:hAnsi="Times New Roman" w:cs="Times New Roman"/>
          <w:sz w:val="24"/>
          <w:szCs w:val="24"/>
          <w:lang w:val="en-US"/>
        </w:rPr>
        <w:t>t</w:t>
      </w:r>
      <w:r w:rsidRPr="00665F17">
        <w:rPr>
          <w:rFonts w:ascii="Times New Roman" w:eastAsia="Times New Roman" w:hAnsi="Times New Roman" w:cs="Times New Roman"/>
          <w:sz w:val="24"/>
          <w:szCs w:val="24"/>
          <w:lang w:val="en-US"/>
        </w:rPr>
        <w:t xml:space="preserve">he </w:t>
      </w:r>
      <w:r w:rsidR="005C5373">
        <w:rPr>
          <w:rFonts w:ascii="Times New Roman" w:eastAsia="Times New Roman" w:hAnsi="Times New Roman" w:cs="Times New Roman"/>
          <w:sz w:val="24"/>
          <w:szCs w:val="24"/>
          <w:lang w:val="en-US"/>
        </w:rPr>
        <w:t xml:space="preserve">First </w:t>
      </w:r>
      <w:r w:rsidRPr="00665F17">
        <w:rPr>
          <w:rFonts w:ascii="Times New Roman" w:eastAsia="Times New Roman" w:hAnsi="Times New Roman" w:cs="Times New Roman"/>
          <w:sz w:val="24"/>
          <w:szCs w:val="24"/>
          <w:lang w:val="en-US"/>
        </w:rPr>
        <w:t>Protocol to the 1954 Hague Convention.</w:t>
      </w:r>
    </w:p>
    <w:p w14:paraId="0545A685" w14:textId="08A0ECCB" w:rsidR="00177692" w:rsidRPr="00665F17" w:rsidRDefault="001A62EE" w:rsidP="000D3355">
      <w:pPr>
        <w:spacing w:line="480" w:lineRule="auto"/>
        <w:rPr>
          <w:rFonts w:ascii="Times New Roman" w:eastAsia="Times New Roman" w:hAnsi="Times New Roman" w:cs="Times New Roman"/>
          <w:sz w:val="24"/>
          <w:szCs w:val="24"/>
          <w:lang w:val="en-US"/>
        </w:rPr>
      </w:pPr>
      <w:r w:rsidRPr="00665F17">
        <w:rPr>
          <w:rFonts w:ascii="Times New Roman" w:eastAsia="Times New Roman" w:hAnsi="Times New Roman" w:cs="Times New Roman"/>
          <w:sz w:val="24"/>
          <w:szCs w:val="24"/>
          <w:lang w:val="en-US"/>
        </w:rPr>
        <w:tab/>
        <w:t>The evidence provided by treaty and judicial practice is corroborated by the already mentioned practice of Security Council resolutions</w:t>
      </w:r>
      <w:r w:rsidRPr="00665F17">
        <w:rPr>
          <w:rStyle w:val="EndnoteReference"/>
          <w:rFonts w:ascii="Times New Roman" w:eastAsia="Times New Roman" w:hAnsi="Times New Roman" w:cs="Times New Roman"/>
          <w:sz w:val="24"/>
          <w:szCs w:val="24"/>
          <w:lang w:val="en-US"/>
        </w:rPr>
        <w:endnoteReference w:id="29"/>
      </w:r>
      <w:r w:rsidRPr="00665F17">
        <w:rPr>
          <w:rFonts w:ascii="Times New Roman" w:eastAsia="Times New Roman" w:hAnsi="Times New Roman" w:cs="Times New Roman"/>
          <w:sz w:val="24"/>
          <w:szCs w:val="24"/>
          <w:lang w:val="en-US"/>
        </w:rPr>
        <w:t xml:space="preserve"> requiring </w:t>
      </w:r>
      <w:r w:rsidR="003A1834">
        <w:rPr>
          <w:rFonts w:ascii="Times New Roman" w:eastAsia="Times New Roman" w:hAnsi="Times New Roman" w:cs="Times New Roman"/>
          <w:sz w:val="24"/>
          <w:szCs w:val="24"/>
          <w:lang w:val="en-US"/>
        </w:rPr>
        <w:t>UN m</w:t>
      </w:r>
      <w:r w:rsidRPr="00665F17">
        <w:rPr>
          <w:rFonts w:ascii="Times New Roman" w:eastAsia="Times New Roman" w:hAnsi="Times New Roman" w:cs="Times New Roman"/>
          <w:sz w:val="24"/>
          <w:szCs w:val="24"/>
          <w:lang w:val="en-US"/>
        </w:rPr>
        <w:t xml:space="preserve">ember </w:t>
      </w:r>
      <w:r w:rsidR="003A1834">
        <w:rPr>
          <w:rFonts w:ascii="Times New Roman" w:eastAsia="Times New Roman" w:hAnsi="Times New Roman" w:cs="Times New Roman"/>
          <w:sz w:val="24"/>
          <w:szCs w:val="24"/>
          <w:lang w:val="en-US"/>
        </w:rPr>
        <w:t>s</w:t>
      </w:r>
      <w:r w:rsidRPr="00665F17">
        <w:rPr>
          <w:rFonts w:ascii="Times New Roman" w:eastAsia="Times New Roman" w:hAnsi="Times New Roman" w:cs="Times New Roman"/>
          <w:sz w:val="24"/>
          <w:szCs w:val="24"/>
          <w:lang w:val="en-US"/>
        </w:rPr>
        <w:t xml:space="preserve">tate cooperation to stop and counter illicit trafficking in cultural property originating from conflict areas. This duty </w:t>
      </w:r>
      <w:r w:rsidRPr="00665F17">
        <w:rPr>
          <w:rFonts w:ascii="Times New Roman" w:eastAsia="Times New Roman" w:hAnsi="Times New Roman" w:cs="Times New Roman"/>
          <w:sz w:val="24"/>
          <w:szCs w:val="24"/>
          <w:lang w:val="en-US"/>
        </w:rPr>
        <w:lastRenderedPageBreak/>
        <w:t xml:space="preserve">of cooperation is cast in general terms, which presupposes a general obligation to return looted objects. In the already cited </w:t>
      </w:r>
      <w:r w:rsidR="004243CE">
        <w:rPr>
          <w:rFonts w:ascii="Times New Roman" w:eastAsia="Times New Roman" w:hAnsi="Times New Roman" w:cs="Times New Roman"/>
          <w:sz w:val="24"/>
          <w:szCs w:val="24"/>
          <w:lang w:val="en-US"/>
        </w:rPr>
        <w:t>r</w:t>
      </w:r>
      <w:r w:rsidRPr="00665F17">
        <w:rPr>
          <w:rFonts w:ascii="Times New Roman" w:eastAsia="Times New Roman" w:hAnsi="Times New Roman" w:cs="Times New Roman"/>
          <w:sz w:val="24"/>
          <w:szCs w:val="24"/>
          <w:lang w:val="en-US"/>
        </w:rPr>
        <w:t>esolution 2347</w:t>
      </w:r>
      <w:r w:rsidR="00BC7018">
        <w:rPr>
          <w:rFonts w:ascii="Times New Roman" w:eastAsia="Times New Roman" w:hAnsi="Times New Roman" w:cs="Times New Roman"/>
          <w:sz w:val="24"/>
          <w:szCs w:val="24"/>
          <w:lang w:val="en-US"/>
        </w:rPr>
        <w:t xml:space="preserve"> (</w:t>
      </w:r>
      <w:r w:rsidR="009A573E">
        <w:rPr>
          <w:rFonts w:ascii="Times New Roman" w:eastAsia="Times New Roman" w:hAnsi="Times New Roman" w:cs="Times New Roman"/>
          <w:sz w:val="24"/>
          <w:szCs w:val="24"/>
          <w:lang w:val="en-US"/>
        </w:rPr>
        <w:t>p</w:t>
      </w:r>
      <w:r w:rsidR="00BC7018">
        <w:rPr>
          <w:rFonts w:ascii="Times New Roman" w:eastAsia="Times New Roman" w:hAnsi="Times New Roman" w:cs="Times New Roman"/>
          <w:sz w:val="24"/>
          <w:szCs w:val="24"/>
          <w:lang w:val="en-US"/>
        </w:rPr>
        <w:t>aragraph 8)</w:t>
      </w:r>
      <w:r w:rsidR="004243CE">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 xml:space="preserve"> the </w:t>
      </w:r>
      <w:r w:rsidR="000B5B08">
        <w:rPr>
          <w:rFonts w:ascii="Times New Roman" w:eastAsia="Times New Roman" w:hAnsi="Times New Roman" w:cs="Times New Roman"/>
          <w:sz w:val="24"/>
          <w:szCs w:val="24"/>
          <w:lang w:val="en-US"/>
        </w:rPr>
        <w:t xml:space="preserve">Security </w:t>
      </w:r>
      <w:r w:rsidR="00505615">
        <w:rPr>
          <w:rFonts w:ascii="Times New Roman" w:eastAsia="Times New Roman" w:hAnsi="Times New Roman" w:cs="Times New Roman"/>
          <w:sz w:val="24"/>
          <w:szCs w:val="24"/>
          <w:lang w:val="en-US"/>
        </w:rPr>
        <w:t>C</w:t>
      </w:r>
      <w:r w:rsidRPr="00665F17">
        <w:rPr>
          <w:rFonts w:ascii="Times New Roman" w:eastAsia="Times New Roman" w:hAnsi="Times New Roman" w:cs="Times New Roman"/>
          <w:sz w:val="24"/>
          <w:szCs w:val="24"/>
          <w:lang w:val="en-US"/>
        </w:rPr>
        <w:t>ouncil:</w:t>
      </w:r>
      <w:r w:rsidR="001417AC">
        <w:rPr>
          <w:rFonts w:ascii="Times New Roman" w:eastAsia="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rPr>
        <w:t>“</w:t>
      </w:r>
      <w:r w:rsidRPr="00665F17">
        <w:rPr>
          <w:rFonts w:ascii="Times New Roman" w:eastAsia="Times New Roman" w:hAnsi="Times New Roman" w:cs="Times New Roman"/>
          <w:i/>
          <w:sz w:val="24"/>
          <w:szCs w:val="24"/>
          <w:lang w:val="en-US"/>
        </w:rPr>
        <w:t>Requests</w:t>
      </w:r>
      <w:r w:rsidRPr="00665F17">
        <w:rPr>
          <w:rFonts w:ascii="Times New Roman" w:eastAsia="Times New Roman" w:hAnsi="Times New Roman" w:cs="Times New Roman"/>
          <w:sz w:val="24"/>
          <w:szCs w:val="24"/>
          <w:lang w:val="en-US"/>
        </w:rPr>
        <w:t xml:space="preserve"> Member States to take appropriate steps to prevent and counter the illicit</w:t>
      </w:r>
      <w:r w:rsidR="00023A42" w:rsidRPr="00665F17">
        <w:rPr>
          <w:rFonts w:ascii="Times New Roman" w:eastAsia="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rPr>
        <w:t>trade and trafficking in cultural property and other items of archaeological, historical, cultural, rare scientific, and religious importance originating from a context of armed conflict</w:t>
      </w:r>
      <w:r w:rsidR="00404536">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w:t>
      </w:r>
    </w:p>
    <w:p w14:paraId="1003C010" w14:textId="145E547E" w:rsidR="001A62EE" w:rsidRPr="00665F17" w:rsidRDefault="00177692" w:rsidP="000D3355">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75E2D">
        <w:rPr>
          <w:rFonts w:ascii="Times New Roman" w:eastAsia="Times New Roman" w:hAnsi="Times New Roman" w:cs="Times New Roman"/>
          <w:sz w:val="24"/>
          <w:szCs w:val="24"/>
          <w:lang w:val="en-US"/>
        </w:rPr>
        <w:t xml:space="preserve">This discussion has </w:t>
      </w:r>
      <w:r w:rsidR="00513B5B">
        <w:rPr>
          <w:rFonts w:ascii="Times New Roman" w:eastAsia="Times New Roman" w:hAnsi="Times New Roman" w:cs="Times New Roman"/>
          <w:sz w:val="24"/>
          <w:szCs w:val="24"/>
          <w:lang w:val="en-US"/>
        </w:rPr>
        <w:t xml:space="preserve">so far </w:t>
      </w:r>
      <w:r w:rsidR="001A62EE" w:rsidRPr="00665F17">
        <w:rPr>
          <w:rFonts w:ascii="Times New Roman" w:eastAsia="Times New Roman" w:hAnsi="Times New Roman" w:cs="Times New Roman"/>
          <w:sz w:val="24"/>
          <w:szCs w:val="24"/>
          <w:lang w:val="en-US"/>
        </w:rPr>
        <w:t>identifie</w:t>
      </w:r>
      <w:r w:rsidR="000600AF">
        <w:rPr>
          <w:rFonts w:ascii="Times New Roman" w:eastAsia="Times New Roman" w:hAnsi="Times New Roman" w:cs="Times New Roman"/>
          <w:sz w:val="24"/>
          <w:szCs w:val="24"/>
          <w:lang w:val="en-US"/>
        </w:rPr>
        <w:t>d</w:t>
      </w:r>
      <w:r w:rsidR="001A62EE" w:rsidRPr="00665F17">
        <w:rPr>
          <w:rFonts w:ascii="Times New Roman" w:eastAsia="Times New Roman" w:hAnsi="Times New Roman" w:cs="Times New Roman"/>
          <w:sz w:val="24"/>
          <w:szCs w:val="24"/>
          <w:lang w:val="en-US"/>
        </w:rPr>
        <w:t xml:space="preserve"> evidence of the existence of two customary law obligations: to prevent and avoid destruction of cultural property, and to prevent and suppress illicit transfer of cultural property from territories under military occupation. These customary norms apply in the event of armed conflict, including non</w:t>
      </w:r>
      <w:r w:rsidR="00EA4116">
        <w:rPr>
          <w:rFonts w:ascii="Times New Roman" w:eastAsia="Times New Roman" w:hAnsi="Times New Roman" w:cs="Times New Roman"/>
          <w:sz w:val="24"/>
          <w:szCs w:val="24"/>
          <w:lang w:val="en-US"/>
        </w:rPr>
        <w:t>-</w:t>
      </w:r>
      <w:r w:rsidR="001A62EE" w:rsidRPr="00665F17">
        <w:rPr>
          <w:rFonts w:ascii="Times New Roman" w:eastAsia="Times New Roman" w:hAnsi="Times New Roman" w:cs="Times New Roman"/>
          <w:sz w:val="24"/>
          <w:szCs w:val="24"/>
          <w:lang w:val="en-US"/>
        </w:rPr>
        <w:t xml:space="preserve">international armed conflict and related acts of terrorism, and military occupation of a foreign territory. But are these obligations </w:t>
      </w:r>
      <w:r w:rsidR="00145BF9">
        <w:rPr>
          <w:rFonts w:ascii="Times New Roman" w:eastAsia="Times New Roman" w:hAnsi="Times New Roman" w:cs="Times New Roman"/>
          <w:sz w:val="24"/>
          <w:szCs w:val="24"/>
          <w:lang w:val="en-US"/>
        </w:rPr>
        <w:t xml:space="preserve">also </w:t>
      </w:r>
      <w:r w:rsidR="001A62EE" w:rsidRPr="00665F17">
        <w:rPr>
          <w:rFonts w:ascii="Times New Roman" w:eastAsia="Times New Roman" w:hAnsi="Times New Roman" w:cs="Times New Roman"/>
          <w:sz w:val="24"/>
          <w:szCs w:val="24"/>
          <w:lang w:val="en-US"/>
        </w:rPr>
        <w:t xml:space="preserve">applicable in peacetime? </w:t>
      </w:r>
    </w:p>
    <w:p w14:paraId="526C53B8" w14:textId="0BD14A50" w:rsidR="00262E17" w:rsidRDefault="001A62EE" w:rsidP="000D3355">
      <w:pPr>
        <w:spacing w:line="480" w:lineRule="auto"/>
        <w:ind w:firstLine="720"/>
        <w:rPr>
          <w:rFonts w:ascii="Times New Roman" w:eastAsia="Times New Roman" w:hAnsi="Times New Roman" w:cs="Times New Roman"/>
          <w:sz w:val="24"/>
          <w:szCs w:val="24"/>
          <w:lang w:val="en-US"/>
        </w:rPr>
      </w:pPr>
      <w:r w:rsidRPr="00665F17">
        <w:rPr>
          <w:rFonts w:ascii="Times New Roman" w:eastAsia="Times New Roman" w:hAnsi="Times New Roman" w:cs="Times New Roman"/>
          <w:sz w:val="24"/>
          <w:szCs w:val="24"/>
          <w:lang w:val="en-US"/>
        </w:rPr>
        <w:t xml:space="preserve">The 2003 UNESCO </w:t>
      </w:r>
      <w:r w:rsidR="00145BF9">
        <w:rPr>
          <w:rFonts w:ascii="Times New Roman" w:eastAsia="Times New Roman" w:hAnsi="Times New Roman" w:cs="Times New Roman"/>
          <w:sz w:val="24"/>
          <w:szCs w:val="24"/>
          <w:lang w:val="en-US"/>
        </w:rPr>
        <w:t>d</w:t>
      </w:r>
      <w:r w:rsidRPr="00665F17">
        <w:rPr>
          <w:rFonts w:ascii="Times New Roman" w:eastAsia="Times New Roman" w:hAnsi="Times New Roman" w:cs="Times New Roman"/>
          <w:sz w:val="24"/>
          <w:szCs w:val="24"/>
          <w:lang w:val="en-US"/>
        </w:rPr>
        <w:t>eclaration covers the protection of cultural heritage in connection with peacetime activities.</w:t>
      </w:r>
      <w:r w:rsidRPr="00665F17">
        <w:rPr>
          <w:rStyle w:val="EndnoteReference"/>
          <w:rFonts w:ascii="Times New Roman" w:eastAsia="Times New Roman" w:hAnsi="Times New Roman" w:cs="Times New Roman"/>
          <w:sz w:val="24"/>
          <w:szCs w:val="24"/>
          <w:lang w:val="en-US"/>
        </w:rPr>
        <w:endnoteReference w:id="30"/>
      </w:r>
      <w:r w:rsidRPr="00665F17">
        <w:rPr>
          <w:rFonts w:ascii="Times New Roman" w:eastAsia="Times New Roman" w:hAnsi="Times New Roman" w:cs="Times New Roman"/>
          <w:sz w:val="24"/>
          <w:szCs w:val="24"/>
          <w:lang w:val="en-US"/>
        </w:rPr>
        <w:t xml:space="preserve"> But this soft law instrument cannot provide </w:t>
      </w:r>
      <w:r w:rsidR="00902B23">
        <w:rPr>
          <w:rFonts w:ascii="Times New Roman" w:eastAsia="Times New Roman" w:hAnsi="Times New Roman" w:cs="Times New Roman"/>
          <w:sz w:val="24"/>
          <w:szCs w:val="24"/>
          <w:lang w:val="en-US"/>
        </w:rPr>
        <w:t>by</w:t>
      </w:r>
      <w:r w:rsidR="00902B23" w:rsidRPr="00665F17">
        <w:rPr>
          <w:rFonts w:ascii="Times New Roman" w:eastAsia="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rPr>
        <w:t xml:space="preserve">itself a legal basis for the finding of a customary rule prohibiting in general terms the destruction of cultural heritage in peacetime. The legislative history of the </w:t>
      </w:r>
      <w:r w:rsidR="00902B23">
        <w:rPr>
          <w:rFonts w:ascii="Times New Roman" w:eastAsia="Times New Roman" w:hAnsi="Times New Roman" w:cs="Times New Roman"/>
          <w:sz w:val="24"/>
          <w:szCs w:val="24"/>
          <w:lang w:val="en-US"/>
        </w:rPr>
        <w:t>d</w:t>
      </w:r>
      <w:r w:rsidRPr="00665F17">
        <w:rPr>
          <w:rFonts w:ascii="Times New Roman" w:eastAsia="Times New Roman" w:hAnsi="Times New Roman" w:cs="Times New Roman"/>
          <w:sz w:val="24"/>
          <w:szCs w:val="24"/>
          <w:lang w:val="en-US"/>
        </w:rPr>
        <w:t xml:space="preserve">eclaration </w:t>
      </w:r>
      <w:r w:rsidR="00902B23">
        <w:rPr>
          <w:rFonts w:ascii="Times New Roman" w:eastAsia="Times New Roman" w:hAnsi="Times New Roman" w:cs="Times New Roman"/>
          <w:sz w:val="24"/>
          <w:szCs w:val="24"/>
          <w:lang w:val="en-US"/>
        </w:rPr>
        <w:t>demonstrates</w:t>
      </w:r>
      <w:r w:rsidR="00902B23" w:rsidRPr="00665F17">
        <w:rPr>
          <w:rFonts w:ascii="Times New Roman" w:eastAsia="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rPr>
        <w:t xml:space="preserve">that the great majority of </w:t>
      </w:r>
      <w:r w:rsidR="00902B23">
        <w:rPr>
          <w:rFonts w:ascii="Times New Roman" w:eastAsia="Times New Roman" w:hAnsi="Times New Roman" w:cs="Times New Roman"/>
          <w:sz w:val="24"/>
          <w:szCs w:val="24"/>
          <w:lang w:val="en-US"/>
        </w:rPr>
        <w:t>UNESCO</w:t>
      </w:r>
      <w:r w:rsidR="00902B23" w:rsidRPr="00665F17">
        <w:rPr>
          <w:rFonts w:ascii="Times New Roman" w:eastAsia="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rPr>
        <w:t xml:space="preserve">member </w:t>
      </w:r>
      <w:r w:rsidR="00902B23">
        <w:rPr>
          <w:rFonts w:ascii="Times New Roman" w:eastAsia="Times New Roman" w:hAnsi="Times New Roman" w:cs="Times New Roman"/>
          <w:sz w:val="24"/>
          <w:szCs w:val="24"/>
          <w:lang w:val="en-US"/>
        </w:rPr>
        <w:t>s</w:t>
      </w:r>
      <w:r w:rsidRPr="00665F17">
        <w:rPr>
          <w:rFonts w:ascii="Times New Roman" w:eastAsia="Times New Roman" w:hAnsi="Times New Roman" w:cs="Times New Roman"/>
          <w:sz w:val="24"/>
          <w:szCs w:val="24"/>
          <w:lang w:val="en-US"/>
        </w:rPr>
        <w:t>tates opposed mandatory language in this respect,</w:t>
      </w:r>
      <w:r w:rsidRPr="00665F17">
        <w:rPr>
          <w:rStyle w:val="EndnoteReference"/>
          <w:rFonts w:ascii="Times New Roman" w:eastAsia="Times New Roman" w:hAnsi="Times New Roman" w:cs="Times New Roman"/>
          <w:sz w:val="24"/>
          <w:szCs w:val="24"/>
          <w:lang w:val="en-US"/>
        </w:rPr>
        <w:endnoteReference w:id="31"/>
      </w:r>
      <w:r w:rsidRPr="00665F17">
        <w:rPr>
          <w:rFonts w:ascii="Times New Roman" w:eastAsia="Times New Roman" w:hAnsi="Times New Roman" w:cs="Times New Roman"/>
          <w:sz w:val="24"/>
          <w:szCs w:val="24"/>
          <w:lang w:val="en-US"/>
        </w:rPr>
        <w:t xml:space="preserve"> for fear it could limit their sovereign right to pursue forms of economic and social development even at the cost of cultural heritage destruction. This may be regrettable, because much of the destruction of cultural heritage occurs in peacetime,</w:t>
      </w:r>
      <w:r w:rsidRPr="00665F17">
        <w:rPr>
          <w:rStyle w:val="EndnoteReference"/>
          <w:rFonts w:ascii="Times New Roman" w:eastAsia="Times New Roman" w:hAnsi="Times New Roman" w:cs="Times New Roman"/>
          <w:sz w:val="24"/>
          <w:szCs w:val="24"/>
          <w:lang w:val="en-US"/>
        </w:rPr>
        <w:endnoteReference w:id="32"/>
      </w:r>
      <w:r w:rsidRPr="00665F17">
        <w:rPr>
          <w:rFonts w:ascii="Times New Roman" w:eastAsia="Times New Roman" w:hAnsi="Times New Roman" w:cs="Times New Roman"/>
          <w:sz w:val="24"/>
          <w:szCs w:val="24"/>
          <w:lang w:val="en-US"/>
        </w:rPr>
        <w:t xml:space="preserve"> </w:t>
      </w:r>
      <w:r w:rsidR="0039644B">
        <w:rPr>
          <w:rFonts w:ascii="Times New Roman" w:eastAsia="Times New Roman" w:hAnsi="Times New Roman" w:cs="Times New Roman"/>
          <w:sz w:val="24"/>
          <w:szCs w:val="24"/>
          <w:lang w:val="en-US"/>
        </w:rPr>
        <w:t>and d</w:t>
      </w:r>
      <w:r w:rsidRPr="00665F17">
        <w:rPr>
          <w:rFonts w:ascii="Times New Roman" w:eastAsia="Times New Roman" w:hAnsi="Times New Roman" w:cs="Times New Roman"/>
          <w:sz w:val="24"/>
          <w:szCs w:val="24"/>
          <w:lang w:val="en-US"/>
        </w:rPr>
        <w:t xml:space="preserve">evelopment projects and private and public works often </w:t>
      </w:r>
      <w:r w:rsidR="005A140C">
        <w:rPr>
          <w:rFonts w:ascii="Times New Roman" w:eastAsia="Times New Roman" w:hAnsi="Times New Roman" w:cs="Times New Roman"/>
          <w:sz w:val="24"/>
          <w:szCs w:val="24"/>
          <w:lang w:val="en-US"/>
        </w:rPr>
        <w:t>lead to</w:t>
      </w:r>
      <w:r w:rsidRPr="00665F17">
        <w:rPr>
          <w:rFonts w:ascii="Times New Roman" w:eastAsia="Times New Roman" w:hAnsi="Times New Roman" w:cs="Times New Roman"/>
          <w:sz w:val="24"/>
          <w:szCs w:val="24"/>
          <w:lang w:val="en-US"/>
        </w:rPr>
        <w:t xml:space="preserve"> the deliberate destruction of precious cultural heritage. </w:t>
      </w:r>
      <w:r w:rsidR="00EA2CFC">
        <w:rPr>
          <w:rFonts w:ascii="Times New Roman" w:eastAsia="Times New Roman" w:hAnsi="Times New Roman" w:cs="Times New Roman"/>
          <w:sz w:val="24"/>
          <w:szCs w:val="24"/>
          <w:lang w:val="en-US"/>
        </w:rPr>
        <w:t xml:space="preserve">Prominent examples include </w:t>
      </w:r>
      <w:r w:rsidRPr="00665F17">
        <w:rPr>
          <w:rFonts w:ascii="Times New Roman" w:eastAsia="Times New Roman" w:hAnsi="Times New Roman" w:cs="Times New Roman"/>
          <w:sz w:val="24"/>
          <w:szCs w:val="24"/>
          <w:lang w:val="en-US"/>
        </w:rPr>
        <w:t xml:space="preserve">the destruction of the </w:t>
      </w:r>
      <w:r w:rsidR="00EA2CFC">
        <w:rPr>
          <w:rFonts w:ascii="Times New Roman" w:eastAsia="Times New Roman" w:hAnsi="Times New Roman" w:cs="Times New Roman"/>
          <w:sz w:val="24"/>
          <w:szCs w:val="24"/>
          <w:lang w:val="en-US"/>
        </w:rPr>
        <w:t>five-hundred-</w:t>
      </w:r>
      <w:r w:rsidRPr="00665F17">
        <w:rPr>
          <w:rFonts w:ascii="Times New Roman" w:eastAsia="Times New Roman" w:hAnsi="Times New Roman" w:cs="Times New Roman"/>
          <w:sz w:val="24"/>
          <w:szCs w:val="24"/>
          <w:lang w:val="en-US"/>
        </w:rPr>
        <w:t>year</w:t>
      </w:r>
      <w:r w:rsidR="00EA2CFC">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old great wall of Beijing</w:t>
      </w:r>
      <w:r w:rsidR="00315726">
        <w:rPr>
          <w:rFonts w:ascii="Times New Roman" w:eastAsia="Times New Roman" w:hAnsi="Times New Roman" w:cs="Times New Roman"/>
          <w:sz w:val="24"/>
          <w:szCs w:val="24"/>
          <w:lang w:val="en-US"/>
        </w:rPr>
        <w:t xml:space="preserve"> under </w:t>
      </w:r>
      <w:r w:rsidR="00315726" w:rsidRPr="001F22B1">
        <w:rPr>
          <w:rFonts w:ascii="Times New Roman" w:eastAsia="Times New Roman" w:hAnsi="Times New Roman" w:cs="Times New Roman"/>
          <w:sz w:val="24"/>
          <w:szCs w:val="24"/>
          <w:lang w:val="en-US"/>
        </w:rPr>
        <w:t xml:space="preserve">Mao </w:t>
      </w:r>
      <w:r w:rsidR="00315726" w:rsidRPr="00EA2CFC">
        <w:rPr>
          <w:rFonts w:ascii="Times New Roman" w:eastAsia="Times New Roman" w:hAnsi="Times New Roman" w:cs="Times New Roman"/>
          <w:sz w:val="24"/>
          <w:szCs w:val="24"/>
          <w:lang w:val="en-US"/>
        </w:rPr>
        <w:t>Zedong</w:t>
      </w:r>
      <w:r w:rsidR="00290316">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 xml:space="preserve"> </w:t>
      </w:r>
      <w:r w:rsidR="00EB52D7">
        <w:rPr>
          <w:rFonts w:ascii="Times New Roman" w:eastAsia="Times New Roman" w:hAnsi="Times New Roman" w:cs="Times New Roman"/>
          <w:sz w:val="24"/>
          <w:szCs w:val="24"/>
          <w:lang w:val="en-US"/>
        </w:rPr>
        <w:t xml:space="preserve">and </w:t>
      </w:r>
      <w:r w:rsidRPr="00665F17">
        <w:rPr>
          <w:rFonts w:ascii="Times New Roman" w:eastAsia="Times New Roman" w:hAnsi="Times New Roman" w:cs="Times New Roman"/>
          <w:sz w:val="24"/>
          <w:szCs w:val="24"/>
          <w:lang w:val="en-US"/>
        </w:rPr>
        <w:t xml:space="preserve">the extensive destruction of </w:t>
      </w:r>
      <w:r w:rsidR="00307ACF">
        <w:rPr>
          <w:rFonts w:ascii="Times New Roman" w:eastAsia="Times New Roman" w:hAnsi="Times New Roman" w:cs="Times New Roman"/>
          <w:sz w:val="24"/>
          <w:szCs w:val="24"/>
          <w:lang w:val="en-US"/>
        </w:rPr>
        <w:t xml:space="preserve">the </w:t>
      </w:r>
      <w:r w:rsidRPr="00665F17">
        <w:rPr>
          <w:rFonts w:ascii="Times New Roman" w:eastAsia="Times New Roman" w:hAnsi="Times New Roman" w:cs="Times New Roman"/>
          <w:sz w:val="24"/>
          <w:szCs w:val="24"/>
          <w:lang w:val="en-US"/>
        </w:rPr>
        <w:t xml:space="preserve">Medieval centers of </w:t>
      </w:r>
      <w:r w:rsidR="00307ACF">
        <w:rPr>
          <w:rFonts w:ascii="Times New Roman" w:eastAsia="Times New Roman" w:hAnsi="Times New Roman" w:cs="Times New Roman"/>
          <w:sz w:val="24"/>
          <w:szCs w:val="24"/>
          <w:lang w:val="en-US"/>
        </w:rPr>
        <w:t xml:space="preserve">numerous </w:t>
      </w:r>
      <w:r w:rsidRPr="00665F17">
        <w:rPr>
          <w:rFonts w:ascii="Times New Roman" w:eastAsia="Times New Roman" w:hAnsi="Times New Roman" w:cs="Times New Roman"/>
          <w:sz w:val="24"/>
          <w:szCs w:val="24"/>
          <w:lang w:val="en-US"/>
        </w:rPr>
        <w:t>European cities in the name of modern urban renewal</w:t>
      </w:r>
      <w:r w:rsidR="00230223">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 xml:space="preserve"> </w:t>
      </w:r>
    </w:p>
    <w:p w14:paraId="4D5A1E7A" w14:textId="284ED10D" w:rsidR="001A62EE" w:rsidRPr="00665F17" w:rsidRDefault="00262E17" w:rsidP="000D3355">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Furthermore</w:t>
      </w:r>
      <w:r w:rsidR="001A62EE" w:rsidRPr="00665F1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w:t>
      </w:r>
      <w:r w:rsidR="001A62EE" w:rsidRPr="00665F17">
        <w:rPr>
          <w:rFonts w:ascii="Times New Roman" w:eastAsia="Times New Roman" w:hAnsi="Times New Roman" w:cs="Times New Roman"/>
          <w:sz w:val="24"/>
          <w:szCs w:val="24"/>
          <w:lang w:val="en-US"/>
        </w:rPr>
        <w:t>l</w:t>
      </w:r>
      <w:r w:rsidR="001A62EE" w:rsidRPr="00912992">
        <w:rPr>
          <w:rFonts w:ascii="Times New Roman" w:hAnsi="Times New Roman" w:cs="Times New Roman"/>
          <w:bCs/>
          <w:sz w:val="24"/>
          <w:szCs w:val="24"/>
          <w:lang w:val="en-US"/>
        </w:rPr>
        <w:t xml:space="preserve">ooting and dispersion of cultural heritage in peacetime are among the most insidious and pervasive forms of cultural heritage destruction. </w:t>
      </w:r>
      <w:r w:rsidR="00BF0C2C">
        <w:rPr>
          <w:rFonts w:ascii="Times New Roman" w:hAnsi="Times New Roman" w:cs="Times New Roman"/>
          <w:bCs/>
          <w:sz w:val="24"/>
          <w:szCs w:val="24"/>
          <w:lang w:val="en-US"/>
        </w:rPr>
        <w:t xml:space="preserve">It is unknown </w:t>
      </w:r>
      <w:r w:rsidR="001A62EE" w:rsidRPr="00912992">
        <w:rPr>
          <w:rFonts w:ascii="Times New Roman" w:hAnsi="Times New Roman" w:cs="Times New Roman"/>
          <w:bCs/>
          <w:sz w:val="24"/>
          <w:szCs w:val="24"/>
          <w:lang w:val="en-US"/>
        </w:rPr>
        <w:t xml:space="preserve">whether the </w:t>
      </w:r>
      <w:r w:rsidR="001A62EE" w:rsidRPr="00665F17">
        <w:rPr>
          <w:rFonts w:ascii="Times New Roman" w:hAnsi="Times New Roman" w:cs="Times New Roman"/>
          <w:bCs/>
          <w:i/>
          <w:iCs/>
          <w:sz w:val="24"/>
          <w:szCs w:val="24"/>
          <w:lang w:val="en-US"/>
        </w:rPr>
        <w:t xml:space="preserve">Nativity </w:t>
      </w:r>
      <w:r w:rsidR="00BE2B3C" w:rsidRPr="00665F17">
        <w:rPr>
          <w:rFonts w:ascii="Times New Roman" w:hAnsi="Times New Roman" w:cs="Times New Roman"/>
          <w:bCs/>
          <w:i/>
          <w:iCs/>
          <w:sz w:val="24"/>
          <w:szCs w:val="24"/>
          <w:lang w:val="en-US"/>
        </w:rPr>
        <w:t>with St. Francis and St. Lawrence</w:t>
      </w:r>
      <w:r w:rsidR="00BE2B3C" w:rsidRPr="00BE2B3C">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by Caravaggio, an irreplaceable masterpiece stolen from an oratory in Palermo in 1979, most likely by organized crime, has been destroyed or simply kept in a bank vault or secret deposit</w:t>
      </w:r>
      <w:r w:rsidR="00BF0C2C">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Its disappearance is equivalent to destruction. The Nativity was one of only about </w:t>
      </w:r>
      <w:r w:rsidR="00871A6E">
        <w:rPr>
          <w:rFonts w:ascii="Times New Roman" w:hAnsi="Times New Roman" w:cs="Times New Roman"/>
          <w:bCs/>
          <w:sz w:val="24"/>
          <w:szCs w:val="24"/>
          <w:lang w:val="en-US"/>
        </w:rPr>
        <w:t>seventy</w:t>
      </w:r>
      <w:r w:rsidR="001A62EE" w:rsidRPr="00912992">
        <w:rPr>
          <w:rFonts w:ascii="Times New Roman" w:hAnsi="Times New Roman" w:cs="Times New Roman"/>
          <w:bCs/>
          <w:sz w:val="24"/>
          <w:szCs w:val="24"/>
          <w:lang w:val="en-US"/>
        </w:rPr>
        <w:t xml:space="preserve"> paintings created by one of the greatest artists of all times</w:t>
      </w:r>
      <w:r w:rsidR="001A62EE" w:rsidRPr="00665F17">
        <w:rPr>
          <w:rFonts w:ascii="Times New Roman" w:eastAsia="Times New Roman" w:hAnsi="Times New Roman" w:cs="Times New Roman"/>
          <w:sz w:val="24"/>
          <w:szCs w:val="24"/>
          <w:lang w:val="en-US"/>
        </w:rPr>
        <w:t>.</w:t>
      </w:r>
    </w:p>
    <w:p w14:paraId="58A3D2C7" w14:textId="679E38B6" w:rsidR="001A62EE" w:rsidRDefault="001A62EE" w:rsidP="000D3355">
      <w:pPr>
        <w:spacing w:line="480" w:lineRule="auto"/>
        <w:ind w:firstLine="720"/>
        <w:rPr>
          <w:rFonts w:ascii="Times New Roman" w:eastAsia="Times New Roman" w:hAnsi="Times New Roman" w:cs="Times New Roman"/>
          <w:sz w:val="24"/>
          <w:szCs w:val="24"/>
          <w:lang w:val="en-US"/>
        </w:rPr>
      </w:pPr>
      <w:r w:rsidRPr="00665F17">
        <w:rPr>
          <w:rFonts w:ascii="Times New Roman" w:eastAsia="Times New Roman" w:hAnsi="Times New Roman" w:cs="Times New Roman"/>
          <w:sz w:val="24"/>
          <w:szCs w:val="24"/>
          <w:lang w:val="en-US"/>
        </w:rPr>
        <w:t xml:space="preserve">But the fact that there is no evidence of a specific rule of customary international law prohibiting the destruction of cultural heritage in peacetime does not mean that no </w:t>
      </w:r>
      <w:r w:rsidR="00091558">
        <w:rPr>
          <w:rFonts w:ascii="Times New Roman" w:eastAsia="Times New Roman" w:hAnsi="Times New Roman" w:cs="Times New Roman"/>
          <w:sz w:val="24"/>
          <w:szCs w:val="24"/>
          <w:lang w:val="en-US"/>
        </w:rPr>
        <w:t xml:space="preserve">such </w:t>
      </w:r>
      <w:r w:rsidRPr="00665F17">
        <w:rPr>
          <w:rFonts w:ascii="Times New Roman" w:eastAsia="Times New Roman" w:hAnsi="Times New Roman" w:cs="Times New Roman"/>
          <w:sz w:val="24"/>
          <w:szCs w:val="24"/>
          <w:lang w:val="en-US"/>
        </w:rPr>
        <w:t>obligations arise</w:t>
      </w:r>
      <w:r w:rsidR="004C23C2">
        <w:rPr>
          <w:rFonts w:ascii="Times New Roman" w:eastAsia="Times New Roman" w:hAnsi="Times New Roman" w:cs="Times New Roman"/>
          <w:sz w:val="24"/>
          <w:szCs w:val="24"/>
          <w:lang w:val="en-US"/>
        </w:rPr>
        <w:t>,</w:t>
      </w:r>
      <w:r w:rsidRPr="00665F17">
        <w:rPr>
          <w:rFonts w:ascii="Times New Roman" w:eastAsia="Times New Roman" w:hAnsi="Times New Roman" w:cs="Times New Roman"/>
          <w:sz w:val="24"/>
          <w:szCs w:val="24"/>
          <w:lang w:val="en-US"/>
        </w:rPr>
        <w:t xml:space="preserve"> independently </w:t>
      </w:r>
      <w:r w:rsidR="00F4054B">
        <w:rPr>
          <w:rFonts w:ascii="Times New Roman" w:eastAsia="Times New Roman" w:hAnsi="Times New Roman" w:cs="Times New Roman"/>
          <w:sz w:val="24"/>
          <w:szCs w:val="24"/>
          <w:lang w:val="en-US"/>
        </w:rPr>
        <w:t xml:space="preserve">of </w:t>
      </w:r>
      <w:r w:rsidRPr="00665F17">
        <w:rPr>
          <w:rFonts w:ascii="Times New Roman" w:eastAsia="Times New Roman" w:hAnsi="Times New Roman" w:cs="Times New Roman"/>
          <w:sz w:val="24"/>
          <w:szCs w:val="24"/>
          <w:lang w:val="en-US"/>
        </w:rPr>
        <w:t xml:space="preserve">or </w:t>
      </w:r>
      <w:r w:rsidR="00091558">
        <w:rPr>
          <w:rFonts w:ascii="Times New Roman" w:eastAsia="Times New Roman" w:hAnsi="Times New Roman" w:cs="Times New Roman"/>
          <w:sz w:val="24"/>
          <w:szCs w:val="24"/>
          <w:lang w:val="en-US"/>
        </w:rPr>
        <w:t xml:space="preserve">with </w:t>
      </w:r>
      <w:r w:rsidRPr="00665F17">
        <w:rPr>
          <w:rFonts w:ascii="Times New Roman" w:eastAsia="Times New Roman" w:hAnsi="Times New Roman" w:cs="Times New Roman"/>
          <w:sz w:val="24"/>
          <w:szCs w:val="24"/>
          <w:lang w:val="en-US"/>
        </w:rPr>
        <w:t xml:space="preserve">the consent of states. Obligations in this field may arise, directly or indirectly, from the category of general principles, a source of international law that operates independently of customary </w:t>
      </w:r>
      <w:r w:rsidR="006E0BC8">
        <w:rPr>
          <w:rFonts w:ascii="Times New Roman" w:eastAsia="Times New Roman" w:hAnsi="Times New Roman" w:cs="Times New Roman"/>
          <w:sz w:val="24"/>
          <w:szCs w:val="24"/>
          <w:lang w:val="en-US"/>
        </w:rPr>
        <w:t>rules</w:t>
      </w:r>
      <w:r w:rsidRPr="00665F17">
        <w:rPr>
          <w:rFonts w:ascii="Times New Roman" w:eastAsia="Times New Roman" w:hAnsi="Times New Roman" w:cs="Times New Roman"/>
          <w:sz w:val="24"/>
          <w:szCs w:val="24"/>
          <w:lang w:val="en-US"/>
        </w:rPr>
        <w:t xml:space="preserve">. It is to the examination of this category of </w:t>
      </w:r>
      <w:r w:rsidR="00F4054B">
        <w:rPr>
          <w:rFonts w:ascii="Times New Roman" w:eastAsia="Times New Roman" w:hAnsi="Times New Roman" w:cs="Times New Roman"/>
          <w:sz w:val="24"/>
          <w:szCs w:val="24"/>
          <w:lang w:val="en-US"/>
        </w:rPr>
        <w:t xml:space="preserve">sources of </w:t>
      </w:r>
      <w:r w:rsidRPr="00665F17">
        <w:rPr>
          <w:rFonts w:ascii="Times New Roman" w:eastAsia="Times New Roman" w:hAnsi="Times New Roman" w:cs="Times New Roman"/>
          <w:sz w:val="24"/>
          <w:szCs w:val="24"/>
          <w:lang w:val="en-US"/>
        </w:rPr>
        <w:t>international law that we turn in the remain</w:t>
      </w:r>
      <w:r w:rsidR="006E0BC8">
        <w:rPr>
          <w:rFonts w:ascii="Times New Roman" w:eastAsia="Times New Roman" w:hAnsi="Times New Roman" w:cs="Times New Roman"/>
          <w:sz w:val="24"/>
          <w:szCs w:val="24"/>
          <w:lang w:val="en-US"/>
        </w:rPr>
        <w:t>der</w:t>
      </w:r>
      <w:r w:rsidRPr="00665F17">
        <w:rPr>
          <w:rFonts w:ascii="Times New Roman" w:eastAsia="Times New Roman" w:hAnsi="Times New Roman" w:cs="Times New Roman"/>
          <w:sz w:val="24"/>
          <w:szCs w:val="24"/>
          <w:lang w:val="en-US"/>
        </w:rPr>
        <w:t xml:space="preserve"> of </w:t>
      </w:r>
      <w:r w:rsidR="006E0BC8">
        <w:rPr>
          <w:rFonts w:ascii="Times New Roman" w:eastAsia="Times New Roman" w:hAnsi="Times New Roman" w:cs="Times New Roman"/>
          <w:sz w:val="24"/>
          <w:szCs w:val="24"/>
          <w:lang w:val="en-US"/>
        </w:rPr>
        <w:t>the chapter</w:t>
      </w:r>
      <w:r w:rsidRPr="00665F17">
        <w:rPr>
          <w:rFonts w:ascii="Times New Roman" w:eastAsia="Times New Roman" w:hAnsi="Times New Roman" w:cs="Times New Roman"/>
          <w:sz w:val="24"/>
          <w:szCs w:val="24"/>
          <w:lang w:val="en-US"/>
        </w:rPr>
        <w:t>.</w:t>
      </w:r>
    </w:p>
    <w:p w14:paraId="69F240DF" w14:textId="77777777" w:rsidR="009844FF" w:rsidRPr="00665F17" w:rsidRDefault="009844FF" w:rsidP="000D3355">
      <w:pPr>
        <w:spacing w:line="480" w:lineRule="auto"/>
        <w:rPr>
          <w:rFonts w:ascii="Times New Roman" w:eastAsia="Times New Roman" w:hAnsi="Times New Roman" w:cs="Times New Roman"/>
          <w:sz w:val="24"/>
          <w:szCs w:val="24"/>
          <w:lang w:val="en-US"/>
        </w:rPr>
      </w:pPr>
    </w:p>
    <w:p w14:paraId="4BE87903" w14:textId="3BF2879E" w:rsidR="001A62EE" w:rsidRPr="00912992" w:rsidRDefault="001A62EE" w:rsidP="00B73BA8">
      <w:pPr>
        <w:pStyle w:val="Heading2"/>
        <w:spacing w:line="480" w:lineRule="auto"/>
        <w:rPr>
          <w:lang w:val="en-US"/>
        </w:rPr>
      </w:pPr>
      <w:r w:rsidRPr="00912992">
        <w:rPr>
          <w:lang w:val="en-US"/>
        </w:rPr>
        <w:t>The Role of “General Principles”</w:t>
      </w:r>
    </w:p>
    <w:p w14:paraId="31C33B4D" w14:textId="6809F324" w:rsidR="001A62EE" w:rsidRPr="00912992" w:rsidRDefault="00A65943" w:rsidP="000D3355">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w:t>
      </w:r>
      <w:r w:rsidR="001A62EE" w:rsidRPr="00912992">
        <w:rPr>
          <w:rFonts w:ascii="Times New Roman" w:hAnsi="Times New Roman" w:cs="Times New Roman"/>
          <w:bCs/>
          <w:sz w:val="24"/>
          <w:szCs w:val="24"/>
          <w:lang w:val="en-US"/>
        </w:rPr>
        <w:t xml:space="preserve">he </w:t>
      </w:r>
      <w:r>
        <w:rPr>
          <w:rFonts w:ascii="Times New Roman" w:hAnsi="Times New Roman" w:cs="Times New Roman"/>
          <w:bCs/>
          <w:sz w:val="24"/>
          <w:szCs w:val="24"/>
          <w:lang w:val="en-US"/>
        </w:rPr>
        <w:t xml:space="preserve">1945 </w:t>
      </w:r>
      <w:r w:rsidR="001A62EE" w:rsidRPr="00912992">
        <w:rPr>
          <w:rFonts w:ascii="Times New Roman" w:hAnsi="Times New Roman" w:cs="Times New Roman"/>
          <w:bCs/>
          <w:sz w:val="24"/>
          <w:szCs w:val="24"/>
          <w:lang w:val="en-US"/>
        </w:rPr>
        <w:t xml:space="preserve">Statute </w:t>
      </w:r>
      <w:r>
        <w:rPr>
          <w:rFonts w:ascii="Times New Roman" w:hAnsi="Times New Roman" w:cs="Times New Roman"/>
          <w:bCs/>
          <w:sz w:val="24"/>
          <w:szCs w:val="24"/>
          <w:lang w:val="en-US"/>
        </w:rPr>
        <w:t xml:space="preserve">of the International Court of Justice </w:t>
      </w:r>
      <w:r w:rsidR="001A62EE" w:rsidRPr="00912992">
        <w:rPr>
          <w:rFonts w:ascii="Times New Roman" w:hAnsi="Times New Roman" w:cs="Times New Roman"/>
          <w:bCs/>
          <w:sz w:val="24"/>
          <w:szCs w:val="24"/>
          <w:lang w:val="en-US"/>
        </w:rPr>
        <w:t>places “general principles of law” among the sources of nonconsensual obligations of international law</w:t>
      </w:r>
      <w:r>
        <w:rPr>
          <w:rFonts w:ascii="Times New Roman" w:hAnsi="Times New Roman" w:cs="Times New Roman"/>
          <w:bCs/>
          <w:sz w:val="24"/>
          <w:szCs w:val="24"/>
          <w:lang w:val="en-US"/>
        </w:rPr>
        <w:t xml:space="preserve"> (</w:t>
      </w:r>
      <w:r w:rsidRPr="00912992">
        <w:rPr>
          <w:rFonts w:ascii="Times New Roman" w:hAnsi="Times New Roman" w:cs="Times New Roman"/>
          <w:bCs/>
          <w:sz w:val="24"/>
          <w:szCs w:val="24"/>
          <w:lang w:val="en-US"/>
        </w:rPr>
        <w:t>Article 38</w:t>
      </w:r>
      <w:r>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1</w:t>
      </w:r>
      <w:r>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c)</w:t>
      </w:r>
      <w:r w:rsidR="001A62EE" w:rsidRPr="00912992">
        <w:rPr>
          <w:rFonts w:ascii="Times New Roman" w:hAnsi="Times New Roman" w:cs="Times New Roman"/>
          <w:bCs/>
          <w:sz w:val="24"/>
          <w:szCs w:val="24"/>
          <w:lang w:val="en-US"/>
        </w:rPr>
        <w:t>. General principles may, therefore, be the applicable law in disputes concerning the destruction of cultural heritage. However, the</w:t>
      </w:r>
      <w:r w:rsidR="00F81393">
        <w:rPr>
          <w:rFonts w:ascii="Times New Roman" w:hAnsi="Times New Roman" w:cs="Times New Roman"/>
          <w:bCs/>
          <w:sz w:val="24"/>
          <w:szCs w:val="24"/>
          <w:lang w:val="en-US"/>
        </w:rPr>
        <w:t>ir</w:t>
      </w:r>
      <w:r w:rsidR="001A62EE" w:rsidRPr="00912992">
        <w:rPr>
          <w:rFonts w:ascii="Times New Roman" w:hAnsi="Times New Roman" w:cs="Times New Roman"/>
          <w:bCs/>
          <w:sz w:val="24"/>
          <w:szCs w:val="24"/>
          <w:lang w:val="en-US"/>
        </w:rPr>
        <w:t xml:space="preserve"> nature and scope </w:t>
      </w:r>
      <w:proofErr w:type="gramStart"/>
      <w:r w:rsidR="001A62EE" w:rsidRPr="00912992">
        <w:rPr>
          <w:rFonts w:ascii="Times New Roman" w:hAnsi="Times New Roman" w:cs="Times New Roman"/>
          <w:bCs/>
          <w:sz w:val="24"/>
          <w:szCs w:val="24"/>
          <w:lang w:val="en-US"/>
        </w:rPr>
        <w:t>remains</w:t>
      </w:r>
      <w:proofErr w:type="gramEnd"/>
      <w:r w:rsidR="001A62EE" w:rsidRPr="00912992">
        <w:rPr>
          <w:rFonts w:ascii="Times New Roman" w:hAnsi="Times New Roman" w:cs="Times New Roman"/>
          <w:bCs/>
          <w:sz w:val="24"/>
          <w:szCs w:val="24"/>
          <w:lang w:val="en-US"/>
        </w:rPr>
        <w:t xml:space="preserve"> a contested subject in the theory of international law. Legal positivism has always looked with suspicion upon general principles as a source of true international legal obligations and has relegated them to a purely subsidiary function of filling gaps in the law by the interpretative activity of the judge.</w:t>
      </w:r>
      <w:r w:rsidR="001A62EE" w:rsidRPr="00912992">
        <w:rPr>
          <w:rStyle w:val="EndnoteReference"/>
          <w:rFonts w:ascii="Times New Roman" w:hAnsi="Times New Roman" w:cs="Times New Roman"/>
          <w:bCs/>
          <w:sz w:val="24"/>
          <w:szCs w:val="24"/>
          <w:lang w:val="en-US"/>
        </w:rPr>
        <w:endnoteReference w:id="33"/>
      </w:r>
      <w:r w:rsidR="001A62EE" w:rsidRPr="00912992">
        <w:rPr>
          <w:rFonts w:ascii="Times New Roman" w:hAnsi="Times New Roman" w:cs="Times New Roman"/>
          <w:bCs/>
          <w:sz w:val="24"/>
          <w:szCs w:val="24"/>
          <w:lang w:val="en-US"/>
        </w:rPr>
        <w:t xml:space="preserve"> By contrast, some champions of legal realism have placed the category of general principles at the top of the hierarchy of international norms</w:t>
      </w:r>
      <w:r w:rsidR="005B3ECB">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as </w:t>
      </w:r>
      <w:r w:rsidR="005B3ECB">
        <w:rPr>
          <w:rFonts w:ascii="Times New Roman" w:hAnsi="Times New Roman" w:cs="Times New Roman"/>
          <w:bCs/>
          <w:sz w:val="24"/>
          <w:szCs w:val="24"/>
          <w:lang w:val="en-US"/>
        </w:rPr>
        <w:t xml:space="preserve">a </w:t>
      </w:r>
      <w:r w:rsidR="001A62EE" w:rsidRPr="00912992">
        <w:rPr>
          <w:rFonts w:ascii="Times New Roman" w:hAnsi="Times New Roman" w:cs="Times New Roman"/>
          <w:bCs/>
          <w:sz w:val="24"/>
          <w:szCs w:val="24"/>
          <w:lang w:val="en-US"/>
        </w:rPr>
        <w:t>direct expression of the collective will and legal conscience of the world community</w:t>
      </w:r>
      <w:r w:rsidR="00843BC4">
        <w:rPr>
          <w:rFonts w:ascii="Times New Roman" w:hAnsi="Times New Roman" w:cs="Times New Roman"/>
          <w:bCs/>
          <w:sz w:val="24"/>
          <w:szCs w:val="24"/>
          <w:lang w:val="en-US"/>
        </w:rPr>
        <w:t>.</w:t>
      </w:r>
      <w:r w:rsidR="001A62EE" w:rsidRPr="00912992">
        <w:rPr>
          <w:rStyle w:val="EndnoteReference"/>
          <w:rFonts w:ascii="Times New Roman" w:hAnsi="Times New Roman" w:cs="Times New Roman"/>
          <w:bCs/>
          <w:sz w:val="24"/>
          <w:szCs w:val="24"/>
          <w:lang w:val="en-US"/>
        </w:rPr>
        <w:endnoteReference w:id="34"/>
      </w:r>
      <w:r w:rsidR="001A62EE" w:rsidRPr="00912992">
        <w:rPr>
          <w:rFonts w:ascii="Times New Roman" w:hAnsi="Times New Roman" w:cs="Times New Roman"/>
          <w:bCs/>
          <w:sz w:val="24"/>
          <w:szCs w:val="24"/>
          <w:lang w:val="en-US"/>
        </w:rPr>
        <w:t xml:space="preserve"> A more moderate orientation admits the operation of general principles in international law but only as far as they are derived from general concepts of justice and reasonableness universally recognized in domestic legal systems.</w:t>
      </w:r>
      <w:r w:rsidR="001A62EE" w:rsidRPr="00912992">
        <w:rPr>
          <w:rStyle w:val="EndnoteReference"/>
          <w:rFonts w:ascii="Times New Roman" w:hAnsi="Times New Roman" w:cs="Times New Roman"/>
          <w:bCs/>
          <w:sz w:val="24"/>
          <w:szCs w:val="24"/>
          <w:lang w:val="en-US"/>
        </w:rPr>
        <w:endnoteReference w:id="35"/>
      </w:r>
      <w:r w:rsidR="001A62EE" w:rsidRPr="00912992">
        <w:rPr>
          <w:rFonts w:ascii="Times New Roman" w:hAnsi="Times New Roman" w:cs="Times New Roman"/>
          <w:bCs/>
          <w:sz w:val="24"/>
          <w:szCs w:val="24"/>
          <w:lang w:val="en-US"/>
        </w:rPr>
        <w:t xml:space="preserve"> Other contemporary tendencies link general principles to a certain revival of natural law and to the growing relevance of “values” such as respect for human rights, for the global environment, for peace, and for the cultural heritage of humankind.</w:t>
      </w:r>
      <w:r w:rsidR="001A62EE" w:rsidRPr="00912992">
        <w:rPr>
          <w:rStyle w:val="EndnoteReference"/>
          <w:rFonts w:ascii="Times New Roman" w:hAnsi="Times New Roman" w:cs="Times New Roman"/>
          <w:bCs/>
          <w:sz w:val="24"/>
          <w:szCs w:val="24"/>
          <w:lang w:val="en-US"/>
        </w:rPr>
        <w:endnoteReference w:id="36"/>
      </w:r>
      <w:r w:rsidR="001A62EE" w:rsidRPr="00912992">
        <w:rPr>
          <w:rFonts w:ascii="Times New Roman" w:hAnsi="Times New Roman" w:cs="Times New Roman"/>
          <w:bCs/>
          <w:sz w:val="24"/>
          <w:szCs w:val="24"/>
          <w:lang w:val="en-US"/>
        </w:rPr>
        <w:t xml:space="preserve"> On similar values rests the position of the contemporary proponents of an “international constitutionalism</w:t>
      </w:r>
      <w:r w:rsidR="00084914">
        <w:rPr>
          <w:rFonts w:ascii="Times New Roman" w:hAnsi="Times New Roman" w:cs="Times New Roman"/>
          <w:bCs/>
          <w:sz w:val="24"/>
          <w:szCs w:val="24"/>
          <w:lang w:val="en-US"/>
        </w:rPr>
        <w:t>.”</w:t>
      </w:r>
      <w:r w:rsidR="001A62EE" w:rsidRPr="00912992">
        <w:rPr>
          <w:rStyle w:val="EndnoteReference"/>
          <w:rFonts w:ascii="Times New Roman" w:hAnsi="Times New Roman" w:cs="Times New Roman"/>
          <w:bCs/>
          <w:sz w:val="24"/>
          <w:szCs w:val="24"/>
          <w:lang w:val="en-US"/>
        </w:rPr>
        <w:endnoteReference w:id="37"/>
      </w:r>
      <w:r w:rsidR="001A62EE" w:rsidRPr="00912992">
        <w:rPr>
          <w:rFonts w:ascii="Times New Roman" w:hAnsi="Times New Roman" w:cs="Times New Roman"/>
          <w:bCs/>
          <w:sz w:val="24"/>
          <w:szCs w:val="24"/>
          <w:lang w:val="en-US"/>
        </w:rPr>
        <w:t xml:space="preserve"> </w:t>
      </w:r>
    </w:p>
    <w:p w14:paraId="2829094B" w14:textId="4B494CD0" w:rsidR="001A62EE" w:rsidRPr="00912992"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These theoretical orientations are not mutually exclusive. Each contains a</w:t>
      </w:r>
      <w:r w:rsidR="00A77B08">
        <w:rPr>
          <w:rFonts w:ascii="Times New Roman" w:hAnsi="Times New Roman" w:cs="Times New Roman"/>
          <w:bCs/>
          <w:sz w:val="24"/>
          <w:szCs w:val="24"/>
          <w:lang w:val="en-US"/>
        </w:rPr>
        <w:t>n aspect</w:t>
      </w:r>
      <w:r w:rsidRPr="00912992">
        <w:rPr>
          <w:rFonts w:ascii="Times New Roman" w:hAnsi="Times New Roman" w:cs="Times New Roman"/>
          <w:bCs/>
          <w:sz w:val="24"/>
          <w:szCs w:val="24"/>
          <w:lang w:val="en-US"/>
        </w:rPr>
        <w:t xml:space="preserve"> of </w:t>
      </w:r>
      <w:r w:rsidR="00A77B08">
        <w:rPr>
          <w:rFonts w:ascii="Times New Roman" w:hAnsi="Times New Roman" w:cs="Times New Roman"/>
          <w:bCs/>
          <w:sz w:val="24"/>
          <w:szCs w:val="24"/>
          <w:lang w:val="en-US"/>
        </w:rPr>
        <w:t xml:space="preserve">the </w:t>
      </w:r>
      <w:r w:rsidRPr="00912992">
        <w:rPr>
          <w:rFonts w:ascii="Times New Roman" w:hAnsi="Times New Roman" w:cs="Times New Roman"/>
          <w:bCs/>
          <w:sz w:val="24"/>
          <w:szCs w:val="24"/>
          <w:lang w:val="en-US"/>
        </w:rPr>
        <w:t xml:space="preserve">truth in the sense that general principles may assume </w:t>
      </w:r>
      <w:r w:rsidR="005352EA">
        <w:rPr>
          <w:rFonts w:ascii="Times New Roman" w:hAnsi="Times New Roman" w:cs="Times New Roman"/>
          <w:bCs/>
          <w:sz w:val="24"/>
          <w:szCs w:val="24"/>
          <w:lang w:val="en-US"/>
        </w:rPr>
        <w:t xml:space="preserve">a </w:t>
      </w:r>
      <w:r w:rsidRPr="00912992">
        <w:rPr>
          <w:rFonts w:ascii="Times New Roman" w:hAnsi="Times New Roman" w:cs="Times New Roman"/>
          <w:bCs/>
          <w:sz w:val="24"/>
          <w:szCs w:val="24"/>
          <w:lang w:val="en-US"/>
        </w:rPr>
        <w:t>different nature and different functions as sources of international law, as interpretative criteria</w:t>
      </w:r>
      <w:r w:rsidR="005352EA">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and as tools for bending the law to just and equitable decisions in concrete cases, as well as autonomous sources of international obligations. </w:t>
      </w:r>
      <w:r w:rsidR="00603872">
        <w:rPr>
          <w:rFonts w:ascii="Times New Roman" w:hAnsi="Times New Roman" w:cs="Times New Roman"/>
          <w:bCs/>
          <w:sz w:val="24"/>
          <w:szCs w:val="24"/>
          <w:lang w:val="en-US"/>
        </w:rPr>
        <w:t>R</w:t>
      </w:r>
      <w:r w:rsidRPr="00912992">
        <w:rPr>
          <w:rFonts w:ascii="Times New Roman" w:hAnsi="Times New Roman" w:cs="Times New Roman"/>
          <w:bCs/>
          <w:sz w:val="24"/>
          <w:szCs w:val="24"/>
          <w:lang w:val="en-US"/>
        </w:rPr>
        <w:t xml:space="preserve">elevant </w:t>
      </w:r>
      <w:r w:rsidR="00603872">
        <w:rPr>
          <w:rFonts w:ascii="Times New Roman" w:hAnsi="Times New Roman" w:cs="Times New Roman"/>
          <w:bCs/>
          <w:sz w:val="24"/>
          <w:szCs w:val="24"/>
          <w:lang w:val="en-US"/>
        </w:rPr>
        <w:t>here</w:t>
      </w:r>
      <w:r w:rsidRPr="00912992">
        <w:rPr>
          <w:rFonts w:ascii="Times New Roman" w:hAnsi="Times New Roman" w:cs="Times New Roman"/>
          <w:bCs/>
          <w:sz w:val="24"/>
          <w:szCs w:val="24"/>
          <w:lang w:val="en-US"/>
        </w:rPr>
        <w:t xml:space="preserve"> is that general principles of law can be the direct expressions of values autonomously recognized by the international community. At the same time, they can</w:t>
      </w:r>
      <w:r w:rsidR="008655E5">
        <w:rPr>
          <w:rFonts w:ascii="Times New Roman" w:hAnsi="Times New Roman" w:cs="Times New Roman"/>
          <w:bCs/>
          <w:sz w:val="24"/>
          <w:szCs w:val="24"/>
          <w:lang w:val="en-US"/>
        </w:rPr>
        <w:t xml:space="preserve"> also</w:t>
      </w:r>
      <w:r w:rsidRPr="00912992">
        <w:rPr>
          <w:rFonts w:ascii="Times New Roman" w:hAnsi="Times New Roman" w:cs="Times New Roman"/>
          <w:bCs/>
          <w:sz w:val="24"/>
          <w:szCs w:val="24"/>
          <w:lang w:val="en-US"/>
        </w:rPr>
        <w:t xml:space="preserve"> be the result of a transposition onto the international legal order of general concepts of justice, logic</w:t>
      </w:r>
      <w:r w:rsidR="008655E5">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and reasonableness historically developed in domestic </w:t>
      </w:r>
      <w:r w:rsidR="00D2586B" w:rsidRPr="00912992">
        <w:rPr>
          <w:rFonts w:ascii="Times New Roman" w:hAnsi="Times New Roman" w:cs="Times New Roman"/>
          <w:bCs/>
          <w:sz w:val="24"/>
          <w:szCs w:val="24"/>
          <w:lang w:val="en-US"/>
        </w:rPr>
        <w:t xml:space="preserve">private and public </w:t>
      </w:r>
      <w:r w:rsidRPr="00912992">
        <w:rPr>
          <w:rFonts w:ascii="Times New Roman" w:hAnsi="Times New Roman" w:cs="Times New Roman"/>
          <w:bCs/>
          <w:sz w:val="24"/>
          <w:szCs w:val="24"/>
          <w:lang w:val="en-US"/>
        </w:rPr>
        <w:t>law.</w:t>
      </w:r>
    </w:p>
    <w:p w14:paraId="34D55059" w14:textId="3B1ED0BD" w:rsidR="001A62EE" w:rsidRPr="00912992"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Keeping in mind this multifaceted nature of general principles, we can try to identify a typology according to their different substantive content, origin</w:t>
      </w:r>
      <w:r w:rsidR="00CB13FF">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 and function</w:t>
      </w:r>
      <w:r w:rsidR="00CB13FF">
        <w:rPr>
          <w:rFonts w:ascii="Times New Roman" w:hAnsi="Times New Roman" w:cs="Times New Roman"/>
          <w:bCs/>
          <w:sz w:val="24"/>
          <w:szCs w:val="24"/>
          <w:lang w:val="en-US"/>
        </w:rPr>
        <w:t>s</w:t>
      </w:r>
      <w:r w:rsidRPr="00912992">
        <w:rPr>
          <w:rFonts w:ascii="Times New Roman" w:hAnsi="Times New Roman" w:cs="Times New Roman"/>
          <w:bCs/>
          <w:sz w:val="24"/>
          <w:szCs w:val="24"/>
          <w:lang w:val="en-US"/>
        </w:rPr>
        <w:t xml:space="preserve"> performed in relation to the protection of cultural heritage against acts of deliberate destruction. Certain general principles developed in different fields of international law may be applicable to the field of cultural heritage and have the effect of creating an obligation to avoid and prevent </w:t>
      </w:r>
      <w:r w:rsidR="00014AA3">
        <w:rPr>
          <w:rFonts w:ascii="Times New Roman" w:hAnsi="Times New Roman" w:cs="Times New Roman"/>
          <w:bCs/>
          <w:sz w:val="24"/>
          <w:szCs w:val="24"/>
          <w:lang w:val="en-US"/>
        </w:rPr>
        <w:t xml:space="preserve">its </w:t>
      </w:r>
      <w:r w:rsidRPr="00912992">
        <w:rPr>
          <w:rFonts w:ascii="Times New Roman" w:hAnsi="Times New Roman" w:cs="Times New Roman"/>
          <w:bCs/>
          <w:sz w:val="24"/>
          <w:szCs w:val="24"/>
          <w:lang w:val="en-US"/>
        </w:rPr>
        <w:t xml:space="preserve">destruction. Some of these principles may even belong to the category of </w:t>
      </w:r>
      <w:r w:rsidRPr="00912992">
        <w:rPr>
          <w:rFonts w:ascii="Times New Roman" w:hAnsi="Times New Roman" w:cs="Times New Roman"/>
          <w:bCs/>
          <w:i/>
          <w:iCs/>
          <w:sz w:val="24"/>
          <w:szCs w:val="24"/>
          <w:lang w:val="en-US"/>
        </w:rPr>
        <w:t>jus cogens</w:t>
      </w:r>
      <w:r w:rsidR="001152BC">
        <w:rPr>
          <w:rFonts w:ascii="Times New Roman" w:hAnsi="Times New Roman" w:cs="Times New Roman"/>
          <w:bCs/>
          <w:sz w:val="24"/>
          <w:szCs w:val="24"/>
          <w:lang w:val="en-US"/>
        </w:rPr>
        <w:t xml:space="preserve"> </w:t>
      </w:r>
      <w:r w:rsidR="00FA44A8">
        <w:rPr>
          <w:rFonts w:ascii="Times New Roman" w:hAnsi="Times New Roman" w:cs="Times New Roman"/>
          <w:bCs/>
          <w:sz w:val="24"/>
          <w:szCs w:val="24"/>
          <w:lang w:val="en-US"/>
        </w:rPr>
        <w:t>(</w:t>
      </w:r>
      <w:r w:rsidR="001152BC" w:rsidRPr="001152BC">
        <w:rPr>
          <w:rFonts w:ascii="Times New Roman" w:hAnsi="Times New Roman" w:cs="Times New Roman"/>
          <w:bCs/>
          <w:sz w:val="24"/>
          <w:szCs w:val="24"/>
          <w:lang w:val="en-US"/>
        </w:rPr>
        <w:t xml:space="preserve">international legal norms that are peremptory </w:t>
      </w:r>
      <w:r w:rsidR="00093753">
        <w:rPr>
          <w:rFonts w:ascii="Times New Roman" w:hAnsi="Times New Roman" w:cs="Times New Roman"/>
          <w:bCs/>
          <w:sz w:val="24"/>
          <w:szCs w:val="24"/>
          <w:lang w:val="en-US"/>
        </w:rPr>
        <w:t xml:space="preserve">and prevail </w:t>
      </w:r>
      <w:r w:rsidR="001152BC" w:rsidRPr="001152BC">
        <w:rPr>
          <w:rFonts w:ascii="Times New Roman" w:hAnsi="Times New Roman" w:cs="Times New Roman"/>
          <w:bCs/>
          <w:sz w:val="24"/>
          <w:szCs w:val="24"/>
          <w:lang w:val="en-US"/>
        </w:rPr>
        <w:t>over all other legal rules</w:t>
      </w:r>
      <w:r w:rsidR="00FA44A8">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This is the case with the following </w:t>
      </w:r>
      <w:r w:rsidR="007D5AE7">
        <w:rPr>
          <w:rFonts w:ascii="Times New Roman" w:hAnsi="Times New Roman" w:cs="Times New Roman"/>
          <w:bCs/>
          <w:sz w:val="24"/>
          <w:szCs w:val="24"/>
          <w:lang w:val="en-US"/>
        </w:rPr>
        <w:t xml:space="preserve">five </w:t>
      </w:r>
      <w:r w:rsidRPr="00912992">
        <w:rPr>
          <w:rFonts w:ascii="Times New Roman" w:hAnsi="Times New Roman" w:cs="Times New Roman"/>
          <w:bCs/>
          <w:sz w:val="24"/>
          <w:szCs w:val="24"/>
          <w:lang w:val="en-US"/>
        </w:rPr>
        <w:t xml:space="preserve">principles. </w:t>
      </w:r>
    </w:p>
    <w:p w14:paraId="454FDE3A" w14:textId="0FDE5ABA" w:rsidR="0064735E" w:rsidRDefault="007D5AE7" w:rsidP="000D3355">
      <w:pPr>
        <w:spacing w:line="480" w:lineRule="auto"/>
        <w:ind w:firstLine="708"/>
        <w:jc w:val="both"/>
        <w:rPr>
          <w:rFonts w:ascii="Times New Roman" w:hAnsi="Times New Roman" w:cs="Times New Roman"/>
          <w:bCs/>
          <w:sz w:val="24"/>
          <w:szCs w:val="24"/>
          <w:lang w:val="en-US"/>
        </w:rPr>
      </w:pPr>
      <w:r w:rsidRPr="00665F17">
        <w:rPr>
          <w:rFonts w:ascii="Times New Roman" w:hAnsi="Times New Roman" w:cs="Times New Roman"/>
          <w:bCs/>
          <w:iCs/>
          <w:sz w:val="24"/>
          <w:szCs w:val="24"/>
          <w:lang w:val="en-US"/>
        </w:rPr>
        <w:t xml:space="preserve">First is </w:t>
      </w:r>
      <w:r>
        <w:rPr>
          <w:rFonts w:ascii="Times New Roman" w:hAnsi="Times New Roman" w:cs="Times New Roman"/>
          <w:bCs/>
          <w:iCs/>
          <w:sz w:val="24"/>
          <w:szCs w:val="24"/>
          <w:lang w:val="en-US"/>
        </w:rPr>
        <w:t xml:space="preserve">the </w:t>
      </w:r>
      <w:r w:rsidRPr="00665F17">
        <w:rPr>
          <w:rFonts w:ascii="Times New Roman" w:hAnsi="Times New Roman" w:cs="Times New Roman"/>
          <w:bCs/>
          <w:iCs/>
          <w:sz w:val="24"/>
          <w:szCs w:val="24"/>
          <w:lang w:val="en-US"/>
        </w:rPr>
        <w:t>p</w:t>
      </w:r>
      <w:r w:rsidR="001A62EE" w:rsidRPr="00665F17">
        <w:rPr>
          <w:rFonts w:ascii="Times New Roman" w:hAnsi="Times New Roman" w:cs="Times New Roman"/>
          <w:bCs/>
          <w:iCs/>
          <w:sz w:val="24"/>
          <w:szCs w:val="24"/>
          <w:lang w:val="en-US"/>
        </w:rPr>
        <w:t xml:space="preserve">rohibition of the threat or use of force. </w:t>
      </w:r>
      <w:r w:rsidR="007A0FF1">
        <w:rPr>
          <w:rFonts w:ascii="Times New Roman" w:hAnsi="Times New Roman" w:cs="Times New Roman"/>
          <w:bCs/>
          <w:iCs/>
          <w:sz w:val="24"/>
          <w:szCs w:val="24"/>
          <w:lang w:val="en-US"/>
        </w:rPr>
        <w:t>E</w:t>
      </w:r>
      <w:r w:rsidR="001A62EE" w:rsidRPr="00665F17">
        <w:rPr>
          <w:rFonts w:ascii="Times New Roman" w:hAnsi="Times New Roman" w:cs="Times New Roman"/>
          <w:bCs/>
          <w:sz w:val="24"/>
          <w:szCs w:val="24"/>
          <w:lang w:val="en-US"/>
        </w:rPr>
        <w:t>nshrined in the UN Charter</w:t>
      </w:r>
      <w:r w:rsidR="007A0FF1">
        <w:rPr>
          <w:rFonts w:ascii="Times New Roman" w:hAnsi="Times New Roman" w:cs="Times New Roman"/>
          <w:bCs/>
          <w:sz w:val="24"/>
          <w:szCs w:val="24"/>
          <w:lang w:val="en-US"/>
        </w:rPr>
        <w:t xml:space="preserve"> (</w:t>
      </w:r>
      <w:r w:rsidR="007A0FF1" w:rsidRPr="001F22B1">
        <w:rPr>
          <w:rFonts w:ascii="Times New Roman" w:hAnsi="Times New Roman" w:cs="Times New Roman"/>
          <w:bCs/>
          <w:sz w:val="24"/>
          <w:szCs w:val="24"/>
          <w:lang w:val="en-US"/>
        </w:rPr>
        <w:t>Article 2</w:t>
      </w:r>
      <w:r w:rsidR="007A0FF1">
        <w:rPr>
          <w:rFonts w:ascii="Times New Roman" w:hAnsi="Times New Roman" w:cs="Times New Roman"/>
          <w:bCs/>
          <w:sz w:val="24"/>
          <w:szCs w:val="24"/>
          <w:lang w:val="en-US"/>
        </w:rPr>
        <w:t>.</w:t>
      </w:r>
      <w:r w:rsidR="007A0FF1" w:rsidRPr="001F22B1">
        <w:rPr>
          <w:rFonts w:ascii="Times New Roman" w:hAnsi="Times New Roman" w:cs="Times New Roman"/>
          <w:bCs/>
          <w:sz w:val="24"/>
          <w:szCs w:val="24"/>
          <w:lang w:val="en-US"/>
        </w:rPr>
        <w:t>4)</w:t>
      </w:r>
      <w:r w:rsidR="001A62EE" w:rsidRPr="00665F17">
        <w:rPr>
          <w:rFonts w:ascii="Times New Roman" w:hAnsi="Times New Roman" w:cs="Times New Roman"/>
          <w:bCs/>
          <w:sz w:val="24"/>
          <w:szCs w:val="24"/>
          <w:lang w:val="en-US"/>
        </w:rPr>
        <w:t xml:space="preserve">, </w:t>
      </w:r>
      <w:r w:rsidR="007A0FF1">
        <w:rPr>
          <w:rFonts w:ascii="Times New Roman" w:hAnsi="Times New Roman" w:cs="Times New Roman"/>
          <w:bCs/>
          <w:sz w:val="24"/>
          <w:szCs w:val="24"/>
          <w:lang w:val="en-US"/>
        </w:rPr>
        <w:t xml:space="preserve">it was also </w:t>
      </w:r>
      <w:r w:rsidR="001A62EE" w:rsidRPr="00665F17">
        <w:rPr>
          <w:rFonts w:ascii="Times New Roman" w:hAnsi="Times New Roman" w:cs="Times New Roman"/>
          <w:bCs/>
          <w:sz w:val="24"/>
          <w:szCs w:val="24"/>
          <w:lang w:val="en-US"/>
        </w:rPr>
        <w:t xml:space="preserve">recognized by the ICJ in the </w:t>
      </w:r>
      <w:r w:rsidR="001A62EE" w:rsidRPr="00665F17">
        <w:rPr>
          <w:rFonts w:ascii="Times New Roman" w:hAnsi="Times New Roman" w:cs="Times New Roman"/>
          <w:bCs/>
          <w:i/>
          <w:sz w:val="24"/>
          <w:szCs w:val="24"/>
          <w:lang w:val="en-US"/>
        </w:rPr>
        <w:t xml:space="preserve">Nicaragua </w:t>
      </w:r>
      <w:r w:rsidR="001A62EE" w:rsidRPr="00665F17">
        <w:rPr>
          <w:rFonts w:ascii="Times New Roman" w:hAnsi="Times New Roman" w:cs="Times New Roman"/>
          <w:bCs/>
          <w:sz w:val="24"/>
          <w:szCs w:val="24"/>
          <w:lang w:val="en-US"/>
        </w:rPr>
        <w:t>case</w:t>
      </w:r>
      <w:r w:rsidR="006079F6">
        <w:rPr>
          <w:rStyle w:val="EndnoteReference"/>
          <w:rFonts w:ascii="Times New Roman" w:hAnsi="Times New Roman" w:cs="Times New Roman"/>
          <w:bCs/>
          <w:sz w:val="24"/>
          <w:szCs w:val="24"/>
          <w:lang w:val="en-US"/>
        </w:rPr>
        <w:endnoteReference w:id="38"/>
      </w:r>
      <w:r w:rsidR="001A62EE" w:rsidRPr="00665F17">
        <w:rPr>
          <w:rFonts w:ascii="Times New Roman" w:hAnsi="Times New Roman" w:cs="Times New Roman"/>
          <w:bCs/>
          <w:sz w:val="24"/>
          <w:szCs w:val="24"/>
          <w:lang w:val="en-US"/>
        </w:rPr>
        <w:t xml:space="preserve"> as a general principle of international law binding outside and</w:t>
      </w:r>
      <w:r w:rsidR="00023A42" w:rsidRPr="00665F17">
        <w:rPr>
          <w:rFonts w:ascii="Times New Roman" w:hAnsi="Times New Roman" w:cs="Times New Roman"/>
          <w:bCs/>
          <w:sz w:val="24"/>
          <w:szCs w:val="24"/>
          <w:lang w:val="en-US"/>
        </w:rPr>
        <w:t xml:space="preserve"> </w:t>
      </w:r>
      <w:r w:rsidR="001A62EE" w:rsidRPr="00665F17">
        <w:rPr>
          <w:rFonts w:ascii="Times New Roman" w:hAnsi="Times New Roman" w:cs="Times New Roman"/>
          <w:bCs/>
          <w:sz w:val="24"/>
          <w:szCs w:val="24"/>
          <w:lang w:val="en-US"/>
        </w:rPr>
        <w:t>beyond the formal operation</w:t>
      </w:r>
      <w:r w:rsidR="004B706C">
        <w:rPr>
          <w:rFonts w:ascii="Times New Roman" w:hAnsi="Times New Roman" w:cs="Times New Roman"/>
          <w:bCs/>
          <w:sz w:val="24"/>
          <w:szCs w:val="24"/>
          <w:lang w:val="en-US"/>
        </w:rPr>
        <w:t xml:space="preserve"> of</w:t>
      </w:r>
      <w:r w:rsidR="001A62EE" w:rsidRPr="00665F17">
        <w:rPr>
          <w:rFonts w:ascii="Times New Roman" w:hAnsi="Times New Roman" w:cs="Times New Roman"/>
          <w:bCs/>
          <w:sz w:val="24"/>
          <w:szCs w:val="24"/>
          <w:lang w:val="en-US"/>
        </w:rPr>
        <w:t xml:space="preserve"> the</w:t>
      </w:r>
      <w:r w:rsidR="00093753">
        <w:rPr>
          <w:rFonts w:ascii="Times New Roman" w:hAnsi="Times New Roman" w:cs="Times New Roman"/>
          <w:bCs/>
          <w:sz w:val="24"/>
          <w:szCs w:val="24"/>
          <w:lang w:val="en-US"/>
        </w:rPr>
        <w:t xml:space="preserve"> UN</w:t>
      </w:r>
      <w:r w:rsidR="001A62EE" w:rsidRPr="00665F17">
        <w:rPr>
          <w:rFonts w:ascii="Times New Roman" w:hAnsi="Times New Roman" w:cs="Times New Roman"/>
          <w:bCs/>
          <w:sz w:val="24"/>
          <w:szCs w:val="24"/>
          <w:lang w:val="en-US"/>
        </w:rPr>
        <w:t xml:space="preserve"> </w:t>
      </w:r>
      <w:r w:rsidR="00093753">
        <w:rPr>
          <w:rFonts w:ascii="Times New Roman" w:hAnsi="Times New Roman" w:cs="Times New Roman"/>
          <w:bCs/>
          <w:sz w:val="24"/>
          <w:szCs w:val="24"/>
          <w:lang w:val="en-US"/>
        </w:rPr>
        <w:t>C</w:t>
      </w:r>
      <w:r w:rsidR="001A62EE" w:rsidRPr="00665F17">
        <w:rPr>
          <w:rFonts w:ascii="Times New Roman" w:hAnsi="Times New Roman" w:cs="Times New Roman"/>
          <w:bCs/>
          <w:sz w:val="24"/>
          <w:szCs w:val="24"/>
          <w:lang w:val="en-US"/>
        </w:rPr>
        <w:t>harter</w:t>
      </w:r>
      <w:r w:rsidR="00226FEE">
        <w:rPr>
          <w:rFonts w:ascii="Times New Roman" w:hAnsi="Times New Roman" w:cs="Times New Roman"/>
          <w:bCs/>
          <w:sz w:val="24"/>
          <w:szCs w:val="24"/>
          <w:lang w:val="en-US"/>
        </w:rPr>
        <w:t xml:space="preserve"> </w:t>
      </w:r>
      <w:r w:rsidR="001A62EE" w:rsidRPr="00665F17">
        <w:rPr>
          <w:rFonts w:ascii="Times New Roman" w:hAnsi="Times New Roman" w:cs="Times New Roman"/>
          <w:bCs/>
          <w:sz w:val="24"/>
          <w:szCs w:val="24"/>
          <w:lang w:val="en-US"/>
        </w:rPr>
        <w:t>as a treaty. This principle becomes relevant to the intentional destruction of cultural heritage when the use of force includes, as has happened in numerous recent conflicts, deliberate attack</w:t>
      </w:r>
      <w:r w:rsidR="00A21BC3">
        <w:rPr>
          <w:rFonts w:ascii="Times New Roman" w:hAnsi="Times New Roman" w:cs="Times New Roman"/>
          <w:bCs/>
          <w:sz w:val="24"/>
          <w:szCs w:val="24"/>
          <w:lang w:val="en-US"/>
        </w:rPr>
        <w:t>s</w:t>
      </w:r>
      <w:r w:rsidR="001A62EE" w:rsidRPr="00665F17">
        <w:rPr>
          <w:rFonts w:ascii="Times New Roman" w:hAnsi="Times New Roman" w:cs="Times New Roman"/>
          <w:bCs/>
          <w:sz w:val="24"/>
          <w:szCs w:val="24"/>
          <w:lang w:val="en-US"/>
        </w:rPr>
        <w:t xml:space="preserve"> on historical and cultural sites. Its relevance becomes all the more evident at a time when the Security Council has started to consider assaults on cultural heritage as elements of a threat to peace and international security under Article 39 of the</w:t>
      </w:r>
      <w:r w:rsidR="000B5B08">
        <w:rPr>
          <w:rFonts w:ascii="Times New Roman" w:hAnsi="Times New Roman" w:cs="Times New Roman"/>
          <w:bCs/>
          <w:sz w:val="24"/>
          <w:szCs w:val="24"/>
          <w:lang w:val="en-US"/>
        </w:rPr>
        <w:t xml:space="preserve"> UN</w:t>
      </w:r>
      <w:r w:rsidR="001A62EE" w:rsidRPr="00665F17">
        <w:rPr>
          <w:rFonts w:ascii="Times New Roman" w:hAnsi="Times New Roman" w:cs="Times New Roman"/>
          <w:bCs/>
          <w:sz w:val="24"/>
          <w:szCs w:val="24"/>
          <w:lang w:val="en-US"/>
        </w:rPr>
        <w:t xml:space="preserve"> </w:t>
      </w:r>
      <w:r w:rsidR="00093753">
        <w:rPr>
          <w:rFonts w:ascii="Times New Roman" w:hAnsi="Times New Roman" w:cs="Times New Roman"/>
          <w:bCs/>
          <w:sz w:val="24"/>
          <w:szCs w:val="24"/>
          <w:lang w:val="en-US"/>
        </w:rPr>
        <w:t>C</w:t>
      </w:r>
      <w:r w:rsidR="001A62EE" w:rsidRPr="00665F17">
        <w:rPr>
          <w:rFonts w:ascii="Times New Roman" w:hAnsi="Times New Roman" w:cs="Times New Roman"/>
          <w:bCs/>
          <w:sz w:val="24"/>
          <w:szCs w:val="24"/>
          <w:lang w:val="en-US"/>
        </w:rPr>
        <w:t xml:space="preserve">harter. Even if it is unlikely that such acts of cultural destruction </w:t>
      </w:r>
      <w:r w:rsidR="002E7E33">
        <w:rPr>
          <w:rFonts w:ascii="Times New Roman" w:hAnsi="Times New Roman" w:cs="Times New Roman"/>
          <w:bCs/>
          <w:sz w:val="24"/>
          <w:szCs w:val="24"/>
          <w:lang w:val="en-US"/>
        </w:rPr>
        <w:t xml:space="preserve">can </w:t>
      </w:r>
      <w:r w:rsidR="001A62EE" w:rsidRPr="00665F17">
        <w:rPr>
          <w:rFonts w:ascii="Times New Roman" w:hAnsi="Times New Roman" w:cs="Times New Roman"/>
          <w:bCs/>
          <w:sz w:val="24"/>
          <w:szCs w:val="24"/>
          <w:lang w:val="en-US"/>
        </w:rPr>
        <w:t xml:space="preserve">be </w:t>
      </w:r>
      <w:r w:rsidR="002E7E33">
        <w:rPr>
          <w:rFonts w:ascii="Times New Roman" w:hAnsi="Times New Roman" w:cs="Times New Roman"/>
          <w:bCs/>
          <w:sz w:val="24"/>
          <w:szCs w:val="24"/>
          <w:lang w:val="en-US"/>
        </w:rPr>
        <w:t xml:space="preserve">considered </w:t>
      </w:r>
      <w:r w:rsidR="001A62EE" w:rsidRPr="00665F17">
        <w:rPr>
          <w:rFonts w:ascii="Times New Roman" w:hAnsi="Times New Roman" w:cs="Times New Roman"/>
          <w:bCs/>
          <w:sz w:val="24"/>
          <w:szCs w:val="24"/>
          <w:lang w:val="en-US"/>
        </w:rPr>
        <w:t>entirely separate from other conduct amounting in itself to a breach of the peace or a threat to the peace</w:t>
      </w:r>
      <w:r w:rsidR="002E7E33">
        <w:rPr>
          <w:rFonts w:ascii="Times New Roman" w:hAnsi="Times New Roman" w:cs="Times New Roman"/>
          <w:bCs/>
          <w:sz w:val="24"/>
          <w:szCs w:val="24"/>
          <w:lang w:val="en-US"/>
        </w:rPr>
        <w:t>—</w:t>
      </w:r>
      <w:r w:rsidR="001A62EE" w:rsidRPr="00665F17">
        <w:rPr>
          <w:rFonts w:ascii="Times New Roman" w:hAnsi="Times New Roman" w:cs="Times New Roman"/>
          <w:bCs/>
          <w:sz w:val="24"/>
          <w:szCs w:val="24"/>
          <w:lang w:val="en-US"/>
        </w:rPr>
        <w:t>such as armed aggression, international terrorism</w:t>
      </w:r>
      <w:r w:rsidR="002E7E33">
        <w:rPr>
          <w:rFonts w:ascii="Times New Roman" w:hAnsi="Times New Roman" w:cs="Times New Roman"/>
          <w:bCs/>
          <w:sz w:val="24"/>
          <w:szCs w:val="24"/>
          <w:lang w:val="en-US"/>
        </w:rPr>
        <w:t>,</w:t>
      </w:r>
      <w:r w:rsidR="001A62EE" w:rsidRPr="00665F17">
        <w:rPr>
          <w:rFonts w:ascii="Times New Roman" w:hAnsi="Times New Roman" w:cs="Times New Roman"/>
          <w:bCs/>
          <w:sz w:val="24"/>
          <w:szCs w:val="24"/>
          <w:lang w:val="en-US"/>
        </w:rPr>
        <w:t xml:space="preserve"> and massive violations of human rights and humanitarian law</w:t>
      </w:r>
      <w:r w:rsidR="002E7E33">
        <w:rPr>
          <w:rFonts w:ascii="Times New Roman" w:hAnsi="Times New Roman" w:cs="Times New Roman"/>
          <w:bCs/>
          <w:sz w:val="24"/>
          <w:szCs w:val="24"/>
          <w:lang w:val="en-US"/>
        </w:rPr>
        <w:t>—</w:t>
      </w:r>
      <w:r w:rsidR="001A62EE" w:rsidRPr="00665F17">
        <w:rPr>
          <w:rFonts w:ascii="Times New Roman" w:hAnsi="Times New Roman" w:cs="Times New Roman"/>
          <w:bCs/>
          <w:sz w:val="24"/>
          <w:szCs w:val="24"/>
          <w:lang w:val="en-US"/>
        </w:rPr>
        <w:t xml:space="preserve">intentional destruction of cultural heritage is increasingly acquiring distinct relevance in the role of the Security Council </w:t>
      </w:r>
      <w:r w:rsidR="00444853">
        <w:rPr>
          <w:rFonts w:ascii="Times New Roman" w:hAnsi="Times New Roman" w:cs="Times New Roman"/>
          <w:bCs/>
          <w:sz w:val="24"/>
          <w:szCs w:val="24"/>
          <w:lang w:val="en-US"/>
        </w:rPr>
        <w:t>in</w:t>
      </w:r>
      <w:r w:rsidR="001A62EE" w:rsidRPr="00665F17">
        <w:rPr>
          <w:rFonts w:ascii="Times New Roman" w:hAnsi="Times New Roman" w:cs="Times New Roman"/>
          <w:bCs/>
          <w:sz w:val="24"/>
          <w:szCs w:val="24"/>
          <w:lang w:val="en-US"/>
        </w:rPr>
        <w:t xml:space="preserve"> countering terrorism and forms of violence and intolerance directed against cultural heritage. </w:t>
      </w:r>
    </w:p>
    <w:p w14:paraId="292C8F51" w14:textId="723BDFD2" w:rsidR="001A62EE" w:rsidRPr="00665F17" w:rsidRDefault="001A62EE" w:rsidP="000D3355">
      <w:pPr>
        <w:spacing w:line="480" w:lineRule="auto"/>
        <w:ind w:firstLine="708"/>
        <w:jc w:val="both"/>
        <w:rPr>
          <w:rFonts w:ascii="Times New Roman" w:hAnsi="Times New Roman" w:cs="Times New Roman"/>
          <w:bCs/>
          <w:sz w:val="24"/>
          <w:szCs w:val="24"/>
          <w:lang w:val="en-US"/>
        </w:rPr>
      </w:pPr>
      <w:r w:rsidRPr="00665F17">
        <w:rPr>
          <w:rFonts w:ascii="Times New Roman" w:hAnsi="Times New Roman" w:cs="Times New Roman"/>
          <w:bCs/>
          <w:sz w:val="24"/>
          <w:szCs w:val="24"/>
          <w:lang w:val="en-US"/>
        </w:rPr>
        <w:t xml:space="preserve">This is evident in the already examined </w:t>
      </w:r>
      <w:r w:rsidR="00444853">
        <w:rPr>
          <w:rFonts w:ascii="Times New Roman" w:hAnsi="Times New Roman" w:cs="Times New Roman"/>
          <w:bCs/>
          <w:sz w:val="24"/>
          <w:szCs w:val="24"/>
          <w:lang w:val="en-US"/>
        </w:rPr>
        <w:t>r</w:t>
      </w:r>
      <w:r w:rsidRPr="00665F17">
        <w:rPr>
          <w:rFonts w:ascii="Times New Roman" w:hAnsi="Times New Roman" w:cs="Times New Roman"/>
          <w:bCs/>
          <w:sz w:val="24"/>
          <w:szCs w:val="24"/>
          <w:lang w:val="en-US"/>
        </w:rPr>
        <w:t xml:space="preserve">esolution 2347 of 2017 and even more so in </w:t>
      </w:r>
      <w:r w:rsidR="00444853">
        <w:rPr>
          <w:rFonts w:ascii="Times New Roman" w:hAnsi="Times New Roman" w:cs="Times New Roman"/>
          <w:bCs/>
          <w:sz w:val="24"/>
          <w:szCs w:val="24"/>
          <w:lang w:val="en-US"/>
        </w:rPr>
        <w:t>r</w:t>
      </w:r>
      <w:r w:rsidRPr="00665F17">
        <w:rPr>
          <w:rFonts w:ascii="Times New Roman" w:hAnsi="Times New Roman" w:cs="Times New Roman"/>
          <w:bCs/>
          <w:sz w:val="24"/>
          <w:szCs w:val="24"/>
          <w:lang w:val="en-US"/>
        </w:rPr>
        <w:t>esolution 2100 of 2013 authorizing the deployment of the UN</w:t>
      </w:r>
      <w:r w:rsidR="00023A42" w:rsidRPr="00665F17">
        <w:rPr>
          <w:rFonts w:ascii="Times New Roman" w:hAnsi="Times New Roman" w:cs="Times New Roman"/>
          <w:bCs/>
          <w:sz w:val="24"/>
          <w:szCs w:val="24"/>
          <w:lang w:val="en-US"/>
        </w:rPr>
        <w:t xml:space="preserve"> </w:t>
      </w:r>
      <w:r w:rsidRPr="00665F17">
        <w:rPr>
          <w:rFonts w:ascii="Times New Roman" w:hAnsi="Times New Roman" w:cs="Times New Roman"/>
          <w:bCs/>
          <w:sz w:val="24"/>
          <w:szCs w:val="24"/>
          <w:lang w:val="en-US"/>
        </w:rPr>
        <w:t>Multidimensional Integrated Stabilization Mission in Mali</w:t>
      </w:r>
      <w:r w:rsidR="0053048E">
        <w:rPr>
          <w:rFonts w:ascii="Times New Roman" w:hAnsi="Times New Roman" w:cs="Times New Roman"/>
          <w:bCs/>
          <w:sz w:val="24"/>
          <w:szCs w:val="24"/>
          <w:lang w:val="en-US"/>
        </w:rPr>
        <w:t xml:space="preserve"> (</w:t>
      </w:r>
      <w:r w:rsidR="0053048E" w:rsidRPr="00F47C15">
        <w:rPr>
          <w:rFonts w:ascii="Times New Roman" w:hAnsi="Times New Roman" w:cs="Times New Roman"/>
        </w:rPr>
        <w:t>MINUSMA</w:t>
      </w:r>
      <w:r w:rsidR="0053048E">
        <w:rPr>
          <w:rFonts w:ascii="Times New Roman" w:hAnsi="Times New Roman" w:cs="Times New Roman"/>
        </w:rPr>
        <w:t>)</w:t>
      </w:r>
      <w:r w:rsidRPr="00665F17">
        <w:rPr>
          <w:rFonts w:ascii="Times New Roman" w:hAnsi="Times New Roman" w:cs="Times New Roman"/>
          <w:bCs/>
          <w:sz w:val="24"/>
          <w:szCs w:val="24"/>
          <w:lang w:val="en-US"/>
        </w:rPr>
        <w:t>.</w:t>
      </w:r>
      <w:r w:rsidRPr="00912992">
        <w:rPr>
          <w:rStyle w:val="EndnoteReference"/>
          <w:rFonts w:ascii="Times New Roman" w:hAnsi="Times New Roman" w:cs="Times New Roman"/>
          <w:bCs/>
          <w:sz w:val="24"/>
          <w:szCs w:val="24"/>
          <w:lang w:val="en-US"/>
        </w:rPr>
        <w:endnoteReference w:id="39"/>
      </w:r>
      <w:r w:rsidRPr="00665F17">
        <w:rPr>
          <w:rFonts w:ascii="Times New Roman" w:hAnsi="Times New Roman" w:cs="Times New Roman"/>
          <w:bCs/>
          <w:sz w:val="24"/>
          <w:szCs w:val="24"/>
          <w:lang w:val="en-US"/>
        </w:rPr>
        <w:t xml:space="preserve"> </w:t>
      </w:r>
      <w:r w:rsidR="00EE7D20">
        <w:rPr>
          <w:rFonts w:ascii="Times New Roman" w:hAnsi="Times New Roman" w:cs="Times New Roman"/>
          <w:bCs/>
          <w:sz w:val="24"/>
          <w:szCs w:val="24"/>
          <w:lang w:val="en-US"/>
        </w:rPr>
        <w:t>A</w:t>
      </w:r>
      <w:r w:rsidRPr="00665F17">
        <w:rPr>
          <w:rFonts w:ascii="Times New Roman" w:hAnsi="Times New Roman" w:cs="Times New Roman"/>
          <w:bCs/>
          <w:sz w:val="24"/>
          <w:szCs w:val="24"/>
          <w:lang w:val="en-US"/>
        </w:rPr>
        <w:t xml:space="preserve">dopted under Chapter VII of the </w:t>
      </w:r>
      <w:r w:rsidR="00EE7D20">
        <w:rPr>
          <w:rFonts w:ascii="Times New Roman" w:hAnsi="Times New Roman" w:cs="Times New Roman"/>
          <w:bCs/>
          <w:sz w:val="24"/>
          <w:szCs w:val="24"/>
          <w:lang w:val="en-US"/>
        </w:rPr>
        <w:t xml:space="preserve">UN </w:t>
      </w:r>
      <w:r w:rsidRPr="00665F17">
        <w:rPr>
          <w:rFonts w:ascii="Times New Roman" w:hAnsi="Times New Roman" w:cs="Times New Roman"/>
          <w:bCs/>
          <w:sz w:val="24"/>
          <w:szCs w:val="24"/>
          <w:lang w:val="en-US"/>
        </w:rPr>
        <w:t xml:space="preserve">Charter, </w:t>
      </w:r>
      <w:r w:rsidR="00EE7D20">
        <w:rPr>
          <w:rFonts w:ascii="Times New Roman" w:hAnsi="Times New Roman" w:cs="Times New Roman"/>
          <w:bCs/>
          <w:sz w:val="24"/>
          <w:szCs w:val="24"/>
          <w:lang w:val="en-US"/>
        </w:rPr>
        <w:t xml:space="preserve">resolution 2100 </w:t>
      </w:r>
      <w:r w:rsidRPr="00665F17">
        <w:rPr>
          <w:rFonts w:ascii="Times New Roman" w:hAnsi="Times New Roman" w:cs="Times New Roman"/>
          <w:bCs/>
          <w:sz w:val="24"/>
          <w:szCs w:val="24"/>
          <w:lang w:val="en-US"/>
        </w:rPr>
        <w:t>provides the first example of a post</w:t>
      </w:r>
      <w:r w:rsidR="00206AD2">
        <w:rPr>
          <w:rFonts w:ascii="Times New Roman" w:hAnsi="Times New Roman" w:cs="Times New Roman"/>
          <w:bCs/>
          <w:sz w:val="24"/>
          <w:szCs w:val="24"/>
          <w:lang w:val="en-US"/>
        </w:rPr>
        <w:t>-</w:t>
      </w:r>
      <w:r w:rsidRPr="00665F17">
        <w:rPr>
          <w:rFonts w:ascii="Times New Roman" w:hAnsi="Times New Roman" w:cs="Times New Roman"/>
          <w:bCs/>
          <w:sz w:val="24"/>
          <w:szCs w:val="24"/>
          <w:lang w:val="en-US"/>
        </w:rPr>
        <w:t>conflict peace mission to which the Security Council has conferred a specific function to protect cultural heritage from deliberate attack.</w:t>
      </w:r>
      <w:r w:rsidRPr="00912992">
        <w:rPr>
          <w:rStyle w:val="EndnoteReference"/>
          <w:rFonts w:ascii="Times New Roman" w:hAnsi="Times New Roman" w:cs="Times New Roman"/>
          <w:bCs/>
          <w:sz w:val="24"/>
          <w:szCs w:val="24"/>
          <w:lang w:val="en-US"/>
        </w:rPr>
        <w:endnoteReference w:id="40"/>
      </w:r>
      <w:r w:rsidRPr="00665F17">
        <w:rPr>
          <w:rFonts w:ascii="Times New Roman" w:hAnsi="Times New Roman" w:cs="Times New Roman"/>
          <w:bCs/>
          <w:sz w:val="24"/>
          <w:szCs w:val="24"/>
          <w:lang w:val="en-US"/>
        </w:rPr>
        <w:t xml:space="preserve"> The general principle prohibiting the threat of force can therefore become a pertinent legal parameter to determine the illegality of attacks on cultural property in peacetime, in the sense that such attacks may constitute an aspect of </w:t>
      </w:r>
      <w:r w:rsidR="0017084B">
        <w:rPr>
          <w:rFonts w:ascii="Times New Roman" w:hAnsi="Times New Roman" w:cs="Times New Roman"/>
          <w:bCs/>
          <w:sz w:val="24"/>
          <w:szCs w:val="24"/>
          <w:lang w:val="en-US"/>
        </w:rPr>
        <w:t>a</w:t>
      </w:r>
      <w:r w:rsidR="0017084B" w:rsidRPr="00665F17">
        <w:rPr>
          <w:rFonts w:ascii="Times New Roman" w:hAnsi="Times New Roman" w:cs="Times New Roman"/>
          <w:bCs/>
          <w:sz w:val="24"/>
          <w:szCs w:val="24"/>
          <w:lang w:val="en-US"/>
        </w:rPr>
        <w:t xml:space="preserve"> </w:t>
      </w:r>
      <w:r w:rsidRPr="00665F17">
        <w:rPr>
          <w:rFonts w:ascii="Times New Roman" w:hAnsi="Times New Roman" w:cs="Times New Roman"/>
          <w:bCs/>
          <w:sz w:val="24"/>
          <w:szCs w:val="24"/>
          <w:lang w:val="en-US"/>
        </w:rPr>
        <w:t>threat to the peace and, in post</w:t>
      </w:r>
      <w:r w:rsidR="0017084B">
        <w:rPr>
          <w:rFonts w:ascii="Times New Roman" w:hAnsi="Times New Roman" w:cs="Times New Roman"/>
          <w:bCs/>
          <w:sz w:val="24"/>
          <w:szCs w:val="24"/>
          <w:lang w:val="en-US"/>
        </w:rPr>
        <w:t>-</w:t>
      </w:r>
      <w:r w:rsidRPr="00665F17">
        <w:rPr>
          <w:rFonts w:ascii="Times New Roman" w:hAnsi="Times New Roman" w:cs="Times New Roman"/>
          <w:bCs/>
          <w:sz w:val="24"/>
          <w:szCs w:val="24"/>
          <w:lang w:val="en-US"/>
        </w:rPr>
        <w:t xml:space="preserve">conflict situations, an element of peacekeeping missions by the UN or regional organizations. </w:t>
      </w:r>
    </w:p>
    <w:p w14:paraId="585FD177" w14:textId="1A099DA6" w:rsidR="001A62EE" w:rsidRPr="00665F17" w:rsidRDefault="0017084B" w:rsidP="000D3355">
      <w:pPr>
        <w:spacing w:line="480" w:lineRule="auto"/>
        <w:ind w:firstLine="708"/>
        <w:jc w:val="both"/>
        <w:rPr>
          <w:rFonts w:ascii="Times New Roman" w:hAnsi="Times New Roman" w:cs="Times New Roman"/>
          <w:bCs/>
          <w:sz w:val="24"/>
          <w:szCs w:val="24"/>
          <w:lang w:val="en-US"/>
        </w:rPr>
      </w:pPr>
      <w:r w:rsidRPr="00665F17">
        <w:rPr>
          <w:rFonts w:ascii="Times New Roman" w:hAnsi="Times New Roman" w:cs="Times New Roman"/>
          <w:bCs/>
          <w:iCs/>
          <w:sz w:val="24"/>
          <w:szCs w:val="24"/>
          <w:lang w:val="en-US"/>
        </w:rPr>
        <w:t>Second, s</w:t>
      </w:r>
      <w:r w:rsidR="001A62EE" w:rsidRPr="00665F17">
        <w:rPr>
          <w:rFonts w:ascii="Times New Roman" w:hAnsi="Times New Roman" w:cs="Times New Roman"/>
          <w:bCs/>
          <w:iCs/>
          <w:sz w:val="24"/>
          <w:szCs w:val="24"/>
          <w:lang w:val="en-US"/>
        </w:rPr>
        <w:t xml:space="preserve">elf-determination has been recognized as a general principle of international law by </w:t>
      </w:r>
      <w:r w:rsidR="001A62EE" w:rsidRPr="00665F17">
        <w:rPr>
          <w:rFonts w:ascii="Times New Roman" w:hAnsi="Times New Roman" w:cs="Times New Roman"/>
          <w:bCs/>
          <w:sz w:val="24"/>
          <w:szCs w:val="24"/>
          <w:lang w:val="en-US"/>
        </w:rPr>
        <w:t xml:space="preserve">the ICJ, in its advisory opinions on </w:t>
      </w:r>
      <w:r w:rsidR="001A62EE" w:rsidRPr="00665F17">
        <w:rPr>
          <w:rFonts w:ascii="Times New Roman" w:hAnsi="Times New Roman" w:cs="Times New Roman"/>
          <w:bCs/>
          <w:i/>
          <w:sz w:val="24"/>
          <w:szCs w:val="24"/>
          <w:lang w:val="en-US"/>
        </w:rPr>
        <w:t>South West Africa</w:t>
      </w:r>
      <w:r w:rsidR="001A62EE" w:rsidRPr="00665F17">
        <w:rPr>
          <w:rFonts w:ascii="Times New Roman" w:hAnsi="Times New Roman" w:cs="Times New Roman"/>
          <w:bCs/>
          <w:iCs/>
          <w:sz w:val="24"/>
          <w:szCs w:val="24"/>
          <w:lang w:val="en-US"/>
        </w:rPr>
        <w:t>,</w:t>
      </w:r>
      <w:r w:rsidR="001A62EE" w:rsidRPr="00912992">
        <w:rPr>
          <w:rStyle w:val="EndnoteReference"/>
          <w:rFonts w:ascii="Times New Roman" w:hAnsi="Times New Roman" w:cs="Times New Roman"/>
          <w:bCs/>
          <w:sz w:val="24"/>
          <w:szCs w:val="24"/>
          <w:lang w:val="en-US"/>
        </w:rPr>
        <w:endnoteReference w:id="41"/>
      </w:r>
      <w:r w:rsidR="001A62EE" w:rsidRPr="00665F17">
        <w:rPr>
          <w:rFonts w:ascii="Times New Roman" w:hAnsi="Times New Roman" w:cs="Times New Roman"/>
          <w:bCs/>
          <w:sz w:val="24"/>
          <w:szCs w:val="24"/>
          <w:lang w:val="en-US"/>
        </w:rPr>
        <w:t xml:space="preserve"> </w:t>
      </w:r>
      <w:r w:rsidR="001A62EE" w:rsidRPr="00665F17">
        <w:rPr>
          <w:rFonts w:ascii="Times New Roman" w:hAnsi="Times New Roman" w:cs="Times New Roman"/>
          <w:bCs/>
          <w:i/>
          <w:sz w:val="24"/>
          <w:szCs w:val="24"/>
          <w:lang w:val="en-US"/>
        </w:rPr>
        <w:t>Western Sahara</w:t>
      </w:r>
      <w:r w:rsidR="0064735E">
        <w:rPr>
          <w:rFonts w:ascii="Times New Roman" w:hAnsi="Times New Roman" w:cs="Times New Roman"/>
          <w:bCs/>
          <w:iCs/>
          <w:sz w:val="24"/>
          <w:szCs w:val="24"/>
          <w:lang w:val="en-US"/>
        </w:rPr>
        <w:t>,</w:t>
      </w:r>
      <w:r w:rsidR="001A62EE" w:rsidRPr="00912992">
        <w:rPr>
          <w:rStyle w:val="EndnoteReference"/>
          <w:rFonts w:ascii="Times New Roman" w:hAnsi="Times New Roman" w:cs="Times New Roman"/>
          <w:bCs/>
          <w:sz w:val="24"/>
          <w:szCs w:val="24"/>
          <w:lang w:val="en-US"/>
        </w:rPr>
        <w:endnoteReference w:id="42"/>
      </w:r>
      <w:r w:rsidR="00023A42" w:rsidRPr="00665F17">
        <w:rPr>
          <w:rFonts w:ascii="Times New Roman" w:hAnsi="Times New Roman" w:cs="Times New Roman"/>
          <w:bCs/>
          <w:sz w:val="24"/>
          <w:szCs w:val="24"/>
          <w:lang w:val="en-US"/>
        </w:rPr>
        <w:t xml:space="preserve"> </w:t>
      </w:r>
      <w:r w:rsidR="001A62EE" w:rsidRPr="00665F17">
        <w:rPr>
          <w:rFonts w:ascii="Times New Roman" w:hAnsi="Times New Roman" w:cs="Times New Roman"/>
          <w:bCs/>
          <w:i/>
          <w:sz w:val="24"/>
          <w:szCs w:val="24"/>
          <w:lang w:val="en-US"/>
        </w:rPr>
        <w:t>The Wall in Occupied Palestinian Territories</w:t>
      </w:r>
      <w:r w:rsidR="001A62EE" w:rsidRPr="00665F17">
        <w:rPr>
          <w:rFonts w:ascii="Times New Roman" w:hAnsi="Times New Roman" w:cs="Times New Roman"/>
          <w:bCs/>
          <w:iCs/>
          <w:sz w:val="24"/>
          <w:szCs w:val="24"/>
          <w:lang w:val="en-US"/>
        </w:rPr>
        <w:t>,</w:t>
      </w:r>
      <w:r w:rsidR="001A62EE" w:rsidRPr="00912992">
        <w:rPr>
          <w:rStyle w:val="EndnoteReference"/>
          <w:rFonts w:ascii="Times New Roman" w:hAnsi="Times New Roman" w:cs="Times New Roman"/>
          <w:bCs/>
          <w:sz w:val="24"/>
          <w:szCs w:val="24"/>
          <w:lang w:val="en-US"/>
        </w:rPr>
        <w:endnoteReference w:id="43"/>
      </w:r>
      <w:r w:rsidR="001A62EE" w:rsidRPr="00665F17">
        <w:rPr>
          <w:rFonts w:ascii="Times New Roman" w:hAnsi="Times New Roman" w:cs="Times New Roman"/>
          <w:bCs/>
          <w:sz w:val="24"/>
          <w:szCs w:val="24"/>
          <w:lang w:val="en-US"/>
        </w:rPr>
        <w:t xml:space="preserve"> and, most recently, in the 2019 opinion on </w:t>
      </w:r>
      <w:r w:rsidR="001A62EE" w:rsidRPr="00665F17">
        <w:rPr>
          <w:rFonts w:ascii="Times New Roman" w:hAnsi="Times New Roman" w:cs="Times New Roman"/>
          <w:bCs/>
          <w:i/>
          <w:sz w:val="24"/>
          <w:szCs w:val="24"/>
          <w:lang w:val="en-US"/>
        </w:rPr>
        <w:t>Chagos Archipelago</w:t>
      </w:r>
      <w:r w:rsidR="006F4A22">
        <w:rPr>
          <w:rFonts w:ascii="Times New Roman" w:hAnsi="Times New Roman" w:cs="Times New Roman"/>
          <w:bCs/>
          <w:iCs/>
          <w:sz w:val="24"/>
          <w:szCs w:val="24"/>
          <w:lang w:val="en-US"/>
        </w:rPr>
        <w:t>.</w:t>
      </w:r>
      <w:r w:rsidR="001A62EE" w:rsidRPr="00912992">
        <w:rPr>
          <w:rStyle w:val="EndnoteReference"/>
          <w:rFonts w:ascii="Times New Roman" w:hAnsi="Times New Roman" w:cs="Times New Roman"/>
          <w:bCs/>
          <w:i/>
          <w:sz w:val="24"/>
          <w:szCs w:val="24"/>
          <w:lang w:val="en-US"/>
        </w:rPr>
        <w:endnoteReference w:id="44"/>
      </w:r>
      <w:r w:rsidR="001A62EE" w:rsidRPr="00665F17">
        <w:rPr>
          <w:rFonts w:ascii="Times New Roman" w:hAnsi="Times New Roman" w:cs="Times New Roman"/>
          <w:bCs/>
          <w:sz w:val="24"/>
          <w:szCs w:val="24"/>
          <w:lang w:val="en-US"/>
        </w:rPr>
        <w:t xml:space="preserve"> This principle can be relevant to the destruction of cultural heritage to the extent that participation of people in cultural life, in the enjoyment and enactment of their cultural heritage</w:t>
      </w:r>
      <w:r w:rsidR="00D912C1">
        <w:rPr>
          <w:rFonts w:ascii="Times New Roman" w:hAnsi="Times New Roman" w:cs="Times New Roman"/>
          <w:bCs/>
          <w:sz w:val="24"/>
          <w:szCs w:val="24"/>
          <w:lang w:val="en-US"/>
        </w:rPr>
        <w:t>,</w:t>
      </w:r>
      <w:r w:rsidR="001A62EE" w:rsidRPr="00665F17">
        <w:rPr>
          <w:rFonts w:ascii="Times New Roman" w:hAnsi="Times New Roman" w:cs="Times New Roman"/>
          <w:bCs/>
          <w:sz w:val="24"/>
          <w:szCs w:val="24"/>
          <w:lang w:val="en-US"/>
        </w:rPr>
        <w:t xml:space="preserve"> can be a constitutive element of their right to self-determination. This right is impaired by the destruction of cultural heritage</w:t>
      </w:r>
      <w:r w:rsidR="00D912C1">
        <w:rPr>
          <w:rFonts w:ascii="Times New Roman" w:hAnsi="Times New Roman" w:cs="Times New Roman"/>
          <w:bCs/>
          <w:sz w:val="24"/>
          <w:szCs w:val="24"/>
          <w:lang w:val="en-US"/>
        </w:rPr>
        <w:t>.</w:t>
      </w:r>
      <w:r w:rsidR="001A62EE" w:rsidRPr="00912992">
        <w:rPr>
          <w:rStyle w:val="EndnoteReference"/>
          <w:rFonts w:ascii="Times New Roman" w:hAnsi="Times New Roman" w:cs="Times New Roman"/>
          <w:bCs/>
          <w:sz w:val="24"/>
          <w:szCs w:val="24"/>
          <w:lang w:val="en-US"/>
        </w:rPr>
        <w:endnoteReference w:id="45"/>
      </w:r>
    </w:p>
    <w:p w14:paraId="07FA68C6" w14:textId="4EA335D7" w:rsidR="001A62EE" w:rsidRPr="00665F17" w:rsidRDefault="00DF1763" w:rsidP="000D3355">
      <w:pPr>
        <w:spacing w:line="480" w:lineRule="auto"/>
        <w:ind w:firstLine="708"/>
        <w:jc w:val="both"/>
        <w:rPr>
          <w:rFonts w:ascii="Times New Roman" w:hAnsi="Times New Roman" w:cs="Times New Roman"/>
          <w:bCs/>
          <w:sz w:val="24"/>
          <w:szCs w:val="24"/>
          <w:lang w:val="en-US"/>
        </w:rPr>
      </w:pPr>
      <w:r w:rsidRPr="00665F17">
        <w:rPr>
          <w:rFonts w:ascii="Times New Roman" w:hAnsi="Times New Roman" w:cs="Times New Roman"/>
          <w:bCs/>
          <w:iCs/>
          <w:sz w:val="24"/>
          <w:szCs w:val="24"/>
          <w:lang w:val="en-US"/>
        </w:rPr>
        <w:t xml:space="preserve">Third, </w:t>
      </w:r>
      <w:r w:rsidR="001A62EE" w:rsidRPr="00665F17">
        <w:rPr>
          <w:rFonts w:ascii="Times New Roman" w:hAnsi="Times New Roman" w:cs="Times New Roman"/>
          <w:bCs/>
          <w:iCs/>
          <w:sz w:val="24"/>
          <w:szCs w:val="24"/>
          <w:lang w:val="en-US"/>
        </w:rPr>
        <w:t>individual criminal responsibility</w:t>
      </w:r>
      <w:r w:rsidRPr="00665F17">
        <w:rPr>
          <w:rFonts w:ascii="Times New Roman" w:hAnsi="Times New Roman" w:cs="Times New Roman"/>
          <w:bCs/>
          <w:iCs/>
          <w:sz w:val="24"/>
          <w:szCs w:val="24"/>
          <w:lang w:val="en-US"/>
        </w:rPr>
        <w:t xml:space="preserve"> </w:t>
      </w:r>
      <w:r w:rsidR="001A62EE" w:rsidRPr="00665F17">
        <w:rPr>
          <w:rFonts w:ascii="Times New Roman" w:hAnsi="Times New Roman" w:cs="Times New Roman"/>
          <w:bCs/>
          <w:iCs/>
          <w:sz w:val="24"/>
          <w:szCs w:val="24"/>
          <w:lang w:val="en-US"/>
        </w:rPr>
        <w:t xml:space="preserve">is a well-established principle of </w:t>
      </w:r>
      <w:r w:rsidR="001A62EE" w:rsidRPr="00665F17">
        <w:rPr>
          <w:rFonts w:ascii="Times New Roman" w:hAnsi="Times New Roman" w:cs="Times New Roman"/>
          <w:bCs/>
          <w:sz w:val="24"/>
          <w:szCs w:val="24"/>
          <w:lang w:val="en-US"/>
        </w:rPr>
        <w:t>international law</w:t>
      </w:r>
      <w:r w:rsidR="00931BDF">
        <w:rPr>
          <w:rFonts w:ascii="Times New Roman" w:hAnsi="Times New Roman" w:cs="Times New Roman"/>
          <w:bCs/>
          <w:sz w:val="24"/>
          <w:szCs w:val="24"/>
          <w:lang w:val="en-US"/>
        </w:rPr>
        <w:t>,</w:t>
      </w:r>
      <w:r w:rsidR="001A62EE" w:rsidRPr="00665F17">
        <w:rPr>
          <w:rFonts w:ascii="Times New Roman" w:hAnsi="Times New Roman" w:cs="Times New Roman"/>
          <w:bCs/>
          <w:sz w:val="24"/>
          <w:szCs w:val="24"/>
          <w:lang w:val="en-US"/>
        </w:rPr>
        <w:t xml:space="preserve"> </w:t>
      </w:r>
      <w:r w:rsidR="009E10B3">
        <w:rPr>
          <w:rFonts w:ascii="Times New Roman" w:hAnsi="Times New Roman" w:cs="Times New Roman"/>
          <w:bCs/>
          <w:sz w:val="24"/>
          <w:szCs w:val="24"/>
          <w:lang w:val="en-US"/>
        </w:rPr>
        <w:t xml:space="preserve">applying to </w:t>
      </w:r>
      <w:r w:rsidR="001A62EE" w:rsidRPr="00665F17">
        <w:rPr>
          <w:rFonts w:ascii="Times New Roman" w:hAnsi="Times New Roman" w:cs="Times New Roman"/>
          <w:bCs/>
          <w:sz w:val="24"/>
          <w:szCs w:val="24"/>
          <w:lang w:val="en-US"/>
        </w:rPr>
        <w:t>grave breaches of human rights and of international humanitarian law. Th</w:t>
      </w:r>
      <w:r w:rsidR="008A3B66">
        <w:rPr>
          <w:rFonts w:ascii="Times New Roman" w:hAnsi="Times New Roman" w:cs="Times New Roman"/>
          <w:bCs/>
          <w:sz w:val="24"/>
          <w:szCs w:val="24"/>
          <w:lang w:val="en-US"/>
        </w:rPr>
        <w:t>e</w:t>
      </w:r>
      <w:r w:rsidR="001A62EE" w:rsidRPr="00665F17">
        <w:rPr>
          <w:rFonts w:ascii="Times New Roman" w:hAnsi="Times New Roman" w:cs="Times New Roman"/>
          <w:bCs/>
          <w:sz w:val="24"/>
          <w:szCs w:val="24"/>
          <w:lang w:val="en-US"/>
        </w:rPr>
        <w:t xml:space="preserve"> principle is now applicable to the field of international cultural heritage law so as to cover grave offen</w:t>
      </w:r>
      <w:r w:rsidR="003405A0">
        <w:rPr>
          <w:rFonts w:ascii="Times New Roman" w:hAnsi="Times New Roman" w:cs="Times New Roman"/>
          <w:bCs/>
          <w:sz w:val="24"/>
          <w:szCs w:val="24"/>
          <w:lang w:val="en-US"/>
        </w:rPr>
        <w:t>s</w:t>
      </w:r>
      <w:r w:rsidR="001A62EE" w:rsidRPr="00665F17">
        <w:rPr>
          <w:rFonts w:ascii="Times New Roman" w:hAnsi="Times New Roman" w:cs="Times New Roman"/>
          <w:bCs/>
          <w:sz w:val="24"/>
          <w:szCs w:val="24"/>
          <w:lang w:val="en-US"/>
        </w:rPr>
        <w:t xml:space="preserve">es against cultural heritage, and especially the intentional destruction of objects or sites of great importance for humanity, under the rubric of war crimes and crimes against humanity. Besides the case law of the ICTY examined </w:t>
      </w:r>
      <w:r w:rsidR="009418D5">
        <w:rPr>
          <w:rFonts w:ascii="Times New Roman" w:hAnsi="Times New Roman" w:cs="Times New Roman"/>
          <w:bCs/>
          <w:sz w:val="24"/>
          <w:szCs w:val="24"/>
          <w:lang w:val="en-US"/>
        </w:rPr>
        <w:t>above</w:t>
      </w:r>
      <w:r w:rsidR="001A62EE" w:rsidRPr="00665F17">
        <w:rPr>
          <w:rFonts w:ascii="Times New Roman" w:hAnsi="Times New Roman" w:cs="Times New Roman"/>
          <w:bCs/>
          <w:sz w:val="24"/>
          <w:szCs w:val="24"/>
          <w:lang w:val="en-US"/>
        </w:rPr>
        <w:t xml:space="preserve">, we must recall the judgment of the </w:t>
      </w:r>
      <w:r w:rsidR="009418D5">
        <w:rPr>
          <w:rFonts w:ascii="Times New Roman" w:hAnsi="Times New Roman" w:cs="Times New Roman"/>
          <w:bCs/>
          <w:sz w:val="24"/>
          <w:szCs w:val="24"/>
          <w:lang w:val="en-US"/>
        </w:rPr>
        <w:t xml:space="preserve">ICC </w:t>
      </w:r>
      <w:r w:rsidR="001A62EE" w:rsidRPr="00665F17">
        <w:rPr>
          <w:rFonts w:ascii="Times New Roman" w:hAnsi="Times New Roman" w:cs="Times New Roman"/>
          <w:bCs/>
          <w:sz w:val="24"/>
          <w:szCs w:val="24"/>
          <w:lang w:val="en-US"/>
        </w:rPr>
        <w:t xml:space="preserve">that, for the first time, has applied this principle to the crime of wanton destruction of cultural heritage in the 2016 </w:t>
      </w:r>
      <w:r w:rsidR="001A62EE" w:rsidRPr="00665F17">
        <w:rPr>
          <w:rFonts w:ascii="Times New Roman" w:hAnsi="Times New Roman" w:cs="Times New Roman"/>
          <w:bCs/>
          <w:i/>
          <w:sz w:val="24"/>
          <w:szCs w:val="24"/>
          <w:lang w:val="en-US"/>
        </w:rPr>
        <w:t>Al</w:t>
      </w:r>
      <w:r w:rsidR="009418D5">
        <w:rPr>
          <w:rFonts w:ascii="Times New Roman" w:hAnsi="Times New Roman" w:cs="Times New Roman"/>
          <w:bCs/>
          <w:i/>
          <w:sz w:val="24"/>
          <w:szCs w:val="24"/>
          <w:lang w:val="en-US"/>
        </w:rPr>
        <w:t xml:space="preserve"> </w:t>
      </w:r>
      <w:r w:rsidR="001A62EE" w:rsidRPr="00665F17">
        <w:rPr>
          <w:rFonts w:ascii="Times New Roman" w:hAnsi="Times New Roman" w:cs="Times New Roman"/>
          <w:bCs/>
          <w:i/>
          <w:sz w:val="24"/>
          <w:szCs w:val="24"/>
          <w:lang w:val="en-US"/>
        </w:rPr>
        <w:t>Mahdi</w:t>
      </w:r>
      <w:r w:rsidR="00023A42" w:rsidRPr="00665F17">
        <w:rPr>
          <w:rFonts w:ascii="Times New Roman" w:hAnsi="Times New Roman" w:cs="Times New Roman"/>
          <w:bCs/>
          <w:sz w:val="24"/>
          <w:szCs w:val="24"/>
          <w:lang w:val="en-US"/>
        </w:rPr>
        <w:t xml:space="preserve"> </w:t>
      </w:r>
      <w:r w:rsidR="001A62EE" w:rsidRPr="00665F17">
        <w:rPr>
          <w:rFonts w:ascii="Times New Roman" w:hAnsi="Times New Roman" w:cs="Times New Roman"/>
          <w:bCs/>
          <w:sz w:val="24"/>
          <w:szCs w:val="24"/>
          <w:lang w:val="en-US"/>
        </w:rPr>
        <w:t xml:space="preserve">case. </w:t>
      </w:r>
    </w:p>
    <w:p w14:paraId="5BCC8782" w14:textId="4EF94BF4" w:rsidR="001A62EE" w:rsidRPr="00912992" w:rsidRDefault="00860951" w:rsidP="000D3355">
      <w:pPr>
        <w:pStyle w:val="ListParagraph"/>
        <w:spacing w:line="480" w:lineRule="auto"/>
        <w:ind w:left="0" w:firstLine="708"/>
        <w:jc w:val="both"/>
        <w:rPr>
          <w:rFonts w:ascii="Times New Roman" w:hAnsi="Times New Roman" w:cs="Times New Roman"/>
          <w:bCs/>
          <w:i/>
          <w:sz w:val="24"/>
          <w:szCs w:val="24"/>
          <w:lang w:val="en-US"/>
        </w:rPr>
      </w:pPr>
      <w:r>
        <w:rPr>
          <w:rFonts w:ascii="Times New Roman" w:hAnsi="Times New Roman" w:cs="Times New Roman"/>
          <w:bCs/>
          <w:iCs/>
          <w:sz w:val="24"/>
          <w:szCs w:val="24"/>
          <w:lang w:val="en-US"/>
        </w:rPr>
        <w:t>F</w:t>
      </w:r>
      <w:r w:rsidR="002B2222" w:rsidRPr="00665F17">
        <w:rPr>
          <w:rFonts w:ascii="Times New Roman" w:hAnsi="Times New Roman" w:cs="Times New Roman"/>
          <w:bCs/>
          <w:iCs/>
          <w:sz w:val="24"/>
          <w:szCs w:val="24"/>
          <w:lang w:val="en-US"/>
        </w:rPr>
        <w:t>ourth is e</w:t>
      </w:r>
      <w:r w:rsidR="001A62EE" w:rsidRPr="00665F17">
        <w:rPr>
          <w:rFonts w:ascii="Times New Roman" w:hAnsi="Times New Roman" w:cs="Times New Roman"/>
          <w:bCs/>
          <w:iCs/>
          <w:sz w:val="24"/>
          <w:szCs w:val="24"/>
          <w:lang w:val="en-US"/>
        </w:rPr>
        <w:t>lementary considerations of humanity</w:t>
      </w:r>
      <w:r w:rsidR="002B2222">
        <w:rPr>
          <w:rFonts w:ascii="Times New Roman" w:hAnsi="Times New Roman" w:cs="Times New Roman"/>
          <w:bCs/>
          <w:iCs/>
          <w:sz w:val="24"/>
          <w:szCs w:val="24"/>
          <w:lang w:val="en-US"/>
        </w:rPr>
        <w:t>,</w:t>
      </w:r>
      <w:r w:rsidR="001A62EE" w:rsidRPr="00375FDB">
        <w:rPr>
          <w:rFonts w:ascii="Times New Roman" w:hAnsi="Times New Roman" w:cs="Times New Roman"/>
          <w:bCs/>
          <w:iCs/>
          <w:sz w:val="24"/>
          <w:szCs w:val="24"/>
          <w:lang w:val="en-US"/>
        </w:rPr>
        <w:t xml:space="preserve"> </w:t>
      </w:r>
      <w:r w:rsidR="002B2222">
        <w:rPr>
          <w:rFonts w:ascii="Times New Roman" w:hAnsi="Times New Roman" w:cs="Times New Roman"/>
          <w:bCs/>
          <w:iCs/>
          <w:sz w:val="24"/>
          <w:szCs w:val="24"/>
          <w:lang w:val="en-US"/>
        </w:rPr>
        <w:t xml:space="preserve">which </w:t>
      </w:r>
      <w:r w:rsidR="001A62EE" w:rsidRPr="00375FDB">
        <w:rPr>
          <w:rFonts w:ascii="Times New Roman" w:hAnsi="Times New Roman" w:cs="Times New Roman"/>
          <w:bCs/>
          <w:iCs/>
          <w:sz w:val="24"/>
          <w:szCs w:val="24"/>
          <w:lang w:val="en-US"/>
        </w:rPr>
        <w:t xml:space="preserve">has evolved </w:t>
      </w:r>
      <w:r w:rsidR="001A62EE" w:rsidRPr="00912992">
        <w:rPr>
          <w:rFonts w:ascii="Times New Roman" w:hAnsi="Times New Roman" w:cs="Times New Roman"/>
          <w:bCs/>
          <w:sz w:val="24"/>
          <w:szCs w:val="24"/>
          <w:lang w:val="en-US"/>
        </w:rPr>
        <w:t xml:space="preserve">within the corpus of international humanitarian law and from the Martens </w:t>
      </w:r>
      <w:r w:rsidR="007875A2">
        <w:rPr>
          <w:rFonts w:ascii="Times New Roman" w:hAnsi="Times New Roman" w:cs="Times New Roman"/>
          <w:bCs/>
          <w:sz w:val="24"/>
          <w:szCs w:val="24"/>
          <w:lang w:val="en-US"/>
        </w:rPr>
        <w:t>C</w:t>
      </w:r>
      <w:r w:rsidR="001A62EE" w:rsidRPr="00912992">
        <w:rPr>
          <w:rFonts w:ascii="Times New Roman" w:hAnsi="Times New Roman" w:cs="Times New Roman"/>
          <w:bCs/>
          <w:sz w:val="24"/>
          <w:szCs w:val="24"/>
          <w:lang w:val="en-US"/>
        </w:rPr>
        <w:t xml:space="preserve">lause contained in the preamble of the 1907 Convention (IV) on the Laws and Customs of War. It was reaffirmed as a principle of general application by the ICJ in </w:t>
      </w:r>
      <w:r w:rsidR="00D16AE1">
        <w:rPr>
          <w:rFonts w:ascii="Times New Roman" w:hAnsi="Times New Roman" w:cs="Times New Roman"/>
          <w:bCs/>
          <w:sz w:val="24"/>
          <w:szCs w:val="24"/>
          <w:lang w:val="en-US"/>
        </w:rPr>
        <w:t>194</w:t>
      </w:r>
      <w:r w:rsidR="0099602E">
        <w:rPr>
          <w:rFonts w:ascii="Times New Roman" w:hAnsi="Times New Roman" w:cs="Times New Roman"/>
          <w:bCs/>
          <w:sz w:val="24"/>
          <w:szCs w:val="24"/>
          <w:lang w:val="en-US"/>
        </w:rPr>
        <w:t>9</w:t>
      </w:r>
      <w:r w:rsidR="00D16AE1">
        <w:rPr>
          <w:rFonts w:ascii="Times New Roman" w:hAnsi="Times New Roman" w:cs="Times New Roman"/>
          <w:bCs/>
          <w:sz w:val="24"/>
          <w:szCs w:val="24"/>
          <w:lang w:val="en-US"/>
        </w:rPr>
        <w:t xml:space="preserve"> in </w:t>
      </w:r>
      <w:r w:rsidR="001A62EE" w:rsidRPr="00912992">
        <w:rPr>
          <w:rFonts w:ascii="Times New Roman" w:hAnsi="Times New Roman" w:cs="Times New Roman"/>
          <w:bCs/>
          <w:sz w:val="24"/>
          <w:szCs w:val="24"/>
          <w:lang w:val="en-US"/>
        </w:rPr>
        <w:t xml:space="preserve">the </w:t>
      </w:r>
      <w:r w:rsidR="001A62EE" w:rsidRPr="00912992">
        <w:rPr>
          <w:rFonts w:ascii="Times New Roman" w:hAnsi="Times New Roman" w:cs="Times New Roman"/>
          <w:bCs/>
          <w:i/>
          <w:sz w:val="24"/>
          <w:szCs w:val="24"/>
          <w:lang w:val="en-US"/>
        </w:rPr>
        <w:t xml:space="preserve">Corfu Channel </w:t>
      </w:r>
      <w:r w:rsidR="001A62EE" w:rsidRPr="00912992">
        <w:rPr>
          <w:rFonts w:ascii="Times New Roman" w:hAnsi="Times New Roman" w:cs="Times New Roman"/>
          <w:bCs/>
          <w:sz w:val="24"/>
          <w:szCs w:val="24"/>
          <w:lang w:val="en-US"/>
        </w:rPr>
        <w:t>case</w:t>
      </w:r>
      <w:r w:rsidR="009B5FDC" w:rsidRPr="009B5FDC">
        <w:t xml:space="preserve"> </w:t>
      </w:r>
      <w:r w:rsidR="009B5FDC" w:rsidRPr="009B5FDC">
        <w:rPr>
          <w:rFonts w:ascii="Times New Roman" w:hAnsi="Times New Roman" w:cs="Times New Roman"/>
          <w:bCs/>
          <w:sz w:val="24"/>
          <w:szCs w:val="24"/>
          <w:lang w:val="en-US"/>
        </w:rPr>
        <w:t>(United Kingdom v. Albania)</w:t>
      </w:r>
      <w:r w:rsidR="001A62EE" w:rsidRPr="00912992">
        <w:rPr>
          <w:rFonts w:ascii="Times New Roman" w:hAnsi="Times New Roman" w:cs="Times New Roman"/>
          <w:bCs/>
          <w:sz w:val="24"/>
          <w:szCs w:val="24"/>
          <w:lang w:val="en-US"/>
        </w:rPr>
        <w:t xml:space="preserve">, and it </w:t>
      </w:r>
      <w:r w:rsidR="0099602E">
        <w:rPr>
          <w:rFonts w:ascii="Times New Roman" w:hAnsi="Times New Roman" w:cs="Times New Roman"/>
          <w:bCs/>
          <w:sz w:val="24"/>
          <w:szCs w:val="24"/>
          <w:lang w:val="en-US"/>
        </w:rPr>
        <w:t xml:space="preserve">was </w:t>
      </w:r>
      <w:r w:rsidR="001A62EE" w:rsidRPr="00912992">
        <w:rPr>
          <w:rFonts w:ascii="Times New Roman" w:hAnsi="Times New Roman" w:cs="Times New Roman"/>
          <w:bCs/>
          <w:sz w:val="24"/>
          <w:szCs w:val="24"/>
          <w:lang w:val="en-US"/>
        </w:rPr>
        <w:t xml:space="preserve">incorporated in the 2003 UNESCO </w:t>
      </w:r>
      <w:r w:rsidR="0099602E">
        <w:rPr>
          <w:rFonts w:ascii="Times New Roman" w:hAnsi="Times New Roman" w:cs="Times New Roman"/>
          <w:bCs/>
          <w:sz w:val="24"/>
          <w:szCs w:val="24"/>
          <w:lang w:val="en-US"/>
        </w:rPr>
        <w:t>d</w:t>
      </w:r>
      <w:r w:rsidR="001A62EE" w:rsidRPr="00912992">
        <w:rPr>
          <w:rFonts w:ascii="Times New Roman" w:hAnsi="Times New Roman" w:cs="Times New Roman"/>
          <w:bCs/>
          <w:sz w:val="24"/>
          <w:szCs w:val="24"/>
          <w:lang w:val="en-US"/>
        </w:rPr>
        <w:t>eclaration. Its role in relation to cultural heritage becomes especially relevant in all those cases in which its destruction is part of a criminal enterprise of persecution of a cultural minority and of a pattern of gross and systematic violations of human rights.</w:t>
      </w:r>
      <w:r w:rsidR="001A62EE" w:rsidRPr="00912992">
        <w:rPr>
          <w:rStyle w:val="EndnoteReference"/>
          <w:rFonts w:ascii="Times New Roman" w:hAnsi="Times New Roman" w:cs="Times New Roman"/>
          <w:bCs/>
          <w:sz w:val="24"/>
          <w:szCs w:val="24"/>
          <w:lang w:val="en-US"/>
        </w:rPr>
        <w:endnoteReference w:id="46"/>
      </w:r>
    </w:p>
    <w:p w14:paraId="57D9DCF7" w14:textId="6D293ECB" w:rsidR="001A62EE" w:rsidRPr="00912992" w:rsidRDefault="00183C23" w:rsidP="000D3355">
      <w:pPr>
        <w:spacing w:line="480" w:lineRule="auto"/>
        <w:jc w:val="both"/>
        <w:rPr>
          <w:rFonts w:ascii="Times New Roman" w:hAnsi="Times New Roman" w:cs="Times New Roman"/>
          <w:bCs/>
          <w:sz w:val="24"/>
          <w:szCs w:val="24"/>
          <w:lang w:val="en-US"/>
        </w:rPr>
      </w:pPr>
      <w:r>
        <w:rPr>
          <w:rFonts w:ascii="Times New Roman" w:hAnsi="Times New Roman" w:cs="Times New Roman"/>
          <w:bCs/>
          <w:i/>
          <w:iCs/>
          <w:sz w:val="24"/>
          <w:szCs w:val="24"/>
          <w:lang w:val="en-US"/>
        </w:rPr>
        <w:tab/>
      </w:r>
      <w:r w:rsidR="00880443" w:rsidRPr="001C33AA">
        <w:rPr>
          <w:rFonts w:ascii="Times New Roman" w:hAnsi="Times New Roman" w:cs="Times New Roman"/>
          <w:bCs/>
          <w:iCs/>
          <w:sz w:val="24"/>
          <w:szCs w:val="24"/>
          <w:lang w:val="en-US"/>
        </w:rPr>
        <w:t>The</w:t>
      </w:r>
      <w:r w:rsidR="00880443">
        <w:rPr>
          <w:rFonts w:ascii="Times New Roman" w:hAnsi="Times New Roman" w:cs="Times New Roman"/>
          <w:bCs/>
          <w:iCs/>
          <w:sz w:val="24"/>
          <w:szCs w:val="24"/>
          <w:lang w:val="en-US"/>
        </w:rPr>
        <w:t xml:space="preserve"> </w:t>
      </w:r>
      <w:r w:rsidR="00880443">
        <w:rPr>
          <w:rFonts w:ascii="Times New Roman" w:hAnsi="Times New Roman" w:cs="Times New Roman"/>
          <w:bCs/>
          <w:sz w:val="24"/>
          <w:szCs w:val="24"/>
          <w:lang w:val="en-US"/>
        </w:rPr>
        <w:t>f</w:t>
      </w:r>
      <w:r w:rsidR="00EC448F" w:rsidRPr="00375FDB">
        <w:rPr>
          <w:rFonts w:ascii="Times New Roman" w:hAnsi="Times New Roman" w:cs="Times New Roman"/>
          <w:bCs/>
          <w:sz w:val="24"/>
          <w:szCs w:val="24"/>
          <w:lang w:val="en-US"/>
        </w:rPr>
        <w:t>ifth</w:t>
      </w:r>
      <w:r w:rsidR="00860951">
        <w:rPr>
          <w:rFonts w:ascii="Times New Roman" w:hAnsi="Times New Roman" w:cs="Times New Roman"/>
          <w:bCs/>
          <w:sz w:val="24"/>
          <w:szCs w:val="24"/>
          <w:lang w:val="en-US"/>
        </w:rPr>
        <w:t xml:space="preserve"> </w:t>
      </w:r>
      <w:r w:rsidR="00880443" w:rsidRPr="001C33AA">
        <w:rPr>
          <w:rFonts w:ascii="Times New Roman" w:hAnsi="Times New Roman" w:cs="Times New Roman"/>
          <w:bCs/>
          <w:iCs/>
          <w:sz w:val="24"/>
          <w:szCs w:val="24"/>
          <w:lang w:val="en-US"/>
        </w:rPr>
        <w:t>principle</w:t>
      </w:r>
      <w:r w:rsidR="00880443" w:rsidRPr="00375FDB">
        <w:rPr>
          <w:rFonts w:ascii="Times New Roman" w:hAnsi="Times New Roman" w:cs="Times New Roman"/>
          <w:bCs/>
          <w:sz w:val="24"/>
          <w:szCs w:val="24"/>
          <w:lang w:val="en-US"/>
        </w:rPr>
        <w:t xml:space="preserve"> </w:t>
      </w:r>
      <w:r w:rsidR="00EC448F" w:rsidRPr="00375FDB">
        <w:rPr>
          <w:rFonts w:ascii="Times New Roman" w:hAnsi="Times New Roman" w:cs="Times New Roman"/>
          <w:bCs/>
          <w:sz w:val="24"/>
          <w:szCs w:val="24"/>
          <w:lang w:val="en-US"/>
        </w:rPr>
        <w:t xml:space="preserve">is </w:t>
      </w:r>
      <w:r w:rsidR="00880443">
        <w:rPr>
          <w:rFonts w:ascii="Times New Roman" w:hAnsi="Times New Roman" w:cs="Times New Roman"/>
          <w:bCs/>
          <w:sz w:val="24"/>
          <w:szCs w:val="24"/>
          <w:lang w:val="en-US"/>
        </w:rPr>
        <w:t xml:space="preserve">that </w:t>
      </w:r>
      <w:r w:rsidR="00EC448F" w:rsidRPr="00375FDB">
        <w:rPr>
          <w:rFonts w:ascii="Times New Roman" w:hAnsi="Times New Roman" w:cs="Times New Roman"/>
          <w:bCs/>
          <w:sz w:val="24"/>
          <w:szCs w:val="24"/>
          <w:lang w:val="en-US"/>
        </w:rPr>
        <w:t xml:space="preserve">of </w:t>
      </w:r>
      <w:r w:rsidR="00EC448F" w:rsidRPr="00665F17">
        <w:rPr>
          <w:rFonts w:ascii="Times New Roman" w:hAnsi="Times New Roman" w:cs="Times New Roman"/>
          <w:bCs/>
          <w:sz w:val="24"/>
          <w:szCs w:val="24"/>
          <w:lang w:val="en-US"/>
        </w:rPr>
        <w:t>cultural heritage as part of the heritage of humanity</w:t>
      </w:r>
      <w:r w:rsidR="00977E65">
        <w:rPr>
          <w:rFonts w:ascii="Times New Roman" w:hAnsi="Times New Roman" w:cs="Times New Roman"/>
          <w:bCs/>
          <w:sz w:val="24"/>
          <w:szCs w:val="24"/>
          <w:lang w:val="en-US"/>
        </w:rPr>
        <w:t>.</w:t>
      </w:r>
      <w:r w:rsidR="00EC448F" w:rsidRPr="00375FDB">
        <w:rPr>
          <w:rFonts w:ascii="Times New Roman" w:hAnsi="Times New Roman" w:cs="Times New Roman"/>
          <w:bCs/>
          <w:sz w:val="24"/>
          <w:szCs w:val="24"/>
          <w:lang w:val="en-US"/>
        </w:rPr>
        <w:t xml:space="preserve"> </w:t>
      </w:r>
      <w:r w:rsidR="00977E65">
        <w:rPr>
          <w:rFonts w:ascii="Times New Roman" w:hAnsi="Times New Roman" w:cs="Times New Roman"/>
          <w:bCs/>
          <w:sz w:val="24"/>
          <w:szCs w:val="24"/>
          <w:lang w:val="en-US"/>
        </w:rPr>
        <w:t xml:space="preserve">It </w:t>
      </w:r>
      <w:r w:rsidR="001A62EE" w:rsidRPr="00912992">
        <w:rPr>
          <w:rFonts w:ascii="Times New Roman" w:hAnsi="Times New Roman" w:cs="Times New Roman"/>
          <w:bCs/>
          <w:sz w:val="24"/>
          <w:szCs w:val="24"/>
          <w:lang w:val="en-US"/>
        </w:rPr>
        <w:t>entails the</w:t>
      </w:r>
      <w:r>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 xml:space="preserve">conceptualization of cultural heritage as part of the collective interest of humanity to the protection of the infinite variety of its cultural expressions and their transmission to future generations. The first articulation of this principle can be traced to </w:t>
      </w:r>
      <w:r w:rsidR="000C5C9B">
        <w:rPr>
          <w:rFonts w:ascii="Times New Roman" w:hAnsi="Times New Roman" w:cs="Times New Roman"/>
          <w:bCs/>
          <w:sz w:val="24"/>
          <w:szCs w:val="24"/>
          <w:lang w:val="en-US"/>
        </w:rPr>
        <w:t xml:space="preserve">an </w:t>
      </w:r>
      <w:r w:rsidR="001A62EE" w:rsidRPr="00912992">
        <w:rPr>
          <w:rFonts w:ascii="Times New Roman" w:hAnsi="Times New Roman" w:cs="Times New Roman"/>
          <w:bCs/>
          <w:sz w:val="24"/>
          <w:szCs w:val="24"/>
          <w:lang w:val="en-US"/>
        </w:rPr>
        <w:t xml:space="preserve">1803 </w:t>
      </w:r>
      <w:r w:rsidR="000C5C9B">
        <w:rPr>
          <w:rFonts w:ascii="Times New Roman" w:hAnsi="Times New Roman" w:cs="Times New Roman"/>
          <w:bCs/>
          <w:sz w:val="24"/>
          <w:szCs w:val="24"/>
          <w:lang w:val="en-US"/>
        </w:rPr>
        <w:t>Canadian military</w:t>
      </w:r>
      <w:r w:rsidR="000C5C9B" w:rsidRPr="00912992">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case</w:t>
      </w:r>
      <w:r w:rsidR="000C5C9B">
        <w:rPr>
          <w:rFonts w:ascii="Times New Roman" w:hAnsi="Times New Roman" w:cs="Times New Roman"/>
          <w:bCs/>
          <w:sz w:val="24"/>
          <w:szCs w:val="24"/>
          <w:lang w:val="en-US"/>
        </w:rPr>
        <w:t>,</w:t>
      </w:r>
      <w:r w:rsidR="001A62EE" w:rsidRPr="00912992">
        <w:rPr>
          <w:rFonts w:ascii="Times New Roman" w:hAnsi="Times New Roman" w:cs="Times New Roman"/>
          <w:bCs/>
          <w:sz w:val="24"/>
          <w:szCs w:val="24"/>
          <w:lang w:val="en-US"/>
        </w:rPr>
        <w:t xml:space="preserve"> </w:t>
      </w:r>
      <w:r w:rsidR="001A62EE" w:rsidRPr="00912992">
        <w:rPr>
          <w:rFonts w:ascii="Times New Roman" w:hAnsi="Times New Roman" w:cs="Times New Roman"/>
          <w:bCs/>
          <w:i/>
          <w:iCs/>
          <w:sz w:val="24"/>
          <w:szCs w:val="24"/>
          <w:lang w:val="en-US"/>
        </w:rPr>
        <w:t>The Marquis de Somerueles</w:t>
      </w:r>
      <w:r w:rsidR="000C5C9B">
        <w:rPr>
          <w:rFonts w:ascii="Times New Roman" w:hAnsi="Times New Roman" w:cs="Times New Roman"/>
          <w:bCs/>
          <w:sz w:val="24"/>
          <w:szCs w:val="24"/>
          <w:lang w:val="en-US"/>
        </w:rPr>
        <w:t>,</w:t>
      </w:r>
      <w:r w:rsidR="001A62EE" w:rsidRPr="00912992">
        <w:rPr>
          <w:rStyle w:val="EndnoteReference"/>
          <w:rFonts w:ascii="Times New Roman" w:hAnsi="Times New Roman" w:cs="Times New Roman"/>
          <w:bCs/>
          <w:sz w:val="24"/>
          <w:szCs w:val="24"/>
          <w:lang w:val="en-US"/>
        </w:rPr>
        <w:endnoteReference w:id="47"/>
      </w:r>
      <w:r w:rsidR="001A62EE" w:rsidRPr="00912992">
        <w:rPr>
          <w:rFonts w:ascii="Times New Roman" w:hAnsi="Times New Roman" w:cs="Times New Roman"/>
          <w:bCs/>
          <w:sz w:val="24"/>
          <w:szCs w:val="24"/>
          <w:lang w:val="en-US"/>
        </w:rPr>
        <w:t xml:space="preserve"> and, later, it can be found in the </w:t>
      </w:r>
      <w:r w:rsidR="0071009A">
        <w:rPr>
          <w:rFonts w:ascii="Times New Roman" w:hAnsi="Times New Roman" w:cs="Times New Roman"/>
          <w:bCs/>
          <w:sz w:val="24"/>
          <w:szCs w:val="24"/>
          <w:lang w:val="en-US"/>
        </w:rPr>
        <w:t>p</w:t>
      </w:r>
      <w:r w:rsidR="001A62EE" w:rsidRPr="00912992">
        <w:rPr>
          <w:rFonts w:ascii="Times New Roman" w:hAnsi="Times New Roman" w:cs="Times New Roman"/>
          <w:bCs/>
          <w:sz w:val="24"/>
          <w:szCs w:val="24"/>
          <w:lang w:val="en-US"/>
        </w:rPr>
        <w:t>reamble of the 1954 Hague Convention, whose second paragraph reads:</w:t>
      </w:r>
      <w:r w:rsidR="00E30A1B">
        <w:rPr>
          <w:rFonts w:ascii="Times New Roman" w:hAnsi="Times New Roman" w:cs="Times New Roman"/>
          <w:bCs/>
          <w:sz w:val="24"/>
          <w:szCs w:val="24"/>
          <w:lang w:val="en-US"/>
        </w:rPr>
        <w:t xml:space="preserve"> </w:t>
      </w:r>
      <w:r w:rsidR="001A62EE" w:rsidRPr="00912992">
        <w:rPr>
          <w:rFonts w:ascii="Times New Roman" w:hAnsi="Times New Roman" w:cs="Times New Roman"/>
          <w:bCs/>
          <w:sz w:val="24"/>
          <w:szCs w:val="24"/>
          <w:lang w:val="en-US"/>
        </w:rPr>
        <w:t>“Being convinced that damage to cultural property belonging to any peoples whatsoever means damage to the cultural heritage of mankind, since each people makes its contribution to the culture of the world</w:t>
      </w:r>
      <w:r w:rsidR="00084914">
        <w:rPr>
          <w:rFonts w:ascii="Times New Roman" w:hAnsi="Times New Roman" w:cs="Times New Roman"/>
          <w:bCs/>
          <w:sz w:val="24"/>
          <w:szCs w:val="24"/>
          <w:lang w:val="en-US"/>
        </w:rPr>
        <w:t>.”</w:t>
      </w:r>
    </w:p>
    <w:p w14:paraId="5E7F9CA8" w14:textId="05DC9F14" w:rsidR="001A62EE" w:rsidRDefault="001A62E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b/>
        <w:t xml:space="preserve">This innovative idea of cultural property as part of </w:t>
      </w:r>
      <w:r w:rsidR="00CF231B">
        <w:rPr>
          <w:rFonts w:ascii="Times New Roman" w:hAnsi="Times New Roman" w:cs="Times New Roman"/>
          <w:bCs/>
          <w:sz w:val="24"/>
          <w:szCs w:val="24"/>
          <w:lang w:val="en-US"/>
        </w:rPr>
        <w:t xml:space="preserve">the </w:t>
      </w:r>
      <w:r w:rsidRPr="00912992">
        <w:rPr>
          <w:rFonts w:ascii="Times New Roman" w:hAnsi="Times New Roman" w:cs="Times New Roman"/>
          <w:bCs/>
          <w:sz w:val="24"/>
          <w:szCs w:val="24"/>
          <w:lang w:val="en-US"/>
        </w:rPr>
        <w:t xml:space="preserve">cultural heritage of humanity did not develop in a vacuum. It is rooted in the more general political philosophy and constitutional objectives underlying the UN efforts at rebuilding the bases of human civilization in 1945, after the war and the catastrophe of the genocide. We can recall that the </w:t>
      </w:r>
      <w:r w:rsidR="0071009A">
        <w:rPr>
          <w:rFonts w:ascii="Times New Roman" w:hAnsi="Times New Roman" w:cs="Times New Roman"/>
          <w:bCs/>
          <w:sz w:val="24"/>
          <w:szCs w:val="24"/>
          <w:lang w:val="en-US"/>
        </w:rPr>
        <w:t>p</w:t>
      </w:r>
      <w:r w:rsidRPr="00912992">
        <w:rPr>
          <w:rFonts w:ascii="Times New Roman" w:hAnsi="Times New Roman" w:cs="Times New Roman"/>
          <w:bCs/>
          <w:sz w:val="24"/>
          <w:szCs w:val="24"/>
          <w:lang w:val="en-US"/>
        </w:rPr>
        <w:t>reamble of the UNESCO Constitution warned that: “</w:t>
      </w:r>
      <w:r w:rsidR="00537E3C">
        <w:rPr>
          <w:rFonts w:ascii="Times New Roman" w:hAnsi="Times New Roman" w:cs="Times New Roman"/>
          <w:bCs/>
          <w:sz w:val="24"/>
          <w:szCs w:val="24"/>
          <w:lang w:val="en-US"/>
        </w:rPr>
        <w:t>A</w:t>
      </w:r>
      <w:r w:rsidRPr="00912992">
        <w:rPr>
          <w:rFonts w:ascii="Times New Roman" w:hAnsi="Times New Roman" w:cs="Times New Roman"/>
          <w:bCs/>
          <w:sz w:val="24"/>
          <w:szCs w:val="24"/>
          <w:lang w:val="en-US"/>
        </w:rPr>
        <w:t xml:space="preserve"> peace based exclusively upon the political and economic arrangements of governments would not be a peace which would secure the unanimous, lasting and sincere support of the peoples of the world, and that peace must therefore be founded, if it is not to fail, on the intellectual and moral solidarity of mankind</w:t>
      </w:r>
      <w:r w:rsidR="00084914">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ab/>
      </w:r>
    </w:p>
    <w:p w14:paraId="5562DADF" w14:textId="77777777" w:rsidR="00EC448F" w:rsidRPr="00912992" w:rsidRDefault="00EC448F" w:rsidP="000D3355">
      <w:pPr>
        <w:spacing w:line="480" w:lineRule="auto"/>
        <w:jc w:val="both"/>
        <w:rPr>
          <w:rFonts w:ascii="Times New Roman" w:hAnsi="Times New Roman" w:cs="Times New Roman"/>
          <w:bCs/>
          <w:sz w:val="24"/>
          <w:szCs w:val="24"/>
          <w:lang w:val="en-US"/>
        </w:rPr>
      </w:pPr>
    </w:p>
    <w:p w14:paraId="60AE7F63" w14:textId="7BCF6FBE" w:rsidR="001A62EE" w:rsidRPr="00912992" w:rsidRDefault="001A62EE" w:rsidP="00B73BA8">
      <w:pPr>
        <w:pStyle w:val="Heading2"/>
        <w:spacing w:line="480" w:lineRule="auto"/>
        <w:rPr>
          <w:lang w:val="en-US"/>
        </w:rPr>
      </w:pPr>
      <w:r w:rsidRPr="00912992">
        <w:rPr>
          <w:lang w:val="en-US"/>
        </w:rPr>
        <w:t>Principles of Progressive Realization</w:t>
      </w:r>
    </w:p>
    <w:p w14:paraId="6A71A87F" w14:textId="5252B74F" w:rsidR="001A62EE" w:rsidRPr="00912992" w:rsidRDefault="001A62EE" w:rsidP="000D3355">
      <w:pPr>
        <w:spacing w:line="480" w:lineRule="auto"/>
        <w:jc w:val="both"/>
        <w:rPr>
          <w:rFonts w:ascii="Times New Roman" w:hAnsi="Times New Roman" w:cs="Times New Roman"/>
          <w:sz w:val="24"/>
          <w:szCs w:val="24"/>
          <w:lang w:val="en-US"/>
        </w:rPr>
      </w:pPr>
      <w:r w:rsidRPr="00912992">
        <w:rPr>
          <w:rFonts w:ascii="Times New Roman" w:hAnsi="Times New Roman" w:cs="Times New Roman"/>
          <w:sz w:val="24"/>
          <w:szCs w:val="24"/>
          <w:lang w:val="en-US"/>
        </w:rPr>
        <w:t xml:space="preserve">Cultural heritage law, like other areas of international law, such as environmental protection, has seen the emergence of general principles that we can define as norms “of progressive realization” because they set goals and standards of </w:t>
      </w:r>
      <w:r w:rsidR="00C02FDF">
        <w:rPr>
          <w:rFonts w:ascii="Times New Roman" w:hAnsi="Times New Roman" w:cs="Times New Roman"/>
          <w:sz w:val="24"/>
          <w:szCs w:val="24"/>
          <w:lang w:val="en-US"/>
        </w:rPr>
        <w:t>gradual</w:t>
      </w:r>
      <w:r w:rsidR="00C02FDF" w:rsidRPr="00912992">
        <w:rPr>
          <w:rFonts w:ascii="Times New Roman" w:hAnsi="Times New Roman" w:cs="Times New Roman"/>
          <w:sz w:val="24"/>
          <w:szCs w:val="24"/>
          <w:lang w:val="en-US"/>
        </w:rPr>
        <w:t xml:space="preserve"> </w:t>
      </w:r>
      <w:r w:rsidRPr="00912992">
        <w:rPr>
          <w:rFonts w:ascii="Times New Roman" w:hAnsi="Times New Roman" w:cs="Times New Roman"/>
          <w:sz w:val="24"/>
          <w:szCs w:val="24"/>
          <w:lang w:val="en-US"/>
        </w:rPr>
        <w:t xml:space="preserve">achievement without prescribing a mandatory course of action for states. One such principle is </w:t>
      </w:r>
      <w:r w:rsidR="00C02FDF">
        <w:rPr>
          <w:rFonts w:ascii="Times New Roman" w:hAnsi="Times New Roman" w:cs="Times New Roman"/>
          <w:sz w:val="24"/>
          <w:szCs w:val="24"/>
          <w:lang w:val="en-US"/>
        </w:rPr>
        <w:t>that</w:t>
      </w:r>
      <w:r w:rsidRPr="00912992">
        <w:rPr>
          <w:rFonts w:ascii="Times New Roman" w:hAnsi="Times New Roman" w:cs="Times New Roman"/>
          <w:sz w:val="24"/>
          <w:szCs w:val="24"/>
          <w:lang w:val="en-US"/>
        </w:rPr>
        <w:t xml:space="preserve"> of sustainable development proclaimed </w:t>
      </w:r>
      <w:r w:rsidR="00B55424">
        <w:rPr>
          <w:rFonts w:ascii="Times New Roman" w:hAnsi="Times New Roman" w:cs="Times New Roman"/>
          <w:sz w:val="24"/>
          <w:szCs w:val="24"/>
          <w:lang w:val="en-US"/>
        </w:rPr>
        <w:t>in</w:t>
      </w:r>
      <w:r w:rsidR="00B55424" w:rsidRPr="00912992">
        <w:rPr>
          <w:rFonts w:ascii="Times New Roman" w:hAnsi="Times New Roman" w:cs="Times New Roman"/>
          <w:sz w:val="24"/>
          <w:szCs w:val="24"/>
          <w:lang w:val="en-US"/>
        </w:rPr>
        <w:t xml:space="preserve"> </w:t>
      </w:r>
      <w:r w:rsidRPr="00912992">
        <w:rPr>
          <w:rFonts w:ascii="Times New Roman" w:hAnsi="Times New Roman" w:cs="Times New Roman"/>
          <w:sz w:val="24"/>
          <w:szCs w:val="24"/>
          <w:lang w:val="en-US"/>
        </w:rPr>
        <w:t xml:space="preserve">the 1992 Rio Declaration on </w:t>
      </w:r>
      <w:r w:rsidR="004D4325">
        <w:rPr>
          <w:rFonts w:ascii="Times New Roman" w:hAnsi="Times New Roman" w:cs="Times New Roman"/>
          <w:sz w:val="24"/>
          <w:szCs w:val="24"/>
          <w:lang w:val="en-US"/>
        </w:rPr>
        <w:t>E</w:t>
      </w:r>
      <w:r w:rsidRPr="00912992">
        <w:rPr>
          <w:rFonts w:ascii="Times New Roman" w:hAnsi="Times New Roman" w:cs="Times New Roman"/>
          <w:sz w:val="24"/>
          <w:szCs w:val="24"/>
          <w:lang w:val="en-US"/>
        </w:rPr>
        <w:t xml:space="preserve">nvironment and </w:t>
      </w:r>
      <w:r w:rsidR="004D4325">
        <w:rPr>
          <w:rFonts w:ascii="Times New Roman" w:hAnsi="Times New Roman" w:cs="Times New Roman"/>
          <w:sz w:val="24"/>
          <w:szCs w:val="24"/>
          <w:lang w:val="en-US"/>
        </w:rPr>
        <w:t>D</w:t>
      </w:r>
      <w:r w:rsidRPr="00912992">
        <w:rPr>
          <w:rFonts w:ascii="Times New Roman" w:hAnsi="Times New Roman" w:cs="Times New Roman"/>
          <w:sz w:val="24"/>
          <w:szCs w:val="24"/>
          <w:lang w:val="en-US"/>
        </w:rPr>
        <w:t xml:space="preserve">evelopment and recently incorporated in the Sustainable Development Goals adopted by the UN General </w:t>
      </w:r>
      <w:r w:rsidR="00522BBF">
        <w:rPr>
          <w:rFonts w:ascii="Times New Roman" w:hAnsi="Times New Roman" w:cs="Times New Roman"/>
          <w:sz w:val="24"/>
          <w:szCs w:val="24"/>
          <w:lang w:val="en-US"/>
        </w:rPr>
        <w:t>A</w:t>
      </w:r>
      <w:r w:rsidRPr="00912992">
        <w:rPr>
          <w:rFonts w:ascii="Times New Roman" w:hAnsi="Times New Roman" w:cs="Times New Roman"/>
          <w:sz w:val="24"/>
          <w:szCs w:val="24"/>
          <w:lang w:val="en-US"/>
        </w:rPr>
        <w:t xml:space="preserve">ssembly in 2015. </w:t>
      </w:r>
      <w:r w:rsidR="00D10289">
        <w:rPr>
          <w:rFonts w:ascii="Times New Roman" w:hAnsi="Times New Roman" w:cs="Times New Roman"/>
          <w:sz w:val="24"/>
          <w:szCs w:val="24"/>
          <w:lang w:val="en-US"/>
        </w:rPr>
        <w:t xml:space="preserve">It </w:t>
      </w:r>
      <w:r w:rsidRPr="00912992">
        <w:rPr>
          <w:rFonts w:ascii="Times New Roman" w:hAnsi="Times New Roman" w:cs="Times New Roman"/>
          <w:sz w:val="24"/>
          <w:szCs w:val="24"/>
          <w:lang w:val="en-US"/>
        </w:rPr>
        <w:t>has a multidimensional character</w:t>
      </w:r>
      <w:r w:rsidR="00D10289">
        <w:rPr>
          <w:rFonts w:ascii="Times New Roman" w:hAnsi="Times New Roman" w:cs="Times New Roman"/>
          <w:sz w:val="24"/>
          <w:szCs w:val="24"/>
          <w:lang w:val="en-US"/>
        </w:rPr>
        <w:t>,</w:t>
      </w:r>
      <w:r w:rsidRPr="00912992">
        <w:rPr>
          <w:rFonts w:ascii="Times New Roman" w:hAnsi="Times New Roman" w:cs="Times New Roman"/>
          <w:sz w:val="24"/>
          <w:szCs w:val="24"/>
          <w:lang w:val="en-US"/>
        </w:rPr>
        <w:t xml:space="preserve"> appl</w:t>
      </w:r>
      <w:r w:rsidR="00D10289">
        <w:rPr>
          <w:rFonts w:ascii="Times New Roman" w:hAnsi="Times New Roman" w:cs="Times New Roman"/>
          <w:sz w:val="24"/>
          <w:szCs w:val="24"/>
          <w:lang w:val="en-US"/>
        </w:rPr>
        <w:t>ying</w:t>
      </w:r>
      <w:r w:rsidRPr="00912992">
        <w:rPr>
          <w:rFonts w:ascii="Times New Roman" w:hAnsi="Times New Roman" w:cs="Times New Roman"/>
          <w:sz w:val="24"/>
          <w:szCs w:val="24"/>
          <w:lang w:val="en-US"/>
        </w:rPr>
        <w:t xml:space="preserve"> to the environment, </w:t>
      </w:r>
      <w:r w:rsidR="00D10289">
        <w:rPr>
          <w:rFonts w:ascii="Times New Roman" w:hAnsi="Times New Roman" w:cs="Times New Roman"/>
          <w:sz w:val="24"/>
          <w:szCs w:val="24"/>
          <w:lang w:val="en-US"/>
        </w:rPr>
        <w:t xml:space="preserve">to </w:t>
      </w:r>
      <w:r w:rsidRPr="00912992">
        <w:rPr>
          <w:rFonts w:ascii="Times New Roman" w:hAnsi="Times New Roman" w:cs="Times New Roman"/>
          <w:sz w:val="24"/>
          <w:szCs w:val="24"/>
          <w:lang w:val="en-US"/>
        </w:rPr>
        <w:t>the social and economic</w:t>
      </w:r>
      <w:r w:rsidR="00023A42" w:rsidRPr="00912992">
        <w:rPr>
          <w:rFonts w:ascii="Times New Roman" w:hAnsi="Times New Roman" w:cs="Times New Roman"/>
          <w:sz w:val="24"/>
          <w:szCs w:val="24"/>
          <w:lang w:val="en-US"/>
        </w:rPr>
        <w:t xml:space="preserve"> </w:t>
      </w:r>
      <w:r w:rsidRPr="00912992">
        <w:rPr>
          <w:rFonts w:ascii="Times New Roman" w:hAnsi="Times New Roman" w:cs="Times New Roman"/>
          <w:sz w:val="24"/>
          <w:szCs w:val="24"/>
          <w:lang w:val="en-US"/>
        </w:rPr>
        <w:t>sphere</w:t>
      </w:r>
      <w:r w:rsidR="00D10289">
        <w:rPr>
          <w:rFonts w:ascii="Times New Roman" w:hAnsi="Times New Roman" w:cs="Times New Roman"/>
          <w:sz w:val="24"/>
          <w:szCs w:val="24"/>
          <w:lang w:val="en-US"/>
        </w:rPr>
        <w:t>,</w:t>
      </w:r>
      <w:r w:rsidRPr="00912992">
        <w:rPr>
          <w:rFonts w:ascii="Times New Roman" w:hAnsi="Times New Roman" w:cs="Times New Roman"/>
          <w:sz w:val="24"/>
          <w:szCs w:val="24"/>
          <w:lang w:val="en-US"/>
        </w:rPr>
        <w:t xml:space="preserve"> and with increasing</w:t>
      </w:r>
      <w:r w:rsidR="001C04CA">
        <w:rPr>
          <w:rFonts w:ascii="Times New Roman" w:hAnsi="Times New Roman" w:cs="Times New Roman"/>
          <w:sz w:val="24"/>
          <w:szCs w:val="24"/>
          <w:lang w:val="en-US"/>
        </w:rPr>
        <w:t>ly</w:t>
      </w:r>
      <w:r w:rsidRPr="00912992">
        <w:rPr>
          <w:rFonts w:ascii="Times New Roman" w:hAnsi="Times New Roman" w:cs="Times New Roman"/>
          <w:sz w:val="24"/>
          <w:szCs w:val="24"/>
          <w:lang w:val="en-US"/>
        </w:rPr>
        <w:t xml:space="preserve"> compelling evidence it concerns also the compatibility of development with the cultural fabric of a society and with the respect for cultural heritage, both tangible and intangible, that contributes to the social cohesion and sense of identity of every community. This cultural dimension of sustainable development becomes all the more important today</w:t>
      </w:r>
      <w:r w:rsidR="00FF2E05">
        <w:rPr>
          <w:rFonts w:ascii="Times New Roman" w:hAnsi="Times New Roman" w:cs="Times New Roman"/>
          <w:sz w:val="24"/>
          <w:szCs w:val="24"/>
          <w:lang w:val="en-US"/>
        </w:rPr>
        <w:t>,</w:t>
      </w:r>
      <w:r w:rsidRPr="00912992">
        <w:rPr>
          <w:rFonts w:ascii="Times New Roman" w:hAnsi="Times New Roman" w:cs="Times New Roman"/>
          <w:sz w:val="24"/>
          <w:szCs w:val="24"/>
          <w:lang w:val="en-US"/>
        </w:rPr>
        <w:t xml:space="preserve"> </w:t>
      </w:r>
      <w:r w:rsidR="00FF2E05">
        <w:rPr>
          <w:rFonts w:ascii="Times New Roman" w:hAnsi="Times New Roman" w:cs="Times New Roman"/>
          <w:sz w:val="24"/>
          <w:szCs w:val="24"/>
          <w:lang w:val="en-US"/>
        </w:rPr>
        <w:t xml:space="preserve">when </w:t>
      </w:r>
      <w:r w:rsidRPr="00912992">
        <w:rPr>
          <w:rFonts w:ascii="Times New Roman" w:hAnsi="Times New Roman" w:cs="Times New Roman"/>
          <w:sz w:val="24"/>
          <w:szCs w:val="24"/>
          <w:lang w:val="en-US"/>
        </w:rPr>
        <w:t>much of the destruction of cultural heritage happens in the name of economic development and modernization, without much consideration for the adverse long term effects of the loss of memory and sense of historical roots of the affected communities.</w:t>
      </w:r>
    </w:p>
    <w:p w14:paraId="6EAE8F28" w14:textId="7B778F67" w:rsidR="00375FDB" w:rsidRDefault="001A62EE" w:rsidP="000D3355">
      <w:pPr>
        <w:spacing w:line="480" w:lineRule="auto"/>
        <w:jc w:val="both"/>
        <w:rPr>
          <w:rFonts w:ascii="Times New Roman" w:hAnsi="Times New Roman" w:cs="Times New Roman"/>
          <w:sz w:val="24"/>
          <w:szCs w:val="24"/>
          <w:lang w:val="en-US"/>
        </w:rPr>
      </w:pPr>
      <w:r w:rsidRPr="00912992">
        <w:rPr>
          <w:rFonts w:ascii="Times New Roman" w:hAnsi="Times New Roman" w:cs="Times New Roman"/>
          <w:sz w:val="24"/>
          <w:szCs w:val="24"/>
          <w:lang w:val="en-US"/>
        </w:rPr>
        <w:tab/>
        <w:t>The other principle of progressive realization that can have a direct relevance for the protection of cultural heritage against acts of intentional destruction is that underlying the</w:t>
      </w:r>
      <w:r w:rsidR="00023A42" w:rsidRPr="00912992">
        <w:rPr>
          <w:rFonts w:ascii="Times New Roman" w:hAnsi="Times New Roman" w:cs="Times New Roman"/>
          <w:sz w:val="24"/>
          <w:szCs w:val="24"/>
          <w:lang w:val="en-US"/>
        </w:rPr>
        <w:t xml:space="preserve"> </w:t>
      </w:r>
      <w:r w:rsidR="009E6EF5">
        <w:rPr>
          <w:rFonts w:ascii="Times New Roman" w:hAnsi="Times New Roman" w:cs="Times New Roman"/>
          <w:sz w:val="24"/>
          <w:szCs w:val="24"/>
          <w:lang w:val="en-US"/>
        </w:rPr>
        <w:t>r</w:t>
      </w:r>
      <w:r w:rsidRPr="00912992">
        <w:rPr>
          <w:rFonts w:ascii="Times New Roman" w:hAnsi="Times New Roman" w:cs="Times New Roman"/>
          <w:sz w:val="24"/>
          <w:szCs w:val="24"/>
          <w:lang w:val="en-US"/>
        </w:rPr>
        <w:t xml:space="preserve">esponsibility to </w:t>
      </w:r>
      <w:r w:rsidR="009E6EF5">
        <w:rPr>
          <w:rFonts w:ascii="Times New Roman" w:hAnsi="Times New Roman" w:cs="Times New Roman"/>
          <w:sz w:val="24"/>
          <w:szCs w:val="24"/>
          <w:lang w:val="en-US"/>
        </w:rPr>
        <w:t>p</w:t>
      </w:r>
      <w:r w:rsidRPr="00912992">
        <w:rPr>
          <w:rFonts w:ascii="Times New Roman" w:hAnsi="Times New Roman" w:cs="Times New Roman"/>
          <w:sz w:val="24"/>
          <w:szCs w:val="24"/>
          <w:lang w:val="en-US"/>
        </w:rPr>
        <w:t>rotect (R2P)</w:t>
      </w:r>
      <w:r w:rsidR="009E6EF5">
        <w:rPr>
          <w:rFonts w:ascii="Times New Roman" w:hAnsi="Times New Roman" w:cs="Times New Roman"/>
          <w:sz w:val="24"/>
          <w:szCs w:val="24"/>
          <w:lang w:val="en-US"/>
        </w:rPr>
        <w:t>,</w:t>
      </w:r>
      <w:r w:rsidR="009E6EF5" w:rsidRPr="00912992">
        <w:rPr>
          <w:rFonts w:ascii="Times New Roman" w:hAnsi="Times New Roman" w:cs="Times New Roman"/>
          <w:sz w:val="24"/>
          <w:szCs w:val="24"/>
          <w:lang w:val="en-US"/>
        </w:rPr>
        <w:t xml:space="preserve"> </w:t>
      </w:r>
      <w:r w:rsidR="009E6EF5">
        <w:rPr>
          <w:rFonts w:ascii="Times New Roman" w:hAnsi="Times New Roman" w:cs="Times New Roman"/>
          <w:sz w:val="24"/>
          <w:szCs w:val="24"/>
          <w:lang w:val="en-US"/>
        </w:rPr>
        <w:t xml:space="preserve">which </w:t>
      </w:r>
      <w:r w:rsidRPr="00912992">
        <w:rPr>
          <w:rFonts w:ascii="Times New Roman" w:hAnsi="Times New Roman" w:cs="Times New Roman"/>
          <w:sz w:val="24"/>
          <w:szCs w:val="24"/>
          <w:lang w:val="en-US"/>
        </w:rPr>
        <w:t>was elaborated and proclaimed by the United Nations with the aim of preventing, stopping</w:t>
      </w:r>
      <w:r w:rsidR="00BB0B0B">
        <w:rPr>
          <w:rFonts w:ascii="Times New Roman" w:hAnsi="Times New Roman" w:cs="Times New Roman"/>
          <w:sz w:val="24"/>
          <w:szCs w:val="24"/>
          <w:lang w:val="en-US"/>
        </w:rPr>
        <w:t>,</w:t>
      </w:r>
      <w:r w:rsidRPr="00912992">
        <w:rPr>
          <w:rFonts w:ascii="Times New Roman" w:hAnsi="Times New Roman" w:cs="Times New Roman"/>
          <w:sz w:val="24"/>
          <w:szCs w:val="24"/>
          <w:lang w:val="en-US"/>
        </w:rPr>
        <w:t xml:space="preserve"> and remedying mass atrocities and egregious violations of human rights and humanitarian law.</w:t>
      </w:r>
      <w:r w:rsidRPr="00912992">
        <w:rPr>
          <w:rStyle w:val="EndnoteReference"/>
          <w:rFonts w:ascii="Times New Roman" w:hAnsi="Times New Roman" w:cs="Times New Roman"/>
          <w:sz w:val="24"/>
          <w:szCs w:val="24"/>
          <w:lang w:val="en-US"/>
        </w:rPr>
        <w:endnoteReference w:id="48"/>
      </w:r>
      <w:r w:rsidRPr="00912992">
        <w:rPr>
          <w:rFonts w:ascii="Times New Roman" w:hAnsi="Times New Roman" w:cs="Times New Roman"/>
          <w:sz w:val="24"/>
          <w:szCs w:val="24"/>
          <w:lang w:val="en-US"/>
        </w:rPr>
        <w:t xml:space="preserve"> Today, </w:t>
      </w:r>
      <w:r w:rsidR="00CF03C4">
        <w:rPr>
          <w:rFonts w:ascii="Times New Roman" w:hAnsi="Times New Roman" w:cs="Times New Roman"/>
          <w:sz w:val="24"/>
          <w:szCs w:val="24"/>
          <w:lang w:val="en-US"/>
        </w:rPr>
        <w:t>R2P</w:t>
      </w:r>
      <w:r w:rsidR="00CF03C4" w:rsidRPr="00912992">
        <w:rPr>
          <w:rFonts w:ascii="Times New Roman" w:hAnsi="Times New Roman" w:cs="Times New Roman"/>
          <w:sz w:val="24"/>
          <w:szCs w:val="24"/>
          <w:lang w:val="en-US"/>
        </w:rPr>
        <w:t xml:space="preserve"> </w:t>
      </w:r>
      <w:r w:rsidRPr="00912992">
        <w:rPr>
          <w:rFonts w:ascii="Times New Roman" w:hAnsi="Times New Roman" w:cs="Times New Roman"/>
          <w:sz w:val="24"/>
          <w:szCs w:val="24"/>
          <w:lang w:val="en-US"/>
        </w:rPr>
        <w:t>has become extremely important for the protection of cultural heritage because</w:t>
      </w:r>
      <w:r w:rsidR="00CF03C4">
        <w:rPr>
          <w:rFonts w:ascii="Times New Roman" w:hAnsi="Times New Roman" w:cs="Times New Roman"/>
          <w:sz w:val="24"/>
          <w:szCs w:val="24"/>
          <w:lang w:val="en-US"/>
        </w:rPr>
        <w:t xml:space="preserve"> </w:t>
      </w:r>
      <w:r w:rsidRPr="00912992">
        <w:rPr>
          <w:rFonts w:ascii="Times New Roman" w:hAnsi="Times New Roman" w:cs="Times New Roman"/>
          <w:sz w:val="24"/>
          <w:szCs w:val="24"/>
          <w:lang w:val="en-US"/>
        </w:rPr>
        <w:t xml:space="preserve">violent attacks on cultural heritage </w:t>
      </w:r>
      <w:r w:rsidR="00CF03C4">
        <w:rPr>
          <w:rFonts w:ascii="Times New Roman" w:hAnsi="Times New Roman" w:cs="Times New Roman"/>
          <w:sz w:val="24"/>
          <w:szCs w:val="24"/>
          <w:lang w:val="en-US"/>
        </w:rPr>
        <w:t xml:space="preserve">tend to be </w:t>
      </w:r>
      <w:r w:rsidRPr="00912992">
        <w:rPr>
          <w:rFonts w:ascii="Times New Roman" w:hAnsi="Times New Roman" w:cs="Times New Roman"/>
          <w:sz w:val="24"/>
          <w:szCs w:val="24"/>
          <w:lang w:val="en-US"/>
        </w:rPr>
        <w:t xml:space="preserve">the forerunner or inseparable complement of assaults on people and of grave breaches of human rights and humanitarian law. This is amply demonstrated by the rich jurisprudence of the ICTY and by the </w:t>
      </w:r>
      <w:r w:rsidR="00926299">
        <w:rPr>
          <w:rFonts w:ascii="Times New Roman" w:hAnsi="Times New Roman" w:cs="Times New Roman"/>
          <w:sz w:val="24"/>
          <w:szCs w:val="24"/>
          <w:lang w:val="en-US"/>
        </w:rPr>
        <w:t xml:space="preserve">recognition that such </w:t>
      </w:r>
      <w:r w:rsidRPr="00912992">
        <w:rPr>
          <w:rFonts w:ascii="Times New Roman" w:hAnsi="Times New Roman" w:cs="Times New Roman"/>
          <w:sz w:val="24"/>
          <w:szCs w:val="24"/>
          <w:lang w:val="en-US"/>
        </w:rPr>
        <w:t xml:space="preserve">attacks </w:t>
      </w:r>
      <w:r w:rsidR="00926299">
        <w:rPr>
          <w:rFonts w:ascii="Times New Roman" w:hAnsi="Times New Roman" w:cs="Times New Roman"/>
          <w:sz w:val="24"/>
          <w:szCs w:val="24"/>
          <w:lang w:val="en-US"/>
        </w:rPr>
        <w:t xml:space="preserve">can </w:t>
      </w:r>
      <w:r w:rsidR="000B5B08">
        <w:rPr>
          <w:rFonts w:ascii="Times New Roman" w:hAnsi="Times New Roman" w:cs="Times New Roman"/>
          <w:sz w:val="24"/>
          <w:szCs w:val="24"/>
          <w:lang w:val="en-US"/>
        </w:rPr>
        <w:t>constitute</w:t>
      </w:r>
      <w:r w:rsidR="00926299">
        <w:rPr>
          <w:rFonts w:ascii="Times New Roman" w:hAnsi="Times New Roman" w:cs="Times New Roman"/>
          <w:sz w:val="24"/>
          <w:szCs w:val="24"/>
          <w:lang w:val="en-US"/>
        </w:rPr>
        <w:t xml:space="preserve"> evidence of the specific</w:t>
      </w:r>
      <w:r w:rsidR="000746D8">
        <w:rPr>
          <w:rFonts w:ascii="Times New Roman" w:hAnsi="Times New Roman" w:cs="Times New Roman"/>
          <w:sz w:val="24"/>
          <w:szCs w:val="24"/>
          <w:lang w:val="en-US"/>
        </w:rPr>
        <w:t xml:space="preserve"> </w:t>
      </w:r>
      <w:r w:rsidR="00926299">
        <w:rPr>
          <w:rFonts w:ascii="Times New Roman" w:hAnsi="Times New Roman" w:cs="Times New Roman"/>
          <w:sz w:val="24"/>
          <w:szCs w:val="24"/>
          <w:lang w:val="en-US"/>
        </w:rPr>
        <w:t xml:space="preserve">intent to commit a </w:t>
      </w:r>
      <w:r w:rsidRPr="00912992">
        <w:rPr>
          <w:rFonts w:ascii="Times New Roman" w:hAnsi="Times New Roman" w:cs="Times New Roman"/>
          <w:sz w:val="24"/>
          <w:szCs w:val="24"/>
          <w:lang w:val="en-US"/>
        </w:rPr>
        <w:t xml:space="preserve">crime of genocide. </w:t>
      </w:r>
    </w:p>
    <w:p w14:paraId="579BDBB6" w14:textId="3E7886E4" w:rsidR="00481663" w:rsidRDefault="001A62EE" w:rsidP="000D3355">
      <w:pPr>
        <w:spacing w:line="480" w:lineRule="auto"/>
        <w:ind w:firstLine="708"/>
        <w:jc w:val="both"/>
        <w:rPr>
          <w:rFonts w:ascii="Times New Roman" w:hAnsi="Times New Roman" w:cs="Times New Roman"/>
          <w:sz w:val="24"/>
          <w:szCs w:val="24"/>
          <w:lang w:val="en-US"/>
        </w:rPr>
      </w:pPr>
      <w:r w:rsidRPr="00912992">
        <w:rPr>
          <w:rFonts w:ascii="Times New Roman" w:hAnsi="Times New Roman" w:cs="Times New Roman"/>
          <w:sz w:val="24"/>
          <w:szCs w:val="24"/>
          <w:lang w:val="en-US"/>
        </w:rPr>
        <w:t>But R2P is increasingly relevant also for the purpose of a progressive interpretation of the concept</w:t>
      </w:r>
      <w:r w:rsidR="00E54695">
        <w:rPr>
          <w:rFonts w:ascii="Times New Roman" w:hAnsi="Times New Roman" w:cs="Times New Roman"/>
          <w:sz w:val="24"/>
          <w:szCs w:val="24"/>
          <w:lang w:val="en-US"/>
        </w:rPr>
        <w:t>s</w:t>
      </w:r>
      <w:r w:rsidRPr="00912992">
        <w:rPr>
          <w:rFonts w:ascii="Times New Roman" w:hAnsi="Times New Roman" w:cs="Times New Roman"/>
          <w:sz w:val="24"/>
          <w:szCs w:val="24"/>
          <w:lang w:val="en-US"/>
        </w:rPr>
        <w:t xml:space="preserve"> of “threat to the peace” and “breach of the peace</w:t>
      </w:r>
      <w:r w:rsidR="00084914">
        <w:rPr>
          <w:rFonts w:ascii="Times New Roman" w:hAnsi="Times New Roman" w:cs="Times New Roman"/>
          <w:sz w:val="24"/>
          <w:szCs w:val="24"/>
          <w:lang w:val="en-US"/>
        </w:rPr>
        <w:t>.”</w:t>
      </w:r>
      <w:r w:rsidRPr="00912992">
        <w:rPr>
          <w:rFonts w:ascii="Times New Roman" w:hAnsi="Times New Roman" w:cs="Times New Roman"/>
          <w:sz w:val="24"/>
          <w:szCs w:val="24"/>
          <w:lang w:val="en-US"/>
        </w:rPr>
        <w:t xml:space="preserve"> Article 39 of the UN Charter confers upon the Security Council the power to “determine the existence of any threat to the peace, breach of the peace, or act of aggression” as a condition for adopting mandatory measures under Chapter VII. If the purpose of R2P is to involve the Security Council in the prevention and suppression of mass atrocities, then deliberate attacks on cultural heritage can be a relevant indicator of serious violations of human rights and humanitarian law capable of endangering international peace and security. As the practice of the United Nations o</w:t>
      </w:r>
      <w:r w:rsidR="00FE594A">
        <w:rPr>
          <w:rFonts w:ascii="Times New Roman" w:hAnsi="Times New Roman" w:cs="Times New Roman"/>
          <w:sz w:val="24"/>
          <w:szCs w:val="24"/>
          <w:lang w:val="en-US"/>
        </w:rPr>
        <w:t>ver</w:t>
      </w:r>
      <w:r w:rsidRPr="00912992">
        <w:rPr>
          <w:rFonts w:ascii="Times New Roman" w:hAnsi="Times New Roman" w:cs="Times New Roman"/>
          <w:sz w:val="24"/>
          <w:szCs w:val="24"/>
          <w:lang w:val="en-US"/>
        </w:rPr>
        <w:t xml:space="preserve"> the past fifty years has produced a progressive expansion of the concepts of threat to </w:t>
      </w:r>
      <w:r w:rsidR="00975B6A">
        <w:rPr>
          <w:rFonts w:ascii="Times New Roman" w:hAnsi="Times New Roman" w:cs="Times New Roman"/>
          <w:sz w:val="24"/>
          <w:szCs w:val="24"/>
          <w:lang w:val="en-US"/>
        </w:rPr>
        <w:t xml:space="preserve">and breach of </w:t>
      </w:r>
      <w:r w:rsidRPr="00912992">
        <w:rPr>
          <w:rFonts w:ascii="Times New Roman" w:hAnsi="Times New Roman" w:cs="Times New Roman"/>
          <w:sz w:val="24"/>
          <w:szCs w:val="24"/>
          <w:lang w:val="en-US"/>
        </w:rPr>
        <w:t xml:space="preserve">the peace, </w:t>
      </w:r>
      <w:r w:rsidR="00C47CA9">
        <w:rPr>
          <w:rFonts w:ascii="Times New Roman" w:hAnsi="Times New Roman" w:cs="Times New Roman"/>
          <w:sz w:val="24"/>
          <w:szCs w:val="24"/>
          <w:lang w:val="en-US"/>
        </w:rPr>
        <w:t xml:space="preserve">by </w:t>
      </w:r>
      <w:r w:rsidRPr="00912992">
        <w:rPr>
          <w:rFonts w:ascii="Times New Roman" w:hAnsi="Times New Roman" w:cs="Times New Roman"/>
          <w:sz w:val="24"/>
          <w:szCs w:val="24"/>
          <w:lang w:val="en-US"/>
        </w:rPr>
        <w:t xml:space="preserve">including </w:t>
      </w:r>
      <w:r w:rsidR="00C47CA9">
        <w:rPr>
          <w:rFonts w:ascii="Times New Roman" w:hAnsi="Times New Roman" w:cs="Times New Roman"/>
          <w:sz w:val="24"/>
          <w:szCs w:val="24"/>
          <w:lang w:val="en-US"/>
        </w:rPr>
        <w:t xml:space="preserve">domestic (non-international) </w:t>
      </w:r>
      <w:r w:rsidRPr="00912992">
        <w:rPr>
          <w:rFonts w:ascii="Times New Roman" w:hAnsi="Times New Roman" w:cs="Times New Roman"/>
          <w:sz w:val="24"/>
          <w:szCs w:val="24"/>
          <w:lang w:val="en-US"/>
        </w:rPr>
        <w:t>situations revealing systematic patterns of gross violations of human rights</w:t>
      </w:r>
      <w:r w:rsidR="00C47CA9">
        <w:rPr>
          <w:rFonts w:ascii="Times New Roman" w:hAnsi="Times New Roman" w:cs="Times New Roman"/>
          <w:sz w:val="24"/>
          <w:szCs w:val="24"/>
          <w:lang w:val="en-US"/>
        </w:rPr>
        <w:t>,</w:t>
      </w:r>
      <w:r w:rsidRPr="00912992">
        <w:rPr>
          <w:rStyle w:val="EndnoteReference"/>
          <w:rFonts w:ascii="Times New Roman" w:hAnsi="Times New Roman" w:cs="Times New Roman"/>
          <w:sz w:val="24"/>
          <w:szCs w:val="24"/>
          <w:lang w:val="en-US"/>
        </w:rPr>
        <w:endnoteReference w:id="49"/>
      </w:r>
      <w:r w:rsidR="00023A42" w:rsidRPr="00912992">
        <w:rPr>
          <w:rFonts w:ascii="Times New Roman" w:hAnsi="Times New Roman" w:cs="Times New Roman"/>
          <w:sz w:val="24"/>
          <w:szCs w:val="24"/>
          <w:lang w:val="en-US"/>
        </w:rPr>
        <w:t xml:space="preserve"> </w:t>
      </w:r>
      <w:r w:rsidRPr="00912992">
        <w:rPr>
          <w:rFonts w:ascii="Times New Roman" w:hAnsi="Times New Roman" w:cs="Times New Roman"/>
          <w:sz w:val="24"/>
          <w:szCs w:val="24"/>
          <w:lang w:val="en-US"/>
        </w:rPr>
        <w:t xml:space="preserve">so assaults on cultural heritage by </w:t>
      </w:r>
      <w:r w:rsidR="00975B6A">
        <w:rPr>
          <w:rFonts w:ascii="Times New Roman" w:hAnsi="Times New Roman" w:cs="Times New Roman"/>
          <w:sz w:val="24"/>
          <w:szCs w:val="24"/>
          <w:lang w:val="en-US"/>
        </w:rPr>
        <w:t>nonstate armed groups</w:t>
      </w:r>
      <w:r w:rsidR="00975B6A" w:rsidRPr="00912992">
        <w:rPr>
          <w:rFonts w:ascii="Times New Roman" w:hAnsi="Times New Roman" w:cs="Times New Roman"/>
          <w:sz w:val="24"/>
          <w:szCs w:val="24"/>
          <w:lang w:val="en-US"/>
        </w:rPr>
        <w:t xml:space="preserve"> </w:t>
      </w:r>
      <w:r w:rsidR="00E23757">
        <w:rPr>
          <w:rFonts w:ascii="Times New Roman" w:hAnsi="Times New Roman" w:cs="Times New Roman"/>
          <w:sz w:val="24"/>
          <w:szCs w:val="24"/>
          <w:lang w:val="en-US"/>
        </w:rPr>
        <w:t>and so-called</w:t>
      </w:r>
      <w:r w:rsidR="00E23757" w:rsidRPr="00912992">
        <w:rPr>
          <w:rFonts w:ascii="Times New Roman" w:hAnsi="Times New Roman" w:cs="Times New Roman"/>
          <w:sz w:val="24"/>
          <w:szCs w:val="24"/>
          <w:lang w:val="en-US"/>
        </w:rPr>
        <w:t xml:space="preserve"> </w:t>
      </w:r>
      <w:r w:rsidRPr="00912992">
        <w:rPr>
          <w:rFonts w:ascii="Times New Roman" w:hAnsi="Times New Roman" w:cs="Times New Roman"/>
          <w:sz w:val="24"/>
          <w:szCs w:val="24"/>
          <w:lang w:val="en-US"/>
        </w:rPr>
        <w:t>rogue states today are becoming an element in the determination of a threat to international peace and security under Article 39, thus triggering the application of R2P.</w:t>
      </w:r>
      <w:r w:rsidRPr="00912992">
        <w:rPr>
          <w:rStyle w:val="EndnoteReference"/>
          <w:rFonts w:ascii="Times New Roman" w:hAnsi="Times New Roman" w:cs="Times New Roman"/>
          <w:sz w:val="24"/>
          <w:szCs w:val="24"/>
          <w:lang w:val="en-US"/>
        </w:rPr>
        <w:endnoteReference w:id="50"/>
      </w:r>
      <w:r w:rsidRPr="00912992">
        <w:rPr>
          <w:rFonts w:ascii="Times New Roman" w:hAnsi="Times New Roman" w:cs="Times New Roman"/>
          <w:sz w:val="24"/>
          <w:szCs w:val="24"/>
          <w:lang w:val="en-US"/>
        </w:rPr>
        <w:t xml:space="preserve"> </w:t>
      </w:r>
    </w:p>
    <w:p w14:paraId="6E3F3B3F" w14:textId="77777777" w:rsidR="001F51E1" w:rsidRPr="00912992" w:rsidRDefault="001F51E1" w:rsidP="000D3355">
      <w:pPr>
        <w:spacing w:line="480" w:lineRule="auto"/>
        <w:ind w:firstLine="708"/>
        <w:jc w:val="both"/>
        <w:rPr>
          <w:rFonts w:ascii="Times New Roman" w:hAnsi="Times New Roman" w:cs="Times New Roman"/>
          <w:sz w:val="24"/>
          <w:szCs w:val="24"/>
          <w:lang w:val="en-US"/>
        </w:rPr>
      </w:pPr>
    </w:p>
    <w:p w14:paraId="0818799C" w14:textId="30DB9DB0" w:rsidR="00407A65" w:rsidRPr="00912992" w:rsidRDefault="007D0554" w:rsidP="00B73BA8">
      <w:pPr>
        <w:pStyle w:val="Heading2"/>
        <w:spacing w:line="480" w:lineRule="auto"/>
        <w:rPr>
          <w:lang w:val="en-US"/>
        </w:rPr>
      </w:pPr>
      <w:r w:rsidRPr="00912992">
        <w:rPr>
          <w:lang w:val="en-US"/>
        </w:rPr>
        <w:t>Conclusions</w:t>
      </w:r>
    </w:p>
    <w:p w14:paraId="270CFFE6" w14:textId="504F5FF4" w:rsidR="008B2DD5" w:rsidRDefault="00B9669E" w:rsidP="000D3355">
      <w:pPr>
        <w:spacing w:line="480" w:lineRule="auto"/>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T</w:t>
      </w:r>
      <w:r w:rsidR="00407A65" w:rsidRPr="00912992">
        <w:rPr>
          <w:rFonts w:ascii="Times New Roman" w:hAnsi="Times New Roman" w:cs="Times New Roman"/>
          <w:bCs/>
          <w:sz w:val="24"/>
          <w:szCs w:val="24"/>
          <w:lang w:val="en-US"/>
        </w:rPr>
        <w:t xml:space="preserve">he foregoing analysis </w:t>
      </w:r>
      <w:r w:rsidRPr="00912992">
        <w:rPr>
          <w:rFonts w:ascii="Times New Roman" w:hAnsi="Times New Roman" w:cs="Times New Roman"/>
          <w:bCs/>
          <w:sz w:val="24"/>
          <w:szCs w:val="24"/>
          <w:lang w:val="en-US"/>
        </w:rPr>
        <w:t>identif</w:t>
      </w:r>
      <w:r w:rsidR="00DA615B">
        <w:rPr>
          <w:rFonts w:ascii="Times New Roman" w:hAnsi="Times New Roman" w:cs="Times New Roman"/>
          <w:bCs/>
          <w:sz w:val="24"/>
          <w:szCs w:val="24"/>
          <w:lang w:val="en-US"/>
        </w:rPr>
        <w:t>ied</w:t>
      </w:r>
      <w:r w:rsidRPr="00912992">
        <w:rPr>
          <w:rFonts w:ascii="Times New Roman" w:hAnsi="Times New Roman" w:cs="Times New Roman"/>
          <w:bCs/>
          <w:sz w:val="24"/>
          <w:szCs w:val="24"/>
          <w:lang w:val="en-US"/>
        </w:rPr>
        <w:t xml:space="preserve"> customary norms and general principles of international law that create general obligations to </w:t>
      </w:r>
      <w:r w:rsidR="008A01E0" w:rsidRPr="00912992">
        <w:rPr>
          <w:rFonts w:ascii="Times New Roman" w:hAnsi="Times New Roman" w:cs="Times New Roman"/>
          <w:bCs/>
          <w:sz w:val="24"/>
          <w:szCs w:val="24"/>
          <w:lang w:val="en-US"/>
        </w:rPr>
        <w:t xml:space="preserve">prevent </w:t>
      </w:r>
      <w:r w:rsidRPr="00912992">
        <w:rPr>
          <w:rFonts w:ascii="Times New Roman" w:hAnsi="Times New Roman" w:cs="Times New Roman"/>
          <w:bCs/>
          <w:sz w:val="24"/>
          <w:szCs w:val="24"/>
          <w:lang w:val="en-US"/>
        </w:rPr>
        <w:t>and avoid the deliberate destruction of cultural heritage</w:t>
      </w:r>
      <w:r w:rsidR="008A01E0" w:rsidRPr="00912992">
        <w:rPr>
          <w:rFonts w:ascii="Times New Roman" w:hAnsi="Times New Roman" w:cs="Times New Roman"/>
          <w:bCs/>
          <w:sz w:val="24"/>
          <w:szCs w:val="24"/>
          <w:lang w:val="en-US"/>
        </w:rPr>
        <w:t xml:space="preserve">. These obligations are binding on </w:t>
      </w:r>
      <w:r w:rsidRPr="00912992">
        <w:rPr>
          <w:rFonts w:ascii="Times New Roman" w:hAnsi="Times New Roman" w:cs="Times New Roman"/>
          <w:bCs/>
          <w:sz w:val="24"/>
          <w:szCs w:val="24"/>
          <w:lang w:val="en-US"/>
        </w:rPr>
        <w:t xml:space="preserve">all </w:t>
      </w:r>
      <w:r w:rsidR="00B93011">
        <w:rPr>
          <w:rFonts w:ascii="Times New Roman" w:hAnsi="Times New Roman" w:cs="Times New Roman"/>
          <w:bCs/>
          <w:sz w:val="24"/>
          <w:szCs w:val="24"/>
          <w:lang w:val="en-US"/>
        </w:rPr>
        <w:t xml:space="preserve">states </w:t>
      </w:r>
      <w:r w:rsidR="006F18DD" w:rsidRPr="00912992">
        <w:rPr>
          <w:rFonts w:ascii="Times New Roman" w:hAnsi="Times New Roman" w:cs="Times New Roman"/>
          <w:bCs/>
          <w:sz w:val="24"/>
          <w:szCs w:val="24"/>
          <w:lang w:val="en-US"/>
        </w:rPr>
        <w:t>and</w:t>
      </w:r>
      <w:r w:rsidRPr="00912992">
        <w:rPr>
          <w:rFonts w:ascii="Times New Roman" w:hAnsi="Times New Roman" w:cs="Times New Roman"/>
          <w:bCs/>
          <w:sz w:val="24"/>
          <w:szCs w:val="24"/>
          <w:lang w:val="en-US"/>
        </w:rPr>
        <w:t xml:space="preserve"> </w:t>
      </w:r>
      <w:r w:rsidR="00B93011">
        <w:rPr>
          <w:rFonts w:ascii="Times New Roman" w:hAnsi="Times New Roman" w:cs="Times New Roman"/>
          <w:bCs/>
          <w:sz w:val="24"/>
          <w:szCs w:val="24"/>
          <w:lang w:val="en-US"/>
        </w:rPr>
        <w:t xml:space="preserve">go </w:t>
      </w:r>
      <w:r w:rsidR="008A01E0" w:rsidRPr="00912992">
        <w:rPr>
          <w:rFonts w:ascii="Times New Roman" w:hAnsi="Times New Roman" w:cs="Times New Roman"/>
          <w:bCs/>
          <w:sz w:val="24"/>
          <w:szCs w:val="24"/>
          <w:lang w:val="en-US"/>
        </w:rPr>
        <w:t>beyond the limited scope of applicable treaties</w:t>
      </w:r>
      <w:r w:rsidR="00407A65" w:rsidRPr="00912992">
        <w:rPr>
          <w:rFonts w:ascii="Times New Roman" w:hAnsi="Times New Roman" w:cs="Times New Roman"/>
          <w:bCs/>
          <w:sz w:val="24"/>
          <w:szCs w:val="24"/>
          <w:lang w:val="en-US"/>
        </w:rPr>
        <w:t xml:space="preserve">. </w:t>
      </w:r>
      <w:r w:rsidR="008A01E0" w:rsidRPr="00912992">
        <w:rPr>
          <w:rFonts w:ascii="Times New Roman" w:hAnsi="Times New Roman" w:cs="Times New Roman"/>
          <w:bCs/>
          <w:sz w:val="24"/>
          <w:szCs w:val="24"/>
          <w:lang w:val="en-US"/>
        </w:rPr>
        <w:t xml:space="preserve">The </w:t>
      </w:r>
      <w:r w:rsidR="006F18DD" w:rsidRPr="00912992">
        <w:rPr>
          <w:rFonts w:ascii="Times New Roman" w:hAnsi="Times New Roman" w:cs="Times New Roman"/>
          <w:bCs/>
          <w:sz w:val="24"/>
          <w:szCs w:val="24"/>
          <w:lang w:val="en-US"/>
        </w:rPr>
        <w:t xml:space="preserve">examination of the practice of </w:t>
      </w:r>
      <w:r w:rsidR="00AC24AD">
        <w:rPr>
          <w:rFonts w:ascii="Times New Roman" w:hAnsi="Times New Roman" w:cs="Times New Roman"/>
          <w:bCs/>
          <w:sz w:val="24"/>
          <w:szCs w:val="24"/>
          <w:lang w:val="en-US"/>
        </w:rPr>
        <w:t>s</w:t>
      </w:r>
      <w:r w:rsidR="006F18DD" w:rsidRPr="00912992">
        <w:rPr>
          <w:rFonts w:ascii="Times New Roman" w:hAnsi="Times New Roman" w:cs="Times New Roman"/>
          <w:bCs/>
          <w:sz w:val="24"/>
          <w:szCs w:val="24"/>
          <w:lang w:val="en-US"/>
        </w:rPr>
        <w:t>tates, inter</w:t>
      </w:r>
      <w:r w:rsidR="00AC24AD">
        <w:rPr>
          <w:rFonts w:ascii="Times New Roman" w:hAnsi="Times New Roman" w:cs="Times New Roman"/>
          <w:bCs/>
          <w:sz w:val="24"/>
          <w:szCs w:val="24"/>
          <w:lang w:val="en-US"/>
        </w:rPr>
        <w:t>governmental</w:t>
      </w:r>
      <w:r w:rsidR="006F18DD" w:rsidRPr="00912992">
        <w:rPr>
          <w:rFonts w:ascii="Times New Roman" w:hAnsi="Times New Roman" w:cs="Times New Roman"/>
          <w:bCs/>
          <w:sz w:val="24"/>
          <w:szCs w:val="24"/>
          <w:lang w:val="en-US"/>
        </w:rPr>
        <w:t xml:space="preserve"> bodies, judicial organs</w:t>
      </w:r>
      <w:r w:rsidR="00AC24AD">
        <w:rPr>
          <w:rFonts w:ascii="Times New Roman" w:hAnsi="Times New Roman" w:cs="Times New Roman"/>
          <w:bCs/>
          <w:sz w:val="24"/>
          <w:szCs w:val="24"/>
          <w:lang w:val="en-US"/>
        </w:rPr>
        <w:t>,</w:t>
      </w:r>
      <w:r w:rsidR="006F18DD" w:rsidRPr="00912992">
        <w:rPr>
          <w:rFonts w:ascii="Times New Roman" w:hAnsi="Times New Roman" w:cs="Times New Roman"/>
          <w:bCs/>
          <w:sz w:val="24"/>
          <w:szCs w:val="24"/>
          <w:lang w:val="en-US"/>
        </w:rPr>
        <w:t xml:space="preserve"> and domestic courts has</w:t>
      </w:r>
      <w:r w:rsidR="008A01E0" w:rsidRPr="00912992">
        <w:rPr>
          <w:rFonts w:ascii="Times New Roman" w:hAnsi="Times New Roman" w:cs="Times New Roman"/>
          <w:bCs/>
          <w:sz w:val="24"/>
          <w:szCs w:val="24"/>
          <w:lang w:val="en-US"/>
        </w:rPr>
        <w:t xml:space="preserve"> made</w:t>
      </w:r>
      <w:r w:rsidR="006F18DD" w:rsidRPr="00912992">
        <w:rPr>
          <w:rFonts w:ascii="Times New Roman" w:hAnsi="Times New Roman" w:cs="Times New Roman"/>
          <w:bCs/>
          <w:sz w:val="24"/>
          <w:szCs w:val="24"/>
          <w:lang w:val="en-US"/>
        </w:rPr>
        <w:t xml:space="preserve"> possible </w:t>
      </w:r>
      <w:r w:rsidR="001B1A58">
        <w:rPr>
          <w:rFonts w:ascii="Times New Roman" w:hAnsi="Times New Roman" w:cs="Times New Roman"/>
          <w:bCs/>
          <w:sz w:val="24"/>
          <w:szCs w:val="24"/>
          <w:lang w:val="en-US"/>
        </w:rPr>
        <w:t>the</w:t>
      </w:r>
      <w:r w:rsidR="001B1A58" w:rsidRPr="00912992">
        <w:rPr>
          <w:rFonts w:ascii="Times New Roman" w:hAnsi="Times New Roman" w:cs="Times New Roman"/>
          <w:bCs/>
          <w:sz w:val="24"/>
          <w:szCs w:val="24"/>
          <w:lang w:val="en-US"/>
        </w:rPr>
        <w:t xml:space="preserve"> </w:t>
      </w:r>
      <w:r w:rsidR="006F18DD" w:rsidRPr="00912992">
        <w:rPr>
          <w:rFonts w:ascii="Times New Roman" w:hAnsi="Times New Roman" w:cs="Times New Roman"/>
          <w:bCs/>
          <w:sz w:val="24"/>
          <w:szCs w:val="24"/>
          <w:lang w:val="en-US"/>
        </w:rPr>
        <w:t>identif</w:t>
      </w:r>
      <w:r w:rsidR="001B1A58">
        <w:rPr>
          <w:rFonts w:ascii="Times New Roman" w:hAnsi="Times New Roman" w:cs="Times New Roman"/>
          <w:bCs/>
          <w:sz w:val="24"/>
          <w:szCs w:val="24"/>
          <w:lang w:val="en-US"/>
        </w:rPr>
        <w:t>ication</w:t>
      </w:r>
      <w:r w:rsidR="006F18DD" w:rsidRPr="00912992">
        <w:rPr>
          <w:rFonts w:ascii="Times New Roman" w:hAnsi="Times New Roman" w:cs="Times New Roman"/>
          <w:bCs/>
          <w:sz w:val="24"/>
          <w:szCs w:val="24"/>
          <w:lang w:val="en-US"/>
        </w:rPr>
        <w:t xml:space="preserve"> </w:t>
      </w:r>
      <w:r w:rsidR="001B1A58">
        <w:rPr>
          <w:rFonts w:ascii="Times New Roman" w:hAnsi="Times New Roman" w:cs="Times New Roman"/>
          <w:bCs/>
          <w:sz w:val="24"/>
          <w:szCs w:val="24"/>
          <w:lang w:val="en-US"/>
        </w:rPr>
        <w:t xml:space="preserve">of </w:t>
      </w:r>
      <w:r w:rsidR="00407A65" w:rsidRPr="00912992">
        <w:rPr>
          <w:rFonts w:ascii="Times New Roman" w:hAnsi="Times New Roman" w:cs="Times New Roman"/>
          <w:bCs/>
          <w:sz w:val="24"/>
          <w:szCs w:val="24"/>
          <w:lang w:val="en-US"/>
        </w:rPr>
        <w:t>two customary norms of general application</w:t>
      </w:r>
      <w:r w:rsidR="006F18DD" w:rsidRPr="00912992">
        <w:rPr>
          <w:rFonts w:ascii="Times New Roman" w:hAnsi="Times New Roman" w:cs="Times New Roman"/>
          <w:bCs/>
          <w:sz w:val="24"/>
          <w:szCs w:val="24"/>
          <w:lang w:val="en-US"/>
        </w:rPr>
        <w:t xml:space="preserve">: </w:t>
      </w:r>
      <w:r w:rsidR="00407A65" w:rsidRPr="00912992">
        <w:rPr>
          <w:rFonts w:ascii="Times New Roman" w:hAnsi="Times New Roman" w:cs="Times New Roman"/>
          <w:bCs/>
          <w:sz w:val="24"/>
          <w:szCs w:val="24"/>
          <w:lang w:val="en-US"/>
        </w:rPr>
        <w:t>one that prohibits the intentional destruction of cultural property in the context of armed conflict</w:t>
      </w:r>
      <w:r w:rsidR="006F18DD" w:rsidRPr="00912992">
        <w:rPr>
          <w:rFonts w:ascii="Times New Roman" w:hAnsi="Times New Roman" w:cs="Times New Roman"/>
          <w:bCs/>
          <w:sz w:val="24"/>
          <w:szCs w:val="24"/>
          <w:lang w:val="en-US"/>
        </w:rPr>
        <w:t xml:space="preserve"> and terrorism</w:t>
      </w:r>
      <w:r w:rsidR="00407A65" w:rsidRPr="00912992">
        <w:rPr>
          <w:rFonts w:ascii="Times New Roman" w:hAnsi="Times New Roman" w:cs="Times New Roman"/>
          <w:bCs/>
          <w:sz w:val="24"/>
          <w:szCs w:val="24"/>
          <w:lang w:val="en-US"/>
        </w:rPr>
        <w:t xml:space="preserve">, and one prohibiting looting and </w:t>
      </w:r>
      <w:r w:rsidR="008B2DD5">
        <w:rPr>
          <w:rFonts w:ascii="Times New Roman" w:hAnsi="Times New Roman" w:cs="Times New Roman"/>
          <w:bCs/>
          <w:sz w:val="24"/>
          <w:szCs w:val="24"/>
          <w:lang w:val="en-US"/>
        </w:rPr>
        <w:t xml:space="preserve">the </w:t>
      </w:r>
      <w:r w:rsidR="00407A65" w:rsidRPr="00912992">
        <w:rPr>
          <w:rFonts w:ascii="Times New Roman" w:hAnsi="Times New Roman" w:cs="Times New Roman"/>
          <w:bCs/>
          <w:sz w:val="24"/>
          <w:szCs w:val="24"/>
          <w:lang w:val="en-US"/>
        </w:rPr>
        <w:t>illicit transfer of cultural property from territories</w:t>
      </w:r>
      <w:r w:rsidR="006F18DD" w:rsidRPr="00912992">
        <w:rPr>
          <w:rFonts w:ascii="Times New Roman" w:hAnsi="Times New Roman" w:cs="Times New Roman"/>
          <w:bCs/>
          <w:sz w:val="24"/>
          <w:szCs w:val="24"/>
          <w:lang w:val="en-US"/>
        </w:rPr>
        <w:t xml:space="preserve"> under military occupation</w:t>
      </w:r>
      <w:r w:rsidR="00407A65" w:rsidRPr="00912992">
        <w:rPr>
          <w:rFonts w:ascii="Times New Roman" w:hAnsi="Times New Roman" w:cs="Times New Roman"/>
          <w:bCs/>
          <w:sz w:val="24"/>
          <w:szCs w:val="24"/>
          <w:lang w:val="en-US"/>
        </w:rPr>
        <w:t xml:space="preserve">. The latter norm has a direct relevance for intentional destruction because looting and illicit transfer inevitably result in dispersion and destruction of cultural heritage. </w:t>
      </w:r>
    </w:p>
    <w:p w14:paraId="533F7F24" w14:textId="69AA0027" w:rsidR="00407A65" w:rsidRDefault="006F18DD" w:rsidP="000D3355">
      <w:pPr>
        <w:spacing w:line="480" w:lineRule="auto"/>
        <w:ind w:firstLine="708"/>
        <w:jc w:val="both"/>
        <w:rPr>
          <w:rFonts w:ascii="Times New Roman" w:hAnsi="Times New Roman" w:cs="Times New Roman"/>
          <w:bCs/>
          <w:sz w:val="24"/>
          <w:szCs w:val="24"/>
          <w:lang w:val="en-US"/>
        </w:rPr>
      </w:pPr>
      <w:r w:rsidRPr="00912992">
        <w:rPr>
          <w:rFonts w:ascii="Times New Roman" w:hAnsi="Times New Roman" w:cs="Times New Roman"/>
          <w:bCs/>
          <w:sz w:val="24"/>
          <w:szCs w:val="24"/>
          <w:lang w:val="en-US"/>
        </w:rPr>
        <w:t>At the same time, n</w:t>
      </w:r>
      <w:r w:rsidR="00407A65" w:rsidRPr="00912992">
        <w:rPr>
          <w:rFonts w:ascii="Times New Roman" w:hAnsi="Times New Roman" w:cs="Times New Roman"/>
          <w:bCs/>
          <w:sz w:val="24"/>
          <w:szCs w:val="24"/>
          <w:lang w:val="en-US"/>
        </w:rPr>
        <w:t xml:space="preserve">o corresponding customary norms can be found today in relation to the destruction of cultural heritage in peacetime and in isolation from situations of </w:t>
      </w:r>
      <w:r w:rsidR="00054B32">
        <w:rPr>
          <w:rFonts w:ascii="Times New Roman" w:hAnsi="Times New Roman" w:cs="Times New Roman"/>
          <w:bCs/>
          <w:sz w:val="24"/>
          <w:szCs w:val="24"/>
          <w:lang w:val="en-US"/>
        </w:rPr>
        <w:t xml:space="preserve">armed </w:t>
      </w:r>
      <w:r w:rsidR="00407A65" w:rsidRPr="00912992">
        <w:rPr>
          <w:rFonts w:ascii="Times New Roman" w:hAnsi="Times New Roman" w:cs="Times New Roman"/>
          <w:bCs/>
          <w:sz w:val="24"/>
          <w:szCs w:val="24"/>
          <w:lang w:val="en-US"/>
        </w:rPr>
        <w:t>conflict or terrorism</w:t>
      </w:r>
      <w:r w:rsidR="00054B32">
        <w:rPr>
          <w:rFonts w:ascii="Times New Roman" w:hAnsi="Times New Roman" w:cs="Times New Roman"/>
          <w:bCs/>
          <w:sz w:val="24"/>
          <w:szCs w:val="24"/>
          <w:lang w:val="en-US"/>
        </w:rPr>
        <w:t>,</w:t>
      </w:r>
      <w:r w:rsidRPr="00912992">
        <w:rPr>
          <w:rFonts w:ascii="Times New Roman" w:hAnsi="Times New Roman" w:cs="Times New Roman"/>
          <w:bCs/>
          <w:sz w:val="24"/>
          <w:szCs w:val="24"/>
          <w:lang w:val="en-US"/>
        </w:rPr>
        <w:t xml:space="preserve"> </w:t>
      </w:r>
      <w:r w:rsidR="00054B32">
        <w:rPr>
          <w:rFonts w:ascii="Times New Roman" w:hAnsi="Times New Roman" w:cs="Times New Roman"/>
          <w:bCs/>
          <w:sz w:val="24"/>
          <w:szCs w:val="24"/>
          <w:lang w:val="en-US"/>
        </w:rPr>
        <w:t xml:space="preserve">with </w:t>
      </w:r>
      <w:r w:rsidR="003F6150" w:rsidRPr="00912992">
        <w:rPr>
          <w:rFonts w:ascii="Times New Roman" w:hAnsi="Times New Roman" w:cs="Times New Roman"/>
          <w:bCs/>
          <w:sz w:val="24"/>
          <w:szCs w:val="24"/>
          <w:lang w:val="en-US"/>
        </w:rPr>
        <w:t xml:space="preserve">which mass atrocities are normally </w:t>
      </w:r>
      <w:r w:rsidR="00054B32">
        <w:rPr>
          <w:rFonts w:ascii="Times New Roman" w:hAnsi="Times New Roman" w:cs="Times New Roman"/>
          <w:bCs/>
          <w:sz w:val="24"/>
          <w:szCs w:val="24"/>
          <w:lang w:val="en-US"/>
        </w:rPr>
        <w:t>associated</w:t>
      </w:r>
      <w:r w:rsidR="00407A65" w:rsidRPr="00912992">
        <w:rPr>
          <w:rFonts w:ascii="Times New Roman" w:hAnsi="Times New Roman" w:cs="Times New Roman"/>
          <w:bCs/>
          <w:sz w:val="24"/>
          <w:szCs w:val="24"/>
          <w:lang w:val="en-US"/>
        </w:rPr>
        <w:t xml:space="preserve">. This is regrettable because much destruction of cultural heritage of great importance </w:t>
      </w:r>
      <w:r w:rsidR="00356B9D">
        <w:rPr>
          <w:rFonts w:ascii="Times New Roman" w:hAnsi="Times New Roman" w:cs="Times New Roman"/>
          <w:bCs/>
          <w:sz w:val="24"/>
          <w:szCs w:val="24"/>
          <w:lang w:val="en-US"/>
        </w:rPr>
        <w:t>occurs</w:t>
      </w:r>
      <w:r w:rsidR="00407A65" w:rsidRPr="00912992">
        <w:rPr>
          <w:rFonts w:ascii="Times New Roman" w:hAnsi="Times New Roman" w:cs="Times New Roman"/>
          <w:bCs/>
          <w:sz w:val="24"/>
          <w:szCs w:val="24"/>
          <w:lang w:val="en-US"/>
        </w:rPr>
        <w:t xml:space="preserve"> in peacetime and in the pursuit of an ill</w:t>
      </w:r>
      <w:r w:rsidR="003F6150" w:rsidRPr="00912992">
        <w:rPr>
          <w:rFonts w:ascii="Times New Roman" w:hAnsi="Times New Roman" w:cs="Times New Roman"/>
          <w:bCs/>
          <w:sz w:val="24"/>
          <w:szCs w:val="24"/>
          <w:lang w:val="en-US"/>
        </w:rPr>
        <w:t>-</w:t>
      </w:r>
      <w:r w:rsidR="00407A65" w:rsidRPr="00912992">
        <w:rPr>
          <w:rFonts w:ascii="Times New Roman" w:hAnsi="Times New Roman" w:cs="Times New Roman"/>
          <w:bCs/>
          <w:sz w:val="24"/>
          <w:szCs w:val="24"/>
          <w:lang w:val="en-US"/>
        </w:rPr>
        <w:t xml:space="preserve">conceived idea of economic development. </w:t>
      </w:r>
      <w:r w:rsidR="003F6150" w:rsidRPr="00912992">
        <w:rPr>
          <w:rFonts w:ascii="Times New Roman" w:hAnsi="Times New Roman" w:cs="Times New Roman"/>
          <w:bCs/>
          <w:sz w:val="24"/>
          <w:szCs w:val="24"/>
          <w:lang w:val="en-US"/>
        </w:rPr>
        <w:t>This gap in the law can be filled</w:t>
      </w:r>
      <w:r w:rsidR="008B2DD5">
        <w:rPr>
          <w:rFonts w:ascii="Times New Roman" w:hAnsi="Times New Roman" w:cs="Times New Roman"/>
          <w:bCs/>
          <w:sz w:val="24"/>
          <w:szCs w:val="24"/>
          <w:lang w:val="en-US"/>
        </w:rPr>
        <w:t xml:space="preserve"> </w:t>
      </w:r>
      <w:r w:rsidR="003F6150" w:rsidRPr="00912992">
        <w:rPr>
          <w:rFonts w:ascii="Times New Roman" w:hAnsi="Times New Roman" w:cs="Times New Roman"/>
          <w:bCs/>
          <w:sz w:val="24"/>
          <w:szCs w:val="24"/>
          <w:lang w:val="en-US"/>
        </w:rPr>
        <w:t xml:space="preserve">by recourse to a wide </w:t>
      </w:r>
      <w:r w:rsidR="00407A65" w:rsidRPr="00912992">
        <w:rPr>
          <w:rFonts w:ascii="Times New Roman" w:hAnsi="Times New Roman" w:cs="Times New Roman"/>
          <w:bCs/>
          <w:sz w:val="24"/>
          <w:szCs w:val="24"/>
          <w:lang w:val="en-US"/>
        </w:rPr>
        <w:t>range of general principles that can be app</w:t>
      </w:r>
      <w:r w:rsidR="006525F9">
        <w:rPr>
          <w:rFonts w:ascii="Times New Roman" w:hAnsi="Times New Roman" w:cs="Times New Roman"/>
          <w:bCs/>
          <w:sz w:val="24"/>
          <w:szCs w:val="24"/>
          <w:lang w:val="en-US"/>
        </w:rPr>
        <w:t>lied</w:t>
      </w:r>
      <w:r w:rsidR="00407A65" w:rsidRPr="00912992">
        <w:rPr>
          <w:rFonts w:ascii="Times New Roman" w:hAnsi="Times New Roman" w:cs="Times New Roman"/>
          <w:bCs/>
          <w:sz w:val="24"/>
          <w:szCs w:val="24"/>
          <w:lang w:val="en-US"/>
        </w:rPr>
        <w:t xml:space="preserve"> to the prevention and suppression of willful destruction of cultural heritage in the context of </w:t>
      </w:r>
      <w:r w:rsidR="006525F9">
        <w:rPr>
          <w:rFonts w:ascii="Times New Roman" w:hAnsi="Times New Roman" w:cs="Times New Roman"/>
          <w:bCs/>
          <w:sz w:val="24"/>
          <w:szCs w:val="24"/>
          <w:lang w:val="en-US"/>
        </w:rPr>
        <w:t xml:space="preserve">both </w:t>
      </w:r>
      <w:r w:rsidR="00407A65" w:rsidRPr="00912992">
        <w:rPr>
          <w:rFonts w:ascii="Times New Roman" w:hAnsi="Times New Roman" w:cs="Times New Roman"/>
          <w:bCs/>
          <w:sz w:val="24"/>
          <w:szCs w:val="24"/>
          <w:lang w:val="en-US"/>
        </w:rPr>
        <w:t xml:space="preserve">conflict and peacetime. These principles and the two customary norms may provide interpretative criteria and true sources of law in the adjudication of disputes between </w:t>
      </w:r>
      <w:r w:rsidR="008B2DD5">
        <w:rPr>
          <w:rFonts w:ascii="Times New Roman" w:hAnsi="Times New Roman" w:cs="Times New Roman"/>
          <w:bCs/>
          <w:sz w:val="24"/>
          <w:szCs w:val="24"/>
          <w:lang w:val="en-US"/>
        </w:rPr>
        <w:t>s</w:t>
      </w:r>
      <w:r w:rsidR="00407A65" w:rsidRPr="00912992">
        <w:rPr>
          <w:rFonts w:ascii="Times New Roman" w:hAnsi="Times New Roman" w:cs="Times New Roman"/>
          <w:bCs/>
          <w:sz w:val="24"/>
          <w:szCs w:val="24"/>
          <w:lang w:val="en-US"/>
        </w:rPr>
        <w:t xml:space="preserve">tates which are not bound by existing treaty norms or in relation to situations that fall outside the </w:t>
      </w:r>
      <w:r w:rsidR="00FC7547">
        <w:rPr>
          <w:rFonts w:ascii="Times New Roman" w:hAnsi="Times New Roman" w:cs="Times New Roman"/>
          <w:bCs/>
          <w:sz w:val="24"/>
          <w:szCs w:val="24"/>
          <w:lang w:val="en-US"/>
        </w:rPr>
        <w:t xml:space="preserve">temporal </w:t>
      </w:r>
      <w:r w:rsidR="00407A65" w:rsidRPr="00912992">
        <w:rPr>
          <w:rFonts w:ascii="Times New Roman" w:hAnsi="Times New Roman" w:cs="Times New Roman"/>
          <w:bCs/>
          <w:sz w:val="24"/>
          <w:szCs w:val="24"/>
          <w:lang w:val="en-US"/>
        </w:rPr>
        <w:t xml:space="preserve">scope of application of relevant treaties. More important, </w:t>
      </w:r>
      <w:r w:rsidR="00643622">
        <w:rPr>
          <w:rFonts w:ascii="Times New Roman" w:hAnsi="Times New Roman" w:cs="Times New Roman"/>
          <w:bCs/>
          <w:sz w:val="24"/>
          <w:szCs w:val="24"/>
          <w:lang w:val="en-US"/>
        </w:rPr>
        <w:t xml:space="preserve">the evolutive and dynamic nature of </w:t>
      </w:r>
      <w:r w:rsidR="003F6150" w:rsidRPr="00912992">
        <w:rPr>
          <w:rFonts w:ascii="Times New Roman" w:hAnsi="Times New Roman" w:cs="Times New Roman"/>
          <w:bCs/>
          <w:sz w:val="24"/>
          <w:szCs w:val="24"/>
          <w:lang w:val="en-US"/>
        </w:rPr>
        <w:t>customary</w:t>
      </w:r>
      <w:r w:rsidR="00407A65" w:rsidRPr="00912992">
        <w:rPr>
          <w:rFonts w:ascii="Times New Roman" w:hAnsi="Times New Roman" w:cs="Times New Roman"/>
          <w:bCs/>
          <w:sz w:val="24"/>
          <w:szCs w:val="24"/>
          <w:lang w:val="en-US"/>
        </w:rPr>
        <w:t xml:space="preserve"> norms and </w:t>
      </w:r>
      <w:r w:rsidR="003F6150" w:rsidRPr="00912992">
        <w:rPr>
          <w:rFonts w:ascii="Times New Roman" w:hAnsi="Times New Roman" w:cs="Times New Roman"/>
          <w:bCs/>
          <w:sz w:val="24"/>
          <w:szCs w:val="24"/>
          <w:lang w:val="en-US"/>
        </w:rPr>
        <w:t xml:space="preserve">general </w:t>
      </w:r>
      <w:r w:rsidR="00407A65" w:rsidRPr="00912992">
        <w:rPr>
          <w:rFonts w:ascii="Times New Roman" w:hAnsi="Times New Roman" w:cs="Times New Roman"/>
          <w:bCs/>
          <w:sz w:val="24"/>
          <w:szCs w:val="24"/>
          <w:lang w:val="en-US"/>
        </w:rPr>
        <w:t>principles developed in</w:t>
      </w:r>
      <w:r w:rsidR="004D7D5D" w:rsidRPr="00912992">
        <w:rPr>
          <w:rFonts w:ascii="Times New Roman" w:hAnsi="Times New Roman" w:cs="Times New Roman"/>
          <w:bCs/>
          <w:sz w:val="24"/>
          <w:szCs w:val="24"/>
          <w:lang w:val="en-US"/>
        </w:rPr>
        <w:t xml:space="preserve"> this</w:t>
      </w:r>
      <w:r w:rsidR="00407A65" w:rsidRPr="00912992">
        <w:rPr>
          <w:rFonts w:ascii="Times New Roman" w:hAnsi="Times New Roman" w:cs="Times New Roman"/>
          <w:bCs/>
          <w:sz w:val="24"/>
          <w:szCs w:val="24"/>
          <w:lang w:val="en-US"/>
        </w:rPr>
        <w:t xml:space="preserve"> field may help overcome the sectorialization and fragmentation of treaty law</w:t>
      </w:r>
      <w:r w:rsidR="00643622">
        <w:rPr>
          <w:rFonts w:ascii="Times New Roman" w:hAnsi="Times New Roman" w:cs="Times New Roman"/>
          <w:bCs/>
          <w:sz w:val="24"/>
          <w:szCs w:val="24"/>
          <w:lang w:val="en-US"/>
        </w:rPr>
        <w:t xml:space="preserve"> by helping </w:t>
      </w:r>
      <w:r w:rsidR="00B43F25">
        <w:rPr>
          <w:rFonts w:ascii="Times New Roman" w:hAnsi="Times New Roman" w:cs="Times New Roman"/>
          <w:bCs/>
          <w:sz w:val="24"/>
          <w:szCs w:val="24"/>
          <w:lang w:val="en-US"/>
        </w:rPr>
        <w:t xml:space="preserve">the </w:t>
      </w:r>
      <w:r w:rsidR="00643622">
        <w:rPr>
          <w:rFonts w:ascii="Times New Roman" w:hAnsi="Times New Roman" w:cs="Times New Roman"/>
          <w:bCs/>
          <w:sz w:val="24"/>
          <w:szCs w:val="24"/>
          <w:lang w:val="en-US"/>
        </w:rPr>
        <w:t>harmonization and systemic integration of cultural heritage law with other strands of</w:t>
      </w:r>
      <w:r w:rsidR="000746D8">
        <w:rPr>
          <w:rFonts w:ascii="Times New Roman" w:hAnsi="Times New Roman" w:cs="Times New Roman"/>
          <w:bCs/>
          <w:sz w:val="24"/>
          <w:szCs w:val="24"/>
          <w:lang w:val="en-US"/>
        </w:rPr>
        <w:t xml:space="preserve"> </w:t>
      </w:r>
      <w:r w:rsidR="00B43F25">
        <w:rPr>
          <w:rFonts w:ascii="Times New Roman" w:hAnsi="Times New Roman" w:cs="Times New Roman"/>
          <w:bCs/>
          <w:sz w:val="24"/>
          <w:szCs w:val="24"/>
          <w:lang w:val="en-US"/>
        </w:rPr>
        <w:t xml:space="preserve">international </w:t>
      </w:r>
      <w:r w:rsidR="00643622">
        <w:rPr>
          <w:rFonts w:ascii="Times New Roman" w:hAnsi="Times New Roman" w:cs="Times New Roman"/>
          <w:bCs/>
          <w:sz w:val="24"/>
          <w:szCs w:val="24"/>
          <w:lang w:val="en-US"/>
        </w:rPr>
        <w:t>law, such as</w:t>
      </w:r>
      <w:r w:rsidR="000746D8">
        <w:rPr>
          <w:rFonts w:ascii="Times New Roman" w:hAnsi="Times New Roman" w:cs="Times New Roman"/>
          <w:bCs/>
          <w:sz w:val="24"/>
          <w:szCs w:val="24"/>
          <w:lang w:val="en-US"/>
        </w:rPr>
        <w:t xml:space="preserve"> </w:t>
      </w:r>
      <w:r w:rsidR="00643622">
        <w:rPr>
          <w:rFonts w:ascii="Times New Roman" w:hAnsi="Times New Roman" w:cs="Times New Roman"/>
          <w:bCs/>
          <w:sz w:val="24"/>
          <w:szCs w:val="24"/>
          <w:lang w:val="en-US"/>
        </w:rPr>
        <w:t>humanitarian law, human rights</w:t>
      </w:r>
      <w:r w:rsidR="00B43F25">
        <w:rPr>
          <w:rFonts w:ascii="Times New Roman" w:hAnsi="Times New Roman" w:cs="Times New Roman"/>
          <w:bCs/>
          <w:sz w:val="24"/>
          <w:szCs w:val="24"/>
          <w:lang w:val="en-US"/>
        </w:rPr>
        <w:t xml:space="preserve"> law</w:t>
      </w:r>
      <w:r w:rsidR="00643622">
        <w:rPr>
          <w:rFonts w:ascii="Times New Roman" w:hAnsi="Times New Roman" w:cs="Times New Roman"/>
          <w:bCs/>
          <w:sz w:val="24"/>
          <w:szCs w:val="24"/>
          <w:lang w:val="en-US"/>
        </w:rPr>
        <w:t xml:space="preserve">, </w:t>
      </w:r>
      <w:r w:rsidR="00144B0B">
        <w:rPr>
          <w:rFonts w:ascii="Times New Roman" w:hAnsi="Times New Roman" w:cs="Times New Roman"/>
          <w:bCs/>
          <w:sz w:val="24"/>
          <w:szCs w:val="24"/>
          <w:lang w:val="en-US"/>
        </w:rPr>
        <w:t xml:space="preserve">and </w:t>
      </w:r>
      <w:r w:rsidR="00643622">
        <w:rPr>
          <w:rFonts w:ascii="Times New Roman" w:hAnsi="Times New Roman" w:cs="Times New Roman"/>
          <w:bCs/>
          <w:sz w:val="24"/>
          <w:szCs w:val="24"/>
          <w:lang w:val="en-US"/>
        </w:rPr>
        <w:t>environmental law</w:t>
      </w:r>
      <w:r w:rsidR="0067415A">
        <w:rPr>
          <w:rFonts w:ascii="Times New Roman" w:hAnsi="Times New Roman" w:cs="Times New Roman"/>
          <w:bCs/>
          <w:sz w:val="24"/>
          <w:szCs w:val="24"/>
          <w:lang w:val="en-US"/>
        </w:rPr>
        <w:t>, as well as trade and economic law.</w:t>
      </w:r>
      <w:r w:rsidR="00407A65" w:rsidRPr="00912992">
        <w:rPr>
          <w:rFonts w:ascii="Times New Roman" w:hAnsi="Times New Roman" w:cs="Times New Roman"/>
          <w:bCs/>
          <w:sz w:val="24"/>
          <w:szCs w:val="24"/>
          <w:lang w:val="en-US"/>
        </w:rPr>
        <w:t xml:space="preserve"> </w:t>
      </w:r>
      <w:r w:rsidR="0067415A">
        <w:rPr>
          <w:rFonts w:ascii="Times New Roman" w:hAnsi="Times New Roman" w:cs="Times New Roman"/>
          <w:bCs/>
          <w:sz w:val="24"/>
          <w:szCs w:val="24"/>
          <w:lang w:val="en-US"/>
        </w:rPr>
        <w:t>Custom and general principles can</w:t>
      </w:r>
      <w:r w:rsidR="000746D8">
        <w:rPr>
          <w:rFonts w:ascii="Times New Roman" w:hAnsi="Times New Roman" w:cs="Times New Roman"/>
          <w:bCs/>
          <w:sz w:val="24"/>
          <w:szCs w:val="24"/>
          <w:lang w:val="en-US"/>
        </w:rPr>
        <w:t xml:space="preserve"> </w:t>
      </w:r>
      <w:r w:rsidR="0067415A">
        <w:rPr>
          <w:rFonts w:ascii="Times New Roman" w:hAnsi="Times New Roman" w:cs="Times New Roman"/>
          <w:bCs/>
          <w:sz w:val="24"/>
          <w:szCs w:val="24"/>
          <w:lang w:val="en-US"/>
        </w:rPr>
        <w:t>thus be the wellspring of a progressive development of international cultural heritage law</w:t>
      </w:r>
      <w:r w:rsidR="00BD5879">
        <w:rPr>
          <w:rFonts w:ascii="Times New Roman" w:hAnsi="Times New Roman" w:cs="Times New Roman"/>
          <w:bCs/>
          <w:sz w:val="24"/>
          <w:szCs w:val="24"/>
          <w:lang w:val="en-US"/>
        </w:rPr>
        <w:t>.</w:t>
      </w:r>
      <w:r w:rsidR="0067415A">
        <w:rPr>
          <w:rFonts w:ascii="Times New Roman" w:hAnsi="Times New Roman" w:cs="Times New Roman"/>
          <w:bCs/>
          <w:sz w:val="24"/>
          <w:szCs w:val="24"/>
          <w:lang w:val="en-US"/>
        </w:rPr>
        <w:t xml:space="preserve"> </w:t>
      </w:r>
      <w:r w:rsidR="00BD5879">
        <w:rPr>
          <w:rFonts w:ascii="Times New Roman" w:hAnsi="Times New Roman" w:cs="Times New Roman"/>
          <w:bCs/>
          <w:sz w:val="24"/>
          <w:szCs w:val="24"/>
          <w:lang w:val="en-US"/>
        </w:rPr>
        <w:t>A</w:t>
      </w:r>
      <w:r w:rsidR="0067415A">
        <w:rPr>
          <w:rFonts w:ascii="Times New Roman" w:hAnsi="Times New Roman" w:cs="Times New Roman"/>
          <w:bCs/>
          <w:sz w:val="24"/>
          <w:szCs w:val="24"/>
          <w:lang w:val="en-US"/>
        </w:rPr>
        <w:t>t the same time</w:t>
      </w:r>
      <w:r w:rsidR="000746D8">
        <w:rPr>
          <w:rFonts w:ascii="Times New Roman" w:hAnsi="Times New Roman" w:cs="Times New Roman"/>
          <w:bCs/>
          <w:sz w:val="24"/>
          <w:szCs w:val="24"/>
          <w:lang w:val="en-US"/>
        </w:rPr>
        <w:t xml:space="preserve"> </w:t>
      </w:r>
      <w:r w:rsidR="00BD5879">
        <w:rPr>
          <w:rFonts w:ascii="Times New Roman" w:hAnsi="Times New Roman" w:cs="Times New Roman"/>
          <w:bCs/>
          <w:sz w:val="24"/>
          <w:szCs w:val="24"/>
          <w:lang w:val="en-US"/>
        </w:rPr>
        <w:t xml:space="preserve">they can </w:t>
      </w:r>
      <w:r w:rsidR="00407A65" w:rsidRPr="00912992">
        <w:rPr>
          <w:rFonts w:ascii="Times New Roman" w:hAnsi="Times New Roman" w:cs="Times New Roman"/>
          <w:bCs/>
          <w:sz w:val="24"/>
          <w:szCs w:val="24"/>
          <w:lang w:val="en-US"/>
        </w:rPr>
        <w:t>enhance</w:t>
      </w:r>
      <w:r w:rsidR="0067415A">
        <w:rPr>
          <w:rFonts w:ascii="Times New Roman" w:hAnsi="Times New Roman" w:cs="Times New Roman"/>
          <w:bCs/>
          <w:sz w:val="24"/>
          <w:szCs w:val="24"/>
          <w:lang w:val="en-US"/>
        </w:rPr>
        <w:t xml:space="preserve"> </w:t>
      </w:r>
      <w:r w:rsidR="00A4239B">
        <w:rPr>
          <w:rFonts w:ascii="Times New Roman" w:hAnsi="Times New Roman" w:cs="Times New Roman"/>
          <w:bCs/>
          <w:sz w:val="24"/>
          <w:szCs w:val="24"/>
          <w:lang w:val="en-US"/>
        </w:rPr>
        <w:t>its</w:t>
      </w:r>
      <w:r w:rsidR="0067415A">
        <w:rPr>
          <w:rFonts w:ascii="Times New Roman" w:hAnsi="Times New Roman" w:cs="Times New Roman"/>
          <w:bCs/>
          <w:sz w:val="24"/>
          <w:szCs w:val="24"/>
          <w:lang w:val="en-US"/>
        </w:rPr>
        <w:t xml:space="preserve"> </w:t>
      </w:r>
      <w:r w:rsidR="00407A65" w:rsidRPr="00912992">
        <w:rPr>
          <w:rFonts w:ascii="Times New Roman" w:hAnsi="Times New Roman" w:cs="Times New Roman"/>
          <w:bCs/>
          <w:sz w:val="24"/>
          <w:szCs w:val="24"/>
          <w:lang w:val="en-US"/>
        </w:rPr>
        <w:t xml:space="preserve">coherence </w:t>
      </w:r>
      <w:r w:rsidR="00BD5879">
        <w:rPr>
          <w:rFonts w:ascii="Times New Roman" w:hAnsi="Times New Roman" w:cs="Times New Roman"/>
          <w:bCs/>
          <w:sz w:val="24"/>
          <w:szCs w:val="24"/>
          <w:lang w:val="en-US"/>
        </w:rPr>
        <w:t xml:space="preserve">with other fields of international law </w:t>
      </w:r>
      <w:r w:rsidR="00407A65" w:rsidRPr="00912992">
        <w:rPr>
          <w:rFonts w:ascii="Times New Roman" w:hAnsi="Times New Roman" w:cs="Times New Roman"/>
          <w:bCs/>
          <w:sz w:val="24"/>
          <w:szCs w:val="24"/>
          <w:lang w:val="en-US"/>
        </w:rPr>
        <w:t>at a time when cultural conflicts, rising nationalism</w:t>
      </w:r>
      <w:r w:rsidR="00C02AE3">
        <w:rPr>
          <w:rFonts w:ascii="Times New Roman" w:hAnsi="Times New Roman" w:cs="Times New Roman"/>
          <w:bCs/>
          <w:sz w:val="24"/>
          <w:szCs w:val="24"/>
          <w:lang w:val="en-US"/>
        </w:rPr>
        <w:t>,</w:t>
      </w:r>
      <w:r w:rsidR="00407A65" w:rsidRPr="00912992">
        <w:rPr>
          <w:rFonts w:ascii="Times New Roman" w:hAnsi="Times New Roman" w:cs="Times New Roman"/>
          <w:bCs/>
          <w:sz w:val="24"/>
          <w:szCs w:val="24"/>
          <w:lang w:val="en-US"/>
        </w:rPr>
        <w:t xml:space="preserve"> and intolerance </w:t>
      </w:r>
      <w:r w:rsidR="00D425A2">
        <w:rPr>
          <w:rFonts w:ascii="Times New Roman" w:hAnsi="Times New Roman" w:cs="Times New Roman"/>
          <w:bCs/>
          <w:sz w:val="24"/>
          <w:szCs w:val="24"/>
          <w:lang w:val="en-US"/>
        </w:rPr>
        <w:t>appear</w:t>
      </w:r>
      <w:r w:rsidR="00D425A2" w:rsidRPr="00912992">
        <w:rPr>
          <w:rFonts w:ascii="Times New Roman" w:hAnsi="Times New Roman" w:cs="Times New Roman"/>
          <w:bCs/>
          <w:sz w:val="24"/>
          <w:szCs w:val="24"/>
          <w:lang w:val="en-US"/>
        </w:rPr>
        <w:t xml:space="preserve"> </w:t>
      </w:r>
      <w:r w:rsidR="00407A65" w:rsidRPr="00912992">
        <w:rPr>
          <w:rFonts w:ascii="Times New Roman" w:hAnsi="Times New Roman" w:cs="Times New Roman"/>
          <w:bCs/>
          <w:sz w:val="24"/>
          <w:szCs w:val="24"/>
          <w:lang w:val="en-US"/>
        </w:rPr>
        <w:t>to pose the main threat</w:t>
      </w:r>
      <w:r w:rsidR="00C02AE3">
        <w:rPr>
          <w:rFonts w:ascii="Times New Roman" w:hAnsi="Times New Roman" w:cs="Times New Roman"/>
          <w:bCs/>
          <w:sz w:val="24"/>
          <w:szCs w:val="24"/>
          <w:lang w:val="en-US"/>
        </w:rPr>
        <w:t>s</w:t>
      </w:r>
      <w:r w:rsidR="00407A65" w:rsidRPr="00912992">
        <w:rPr>
          <w:rFonts w:ascii="Times New Roman" w:hAnsi="Times New Roman" w:cs="Times New Roman"/>
          <w:bCs/>
          <w:sz w:val="24"/>
          <w:szCs w:val="24"/>
          <w:lang w:val="en-US"/>
        </w:rPr>
        <w:t xml:space="preserve"> to the value of the universality of </w:t>
      </w:r>
      <w:r w:rsidR="0028246D" w:rsidRPr="00912992">
        <w:rPr>
          <w:rFonts w:ascii="Times New Roman" w:hAnsi="Times New Roman" w:cs="Times New Roman"/>
          <w:bCs/>
          <w:sz w:val="24"/>
          <w:szCs w:val="24"/>
          <w:lang w:val="en-US"/>
        </w:rPr>
        <w:t xml:space="preserve">cultural heritage and </w:t>
      </w:r>
      <w:r w:rsidR="0067415A">
        <w:rPr>
          <w:rFonts w:ascii="Times New Roman" w:hAnsi="Times New Roman" w:cs="Times New Roman"/>
          <w:bCs/>
          <w:sz w:val="24"/>
          <w:szCs w:val="24"/>
          <w:lang w:val="en-US"/>
        </w:rPr>
        <w:t xml:space="preserve">of </w:t>
      </w:r>
      <w:r w:rsidR="00407A65" w:rsidRPr="00912992">
        <w:rPr>
          <w:rFonts w:ascii="Times New Roman" w:hAnsi="Times New Roman" w:cs="Times New Roman"/>
          <w:bCs/>
          <w:sz w:val="24"/>
          <w:szCs w:val="24"/>
          <w:lang w:val="en-US"/>
        </w:rPr>
        <w:t>international law.</w:t>
      </w:r>
    </w:p>
    <w:p w14:paraId="6CCCAAE8" w14:textId="02C57DB9" w:rsidR="003A3CAC" w:rsidRDefault="003A3CAC" w:rsidP="003A3CAC">
      <w:pPr>
        <w:spacing w:line="480" w:lineRule="auto"/>
        <w:jc w:val="both"/>
        <w:rPr>
          <w:rFonts w:ascii="Times New Roman" w:hAnsi="Times New Roman" w:cs="Times New Roman"/>
          <w:bCs/>
          <w:sz w:val="24"/>
          <w:szCs w:val="24"/>
          <w:lang w:val="en-US"/>
        </w:rPr>
      </w:pPr>
    </w:p>
    <w:p w14:paraId="6D74C3FF" w14:textId="5A55D65F" w:rsidR="003A3CAC" w:rsidRDefault="009F1D46" w:rsidP="00B73BA8">
      <w:pPr>
        <w:pStyle w:val="Heading2"/>
        <w:rPr>
          <w:lang w:val="en-US"/>
        </w:rPr>
      </w:pPr>
      <w:r>
        <w:rPr>
          <w:lang w:val="en-US"/>
        </w:rPr>
        <w:t>Suggested</w:t>
      </w:r>
      <w:r w:rsidR="003A3CAC">
        <w:rPr>
          <w:lang w:val="en-US"/>
        </w:rPr>
        <w:t xml:space="preserve"> Readings</w:t>
      </w:r>
    </w:p>
    <w:p w14:paraId="708095E1" w14:textId="4F0256E9" w:rsidR="003A3CAC" w:rsidRPr="003A3CAC" w:rsidRDefault="003A3CAC" w:rsidP="003A3CAC">
      <w:pPr>
        <w:spacing w:line="480" w:lineRule="auto"/>
        <w:jc w:val="both"/>
        <w:rPr>
          <w:rFonts w:ascii="Times New Roman" w:hAnsi="Times New Roman" w:cs="Times New Roman"/>
          <w:bCs/>
          <w:sz w:val="24"/>
          <w:szCs w:val="24"/>
          <w:lang w:val="en-US"/>
        </w:rPr>
      </w:pPr>
      <w:r w:rsidRPr="003A3CAC">
        <w:rPr>
          <w:rFonts w:ascii="Times New Roman" w:hAnsi="Times New Roman" w:cs="Times New Roman"/>
          <w:bCs/>
          <w:sz w:val="24"/>
          <w:szCs w:val="24"/>
          <w:lang w:val="en-US"/>
        </w:rPr>
        <w:t>J</w:t>
      </w:r>
      <w:r w:rsidR="00A856D4">
        <w:rPr>
          <w:rFonts w:ascii="Times New Roman" w:hAnsi="Times New Roman" w:cs="Times New Roman"/>
          <w:bCs/>
          <w:sz w:val="24"/>
          <w:szCs w:val="24"/>
          <w:lang w:val="en-US"/>
        </w:rPr>
        <w:t>anet</w:t>
      </w:r>
      <w:r w:rsidRPr="003A3CAC">
        <w:rPr>
          <w:rFonts w:ascii="Times New Roman" w:hAnsi="Times New Roman" w:cs="Times New Roman"/>
          <w:bCs/>
          <w:sz w:val="24"/>
          <w:szCs w:val="24"/>
          <w:lang w:val="en-US"/>
        </w:rPr>
        <w:t xml:space="preserve"> Blake, </w:t>
      </w:r>
      <w:r w:rsidRPr="003A3CAC">
        <w:rPr>
          <w:rFonts w:ascii="Times New Roman" w:hAnsi="Times New Roman" w:cs="Times New Roman"/>
          <w:bCs/>
          <w:i/>
          <w:iCs/>
          <w:sz w:val="24"/>
          <w:szCs w:val="24"/>
          <w:lang w:val="en-US"/>
        </w:rPr>
        <w:t>International Cultural Heritage Law</w:t>
      </w:r>
      <w:r w:rsidRPr="00B73BA8">
        <w:rPr>
          <w:rFonts w:ascii="Times New Roman" w:hAnsi="Times New Roman" w:cs="Times New Roman"/>
          <w:bCs/>
          <w:sz w:val="24"/>
          <w:szCs w:val="24"/>
          <w:lang w:val="en-US"/>
        </w:rPr>
        <w:t xml:space="preserve"> </w:t>
      </w:r>
      <w:r w:rsidR="00A856D4">
        <w:rPr>
          <w:rFonts w:ascii="Times New Roman" w:hAnsi="Times New Roman" w:cs="Times New Roman"/>
          <w:bCs/>
          <w:sz w:val="24"/>
          <w:szCs w:val="24"/>
          <w:lang w:val="en-US"/>
        </w:rPr>
        <w:t xml:space="preserve">(Oxford: </w:t>
      </w:r>
      <w:r w:rsidRPr="003A3CAC">
        <w:rPr>
          <w:rFonts w:ascii="Times New Roman" w:hAnsi="Times New Roman" w:cs="Times New Roman"/>
          <w:bCs/>
          <w:sz w:val="24"/>
          <w:szCs w:val="24"/>
          <w:lang w:val="en-US"/>
        </w:rPr>
        <w:t>Oxford</w:t>
      </w:r>
      <w:r w:rsidR="00A856D4">
        <w:rPr>
          <w:rFonts w:ascii="Times New Roman" w:hAnsi="Times New Roman" w:cs="Times New Roman"/>
          <w:bCs/>
          <w:sz w:val="24"/>
          <w:szCs w:val="24"/>
          <w:lang w:val="en-US"/>
        </w:rPr>
        <w:t xml:space="preserve"> University Press</w:t>
      </w:r>
      <w:r w:rsidRPr="003A3CAC">
        <w:rPr>
          <w:rFonts w:ascii="Times New Roman" w:hAnsi="Times New Roman" w:cs="Times New Roman"/>
          <w:bCs/>
          <w:sz w:val="24"/>
          <w:szCs w:val="24"/>
          <w:lang w:val="en-US"/>
        </w:rPr>
        <w:t>, 2015</w:t>
      </w:r>
      <w:r w:rsidR="00A856D4">
        <w:rPr>
          <w:rFonts w:ascii="Times New Roman" w:hAnsi="Times New Roman" w:cs="Times New Roman"/>
          <w:bCs/>
          <w:sz w:val="24"/>
          <w:szCs w:val="24"/>
          <w:lang w:val="en-US"/>
        </w:rPr>
        <w:t>)</w:t>
      </w:r>
      <w:r>
        <w:rPr>
          <w:rFonts w:ascii="Times New Roman" w:hAnsi="Times New Roman" w:cs="Times New Roman"/>
          <w:bCs/>
          <w:sz w:val="24"/>
          <w:szCs w:val="24"/>
          <w:lang w:val="en-US"/>
        </w:rPr>
        <w:t>.</w:t>
      </w:r>
    </w:p>
    <w:p w14:paraId="1002CC0E" w14:textId="77777777" w:rsidR="003A3CAC" w:rsidRPr="003A3CAC" w:rsidRDefault="003A3CAC" w:rsidP="003A3CAC">
      <w:pPr>
        <w:spacing w:line="480" w:lineRule="auto"/>
        <w:jc w:val="both"/>
        <w:rPr>
          <w:rFonts w:ascii="Times New Roman" w:hAnsi="Times New Roman" w:cs="Times New Roman"/>
          <w:bCs/>
          <w:sz w:val="24"/>
          <w:szCs w:val="24"/>
          <w:lang w:val="en-US"/>
        </w:rPr>
      </w:pPr>
    </w:p>
    <w:p w14:paraId="315B4753" w14:textId="037ADFD7" w:rsidR="003A3CAC" w:rsidRPr="003A3CAC" w:rsidRDefault="003A3CAC" w:rsidP="003A3CAC">
      <w:pPr>
        <w:spacing w:line="480" w:lineRule="auto"/>
        <w:jc w:val="both"/>
        <w:rPr>
          <w:rFonts w:ascii="Times New Roman" w:hAnsi="Times New Roman" w:cs="Times New Roman"/>
          <w:bCs/>
          <w:sz w:val="24"/>
          <w:szCs w:val="24"/>
          <w:lang w:val="en-US"/>
        </w:rPr>
      </w:pPr>
      <w:r w:rsidRPr="003A3CAC">
        <w:rPr>
          <w:rFonts w:ascii="Times New Roman" w:hAnsi="Times New Roman" w:cs="Times New Roman"/>
          <w:bCs/>
          <w:sz w:val="24"/>
          <w:szCs w:val="24"/>
          <w:lang w:val="en-US"/>
        </w:rPr>
        <w:t>F</w:t>
      </w:r>
      <w:r w:rsidR="00AE1D8E">
        <w:rPr>
          <w:rFonts w:ascii="Times New Roman" w:hAnsi="Times New Roman" w:cs="Times New Roman"/>
          <w:bCs/>
          <w:sz w:val="24"/>
          <w:szCs w:val="24"/>
          <w:lang w:val="en-US"/>
        </w:rPr>
        <w:t>rancesco</w:t>
      </w:r>
      <w:r w:rsidRPr="003A3CAC">
        <w:rPr>
          <w:rFonts w:ascii="Times New Roman" w:hAnsi="Times New Roman" w:cs="Times New Roman"/>
          <w:bCs/>
          <w:sz w:val="24"/>
          <w:szCs w:val="24"/>
          <w:lang w:val="en-US"/>
        </w:rPr>
        <w:t xml:space="preserve"> Francioni, “Beyond State Sovereignty: </w:t>
      </w:r>
      <w:r w:rsidR="004E273C">
        <w:rPr>
          <w:rFonts w:ascii="Times New Roman" w:hAnsi="Times New Roman" w:cs="Times New Roman"/>
          <w:bCs/>
          <w:sz w:val="24"/>
          <w:szCs w:val="24"/>
          <w:lang w:val="en-US"/>
        </w:rPr>
        <w:t>T</w:t>
      </w:r>
      <w:r w:rsidRPr="003A3CAC">
        <w:rPr>
          <w:rFonts w:ascii="Times New Roman" w:hAnsi="Times New Roman" w:cs="Times New Roman"/>
          <w:bCs/>
          <w:sz w:val="24"/>
          <w:szCs w:val="24"/>
          <w:lang w:val="en-US"/>
        </w:rPr>
        <w:t>he Protection of Cultural Heritage as a Shared Interest of Humanity</w:t>
      </w:r>
      <w:r w:rsidR="0049522F">
        <w:rPr>
          <w:rFonts w:ascii="Times New Roman" w:hAnsi="Times New Roman" w:cs="Times New Roman"/>
          <w:bCs/>
          <w:sz w:val="24"/>
          <w:szCs w:val="24"/>
          <w:lang w:val="en-US"/>
        </w:rPr>
        <w:t>,</w:t>
      </w:r>
      <w:r w:rsidRPr="003A3CAC">
        <w:rPr>
          <w:rFonts w:ascii="Times New Roman" w:hAnsi="Times New Roman" w:cs="Times New Roman"/>
          <w:bCs/>
          <w:sz w:val="24"/>
          <w:szCs w:val="24"/>
          <w:lang w:val="en-US"/>
        </w:rPr>
        <w:t xml:space="preserve">” </w:t>
      </w:r>
      <w:r w:rsidRPr="003A3CAC">
        <w:rPr>
          <w:rFonts w:ascii="Times New Roman" w:hAnsi="Times New Roman" w:cs="Times New Roman"/>
          <w:bCs/>
          <w:i/>
          <w:iCs/>
          <w:sz w:val="24"/>
          <w:szCs w:val="24"/>
          <w:lang w:val="en-US"/>
        </w:rPr>
        <w:t>Michigan Journal of International Law</w:t>
      </w:r>
      <w:r w:rsidRPr="00B73BA8">
        <w:rPr>
          <w:rFonts w:ascii="Times New Roman" w:hAnsi="Times New Roman" w:cs="Times New Roman"/>
          <w:bCs/>
          <w:sz w:val="24"/>
          <w:szCs w:val="24"/>
          <w:lang w:val="en-US"/>
        </w:rPr>
        <w:t xml:space="preserve"> </w:t>
      </w:r>
      <w:r w:rsidR="00AE1D8E" w:rsidRPr="00B73BA8">
        <w:rPr>
          <w:rFonts w:ascii="Times New Roman" w:hAnsi="Times New Roman" w:cs="Times New Roman"/>
          <w:bCs/>
          <w:sz w:val="24"/>
          <w:szCs w:val="24"/>
          <w:lang w:val="en-US"/>
        </w:rPr>
        <w:t xml:space="preserve">25, no. 4 </w:t>
      </w:r>
      <w:r w:rsidRPr="003A3CAC">
        <w:rPr>
          <w:rFonts w:ascii="Times New Roman" w:hAnsi="Times New Roman" w:cs="Times New Roman"/>
          <w:bCs/>
          <w:sz w:val="24"/>
          <w:szCs w:val="24"/>
          <w:lang w:val="en-US"/>
        </w:rPr>
        <w:t>(2004)</w:t>
      </w:r>
      <w:r w:rsidR="003170BE">
        <w:rPr>
          <w:rFonts w:ascii="Times New Roman" w:hAnsi="Times New Roman" w:cs="Times New Roman"/>
          <w:bCs/>
          <w:sz w:val="24"/>
          <w:szCs w:val="24"/>
          <w:lang w:val="en-US"/>
        </w:rPr>
        <w:t>:</w:t>
      </w:r>
      <w:r w:rsidRPr="003A3CAC">
        <w:rPr>
          <w:rFonts w:ascii="Times New Roman" w:hAnsi="Times New Roman" w:cs="Times New Roman"/>
          <w:bCs/>
          <w:sz w:val="24"/>
          <w:szCs w:val="24"/>
          <w:lang w:val="en-US"/>
        </w:rPr>
        <w:t xml:space="preserve"> </w:t>
      </w:r>
      <w:r w:rsidR="00C5021C">
        <w:rPr>
          <w:rFonts w:ascii="Times New Roman" w:hAnsi="Times New Roman" w:cs="Times New Roman"/>
          <w:bCs/>
          <w:sz w:val="24"/>
          <w:szCs w:val="24"/>
          <w:lang w:val="en-US"/>
        </w:rPr>
        <w:t>1209–28</w:t>
      </w:r>
      <w:r>
        <w:rPr>
          <w:rFonts w:ascii="Times New Roman" w:hAnsi="Times New Roman" w:cs="Times New Roman"/>
          <w:bCs/>
          <w:sz w:val="24"/>
          <w:szCs w:val="24"/>
          <w:lang w:val="en-US"/>
        </w:rPr>
        <w:t>.</w:t>
      </w:r>
    </w:p>
    <w:p w14:paraId="5AABE7FE" w14:textId="77777777" w:rsidR="004E273C" w:rsidRDefault="004E273C" w:rsidP="004E273C">
      <w:pPr>
        <w:spacing w:line="480" w:lineRule="auto"/>
        <w:jc w:val="both"/>
        <w:rPr>
          <w:rFonts w:ascii="Times New Roman" w:hAnsi="Times New Roman" w:cs="Times New Roman"/>
          <w:sz w:val="24"/>
          <w:szCs w:val="24"/>
          <w:lang w:val="en-US"/>
        </w:rPr>
      </w:pPr>
    </w:p>
    <w:p w14:paraId="15CBFF44" w14:textId="0FEFCF1F" w:rsidR="003A3CAC" w:rsidRPr="003A3CAC" w:rsidRDefault="004E273C" w:rsidP="003A3CAC">
      <w:pPr>
        <w:spacing w:line="480" w:lineRule="auto"/>
        <w:jc w:val="both"/>
        <w:rPr>
          <w:rFonts w:ascii="Times New Roman" w:hAnsi="Times New Roman" w:cs="Times New Roman"/>
          <w:bCs/>
          <w:sz w:val="24"/>
          <w:szCs w:val="24"/>
          <w:lang w:val="en-US"/>
        </w:rPr>
      </w:pPr>
      <w:r w:rsidRPr="006079F6">
        <w:rPr>
          <w:rFonts w:ascii="Times New Roman" w:hAnsi="Times New Roman" w:cs="Times New Roman"/>
          <w:sz w:val="24"/>
          <w:szCs w:val="24"/>
          <w:lang w:val="en-US"/>
        </w:rPr>
        <w:t>Fran</w:t>
      </w:r>
      <w:r>
        <w:rPr>
          <w:rFonts w:ascii="Times New Roman" w:hAnsi="Times New Roman" w:cs="Times New Roman"/>
          <w:sz w:val="24"/>
          <w:szCs w:val="24"/>
          <w:lang w:val="en-US"/>
        </w:rPr>
        <w:t>c</w:t>
      </w:r>
      <w:r w:rsidRPr="006079F6">
        <w:rPr>
          <w:rFonts w:ascii="Times New Roman" w:hAnsi="Times New Roman" w:cs="Times New Roman"/>
          <w:sz w:val="24"/>
          <w:szCs w:val="24"/>
          <w:lang w:val="en-US"/>
        </w:rPr>
        <w:t xml:space="preserve">esco </w:t>
      </w:r>
      <w:r w:rsidRPr="00665F17">
        <w:rPr>
          <w:rFonts w:ascii="Times New Roman" w:hAnsi="Times New Roman" w:cs="Times New Roman"/>
          <w:sz w:val="24"/>
          <w:szCs w:val="24"/>
          <w:lang w:val="en-US"/>
        </w:rPr>
        <w:t xml:space="preserve">Francioni and </w:t>
      </w:r>
      <w:r w:rsidRPr="006079F6">
        <w:rPr>
          <w:rFonts w:ascii="Times New Roman" w:hAnsi="Times New Roman" w:cs="Times New Roman"/>
          <w:sz w:val="24"/>
          <w:szCs w:val="24"/>
          <w:lang w:val="en-US"/>
        </w:rPr>
        <w:t xml:space="preserve">Federico </w:t>
      </w:r>
      <w:r w:rsidRPr="00665F17">
        <w:rPr>
          <w:rFonts w:ascii="Times New Roman" w:hAnsi="Times New Roman" w:cs="Times New Roman"/>
          <w:sz w:val="24"/>
          <w:szCs w:val="24"/>
          <w:lang w:val="en-US"/>
        </w:rPr>
        <w:t>Lenzerini, “The Destruction of the Buddhas of Bam</w:t>
      </w:r>
      <w:r w:rsidRPr="006079F6">
        <w:rPr>
          <w:rFonts w:ascii="Times New Roman" w:hAnsi="Times New Roman" w:cs="Times New Roman"/>
          <w:sz w:val="24"/>
          <w:szCs w:val="24"/>
          <w:lang w:val="en-US"/>
        </w:rPr>
        <w:t>iy</w:t>
      </w:r>
      <w:r w:rsidRPr="00665F17">
        <w:rPr>
          <w:rFonts w:ascii="Times New Roman" w:hAnsi="Times New Roman" w:cs="Times New Roman"/>
          <w:sz w:val="24"/>
          <w:szCs w:val="24"/>
          <w:lang w:val="en-US"/>
        </w:rPr>
        <w:t xml:space="preserve">an and International Law,” </w:t>
      </w:r>
      <w:r w:rsidRPr="00665F17">
        <w:rPr>
          <w:rFonts w:ascii="Times New Roman" w:hAnsi="Times New Roman" w:cs="Times New Roman"/>
          <w:i/>
          <w:sz w:val="24"/>
          <w:szCs w:val="24"/>
          <w:lang w:val="en-US"/>
        </w:rPr>
        <w:t>European Journal of International Law</w:t>
      </w:r>
      <w:r w:rsidRPr="006079F6">
        <w:rPr>
          <w:rFonts w:ascii="Times New Roman" w:hAnsi="Times New Roman" w:cs="Times New Roman"/>
          <w:iCs/>
          <w:sz w:val="24"/>
          <w:szCs w:val="24"/>
          <w:lang w:val="en-US"/>
        </w:rPr>
        <w:t xml:space="preserve"> 14, no. 4 (</w:t>
      </w:r>
      <w:r w:rsidRPr="00665F17">
        <w:rPr>
          <w:rFonts w:ascii="Times New Roman" w:hAnsi="Times New Roman" w:cs="Times New Roman"/>
          <w:iCs/>
          <w:sz w:val="24"/>
          <w:szCs w:val="24"/>
          <w:lang w:val="en-US"/>
        </w:rPr>
        <w:t>2003</w:t>
      </w:r>
      <w:r w:rsidRPr="006079F6">
        <w:rPr>
          <w:rFonts w:ascii="Times New Roman" w:hAnsi="Times New Roman" w:cs="Times New Roman"/>
          <w:iCs/>
          <w:sz w:val="24"/>
          <w:szCs w:val="24"/>
          <w:lang w:val="en-US"/>
        </w:rPr>
        <w:t>)</w:t>
      </w:r>
      <w:r>
        <w:rPr>
          <w:rFonts w:ascii="Times New Roman" w:hAnsi="Times New Roman" w:cs="Times New Roman"/>
          <w:iCs/>
          <w:sz w:val="24"/>
          <w:szCs w:val="24"/>
          <w:lang w:val="en-US"/>
        </w:rPr>
        <w:t>: 619–51.</w:t>
      </w:r>
    </w:p>
    <w:p w14:paraId="051B3265" w14:textId="77777777" w:rsidR="004E273C" w:rsidRDefault="004E273C" w:rsidP="003A3CAC">
      <w:pPr>
        <w:spacing w:line="480" w:lineRule="auto"/>
        <w:jc w:val="both"/>
        <w:rPr>
          <w:rFonts w:ascii="Times New Roman" w:hAnsi="Times New Roman" w:cs="Times New Roman"/>
          <w:sz w:val="24"/>
          <w:szCs w:val="24"/>
          <w:lang w:val="en-US"/>
        </w:rPr>
      </w:pPr>
    </w:p>
    <w:p w14:paraId="4E0C8B73" w14:textId="197684CA" w:rsidR="003A3CAC" w:rsidRPr="003A3CAC" w:rsidRDefault="007C03F1" w:rsidP="003A3CAC">
      <w:pPr>
        <w:spacing w:line="480" w:lineRule="auto"/>
        <w:jc w:val="both"/>
        <w:rPr>
          <w:rFonts w:ascii="Times New Roman" w:hAnsi="Times New Roman" w:cs="Times New Roman"/>
          <w:bCs/>
          <w:sz w:val="24"/>
          <w:szCs w:val="24"/>
          <w:lang w:val="en-US"/>
        </w:rPr>
      </w:pPr>
      <w:r w:rsidRPr="00665F17">
        <w:rPr>
          <w:rFonts w:ascii="Times New Roman" w:hAnsi="Times New Roman" w:cs="Times New Roman"/>
          <w:sz w:val="24"/>
          <w:szCs w:val="24"/>
          <w:lang w:val="en-US"/>
        </w:rPr>
        <w:t>F</w:t>
      </w:r>
      <w:r w:rsidRPr="001C35F3">
        <w:rPr>
          <w:rFonts w:ascii="Times New Roman" w:hAnsi="Times New Roman" w:cs="Times New Roman"/>
          <w:sz w:val="24"/>
          <w:szCs w:val="24"/>
          <w:lang w:val="en-US"/>
        </w:rPr>
        <w:t>ederico</w:t>
      </w:r>
      <w:r w:rsidRPr="00665F17">
        <w:rPr>
          <w:rFonts w:ascii="Times New Roman" w:hAnsi="Times New Roman" w:cs="Times New Roman"/>
          <w:sz w:val="24"/>
          <w:szCs w:val="24"/>
          <w:lang w:val="en-US"/>
        </w:rPr>
        <w:t xml:space="preserve"> Lenzerini</w:t>
      </w:r>
      <w:r w:rsidR="00171C4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“Intentional Destruction of Cultural heritage</w:t>
      </w:r>
      <w:r>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in </w:t>
      </w:r>
      <w:r w:rsidRPr="00665F17">
        <w:rPr>
          <w:rFonts w:ascii="Times New Roman" w:hAnsi="Times New Roman" w:cs="Times New Roman"/>
          <w:i/>
          <w:iCs/>
          <w:sz w:val="24"/>
          <w:szCs w:val="24"/>
          <w:lang w:val="en-US"/>
        </w:rPr>
        <w:t xml:space="preserve">The Oxford Handbook of </w:t>
      </w:r>
      <w:r w:rsidRPr="001C35F3">
        <w:rPr>
          <w:rFonts w:ascii="Times New Roman" w:hAnsi="Times New Roman" w:cs="Times New Roman"/>
          <w:i/>
          <w:iCs/>
          <w:sz w:val="24"/>
          <w:szCs w:val="24"/>
          <w:lang w:val="en-US"/>
        </w:rPr>
        <w:t>I</w:t>
      </w:r>
      <w:r w:rsidRPr="00665F17">
        <w:rPr>
          <w:rFonts w:ascii="Times New Roman" w:hAnsi="Times New Roman" w:cs="Times New Roman"/>
          <w:i/>
          <w:iCs/>
          <w:sz w:val="24"/>
          <w:szCs w:val="24"/>
          <w:lang w:val="en-US"/>
        </w:rPr>
        <w:t>nternational Cultural Heritage Law</w:t>
      </w:r>
      <w:r w:rsidRPr="00665F17">
        <w:rPr>
          <w:rFonts w:ascii="Times New Roman" w:hAnsi="Times New Roman" w:cs="Times New Roman"/>
          <w:sz w:val="24"/>
          <w:szCs w:val="24"/>
          <w:lang w:val="en-US"/>
        </w:rPr>
        <w:t xml:space="preserve">, </w:t>
      </w:r>
      <w:r w:rsidRPr="001C35F3">
        <w:rPr>
          <w:rFonts w:ascii="Times New Roman" w:hAnsi="Times New Roman" w:cs="Times New Roman"/>
          <w:sz w:val="24"/>
          <w:szCs w:val="24"/>
          <w:lang w:val="en-US"/>
        </w:rPr>
        <w:t xml:space="preserve">ed. </w:t>
      </w:r>
      <w:r w:rsidR="00044B9B">
        <w:rPr>
          <w:rFonts w:ascii="Times New Roman" w:hAnsi="Times New Roman" w:cs="Times New Roman"/>
          <w:sz w:val="24"/>
          <w:szCs w:val="24"/>
          <w:lang w:val="en-US"/>
        </w:rPr>
        <w:t>Francesco</w:t>
      </w:r>
      <w:r w:rsidRPr="001C35F3">
        <w:rPr>
          <w:rFonts w:ascii="Times New Roman" w:hAnsi="Times New Roman" w:cs="Times New Roman"/>
          <w:sz w:val="24"/>
          <w:szCs w:val="24"/>
          <w:lang w:val="en-US"/>
        </w:rPr>
        <w:t xml:space="preserve"> Francioni and Ana Filipa Vrdoljak (</w:t>
      </w:r>
      <w:r w:rsidRPr="00665F17">
        <w:rPr>
          <w:rFonts w:ascii="Times New Roman" w:hAnsi="Times New Roman" w:cs="Times New Roman"/>
          <w:sz w:val="24"/>
          <w:szCs w:val="24"/>
          <w:lang w:val="en-US"/>
        </w:rPr>
        <w:t>Oxford</w:t>
      </w:r>
      <w:r w:rsidRPr="001C35F3">
        <w:rPr>
          <w:rFonts w:ascii="Times New Roman" w:hAnsi="Times New Roman" w:cs="Times New Roman"/>
          <w:sz w:val="24"/>
          <w:szCs w:val="24"/>
          <w:lang w:val="en-US"/>
        </w:rPr>
        <w:t>: Oxford University Press</w:t>
      </w:r>
      <w:r w:rsidRPr="00665F17">
        <w:rPr>
          <w:rFonts w:ascii="Times New Roman" w:hAnsi="Times New Roman" w:cs="Times New Roman"/>
          <w:sz w:val="24"/>
          <w:szCs w:val="24"/>
          <w:lang w:val="en-US"/>
        </w:rPr>
        <w:t>, 2020</w:t>
      </w:r>
      <w:r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75–100</w:t>
      </w:r>
      <w:r w:rsidR="003A3CAC">
        <w:rPr>
          <w:rFonts w:ascii="Times New Roman" w:hAnsi="Times New Roman" w:cs="Times New Roman"/>
          <w:bCs/>
          <w:sz w:val="24"/>
          <w:szCs w:val="24"/>
          <w:lang w:val="en-US"/>
        </w:rPr>
        <w:t>.</w:t>
      </w:r>
    </w:p>
    <w:p w14:paraId="524E9A03" w14:textId="77777777" w:rsidR="003A3CAC" w:rsidRPr="003A3CAC" w:rsidRDefault="003A3CAC" w:rsidP="003A3CAC">
      <w:pPr>
        <w:spacing w:line="480" w:lineRule="auto"/>
        <w:jc w:val="both"/>
        <w:rPr>
          <w:rFonts w:ascii="Times New Roman" w:hAnsi="Times New Roman" w:cs="Times New Roman"/>
          <w:bCs/>
          <w:sz w:val="24"/>
          <w:szCs w:val="24"/>
          <w:lang w:val="en-US"/>
        </w:rPr>
      </w:pPr>
    </w:p>
    <w:p w14:paraId="2C7739C3" w14:textId="7E3FECC9" w:rsidR="003A3CAC" w:rsidRPr="003A3CAC" w:rsidRDefault="003A3CAC" w:rsidP="003A3CAC">
      <w:pPr>
        <w:spacing w:line="480" w:lineRule="auto"/>
        <w:jc w:val="both"/>
        <w:rPr>
          <w:rFonts w:ascii="Times New Roman" w:hAnsi="Times New Roman" w:cs="Times New Roman"/>
          <w:bCs/>
          <w:sz w:val="24"/>
          <w:szCs w:val="24"/>
          <w:lang w:val="en-US"/>
        </w:rPr>
      </w:pPr>
      <w:r w:rsidRPr="003A3CAC">
        <w:rPr>
          <w:rFonts w:ascii="Times New Roman" w:hAnsi="Times New Roman" w:cs="Times New Roman"/>
          <w:bCs/>
          <w:sz w:val="24"/>
          <w:szCs w:val="24"/>
          <w:lang w:val="en-US"/>
        </w:rPr>
        <w:t>J</w:t>
      </w:r>
      <w:r w:rsidR="00487497">
        <w:rPr>
          <w:rFonts w:ascii="Times New Roman" w:hAnsi="Times New Roman" w:cs="Times New Roman"/>
          <w:bCs/>
          <w:sz w:val="24"/>
          <w:szCs w:val="24"/>
          <w:lang w:val="en-US"/>
        </w:rPr>
        <w:t xml:space="preserve">ames </w:t>
      </w:r>
      <w:r w:rsidRPr="003A3CAC">
        <w:rPr>
          <w:rFonts w:ascii="Times New Roman" w:hAnsi="Times New Roman" w:cs="Times New Roman"/>
          <w:bCs/>
          <w:sz w:val="24"/>
          <w:szCs w:val="24"/>
          <w:lang w:val="en-US"/>
        </w:rPr>
        <w:t>AR Nafziger, “The Responsibility to Protect Cultural Heritage and Prevent Cultural Genocide</w:t>
      </w:r>
      <w:r w:rsidR="00487497">
        <w:rPr>
          <w:rFonts w:ascii="Times New Roman" w:hAnsi="Times New Roman" w:cs="Times New Roman"/>
          <w:bCs/>
          <w:sz w:val="24"/>
          <w:szCs w:val="24"/>
          <w:lang w:val="en-US"/>
        </w:rPr>
        <w:t>,</w:t>
      </w:r>
      <w:r w:rsidRPr="003A3CAC">
        <w:rPr>
          <w:rFonts w:ascii="Times New Roman" w:hAnsi="Times New Roman" w:cs="Times New Roman"/>
          <w:bCs/>
          <w:sz w:val="24"/>
          <w:szCs w:val="24"/>
          <w:lang w:val="en-US"/>
        </w:rPr>
        <w:t xml:space="preserve">” in </w:t>
      </w:r>
      <w:r w:rsidRPr="003A3CAC">
        <w:rPr>
          <w:rFonts w:ascii="Times New Roman" w:hAnsi="Times New Roman" w:cs="Times New Roman"/>
          <w:bCs/>
          <w:i/>
          <w:iCs/>
          <w:sz w:val="24"/>
          <w:szCs w:val="24"/>
          <w:lang w:val="en-US"/>
        </w:rPr>
        <w:t>The Oxford Handbook of International Cultural Heritage Law</w:t>
      </w:r>
      <w:r w:rsidR="002355F7">
        <w:rPr>
          <w:rFonts w:ascii="Times New Roman" w:hAnsi="Times New Roman" w:cs="Times New Roman"/>
          <w:bCs/>
          <w:sz w:val="24"/>
          <w:szCs w:val="24"/>
          <w:lang w:val="en-US"/>
        </w:rPr>
        <w:t>, ed.</w:t>
      </w:r>
      <w:r w:rsidR="007C03F1" w:rsidRPr="007C03F1">
        <w:rPr>
          <w:rFonts w:ascii="Times New Roman" w:hAnsi="Times New Roman" w:cs="Times New Roman"/>
          <w:sz w:val="24"/>
          <w:szCs w:val="24"/>
          <w:lang w:val="en-US"/>
        </w:rPr>
        <w:t xml:space="preserve"> </w:t>
      </w:r>
      <w:r w:rsidR="00044B9B">
        <w:rPr>
          <w:rFonts w:ascii="Times New Roman" w:hAnsi="Times New Roman" w:cs="Times New Roman"/>
          <w:sz w:val="24"/>
          <w:szCs w:val="24"/>
          <w:lang w:val="en-US"/>
        </w:rPr>
        <w:t xml:space="preserve">Francesco </w:t>
      </w:r>
      <w:r w:rsidR="007C03F1" w:rsidRPr="001C35F3">
        <w:rPr>
          <w:rFonts w:ascii="Times New Roman" w:hAnsi="Times New Roman" w:cs="Times New Roman"/>
          <w:sz w:val="24"/>
          <w:szCs w:val="24"/>
          <w:lang w:val="en-US"/>
        </w:rPr>
        <w:t>Francioni and Ana Filipa Vrdoljak (</w:t>
      </w:r>
      <w:r w:rsidR="007C03F1" w:rsidRPr="00665F17">
        <w:rPr>
          <w:rFonts w:ascii="Times New Roman" w:hAnsi="Times New Roman" w:cs="Times New Roman"/>
          <w:sz w:val="24"/>
          <w:szCs w:val="24"/>
          <w:lang w:val="en-US"/>
        </w:rPr>
        <w:t>Oxford</w:t>
      </w:r>
      <w:r w:rsidR="007C03F1" w:rsidRPr="001C35F3">
        <w:rPr>
          <w:rFonts w:ascii="Times New Roman" w:hAnsi="Times New Roman" w:cs="Times New Roman"/>
          <w:sz w:val="24"/>
          <w:szCs w:val="24"/>
          <w:lang w:val="en-US"/>
        </w:rPr>
        <w:t>: Oxford University Press</w:t>
      </w:r>
      <w:r w:rsidR="007C03F1" w:rsidRPr="00665F17">
        <w:rPr>
          <w:rFonts w:ascii="Times New Roman" w:hAnsi="Times New Roman" w:cs="Times New Roman"/>
          <w:sz w:val="24"/>
          <w:szCs w:val="24"/>
          <w:lang w:val="en-US"/>
        </w:rPr>
        <w:t>, 2020</w:t>
      </w:r>
      <w:r w:rsidR="007C03F1" w:rsidRPr="001C35F3">
        <w:rPr>
          <w:rFonts w:ascii="Times New Roman" w:hAnsi="Times New Roman" w:cs="Times New Roman"/>
          <w:sz w:val="24"/>
          <w:szCs w:val="24"/>
          <w:lang w:val="en-US"/>
        </w:rPr>
        <w:t>)</w:t>
      </w:r>
      <w:r w:rsidR="007C03F1">
        <w:rPr>
          <w:rFonts w:ascii="Times New Roman" w:hAnsi="Times New Roman" w:cs="Times New Roman"/>
          <w:sz w:val="24"/>
          <w:szCs w:val="24"/>
          <w:lang w:val="en-US"/>
        </w:rPr>
        <w:t xml:space="preserve">, </w:t>
      </w:r>
      <w:r w:rsidRPr="003A3CAC">
        <w:rPr>
          <w:rFonts w:ascii="Times New Roman" w:hAnsi="Times New Roman" w:cs="Times New Roman"/>
          <w:bCs/>
          <w:sz w:val="24"/>
          <w:szCs w:val="24"/>
          <w:lang w:val="en-US"/>
        </w:rPr>
        <w:t>121</w:t>
      </w:r>
      <w:r w:rsidR="00487497">
        <w:rPr>
          <w:rFonts w:ascii="Times New Roman" w:hAnsi="Times New Roman" w:cs="Times New Roman"/>
          <w:bCs/>
          <w:sz w:val="24"/>
          <w:szCs w:val="24"/>
          <w:lang w:val="en-US"/>
        </w:rPr>
        <w:t>–44</w:t>
      </w:r>
      <w:r>
        <w:rPr>
          <w:rFonts w:ascii="Times New Roman" w:hAnsi="Times New Roman" w:cs="Times New Roman"/>
          <w:bCs/>
          <w:sz w:val="24"/>
          <w:szCs w:val="24"/>
          <w:lang w:val="en-US"/>
        </w:rPr>
        <w:t>.</w:t>
      </w:r>
    </w:p>
    <w:p w14:paraId="74EFAB0E" w14:textId="77777777" w:rsidR="003A3CAC" w:rsidRPr="003A3CAC" w:rsidRDefault="003A3CAC" w:rsidP="003A3CAC">
      <w:pPr>
        <w:spacing w:line="480" w:lineRule="auto"/>
        <w:jc w:val="both"/>
        <w:rPr>
          <w:rFonts w:ascii="Times New Roman" w:hAnsi="Times New Roman" w:cs="Times New Roman"/>
          <w:bCs/>
          <w:sz w:val="24"/>
          <w:szCs w:val="24"/>
          <w:lang w:val="en-US"/>
        </w:rPr>
      </w:pPr>
    </w:p>
    <w:p w14:paraId="29822149" w14:textId="79A9603B" w:rsidR="003A3CAC" w:rsidRPr="003A3CAC" w:rsidRDefault="003A3CAC" w:rsidP="003A3CAC">
      <w:pPr>
        <w:spacing w:line="480" w:lineRule="auto"/>
        <w:jc w:val="both"/>
        <w:rPr>
          <w:rFonts w:ascii="Times New Roman" w:hAnsi="Times New Roman" w:cs="Times New Roman"/>
          <w:bCs/>
          <w:sz w:val="24"/>
          <w:szCs w:val="24"/>
          <w:lang w:val="en-US"/>
        </w:rPr>
      </w:pPr>
      <w:r w:rsidRPr="003A3CAC">
        <w:rPr>
          <w:rFonts w:ascii="Times New Roman" w:hAnsi="Times New Roman" w:cs="Times New Roman"/>
          <w:bCs/>
          <w:sz w:val="24"/>
          <w:szCs w:val="24"/>
          <w:lang w:val="en-US"/>
        </w:rPr>
        <w:t>R</w:t>
      </w:r>
      <w:r w:rsidR="00063B11">
        <w:rPr>
          <w:rFonts w:ascii="Times New Roman" w:hAnsi="Times New Roman" w:cs="Times New Roman"/>
          <w:bCs/>
          <w:sz w:val="24"/>
          <w:szCs w:val="24"/>
          <w:lang w:val="en-US"/>
        </w:rPr>
        <w:t>oger</w:t>
      </w:r>
      <w:r w:rsidRPr="003A3CAC">
        <w:rPr>
          <w:rFonts w:ascii="Times New Roman" w:hAnsi="Times New Roman" w:cs="Times New Roman"/>
          <w:bCs/>
          <w:sz w:val="24"/>
          <w:szCs w:val="24"/>
          <w:lang w:val="en-US"/>
        </w:rPr>
        <w:t xml:space="preserve"> O’Keefe, </w:t>
      </w:r>
      <w:r w:rsidRPr="003A3CAC">
        <w:rPr>
          <w:rFonts w:ascii="Times New Roman" w:hAnsi="Times New Roman" w:cs="Times New Roman"/>
          <w:bCs/>
          <w:i/>
          <w:iCs/>
          <w:sz w:val="24"/>
          <w:szCs w:val="24"/>
          <w:lang w:val="en-US"/>
        </w:rPr>
        <w:t xml:space="preserve">The Protection of Cultural Property in Armed </w:t>
      </w:r>
      <w:r w:rsidR="00470290">
        <w:rPr>
          <w:rFonts w:ascii="Times New Roman" w:hAnsi="Times New Roman" w:cs="Times New Roman"/>
          <w:bCs/>
          <w:i/>
          <w:iCs/>
          <w:sz w:val="24"/>
          <w:szCs w:val="24"/>
          <w:lang w:val="en-US"/>
        </w:rPr>
        <w:t>C</w:t>
      </w:r>
      <w:r w:rsidRPr="003A3CAC">
        <w:rPr>
          <w:rFonts w:ascii="Times New Roman" w:hAnsi="Times New Roman" w:cs="Times New Roman"/>
          <w:bCs/>
          <w:i/>
          <w:iCs/>
          <w:sz w:val="24"/>
          <w:szCs w:val="24"/>
          <w:lang w:val="en-US"/>
        </w:rPr>
        <w:t>onflict</w:t>
      </w:r>
      <w:r w:rsidRPr="007E496E">
        <w:rPr>
          <w:rFonts w:ascii="Times New Roman" w:hAnsi="Times New Roman" w:cs="Times New Roman"/>
          <w:bCs/>
          <w:sz w:val="24"/>
          <w:szCs w:val="24"/>
          <w:lang w:val="en-US"/>
        </w:rPr>
        <w:t xml:space="preserve"> </w:t>
      </w:r>
      <w:r w:rsidR="00B3006F">
        <w:rPr>
          <w:rFonts w:ascii="Times New Roman" w:hAnsi="Times New Roman" w:cs="Times New Roman"/>
          <w:bCs/>
          <w:sz w:val="24"/>
          <w:szCs w:val="24"/>
          <w:lang w:val="en-US"/>
        </w:rPr>
        <w:t>(</w:t>
      </w:r>
      <w:r w:rsidRPr="003A3CAC">
        <w:rPr>
          <w:rFonts w:ascii="Times New Roman" w:hAnsi="Times New Roman" w:cs="Times New Roman"/>
          <w:bCs/>
          <w:sz w:val="24"/>
          <w:szCs w:val="24"/>
          <w:lang w:val="en-US"/>
        </w:rPr>
        <w:t>Cambridge</w:t>
      </w:r>
      <w:r w:rsidR="00B3006F">
        <w:rPr>
          <w:rFonts w:ascii="Times New Roman" w:hAnsi="Times New Roman" w:cs="Times New Roman"/>
          <w:bCs/>
          <w:sz w:val="24"/>
          <w:szCs w:val="24"/>
          <w:lang w:val="en-US"/>
        </w:rPr>
        <w:t xml:space="preserve">: </w:t>
      </w:r>
      <w:r w:rsidR="00B3006F" w:rsidRPr="003A3CAC">
        <w:rPr>
          <w:rFonts w:ascii="Times New Roman" w:hAnsi="Times New Roman" w:cs="Times New Roman"/>
          <w:bCs/>
          <w:sz w:val="24"/>
          <w:szCs w:val="24"/>
          <w:lang w:val="en-US"/>
        </w:rPr>
        <w:t>Cambridge</w:t>
      </w:r>
      <w:r w:rsidR="00B3006F">
        <w:rPr>
          <w:rFonts w:ascii="Times New Roman" w:hAnsi="Times New Roman" w:cs="Times New Roman"/>
          <w:bCs/>
          <w:sz w:val="24"/>
          <w:szCs w:val="24"/>
          <w:lang w:val="en-US"/>
        </w:rPr>
        <w:t xml:space="preserve"> University Press</w:t>
      </w:r>
      <w:r w:rsidRPr="003A3CAC">
        <w:rPr>
          <w:rFonts w:ascii="Times New Roman" w:hAnsi="Times New Roman" w:cs="Times New Roman"/>
          <w:bCs/>
          <w:sz w:val="24"/>
          <w:szCs w:val="24"/>
          <w:lang w:val="en-US"/>
        </w:rPr>
        <w:t>, 2009</w:t>
      </w:r>
      <w:r w:rsidR="00B3006F">
        <w:rPr>
          <w:rFonts w:ascii="Times New Roman" w:hAnsi="Times New Roman" w:cs="Times New Roman"/>
          <w:bCs/>
          <w:sz w:val="24"/>
          <w:szCs w:val="24"/>
          <w:lang w:val="en-US"/>
        </w:rPr>
        <w:t>)</w:t>
      </w:r>
      <w:r>
        <w:rPr>
          <w:rFonts w:ascii="Times New Roman" w:hAnsi="Times New Roman" w:cs="Times New Roman"/>
          <w:bCs/>
          <w:sz w:val="24"/>
          <w:szCs w:val="24"/>
          <w:lang w:val="en-US"/>
        </w:rPr>
        <w:t>.</w:t>
      </w:r>
    </w:p>
    <w:p w14:paraId="0043C843" w14:textId="77777777" w:rsidR="003A3CAC" w:rsidRPr="003A3CAC" w:rsidRDefault="003A3CAC" w:rsidP="003A3CAC">
      <w:pPr>
        <w:spacing w:line="480" w:lineRule="auto"/>
        <w:jc w:val="both"/>
        <w:rPr>
          <w:rFonts w:ascii="Times New Roman" w:hAnsi="Times New Roman" w:cs="Times New Roman"/>
          <w:bCs/>
          <w:sz w:val="24"/>
          <w:szCs w:val="24"/>
          <w:lang w:val="en-US"/>
        </w:rPr>
      </w:pPr>
    </w:p>
    <w:p w14:paraId="4366648B" w14:textId="547A6E19" w:rsidR="003A3CAC" w:rsidRPr="003A3CAC" w:rsidRDefault="00C97B93" w:rsidP="003A3CAC">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sidR="003A3CAC" w:rsidRPr="003A3CAC">
        <w:rPr>
          <w:rFonts w:ascii="Times New Roman" w:hAnsi="Times New Roman" w:cs="Times New Roman"/>
          <w:bCs/>
          <w:sz w:val="24"/>
          <w:szCs w:val="24"/>
          <w:lang w:val="en-US"/>
        </w:rPr>
        <w:t xml:space="preserve">Symposium: The Human </w:t>
      </w:r>
      <w:r w:rsidR="000916ED">
        <w:rPr>
          <w:rFonts w:ascii="Times New Roman" w:hAnsi="Times New Roman" w:cs="Times New Roman"/>
          <w:bCs/>
          <w:sz w:val="24"/>
          <w:szCs w:val="24"/>
          <w:lang w:val="en-US"/>
        </w:rPr>
        <w:t>D</w:t>
      </w:r>
      <w:r w:rsidR="003A3CAC" w:rsidRPr="003A3CAC">
        <w:rPr>
          <w:rFonts w:ascii="Times New Roman" w:hAnsi="Times New Roman" w:cs="Times New Roman"/>
          <w:bCs/>
          <w:sz w:val="24"/>
          <w:szCs w:val="24"/>
          <w:lang w:val="en-US"/>
        </w:rPr>
        <w:t xml:space="preserve">imension of International Cultural Heritage </w:t>
      </w:r>
      <w:r>
        <w:rPr>
          <w:rFonts w:ascii="Times New Roman" w:hAnsi="Times New Roman" w:cs="Times New Roman"/>
          <w:bCs/>
          <w:sz w:val="24"/>
          <w:szCs w:val="24"/>
          <w:lang w:val="en-US"/>
        </w:rPr>
        <w:t>L</w:t>
      </w:r>
      <w:r w:rsidR="003A3CAC" w:rsidRPr="003A3CAC">
        <w:rPr>
          <w:rFonts w:ascii="Times New Roman" w:hAnsi="Times New Roman" w:cs="Times New Roman"/>
          <w:bCs/>
          <w:sz w:val="24"/>
          <w:szCs w:val="24"/>
          <w:lang w:val="en-US"/>
        </w:rPr>
        <w:t>aw,</w:t>
      </w:r>
      <w:r>
        <w:rPr>
          <w:rFonts w:ascii="Times New Roman" w:hAnsi="Times New Roman" w:cs="Times New Roman"/>
          <w:bCs/>
          <w:sz w:val="24"/>
          <w:szCs w:val="24"/>
          <w:lang w:val="en-US"/>
        </w:rPr>
        <w:t>”</w:t>
      </w:r>
      <w:r w:rsidR="003A3CAC" w:rsidRPr="003A3CAC">
        <w:rPr>
          <w:rFonts w:ascii="Times New Roman" w:hAnsi="Times New Roman" w:cs="Times New Roman"/>
          <w:bCs/>
          <w:sz w:val="24"/>
          <w:szCs w:val="24"/>
          <w:lang w:val="en-US"/>
        </w:rPr>
        <w:t xml:space="preserve"> </w:t>
      </w:r>
      <w:r w:rsidR="00DC0594">
        <w:rPr>
          <w:rFonts w:ascii="Times New Roman" w:hAnsi="Times New Roman" w:cs="Times New Roman"/>
          <w:bCs/>
          <w:sz w:val="24"/>
          <w:szCs w:val="24"/>
          <w:lang w:val="en-US"/>
        </w:rPr>
        <w:t xml:space="preserve">special issue, </w:t>
      </w:r>
      <w:r w:rsidR="003A3CAC" w:rsidRPr="003A3CAC">
        <w:rPr>
          <w:rFonts w:ascii="Times New Roman" w:hAnsi="Times New Roman" w:cs="Times New Roman"/>
          <w:bCs/>
          <w:i/>
          <w:iCs/>
          <w:sz w:val="24"/>
          <w:szCs w:val="24"/>
          <w:lang w:val="en-US"/>
        </w:rPr>
        <w:t>European Journal of International law</w:t>
      </w:r>
      <w:r w:rsidR="003A3CAC" w:rsidRPr="003A3CAC">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22, no. </w:t>
      </w:r>
      <w:r w:rsidR="00BF63C8">
        <w:rPr>
          <w:rFonts w:ascii="Times New Roman" w:hAnsi="Times New Roman" w:cs="Times New Roman"/>
          <w:bCs/>
          <w:sz w:val="24"/>
          <w:szCs w:val="24"/>
          <w:lang w:val="en-US"/>
        </w:rPr>
        <w:t>1</w:t>
      </w:r>
      <w:r>
        <w:rPr>
          <w:rFonts w:ascii="Times New Roman" w:hAnsi="Times New Roman" w:cs="Times New Roman"/>
          <w:bCs/>
          <w:sz w:val="24"/>
          <w:szCs w:val="24"/>
          <w:lang w:val="en-US"/>
        </w:rPr>
        <w:t xml:space="preserve"> </w:t>
      </w:r>
      <w:r w:rsidR="003A3CAC" w:rsidRPr="003A3CAC">
        <w:rPr>
          <w:rFonts w:ascii="Times New Roman" w:hAnsi="Times New Roman" w:cs="Times New Roman"/>
          <w:bCs/>
          <w:sz w:val="24"/>
          <w:szCs w:val="24"/>
          <w:lang w:val="en-US"/>
        </w:rPr>
        <w:t>(2011)</w:t>
      </w:r>
      <w:r w:rsidR="003A3CAC">
        <w:rPr>
          <w:rFonts w:ascii="Times New Roman" w:hAnsi="Times New Roman" w:cs="Times New Roman"/>
          <w:bCs/>
          <w:sz w:val="24"/>
          <w:szCs w:val="24"/>
          <w:lang w:val="en-US"/>
        </w:rPr>
        <w:t>.</w:t>
      </w:r>
    </w:p>
    <w:p w14:paraId="4A2BF6CC" w14:textId="77777777" w:rsidR="003A3CAC" w:rsidRPr="003A3CAC" w:rsidRDefault="003A3CAC" w:rsidP="003A3CAC">
      <w:pPr>
        <w:spacing w:line="480" w:lineRule="auto"/>
        <w:jc w:val="both"/>
        <w:rPr>
          <w:rFonts w:ascii="Times New Roman" w:hAnsi="Times New Roman" w:cs="Times New Roman"/>
          <w:bCs/>
          <w:sz w:val="24"/>
          <w:szCs w:val="24"/>
          <w:lang w:val="en-US"/>
        </w:rPr>
      </w:pPr>
    </w:p>
    <w:p w14:paraId="13A7D138" w14:textId="265E1C92" w:rsidR="003A3CAC" w:rsidRPr="003A3CAC" w:rsidRDefault="003A3CAC" w:rsidP="003A3CAC">
      <w:pPr>
        <w:spacing w:line="480" w:lineRule="auto"/>
        <w:jc w:val="both"/>
        <w:rPr>
          <w:rFonts w:ascii="Times New Roman" w:hAnsi="Times New Roman" w:cs="Times New Roman"/>
          <w:bCs/>
          <w:sz w:val="24"/>
          <w:szCs w:val="24"/>
          <w:lang w:val="en-US"/>
        </w:rPr>
      </w:pPr>
      <w:r w:rsidRPr="003A3CAC">
        <w:rPr>
          <w:rFonts w:ascii="Times New Roman" w:hAnsi="Times New Roman" w:cs="Times New Roman"/>
          <w:bCs/>
          <w:sz w:val="24"/>
          <w:szCs w:val="24"/>
          <w:lang w:val="en-US"/>
        </w:rPr>
        <w:t>A</w:t>
      </w:r>
      <w:r w:rsidR="003F255E">
        <w:rPr>
          <w:rFonts w:ascii="Times New Roman" w:hAnsi="Times New Roman" w:cs="Times New Roman"/>
          <w:bCs/>
          <w:sz w:val="24"/>
          <w:szCs w:val="24"/>
          <w:lang w:val="en-US"/>
        </w:rPr>
        <w:t>na</w:t>
      </w:r>
      <w:r w:rsidRPr="003A3CAC">
        <w:rPr>
          <w:rFonts w:ascii="Times New Roman" w:hAnsi="Times New Roman" w:cs="Times New Roman"/>
          <w:bCs/>
          <w:sz w:val="24"/>
          <w:szCs w:val="24"/>
          <w:lang w:val="en-US"/>
        </w:rPr>
        <w:t xml:space="preserve"> F</w:t>
      </w:r>
      <w:r w:rsidR="002E5FE3">
        <w:rPr>
          <w:rFonts w:ascii="Times New Roman" w:hAnsi="Times New Roman" w:cs="Times New Roman"/>
          <w:bCs/>
          <w:sz w:val="24"/>
          <w:szCs w:val="24"/>
          <w:lang w:val="en-US"/>
        </w:rPr>
        <w:t>ilipa</w:t>
      </w:r>
      <w:r w:rsidRPr="003A3CAC">
        <w:rPr>
          <w:rFonts w:ascii="Times New Roman" w:hAnsi="Times New Roman" w:cs="Times New Roman"/>
          <w:bCs/>
          <w:sz w:val="24"/>
          <w:szCs w:val="24"/>
          <w:lang w:val="en-US"/>
        </w:rPr>
        <w:t xml:space="preserve"> Vrdoljak</w:t>
      </w:r>
      <w:r w:rsidR="007C5D90">
        <w:rPr>
          <w:rFonts w:ascii="Times New Roman" w:hAnsi="Times New Roman" w:cs="Times New Roman"/>
          <w:bCs/>
          <w:sz w:val="24"/>
          <w:szCs w:val="24"/>
          <w:lang w:val="en-US"/>
        </w:rPr>
        <w:t>,</w:t>
      </w:r>
      <w:r w:rsidRPr="003A3CAC">
        <w:rPr>
          <w:rFonts w:ascii="Times New Roman" w:hAnsi="Times New Roman" w:cs="Times New Roman"/>
          <w:bCs/>
          <w:sz w:val="24"/>
          <w:szCs w:val="24"/>
          <w:lang w:val="en-US"/>
        </w:rPr>
        <w:t xml:space="preserve"> ed</w:t>
      </w:r>
      <w:r w:rsidR="00F613E1">
        <w:rPr>
          <w:rFonts w:ascii="Times New Roman" w:hAnsi="Times New Roman" w:cs="Times New Roman"/>
          <w:bCs/>
          <w:sz w:val="24"/>
          <w:szCs w:val="24"/>
          <w:lang w:val="en-US"/>
        </w:rPr>
        <w:t>.</w:t>
      </w:r>
      <w:r w:rsidRPr="003A3CAC">
        <w:rPr>
          <w:rFonts w:ascii="Times New Roman" w:hAnsi="Times New Roman" w:cs="Times New Roman"/>
          <w:bCs/>
          <w:sz w:val="24"/>
          <w:szCs w:val="24"/>
          <w:lang w:val="en-US"/>
        </w:rPr>
        <w:t xml:space="preserve">, </w:t>
      </w:r>
      <w:r w:rsidRPr="003A3CAC">
        <w:rPr>
          <w:rFonts w:ascii="Times New Roman" w:hAnsi="Times New Roman" w:cs="Times New Roman"/>
          <w:bCs/>
          <w:i/>
          <w:iCs/>
          <w:sz w:val="24"/>
          <w:szCs w:val="24"/>
          <w:lang w:val="en-US"/>
        </w:rPr>
        <w:t xml:space="preserve">The </w:t>
      </w:r>
      <w:r w:rsidR="003F255E">
        <w:rPr>
          <w:rFonts w:ascii="Times New Roman" w:hAnsi="Times New Roman" w:cs="Times New Roman"/>
          <w:bCs/>
          <w:i/>
          <w:iCs/>
          <w:sz w:val="24"/>
          <w:szCs w:val="24"/>
          <w:lang w:val="en-US"/>
        </w:rPr>
        <w:t>C</w:t>
      </w:r>
      <w:r w:rsidRPr="003A3CAC">
        <w:rPr>
          <w:rFonts w:ascii="Times New Roman" w:hAnsi="Times New Roman" w:cs="Times New Roman"/>
          <w:bCs/>
          <w:i/>
          <w:iCs/>
          <w:sz w:val="24"/>
          <w:szCs w:val="24"/>
          <w:lang w:val="en-US"/>
        </w:rPr>
        <w:t xml:space="preserve">ultural </w:t>
      </w:r>
      <w:r w:rsidR="003F255E">
        <w:rPr>
          <w:rFonts w:ascii="Times New Roman" w:hAnsi="Times New Roman" w:cs="Times New Roman"/>
          <w:bCs/>
          <w:i/>
          <w:iCs/>
          <w:sz w:val="24"/>
          <w:szCs w:val="24"/>
          <w:lang w:val="en-US"/>
        </w:rPr>
        <w:t>D</w:t>
      </w:r>
      <w:r w:rsidRPr="003A3CAC">
        <w:rPr>
          <w:rFonts w:ascii="Times New Roman" w:hAnsi="Times New Roman" w:cs="Times New Roman"/>
          <w:bCs/>
          <w:i/>
          <w:iCs/>
          <w:sz w:val="24"/>
          <w:szCs w:val="24"/>
          <w:lang w:val="en-US"/>
        </w:rPr>
        <w:t>imension of Human Rights</w:t>
      </w:r>
      <w:r w:rsidRPr="003A3CAC">
        <w:rPr>
          <w:rFonts w:ascii="Times New Roman" w:hAnsi="Times New Roman" w:cs="Times New Roman"/>
          <w:bCs/>
          <w:sz w:val="24"/>
          <w:szCs w:val="24"/>
          <w:lang w:val="en-US"/>
        </w:rPr>
        <w:t xml:space="preserve"> </w:t>
      </w:r>
      <w:r w:rsidR="003F255E">
        <w:rPr>
          <w:rFonts w:ascii="Times New Roman" w:hAnsi="Times New Roman" w:cs="Times New Roman"/>
          <w:bCs/>
          <w:sz w:val="24"/>
          <w:szCs w:val="24"/>
          <w:lang w:val="en-US"/>
        </w:rPr>
        <w:t>(</w:t>
      </w:r>
      <w:r w:rsidRPr="003A3CAC">
        <w:rPr>
          <w:rFonts w:ascii="Times New Roman" w:hAnsi="Times New Roman" w:cs="Times New Roman"/>
          <w:bCs/>
          <w:sz w:val="24"/>
          <w:szCs w:val="24"/>
          <w:lang w:val="en-US"/>
        </w:rPr>
        <w:t>Oxford</w:t>
      </w:r>
      <w:r w:rsidR="003F255E">
        <w:rPr>
          <w:rFonts w:ascii="Times New Roman" w:hAnsi="Times New Roman" w:cs="Times New Roman"/>
          <w:bCs/>
          <w:sz w:val="24"/>
          <w:szCs w:val="24"/>
          <w:lang w:val="en-US"/>
        </w:rPr>
        <w:t>: Oxford University Press</w:t>
      </w:r>
      <w:r w:rsidRPr="003A3CAC">
        <w:rPr>
          <w:rFonts w:ascii="Times New Roman" w:hAnsi="Times New Roman" w:cs="Times New Roman"/>
          <w:bCs/>
          <w:sz w:val="24"/>
          <w:szCs w:val="24"/>
          <w:lang w:val="en-US"/>
        </w:rPr>
        <w:t>, 2013</w:t>
      </w:r>
      <w:r w:rsidR="003F255E">
        <w:rPr>
          <w:rFonts w:ascii="Times New Roman" w:hAnsi="Times New Roman" w:cs="Times New Roman"/>
          <w:bCs/>
          <w:sz w:val="24"/>
          <w:szCs w:val="24"/>
          <w:lang w:val="en-US"/>
        </w:rPr>
        <w:t>)</w:t>
      </w:r>
      <w:r>
        <w:rPr>
          <w:rFonts w:ascii="Times New Roman" w:hAnsi="Times New Roman" w:cs="Times New Roman"/>
          <w:bCs/>
          <w:sz w:val="24"/>
          <w:szCs w:val="24"/>
          <w:lang w:val="en-US"/>
        </w:rPr>
        <w:t>.</w:t>
      </w:r>
    </w:p>
    <w:p w14:paraId="09E18549" w14:textId="77777777" w:rsidR="003A3CAC" w:rsidRPr="00912992" w:rsidRDefault="003A3CAC" w:rsidP="007E496E">
      <w:pPr>
        <w:spacing w:line="480" w:lineRule="auto"/>
        <w:jc w:val="both"/>
        <w:rPr>
          <w:rFonts w:ascii="Times New Roman" w:hAnsi="Times New Roman" w:cs="Times New Roman"/>
          <w:bCs/>
          <w:sz w:val="24"/>
          <w:szCs w:val="24"/>
          <w:lang w:val="en-US"/>
        </w:rPr>
      </w:pPr>
    </w:p>
    <w:p w14:paraId="23DBA5BB" w14:textId="77777777" w:rsidR="001E4B4C" w:rsidRPr="00665F17" w:rsidRDefault="001E4B4C" w:rsidP="000D3355">
      <w:pPr>
        <w:spacing w:line="480" w:lineRule="auto"/>
        <w:rPr>
          <w:rFonts w:ascii="Times New Roman" w:hAnsi="Times New Roman" w:cs="Times New Roman"/>
          <w:sz w:val="24"/>
          <w:szCs w:val="24"/>
          <w:lang w:val="en-US" w:eastAsia="it-IT"/>
        </w:rPr>
      </w:pPr>
    </w:p>
    <w:sectPr w:rsidR="001E4B4C" w:rsidRPr="00665F17" w:rsidSect="00FA740B">
      <w:footerReference w:type="even" r:id="rId9"/>
      <w:footerReference w:type="default" r:id="rId10"/>
      <w:footnotePr>
        <w:pos w:val="beneathText"/>
      </w:footnotePr>
      <w:endnotePr>
        <w:numFmt w:val="decimal"/>
      </w:endnotePr>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C7EEF" w14:textId="77777777" w:rsidR="000E7EE6" w:rsidRDefault="000E7EE6" w:rsidP="00253D24">
      <w:pPr>
        <w:spacing w:after="0" w:line="240" w:lineRule="auto"/>
      </w:pPr>
      <w:r>
        <w:separator/>
      </w:r>
    </w:p>
  </w:endnote>
  <w:endnote w:type="continuationSeparator" w:id="0">
    <w:p w14:paraId="24D4133A" w14:textId="77777777" w:rsidR="000E7EE6" w:rsidRDefault="000E7EE6" w:rsidP="00253D24">
      <w:pPr>
        <w:spacing w:after="0" w:line="240" w:lineRule="auto"/>
      </w:pPr>
      <w:r>
        <w:continuationSeparator/>
      </w:r>
    </w:p>
  </w:endnote>
  <w:endnote w:id="1">
    <w:p w14:paraId="1830C486" w14:textId="1CA0535B"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023A42" w:rsidRPr="00665F17">
        <w:rPr>
          <w:rFonts w:ascii="Times New Roman" w:hAnsi="Times New Roman" w:cs="Times New Roman"/>
          <w:sz w:val="24"/>
          <w:szCs w:val="24"/>
          <w:lang w:val="en-US"/>
        </w:rPr>
        <w:t xml:space="preserve"> </w:t>
      </w:r>
      <w:r w:rsidR="00305F28" w:rsidRPr="006079F6">
        <w:rPr>
          <w:rFonts w:ascii="Times New Roman" w:hAnsi="Times New Roman" w:cs="Times New Roman"/>
          <w:sz w:val="24"/>
          <w:szCs w:val="24"/>
          <w:lang w:val="en-US"/>
        </w:rPr>
        <w:t>See Convention for the Protection of Cultural Property in the Event of Armed Conflict, 14 May 1954 (1954 Hague Convention), https://ihl-databases.icrc.org/ihl/INTRO/400; Convention on the Means of Prohibiting and Preventing the Illicit Import, Export and Transfer of Ownership of Cultural Property, 14 November 1970, https://en.unesco.org/fighttrafficking/1970; Convention Concerning the Protection of the World Cultural and Natural Heritage, 16 November 1972,</w:t>
      </w:r>
      <w:r w:rsidR="00305F28" w:rsidRPr="00665F17">
        <w:rPr>
          <w:rFonts w:ascii="Times New Roman" w:hAnsi="Times New Roman" w:cs="Times New Roman"/>
          <w:sz w:val="24"/>
          <w:szCs w:val="24"/>
          <w:lang w:val="en-US"/>
        </w:rPr>
        <w:t xml:space="preserve"> </w:t>
      </w:r>
      <w:r w:rsidR="00305F28" w:rsidRPr="006079F6">
        <w:rPr>
          <w:rFonts w:ascii="Times New Roman" w:hAnsi="Times New Roman" w:cs="Times New Roman"/>
          <w:sz w:val="24"/>
          <w:szCs w:val="24"/>
          <w:lang w:val="en-US"/>
        </w:rPr>
        <w:t xml:space="preserve">https://whc.unesco.org/en/conventiontext/; Convention on the Protection of Underwater Cultural Heritage, 2 November 2001, https://en.unesco.org/underwater-heritage/2001; Convention on the Safeguarding of Intangible Cultural Heritage, 17 October 2003, https://ich.unesco.org/en/convention; and </w:t>
      </w:r>
      <w:r w:rsidRPr="00665F17">
        <w:rPr>
          <w:rFonts w:ascii="Times New Roman" w:hAnsi="Times New Roman" w:cs="Times New Roman"/>
          <w:sz w:val="24"/>
          <w:szCs w:val="24"/>
          <w:lang w:val="en-US"/>
        </w:rPr>
        <w:t>Convention on the Protection and Promotion of the Diversity of Cultural Expressions, 20 October 2005</w:t>
      </w:r>
      <w:r w:rsidR="000F1F99" w:rsidRPr="006079F6">
        <w:rPr>
          <w:rFonts w:ascii="Times New Roman" w:hAnsi="Times New Roman" w:cs="Times New Roman"/>
          <w:sz w:val="24"/>
          <w:szCs w:val="24"/>
          <w:lang w:val="en-US"/>
        </w:rPr>
        <w:t>,</w:t>
      </w:r>
      <w:r w:rsidR="007E0758" w:rsidRPr="00665F17">
        <w:rPr>
          <w:rFonts w:ascii="Times New Roman" w:hAnsi="Times New Roman" w:cs="Times New Roman"/>
          <w:sz w:val="24"/>
          <w:szCs w:val="24"/>
          <w:lang w:val="en-US"/>
        </w:rPr>
        <w:t xml:space="preserve"> </w:t>
      </w:r>
      <w:r w:rsidR="007E0758" w:rsidRPr="006079F6">
        <w:rPr>
          <w:rFonts w:ascii="Times New Roman" w:hAnsi="Times New Roman" w:cs="Times New Roman"/>
          <w:sz w:val="24"/>
          <w:szCs w:val="24"/>
          <w:lang w:val="en-US"/>
        </w:rPr>
        <w:t>https://en.unesco.org/creativity/convention</w:t>
      </w:r>
      <w:r w:rsidRPr="00665F17">
        <w:rPr>
          <w:rFonts w:ascii="Times New Roman" w:hAnsi="Times New Roman" w:cs="Times New Roman"/>
          <w:iCs/>
          <w:sz w:val="24"/>
          <w:szCs w:val="24"/>
          <w:lang w:val="en-US"/>
        </w:rPr>
        <w:t>.</w:t>
      </w:r>
    </w:p>
  </w:endnote>
  <w:endnote w:id="2">
    <w:p w14:paraId="564DCBA0" w14:textId="56A45C76"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26 March 1999, </w:t>
      </w:r>
      <w:r w:rsidR="004E389C" w:rsidRPr="006079F6">
        <w:rPr>
          <w:rFonts w:ascii="Times New Roman" w:hAnsi="Times New Roman" w:cs="Times New Roman"/>
          <w:sz w:val="24"/>
          <w:szCs w:val="24"/>
          <w:lang w:val="en-US"/>
        </w:rPr>
        <w:t>https://ihl-databases.icrc.org/ihl/INTRO/590</w:t>
      </w:r>
      <w:r w:rsidRPr="00665F17">
        <w:rPr>
          <w:rFonts w:ascii="Times New Roman" w:hAnsi="Times New Roman" w:cs="Times New Roman"/>
          <w:sz w:val="24"/>
          <w:szCs w:val="24"/>
          <w:lang w:val="en-US"/>
        </w:rPr>
        <w:t>.</w:t>
      </w:r>
    </w:p>
  </w:endnote>
  <w:endnote w:id="3">
    <w:p w14:paraId="1F2C44C6" w14:textId="1A3015D6" w:rsidR="001A62EE" w:rsidRPr="00665F17" w:rsidRDefault="001A62EE" w:rsidP="00B67B18">
      <w:pPr>
        <w:pStyle w:val="EndnoteText"/>
        <w:spacing w:line="480" w:lineRule="auto"/>
        <w:rPr>
          <w:rFonts w:ascii="Times New Roman" w:hAnsi="Times New Roman" w:cs="Times New Roman"/>
          <w:iCs/>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See </w:t>
      </w:r>
      <w:r w:rsidR="00AC733B" w:rsidRPr="006079F6">
        <w:rPr>
          <w:rFonts w:ascii="Times New Roman" w:hAnsi="Times New Roman" w:cs="Times New Roman"/>
          <w:sz w:val="24"/>
          <w:szCs w:val="24"/>
          <w:lang w:val="en-US"/>
        </w:rPr>
        <w:t>Fran</w:t>
      </w:r>
      <w:r w:rsidR="00B53D4B">
        <w:rPr>
          <w:rFonts w:ascii="Times New Roman" w:hAnsi="Times New Roman" w:cs="Times New Roman"/>
          <w:sz w:val="24"/>
          <w:szCs w:val="24"/>
          <w:lang w:val="en-US"/>
        </w:rPr>
        <w:t>c</w:t>
      </w:r>
      <w:r w:rsidR="00AC733B" w:rsidRPr="006079F6">
        <w:rPr>
          <w:rFonts w:ascii="Times New Roman" w:hAnsi="Times New Roman" w:cs="Times New Roman"/>
          <w:sz w:val="24"/>
          <w:szCs w:val="24"/>
          <w:lang w:val="en-US"/>
        </w:rPr>
        <w:t xml:space="preserve">esco </w:t>
      </w:r>
      <w:r w:rsidRPr="00665F17">
        <w:rPr>
          <w:rFonts w:ascii="Times New Roman" w:hAnsi="Times New Roman" w:cs="Times New Roman"/>
          <w:sz w:val="24"/>
          <w:szCs w:val="24"/>
          <w:lang w:val="en-US"/>
        </w:rPr>
        <w:t xml:space="preserve">Francioni and </w:t>
      </w:r>
      <w:r w:rsidR="00AC733B" w:rsidRPr="006079F6">
        <w:rPr>
          <w:rFonts w:ascii="Times New Roman" w:hAnsi="Times New Roman" w:cs="Times New Roman"/>
          <w:sz w:val="24"/>
          <w:szCs w:val="24"/>
          <w:lang w:val="en-US"/>
        </w:rPr>
        <w:t xml:space="preserve">Federico </w:t>
      </w:r>
      <w:r w:rsidRPr="00665F17">
        <w:rPr>
          <w:rFonts w:ascii="Times New Roman" w:hAnsi="Times New Roman" w:cs="Times New Roman"/>
          <w:sz w:val="24"/>
          <w:szCs w:val="24"/>
          <w:lang w:val="en-US"/>
        </w:rPr>
        <w:t>Lenzerini, “The Destruction of the Buddhas of Bam</w:t>
      </w:r>
      <w:r w:rsidR="00AC733B" w:rsidRPr="006079F6">
        <w:rPr>
          <w:rFonts w:ascii="Times New Roman" w:hAnsi="Times New Roman" w:cs="Times New Roman"/>
          <w:sz w:val="24"/>
          <w:szCs w:val="24"/>
          <w:lang w:val="en-US"/>
        </w:rPr>
        <w:t>iy</w:t>
      </w:r>
      <w:r w:rsidRPr="00665F17">
        <w:rPr>
          <w:rFonts w:ascii="Times New Roman" w:hAnsi="Times New Roman" w:cs="Times New Roman"/>
          <w:sz w:val="24"/>
          <w:szCs w:val="24"/>
          <w:lang w:val="en-US"/>
        </w:rPr>
        <w:t>an and International Law</w:t>
      </w:r>
      <w:r w:rsidR="00EB72A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European Journal of International Law</w:t>
      </w:r>
      <w:r w:rsidR="00AC733B" w:rsidRPr="006079F6">
        <w:rPr>
          <w:rFonts w:ascii="Times New Roman" w:hAnsi="Times New Roman" w:cs="Times New Roman"/>
          <w:iCs/>
          <w:sz w:val="24"/>
          <w:szCs w:val="24"/>
          <w:lang w:val="en-US"/>
        </w:rPr>
        <w:t xml:space="preserve"> 14, no.</w:t>
      </w:r>
      <w:r w:rsidR="00CA1290" w:rsidRPr="006079F6">
        <w:rPr>
          <w:rFonts w:ascii="Times New Roman" w:hAnsi="Times New Roman" w:cs="Times New Roman"/>
          <w:iCs/>
          <w:sz w:val="24"/>
          <w:szCs w:val="24"/>
          <w:lang w:val="en-US"/>
        </w:rPr>
        <w:t xml:space="preserve"> </w:t>
      </w:r>
      <w:r w:rsidR="00AC733B" w:rsidRPr="006079F6">
        <w:rPr>
          <w:rFonts w:ascii="Times New Roman" w:hAnsi="Times New Roman" w:cs="Times New Roman"/>
          <w:iCs/>
          <w:sz w:val="24"/>
          <w:szCs w:val="24"/>
          <w:lang w:val="en-US"/>
        </w:rPr>
        <w:t>4 (</w:t>
      </w:r>
      <w:r w:rsidRPr="00665F17">
        <w:rPr>
          <w:rFonts w:ascii="Times New Roman" w:hAnsi="Times New Roman" w:cs="Times New Roman"/>
          <w:iCs/>
          <w:sz w:val="24"/>
          <w:szCs w:val="24"/>
          <w:lang w:val="en-US"/>
        </w:rPr>
        <w:t>2003</w:t>
      </w:r>
      <w:r w:rsidR="00AC733B" w:rsidRPr="006079F6">
        <w:rPr>
          <w:rFonts w:ascii="Times New Roman" w:hAnsi="Times New Roman" w:cs="Times New Roman"/>
          <w:iCs/>
          <w:sz w:val="24"/>
          <w:szCs w:val="24"/>
          <w:lang w:val="en-US"/>
        </w:rPr>
        <w:t>):</w:t>
      </w:r>
      <w:r w:rsidRPr="00665F17">
        <w:rPr>
          <w:rFonts w:ascii="Times New Roman" w:hAnsi="Times New Roman" w:cs="Times New Roman"/>
          <w:iCs/>
          <w:sz w:val="24"/>
          <w:szCs w:val="24"/>
          <w:lang w:val="en-US"/>
        </w:rPr>
        <w:t xml:space="preserve"> 619</w:t>
      </w:r>
      <w:r w:rsidR="00AE1D8E">
        <w:rPr>
          <w:rFonts w:ascii="Times New Roman" w:hAnsi="Times New Roman" w:cs="Times New Roman"/>
          <w:iCs/>
          <w:sz w:val="24"/>
          <w:szCs w:val="24"/>
          <w:lang w:val="en-US"/>
        </w:rPr>
        <w:t>–51</w:t>
      </w:r>
      <w:r w:rsidR="00AC733B" w:rsidRPr="006079F6">
        <w:rPr>
          <w:rFonts w:ascii="Times New Roman" w:hAnsi="Times New Roman" w:cs="Times New Roman"/>
          <w:iCs/>
          <w:sz w:val="24"/>
          <w:szCs w:val="24"/>
          <w:lang w:val="en-US"/>
        </w:rPr>
        <w:t>.</w:t>
      </w:r>
    </w:p>
  </w:endnote>
  <w:endnote w:id="4">
    <w:p w14:paraId="0D26F20B" w14:textId="49E39A7C"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This is the case in the constitutional system of Italy (the republican </w:t>
      </w:r>
      <w:r w:rsidR="00CA1290" w:rsidRPr="006079F6">
        <w:rPr>
          <w:rFonts w:ascii="Times New Roman" w:hAnsi="Times New Roman" w:cs="Times New Roman"/>
          <w:sz w:val="24"/>
          <w:szCs w:val="24"/>
          <w:lang w:val="en-US"/>
        </w:rPr>
        <w:t>c</w:t>
      </w:r>
      <w:r w:rsidRPr="00665F17">
        <w:rPr>
          <w:rFonts w:ascii="Times New Roman" w:hAnsi="Times New Roman" w:cs="Times New Roman"/>
          <w:sz w:val="24"/>
          <w:szCs w:val="24"/>
          <w:lang w:val="en-US"/>
        </w:rPr>
        <w:t>onstitution adopted in 1947</w:t>
      </w:r>
      <w:r w:rsidR="00CA1290" w:rsidRPr="006079F6">
        <w:rPr>
          <w:rFonts w:ascii="Times New Roman" w:hAnsi="Times New Roman" w:cs="Times New Roman"/>
          <w:sz w:val="24"/>
          <w:szCs w:val="24"/>
          <w:lang w:val="en-US"/>
        </w:rPr>
        <w:t>, Art. 10, para. 1</w:t>
      </w:r>
      <w:r w:rsidRPr="00665F17">
        <w:rPr>
          <w:rFonts w:ascii="Times New Roman" w:hAnsi="Times New Roman" w:cs="Times New Roman"/>
          <w:sz w:val="24"/>
          <w:szCs w:val="24"/>
          <w:lang w:val="en-US"/>
        </w:rPr>
        <w:t>)</w:t>
      </w:r>
      <w:r w:rsidR="00CA1290" w:rsidRPr="006079F6">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Germany (the </w:t>
      </w:r>
      <w:r w:rsidRPr="00665F17">
        <w:rPr>
          <w:rFonts w:ascii="Times New Roman" w:hAnsi="Times New Roman" w:cs="Times New Roman"/>
          <w:i/>
          <w:sz w:val="24"/>
          <w:szCs w:val="24"/>
          <w:lang w:val="en-US"/>
        </w:rPr>
        <w:t>Grundgesetz</w:t>
      </w:r>
      <w:r w:rsidRPr="00665F17">
        <w:rPr>
          <w:rFonts w:ascii="Times New Roman" w:hAnsi="Times New Roman" w:cs="Times New Roman"/>
          <w:iCs/>
          <w:sz w:val="24"/>
          <w:szCs w:val="24"/>
          <w:lang w:val="en-US"/>
        </w:rPr>
        <w:t xml:space="preserve">, </w:t>
      </w:r>
      <w:r w:rsidR="00CA1290" w:rsidRPr="006079F6">
        <w:rPr>
          <w:rFonts w:ascii="Times New Roman" w:hAnsi="Times New Roman" w:cs="Times New Roman"/>
          <w:sz w:val="24"/>
          <w:szCs w:val="24"/>
          <w:lang w:val="en-US"/>
        </w:rPr>
        <w:t xml:space="preserve">or </w:t>
      </w:r>
      <w:r w:rsidRPr="00665F17">
        <w:rPr>
          <w:rFonts w:ascii="Times New Roman" w:hAnsi="Times New Roman" w:cs="Times New Roman"/>
          <w:sz w:val="24"/>
          <w:szCs w:val="24"/>
          <w:lang w:val="en-US"/>
        </w:rPr>
        <w:t>Basic Law</w:t>
      </w:r>
      <w:r w:rsidR="00BD2380" w:rsidRPr="006079F6">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adopted in 1949</w:t>
      </w:r>
      <w:r w:rsidR="00CA1290" w:rsidRPr="006079F6">
        <w:rPr>
          <w:rFonts w:ascii="Times New Roman" w:hAnsi="Times New Roman" w:cs="Times New Roman"/>
          <w:sz w:val="24"/>
          <w:szCs w:val="24"/>
          <w:lang w:val="en-US"/>
        </w:rPr>
        <w:t>, Art. 25</w:t>
      </w:r>
      <w:r w:rsidRPr="00665F17">
        <w:rPr>
          <w:rFonts w:ascii="Times New Roman" w:hAnsi="Times New Roman" w:cs="Times New Roman"/>
          <w:sz w:val="24"/>
          <w:szCs w:val="24"/>
          <w:lang w:val="en-US"/>
        </w:rPr>
        <w:t>)</w:t>
      </w:r>
      <w:r w:rsidR="00CA1290" w:rsidRPr="006079F6">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and many other states that</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give constitutional status to customary international law.</w:t>
      </w:r>
    </w:p>
  </w:endnote>
  <w:endnote w:id="5">
    <w:p w14:paraId="05E1F9C1" w14:textId="696EFDA4"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In the case of the World Heritage Convention</w:t>
      </w:r>
      <w:r w:rsidR="00BE078B" w:rsidRPr="006079F6">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BE078B" w:rsidRPr="006079F6">
        <w:rPr>
          <w:rFonts w:ascii="Times New Roman" w:hAnsi="Times New Roman" w:cs="Times New Roman"/>
          <w:sz w:val="24"/>
          <w:szCs w:val="24"/>
          <w:lang w:val="en-US"/>
        </w:rPr>
        <w:t xml:space="preserve">which </w:t>
      </w:r>
      <w:r w:rsidRPr="00665F17">
        <w:rPr>
          <w:rFonts w:ascii="Times New Roman" w:hAnsi="Times New Roman" w:cs="Times New Roman"/>
          <w:sz w:val="24"/>
          <w:szCs w:val="24"/>
          <w:lang w:val="en-US"/>
        </w:rPr>
        <w:t>now numbers 193 state parties</w:t>
      </w:r>
      <w:r w:rsidR="00BE078B" w:rsidRPr="006079F6">
        <w:rPr>
          <w:rFonts w:ascii="Times New Roman" w:hAnsi="Times New Roman" w:cs="Times New Roman"/>
          <w:sz w:val="24"/>
          <w:szCs w:val="24"/>
          <w:lang w:val="en-US"/>
        </w:rPr>
        <w:t xml:space="preserve"> that have </w:t>
      </w:r>
      <w:r w:rsidRPr="00665F17">
        <w:rPr>
          <w:rFonts w:ascii="Times New Roman" w:hAnsi="Times New Roman" w:cs="Times New Roman"/>
          <w:sz w:val="24"/>
          <w:szCs w:val="24"/>
          <w:lang w:val="en-US"/>
        </w:rPr>
        <w:t>accept</w:t>
      </w:r>
      <w:r w:rsidR="00BE078B" w:rsidRPr="006079F6">
        <w:rPr>
          <w:rFonts w:ascii="Times New Roman" w:hAnsi="Times New Roman" w:cs="Times New Roman"/>
          <w:sz w:val="24"/>
          <w:szCs w:val="24"/>
          <w:lang w:val="en-US"/>
        </w:rPr>
        <w:t>ed</w:t>
      </w:r>
      <w:r w:rsidRPr="00665F17">
        <w:rPr>
          <w:rFonts w:ascii="Times New Roman" w:hAnsi="Times New Roman" w:cs="Times New Roman"/>
          <w:sz w:val="24"/>
          <w:szCs w:val="24"/>
          <w:lang w:val="en-US"/>
        </w:rPr>
        <w:t xml:space="preserve"> cooperat</w:t>
      </w:r>
      <w:r w:rsidR="00BE078B" w:rsidRPr="006079F6">
        <w:rPr>
          <w:rFonts w:ascii="Times New Roman" w:hAnsi="Times New Roman" w:cs="Times New Roman"/>
          <w:sz w:val="24"/>
          <w:szCs w:val="24"/>
          <w:lang w:val="en-US"/>
        </w:rPr>
        <w:t>ion</w:t>
      </w:r>
      <w:r w:rsidRPr="00665F17">
        <w:rPr>
          <w:rFonts w:ascii="Times New Roman" w:hAnsi="Times New Roman" w:cs="Times New Roman"/>
          <w:sz w:val="24"/>
          <w:szCs w:val="24"/>
          <w:lang w:val="en-US"/>
        </w:rPr>
        <w:t xml:space="preserve"> </w:t>
      </w:r>
      <w:r w:rsidR="00BE078B" w:rsidRPr="006079F6">
        <w:rPr>
          <w:rFonts w:ascii="Times New Roman" w:hAnsi="Times New Roman" w:cs="Times New Roman"/>
          <w:sz w:val="24"/>
          <w:szCs w:val="24"/>
          <w:lang w:val="en-US"/>
        </w:rPr>
        <w:t xml:space="preserve">to </w:t>
      </w:r>
      <w:r w:rsidRPr="00665F17">
        <w:rPr>
          <w:rFonts w:ascii="Times New Roman" w:hAnsi="Times New Roman" w:cs="Times New Roman"/>
          <w:sz w:val="24"/>
          <w:szCs w:val="24"/>
          <w:lang w:val="en-US"/>
        </w:rPr>
        <w:t xml:space="preserve">prevent and avoid </w:t>
      </w:r>
      <w:r w:rsidR="00BE078B" w:rsidRPr="006079F6">
        <w:rPr>
          <w:rFonts w:ascii="Times New Roman" w:hAnsi="Times New Roman" w:cs="Times New Roman"/>
          <w:sz w:val="24"/>
          <w:szCs w:val="24"/>
          <w:lang w:val="en-US"/>
        </w:rPr>
        <w:t xml:space="preserve">the </w:t>
      </w:r>
      <w:r w:rsidRPr="00665F17">
        <w:rPr>
          <w:rFonts w:ascii="Times New Roman" w:hAnsi="Times New Roman" w:cs="Times New Roman"/>
          <w:sz w:val="24"/>
          <w:szCs w:val="24"/>
          <w:lang w:val="en-US"/>
        </w:rPr>
        <w:t>destruction and deterioration of</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cultural (and natural) heritage of</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outstanding universal value located in their territory, there would be no available practice. The Convention on the Means of Prohibiting and Preventing the </w:t>
      </w:r>
      <w:r w:rsidR="00FA4FF8" w:rsidRPr="006079F6">
        <w:rPr>
          <w:rFonts w:ascii="Times New Roman" w:hAnsi="Times New Roman" w:cs="Times New Roman"/>
          <w:sz w:val="24"/>
          <w:szCs w:val="24"/>
          <w:lang w:val="en-US"/>
        </w:rPr>
        <w:t>Illicit</w:t>
      </w:r>
      <w:r w:rsidRPr="00665F17">
        <w:rPr>
          <w:rFonts w:ascii="Times New Roman" w:hAnsi="Times New Roman" w:cs="Times New Roman"/>
          <w:sz w:val="24"/>
          <w:szCs w:val="24"/>
          <w:lang w:val="en-US"/>
        </w:rPr>
        <w:t xml:space="preserve"> import, Export and Transfer of Ownership of</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Cultural Property counts 140 </w:t>
      </w:r>
      <w:r w:rsidR="00647B74" w:rsidRPr="006079F6">
        <w:rPr>
          <w:rFonts w:ascii="Times New Roman" w:hAnsi="Times New Roman" w:cs="Times New Roman"/>
          <w:sz w:val="24"/>
          <w:szCs w:val="24"/>
          <w:lang w:val="en-US"/>
        </w:rPr>
        <w:t>p</w:t>
      </w:r>
      <w:r w:rsidRPr="00665F17">
        <w:rPr>
          <w:rFonts w:ascii="Times New Roman" w:hAnsi="Times New Roman" w:cs="Times New Roman"/>
          <w:sz w:val="24"/>
          <w:szCs w:val="24"/>
          <w:lang w:val="en-US"/>
        </w:rPr>
        <w:t>arties</w:t>
      </w:r>
      <w:r w:rsidR="00647B74" w:rsidRPr="006079F6">
        <w:rPr>
          <w:rFonts w:ascii="Times New Roman" w:hAnsi="Times New Roman" w:cs="Times New Roman"/>
          <w:sz w:val="24"/>
          <w:szCs w:val="24"/>
          <w:lang w:val="en-US"/>
        </w:rPr>
        <w:t>, and</w:t>
      </w:r>
      <w:r w:rsidRPr="00665F17">
        <w:rPr>
          <w:rFonts w:ascii="Times New Roman" w:hAnsi="Times New Roman" w:cs="Times New Roman"/>
          <w:sz w:val="24"/>
          <w:szCs w:val="24"/>
          <w:lang w:val="en-US"/>
        </w:rPr>
        <w:t xml:space="preserve"> the Convention on the Safeguarding of Intangible Cultural Heritage is now in force for 179 </w:t>
      </w:r>
      <w:r w:rsidR="00647B74" w:rsidRPr="006079F6">
        <w:rPr>
          <w:rFonts w:ascii="Times New Roman" w:hAnsi="Times New Roman" w:cs="Times New Roman"/>
          <w:sz w:val="24"/>
          <w:szCs w:val="24"/>
          <w:lang w:val="en-US"/>
        </w:rPr>
        <w:t>s</w:t>
      </w:r>
      <w:r w:rsidRPr="00665F17">
        <w:rPr>
          <w:rFonts w:ascii="Times New Roman" w:hAnsi="Times New Roman" w:cs="Times New Roman"/>
          <w:sz w:val="24"/>
          <w:szCs w:val="24"/>
          <w:lang w:val="en-US"/>
        </w:rPr>
        <w:t>tates. The only</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multilateral conventions that still suffer from a low</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number of ratifications are the Convention on the Protection of Underwater Cultural Heritage</w:t>
      </w:r>
      <w:r w:rsidR="00647B74" w:rsidRPr="006079F6">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with only </w:t>
      </w:r>
      <w:r w:rsidR="00647B74" w:rsidRPr="006079F6">
        <w:rPr>
          <w:rFonts w:ascii="Times New Roman" w:hAnsi="Times New Roman" w:cs="Times New Roman"/>
          <w:sz w:val="24"/>
          <w:szCs w:val="24"/>
          <w:lang w:val="en-US"/>
        </w:rPr>
        <w:t>sixty-five</w:t>
      </w:r>
      <w:r w:rsidRPr="00665F17">
        <w:rPr>
          <w:rFonts w:ascii="Times New Roman" w:hAnsi="Times New Roman" w:cs="Times New Roman"/>
          <w:sz w:val="24"/>
          <w:szCs w:val="24"/>
          <w:lang w:val="en-US"/>
        </w:rPr>
        <w:t>, and the 1995 UNIDROIT Convention on Stolen and Illegally Exported Cultural Objects</w:t>
      </w:r>
      <w:r w:rsidR="00647B74" w:rsidRPr="006079F6">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in force for </w:t>
      </w:r>
      <w:r w:rsidR="00647B74" w:rsidRPr="006079F6">
        <w:rPr>
          <w:rFonts w:ascii="Times New Roman" w:hAnsi="Times New Roman" w:cs="Times New Roman"/>
          <w:sz w:val="24"/>
          <w:szCs w:val="24"/>
          <w:lang w:val="en-US"/>
        </w:rPr>
        <w:t>forty-eight</w:t>
      </w:r>
      <w:r w:rsidR="00647B74" w:rsidRPr="00665F17">
        <w:rPr>
          <w:rFonts w:ascii="Times New Roman" w:hAnsi="Times New Roman" w:cs="Times New Roman"/>
          <w:sz w:val="24"/>
          <w:szCs w:val="24"/>
          <w:lang w:val="en-US"/>
        </w:rPr>
        <w:t xml:space="preserve"> </w:t>
      </w:r>
      <w:r w:rsidR="00647B74" w:rsidRPr="001C35F3">
        <w:rPr>
          <w:rFonts w:ascii="Times New Roman" w:hAnsi="Times New Roman" w:cs="Times New Roman"/>
          <w:sz w:val="24"/>
          <w:szCs w:val="24"/>
          <w:lang w:val="en-US"/>
        </w:rPr>
        <w:t>s</w:t>
      </w:r>
      <w:r w:rsidRPr="00665F17">
        <w:rPr>
          <w:rFonts w:ascii="Times New Roman" w:hAnsi="Times New Roman" w:cs="Times New Roman"/>
          <w:sz w:val="24"/>
          <w:szCs w:val="24"/>
          <w:lang w:val="en-US"/>
        </w:rPr>
        <w:t xml:space="preserve">tates. </w:t>
      </w:r>
    </w:p>
  </w:endnote>
  <w:endnote w:id="6">
    <w:p w14:paraId="6E1D254E" w14:textId="30DF2044"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This prob</w:t>
      </w:r>
      <w:r w:rsidR="00CB48CA" w:rsidRPr="001C35F3">
        <w:rPr>
          <w:rFonts w:ascii="Times New Roman" w:hAnsi="Times New Roman" w:cs="Times New Roman"/>
          <w:sz w:val="24"/>
          <w:szCs w:val="24"/>
          <w:lang w:val="en-US"/>
        </w:rPr>
        <w:t>l</w:t>
      </w:r>
      <w:r w:rsidRPr="00665F17">
        <w:rPr>
          <w:rFonts w:ascii="Times New Roman" w:hAnsi="Times New Roman" w:cs="Times New Roman"/>
          <w:sz w:val="24"/>
          <w:szCs w:val="24"/>
          <w:lang w:val="en-US"/>
        </w:rPr>
        <w:t xml:space="preserve">em was pointed out for the first time by </w:t>
      </w:r>
      <w:r w:rsidR="007D25F1" w:rsidRPr="001C35F3">
        <w:rPr>
          <w:rFonts w:ascii="Times New Roman" w:hAnsi="Times New Roman" w:cs="Times New Roman"/>
          <w:sz w:val="24"/>
          <w:szCs w:val="24"/>
          <w:lang w:val="en-US"/>
        </w:rPr>
        <w:t xml:space="preserve">Richard </w:t>
      </w:r>
      <w:r w:rsidRPr="00665F17">
        <w:rPr>
          <w:rFonts w:ascii="Times New Roman" w:hAnsi="Times New Roman" w:cs="Times New Roman"/>
          <w:sz w:val="24"/>
          <w:szCs w:val="24"/>
          <w:lang w:val="en-US"/>
        </w:rPr>
        <w:t>Baxter</w:t>
      </w:r>
      <w:r w:rsidR="007D25F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who observed in 1970</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that</w:t>
      </w:r>
      <w:r w:rsidR="007D25F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“The proof of a consistent pattern of conduct by nonparties becomes more difficult as the number of parties to the instrument increases. The number of participants in the process of creating customary law may become so small that the evidence of that practice</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may be minimal or altogether lacking</w:t>
      </w:r>
      <w:r w:rsidR="0008491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527646" w:rsidRPr="001C35F3">
        <w:rPr>
          <w:rFonts w:ascii="Times New Roman" w:hAnsi="Times New Roman" w:cs="Times New Roman"/>
          <w:sz w:val="24"/>
          <w:szCs w:val="24"/>
          <w:lang w:val="en-US"/>
        </w:rPr>
        <w:t xml:space="preserve">See </w:t>
      </w:r>
      <w:r w:rsidRPr="00665F17">
        <w:rPr>
          <w:rFonts w:ascii="Times New Roman" w:hAnsi="Times New Roman" w:cs="Times New Roman"/>
          <w:sz w:val="24"/>
          <w:szCs w:val="24"/>
          <w:lang w:val="en-US"/>
        </w:rPr>
        <w:t>R</w:t>
      </w:r>
      <w:r w:rsidR="007D25F1" w:rsidRPr="001C35F3">
        <w:rPr>
          <w:rFonts w:ascii="Times New Roman" w:hAnsi="Times New Roman" w:cs="Times New Roman"/>
          <w:sz w:val="24"/>
          <w:szCs w:val="24"/>
          <w:lang w:val="en-US"/>
        </w:rPr>
        <w:t xml:space="preserve">ichard </w:t>
      </w:r>
      <w:r w:rsidRPr="00665F17">
        <w:rPr>
          <w:rFonts w:ascii="Times New Roman" w:hAnsi="Times New Roman" w:cs="Times New Roman"/>
          <w:sz w:val="24"/>
          <w:szCs w:val="24"/>
          <w:lang w:val="en-US"/>
        </w:rPr>
        <w:t xml:space="preserve">R. Baxter, </w:t>
      </w:r>
      <w:r w:rsidRPr="00665F17">
        <w:rPr>
          <w:rFonts w:ascii="Times New Roman" w:hAnsi="Times New Roman" w:cs="Times New Roman"/>
          <w:i/>
          <w:sz w:val="24"/>
          <w:szCs w:val="24"/>
          <w:lang w:val="en-US"/>
        </w:rPr>
        <w:t xml:space="preserve">Treaties and Custom </w:t>
      </w:r>
      <w:r w:rsidR="00195F04"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Recueil des Cours</w:t>
      </w:r>
      <w:r w:rsidR="00195F04" w:rsidRPr="001C35F3">
        <w:rPr>
          <w:rFonts w:ascii="Times New Roman" w:hAnsi="Times New Roman" w:cs="Times New Roman"/>
          <w:sz w:val="24"/>
          <w:szCs w:val="24"/>
          <w:lang w:val="en-US"/>
        </w:rPr>
        <w:t xml:space="preserve"> no. 129) (Leiden, Netherlands:</w:t>
      </w:r>
      <w:r w:rsidR="00195F04" w:rsidRPr="00665F17">
        <w:rPr>
          <w:rFonts w:ascii="Times New Roman" w:hAnsi="Times New Roman" w:cs="Times New Roman"/>
          <w:sz w:val="24"/>
          <w:szCs w:val="24"/>
          <w:lang w:val="en-US"/>
        </w:rPr>
        <w:t xml:space="preserve"> </w:t>
      </w:r>
      <w:r w:rsidR="00195F04" w:rsidRPr="001C35F3">
        <w:rPr>
          <w:rFonts w:ascii="Times New Roman" w:hAnsi="Times New Roman" w:cs="Times New Roman"/>
          <w:sz w:val="24"/>
          <w:szCs w:val="24"/>
          <w:lang w:val="en-US"/>
        </w:rPr>
        <w:t>Martinus Nijhoff, 1970)</w:t>
      </w:r>
      <w:r w:rsidRPr="00665F17">
        <w:rPr>
          <w:rFonts w:ascii="Times New Roman" w:hAnsi="Times New Roman" w:cs="Times New Roman"/>
          <w:sz w:val="24"/>
          <w:szCs w:val="24"/>
          <w:lang w:val="en-US"/>
        </w:rPr>
        <w:t>, 25, 64.</w:t>
      </w:r>
    </w:p>
  </w:endnote>
  <w:endnote w:id="7">
    <w:p w14:paraId="415FA5B7" w14:textId="6069DC9E"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See, in particular, </w:t>
      </w:r>
      <w:r w:rsidR="006930A2" w:rsidRPr="001C35F3">
        <w:rPr>
          <w:rFonts w:ascii="Times New Roman" w:hAnsi="Times New Roman" w:cs="Times New Roman"/>
          <w:sz w:val="24"/>
          <w:szCs w:val="24"/>
          <w:lang w:val="en-US"/>
        </w:rPr>
        <w:t>ICJ</w:t>
      </w:r>
      <w:r w:rsidR="00D25D6E" w:rsidRPr="001C35F3">
        <w:rPr>
          <w:rFonts w:ascii="Times New Roman" w:hAnsi="Times New Roman" w:cs="Times New Roman"/>
          <w:sz w:val="24"/>
          <w:szCs w:val="24"/>
          <w:lang w:val="en-US"/>
        </w:rPr>
        <w:t>,</w:t>
      </w:r>
      <w:r w:rsidR="006930A2" w:rsidRPr="001C35F3">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North Sea Continental Shelf Cases</w:t>
      </w:r>
      <w:r w:rsidR="00077CA8" w:rsidRPr="001C35F3">
        <w:rPr>
          <w:rFonts w:ascii="Times New Roman" w:hAnsi="Times New Roman" w:cs="Times New Roman"/>
          <w:i/>
          <w:sz w:val="24"/>
          <w:szCs w:val="24"/>
          <w:lang w:val="en-US"/>
        </w:rPr>
        <w:t xml:space="preserve"> (Federal Republic of Germany v. </w:t>
      </w:r>
      <w:r w:rsidR="00077CA8" w:rsidRPr="00665F17">
        <w:rPr>
          <w:rFonts w:ascii="Times New Roman" w:hAnsi="Times New Roman" w:cs="Times New Roman"/>
          <w:i/>
          <w:sz w:val="24"/>
          <w:szCs w:val="24"/>
          <w:lang w:val="en-US"/>
        </w:rPr>
        <w:t>Denmark, Federal Republic of Germany v. Netherlands)</w:t>
      </w:r>
      <w:r w:rsidRPr="00665F17">
        <w:rPr>
          <w:rFonts w:ascii="Times New Roman" w:hAnsi="Times New Roman" w:cs="Times New Roman"/>
          <w:iCs/>
          <w:sz w:val="24"/>
          <w:szCs w:val="24"/>
          <w:lang w:val="en-US"/>
        </w:rPr>
        <w:t>,</w:t>
      </w:r>
      <w:r w:rsidRPr="00665F17">
        <w:rPr>
          <w:rFonts w:ascii="Times New Roman" w:hAnsi="Times New Roman" w:cs="Times New Roman"/>
          <w:sz w:val="24"/>
          <w:szCs w:val="24"/>
          <w:lang w:val="en-US"/>
        </w:rPr>
        <w:t xml:space="preserve"> </w:t>
      </w:r>
      <w:r w:rsidR="006930A2" w:rsidRPr="001C35F3">
        <w:rPr>
          <w:rFonts w:ascii="Times New Roman" w:hAnsi="Times New Roman" w:cs="Times New Roman"/>
          <w:sz w:val="24"/>
          <w:szCs w:val="24"/>
          <w:lang w:val="en-US"/>
        </w:rPr>
        <w:t xml:space="preserve">Judgment, </w:t>
      </w:r>
      <w:r w:rsidRPr="00665F17">
        <w:rPr>
          <w:rFonts w:ascii="Times New Roman" w:hAnsi="Times New Roman" w:cs="Times New Roman"/>
          <w:sz w:val="24"/>
          <w:szCs w:val="24"/>
          <w:lang w:val="en-US"/>
        </w:rPr>
        <w:t>20 Feb</w:t>
      </w:r>
      <w:r w:rsidR="006930A2" w:rsidRPr="001C35F3">
        <w:rPr>
          <w:rFonts w:ascii="Times New Roman" w:hAnsi="Times New Roman" w:cs="Times New Roman"/>
          <w:sz w:val="24"/>
          <w:szCs w:val="24"/>
          <w:lang w:val="en-US"/>
        </w:rPr>
        <w:t>ruary</w:t>
      </w:r>
      <w:r w:rsidRPr="00665F17">
        <w:rPr>
          <w:rFonts w:ascii="Times New Roman" w:hAnsi="Times New Roman" w:cs="Times New Roman"/>
          <w:sz w:val="24"/>
          <w:szCs w:val="24"/>
          <w:lang w:val="en-US"/>
        </w:rPr>
        <w:t xml:space="preserve"> 1969, </w:t>
      </w:r>
      <w:r w:rsidR="006930A2" w:rsidRPr="001C35F3">
        <w:rPr>
          <w:rFonts w:ascii="Times New Roman" w:hAnsi="Times New Roman" w:cs="Times New Roman"/>
          <w:sz w:val="24"/>
          <w:szCs w:val="24"/>
          <w:lang w:val="en-US"/>
        </w:rPr>
        <w:t>https://www.icj-cij.org/public/files/case-related/52/052-19690220-JUD-01-00-EN.pdf;</w:t>
      </w:r>
      <w:r w:rsidRPr="00665F17">
        <w:rPr>
          <w:rFonts w:ascii="Times New Roman" w:hAnsi="Times New Roman" w:cs="Times New Roman"/>
          <w:sz w:val="24"/>
          <w:szCs w:val="24"/>
          <w:lang w:val="en-US"/>
        </w:rPr>
        <w:t xml:space="preserve"> and the more recent case</w:t>
      </w:r>
      <w:r w:rsidR="006930A2" w:rsidRPr="001C35F3">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Jurisdictional Immunities of the State</w:t>
      </w:r>
      <w:r w:rsidRPr="00665F17">
        <w:rPr>
          <w:rFonts w:ascii="Times New Roman" w:hAnsi="Times New Roman" w:cs="Times New Roman"/>
          <w:iCs/>
          <w:sz w:val="24"/>
          <w:szCs w:val="24"/>
          <w:lang w:val="en-US"/>
        </w:rPr>
        <w:t xml:space="preserve"> (</w:t>
      </w:r>
      <w:r w:rsidRPr="00665F17">
        <w:rPr>
          <w:rFonts w:ascii="Times New Roman" w:hAnsi="Times New Roman" w:cs="Times New Roman"/>
          <w:i/>
          <w:sz w:val="24"/>
          <w:szCs w:val="24"/>
          <w:lang w:val="en-US"/>
        </w:rPr>
        <w:t>Germany v</w:t>
      </w:r>
      <w:r w:rsidR="00B93810"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Italy</w:t>
      </w:r>
      <w:r w:rsidR="00C32D3D"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Greece </w:t>
      </w:r>
      <w:r w:rsidR="00B51584" w:rsidRPr="001C35F3">
        <w:rPr>
          <w:rFonts w:ascii="Times New Roman" w:hAnsi="Times New Roman" w:cs="Times New Roman"/>
          <w:i/>
          <w:sz w:val="24"/>
          <w:szCs w:val="24"/>
          <w:lang w:val="en-US"/>
        </w:rPr>
        <w:t>I</w:t>
      </w:r>
      <w:r w:rsidRPr="00665F17">
        <w:rPr>
          <w:rFonts w:ascii="Times New Roman" w:hAnsi="Times New Roman" w:cs="Times New Roman"/>
          <w:i/>
          <w:sz w:val="24"/>
          <w:szCs w:val="24"/>
          <w:lang w:val="en-US"/>
        </w:rPr>
        <w:t>ntervening</w:t>
      </w:r>
      <w:r w:rsidRPr="00665F17">
        <w:rPr>
          <w:rFonts w:ascii="Times New Roman" w:hAnsi="Times New Roman" w:cs="Times New Roman"/>
          <w:iCs/>
          <w:sz w:val="24"/>
          <w:szCs w:val="24"/>
          <w:lang w:val="en-US"/>
        </w:rPr>
        <w:t>)</w:t>
      </w:r>
      <w:r w:rsidR="006930A2" w:rsidRPr="001C35F3">
        <w:rPr>
          <w:rFonts w:ascii="Times New Roman" w:hAnsi="Times New Roman" w:cs="Times New Roman"/>
          <w:iCs/>
          <w:sz w:val="24"/>
          <w:szCs w:val="24"/>
          <w:lang w:val="en-US"/>
        </w:rPr>
        <w:t>,</w:t>
      </w:r>
      <w:r w:rsidRPr="00665F17">
        <w:rPr>
          <w:rFonts w:ascii="Times New Roman" w:hAnsi="Times New Roman" w:cs="Times New Roman"/>
          <w:i/>
          <w:sz w:val="24"/>
          <w:szCs w:val="24"/>
          <w:lang w:val="en-US"/>
        </w:rPr>
        <w:t xml:space="preserve"> </w:t>
      </w:r>
      <w:r w:rsidR="006930A2" w:rsidRPr="001C35F3">
        <w:rPr>
          <w:rFonts w:ascii="Times New Roman" w:hAnsi="Times New Roman" w:cs="Times New Roman"/>
          <w:sz w:val="24"/>
          <w:szCs w:val="24"/>
          <w:lang w:val="en-US"/>
        </w:rPr>
        <w:t>J</w:t>
      </w:r>
      <w:r w:rsidR="006930A2" w:rsidRPr="00665F17">
        <w:rPr>
          <w:rFonts w:ascii="Times New Roman" w:hAnsi="Times New Roman" w:cs="Times New Roman"/>
          <w:sz w:val="24"/>
          <w:szCs w:val="24"/>
          <w:lang w:val="en-US"/>
        </w:rPr>
        <w:t>udgment</w:t>
      </w:r>
      <w:r w:rsidR="006930A2" w:rsidRPr="001C35F3">
        <w:rPr>
          <w:rFonts w:ascii="Times New Roman" w:hAnsi="Times New Roman" w:cs="Times New Roman"/>
          <w:sz w:val="24"/>
          <w:szCs w:val="24"/>
          <w:lang w:val="en-US"/>
        </w:rPr>
        <w:t>,</w:t>
      </w:r>
      <w:r w:rsidR="006930A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3 Feb</w:t>
      </w:r>
      <w:r w:rsidR="006930A2" w:rsidRPr="001C35F3">
        <w:rPr>
          <w:rFonts w:ascii="Times New Roman" w:hAnsi="Times New Roman" w:cs="Times New Roman"/>
          <w:sz w:val="24"/>
          <w:szCs w:val="24"/>
          <w:lang w:val="en-US"/>
        </w:rPr>
        <w:t>ruary</w:t>
      </w:r>
      <w:r w:rsidRPr="00665F17">
        <w:rPr>
          <w:rFonts w:ascii="Times New Roman" w:hAnsi="Times New Roman" w:cs="Times New Roman"/>
          <w:sz w:val="24"/>
          <w:szCs w:val="24"/>
          <w:lang w:val="en-US"/>
        </w:rPr>
        <w:t xml:space="preserve"> 2012, </w:t>
      </w:r>
      <w:r w:rsidR="00FE5C91" w:rsidRPr="001C35F3">
        <w:rPr>
          <w:rFonts w:ascii="Times New Roman" w:hAnsi="Times New Roman" w:cs="Times New Roman"/>
          <w:sz w:val="24"/>
          <w:szCs w:val="24"/>
          <w:lang w:val="en-US"/>
        </w:rPr>
        <w:t>https://www.icj-cij.org/public/files/case-related/143/143-20120203-JUD-01-00-EN.pdf</w:t>
      </w:r>
      <w:r w:rsidR="00C772AE" w:rsidRPr="001C35F3">
        <w:rPr>
          <w:rFonts w:ascii="Times New Roman" w:hAnsi="Times New Roman" w:cs="Times New Roman"/>
          <w:iCs/>
          <w:sz w:val="24"/>
          <w:szCs w:val="24"/>
          <w:lang w:val="en-US"/>
        </w:rPr>
        <w:t>.</w:t>
      </w:r>
    </w:p>
  </w:endnote>
  <w:endnote w:id="8">
    <w:p w14:paraId="30A3691F" w14:textId="5FF92860"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See International Law Commission, Draft Conclusions on Identification of Customary International Law, </w:t>
      </w:r>
      <w:r w:rsidRPr="00665F17">
        <w:rPr>
          <w:rFonts w:ascii="Times New Roman" w:hAnsi="Times New Roman" w:cs="Times New Roman"/>
          <w:i/>
          <w:sz w:val="24"/>
          <w:szCs w:val="24"/>
          <w:lang w:val="en-US"/>
        </w:rPr>
        <w:t>Y</w:t>
      </w:r>
      <w:r w:rsidR="002C1191" w:rsidRPr="001C35F3">
        <w:rPr>
          <w:rFonts w:ascii="Times New Roman" w:hAnsi="Times New Roman" w:cs="Times New Roman"/>
          <w:i/>
          <w:sz w:val="24"/>
          <w:szCs w:val="24"/>
          <w:lang w:val="en-US"/>
        </w:rPr>
        <w:t>earbook of the</w:t>
      </w:r>
      <w:r w:rsidRPr="00665F17">
        <w:rPr>
          <w:rFonts w:ascii="Times New Roman" w:hAnsi="Times New Roman" w:cs="Times New Roman"/>
          <w:i/>
          <w:sz w:val="24"/>
          <w:szCs w:val="24"/>
          <w:lang w:val="en-US"/>
        </w:rPr>
        <w:t xml:space="preserve"> International Law Commission</w:t>
      </w:r>
      <w:r w:rsidRPr="00665F17">
        <w:rPr>
          <w:rFonts w:ascii="Times New Roman" w:hAnsi="Times New Roman" w:cs="Times New Roman"/>
          <w:sz w:val="24"/>
          <w:szCs w:val="24"/>
          <w:lang w:val="en-US"/>
        </w:rPr>
        <w:t xml:space="preserve"> </w:t>
      </w:r>
      <w:r w:rsidRPr="00665F17">
        <w:rPr>
          <w:rFonts w:ascii="Times New Roman" w:hAnsi="Times New Roman" w:cs="Times New Roman"/>
          <w:i/>
          <w:iCs/>
          <w:sz w:val="24"/>
          <w:szCs w:val="24"/>
          <w:lang w:val="en-US"/>
        </w:rPr>
        <w:t>2018</w:t>
      </w:r>
      <w:r w:rsidRPr="00665F17">
        <w:rPr>
          <w:rFonts w:ascii="Times New Roman" w:hAnsi="Times New Roman" w:cs="Times New Roman"/>
          <w:sz w:val="24"/>
          <w:szCs w:val="24"/>
          <w:lang w:val="en-US"/>
        </w:rPr>
        <w:t xml:space="preserve">, </w:t>
      </w:r>
      <w:r w:rsidR="00C31811" w:rsidRPr="001C35F3">
        <w:rPr>
          <w:rFonts w:ascii="Times New Roman" w:hAnsi="Times New Roman" w:cs="Times New Roman"/>
          <w:sz w:val="24"/>
          <w:szCs w:val="24"/>
          <w:lang w:val="en-US"/>
        </w:rPr>
        <w:t>V</w:t>
      </w:r>
      <w:r w:rsidRPr="00665F17">
        <w:rPr>
          <w:rFonts w:ascii="Times New Roman" w:hAnsi="Times New Roman" w:cs="Times New Roman"/>
          <w:sz w:val="24"/>
          <w:szCs w:val="24"/>
          <w:lang w:val="en-US"/>
        </w:rPr>
        <w:t>ol</w:t>
      </w:r>
      <w:r w:rsidR="00C3181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006D7E" w:rsidRPr="001C35F3">
        <w:rPr>
          <w:rFonts w:ascii="Times New Roman" w:hAnsi="Times New Roman" w:cs="Times New Roman"/>
          <w:sz w:val="24"/>
          <w:szCs w:val="24"/>
          <w:lang w:val="en-US"/>
        </w:rPr>
        <w:t>2</w:t>
      </w:r>
      <w:r w:rsidRPr="00665F17">
        <w:rPr>
          <w:rFonts w:ascii="Times New Roman" w:hAnsi="Times New Roman" w:cs="Times New Roman"/>
          <w:sz w:val="24"/>
          <w:szCs w:val="24"/>
          <w:lang w:val="en-US"/>
        </w:rPr>
        <w:t xml:space="preserve">, Part </w:t>
      </w:r>
      <w:r w:rsidR="00533E6E" w:rsidRPr="001C35F3">
        <w:rPr>
          <w:rFonts w:ascii="Times New Roman" w:hAnsi="Times New Roman" w:cs="Times New Roman"/>
          <w:sz w:val="24"/>
          <w:szCs w:val="24"/>
          <w:lang w:val="en-US"/>
        </w:rPr>
        <w:t>2</w:t>
      </w:r>
      <w:r w:rsidRPr="00665F17">
        <w:rPr>
          <w:rFonts w:ascii="Times New Roman" w:hAnsi="Times New Roman" w:cs="Times New Roman"/>
          <w:sz w:val="24"/>
          <w:szCs w:val="24"/>
          <w:lang w:val="en-US"/>
        </w:rPr>
        <w:t>, Conclusion 2. For a general overview, see S</w:t>
      </w:r>
      <w:r w:rsidR="0064081E" w:rsidRPr="001C35F3">
        <w:rPr>
          <w:rFonts w:ascii="Times New Roman" w:hAnsi="Times New Roman" w:cs="Times New Roman"/>
          <w:sz w:val="24"/>
          <w:szCs w:val="24"/>
          <w:lang w:val="en-US"/>
        </w:rPr>
        <w:t>ean</w:t>
      </w:r>
      <w:r w:rsidRPr="00665F17">
        <w:rPr>
          <w:rFonts w:ascii="Times New Roman" w:hAnsi="Times New Roman" w:cs="Times New Roman"/>
          <w:sz w:val="24"/>
          <w:szCs w:val="24"/>
          <w:lang w:val="en-US"/>
        </w:rPr>
        <w:t xml:space="preserve"> Murphy, “The Identification of Customary International Law and Other Topics</w:t>
      </w:r>
      <w:r w:rsidR="0064081E" w:rsidRPr="001C35F3">
        <w:rPr>
          <w:rFonts w:ascii="Times New Roman" w:hAnsi="Times New Roman" w:cs="Times New Roman"/>
          <w:sz w:val="24"/>
          <w:szCs w:val="24"/>
          <w:lang w:val="en-US"/>
        </w:rPr>
        <w:t>: The Sixty-Seventh Session of the International Law Commission</w:t>
      </w:r>
      <w:r w:rsidRPr="00665F17">
        <w:rPr>
          <w:rFonts w:ascii="Times New Roman" w:hAnsi="Times New Roman" w:cs="Times New Roman"/>
          <w:sz w:val="24"/>
          <w:szCs w:val="24"/>
          <w:lang w:val="en-US"/>
        </w:rPr>
        <w:t>,</w:t>
      </w:r>
      <w:r w:rsidR="0064081E"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2C1191" w:rsidRPr="00665F17">
        <w:rPr>
          <w:rFonts w:ascii="Times New Roman" w:hAnsi="Times New Roman" w:cs="Times New Roman"/>
          <w:i/>
          <w:iCs/>
          <w:sz w:val="24"/>
          <w:szCs w:val="24"/>
          <w:lang w:val="en-US"/>
        </w:rPr>
        <w:t>American Journal of International Law</w:t>
      </w:r>
      <w:r w:rsidR="002C1191" w:rsidRPr="001C35F3" w:rsidDel="002C1191">
        <w:rPr>
          <w:rFonts w:ascii="Times New Roman" w:hAnsi="Times New Roman" w:cs="Times New Roman"/>
          <w:sz w:val="24"/>
          <w:szCs w:val="24"/>
          <w:lang w:val="en-US"/>
        </w:rPr>
        <w:t xml:space="preserve"> </w:t>
      </w:r>
      <w:r w:rsidR="002C1191" w:rsidRPr="001C35F3">
        <w:rPr>
          <w:rFonts w:ascii="Times New Roman" w:hAnsi="Times New Roman" w:cs="Times New Roman"/>
          <w:sz w:val="24"/>
          <w:szCs w:val="24"/>
          <w:lang w:val="en-US"/>
        </w:rPr>
        <w:t>109</w:t>
      </w:r>
      <w:r w:rsidRPr="00665F17">
        <w:rPr>
          <w:rFonts w:ascii="Times New Roman" w:hAnsi="Times New Roman" w:cs="Times New Roman"/>
          <w:sz w:val="24"/>
          <w:szCs w:val="24"/>
          <w:lang w:val="en-US"/>
        </w:rPr>
        <w:t xml:space="preserve">, </w:t>
      </w:r>
      <w:r w:rsidR="0064081E" w:rsidRPr="001C35F3">
        <w:rPr>
          <w:rFonts w:ascii="Times New Roman" w:hAnsi="Times New Roman" w:cs="Times New Roman"/>
          <w:sz w:val="24"/>
          <w:szCs w:val="24"/>
          <w:lang w:val="en-US"/>
        </w:rPr>
        <w:t xml:space="preserve">no. 4 </w:t>
      </w:r>
      <w:r w:rsidR="002C119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2015</w:t>
      </w:r>
      <w:r w:rsidR="002C119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822</w:t>
      </w:r>
      <w:r w:rsidR="0064081E"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and “Anniversary Commemoration</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and Work of the International Law Commission’s Seventieth Session,</w:t>
      </w:r>
      <w:r w:rsidR="0064081E"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2C1191" w:rsidRPr="00665F17">
        <w:rPr>
          <w:rFonts w:ascii="Times New Roman" w:hAnsi="Times New Roman" w:cs="Times New Roman"/>
          <w:i/>
          <w:iCs/>
          <w:sz w:val="24"/>
          <w:szCs w:val="24"/>
          <w:lang w:val="en-US"/>
        </w:rPr>
        <w:t>American Journal of International Law</w:t>
      </w:r>
      <w:r w:rsidR="002C1191" w:rsidRPr="00665F17">
        <w:rPr>
          <w:rFonts w:ascii="Times New Roman" w:hAnsi="Times New Roman" w:cs="Times New Roman"/>
          <w:sz w:val="24"/>
          <w:szCs w:val="24"/>
          <w:lang w:val="en-US"/>
        </w:rPr>
        <w:t xml:space="preserve"> </w:t>
      </w:r>
      <w:r w:rsidR="0064081E" w:rsidRPr="001C35F3">
        <w:rPr>
          <w:rFonts w:ascii="Times New Roman" w:hAnsi="Times New Roman" w:cs="Times New Roman"/>
          <w:sz w:val="24"/>
          <w:szCs w:val="24"/>
          <w:lang w:val="en-US"/>
        </w:rPr>
        <w:t>113, no. 1 (</w:t>
      </w:r>
      <w:r w:rsidRPr="00665F17">
        <w:rPr>
          <w:rFonts w:ascii="Times New Roman" w:hAnsi="Times New Roman" w:cs="Times New Roman"/>
          <w:sz w:val="24"/>
          <w:szCs w:val="24"/>
          <w:lang w:val="en-US"/>
        </w:rPr>
        <w:t>2019</w:t>
      </w:r>
      <w:r w:rsidR="0064081E"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94.</w:t>
      </w:r>
    </w:p>
  </w:endnote>
  <w:endnote w:id="9">
    <w:p w14:paraId="78CCB4EE" w14:textId="689987D0"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047136" w:rsidRPr="001C35F3">
        <w:rPr>
          <w:rFonts w:ascii="Times New Roman" w:hAnsi="Times New Roman" w:cs="Times New Roman"/>
          <w:sz w:val="24"/>
          <w:szCs w:val="24"/>
          <w:lang w:val="en-US"/>
        </w:rPr>
        <w:t xml:space="preserve"> ICJ, </w:t>
      </w:r>
      <w:r w:rsidR="00047136" w:rsidRPr="001C35F3">
        <w:rPr>
          <w:rFonts w:ascii="Times New Roman" w:hAnsi="Times New Roman" w:cs="Times New Roman"/>
          <w:iCs/>
          <w:sz w:val="24"/>
          <w:szCs w:val="24"/>
          <w:lang w:val="en-US"/>
        </w:rPr>
        <w:t xml:space="preserve">Request for Interpretation of the Judgment of 15 June 1962 in the Case Concerning the </w:t>
      </w:r>
      <w:r w:rsidR="00047136" w:rsidRPr="001C35F3">
        <w:rPr>
          <w:rFonts w:ascii="Times New Roman" w:hAnsi="Times New Roman" w:cs="Times New Roman"/>
          <w:i/>
          <w:sz w:val="24"/>
          <w:szCs w:val="24"/>
          <w:lang w:val="en-US"/>
        </w:rPr>
        <w:t>Temple of Preah Vihear (Cambodia v. Thailand)</w:t>
      </w:r>
      <w:r w:rsidR="00047136" w:rsidRPr="001C35F3">
        <w:rPr>
          <w:rFonts w:ascii="Times New Roman" w:hAnsi="Times New Roman" w:cs="Times New Roman"/>
          <w:iCs/>
          <w:sz w:val="24"/>
          <w:szCs w:val="24"/>
          <w:lang w:val="en-US"/>
        </w:rPr>
        <w:t>, Judgment</w:t>
      </w:r>
      <w:r w:rsidR="00447073" w:rsidRPr="001C35F3">
        <w:rPr>
          <w:rFonts w:ascii="Times New Roman" w:hAnsi="Times New Roman" w:cs="Times New Roman"/>
          <w:iCs/>
          <w:sz w:val="24"/>
          <w:szCs w:val="24"/>
          <w:lang w:val="en-US"/>
        </w:rPr>
        <w:t>,</w:t>
      </w:r>
      <w:r w:rsidR="00047136" w:rsidRPr="001C35F3">
        <w:rPr>
          <w:rFonts w:ascii="Times New Roman" w:hAnsi="Times New Roman" w:cs="Times New Roman"/>
          <w:iCs/>
          <w:sz w:val="24"/>
          <w:szCs w:val="24"/>
          <w:lang w:val="en-US"/>
        </w:rPr>
        <w:t xml:space="preserve"> 11 November 2013,</w:t>
      </w:r>
      <w:r w:rsidR="00586B26" w:rsidRPr="001C35F3">
        <w:rPr>
          <w:rFonts w:ascii="Times New Roman" w:hAnsi="Times New Roman" w:cs="Times New Roman"/>
          <w:iCs/>
          <w:sz w:val="24"/>
          <w:szCs w:val="24"/>
          <w:lang w:val="en-US"/>
        </w:rPr>
        <w:t xml:space="preserve"> </w:t>
      </w:r>
      <w:r w:rsidRPr="00665F17">
        <w:rPr>
          <w:rFonts w:ascii="Times New Roman" w:hAnsi="Times New Roman" w:cs="Times New Roman"/>
          <w:sz w:val="24"/>
          <w:szCs w:val="24"/>
          <w:lang w:val="en-US"/>
        </w:rPr>
        <w:t>para. 106</w:t>
      </w:r>
      <w:r w:rsidR="00A748D2" w:rsidRPr="001C35F3">
        <w:rPr>
          <w:rFonts w:ascii="Times New Roman" w:hAnsi="Times New Roman" w:cs="Times New Roman"/>
          <w:sz w:val="24"/>
          <w:szCs w:val="24"/>
          <w:lang w:val="en-US"/>
        </w:rPr>
        <w:t>,</w:t>
      </w:r>
      <w:r w:rsidR="00A748D2" w:rsidRPr="00665F17">
        <w:rPr>
          <w:rFonts w:ascii="Times New Roman" w:hAnsi="Times New Roman" w:cs="Times New Roman"/>
          <w:sz w:val="24"/>
          <w:szCs w:val="24"/>
          <w:lang w:val="en-US"/>
        </w:rPr>
        <w:t xml:space="preserve"> </w:t>
      </w:r>
      <w:r w:rsidR="00A748D2" w:rsidRPr="001C35F3">
        <w:rPr>
          <w:rFonts w:ascii="Times New Roman" w:hAnsi="Times New Roman" w:cs="Times New Roman"/>
          <w:sz w:val="24"/>
          <w:szCs w:val="24"/>
          <w:lang w:val="en-US"/>
        </w:rPr>
        <w:t>https://www.icj-cij.org/en/case/151</w:t>
      </w:r>
      <w:r w:rsidRPr="00665F17">
        <w:rPr>
          <w:rFonts w:ascii="Times New Roman" w:hAnsi="Times New Roman" w:cs="Times New Roman"/>
          <w:sz w:val="24"/>
          <w:szCs w:val="24"/>
          <w:lang w:val="en-US"/>
        </w:rPr>
        <w:t>.</w:t>
      </w:r>
    </w:p>
  </w:endnote>
  <w:endnote w:id="10">
    <w:p w14:paraId="2E10F8D4" w14:textId="3A5DB3EB" w:rsidR="001A62EE" w:rsidRPr="00665F17" w:rsidRDefault="001A62EE" w:rsidP="00B67B18">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2F1B14" w:rsidRPr="001C35F3">
        <w:rPr>
          <w:rFonts w:ascii="Times New Roman" w:hAnsi="Times New Roman" w:cs="Times New Roman"/>
          <w:sz w:val="24"/>
          <w:szCs w:val="24"/>
          <w:lang w:val="en-US"/>
        </w:rPr>
        <w:t xml:space="preserve">ICJ, </w:t>
      </w:r>
      <w:r w:rsidRPr="00665F17">
        <w:rPr>
          <w:rFonts w:ascii="Times New Roman" w:hAnsi="Times New Roman" w:cs="Times New Roman"/>
          <w:i/>
          <w:sz w:val="24"/>
          <w:szCs w:val="24"/>
          <w:lang w:val="en-US"/>
        </w:rPr>
        <w:t>Certain Property (Liechtenstein v</w:t>
      </w:r>
      <w:r w:rsidR="00FF37E6"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Germany)</w:t>
      </w:r>
      <w:r w:rsidRPr="00665F17">
        <w:rPr>
          <w:rFonts w:ascii="Times New Roman" w:hAnsi="Times New Roman" w:cs="Times New Roman"/>
          <w:iCs/>
          <w:sz w:val="24"/>
          <w:szCs w:val="24"/>
          <w:lang w:val="en-US"/>
        </w:rPr>
        <w:t>,</w:t>
      </w:r>
      <w:r w:rsidRPr="00665F17">
        <w:rPr>
          <w:rFonts w:ascii="Times New Roman" w:hAnsi="Times New Roman" w:cs="Times New Roman"/>
          <w:i/>
          <w:sz w:val="24"/>
          <w:szCs w:val="24"/>
          <w:lang w:val="en-US"/>
        </w:rPr>
        <w:t xml:space="preserve"> </w:t>
      </w:r>
      <w:r w:rsidRPr="00665F17">
        <w:rPr>
          <w:rFonts w:ascii="Times New Roman" w:hAnsi="Times New Roman" w:cs="Times New Roman"/>
          <w:sz w:val="24"/>
          <w:szCs w:val="24"/>
          <w:lang w:val="en-US"/>
        </w:rPr>
        <w:t xml:space="preserve">Preliminary Objections, </w:t>
      </w:r>
      <w:r w:rsidR="00FA42DC" w:rsidRPr="00665F17">
        <w:rPr>
          <w:rFonts w:ascii="Times New Roman" w:hAnsi="Times New Roman" w:cs="Times New Roman"/>
          <w:iCs/>
          <w:sz w:val="24"/>
          <w:szCs w:val="24"/>
          <w:lang w:val="en-US"/>
        </w:rPr>
        <w:t>Judgment</w:t>
      </w:r>
      <w:r w:rsidR="00447073" w:rsidRPr="001C35F3">
        <w:rPr>
          <w:rFonts w:ascii="Times New Roman" w:hAnsi="Times New Roman" w:cs="Times New Roman"/>
          <w:iCs/>
          <w:sz w:val="24"/>
          <w:szCs w:val="24"/>
          <w:lang w:val="en-US"/>
        </w:rPr>
        <w:t>,</w:t>
      </w:r>
      <w:r w:rsidR="00FA42DC" w:rsidRPr="00665F17">
        <w:rPr>
          <w:rFonts w:ascii="Times New Roman" w:hAnsi="Times New Roman" w:cs="Times New Roman"/>
          <w:sz w:val="24"/>
          <w:szCs w:val="24"/>
          <w:lang w:val="en-US"/>
        </w:rPr>
        <w:t xml:space="preserve"> </w:t>
      </w:r>
      <w:r w:rsidR="00FA42DC" w:rsidRPr="001C35F3">
        <w:rPr>
          <w:rFonts w:ascii="Times New Roman" w:hAnsi="Times New Roman" w:cs="Times New Roman"/>
          <w:sz w:val="24"/>
          <w:szCs w:val="24"/>
          <w:lang w:val="en-US"/>
        </w:rPr>
        <w:t>10 February 2005,</w:t>
      </w:r>
      <w:r w:rsidR="00FA42DC" w:rsidRPr="00665F17">
        <w:rPr>
          <w:rFonts w:ascii="Times New Roman" w:hAnsi="Times New Roman" w:cs="Times New Roman"/>
          <w:sz w:val="24"/>
          <w:szCs w:val="24"/>
          <w:lang w:val="en-US"/>
        </w:rPr>
        <w:t xml:space="preserve"> </w:t>
      </w:r>
      <w:r w:rsidR="00FA42DC" w:rsidRPr="001C35F3">
        <w:rPr>
          <w:rFonts w:ascii="Times New Roman" w:hAnsi="Times New Roman" w:cs="Times New Roman"/>
          <w:sz w:val="24"/>
          <w:szCs w:val="24"/>
          <w:lang w:val="en-US"/>
        </w:rPr>
        <w:t>https://www.icj-cij.org/public/files/case-related/123/123-20050210-JUD-01-00-EN.pdf</w:t>
      </w:r>
      <w:r w:rsidRPr="00665F17">
        <w:rPr>
          <w:rFonts w:ascii="Times New Roman" w:hAnsi="Times New Roman" w:cs="Times New Roman"/>
          <w:sz w:val="24"/>
          <w:szCs w:val="24"/>
          <w:lang w:val="en-US"/>
        </w:rPr>
        <w:t>.</w:t>
      </w:r>
    </w:p>
  </w:endnote>
  <w:endnote w:id="11">
    <w:p w14:paraId="575E3273" w14:textId="589E5B5C"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82178B" w:rsidRPr="001C35F3">
        <w:rPr>
          <w:rFonts w:ascii="Times New Roman" w:hAnsi="Times New Roman" w:cs="Times New Roman"/>
          <w:sz w:val="24"/>
          <w:szCs w:val="24"/>
          <w:lang w:val="en-US"/>
        </w:rPr>
        <w:t xml:space="preserve"> ICJ,</w:t>
      </w:r>
      <w:r w:rsidRPr="00665F17">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Application of the Convention on the Prevention and Punishment of the Crime of Genocide (Bosnia and Herzegovina v</w:t>
      </w:r>
      <w:r w:rsidR="0082178B"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Serbia)</w:t>
      </w:r>
      <w:r w:rsidRPr="00665F17">
        <w:rPr>
          <w:rFonts w:ascii="Times New Roman" w:hAnsi="Times New Roman" w:cs="Times New Roman"/>
          <w:iCs/>
          <w:sz w:val="24"/>
          <w:szCs w:val="24"/>
          <w:lang w:val="en-US"/>
        </w:rPr>
        <w:t xml:space="preserve">, </w:t>
      </w:r>
      <w:r w:rsidR="00AF3430" w:rsidRPr="001C35F3">
        <w:rPr>
          <w:rFonts w:ascii="Times New Roman" w:hAnsi="Times New Roman" w:cs="Times New Roman"/>
          <w:sz w:val="24"/>
          <w:szCs w:val="24"/>
          <w:lang w:val="en-US"/>
        </w:rPr>
        <w:t>J</w:t>
      </w:r>
      <w:r w:rsidRPr="00665F17">
        <w:rPr>
          <w:rFonts w:ascii="Times New Roman" w:hAnsi="Times New Roman" w:cs="Times New Roman"/>
          <w:sz w:val="24"/>
          <w:szCs w:val="24"/>
          <w:lang w:val="en-US"/>
        </w:rPr>
        <w:t>udgment</w:t>
      </w:r>
      <w:r w:rsidR="00447073"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26 February 2007</w:t>
      </w:r>
      <w:r w:rsidR="005D451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para. 344</w:t>
      </w:r>
      <w:r w:rsidR="002C62EF" w:rsidRPr="001C35F3">
        <w:rPr>
          <w:rFonts w:ascii="Times New Roman" w:hAnsi="Times New Roman" w:cs="Times New Roman"/>
          <w:sz w:val="24"/>
          <w:szCs w:val="24"/>
          <w:lang w:val="en-US"/>
        </w:rPr>
        <w:t>, https://www.icj-cij.org/public/files/case-related/91/091-20070226-JUD-01-00-EN.pdf</w:t>
      </w:r>
      <w:r w:rsidRPr="00665F17">
        <w:rPr>
          <w:rFonts w:ascii="Times New Roman" w:hAnsi="Times New Roman" w:cs="Times New Roman"/>
          <w:sz w:val="24"/>
          <w:szCs w:val="24"/>
          <w:lang w:val="en-US"/>
        </w:rPr>
        <w:t>.</w:t>
      </w:r>
    </w:p>
  </w:endnote>
  <w:endnote w:id="12">
    <w:p w14:paraId="00F783FD" w14:textId="1319E64F" w:rsidR="001A62EE" w:rsidRPr="00665F17" w:rsidRDefault="001A62EE" w:rsidP="00B67B18">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2C62EF" w:rsidRPr="001C35F3">
        <w:rPr>
          <w:rFonts w:ascii="Times New Roman" w:hAnsi="Times New Roman" w:cs="Times New Roman"/>
          <w:sz w:val="24"/>
          <w:szCs w:val="24"/>
          <w:lang w:val="en-US"/>
        </w:rPr>
        <w:t xml:space="preserve">ICJ, </w:t>
      </w:r>
      <w:r w:rsidRPr="00665F17">
        <w:rPr>
          <w:rFonts w:ascii="Times New Roman" w:hAnsi="Times New Roman" w:cs="Times New Roman"/>
          <w:i/>
          <w:sz w:val="24"/>
          <w:szCs w:val="24"/>
          <w:lang w:val="en-US"/>
        </w:rPr>
        <w:t>Application of the Convention on the Prevention and Punishment of the Crime of Genocide (Croatia v</w:t>
      </w:r>
      <w:r w:rsidR="00186F46"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Serbia)</w:t>
      </w:r>
      <w:r w:rsidRPr="00665F17">
        <w:rPr>
          <w:rFonts w:ascii="Times New Roman" w:hAnsi="Times New Roman" w:cs="Times New Roman"/>
          <w:iCs/>
          <w:sz w:val="24"/>
          <w:szCs w:val="24"/>
          <w:lang w:val="en-US"/>
        </w:rPr>
        <w:t>,</w:t>
      </w:r>
      <w:r w:rsidRPr="00665F17">
        <w:rPr>
          <w:rFonts w:ascii="Times New Roman" w:hAnsi="Times New Roman" w:cs="Times New Roman"/>
          <w:sz w:val="24"/>
          <w:szCs w:val="24"/>
          <w:lang w:val="en-US"/>
        </w:rPr>
        <w:t xml:space="preserve"> </w:t>
      </w:r>
      <w:r w:rsidR="00475A3D" w:rsidRPr="001C35F3">
        <w:rPr>
          <w:rFonts w:ascii="Times New Roman" w:hAnsi="Times New Roman" w:cs="Times New Roman"/>
          <w:sz w:val="24"/>
          <w:szCs w:val="24"/>
          <w:lang w:val="en-US"/>
        </w:rPr>
        <w:t>J</w:t>
      </w:r>
      <w:r w:rsidRPr="00665F17">
        <w:rPr>
          <w:rFonts w:ascii="Times New Roman" w:hAnsi="Times New Roman" w:cs="Times New Roman"/>
          <w:sz w:val="24"/>
          <w:szCs w:val="24"/>
          <w:lang w:val="en-US"/>
        </w:rPr>
        <w:t>udgment</w:t>
      </w:r>
      <w:r w:rsidR="001D343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3 February 2015, para</w:t>
      </w:r>
      <w:r w:rsidR="005D451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390</w:t>
      </w:r>
      <w:r w:rsidR="00BE4DFE" w:rsidRPr="001C35F3">
        <w:rPr>
          <w:rFonts w:ascii="Times New Roman" w:hAnsi="Times New Roman" w:cs="Times New Roman"/>
          <w:sz w:val="24"/>
          <w:szCs w:val="24"/>
          <w:lang w:val="en-US"/>
        </w:rPr>
        <w:t>,</w:t>
      </w:r>
      <w:r w:rsidR="00BE4DFE" w:rsidRPr="00665F17">
        <w:rPr>
          <w:rFonts w:ascii="Times New Roman" w:hAnsi="Times New Roman" w:cs="Times New Roman"/>
          <w:sz w:val="24"/>
          <w:szCs w:val="24"/>
          <w:lang w:val="en-US"/>
        </w:rPr>
        <w:t xml:space="preserve"> </w:t>
      </w:r>
      <w:r w:rsidR="00BE4DFE" w:rsidRPr="001C35F3">
        <w:rPr>
          <w:rFonts w:ascii="Times New Roman" w:hAnsi="Times New Roman" w:cs="Times New Roman"/>
          <w:sz w:val="24"/>
          <w:szCs w:val="24"/>
          <w:lang w:val="en-US"/>
        </w:rPr>
        <w:t>https://www.icj-cij.org/public/files/case-related/118/118-20150203-JUD-01-00-EN.pdf</w:t>
      </w:r>
      <w:r w:rsidRPr="00665F17">
        <w:rPr>
          <w:rFonts w:ascii="Times New Roman" w:hAnsi="Times New Roman" w:cs="Times New Roman"/>
          <w:sz w:val="24"/>
          <w:szCs w:val="24"/>
          <w:lang w:val="en-US"/>
        </w:rPr>
        <w:t>.</w:t>
      </w:r>
    </w:p>
  </w:endnote>
  <w:endnote w:id="13">
    <w:p w14:paraId="0142CC9E" w14:textId="69E0F6DF" w:rsidR="001A62EE" w:rsidRPr="00665F17" w:rsidRDefault="001A62EE" w:rsidP="00B67B18">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FC40DF" w:rsidRPr="001C35F3">
        <w:rPr>
          <w:rFonts w:ascii="Times New Roman" w:hAnsi="Times New Roman" w:cs="Times New Roman"/>
          <w:sz w:val="24"/>
          <w:szCs w:val="24"/>
          <w:lang w:val="en-US"/>
        </w:rPr>
        <w:t xml:space="preserve">ICTY, </w:t>
      </w:r>
      <w:r w:rsidR="00CD10A4" w:rsidRPr="001C35F3">
        <w:rPr>
          <w:rFonts w:ascii="Times New Roman" w:hAnsi="Times New Roman" w:cs="Times New Roman"/>
          <w:i/>
          <w:sz w:val="24"/>
          <w:szCs w:val="24"/>
          <w:lang w:val="en-US"/>
        </w:rPr>
        <w:t>K</w:t>
      </w:r>
      <w:r w:rsidRPr="00665F17">
        <w:rPr>
          <w:rFonts w:ascii="Times New Roman" w:hAnsi="Times New Roman" w:cs="Times New Roman"/>
          <w:i/>
          <w:sz w:val="24"/>
          <w:szCs w:val="24"/>
          <w:lang w:val="en-US"/>
        </w:rPr>
        <w:t>rsti</w:t>
      </w:r>
      <w:r w:rsidR="00B76E13" w:rsidRPr="001C35F3">
        <w:rPr>
          <w:rFonts w:ascii="Times New Roman" w:hAnsi="Times New Roman" w:cs="Times New Roman"/>
          <w:i/>
          <w:sz w:val="24"/>
          <w:szCs w:val="24"/>
          <w:lang w:val="en-US"/>
        </w:rPr>
        <w:t>ć</w:t>
      </w:r>
      <w:r w:rsidRPr="00665F17">
        <w:rPr>
          <w:rFonts w:ascii="Times New Roman" w:hAnsi="Times New Roman" w:cs="Times New Roman"/>
          <w:sz w:val="24"/>
          <w:szCs w:val="24"/>
          <w:lang w:val="en-US"/>
        </w:rPr>
        <w:t xml:space="preserve">, </w:t>
      </w:r>
      <w:r w:rsidR="00BE69C9" w:rsidRPr="001C35F3">
        <w:rPr>
          <w:rFonts w:ascii="Times New Roman" w:hAnsi="Times New Roman" w:cs="Times New Roman"/>
          <w:sz w:val="24"/>
          <w:szCs w:val="24"/>
          <w:lang w:val="en-US"/>
        </w:rPr>
        <w:t xml:space="preserve">case no. IT-98-33-T, </w:t>
      </w:r>
      <w:r w:rsidR="00DE2F47" w:rsidRPr="001C35F3">
        <w:rPr>
          <w:rFonts w:ascii="Times New Roman" w:hAnsi="Times New Roman" w:cs="Times New Roman"/>
          <w:sz w:val="24"/>
          <w:szCs w:val="24"/>
          <w:lang w:val="en-US"/>
        </w:rPr>
        <w:t xml:space="preserve">Trial Judgment, </w:t>
      </w:r>
      <w:r w:rsidRPr="00665F17">
        <w:rPr>
          <w:rFonts w:ascii="Times New Roman" w:hAnsi="Times New Roman" w:cs="Times New Roman"/>
          <w:sz w:val="24"/>
          <w:szCs w:val="24"/>
          <w:lang w:val="en-US"/>
        </w:rPr>
        <w:t>2 August 2001, para</w:t>
      </w:r>
      <w:r w:rsidR="00BE69C9"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580</w:t>
      </w:r>
      <w:r w:rsidR="00401BE6" w:rsidRPr="001C35F3">
        <w:rPr>
          <w:rFonts w:ascii="Times New Roman" w:hAnsi="Times New Roman" w:cs="Times New Roman"/>
          <w:sz w:val="24"/>
          <w:szCs w:val="24"/>
          <w:lang w:val="en-US"/>
        </w:rPr>
        <w:t>,</w:t>
      </w:r>
      <w:r w:rsidR="00401BE6" w:rsidRPr="00665F17">
        <w:rPr>
          <w:rFonts w:ascii="Times New Roman" w:hAnsi="Times New Roman" w:cs="Times New Roman"/>
          <w:sz w:val="24"/>
          <w:szCs w:val="24"/>
          <w:lang w:val="en-US"/>
        </w:rPr>
        <w:t xml:space="preserve"> </w:t>
      </w:r>
      <w:r w:rsidR="00401BE6" w:rsidRPr="001C35F3">
        <w:rPr>
          <w:rFonts w:ascii="Times New Roman" w:hAnsi="Times New Roman" w:cs="Times New Roman"/>
          <w:sz w:val="24"/>
          <w:szCs w:val="24"/>
          <w:lang w:val="en-US"/>
        </w:rPr>
        <w:t>https://www.icty.org/x/cases/krstic/tjug/en/krs-tj010802e.pdf</w:t>
      </w:r>
      <w:r w:rsidRPr="00665F17">
        <w:rPr>
          <w:rFonts w:ascii="Times New Roman" w:hAnsi="Times New Roman" w:cs="Times New Roman"/>
          <w:sz w:val="24"/>
          <w:szCs w:val="24"/>
          <w:lang w:val="en-US"/>
        </w:rPr>
        <w:t xml:space="preserve">. See also the dissenting opinion of </w:t>
      </w:r>
      <w:r w:rsidR="004B4754" w:rsidRPr="001C35F3">
        <w:rPr>
          <w:rFonts w:ascii="Times New Roman" w:hAnsi="Times New Roman" w:cs="Times New Roman"/>
          <w:sz w:val="24"/>
          <w:szCs w:val="24"/>
          <w:lang w:val="en-US"/>
        </w:rPr>
        <w:t>J</w:t>
      </w:r>
      <w:r w:rsidRPr="00665F17">
        <w:rPr>
          <w:rFonts w:ascii="Times New Roman" w:hAnsi="Times New Roman" w:cs="Times New Roman"/>
          <w:sz w:val="24"/>
          <w:szCs w:val="24"/>
          <w:lang w:val="en-US"/>
        </w:rPr>
        <w:t>udge Sha</w:t>
      </w:r>
      <w:r w:rsidR="00E413A1" w:rsidRPr="001C35F3">
        <w:rPr>
          <w:rFonts w:ascii="Times New Roman" w:hAnsi="Times New Roman" w:cs="Times New Roman"/>
          <w:sz w:val="24"/>
          <w:szCs w:val="24"/>
          <w:lang w:val="en-US"/>
        </w:rPr>
        <w:t>h</w:t>
      </w:r>
      <w:r w:rsidRPr="00665F17">
        <w:rPr>
          <w:rFonts w:ascii="Times New Roman" w:hAnsi="Times New Roman" w:cs="Times New Roman"/>
          <w:sz w:val="24"/>
          <w:szCs w:val="24"/>
          <w:lang w:val="en-US"/>
        </w:rPr>
        <w:t xml:space="preserve">abuddeen in the </w:t>
      </w:r>
      <w:r w:rsidR="00E413A1" w:rsidRPr="001C35F3">
        <w:rPr>
          <w:rFonts w:ascii="Times New Roman" w:hAnsi="Times New Roman" w:cs="Times New Roman"/>
          <w:sz w:val="24"/>
          <w:szCs w:val="24"/>
          <w:lang w:val="en-US"/>
        </w:rPr>
        <w:t xml:space="preserve">appeal: ICTY, </w:t>
      </w:r>
      <w:r w:rsidR="00E413A1" w:rsidRPr="001C35F3">
        <w:rPr>
          <w:rFonts w:ascii="Times New Roman" w:hAnsi="Times New Roman" w:cs="Times New Roman"/>
          <w:i/>
          <w:sz w:val="24"/>
          <w:szCs w:val="24"/>
          <w:lang w:val="en-US"/>
        </w:rPr>
        <w:t>Krstić</w:t>
      </w:r>
      <w:r w:rsidR="00E413A1" w:rsidRPr="001C35F3">
        <w:rPr>
          <w:rFonts w:ascii="Times New Roman" w:hAnsi="Times New Roman" w:cs="Times New Roman"/>
          <w:sz w:val="24"/>
          <w:szCs w:val="24"/>
          <w:lang w:val="en-US"/>
        </w:rPr>
        <w:t xml:space="preserve">, </w:t>
      </w:r>
      <w:r w:rsidR="00F92945" w:rsidRPr="001C35F3">
        <w:rPr>
          <w:rFonts w:ascii="Times New Roman" w:hAnsi="Times New Roman" w:cs="Times New Roman"/>
          <w:sz w:val="24"/>
          <w:szCs w:val="24"/>
          <w:lang w:val="en-US"/>
        </w:rPr>
        <w:t xml:space="preserve">case no. IT-98-33-A, </w:t>
      </w:r>
      <w:r w:rsidR="00E413A1" w:rsidRPr="001C35F3">
        <w:rPr>
          <w:rFonts w:ascii="Times New Roman" w:hAnsi="Times New Roman" w:cs="Times New Roman"/>
          <w:sz w:val="24"/>
          <w:szCs w:val="24"/>
          <w:lang w:val="en-US"/>
        </w:rPr>
        <w:t>A</w:t>
      </w:r>
      <w:r w:rsidRPr="00665F17">
        <w:rPr>
          <w:rFonts w:ascii="Times New Roman" w:hAnsi="Times New Roman" w:cs="Times New Roman"/>
          <w:sz w:val="24"/>
          <w:szCs w:val="24"/>
          <w:lang w:val="en-US"/>
        </w:rPr>
        <w:t xml:space="preserve">ppeal </w:t>
      </w:r>
      <w:r w:rsidR="00E413A1" w:rsidRPr="001C35F3">
        <w:rPr>
          <w:rFonts w:ascii="Times New Roman" w:hAnsi="Times New Roman" w:cs="Times New Roman"/>
          <w:sz w:val="24"/>
          <w:szCs w:val="24"/>
          <w:lang w:val="en-US"/>
        </w:rPr>
        <w:t>J</w:t>
      </w:r>
      <w:r w:rsidRPr="00665F17">
        <w:rPr>
          <w:rFonts w:ascii="Times New Roman" w:hAnsi="Times New Roman" w:cs="Times New Roman"/>
          <w:sz w:val="24"/>
          <w:szCs w:val="24"/>
          <w:lang w:val="en-US"/>
        </w:rPr>
        <w:t>udgment</w:t>
      </w:r>
      <w:r w:rsidR="00E413A1" w:rsidRPr="001C35F3">
        <w:rPr>
          <w:rFonts w:ascii="Times New Roman" w:hAnsi="Times New Roman" w:cs="Times New Roman"/>
          <w:sz w:val="24"/>
          <w:szCs w:val="24"/>
          <w:lang w:val="en-US"/>
        </w:rPr>
        <w:t>,</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19 April 2004, </w:t>
      </w:r>
      <w:r w:rsidR="00E413A1" w:rsidRPr="001C35F3">
        <w:rPr>
          <w:rFonts w:ascii="Times New Roman" w:hAnsi="Times New Roman" w:cs="Times New Roman"/>
          <w:sz w:val="24"/>
          <w:szCs w:val="24"/>
          <w:lang w:val="en-US"/>
        </w:rPr>
        <w:t>Section 8, https://www.icty.org/x/cases/krstic/acjug/en/krs-aj040419e.pdf.</w:t>
      </w:r>
    </w:p>
  </w:endnote>
  <w:endnote w:id="14">
    <w:p w14:paraId="3E6A09E4" w14:textId="48C9AAC8" w:rsidR="001A62EE" w:rsidRPr="00665F17" w:rsidRDefault="001A62EE" w:rsidP="00B67B18">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00023A42" w:rsidRPr="00665F17">
        <w:rPr>
          <w:rFonts w:ascii="Times New Roman" w:hAnsi="Times New Roman" w:cs="Times New Roman"/>
          <w:sz w:val="24"/>
          <w:szCs w:val="24"/>
          <w:lang w:val="en-US"/>
        </w:rPr>
        <w:t xml:space="preserve"> </w:t>
      </w:r>
      <w:r w:rsidR="00036B71" w:rsidRPr="001C35F3">
        <w:rPr>
          <w:rFonts w:ascii="Times New Roman" w:hAnsi="Times New Roman" w:cs="Times New Roman"/>
          <w:sz w:val="24"/>
          <w:szCs w:val="24"/>
          <w:lang w:val="en-US"/>
        </w:rPr>
        <w:t xml:space="preserve">ICJ, </w:t>
      </w:r>
      <w:r w:rsidRPr="00665F17">
        <w:rPr>
          <w:rFonts w:ascii="Times New Roman" w:hAnsi="Times New Roman" w:cs="Times New Roman"/>
          <w:i/>
          <w:sz w:val="24"/>
          <w:szCs w:val="24"/>
          <w:lang w:val="en-US"/>
        </w:rPr>
        <w:t>Dispute Regarding Navigational and Related Rights (Costa Rica v</w:t>
      </w:r>
      <w:r w:rsidR="00036B71"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Nicaragua)</w:t>
      </w:r>
      <w:r w:rsidRPr="00665F17">
        <w:rPr>
          <w:rFonts w:ascii="Times New Roman" w:hAnsi="Times New Roman" w:cs="Times New Roman"/>
          <w:iCs/>
          <w:sz w:val="24"/>
          <w:szCs w:val="24"/>
          <w:lang w:val="en-US"/>
        </w:rPr>
        <w:t xml:space="preserve">, </w:t>
      </w:r>
      <w:r w:rsidRPr="00665F17">
        <w:rPr>
          <w:rFonts w:ascii="Times New Roman" w:hAnsi="Times New Roman" w:cs="Times New Roman"/>
          <w:sz w:val="24"/>
          <w:szCs w:val="24"/>
          <w:lang w:val="en-US"/>
        </w:rPr>
        <w:t>Judgment</w:t>
      </w:r>
      <w:r w:rsidR="00036B7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594661" w:rsidRPr="001C35F3">
        <w:rPr>
          <w:rFonts w:ascii="Times New Roman" w:hAnsi="Times New Roman" w:cs="Times New Roman"/>
          <w:sz w:val="24"/>
          <w:szCs w:val="24"/>
          <w:lang w:val="en-US"/>
        </w:rPr>
        <w:t>13</w:t>
      </w:r>
      <w:r w:rsidRPr="00665F17">
        <w:rPr>
          <w:rFonts w:ascii="Times New Roman" w:hAnsi="Times New Roman" w:cs="Times New Roman"/>
          <w:sz w:val="24"/>
          <w:szCs w:val="24"/>
          <w:lang w:val="en-US"/>
        </w:rPr>
        <w:t xml:space="preserve"> July 2009, paras. 134</w:t>
      </w:r>
      <w:r w:rsidR="00E740A2"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144</w:t>
      </w:r>
      <w:r w:rsidR="00E72011" w:rsidRPr="001C35F3">
        <w:rPr>
          <w:rFonts w:ascii="Times New Roman" w:hAnsi="Times New Roman" w:cs="Times New Roman"/>
          <w:sz w:val="24"/>
          <w:szCs w:val="24"/>
          <w:lang w:val="en-US"/>
        </w:rPr>
        <w:t>,</w:t>
      </w:r>
      <w:r w:rsidR="00E72011" w:rsidRPr="00665F17">
        <w:rPr>
          <w:rFonts w:ascii="Times New Roman" w:hAnsi="Times New Roman" w:cs="Times New Roman"/>
          <w:sz w:val="24"/>
          <w:szCs w:val="24"/>
          <w:lang w:val="en-US"/>
        </w:rPr>
        <w:t xml:space="preserve"> </w:t>
      </w:r>
      <w:r w:rsidR="00E72011" w:rsidRPr="001C35F3">
        <w:rPr>
          <w:rFonts w:ascii="Times New Roman" w:hAnsi="Times New Roman" w:cs="Times New Roman"/>
          <w:sz w:val="24"/>
          <w:szCs w:val="24"/>
          <w:lang w:val="en-US"/>
        </w:rPr>
        <w:t>https://www.icj-cij.org/public/files/case-related/133/133-20090713-JUD-01-00-EN.pdf</w:t>
      </w:r>
      <w:r w:rsidRPr="00665F17">
        <w:rPr>
          <w:rFonts w:ascii="Times New Roman" w:hAnsi="Times New Roman" w:cs="Times New Roman"/>
          <w:sz w:val="24"/>
          <w:szCs w:val="24"/>
          <w:lang w:val="en-US"/>
        </w:rPr>
        <w:t>.</w:t>
      </w:r>
    </w:p>
  </w:endnote>
  <w:endnote w:id="15">
    <w:p w14:paraId="611DBF10" w14:textId="33827964" w:rsidR="00D10310" w:rsidRPr="00665F17" w:rsidRDefault="00D10310" w:rsidP="00B67B18">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E72011" w:rsidRPr="001C35F3">
        <w:rPr>
          <w:rFonts w:ascii="Times New Roman" w:hAnsi="Times New Roman" w:cs="Times New Roman"/>
          <w:sz w:val="24"/>
          <w:szCs w:val="24"/>
          <w:lang w:val="en-US"/>
        </w:rPr>
        <w:t xml:space="preserve">ICJ, </w:t>
      </w:r>
      <w:r w:rsidRPr="00665F17">
        <w:rPr>
          <w:rFonts w:ascii="Times New Roman" w:hAnsi="Times New Roman" w:cs="Times New Roman"/>
          <w:i/>
          <w:sz w:val="24"/>
          <w:szCs w:val="24"/>
          <w:lang w:val="en-US"/>
        </w:rPr>
        <w:t>Frontier Dispute (Burkina Faso v</w:t>
      </w:r>
      <w:r w:rsidR="00B82340"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Niger</w:t>
      </w:r>
      <w:r w:rsidR="00B82340" w:rsidRPr="001C35F3">
        <w:rPr>
          <w:rFonts w:ascii="Times New Roman" w:hAnsi="Times New Roman" w:cs="Times New Roman"/>
          <w:i/>
          <w:sz w:val="24"/>
          <w:szCs w:val="24"/>
          <w:lang w:val="en-US"/>
        </w:rPr>
        <w:t>)</w:t>
      </w:r>
      <w:r w:rsidRPr="00665F17">
        <w:rPr>
          <w:rFonts w:ascii="Times New Roman" w:hAnsi="Times New Roman" w:cs="Times New Roman"/>
          <w:iCs/>
          <w:sz w:val="24"/>
          <w:szCs w:val="24"/>
          <w:lang w:val="en-US"/>
        </w:rPr>
        <w:t>,</w:t>
      </w:r>
      <w:r w:rsidRPr="00665F17">
        <w:rPr>
          <w:rFonts w:ascii="Times New Roman" w:hAnsi="Times New Roman" w:cs="Times New Roman"/>
          <w:i/>
          <w:sz w:val="24"/>
          <w:szCs w:val="24"/>
          <w:lang w:val="en-US"/>
        </w:rPr>
        <w:t xml:space="preserve"> </w:t>
      </w:r>
      <w:r w:rsidRPr="00665F17">
        <w:rPr>
          <w:rFonts w:ascii="Times New Roman" w:hAnsi="Times New Roman" w:cs="Times New Roman"/>
          <w:sz w:val="24"/>
          <w:szCs w:val="24"/>
          <w:lang w:val="en-US"/>
        </w:rPr>
        <w:t>Judgment</w:t>
      </w:r>
      <w:r w:rsidR="008D3BB3"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16 </w:t>
      </w:r>
      <w:r w:rsidR="008D3BB3" w:rsidRPr="001C35F3">
        <w:rPr>
          <w:rFonts w:ascii="Times New Roman" w:hAnsi="Times New Roman" w:cs="Times New Roman"/>
          <w:sz w:val="24"/>
          <w:szCs w:val="24"/>
          <w:lang w:val="en-US"/>
        </w:rPr>
        <w:t>A</w:t>
      </w:r>
      <w:r w:rsidRPr="00665F17">
        <w:rPr>
          <w:rFonts w:ascii="Times New Roman" w:hAnsi="Times New Roman" w:cs="Times New Roman"/>
          <w:sz w:val="24"/>
          <w:szCs w:val="24"/>
          <w:lang w:val="en-US"/>
        </w:rPr>
        <w:t>pril 2013,</w:t>
      </w:r>
      <w:r w:rsidRPr="00665F17">
        <w:rPr>
          <w:rFonts w:ascii="Times New Roman" w:hAnsi="Times New Roman" w:cs="Times New Roman"/>
          <w:i/>
          <w:sz w:val="24"/>
          <w:szCs w:val="24"/>
          <w:lang w:val="en-US"/>
        </w:rPr>
        <w:t xml:space="preserve"> </w:t>
      </w:r>
      <w:r w:rsidR="00CE246B" w:rsidRPr="001C35F3">
        <w:rPr>
          <w:rFonts w:ascii="Times New Roman" w:hAnsi="Times New Roman" w:cs="Times New Roman"/>
          <w:sz w:val="24"/>
          <w:szCs w:val="24"/>
          <w:lang w:val="en-US"/>
        </w:rPr>
        <w:t>https://www.icj-cij.org/public/files/case-related/149/149-20130416-JUD-01-00-EN.pdf</w:t>
      </w:r>
      <w:r w:rsidRPr="00665F17">
        <w:rPr>
          <w:rFonts w:ascii="Times New Roman" w:hAnsi="Times New Roman" w:cs="Times New Roman"/>
          <w:sz w:val="24"/>
          <w:szCs w:val="24"/>
          <w:lang w:val="en-US"/>
        </w:rPr>
        <w:t>.</w:t>
      </w:r>
    </w:p>
  </w:endnote>
  <w:endnote w:id="16">
    <w:p w14:paraId="7E83D7B5" w14:textId="4A47A8D3" w:rsidR="001A62EE" w:rsidRPr="00665F17" w:rsidRDefault="001A62EE" w:rsidP="00B67B18">
      <w:pPr>
        <w:spacing w:line="480" w:lineRule="auto"/>
        <w:rPr>
          <w:rFonts w:ascii="Times New Roman" w:eastAsia="Times New Roman" w:hAnsi="Times New Roman" w:cs="Times New Roman"/>
          <w:sz w:val="24"/>
          <w:szCs w:val="24"/>
          <w:lang w:val="en-US" w:eastAsia="it-IT"/>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The separate opinion of </w:t>
      </w:r>
      <w:r w:rsidR="00ED5D7C" w:rsidRPr="001C35F3">
        <w:rPr>
          <w:rFonts w:ascii="Times New Roman" w:hAnsi="Times New Roman" w:cs="Times New Roman"/>
          <w:sz w:val="24"/>
          <w:szCs w:val="24"/>
          <w:lang w:val="en-US"/>
        </w:rPr>
        <w:t>J</w:t>
      </w:r>
      <w:r w:rsidRPr="00665F17">
        <w:rPr>
          <w:rFonts w:ascii="Times New Roman" w:hAnsi="Times New Roman" w:cs="Times New Roman"/>
          <w:sz w:val="24"/>
          <w:szCs w:val="24"/>
          <w:lang w:val="en-US"/>
        </w:rPr>
        <w:t>udge Can</w:t>
      </w:r>
      <w:r w:rsidR="008352D1" w:rsidRPr="001C35F3">
        <w:rPr>
          <w:rFonts w:ascii="Times New Roman" w:hAnsi="Times New Roman" w:cs="Times New Roman"/>
          <w:sz w:val="24"/>
          <w:szCs w:val="24"/>
          <w:lang w:val="en-US"/>
        </w:rPr>
        <w:t>ç</w:t>
      </w:r>
      <w:r w:rsidRPr="00665F17">
        <w:rPr>
          <w:rFonts w:ascii="Times New Roman" w:hAnsi="Times New Roman" w:cs="Times New Roman"/>
          <w:sz w:val="24"/>
          <w:szCs w:val="24"/>
          <w:lang w:val="en-US"/>
        </w:rPr>
        <w:t>ado Trindade</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expressly recognizes that</w:t>
      </w:r>
      <w:r w:rsidR="008352D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Pr="00665F17">
        <w:rPr>
          <w:rFonts w:ascii="Times New Roman" w:eastAsia="Times New Roman" w:hAnsi="Times New Roman" w:cs="Times New Roman"/>
          <w:sz w:val="24"/>
          <w:szCs w:val="24"/>
          <w:lang w:val="en-US" w:eastAsia="it-IT"/>
        </w:rPr>
        <w:t>Cultural and spiritual heritage appears more closely related to a</w:t>
      </w:r>
      <w:r w:rsidR="00023A42" w:rsidRPr="00665F17">
        <w:rPr>
          <w:rFonts w:ascii="Times New Roman" w:eastAsia="Times New Roman" w:hAnsi="Times New Roman" w:cs="Times New Roman"/>
          <w:sz w:val="24"/>
          <w:szCs w:val="24"/>
          <w:lang w:val="en-US" w:eastAsia="it-IT"/>
        </w:rPr>
        <w:t xml:space="preserve"> </w:t>
      </w:r>
      <w:r w:rsidRPr="00665F17">
        <w:rPr>
          <w:rFonts w:ascii="Times New Roman" w:eastAsia="Times New Roman" w:hAnsi="Times New Roman" w:cs="Times New Roman"/>
          <w:sz w:val="24"/>
          <w:szCs w:val="24"/>
          <w:lang w:val="en-US" w:eastAsia="it-IT"/>
        </w:rPr>
        <w:t>human context rather than to the traditional State-centric context; it appears to transcend the purely inter-State dimension, that the Court is used to</w:t>
      </w:r>
      <w:r w:rsidR="002616D1" w:rsidRPr="001C35F3">
        <w:rPr>
          <w:rFonts w:ascii="Times New Roman" w:eastAsia="Times New Roman" w:hAnsi="Times New Roman" w:cs="Times New Roman"/>
          <w:sz w:val="24"/>
          <w:szCs w:val="24"/>
          <w:lang w:val="en-US" w:eastAsia="it-IT"/>
        </w:rPr>
        <w:t>.</w:t>
      </w:r>
      <w:r w:rsidR="00EB72A4" w:rsidRPr="00665F17">
        <w:rPr>
          <w:rFonts w:ascii="Times New Roman" w:eastAsia="Times New Roman" w:hAnsi="Times New Roman" w:cs="Times New Roman"/>
          <w:sz w:val="24"/>
          <w:szCs w:val="24"/>
          <w:lang w:val="en-US" w:eastAsia="it-IT"/>
        </w:rPr>
        <w:t>”</w:t>
      </w:r>
      <w:r w:rsidR="002616D1" w:rsidRPr="001C35F3">
        <w:rPr>
          <w:rFonts w:ascii="Times New Roman" w:eastAsia="Times New Roman" w:hAnsi="Times New Roman" w:cs="Times New Roman"/>
          <w:sz w:val="24"/>
          <w:szCs w:val="24"/>
          <w:lang w:val="en-US" w:eastAsia="it-IT"/>
        </w:rPr>
        <w:t xml:space="preserve"> See </w:t>
      </w:r>
      <w:r w:rsidR="002616D1" w:rsidRPr="001C35F3">
        <w:rPr>
          <w:rFonts w:ascii="Times New Roman" w:hAnsi="Times New Roman" w:cs="Times New Roman"/>
          <w:sz w:val="24"/>
          <w:szCs w:val="24"/>
          <w:lang w:val="en-US"/>
        </w:rPr>
        <w:t xml:space="preserve">ICJ, </w:t>
      </w:r>
      <w:r w:rsidR="002616D1" w:rsidRPr="001C35F3">
        <w:rPr>
          <w:rFonts w:ascii="Times New Roman" w:hAnsi="Times New Roman" w:cs="Times New Roman"/>
          <w:i/>
          <w:sz w:val="24"/>
          <w:szCs w:val="24"/>
          <w:lang w:val="en-US"/>
        </w:rPr>
        <w:t>Frontier Dispute</w:t>
      </w:r>
      <w:r w:rsidR="002616D1" w:rsidRPr="001C35F3">
        <w:rPr>
          <w:rFonts w:ascii="Times New Roman" w:hAnsi="Times New Roman" w:cs="Times New Roman"/>
          <w:iCs/>
          <w:sz w:val="24"/>
          <w:szCs w:val="24"/>
          <w:lang w:val="en-US"/>
        </w:rPr>
        <w:t xml:space="preserve">, Judgment, </w:t>
      </w:r>
      <w:r w:rsidR="002616D1" w:rsidRPr="001C35F3">
        <w:rPr>
          <w:rFonts w:ascii="Times New Roman" w:hAnsi="Times New Roman" w:cs="Times New Roman"/>
          <w:sz w:val="24"/>
          <w:szCs w:val="24"/>
          <w:lang w:val="en-US"/>
        </w:rPr>
        <w:t xml:space="preserve">16 April 2013, </w:t>
      </w:r>
      <w:r w:rsidR="002616D1" w:rsidRPr="001C35F3">
        <w:rPr>
          <w:rFonts w:ascii="Times New Roman" w:hAnsi="Times New Roman" w:cs="Times New Roman"/>
          <w:iCs/>
          <w:sz w:val="24"/>
          <w:szCs w:val="24"/>
          <w:lang w:val="en-US"/>
        </w:rPr>
        <w:t>Separate Dissenting Opinion of Judge Cançado Trindade,</w:t>
      </w:r>
      <w:r w:rsidRPr="00665F17">
        <w:rPr>
          <w:rFonts w:ascii="Times New Roman" w:eastAsia="Times New Roman" w:hAnsi="Times New Roman" w:cs="Times New Roman"/>
          <w:sz w:val="24"/>
          <w:szCs w:val="24"/>
          <w:lang w:val="en-US" w:eastAsia="it-IT"/>
        </w:rPr>
        <w:t xml:space="preserve"> para. 91</w:t>
      </w:r>
      <w:r w:rsidR="002616D1" w:rsidRPr="001C35F3">
        <w:rPr>
          <w:rFonts w:ascii="Times New Roman" w:eastAsia="Times New Roman" w:hAnsi="Times New Roman" w:cs="Times New Roman"/>
          <w:sz w:val="24"/>
          <w:szCs w:val="24"/>
          <w:lang w:val="en-US" w:eastAsia="it-IT"/>
        </w:rPr>
        <w:t>,</w:t>
      </w:r>
      <w:r w:rsidR="002616D1" w:rsidRPr="00665F17">
        <w:rPr>
          <w:rFonts w:ascii="Times New Roman" w:hAnsi="Times New Roman" w:cs="Times New Roman"/>
          <w:sz w:val="24"/>
          <w:szCs w:val="24"/>
          <w:lang w:val="en-US"/>
        </w:rPr>
        <w:t xml:space="preserve"> </w:t>
      </w:r>
      <w:r w:rsidR="002616D1" w:rsidRPr="001C35F3">
        <w:rPr>
          <w:rFonts w:ascii="Times New Roman" w:eastAsia="Times New Roman" w:hAnsi="Times New Roman" w:cs="Times New Roman"/>
          <w:sz w:val="24"/>
          <w:szCs w:val="24"/>
          <w:lang w:val="en-US" w:eastAsia="it-IT"/>
        </w:rPr>
        <w:t>https://www.icj-cij.org/public/files/case-related/149/149-20130416-JUD-01-02-EN.pdf</w:t>
      </w:r>
      <w:r w:rsidRPr="00665F17">
        <w:rPr>
          <w:rFonts w:ascii="Times New Roman" w:eastAsia="Times New Roman" w:hAnsi="Times New Roman" w:cs="Times New Roman"/>
          <w:sz w:val="24"/>
          <w:szCs w:val="24"/>
          <w:lang w:val="en-US" w:eastAsia="it-IT"/>
        </w:rPr>
        <w:t xml:space="preserve">. </w:t>
      </w:r>
      <w:r w:rsidRPr="00665F17">
        <w:rPr>
          <w:rFonts w:ascii="Times New Roman" w:hAnsi="Times New Roman" w:cs="Times New Roman"/>
          <w:sz w:val="24"/>
          <w:szCs w:val="24"/>
          <w:lang w:val="en-US"/>
        </w:rPr>
        <w:t xml:space="preserve">The declaration by judge Bennouna contains the following statement: “the frontier, as predicated </w:t>
      </w:r>
      <w:r w:rsidR="00D24A6E" w:rsidRPr="001C35F3">
        <w:rPr>
          <w:rFonts w:ascii="Times New Roman" w:hAnsi="Times New Roman" w:cs="Times New Roman"/>
          <w:sz w:val="24"/>
          <w:szCs w:val="24"/>
          <w:lang w:val="en-US"/>
        </w:rPr>
        <w:t>on</w:t>
      </w:r>
      <w:r w:rsidR="00D24A6E"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the Wes</w:t>
      </w:r>
      <w:r w:rsidR="00B63E86" w:rsidRPr="001C35F3">
        <w:rPr>
          <w:rFonts w:ascii="Times New Roman" w:hAnsi="Times New Roman" w:cs="Times New Roman"/>
          <w:sz w:val="24"/>
          <w:szCs w:val="24"/>
          <w:lang w:val="en-US"/>
        </w:rPr>
        <w:t>t</w:t>
      </w:r>
      <w:r w:rsidRPr="00665F17">
        <w:rPr>
          <w:rFonts w:ascii="Times New Roman" w:hAnsi="Times New Roman" w:cs="Times New Roman"/>
          <w:sz w:val="24"/>
          <w:szCs w:val="24"/>
          <w:lang w:val="en-US"/>
        </w:rPr>
        <w:t>phalian model, is far removed from the cultural heritage of this region of the world</w:t>
      </w:r>
      <w:r w:rsidR="00EB72A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and then he added “it is for the Parties to rediscover this heritage by deepening, as encouraged by the Court, their cooperation</w:t>
      </w:r>
      <w:r w:rsidR="00084914" w:rsidRPr="00665F17">
        <w:rPr>
          <w:rFonts w:ascii="Times New Roman" w:hAnsi="Times New Roman" w:cs="Times New Roman"/>
          <w:sz w:val="24"/>
          <w:szCs w:val="24"/>
          <w:lang w:val="en-US"/>
        </w:rPr>
        <w:t>.”</w:t>
      </w:r>
      <w:r w:rsidR="005A1385" w:rsidRPr="001C35F3">
        <w:rPr>
          <w:rFonts w:ascii="Times New Roman" w:hAnsi="Times New Roman" w:cs="Times New Roman"/>
          <w:sz w:val="24"/>
          <w:szCs w:val="24"/>
          <w:lang w:val="en-US"/>
        </w:rPr>
        <w:t xml:space="preserve"> See </w:t>
      </w:r>
      <w:r w:rsidR="00D24A6E" w:rsidRPr="001C35F3">
        <w:rPr>
          <w:rFonts w:ascii="Times New Roman" w:hAnsi="Times New Roman" w:cs="Times New Roman"/>
          <w:i/>
          <w:sz w:val="24"/>
          <w:szCs w:val="24"/>
          <w:lang w:val="en-US"/>
        </w:rPr>
        <w:t>Frontier Dispute</w:t>
      </w:r>
      <w:r w:rsidR="00D24A6E" w:rsidRPr="001C35F3">
        <w:rPr>
          <w:rFonts w:ascii="Times New Roman" w:hAnsi="Times New Roman" w:cs="Times New Roman"/>
          <w:iCs/>
          <w:sz w:val="24"/>
          <w:szCs w:val="24"/>
          <w:lang w:val="en-US"/>
        </w:rPr>
        <w:t xml:space="preserve">, Judgment, </w:t>
      </w:r>
      <w:r w:rsidR="00D24A6E" w:rsidRPr="001C35F3">
        <w:rPr>
          <w:rFonts w:ascii="Times New Roman" w:hAnsi="Times New Roman" w:cs="Times New Roman"/>
          <w:sz w:val="24"/>
          <w:szCs w:val="24"/>
          <w:lang w:val="en-US"/>
        </w:rPr>
        <w:t>16 April 2013, Declaration of Judge Bennouna, 56, https://www.icj-cij.org/public/files/case-related/149/149-20130416-JUD-01-01-EN.pdf.</w:t>
      </w:r>
    </w:p>
  </w:endnote>
  <w:endnote w:id="17">
    <w:p w14:paraId="56FBAAB7" w14:textId="68B68615"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F778FF" w:rsidRPr="001C35F3">
        <w:rPr>
          <w:rFonts w:ascii="Times New Roman" w:hAnsi="Times New Roman" w:cs="Times New Roman"/>
          <w:bCs/>
          <w:sz w:val="24"/>
          <w:szCs w:val="24"/>
          <w:lang w:val="en-US"/>
        </w:rPr>
        <w:t>Eritrea–Ethiopia Claims Commission,</w:t>
      </w:r>
      <w:r w:rsidR="00F778FF" w:rsidRPr="001C35F3">
        <w:rPr>
          <w:rFonts w:ascii="Times New Roman" w:hAnsi="Times New Roman" w:cs="Times New Roman"/>
          <w:sz w:val="24"/>
          <w:szCs w:val="24"/>
          <w:lang w:val="en-US"/>
        </w:rPr>
        <w:t xml:space="preserve"> </w:t>
      </w:r>
      <w:r w:rsidR="005B1089"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Partial Award</w:t>
      </w:r>
      <w:r w:rsidR="00B21F18"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Central Front</w:t>
      </w:r>
      <w:r w:rsidR="005B1089"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Eritrea </w:t>
      </w:r>
      <w:r w:rsidR="005B1089" w:rsidRPr="001C35F3">
        <w:rPr>
          <w:rFonts w:ascii="Times New Roman" w:hAnsi="Times New Roman" w:cs="Times New Roman"/>
          <w:sz w:val="24"/>
          <w:szCs w:val="24"/>
          <w:lang w:val="en-US"/>
        </w:rPr>
        <w:t>C</w:t>
      </w:r>
      <w:r w:rsidRPr="00665F17">
        <w:rPr>
          <w:rFonts w:ascii="Times New Roman" w:hAnsi="Times New Roman" w:cs="Times New Roman"/>
          <w:sz w:val="24"/>
          <w:szCs w:val="24"/>
          <w:lang w:val="en-US"/>
        </w:rPr>
        <w:t>laim</w:t>
      </w:r>
      <w:r w:rsidR="005B1089" w:rsidRPr="001C35F3">
        <w:rPr>
          <w:rFonts w:ascii="Times New Roman" w:hAnsi="Times New Roman" w:cs="Times New Roman"/>
          <w:sz w:val="24"/>
          <w:szCs w:val="24"/>
          <w:lang w:val="en-US"/>
        </w:rPr>
        <w:t>s</w:t>
      </w:r>
      <w:r w:rsidR="005B1089" w:rsidRPr="00665F17">
        <w:rPr>
          <w:rFonts w:ascii="Times New Roman" w:hAnsi="Times New Roman" w:cs="Times New Roman"/>
          <w:sz w:val="24"/>
          <w:szCs w:val="24"/>
          <w:lang w:val="en-US"/>
        </w:rPr>
        <w:t xml:space="preserve"> </w:t>
      </w:r>
      <w:r w:rsidR="005B1089" w:rsidRPr="001C35F3">
        <w:rPr>
          <w:rFonts w:ascii="Times New Roman" w:hAnsi="Times New Roman" w:cs="Times New Roman"/>
          <w:sz w:val="24"/>
          <w:szCs w:val="24"/>
          <w:lang w:val="en-US"/>
        </w:rPr>
        <w:t>2, 4, 6, 7, 8 &amp; 22</w:t>
      </w:r>
      <w:r w:rsidRPr="00665F17">
        <w:rPr>
          <w:rFonts w:ascii="Times New Roman" w:hAnsi="Times New Roman" w:cs="Times New Roman"/>
          <w:sz w:val="24"/>
          <w:szCs w:val="24"/>
          <w:lang w:val="en-US"/>
        </w:rPr>
        <w:t>,</w:t>
      </w:r>
      <w:r w:rsidR="005B1089"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28 April 2004, para. 113</w:t>
      </w:r>
      <w:r w:rsidR="005B1089" w:rsidRPr="001C35F3">
        <w:rPr>
          <w:rFonts w:ascii="Times New Roman" w:hAnsi="Times New Roman" w:cs="Times New Roman"/>
          <w:sz w:val="24"/>
          <w:szCs w:val="24"/>
          <w:lang w:val="en-US"/>
        </w:rPr>
        <w:t>, https://legal.un.org/riaa/cases/vol_XXVI/115-153.pdf</w:t>
      </w:r>
      <w:r w:rsidRPr="00665F17">
        <w:rPr>
          <w:rFonts w:ascii="Times New Roman" w:hAnsi="Times New Roman" w:cs="Times New Roman"/>
          <w:sz w:val="24"/>
          <w:szCs w:val="24"/>
          <w:lang w:val="en-US"/>
        </w:rPr>
        <w:t>.</w:t>
      </w:r>
    </w:p>
  </w:endnote>
  <w:endnote w:id="18">
    <w:p w14:paraId="55C96890" w14:textId="6DEA03E3"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See Francioni and Lenzerini, “Destruction of the Buddhas</w:t>
      </w:r>
      <w:r w:rsidR="009C34F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and “The Obligation to Protect and</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Avoid Destruction of Cultural Heritage: </w:t>
      </w:r>
      <w:r w:rsidR="007649CD" w:rsidRPr="001C35F3">
        <w:rPr>
          <w:rFonts w:ascii="Times New Roman" w:hAnsi="Times New Roman" w:cs="Times New Roman"/>
          <w:sz w:val="24"/>
          <w:szCs w:val="24"/>
          <w:lang w:val="en-US"/>
        </w:rPr>
        <w:t>F</w:t>
      </w:r>
      <w:r w:rsidRPr="00665F17">
        <w:rPr>
          <w:rFonts w:ascii="Times New Roman" w:hAnsi="Times New Roman" w:cs="Times New Roman"/>
          <w:sz w:val="24"/>
          <w:szCs w:val="24"/>
          <w:lang w:val="en-US"/>
        </w:rPr>
        <w:t>rom Bam</w:t>
      </w:r>
      <w:r w:rsidR="00B21F18" w:rsidRPr="001C35F3">
        <w:rPr>
          <w:rFonts w:ascii="Times New Roman" w:hAnsi="Times New Roman" w:cs="Times New Roman"/>
          <w:sz w:val="24"/>
          <w:szCs w:val="24"/>
          <w:lang w:val="en-US"/>
        </w:rPr>
        <w:t>iy</w:t>
      </w:r>
      <w:r w:rsidRPr="00665F17">
        <w:rPr>
          <w:rFonts w:ascii="Times New Roman" w:hAnsi="Times New Roman" w:cs="Times New Roman"/>
          <w:sz w:val="24"/>
          <w:szCs w:val="24"/>
          <w:lang w:val="en-US"/>
        </w:rPr>
        <w:t>an to Iraq</w:t>
      </w:r>
      <w:r w:rsidR="00EB72A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Art and Cultural Heritage</w:t>
      </w:r>
      <w:r w:rsidR="00B51CCA"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Law, Policy and Practice</w:t>
      </w:r>
      <w:r w:rsidR="00B51CCA" w:rsidRPr="001C35F3">
        <w:rPr>
          <w:rFonts w:ascii="Times New Roman" w:hAnsi="Times New Roman" w:cs="Times New Roman"/>
          <w:sz w:val="24"/>
          <w:szCs w:val="24"/>
          <w:lang w:val="en-US"/>
        </w:rPr>
        <w:t xml:space="preserve">, ed. </w:t>
      </w:r>
      <w:r w:rsidRPr="00665F17">
        <w:rPr>
          <w:rFonts w:ascii="Times New Roman" w:hAnsi="Times New Roman" w:cs="Times New Roman"/>
          <w:sz w:val="24"/>
          <w:szCs w:val="24"/>
          <w:lang w:val="en-US"/>
        </w:rPr>
        <w:t>B</w:t>
      </w:r>
      <w:r w:rsidR="008B6170" w:rsidRPr="001C35F3">
        <w:rPr>
          <w:rFonts w:ascii="Times New Roman" w:hAnsi="Times New Roman" w:cs="Times New Roman"/>
          <w:sz w:val="24"/>
          <w:szCs w:val="24"/>
          <w:lang w:val="en-US"/>
        </w:rPr>
        <w:t>arbara</w:t>
      </w:r>
      <w:r w:rsidRPr="00665F17">
        <w:rPr>
          <w:rFonts w:ascii="Times New Roman" w:hAnsi="Times New Roman" w:cs="Times New Roman"/>
          <w:sz w:val="24"/>
          <w:szCs w:val="24"/>
          <w:lang w:val="en-US"/>
        </w:rPr>
        <w:t xml:space="preserve"> Hoffman </w:t>
      </w:r>
      <w:r w:rsidR="00B51CCA" w:rsidRPr="001C35F3">
        <w:rPr>
          <w:rFonts w:ascii="Times New Roman" w:hAnsi="Times New Roman" w:cs="Times New Roman"/>
          <w:sz w:val="24"/>
          <w:szCs w:val="24"/>
          <w:lang w:val="en-US"/>
        </w:rPr>
        <w:t>(</w:t>
      </w:r>
      <w:r w:rsidR="008B6170" w:rsidRPr="001C35F3">
        <w:rPr>
          <w:rFonts w:ascii="Times New Roman" w:hAnsi="Times New Roman" w:cs="Times New Roman"/>
          <w:sz w:val="24"/>
          <w:szCs w:val="24"/>
          <w:lang w:val="en-US"/>
        </w:rPr>
        <w:t xml:space="preserve">Cambridge: </w:t>
      </w:r>
      <w:r w:rsidRPr="00665F17">
        <w:rPr>
          <w:rFonts w:ascii="Times New Roman" w:hAnsi="Times New Roman" w:cs="Times New Roman"/>
          <w:sz w:val="24"/>
          <w:szCs w:val="24"/>
          <w:lang w:val="en-US"/>
        </w:rPr>
        <w:t>Cambridge</w:t>
      </w:r>
      <w:r w:rsidR="008B6170" w:rsidRPr="001C35F3">
        <w:rPr>
          <w:rFonts w:ascii="Times New Roman" w:hAnsi="Times New Roman" w:cs="Times New Roman"/>
          <w:sz w:val="24"/>
          <w:szCs w:val="24"/>
          <w:lang w:val="en-US"/>
        </w:rPr>
        <w:t xml:space="preserve"> University Press</w:t>
      </w:r>
      <w:r w:rsidRPr="00665F17">
        <w:rPr>
          <w:rFonts w:ascii="Times New Roman" w:hAnsi="Times New Roman" w:cs="Times New Roman"/>
          <w:sz w:val="24"/>
          <w:szCs w:val="24"/>
          <w:lang w:val="en-US"/>
        </w:rPr>
        <w:t>, 2006</w:t>
      </w:r>
      <w:r w:rsidR="00372F46"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28.</w:t>
      </w:r>
    </w:p>
  </w:endnote>
  <w:endnote w:id="19">
    <w:p w14:paraId="56042ABC" w14:textId="397FC96B" w:rsidR="001A62EE" w:rsidRPr="00665F17" w:rsidRDefault="001A62EE">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F72701" w:rsidRPr="001C35F3">
        <w:rPr>
          <w:rFonts w:ascii="Times New Roman" w:hAnsi="Times New Roman" w:cs="Times New Roman"/>
          <w:sz w:val="24"/>
          <w:szCs w:val="24"/>
          <w:lang w:val="en-US"/>
        </w:rPr>
        <w:t xml:space="preserve">For the text of the document see </w:t>
      </w:r>
      <w:r w:rsidR="00471D4B" w:rsidRPr="001C35F3">
        <w:rPr>
          <w:rFonts w:ascii="Times New Roman" w:hAnsi="Times New Roman" w:cs="Times New Roman"/>
          <w:sz w:val="24"/>
          <w:szCs w:val="24"/>
          <w:lang w:val="en-US"/>
        </w:rPr>
        <w:t xml:space="preserve">UNESCO, </w:t>
      </w:r>
      <w:r w:rsidR="00F72701" w:rsidRPr="001C35F3">
        <w:rPr>
          <w:rFonts w:ascii="Times New Roman" w:hAnsi="Times New Roman" w:cs="Times New Roman"/>
          <w:sz w:val="24"/>
          <w:szCs w:val="24"/>
          <w:lang w:val="en-US"/>
        </w:rPr>
        <w:t>http://portal.unesco.org/en/ev.php-URL_ID=17718&amp;URL_DO=DO_TOPIC&amp;URL_SECTION=201.html.</w:t>
      </w:r>
    </w:p>
  </w:endnote>
  <w:endnote w:id="20">
    <w:p w14:paraId="171BEFD2" w14:textId="0F4865B2"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885057" w:rsidRPr="00665F17">
        <w:rPr>
          <w:rFonts w:ascii="Times New Roman" w:hAnsi="Times New Roman" w:cs="Times New Roman"/>
          <w:iCs/>
          <w:sz w:val="24"/>
          <w:szCs w:val="24"/>
          <w:lang w:val="en-US"/>
        </w:rPr>
        <w:t>ICTY,</w:t>
      </w:r>
      <w:r w:rsidR="00885057" w:rsidRPr="001C35F3">
        <w:rPr>
          <w:rFonts w:ascii="Times New Roman" w:hAnsi="Times New Roman" w:cs="Times New Roman"/>
          <w:i/>
          <w:sz w:val="24"/>
          <w:szCs w:val="24"/>
          <w:lang w:val="en-US"/>
        </w:rPr>
        <w:t xml:space="preserve"> </w:t>
      </w:r>
      <w:r w:rsidRPr="00665F17">
        <w:rPr>
          <w:rFonts w:ascii="Times New Roman" w:hAnsi="Times New Roman" w:cs="Times New Roman"/>
          <w:i/>
          <w:sz w:val="24"/>
          <w:szCs w:val="24"/>
          <w:lang w:val="en-US"/>
        </w:rPr>
        <w:t>Tadi</w:t>
      </w:r>
      <w:r w:rsidR="00342784" w:rsidRPr="001C35F3">
        <w:rPr>
          <w:rFonts w:ascii="Times New Roman" w:hAnsi="Times New Roman" w:cs="Times New Roman"/>
          <w:i/>
          <w:sz w:val="24"/>
          <w:szCs w:val="24"/>
          <w:lang w:val="en-US"/>
        </w:rPr>
        <w:t>ć</w:t>
      </w:r>
      <w:r w:rsidRPr="00665F17">
        <w:rPr>
          <w:rFonts w:ascii="Times New Roman" w:hAnsi="Times New Roman" w:cs="Times New Roman"/>
          <w:iCs/>
          <w:sz w:val="24"/>
          <w:szCs w:val="24"/>
          <w:lang w:val="en-US"/>
        </w:rPr>
        <w:t xml:space="preserve">, </w:t>
      </w:r>
      <w:r w:rsidR="00D96B68" w:rsidRPr="001C35F3">
        <w:rPr>
          <w:rFonts w:ascii="Times New Roman" w:hAnsi="Times New Roman" w:cs="Times New Roman"/>
          <w:sz w:val="24"/>
          <w:szCs w:val="24"/>
          <w:lang w:val="en-US"/>
        </w:rPr>
        <w:t xml:space="preserve">case no. IT-94-1-T, </w:t>
      </w:r>
      <w:r w:rsidR="00342784" w:rsidRPr="001C35F3">
        <w:rPr>
          <w:rFonts w:ascii="Times New Roman" w:hAnsi="Times New Roman" w:cs="Times New Roman"/>
          <w:sz w:val="24"/>
          <w:szCs w:val="24"/>
          <w:lang w:val="en-US"/>
        </w:rPr>
        <w:t>Decision on the Defence Motion for Interlocutory Appeal on Jurisdiction</w:t>
      </w:r>
      <w:r w:rsidRPr="00665F17">
        <w:rPr>
          <w:rFonts w:ascii="Times New Roman" w:hAnsi="Times New Roman" w:cs="Times New Roman"/>
          <w:sz w:val="24"/>
          <w:szCs w:val="24"/>
          <w:lang w:val="en-US"/>
        </w:rPr>
        <w:t>, 2 October 1995, para. 98 (e</w:t>
      </w:r>
      <w:r w:rsidR="00D7723A" w:rsidRPr="001C35F3">
        <w:rPr>
          <w:rFonts w:ascii="Times New Roman" w:hAnsi="Times New Roman" w:cs="Times New Roman"/>
          <w:sz w:val="24"/>
          <w:szCs w:val="24"/>
          <w:lang w:val="en-US"/>
        </w:rPr>
        <w:t>m</w:t>
      </w:r>
      <w:r w:rsidRPr="00665F17">
        <w:rPr>
          <w:rFonts w:ascii="Times New Roman" w:hAnsi="Times New Roman" w:cs="Times New Roman"/>
          <w:sz w:val="24"/>
          <w:szCs w:val="24"/>
          <w:lang w:val="en-US"/>
        </w:rPr>
        <w:t>phasis added)</w:t>
      </w:r>
      <w:r w:rsidR="00342784" w:rsidRPr="001C35F3">
        <w:rPr>
          <w:rFonts w:ascii="Times New Roman" w:hAnsi="Times New Roman" w:cs="Times New Roman"/>
          <w:sz w:val="24"/>
          <w:szCs w:val="24"/>
          <w:lang w:val="en-US"/>
        </w:rPr>
        <w:t>, https://www.icty.org/x/cases/tadic/acdec/en/51002.htm</w:t>
      </w:r>
      <w:r w:rsidRPr="00665F17">
        <w:rPr>
          <w:rFonts w:ascii="Times New Roman" w:hAnsi="Times New Roman" w:cs="Times New Roman"/>
          <w:sz w:val="24"/>
          <w:szCs w:val="24"/>
          <w:lang w:val="en-US"/>
        </w:rPr>
        <w:t>.</w:t>
      </w:r>
    </w:p>
  </w:endnote>
  <w:endnote w:id="21">
    <w:p w14:paraId="1D71EC3F" w14:textId="0D1F4248"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7554E1" w:rsidRPr="001C35F3">
        <w:rPr>
          <w:rFonts w:ascii="Times New Roman" w:hAnsi="Times New Roman" w:cs="Times New Roman"/>
          <w:sz w:val="24"/>
          <w:szCs w:val="24"/>
          <w:lang w:val="en-US"/>
        </w:rPr>
        <w:t>UN S</w:t>
      </w:r>
      <w:r w:rsidR="00472F04" w:rsidRPr="001C35F3">
        <w:rPr>
          <w:rFonts w:ascii="Times New Roman" w:hAnsi="Times New Roman" w:cs="Times New Roman"/>
          <w:sz w:val="24"/>
          <w:szCs w:val="24"/>
          <w:lang w:val="en-US"/>
        </w:rPr>
        <w:t>e</w:t>
      </w:r>
      <w:r w:rsidR="007554E1" w:rsidRPr="001C35F3">
        <w:rPr>
          <w:rFonts w:ascii="Times New Roman" w:hAnsi="Times New Roman" w:cs="Times New Roman"/>
          <w:sz w:val="24"/>
          <w:szCs w:val="24"/>
          <w:lang w:val="en-US"/>
        </w:rPr>
        <w:t xml:space="preserve">cretary-General, “Secretary-General’s Bulletin: </w:t>
      </w:r>
      <w:r w:rsidRPr="00665F17">
        <w:rPr>
          <w:rFonts w:ascii="Times New Roman" w:hAnsi="Times New Roman" w:cs="Times New Roman"/>
          <w:sz w:val="24"/>
          <w:szCs w:val="24"/>
          <w:lang w:val="en-US"/>
        </w:rPr>
        <w:t>Observance by United Nations Forces of International Humanitarian Law</w:t>
      </w:r>
      <w:r w:rsidRPr="00665F17">
        <w:rPr>
          <w:rFonts w:ascii="Times New Roman" w:hAnsi="Times New Roman" w:cs="Times New Roman"/>
          <w:iCs/>
          <w:sz w:val="24"/>
          <w:szCs w:val="24"/>
          <w:lang w:val="en-US"/>
        </w:rPr>
        <w:t>,</w:t>
      </w:r>
      <w:r w:rsidR="007554E1" w:rsidRPr="001C35F3">
        <w:rPr>
          <w:rFonts w:ascii="Times New Roman" w:hAnsi="Times New Roman" w:cs="Times New Roman"/>
          <w:iCs/>
          <w:sz w:val="24"/>
          <w:szCs w:val="24"/>
          <w:lang w:val="en-US"/>
        </w:rPr>
        <w:t>”</w:t>
      </w:r>
      <w:r w:rsidRPr="00665F17">
        <w:rPr>
          <w:rFonts w:ascii="Times New Roman" w:hAnsi="Times New Roman" w:cs="Times New Roman"/>
          <w:iCs/>
          <w:sz w:val="24"/>
          <w:szCs w:val="24"/>
          <w:lang w:val="en-US"/>
        </w:rPr>
        <w:t xml:space="preserve"> </w:t>
      </w:r>
      <w:r w:rsidRPr="00665F17">
        <w:rPr>
          <w:rFonts w:ascii="Times New Roman" w:hAnsi="Times New Roman" w:cs="Times New Roman"/>
          <w:sz w:val="24"/>
          <w:szCs w:val="24"/>
          <w:lang w:val="en-US"/>
        </w:rPr>
        <w:t xml:space="preserve">UN </w:t>
      </w:r>
      <w:r w:rsidR="007554E1" w:rsidRPr="001C35F3">
        <w:rPr>
          <w:rFonts w:ascii="Times New Roman" w:hAnsi="Times New Roman" w:cs="Times New Roman"/>
          <w:sz w:val="24"/>
          <w:szCs w:val="24"/>
          <w:lang w:val="en-US"/>
        </w:rPr>
        <w:t>d</w:t>
      </w:r>
      <w:r w:rsidRPr="00665F17">
        <w:rPr>
          <w:rFonts w:ascii="Times New Roman" w:hAnsi="Times New Roman" w:cs="Times New Roman"/>
          <w:sz w:val="24"/>
          <w:szCs w:val="24"/>
          <w:lang w:val="en-US"/>
        </w:rPr>
        <w:t xml:space="preserve">oc. ST/SGB/1999/13, </w:t>
      </w:r>
      <w:r w:rsidR="007554E1" w:rsidRPr="001C35F3">
        <w:rPr>
          <w:rFonts w:ascii="Times New Roman" w:hAnsi="Times New Roman" w:cs="Times New Roman"/>
          <w:sz w:val="24"/>
          <w:szCs w:val="24"/>
          <w:lang w:val="en-US"/>
        </w:rPr>
        <w:t>6</w:t>
      </w:r>
      <w:r w:rsidRPr="00665F17">
        <w:rPr>
          <w:rFonts w:ascii="Times New Roman" w:hAnsi="Times New Roman" w:cs="Times New Roman"/>
          <w:sz w:val="24"/>
          <w:szCs w:val="24"/>
          <w:lang w:val="en-US"/>
        </w:rPr>
        <w:t xml:space="preserve"> August 1999, para. 6.6.</w:t>
      </w:r>
    </w:p>
  </w:endnote>
  <w:endnote w:id="22">
    <w:p w14:paraId="39B6DEBD" w14:textId="7409FCA5"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F7126F" w:rsidRPr="001C35F3">
        <w:rPr>
          <w:rFonts w:ascii="Times New Roman" w:hAnsi="Times New Roman" w:cs="Times New Roman"/>
          <w:sz w:val="24"/>
          <w:szCs w:val="24"/>
          <w:lang w:val="en-US"/>
        </w:rPr>
        <w:t>UN General Assembly, “Saving the Cultural Heritage of Iraq,”</w:t>
      </w:r>
      <w:r w:rsidR="00D03280" w:rsidRPr="001C35F3">
        <w:rPr>
          <w:rFonts w:ascii="Times New Roman" w:hAnsi="Times New Roman" w:cs="Times New Roman"/>
          <w:sz w:val="24"/>
          <w:szCs w:val="24"/>
          <w:lang w:val="en-US"/>
        </w:rPr>
        <w:t xml:space="preserve"> </w:t>
      </w:r>
      <w:r w:rsidR="00F7126F" w:rsidRPr="001C35F3">
        <w:rPr>
          <w:rFonts w:ascii="Times New Roman" w:hAnsi="Times New Roman" w:cs="Times New Roman"/>
          <w:sz w:val="24"/>
          <w:szCs w:val="24"/>
          <w:lang w:val="en-US"/>
        </w:rPr>
        <w:t>UN doc. A/RES/</w:t>
      </w:r>
      <w:r w:rsidRPr="00665F17">
        <w:rPr>
          <w:rFonts w:ascii="Times New Roman" w:hAnsi="Times New Roman" w:cs="Times New Roman"/>
          <w:sz w:val="24"/>
          <w:szCs w:val="24"/>
          <w:lang w:val="en-US"/>
        </w:rPr>
        <w:t xml:space="preserve">69/281, </w:t>
      </w:r>
      <w:r w:rsidR="00F7126F" w:rsidRPr="001C35F3">
        <w:rPr>
          <w:rFonts w:ascii="Times New Roman" w:hAnsi="Times New Roman" w:cs="Times New Roman"/>
          <w:sz w:val="24"/>
          <w:szCs w:val="24"/>
          <w:lang w:val="en-US"/>
        </w:rPr>
        <w:t xml:space="preserve">9 June </w:t>
      </w:r>
      <w:r w:rsidRPr="00665F17">
        <w:rPr>
          <w:rFonts w:ascii="Times New Roman" w:hAnsi="Times New Roman" w:cs="Times New Roman"/>
          <w:sz w:val="24"/>
          <w:szCs w:val="24"/>
          <w:lang w:val="en-US"/>
        </w:rPr>
        <w:t>2015</w:t>
      </w:r>
      <w:r w:rsidR="00F7126F" w:rsidRPr="001C35F3">
        <w:rPr>
          <w:rFonts w:ascii="Times New Roman" w:hAnsi="Times New Roman" w:cs="Times New Roman"/>
          <w:sz w:val="24"/>
          <w:szCs w:val="24"/>
          <w:lang w:val="en-US"/>
        </w:rPr>
        <w:t>, 2</w:t>
      </w:r>
      <w:r w:rsidRPr="00665F17">
        <w:rPr>
          <w:rFonts w:ascii="Times New Roman" w:hAnsi="Times New Roman" w:cs="Times New Roman"/>
          <w:sz w:val="24"/>
          <w:szCs w:val="24"/>
          <w:lang w:val="en-US"/>
        </w:rPr>
        <w:t>.</w:t>
      </w:r>
    </w:p>
  </w:endnote>
  <w:endnote w:id="23">
    <w:p w14:paraId="4CC70F05" w14:textId="5AB73CF9"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3F16EF"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“Deeply concerned also by … the rampant destruction of monuments, shrines, churches, mosques, and other places of worship</w:t>
      </w:r>
      <w:r w:rsidR="00137730"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archaeological sites, and cultural heritage sites</w:t>
      </w:r>
      <w:r w:rsidR="00084914" w:rsidRPr="00665F17">
        <w:rPr>
          <w:rFonts w:ascii="Times New Roman" w:hAnsi="Times New Roman" w:cs="Times New Roman"/>
          <w:sz w:val="24"/>
          <w:szCs w:val="24"/>
          <w:lang w:val="en-US"/>
        </w:rPr>
        <w:t>.”</w:t>
      </w:r>
      <w:r w:rsidR="001D46C2" w:rsidRPr="001C35F3">
        <w:rPr>
          <w:rFonts w:ascii="Times New Roman" w:hAnsi="Times New Roman" w:cs="Times New Roman"/>
          <w:sz w:val="24"/>
          <w:szCs w:val="24"/>
          <w:lang w:val="en-US"/>
        </w:rPr>
        <w:t xml:space="preserve"> See Human Rights Council, “The Human Rights Situation in Iraq in the Light of Abuses Committed by the So-Called Islamic State in Iraq and the Levant and Associated Groups,” UN doc. A/HRC/RES/S-22/1, 3 September 2014, </w:t>
      </w:r>
      <w:r w:rsidR="003B476B" w:rsidRPr="001C35F3">
        <w:rPr>
          <w:rFonts w:ascii="Times New Roman" w:hAnsi="Times New Roman" w:cs="Times New Roman"/>
          <w:sz w:val="24"/>
          <w:szCs w:val="24"/>
          <w:lang w:val="en-US"/>
        </w:rPr>
        <w:t>p</w:t>
      </w:r>
      <w:r w:rsidR="00342784" w:rsidRPr="001C35F3">
        <w:rPr>
          <w:rFonts w:ascii="Times New Roman" w:hAnsi="Times New Roman" w:cs="Times New Roman"/>
          <w:sz w:val="24"/>
          <w:szCs w:val="24"/>
          <w:lang w:val="en-US"/>
        </w:rPr>
        <w:t>reamble</w:t>
      </w:r>
      <w:r w:rsidR="001D46C2" w:rsidRPr="001C35F3">
        <w:rPr>
          <w:rFonts w:ascii="Times New Roman" w:hAnsi="Times New Roman" w:cs="Times New Roman"/>
          <w:sz w:val="24"/>
          <w:szCs w:val="24"/>
          <w:lang w:val="en-US"/>
        </w:rPr>
        <w:t>.</w:t>
      </w:r>
    </w:p>
  </w:endnote>
  <w:endnote w:id="24">
    <w:p w14:paraId="43C7907C" w14:textId="151DFA77" w:rsidR="001A62EE" w:rsidRPr="00665F17" w:rsidRDefault="001A62EE">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6D7ED4" w:rsidRPr="001C35F3">
        <w:rPr>
          <w:rFonts w:ascii="Times New Roman" w:hAnsi="Times New Roman" w:cs="Times New Roman"/>
          <w:sz w:val="24"/>
          <w:szCs w:val="24"/>
          <w:lang w:val="en-US"/>
        </w:rPr>
        <w:t>ICC</w:t>
      </w:r>
      <w:r w:rsidR="00746B29" w:rsidRPr="001C35F3">
        <w:rPr>
          <w:rFonts w:ascii="Times New Roman" w:hAnsi="Times New Roman" w:cs="Times New Roman"/>
          <w:sz w:val="24"/>
          <w:szCs w:val="24"/>
          <w:lang w:val="en-US"/>
        </w:rPr>
        <w:t>,</w:t>
      </w:r>
      <w:r w:rsidR="006D7ED4" w:rsidRPr="001C35F3">
        <w:rPr>
          <w:rFonts w:ascii="Times New Roman" w:hAnsi="Times New Roman" w:cs="Times New Roman"/>
          <w:sz w:val="24"/>
          <w:szCs w:val="24"/>
          <w:lang w:val="en-US"/>
        </w:rPr>
        <w:t xml:space="preserve"> </w:t>
      </w:r>
      <w:r w:rsidR="00342784" w:rsidRPr="001C35F3">
        <w:rPr>
          <w:rFonts w:ascii="Times New Roman" w:hAnsi="Times New Roman" w:cs="Times New Roman"/>
          <w:i/>
          <w:sz w:val="24"/>
          <w:szCs w:val="24"/>
          <w:lang w:val="en-US"/>
        </w:rPr>
        <w:t xml:space="preserve">Ahmad </w:t>
      </w:r>
      <w:r w:rsidRPr="00665F17">
        <w:rPr>
          <w:rFonts w:ascii="Times New Roman" w:hAnsi="Times New Roman" w:cs="Times New Roman"/>
          <w:i/>
          <w:sz w:val="24"/>
          <w:szCs w:val="24"/>
          <w:lang w:val="en-US"/>
        </w:rPr>
        <w:t>Al Faqi Al Mahdi</w:t>
      </w:r>
      <w:r w:rsidRPr="00665F17">
        <w:rPr>
          <w:rFonts w:ascii="Times New Roman" w:hAnsi="Times New Roman" w:cs="Times New Roman"/>
          <w:iCs/>
          <w:sz w:val="24"/>
          <w:szCs w:val="24"/>
          <w:lang w:val="en-US"/>
        </w:rPr>
        <w:t>,</w:t>
      </w:r>
      <w:r w:rsidRPr="00665F17">
        <w:rPr>
          <w:rFonts w:ascii="Times New Roman" w:hAnsi="Times New Roman" w:cs="Times New Roman"/>
          <w:i/>
          <w:sz w:val="24"/>
          <w:szCs w:val="24"/>
          <w:lang w:val="en-US"/>
        </w:rPr>
        <w:t xml:space="preserve"> </w:t>
      </w:r>
      <w:r w:rsidR="00D46546" w:rsidRPr="001C35F3">
        <w:rPr>
          <w:rFonts w:ascii="Times New Roman" w:hAnsi="Times New Roman" w:cs="Times New Roman"/>
          <w:sz w:val="24"/>
          <w:szCs w:val="24"/>
          <w:lang w:val="en-US"/>
        </w:rPr>
        <w:t xml:space="preserve">case no. ICC-01/12-01/15, </w:t>
      </w:r>
      <w:r w:rsidR="00342784" w:rsidRPr="001C35F3">
        <w:rPr>
          <w:rFonts w:ascii="Times New Roman" w:hAnsi="Times New Roman" w:cs="Times New Roman"/>
          <w:sz w:val="24"/>
          <w:szCs w:val="24"/>
          <w:lang w:val="en-US"/>
        </w:rPr>
        <w:t>J</w:t>
      </w:r>
      <w:r w:rsidRPr="00665F17">
        <w:rPr>
          <w:rFonts w:ascii="Times New Roman" w:hAnsi="Times New Roman" w:cs="Times New Roman"/>
          <w:sz w:val="24"/>
          <w:szCs w:val="24"/>
          <w:lang w:val="en-US"/>
        </w:rPr>
        <w:t>udgment</w:t>
      </w:r>
      <w:r w:rsidR="00A549B8" w:rsidRPr="001C35F3">
        <w:rPr>
          <w:rFonts w:ascii="Times New Roman" w:hAnsi="Times New Roman" w:cs="Times New Roman"/>
          <w:sz w:val="24"/>
          <w:szCs w:val="24"/>
          <w:lang w:val="en-US"/>
        </w:rPr>
        <w:t xml:space="preserve"> and Sentence</w:t>
      </w:r>
      <w:r w:rsidR="00342784" w:rsidRPr="001C35F3">
        <w:rPr>
          <w:rFonts w:ascii="Times New Roman" w:hAnsi="Times New Roman" w:cs="Times New Roman"/>
          <w:sz w:val="24"/>
          <w:szCs w:val="24"/>
          <w:lang w:val="en-US"/>
        </w:rPr>
        <w:t>,</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2</w:t>
      </w:r>
      <w:r w:rsidR="00A549B8" w:rsidRPr="001C35F3">
        <w:rPr>
          <w:rFonts w:ascii="Times New Roman" w:hAnsi="Times New Roman" w:cs="Times New Roman"/>
          <w:sz w:val="24"/>
          <w:szCs w:val="24"/>
          <w:lang w:val="en-US"/>
        </w:rPr>
        <w:t>7</w:t>
      </w:r>
      <w:r w:rsidRPr="00665F17">
        <w:rPr>
          <w:rFonts w:ascii="Times New Roman" w:hAnsi="Times New Roman" w:cs="Times New Roman"/>
          <w:sz w:val="24"/>
          <w:szCs w:val="24"/>
          <w:lang w:val="en-US"/>
        </w:rPr>
        <w:t xml:space="preserve"> September 2016</w:t>
      </w:r>
      <w:r w:rsidR="008007DF" w:rsidRPr="001C35F3">
        <w:rPr>
          <w:rFonts w:ascii="Times New Roman" w:hAnsi="Times New Roman" w:cs="Times New Roman"/>
          <w:sz w:val="24"/>
          <w:szCs w:val="24"/>
          <w:lang w:val="en-US"/>
        </w:rPr>
        <w:t>,</w:t>
      </w:r>
      <w:r w:rsidR="008007DF" w:rsidRPr="00665F17">
        <w:rPr>
          <w:rFonts w:ascii="Times New Roman" w:hAnsi="Times New Roman" w:cs="Times New Roman"/>
          <w:sz w:val="24"/>
          <w:szCs w:val="24"/>
          <w:lang w:val="en-US"/>
        </w:rPr>
        <w:t xml:space="preserve"> </w:t>
      </w:r>
      <w:r w:rsidR="008007DF" w:rsidRPr="001C35F3">
        <w:rPr>
          <w:rFonts w:ascii="Times New Roman" w:hAnsi="Times New Roman" w:cs="Times New Roman"/>
          <w:sz w:val="24"/>
          <w:szCs w:val="24"/>
          <w:lang w:val="en-US"/>
        </w:rPr>
        <w:t>https://www.icc-cpi.int/Pages/record.aspx?docNo=ICC-01/12-01/15-171</w:t>
      </w:r>
      <w:r w:rsidRPr="00665F17">
        <w:rPr>
          <w:rFonts w:ascii="Times New Roman" w:hAnsi="Times New Roman" w:cs="Times New Roman"/>
          <w:sz w:val="24"/>
          <w:szCs w:val="24"/>
          <w:lang w:val="en-US"/>
        </w:rPr>
        <w:t xml:space="preserve">. </w:t>
      </w:r>
      <w:r w:rsidR="00137452" w:rsidRPr="001C35F3">
        <w:rPr>
          <w:rFonts w:ascii="Times New Roman" w:hAnsi="Times New Roman" w:cs="Times New Roman"/>
          <w:sz w:val="24"/>
          <w:szCs w:val="24"/>
          <w:lang w:val="en-US"/>
        </w:rPr>
        <w:t>In 2017</w:t>
      </w:r>
      <w:r w:rsidR="004C20EB" w:rsidRPr="001C35F3">
        <w:rPr>
          <w:rFonts w:ascii="Times New Roman" w:hAnsi="Times New Roman" w:cs="Times New Roman"/>
          <w:sz w:val="24"/>
          <w:szCs w:val="24"/>
          <w:lang w:val="en-US"/>
        </w:rPr>
        <w:t>,</w:t>
      </w:r>
      <w:r w:rsidR="00137452" w:rsidRPr="001C35F3">
        <w:rPr>
          <w:rFonts w:ascii="Times New Roman" w:hAnsi="Times New Roman" w:cs="Times New Roman"/>
          <w:sz w:val="24"/>
          <w:szCs w:val="24"/>
          <w:lang w:val="en-US"/>
        </w:rPr>
        <w:t xml:space="preserve"> the </w:t>
      </w:r>
      <w:r w:rsidRPr="00665F17">
        <w:rPr>
          <w:rFonts w:ascii="Times New Roman" w:hAnsi="Times New Roman" w:cs="Times New Roman"/>
          <w:sz w:val="24"/>
          <w:szCs w:val="24"/>
          <w:lang w:val="en-US"/>
        </w:rPr>
        <w:t xml:space="preserve">ICC charged </w:t>
      </w:r>
      <w:r w:rsidR="008007DF" w:rsidRPr="001C35F3">
        <w:rPr>
          <w:rFonts w:ascii="Times New Roman" w:hAnsi="Times New Roman" w:cs="Times New Roman"/>
          <w:sz w:val="24"/>
          <w:szCs w:val="24"/>
          <w:lang w:val="en-US"/>
        </w:rPr>
        <w:t>a</w:t>
      </w:r>
      <w:r w:rsidRPr="00665F17">
        <w:rPr>
          <w:rFonts w:ascii="Times New Roman" w:hAnsi="Times New Roman" w:cs="Times New Roman"/>
          <w:sz w:val="24"/>
          <w:szCs w:val="24"/>
          <w:lang w:val="en-US"/>
        </w:rPr>
        <w:t>l</w:t>
      </w:r>
      <w:r w:rsidR="008007DF"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Mahdi with the obligation to pay a reparation of</w:t>
      </w:r>
      <w:r w:rsidR="00023A42" w:rsidRPr="00665F17">
        <w:rPr>
          <w:rFonts w:ascii="Times New Roman" w:hAnsi="Times New Roman" w:cs="Times New Roman"/>
          <w:sz w:val="24"/>
          <w:szCs w:val="24"/>
          <w:lang w:val="en-US"/>
        </w:rPr>
        <w:t xml:space="preserve"> </w:t>
      </w:r>
      <w:r w:rsidR="008007DF"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2.7 million for the damage caused to the cultural heritage of Mali</w:t>
      </w:r>
      <w:r w:rsidR="00137452" w:rsidRPr="001C35F3">
        <w:rPr>
          <w:rFonts w:ascii="Times New Roman" w:hAnsi="Times New Roman" w:cs="Times New Roman"/>
          <w:sz w:val="24"/>
          <w:szCs w:val="24"/>
          <w:lang w:val="en-US"/>
        </w:rPr>
        <w:t xml:space="preserve">: </w:t>
      </w:r>
      <w:r w:rsidR="003C5664" w:rsidRPr="001C35F3">
        <w:rPr>
          <w:rFonts w:ascii="Times New Roman" w:hAnsi="Times New Roman" w:cs="Times New Roman"/>
          <w:sz w:val="24"/>
          <w:szCs w:val="24"/>
          <w:lang w:val="en-US"/>
        </w:rPr>
        <w:t xml:space="preserve">see </w:t>
      </w:r>
      <w:r w:rsidR="00137452" w:rsidRPr="001C35F3">
        <w:rPr>
          <w:rFonts w:ascii="Times New Roman" w:hAnsi="Times New Roman" w:cs="Times New Roman"/>
          <w:sz w:val="24"/>
          <w:szCs w:val="24"/>
          <w:lang w:val="en-US"/>
        </w:rPr>
        <w:t xml:space="preserve">ICC, </w:t>
      </w:r>
      <w:r w:rsidR="00137452" w:rsidRPr="001C35F3">
        <w:rPr>
          <w:rFonts w:ascii="Times New Roman" w:hAnsi="Times New Roman" w:cs="Times New Roman"/>
          <w:i/>
          <w:sz w:val="24"/>
          <w:szCs w:val="24"/>
          <w:lang w:val="en-US"/>
        </w:rPr>
        <w:t>Al Mahdi</w:t>
      </w:r>
      <w:r w:rsidR="00137452" w:rsidRPr="001C35F3">
        <w:rPr>
          <w:rFonts w:ascii="Times New Roman" w:hAnsi="Times New Roman" w:cs="Times New Roman"/>
          <w:iCs/>
          <w:sz w:val="24"/>
          <w:szCs w:val="24"/>
          <w:lang w:val="en-US"/>
        </w:rPr>
        <w:t xml:space="preserve">, Reparations Order, </w:t>
      </w:r>
      <w:r w:rsidR="00137452" w:rsidRPr="001C35F3">
        <w:rPr>
          <w:rFonts w:ascii="Times New Roman" w:hAnsi="Times New Roman" w:cs="Times New Roman"/>
          <w:sz w:val="24"/>
          <w:szCs w:val="24"/>
          <w:lang w:val="en-US"/>
        </w:rPr>
        <w:t>17 August 2017, https://www.icc-cpi.int/CourtRecords/CR2017_05117.PDF</w:t>
      </w:r>
      <w:r w:rsidRPr="00665F17">
        <w:rPr>
          <w:rFonts w:ascii="Times New Roman" w:hAnsi="Times New Roman" w:cs="Times New Roman"/>
          <w:sz w:val="24"/>
          <w:szCs w:val="24"/>
          <w:lang w:val="en-US"/>
        </w:rPr>
        <w:t>.</w:t>
      </w:r>
      <w:r w:rsidRPr="00665F17">
        <w:rPr>
          <w:rFonts w:ascii="Times New Roman" w:hAnsi="Times New Roman" w:cs="Times New Roman"/>
          <w:i/>
          <w:sz w:val="24"/>
          <w:szCs w:val="24"/>
          <w:lang w:val="en-US"/>
        </w:rPr>
        <w:t xml:space="preserve"> </w:t>
      </w:r>
    </w:p>
  </w:endnote>
  <w:endnote w:id="25">
    <w:p w14:paraId="6D8133E4" w14:textId="400622F1"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For extensive examination of this practice, see</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A</w:t>
      </w:r>
      <w:r w:rsidR="00A46E12" w:rsidRPr="001C35F3">
        <w:rPr>
          <w:rFonts w:ascii="Times New Roman" w:hAnsi="Times New Roman" w:cs="Times New Roman"/>
          <w:sz w:val="24"/>
          <w:szCs w:val="24"/>
          <w:lang w:val="en-US"/>
        </w:rPr>
        <w:t>ndrzej</w:t>
      </w:r>
      <w:r w:rsidRPr="00665F17">
        <w:rPr>
          <w:rFonts w:ascii="Times New Roman" w:hAnsi="Times New Roman" w:cs="Times New Roman"/>
          <w:sz w:val="24"/>
          <w:szCs w:val="24"/>
          <w:lang w:val="en-US"/>
        </w:rPr>
        <w:t xml:space="preserve"> J</w:t>
      </w:r>
      <w:r w:rsidR="00A46E12" w:rsidRPr="001C35F3">
        <w:rPr>
          <w:rFonts w:ascii="Times New Roman" w:hAnsi="Times New Roman" w:cs="Times New Roman"/>
          <w:sz w:val="24"/>
          <w:szCs w:val="24"/>
          <w:lang w:val="en-US"/>
        </w:rPr>
        <w:t>a</w:t>
      </w:r>
      <w:r w:rsidRPr="00665F17">
        <w:rPr>
          <w:rFonts w:ascii="Times New Roman" w:hAnsi="Times New Roman" w:cs="Times New Roman"/>
          <w:sz w:val="24"/>
          <w:szCs w:val="24"/>
          <w:lang w:val="en-US"/>
        </w:rPr>
        <w:t>kubowski</w:t>
      </w:r>
      <w:r w:rsidR="00A46E12"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State Succession in Cultural Property</w:t>
      </w:r>
      <w:r w:rsidR="00A46E12"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Oxford</w:t>
      </w:r>
      <w:r w:rsidR="00A46E12" w:rsidRPr="001C35F3">
        <w:rPr>
          <w:rFonts w:ascii="Times New Roman" w:hAnsi="Times New Roman" w:cs="Times New Roman"/>
          <w:sz w:val="24"/>
          <w:szCs w:val="24"/>
          <w:lang w:val="en-US"/>
        </w:rPr>
        <w:t>: Oxford University Press</w:t>
      </w:r>
      <w:r w:rsidRPr="00665F17">
        <w:rPr>
          <w:rFonts w:ascii="Times New Roman" w:hAnsi="Times New Roman" w:cs="Times New Roman"/>
          <w:sz w:val="24"/>
          <w:szCs w:val="24"/>
          <w:lang w:val="en-US"/>
        </w:rPr>
        <w:t>, 2015</w:t>
      </w:r>
      <w:r w:rsidR="00A46E12"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53</w:t>
      </w:r>
      <w:r w:rsidR="00A46E12" w:rsidRPr="001C35F3">
        <w:rPr>
          <w:rFonts w:ascii="Times New Roman" w:hAnsi="Times New Roman" w:cs="Times New Roman"/>
          <w:sz w:val="24"/>
          <w:szCs w:val="24"/>
          <w:lang w:val="en-US"/>
        </w:rPr>
        <w:t>.</w:t>
      </w:r>
    </w:p>
  </w:endnote>
  <w:endnote w:id="26">
    <w:p w14:paraId="4C57379C" w14:textId="451F644F" w:rsidR="001A62EE" w:rsidRPr="00EF6DC1"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023A42" w:rsidRPr="00EF6DC1">
        <w:rPr>
          <w:rFonts w:ascii="Times New Roman" w:hAnsi="Times New Roman" w:cs="Times New Roman"/>
          <w:sz w:val="24"/>
          <w:szCs w:val="24"/>
          <w:lang w:val="en-US"/>
        </w:rPr>
        <w:t xml:space="preserve"> </w:t>
      </w:r>
      <w:r w:rsidRPr="00EF6DC1">
        <w:rPr>
          <w:rFonts w:ascii="Times New Roman" w:hAnsi="Times New Roman" w:cs="Times New Roman"/>
          <w:sz w:val="24"/>
          <w:szCs w:val="24"/>
          <w:lang w:val="en-US"/>
        </w:rPr>
        <w:t>See, for instance, A</w:t>
      </w:r>
      <w:r w:rsidR="00B11066" w:rsidRPr="00EF6DC1">
        <w:rPr>
          <w:rFonts w:ascii="Times New Roman" w:hAnsi="Times New Roman" w:cs="Times New Roman"/>
          <w:sz w:val="24"/>
          <w:szCs w:val="24"/>
          <w:lang w:val="en-US"/>
        </w:rPr>
        <w:t xml:space="preserve">ntonio </w:t>
      </w:r>
      <w:r w:rsidRPr="00EF6DC1">
        <w:rPr>
          <w:rFonts w:ascii="Times New Roman" w:hAnsi="Times New Roman" w:cs="Times New Roman"/>
          <w:sz w:val="24"/>
          <w:szCs w:val="24"/>
          <w:lang w:val="en-US"/>
        </w:rPr>
        <w:t xml:space="preserve">F. Panzera, </w:t>
      </w:r>
      <w:r w:rsidRPr="00EF6DC1">
        <w:rPr>
          <w:rFonts w:ascii="Times New Roman" w:hAnsi="Times New Roman" w:cs="Times New Roman"/>
          <w:i/>
          <w:sz w:val="24"/>
          <w:szCs w:val="24"/>
          <w:lang w:val="en-US"/>
        </w:rPr>
        <w:t xml:space="preserve">La tutela internazionale dei beni culturali in tempo di guerra </w:t>
      </w:r>
      <w:r w:rsidR="00B11066" w:rsidRPr="00EF6DC1">
        <w:rPr>
          <w:rFonts w:ascii="Times New Roman" w:hAnsi="Times New Roman" w:cs="Times New Roman"/>
          <w:iCs/>
          <w:sz w:val="24"/>
          <w:szCs w:val="24"/>
          <w:lang w:val="en-US"/>
        </w:rPr>
        <w:t>(</w:t>
      </w:r>
      <w:r w:rsidRPr="00EF6DC1">
        <w:rPr>
          <w:rFonts w:ascii="Times New Roman" w:hAnsi="Times New Roman" w:cs="Times New Roman"/>
          <w:sz w:val="24"/>
          <w:szCs w:val="24"/>
          <w:lang w:val="en-US"/>
        </w:rPr>
        <w:t>T</w:t>
      </w:r>
      <w:r w:rsidR="00B11066" w:rsidRPr="00EF6DC1">
        <w:rPr>
          <w:rFonts w:ascii="Times New Roman" w:hAnsi="Times New Roman" w:cs="Times New Roman"/>
          <w:sz w:val="24"/>
          <w:szCs w:val="24"/>
          <w:lang w:val="en-US"/>
        </w:rPr>
        <w:t>urin:</w:t>
      </w:r>
      <w:r w:rsidRPr="00EF6DC1">
        <w:rPr>
          <w:rFonts w:ascii="Times New Roman" w:hAnsi="Times New Roman" w:cs="Times New Roman"/>
          <w:sz w:val="24"/>
          <w:szCs w:val="24"/>
          <w:lang w:val="en-US"/>
        </w:rPr>
        <w:t xml:space="preserve"> </w:t>
      </w:r>
      <w:r w:rsidR="00B11066" w:rsidRPr="00EF6DC1">
        <w:rPr>
          <w:rFonts w:ascii="Times New Roman" w:hAnsi="Times New Roman" w:cs="Times New Roman"/>
          <w:sz w:val="24"/>
          <w:szCs w:val="24"/>
          <w:lang w:val="en-US"/>
        </w:rPr>
        <w:t xml:space="preserve">G. Giappichelli, </w:t>
      </w:r>
      <w:r w:rsidRPr="00EF6DC1">
        <w:rPr>
          <w:rFonts w:ascii="Times New Roman" w:hAnsi="Times New Roman" w:cs="Times New Roman"/>
          <w:sz w:val="24"/>
          <w:szCs w:val="24"/>
          <w:lang w:val="en-US"/>
        </w:rPr>
        <w:t>199</w:t>
      </w:r>
      <w:r w:rsidR="00B11066" w:rsidRPr="00EF6DC1">
        <w:rPr>
          <w:rFonts w:ascii="Times New Roman" w:hAnsi="Times New Roman" w:cs="Times New Roman"/>
          <w:sz w:val="24"/>
          <w:szCs w:val="24"/>
          <w:lang w:val="en-US"/>
        </w:rPr>
        <w:t>3)</w:t>
      </w:r>
      <w:r w:rsidRPr="00EF6DC1">
        <w:rPr>
          <w:rFonts w:ascii="Times New Roman" w:hAnsi="Times New Roman" w:cs="Times New Roman"/>
          <w:sz w:val="24"/>
          <w:szCs w:val="24"/>
          <w:lang w:val="en-US"/>
        </w:rPr>
        <w:t>, 16, 46;</w:t>
      </w:r>
      <w:r w:rsidR="003519DA" w:rsidRPr="00EF6DC1">
        <w:rPr>
          <w:rFonts w:ascii="Times New Roman" w:hAnsi="Times New Roman" w:cs="Times New Roman"/>
          <w:sz w:val="24"/>
          <w:szCs w:val="24"/>
          <w:lang w:val="en-US"/>
        </w:rPr>
        <w:t xml:space="preserve"> and</w:t>
      </w:r>
      <w:r w:rsidRPr="00EF6DC1">
        <w:rPr>
          <w:rFonts w:ascii="Times New Roman" w:hAnsi="Times New Roman" w:cs="Times New Roman"/>
          <w:sz w:val="24"/>
          <w:szCs w:val="24"/>
          <w:lang w:val="en-US"/>
        </w:rPr>
        <w:t xml:space="preserve"> G</w:t>
      </w:r>
      <w:r w:rsidR="00E24382" w:rsidRPr="00EF6DC1">
        <w:rPr>
          <w:rFonts w:ascii="Times New Roman" w:hAnsi="Times New Roman" w:cs="Times New Roman"/>
          <w:sz w:val="24"/>
          <w:szCs w:val="24"/>
          <w:lang w:val="en-US"/>
        </w:rPr>
        <w:t>uido</w:t>
      </w:r>
      <w:r w:rsidRPr="00EF6DC1">
        <w:rPr>
          <w:rFonts w:ascii="Times New Roman" w:hAnsi="Times New Roman" w:cs="Times New Roman"/>
          <w:sz w:val="24"/>
          <w:szCs w:val="24"/>
          <w:lang w:val="en-US"/>
        </w:rPr>
        <w:t xml:space="preserve"> Carducci, “L’obligation de restitution des biens culturels et des objets d’art en cas de conflit armé</w:t>
      </w:r>
      <w:r w:rsidR="00EB72A4" w:rsidRPr="00EF6DC1">
        <w:rPr>
          <w:rFonts w:ascii="Times New Roman" w:hAnsi="Times New Roman" w:cs="Times New Roman"/>
          <w:sz w:val="24"/>
          <w:szCs w:val="24"/>
          <w:lang w:val="en-US"/>
        </w:rPr>
        <w:t>,”</w:t>
      </w:r>
      <w:r w:rsidRPr="00EF6DC1">
        <w:rPr>
          <w:rFonts w:ascii="Times New Roman" w:hAnsi="Times New Roman" w:cs="Times New Roman"/>
          <w:sz w:val="24"/>
          <w:szCs w:val="24"/>
          <w:lang w:val="en-US"/>
        </w:rPr>
        <w:t xml:space="preserve"> </w:t>
      </w:r>
      <w:r w:rsidRPr="00EF6DC1">
        <w:rPr>
          <w:rFonts w:ascii="Times New Roman" w:hAnsi="Times New Roman" w:cs="Times New Roman"/>
          <w:i/>
          <w:sz w:val="24"/>
          <w:szCs w:val="24"/>
          <w:lang w:val="en-US"/>
        </w:rPr>
        <w:t>Revue Générale de Droit International Public</w:t>
      </w:r>
      <w:r w:rsidR="00E24382" w:rsidRPr="00EF6DC1">
        <w:rPr>
          <w:rFonts w:ascii="Times New Roman" w:hAnsi="Times New Roman" w:cs="Times New Roman"/>
          <w:iCs/>
          <w:sz w:val="24"/>
          <w:szCs w:val="24"/>
          <w:lang w:val="en-US"/>
        </w:rPr>
        <w:t xml:space="preserve"> 2</w:t>
      </w:r>
      <w:r w:rsidRPr="00EF6DC1">
        <w:rPr>
          <w:rFonts w:ascii="Times New Roman" w:hAnsi="Times New Roman" w:cs="Times New Roman"/>
          <w:i/>
          <w:sz w:val="24"/>
          <w:szCs w:val="24"/>
          <w:lang w:val="en-US"/>
        </w:rPr>
        <w:t xml:space="preserve"> </w:t>
      </w:r>
      <w:r w:rsidR="00E24382" w:rsidRPr="00EF6DC1">
        <w:rPr>
          <w:rFonts w:ascii="Times New Roman" w:hAnsi="Times New Roman" w:cs="Times New Roman"/>
          <w:iCs/>
          <w:sz w:val="24"/>
          <w:szCs w:val="24"/>
          <w:lang w:val="en-US"/>
        </w:rPr>
        <w:t>(</w:t>
      </w:r>
      <w:r w:rsidRPr="00EF6DC1">
        <w:rPr>
          <w:rFonts w:ascii="Times New Roman" w:hAnsi="Times New Roman" w:cs="Times New Roman"/>
          <w:sz w:val="24"/>
          <w:szCs w:val="24"/>
          <w:lang w:val="en-US"/>
        </w:rPr>
        <w:t>2000</w:t>
      </w:r>
      <w:r w:rsidR="00E24382" w:rsidRPr="00EF6DC1">
        <w:rPr>
          <w:rFonts w:ascii="Times New Roman" w:hAnsi="Times New Roman" w:cs="Times New Roman"/>
          <w:sz w:val="24"/>
          <w:szCs w:val="24"/>
          <w:lang w:val="en-US"/>
        </w:rPr>
        <w:t xml:space="preserve">): </w:t>
      </w:r>
      <w:r w:rsidRPr="00EF6DC1">
        <w:rPr>
          <w:rFonts w:ascii="Times New Roman" w:hAnsi="Times New Roman" w:cs="Times New Roman"/>
          <w:sz w:val="24"/>
          <w:szCs w:val="24"/>
          <w:lang w:val="en-US"/>
        </w:rPr>
        <w:t>290</w:t>
      </w:r>
      <w:r w:rsidR="00E740A2" w:rsidRPr="00EF6DC1">
        <w:rPr>
          <w:rFonts w:ascii="Times New Roman" w:hAnsi="Times New Roman" w:cs="Times New Roman"/>
          <w:sz w:val="24"/>
          <w:szCs w:val="24"/>
          <w:lang w:val="en-US"/>
        </w:rPr>
        <w:t>–</w:t>
      </w:r>
      <w:r w:rsidRPr="00EF6DC1">
        <w:rPr>
          <w:rFonts w:ascii="Times New Roman" w:hAnsi="Times New Roman" w:cs="Times New Roman"/>
          <w:sz w:val="24"/>
          <w:szCs w:val="24"/>
          <w:lang w:val="en-US"/>
        </w:rPr>
        <w:t>357.</w:t>
      </w:r>
    </w:p>
  </w:endnote>
  <w:endnote w:id="27">
    <w:p w14:paraId="7055833B" w14:textId="6BBDF2DD"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A13014" w:rsidRPr="001C35F3">
        <w:rPr>
          <w:rFonts w:ascii="Times New Roman" w:hAnsi="Times New Roman" w:cs="Times New Roman"/>
          <w:sz w:val="24"/>
          <w:szCs w:val="24"/>
          <w:lang w:val="en-US"/>
        </w:rPr>
        <w:t xml:space="preserve"> US District Court for the Eastern District of New York, </w:t>
      </w:r>
      <w:r w:rsidR="00A13014" w:rsidRPr="00665F17">
        <w:rPr>
          <w:rFonts w:ascii="Times New Roman" w:hAnsi="Times New Roman" w:cs="Times New Roman"/>
          <w:i/>
          <w:iCs/>
          <w:sz w:val="24"/>
          <w:szCs w:val="24"/>
          <w:lang w:val="en-US"/>
        </w:rPr>
        <w:t>Kunstsammlungen Zu Weimar v. Elicofon</w:t>
      </w:r>
      <w:r w:rsidR="00651D04" w:rsidRPr="001C35F3">
        <w:rPr>
          <w:rFonts w:ascii="Times New Roman" w:hAnsi="Times New Roman" w:cs="Times New Roman"/>
          <w:sz w:val="24"/>
          <w:szCs w:val="24"/>
          <w:lang w:val="en-US"/>
        </w:rPr>
        <w:t xml:space="preserve"> (536 F. Supp. 829, EDNY 1982)</w:t>
      </w:r>
      <w:r w:rsidR="00A13014"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A13014" w:rsidRPr="001C35F3">
        <w:rPr>
          <w:rFonts w:ascii="Times New Roman" w:hAnsi="Times New Roman" w:cs="Times New Roman"/>
          <w:sz w:val="24"/>
          <w:szCs w:val="24"/>
          <w:lang w:val="en-US"/>
        </w:rPr>
        <w:t>15 June 1981,</w:t>
      </w:r>
      <w:r w:rsidRPr="00665F17">
        <w:rPr>
          <w:rFonts w:ascii="Times New Roman" w:hAnsi="Times New Roman" w:cs="Times New Roman"/>
          <w:sz w:val="24"/>
          <w:szCs w:val="24"/>
          <w:lang w:val="en-US"/>
        </w:rPr>
        <w:t xml:space="preserve"> concerning</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works by </w:t>
      </w:r>
      <w:r w:rsidR="00F22D57" w:rsidRPr="001C35F3">
        <w:rPr>
          <w:rFonts w:ascii="Times New Roman" w:hAnsi="Times New Roman" w:cs="Times New Roman"/>
          <w:sz w:val="24"/>
          <w:szCs w:val="24"/>
          <w:lang w:val="en-US"/>
        </w:rPr>
        <w:t xml:space="preserve">Albrecht </w:t>
      </w:r>
      <w:r w:rsidRPr="00665F17">
        <w:rPr>
          <w:rFonts w:ascii="Times New Roman" w:hAnsi="Times New Roman" w:cs="Times New Roman"/>
          <w:sz w:val="24"/>
          <w:szCs w:val="24"/>
          <w:lang w:val="en-US"/>
        </w:rPr>
        <w:t>Duerer that had been stolen in Germany in 1945.</w:t>
      </w:r>
    </w:p>
  </w:endnote>
  <w:endnote w:id="28">
    <w:p w14:paraId="48FD4805" w14:textId="35AB6EF3"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DE2AE6" w:rsidRPr="001C35F3">
        <w:rPr>
          <w:rFonts w:ascii="Times New Roman" w:hAnsi="Times New Roman" w:cs="Times New Roman"/>
          <w:sz w:val="24"/>
          <w:szCs w:val="24"/>
          <w:lang w:val="en-US"/>
        </w:rPr>
        <w:t xml:space="preserve"> </w:t>
      </w:r>
      <w:r w:rsidR="0021345E" w:rsidRPr="001C35F3">
        <w:rPr>
          <w:rFonts w:ascii="Times New Roman" w:hAnsi="Times New Roman" w:cs="Times New Roman"/>
          <w:sz w:val="24"/>
          <w:szCs w:val="24"/>
          <w:lang w:val="en-US"/>
        </w:rPr>
        <w:t xml:space="preserve">US Federal Court of Appeal, 7th Circuit, </w:t>
      </w:r>
      <w:r w:rsidR="003A2A9A" w:rsidRPr="00665F17">
        <w:rPr>
          <w:rFonts w:ascii="Times New Roman" w:hAnsi="Times New Roman" w:cs="Times New Roman"/>
          <w:i/>
          <w:iCs/>
          <w:sz w:val="24"/>
          <w:szCs w:val="24"/>
          <w:lang w:val="en-US"/>
        </w:rPr>
        <w:t>Autocephalous Greek-Orthodox</w:t>
      </w:r>
      <w:r w:rsidR="003A2A9A" w:rsidRPr="001C35F3">
        <w:rPr>
          <w:rFonts w:ascii="Times New Roman" w:hAnsi="Times New Roman" w:cs="Times New Roman"/>
          <w:sz w:val="24"/>
          <w:szCs w:val="24"/>
          <w:lang w:val="en-US"/>
        </w:rPr>
        <w:t xml:space="preserve"> </w:t>
      </w:r>
      <w:r w:rsidR="00DE2AE6" w:rsidRPr="001C35F3">
        <w:rPr>
          <w:rFonts w:ascii="Times New Roman" w:eastAsia="Times New Roman" w:hAnsi="Times New Roman" w:cs="Times New Roman"/>
          <w:i/>
          <w:sz w:val="24"/>
          <w:szCs w:val="24"/>
          <w:lang w:val="en-US"/>
        </w:rPr>
        <w:t>Church of Cyprus v. Goldberg</w:t>
      </w:r>
      <w:r w:rsidR="003A2A9A" w:rsidRPr="001C35F3">
        <w:rPr>
          <w:rFonts w:ascii="Times New Roman" w:eastAsia="Times New Roman" w:hAnsi="Times New Roman" w:cs="Times New Roman"/>
          <w:i/>
          <w:sz w:val="24"/>
          <w:szCs w:val="24"/>
          <w:lang w:val="en-US"/>
        </w:rPr>
        <w:t xml:space="preserve"> &amp; Feldman Fine Arts, Inc.</w:t>
      </w:r>
      <w:r w:rsidRPr="00665F17">
        <w:rPr>
          <w:rFonts w:ascii="Times New Roman" w:hAnsi="Times New Roman" w:cs="Times New Roman"/>
          <w:sz w:val="24"/>
          <w:szCs w:val="24"/>
          <w:lang w:val="en-US"/>
        </w:rPr>
        <w:t xml:space="preserve"> </w:t>
      </w:r>
      <w:r w:rsidR="0021345E"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917 F. 2d 278</w:t>
      </w:r>
      <w:r w:rsidR="0021345E"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7</w:t>
      </w:r>
      <w:r w:rsidR="00E25E88" w:rsidRPr="001C35F3">
        <w:rPr>
          <w:rFonts w:ascii="Times New Roman" w:hAnsi="Times New Roman" w:cs="Times New Roman"/>
          <w:sz w:val="24"/>
          <w:szCs w:val="24"/>
          <w:lang w:val="en-US"/>
        </w:rPr>
        <w:t>th</w:t>
      </w:r>
      <w:r w:rsidRPr="00665F17">
        <w:rPr>
          <w:rFonts w:ascii="Times New Roman" w:hAnsi="Times New Roman" w:cs="Times New Roman"/>
          <w:sz w:val="24"/>
          <w:szCs w:val="24"/>
          <w:lang w:val="en-US"/>
        </w:rPr>
        <w:t xml:space="preserve"> Cir. 1990)</w:t>
      </w:r>
      <w:r w:rsidR="000F12C8" w:rsidRPr="001C35F3">
        <w:rPr>
          <w:rFonts w:ascii="Times New Roman" w:hAnsi="Times New Roman" w:cs="Times New Roman"/>
          <w:sz w:val="24"/>
          <w:szCs w:val="24"/>
          <w:lang w:val="en-US"/>
        </w:rPr>
        <w:t>, 24 October 1990.</w:t>
      </w:r>
    </w:p>
  </w:endnote>
  <w:endnote w:id="29">
    <w:p w14:paraId="6C95E2ED" w14:textId="0DABA38F"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See </w:t>
      </w:r>
      <w:r w:rsidR="000F12C8" w:rsidRPr="001C35F3">
        <w:rPr>
          <w:rFonts w:ascii="Times New Roman" w:hAnsi="Times New Roman" w:cs="Times New Roman"/>
          <w:sz w:val="24"/>
          <w:szCs w:val="24"/>
          <w:lang w:val="en-US"/>
        </w:rPr>
        <w:t>US Federal Court of Appeal, 7th Circuit,</w:t>
      </w:r>
      <w:r w:rsidR="000F12C8" w:rsidRPr="001C35F3" w:rsidDel="000F12C8">
        <w:rPr>
          <w:rFonts w:ascii="Times New Roman" w:hAnsi="Times New Roman" w:cs="Times New Roman"/>
          <w:i/>
          <w:sz w:val="24"/>
          <w:szCs w:val="24"/>
          <w:lang w:val="en-US"/>
        </w:rPr>
        <w:t xml:space="preserve"> </w:t>
      </w:r>
      <w:r w:rsidR="00793DDA" w:rsidRPr="001C35F3">
        <w:rPr>
          <w:rFonts w:ascii="Times New Roman" w:hAnsi="Times New Roman" w:cs="Times New Roman"/>
          <w:sz w:val="24"/>
          <w:szCs w:val="24"/>
          <w:lang w:val="en-US"/>
        </w:rPr>
        <w:t>S</w:t>
      </w:r>
      <w:r w:rsidRPr="00665F17">
        <w:rPr>
          <w:rFonts w:ascii="Times New Roman" w:hAnsi="Times New Roman" w:cs="Times New Roman"/>
          <w:sz w:val="24"/>
          <w:szCs w:val="24"/>
          <w:lang w:val="en-US"/>
        </w:rPr>
        <w:t>ec</w:t>
      </w:r>
      <w:r w:rsidR="00087177" w:rsidRPr="001C35F3">
        <w:rPr>
          <w:rFonts w:ascii="Times New Roman" w:hAnsi="Times New Roman" w:cs="Times New Roman"/>
          <w:sz w:val="24"/>
          <w:szCs w:val="24"/>
          <w:lang w:val="en-US"/>
        </w:rPr>
        <w:t>t</w:t>
      </w:r>
      <w:r w:rsidR="0020798E"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3.</w:t>
      </w:r>
    </w:p>
  </w:endnote>
  <w:endnote w:id="30">
    <w:p w14:paraId="596ADCAF" w14:textId="221D9B41"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Section </w:t>
      </w:r>
      <w:r w:rsidR="00EE665D" w:rsidRPr="001C35F3">
        <w:rPr>
          <w:rFonts w:ascii="Times New Roman" w:hAnsi="Times New Roman" w:cs="Times New Roman"/>
          <w:sz w:val="24"/>
          <w:szCs w:val="24"/>
          <w:lang w:val="en-US"/>
        </w:rPr>
        <w:t xml:space="preserve">4 </w:t>
      </w:r>
      <w:r w:rsidRPr="00665F17">
        <w:rPr>
          <w:rFonts w:ascii="Times New Roman" w:hAnsi="Times New Roman" w:cs="Times New Roman"/>
          <w:sz w:val="24"/>
          <w:szCs w:val="24"/>
          <w:lang w:val="en-US"/>
        </w:rPr>
        <w:t xml:space="preserve">of the </w:t>
      </w:r>
      <w:r w:rsidR="00EE665D" w:rsidRPr="001C35F3">
        <w:rPr>
          <w:rFonts w:ascii="Times New Roman" w:hAnsi="Times New Roman" w:cs="Times New Roman"/>
          <w:sz w:val="24"/>
          <w:szCs w:val="24"/>
          <w:lang w:val="en-US"/>
        </w:rPr>
        <w:t>d</w:t>
      </w:r>
      <w:r w:rsidRPr="00665F17">
        <w:rPr>
          <w:rFonts w:ascii="Times New Roman" w:hAnsi="Times New Roman" w:cs="Times New Roman"/>
          <w:sz w:val="24"/>
          <w:szCs w:val="24"/>
          <w:lang w:val="en-US"/>
        </w:rPr>
        <w:t xml:space="preserve">eclaration applies to peacetime activities and establishes a duty of protection of cultural heritage in accordance with standards laid down in UNESCO </w:t>
      </w:r>
      <w:r w:rsidR="009635E6" w:rsidRPr="001C35F3">
        <w:rPr>
          <w:rFonts w:ascii="Times New Roman" w:hAnsi="Times New Roman" w:cs="Times New Roman"/>
          <w:sz w:val="24"/>
          <w:szCs w:val="24"/>
          <w:lang w:val="en-US"/>
        </w:rPr>
        <w:t>r</w:t>
      </w:r>
      <w:r w:rsidRPr="00665F17">
        <w:rPr>
          <w:rFonts w:ascii="Times New Roman" w:hAnsi="Times New Roman" w:cs="Times New Roman"/>
          <w:sz w:val="24"/>
          <w:szCs w:val="24"/>
          <w:lang w:val="en-US"/>
        </w:rPr>
        <w:t xml:space="preserve">ecommendations and </w:t>
      </w:r>
      <w:r w:rsidR="009635E6" w:rsidRPr="001C35F3">
        <w:rPr>
          <w:rFonts w:ascii="Times New Roman" w:hAnsi="Times New Roman" w:cs="Times New Roman"/>
          <w:sz w:val="24"/>
          <w:szCs w:val="24"/>
          <w:lang w:val="en-US"/>
        </w:rPr>
        <w:t>t</w:t>
      </w:r>
      <w:r w:rsidRPr="00665F17">
        <w:rPr>
          <w:rFonts w:ascii="Times New Roman" w:hAnsi="Times New Roman" w:cs="Times New Roman"/>
          <w:sz w:val="24"/>
          <w:szCs w:val="24"/>
          <w:lang w:val="en-US"/>
        </w:rPr>
        <w:t>reaties, including the 1972 World Heritage Convention</w:t>
      </w:r>
      <w:r w:rsidR="00B17B4E" w:rsidRPr="001C35F3">
        <w:rPr>
          <w:rFonts w:ascii="Times New Roman" w:hAnsi="Times New Roman" w:cs="Times New Roman"/>
          <w:sz w:val="24"/>
          <w:szCs w:val="24"/>
          <w:lang w:val="en-US"/>
        </w:rPr>
        <w:t>.</w:t>
      </w:r>
    </w:p>
  </w:endnote>
  <w:endnote w:id="31">
    <w:p w14:paraId="3C668F2A" w14:textId="43C9DFD6" w:rsidR="001A62EE" w:rsidRPr="00665F17" w:rsidRDefault="001A62EE">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The present author was a member of the group of experts charged with the task of drafting the </w:t>
      </w:r>
      <w:r w:rsidR="00B17B4E" w:rsidRPr="001C35F3">
        <w:rPr>
          <w:rFonts w:ascii="Times New Roman" w:hAnsi="Times New Roman" w:cs="Times New Roman"/>
          <w:sz w:val="24"/>
          <w:szCs w:val="24"/>
          <w:lang w:val="en-US"/>
        </w:rPr>
        <w:t>d</w:t>
      </w:r>
      <w:r w:rsidRPr="00665F17">
        <w:rPr>
          <w:rFonts w:ascii="Times New Roman" w:hAnsi="Times New Roman" w:cs="Times New Roman"/>
          <w:sz w:val="24"/>
          <w:szCs w:val="24"/>
          <w:lang w:val="en-US"/>
        </w:rPr>
        <w:t xml:space="preserve">eclaration. For a thorough analysis of the process of </w:t>
      </w:r>
      <w:r w:rsidR="00586087"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softening</w:t>
      </w:r>
      <w:r w:rsidR="00586087"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the duty to avoid and prevent destruction of cultural heritage</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from the stage of experts drafting to the stage of diplomatic negotiations, see F</w:t>
      </w:r>
      <w:r w:rsidR="00135BED" w:rsidRPr="001C35F3">
        <w:rPr>
          <w:rFonts w:ascii="Times New Roman" w:hAnsi="Times New Roman" w:cs="Times New Roman"/>
          <w:sz w:val="24"/>
          <w:szCs w:val="24"/>
          <w:lang w:val="en-US"/>
        </w:rPr>
        <w:t>ederico</w:t>
      </w:r>
      <w:r w:rsidRPr="00665F17">
        <w:rPr>
          <w:rFonts w:ascii="Times New Roman" w:hAnsi="Times New Roman" w:cs="Times New Roman"/>
          <w:sz w:val="24"/>
          <w:szCs w:val="24"/>
          <w:lang w:val="en-US"/>
        </w:rPr>
        <w:t xml:space="preserve"> Lenzerini, “The UNESCO Declaration Concerning the Intentional Destruction of Cultural Heritage: </w:t>
      </w:r>
      <w:r w:rsidR="00135BED" w:rsidRPr="001C35F3">
        <w:rPr>
          <w:rFonts w:ascii="Times New Roman" w:hAnsi="Times New Roman" w:cs="Times New Roman"/>
          <w:sz w:val="24"/>
          <w:szCs w:val="24"/>
          <w:lang w:val="en-US"/>
        </w:rPr>
        <w:t>O</w:t>
      </w:r>
      <w:r w:rsidRPr="00665F17">
        <w:rPr>
          <w:rFonts w:ascii="Times New Roman" w:hAnsi="Times New Roman" w:cs="Times New Roman"/>
          <w:sz w:val="24"/>
          <w:szCs w:val="24"/>
          <w:lang w:val="en-US"/>
        </w:rPr>
        <w:t xml:space="preserve">ne Step </w:t>
      </w:r>
      <w:r w:rsidR="00135BED" w:rsidRPr="001C35F3">
        <w:rPr>
          <w:rFonts w:ascii="Times New Roman" w:hAnsi="Times New Roman" w:cs="Times New Roman"/>
          <w:sz w:val="24"/>
          <w:szCs w:val="24"/>
          <w:lang w:val="en-US"/>
        </w:rPr>
        <w:t>F</w:t>
      </w:r>
      <w:r w:rsidRPr="00665F17">
        <w:rPr>
          <w:rFonts w:ascii="Times New Roman" w:hAnsi="Times New Roman" w:cs="Times New Roman"/>
          <w:sz w:val="24"/>
          <w:szCs w:val="24"/>
          <w:lang w:val="en-US"/>
        </w:rPr>
        <w:t xml:space="preserve">orward and </w:t>
      </w:r>
      <w:r w:rsidR="00135BED" w:rsidRPr="001C35F3">
        <w:rPr>
          <w:rFonts w:ascii="Times New Roman" w:hAnsi="Times New Roman" w:cs="Times New Roman"/>
          <w:sz w:val="24"/>
          <w:szCs w:val="24"/>
          <w:lang w:val="en-US"/>
        </w:rPr>
        <w:t>T</w:t>
      </w:r>
      <w:r w:rsidRPr="00665F17">
        <w:rPr>
          <w:rFonts w:ascii="Times New Roman" w:hAnsi="Times New Roman" w:cs="Times New Roman"/>
          <w:sz w:val="24"/>
          <w:szCs w:val="24"/>
          <w:lang w:val="en-US"/>
        </w:rPr>
        <w:t>wo Steps Back,</w:t>
      </w:r>
      <w:r w:rsidR="00675244"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Italian Y</w:t>
      </w:r>
      <w:r w:rsidR="002C1191" w:rsidRPr="001C35F3">
        <w:rPr>
          <w:rFonts w:ascii="Times New Roman" w:hAnsi="Times New Roman" w:cs="Times New Roman"/>
          <w:i/>
          <w:sz w:val="24"/>
          <w:szCs w:val="24"/>
          <w:lang w:val="en-US"/>
        </w:rPr>
        <w:t>earbook</w:t>
      </w:r>
      <w:r w:rsidRPr="00665F17">
        <w:rPr>
          <w:rFonts w:ascii="Times New Roman" w:hAnsi="Times New Roman" w:cs="Times New Roman"/>
          <w:i/>
          <w:sz w:val="24"/>
          <w:szCs w:val="24"/>
          <w:lang w:val="en-US"/>
        </w:rPr>
        <w:t xml:space="preserve"> of International Law</w:t>
      </w:r>
      <w:r w:rsidR="00135BED" w:rsidRPr="00665F17">
        <w:rPr>
          <w:rFonts w:ascii="Times New Roman" w:hAnsi="Times New Roman" w:cs="Times New Roman"/>
          <w:iCs/>
          <w:sz w:val="24"/>
          <w:szCs w:val="24"/>
          <w:lang w:val="en-US"/>
        </w:rPr>
        <w:t xml:space="preserve"> 13</w:t>
      </w:r>
      <w:r w:rsidRPr="00665F17">
        <w:rPr>
          <w:rFonts w:ascii="Times New Roman" w:hAnsi="Times New Roman" w:cs="Times New Roman"/>
          <w:sz w:val="24"/>
          <w:szCs w:val="24"/>
          <w:lang w:val="en-US"/>
        </w:rPr>
        <w:t>,</w:t>
      </w:r>
      <w:r w:rsidR="006C293D" w:rsidRPr="001C35F3">
        <w:rPr>
          <w:rFonts w:ascii="Times New Roman" w:hAnsi="Times New Roman" w:cs="Times New Roman"/>
          <w:sz w:val="24"/>
          <w:szCs w:val="24"/>
          <w:lang w:val="en-US"/>
        </w:rPr>
        <w:t xml:space="preserve"> no. 1 (</w:t>
      </w:r>
      <w:r w:rsidRPr="00665F17">
        <w:rPr>
          <w:rFonts w:ascii="Times New Roman" w:hAnsi="Times New Roman" w:cs="Times New Roman"/>
          <w:sz w:val="24"/>
          <w:szCs w:val="24"/>
          <w:lang w:val="en-US"/>
        </w:rPr>
        <w:t>2003</w:t>
      </w:r>
      <w:r w:rsidR="006C293D"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131</w:t>
      </w:r>
      <w:r w:rsidR="00135BED" w:rsidRPr="001C35F3">
        <w:rPr>
          <w:rFonts w:ascii="Times New Roman" w:hAnsi="Times New Roman" w:cs="Times New Roman"/>
          <w:sz w:val="24"/>
          <w:szCs w:val="24"/>
          <w:lang w:val="en-US"/>
        </w:rPr>
        <w:t>–45</w:t>
      </w:r>
      <w:r w:rsidRPr="00665F17">
        <w:rPr>
          <w:rFonts w:ascii="Times New Roman" w:hAnsi="Times New Roman" w:cs="Times New Roman"/>
          <w:sz w:val="24"/>
          <w:szCs w:val="24"/>
          <w:lang w:val="en-US"/>
        </w:rPr>
        <w:t>.</w:t>
      </w:r>
    </w:p>
  </w:endnote>
  <w:endnote w:id="32">
    <w:p w14:paraId="4981FD7D" w14:textId="496A5291"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For a thorough analysis of the cases of destruction of cultural heritage in peacetime, with a distinction between legitimate aims of economic development and manifestations of fundamentalist intolerance, </w:t>
      </w:r>
      <w:r w:rsidR="006C293D" w:rsidRPr="001C35F3">
        <w:rPr>
          <w:rFonts w:ascii="Times New Roman" w:hAnsi="Times New Roman" w:cs="Times New Roman"/>
          <w:sz w:val="24"/>
          <w:szCs w:val="24"/>
          <w:lang w:val="en-US"/>
        </w:rPr>
        <w:t xml:space="preserve">see </w:t>
      </w:r>
      <w:r w:rsidR="00EA783C" w:rsidRPr="001C35F3">
        <w:rPr>
          <w:rFonts w:ascii="Times New Roman" w:hAnsi="Times New Roman" w:cs="Times New Roman"/>
          <w:sz w:val="24"/>
          <w:szCs w:val="24"/>
          <w:lang w:val="en-US"/>
        </w:rPr>
        <w:t>Kanchana</w:t>
      </w:r>
      <w:r w:rsidRPr="00665F17">
        <w:rPr>
          <w:rFonts w:ascii="Times New Roman" w:hAnsi="Times New Roman" w:cs="Times New Roman"/>
          <w:sz w:val="24"/>
          <w:szCs w:val="24"/>
          <w:lang w:val="en-US"/>
        </w:rPr>
        <w:t xml:space="preserve"> Wangkeo, “Monumental Challenges: </w:t>
      </w:r>
      <w:r w:rsidR="00EA783C" w:rsidRPr="001C35F3">
        <w:rPr>
          <w:rFonts w:ascii="Times New Roman" w:hAnsi="Times New Roman" w:cs="Times New Roman"/>
          <w:sz w:val="24"/>
          <w:szCs w:val="24"/>
          <w:lang w:val="en-US"/>
        </w:rPr>
        <w:t>T</w:t>
      </w:r>
      <w:r w:rsidRPr="00665F17">
        <w:rPr>
          <w:rFonts w:ascii="Times New Roman" w:hAnsi="Times New Roman" w:cs="Times New Roman"/>
          <w:sz w:val="24"/>
          <w:szCs w:val="24"/>
          <w:lang w:val="en-US"/>
        </w:rPr>
        <w:t>he Lawfulness of Destroying Cultural Heritage during Peacetime</w:t>
      </w:r>
      <w:r w:rsidR="00EB72A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Pr="00665F17">
        <w:rPr>
          <w:rFonts w:ascii="Times New Roman" w:hAnsi="Times New Roman" w:cs="Times New Roman"/>
          <w:i/>
          <w:iCs/>
          <w:sz w:val="24"/>
          <w:szCs w:val="24"/>
          <w:lang w:val="en-US"/>
        </w:rPr>
        <w:t>Yale Journal of International Law</w:t>
      </w:r>
      <w:r w:rsidR="00EA783C"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28</w:t>
      </w:r>
      <w:r w:rsidR="00EA783C"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2003</w:t>
      </w:r>
      <w:r w:rsidR="00EA783C" w:rsidRPr="001C35F3">
        <w:rPr>
          <w:rFonts w:ascii="Times New Roman" w:hAnsi="Times New Roman" w:cs="Times New Roman"/>
          <w:sz w:val="24"/>
          <w:szCs w:val="24"/>
          <w:lang w:val="en-US"/>
        </w:rPr>
        <w:t>)</w:t>
      </w:r>
      <w:r w:rsidR="00F117A0" w:rsidRPr="001C35F3">
        <w:rPr>
          <w:rFonts w:ascii="Times New Roman" w:hAnsi="Times New Roman" w:cs="Times New Roman"/>
          <w:sz w:val="24"/>
          <w:szCs w:val="24"/>
          <w:lang w:val="en-US"/>
        </w:rPr>
        <w:t>:</w:t>
      </w:r>
      <w:r w:rsidR="00EA783C"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185</w:t>
      </w:r>
      <w:r w:rsidR="00F117A0" w:rsidRPr="001C35F3">
        <w:rPr>
          <w:rFonts w:ascii="Times New Roman" w:hAnsi="Times New Roman" w:cs="Times New Roman"/>
          <w:sz w:val="24"/>
          <w:szCs w:val="24"/>
          <w:lang w:val="en-US"/>
        </w:rPr>
        <w:t>–274</w:t>
      </w:r>
      <w:r w:rsidRPr="00665F17">
        <w:rPr>
          <w:rFonts w:ascii="Times New Roman" w:hAnsi="Times New Roman" w:cs="Times New Roman"/>
          <w:sz w:val="24"/>
          <w:szCs w:val="24"/>
          <w:lang w:val="en-US"/>
        </w:rPr>
        <w:t>.</w:t>
      </w:r>
    </w:p>
  </w:endnote>
  <w:endnote w:id="33">
    <w:p w14:paraId="2F939C84" w14:textId="6BE172A7"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The most compelling elaboration of this theory can be found in </w:t>
      </w:r>
      <w:r w:rsidR="004D54E6" w:rsidRPr="001C35F3">
        <w:rPr>
          <w:rFonts w:ascii="Times New Roman" w:hAnsi="Times New Roman" w:cs="Times New Roman"/>
          <w:sz w:val="24"/>
          <w:szCs w:val="24"/>
          <w:lang w:val="en-US"/>
        </w:rPr>
        <w:t>Dionisio</w:t>
      </w:r>
      <w:r w:rsidRPr="00665F17">
        <w:rPr>
          <w:rFonts w:ascii="Times New Roman" w:hAnsi="Times New Roman" w:cs="Times New Roman"/>
          <w:sz w:val="24"/>
          <w:szCs w:val="24"/>
          <w:lang w:val="en-US"/>
        </w:rPr>
        <w:t xml:space="preserve"> Anzilotti, </w:t>
      </w:r>
      <w:r w:rsidRPr="00665F17">
        <w:rPr>
          <w:rFonts w:ascii="Times New Roman" w:hAnsi="Times New Roman" w:cs="Times New Roman"/>
          <w:i/>
          <w:sz w:val="24"/>
          <w:szCs w:val="24"/>
          <w:lang w:val="en-US"/>
        </w:rPr>
        <w:t xml:space="preserve">Corso di diritto internazionale </w:t>
      </w:r>
      <w:r w:rsidR="005205E8" w:rsidRPr="001C35F3">
        <w:rPr>
          <w:rFonts w:ascii="Times New Roman" w:hAnsi="Times New Roman" w:cs="Times New Roman"/>
          <w:iCs/>
          <w:sz w:val="24"/>
          <w:szCs w:val="24"/>
          <w:lang w:val="en-US"/>
        </w:rPr>
        <w:t>(</w:t>
      </w:r>
      <w:r w:rsidR="005205E8" w:rsidRPr="001C35F3">
        <w:rPr>
          <w:rFonts w:ascii="Times New Roman" w:hAnsi="Times New Roman" w:cs="Times New Roman"/>
          <w:sz w:val="24"/>
          <w:szCs w:val="24"/>
          <w:lang w:val="en-US"/>
        </w:rPr>
        <w:t>Rome: Athenae</w:t>
      </w:r>
      <w:r w:rsidR="002B2182" w:rsidRPr="001C35F3">
        <w:rPr>
          <w:rFonts w:ascii="Times New Roman" w:hAnsi="Times New Roman" w:cs="Times New Roman"/>
          <w:sz w:val="24"/>
          <w:szCs w:val="24"/>
          <w:lang w:val="en-US"/>
        </w:rPr>
        <w:t>u</w:t>
      </w:r>
      <w:r w:rsidR="005205E8" w:rsidRPr="001C35F3">
        <w:rPr>
          <w:rFonts w:ascii="Times New Roman" w:hAnsi="Times New Roman" w:cs="Times New Roman"/>
          <w:sz w:val="24"/>
          <w:szCs w:val="24"/>
          <w:lang w:val="en-US"/>
        </w:rPr>
        <w:t>m</w:t>
      </w:r>
      <w:r w:rsidRPr="00665F17">
        <w:rPr>
          <w:rFonts w:ascii="Times New Roman" w:hAnsi="Times New Roman" w:cs="Times New Roman"/>
          <w:sz w:val="24"/>
          <w:szCs w:val="24"/>
          <w:lang w:val="en-US"/>
        </w:rPr>
        <w:t>, 1928</w:t>
      </w:r>
      <w:r w:rsidR="005205E8"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107. For a comprehensive, historical reconstruction of the emergence and development of the category of general principles, </w:t>
      </w:r>
      <w:r w:rsidR="002B2182" w:rsidRPr="001C35F3">
        <w:rPr>
          <w:rFonts w:ascii="Times New Roman" w:hAnsi="Times New Roman" w:cs="Times New Roman"/>
          <w:sz w:val="24"/>
          <w:szCs w:val="24"/>
          <w:lang w:val="en-US"/>
        </w:rPr>
        <w:t xml:space="preserve">see </w:t>
      </w:r>
      <w:r w:rsidRPr="00665F17">
        <w:rPr>
          <w:rFonts w:ascii="Times New Roman" w:hAnsi="Times New Roman" w:cs="Times New Roman"/>
          <w:sz w:val="24"/>
          <w:szCs w:val="24"/>
          <w:lang w:val="en-US"/>
        </w:rPr>
        <w:t xml:space="preserve">I. </w:t>
      </w:r>
      <w:r w:rsidR="00422AD5" w:rsidRPr="001C35F3">
        <w:rPr>
          <w:rFonts w:ascii="Times New Roman" w:hAnsi="Times New Roman" w:cs="Times New Roman"/>
          <w:sz w:val="24"/>
          <w:szCs w:val="24"/>
          <w:lang w:val="en-US"/>
        </w:rPr>
        <w:t xml:space="preserve">Imogen </w:t>
      </w:r>
      <w:r w:rsidRPr="00665F17">
        <w:rPr>
          <w:rFonts w:ascii="Times New Roman" w:hAnsi="Times New Roman" w:cs="Times New Roman"/>
          <w:sz w:val="24"/>
          <w:szCs w:val="24"/>
          <w:lang w:val="en-US"/>
        </w:rPr>
        <w:t xml:space="preserve">Saunders, </w:t>
      </w:r>
      <w:r w:rsidR="002B2182" w:rsidRPr="001C35F3">
        <w:rPr>
          <w:rFonts w:ascii="Times New Roman" w:hAnsi="Times New Roman" w:cs="Times New Roman"/>
          <w:i/>
          <w:iCs/>
          <w:sz w:val="24"/>
          <w:szCs w:val="24"/>
          <w:lang w:val="en-US"/>
        </w:rPr>
        <w:t>G</w:t>
      </w:r>
      <w:r w:rsidRPr="00665F17">
        <w:rPr>
          <w:rFonts w:ascii="Times New Roman" w:hAnsi="Times New Roman" w:cs="Times New Roman"/>
          <w:i/>
          <w:iCs/>
          <w:sz w:val="24"/>
          <w:szCs w:val="24"/>
          <w:lang w:val="en-US"/>
        </w:rPr>
        <w:t>eneral Principles as a Source</w:t>
      </w:r>
      <w:r w:rsidR="002B2182" w:rsidRPr="001C35F3">
        <w:rPr>
          <w:rFonts w:ascii="Times New Roman" w:hAnsi="Times New Roman" w:cs="Times New Roman"/>
          <w:i/>
          <w:iCs/>
          <w:sz w:val="24"/>
          <w:szCs w:val="24"/>
          <w:lang w:val="en-US"/>
        </w:rPr>
        <w:t xml:space="preserve"> </w:t>
      </w:r>
      <w:r w:rsidRPr="00665F17">
        <w:rPr>
          <w:rFonts w:ascii="Times New Roman" w:hAnsi="Times New Roman" w:cs="Times New Roman"/>
          <w:i/>
          <w:iCs/>
          <w:sz w:val="24"/>
          <w:szCs w:val="24"/>
          <w:lang w:val="en-US"/>
        </w:rPr>
        <w:t xml:space="preserve">of International Law </w:t>
      </w:r>
      <w:r w:rsidR="002B2182"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Oxford</w:t>
      </w:r>
      <w:r w:rsidR="002B2182" w:rsidRPr="001C35F3">
        <w:rPr>
          <w:rFonts w:ascii="Times New Roman" w:hAnsi="Times New Roman" w:cs="Times New Roman"/>
          <w:sz w:val="24"/>
          <w:szCs w:val="24"/>
          <w:lang w:val="en-US"/>
        </w:rPr>
        <w:t>: Oxford University Press</w:t>
      </w:r>
      <w:r w:rsidRPr="00665F17">
        <w:rPr>
          <w:rFonts w:ascii="Times New Roman" w:hAnsi="Times New Roman" w:cs="Times New Roman"/>
          <w:sz w:val="24"/>
          <w:szCs w:val="24"/>
          <w:lang w:val="en-US"/>
        </w:rPr>
        <w:t>, 2021</w:t>
      </w:r>
      <w:r w:rsidR="002B2182"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w:t>
      </w:r>
    </w:p>
  </w:endnote>
  <w:endnote w:id="34">
    <w:p w14:paraId="593338D6" w14:textId="33A603BD" w:rsidR="001A62EE" w:rsidRPr="00B4703C"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B4703C">
        <w:rPr>
          <w:rFonts w:ascii="Times New Roman" w:hAnsi="Times New Roman" w:cs="Times New Roman"/>
          <w:sz w:val="24"/>
          <w:szCs w:val="24"/>
          <w:lang w:val="en-US"/>
        </w:rPr>
        <w:t xml:space="preserve"> See R</w:t>
      </w:r>
      <w:r w:rsidR="00E72E6A" w:rsidRPr="00B4703C">
        <w:rPr>
          <w:rFonts w:ascii="Times New Roman" w:hAnsi="Times New Roman" w:cs="Times New Roman"/>
          <w:sz w:val="24"/>
          <w:szCs w:val="24"/>
          <w:lang w:val="en-US"/>
        </w:rPr>
        <w:t>olando</w:t>
      </w:r>
      <w:r w:rsidRPr="00B4703C">
        <w:rPr>
          <w:rFonts w:ascii="Times New Roman" w:hAnsi="Times New Roman" w:cs="Times New Roman"/>
          <w:sz w:val="24"/>
          <w:szCs w:val="24"/>
          <w:lang w:val="en-US"/>
        </w:rPr>
        <w:t xml:space="preserve"> Quadri, </w:t>
      </w:r>
      <w:r w:rsidR="00E72E6A" w:rsidRPr="00B4703C">
        <w:rPr>
          <w:rFonts w:ascii="Times New Roman" w:hAnsi="Times New Roman" w:cs="Times New Roman"/>
          <w:sz w:val="24"/>
          <w:szCs w:val="24"/>
          <w:lang w:val="en-US"/>
        </w:rPr>
        <w:t>“</w:t>
      </w:r>
      <w:r w:rsidRPr="00B4703C">
        <w:rPr>
          <w:rFonts w:ascii="Times New Roman" w:hAnsi="Times New Roman" w:cs="Times New Roman"/>
          <w:iCs/>
          <w:sz w:val="24"/>
          <w:szCs w:val="24"/>
          <w:lang w:val="en-US"/>
        </w:rPr>
        <w:t>Cours général de droit internat</w:t>
      </w:r>
      <w:r w:rsidR="00CE0E5F" w:rsidRPr="00B4703C">
        <w:rPr>
          <w:rFonts w:ascii="Times New Roman" w:hAnsi="Times New Roman" w:cs="Times New Roman"/>
          <w:iCs/>
          <w:sz w:val="24"/>
          <w:szCs w:val="24"/>
          <w:lang w:val="en-US"/>
        </w:rPr>
        <w:t>i</w:t>
      </w:r>
      <w:r w:rsidRPr="00B4703C">
        <w:rPr>
          <w:rFonts w:ascii="Times New Roman" w:hAnsi="Times New Roman" w:cs="Times New Roman"/>
          <w:iCs/>
          <w:sz w:val="24"/>
          <w:szCs w:val="24"/>
          <w:lang w:val="en-US"/>
        </w:rPr>
        <w:t>onal public,</w:t>
      </w:r>
      <w:r w:rsidR="00E72E6A" w:rsidRPr="00B4703C">
        <w:rPr>
          <w:rFonts w:ascii="Times New Roman" w:hAnsi="Times New Roman" w:cs="Times New Roman"/>
          <w:iCs/>
          <w:sz w:val="24"/>
          <w:szCs w:val="24"/>
          <w:lang w:val="en-US"/>
        </w:rPr>
        <w:t>”</w:t>
      </w:r>
      <w:r w:rsidRPr="00B4703C">
        <w:rPr>
          <w:rFonts w:ascii="Times New Roman" w:hAnsi="Times New Roman" w:cs="Times New Roman"/>
          <w:iCs/>
          <w:sz w:val="24"/>
          <w:szCs w:val="24"/>
          <w:lang w:val="en-US"/>
        </w:rPr>
        <w:t xml:space="preserve"> </w:t>
      </w:r>
      <w:r w:rsidRPr="00B4703C">
        <w:rPr>
          <w:rFonts w:ascii="Times New Roman" w:hAnsi="Times New Roman" w:cs="Times New Roman"/>
          <w:sz w:val="24"/>
          <w:szCs w:val="24"/>
          <w:lang w:val="en-US"/>
        </w:rPr>
        <w:t xml:space="preserve">Recueil des Cours </w:t>
      </w:r>
      <w:r w:rsidR="00E5596B" w:rsidRPr="00B4703C">
        <w:rPr>
          <w:rFonts w:ascii="Times New Roman" w:hAnsi="Times New Roman" w:cs="Times New Roman"/>
          <w:sz w:val="24"/>
          <w:szCs w:val="24"/>
          <w:lang w:val="en-US"/>
        </w:rPr>
        <w:t>no.</w:t>
      </w:r>
      <w:r w:rsidRPr="00B4703C">
        <w:rPr>
          <w:rFonts w:ascii="Times New Roman" w:hAnsi="Times New Roman" w:cs="Times New Roman"/>
          <w:sz w:val="24"/>
          <w:szCs w:val="24"/>
          <w:lang w:val="en-US"/>
        </w:rPr>
        <w:t xml:space="preserve"> </w:t>
      </w:r>
      <w:r w:rsidR="00E5596B" w:rsidRPr="00B4703C">
        <w:rPr>
          <w:rFonts w:ascii="Times New Roman" w:hAnsi="Times New Roman" w:cs="Times New Roman"/>
          <w:sz w:val="24"/>
          <w:szCs w:val="24"/>
          <w:lang w:val="en-US"/>
        </w:rPr>
        <w:t>3, 1964</w:t>
      </w:r>
      <w:r w:rsidRPr="00B4703C">
        <w:rPr>
          <w:rFonts w:ascii="Times New Roman" w:hAnsi="Times New Roman" w:cs="Times New Roman"/>
          <w:sz w:val="24"/>
          <w:szCs w:val="24"/>
          <w:lang w:val="en-US"/>
        </w:rPr>
        <w:t xml:space="preserve">; </w:t>
      </w:r>
      <w:r w:rsidR="00CE0E5F" w:rsidRPr="00B4703C">
        <w:rPr>
          <w:rFonts w:ascii="Times New Roman" w:hAnsi="Times New Roman" w:cs="Times New Roman"/>
          <w:sz w:val="24"/>
          <w:szCs w:val="24"/>
          <w:lang w:val="en-US"/>
        </w:rPr>
        <w:t xml:space="preserve">and </w:t>
      </w:r>
      <w:r w:rsidRPr="00B4703C">
        <w:rPr>
          <w:rFonts w:ascii="Times New Roman" w:hAnsi="Times New Roman" w:cs="Times New Roman"/>
          <w:i/>
          <w:sz w:val="24"/>
          <w:szCs w:val="24"/>
          <w:lang w:val="en-US"/>
        </w:rPr>
        <w:t>Diritto internazionale pubblico</w:t>
      </w:r>
      <w:r w:rsidRPr="00B4703C">
        <w:rPr>
          <w:rFonts w:ascii="Times New Roman" w:hAnsi="Times New Roman" w:cs="Times New Roman"/>
          <w:iCs/>
          <w:sz w:val="24"/>
          <w:szCs w:val="24"/>
          <w:lang w:val="en-US"/>
        </w:rPr>
        <w:t xml:space="preserve"> </w:t>
      </w:r>
      <w:r w:rsidR="0020485F" w:rsidRPr="00B4703C">
        <w:rPr>
          <w:rFonts w:ascii="Times New Roman" w:hAnsi="Times New Roman" w:cs="Times New Roman"/>
          <w:iCs/>
          <w:sz w:val="24"/>
          <w:szCs w:val="24"/>
          <w:lang w:val="en-US"/>
        </w:rPr>
        <w:t>(</w:t>
      </w:r>
      <w:r w:rsidRPr="00B4703C">
        <w:rPr>
          <w:rFonts w:ascii="Times New Roman" w:hAnsi="Times New Roman" w:cs="Times New Roman"/>
          <w:sz w:val="24"/>
          <w:szCs w:val="24"/>
          <w:lang w:val="en-US"/>
        </w:rPr>
        <w:t>Napoli</w:t>
      </w:r>
      <w:r w:rsidR="0020485F" w:rsidRPr="00B4703C">
        <w:rPr>
          <w:rFonts w:ascii="Times New Roman" w:hAnsi="Times New Roman" w:cs="Times New Roman"/>
          <w:sz w:val="24"/>
          <w:szCs w:val="24"/>
          <w:lang w:val="en-US"/>
        </w:rPr>
        <w:t>: Liguori</w:t>
      </w:r>
      <w:r w:rsidRPr="00B4703C">
        <w:rPr>
          <w:rFonts w:ascii="Times New Roman" w:hAnsi="Times New Roman" w:cs="Times New Roman"/>
          <w:sz w:val="24"/>
          <w:szCs w:val="24"/>
          <w:lang w:val="en-US"/>
        </w:rPr>
        <w:t>, 1968</w:t>
      </w:r>
      <w:r w:rsidR="0020485F" w:rsidRPr="00B4703C">
        <w:rPr>
          <w:rFonts w:ascii="Times New Roman" w:hAnsi="Times New Roman" w:cs="Times New Roman"/>
          <w:sz w:val="24"/>
          <w:szCs w:val="24"/>
          <w:lang w:val="en-US"/>
        </w:rPr>
        <w:t>)</w:t>
      </w:r>
      <w:r w:rsidRPr="00B4703C">
        <w:rPr>
          <w:rFonts w:ascii="Times New Roman" w:hAnsi="Times New Roman" w:cs="Times New Roman"/>
          <w:sz w:val="24"/>
          <w:szCs w:val="24"/>
          <w:lang w:val="en-US"/>
        </w:rPr>
        <w:t>, 119.</w:t>
      </w:r>
    </w:p>
  </w:endnote>
  <w:endnote w:id="35">
    <w:p w14:paraId="4EFB47B3" w14:textId="67129BF4" w:rsidR="001A62EE" w:rsidRPr="00665F17" w:rsidRDefault="001A62EE">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H</w:t>
      </w:r>
      <w:r w:rsidR="00427CDA" w:rsidRPr="001C35F3">
        <w:rPr>
          <w:rFonts w:ascii="Times New Roman" w:hAnsi="Times New Roman" w:cs="Times New Roman"/>
          <w:sz w:val="24"/>
          <w:szCs w:val="24"/>
          <w:lang w:val="en-US"/>
        </w:rPr>
        <w:t>ersh</w:t>
      </w:r>
      <w:r w:rsidRPr="00665F17">
        <w:rPr>
          <w:rFonts w:ascii="Times New Roman" w:hAnsi="Times New Roman" w:cs="Times New Roman"/>
          <w:sz w:val="24"/>
          <w:szCs w:val="24"/>
          <w:lang w:val="en-US"/>
        </w:rPr>
        <w:t xml:space="preserve"> Lauterpacht, </w:t>
      </w:r>
      <w:r w:rsidRPr="00665F17">
        <w:rPr>
          <w:rFonts w:ascii="Times New Roman" w:hAnsi="Times New Roman" w:cs="Times New Roman"/>
          <w:i/>
          <w:sz w:val="24"/>
          <w:szCs w:val="24"/>
          <w:lang w:val="en-US"/>
        </w:rPr>
        <w:t xml:space="preserve">Private Law Sources and </w:t>
      </w:r>
      <w:r w:rsidR="002B2E51" w:rsidRPr="001C35F3">
        <w:rPr>
          <w:rFonts w:ascii="Times New Roman" w:hAnsi="Times New Roman" w:cs="Times New Roman"/>
          <w:i/>
          <w:sz w:val="24"/>
          <w:szCs w:val="24"/>
          <w:lang w:val="en-US"/>
        </w:rPr>
        <w:t>A</w:t>
      </w:r>
      <w:r w:rsidRPr="00665F17">
        <w:rPr>
          <w:rFonts w:ascii="Times New Roman" w:hAnsi="Times New Roman" w:cs="Times New Roman"/>
          <w:i/>
          <w:sz w:val="24"/>
          <w:szCs w:val="24"/>
          <w:lang w:val="en-US"/>
        </w:rPr>
        <w:t>nalogies in International Law</w:t>
      </w:r>
      <w:r w:rsidR="00A50F62" w:rsidRPr="001C35F3">
        <w:rPr>
          <w:rFonts w:ascii="Times New Roman" w:hAnsi="Times New Roman" w:cs="Times New Roman"/>
          <w:i/>
          <w:sz w:val="24"/>
          <w:szCs w:val="24"/>
          <w:lang w:val="en-US"/>
        </w:rPr>
        <w:t>: With Special Reference to International Arbitration</w:t>
      </w:r>
      <w:r w:rsidRPr="00665F17">
        <w:rPr>
          <w:rFonts w:ascii="Times New Roman" w:hAnsi="Times New Roman" w:cs="Times New Roman"/>
          <w:iCs/>
          <w:sz w:val="24"/>
          <w:szCs w:val="24"/>
          <w:lang w:val="en-US"/>
        </w:rPr>
        <w:t xml:space="preserve"> </w:t>
      </w:r>
      <w:r w:rsidR="002B2E5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Cambridge</w:t>
      </w:r>
      <w:r w:rsidR="002B2E51" w:rsidRPr="001C35F3">
        <w:rPr>
          <w:rFonts w:ascii="Times New Roman" w:hAnsi="Times New Roman" w:cs="Times New Roman"/>
          <w:sz w:val="24"/>
          <w:szCs w:val="24"/>
          <w:lang w:val="en-US"/>
        </w:rPr>
        <w:t>: Cambridge University Press,</w:t>
      </w:r>
      <w:r w:rsidRPr="00665F17">
        <w:rPr>
          <w:rFonts w:ascii="Times New Roman" w:hAnsi="Times New Roman" w:cs="Times New Roman"/>
          <w:sz w:val="24"/>
          <w:szCs w:val="24"/>
          <w:lang w:val="en-US"/>
        </w:rPr>
        <w:t xml:space="preserve"> 1927</w:t>
      </w:r>
      <w:r w:rsidR="002B2E5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215;</w:t>
      </w:r>
      <w:r w:rsidR="00423C3B" w:rsidRPr="001C35F3">
        <w:rPr>
          <w:rFonts w:ascii="Times New Roman" w:hAnsi="Times New Roman" w:cs="Times New Roman"/>
          <w:sz w:val="24"/>
          <w:szCs w:val="24"/>
          <w:lang w:val="en-US"/>
        </w:rPr>
        <w:t xml:space="preserve"> and</w:t>
      </w:r>
      <w:r w:rsidRPr="00665F17">
        <w:rPr>
          <w:rFonts w:ascii="Times New Roman" w:hAnsi="Times New Roman" w:cs="Times New Roman"/>
          <w:sz w:val="24"/>
          <w:szCs w:val="24"/>
          <w:lang w:val="en-US"/>
        </w:rPr>
        <w:t xml:space="preserve"> M</w:t>
      </w:r>
      <w:r w:rsidR="00FB4CF7" w:rsidRPr="001C35F3">
        <w:rPr>
          <w:rFonts w:ascii="Times New Roman" w:hAnsi="Times New Roman" w:cs="Times New Roman"/>
          <w:sz w:val="24"/>
          <w:szCs w:val="24"/>
          <w:lang w:val="en-US"/>
        </w:rPr>
        <w:t>ichel</w:t>
      </w:r>
      <w:r w:rsidRPr="00665F17">
        <w:rPr>
          <w:rFonts w:ascii="Times New Roman" w:hAnsi="Times New Roman" w:cs="Times New Roman"/>
          <w:sz w:val="24"/>
          <w:szCs w:val="24"/>
          <w:lang w:val="en-US"/>
        </w:rPr>
        <w:t xml:space="preserve"> Virally, </w:t>
      </w:r>
      <w:r w:rsidR="000B53AA" w:rsidRPr="001C35F3">
        <w:rPr>
          <w:rFonts w:ascii="Times New Roman" w:hAnsi="Times New Roman" w:cs="Times New Roman"/>
          <w:sz w:val="24"/>
          <w:szCs w:val="24"/>
          <w:lang w:val="en-US"/>
        </w:rPr>
        <w:t>“</w:t>
      </w:r>
      <w:r w:rsidRPr="00665F17">
        <w:rPr>
          <w:rFonts w:ascii="Times New Roman" w:hAnsi="Times New Roman" w:cs="Times New Roman"/>
          <w:iCs/>
          <w:sz w:val="24"/>
          <w:szCs w:val="24"/>
          <w:lang w:val="en-US"/>
        </w:rPr>
        <w:t>The Sources of International Law,</w:t>
      </w:r>
      <w:r w:rsidR="000B53AA" w:rsidRPr="001C35F3">
        <w:rPr>
          <w:rFonts w:ascii="Times New Roman" w:hAnsi="Times New Roman" w:cs="Times New Roman"/>
          <w:iCs/>
          <w:sz w:val="24"/>
          <w:szCs w:val="24"/>
          <w:lang w:val="en-US"/>
        </w:rPr>
        <w:t>”</w:t>
      </w:r>
      <w:r w:rsidRPr="00665F17">
        <w:rPr>
          <w:rFonts w:ascii="Times New Roman" w:hAnsi="Times New Roman" w:cs="Times New Roman"/>
          <w:sz w:val="24"/>
          <w:szCs w:val="24"/>
          <w:lang w:val="en-US"/>
        </w:rPr>
        <w:t xml:space="preserve"> in</w:t>
      </w:r>
      <w:r w:rsidRPr="00665F17">
        <w:rPr>
          <w:rFonts w:ascii="Times New Roman" w:hAnsi="Times New Roman" w:cs="Times New Roman"/>
          <w:i/>
          <w:sz w:val="24"/>
          <w:szCs w:val="24"/>
          <w:lang w:val="en-US"/>
        </w:rPr>
        <w:t xml:space="preserve"> Manual of Public International</w:t>
      </w:r>
      <w:r w:rsidR="00FF7315" w:rsidRPr="001C35F3">
        <w:rPr>
          <w:rFonts w:ascii="Times New Roman" w:hAnsi="Times New Roman" w:cs="Times New Roman"/>
          <w:i/>
          <w:sz w:val="24"/>
          <w:szCs w:val="24"/>
          <w:lang w:val="en-US"/>
        </w:rPr>
        <w:t xml:space="preserve"> </w:t>
      </w:r>
      <w:r w:rsidRPr="00665F17">
        <w:rPr>
          <w:rFonts w:ascii="Times New Roman" w:hAnsi="Times New Roman" w:cs="Times New Roman"/>
          <w:i/>
          <w:sz w:val="24"/>
          <w:szCs w:val="24"/>
          <w:lang w:val="en-US"/>
        </w:rPr>
        <w:t>Law</w:t>
      </w:r>
      <w:r w:rsidRPr="00665F17">
        <w:rPr>
          <w:rFonts w:ascii="Times New Roman" w:hAnsi="Times New Roman" w:cs="Times New Roman"/>
          <w:iCs/>
          <w:sz w:val="24"/>
          <w:szCs w:val="24"/>
          <w:lang w:val="en-US"/>
        </w:rPr>
        <w:t xml:space="preserve">, </w:t>
      </w:r>
      <w:r w:rsidR="00FF7315" w:rsidRPr="001C35F3">
        <w:rPr>
          <w:rFonts w:ascii="Times New Roman" w:hAnsi="Times New Roman" w:cs="Times New Roman"/>
          <w:iCs/>
          <w:sz w:val="24"/>
          <w:szCs w:val="24"/>
          <w:lang w:val="en-US"/>
        </w:rPr>
        <w:t xml:space="preserve">ed. </w:t>
      </w:r>
      <w:r w:rsidR="00FF7315" w:rsidRPr="00665F17">
        <w:rPr>
          <w:rFonts w:ascii="Times New Roman" w:hAnsi="Times New Roman" w:cs="Times New Roman"/>
          <w:iCs/>
          <w:sz w:val="24"/>
          <w:szCs w:val="24"/>
          <w:lang w:val="en-US"/>
        </w:rPr>
        <w:t>M. S</w:t>
      </w:r>
      <w:r w:rsidR="00832FCE" w:rsidRPr="001C35F3">
        <w:rPr>
          <w:rFonts w:ascii="Times New Roman" w:hAnsi="Times New Roman" w:cs="Times New Roman"/>
          <w:iCs/>
          <w:sz w:val="24"/>
          <w:szCs w:val="24"/>
          <w:lang w:val="en-US"/>
        </w:rPr>
        <w:t>o</w:t>
      </w:r>
      <w:r w:rsidR="00FF7315" w:rsidRPr="00665F17">
        <w:rPr>
          <w:rFonts w:ascii="Times New Roman" w:hAnsi="Times New Roman" w:cs="Times New Roman"/>
          <w:iCs/>
          <w:sz w:val="24"/>
          <w:szCs w:val="24"/>
          <w:lang w:val="en-US"/>
        </w:rPr>
        <w:t xml:space="preserve">rensen </w:t>
      </w:r>
      <w:r w:rsidR="00FF7315" w:rsidRPr="001C35F3">
        <w:rPr>
          <w:rFonts w:ascii="Times New Roman" w:hAnsi="Times New Roman" w:cs="Times New Roman"/>
          <w:iCs/>
          <w:sz w:val="24"/>
          <w:szCs w:val="24"/>
          <w:lang w:val="en-US"/>
        </w:rPr>
        <w:t>(</w:t>
      </w:r>
      <w:r w:rsidRPr="00665F17">
        <w:rPr>
          <w:rFonts w:ascii="Times New Roman" w:hAnsi="Times New Roman" w:cs="Times New Roman"/>
          <w:sz w:val="24"/>
          <w:szCs w:val="24"/>
          <w:lang w:val="en-US"/>
        </w:rPr>
        <w:t>London</w:t>
      </w:r>
      <w:r w:rsidR="00106B66" w:rsidRPr="001C35F3">
        <w:rPr>
          <w:rFonts w:ascii="Times New Roman" w:hAnsi="Times New Roman" w:cs="Times New Roman"/>
          <w:sz w:val="24"/>
          <w:szCs w:val="24"/>
          <w:lang w:val="en-US"/>
        </w:rPr>
        <w:t>: St. Martin’s</w:t>
      </w:r>
      <w:r w:rsidRPr="00665F17">
        <w:rPr>
          <w:rFonts w:ascii="Times New Roman" w:hAnsi="Times New Roman" w:cs="Times New Roman"/>
          <w:sz w:val="24"/>
          <w:szCs w:val="24"/>
          <w:lang w:val="en-US"/>
        </w:rPr>
        <w:t>, 1968</w:t>
      </w:r>
      <w:r w:rsidR="00BD31B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116</w:t>
      </w:r>
      <w:r w:rsidR="00E740A2"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74.</w:t>
      </w:r>
    </w:p>
  </w:endnote>
  <w:endnote w:id="36">
    <w:p w14:paraId="37A89D2C" w14:textId="566D9D32"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See A</w:t>
      </w:r>
      <w:r w:rsidR="002172B4" w:rsidRPr="001C35F3">
        <w:rPr>
          <w:rFonts w:ascii="Times New Roman" w:hAnsi="Times New Roman" w:cs="Times New Roman"/>
          <w:sz w:val="24"/>
          <w:szCs w:val="24"/>
          <w:lang w:val="en-US"/>
        </w:rPr>
        <w:t>llen</w:t>
      </w:r>
      <w:r w:rsidRPr="00665F17">
        <w:rPr>
          <w:rFonts w:ascii="Times New Roman" w:hAnsi="Times New Roman" w:cs="Times New Roman"/>
          <w:sz w:val="24"/>
          <w:szCs w:val="24"/>
          <w:lang w:val="en-US"/>
        </w:rPr>
        <w:t xml:space="preserve"> Buchanan, </w:t>
      </w:r>
      <w:r w:rsidRPr="00665F17">
        <w:rPr>
          <w:rFonts w:ascii="Times New Roman" w:hAnsi="Times New Roman" w:cs="Times New Roman"/>
          <w:i/>
          <w:sz w:val="24"/>
          <w:szCs w:val="24"/>
          <w:lang w:val="en-US"/>
        </w:rPr>
        <w:t>Justice, Legitimacy</w:t>
      </w:r>
      <w:r w:rsidR="002172B4"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and Self-determination</w:t>
      </w:r>
      <w:r w:rsidR="002172B4" w:rsidRPr="001C35F3">
        <w:rPr>
          <w:rFonts w:ascii="Times New Roman" w:hAnsi="Times New Roman" w:cs="Times New Roman"/>
          <w:i/>
          <w:sz w:val="24"/>
          <w:szCs w:val="24"/>
          <w:lang w:val="en-US"/>
        </w:rPr>
        <w:t>:</w:t>
      </w:r>
      <w:r w:rsidRPr="00665F17">
        <w:rPr>
          <w:rFonts w:ascii="Times New Roman" w:hAnsi="Times New Roman" w:cs="Times New Roman"/>
          <w:i/>
          <w:sz w:val="24"/>
          <w:szCs w:val="24"/>
          <w:lang w:val="en-US"/>
        </w:rPr>
        <w:t xml:space="preserve"> Moral Foundations of International Law</w:t>
      </w:r>
      <w:r w:rsidRPr="00665F17">
        <w:rPr>
          <w:rFonts w:ascii="Times New Roman" w:hAnsi="Times New Roman" w:cs="Times New Roman"/>
          <w:iCs/>
          <w:sz w:val="24"/>
          <w:szCs w:val="24"/>
          <w:lang w:val="en-US"/>
        </w:rPr>
        <w:t xml:space="preserve"> </w:t>
      </w:r>
      <w:r w:rsidR="002172B4" w:rsidRPr="001C35F3">
        <w:rPr>
          <w:rFonts w:ascii="Times New Roman" w:hAnsi="Times New Roman" w:cs="Times New Roman"/>
          <w:iCs/>
          <w:sz w:val="24"/>
          <w:szCs w:val="24"/>
          <w:lang w:val="en-US"/>
        </w:rPr>
        <w:t>(</w:t>
      </w:r>
      <w:r w:rsidRPr="00665F17">
        <w:rPr>
          <w:rFonts w:ascii="Times New Roman" w:hAnsi="Times New Roman" w:cs="Times New Roman"/>
          <w:sz w:val="24"/>
          <w:szCs w:val="24"/>
          <w:lang w:val="en-US"/>
        </w:rPr>
        <w:t>Oxford</w:t>
      </w:r>
      <w:r w:rsidR="002172B4" w:rsidRPr="001C35F3">
        <w:rPr>
          <w:rFonts w:ascii="Times New Roman" w:hAnsi="Times New Roman" w:cs="Times New Roman"/>
          <w:sz w:val="24"/>
          <w:szCs w:val="24"/>
          <w:lang w:val="en-US"/>
        </w:rPr>
        <w:t>: Oxford University Press</w:t>
      </w:r>
      <w:r w:rsidRPr="00665F17">
        <w:rPr>
          <w:rFonts w:ascii="Times New Roman" w:hAnsi="Times New Roman" w:cs="Times New Roman"/>
          <w:sz w:val="24"/>
          <w:szCs w:val="24"/>
          <w:lang w:val="en-US"/>
        </w:rPr>
        <w:t>, 2007</w:t>
      </w:r>
      <w:r w:rsidR="002172B4"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w:t>
      </w:r>
      <w:r w:rsidR="002172B4" w:rsidRPr="001C35F3">
        <w:rPr>
          <w:rFonts w:ascii="Times New Roman" w:hAnsi="Times New Roman" w:cs="Times New Roman"/>
          <w:sz w:val="24"/>
          <w:szCs w:val="24"/>
          <w:lang w:val="en-US"/>
        </w:rPr>
        <w:t xml:space="preserve"> and</w:t>
      </w:r>
      <w:r w:rsidRPr="00665F17">
        <w:rPr>
          <w:rFonts w:ascii="Times New Roman" w:hAnsi="Times New Roman" w:cs="Times New Roman"/>
          <w:sz w:val="24"/>
          <w:szCs w:val="24"/>
          <w:lang w:val="en-US"/>
        </w:rPr>
        <w:t xml:space="preserve"> L</w:t>
      </w:r>
      <w:r w:rsidR="002172B4" w:rsidRPr="001C35F3">
        <w:rPr>
          <w:rFonts w:ascii="Times New Roman" w:hAnsi="Times New Roman" w:cs="Times New Roman"/>
          <w:sz w:val="24"/>
          <w:szCs w:val="24"/>
          <w:lang w:val="en-US"/>
        </w:rPr>
        <w:t>on</w:t>
      </w:r>
      <w:r w:rsidRPr="00665F17">
        <w:rPr>
          <w:rFonts w:ascii="Times New Roman" w:hAnsi="Times New Roman" w:cs="Times New Roman"/>
          <w:sz w:val="24"/>
          <w:szCs w:val="24"/>
          <w:lang w:val="en-US"/>
        </w:rPr>
        <w:t xml:space="preserve"> Fuller, </w:t>
      </w:r>
      <w:r w:rsidRPr="00665F17">
        <w:rPr>
          <w:rFonts w:ascii="Times New Roman" w:hAnsi="Times New Roman" w:cs="Times New Roman"/>
          <w:i/>
          <w:sz w:val="24"/>
          <w:szCs w:val="24"/>
          <w:lang w:val="en-US"/>
        </w:rPr>
        <w:t>The Morality of Law</w:t>
      </w:r>
      <w:r w:rsidRPr="00665F17">
        <w:rPr>
          <w:rFonts w:ascii="Times New Roman" w:hAnsi="Times New Roman" w:cs="Times New Roman"/>
          <w:iCs/>
          <w:sz w:val="24"/>
          <w:szCs w:val="24"/>
          <w:lang w:val="en-US"/>
        </w:rPr>
        <w:t xml:space="preserve"> </w:t>
      </w:r>
      <w:r w:rsidR="00EA4F9D" w:rsidRPr="001C35F3">
        <w:rPr>
          <w:rFonts w:ascii="Times New Roman" w:hAnsi="Times New Roman" w:cs="Times New Roman"/>
          <w:iCs/>
          <w:sz w:val="24"/>
          <w:szCs w:val="24"/>
          <w:lang w:val="en-US"/>
        </w:rPr>
        <w:t>(</w:t>
      </w:r>
      <w:r w:rsidRPr="00665F17">
        <w:rPr>
          <w:rFonts w:ascii="Times New Roman" w:hAnsi="Times New Roman" w:cs="Times New Roman"/>
          <w:sz w:val="24"/>
          <w:szCs w:val="24"/>
          <w:lang w:val="en-US"/>
        </w:rPr>
        <w:t>New Haven</w:t>
      </w:r>
      <w:r w:rsidR="00EA4F9D" w:rsidRPr="001C35F3">
        <w:rPr>
          <w:rFonts w:ascii="Times New Roman" w:hAnsi="Times New Roman" w:cs="Times New Roman"/>
          <w:sz w:val="24"/>
          <w:szCs w:val="24"/>
          <w:lang w:val="en-US"/>
        </w:rPr>
        <w:t>: Yale University Press</w:t>
      </w:r>
      <w:r w:rsidRPr="00665F17">
        <w:rPr>
          <w:rFonts w:ascii="Times New Roman" w:hAnsi="Times New Roman" w:cs="Times New Roman"/>
          <w:sz w:val="24"/>
          <w:szCs w:val="24"/>
          <w:lang w:val="en-US"/>
        </w:rPr>
        <w:t>, 1969</w:t>
      </w:r>
      <w:r w:rsidR="00EA4F9D"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p>
  </w:endnote>
  <w:endnote w:id="37">
    <w:p w14:paraId="2EFA1BBD" w14:textId="25B3B28E"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J</w:t>
      </w:r>
      <w:r w:rsidR="00B317E1" w:rsidRPr="001C35F3">
        <w:rPr>
          <w:rFonts w:ascii="Times New Roman" w:hAnsi="Times New Roman" w:cs="Times New Roman"/>
          <w:sz w:val="24"/>
          <w:szCs w:val="24"/>
          <w:lang w:val="en-US"/>
        </w:rPr>
        <w:t>an</w:t>
      </w:r>
      <w:r w:rsidRPr="00665F17">
        <w:rPr>
          <w:rFonts w:ascii="Times New Roman" w:hAnsi="Times New Roman" w:cs="Times New Roman"/>
          <w:sz w:val="24"/>
          <w:szCs w:val="24"/>
          <w:lang w:val="en-US"/>
        </w:rPr>
        <w:t xml:space="preserve"> </w:t>
      </w:r>
      <w:r w:rsidR="00890FBA" w:rsidRPr="001C35F3">
        <w:rPr>
          <w:rFonts w:ascii="Times New Roman" w:hAnsi="Times New Roman" w:cs="Times New Roman"/>
          <w:sz w:val="24"/>
          <w:szCs w:val="24"/>
          <w:lang w:val="en-US"/>
        </w:rPr>
        <w:t>K</w:t>
      </w:r>
      <w:r w:rsidRPr="00665F17">
        <w:rPr>
          <w:rFonts w:ascii="Times New Roman" w:hAnsi="Times New Roman" w:cs="Times New Roman"/>
          <w:sz w:val="24"/>
          <w:szCs w:val="24"/>
          <w:lang w:val="en-US"/>
        </w:rPr>
        <w:t>labbers, A</w:t>
      </w:r>
      <w:r w:rsidR="00B317E1" w:rsidRPr="001C35F3">
        <w:rPr>
          <w:rFonts w:ascii="Times New Roman" w:hAnsi="Times New Roman" w:cs="Times New Roman"/>
          <w:sz w:val="24"/>
          <w:szCs w:val="24"/>
          <w:lang w:val="en-US"/>
        </w:rPr>
        <w:t>nne</w:t>
      </w:r>
      <w:r w:rsidRPr="00665F17">
        <w:rPr>
          <w:rFonts w:ascii="Times New Roman" w:hAnsi="Times New Roman" w:cs="Times New Roman"/>
          <w:sz w:val="24"/>
          <w:szCs w:val="24"/>
          <w:lang w:val="en-US"/>
        </w:rPr>
        <w:t xml:space="preserve"> Peters, </w:t>
      </w:r>
      <w:r w:rsidR="00890FBA" w:rsidRPr="001C35F3">
        <w:rPr>
          <w:rFonts w:ascii="Times New Roman" w:hAnsi="Times New Roman" w:cs="Times New Roman"/>
          <w:sz w:val="24"/>
          <w:szCs w:val="24"/>
          <w:lang w:val="en-US"/>
        </w:rPr>
        <w:t xml:space="preserve">and </w:t>
      </w:r>
      <w:r w:rsidRPr="00665F17">
        <w:rPr>
          <w:rFonts w:ascii="Times New Roman" w:hAnsi="Times New Roman" w:cs="Times New Roman"/>
          <w:sz w:val="24"/>
          <w:szCs w:val="24"/>
          <w:lang w:val="en-US"/>
        </w:rPr>
        <w:t>G</w:t>
      </w:r>
      <w:r w:rsidR="00B317E1" w:rsidRPr="001C35F3">
        <w:rPr>
          <w:rFonts w:ascii="Times New Roman" w:hAnsi="Times New Roman" w:cs="Times New Roman"/>
          <w:sz w:val="24"/>
          <w:szCs w:val="24"/>
          <w:lang w:val="en-US"/>
        </w:rPr>
        <w:t>eir</w:t>
      </w:r>
      <w:r w:rsidRPr="00665F17">
        <w:rPr>
          <w:rFonts w:ascii="Times New Roman" w:hAnsi="Times New Roman" w:cs="Times New Roman"/>
          <w:sz w:val="24"/>
          <w:szCs w:val="24"/>
          <w:lang w:val="en-US"/>
        </w:rPr>
        <w:t xml:space="preserve"> Ulfstein, </w:t>
      </w:r>
      <w:r w:rsidRPr="00665F17">
        <w:rPr>
          <w:rFonts w:ascii="Times New Roman" w:hAnsi="Times New Roman" w:cs="Times New Roman"/>
          <w:i/>
          <w:sz w:val="24"/>
          <w:szCs w:val="24"/>
          <w:lang w:val="en-US"/>
        </w:rPr>
        <w:t xml:space="preserve">The </w:t>
      </w:r>
      <w:r w:rsidR="00104F45" w:rsidRPr="001C35F3">
        <w:rPr>
          <w:rFonts w:ascii="Times New Roman" w:hAnsi="Times New Roman" w:cs="Times New Roman"/>
          <w:i/>
          <w:sz w:val="24"/>
          <w:szCs w:val="24"/>
          <w:lang w:val="en-US"/>
        </w:rPr>
        <w:t>C</w:t>
      </w:r>
      <w:r w:rsidRPr="00665F17">
        <w:rPr>
          <w:rFonts w:ascii="Times New Roman" w:hAnsi="Times New Roman" w:cs="Times New Roman"/>
          <w:i/>
          <w:sz w:val="24"/>
          <w:szCs w:val="24"/>
          <w:lang w:val="en-US"/>
        </w:rPr>
        <w:t>onstitutionalization of</w:t>
      </w:r>
      <w:r w:rsidR="00023A42" w:rsidRPr="00665F17">
        <w:rPr>
          <w:rFonts w:ascii="Times New Roman" w:hAnsi="Times New Roman" w:cs="Times New Roman"/>
          <w:i/>
          <w:sz w:val="24"/>
          <w:szCs w:val="24"/>
          <w:lang w:val="en-US"/>
        </w:rPr>
        <w:t xml:space="preserve"> </w:t>
      </w:r>
      <w:r w:rsidRPr="00665F17">
        <w:rPr>
          <w:rFonts w:ascii="Times New Roman" w:hAnsi="Times New Roman" w:cs="Times New Roman"/>
          <w:i/>
          <w:sz w:val="24"/>
          <w:szCs w:val="24"/>
          <w:lang w:val="en-US"/>
        </w:rPr>
        <w:t xml:space="preserve">International </w:t>
      </w:r>
      <w:r w:rsidR="00104F45" w:rsidRPr="001C35F3">
        <w:rPr>
          <w:rFonts w:ascii="Times New Roman" w:hAnsi="Times New Roman" w:cs="Times New Roman"/>
          <w:i/>
          <w:sz w:val="24"/>
          <w:szCs w:val="24"/>
          <w:lang w:val="en-US"/>
        </w:rPr>
        <w:t>L</w:t>
      </w:r>
      <w:r w:rsidRPr="00665F17">
        <w:rPr>
          <w:rFonts w:ascii="Times New Roman" w:hAnsi="Times New Roman" w:cs="Times New Roman"/>
          <w:i/>
          <w:sz w:val="24"/>
          <w:szCs w:val="24"/>
          <w:lang w:val="en-US"/>
        </w:rPr>
        <w:t>aw</w:t>
      </w:r>
      <w:r w:rsidRPr="00665F17">
        <w:rPr>
          <w:rFonts w:ascii="Times New Roman" w:hAnsi="Times New Roman" w:cs="Times New Roman"/>
          <w:iCs/>
          <w:sz w:val="24"/>
          <w:szCs w:val="24"/>
          <w:lang w:val="en-US"/>
        </w:rPr>
        <w:t xml:space="preserve"> </w:t>
      </w:r>
      <w:r w:rsidR="00104F45" w:rsidRPr="001C35F3">
        <w:rPr>
          <w:rFonts w:ascii="Times New Roman" w:hAnsi="Times New Roman" w:cs="Times New Roman"/>
          <w:iCs/>
          <w:sz w:val="24"/>
          <w:szCs w:val="24"/>
          <w:lang w:val="en-US"/>
        </w:rPr>
        <w:t>(</w:t>
      </w:r>
      <w:r w:rsidRPr="00665F17">
        <w:rPr>
          <w:rFonts w:ascii="Times New Roman" w:hAnsi="Times New Roman" w:cs="Times New Roman"/>
          <w:sz w:val="24"/>
          <w:szCs w:val="24"/>
          <w:lang w:val="en-US"/>
        </w:rPr>
        <w:t>Oxford</w:t>
      </w:r>
      <w:r w:rsidR="00104F45" w:rsidRPr="001C35F3">
        <w:rPr>
          <w:rFonts w:ascii="Times New Roman" w:hAnsi="Times New Roman" w:cs="Times New Roman"/>
          <w:sz w:val="24"/>
          <w:szCs w:val="24"/>
          <w:lang w:val="en-US"/>
        </w:rPr>
        <w:t>: Oxford University Press</w:t>
      </w:r>
      <w:r w:rsidRPr="00665F17">
        <w:rPr>
          <w:rFonts w:ascii="Times New Roman" w:hAnsi="Times New Roman" w:cs="Times New Roman"/>
          <w:sz w:val="24"/>
          <w:szCs w:val="24"/>
          <w:lang w:val="en-US"/>
        </w:rPr>
        <w:t>, 201</w:t>
      </w:r>
      <w:r w:rsidR="00023A42" w:rsidRPr="00665F17">
        <w:rPr>
          <w:rFonts w:ascii="Times New Roman" w:hAnsi="Times New Roman" w:cs="Times New Roman"/>
          <w:sz w:val="24"/>
          <w:szCs w:val="24"/>
          <w:lang w:val="en-US"/>
        </w:rPr>
        <w:t>1</w:t>
      </w:r>
      <w:r w:rsidR="00104F45" w:rsidRPr="001C35F3">
        <w:rPr>
          <w:rFonts w:ascii="Times New Roman" w:hAnsi="Times New Roman" w:cs="Times New Roman"/>
          <w:sz w:val="24"/>
          <w:szCs w:val="24"/>
          <w:lang w:val="en-US"/>
        </w:rPr>
        <w:t>)</w:t>
      </w:r>
      <w:r w:rsidR="00023A42" w:rsidRPr="00665F17">
        <w:rPr>
          <w:rFonts w:ascii="Times New Roman" w:hAnsi="Times New Roman" w:cs="Times New Roman"/>
          <w:sz w:val="24"/>
          <w:szCs w:val="24"/>
          <w:lang w:val="en-US"/>
        </w:rPr>
        <w:t>.</w:t>
      </w:r>
    </w:p>
  </w:endnote>
  <w:endnote w:id="38">
    <w:p w14:paraId="1C1F00A6" w14:textId="38207812" w:rsidR="006079F6" w:rsidRPr="00665F17" w:rsidRDefault="006079F6" w:rsidP="00665F17">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rPr>
        <w:endnoteRef/>
      </w:r>
      <w:r w:rsidRPr="00665F17">
        <w:rPr>
          <w:rFonts w:ascii="Times New Roman" w:hAnsi="Times New Roman" w:cs="Times New Roman"/>
          <w:sz w:val="24"/>
          <w:szCs w:val="24"/>
        </w:rPr>
        <w:t xml:space="preserve"> </w:t>
      </w:r>
      <w:r w:rsidR="001C35F3" w:rsidRPr="00B4703C">
        <w:rPr>
          <w:rFonts w:ascii="Times New Roman" w:hAnsi="Times New Roman" w:cs="Times New Roman"/>
          <w:sz w:val="24"/>
          <w:szCs w:val="24"/>
        </w:rPr>
        <w:t xml:space="preserve">ICJ, </w:t>
      </w:r>
      <w:r w:rsidR="001C35F3" w:rsidRPr="00B4703C">
        <w:rPr>
          <w:rFonts w:ascii="Times New Roman" w:hAnsi="Times New Roman" w:cs="Times New Roman"/>
          <w:i/>
          <w:iCs/>
          <w:sz w:val="24"/>
          <w:szCs w:val="24"/>
        </w:rPr>
        <w:t>Military and Paramilitary Activities in and against Nicaragua (Nicaragua v. United States of America)</w:t>
      </w:r>
      <w:r w:rsidR="001C35F3" w:rsidRPr="00B4703C">
        <w:rPr>
          <w:rFonts w:ascii="Times New Roman" w:hAnsi="Times New Roman" w:cs="Times New Roman"/>
          <w:sz w:val="24"/>
          <w:szCs w:val="24"/>
        </w:rPr>
        <w:t>, Judgment, 26 November 1984, https://www.icj-cij.org/public/files/case-related/70/070-19841126-JUD-01-00-EN.pdf</w:t>
      </w:r>
      <w:r w:rsidR="00B4703C">
        <w:rPr>
          <w:rFonts w:ascii="Times New Roman" w:hAnsi="Times New Roman" w:cs="Times New Roman"/>
          <w:sz w:val="24"/>
          <w:szCs w:val="24"/>
        </w:rPr>
        <w:t>.</w:t>
      </w:r>
    </w:p>
  </w:endnote>
  <w:endnote w:id="39">
    <w:p w14:paraId="3635121F" w14:textId="6F5B5148"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D81A47" w:rsidRPr="001C35F3">
        <w:rPr>
          <w:rFonts w:ascii="Times New Roman" w:hAnsi="Times New Roman" w:cs="Times New Roman"/>
          <w:sz w:val="24"/>
          <w:szCs w:val="24"/>
          <w:lang w:val="en-US"/>
        </w:rPr>
        <w:t xml:space="preserve">UN doc. </w:t>
      </w:r>
      <w:r w:rsidRPr="00665F17">
        <w:rPr>
          <w:rFonts w:ascii="Times New Roman" w:hAnsi="Times New Roman" w:cs="Times New Roman"/>
          <w:sz w:val="24"/>
          <w:szCs w:val="24"/>
          <w:lang w:val="en-US"/>
        </w:rPr>
        <w:t>S/</w:t>
      </w:r>
      <w:r w:rsidR="00D81A47" w:rsidRPr="001C35F3">
        <w:rPr>
          <w:rFonts w:ascii="Times New Roman" w:hAnsi="Times New Roman" w:cs="Times New Roman"/>
          <w:sz w:val="24"/>
          <w:szCs w:val="24"/>
          <w:lang w:val="en-US"/>
        </w:rPr>
        <w:t>RES</w:t>
      </w:r>
      <w:r w:rsidRPr="00665F17">
        <w:rPr>
          <w:rFonts w:ascii="Times New Roman" w:hAnsi="Times New Roman" w:cs="Times New Roman"/>
          <w:sz w:val="24"/>
          <w:szCs w:val="24"/>
          <w:lang w:val="en-US"/>
        </w:rPr>
        <w:t>/2100</w:t>
      </w:r>
      <w:r w:rsidR="00D81A47" w:rsidRPr="001C35F3">
        <w:rPr>
          <w:rFonts w:ascii="Times New Roman" w:hAnsi="Times New Roman" w:cs="Times New Roman"/>
          <w:sz w:val="24"/>
          <w:szCs w:val="24"/>
          <w:lang w:val="en-US"/>
        </w:rPr>
        <w:t>, 25 April</w:t>
      </w:r>
      <w:r w:rsidRPr="00665F17">
        <w:rPr>
          <w:rFonts w:ascii="Times New Roman" w:hAnsi="Times New Roman" w:cs="Times New Roman"/>
          <w:sz w:val="24"/>
          <w:szCs w:val="24"/>
          <w:lang w:val="en-US"/>
        </w:rPr>
        <w:t xml:space="preserve"> 2013. The MINUSMA mandate </w:t>
      </w:r>
      <w:r w:rsidR="00D81A47" w:rsidRPr="001C35F3">
        <w:rPr>
          <w:rFonts w:ascii="Times New Roman" w:hAnsi="Times New Roman" w:cs="Times New Roman"/>
          <w:sz w:val="24"/>
          <w:szCs w:val="24"/>
          <w:lang w:val="en-US"/>
        </w:rPr>
        <w:t xml:space="preserve">was </w:t>
      </w:r>
      <w:r w:rsidRPr="00665F17">
        <w:rPr>
          <w:rFonts w:ascii="Times New Roman" w:hAnsi="Times New Roman" w:cs="Times New Roman"/>
          <w:sz w:val="24"/>
          <w:szCs w:val="24"/>
          <w:lang w:val="en-US"/>
        </w:rPr>
        <w:t xml:space="preserve">extended </w:t>
      </w:r>
      <w:r w:rsidR="00D81A47" w:rsidRPr="001C35F3">
        <w:rPr>
          <w:rFonts w:ascii="Times New Roman" w:hAnsi="Times New Roman" w:cs="Times New Roman"/>
          <w:sz w:val="24"/>
          <w:szCs w:val="24"/>
          <w:lang w:val="en-US"/>
        </w:rPr>
        <w:t xml:space="preserve">in </w:t>
      </w:r>
      <w:r w:rsidRPr="00665F17">
        <w:rPr>
          <w:rFonts w:ascii="Times New Roman" w:hAnsi="Times New Roman" w:cs="Times New Roman"/>
          <w:sz w:val="24"/>
          <w:szCs w:val="24"/>
          <w:lang w:val="en-US"/>
        </w:rPr>
        <w:t xml:space="preserve">Security Council </w:t>
      </w:r>
      <w:r w:rsidR="00AC263D" w:rsidRPr="001C35F3">
        <w:rPr>
          <w:rFonts w:ascii="Times New Roman" w:hAnsi="Times New Roman" w:cs="Times New Roman"/>
          <w:sz w:val="24"/>
          <w:szCs w:val="24"/>
          <w:lang w:val="en-US"/>
        </w:rPr>
        <w:t>r</w:t>
      </w:r>
      <w:r w:rsidRPr="00665F17">
        <w:rPr>
          <w:rFonts w:ascii="Times New Roman" w:hAnsi="Times New Roman" w:cs="Times New Roman"/>
          <w:sz w:val="24"/>
          <w:szCs w:val="24"/>
          <w:lang w:val="en-US"/>
        </w:rPr>
        <w:t>esolution</w:t>
      </w:r>
      <w:r w:rsidR="00023A42" w:rsidRPr="00665F17">
        <w:rPr>
          <w:rFonts w:ascii="Times New Roman" w:hAnsi="Times New Roman" w:cs="Times New Roman"/>
          <w:sz w:val="24"/>
          <w:szCs w:val="24"/>
          <w:lang w:val="en-US"/>
        </w:rPr>
        <w:t xml:space="preserve"> </w:t>
      </w:r>
      <w:r w:rsidR="00D81A47" w:rsidRPr="001C35F3">
        <w:rPr>
          <w:rFonts w:ascii="Times New Roman" w:hAnsi="Times New Roman" w:cs="Times New Roman"/>
          <w:sz w:val="24"/>
          <w:szCs w:val="24"/>
          <w:lang w:val="en-US"/>
        </w:rPr>
        <w:t xml:space="preserve">2423, UN doc. S/RES/212423, </w:t>
      </w:r>
      <w:r w:rsidRPr="00665F17">
        <w:rPr>
          <w:rFonts w:ascii="Times New Roman" w:hAnsi="Times New Roman" w:cs="Times New Roman"/>
          <w:sz w:val="24"/>
          <w:szCs w:val="24"/>
          <w:lang w:val="en-US"/>
        </w:rPr>
        <w:t>28 June 2018.</w:t>
      </w:r>
    </w:p>
  </w:endnote>
  <w:endnote w:id="40">
    <w:p w14:paraId="67E5DDCA" w14:textId="66942F45"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The effectiveness of the MINUSMA </w:t>
      </w:r>
      <w:r w:rsidR="003F1EB8" w:rsidRPr="001C35F3">
        <w:rPr>
          <w:rFonts w:ascii="Times New Roman" w:hAnsi="Times New Roman" w:cs="Times New Roman"/>
          <w:sz w:val="24"/>
          <w:szCs w:val="24"/>
          <w:lang w:val="en-US"/>
        </w:rPr>
        <w:t>r</w:t>
      </w:r>
      <w:r w:rsidRPr="00665F17">
        <w:rPr>
          <w:rFonts w:ascii="Times New Roman" w:hAnsi="Times New Roman" w:cs="Times New Roman"/>
          <w:sz w:val="24"/>
          <w:szCs w:val="24"/>
          <w:lang w:val="en-US"/>
        </w:rPr>
        <w:t>esolution with regard to the protection of cultural heritage remains untested</w:t>
      </w:r>
      <w:r w:rsidR="004428D9"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especially since</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it </w:t>
      </w:r>
      <w:r w:rsidR="008F609E">
        <w:rPr>
          <w:rFonts w:ascii="Times New Roman" w:hAnsi="Times New Roman" w:cs="Times New Roman"/>
          <w:sz w:val="24"/>
          <w:szCs w:val="24"/>
          <w:lang w:val="en-US"/>
        </w:rPr>
        <w:t>is</w:t>
      </w:r>
      <w:r w:rsidR="008F609E"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unclear how the specialized personnel competent for the conservation and protection of cultural heritage can be integrated in</w:t>
      </w:r>
      <w:r w:rsidR="004428D9" w:rsidRPr="001C35F3">
        <w:rPr>
          <w:rFonts w:ascii="Times New Roman" w:hAnsi="Times New Roman" w:cs="Times New Roman"/>
          <w:sz w:val="24"/>
          <w:szCs w:val="24"/>
          <w:lang w:val="en-US"/>
        </w:rPr>
        <w:t>to</w:t>
      </w:r>
      <w:r w:rsidRPr="00665F17">
        <w:rPr>
          <w:rFonts w:ascii="Times New Roman" w:hAnsi="Times New Roman" w:cs="Times New Roman"/>
          <w:sz w:val="24"/>
          <w:szCs w:val="24"/>
          <w:lang w:val="en-US"/>
        </w:rPr>
        <w:t xml:space="preserve"> the security forces and how their safety can be guaranteed</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in the absence of full demilitarization of the relevant areas and of sufficient institutional control. </w:t>
      </w:r>
      <w:r w:rsidRPr="004B20AE">
        <w:rPr>
          <w:rFonts w:ascii="Times New Roman" w:hAnsi="Times New Roman" w:cs="Times New Roman"/>
          <w:sz w:val="24"/>
          <w:szCs w:val="24"/>
          <w:lang w:val="en-US"/>
        </w:rPr>
        <w:t>For an in</w:t>
      </w:r>
      <w:r w:rsidR="00726EFB" w:rsidRPr="004B20AE">
        <w:rPr>
          <w:rFonts w:ascii="Times New Roman" w:hAnsi="Times New Roman" w:cs="Times New Roman"/>
          <w:sz w:val="24"/>
          <w:szCs w:val="24"/>
          <w:lang w:val="en-US"/>
        </w:rPr>
        <w:t>-</w:t>
      </w:r>
      <w:r w:rsidRPr="004B20AE">
        <w:rPr>
          <w:rFonts w:ascii="Times New Roman" w:hAnsi="Times New Roman" w:cs="Times New Roman"/>
          <w:sz w:val="24"/>
          <w:szCs w:val="24"/>
          <w:lang w:val="en-US"/>
        </w:rPr>
        <w:t>depth analysis of these problems, see L</w:t>
      </w:r>
      <w:r w:rsidR="00FB1CD4" w:rsidRPr="004B20AE">
        <w:rPr>
          <w:rFonts w:ascii="Times New Roman" w:hAnsi="Times New Roman" w:cs="Times New Roman"/>
          <w:sz w:val="24"/>
          <w:szCs w:val="24"/>
          <w:lang w:val="en-US"/>
        </w:rPr>
        <w:t>aura</w:t>
      </w:r>
      <w:r w:rsidRPr="004B20AE">
        <w:rPr>
          <w:rFonts w:ascii="Times New Roman" w:hAnsi="Times New Roman" w:cs="Times New Roman"/>
          <w:sz w:val="24"/>
          <w:szCs w:val="24"/>
          <w:lang w:val="en-US"/>
        </w:rPr>
        <w:t xml:space="preserve"> Pineschi, “Tutela internazionale del patrimonio culturale e missioni di pace delle Nazioni Unite: un binomio possibile? </w:t>
      </w:r>
      <w:r w:rsidRPr="00665F17">
        <w:rPr>
          <w:rFonts w:ascii="Times New Roman" w:hAnsi="Times New Roman" w:cs="Times New Roman"/>
          <w:sz w:val="24"/>
          <w:szCs w:val="24"/>
          <w:lang w:val="en-US"/>
        </w:rPr>
        <w:t>Il caso MINUSMA</w:t>
      </w:r>
      <w:r w:rsidR="00EB72A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Pr="00665F17">
        <w:rPr>
          <w:rFonts w:ascii="Times New Roman" w:hAnsi="Times New Roman" w:cs="Times New Roman"/>
          <w:i/>
          <w:iCs/>
          <w:sz w:val="24"/>
          <w:szCs w:val="24"/>
          <w:lang w:val="en-US"/>
        </w:rPr>
        <w:t>Rivista di diritto internazionale</w:t>
      </w:r>
      <w:r w:rsidR="00FB1CD4" w:rsidRPr="001C35F3">
        <w:rPr>
          <w:rFonts w:ascii="Times New Roman" w:hAnsi="Times New Roman" w:cs="Times New Roman"/>
          <w:sz w:val="24"/>
          <w:szCs w:val="24"/>
          <w:lang w:val="en-US"/>
        </w:rPr>
        <w:t xml:space="preserve"> 101 (</w:t>
      </w:r>
      <w:r w:rsidRPr="00665F17">
        <w:rPr>
          <w:rFonts w:ascii="Times New Roman" w:hAnsi="Times New Roman" w:cs="Times New Roman"/>
          <w:sz w:val="24"/>
          <w:szCs w:val="24"/>
          <w:lang w:val="en-US"/>
        </w:rPr>
        <w:t>2018</w:t>
      </w:r>
      <w:r w:rsidR="00FB1CD4"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5</w:t>
      </w:r>
      <w:r w:rsidR="00E740A2"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57.</w:t>
      </w:r>
    </w:p>
  </w:endnote>
  <w:endnote w:id="41">
    <w:p w14:paraId="382F1A9E" w14:textId="3B6586A9"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132137" w:rsidRPr="001C35F3">
        <w:rPr>
          <w:rFonts w:ascii="Times New Roman" w:hAnsi="Times New Roman" w:cs="Times New Roman"/>
          <w:sz w:val="24"/>
          <w:szCs w:val="24"/>
          <w:lang w:val="en-US"/>
        </w:rPr>
        <w:t xml:space="preserve"> ICJ,</w:t>
      </w:r>
      <w:r w:rsidRPr="00665F17">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 xml:space="preserve">Legal </w:t>
      </w:r>
      <w:r w:rsidR="009E46A5" w:rsidRPr="001C35F3">
        <w:rPr>
          <w:rFonts w:ascii="Times New Roman" w:hAnsi="Times New Roman" w:cs="Times New Roman"/>
          <w:i/>
          <w:sz w:val="24"/>
          <w:szCs w:val="24"/>
          <w:lang w:val="en-US"/>
        </w:rPr>
        <w:t>C</w:t>
      </w:r>
      <w:r w:rsidRPr="00665F17">
        <w:rPr>
          <w:rFonts w:ascii="Times New Roman" w:hAnsi="Times New Roman" w:cs="Times New Roman"/>
          <w:i/>
          <w:sz w:val="24"/>
          <w:szCs w:val="24"/>
          <w:lang w:val="en-US"/>
        </w:rPr>
        <w:t xml:space="preserve">onsequences for States of the Continued Presence of South </w:t>
      </w:r>
      <w:r w:rsidR="00C664EB" w:rsidRPr="001C35F3">
        <w:rPr>
          <w:rFonts w:ascii="Times New Roman" w:hAnsi="Times New Roman" w:cs="Times New Roman"/>
          <w:i/>
          <w:sz w:val="24"/>
          <w:szCs w:val="24"/>
          <w:lang w:val="en-US"/>
        </w:rPr>
        <w:t>A</w:t>
      </w:r>
      <w:r w:rsidRPr="00665F17">
        <w:rPr>
          <w:rFonts w:ascii="Times New Roman" w:hAnsi="Times New Roman" w:cs="Times New Roman"/>
          <w:i/>
          <w:sz w:val="24"/>
          <w:szCs w:val="24"/>
          <w:lang w:val="en-US"/>
        </w:rPr>
        <w:t>frica in Namibia</w:t>
      </w:r>
      <w:r w:rsidR="009E46A5" w:rsidRPr="001C35F3">
        <w:rPr>
          <w:rFonts w:ascii="Times New Roman" w:hAnsi="Times New Roman" w:cs="Times New Roman"/>
          <w:i/>
          <w:sz w:val="24"/>
          <w:szCs w:val="24"/>
          <w:lang w:val="en-US"/>
        </w:rPr>
        <w:t xml:space="preserve"> (South West Africa) notwithstanding Security Council Resolution 276 (1970)</w:t>
      </w:r>
      <w:r w:rsidRPr="00665F17">
        <w:rPr>
          <w:rFonts w:ascii="Times New Roman" w:hAnsi="Times New Roman" w:cs="Times New Roman"/>
          <w:iCs/>
          <w:sz w:val="24"/>
          <w:szCs w:val="24"/>
          <w:lang w:val="en-US"/>
        </w:rPr>
        <w:t>,</w:t>
      </w:r>
      <w:r w:rsidRPr="00665F17">
        <w:rPr>
          <w:rFonts w:ascii="Times New Roman" w:hAnsi="Times New Roman" w:cs="Times New Roman"/>
          <w:sz w:val="24"/>
          <w:szCs w:val="24"/>
          <w:lang w:val="en-US"/>
        </w:rPr>
        <w:t xml:space="preserve"> Advisory Opinion</w:t>
      </w:r>
      <w:r w:rsidR="00992CD4"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21 June 1971</w:t>
      </w:r>
      <w:r w:rsidRPr="00665F17">
        <w:rPr>
          <w:rFonts w:ascii="Times New Roman" w:hAnsi="Times New Roman" w:cs="Times New Roman"/>
          <w:iCs/>
          <w:sz w:val="24"/>
          <w:szCs w:val="24"/>
          <w:lang w:val="en-US"/>
        </w:rPr>
        <w:t>,</w:t>
      </w:r>
      <w:r w:rsidR="00AE0A20" w:rsidRPr="00665F17">
        <w:rPr>
          <w:rFonts w:ascii="Times New Roman" w:hAnsi="Times New Roman" w:cs="Times New Roman"/>
          <w:sz w:val="24"/>
          <w:szCs w:val="24"/>
        </w:rPr>
        <w:t xml:space="preserve"> </w:t>
      </w:r>
      <w:r w:rsidR="00AE0A20" w:rsidRPr="001C35F3">
        <w:rPr>
          <w:rFonts w:ascii="Times New Roman" w:hAnsi="Times New Roman" w:cs="Times New Roman"/>
          <w:iCs/>
          <w:sz w:val="24"/>
          <w:szCs w:val="24"/>
          <w:lang w:val="en-US"/>
        </w:rPr>
        <w:t>https://www.icj-cij.org/public/files/case-related/53/053-19710621-ADV-01-00-EN.pdf</w:t>
      </w:r>
      <w:r w:rsidRPr="00665F17">
        <w:rPr>
          <w:rFonts w:ascii="Times New Roman" w:hAnsi="Times New Roman" w:cs="Times New Roman"/>
          <w:iCs/>
          <w:sz w:val="24"/>
          <w:szCs w:val="24"/>
          <w:lang w:val="en-US"/>
        </w:rPr>
        <w:t>.</w:t>
      </w:r>
    </w:p>
  </w:endnote>
  <w:endnote w:id="42">
    <w:p w14:paraId="4B20D627" w14:textId="650B07FE" w:rsidR="001A62EE" w:rsidRPr="00665F17" w:rsidRDefault="001A62EE">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831063" w:rsidRPr="001C35F3">
        <w:rPr>
          <w:rFonts w:ascii="Times New Roman" w:hAnsi="Times New Roman" w:cs="Times New Roman"/>
          <w:sz w:val="24"/>
          <w:szCs w:val="24"/>
          <w:lang w:val="en-US"/>
        </w:rPr>
        <w:t>ICJ,</w:t>
      </w:r>
      <w:r w:rsidRPr="00665F17">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Western Sahara</w:t>
      </w:r>
      <w:r w:rsidRPr="00665F17">
        <w:rPr>
          <w:rFonts w:ascii="Times New Roman" w:hAnsi="Times New Roman" w:cs="Times New Roman"/>
          <w:iCs/>
          <w:sz w:val="24"/>
          <w:szCs w:val="24"/>
          <w:lang w:val="en-US"/>
        </w:rPr>
        <w:t xml:space="preserve">, </w:t>
      </w:r>
      <w:r w:rsidR="00831063" w:rsidRPr="001C35F3">
        <w:rPr>
          <w:rFonts w:ascii="Times New Roman" w:hAnsi="Times New Roman" w:cs="Times New Roman"/>
          <w:sz w:val="24"/>
          <w:szCs w:val="24"/>
          <w:lang w:val="en-US"/>
        </w:rPr>
        <w:t xml:space="preserve">Advisory Opinion, </w:t>
      </w:r>
      <w:r w:rsidRPr="00665F17">
        <w:rPr>
          <w:rFonts w:ascii="Times New Roman" w:hAnsi="Times New Roman" w:cs="Times New Roman"/>
          <w:sz w:val="24"/>
          <w:szCs w:val="24"/>
          <w:lang w:val="en-US"/>
        </w:rPr>
        <w:t>1</w:t>
      </w:r>
      <w:r w:rsidR="00A938C8" w:rsidRPr="001C35F3">
        <w:rPr>
          <w:rFonts w:ascii="Times New Roman" w:hAnsi="Times New Roman" w:cs="Times New Roman"/>
          <w:sz w:val="24"/>
          <w:szCs w:val="24"/>
          <w:lang w:val="en-US"/>
        </w:rPr>
        <w:t>6</w:t>
      </w:r>
      <w:r w:rsidRPr="00665F17">
        <w:rPr>
          <w:rFonts w:ascii="Times New Roman" w:hAnsi="Times New Roman" w:cs="Times New Roman"/>
          <w:sz w:val="24"/>
          <w:szCs w:val="24"/>
          <w:lang w:val="en-US"/>
        </w:rPr>
        <w:t xml:space="preserve"> October 1975, para. 88</w:t>
      </w:r>
      <w:r w:rsidR="009C4A29" w:rsidRPr="001C35F3">
        <w:rPr>
          <w:rFonts w:ascii="Times New Roman" w:hAnsi="Times New Roman" w:cs="Times New Roman"/>
          <w:sz w:val="24"/>
          <w:szCs w:val="24"/>
          <w:lang w:val="en-US"/>
        </w:rPr>
        <w:t>, https://www.icj-cij.org/public/files/case-related/61/061-19751016-ADV-01-00-EN.pdf</w:t>
      </w:r>
      <w:r w:rsidRPr="00665F17">
        <w:rPr>
          <w:rFonts w:ascii="Times New Roman" w:hAnsi="Times New Roman" w:cs="Times New Roman"/>
          <w:sz w:val="24"/>
          <w:szCs w:val="24"/>
          <w:lang w:val="en-US"/>
        </w:rPr>
        <w:t>.</w:t>
      </w:r>
    </w:p>
  </w:endnote>
  <w:endnote w:id="43">
    <w:p w14:paraId="3E013C7F" w14:textId="013E07F9"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0074002C" w:rsidRPr="001C35F3">
        <w:rPr>
          <w:rFonts w:ascii="Times New Roman" w:hAnsi="Times New Roman" w:cs="Times New Roman"/>
          <w:sz w:val="24"/>
          <w:szCs w:val="24"/>
          <w:lang w:val="en-US"/>
        </w:rPr>
        <w:t xml:space="preserve"> ICJ,</w:t>
      </w:r>
      <w:r w:rsidRPr="00665F17">
        <w:rPr>
          <w:rFonts w:ascii="Times New Roman" w:hAnsi="Times New Roman" w:cs="Times New Roman"/>
          <w:sz w:val="24"/>
          <w:szCs w:val="24"/>
          <w:lang w:val="en-US"/>
        </w:rPr>
        <w:t xml:space="preserve"> </w:t>
      </w:r>
      <w:r w:rsidRPr="00665F17">
        <w:rPr>
          <w:rFonts w:ascii="Times New Roman" w:hAnsi="Times New Roman" w:cs="Times New Roman"/>
          <w:i/>
          <w:sz w:val="24"/>
          <w:szCs w:val="24"/>
          <w:lang w:val="en-US"/>
        </w:rPr>
        <w:t>Legal Consequences of the Construction of a Wall in the Occupied Palestinian Territor</w:t>
      </w:r>
      <w:r w:rsidR="002A4F96" w:rsidRPr="001C35F3">
        <w:rPr>
          <w:rFonts w:ascii="Times New Roman" w:hAnsi="Times New Roman" w:cs="Times New Roman"/>
          <w:i/>
          <w:sz w:val="24"/>
          <w:szCs w:val="24"/>
          <w:lang w:val="en-US"/>
        </w:rPr>
        <w:t>y</w:t>
      </w:r>
      <w:r w:rsidRPr="00665F17">
        <w:rPr>
          <w:rFonts w:ascii="Times New Roman" w:hAnsi="Times New Roman" w:cs="Times New Roman"/>
          <w:iCs/>
          <w:sz w:val="24"/>
          <w:szCs w:val="24"/>
          <w:lang w:val="en-US"/>
        </w:rPr>
        <w:t xml:space="preserve">, </w:t>
      </w:r>
      <w:r w:rsidRPr="00665F17">
        <w:rPr>
          <w:rFonts w:ascii="Times New Roman" w:hAnsi="Times New Roman" w:cs="Times New Roman"/>
          <w:sz w:val="24"/>
          <w:szCs w:val="24"/>
          <w:lang w:val="en-US"/>
        </w:rPr>
        <w:t>Advisory Opinion</w:t>
      </w:r>
      <w:r w:rsidR="0074002C"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9 July 2004, para. 88</w:t>
      </w:r>
      <w:r w:rsidR="008D0BBC" w:rsidRPr="001C35F3">
        <w:rPr>
          <w:rFonts w:ascii="Times New Roman" w:hAnsi="Times New Roman" w:cs="Times New Roman"/>
          <w:sz w:val="24"/>
          <w:szCs w:val="24"/>
          <w:lang w:val="en-US"/>
        </w:rPr>
        <w:t>, https://www.icj-cij.org/public/files/case-related/131/131-20040709-ADV-01-00-EN.pdf</w:t>
      </w:r>
      <w:r w:rsidRPr="00665F17">
        <w:rPr>
          <w:rFonts w:ascii="Times New Roman" w:hAnsi="Times New Roman" w:cs="Times New Roman"/>
          <w:sz w:val="24"/>
          <w:szCs w:val="24"/>
          <w:lang w:val="en-US"/>
        </w:rPr>
        <w:t>.</w:t>
      </w:r>
    </w:p>
  </w:endnote>
  <w:endnote w:id="44">
    <w:p w14:paraId="2E06B9A9" w14:textId="73BF4CBA" w:rsidR="001A62EE" w:rsidRPr="00665F17" w:rsidRDefault="001A62EE">
      <w:pPr>
        <w:pStyle w:val="EndnoteText"/>
        <w:spacing w:line="480" w:lineRule="auto"/>
        <w:rPr>
          <w:rFonts w:ascii="Times New Roman" w:hAnsi="Times New Roman" w:cs="Times New Roman"/>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366AC2" w:rsidRPr="001C35F3">
        <w:rPr>
          <w:rFonts w:ascii="Times New Roman" w:hAnsi="Times New Roman" w:cs="Times New Roman"/>
          <w:sz w:val="24"/>
          <w:szCs w:val="24"/>
          <w:lang w:val="en-US"/>
        </w:rPr>
        <w:t xml:space="preserve">ICJ, </w:t>
      </w:r>
      <w:r w:rsidRPr="00665F17">
        <w:rPr>
          <w:rFonts w:ascii="Times New Roman" w:hAnsi="Times New Roman" w:cs="Times New Roman"/>
          <w:i/>
          <w:sz w:val="24"/>
          <w:szCs w:val="24"/>
          <w:lang w:val="en-US"/>
        </w:rPr>
        <w:t xml:space="preserve">Legal Consequences of the </w:t>
      </w:r>
      <w:r w:rsidR="00366AC2" w:rsidRPr="001C35F3">
        <w:rPr>
          <w:rFonts w:ascii="Times New Roman" w:hAnsi="Times New Roman" w:cs="Times New Roman"/>
          <w:i/>
          <w:sz w:val="24"/>
          <w:szCs w:val="24"/>
          <w:lang w:val="en-US"/>
        </w:rPr>
        <w:t>S</w:t>
      </w:r>
      <w:r w:rsidRPr="00665F17">
        <w:rPr>
          <w:rFonts w:ascii="Times New Roman" w:hAnsi="Times New Roman" w:cs="Times New Roman"/>
          <w:i/>
          <w:sz w:val="24"/>
          <w:szCs w:val="24"/>
          <w:lang w:val="en-US"/>
        </w:rPr>
        <w:t>eparation of the Chagos Archipelago from Mauritius in 1965</w:t>
      </w:r>
      <w:r w:rsidRPr="00665F17">
        <w:rPr>
          <w:rFonts w:ascii="Times New Roman" w:hAnsi="Times New Roman" w:cs="Times New Roman"/>
          <w:iCs/>
          <w:sz w:val="24"/>
          <w:szCs w:val="24"/>
          <w:lang w:val="en-US"/>
        </w:rPr>
        <w:t xml:space="preserve">, </w:t>
      </w:r>
      <w:r w:rsidRPr="00665F17">
        <w:rPr>
          <w:rFonts w:ascii="Times New Roman" w:hAnsi="Times New Roman" w:cs="Times New Roman"/>
          <w:sz w:val="24"/>
          <w:szCs w:val="24"/>
          <w:lang w:val="en-US"/>
        </w:rPr>
        <w:t>Advisory Opinion</w:t>
      </w:r>
      <w:r w:rsidR="00366AC2"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25 February 2019</w:t>
      </w:r>
      <w:r w:rsidR="009D5807"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revised 4 March 2019</w:t>
      </w:r>
      <w:r w:rsidR="009D5807"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254DA7" w:rsidRPr="001C35F3">
        <w:rPr>
          <w:rFonts w:ascii="Times New Roman" w:hAnsi="Times New Roman" w:cs="Times New Roman"/>
          <w:sz w:val="24"/>
          <w:szCs w:val="24"/>
          <w:lang w:val="en-US"/>
        </w:rPr>
        <w:t>https://www.icj-cij.org/public/files/case-related/169/169-20190225-ADV-01-00-EN.pdf</w:t>
      </w:r>
      <w:r w:rsidRPr="00665F17">
        <w:rPr>
          <w:rFonts w:ascii="Times New Roman" w:hAnsi="Times New Roman" w:cs="Times New Roman"/>
          <w:i/>
          <w:sz w:val="24"/>
          <w:szCs w:val="24"/>
          <w:lang w:val="en-US"/>
        </w:rPr>
        <w:t>.</w:t>
      </w:r>
    </w:p>
  </w:endnote>
  <w:endnote w:id="45">
    <w:p w14:paraId="6E2191D8" w14:textId="2307851C"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See</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F</w:t>
      </w:r>
      <w:r w:rsidR="008A529D" w:rsidRPr="001C35F3">
        <w:rPr>
          <w:rFonts w:ascii="Times New Roman" w:hAnsi="Times New Roman" w:cs="Times New Roman"/>
          <w:sz w:val="24"/>
          <w:szCs w:val="24"/>
          <w:lang w:val="en-US"/>
        </w:rPr>
        <w:t>ederico</w:t>
      </w:r>
      <w:r w:rsidRPr="00665F17">
        <w:rPr>
          <w:rFonts w:ascii="Times New Roman" w:hAnsi="Times New Roman" w:cs="Times New Roman"/>
          <w:sz w:val="24"/>
          <w:szCs w:val="24"/>
          <w:lang w:val="en-US"/>
        </w:rPr>
        <w:t xml:space="preserve"> Lenzerini “Intentional Destruction of Cultural heritage</w:t>
      </w:r>
      <w:r w:rsidR="00FA6A0B">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in </w:t>
      </w:r>
      <w:r w:rsidRPr="00665F17">
        <w:rPr>
          <w:rFonts w:ascii="Times New Roman" w:hAnsi="Times New Roman" w:cs="Times New Roman"/>
          <w:i/>
          <w:iCs/>
          <w:sz w:val="24"/>
          <w:szCs w:val="24"/>
          <w:lang w:val="en-US"/>
        </w:rPr>
        <w:t xml:space="preserve">The Oxford Handbook of </w:t>
      </w:r>
      <w:r w:rsidR="008A529D" w:rsidRPr="001C35F3">
        <w:rPr>
          <w:rFonts w:ascii="Times New Roman" w:hAnsi="Times New Roman" w:cs="Times New Roman"/>
          <w:i/>
          <w:iCs/>
          <w:sz w:val="24"/>
          <w:szCs w:val="24"/>
          <w:lang w:val="en-US"/>
        </w:rPr>
        <w:t>I</w:t>
      </w:r>
      <w:r w:rsidRPr="00665F17">
        <w:rPr>
          <w:rFonts w:ascii="Times New Roman" w:hAnsi="Times New Roman" w:cs="Times New Roman"/>
          <w:i/>
          <w:iCs/>
          <w:sz w:val="24"/>
          <w:szCs w:val="24"/>
          <w:lang w:val="en-US"/>
        </w:rPr>
        <w:t>nternational Cultural Heritage Law</w:t>
      </w:r>
      <w:r w:rsidRPr="00665F17">
        <w:rPr>
          <w:rFonts w:ascii="Times New Roman" w:hAnsi="Times New Roman" w:cs="Times New Roman"/>
          <w:sz w:val="24"/>
          <w:szCs w:val="24"/>
          <w:lang w:val="en-US"/>
        </w:rPr>
        <w:t xml:space="preserve">, </w:t>
      </w:r>
      <w:r w:rsidR="00404C7D" w:rsidRPr="001C35F3">
        <w:rPr>
          <w:rFonts w:ascii="Times New Roman" w:hAnsi="Times New Roman" w:cs="Times New Roman"/>
          <w:sz w:val="24"/>
          <w:szCs w:val="24"/>
          <w:lang w:val="en-US"/>
        </w:rPr>
        <w:t xml:space="preserve">ed. </w:t>
      </w:r>
      <w:r w:rsidR="00DA7B6C">
        <w:rPr>
          <w:rFonts w:ascii="Times New Roman" w:hAnsi="Times New Roman" w:cs="Times New Roman"/>
          <w:sz w:val="24"/>
          <w:szCs w:val="24"/>
          <w:lang w:val="en-US"/>
        </w:rPr>
        <w:t>Francesco</w:t>
      </w:r>
      <w:r w:rsidR="00DA7B6C" w:rsidRPr="001C35F3">
        <w:rPr>
          <w:rFonts w:ascii="Times New Roman" w:hAnsi="Times New Roman" w:cs="Times New Roman"/>
          <w:sz w:val="24"/>
          <w:szCs w:val="24"/>
          <w:lang w:val="en-US"/>
        </w:rPr>
        <w:t xml:space="preserve"> </w:t>
      </w:r>
      <w:r w:rsidR="00404C7D" w:rsidRPr="001C35F3">
        <w:rPr>
          <w:rFonts w:ascii="Times New Roman" w:hAnsi="Times New Roman" w:cs="Times New Roman"/>
          <w:sz w:val="24"/>
          <w:szCs w:val="24"/>
          <w:lang w:val="en-US"/>
        </w:rPr>
        <w:t xml:space="preserve">Francioni and </w:t>
      </w:r>
      <w:r w:rsidR="00CA322D" w:rsidRPr="001C35F3">
        <w:rPr>
          <w:rFonts w:ascii="Times New Roman" w:hAnsi="Times New Roman" w:cs="Times New Roman"/>
          <w:sz w:val="24"/>
          <w:szCs w:val="24"/>
          <w:lang w:val="en-US"/>
        </w:rPr>
        <w:t xml:space="preserve">Ana Filipa </w:t>
      </w:r>
      <w:r w:rsidR="00404C7D" w:rsidRPr="001C35F3">
        <w:rPr>
          <w:rFonts w:ascii="Times New Roman" w:hAnsi="Times New Roman" w:cs="Times New Roman"/>
          <w:sz w:val="24"/>
          <w:szCs w:val="24"/>
          <w:lang w:val="en-US"/>
        </w:rPr>
        <w:t>Vrdoljak (</w:t>
      </w:r>
      <w:r w:rsidRPr="00665F17">
        <w:rPr>
          <w:rFonts w:ascii="Times New Roman" w:hAnsi="Times New Roman" w:cs="Times New Roman"/>
          <w:sz w:val="24"/>
          <w:szCs w:val="24"/>
          <w:lang w:val="en-US"/>
        </w:rPr>
        <w:t>Oxford</w:t>
      </w:r>
      <w:r w:rsidR="00404C7D" w:rsidRPr="001C35F3">
        <w:rPr>
          <w:rFonts w:ascii="Times New Roman" w:hAnsi="Times New Roman" w:cs="Times New Roman"/>
          <w:sz w:val="24"/>
          <w:szCs w:val="24"/>
          <w:lang w:val="en-US"/>
        </w:rPr>
        <w:t>: Oxford University Press</w:t>
      </w:r>
      <w:r w:rsidRPr="00665F17">
        <w:rPr>
          <w:rFonts w:ascii="Times New Roman" w:hAnsi="Times New Roman" w:cs="Times New Roman"/>
          <w:sz w:val="24"/>
          <w:szCs w:val="24"/>
          <w:lang w:val="en-US"/>
        </w:rPr>
        <w:t>, 2020</w:t>
      </w:r>
      <w:r w:rsidR="00404C7D"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75</w:t>
      </w:r>
      <w:r w:rsidR="00E740A2"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100. The UN Declaration on the Rights of Indigenous Peoples</w:t>
      </w:r>
      <w:r w:rsidR="0075653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756531" w:rsidRPr="001C35F3">
        <w:rPr>
          <w:rFonts w:ascii="Times New Roman" w:hAnsi="Times New Roman" w:cs="Times New Roman"/>
          <w:sz w:val="24"/>
          <w:szCs w:val="24"/>
          <w:lang w:val="en-US"/>
        </w:rPr>
        <w:t xml:space="preserve">UN doc. </w:t>
      </w:r>
      <w:r w:rsidRPr="00665F17">
        <w:rPr>
          <w:rFonts w:ascii="Times New Roman" w:hAnsi="Times New Roman" w:cs="Times New Roman"/>
          <w:sz w:val="24"/>
          <w:szCs w:val="24"/>
          <w:lang w:val="en-US"/>
        </w:rPr>
        <w:t xml:space="preserve">A/Res/61/295, </w:t>
      </w:r>
      <w:r w:rsidR="00756531" w:rsidRPr="001C35F3">
        <w:rPr>
          <w:rFonts w:ascii="Times New Roman" w:hAnsi="Times New Roman" w:cs="Times New Roman"/>
          <w:sz w:val="24"/>
          <w:szCs w:val="24"/>
          <w:lang w:val="en-US"/>
        </w:rPr>
        <w:t xml:space="preserve">13 September, 2007, </w:t>
      </w:r>
      <w:r w:rsidRPr="00665F17">
        <w:rPr>
          <w:rFonts w:ascii="Times New Roman" w:hAnsi="Times New Roman" w:cs="Times New Roman"/>
          <w:sz w:val="24"/>
          <w:szCs w:val="24"/>
          <w:lang w:val="en-US"/>
        </w:rPr>
        <w:t xml:space="preserve">recognizes </w:t>
      </w:r>
      <w:r w:rsidR="00756531" w:rsidRPr="001C35F3">
        <w:rPr>
          <w:rFonts w:ascii="Times New Roman" w:hAnsi="Times New Roman" w:cs="Times New Roman"/>
          <w:sz w:val="24"/>
          <w:szCs w:val="24"/>
          <w:lang w:val="en-US"/>
        </w:rPr>
        <w:t xml:space="preserve">the </w:t>
      </w:r>
      <w:r w:rsidRPr="00665F17">
        <w:rPr>
          <w:rFonts w:ascii="Times New Roman" w:hAnsi="Times New Roman" w:cs="Times New Roman"/>
          <w:sz w:val="24"/>
          <w:szCs w:val="24"/>
          <w:lang w:val="en-US"/>
        </w:rPr>
        <w:t>culture and cultural rights of indigenous peoples as the foundation of their</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right of self</w:t>
      </w:r>
      <w:r w:rsidR="00756531"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determination.</w:t>
      </w:r>
    </w:p>
  </w:endnote>
  <w:endnote w:id="46">
    <w:p w14:paraId="322D7D20" w14:textId="12B59326" w:rsidR="001A62EE" w:rsidRPr="001C35F3" w:rsidRDefault="001A62EE" w:rsidP="00665F17">
      <w:pPr>
        <w:spacing w:line="480" w:lineRule="auto"/>
        <w:jc w:val="both"/>
        <w:rPr>
          <w:rFonts w:ascii="Times New Roman" w:hAnsi="Times New Roman" w:cs="Times New Roman"/>
          <w:bCs/>
          <w:i/>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w:t>
      </w:r>
      <w:r w:rsidR="00C868F1" w:rsidRPr="001C35F3">
        <w:rPr>
          <w:rFonts w:ascii="Times New Roman" w:hAnsi="Times New Roman" w:cs="Times New Roman"/>
          <w:bCs/>
          <w:sz w:val="24"/>
          <w:szCs w:val="24"/>
          <w:lang w:val="en-US"/>
        </w:rPr>
        <w:t>S</w:t>
      </w:r>
      <w:r w:rsidRPr="001C35F3">
        <w:rPr>
          <w:rFonts w:ascii="Times New Roman" w:hAnsi="Times New Roman" w:cs="Times New Roman"/>
          <w:bCs/>
          <w:sz w:val="24"/>
          <w:szCs w:val="24"/>
          <w:lang w:val="en-US"/>
        </w:rPr>
        <w:t xml:space="preserve">ee </w:t>
      </w:r>
      <w:r w:rsidR="002B05F9" w:rsidRPr="001C35F3">
        <w:rPr>
          <w:rFonts w:ascii="Times New Roman" w:hAnsi="Times New Roman" w:cs="Times New Roman"/>
          <w:bCs/>
          <w:sz w:val="24"/>
          <w:szCs w:val="24"/>
          <w:lang w:val="en-US"/>
        </w:rPr>
        <w:t xml:space="preserve">the </w:t>
      </w:r>
      <w:r w:rsidRPr="001C35F3">
        <w:rPr>
          <w:rFonts w:ascii="Times New Roman" w:hAnsi="Times New Roman" w:cs="Times New Roman"/>
          <w:bCs/>
          <w:sz w:val="24"/>
          <w:szCs w:val="24"/>
          <w:lang w:val="en-US"/>
        </w:rPr>
        <w:t xml:space="preserve">2003 UNESCO Declaration </w:t>
      </w:r>
      <w:r w:rsidR="003E5F88" w:rsidRPr="001C35F3">
        <w:rPr>
          <w:rFonts w:ascii="Times New Roman" w:hAnsi="Times New Roman" w:cs="Times New Roman"/>
          <w:bCs/>
          <w:sz w:val="24"/>
          <w:szCs w:val="24"/>
          <w:lang w:val="en-US"/>
        </w:rPr>
        <w:t>Concerning the Intentional Destruction of Cultural Heritage</w:t>
      </w:r>
      <w:r w:rsidR="003E5F88" w:rsidRPr="001C35F3" w:rsidDel="003E5F88">
        <w:rPr>
          <w:rFonts w:ascii="Times New Roman" w:hAnsi="Times New Roman" w:cs="Times New Roman"/>
          <w:bCs/>
          <w:sz w:val="24"/>
          <w:szCs w:val="24"/>
          <w:lang w:val="en-US"/>
        </w:rPr>
        <w:t xml:space="preserve"> </w:t>
      </w:r>
      <w:r w:rsidRPr="001C35F3">
        <w:rPr>
          <w:rFonts w:ascii="Times New Roman" w:hAnsi="Times New Roman" w:cs="Times New Roman"/>
          <w:bCs/>
          <w:sz w:val="24"/>
          <w:szCs w:val="24"/>
          <w:lang w:val="en-US"/>
        </w:rPr>
        <w:t>(</w:t>
      </w:r>
      <w:r w:rsidR="00FA6A0B">
        <w:rPr>
          <w:rFonts w:ascii="Times New Roman" w:hAnsi="Times New Roman" w:cs="Times New Roman"/>
          <w:bCs/>
          <w:sz w:val="24"/>
          <w:szCs w:val="24"/>
          <w:lang w:val="en-US"/>
        </w:rPr>
        <w:t>p</w:t>
      </w:r>
      <w:r w:rsidRPr="001C35F3">
        <w:rPr>
          <w:rFonts w:ascii="Times New Roman" w:hAnsi="Times New Roman" w:cs="Times New Roman"/>
          <w:bCs/>
          <w:sz w:val="24"/>
          <w:szCs w:val="24"/>
          <w:lang w:val="en-US"/>
        </w:rPr>
        <w:t xml:space="preserve">reamble), and the Human Rights Council </w:t>
      </w:r>
      <w:r w:rsidR="00556B63" w:rsidRPr="001C35F3">
        <w:rPr>
          <w:rFonts w:ascii="Times New Roman" w:hAnsi="Times New Roman" w:cs="Times New Roman"/>
          <w:bCs/>
          <w:sz w:val="24"/>
          <w:szCs w:val="24"/>
          <w:lang w:val="en-US"/>
        </w:rPr>
        <w:t>r</w:t>
      </w:r>
      <w:r w:rsidRPr="001C35F3">
        <w:rPr>
          <w:rFonts w:ascii="Times New Roman" w:hAnsi="Times New Roman" w:cs="Times New Roman"/>
          <w:bCs/>
          <w:sz w:val="24"/>
          <w:szCs w:val="24"/>
          <w:lang w:val="en-US"/>
        </w:rPr>
        <w:t>esolution on the linkage between wanton destruction of cultural heritage and human rights atrocities</w:t>
      </w:r>
      <w:r w:rsidR="00556B63" w:rsidRPr="001C35F3">
        <w:rPr>
          <w:rFonts w:ascii="Times New Roman" w:hAnsi="Times New Roman" w:cs="Times New Roman"/>
          <w:bCs/>
          <w:sz w:val="24"/>
          <w:szCs w:val="24"/>
          <w:lang w:val="en-US"/>
        </w:rPr>
        <w:t xml:space="preserve">. See Human Rights Council, </w:t>
      </w:r>
      <w:r w:rsidR="00556B63" w:rsidRPr="001C35F3">
        <w:rPr>
          <w:rFonts w:ascii="Times New Roman" w:hAnsi="Times New Roman" w:cs="Times New Roman"/>
          <w:sz w:val="24"/>
          <w:szCs w:val="24"/>
          <w:lang w:val="en-US"/>
        </w:rPr>
        <w:t>“Human Rights Situation in Iraq</w:t>
      </w:r>
      <w:r w:rsidR="00556B63" w:rsidRPr="001C35F3">
        <w:rPr>
          <w:rFonts w:ascii="Times New Roman" w:hAnsi="Times New Roman" w:cs="Times New Roman"/>
          <w:bCs/>
          <w:sz w:val="24"/>
          <w:szCs w:val="24"/>
          <w:lang w:val="en-US"/>
        </w:rPr>
        <w:t>.”</w:t>
      </w:r>
      <w:r w:rsidRPr="001C35F3">
        <w:rPr>
          <w:rFonts w:ascii="Times New Roman" w:hAnsi="Times New Roman" w:cs="Times New Roman"/>
          <w:bCs/>
          <w:sz w:val="24"/>
          <w:szCs w:val="24"/>
          <w:lang w:val="en-US"/>
        </w:rPr>
        <w:t xml:space="preserve"> See also</w:t>
      </w:r>
      <w:r w:rsidR="008010C6" w:rsidRPr="001C35F3">
        <w:rPr>
          <w:rFonts w:ascii="Times New Roman" w:hAnsi="Times New Roman" w:cs="Times New Roman"/>
          <w:bCs/>
          <w:sz w:val="24"/>
          <w:szCs w:val="24"/>
          <w:lang w:val="en-US"/>
        </w:rPr>
        <w:t>,</w:t>
      </w:r>
      <w:r w:rsidRPr="001C35F3">
        <w:rPr>
          <w:rFonts w:ascii="Times New Roman" w:hAnsi="Times New Roman" w:cs="Times New Roman"/>
          <w:bCs/>
          <w:sz w:val="24"/>
          <w:szCs w:val="24"/>
          <w:lang w:val="en-US"/>
        </w:rPr>
        <w:t xml:space="preserve"> </w:t>
      </w:r>
      <w:r w:rsidR="00BD224A" w:rsidRPr="001C35F3">
        <w:rPr>
          <w:rFonts w:ascii="Times New Roman" w:hAnsi="Times New Roman" w:cs="Times New Roman"/>
          <w:bCs/>
          <w:sz w:val="24"/>
          <w:szCs w:val="24"/>
          <w:lang w:val="en-US"/>
        </w:rPr>
        <w:t xml:space="preserve">Karima Bennoune, </w:t>
      </w:r>
      <w:r w:rsidRPr="001C35F3">
        <w:rPr>
          <w:rFonts w:ascii="Times New Roman" w:hAnsi="Times New Roman" w:cs="Times New Roman"/>
          <w:bCs/>
          <w:i/>
          <w:sz w:val="24"/>
          <w:szCs w:val="24"/>
          <w:lang w:val="en-US"/>
        </w:rPr>
        <w:t xml:space="preserve">Report of the Special Rapporteur in the </w:t>
      </w:r>
      <w:r w:rsidR="00BD224A" w:rsidRPr="001C35F3">
        <w:rPr>
          <w:rFonts w:ascii="Times New Roman" w:hAnsi="Times New Roman" w:cs="Times New Roman"/>
          <w:bCs/>
          <w:i/>
          <w:sz w:val="24"/>
          <w:szCs w:val="24"/>
          <w:lang w:val="en-US"/>
        </w:rPr>
        <w:t>F</w:t>
      </w:r>
      <w:r w:rsidRPr="001C35F3">
        <w:rPr>
          <w:rFonts w:ascii="Times New Roman" w:hAnsi="Times New Roman" w:cs="Times New Roman"/>
          <w:bCs/>
          <w:i/>
          <w:sz w:val="24"/>
          <w:szCs w:val="24"/>
          <w:lang w:val="en-US"/>
        </w:rPr>
        <w:t xml:space="preserve">ield of </w:t>
      </w:r>
      <w:r w:rsidR="00BD224A" w:rsidRPr="001C35F3">
        <w:rPr>
          <w:rFonts w:ascii="Times New Roman" w:hAnsi="Times New Roman" w:cs="Times New Roman"/>
          <w:bCs/>
          <w:i/>
          <w:sz w:val="24"/>
          <w:szCs w:val="24"/>
          <w:lang w:val="en-US"/>
        </w:rPr>
        <w:t>C</w:t>
      </w:r>
      <w:r w:rsidRPr="001C35F3">
        <w:rPr>
          <w:rFonts w:ascii="Times New Roman" w:hAnsi="Times New Roman" w:cs="Times New Roman"/>
          <w:bCs/>
          <w:i/>
          <w:sz w:val="24"/>
          <w:szCs w:val="24"/>
          <w:lang w:val="en-US"/>
        </w:rPr>
        <w:t xml:space="preserve">ultural </w:t>
      </w:r>
      <w:r w:rsidR="00BD224A" w:rsidRPr="001C35F3">
        <w:rPr>
          <w:rFonts w:ascii="Times New Roman" w:hAnsi="Times New Roman" w:cs="Times New Roman"/>
          <w:bCs/>
          <w:i/>
          <w:sz w:val="24"/>
          <w:szCs w:val="24"/>
          <w:lang w:val="en-US"/>
        </w:rPr>
        <w:t>R</w:t>
      </w:r>
      <w:r w:rsidRPr="001C35F3">
        <w:rPr>
          <w:rFonts w:ascii="Times New Roman" w:hAnsi="Times New Roman" w:cs="Times New Roman"/>
          <w:bCs/>
          <w:i/>
          <w:sz w:val="24"/>
          <w:szCs w:val="24"/>
          <w:lang w:val="en-US"/>
        </w:rPr>
        <w:t>ights</w:t>
      </w:r>
      <w:r w:rsidRPr="00665F17">
        <w:rPr>
          <w:rFonts w:ascii="Times New Roman" w:hAnsi="Times New Roman" w:cs="Times New Roman"/>
          <w:bCs/>
          <w:iCs/>
          <w:sz w:val="24"/>
          <w:szCs w:val="24"/>
          <w:lang w:val="en-US"/>
        </w:rPr>
        <w:t xml:space="preserve">, </w:t>
      </w:r>
      <w:r w:rsidR="00A00390" w:rsidRPr="001C35F3">
        <w:rPr>
          <w:rFonts w:ascii="Times New Roman" w:hAnsi="Times New Roman" w:cs="Times New Roman"/>
          <w:bCs/>
          <w:sz w:val="24"/>
          <w:szCs w:val="24"/>
          <w:lang w:val="en-US"/>
        </w:rPr>
        <w:t>General Assembly</w:t>
      </w:r>
      <w:r w:rsidRPr="001C35F3">
        <w:rPr>
          <w:rFonts w:ascii="Times New Roman" w:hAnsi="Times New Roman" w:cs="Times New Roman"/>
          <w:bCs/>
          <w:sz w:val="24"/>
          <w:szCs w:val="24"/>
          <w:lang w:val="en-US"/>
        </w:rPr>
        <w:t xml:space="preserve">, </w:t>
      </w:r>
      <w:r w:rsidRPr="00665F17">
        <w:rPr>
          <w:rFonts w:ascii="Times New Roman" w:hAnsi="Times New Roman" w:cs="Times New Roman"/>
          <w:sz w:val="24"/>
          <w:szCs w:val="24"/>
          <w:lang w:val="en-US"/>
        </w:rPr>
        <w:t xml:space="preserve">UN </w:t>
      </w:r>
      <w:r w:rsidR="00651F7E" w:rsidRPr="001C35F3">
        <w:rPr>
          <w:rFonts w:ascii="Times New Roman" w:hAnsi="Times New Roman" w:cs="Times New Roman"/>
          <w:sz w:val="24"/>
          <w:szCs w:val="24"/>
          <w:lang w:val="en-US"/>
        </w:rPr>
        <w:t>d</w:t>
      </w:r>
      <w:r w:rsidRPr="00665F17">
        <w:rPr>
          <w:rFonts w:ascii="Times New Roman" w:hAnsi="Times New Roman" w:cs="Times New Roman"/>
          <w:sz w:val="24"/>
          <w:szCs w:val="24"/>
          <w:lang w:val="en-US"/>
        </w:rPr>
        <w:t>oc. A/HRC/31/59, 3 February 2016</w:t>
      </w:r>
      <w:r w:rsidRPr="001C35F3">
        <w:rPr>
          <w:rFonts w:ascii="Times New Roman" w:hAnsi="Times New Roman" w:cs="Times New Roman"/>
          <w:bCs/>
          <w:sz w:val="24"/>
          <w:szCs w:val="24"/>
          <w:lang w:val="en-US"/>
        </w:rPr>
        <w:t>.</w:t>
      </w:r>
    </w:p>
  </w:endnote>
  <w:endnote w:id="47">
    <w:p w14:paraId="3CF0F2ED" w14:textId="111704DB" w:rsidR="001A62EE" w:rsidRPr="00665F17" w:rsidRDefault="001A62EE">
      <w:pPr>
        <w:pStyle w:val="EndnoteText"/>
        <w:spacing w:line="480" w:lineRule="auto"/>
        <w:rPr>
          <w:rFonts w:ascii="Times New Roman" w:hAnsi="Times New Roman" w:cs="Times New Roman"/>
          <w:i/>
          <w:iCs/>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Court of </w:t>
      </w:r>
      <w:r w:rsidR="002363EC" w:rsidRPr="001C35F3">
        <w:rPr>
          <w:rFonts w:ascii="Times New Roman" w:hAnsi="Times New Roman" w:cs="Times New Roman"/>
          <w:sz w:val="24"/>
          <w:szCs w:val="24"/>
          <w:lang w:val="en-US"/>
        </w:rPr>
        <w:t xml:space="preserve">the </w:t>
      </w:r>
      <w:r w:rsidRPr="00665F17">
        <w:rPr>
          <w:rFonts w:ascii="Times New Roman" w:hAnsi="Times New Roman" w:cs="Times New Roman"/>
          <w:sz w:val="24"/>
          <w:szCs w:val="24"/>
          <w:lang w:val="en-US"/>
        </w:rPr>
        <w:t>Vice</w:t>
      </w:r>
      <w:r w:rsidR="002363EC" w:rsidRPr="001C35F3">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 xml:space="preserve">Admiralty, Nova Scotia, </w:t>
      </w:r>
      <w:r w:rsidR="002363EC" w:rsidRPr="001C35F3">
        <w:rPr>
          <w:rFonts w:ascii="Times New Roman" w:hAnsi="Times New Roman" w:cs="Times New Roman"/>
          <w:sz w:val="24"/>
          <w:szCs w:val="24"/>
          <w:lang w:val="en-US"/>
        </w:rPr>
        <w:t xml:space="preserve">Canada, </w:t>
      </w:r>
      <w:r w:rsidRPr="00665F17">
        <w:rPr>
          <w:rFonts w:ascii="Times New Roman" w:hAnsi="Times New Roman" w:cs="Times New Roman"/>
          <w:sz w:val="24"/>
          <w:szCs w:val="24"/>
          <w:lang w:val="en-US"/>
        </w:rPr>
        <w:t xml:space="preserve">1803. Cited in </w:t>
      </w:r>
      <w:r w:rsidR="00130673" w:rsidRPr="001C35F3">
        <w:rPr>
          <w:rFonts w:ascii="Times New Roman" w:hAnsi="Times New Roman" w:cs="Times New Roman"/>
          <w:sz w:val="24"/>
          <w:szCs w:val="24"/>
          <w:lang w:val="en-US"/>
        </w:rPr>
        <w:t xml:space="preserve">John Henry </w:t>
      </w:r>
      <w:r w:rsidRPr="00665F17">
        <w:rPr>
          <w:rFonts w:ascii="Times New Roman" w:hAnsi="Times New Roman" w:cs="Times New Roman"/>
          <w:sz w:val="24"/>
          <w:szCs w:val="24"/>
          <w:lang w:val="en-US"/>
        </w:rPr>
        <w:t xml:space="preserve">Merryman and </w:t>
      </w:r>
      <w:r w:rsidR="00130673" w:rsidRPr="001C35F3">
        <w:rPr>
          <w:rFonts w:ascii="Times New Roman" w:hAnsi="Times New Roman" w:cs="Times New Roman"/>
          <w:sz w:val="24"/>
          <w:szCs w:val="24"/>
          <w:lang w:val="en-US"/>
        </w:rPr>
        <w:t xml:space="preserve">Albert E. </w:t>
      </w:r>
      <w:r w:rsidRPr="00665F17">
        <w:rPr>
          <w:rFonts w:ascii="Times New Roman" w:hAnsi="Times New Roman" w:cs="Times New Roman"/>
          <w:sz w:val="24"/>
          <w:szCs w:val="24"/>
          <w:lang w:val="en-US"/>
        </w:rPr>
        <w:t xml:space="preserve">Elsen, </w:t>
      </w:r>
      <w:r w:rsidRPr="00665F17">
        <w:rPr>
          <w:rFonts w:ascii="Times New Roman" w:hAnsi="Times New Roman" w:cs="Times New Roman"/>
          <w:i/>
          <w:iCs/>
          <w:sz w:val="24"/>
          <w:szCs w:val="24"/>
          <w:lang w:val="en-US"/>
        </w:rPr>
        <w:t>Law, Ethics and the Visual Arts</w:t>
      </w:r>
      <w:r w:rsidRPr="00665F17">
        <w:rPr>
          <w:rFonts w:ascii="Times New Roman" w:hAnsi="Times New Roman" w:cs="Times New Roman"/>
          <w:sz w:val="24"/>
          <w:szCs w:val="24"/>
          <w:lang w:val="en-US"/>
        </w:rPr>
        <w:t>,</w:t>
      </w:r>
      <w:r w:rsidR="00540695" w:rsidRPr="001C35F3">
        <w:rPr>
          <w:rFonts w:ascii="Times New Roman" w:hAnsi="Times New Roman" w:cs="Times New Roman"/>
          <w:sz w:val="24"/>
          <w:szCs w:val="24"/>
          <w:lang w:val="en-US"/>
        </w:rPr>
        <w:t xml:space="preserve"> 4th ed.</w:t>
      </w:r>
      <w:r w:rsidRPr="00665F17">
        <w:rPr>
          <w:rFonts w:ascii="Times New Roman" w:hAnsi="Times New Roman" w:cs="Times New Roman"/>
          <w:i/>
          <w:iCs/>
          <w:sz w:val="24"/>
          <w:szCs w:val="24"/>
          <w:lang w:val="en-US"/>
        </w:rPr>
        <w:t xml:space="preserve"> </w:t>
      </w:r>
      <w:r w:rsidR="00540695"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New York</w:t>
      </w:r>
      <w:r w:rsidR="00540695" w:rsidRPr="001C35F3">
        <w:rPr>
          <w:rFonts w:ascii="Times New Roman" w:hAnsi="Times New Roman" w:cs="Times New Roman"/>
          <w:sz w:val="24"/>
          <w:szCs w:val="24"/>
          <w:lang w:val="en-US"/>
        </w:rPr>
        <w:t>: Kluwer Law International</w:t>
      </w:r>
      <w:r w:rsidRPr="00665F17">
        <w:rPr>
          <w:rFonts w:ascii="Times New Roman" w:hAnsi="Times New Roman" w:cs="Times New Roman"/>
          <w:sz w:val="24"/>
          <w:szCs w:val="24"/>
          <w:lang w:val="en-US"/>
        </w:rPr>
        <w:t>, 2002</w:t>
      </w:r>
      <w:r w:rsidR="00540695"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10.</w:t>
      </w:r>
      <w:r w:rsidRPr="00665F17">
        <w:rPr>
          <w:rFonts w:ascii="Times New Roman" w:hAnsi="Times New Roman" w:cs="Times New Roman"/>
          <w:i/>
          <w:iCs/>
          <w:sz w:val="24"/>
          <w:szCs w:val="24"/>
          <w:lang w:val="en-US"/>
        </w:rPr>
        <w:t xml:space="preserve"> </w:t>
      </w:r>
    </w:p>
  </w:endnote>
  <w:endnote w:id="48">
    <w:p w14:paraId="7E00A2E1" w14:textId="0C9384E1"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This principle was formally adopted </w:t>
      </w:r>
      <w:r w:rsidR="00D958DE" w:rsidRPr="001C35F3">
        <w:rPr>
          <w:rFonts w:ascii="Times New Roman" w:hAnsi="Times New Roman" w:cs="Times New Roman"/>
          <w:sz w:val="24"/>
          <w:szCs w:val="24"/>
          <w:lang w:val="en-US"/>
        </w:rPr>
        <w:t xml:space="preserve">in </w:t>
      </w:r>
      <w:r w:rsidR="00D958DE" w:rsidRPr="001C35F3">
        <w:rPr>
          <w:rFonts w:ascii="Times New Roman" w:eastAsia="Times New Roman" w:hAnsi="Times New Roman" w:cs="Times New Roman"/>
          <w:sz w:val="24"/>
          <w:szCs w:val="24"/>
        </w:rPr>
        <w:t xml:space="preserve">UN, </w:t>
      </w:r>
      <w:r w:rsidR="00D958DE" w:rsidRPr="001C35F3">
        <w:rPr>
          <w:rStyle w:val="servisitalic"/>
          <w:rFonts w:ascii="Times New Roman" w:hAnsi="Times New Roman" w:cs="Times New Roman"/>
          <w:sz w:val="24"/>
          <w:szCs w:val="24"/>
        </w:rPr>
        <w:t>2005 World Summit Outcome</w:t>
      </w:r>
      <w:r w:rsidR="00D958DE" w:rsidRPr="001C35F3">
        <w:rPr>
          <w:rFonts w:ascii="Times New Roman" w:eastAsia="Times New Roman" w:hAnsi="Times New Roman" w:cs="Times New Roman"/>
          <w:sz w:val="24"/>
          <w:szCs w:val="24"/>
        </w:rPr>
        <w:t>, UN doc. A/RES/60/1, 24 October 2005</w:t>
      </w:r>
      <w:r w:rsidRPr="00665F17">
        <w:rPr>
          <w:rFonts w:ascii="Times New Roman" w:hAnsi="Times New Roman" w:cs="Times New Roman"/>
          <w:sz w:val="24"/>
          <w:szCs w:val="24"/>
          <w:lang w:val="en-US"/>
        </w:rPr>
        <w:t>, paras. 138</w:t>
      </w:r>
      <w:r w:rsidR="00D958DE"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39. For a discussion of the effectiveness and limits of this principle, see</w:t>
      </w:r>
      <w:r w:rsidR="001A082A" w:rsidRPr="001C35F3">
        <w:rPr>
          <w:rFonts w:ascii="Times New Roman" w:hAnsi="Times New Roman" w:cs="Times New Roman"/>
          <w:sz w:val="24"/>
          <w:szCs w:val="24"/>
          <w:lang w:val="en-US"/>
        </w:rPr>
        <w:t xml:space="preserve"> two articles in a special issue of </w:t>
      </w:r>
      <w:r w:rsidR="001A082A" w:rsidRPr="001C35F3">
        <w:rPr>
          <w:rFonts w:ascii="Times New Roman" w:hAnsi="Times New Roman" w:cs="Times New Roman"/>
          <w:i/>
          <w:iCs/>
          <w:sz w:val="24"/>
          <w:szCs w:val="24"/>
          <w:lang w:val="en-US"/>
        </w:rPr>
        <w:t>The International Spectator</w:t>
      </w:r>
      <w:r w:rsidR="009C7F0B" w:rsidRPr="00665F17">
        <w:rPr>
          <w:rFonts w:ascii="Times New Roman" w:hAnsi="Times New Roman" w:cs="Times New Roman"/>
          <w:sz w:val="24"/>
          <w:szCs w:val="24"/>
          <w:lang w:val="en-US"/>
        </w:rPr>
        <w:t xml:space="preserve">, Italian Journal </w:t>
      </w:r>
      <w:r w:rsidR="009C7F0B" w:rsidRPr="001C35F3">
        <w:rPr>
          <w:rFonts w:ascii="Times New Roman" w:hAnsi="Times New Roman" w:cs="Times New Roman"/>
          <w:sz w:val="24"/>
          <w:szCs w:val="24"/>
          <w:lang w:val="en-US"/>
        </w:rPr>
        <w:t>of International Affairs,</w:t>
      </w:r>
      <w:r w:rsidRPr="00665F17">
        <w:rPr>
          <w:rFonts w:ascii="Times New Roman" w:hAnsi="Times New Roman" w:cs="Times New Roman"/>
          <w:sz w:val="24"/>
          <w:szCs w:val="24"/>
          <w:lang w:val="en-US"/>
        </w:rPr>
        <w:t xml:space="preserve"> </w:t>
      </w:r>
      <w:r w:rsidR="001A082A" w:rsidRPr="001C35F3">
        <w:rPr>
          <w:rFonts w:ascii="Times New Roman" w:hAnsi="Times New Roman" w:cs="Times New Roman"/>
          <w:sz w:val="24"/>
          <w:szCs w:val="24"/>
          <w:lang w:val="en-US"/>
        </w:rPr>
        <w:t xml:space="preserve">on R2P: </w:t>
      </w:r>
      <w:r w:rsidRPr="00665F17">
        <w:rPr>
          <w:rFonts w:ascii="Times New Roman" w:hAnsi="Times New Roman" w:cs="Times New Roman"/>
          <w:sz w:val="24"/>
          <w:szCs w:val="24"/>
          <w:lang w:val="en-US"/>
        </w:rPr>
        <w:t>J</w:t>
      </w:r>
      <w:r w:rsidR="00F25EC0" w:rsidRPr="001C35F3">
        <w:rPr>
          <w:rFonts w:ascii="Times New Roman" w:hAnsi="Times New Roman" w:cs="Times New Roman"/>
          <w:sz w:val="24"/>
          <w:szCs w:val="24"/>
          <w:lang w:val="en-US"/>
        </w:rPr>
        <w:t>ennifer</w:t>
      </w:r>
      <w:r w:rsidRPr="00665F17">
        <w:rPr>
          <w:rFonts w:ascii="Times New Roman" w:hAnsi="Times New Roman" w:cs="Times New Roman"/>
          <w:sz w:val="24"/>
          <w:szCs w:val="24"/>
          <w:lang w:val="en-US"/>
        </w:rPr>
        <w:t xml:space="preserve"> Welsh, “The Responsibility to Protect at Ten: Glass Half Empty or Half Full?</w:t>
      </w:r>
      <w:r w:rsidR="00EB72A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Pr="00665F17">
        <w:rPr>
          <w:rFonts w:ascii="Times New Roman" w:hAnsi="Times New Roman" w:cs="Times New Roman"/>
          <w:i/>
          <w:iCs/>
          <w:sz w:val="24"/>
          <w:szCs w:val="24"/>
          <w:lang w:val="en-US"/>
        </w:rPr>
        <w:t>International Spectator</w:t>
      </w:r>
      <w:r w:rsidR="00F25EC0" w:rsidRPr="001C35F3">
        <w:rPr>
          <w:rFonts w:ascii="Times New Roman" w:hAnsi="Times New Roman" w:cs="Times New Roman"/>
          <w:i/>
          <w:iCs/>
          <w:sz w:val="24"/>
          <w:szCs w:val="24"/>
          <w:lang w:val="en-US"/>
        </w:rPr>
        <w:t xml:space="preserve"> </w:t>
      </w:r>
      <w:r w:rsidRPr="00665F17">
        <w:rPr>
          <w:rFonts w:ascii="Times New Roman" w:hAnsi="Times New Roman" w:cs="Times New Roman"/>
          <w:sz w:val="24"/>
          <w:szCs w:val="24"/>
          <w:lang w:val="en-US"/>
        </w:rPr>
        <w:t xml:space="preserve">51, </w:t>
      </w:r>
      <w:r w:rsidR="00211039" w:rsidRPr="001C35F3">
        <w:rPr>
          <w:rFonts w:ascii="Times New Roman" w:hAnsi="Times New Roman" w:cs="Times New Roman"/>
          <w:sz w:val="24"/>
          <w:szCs w:val="24"/>
          <w:lang w:val="en-US"/>
        </w:rPr>
        <w:t xml:space="preserve">no.2 </w:t>
      </w:r>
      <w:r w:rsidR="00F25EC0"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2016</w:t>
      </w:r>
      <w:r w:rsidR="00F25EC0"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1</w:t>
      </w:r>
      <w:r w:rsidR="00E740A2"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9; </w:t>
      </w:r>
      <w:r w:rsidR="0075597F" w:rsidRPr="001C35F3">
        <w:rPr>
          <w:rFonts w:ascii="Times New Roman" w:hAnsi="Times New Roman" w:cs="Times New Roman"/>
          <w:sz w:val="24"/>
          <w:szCs w:val="24"/>
          <w:lang w:val="en-US"/>
        </w:rPr>
        <w:t xml:space="preserve">and </w:t>
      </w:r>
      <w:r w:rsidRPr="00665F17">
        <w:rPr>
          <w:rFonts w:ascii="Times New Roman" w:hAnsi="Times New Roman" w:cs="Times New Roman"/>
          <w:sz w:val="24"/>
          <w:szCs w:val="24"/>
          <w:lang w:val="en-US"/>
        </w:rPr>
        <w:t>F</w:t>
      </w:r>
      <w:r w:rsidR="0075597F" w:rsidRPr="001C35F3">
        <w:rPr>
          <w:rFonts w:ascii="Times New Roman" w:hAnsi="Times New Roman" w:cs="Times New Roman"/>
          <w:sz w:val="24"/>
          <w:szCs w:val="24"/>
          <w:lang w:val="en-US"/>
        </w:rPr>
        <w:t>ederico</w:t>
      </w:r>
      <w:r w:rsidRPr="00665F17">
        <w:rPr>
          <w:rFonts w:ascii="Times New Roman" w:hAnsi="Times New Roman" w:cs="Times New Roman"/>
          <w:sz w:val="24"/>
          <w:szCs w:val="24"/>
          <w:lang w:val="en-US"/>
        </w:rPr>
        <w:t xml:space="preserve"> Lenzerini, “Terrorism, Conflicts and the Responsibility to </w:t>
      </w:r>
      <w:r w:rsidR="00FF12F2" w:rsidRPr="001C35F3">
        <w:rPr>
          <w:rFonts w:ascii="Times New Roman" w:hAnsi="Times New Roman" w:cs="Times New Roman"/>
          <w:sz w:val="24"/>
          <w:szCs w:val="24"/>
          <w:lang w:val="en-US"/>
        </w:rPr>
        <w:t>P</w:t>
      </w:r>
      <w:r w:rsidRPr="00665F17">
        <w:rPr>
          <w:rFonts w:ascii="Times New Roman" w:hAnsi="Times New Roman" w:cs="Times New Roman"/>
          <w:sz w:val="24"/>
          <w:szCs w:val="24"/>
          <w:lang w:val="en-US"/>
        </w:rPr>
        <w:t xml:space="preserve">rotect </w:t>
      </w:r>
      <w:r w:rsidR="00FF12F2" w:rsidRPr="001C35F3">
        <w:rPr>
          <w:rFonts w:ascii="Times New Roman" w:hAnsi="Times New Roman" w:cs="Times New Roman"/>
          <w:sz w:val="24"/>
          <w:szCs w:val="24"/>
          <w:lang w:val="en-US"/>
        </w:rPr>
        <w:t>C</w:t>
      </w:r>
      <w:r w:rsidRPr="00665F17">
        <w:rPr>
          <w:rFonts w:ascii="Times New Roman" w:hAnsi="Times New Roman" w:cs="Times New Roman"/>
          <w:sz w:val="24"/>
          <w:szCs w:val="24"/>
          <w:lang w:val="en-US"/>
        </w:rPr>
        <w:t>ultural Heritage</w:t>
      </w:r>
      <w:r w:rsidR="00EB72A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w:t>
      </w:r>
      <w:r w:rsidR="001A082A" w:rsidRPr="001C35F3">
        <w:rPr>
          <w:rFonts w:ascii="Times New Roman" w:hAnsi="Times New Roman" w:cs="Times New Roman"/>
          <w:i/>
          <w:iCs/>
          <w:sz w:val="24"/>
          <w:szCs w:val="24"/>
          <w:lang w:val="en-US"/>
        </w:rPr>
        <w:t xml:space="preserve">International Spectator </w:t>
      </w:r>
      <w:r w:rsidR="001A082A" w:rsidRPr="001C35F3">
        <w:rPr>
          <w:rFonts w:ascii="Times New Roman" w:hAnsi="Times New Roman" w:cs="Times New Roman"/>
          <w:sz w:val="24"/>
          <w:szCs w:val="24"/>
          <w:lang w:val="en-US"/>
        </w:rPr>
        <w:t xml:space="preserve">51, no.2 (2016): </w:t>
      </w:r>
      <w:r w:rsidRPr="00665F17">
        <w:rPr>
          <w:rFonts w:ascii="Times New Roman" w:hAnsi="Times New Roman" w:cs="Times New Roman"/>
          <w:sz w:val="24"/>
          <w:szCs w:val="24"/>
          <w:lang w:val="en-US"/>
        </w:rPr>
        <w:t>70</w:t>
      </w:r>
      <w:r w:rsidR="00E740A2"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85</w:t>
      </w:r>
      <w:r w:rsidR="001A082A" w:rsidRPr="001C35F3">
        <w:rPr>
          <w:rFonts w:ascii="Times New Roman" w:hAnsi="Times New Roman" w:cs="Times New Roman"/>
          <w:sz w:val="24"/>
          <w:szCs w:val="24"/>
          <w:lang w:val="en-US"/>
        </w:rPr>
        <w:t>.</w:t>
      </w:r>
    </w:p>
  </w:endnote>
  <w:endnote w:id="49">
    <w:p w14:paraId="6E8C86C7" w14:textId="577085D3"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For </w:t>
      </w:r>
      <w:r w:rsidR="00B42C03" w:rsidRPr="001C35F3">
        <w:rPr>
          <w:rFonts w:ascii="Times New Roman" w:hAnsi="Times New Roman" w:cs="Times New Roman"/>
          <w:sz w:val="24"/>
          <w:szCs w:val="24"/>
          <w:lang w:val="en-US"/>
        </w:rPr>
        <w:t xml:space="preserve">an </w:t>
      </w:r>
      <w:r w:rsidRPr="00665F17">
        <w:rPr>
          <w:rFonts w:ascii="Times New Roman" w:hAnsi="Times New Roman" w:cs="Times New Roman"/>
          <w:sz w:val="24"/>
          <w:szCs w:val="24"/>
          <w:lang w:val="en-US"/>
        </w:rPr>
        <w:t>a</w:t>
      </w:r>
      <w:r w:rsidR="00B42C03" w:rsidRPr="001C35F3">
        <w:rPr>
          <w:rFonts w:ascii="Times New Roman" w:hAnsi="Times New Roman" w:cs="Times New Roman"/>
          <w:sz w:val="24"/>
          <w:szCs w:val="24"/>
          <w:lang w:val="en-US"/>
        </w:rPr>
        <w:t>n</w:t>
      </w:r>
      <w:r w:rsidRPr="00665F17">
        <w:rPr>
          <w:rFonts w:ascii="Times New Roman" w:hAnsi="Times New Roman" w:cs="Times New Roman"/>
          <w:sz w:val="24"/>
          <w:szCs w:val="24"/>
          <w:lang w:val="en-US"/>
        </w:rPr>
        <w:t>alysis of this practice, see B</w:t>
      </w:r>
      <w:r w:rsidR="0027040D" w:rsidRPr="001C35F3">
        <w:rPr>
          <w:rFonts w:ascii="Times New Roman" w:hAnsi="Times New Roman" w:cs="Times New Roman"/>
          <w:sz w:val="24"/>
          <w:szCs w:val="24"/>
          <w:lang w:val="en-US"/>
        </w:rPr>
        <w:t>enedetto</w:t>
      </w:r>
      <w:r w:rsidRPr="00665F17">
        <w:rPr>
          <w:rFonts w:ascii="Times New Roman" w:hAnsi="Times New Roman" w:cs="Times New Roman"/>
          <w:sz w:val="24"/>
          <w:szCs w:val="24"/>
          <w:lang w:val="en-US"/>
        </w:rPr>
        <w:t xml:space="preserve"> Conforti and C</w:t>
      </w:r>
      <w:r w:rsidR="0027040D" w:rsidRPr="001C35F3">
        <w:rPr>
          <w:rFonts w:ascii="Times New Roman" w:hAnsi="Times New Roman" w:cs="Times New Roman"/>
          <w:sz w:val="24"/>
          <w:szCs w:val="24"/>
          <w:lang w:val="en-US"/>
        </w:rPr>
        <w:t>arlo</w:t>
      </w:r>
      <w:r w:rsidRPr="00665F17">
        <w:rPr>
          <w:rFonts w:ascii="Times New Roman" w:hAnsi="Times New Roman" w:cs="Times New Roman"/>
          <w:sz w:val="24"/>
          <w:szCs w:val="24"/>
          <w:lang w:val="en-US"/>
        </w:rPr>
        <w:t xml:space="preserve"> Focarelli, </w:t>
      </w:r>
      <w:r w:rsidRPr="00665F17">
        <w:rPr>
          <w:rFonts w:ascii="Times New Roman" w:hAnsi="Times New Roman" w:cs="Times New Roman"/>
          <w:i/>
          <w:iCs/>
          <w:sz w:val="24"/>
          <w:szCs w:val="24"/>
          <w:lang w:val="en-US"/>
        </w:rPr>
        <w:t>The Law and Practice of the United Nation</w:t>
      </w:r>
      <w:r w:rsidR="00650549" w:rsidRPr="001C35F3">
        <w:rPr>
          <w:rFonts w:ascii="Times New Roman" w:hAnsi="Times New Roman" w:cs="Times New Roman"/>
          <w:i/>
          <w:iCs/>
          <w:sz w:val="24"/>
          <w:szCs w:val="24"/>
          <w:lang w:val="en-US"/>
        </w:rPr>
        <w:t>s</w:t>
      </w:r>
      <w:r w:rsidRPr="00665F17">
        <w:rPr>
          <w:rFonts w:ascii="Times New Roman" w:hAnsi="Times New Roman" w:cs="Times New Roman"/>
          <w:sz w:val="24"/>
          <w:szCs w:val="24"/>
          <w:lang w:val="en-US"/>
        </w:rPr>
        <w:t xml:space="preserve"> </w:t>
      </w:r>
      <w:r w:rsidR="0027040D"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Leiden</w:t>
      </w:r>
      <w:r w:rsidR="0027040D" w:rsidRPr="001C35F3">
        <w:rPr>
          <w:rFonts w:ascii="Times New Roman" w:hAnsi="Times New Roman" w:cs="Times New Roman"/>
          <w:sz w:val="24"/>
          <w:szCs w:val="24"/>
          <w:lang w:val="en-US"/>
        </w:rPr>
        <w:t>, Netherlands: Martinus Nijhoff</w:t>
      </w:r>
      <w:r w:rsidR="00AC1956" w:rsidRPr="001C35F3">
        <w:rPr>
          <w:rFonts w:ascii="Times New Roman" w:hAnsi="Times New Roman" w:cs="Times New Roman"/>
          <w:sz w:val="24"/>
          <w:szCs w:val="24"/>
          <w:lang w:val="en-US"/>
        </w:rPr>
        <w:t>, 2016</w:t>
      </w:r>
      <w:r w:rsidR="0027040D" w:rsidRPr="001C35F3">
        <w:rPr>
          <w:rFonts w:ascii="Times New Roman" w:hAnsi="Times New Roman" w:cs="Times New Roman"/>
          <w:sz w:val="24"/>
          <w:szCs w:val="24"/>
          <w:lang w:val="en-US"/>
        </w:rPr>
        <w:t>)</w:t>
      </w:r>
      <w:r w:rsidR="00AC1956"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219.</w:t>
      </w:r>
    </w:p>
  </w:endnote>
  <w:endnote w:id="50">
    <w:p w14:paraId="4CE63921" w14:textId="0FAFD378" w:rsidR="001A62EE" w:rsidRPr="00665F17" w:rsidRDefault="001A62EE">
      <w:pPr>
        <w:pStyle w:val="EndnoteText"/>
        <w:spacing w:line="480" w:lineRule="auto"/>
        <w:rPr>
          <w:rFonts w:ascii="Times New Roman" w:hAnsi="Times New Roman" w:cs="Times New Roman"/>
          <w:sz w:val="24"/>
          <w:szCs w:val="24"/>
          <w:lang w:val="en-US"/>
        </w:rPr>
      </w:pPr>
      <w:r w:rsidRPr="00665F17">
        <w:rPr>
          <w:rStyle w:val="EndnoteReference"/>
          <w:rFonts w:ascii="Times New Roman" w:hAnsi="Times New Roman" w:cs="Times New Roman"/>
          <w:sz w:val="24"/>
          <w:szCs w:val="24"/>
          <w:lang w:val="en-US"/>
        </w:rPr>
        <w:endnoteRef/>
      </w:r>
      <w:r w:rsidRPr="00665F17">
        <w:rPr>
          <w:rFonts w:ascii="Times New Roman" w:hAnsi="Times New Roman" w:cs="Times New Roman"/>
          <w:sz w:val="24"/>
          <w:szCs w:val="24"/>
          <w:lang w:val="en-US"/>
        </w:rPr>
        <w:t xml:space="preserve"> This point </w:t>
      </w:r>
      <w:r w:rsidR="004C3487" w:rsidRPr="001C35F3">
        <w:rPr>
          <w:rFonts w:ascii="Times New Roman" w:hAnsi="Times New Roman" w:cs="Times New Roman"/>
          <w:sz w:val="24"/>
          <w:szCs w:val="24"/>
          <w:lang w:val="en-US"/>
        </w:rPr>
        <w:t>was</w:t>
      </w:r>
      <w:r w:rsidRPr="00665F17">
        <w:rPr>
          <w:rFonts w:ascii="Times New Roman" w:hAnsi="Times New Roman" w:cs="Times New Roman"/>
          <w:sz w:val="24"/>
          <w:szCs w:val="24"/>
          <w:lang w:val="en-US"/>
        </w:rPr>
        <w:t xml:space="preserve"> recognized in the document adopted by </w:t>
      </w:r>
      <w:r w:rsidR="00CD7C9E" w:rsidRPr="001C35F3">
        <w:rPr>
          <w:rFonts w:ascii="Times New Roman" w:hAnsi="Times New Roman" w:cs="Times New Roman"/>
          <w:sz w:val="24"/>
          <w:szCs w:val="24"/>
          <w:lang w:val="en-US"/>
        </w:rPr>
        <w:t>a h</w:t>
      </w:r>
      <w:r w:rsidRPr="00665F17">
        <w:rPr>
          <w:rFonts w:ascii="Times New Roman" w:hAnsi="Times New Roman" w:cs="Times New Roman"/>
          <w:sz w:val="24"/>
          <w:szCs w:val="24"/>
          <w:lang w:val="en-US"/>
        </w:rPr>
        <w:t>igh</w:t>
      </w:r>
      <w:r w:rsidR="00CD7C9E" w:rsidRPr="001C35F3">
        <w:rPr>
          <w:rFonts w:ascii="Times New Roman" w:hAnsi="Times New Roman" w:cs="Times New Roman"/>
          <w:sz w:val="24"/>
          <w:szCs w:val="24"/>
          <w:lang w:val="en-US"/>
        </w:rPr>
        <w:t>-l</w:t>
      </w:r>
      <w:r w:rsidRPr="00665F17">
        <w:rPr>
          <w:rFonts w:ascii="Times New Roman" w:hAnsi="Times New Roman" w:cs="Times New Roman"/>
          <w:sz w:val="24"/>
          <w:szCs w:val="24"/>
          <w:lang w:val="en-US"/>
        </w:rPr>
        <w:t xml:space="preserve">evel </w:t>
      </w:r>
      <w:r w:rsidR="00CD7C9E" w:rsidRPr="001C35F3">
        <w:rPr>
          <w:rFonts w:ascii="Times New Roman" w:hAnsi="Times New Roman" w:cs="Times New Roman"/>
          <w:sz w:val="24"/>
          <w:szCs w:val="24"/>
          <w:lang w:val="en-US"/>
        </w:rPr>
        <w:t>m</w:t>
      </w:r>
      <w:r w:rsidRPr="00665F17">
        <w:rPr>
          <w:rFonts w:ascii="Times New Roman" w:hAnsi="Times New Roman" w:cs="Times New Roman"/>
          <w:sz w:val="24"/>
          <w:szCs w:val="24"/>
          <w:lang w:val="en-US"/>
        </w:rPr>
        <w:t>eeting</w:t>
      </w:r>
      <w:r w:rsidR="00023A42"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organized at the United Nations, at the initiative of the Italian mission, on 21 September 2017</w:t>
      </w:r>
      <w:r w:rsidR="0073751D" w:rsidRPr="001C35F3">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on the theme </w:t>
      </w:r>
      <w:r w:rsidR="0073751D" w:rsidRPr="001C35F3">
        <w:rPr>
          <w:rFonts w:ascii="Times New Roman" w:hAnsi="Times New Roman" w:cs="Times New Roman"/>
          <w:sz w:val="24"/>
          <w:szCs w:val="24"/>
          <w:lang w:val="en-US"/>
        </w:rPr>
        <w:t xml:space="preserve">of </w:t>
      </w:r>
      <w:r w:rsidRPr="00665F17">
        <w:rPr>
          <w:rFonts w:ascii="Times New Roman" w:hAnsi="Times New Roman" w:cs="Times New Roman"/>
          <w:sz w:val="24"/>
          <w:szCs w:val="24"/>
          <w:lang w:val="en-US"/>
        </w:rPr>
        <w:t xml:space="preserve">“Our Responsibility to Protect Cultural Heritage from </w:t>
      </w:r>
      <w:r w:rsidR="00396F44" w:rsidRPr="001C35F3">
        <w:rPr>
          <w:rFonts w:ascii="Times New Roman" w:hAnsi="Times New Roman" w:cs="Times New Roman"/>
          <w:sz w:val="24"/>
          <w:szCs w:val="24"/>
          <w:lang w:val="en-US"/>
        </w:rPr>
        <w:t>T</w:t>
      </w:r>
      <w:r w:rsidRPr="00665F17">
        <w:rPr>
          <w:rFonts w:ascii="Times New Roman" w:hAnsi="Times New Roman" w:cs="Times New Roman"/>
          <w:sz w:val="24"/>
          <w:szCs w:val="24"/>
          <w:lang w:val="en-US"/>
        </w:rPr>
        <w:t>errorism and Mass Atrocities</w:t>
      </w:r>
      <w:r w:rsidR="000E1422" w:rsidRPr="001C35F3">
        <w:rPr>
          <w:rFonts w:ascii="Times New Roman" w:hAnsi="Times New Roman" w:cs="Times New Roman"/>
          <w:sz w:val="24"/>
          <w:szCs w:val="24"/>
          <w:lang w:val="en-US"/>
        </w:rPr>
        <w:t>.</w:t>
      </w:r>
      <w:r w:rsidR="00084914" w:rsidRPr="00665F17">
        <w:rPr>
          <w:rFonts w:ascii="Times New Roman" w:hAnsi="Times New Roman" w:cs="Times New Roman"/>
          <w:sz w:val="24"/>
          <w:szCs w:val="24"/>
          <w:lang w:val="en-US"/>
        </w:rPr>
        <w:t>”</w:t>
      </w:r>
      <w:r w:rsidR="000E1422" w:rsidRPr="001C35F3">
        <w:rPr>
          <w:rFonts w:ascii="Times New Roman" w:hAnsi="Times New Roman" w:cs="Times New Roman"/>
          <w:sz w:val="24"/>
          <w:szCs w:val="24"/>
          <w:lang w:val="en-US"/>
        </w:rPr>
        <w:t xml:space="preserve"> See http://www.unesco.org/new/en/social-and-human-sciences/themes/sv/news/our_responsibility_to_protect_cultural_heritage_from_terrori/.</w:t>
      </w:r>
      <w:r w:rsidRPr="00665F17">
        <w:rPr>
          <w:rFonts w:ascii="Times New Roman" w:hAnsi="Times New Roman" w:cs="Times New Roman"/>
          <w:sz w:val="24"/>
          <w:szCs w:val="24"/>
          <w:lang w:val="en-US"/>
        </w:rPr>
        <w:t xml:space="preserve"> This document follows the UNESCO recommendation</w:t>
      </w:r>
      <w:r w:rsidR="00001E90"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on the “Responsibility to Protect Cultural Heritage</w:t>
      </w:r>
      <w:r w:rsidR="00EB72A4"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 xml:space="preserve"> adopted by </w:t>
      </w:r>
      <w:r w:rsidR="000E1422" w:rsidRPr="001C35F3">
        <w:rPr>
          <w:rFonts w:ascii="Times New Roman" w:hAnsi="Times New Roman" w:cs="Times New Roman"/>
          <w:sz w:val="24"/>
          <w:szCs w:val="24"/>
          <w:lang w:val="en-US"/>
        </w:rPr>
        <w:t>an e</w:t>
      </w:r>
      <w:r w:rsidRPr="00665F17">
        <w:rPr>
          <w:rFonts w:ascii="Times New Roman" w:hAnsi="Times New Roman" w:cs="Times New Roman"/>
          <w:sz w:val="24"/>
          <w:szCs w:val="24"/>
          <w:lang w:val="en-US"/>
        </w:rPr>
        <w:t xml:space="preserve">xpert </w:t>
      </w:r>
      <w:r w:rsidR="000E1422" w:rsidRPr="001C35F3">
        <w:rPr>
          <w:rFonts w:ascii="Times New Roman" w:hAnsi="Times New Roman" w:cs="Times New Roman"/>
          <w:sz w:val="24"/>
          <w:szCs w:val="24"/>
          <w:lang w:val="en-US"/>
        </w:rPr>
        <w:t>m</w:t>
      </w:r>
      <w:r w:rsidRPr="00665F17">
        <w:rPr>
          <w:rFonts w:ascii="Times New Roman" w:hAnsi="Times New Roman" w:cs="Times New Roman"/>
          <w:sz w:val="24"/>
          <w:szCs w:val="24"/>
          <w:lang w:val="en-US"/>
        </w:rPr>
        <w:t>eeting</w:t>
      </w:r>
      <w:r w:rsidR="00001E90" w:rsidRPr="00665F17">
        <w:rPr>
          <w:rFonts w:ascii="Times New Roman" w:hAnsi="Times New Roman" w:cs="Times New Roman"/>
          <w:sz w:val="24"/>
          <w:szCs w:val="24"/>
          <w:lang w:val="en-US"/>
        </w:rPr>
        <w:t xml:space="preserve"> </w:t>
      </w:r>
      <w:r w:rsidRPr="00665F17">
        <w:rPr>
          <w:rFonts w:ascii="Times New Roman" w:hAnsi="Times New Roman" w:cs="Times New Roman"/>
          <w:sz w:val="24"/>
          <w:szCs w:val="24"/>
          <w:lang w:val="en-US"/>
        </w:rPr>
        <w:t>of 26</w:t>
      </w:r>
      <w:r w:rsidR="00E740A2" w:rsidRPr="00665F17">
        <w:rPr>
          <w:rFonts w:ascii="Times New Roman" w:hAnsi="Times New Roman" w:cs="Times New Roman"/>
          <w:sz w:val="24"/>
          <w:szCs w:val="24"/>
          <w:lang w:val="en-US"/>
        </w:rPr>
        <w:t>–</w:t>
      </w:r>
      <w:r w:rsidRPr="00665F17">
        <w:rPr>
          <w:rFonts w:ascii="Times New Roman" w:hAnsi="Times New Roman" w:cs="Times New Roman"/>
          <w:sz w:val="24"/>
          <w:szCs w:val="24"/>
          <w:lang w:val="en-US"/>
        </w:rPr>
        <w:t>27 November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w:altName w:val="Didot"/>
    <w:panose1 w:val="020B0604020202020204"/>
    <w:charset w:val="00"/>
    <w:family w:val="auto"/>
    <w:pitch w:val="variable"/>
    <w:sig w:usb0="8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F5FB6" w14:textId="77777777" w:rsidR="006523D2" w:rsidRDefault="006523D2" w:rsidP="001F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98FC9A" w14:textId="77777777" w:rsidR="006523D2" w:rsidRDefault="006523D2" w:rsidP="001F4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D9DF6" w14:textId="77777777" w:rsidR="006523D2" w:rsidRDefault="006523D2" w:rsidP="001F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68AD">
      <w:rPr>
        <w:rStyle w:val="PageNumber"/>
        <w:noProof/>
      </w:rPr>
      <w:t>15</w:t>
    </w:r>
    <w:r>
      <w:rPr>
        <w:rStyle w:val="PageNumber"/>
      </w:rPr>
      <w:fldChar w:fldCharType="end"/>
    </w:r>
  </w:p>
  <w:p w14:paraId="3BB39EBD" w14:textId="77777777" w:rsidR="006523D2" w:rsidRDefault="006523D2" w:rsidP="001F4C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8B925" w14:textId="77777777" w:rsidR="000E7EE6" w:rsidRDefault="000E7EE6" w:rsidP="00253D24">
      <w:pPr>
        <w:spacing w:after="0" w:line="240" w:lineRule="auto"/>
      </w:pPr>
      <w:r>
        <w:separator/>
      </w:r>
    </w:p>
  </w:footnote>
  <w:footnote w:type="continuationSeparator" w:id="0">
    <w:p w14:paraId="1FD636B3" w14:textId="77777777" w:rsidR="000E7EE6" w:rsidRDefault="000E7EE6" w:rsidP="00253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267F6"/>
    <w:multiLevelType w:val="hybridMultilevel"/>
    <w:tmpl w:val="59FECB7E"/>
    <w:lvl w:ilvl="0" w:tplc="E4D699F8">
      <w:start w:val="2"/>
      <w:numFmt w:val="bullet"/>
      <w:lvlText w:val="-"/>
      <w:lvlJc w:val="left"/>
      <w:pPr>
        <w:ind w:left="1637" w:hanging="360"/>
      </w:pPr>
      <w:rPr>
        <w:rFonts w:ascii="Minion" w:eastAsiaTheme="minorEastAsia" w:hAnsi="Minion" w:cstheme="minorBidi" w:hint="default"/>
      </w:rPr>
    </w:lvl>
    <w:lvl w:ilvl="1" w:tplc="04100003" w:tentative="1">
      <w:start w:val="1"/>
      <w:numFmt w:val="bullet"/>
      <w:lvlText w:val="o"/>
      <w:lvlJc w:val="left"/>
      <w:pPr>
        <w:ind w:left="2357" w:hanging="360"/>
      </w:pPr>
      <w:rPr>
        <w:rFonts w:ascii="Courier New" w:hAnsi="Courier New" w:cs="Courier New" w:hint="default"/>
      </w:rPr>
    </w:lvl>
    <w:lvl w:ilvl="2" w:tplc="04100005" w:tentative="1">
      <w:start w:val="1"/>
      <w:numFmt w:val="bullet"/>
      <w:lvlText w:val=""/>
      <w:lvlJc w:val="left"/>
      <w:pPr>
        <w:ind w:left="3077" w:hanging="360"/>
      </w:pPr>
      <w:rPr>
        <w:rFonts w:ascii="Wingdings" w:hAnsi="Wingdings" w:hint="default"/>
      </w:rPr>
    </w:lvl>
    <w:lvl w:ilvl="3" w:tplc="04100001" w:tentative="1">
      <w:start w:val="1"/>
      <w:numFmt w:val="bullet"/>
      <w:lvlText w:val=""/>
      <w:lvlJc w:val="left"/>
      <w:pPr>
        <w:ind w:left="3797" w:hanging="360"/>
      </w:pPr>
      <w:rPr>
        <w:rFonts w:ascii="Symbol" w:hAnsi="Symbol" w:hint="default"/>
      </w:rPr>
    </w:lvl>
    <w:lvl w:ilvl="4" w:tplc="04100003" w:tentative="1">
      <w:start w:val="1"/>
      <w:numFmt w:val="bullet"/>
      <w:lvlText w:val="o"/>
      <w:lvlJc w:val="left"/>
      <w:pPr>
        <w:ind w:left="4517" w:hanging="360"/>
      </w:pPr>
      <w:rPr>
        <w:rFonts w:ascii="Courier New" w:hAnsi="Courier New" w:cs="Courier New" w:hint="default"/>
      </w:rPr>
    </w:lvl>
    <w:lvl w:ilvl="5" w:tplc="04100005" w:tentative="1">
      <w:start w:val="1"/>
      <w:numFmt w:val="bullet"/>
      <w:lvlText w:val=""/>
      <w:lvlJc w:val="left"/>
      <w:pPr>
        <w:ind w:left="5237" w:hanging="360"/>
      </w:pPr>
      <w:rPr>
        <w:rFonts w:ascii="Wingdings" w:hAnsi="Wingdings" w:hint="default"/>
      </w:rPr>
    </w:lvl>
    <w:lvl w:ilvl="6" w:tplc="04100001" w:tentative="1">
      <w:start w:val="1"/>
      <w:numFmt w:val="bullet"/>
      <w:lvlText w:val=""/>
      <w:lvlJc w:val="left"/>
      <w:pPr>
        <w:ind w:left="5957" w:hanging="360"/>
      </w:pPr>
      <w:rPr>
        <w:rFonts w:ascii="Symbol" w:hAnsi="Symbol" w:hint="default"/>
      </w:rPr>
    </w:lvl>
    <w:lvl w:ilvl="7" w:tplc="04100003" w:tentative="1">
      <w:start w:val="1"/>
      <w:numFmt w:val="bullet"/>
      <w:lvlText w:val="o"/>
      <w:lvlJc w:val="left"/>
      <w:pPr>
        <w:ind w:left="6677" w:hanging="360"/>
      </w:pPr>
      <w:rPr>
        <w:rFonts w:ascii="Courier New" w:hAnsi="Courier New" w:cs="Courier New" w:hint="default"/>
      </w:rPr>
    </w:lvl>
    <w:lvl w:ilvl="8" w:tplc="04100005" w:tentative="1">
      <w:start w:val="1"/>
      <w:numFmt w:val="bullet"/>
      <w:lvlText w:val=""/>
      <w:lvlJc w:val="left"/>
      <w:pPr>
        <w:ind w:left="7397" w:hanging="360"/>
      </w:pPr>
      <w:rPr>
        <w:rFonts w:ascii="Wingdings" w:hAnsi="Wingdings" w:hint="default"/>
      </w:rPr>
    </w:lvl>
  </w:abstractNum>
  <w:abstractNum w:abstractNumId="1" w15:restartNumberingAfterBreak="0">
    <w:nsid w:val="715F2912"/>
    <w:multiLevelType w:val="hybridMultilevel"/>
    <w:tmpl w:val="141A9918"/>
    <w:lvl w:ilvl="0" w:tplc="9F8EAABA">
      <w:start w:val="1"/>
      <w:numFmt w:val="lowerLetter"/>
      <w:lvlText w:val="(%1)"/>
      <w:lvlJc w:val="left"/>
      <w:pPr>
        <w:ind w:left="700" w:hanging="360"/>
      </w:pPr>
      <w:rPr>
        <w:rFonts w:hint="default"/>
      </w:rPr>
    </w:lvl>
    <w:lvl w:ilvl="1" w:tplc="04100019" w:tentative="1">
      <w:start w:val="1"/>
      <w:numFmt w:val="lowerLetter"/>
      <w:lvlText w:val="%2."/>
      <w:lvlJc w:val="left"/>
      <w:pPr>
        <w:ind w:left="1420" w:hanging="360"/>
      </w:pPr>
    </w:lvl>
    <w:lvl w:ilvl="2" w:tplc="0410001B" w:tentative="1">
      <w:start w:val="1"/>
      <w:numFmt w:val="lowerRoman"/>
      <w:lvlText w:val="%3."/>
      <w:lvlJc w:val="right"/>
      <w:pPr>
        <w:ind w:left="2140" w:hanging="180"/>
      </w:pPr>
    </w:lvl>
    <w:lvl w:ilvl="3" w:tplc="0410000F" w:tentative="1">
      <w:start w:val="1"/>
      <w:numFmt w:val="decimal"/>
      <w:lvlText w:val="%4."/>
      <w:lvlJc w:val="left"/>
      <w:pPr>
        <w:ind w:left="2860" w:hanging="360"/>
      </w:pPr>
    </w:lvl>
    <w:lvl w:ilvl="4" w:tplc="04100019" w:tentative="1">
      <w:start w:val="1"/>
      <w:numFmt w:val="lowerLetter"/>
      <w:lvlText w:val="%5."/>
      <w:lvlJc w:val="left"/>
      <w:pPr>
        <w:ind w:left="3580" w:hanging="360"/>
      </w:pPr>
    </w:lvl>
    <w:lvl w:ilvl="5" w:tplc="0410001B" w:tentative="1">
      <w:start w:val="1"/>
      <w:numFmt w:val="lowerRoman"/>
      <w:lvlText w:val="%6."/>
      <w:lvlJc w:val="right"/>
      <w:pPr>
        <w:ind w:left="4300" w:hanging="180"/>
      </w:pPr>
    </w:lvl>
    <w:lvl w:ilvl="6" w:tplc="0410000F" w:tentative="1">
      <w:start w:val="1"/>
      <w:numFmt w:val="decimal"/>
      <w:lvlText w:val="%7."/>
      <w:lvlJc w:val="left"/>
      <w:pPr>
        <w:ind w:left="5020" w:hanging="360"/>
      </w:pPr>
    </w:lvl>
    <w:lvl w:ilvl="7" w:tplc="04100019" w:tentative="1">
      <w:start w:val="1"/>
      <w:numFmt w:val="lowerLetter"/>
      <w:lvlText w:val="%8."/>
      <w:lvlJc w:val="left"/>
      <w:pPr>
        <w:ind w:left="5740" w:hanging="360"/>
      </w:pPr>
    </w:lvl>
    <w:lvl w:ilvl="8" w:tplc="0410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08"/>
  <w:hyphenationZone w:val="283"/>
  <w:characterSpacingControl w:val="doNotCompress"/>
  <w:footnotePr>
    <w:pos w:val="beneathText"/>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F2"/>
    <w:rsid w:val="00000D01"/>
    <w:rsid w:val="00001E90"/>
    <w:rsid w:val="00005B1C"/>
    <w:rsid w:val="00006D7E"/>
    <w:rsid w:val="00011DD0"/>
    <w:rsid w:val="0001254F"/>
    <w:rsid w:val="00012768"/>
    <w:rsid w:val="00012A0C"/>
    <w:rsid w:val="00013D22"/>
    <w:rsid w:val="000149EC"/>
    <w:rsid w:val="00014AA3"/>
    <w:rsid w:val="0001562C"/>
    <w:rsid w:val="000173DB"/>
    <w:rsid w:val="000212A3"/>
    <w:rsid w:val="0002215D"/>
    <w:rsid w:val="0002285B"/>
    <w:rsid w:val="00023A42"/>
    <w:rsid w:val="000245C3"/>
    <w:rsid w:val="000255EF"/>
    <w:rsid w:val="00026A6F"/>
    <w:rsid w:val="0003153C"/>
    <w:rsid w:val="00032C38"/>
    <w:rsid w:val="00033BC9"/>
    <w:rsid w:val="00036A9B"/>
    <w:rsid w:val="00036B71"/>
    <w:rsid w:val="00036E4D"/>
    <w:rsid w:val="000406F0"/>
    <w:rsid w:val="000423FF"/>
    <w:rsid w:val="0004466A"/>
    <w:rsid w:val="0004479F"/>
    <w:rsid w:val="00044B9B"/>
    <w:rsid w:val="00044D85"/>
    <w:rsid w:val="00047136"/>
    <w:rsid w:val="00050D80"/>
    <w:rsid w:val="00051EB7"/>
    <w:rsid w:val="00054342"/>
    <w:rsid w:val="0005492D"/>
    <w:rsid w:val="00054B32"/>
    <w:rsid w:val="00055514"/>
    <w:rsid w:val="000559CA"/>
    <w:rsid w:val="000600AF"/>
    <w:rsid w:val="00060C1F"/>
    <w:rsid w:val="00062764"/>
    <w:rsid w:val="00062B2F"/>
    <w:rsid w:val="00063B11"/>
    <w:rsid w:val="00064250"/>
    <w:rsid w:val="00064BC7"/>
    <w:rsid w:val="00066DB6"/>
    <w:rsid w:val="00066E4A"/>
    <w:rsid w:val="000674BD"/>
    <w:rsid w:val="00070489"/>
    <w:rsid w:val="00071D57"/>
    <w:rsid w:val="00072E9F"/>
    <w:rsid w:val="0007417E"/>
    <w:rsid w:val="000746D8"/>
    <w:rsid w:val="00074780"/>
    <w:rsid w:val="00075A86"/>
    <w:rsid w:val="00077907"/>
    <w:rsid w:val="00077CA8"/>
    <w:rsid w:val="00077FE2"/>
    <w:rsid w:val="000800FA"/>
    <w:rsid w:val="000801D3"/>
    <w:rsid w:val="0008299B"/>
    <w:rsid w:val="00083413"/>
    <w:rsid w:val="000842A8"/>
    <w:rsid w:val="00084914"/>
    <w:rsid w:val="00086252"/>
    <w:rsid w:val="00087177"/>
    <w:rsid w:val="00090547"/>
    <w:rsid w:val="00091558"/>
    <w:rsid w:val="000916ED"/>
    <w:rsid w:val="00093753"/>
    <w:rsid w:val="000958E5"/>
    <w:rsid w:val="000959C1"/>
    <w:rsid w:val="000966ED"/>
    <w:rsid w:val="00096D3F"/>
    <w:rsid w:val="00097618"/>
    <w:rsid w:val="000A2131"/>
    <w:rsid w:val="000A2AB8"/>
    <w:rsid w:val="000A3BF4"/>
    <w:rsid w:val="000A4203"/>
    <w:rsid w:val="000A4AC6"/>
    <w:rsid w:val="000A4DA3"/>
    <w:rsid w:val="000A6EA1"/>
    <w:rsid w:val="000A7401"/>
    <w:rsid w:val="000B183A"/>
    <w:rsid w:val="000B1D9C"/>
    <w:rsid w:val="000B2325"/>
    <w:rsid w:val="000B4757"/>
    <w:rsid w:val="000B53AA"/>
    <w:rsid w:val="000B5B08"/>
    <w:rsid w:val="000B5B3D"/>
    <w:rsid w:val="000B6658"/>
    <w:rsid w:val="000B7AE3"/>
    <w:rsid w:val="000C04C5"/>
    <w:rsid w:val="000C2171"/>
    <w:rsid w:val="000C3344"/>
    <w:rsid w:val="000C5C9B"/>
    <w:rsid w:val="000C78E6"/>
    <w:rsid w:val="000D3355"/>
    <w:rsid w:val="000D5494"/>
    <w:rsid w:val="000D5BD7"/>
    <w:rsid w:val="000D5E59"/>
    <w:rsid w:val="000D696C"/>
    <w:rsid w:val="000E1422"/>
    <w:rsid w:val="000E1467"/>
    <w:rsid w:val="000E1E1D"/>
    <w:rsid w:val="000E3064"/>
    <w:rsid w:val="000E3B00"/>
    <w:rsid w:val="000E7D0E"/>
    <w:rsid w:val="000E7EE6"/>
    <w:rsid w:val="000F0C25"/>
    <w:rsid w:val="000F12C8"/>
    <w:rsid w:val="000F1F99"/>
    <w:rsid w:val="000F4292"/>
    <w:rsid w:val="000F67FB"/>
    <w:rsid w:val="000F7CD8"/>
    <w:rsid w:val="00100987"/>
    <w:rsid w:val="00101B82"/>
    <w:rsid w:val="00103BFD"/>
    <w:rsid w:val="001043E0"/>
    <w:rsid w:val="00104F45"/>
    <w:rsid w:val="00106B66"/>
    <w:rsid w:val="00112727"/>
    <w:rsid w:val="00112CE4"/>
    <w:rsid w:val="00113289"/>
    <w:rsid w:val="001152BC"/>
    <w:rsid w:val="00115B2D"/>
    <w:rsid w:val="001163D1"/>
    <w:rsid w:val="0011666C"/>
    <w:rsid w:val="00116725"/>
    <w:rsid w:val="00117233"/>
    <w:rsid w:val="001228A7"/>
    <w:rsid w:val="001244E2"/>
    <w:rsid w:val="001273CC"/>
    <w:rsid w:val="00130673"/>
    <w:rsid w:val="00131CA3"/>
    <w:rsid w:val="00132137"/>
    <w:rsid w:val="00132353"/>
    <w:rsid w:val="001345EC"/>
    <w:rsid w:val="00135BED"/>
    <w:rsid w:val="00137452"/>
    <w:rsid w:val="00137730"/>
    <w:rsid w:val="00137E2A"/>
    <w:rsid w:val="00140E3A"/>
    <w:rsid w:val="001417AC"/>
    <w:rsid w:val="00144B0B"/>
    <w:rsid w:val="00144BE8"/>
    <w:rsid w:val="00145BF9"/>
    <w:rsid w:val="001460E6"/>
    <w:rsid w:val="00146719"/>
    <w:rsid w:val="001473DB"/>
    <w:rsid w:val="0015126E"/>
    <w:rsid w:val="00153871"/>
    <w:rsid w:val="00153927"/>
    <w:rsid w:val="00156944"/>
    <w:rsid w:val="00156A0A"/>
    <w:rsid w:val="00157B27"/>
    <w:rsid w:val="0016096E"/>
    <w:rsid w:val="00162DCC"/>
    <w:rsid w:val="00164F8D"/>
    <w:rsid w:val="00167DB2"/>
    <w:rsid w:val="0017084B"/>
    <w:rsid w:val="001717F8"/>
    <w:rsid w:val="00171C47"/>
    <w:rsid w:val="00173AD8"/>
    <w:rsid w:val="00176FDE"/>
    <w:rsid w:val="00177692"/>
    <w:rsid w:val="001813B9"/>
    <w:rsid w:val="00183839"/>
    <w:rsid w:val="00183C23"/>
    <w:rsid w:val="001844BA"/>
    <w:rsid w:val="001844EA"/>
    <w:rsid w:val="00186F46"/>
    <w:rsid w:val="00190F07"/>
    <w:rsid w:val="001915BD"/>
    <w:rsid w:val="0019224B"/>
    <w:rsid w:val="00195F04"/>
    <w:rsid w:val="00196F55"/>
    <w:rsid w:val="00197C1B"/>
    <w:rsid w:val="001A082A"/>
    <w:rsid w:val="001A0ADA"/>
    <w:rsid w:val="001A0B20"/>
    <w:rsid w:val="001A1118"/>
    <w:rsid w:val="001A3331"/>
    <w:rsid w:val="001A5ECE"/>
    <w:rsid w:val="001A601D"/>
    <w:rsid w:val="001A62EE"/>
    <w:rsid w:val="001B10CD"/>
    <w:rsid w:val="001B1A58"/>
    <w:rsid w:val="001B1BF9"/>
    <w:rsid w:val="001B34C9"/>
    <w:rsid w:val="001B3639"/>
    <w:rsid w:val="001C04CA"/>
    <w:rsid w:val="001C0BCC"/>
    <w:rsid w:val="001C0C67"/>
    <w:rsid w:val="001C0F87"/>
    <w:rsid w:val="001C35F3"/>
    <w:rsid w:val="001C443E"/>
    <w:rsid w:val="001C4BD1"/>
    <w:rsid w:val="001C5108"/>
    <w:rsid w:val="001C611D"/>
    <w:rsid w:val="001C6D27"/>
    <w:rsid w:val="001C7E85"/>
    <w:rsid w:val="001C7F41"/>
    <w:rsid w:val="001D0DE2"/>
    <w:rsid w:val="001D3431"/>
    <w:rsid w:val="001D46C2"/>
    <w:rsid w:val="001D4FC3"/>
    <w:rsid w:val="001D5B26"/>
    <w:rsid w:val="001D70BD"/>
    <w:rsid w:val="001E321B"/>
    <w:rsid w:val="001E4B4C"/>
    <w:rsid w:val="001F0BBE"/>
    <w:rsid w:val="001F3416"/>
    <w:rsid w:val="001F431D"/>
    <w:rsid w:val="001F4C36"/>
    <w:rsid w:val="001F51E1"/>
    <w:rsid w:val="00200B64"/>
    <w:rsid w:val="00202282"/>
    <w:rsid w:val="00203F23"/>
    <w:rsid w:val="00204539"/>
    <w:rsid w:val="0020485F"/>
    <w:rsid w:val="00204E40"/>
    <w:rsid w:val="002051F7"/>
    <w:rsid w:val="00206AD2"/>
    <w:rsid w:val="0020798E"/>
    <w:rsid w:val="00207B7F"/>
    <w:rsid w:val="00207CF3"/>
    <w:rsid w:val="00211039"/>
    <w:rsid w:val="002124D6"/>
    <w:rsid w:val="0021345E"/>
    <w:rsid w:val="0021404E"/>
    <w:rsid w:val="00215FEA"/>
    <w:rsid w:val="002172B4"/>
    <w:rsid w:val="00221ACB"/>
    <w:rsid w:val="00226FEE"/>
    <w:rsid w:val="00227F5D"/>
    <w:rsid w:val="00230223"/>
    <w:rsid w:val="0023051E"/>
    <w:rsid w:val="00232631"/>
    <w:rsid w:val="002355F7"/>
    <w:rsid w:val="0023635B"/>
    <w:rsid w:val="002363EC"/>
    <w:rsid w:val="00241026"/>
    <w:rsid w:val="002420E5"/>
    <w:rsid w:val="00242652"/>
    <w:rsid w:val="00243AF3"/>
    <w:rsid w:val="00243E08"/>
    <w:rsid w:val="00244741"/>
    <w:rsid w:val="002536F1"/>
    <w:rsid w:val="00253D24"/>
    <w:rsid w:val="00254DA7"/>
    <w:rsid w:val="00257174"/>
    <w:rsid w:val="002616D1"/>
    <w:rsid w:val="002625B3"/>
    <w:rsid w:val="00262E17"/>
    <w:rsid w:val="00265268"/>
    <w:rsid w:val="0027040D"/>
    <w:rsid w:val="0027175E"/>
    <w:rsid w:val="00272054"/>
    <w:rsid w:val="00272B0E"/>
    <w:rsid w:val="0027629A"/>
    <w:rsid w:val="0028246D"/>
    <w:rsid w:val="002856DE"/>
    <w:rsid w:val="00290316"/>
    <w:rsid w:val="00292238"/>
    <w:rsid w:val="002936F6"/>
    <w:rsid w:val="00293A97"/>
    <w:rsid w:val="002944E7"/>
    <w:rsid w:val="002956E0"/>
    <w:rsid w:val="00297E4D"/>
    <w:rsid w:val="002A2666"/>
    <w:rsid w:val="002A394F"/>
    <w:rsid w:val="002A4F96"/>
    <w:rsid w:val="002A5EB9"/>
    <w:rsid w:val="002A6E4F"/>
    <w:rsid w:val="002A704F"/>
    <w:rsid w:val="002B05F9"/>
    <w:rsid w:val="002B2182"/>
    <w:rsid w:val="002B2222"/>
    <w:rsid w:val="002B2E51"/>
    <w:rsid w:val="002B36CA"/>
    <w:rsid w:val="002C1191"/>
    <w:rsid w:val="002C4A84"/>
    <w:rsid w:val="002C4BE4"/>
    <w:rsid w:val="002C62EF"/>
    <w:rsid w:val="002D0FA9"/>
    <w:rsid w:val="002E0965"/>
    <w:rsid w:val="002E0C44"/>
    <w:rsid w:val="002E2187"/>
    <w:rsid w:val="002E5F6A"/>
    <w:rsid w:val="002E5FE3"/>
    <w:rsid w:val="002E6686"/>
    <w:rsid w:val="002E70E8"/>
    <w:rsid w:val="002E7E33"/>
    <w:rsid w:val="002F1B14"/>
    <w:rsid w:val="002F3DB9"/>
    <w:rsid w:val="002F648A"/>
    <w:rsid w:val="0030149B"/>
    <w:rsid w:val="0030347D"/>
    <w:rsid w:val="00305F28"/>
    <w:rsid w:val="00305F3D"/>
    <w:rsid w:val="00306E95"/>
    <w:rsid w:val="003071EE"/>
    <w:rsid w:val="00307ACF"/>
    <w:rsid w:val="00310D32"/>
    <w:rsid w:val="003122A7"/>
    <w:rsid w:val="0031286F"/>
    <w:rsid w:val="00315726"/>
    <w:rsid w:val="003170BE"/>
    <w:rsid w:val="0032104D"/>
    <w:rsid w:val="003245FB"/>
    <w:rsid w:val="00325A40"/>
    <w:rsid w:val="003260F8"/>
    <w:rsid w:val="00332820"/>
    <w:rsid w:val="00332833"/>
    <w:rsid w:val="003331CA"/>
    <w:rsid w:val="00334D71"/>
    <w:rsid w:val="00335717"/>
    <w:rsid w:val="00336255"/>
    <w:rsid w:val="0034059C"/>
    <w:rsid w:val="003405A0"/>
    <w:rsid w:val="00341C01"/>
    <w:rsid w:val="0034223A"/>
    <w:rsid w:val="00342784"/>
    <w:rsid w:val="0034291B"/>
    <w:rsid w:val="00346871"/>
    <w:rsid w:val="00350A1C"/>
    <w:rsid w:val="003519DA"/>
    <w:rsid w:val="0035391A"/>
    <w:rsid w:val="003551CE"/>
    <w:rsid w:val="00355424"/>
    <w:rsid w:val="00356B9D"/>
    <w:rsid w:val="003575EF"/>
    <w:rsid w:val="00360598"/>
    <w:rsid w:val="00366AC2"/>
    <w:rsid w:val="003671AA"/>
    <w:rsid w:val="00367417"/>
    <w:rsid w:val="0037010A"/>
    <w:rsid w:val="00372F46"/>
    <w:rsid w:val="00375FDB"/>
    <w:rsid w:val="00376ED6"/>
    <w:rsid w:val="003776E9"/>
    <w:rsid w:val="00381A4C"/>
    <w:rsid w:val="0038548D"/>
    <w:rsid w:val="00385878"/>
    <w:rsid w:val="00387264"/>
    <w:rsid w:val="00387768"/>
    <w:rsid w:val="003879C0"/>
    <w:rsid w:val="003918B0"/>
    <w:rsid w:val="00391A3B"/>
    <w:rsid w:val="003932B6"/>
    <w:rsid w:val="00395A87"/>
    <w:rsid w:val="00395DCB"/>
    <w:rsid w:val="0039644B"/>
    <w:rsid w:val="00396F44"/>
    <w:rsid w:val="003A02E1"/>
    <w:rsid w:val="003A0509"/>
    <w:rsid w:val="003A0C17"/>
    <w:rsid w:val="003A1834"/>
    <w:rsid w:val="003A1B87"/>
    <w:rsid w:val="003A2A9A"/>
    <w:rsid w:val="003A2CEB"/>
    <w:rsid w:val="003A3CAC"/>
    <w:rsid w:val="003A458C"/>
    <w:rsid w:val="003A4643"/>
    <w:rsid w:val="003B476B"/>
    <w:rsid w:val="003C15AA"/>
    <w:rsid w:val="003C1A3E"/>
    <w:rsid w:val="003C475E"/>
    <w:rsid w:val="003C5664"/>
    <w:rsid w:val="003C6BA9"/>
    <w:rsid w:val="003C71A0"/>
    <w:rsid w:val="003D05B2"/>
    <w:rsid w:val="003D4353"/>
    <w:rsid w:val="003E363A"/>
    <w:rsid w:val="003E4649"/>
    <w:rsid w:val="003E50D0"/>
    <w:rsid w:val="003E5F88"/>
    <w:rsid w:val="003F151E"/>
    <w:rsid w:val="003F16EF"/>
    <w:rsid w:val="003F1D0F"/>
    <w:rsid w:val="003F1EB8"/>
    <w:rsid w:val="003F255E"/>
    <w:rsid w:val="003F5787"/>
    <w:rsid w:val="003F588C"/>
    <w:rsid w:val="003F6150"/>
    <w:rsid w:val="003F6B4B"/>
    <w:rsid w:val="003F6CE3"/>
    <w:rsid w:val="00401BE6"/>
    <w:rsid w:val="00404536"/>
    <w:rsid w:val="00404C7D"/>
    <w:rsid w:val="00406496"/>
    <w:rsid w:val="00407A65"/>
    <w:rsid w:val="004135E4"/>
    <w:rsid w:val="0041721B"/>
    <w:rsid w:val="00417E58"/>
    <w:rsid w:val="00420951"/>
    <w:rsid w:val="00421E51"/>
    <w:rsid w:val="00422AD5"/>
    <w:rsid w:val="00423C3B"/>
    <w:rsid w:val="004243CE"/>
    <w:rsid w:val="00424B12"/>
    <w:rsid w:val="00427CDA"/>
    <w:rsid w:val="0043582B"/>
    <w:rsid w:val="0044285E"/>
    <w:rsid w:val="004428D9"/>
    <w:rsid w:val="00443180"/>
    <w:rsid w:val="00444853"/>
    <w:rsid w:val="00447073"/>
    <w:rsid w:val="00451A94"/>
    <w:rsid w:val="00451F21"/>
    <w:rsid w:val="004532D6"/>
    <w:rsid w:val="0045409E"/>
    <w:rsid w:val="004557E7"/>
    <w:rsid w:val="00456735"/>
    <w:rsid w:val="0046484C"/>
    <w:rsid w:val="004671D9"/>
    <w:rsid w:val="00470290"/>
    <w:rsid w:val="00471D4B"/>
    <w:rsid w:val="00471EF6"/>
    <w:rsid w:val="00472F04"/>
    <w:rsid w:val="00475A3D"/>
    <w:rsid w:val="0047798A"/>
    <w:rsid w:val="004807B0"/>
    <w:rsid w:val="00481663"/>
    <w:rsid w:val="00487497"/>
    <w:rsid w:val="00491C0A"/>
    <w:rsid w:val="00492FBA"/>
    <w:rsid w:val="0049301C"/>
    <w:rsid w:val="0049522F"/>
    <w:rsid w:val="004972C9"/>
    <w:rsid w:val="004A17CD"/>
    <w:rsid w:val="004A2AA2"/>
    <w:rsid w:val="004A3741"/>
    <w:rsid w:val="004A3EC8"/>
    <w:rsid w:val="004A4CEE"/>
    <w:rsid w:val="004A6ED1"/>
    <w:rsid w:val="004B1D8B"/>
    <w:rsid w:val="004B20AE"/>
    <w:rsid w:val="004B2CAB"/>
    <w:rsid w:val="004B2CF1"/>
    <w:rsid w:val="004B3684"/>
    <w:rsid w:val="004B4754"/>
    <w:rsid w:val="004B4809"/>
    <w:rsid w:val="004B61C5"/>
    <w:rsid w:val="004B706C"/>
    <w:rsid w:val="004C0CD9"/>
    <w:rsid w:val="004C20EB"/>
    <w:rsid w:val="004C23C2"/>
    <w:rsid w:val="004C26AD"/>
    <w:rsid w:val="004C2F73"/>
    <w:rsid w:val="004C31C8"/>
    <w:rsid w:val="004C3487"/>
    <w:rsid w:val="004C39A2"/>
    <w:rsid w:val="004C3D7C"/>
    <w:rsid w:val="004C55B9"/>
    <w:rsid w:val="004C56EC"/>
    <w:rsid w:val="004C61DA"/>
    <w:rsid w:val="004C7CDF"/>
    <w:rsid w:val="004D1695"/>
    <w:rsid w:val="004D4325"/>
    <w:rsid w:val="004D5111"/>
    <w:rsid w:val="004D52A4"/>
    <w:rsid w:val="004D54E6"/>
    <w:rsid w:val="004D650D"/>
    <w:rsid w:val="004D77A1"/>
    <w:rsid w:val="004D7D5D"/>
    <w:rsid w:val="004E2091"/>
    <w:rsid w:val="004E273C"/>
    <w:rsid w:val="004E389C"/>
    <w:rsid w:val="004E46B6"/>
    <w:rsid w:val="004E52E8"/>
    <w:rsid w:val="004E71CA"/>
    <w:rsid w:val="004E7891"/>
    <w:rsid w:val="004F38A4"/>
    <w:rsid w:val="004F3CB8"/>
    <w:rsid w:val="004F5ECA"/>
    <w:rsid w:val="004F6A41"/>
    <w:rsid w:val="00500486"/>
    <w:rsid w:val="00501CCD"/>
    <w:rsid w:val="00502997"/>
    <w:rsid w:val="00504F88"/>
    <w:rsid w:val="005053B5"/>
    <w:rsid w:val="00505615"/>
    <w:rsid w:val="005066B8"/>
    <w:rsid w:val="00510179"/>
    <w:rsid w:val="005101C4"/>
    <w:rsid w:val="00511C9D"/>
    <w:rsid w:val="005120A5"/>
    <w:rsid w:val="00512419"/>
    <w:rsid w:val="00513B5B"/>
    <w:rsid w:val="00515B7D"/>
    <w:rsid w:val="005205E8"/>
    <w:rsid w:val="00522BBF"/>
    <w:rsid w:val="00524348"/>
    <w:rsid w:val="00527646"/>
    <w:rsid w:val="0053048E"/>
    <w:rsid w:val="00531A0F"/>
    <w:rsid w:val="00531B8D"/>
    <w:rsid w:val="00533679"/>
    <w:rsid w:val="00533E6E"/>
    <w:rsid w:val="005352EA"/>
    <w:rsid w:val="00537E3C"/>
    <w:rsid w:val="00540695"/>
    <w:rsid w:val="00541C48"/>
    <w:rsid w:val="0054500C"/>
    <w:rsid w:val="00546997"/>
    <w:rsid w:val="005505D2"/>
    <w:rsid w:val="00556B63"/>
    <w:rsid w:val="00556F48"/>
    <w:rsid w:val="00562735"/>
    <w:rsid w:val="00566564"/>
    <w:rsid w:val="0056660D"/>
    <w:rsid w:val="005675EE"/>
    <w:rsid w:val="00571D55"/>
    <w:rsid w:val="00572F40"/>
    <w:rsid w:val="00573387"/>
    <w:rsid w:val="0057359F"/>
    <w:rsid w:val="00574119"/>
    <w:rsid w:val="00581743"/>
    <w:rsid w:val="00582133"/>
    <w:rsid w:val="00582309"/>
    <w:rsid w:val="005846B5"/>
    <w:rsid w:val="00585B9D"/>
    <w:rsid w:val="00586087"/>
    <w:rsid w:val="00586B26"/>
    <w:rsid w:val="005921DB"/>
    <w:rsid w:val="0059230E"/>
    <w:rsid w:val="00594661"/>
    <w:rsid w:val="005965BA"/>
    <w:rsid w:val="005A1385"/>
    <w:rsid w:val="005A140C"/>
    <w:rsid w:val="005A45F8"/>
    <w:rsid w:val="005A6874"/>
    <w:rsid w:val="005A731A"/>
    <w:rsid w:val="005B1089"/>
    <w:rsid w:val="005B2F0E"/>
    <w:rsid w:val="005B3376"/>
    <w:rsid w:val="005B3ECB"/>
    <w:rsid w:val="005B4DB3"/>
    <w:rsid w:val="005B5E9B"/>
    <w:rsid w:val="005B658B"/>
    <w:rsid w:val="005C2B85"/>
    <w:rsid w:val="005C30AA"/>
    <w:rsid w:val="005C5373"/>
    <w:rsid w:val="005C5B66"/>
    <w:rsid w:val="005C5B8C"/>
    <w:rsid w:val="005C609C"/>
    <w:rsid w:val="005C66CA"/>
    <w:rsid w:val="005D43E1"/>
    <w:rsid w:val="005D4511"/>
    <w:rsid w:val="005D77A7"/>
    <w:rsid w:val="005E0C91"/>
    <w:rsid w:val="005E27AC"/>
    <w:rsid w:val="005E3912"/>
    <w:rsid w:val="005E4541"/>
    <w:rsid w:val="005F174E"/>
    <w:rsid w:val="005F5C4C"/>
    <w:rsid w:val="005F74FA"/>
    <w:rsid w:val="00600868"/>
    <w:rsid w:val="00602153"/>
    <w:rsid w:val="00603872"/>
    <w:rsid w:val="00604FB3"/>
    <w:rsid w:val="0060591F"/>
    <w:rsid w:val="00606660"/>
    <w:rsid w:val="00606A0D"/>
    <w:rsid w:val="00607345"/>
    <w:rsid w:val="006079F6"/>
    <w:rsid w:val="006125BF"/>
    <w:rsid w:val="00614DAE"/>
    <w:rsid w:val="00614E6A"/>
    <w:rsid w:val="0062085A"/>
    <w:rsid w:val="006214A0"/>
    <w:rsid w:val="006228AD"/>
    <w:rsid w:val="006235FA"/>
    <w:rsid w:val="006304CF"/>
    <w:rsid w:val="006305F7"/>
    <w:rsid w:val="00630E01"/>
    <w:rsid w:val="00631574"/>
    <w:rsid w:val="00631EC3"/>
    <w:rsid w:val="006323A9"/>
    <w:rsid w:val="0063452D"/>
    <w:rsid w:val="006357A5"/>
    <w:rsid w:val="0063599E"/>
    <w:rsid w:val="00636E86"/>
    <w:rsid w:val="0064081E"/>
    <w:rsid w:val="00641948"/>
    <w:rsid w:val="00641B8A"/>
    <w:rsid w:val="00643622"/>
    <w:rsid w:val="0064417A"/>
    <w:rsid w:val="006441FF"/>
    <w:rsid w:val="00644732"/>
    <w:rsid w:val="0064735E"/>
    <w:rsid w:val="006477C8"/>
    <w:rsid w:val="006478D3"/>
    <w:rsid w:val="00647B74"/>
    <w:rsid w:val="00650549"/>
    <w:rsid w:val="006514F5"/>
    <w:rsid w:val="00651BEB"/>
    <w:rsid w:val="00651D04"/>
    <w:rsid w:val="00651F7E"/>
    <w:rsid w:val="006523D2"/>
    <w:rsid w:val="006525F9"/>
    <w:rsid w:val="00652DCF"/>
    <w:rsid w:val="0066324A"/>
    <w:rsid w:val="00665F17"/>
    <w:rsid w:val="00666CA4"/>
    <w:rsid w:val="00672E6C"/>
    <w:rsid w:val="006730F0"/>
    <w:rsid w:val="0067415A"/>
    <w:rsid w:val="00675244"/>
    <w:rsid w:val="006813E2"/>
    <w:rsid w:val="00687934"/>
    <w:rsid w:val="006930A2"/>
    <w:rsid w:val="006A0741"/>
    <w:rsid w:val="006A264D"/>
    <w:rsid w:val="006A4023"/>
    <w:rsid w:val="006A42BE"/>
    <w:rsid w:val="006A63F2"/>
    <w:rsid w:val="006A7118"/>
    <w:rsid w:val="006A74AC"/>
    <w:rsid w:val="006B1948"/>
    <w:rsid w:val="006B5159"/>
    <w:rsid w:val="006B58E7"/>
    <w:rsid w:val="006B7743"/>
    <w:rsid w:val="006C07B5"/>
    <w:rsid w:val="006C293D"/>
    <w:rsid w:val="006D0BD0"/>
    <w:rsid w:val="006D7ED4"/>
    <w:rsid w:val="006E0299"/>
    <w:rsid w:val="006E0BC8"/>
    <w:rsid w:val="006E392F"/>
    <w:rsid w:val="006E715E"/>
    <w:rsid w:val="006F05D5"/>
    <w:rsid w:val="006F18DD"/>
    <w:rsid w:val="006F449A"/>
    <w:rsid w:val="006F4A22"/>
    <w:rsid w:val="006F6F68"/>
    <w:rsid w:val="006F7CFD"/>
    <w:rsid w:val="00700687"/>
    <w:rsid w:val="00704DCA"/>
    <w:rsid w:val="00706591"/>
    <w:rsid w:val="0070728A"/>
    <w:rsid w:val="0071009A"/>
    <w:rsid w:val="007107F5"/>
    <w:rsid w:val="0071299A"/>
    <w:rsid w:val="0071601E"/>
    <w:rsid w:val="007175AF"/>
    <w:rsid w:val="00722F80"/>
    <w:rsid w:val="00726EFB"/>
    <w:rsid w:val="00727682"/>
    <w:rsid w:val="007305A3"/>
    <w:rsid w:val="00731812"/>
    <w:rsid w:val="007346AB"/>
    <w:rsid w:val="0073482F"/>
    <w:rsid w:val="007365BF"/>
    <w:rsid w:val="007368DD"/>
    <w:rsid w:val="0073751D"/>
    <w:rsid w:val="0074002C"/>
    <w:rsid w:val="00742604"/>
    <w:rsid w:val="00744F34"/>
    <w:rsid w:val="00746B29"/>
    <w:rsid w:val="00746C32"/>
    <w:rsid w:val="00747265"/>
    <w:rsid w:val="00750306"/>
    <w:rsid w:val="007515D5"/>
    <w:rsid w:val="00751ED8"/>
    <w:rsid w:val="007554E1"/>
    <w:rsid w:val="00755639"/>
    <w:rsid w:val="0075597F"/>
    <w:rsid w:val="00755A2A"/>
    <w:rsid w:val="007562FA"/>
    <w:rsid w:val="00756531"/>
    <w:rsid w:val="0075707D"/>
    <w:rsid w:val="007612AE"/>
    <w:rsid w:val="007649CD"/>
    <w:rsid w:val="00766884"/>
    <w:rsid w:val="00770AE3"/>
    <w:rsid w:val="00772C1E"/>
    <w:rsid w:val="0077326C"/>
    <w:rsid w:val="00775D1E"/>
    <w:rsid w:val="0077663D"/>
    <w:rsid w:val="00777BFF"/>
    <w:rsid w:val="0078210C"/>
    <w:rsid w:val="00782D81"/>
    <w:rsid w:val="00784528"/>
    <w:rsid w:val="00785471"/>
    <w:rsid w:val="00785DE6"/>
    <w:rsid w:val="00786465"/>
    <w:rsid w:val="007875A2"/>
    <w:rsid w:val="00791018"/>
    <w:rsid w:val="007921EF"/>
    <w:rsid w:val="00793DDA"/>
    <w:rsid w:val="00794B5F"/>
    <w:rsid w:val="007970CD"/>
    <w:rsid w:val="007A0FF1"/>
    <w:rsid w:val="007A2750"/>
    <w:rsid w:val="007A2C30"/>
    <w:rsid w:val="007A3515"/>
    <w:rsid w:val="007A4980"/>
    <w:rsid w:val="007B0ADE"/>
    <w:rsid w:val="007B5078"/>
    <w:rsid w:val="007B5C94"/>
    <w:rsid w:val="007B6896"/>
    <w:rsid w:val="007B751B"/>
    <w:rsid w:val="007C03F1"/>
    <w:rsid w:val="007C0D3F"/>
    <w:rsid w:val="007C1BF5"/>
    <w:rsid w:val="007C5D90"/>
    <w:rsid w:val="007D0554"/>
    <w:rsid w:val="007D0D12"/>
    <w:rsid w:val="007D13D9"/>
    <w:rsid w:val="007D2497"/>
    <w:rsid w:val="007D25F1"/>
    <w:rsid w:val="007D4BB3"/>
    <w:rsid w:val="007D52F5"/>
    <w:rsid w:val="007D5AE7"/>
    <w:rsid w:val="007D5B44"/>
    <w:rsid w:val="007E0758"/>
    <w:rsid w:val="007E12B8"/>
    <w:rsid w:val="007E496E"/>
    <w:rsid w:val="007E4F14"/>
    <w:rsid w:val="007F18F4"/>
    <w:rsid w:val="007F2994"/>
    <w:rsid w:val="007F5527"/>
    <w:rsid w:val="007F5F25"/>
    <w:rsid w:val="007F7DB9"/>
    <w:rsid w:val="008005C4"/>
    <w:rsid w:val="008007DF"/>
    <w:rsid w:val="008010C6"/>
    <w:rsid w:val="00804C89"/>
    <w:rsid w:val="00811A3C"/>
    <w:rsid w:val="00817A7C"/>
    <w:rsid w:val="008215C7"/>
    <w:rsid w:val="0082178B"/>
    <w:rsid w:val="00823ADB"/>
    <w:rsid w:val="00824A2D"/>
    <w:rsid w:val="00825205"/>
    <w:rsid w:val="0082611E"/>
    <w:rsid w:val="00826501"/>
    <w:rsid w:val="00830ADD"/>
    <w:rsid w:val="00831063"/>
    <w:rsid w:val="00832707"/>
    <w:rsid w:val="00832FCE"/>
    <w:rsid w:val="008352D1"/>
    <w:rsid w:val="0083733E"/>
    <w:rsid w:val="00840372"/>
    <w:rsid w:val="00841248"/>
    <w:rsid w:val="008429D1"/>
    <w:rsid w:val="00842BEA"/>
    <w:rsid w:val="00843BC4"/>
    <w:rsid w:val="00844D44"/>
    <w:rsid w:val="0085241A"/>
    <w:rsid w:val="00860951"/>
    <w:rsid w:val="00861DD3"/>
    <w:rsid w:val="008655E5"/>
    <w:rsid w:val="00866F41"/>
    <w:rsid w:val="00871A6E"/>
    <w:rsid w:val="0087249D"/>
    <w:rsid w:val="00873928"/>
    <w:rsid w:val="00875658"/>
    <w:rsid w:val="00877F78"/>
    <w:rsid w:val="008800DA"/>
    <w:rsid w:val="00880443"/>
    <w:rsid w:val="00883A15"/>
    <w:rsid w:val="008840B8"/>
    <w:rsid w:val="00884F49"/>
    <w:rsid w:val="00885057"/>
    <w:rsid w:val="0088715A"/>
    <w:rsid w:val="00890FBA"/>
    <w:rsid w:val="00893507"/>
    <w:rsid w:val="00896B2A"/>
    <w:rsid w:val="008A01E0"/>
    <w:rsid w:val="008A3661"/>
    <w:rsid w:val="008A3B66"/>
    <w:rsid w:val="008A3CE0"/>
    <w:rsid w:val="008A40C5"/>
    <w:rsid w:val="008A529D"/>
    <w:rsid w:val="008A56C1"/>
    <w:rsid w:val="008A73E6"/>
    <w:rsid w:val="008B0643"/>
    <w:rsid w:val="008B11E5"/>
    <w:rsid w:val="008B2DD5"/>
    <w:rsid w:val="008B509F"/>
    <w:rsid w:val="008B6170"/>
    <w:rsid w:val="008B633D"/>
    <w:rsid w:val="008C416E"/>
    <w:rsid w:val="008C5345"/>
    <w:rsid w:val="008C6829"/>
    <w:rsid w:val="008D012D"/>
    <w:rsid w:val="008D0BBC"/>
    <w:rsid w:val="008D0FA2"/>
    <w:rsid w:val="008D1591"/>
    <w:rsid w:val="008D1E08"/>
    <w:rsid w:val="008D3BB3"/>
    <w:rsid w:val="008D47B0"/>
    <w:rsid w:val="008D4B05"/>
    <w:rsid w:val="008D4F66"/>
    <w:rsid w:val="008E0768"/>
    <w:rsid w:val="008E2D7A"/>
    <w:rsid w:val="008E3616"/>
    <w:rsid w:val="008E40CA"/>
    <w:rsid w:val="008E4689"/>
    <w:rsid w:val="008E5F59"/>
    <w:rsid w:val="008E6CEA"/>
    <w:rsid w:val="008F1383"/>
    <w:rsid w:val="008F31BF"/>
    <w:rsid w:val="008F4A22"/>
    <w:rsid w:val="008F609E"/>
    <w:rsid w:val="00901AC5"/>
    <w:rsid w:val="00901CF1"/>
    <w:rsid w:val="00902B23"/>
    <w:rsid w:val="00902B33"/>
    <w:rsid w:val="00902BC1"/>
    <w:rsid w:val="00905D7C"/>
    <w:rsid w:val="00907ABC"/>
    <w:rsid w:val="00910F0D"/>
    <w:rsid w:val="009114F6"/>
    <w:rsid w:val="00911B5C"/>
    <w:rsid w:val="00911FB1"/>
    <w:rsid w:val="00912992"/>
    <w:rsid w:val="00914347"/>
    <w:rsid w:val="00914955"/>
    <w:rsid w:val="00915302"/>
    <w:rsid w:val="00917393"/>
    <w:rsid w:val="0091744A"/>
    <w:rsid w:val="00917966"/>
    <w:rsid w:val="0092150B"/>
    <w:rsid w:val="00924659"/>
    <w:rsid w:val="00926299"/>
    <w:rsid w:val="0093046F"/>
    <w:rsid w:val="00931BDF"/>
    <w:rsid w:val="009332BF"/>
    <w:rsid w:val="00933CBD"/>
    <w:rsid w:val="00934890"/>
    <w:rsid w:val="00934B08"/>
    <w:rsid w:val="0093751D"/>
    <w:rsid w:val="009408B7"/>
    <w:rsid w:val="00940FF4"/>
    <w:rsid w:val="009418D5"/>
    <w:rsid w:val="009424EB"/>
    <w:rsid w:val="00943F04"/>
    <w:rsid w:val="0094431B"/>
    <w:rsid w:val="00944423"/>
    <w:rsid w:val="009507E0"/>
    <w:rsid w:val="0095384B"/>
    <w:rsid w:val="00953F0F"/>
    <w:rsid w:val="00956113"/>
    <w:rsid w:val="009635E6"/>
    <w:rsid w:val="009646C7"/>
    <w:rsid w:val="00964F63"/>
    <w:rsid w:val="00965F06"/>
    <w:rsid w:val="0097061E"/>
    <w:rsid w:val="00970F03"/>
    <w:rsid w:val="00975B6A"/>
    <w:rsid w:val="00977E65"/>
    <w:rsid w:val="0098098E"/>
    <w:rsid w:val="009844FF"/>
    <w:rsid w:val="00990686"/>
    <w:rsid w:val="00990E1C"/>
    <w:rsid w:val="00992CD4"/>
    <w:rsid w:val="0099359C"/>
    <w:rsid w:val="00995264"/>
    <w:rsid w:val="00995DA9"/>
    <w:rsid w:val="0099602E"/>
    <w:rsid w:val="009A3E30"/>
    <w:rsid w:val="009A4747"/>
    <w:rsid w:val="009A4A01"/>
    <w:rsid w:val="009A573E"/>
    <w:rsid w:val="009A5F81"/>
    <w:rsid w:val="009B2664"/>
    <w:rsid w:val="009B337B"/>
    <w:rsid w:val="009B3737"/>
    <w:rsid w:val="009B3AD0"/>
    <w:rsid w:val="009B3E45"/>
    <w:rsid w:val="009B5BF5"/>
    <w:rsid w:val="009B5FDC"/>
    <w:rsid w:val="009B750B"/>
    <w:rsid w:val="009C0D46"/>
    <w:rsid w:val="009C28D4"/>
    <w:rsid w:val="009C34F1"/>
    <w:rsid w:val="009C3B56"/>
    <w:rsid w:val="009C4A29"/>
    <w:rsid w:val="009C5C37"/>
    <w:rsid w:val="009C7F0B"/>
    <w:rsid w:val="009D162A"/>
    <w:rsid w:val="009D2541"/>
    <w:rsid w:val="009D3067"/>
    <w:rsid w:val="009D3C05"/>
    <w:rsid w:val="009D5807"/>
    <w:rsid w:val="009D7387"/>
    <w:rsid w:val="009D7879"/>
    <w:rsid w:val="009E10B3"/>
    <w:rsid w:val="009E2A45"/>
    <w:rsid w:val="009E3D57"/>
    <w:rsid w:val="009E46A5"/>
    <w:rsid w:val="009E6EF5"/>
    <w:rsid w:val="009F14C7"/>
    <w:rsid w:val="009F1D46"/>
    <w:rsid w:val="009F4659"/>
    <w:rsid w:val="009F48DB"/>
    <w:rsid w:val="00A00390"/>
    <w:rsid w:val="00A009E6"/>
    <w:rsid w:val="00A009E8"/>
    <w:rsid w:val="00A01932"/>
    <w:rsid w:val="00A021F7"/>
    <w:rsid w:val="00A062B4"/>
    <w:rsid w:val="00A07A6E"/>
    <w:rsid w:val="00A07FA3"/>
    <w:rsid w:val="00A107D0"/>
    <w:rsid w:val="00A13014"/>
    <w:rsid w:val="00A13D43"/>
    <w:rsid w:val="00A149FB"/>
    <w:rsid w:val="00A165F4"/>
    <w:rsid w:val="00A201C4"/>
    <w:rsid w:val="00A20BEA"/>
    <w:rsid w:val="00A21A77"/>
    <w:rsid w:val="00A21BC3"/>
    <w:rsid w:val="00A227BE"/>
    <w:rsid w:val="00A3274C"/>
    <w:rsid w:val="00A351DC"/>
    <w:rsid w:val="00A351F3"/>
    <w:rsid w:val="00A36F07"/>
    <w:rsid w:val="00A372DB"/>
    <w:rsid w:val="00A40D13"/>
    <w:rsid w:val="00A4239B"/>
    <w:rsid w:val="00A42E82"/>
    <w:rsid w:val="00A42FB4"/>
    <w:rsid w:val="00A4388A"/>
    <w:rsid w:val="00A441BE"/>
    <w:rsid w:val="00A450B8"/>
    <w:rsid w:val="00A45A7C"/>
    <w:rsid w:val="00A46E12"/>
    <w:rsid w:val="00A47B46"/>
    <w:rsid w:val="00A50F62"/>
    <w:rsid w:val="00A50FF5"/>
    <w:rsid w:val="00A549B8"/>
    <w:rsid w:val="00A569FD"/>
    <w:rsid w:val="00A607D1"/>
    <w:rsid w:val="00A65742"/>
    <w:rsid w:val="00A65943"/>
    <w:rsid w:val="00A665A4"/>
    <w:rsid w:val="00A717A5"/>
    <w:rsid w:val="00A748D2"/>
    <w:rsid w:val="00A74EA4"/>
    <w:rsid w:val="00A75700"/>
    <w:rsid w:val="00A7570E"/>
    <w:rsid w:val="00A75FAD"/>
    <w:rsid w:val="00A7659B"/>
    <w:rsid w:val="00A7729E"/>
    <w:rsid w:val="00A77B08"/>
    <w:rsid w:val="00A77C81"/>
    <w:rsid w:val="00A81182"/>
    <w:rsid w:val="00A81A2C"/>
    <w:rsid w:val="00A82B80"/>
    <w:rsid w:val="00A845E3"/>
    <w:rsid w:val="00A856D4"/>
    <w:rsid w:val="00A867F7"/>
    <w:rsid w:val="00A86B4D"/>
    <w:rsid w:val="00A876C3"/>
    <w:rsid w:val="00A938C8"/>
    <w:rsid w:val="00A970A9"/>
    <w:rsid w:val="00A97AD2"/>
    <w:rsid w:val="00AA1765"/>
    <w:rsid w:val="00AA3417"/>
    <w:rsid w:val="00AA35CF"/>
    <w:rsid w:val="00AA4519"/>
    <w:rsid w:val="00AA4E75"/>
    <w:rsid w:val="00AA5AF2"/>
    <w:rsid w:val="00AA5D6E"/>
    <w:rsid w:val="00AA771F"/>
    <w:rsid w:val="00AB26B0"/>
    <w:rsid w:val="00AB3CEF"/>
    <w:rsid w:val="00AB53A3"/>
    <w:rsid w:val="00AB7750"/>
    <w:rsid w:val="00AB79D3"/>
    <w:rsid w:val="00AB7ADA"/>
    <w:rsid w:val="00AB7DBC"/>
    <w:rsid w:val="00AC12CA"/>
    <w:rsid w:val="00AC1956"/>
    <w:rsid w:val="00AC1E01"/>
    <w:rsid w:val="00AC24AD"/>
    <w:rsid w:val="00AC263D"/>
    <w:rsid w:val="00AC274C"/>
    <w:rsid w:val="00AC733B"/>
    <w:rsid w:val="00AC7E57"/>
    <w:rsid w:val="00AD02CC"/>
    <w:rsid w:val="00AD0DE7"/>
    <w:rsid w:val="00AD2CB9"/>
    <w:rsid w:val="00AD5EFF"/>
    <w:rsid w:val="00AE0A20"/>
    <w:rsid w:val="00AE1D8E"/>
    <w:rsid w:val="00AE1E6B"/>
    <w:rsid w:val="00AE537D"/>
    <w:rsid w:val="00AE66D0"/>
    <w:rsid w:val="00AE6D83"/>
    <w:rsid w:val="00AE792E"/>
    <w:rsid w:val="00AF3430"/>
    <w:rsid w:val="00AF4956"/>
    <w:rsid w:val="00AF4B55"/>
    <w:rsid w:val="00AF5170"/>
    <w:rsid w:val="00AF58EE"/>
    <w:rsid w:val="00AF6055"/>
    <w:rsid w:val="00AF66FC"/>
    <w:rsid w:val="00B0110A"/>
    <w:rsid w:val="00B01ACD"/>
    <w:rsid w:val="00B03B20"/>
    <w:rsid w:val="00B03B58"/>
    <w:rsid w:val="00B07B3D"/>
    <w:rsid w:val="00B10EF9"/>
    <w:rsid w:val="00B11066"/>
    <w:rsid w:val="00B113AC"/>
    <w:rsid w:val="00B13A43"/>
    <w:rsid w:val="00B148A5"/>
    <w:rsid w:val="00B155D2"/>
    <w:rsid w:val="00B168AD"/>
    <w:rsid w:val="00B17B4E"/>
    <w:rsid w:val="00B20465"/>
    <w:rsid w:val="00B21F18"/>
    <w:rsid w:val="00B24377"/>
    <w:rsid w:val="00B25043"/>
    <w:rsid w:val="00B3006F"/>
    <w:rsid w:val="00B31050"/>
    <w:rsid w:val="00B317E1"/>
    <w:rsid w:val="00B32373"/>
    <w:rsid w:val="00B3346C"/>
    <w:rsid w:val="00B33683"/>
    <w:rsid w:val="00B339E2"/>
    <w:rsid w:val="00B33C0E"/>
    <w:rsid w:val="00B40DF2"/>
    <w:rsid w:val="00B40FBA"/>
    <w:rsid w:val="00B42C03"/>
    <w:rsid w:val="00B43F25"/>
    <w:rsid w:val="00B448F7"/>
    <w:rsid w:val="00B467E5"/>
    <w:rsid w:val="00B4703C"/>
    <w:rsid w:val="00B4723C"/>
    <w:rsid w:val="00B51584"/>
    <w:rsid w:val="00B51CCA"/>
    <w:rsid w:val="00B525B9"/>
    <w:rsid w:val="00B53D4B"/>
    <w:rsid w:val="00B55424"/>
    <w:rsid w:val="00B565B3"/>
    <w:rsid w:val="00B56636"/>
    <w:rsid w:val="00B6269B"/>
    <w:rsid w:val="00B63E86"/>
    <w:rsid w:val="00B65073"/>
    <w:rsid w:val="00B65187"/>
    <w:rsid w:val="00B656E3"/>
    <w:rsid w:val="00B65EEF"/>
    <w:rsid w:val="00B67B18"/>
    <w:rsid w:val="00B67C2C"/>
    <w:rsid w:val="00B73BA8"/>
    <w:rsid w:val="00B744F0"/>
    <w:rsid w:val="00B75BFC"/>
    <w:rsid w:val="00B76E13"/>
    <w:rsid w:val="00B8127B"/>
    <w:rsid w:val="00B82340"/>
    <w:rsid w:val="00B8286D"/>
    <w:rsid w:val="00B83550"/>
    <w:rsid w:val="00B87207"/>
    <w:rsid w:val="00B87C99"/>
    <w:rsid w:val="00B91B69"/>
    <w:rsid w:val="00B92873"/>
    <w:rsid w:val="00B93011"/>
    <w:rsid w:val="00B93810"/>
    <w:rsid w:val="00B9669E"/>
    <w:rsid w:val="00BA0DAC"/>
    <w:rsid w:val="00BA125B"/>
    <w:rsid w:val="00BA15D0"/>
    <w:rsid w:val="00BA24CA"/>
    <w:rsid w:val="00BA3169"/>
    <w:rsid w:val="00BA514A"/>
    <w:rsid w:val="00BA735A"/>
    <w:rsid w:val="00BB02EF"/>
    <w:rsid w:val="00BB0B0B"/>
    <w:rsid w:val="00BB51E7"/>
    <w:rsid w:val="00BB5489"/>
    <w:rsid w:val="00BB5D3F"/>
    <w:rsid w:val="00BB6204"/>
    <w:rsid w:val="00BB6292"/>
    <w:rsid w:val="00BC1EAE"/>
    <w:rsid w:val="00BC4B28"/>
    <w:rsid w:val="00BC5B7F"/>
    <w:rsid w:val="00BC7018"/>
    <w:rsid w:val="00BD1F28"/>
    <w:rsid w:val="00BD224A"/>
    <w:rsid w:val="00BD2380"/>
    <w:rsid w:val="00BD31B1"/>
    <w:rsid w:val="00BD5879"/>
    <w:rsid w:val="00BE078B"/>
    <w:rsid w:val="00BE2B3C"/>
    <w:rsid w:val="00BE4DFE"/>
    <w:rsid w:val="00BE69C9"/>
    <w:rsid w:val="00BF0C2C"/>
    <w:rsid w:val="00BF63C8"/>
    <w:rsid w:val="00BF6DE0"/>
    <w:rsid w:val="00BF7346"/>
    <w:rsid w:val="00C02442"/>
    <w:rsid w:val="00C02AE3"/>
    <w:rsid w:val="00C02FDF"/>
    <w:rsid w:val="00C03553"/>
    <w:rsid w:val="00C0384E"/>
    <w:rsid w:val="00C0630D"/>
    <w:rsid w:val="00C122F6"/>
    <w:rsid w:val="00C12413"/>
    <w:rsid w:val="00C128BE"/>
    <w:rsid w:val="00C14A7C"/>
    <w:rsid w:val="00C204CE"/>
    <w:rsid w:val="00C21478"/>
    <w:rsid w:val="00C23948"/>
    <w:rsid w:val="00C23CCB"/>
    <w:rsid w:val="00C25323"/>
    <w:rsid w:val="00C27470"/>
    <w:rsid w:val="00C27725"/>
    <w:rsid w:val="00C31811"/>
    <w:rsid w:val="00C32D3D"/>
    <w:rsid w:val="00C32EA6"/>
    <w:rsid w:val="00C32EC3"/>
    <w:rsid w:val="00C33514"/>
    <w:rsid w:val="00C36E0C"/>
    <w:rsid w:val="00C40FDA"/>
    <w:rsid w:val="00C45C3B"/>
    <w:rsid w:val="00C45EF3"/>
    <w:rsid w:val="00C47CA9"/>
    <w:rsid w:val="00C5021C"/>
    <w:rsid w:val="00C50ADE"/>
    <w:rsid w:val="00C5391F"/>
    <w:rsid w:val="00C53C2A"/>
    <w:rsid w:val="00C559D8"/>
    <w:rsid w:val="00C55FE0"/>
    <w:rsid w:val="00C567AC"/>
    <w:rsid w:val="00C56F98"/>
    <w:rsid w:val="00C577BC"/>
    <w:rsid w:val="00C60592"/>
    <w:rsid w:val="00C60A6C"/>
    <w:rsid w:val="00C62A5A"/>
    <w:rsid w:val="00C62FD0"/>
    <w:rsid w:val="00C63499"/>
    <w:rsid w:val="00C664EB"/>
    <w:rsid w:val="00C666F1"/>
    <w:rsid w:val="00C70657"/>
    <w:rsid w:val="00C70FB6"/>
    <w:rsid w:val="00C73A23"/>
    <w:rsid w:val="00C73A4C"/>
    <w:rsid w:val="00C75286"/>
    <w:rsid w:val="00C759FE"/>
    <w:rsid w:val="00C75E2D"/>
    <w:rsid w:val="00C771DE"/>
    <w:rsid w:val="00C772AE"/>
    <w:rsid w:val="00C8102D"/>
    <w:rsid w:val="00C8586A"/>
    <w:rsid w:val="00C868F1"/>
    <w:rsid w:val="00C86F6B"/>
    <w:rsid w:val="00C90140"/>
    <w:rsid w:val="00C95EF7"/>
    <w:rsid w:val="00C96718"/>
    <w:rsid w:val="00C97B93"/>
    <w:rsid w:val="00CA1290"/>
    <w:rsid w:val="00CA2A0A"/>
    <w:rsid w:val="00CA322D"/>
    <w:rsid w:val="00CA324A"/>
    <w:rsid w:val="00CB13FF"/>
    <w:rsid w:val="00CB3523"/>
    <w:rsid w:val="00CB3752"/>
    <w:rsid w:val="00CB3D3E"/>
    <w:rsid w:val="00CB48CA"/>
    <w:rsid w:val="00CB59D1"/>
    <w:rsid w:val="00CB6BBA"/>
    <w:rsid w:val="00CB7115"/>
    <w:rsid w:val="00CC0528"/>
    <w:rsid w:val="00CC102D"/>
    <w:rsid w:val="00CC1742"/>
    <w:rsid w:val="00CD0911"/>
    <w:rsid w:val="00CD10A4"/>
    <w:rsid w:val="00CD34F8"/>
    <w:rsid w:val="00CD6158"/>
    <w:rsid w:val="00CD7C9E"/>
    <w:rsid w:val="00CE01D1"/>
    <w:rsid w:val="00CE0E5F"/>
    <w:rsid w:val="00CE246B"/>
    <w:rsid w:val="00CE3071"/>
    <w:rsid w:val="00CE61CF"/>
    <w:rsid w:val="00CF03C4"/>
    <w:rsid w:val="00CF045C"/>
    <w:rsid w:val="00CF231B"/>
    <w:rsid w:val="00CF3BC6"/>
    <w:rsid w:val="00CF5B99"/>
    <w:rsid w:val="00CF74B7"/>
    <w:rsid w:val="00CF7A8D"/>
    <w:rsid w:val="00D03280"/>
    <w:rsid w:val="00D032C6"/>
    <w:rsid w:val="00D04090"/>
    <w:rsid w:val="00D0729B"/>
    <w:rsid w:val="00D10289"/>
    <w:rsid w:val="00D10310"/>
    <w:rsid w:val="00D12503"/>
    <w:rsid w:val="00D142CE"/>
    <w:rsid w:val="00D16AE1"/>
    <w:rsid w:val="00D17673"/>
    <w:rsid w:val="00D22762"/>
    <w:rsid w:val="00D24A6E"/>
    <w:rsid w:val="00D24C04"/>
    <w:rsid w:val="00D2586B"/>
    <w:rsid w:val="00D25D6E"/>
    <w:rsid w:val="00D26E44"/>
    <w:rsid w:val="00D30732"/>
    <w:rsid w:val="00D32524"/>
    <w:rsid w:val="00D32CD1"/>
    <w:rsid w:val="00D33A7C"/>
    <w:rsid w:val="00D343F2"/>
    <w:rsid w:val="00D425A2"/>
    <w:rsid w:val="00D42B40"/>
    <w:rsid w:val="00D44BDB"/>
    <w:rsid w:val="00D45BBE"/>
    <w:rsid w:val="00D46546"/>
    <w:rsid w:val="00D466AB"/>
    <w:rsid w:val="00D468C4"/>
    <w:rsid w:val="00D46C11"/>
    <w:rsid w:val="00D46C53"/>
    <w:rsid w:val="00D46CBC"/>
    <w:rsid w:val="00D4789F"/>
    <w:rsid w:val="00D479C6"/>
    <w:rsid w:val="00D54887"/>
    <w:rsid w:val="00D5674E"/>
    <w:rsid w:val="00D56A4B"/>
    <w:rsid w:val="00D60157"/>
    <w:rsid w:val="00D6286D"/>
    <w:rsid w:val="00D70D46"/>
    <w:rsid w:val="00D73C9A"/>
    <w:rsid w:val="00D74808"/>
    <w:rsid w:val="00D750B2"/>
    <w:rsid w:val="00D759CA"/>
    <w:rsid w:val="00D760E6"/>
    <w:rsid w:val="00D7699B"/>
    <w:rsid w:val="00D7723A"/>
    <w:rsid w:val="00D80EA0"/>
    <w:rsid w:val="00D813E4"/>
    <w:rsid w:val="00D81A47"/>
    <w:rsid w:val="00D828B4"/>
    <w:rsid w:val="00D85987"/>
    <w:rsid w:val="00D875A5"/>
    <w:rsid w:val="00D875F2"/>
    <w:rsid w:val="00D912C1"/>
    <w:rsid w:val="00D93CD0"/>
    <w:rsid w:val="00D94E4C"/>
    <w:rsid w:val="00D958DE"/>
    <w:rsid w:val="00D96B68"/>
    <w:rsid w:val="00DA05E1"/>
    <w:rsid w:val="00DA0E37"/>
    <w:rsid w:val="00DA11CA"/>
    <w:rsid w:val="00DA2599"/>
    <w:rsid w:val="00DA51EA"/>
    <w:rsid w:val="00DA615B"/>
    <w:rsid w:val="00DA64B4"/>
    <w:rsid w:val="00DA7092"/>
    <w:rsid w:val="00DA7B6C"/>
    <w:rsid w:val="00DB1679"/>
    <w:rsid w:val="00DB4331"/>
    <w:rsid w:val="00DB50CA"/>
    <w:rsid w:val="00DB778C"/>
    <w:rsid w:val="00DC0594"/>
    <w:rsid w:val="00DC6D0B"/>
    <w:rsid w:val="00DD139D"/>
    <w:rsid w:val="00DD32F8"/>
    <w:rsid w:val="00DD6A71"/>
    <w:rsid w:val="00DE2538"/>
    <w:rsid w:val="00DE2AE6"/>
    <w:rsid w:val="00DE2E55"/>
    <w:rsid w:val="00DE2F47"/>
    <w:rsid w:val="00DE4259"/>
    <w:rsid w:val="00DE5634"/>
    <w:rsid w:val="00DF1763"/>
    <w:rsid w:val="00DF3A18"/>
    <w:rsid w:val="00DF5650"/>
    <w:rsid w:val="00E02DAA"/>
    <w:rsid w:val="00E03BF3"/>
    <w:rsid w:val="00E03FA5"/>
    <w:rsid w:val="00E04F3D"/>
    <w:rsid w:val="00E050E0"/>
    <w:rsid w:val="00E0533E"/>
    <w:rsid w:val="00E05F7C"/>
    <w:rsid w:val="00E062A3"/>
    <w:rsid w:val="00E11446"/>
    <w:rsid w:val="00E154F8"/>
    <w:rsid w:val="00E1627F"/>
    <w:rsid w:val="00E21957"/>
    <w:rsid w:val="00E21DBF"/>
    <w:rsid w:val="00E2230C"/>
    <w:rsid w:val="00E2288B"/>
    <w:rsid w:val="00E23757"/>
    <w:rsid w:val="00E24382"/>
    <w:rsid w:val="00E25CE4"/>
    <w:rsid w:val="00E25E88"/>
    <w:rsid w:val="00E26460"/>
    <w:rsid w:val="00E30A1B"/>
    <w:rsid w:val="00E30DDC"/>
    <w:rsid w:val="00E30EB4"/>
    <w:rsid w:val="00E332C4"/>
    <w:rsid w:val="00E33598"/>
    <w:rsid w:val="00E33A78"/>
    <w:rsid w:val="00E36FF8"/>
    <w:rsid w:val="00E413A1"/>
    <w:rsid w:val="00E43C80"/>
    <w:rsid w:val="00E43F6B"/>
    <w:rsid w:val="00E442F3"/>
    <w:rsid w:val="00E44AD3"/>
    <w:rsid w:val="00E46C1C"/>
    <w:rsid w:val="00E46EF7"/>
    <w:rsid w:val="00E46F12"/>
    <w:rsid w:val="00E50D11"/>
    <w:rsid w:val="00E5190F"/>
    <w:rsid w:val="00E5368F"/>
    <w:rsid w:val="00E54695"/>
    <w:rsid w:val="00E5596B"/>
    <w:rsid w:val="00E55AD0"/>
    <w:rsid w:val="00E61D0F"/>
    <w:rsid w:val="00E62A03"/>
    <w:rsid w:val="00E6308C"/>
    <w:rsid w:val="00E6340B"/>
    <w:rsid w:val="00E66D44"/>
    <w:rsid w:val="00E72011"/>
    <w:rsid w:val="00E72E6A"/>
    <w:rsid w:val="00E730C6"/>
    <w:rsid w:val="00E740A2"/>
    <w:rsid w:val="00E82795"/>
    <w:rsid w:val="00E82A71"/>
    <w:rsid w:val="00E83A5B"/>
    <w:rsid w:val="00E8533B"/>
    <w:rsid w:val="00E90504"/>
    <w:rsid w:val="00E9141C"/>
    <w:rsid w:val="00E92B6E"/>
    <w:rsid w:val="00E95D16"/>
    <w:rsid w:val="00E965BC"/>
    <w:rsid w:val="00EA2CFC"/>
    <w:rsid w:val="00EA3023"/>
    <w:rsid w:val="00EA3EAE"/>
    <w:rsid w:val="00EA4116"/>
    <w:rsid w:val="00EA4F9D"/>
    <w:rsid w:val="00EA5E0D"/>
    <w:rsid w:val="00EA60F9"/>
    <w:rsid w:val="00EA76E1"/>
    <w:rsid w:val="00EA783C"/>
    <w:rsid w:val="00EB20B4"/>
    <w:rsid w:val="00EB3E48"/>
    <w:rsid w:val="00EB44B2"/>
    <w:rsid w:val="00EB52D7"/>
    <w:rsid w:val="00EB5480"/>
    <w:rsid w:val="00EB548E"/>
    <w:rsid w:val="00EB72A4"/>
    <w:rsid w:val="00EB7D12"/>
    <w:rsid w:val="00EC359D"/>
    <w:rsid w:val="00EC4478"/>
    <w:rsid w:val="00EC448F"/>
    <w:rsid w:val="00ED310C"/>
    <w:rsid w:val="00ED4080"/>
    <w:rsid w:val="00ED5D7C"/>
    <w:rsid w:val="00ED6883"/>
    <w:rsid w:val="00EE4297"/>
    <w:rsid w:val="00EE665D"/>
    <w:rsid w:val="00EE7C4A"/>
    <w:rsid w:val="00EE7D20"/>
    <w:rsid w:val="00EF6DC1"/>
    <w:rsid w:val="00F05CE1"/>
    <w:rsid w:val="00F10AFC"/>
    <w:rsid w:val="00F117A0"/>
    <w:rsid w:val="00F120F0"/>
    <w:rsid w:val="00F13BA5"/>
    <w:rsid w:val="00F151B7"/>
    <w:rsid w:val="00F151D7"/>
    <w:rsid w:val="00F1532B"/>
    <w:rsid w:val="00F15537"/>
    <w:rsid w:val="00F16079"/>
    <w:rsid w:val="00F21CF4"/>
    <w:rsid w:val="00F22D57"/>
    <w:rsid w:val="00F2522B"/>
    <w:rsid w:val="00F25822"/>
    <w:rsid w:val="00F25990"/>
    <w:rsid w:val="00F25EC0"/>
    <w:rsid w:val="00F2634E"/>
    <w:rsid w:val="00F268CD"/>
    <w:rsid w:val="00F3176F"/>
    <w:rsid w:val="00F317F2"/>
    <w:rsid w:val="00F32126"/>
    <w:rsid w:val="00F322DB"/>
    <w:rsid w:val="00F32371"/>
    <w:rsid w:val="00F33CD1"/>
    <w:rsid w:val="00F35A94"/>
    <w:rsid w:val="00F40180"/>
    <w:rsid w:val="00F403C3"/>
    <w:rsid w:val="00F4054B"/>
    <w:rsid w:val="00F41001"/>
    <w:rsid w:val="00F44484"/>
    <w:rsid w:val="00F4587C"/>
    <w:rsid w:val="00F47303"/>
    <w:rsid w:val="00F5024E"/>
    <w:rsid w:val="00F52EE1"/>
    <w:rsid w:val="00F613E1"/>
    <w:rsid w:val="00F62407"/>
    <w:rsid w:val="00F63417"/>
    <w:rsid w:val="00F673F5"/>
    <w:rsid w:val="00F67DC7"/>
    <w:rsid w:val="00F71207"/>
    <w:rsid w:val="00F7126F"/>
    <w:rsid w:val="00F72701"/>
    <w:rsid w:val="00F74F6E"/>
    <w:rsid w:val="00F75B63"/>
    <w:rsid w:val="00F7629B"/>
    <w:rsid w:val="00F7633A"/>
    <w:rsid w:val="00F778FF"/>
    <w:rsid w:val="00F81393"/>
    <w:rsid w:val="00F823A0"/>
    <w:rsid w:val="00F84117"/>
    <w:rsid w:val="00F8499F"/>
    <w:rsid w:val="00F90778"/>
    <w:rsid w:val="00F92945"/>
    <w:rsid w:val="00F938BE"/>
    <w:rsid w:val="00F948CA"/>
    <w:rsid w:val="00F96477"/>
    <w:rsid w:val="00FA42DC"/>
    <w:rsid w:val="00FA44A8"/>
    <w:rsid w:val="00FA4E8E"/>
    <w:rsid w:val="00FA4FF8"/>
    <w:rsid w:val="00FA63BC"/>
    <w:rsid w:val="00FA6A0B"/>
    <w:rsid w:val="00FA740B"/>
    <w:rsid w:val="00FB13C9"/>
    <w:rsid w:val="00FB1CD4"/>
    <w:rsid w:val="00FB2D5D"/>
    <w:rsid w:val="00FB4BC5"/>
    <w:rsid w:val="00FB4CF7"/>
    <w:rsid w:val="00FB574A"/>
    <w:rsid w:val="00FB70F6"/>
    <w:rsid w:val="00FB744D"/>
    <w:rsid w:val="00FB79E5"/>
    <w:rsid w:val="00FC01F7"/>
    <w:rsid w:val="00FC0A90"/>
    <w:rsid w:val="00FC1ADD"/>
    <w:rsid w:val="00FC40DF"/>
    <w:rsid w:val="00FC6EBE"/>
    <w:rsid w:val="00FC735A"/>
    <w:rsid w:val="00FC7547"/>
    <w:rsid w:val="00FD121D"/>
    <w:rsid w:val="00FD1AFD"/>
    <w:rsid w:val="00FD42BA"/>
    <w:rsid w:val="00FD5D99"/>
    <w:rsid w:val="00FD611C"/>
    <w:rsid w:val="00FD67B5"/>
    <w:rsid w:val="00FE5390"/>
    <w:rsid w:val="00FE594A"/>
    <w:rsid w:val="00FE5C91"/>
    <w:rsid w:val="00FE6616"/>
    <w:rsid w:val="00FF0325"/>
    <w:rsid w:val="00FF0DD4"/>
    <w:rsid w:val="00FF12F2"/>
    <w:rsid w:val="00FF2B44"/>
    <w:rsid w:val="00FF2C51"/>
    <w:rsid w:val="00FF2E05"/>
    <w:rsid w:val="00FF37E6"/>
    <w:rsid w:val="00FF45A3"/>
    <w:rsid w:val="00FF4FFE"/>
    <w:rsid w:val="00FF5835"/>
    <w:rsid w:val="00FF6892"/>
    <w:rsid w:val="00FF731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99755"/>
  <w14:defaultImageDpi w14:val="300"/>
  <w15:docId w15:val="{283F1440-5FAE-D54A-8AC5-990F1AC4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3F2"/>
    <w:pPr>
      <w:spacing w:after="200" w:line="276" w:lineRule="auto"/>
    </w:pPr>
    <w:rPr>
      <w:sz w:val="22"/>
      <w:szCs w:val="22"/>
      <w:lang w:val="en-IE" w:eastAsia="zh-CN"/>
    </w:rPr>
  </w:style>
  <w:style w:type="paragraph" w:styleId="Heading1">
    <w:name w:val="heading 1"/>
    <w:basedOn w:val="Normal"/>
    <w:next w:val="Normal"/>
    <w:link w:val="Heading1Char"/>
    <w:uiPriority w:val="9"/>
    <w:qFormat/>
    <w:rsid w:val="00137E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7E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53D24"/>
    <w:pPr>
      <w:spacing w:after="0" w:line="240" w:lineRule="auto"/>
    </w:pPr>
    <w:rPr>
      <w:sz w:val="24"/>
      <w:szCs w:val="24"/>
    </w:rPr>
  </w:style>
  <w:style w:type="character" w:customStyle="1" w:styleId="FootnoteTextChar">
    <w:name w:val="Footnote Text Char"/>
    <w:basedOn w:val="DefaultParagraphFont"/>
    <w:link w:val="FootnoteText"/>
    <w:uiPriority w:val="99"/>
    <w:rsid w:val="00253D24"/>
    <w:rPr>
      <w:lang w:val="en-IE" w:eastAsia="zh-CN"/>
    </w:rPr>
  </w:style>
  <w:style w:type="character" w:styleId="FootnoteReference">
    <w:name w:val="footnote reference"/>
    <w:basedOn w:val="DefaultParagraphFont"/>
    <w:uiPriority w:val="99"/>
    <w:unhideWhenUsed/>
    <w:rsid w:val="00253D24"/>
    <w:rPr>
      <w:vertAlign w:val="superscript"/>
    </w:rPr>
  </w:style>
  <w:style w:type="paragraph" w:styleId="ListParagraph">
    <w:name w:val="List Paragraph"/>
    <w:basedOn w:val="Normal"/>
    <w:uiPriority w:val="34"/>
    <w:qFormat/>
    <w:rsid w:val="00E46EF7"/>
    <w:pPr>
      <w:ind w:left="720"/>
      <w:contextualSpacing/>
    </w:pPr>
  </w:style>
  <w:style w:type="paragraph" w:styleId="Footer">
    <w:name w:val="footer"/>
    <w:basedOn w:val="Normal"/>
    <w:link w:val="FooterChar"/>
    <w:uiPriority w:val="99"/>
    <w:unhideWhenUsed/>
    <w:rsid w:val="001F4C36"/>
    <w:pPr>
      <w:tabs>
        <w:tab w:val="center" w:pos="4819"/>
        <w:tab w:val="right" w:pos="9638"/>
      </w:tabs>
      <w:spacing w:after="0" w:line="240" w:lineRule="auto"/>
    </w:pPr>
  </w:style>
  <w:style w:type="character" w:customStyle="1" w:styleId="FooterChar">
    <w:name w:val="Footer Char"/>
    <w:basedOn w:val="DefaultParagraphFont"/>
    <w:link w:val="Footer"/>
    <w:uiPriority w:val="99"/>
    <w:rsid w:val="001F4C36"/>
    <w:rPr>
      <w:sz w:val="22"/>
      <w:szCs w:val="22"/>
      <w:lang w:val="en-IE" w:eastAsia="zh-CN"/>
    </w:rPr>
  </w:style>
  <w:style w:type="character" w:styleId="PageNumber">
    <w:name w:val="page number"/>
    <w:basedOn w:val="DefaultParagraphFont"/>
    <w:uiPriority w:val="99"/>
    <w:semiHidden/>
    <w:unhideWhenUsed/>
    <w:rsid w:val="001F4C36"/>
  </w:style>
  <w:style w:type="paragraph" w:styleId="EndnoteText">
    <w:name w:val="endnote text"/>
    <w:basedOn w:val="Normal"/>
    <w:link w:val="EndnoteTextChar"/>
    <w:uiPriority w:val="99"/>
    <w:semiHidden/>
    <w:unhideWhenUsed/>
    <w:rsid w:val="001A62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2EE"/>
    <w:rPr>
      <w:sz w:val="20"/>
      <w:szCs w:val="20"/>
      <w:lang w:val="en-IE" w:eastAsia="zh-CN"/>
    </w:rPr>
  </w:style>
  <w:style w:type="character" w:styleId="EndnoteReference">
    <w:name w:val="endnote reference"/>
    <w:basedOn w:val="DefaultParagraphFont"/>
    <w:uiPriority w:val="99"/>
    <w:semiHidden/>
    <w:unhideWhenUsed/>
    <w:rsid w:val="001A62EE"/>
    <w:rPr>
      <w:vertAlign w:val="superscript"/>
    </w:rPr>
  </w:style>
  <w:style w:type="character" w:customStyle="1" w:styleId="Heading1Char">
    <w:name w:val="Heading 1 Char"/>
    <w:basedOn w:val="DefaultParagraphFont"/>
    <w:link w:val="Heading1"/>
    <w:uiPriority w:val="9"/>
    <w:rsid w:val="00137E2A"/>
    <w:rPr>
      <w:rFonts w:asciiTheme="majorHAnsi" w:eastAsiaTheme="majorEastAsia" w:hAnsiTheme="majorHAnsi" w:cstheme="majorBidi"/>
      <w:color w:val="365F91" w:themeColor="accent1" w:themeShade="BF"/>
      <w:sz w:val="32"/>
      <w:szCs w:val="32"/>
      <w:lang w:val="en-IE" w:eastAsia="zh-CN"/>
    </w:rPr>
  </w:style>
  <w:style w:type="character" w:customStyle="1" w:styleId="Heading2Char">
    <w:name w:val="Heading 2 Char"/>
    <w:basedOn w:val="DefaultParagraphFont"/>
    <w:link w:val="Heading2"/>
    <w:uiPriority w:val="9"/>
    <w:rsid w:val="00137E2A"/>
    <w:rPr>
      <w:rFonts w:asciiTheme="majorHAnsi" w:eastAsiaTheme="majorEastAsia" w:hAnsiTheme="majorHAnsi" w:cstheme="majorBidi"/>
      <w:color w:val="365F91" w:themeColor="accent1" w:themeShade="BF"/>
      <w:sz w:val="26"/>
      <w:szCs w:val="26"/>
      <w:lang w:val="en-IE" w:eastAsia="zh-CN"/>
    </w:rPr>
  </w:style>
  <w:style w:type="character" w:styleId="CommentReference">
    <w:name w:val="annotation reference"/>
    <w:basedOn w:val="DefaultParagraphFont"/>
    <w:uiPriority w:val="99"/>
    <w:semiHidden/>
    <w:unhideWhenUsed/>
    <w:rsid w:val="00137E2A"/>
    <w:rPr>
      <w:sz w:val="16"/>
      <w:szCs w:val="16"/>
    </w:rPr>
  </w:style>
  <w:style w:type="paragraph" w:styleId="CommentText">
    <w:name w:val="annotation text"/>
    <w:basedOn w:val="Normal"/>
    <w:link w:val="CommentTextChar"/>
    <w:uiPriority w:val="99"/>
    <w:semiHidden/>
    <w:unhideWhenUsed/>
    <w:rsid w:val="00137E2A"/>
    <w:pPr>
      <w:spacing w:line="240" w:lineRule="auto"/>
    </w:pPr>
    <w:rPr>
      <w:sz w:val="20"/>
      <w:szCs w:val="20"/>
    </w:rPr>
  </w:style>
  <w:style w:type="character" w:customStyle="1" w:styleId="CommentTextChar">
    <w:name w:val="Comment Text Char"/>
    <w:basedOn w:val="DefaultParagraphFont"/>
    <w:link w:val="CommentText"/>
    <w:uiPriority w:val="99"/>
    <w:semiHidden/>
    <w:rsid w:val="00137E2A"/>
    <w:rPr>
      <w:sz w:val="20"/>
      <w:szCs w:val="20"/>
      <w:lang w:val="en-IE" w:eastAsia="zh-CN"/>
    </w:rPr>
  </w:style>
  <w:style w:type="paragraph" w:styleId="CommentSubject">
    <w:name w:val="annotation subject"/>
    <w:basedOn w:val="CommentText"/>
    <w:next w:val="CommentText"/>
    <w:link w:val="CommentSubjectChar"/>
    <w:uiPriority w:val="99"/>
    <w:semiHidden/>
    <w:unhideWhenUsed/>
    <w:rsid w:val="00137E2A"/>
    <w:rPr>
      <w:b/>
      <w:bCs/>
    </w:rPr>
  </w:style>
  <w:style w:type="character" w:customStyle="1" w:styleId="CommentSubjectChar">
    <w:name w:val="Comment Subject Char"/>
    <w:basedOn w:val="CommentTextChar"/>
    <w:link w:val="CommentSubject"/>
    <w:uiPriority w:val="99"/>
    <w:semiHidden/>
    <w:rsid w:val="00137E2A"/>
    <w:rPr>
      <w:b/>
      <w:bCs/>
      <w:sz w:val="20"/>
      <w:szCs w:val="20"/>
      <w:lang w:val="en-IE" w:eastAsia="zh-CN"/>
    </w:rPr>
  </w:style>
  <w:style w:type="paragraph" w:styleId="Revision">
    <w:name w:val="Revision"/>
    <w:hidden/>
    <w:uiPriority w:val="99"/>
    <w:semiHidden/>
    <w:rsid w:val="00912992"/>
    <w:rPr>
      <w:sz w:val="22"/>
      <w:szCs w:val="22"/>
      <w:lang w:val="en-IE" w:eastAsia="zh-CN"/>
    </w:rPr>
  </w:style>
  <w:style w:type="character" w:customStyle="1" w:styleId="servisitalic">
    <w:name w:val="servisitalic"/>
    <w:uiPriority w:val="99"/>
    <w:rsid w:val="00D958DE"/>
    <w:rPr>
      <w:i/>
      <w:iCs/>
      <w:w w:val="100"/>
    </w:rPr>
  </w:style>
  <w:style w:type="paragraph" w:styleId="Header">
    <w:name w:val="header"/>
    <w:basedOn w:val="Normal"/>
    <w:link w:val="HeaderChar"/>
    <w:uiPriority w:val="99"/>
    <w:unhideWhenUsed/>
    <w:rsid w:val="00305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28"/>
    <w:rPr>
      <w:sz w:val="22"/>
      <w:szCs w:val="22"/>
      <w:lang w:val="en-IE" w:eastAsia="zh-CN"/>
    </w:rPr>
  </w:style>
  <w:style w:type="paragraph" w:styleId="BalloonText">
    <w:name w:val="Balloon Text"/>
    <w:basedOn w:val="Normal"/>
    <w:link w:val="BalloonTextChar"/>
    <w:uiPriority w:val="99"/>
    <w:semiHidden/>
    <w:unhideWhenUsed/>
    <w:rsid w:val="00A062B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62B4"/>
    <w:rPr>
      <w:rFonts w:ascii="Times New Roman" w:hAnsi="Times New Roman" w:cs="Times New Roman"/>
      <w:sz w:val="18"/>
      <w:szCs w:val="18"/>
      <w:lang w:val="en-IE" w:eastAsia="zh-CN"/>
    </w:rPr>
  </w:style>
  <w:style w:type="character" w:styleId="Hyperlink">
    <w:name w:val="Hyperlink"/>
    <w:basedOn w:val="DefaultParagraphFont"/>
    <w:uiPriority w:val="99"/>
    <w:unhideWhenUsed/>
    <w:rsid w:val="00842B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0675">
      <w:bodyDiv w:val="1"/>
      <w:marLeft w:val="0"/>
      <w:marRight w:val="0"/>
      <w:marTop w:val="0"/>
      <w:marBottom w:val="0"/>
      <w:divBdr>
        <w:top w:val="none" w:sz="0" w:space="0" w:color="auto"/>
        <w:left w:val="none" w:sz="0" w:space="0" w:color="auto"/>
        <w:bottom w:val="none" w:sz="0" w:space="0" w:color="auto"/>
        <w:right w:val="none" w:sz="0" w:space="0" w:color="auto"/>
      </w:divBdr>
      <w:divsChild>
        <w:div w:id="135732373">
          <w:marLeft w:val="0"/>
          <w:marRight w:val="0"/>
          <w:marTop w:val="0"/>
          <w:marBottom w:val="0"/>
          <w:divBdr>
            <w:top w:val="none" w:sz="0" w:space="0" w:color="auto"/>
            <w:left w:val="none" w:sz="0" w:space="0" w:color="auto"/>
            <w:bottom w:val="none" w:sz="0" w:space="0" w:color="auto"/>
            <w:right w:val="none" w:sz="0" w:space="0" w:color="auto"/>
          </w:divBdr>
        </w:div>
        <w:div w:id="626862653">
          <w:marLeft w:val="0"/>
          <w:marRight w:val="0"/>
          <w:marTop w:val="0"/>
          <w:marBottom w:val="0"/>
          <w:divBdr>
            <w:top w:val="none" w:sz="0" w:space="0" w:color="auto"/>
            <w:left w:val="none" w:sz="0" w:space="0" w:color="auto"/>
            <w:bottom w:val="none" w:sz="0" w:space="0" w:color="auto"/>
            <w:right w:val="none" w:sz="0" w:space="0" w:color="auto"/>
          </w:divBdr>
        </w:div>
        <w:div w:id="943145499">
          <w:marLeft w:val="0"/>
          <w:marRight w:val="0"/>
          <w:marTop w:val="0"/>
          <w:marBottom w:val="0"/>
          <w:divBdr>
            <w:top w:val="none" w:sz="0" w:space="0" w:color="auto"/>
            <w:left w:val="none" w:sz="0" w:space="0" w:color="auto"/>
            <w:bottom w:val="none" w:sz="0" w:space="0" w:color="auto"/>
            <w:right w:val="none" w:sz="0" w:space="0" w:color="auto"/>
          </w:divBdr>
        </w:div>
        <w:div w:id="978190960">
          <w:marLeft w:val="0"/>
          <w:marRight w:val="0"/>
          <w:marTop w:val="0"/>
          <w:marBottom w:val="0"/>
          <w:divBdr>
            <w:top w:val="none" w:sz="0" w:space="0" w:color="auto"/>
            <w:left w:val="none" w:sz="0" w:space="0" w:color="auto"/>
            <w:bottom w:val="none" w:sz="0" w:space="0" w:color="auto"/>
            <w:right w:val="none" w:sz="0" w:space="0" w:color="auto"/>
          </w:divBdr>
        </w:div>
        <w:div w:id="1081442095">
          <w:marLeft w:val="0"/>
          <w:marRight w:val="0"/>
          <w:marTop w:val="0"/>
          <w:marBottom w:val="0"/>
          <w:divBdr>
            <w:top w:val="none" w:sz="0" w:space="0" w:color="auto"/>
            <w:left w:val="none" w:sz="0" w:space="0" w:color="auto"/>
            <w:bottom w:val="none" w:sz="0" w:space="0" w:color="auto"/>
            <w:right w:val="none" w:sz="0" w:space="0" w:color="auto"/>
          </w:divBdr>
        </w:div>
        <w:div w:id="1091700952">
          <w:marLeft w:val="0"/>
          <w:marRight w:val="0"/>
          <w:marTop w:val="0"/>
          <w:marBottom w:val="0"/>
          <w:divBdr>
            <w:top w:val="none" w:sz="0" w:space="0" w:color="auto"/>
            <w:left w:val="none" w:sz="0" w:space="0" w:color="auto"/>
            <w:bottom w:val="none" w:sz="0" w:space="0" w:color="auto"/>
            <w:right w:val="none" w:sz="0" w:space="0" w:color="auto"/>
          </w:divBdr>
        </w:div>
        <w:div w:id="1217623247">
          <w:marLeft w:val="0"/>
          <w:marRight w:val="0"/>
          <w:marTop w:val="0"/>
          <w:marBottom w:val="0"/>
          <w:divBdr>
            <w:top w:val="none" w:sz="0" w:space="0" w:color="auto"/>
            <w:left w:val="none" w:sz="0" w:space="0" w:color="auto"/>
            <w:bottom w:val="none" w:sz="0" w:space="0" w:color="auto"/>
            <w:right w:val="none" w:sz="0" w:space="0" w:color="auto"/>
          </w:divBdr>
        </w:div>
        <w:div w:id="1468547738">
          <w:marLeft w:val="0"/>
          <w:marRight w:val="0"/>
          <w:marTop w:val="0"/>
          <w:marBottom w:val="0"/>
          <w:divBdr>
            <w:top w:val="none" w:sz="0" w:space="0" w:color="auto"/>
            <w:left w:val="none" w:sz="0" w:space="0" w:color="auto"/>
            <w:bottom w:val="none" w:sz="0" w:space="0" w:color="auto"/>
            <w:right w:val="none" w:sz="0" w:space="0" w:color="auto"/>
          </w:divBdr>
        </w:div>
        <w:div w:id="1531457546">
          <w:marLeft w:val="0"/>
          <w:marRight w:val="0"/>
          <w:marTop w:val="0"/>
          <w:marBottom w:val="0"/>
          <w:divBdr>
            <w:top w:val="none" w:sz="0" w:space="0" w:color="auto"/>
            <w:left w:val="none" w:sz="0" w:space="0" w:color="auto"/>
            <w:bottom w:val="none" w:sz="0" w:space="0" w:color="auto"/>
            <w:right w:val="none" w:sz="0" w:space="0" w:color="auto"/>
          </w:divBdr>
        </w:div>
        <w:div w:id="1976334119">
          <w:marLeft w:val="0"/>
          <w:marRight w:val="0"/>
          <w:marTop w:val="0"/>
          <w:marBottom w:val="0"/>
          <w:divBdr>
            <w:top w:val="none" w:sz="0" w:space="0" w:color="auto"/>
            <w:left w:val="none" w:sz="0" w:space="0" w:color="auto"/>
            <w:bottom w:val="none" w:sz="0" w:space="0" w:color="auto"/>
            <w:right w:val="none" w:sz="0" w:space="0" w:color="auto"/>
          </w:divBdr>
        </w:div>
        <w:div w:id="1979457977">
          <w:marLeft w:val="0"/>
          <w:marRight w:val="0"/>
          <w:marTop w:val="0"/>
          <w:marBottom w:val="0"/>
          <w:divBdr>
            <w:top w:val="none" w:sz="0" w:space="0" w:color="auto"/>
            <w:left w:val="none" w:sz="0" w:space="0" w:color="auto"/>
            <w:bottom w:val="none" w:sz="0" w:space="0" w:color="auto"/>
            <w:right w:val="none" w:sz="0" w:space="0" w:color="auto"/>
          </w:divBdr>
        </w:div>
      </w:divsChild>
    </w:div>
    <w:div w:id="146438471">
      <w:bodyDiv w:val="1"/>
      <w:marLeft w:val="0"/>
      <w:marRight w:val="0"/>
      <w:marTop w:val="0"/>
      <w:marBottom w:val="0"/>
      <w:divBdr>
        <w:top w:val="none" w:sz="0" w:space="0" w:color="auto"/>
        <w:left w:val="none" w:sz="0" w:space="0" w:color="auto"/>
        <w:bottom w:val="none" w:sz="0" w:space="0" w:color="auto"/>
        <w:right w:val="none" w:sz="0" w:space="0" w:color="auto"/>
      </w:divBdr>
    </w:div>
    <w:div w:id="193427279">
      <w:bodyDiv w:val="1"/>
      <w:marLeft w:val="0"/>
      <w:marRight w:val="0"/>
      <w:marTop w:val="0"/>
      <w:marBottom w:val="0"/>
      <w:divBdr>
        <w:top w:val="none" w:sz="0" w:space="0" w:color="auto"/>
        <w:left w:val="none" w:sz="0" w:space="0" w:color="auto"/>
        <w:bottom w:val="none" w:sz="0" w:space="0" w:color="auto"/>
        <w:right w:val="none" w:sz="0" w:space="0" w:color="auto"/>
      </w:divBdr>
    </w:div>
    <w:div w:id="216206466">
      <w:bodyDiv w:val="1"/>
      <w:marLeft w:val="0"/>
      <w:marRight w:val="0"/>
      <w:marTop w:val="0"/>
      <w:marBottom w:val="0"/>
      <w:divBdr>
        <w:top w:val="none" w:sz="0" w:space="0" w:color="auto"/>
        <w:left w:val="none" w:sz="0" w:space="0" w:color="auto"/>
        <w:bottom w:val="none" w:sz="0" w:space="0" w:color="auto"/>
        <w:right w:val="none" w:sz="0" w:space="0" w:color="auto"/>
      </w:divBdr>
    </w:div>
    <w:div w:id="307824983">
      <w:bodyDiv w:val="1"/>
      <w:marLeft w:val="0"/>
      <w:marRight w:val="0"/>
      <w:marTop w:val="0"/>
      <w:marBottom w:val="0"/>
      <w:divBdr>
        <w:top w:val="none" w:sz="0" w:space="0" w:color="auto"/>
        <w:left w:val="none" w:sz="0" w:space="0" w:color="auto"/>
        <w:bottom w:val="none" w:sz="0" w:space="0" w:color="auto"/>
        <w:right w:val="none" w:sz="0" w:space="0" w:color="auto"/>
      </w:divBdr>
      <w:divsChild>
        <w:div w:id="2043480826">
          <w:marLeft w:val="0"/>
          <w:marRight w:val="0"/>
          <w:marTop w:val="0"/>
          <w:marBottom w:val="0"/>
          <w:divBdr>
            <w:top w:val="none" w:sz="0" w:space="0" w:color="auto"/>
            <w:left w:val="none" w:sz="0" w:space="0" w:color="auto"/>
            <w:bottom w:val="none" w:sz="0" w:space="0" w:color="auto"/>
            <w:right w:val="none" w:sz="0" w:space="0" w:color="auto"/>
          </w:divBdr>
          <w:divsChild>
            <w:div w:id="2085641749">
              <w:marLeft w:val="0"/>
              <w:marRight w:val="0"/>
              <w:marTop w:val="0"/>
              <w:marBottom w:val="0"/>
              <w:divBdr>
                <w:top w:val="none" w:sz="0" w:space="0" w:color="auto"/>
                <w:left w:val="none" w:sz="0" w:space="0" w:color="auto"/>
                <w:bottom w:val="none" w:sz="0" w:space="0" w:color="auto"/>
                <w:right w:val="none" w:sz="0" w:space="0" w:color="auto"/>
              </w:divBdr>
              <w:divsChild>
                <w:div w:id="16189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80550">
      <w:bodyDiv w:val="1"/>
      <w:marLeft w:val="0"/>
      <w:marRight w:val="0"/>
      <w:marTop w:val="0"/>
      <w:marBottom w:val="0"/>
      <w:divBdr>
        <w:top w:val="none" w:sz="0" w:space="0" w:color="auto"/>
        <w:left w:val="none" w:sz="0" w:space="0" w:color="auto"/>
        <w:bottom w:val="none" w:sz="0" w:space="0" w:color="auto"/>
        <w:right w:val="none" w:sz="0" w:space="0" w:color="auto"/>
      </w:divBdr>
    </w:div>
    <w:div w:id="601185601">
      <w:bodyDiv w:val="1"/>
      <w:marLeft w:val="0"/>
      <w:marRight w:val="0"/>
      <w:marTop w:val="0"/>
      <w:marBottom w:val="0"/>
      <w:divBdr>
        <w:top w:val="none" w:sz="0" w:space="0" w:color="auto"/>
        <w:left w:val="none" w:sz="0" w:space="0" w:color="auto"/>
        <w:bottom w:val="none" w:sz="0" w:space="0" w:color="auto"/>
        <w:right w:val="none" w:sz="0" w:space="0" w:color="auto"/>
      </w:divBdr>
      <w:divsChild>
        <w:div w:id="1537885863">
          <w:marLeft w:val="0"/>
          <w:marRight w:val="0"/>
          <w:marTop w:val="0"/>
          <w:marBottom w:val="0"/>
          <w:divBdr>
            <w:top w:val="none" w:sz="0" w:space="0" w:color="auto"/>
            <w:left w:val="none" w:sz="0" w:space="0" w:color="auto"/>
            <w:bottom w:val="none" w:sz="0" w:space="0" w:color="auto"/>
            <w:right w:val="none" w:sz="0" w:space="0" w:color="auto"/>
          </w:divBdr>
          <w:divsChild>
            <w:div w:id="1504972269">
              <w:marLeft w:val="0"/>
              <w:marRight w:val="0"/>
              <w:marTop w:val="0"/>
              <w:marBottom w:val="0"/>
              <w:divBdr>
                <w:top w:val="none" w:sz="0" w:space="0" w:color="auto"/>
                <w:left w:val="none" w:sz="0" w:space="0" w:color="auto"/>
                <w:bottom w:val="none" w:sz="0" w:space="0" w:color="auto"/>
                <w:right w:val="none" w:sz="0" w:space="0" w:color="auto"/>
              </w:divBdr>
              <w:divsChild>
                <w:div w:id="11020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5942">
      <w:bodyDiv w:val="1"/>
      <w:marLeft w:val="0"/>
      <w:marRight w:val="0"/>
      <w:marTop w:val="0"/>
      <w:marBottom w:val="0"/>
      <w:divBdr>
        <w:top w:val="none" w:sz="0" w:space="0" w:color="auto"/>
        <w:left w:val="none" w:sz="0" w:space="0" w:color="auto"/>
        <w:bottom w:val="none" w:sz="0" w:space="0" w:color="auto"/>
        <w:right w:val="none" w:sz="0" w:space="0" w:color="auto"/>
      </w:divBdr>
    </w:div>
    <w:div w:id="637299331">
      <w:bodyDiv w:val="1"/>
      <w:marLeft w:val="0"/>
      <w:marRight w:val="0"/>
      <w:marTop w:val="0"/>
      <w:marBottom w:val="0"/>
      <w:divBdr>
        <w:top w:val="none" w:sz="0" w:space="0" w:color="auto"/>
        <w:left w:val="none" w:sz="0" w:space="0" w:color="auto"/>
        <w:bottom w:val="none" w:sz="0" w:space="0" w:color="auto"/>
        <w:right w:val="none" w:sz="0" w:space="0" w:color="auto"/>
      </w:divBdr>
    </w:div>
    <w:div w:id="649558881">
      <w:bodyDiv w:val="1"/>
      <w:marLeft w:val="0"/>
      <w:marRight w:val="0"/>
      <w:marTop w:val="0"/>
      <w:marBottom w:val="0"/>
      <w:divBdr>
        <w:top w:val="none" w:sz="0" w:space="0" w:color="auto"/>
        <w:left w:val="none" w:sz="0" w:space="0" w:color="auto"/>
        <w:bottom w:val="none" w:sz="0" w:space="0" w:color="auto"/>
        <w:right w:val="none" w:sz="0" w:space="0" w:color="auto"/>
      </w:divBdr>
      <w:divsChild>
        <w:div w:id="1929845329">
          <w:marLeft w:val="0"/>
          <w:marRight w:val="0"/>
          <w:marTop w:val="0"/>
          <w:marBottom w:val="0"/>
          <w:divBdr>
            <w:top w:val="none" w:sz="0" w:space="0" w:color="auto"/>
            <w:left w:val="none" w:sz="0" w:space="0" w:color="auto"/>
            <w:bottom w:val="none" w:sz="0" w:space="0" w:color="auto"/>
            <w:right w:val="none" w:sz="0" w:space="0" w:color="auto"/>
          </w:divBdr>
          <w:divsChild>
            <w:div w:id="818958334">
              <w:marLeft w:val="0"/>
              <w:marRight w:val="0"/>
              <w:marTop w:val="0"/>
              <w:marBottom w:val="0"/>
              <w:divBdr>
                <w:top w:val="none" w:sz="0" w:space="0" w:color="auto"/>
                <w:left w:val="none" w:sz="0" w:space="0" w:color="auto"/>
                <w:bottom w:val="none" w:sz="0" w:space="0" w:color="auto"/>
                <w:right w:val="none" w:sz="0" w:space="0" w:color="auto"/>
              </w:divBdr>
              <w:divsChild>
                <w:div w:id="714737762">
                  <w:marLeft w:val="0"/>
                  <w:marRight w:val="0"/>
                  <w:marTop w:val="0"/>
                  <w:marBottom w:val="0"/>
                  <w:divBdr>
                    <w:top w:val="none" w:sz="0" w:space="0" w:color="auto"/>
                    <w:left w:val="none" w:sz="0" w:space="0" w:color="auto"/>
                    <w:bottom w:val="none" w:sz="0" w:space="0" w:color="auto"/>
                    <w:right w:val="none" w:sz="0" w:space="0" w:color="auto"/>
                  </w:divBdr>
                  <w:divsChild>
                    <w:div w:id="2812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00650">
      <w:bodyDiv w:val="1"/>
      <w:marLeft w:val="0"/>
      <w:marRight w:val="0"/>
      <w:marTop w:val="0"/>
      <w:marBottom w:val="0"/>
      <w:divBdr>
        <w:top w:val="none" w:sz="0" w:space="0" w:color="auto"/>
        <w:left w:val="none" w:sz="0" w:space="0" w:color="auto"/>
        <w:bottom w:val="none" w:sz="0" w:space="0" w:color="auto"/>
        <w:right w:val="none" w:sz="0" w:space="0" w:color="auto"/>
      </w:divBdr>
    </w:div>
    <w:div w:id="990982351">
      <w:bodyDiv w:val="1"/>
      <w:marLeft w:val="0"/>
      <w:marRight w:val="0"/>
      <w:marTop w:val="0"/>
      <w:marBottom w:val="0"/>
      <w:divBdr>
        <w:top w:val="none" w:sz="0" w:space="0" w:color="auto"/>
        <w:left w:val="none" w:sz="0" w:space="0" w:color="auto"/>
        <w:bottom w:val="none" w:sz="0" w:space="0" w:color="auto"/>
        <w:right w:val="none" w:sz="0" w:space="0" w:color="auto"/>
      </w:divBdr>
      <w:divsChild>
        <w:div w:id="420373125">
          <w:marLeft w:val="0"/>
          <w:marRight w:val="0"/>
          <w:marTop w:val="0"/>
          <w:marBottom w:val="0"/>
          <w:divBdr>
            <w:top w:val="none" w:sz="0" w:space="0" w:color="auto"/>
            <w:left w:val="none" w:sz="0" w:space="0" w:color="auto"/>
            <w:bottom w:val="none" w:sz="0" w:space="0" w:color="auto"/>
            <w:right w:val="none" w:sz="0" w:space="0" w:color="auto"/>
          </w:divBdr>
        </w:div>
        <w:div w:id="810444556">
          <w:marLeft w:val="0"/>
          <w:marRight w:val="0"/>
          <w:marTop w:val="0"/>
          <w:marBottom w:val="0"/>
          <w:divBdr>
            <w:top w:val="none" w:sz="0" w:space="0" w:color="auto"/>
            <w:left w:val="none" w:sz="0" w:space="0" w:color="auto"/>
            <w:bottom w:val="none" w:sz="0" w:space="0" w:color="auto"/>
            <w:right w:val="none" w:sz="0" w:space="0" w:color="auto"/>
          </w:divBdr>
        </w:div>
        <w:div w:id="865673002">
          <w:marLeft w:val="0"/>
          <w:marRight w:val="0"/>
          <w:marTop w:val="0"/>
          <w:marBottom w:val="0"/>
          <w:divBdr>
            <w:top w:val="none" w:sz="0" w:space="0" w:color="auto"/>
            <w:left w:val="none" w:sz="0" w:space="0" w:color="auto"/>
            <w:bottom w:val="none" w:sz="0" w:space="0" w:color="auto"/>
            <w:right w:val="none" w:sz="0" w:space="0" w:color="auto"/>
          </w:divBdr>
        </w:div>
        <w:div w:id="895554221">
          <w:marLeft w:val="0"/>
          <w:marRight w:val="0"/>
          <w:marTop w:val="0"/>
          <w:marBottom w:val="0"/>
          <w:divBdr>
            <w:top w:val="none" w:sz="0" w:space="0" w:color="auto"/>
            <w:left w:val="none" w:sz="0" w:space="0" w:color="auto"/>
            <w:bottom w:val="none" w:sz="0" w:space="0" w:color="auto"/>
            <w:right w:val="none" w:sz="0" w:space="0" w:color="auto"/>
          </w:divBdr>
        </w:div>
        <w:div w:id="1319572186">
          <w:marLeft w:val="0"/>
          <w:marRight w:val="0"/>
          <w:marTop w:val="0"/>
          <w:marBottom w:val="0"/>
          <w:divBdr>
            <w:top w:val="none" w:sz="0" w:space="0" w:color="auto"/>
            <w:left w:val="none" w:sz="0" w:space="0" w:color="auto"/>
            <w:bottom w:val="none" w:sz="0" w:space="0" w:color="auto"/>
            <w:right w:val="none" w:sz="0" w:space="0" w:color="auto"/>
          </w:divBdr>
        </w:div>
        <w:div w:id="1943609454">
          <w:marLeft w:val="0"/>
          <w:marRight w:val="0"/>
          <w:marTop w:val="0"/>
          <w:marBottom w:val="0"/>
          <w:divBdr>
            <w:top w:val="none" w:sz="0" w:space="0" w:color="auto"/>
            <w:left w:val="none" w:sz="0" w:space="0" w:color="auto"/>
            <w:bottom w:val="none" w:sz="0" w:space="0" w:color="auto"/>
            <w:right w:val="none" w:sz="0" w:space="0" w:color="auto"/>
          </w:divBdr>
        </w:div>
      </w:divsChild>
    </w:div>
    <w:div w:id="1100877635">
      <w:bodyDiv w:val="1"/>
      <w:marLeft w:val="0"/>
      <w:marRight w:val="0"/>
      <w:marTop w:val="0"/>
      <w:marBottom w:val="0"/>
      <w:divBdr>
        <w:top w:val="none" w:sz="0" w:space="0" w:color="auto"/>
        <w:left w:val="none" w:sz="0" w:space="0" w:color="auto"/>
        <w:bottom w:val="none" w:sz="0" w:space="0" w:color="auto"/>
        <w:right w:val="none" w:sz="0" w:space="0" w:color="auto"/>
      </w:divBdr>
    </w:div>
    <w:div w:id="1287197777">
      <w:bodyDiv w:val="1"/>
      <w:marLeft w:val="0"/>
      <w:marRight w:val="0"/>
      <w:marTop w:val="0"/>
      <w:marBottom w:val="0"/>
      <w:divBdr>
        <w:top w:val="none" w:sz="0" w:space="0" w:color="auto"/>
        <w:left w:val="none" w:sz="0" w:space="0" w:color="auto"/>
        <w:bottom w:val="none" w:sz="0" w:space="0" w:color="auto"/>
        <w:right w:val="none" w:sz="0" w:space="0" w:color="auto"/>
      </w:divBdr>
      <w:divsChild>
        <w:div w:id="2097825719">
          <w:marLeft w:val="0"/>
          <w:marRight w:val="0"/>
          <w:marTop w:val="0"/>
          <w:marBottom w:val="0"/>
          <w:divBdr>
            <w:top w:val="none" w:sz="0" w:space="0" w:color="auto"/>
            <w:left w:val="none" w:sz="0" w:space="0" w:color="auto"/>
            <w:bottom w:val="none" w:sz="0" w:space="0" w:color="auto"/>
            <w:right w:val="none" w:sz="0" w:space="0" w:color="auto"/>
          </w:divBdr>
          <w:divsChild>
            <w:div w:id="219829527">
              <w:marLeft w:val="0"/>
              <w:marRight w:val="0"/>
              <w:marTop w:val="0"/>
              <w:marBottom w:val="0"/>
              <w:divBdr>
                <w:top w:val="none" w:sz="0" w:space="0" w:color="auto"/>
                <w:left w:val="none" w:sz="0" w:space="0" w:color="auto"/>
                <w:bottom w:val="none" w:sz="0" w:space="0" w:color="auto"/>
                <w:right w:val="none" w:sz="0" w:space="0" w:color="auto"/>
              </w:divBdr>
              <w:divsChild>
                <w:div w:id="17671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20471">
      <w:bodyDiv w:val="1"/>
      <w:marLeft w:val="0"/>
      <w:marRight w:val="0"/>
      <w:marTop w:val="0"/>
      <w:marBottom w:val="0"/>
      <w:divBdr>
        <w:top w:val="none" w:sz="0" w:space="0" w:color="auto"/>
        <w:left w:val="none" w:sz="0" w:space="0" w:color="auto"/>
        <w:bottom w:val="none" w:sz="0" w:space="0" w:color="auto"/>
        <w:right w:val="none" w:sz="0" w:space="0" w:color="auto"/>
      </w:divBdr>
    </w:div>
    <w:div w:id="1492402125">
      <w:bodyDiv w:val="1"/>
      <w:marLeft w:val="0"/>
      <w:marRight w:val="0"/>
      <w:marTop w:val="0"/>
      <w:marBottom w:val="0"/>
      <w:divBdr>
        <w:top w:val="none" w:sz="0" w:space="0" w:color="auto"/>
        <w:left w:val="none" w:sz="0" w:space="0" w:color="auto"/>
        <w:bottom w:val="none" w:sz="0" w:space="0" w:color="auto"/>
        <w:right w:val="none" w:sz="0" w:space="0" w:color="auto"/>
      </w:divBdr>
      <w:divsChild>
        <w:div w:id="1744790747">
          <w:marLeft w:val="0"/>
          <w:marRight w:val="0"/>
          <w:marTop w:val="0"/>
          <w:marBottom w:val="0"/>
          <w:divBdr>
            <w:top w:val="none" w:sz="0" w:space="0" w:color="auto"/>
            <w:left w:val="none" w:sz="0" w:space="0" w:color="auto"/>
            <w:bottom w:val="none" w:sz="0" w:space="0" w:color="auto"/>
            <w:right w:val="none" w:sz="0" w:space="0" w:color="auto"/>
          </w:divBdr>
          <w:divsChild>
            <w:div w:id="789393144">
              <w:marLeft w:val="0"/>
              <w:marRight w:val="0"/>
              <w:marTop w:val="0"/>
              <w:marBottom w:val="0"/>
              <w:divBdr>
                <w:top w:val="none" w:sz="0" w:space="0" w:color="auto"/>
                <w:left w:val="none" w:sz="0" w:space="0" w:color="auto"/>
                <w:bottom w:val="none" w:sz="0" w:space="0" w:color="auto"/>
                <w:right w:val="none" w:sz="0" w:space="0" w:color="auto"/>
              </w:divBdr>
              <w:divsChild>
                <w:div w:id="4337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5476">
      <w:bodyDiv w:val="1"/>
      <w:marLeft w:val="0"/>
      <w:marRight w:val="0"/>
      <w:marTop w:val="0"/>
      <w:marBottom w:val="0"/>
      <w:divBdr>
        <w:top w:val="none" w:sz="0" w:space="0" w:color="auto"/>
        <w:left w:val="none" w:sz="0" w:space="0" w:color="auto"/>
        <w:bottom w:val="none" w:sz="0" w:space="0" w:color="auto"/>
        <w:right w:val="none" w:sz="0" w:space="0" w:color="auto"/>
      </w:divBdr>
    </w:div>
    <w:div w:id="1535189600">
      <w:bodyDiv w:val="1"/>
      <w:marLeft w:val="0"/>
      <w:marRight w:val="0"/>
      <w:marTop w:val="0"/>
      <w:marBottom w:val="0"/>
      <w:divBdr>
        <w:top w:val="none" w:sz="0" w:space="0" w:color="auto"/>
        <w:left w:val="none" w:sz="0" w:space="0" w:color="auto"/>
        <w:bottom w:val="none" w:sz="0" w:space="0" w:color="auto"/>
        <w:right w:val="none" w:sz="0" w:space="0" w:color="auto"/>
      </w:divBdr>
    </w:div>
    <w:div w:id="1556698456">
      <w:bodyDiv w:val="1"/>
      <w:marLeft w:val="0"/>
      <w:marRight w:val="0"/>
      <w:marTop w:val="0"/>
      <w:marBottom w:val="0"/>
      <w:divBdr>
        <w:top w:val="none" w:sz="0" w:space="0" w:color="auto"/>
        <w:left w:val="none" w:sz="0" w:space="0" w:color="auto"/>
        <w:bottom w:val="none" w:sz="0" w:space="0" w:color="auto"/>
        <w:right w:val="none" w:sz="0" w:space="0" w:color="auto"/>
      </w:divBdr>
    </w:div>
    <w:div w:id="1570386551">
      <w:bodyDiv w:val="1"/>
      <w:marLeft w:val="0"/>
      <w:marRight w:val="0"/>
      <w:marTop w:val="0"/>
      <w:marBottom w:val="0"/>
      <w:divBdr>
        <w:top w:val="none" w:sz="0" w:space="0" w:color="auto"/>
        <w:left w:val="none" w:sz="0" w:space="0" w:color="auto"/>
        <w:bottom w:val="none" w:sz="0" w:space="0" w:color="auto"/>
        <w:right w:val="none" w:sz="0" w:space="0" w:color="auto"/>
      </w:divBdr>
    </w:div>
    <w:div w:id="1672219966">
      <w:bodyDiv w:val="1"/>
      <w:marLeft w:val="0"/>
      <w:marRight w:val="0"/>
      <w:marTop w:val="0"/>
      <w:marBottom w:val="0"/>
      <w:divBdr>
        <w:top w:val="none" w:sz="0" w:space="0" w:color="auto"/>
        <w:left w:val="none" w:sz="0" w:space="0" w:color="auto"/>
        <w:bottom w:val="none" w:sz="0" w:space="0" w:color="auto"/>
        <w:right w:val="none" w:sz="0" w:space="0" w:color="auto"/>
      </w:divBdr>
    </w:div>
    <w:div w:id="1698694111">
      <w:bodyDiv w:val="1"/>
      <w:marLeft w:val="0"/>
      <w:marRight w:val="0"/>
      <w:marTop w:val="0"/>
      <w:marBottom w:val="0"/>
      <w:divBdr>
        <w:top w:val="none" w:sz="0" w:space="0" w:color="auto"/>
        <w:left w:val="none" w:sz="0" w:space="0" w:color="auto"/>
        <w:bottom w:val="none" w:sz="0" w:space="0" w:color="auto"/>
        <w:right w:val="none" w:sz="0" w:space="0" w:color="auto"/>
      </w:divBdr>
      <w:divsChild>
        <w:div w:id="4675172">
          <w:marLeft w:val="0"/>
          <w:marRight w:val="0"/>
          <w:marTop w:val="0"/>
          <w:marBottom w:val="0"/>
          <w:divBdr>
            <w:top w:val="none" w:sz="0" w:space="0" w:color="auto"/>
            <w:left w:val="none" w:sz="0" w:space="0" w:color="auto"/>
            <w:bottom w:val="none" w:sz="0" w:space="0" w:color="auto"/>
            <w:right w:val="none" w:sz="0" w:space="0" w:color="auto"/>
          </w:divBdr>
          <w:divsChild>
            <w:div w:id="314141590">
              <w:marLeft w:val="0"/>
              <w:marRight w:val="0"/>
              <w:marTop w:val="0"/>
              <w:marBottom w:val="0"/>
              <w:divBdr>
                <w:top w:val="none" w:sz="0" w:space="0" w:color="auto"/>
                <w:left w:val="none" w:sz="0" w:space="0" w:color="auto"/>
                <w:bottom w:val="none" w:sz="0" w:space="0" w:color="auto"/>
                <w:right w:val="none" w:sz="0" w:space="0" w:color="auto"/>
              </w:divBdr>
              <w:divsChild>
                <w:div w:id="20603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5550">
      <w:bodyDiv w:val="1"/>
      <w:marLeft w:val="0"/>
      <w:marRight w:val="0"/>
      <w:marTop w:val="0"/>
      <w:marBottom w:val="0"/>
      <w:divBdr>
        <w:top w:val="none" w:sz="0" w:space="0" w:color="auto"/>
        <w:left w:val="none" w:sz="0" w:space="0" w:color="auto"/>
        <w:bottom w:val="none" w:sz="0" w:space="0" w:color="auto"/>
        <w:right w:val="none" w:sz="0" w:space="0" w:color="auto"/>
      </w:divBdr>
    </w:div>
    <w:div w:id="1859346760">
      <w:bodyDiv w:val="1"/>
      <w:marLeft w:val="0"/>
      <w:marRight w:val="0"/>
      <w:marTop w:val="0"/>
      <w:marBottom w:val="0"/>
      <w:divBdr>
        <w:top w:val="none" w:sz="0" w:space="0" w:color="auto"/>
        <w:left w:val="none" w:sz="0" w:space="0" w:color="auto"/>
        <w:bottom w:val="none" w:sz="0" w:space="0" w:color="auto"/>
        <w:right w:val="none" w:sz="0" w:space="0" w:color="auto"/>
      </w:divBdr>
    </w:div>
    <w:div w:id="1955745743">
      <w:bodyDiv w:val="1"/>
      <w:marLeft w:val="0"/>
      <w:marRight w:val="0"/>
      <w:marTop w:val="0"/>
      <w:marBottom w:val="0"/>
      <w:divBdr>
        <w:top w:val="none" w:sz="0" w:space="0" w:color="auto"/>
        <w:left w:val="none" w:sz="0" w:space="0" w:color="auto"/>
        <w:bottom w:val="none" w:sz="0" w:space="0" w:color="auto"/>
        <w:right w:val="none" w:sz="0" w:space="0" w:color="auto"/>
      </w:divBdr>
    </w:div>
    <w:div w:id="1991667568">
      <w:bodyDiv w:val="1"/>
      <w:marLeft w:val="0"/>
      <w:marRight w:val="0"/>
      <w:marTop w:val="0"/>
      <w:marBottom w:val="0"/>
      <w:divBdr>
        <w:top w:val="none" w:sz="0" w:space="0" w:color="auto"/>
        <w:left w:val="none" w:sz="0" w:space="0" w:color="auto"/>
        <w:bottom w:val="none" w:sz="0" w:space="0" w:color="auto"/>
        <w:right w:val="none" w:sz="0" w:space="0" w:color="auto"/>
      </w:divBdr>
    </w:div>
    <w:div w:id="2084796186">
      <w:bodyDiv w:val="1"/>
      <w:marLeft w:val="0"/>
      <w:marRight w:val="0"/>
      <w:marTop w:val="0"/>
      <w:marBottom w:val="0"/>
      <w:divBdr>
        <w:top w:val="none" w:sz="0" w:space="0" w:color="auto"/>
        <w:left w:val="none" w:sz="0" w:space="0" w:color="auto"/>
        <w:bottom w:val="none" w:sz="0" w:space="0" w:color="auto"/>
        <w:right w:val="none" w:sz="0" w:space="0" w:color="auto"/>
      </w:divBdr>
    </w:div>
    <w:div w:id="2091653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BAB8-159F-5745-B935-59284F24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7296</Words>
  <Characters>41590</Characters>
  <Application>Microsoft Office Word</Application>
  <DocSecurity>0</DocSecurity>
  <Lines>346</Lines>
  <Paragraphs>97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Francioni</dc:creator>
  <cp:keywords/>
  <dc:description/>
  <cp:lastModifiedBy>Laura diZerega</cp:lastModifiedBy>
  <cp:revision>5</cp:revision>
  <cp:lastPrinted>2021-09-20T21:27:00Z</cp:lastPrinted>
  <dcterms:created xsi:type="dcterms:W3CDTF">2021-12-08T00:51:00Z</dcterms:created>
  <dcterms:modified xsi:type="dcterms:W3CDTF">2021-12-17T20:05:00Z</dcterms:modified>
</cp:coreProperties>
</file>