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9B297" w14:textId="77777777" w:rsidR="006A3999" w:rsidRPr="00083793" w:rsidRDefault="006A3999" w:rsidP="00A02D5C">
      <w:pPr>
        <w:pStyle w:val="Heading1"/>
        <w:rPr>
          <w:lang w:val="en-US"/>
        </w:rPr>
      </w:pPr>
      <w:r w:rsidRPr="00083793">
        <w:rPr>
          <w:lang w:val="en-US"/>
        </w:rPr>
        <w:t>Prosecuting Heritage Destruction</w:t>
      </w:r>
    </w:p>
    <w:p w14:paraId="4F354177" w14:textId="77777777" w:rsidR="006A3999" w:rsidRPr="00083793" w:rsidRDefault="006A3999" w:rsidP="00016FD4">
      <w:pPr>
        <w:spacing w:after="0" w:line="480" w:lineRule="auto"/>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Joseph Powderly</w:t>
      </w:r>
    </w:p>
    <w:p w14:paraId="1A361618" w14:textId="2EF439E3" w:rsidR="00016FD4" w:rsidRDefault="00016FD4" w:rsidP="00016FD4">
      <w:pPr>
        <w:spacing w:after="0" w:line="480" w:lineRule="auto"/>
        <w:contextualSpacing/>
        <w:rPr>
          <w:rFonts w:ascii="Times New Roman" w:hAnsi="Times New Roman" w:cs="Times New Roman"/>
          <w:sz w:val="24"/>
          <w:szCs w:val="24"/>
          <w:u w:val="single"/>
          <w:lang w:val="en-US"/>
        </w:rPr>
      </w:pPr>
    </w:p>
    <w:p w14:paraId="2328262A" w14:textId="77777777" w:rsidR="007E0BE9" w:rsidRPr="007E0BE9" w:rsidRDefault="007E0BE9" w:rsidP="007E0BE9">
      <w:pPr>
        <w:spacing w:line="480" w:lineRule="auto"/>
        <w:rPr>
          <w:rFonts w:ascii="Times New Roman" w:hAnsi="Times New Roman" w:cs="Times New Roman"/>
          <w:sz w:val="24"/>
          <w:szCs w:val="24"/>
        </w:rPr>
      </w:pPr>
      <w:bookmarkStart w:id="0" w:name="_GoBack"/>
      <w:r w:rsidRPr="007E0BE9">
        <w:rPr>
          <w:rFonts w:ascii="Times New Roman" w:hAnsi="Times New Roman" w:cs="Times New Roman"/>
          <w:sz w:val="24"/>
          <w:szCs w:val="24"/>
        </w:rPr>
        <w:t xml:space="preserve">© 2022 J. Paul Getty Trust. Originally published in </w:t>
      </w:r>
      <w:r w:rsidRPr="007E0BE9">
        <w:rPr>
          <w:rFonts w:ascii="Times New Roman" w:hAnsi="Times New Roman" w:cs="Times New Roman"/>
          <w:i/>
          <w:sz w:val="24"/>
          <w:szCs w:val="24"/>
        </w:rPr>
        <w:t>Cultural Heritage and Mass Atrocities</w:t>
      </w:r>
      <w:r w:rsidRPr="007E0BE9">
        <w:rPr>
          <w:rFonts w:ascii="Times New Roman" w:hAnsi="Times New Roman" w:cs="Times New Roman"/>
          <w:sz w:val="24"/>
          <w:szCs w:val="24"/>
        </w:rPr>
        <w:t xml:space="preserve"> © 2022 J. Paul Getty Trust, www.getty.edu/publications/cultural-heritage-mass-atrocities (licensed under </w:t>
      </w:r>
      <w:hyperlink r:id="rId8" w:history="1">
        <w:r w:rsidRPr="007E0BE9">
          <w:rPr>
            <w:rStyle w:val="Hyperlink"/>
            <w:rFonts w:ascii="Times New Roman" w:hAnsi="Times New Roman" w:cs="Times New Roman"/>
            <w:sz w:val="24"/>
            <w:szCs w:val="24"/>
          </w:rPr>
          <w:t>CC BY 4.0</w:t>
        </w:r>
      </w:hyperlink>
      <w:r w:rsidRPr="007E0BE9">
        <w:rPr>
          <w:rFonts w:ascii="Times New Roman" w:hAnsi="Times New Roman" w:cs="Times New Roman"/>
          <w:sz w:val="24"/>
          <w:szCs w:val="24"/>
        </w:rPr>
        <w:t>)</w:t>
      </w:r>
    </w:p>
    <w:bookmarkEnd w:id="0"/>
    <w:p w14:paraId="6A5D94F3" w14:textId="77777777" w:rsidR="007E0BE9" w:rsidRPr="00192049" w:rsidRDefault="007E0BE9" w:rsidP="00016FD4">
      <w:pPr>
        <w:spacing w:after="0" w:line="480" w:lineRule="auto"/>
        <w:contextualSpacing/>
        <w:rPr>
          <w:rFonts w:ascii="Times New Roman" w:hAnsi="Times New Roman" w:cs="Times New Roman"/>
          <w:sz w:val="24"/>
          <w:szCs w:val="24"/>
          <w:u w:val="single"/>
          <w:lang w:val="en-US"/>
        </w:rPr>
      </w:pPr>
    </w:p>
    <w:p w14:paraId="2618B4AE" w14:textId="23F1CFD6" w:rsidR="001542DB" w:rsidRPr="00A02D5C" w:rsidRDefault="001542DB" w:rsidP="00A02D5C">
      <w:pPr>
        <w:pStyle w:val="Heading2"/>
        <w:rPr>
          <w:lang w:val="en-US"/>
        </w:rPr>
      </w:pPr>
      <w:r w:rsidRPr="00A02D5C">
        <w:rPr>
          <w:lang w:val="en-US"/>
        </w:rPr>
        <w:t xml:space="preserve">Keynote </w:t>
      </w:r>
    </w:p>
    <w:p w14:paraId="0244FFEB" w14:textId="0EBF190A" w:rsidR="001542DB" w:rsidRPr="00083793" w:rsidRDefault="001542DB" w:rsidP="001542DB">
      <w:pPr>
        <w:spacing w:after="0" w:line="480" w:lineRule="auto"/>
        <w:contextualSpacing/>
        <w:rPr>
          <w:rFonts w:ascii="Times New Roman" w:hAnsi="Times New Roman" w:cs="Times New Roman"/>
          <w:sz w:val="24"/>
          <w:szCs w:val="24"/>
          <w:u w:val="single"/>
          <w:lang w:val="en-US"/>
        </w:rPr>
      </w:pPr>
      <w:r w:rsidRPr="00083793">
        <w:rPr>
          <w:rFonts w:ascii="Times New Roman" w:hAnsi="Times New Roman" w:cs="Times New Roman"/>
          <w:sz w:val="24"/>
          <w:szCs w:val="24"/>
          <w:lang w:val="en-US"/>
        </w:rPr>
        <w:t xml:space="preserve">This chapter offers an account of the history of international criminal law’s efforts to prosecute </w:t>
      </w:r>
      <w:r w:rsidR="00AC5E90">
        <w:rPr>
          <w:rFonts w:ascii="Times New Roman" w:hAnsi="Times New Roman" w:cs="Times New Roman"/>
          <w:sz w:val="24"/>
          <w:szCs w:val="24"/>
          <w:lang w:val="en-US"/>
        </w:rPr>
        <w:t xml:space="preserve">cultural </w:t>
      </w:r>
      <w:r w:rsidRPr="00083793">
        <w:rPr>
          <w:rFonts w:ascii="Times New Roman" w:hAnsi="Times New Roman" w:cs="Times New Roman"/>
          <w:sz w:val="24"/>
          <w:szCs w:val="24"/>
          <w:lang w:val="en-US"/>
        </w:rPr>
        <w:t>heritage destruction</w:t>
      </w:r>
      <w:r w:rsidR="00AC5E90">
        <w:rPr>
          <w:rFonts w:ascii="Times New Roman" w:hAnsi="Times New Roman" w:cs="Times New Roman"/>
          <w:sz w:val="24"/>
          <w:szCs w:val="24"/>
          <w:lang w:val="en-US"/>
        </w:rPr>
        <w:t>; it looks toward</w:t>
      </w:r>
      <w:r w:rsidR="00AC5E90" w:rsidRPr="00083793">
        <w:rPr>
          <w:rFonts w:ascii="Times New Roman" w:hAnsi="Times New Roman" w:cs="Times New Roman"/>
          <w:sz w:val="24"/>
          <w:szCs w:val="24"/>
          <w:lang w:val="en-US"/>
        </w:rPr>
        <w:t xml:space="preserve"> the </w:t>
      </w:r>
      <w:r w:rsidR="00AC5E90">
        <w:rPr>
          <w:rFonts w:ascii="Times New Roman" w:hAnsi="Times New Roman" w:cs="Times New Roman"/>
          <w:sz w:val="24"/>
          <w:szCs w:val="24"/>
          <w:lang w:val="en-US"/>
        </w:rPr>
        <w:t xml:space="preserve">possible </w:t>
      </w:r>
      <w:r w:rsidR="00AC5E90" w:rsidRPr="00083793">
        <w:rPr>
          <w:rFonts w:ascii="Times New Roman" w:hAnsi="Times New Roman" w:cs="Times New Roman"/>
          <w:sz w:val="24"/>
          <w:szCs w:val="24"/>
          <w:lang w:val="en-US"/>
        </w:rPr>
        <w:t xml:space="preserve">future </w:t>
      </w:r>
      <w:r w:rsidR="00AC5E90">
        <w:rPr>
          <w:rFonts w:ascii="Times New Roman" w:hAnsi="Times New Roman" w:cs="Times New Roman"/>
          <w:sz w:val="24"/>
          <w:szCs w:val="24"/>
          <w:lang w:val="en-US"/>
        </w:rPr>
        <w:t>development</w:t>
      </w:r>
      <w:r w:rsidR="00AC5E90" w:rsidRPr="00083793">
        <w:rPr>
          <w:rFonts w:ascii="Times New Roman" w:hAnsi="Times New Roman" w:cs="Times New Roman"/>
          <w:sz w:val="24"/>
          <w:szCs w:val="24"/>
          <w:lang w:val="en-US"/>
        </w:rPr>
        <w:t xml:space="preserve"> of accountability for </w:t>
      </w:r>
      <w:r w:rsidR="00AC5E90">
        <w:rPr>
          <w:rFonts w:ascii="Times New Roman" w:hAnsi="Times New Roman" w:cs="Times New Roman"/>
          <w:sz w:val="24"/>
          <w:szCs w:val="24"/>
          <w:lang w:val="en-US"/>
        </w:rPr>
        <w:t>such</w:t>
      </w:r>
      <w:r w:rsidR="00AC5E90" w:rsidRPr="00083793">
        <w:rPr>
          <w:rFonts w:ascii="Times New Roman" w:hAnsi="Times New Roman" w:cs="Times New Roman"/>
          <w:sz w:val="24"/>
          <w:szCs w:val="24"/>
          <w:lang w:val="en-US"/>
        </w:rPr>
        <w:t xml:space="preserve"> </w:t>
      </w:r>
      <w:r w:rsidR="00AC5E90">
        <w:rPr>
          <w:rFonts w:ascii="Times New Roman" w:hAnsi="Times New Roman" w:cs="Times New Roman"/>
          <w:sz w:val="24"/>
          <w:szCs w:val="24"/>
          <w:lang w:val="en-US"/>
        </w:rPr>
        <w:t>attacks</w:t>
      </w:r>
      <w:r w:rsidR="00AC5E90" w:rsidRPr="00083793">
        <w:rPr>
          <w:rFonts w:ascii="Times New Roman" w:hAnsi="Times New Roman" w:cs="Times New Roman"/>
          <w:sz w:val="24"/>
          <w:szCs w:val="24"/>
          <w:lang w:val="en-US"/>
        </w:rPr>
        <w:t>.</w:t>
      </w:r>
    </w:p>
    <w:p w14:paraId="2CF65C70" w14:textId="77777777" w:rsidR="001542DB" w:rsidRPr="00083793" w:rsidRDefault="001542DB" w:rsidP="00016FD4">
      <w:pPr>
        <w:spacing w:after="0" w:line="480" w:lineRule="auto"/>
        <w:contextualSpacing/>
        <w:rPr>
          <w:rFonts w:ascii="Times New Roman" w:hAnsi="Times New Roman" w:cs="Times New Roman"/>
          <w:sz w:val="24"/>
          <w:szCs w:val="24"/>
          <w:u w:val="single"/>
          <w:lang w:val="en-US"/>
        </w:rPr>
      </w:pPr>
    </w:p>
    <w:p w14:paraId="1A47FE43" w14:textId="18D7D24F" w:rsidR="001542DB" w:rsidRPr="00A02D5C" w:rsidRDefault="006A3999" w:rsidP="00A02D5C">
      <w:pPr>
        <w:pStyle w:val="Heading2"/>
        <w:rPr>
          <w:lang w:val="en-US"/>
        </w:rPr>
      </w:pPr>
      <w:r w:rsidRPr="00A02D5C">
        <w:rPr>
          <w:lang w:val="en-US"/>
        </w:rPr>
        <w:t>Abstract</w:t>
      </w:r>
    </w:p>
    <w:p w14:paraId="404A3FEA" w14:textId="1B999184" w:rsidR="006A3999" w:rsidRPr="00083793" w:rsidRDefault="006A3999" w:rsidP="00016FD4">
      <w:pPr>
        <w:spacing w:after="0" w:line="480" w:lineRule="auto"/>
        <w:contextualSpacing/>
        <w:rPr>
          <w:rFonts w:ascii="Times New Roman" w:hAnsi="Times New Roman" w:cs="Times New Roman"/>
          <w:sz w:val="24"/>
          <w:szCs w:val="24"/>
          <w:u w:val="single"/>
          <w:lang w:val="en-US"/>
        </w:rPr>
      </w:pPr>
      <w:r w:rsidRPr="00083793">
        <w:rPr>
          <w:rFonts w:ascii="Times New Roman" w:hAnsi="Times New Roman" w:cs="Times New Roman"/>
          <w:sz w:val="24"/>
          <w:szCs w:val="24"/>
          <w:lang w:val="en-US"/>
        </w:rPr>
        <w:t>Over the course of the past century, international criminal justice mechanisms have played a pivotal role in securing individual criminal accountability for the deliberate destruction of cultural heritage, whether inside or outside the context of armed conflict. This chapter explores the manner in which international criminal law has evolved in order to pursue accountability for the deliberate destruction of cultural heritage. The chapter begins with an overview of the prehistory of individual criminal responsibility for heritage destruction as an international crime</w:t>
      </w:r>
      <w:r w:rsidR="004342B5">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look</w:t>
      </w:r>
      <w:r w:rsidR="004342B5">
        <w:rPr>
          <w:rFonts w:ascii="Times New Roman" w:hAnsi="Times New Roman" w:cs="Times New Roman"/>
          <w:sz w:val="24"/>
          <w:szCs w:val="24"/>
          <w:lang w:val="en-US"/>
        </w:rPr>
        <w:t>ing</w:t>
      </w:r>
      <w:r w:rsidRPr="00083793">
        <w:rPr>
          <w:rFonts w:ascii="Times New Roman" w:hAnsi="Times New Roman" w:cs="Times New Roman"/>
          <w:sz w:val="24"/>
          <w:szCs w:val="24"/>
          <w:lang w:val="en-US"/>
        </w:rPr>
        <w:t xml:space="preserve"> at the oft-neglected efforts undertaken in the aftermath of World War I and World War II. Close consideration is given to key jurisprudential milestones identifiable at Nuremberg, and then later at the International Criminal Tribunal for the former Yugoslavia. Finally, the chapter reflects on </w:t>
      </w:r>
      <w:r w:rsidRPr="00083793">
        <w:rPr>
          <w:rFonts w:ascii="Times New Roman" w:hAnsi="Times New Roman" w:cs="Times New Roman"/>
          <w:sz w:val="24"/>
          <w:szCs w:val="24"/>
          <w:lang w:val="en-US"/>
        </w:rPr>
        <w:lastRenderedPageBreak/>
        <w:t xml:space="preserve">contemporary developments before the International Criminal Court and the future trajectory of accountability for </w:t>
      </w:r>
      <w:r w:rsidR="00AC5E90">
        <w:rPr>
          <w:rFonts w:ascii="Times New Roman" w:hAnsi="Times New Roman" w:cs="Times New Roman"/>
          <w:sz w:val="24"/>
          <w:szCs w:val="24"/>
          <w:lang w:val="en-US"/>
        </w:rPr>
        <w:t xml:space="preserve">cultural </w:t>
      </w:r>
      <w:r w:rsidRPr="00083793">
        <w:rPr>
          <w:rFonts w:ascii="Times New Roman" w:hAnsi="Times New Roman" w:cs="Times New Roman"/>
          <w:sz w:val="24"/>
          <w:szCs w:val="24"/>
          <w:lang w:val="en-US"/>
        </w:rPr>
        <w:t xml:space="preserve">heritage destruction. </w:t>
      </w:r>
    </w:p>
    <w:p w14:paraId="7B82D93C" w14:textId="263F070D" w:rsidR="006A3999" w:rsidRDefault="006A3999" w:rsidP="00016FD4">
      <w:pPr>
        <w:spacing w:after="0" w:line="480" w:lineRule="auto"/>
        <w:contextualSpacing/>
        <w:rPr>
          <w:rFonts w:ascii="Times New Roman" w:hAnsi="Times New Roman" w:cs="Times New Roman"/>
          <w:sz w:val="24"/>
          <w:szCs w:val="24"/>
          <w:lang w:val="en-US"/>
        </w:rPr>
      </w:pPr>
    </w:p>
    <w:p w14:paraId="67728383" w14:textId="77777777" w:rsidR="006865BB" w:rsidRPr="00083793" w:rsidRDefault="006865BB" w:rsidP="006865BB">
      <w:pPr>
        <w:pStyle w:val="Heading2"/>
        <w:rPr>
          <w:lang w:val="en-US"/>
        </w:rPr>
      </w:pPr>
      <w:r w:rsidRPr="004C3528">
        <w:rPr>
          <w:lang w:val="en-US"/>
        </w:rPr>
        <w:t>Bio</w:t>
      </w:r>
      <w:r w:rsidRPr="00083793">
        <w:rPr>
          <w:lang w:val="en-US"/>
        </w:rPr>
        <w:t>graphy</w:t>
      </w:r>
    </w:p>
    <w:p w14:paraId="4CA5CB46" w14:textId="05FC4A68" w:rsidR="006865BB" w:rsidRPr="00A02D5C" w:rsidRDefault="006865BB" w:rsidP="006865BB">
      <w:pPr>
        <w:spacing w:after="0" w:line="480" w:lineRule="auto"/>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 xml:space="preserve">Joseph Powderly is Associate Professor of Public International Law at the Grotius Centre for International Legal Studies, Leiden University. His research focuses broadly on issues relevant to international criminal law, international human rights law, and cultural heritage law. </w:t>
      </w:r>
      <w:r w:rsidR="00B30DB9">
        <w:rPr>
          <w:rFonts w:ascii="Times New Roman" w:hAnsi="Times New Roman" w:cs="Times New Roman"/>
          <w:sz w:val="24"/>
          <w:szCs w:val="24"/>
          <w:lang w:val="en-US"/>
        </w:rPr>
        <w:t xml:space="preserve">He published </w:t>
      </w:r>
      <w:r w:rsidRPr="00083793">
        <w:rPr>
          <w:rFonts w:ascii="Times New Roman" w:hAnsi="Times New Roman" w:cs="Times New Roman"/>
          <w:i/>
          <w:sz w:val="24"/>
          <w:szCs w:val="24"/>
          <w:lang w:val="en-US"/>
        </w:rPr>
        <w:t>Judges and the Making of International Criminal Law</w:t>
      </w:r>
      <w:r w:rsidRPr="004C3528">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in 2020.</w:t>
      </w:r>
    </w:p>
    <w:p w14:paraId="5AFE438E" w14:textId="77777777" w:rsidR="006865BB" w:rsidRPr="00083793" w:rsidRDefault="006865BB" w:rsidP="00016FD4">
      <w:pPr>
        <w:spacing w:after="0" w:line="480" w:lineRule="auto"/>
        <w:contextualSpacing/>
        <w:rPr>
          <w:rFonts w:ascii="Times New Roman" w:hAnsi="Times New Roman" w:cs="Times New Roman"/>
          <w:sz w:val="24"/>
          <w:szCs w:val="24"/>
          <w:lang w:val="en-US"/>
        </w:rPr>
      </w:pPr>
    </w:p>
    <w:p w14:paraId="7B2B359F" w14:textId="77777777" w:rsidR="00C1385A" w:rsidRPr="00083793" w:rsidRDefault="00C1385A" w:rsidP="00016FD4">
      <w:pPr>
        <w:spacing w:after="0" w:line="480" w:lineRule="auto"/>
        <w:contextualSpacing/>
        <w:rPr>
          <w:rFonts w:ascii="Times New Roman" w:hAnsi="Times New Roman" w:cs="Times New Roman"/>
          <w:sz w:val="24"/>
          <w:szCs w:val="24"/>
          <w:lang w:val="en-US"/>
        </w:rPr>
      </w:pPr>
    </w:p>
    <w:p w14:paraId="03946AA8" w14:textId="2E7EB252" w:rsidR="001C69E0" w:rsidRDefault="006A3999" w:rsidP="00016FD4">
      <w:pPr>
        <w:spacing w:after="0" w:line="480" w:lineRule="auto"/>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 xml:space="preserve">On the opening of the case against Ahmad </w:t>
      </w:r>
      <w:r w:rsidR="0058432F">
        <w:rPr>
          <w:rFonts w:ascii="Times New Roman" w:hAnsi="Times New Roman" w:cs="Times New Roman"/>
          <w:sz w:val="24"/>
          <w:szCs w:val="24"/>
          <w:lang w:val="en-US"/>
        </w:rPr>
        <w:t>a</w:t>
      </w:r>
      <w:r w:rsidRPr="00083793">
        <w:rPr>
          <w:rFonts w:ascii="Times New Roman" w:hAnsi="Times New Roman" w:cs="Times New Roman"/>
          <w:sz w:val="24"/>
          <w:szCs w:val="24"/>
          <w:lang w:val="en-US"/>
        </w:rPr>
        <w:t>l</w:t>
      </w:r>
      <w:r w:rsidR="0058432F">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Faqi </w:t>
      </w:r>
      <w:r w:rsidR="0058432F">
        <w:rPr>
          <w:rFonts w:ascii="Times New Roman" w:hAnsi="Times New Roman" w:cs="Times New Roman"/>
          <w:sz w:val="24"/>
          <w:szCs w:val="24"/>
          <w:lang w:val="en-US"/>
        </w:rPr>
        <w:t>a</w:t>
      </w:r>
      <w:r w:rsidRPr="00083793">
        <w:rPr>
          <w:rFonts w:ascii="Times New Roman" w:hAnsi="Times New Roman" w:cs="Times New Roman"/>
          <w:sz w:val="24"/>
          <w:szCs w:val="24"/>
          <w:lang w:val="en-US"/>
        </w:rPr>
        <w:t>l</w:t>
      </w:r>
      <w:r w:rsidR="0058432F">
        <w:rPr>
          <w:rFonts w:ascii="Times New Roman" w:hAnsi="Times New Roman" w:cs="Times New Roman"/>
          <w:sz w:val="24"/>
          <w:szCs w:val="24"/>
          <w:lang w:val="en-US"/>
        </w:rPr>
        <w:t>-</w:t>
      </w:r>
      <w:r w:rsidRPr="00083793">
        <w:rPr>
          <w:rFonts w:ascii="Times New Roman" w:hAnsi="Times New Roman" w:cs="Times New Roman"/>
          <w:sz w:val="24"/>
          <w:szCs w:val="24"/>
          <w:lang w:val="en-US"/>
        </w:rPr>
        <w:t>Mahdi for his role in the destruction of mausoleums in Timbuktu,</w:t>
      </w:r>
      <w:r w:rsidR="00AE0FBB">
        <w:rPr>
          <w:rFonts w:ascii="Times New Roman" w:hAnsi="Times New Roman" w:cs="Times New Roman"/>
          <w:sz w:val="24"/>
          <w:szCs w:val="24"/>
          <w:lang w:val="en-US"/>
        </w:rPr>
        <w:t xml:space="preserve"> Mali</w:t>
      </w:r>
      <w:r w:rsidR="00726425">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the then </w:t>
      </w:r>
      <w:r w:rsidR="002E2BE1">
        <w:rPr>
          <w:rFonts w:ascii="Times New Roman" w:hAnsi="Times New Roman" w:cs="Times New Roman"/>
          <w:sz w:val="24"/>
          <w:szCs w:val="24"/>
          <w:lang w:val="en-US"/>
        </w:rPr>
        <w:t>c</w:t>
      </w:r>
      <w:r w:rsidRPr="00083793">
        <w:rPr>
          <w:rFonts w:ascii="Times New Roman" w:hAnsi="Times New Roman" w:cs="Times New Roman"/>
          <w:sz w:val="24"/>
          <w:szCs w:val="24"/>
          <w:lang w:val="en-US"/>
        </w:rPr>
        <w:t>hief</w:t>
      </w:r>
      <w:r w:rsidR="002E2BE1">
        <w:rPr>
          <w:rFonts w:ascii="Times New Roman" w:hAnsi="Times New Roman" w:cs="Times New Roman"/>
          <w:sz w:val="24"/>
          <w:szCs w:val="24"/>
          <w:lang w:val="en-US"/>
        </w:rPr>
        <w:t xml:space="preserve"> p</w:t>
      </w:r>
      <w:r w:rsidRPr="00083793">
        <w:rPr>
          <w:rFonts w:ascii="Times New Roman" w:hAnsi="Times New Roman" w:cs="Times New Roman"/>
          <w:sz w:val="24"/>
          <w:szCs w:val="24"/>
          <w:lang w:val="en-US"/>
        </w:rPr>
        <w:t>rosecutor of the International Criminal Court (ICC), Fatou Bensouda</w:t>
      </w:r>
      <w:r w:rsidR="00AE0FBB">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reflected on the importance of purs</w:t>
      </w:r>
      <w:r w:rsidR="00102895">
        <w:rPr>
          <w:rFonts w:ascii="Times New Roman" w:hAnsi="Times New Roman" w:cs="Times New Roman"/>
          <w:sz w:val="24"/>
          <w:szCs w:val="24"/>
          <w:lang w:val="en-US"/>
        </w:rPr>
        <w:t>u</w:t>
      </w:r>
      <w:r w:rsidRPr="00083793">
        <w:rPr>
          <w:rFonts w:ascii="Times New Roman" w:hAnsi="Times New Roman" w:cs="Times New Roman"/>
          <w:sz w:val="24"/>
          <w:szCs w:val="24"/>
          <w:lang w:val="en-US"/>
        </w:rPr>
        <w:t xml:space="preserve">ing international criminal accountability for heritage destruction. In her view, the case against </w:t>
      </w:r>
      <w:r w:rsidR="00102895">
        <w:rPr>
          <w:rFonts w:ascii="Times New Roman" w:hAnsi="Times New Roman" w:cs="Times New Roman"/>
          <w:sz w:val="24"/>
          <w:szCs w:val="24"/>
          <w:lang w:val="en-US"/>
        </w:rPr>
        <w:t>a</w:t>
      </w:r>
      <w:r w:rsidRPr="00083793">
        <w:rPr>
          <w:rFonts w:ascii="Times New Roman" w:hAnsi="Times New Roman" w:cs="Times New Roman"/>
          <w:sz w:val="24"/>
          <w:szCs w:val="24"/>
          <w:lang w:val="en-US"/>
        </w:rPr>
        <w:t>l</w:t>
      </w:r>
      <w:r w:rsidR="00102895">
        <w:rPr>
          <w:rFonts w:ascii="Times New Roman" w:hAnsi="Times New Roman" w:cs="Times New Roman"/>
          <w:sz w:val="24"/>
          <w:szCs w:val="24"/>
          <w:lang w:val="en-US"/>
        </w:rPr>
        <w:t>-</w:t>
      </w:r>
      <w:r w:rsidRPr="00083793">
        <w:rPr>
          <w:rFonts w:ascii="Times New Roman" w:hAnsi="Times New Roman" w:cs="Times New Roman"/>
          <w:sz w:val="24"/>
          <w:szCs w:val="24"/>
          <w:lang w:val="en-US"/>
        </w:rPr>
        <w:t>Mahdi was historic</w:t>
      </w:r>
      <w:r w:rsidR="00102895">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“in view of the destructive rage that marks our times, in which humanity’s common heritage is subject to repeated and planned ravages</w:t>
      </w:r>
      <w:r w:rsidR="00102895">
        <w:rPr>
          <w:rFonts w:ascii="Times New Roman" w:hAnsi="Times New Roman" w:cs="Times New Roman"/>
          <w:sz w:val="24"/>
          <w:szCs w:val="24"/>
          <w:lang w:val="en-US"/>
        </w:rPr>
        <w:t>.</w:t>
      </w:r>
      <w:r w:rsidRPr="00083793">
        <w:rPr>
          <w:rFonts w:ascii="Times New Roman" w:hAnsi="Times New Roman" w:cs="Times New Roman"/>
          <w:sz w:val="24"/>
          <w:szCs w:val="24"/>
          <w:lang w:val="en-US"/>
        </w:rPr>
        <w:t>” She concluded that heritage destruction is “a crime that impoverishes us all and damages universal values we are bound to protect</w:t>
      </w:r>
      <w:r w:rsidR="00EC7182">
        <w:rPr>
          <w:rFonts w:ascii="Times New Roman" w:hAnsi="Times New Roman" w:cs="Times New Roman"/>
          <w:sz w:val="24"/>
          <w:szCs w:val="24"/>
          <w:lang w:val="en-US"/>
        </w:rPr>
        <w:t>.”</w:t>
      </w:r>
      <w:r w:rsidRPr="00083793">
        <w:rPr>
          <w:rStyle w:val="EndnoteReference"/>
          <w:rFonts w:ascii="Times New Roman" w:hAnsi="Times New Roman" w:cs="Times New Roman"/>
          <w:sz w:val="24"/>
          <w:szCs w:val="24"/>
          <w:lang w:val="en-US"/>
        </w:rPr>
        <w:endnoteReference w:id="1"/>
      </w:r>
      <w:r w:rsidRPr="00083793">
        <w:rPr>
          <w:rFonts w:ascii="Times New Roman" w:hAnsi="Times New Roman" w:cs="Times New Roman"/>
          <w:sz w:val="24"/>
          <w:szCs w:val="24"/>
          <w:lang w:val="en-US"/>
        </w:rPr>
        <w:t xml:space="preserve"> The protection and realization of universal values sit at the very heart of the purposive foundations of international criminal law. Since the inception of the notion of international criminal accountability, the courts and tribunals that have been tasked with its delivery have recognized that acts that threaten and destroy the heritage of peoples cannot be left unpunished. The prosecution of heritage destruction before international criminal courts and tribunals, from the International Military Tribunal at </w:t>
      </w:r>
      <w:r w:rsidRPr="00083793">
        <w:rPr>
          <w:rFonts w:ascii="Times New Roman" w:hAnsi="Times New Roman" w:cs="Times New Roman"/>
          <w:sz w:val="24"/>
          <w:szCs w:val="24"/>
          <w:lang w:val="en-US"/>
        </w:rPr>
        <w:lastRenderedPageBreak/>
        <w:t xml:space="preserve">Nuremberg (IMT) </w:t>
      </w:r>
      <w:r w:rsidR="00F5733E">
        <w:rPr>
          <w:rFonts w:ascii="Times New Roman" w:hAnsi="Times New Roman" w:cs="Times New Roman"/>
          <w:sz w:val="24"/>
          <w:szCs w:val="24"/>
          <w:lang w:val="en-US"/>
        </w:rPr>
        <w:t xml:space="preserve">in 1945–46 </w:t>
      </w:r>
      <w:r w:rsidRPr="00083793">
        <w:rPr>
          <w:rFonts w:ascii="Times New Roman" w:hAnsi="Times New Roman" w:cs="Times New Roman"/>
          <w:sz w:val="24"/>
          <w:szCs w:val="24"/>
          <w:lang w:val="en-US"/>
        </w:rPr>
        <w:t>to the present day ICC, ha</w:t>
      </w:r>
      <w:r w:rsidR="00BD5796">
        <w:rPr>
          <w:rFonts w:ascii="Times New Roman" w:hAnsi="Times New Roman" w:cs="Times New Roman"/>
          <w:sz w:val="24"/>
          <w:szCs w:val="24"/>
          <w:lang w:val="en-US"/>
        </w:rPr>
        <w:t>s</w:t>
      </w:r>
      <w:r w:rsidRPr="00083793">
        <w:rPr>
          <w:rFonts w:ascii="Times New Roman" w:hAnsi="Times New Roman" w:cs="Times New Roman"/>
          <w:sz w:val="24"/>
          <w:szCs w:val="24"/>
          <w:lang w:val="en-US"/>
        </w:rPr>
        <w:t xml:space="preserve"> made an important contribution to ending impunity for heritage destruction, and h</w:t>
      </w:r>
      <w:r w:rsidR="00630700">
        <w:rPr>
          <w:rFonts w:ascii="Times New Roman" w:hAnsi="Times New Roman" w:cs="Times New Roman"/>
          <w:sz w:val="24"/>
          <w:szCs w:val="24"/>
          <w:lang w:val="en-US"/>
        </w:rPr>
        <w:t>a</w:t>
      </w:r>
      <w:r w:rsidR="00E54C95">
        <w:rPr>
          <w:rFonts w:ascii="Times New Roman" w:hAnsi="Times New Roman" w:cs="Times New Roman"/>
          <w:sz w:val="24"/>
          <w:szCs w:val="24"/>
          <w:lang w:val="en-US"/>
        </w:rPr>
        <w:t>s</w:t>
      </w:r>
      <w:r w:rsidRPr="00083793">
        <w:rPr>
          <w:rFonts w:ascii="Times New Roman" w:hAnsi="Times New Roman" w:cs="Times New Roman"/>
          <w:sz w:val="24"/>
          <w:szCs w:val="24"/>
          <w:lang w:val="en-US"/>
        </w:rPr>
        <w:t xml:space="preserve"> significantly advanced the development of international law in this area. </w:t>
      </w:r>
    </w:p>
    <w:p w14:paraId="5928D4A6" w14:textId="5691AEBB" w:rsidR="006A3999" w:rsidRPr="00083793" w:rsidRDefault="006A3999" w:rsidP="00A02D5C">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This chapter offers an account of the history of international criminal l</w:t>
      </w:r>
      <w:r w:rsidR="009D4096">
        <w:rPr>
          <w:rFonts w:ascii="Times New Roman" w:hAnsi="Times New Roman" w:cs="Times New Roman"/>
          <w:sz w:val="24"/>
          <w:szCs w:val="24"/>
          <w:lang w:val="en-US"/>
        </w:rPr>
        <w:t>egal</w:t>
      </w:r>
      <w:r w:rsidRPr="00083793">
        <w:rPr>
          <w:rFonts w:ascii="Times New Roman" w:hAnsi="Times New Roman" w:cs="Times New Roman"/>
          <w:sz w:val="24"/>
          <w:szCs w:val="24"/>
          <w:lang w:val="en-US"/>
        </w:rPr>
        <w:t xml:space="preserve"> efforts to prosecute heritage destruction. In doing so, it reflects on significant jurisprudential milestones, and the manner in which the law in this area has evolved from the post</w:t>
      </w:r>
      <w:r w:rsidR="00EC7182">
        <w:rPr>
          <w:rFonts w:ascii="Times New Roman" w:hAnsi="Times New Roman" w:cs="Times New Roman"/>
          <w:sz w:val="24"/>
          <w:szCs w:val="24"/>
          <w:lang w:val="en-US"/>
        </w:rPr>
        <w:t>–</w:t>
      </w:r>
      <w:r w:rsidRPr="00083793">
        <w:rPr>
          <w:rFonts w:ascii="Times New Roman" w:hAnsi="Times New Roman" w:cs="Times New Roman"/>
          <w:sz w:val="24"/>
          <w:szCs w:val="24"/>
          <w:lang w:val="en-US"/>
        </w:rPr>
        <w:t>World War I era, through to the contemporary developments before the ICC</w:t>
      </w:r>
      <w:r w:rsidR="000523C6">
        <w:rPr>
          <w:rFonts w:ascii="Times New Roman" w:hAnsi="Times New Roman" w:cs="Times New Roman"/>
          <w:sz w:val="24"/>
          <w:szCs w:val="24"/>
          <w:lang w:val="en-US"/>
        </w:rPr>
        <w:t xml:space="preserve">, </w:t>
      </w:r>
      <w:r w:rsidR="001E013A">
        <w:rPr>
          <w:rFonts w:ascii="Times New Roman" w:hAnsi="Times New Roman" w:cs="Times New Roman"/>
          <w:sz w:val="24"/>
          <w:szCs w:val="24"/>
          <w:lang w:val="en-US"/>
        </w:rPr>
        <w:t xml:space="preserve">in order </w:t>
      </w:r>
      <w:r w:rsidR="000523C6">
        <w:rPr>
          <w:rFonts w:ascii="Times New Roman" w:hAnsi="Times New Roman" w:cs="Times New Roman"/>
          <w:sz w:val="24"/>
          <w:szCs w:val="24"/>
          <w:lang w:val="en-US"/>
        </w:rPr>
        <w:t xml:space="preserve">to demonstrate </w:t>
      </w:r>
      <w:r w:rsidRPr="00083793">
        <w:rPr>
          <w:rFonts w:ascii="Times New Roman" w:hAnsi="Times New Roman" w:cs="Times New Roman"/>
          <w:sz w:val="24"/>
          <w:szCs w:val="24"/>
          <w:lang w:val="en-US"/>
        </w:rPr>
        <w:t xml:space="preserve">the significance of this body of jurisprudence and its future potential. </w:t>
      </w:r>
    </w:p>
    <w:p w14:paraId="1324615D" w14:textId="77777777" w:rsidR="00545225" w:rsidRPr="00083793" w:rsidRDefault="00545225" w:rsidP="00016FD4">
      <w:pPr>
        <w:spacing w:after="0" w:line="480" w:lineRule="auto"/>
        <w:contextualSpacing/>
        <w:rPr>
          <w:rFonts w:ascii="Times New Roman" w:hAnsi="Times New Roman" w:cs="Times New Roman"/>
          <w:b/>
          <w:sz w:val="24"/>
          <w:szCs w:val="24"/>
          <w:lang w:val="en-US"/>
        </w:rPr>
      </w:pPr>
    </w:p>
    <w:p w14:paraId="0E72CB8F" w14:textId="5303ECB4" w:rsidR="006A3999" w:rsidRPr="00083793" w:rsidRDefault="006A3999" w:rsidP="00A02D5C">
      <w:pPr>
        <w:pStyle w:val="Heading2"/>
        <w:rPr>
          <w:b/>
          <w:lang w:val="en-US"/>
        </w:rPr>
      </w:pPr>
      <w:r w:rsidRPr="00083793">
        <w:rPr>
          <w:lang w:val="en-US"/>
        </w:rPr>
        <w:t xml:space="preserve">The Origins </w:t>
      </w:r>
      <w:r w:rsidR="00545225" w:rsidRPr="00083793">
        <w:rPr>
          <w:lang w:val="en-US"/>
        </w:rPr>
        <w:t>o</w:t>
      </w:r>
      <w:r w:rsidRPr="00083793">
        <w:rPr>
          <w:lang w:val="en-US"/>
        </w:rPr>
        <w:t xml:space="preserve">f International Criminal Accountability </w:t>
      </w:r>
      <w:r w:rsidR="00545225" w:rsidRPr="00083793">
        <w:rPr>
          <w:lang w:val="en-US"/>
        </w:rPr>
        <w:t>f</w:t>
      </w:r>
      <w:r w:rsidRPr="00083793">
        <w:rPr>
          <w:lang w:val="en-US"/>
        </w:rPr>
        <w:t>or Heritage Destruction</w:t>
      </w:r>
    </w:p>
    <w:p w14:paraId="64F7EBF6" w14:textId="09AB9366" w:rsidR="006A3999" w:rsidRPr="00083793" w:rsidRDefault="006A3999" w:rsidP="00016FD4">
      <w:pPr>
        <w:spacing w:after="0" w:line="480" w:lineRule="auto"/>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The prohibition of the intentional, wanton destruction of tangible cultural heritage has an unimpeachable pedigree as one of the founding principles of the law of armed conflict. The Lieber Code</w:t>
      </w:r>
      <w:r w:rsidR="00EB402C">
        <w:rPr>
          <w:rFonts w:ascii="Times New Roman" w:hAnsi="Times New Roman" w:cs="Times New Roman"/>
          <w:sz w:val="24"/>
          <w:szCs w:val="24"/>
          <w:lang w:val="en-US"/>
        </w:rPr>
        <w:t xml:space="preserve"> of 1863</w:t>
      </w:r>
      <w:r w:rsidRPr="00083793">
        <w:rPr>
          <w:rFonts w:ascii="Times New Roman" w:hAnsi="Times New Roman" w:cs="Times New Roman"/>
          <w:sz w:val="24"/>
          <w:szCs w:val="24"/>
          <w:lang w:val="en-US"/>
        </w:rPr>
        <w:t xml:space="preserve">, the Union Army and </w:t>
      </w:r>
      <w:r w:rsidR="00F43498">
        <w:rPr>
          <w:rFonts w:ascii="Times New Roman" w:hAnsi="Times New Roman" w:cs="Times New Roman"/>
          <w:sz w:val="24"/>
          <w:szCs w:val="24"/>
          <w:lang w:val="en-US"/>
        </w:rPr>
        <w:t xml:space="preserve">President </w:t>
      </w:r>
      <w:r w:rsidRPr="00083793">
        <w:rPr>
          <w:rFonts w:ascii="Times New Roman" w:hAnsi="Times New Roman" w:cs="Times New Roman"/>
          <w:sz w:val="24"/>
          <w:szCs w:val="24"/>
          <w:lang w:val="en-US"/>
        </w:rPr>
        <w:t xml:space="preserve">Abraham Lincoln’s laudable, if admittedly naïve, attempt to limit the ravages of the American Civil War, precipitated a paradigm shift away from the mere moral condemnation of the destruction and appropriation of cultural property toward express legal proscription. Article 35 of the </w:t>
      </w:r>
      <w:r w:rsidR="00E67932">
        <w:rPr>
          <w:rFonts w:ascii="Times New Roman" w:hAnsi="Times New Roman" w:cs="Times New Roman"/>
          <w:sz w:val="24"/>
          <w:szCs w:val="24"/>
          <w:lang w:val="en-US"/>
        </w:rPr>
        <w:t>c</w:t>
      </w:r>
      <w:r w:rsidRPr="00083793">
        <w:rPr>
          <w:rFonts w:ascii="Times New Roman" w:hAnsi="Times New Roman" w:cs="Times New Roman"/>
          <w:sz w:val="24"/>
          <w:szCs w:val="24"/>
          <w:lang w:val="en-US"/>
        </w:rPr>
        <w:t>ode is unambiguous: “</w:t>
      </w:r>
      <w:r w:rsidR="00E67932">
        <w:rPr>
          <w:rFonts w:ascii="Times New Roman" w:hAnsi="Times New Roman" w:cs="Times New Roman"/>
          <w:sz w:val="24"/>
          <w:szCs w:val="24"/>
          <w:lang w:val="en-US"/>
        </w:rPr>
        <w:t>C</w:t>
      </w:r>
      <w:r w:rsidRPr="00083793">
        <w:rPr>
          <w:rFonts w:ascii="Times New Roman" w:hAnsi="Times New Roman" w:cs="Times New Roman"/>
          <w:sz w:val="24"/>
          <w:szCs w:val="24"/>
          <w:lang w:val="en-US"/>
        </w:rPr>
        <w:t>lassical works of art, libraries, scientific collections, or precious instruments … must be secured against all avoidable injury, even when they are contained in fortified places whilst besieged or bombarded</w:t>
      </w:r>
      <w:r w:rsidR="00EC7182">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The prescriptive, deterrent objective of the </w:t>
      </w:r>
      <w:r w:rsidR="00FA03CE">
        <w:rPr>
          <w:rFonts w:ascii="Times New Roman" w:hAnsi="Times New Roman" w:cs="Times New Roman"/>
          <w:sz w:val="24"/>
          <w:szCs w:val="24"/>
          <w:lang w:val="en-US"/>
        </w:rPr>
        <w:t>c</w:t>
      </w:r>
      <w:r w:rsidRPr="00083793">
        <w:rPr>
          <w:rFonts w:ascii="Times New Roman" w:hAnsi="Times New Roman" w:cs="Times New Roman"/>
          <w:sz w:val="24"/>
          <w:szCs w:val="24"/>
          <w:lang w:val="en-US"/>
        </w:rPr>
        <w:t>ode is reflected in Article 44</w:t>
      </w:r>
      <w:r w:rsidR="00FA03CE">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which makes clear that the intent was not only to prohibit such conduct, but to actively ascribe a penal basis for individual responsibility.</w:t>
      </w:r>
      <w:r w:rsidRPr="00083793">
        <w:rPr>
          <w:rStyle w:val="EndnoteReference"/>
          <w:rFonts w:ascii="Times New Roman" w:hAnsi="Times New Roman" w:cs="Times New Roman"/>
          <w:sz w:val="24"/>
          <w:szCs w:val="24"/>
          <w:lang w:val="en-US"/>
        </w:rPr>
        <w:endnoteReference w:id="2"/>
      </w:r>
      <w:r w:rsidRPr="00083793">
        <w:rPr>
          <w:rFonts w:ascii="Times New Roman" w:hAnsi="Times New Roman" w:cs="Times New Roman"/>
          <w:sz w:val="24"/>
          <w:szCs w:val="24"/>
          <w:lang w:val="en-US"/>
        </w:rPr>
        <w:t xml:space="preserve"> </w:t>
      </w:r>
    </w:p>
    <w:p w14:paraId="1624335B" w14:textId="61E18749" w:rsidR="006A3999" w:rsidRPr="00083793" w:rsidRDefault="006A3999" w:rsidP="00016FD4">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While law and practice often offer disparate narratives</w:t>
      </w:r>
      <w:r w:rsidR="00C1385A" w:rsidRPr="00083793">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there is little to suggest that any member of the Union Army was in fact punished for </w:t>
      </w:r>
      <w:r w:rsidR="00416F5F">
        <w:rPr>
          <w:rFonts w:ascii="Times New Roman" w:hAnsi="Times New Roman" w:cs="Times New Roman"/>
          <w:sz w:val="24"/>
          <w:szCs w:val="24"/>
          <w:lang w:val="en-US"/>
        </w:rPr>
        <w:t xml:space="preserve">cultural </w:t>
      </w:r>
      <w:r w:rsidRPr="00083793">
        <w:rPr>
          <w:rFonts w:ascii="Times New Roman" w:hAnsi="Times New Roman" w:cs="Times New Roman"/>
          <w:sz w:val="24"/>
          <w:szCs w:val="24"/>
          <w:lang w:val="en-US"/>
        </w:rPr>
        <w:t xml:space="preserve">heritage </w:t>
      </w:r>
      <w:r w:rsidRPr="00083793">
        <w:rPr>
          <w:rFonts w:ascii="Times New Roman" w:hAnsi="Times New Roman" w:cs="Times New Roman"/>
          <w:sz w:val="24"/>
          <w:szCs w:val="24"/>
          <w:lang w:val="en-US"/>
        </w:rPr>
        <w:lastRenderedPageBreak/>
        <w:t>destruction</w:t>
      </w:r>
      <w:r w:rsidR="00C1385A" w:rsidRPr="00083793">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the influence of the </w:t>
      </w:r>
      <w:r w:rsidR="00D35CC5" w:rsidRPr="00083793">
        <w:rPr>
          <w:rFonts w:ascii="Times New Roman" w:hAnsi="Times New Roman" w:cs="Times New Roman"/>
          <w:sz w:val="24"/>
          <w:szCs w:val="24"/>
          <w:lang w:val="en-US"/>
        </w:rPr>
        <w:t xml:space="preserve">Lieber </w:t>
      </w:r>
      <w:r w:rsidRPr="00083793">
        <w:rPr>
          <w:rFonts w:ascii="Times New Roman" w:hAnsi="Times New Roman" w:cs="Times New Roman"/>
          <w:sz w:val="24"/>
          <w:szCs w:val="24"/>
          <w:lang w:val="en-US"/>
        </w:rPr>
        <w:t>Code on efforts aimed at codifying the laws of armed conflict at the level of international law can hardly be underestimated. However, it was</w:t>
      </w:r>
      <w:r w:rsidR="00D62213">
        <w:rPr>
          <w:rFonts w:ascii="Times New Roman" w:hAnsi="Times New Roman" w:cs="Times New Roman"/>
          <w:sz w:val="24"/>
          <w:szCs w:val="24"/>
          <w:lang w:val="en-US"/>
        </w:rPr>
        <w:t xml:space="preserve"> not</w:t>
      </w:r>
      <w:r w:rsidRPr="00083793">
        <w:rPr>
          <w:rFonts w:ascii="Times New Roman" w:hAnsi="Times New Roman" w:cs="Times New Roman"/>
          <w:sz w:val="24"/>
          <w:szCs w:val="24"/>
          <w:lang w:val="en-US"/>
        </w:rPr>
        <w:t xml:space="preserve"> until the adoption of </w:t>
      </w:r>
      <w:r w:rsidR="00D62213">
        <w:rPr>
          <w:rFonts w:ascii="Times New Roman" w:hAnsi="Times New Roman" w:cs="Times New Roman"/>
          <w:sz w:val="24"/>
          <w:szCs w:val="24"/>
          <w:lang w:val="en-US"/>
        </w:rPr>
        <w:t>t</w:t>
      </w:r>
      <w:r w:rsidRPr="00083793">
        <w:rPr>
          <w:rFonts w:ascii="Times New Roman" w:hAnsi="Times New Roman" w:cs="Times New Roman"/>
          <w:sz w:val="24"/>
          <w:szCs w:val="24"/>
          <w:lang w:val="en-US"/>
        </w:rPr>
        <w:t xml:space="preserve">he Hague Conventions and </w:t>
      </w:r>
      <w:r w:rsidR="00D62213">
        <w:rPr>
          <w:rFonts w:ascii="Times New Roman" w:hAnsi="Times New Roman" w:cs="Times New Roman"/>
          <w:sz w:val="24"/>
          <w:szCs w:val="24"/>
          <w:lang w:val="en-US"/>
        </w:rPr>
        <w:t>a</w:t>
      </w:r>
      <w:r w:rsidRPr="00083793">
        <w:rPr>
          <w:rFonts w:ascii="Times New Roman" w:hAnsi="Times New Roman" w:cs="Times New Roman"/>
          <w:sz w:val="24"/>
          <w:szCs w:val="24"/>
          <w:lang w:val="en-US"/>
        </w:rPr>
        <w:t xml:space="preserve">nnexed </w:t>
      </w:r>
      <w:r w:rsidR="00D62213">
        <w:rPr>
          <w:rFonts w:ascii="Times New Roman" w:hAnsi="Times New Roman" w:cs="Times New Roman"/>
          <w:sz w:val="24"/>
          <w:szCs w:val="24"/>
          <w:lang w:val="en-US"/>
        </w:rPr>
        <w:t>r</w:t>
      </w:r>
      <w:r w:rsidRPr="00083793">
        <w:rPr>
          <w:rFonts w:ascii="Times New Roman" w:hAnsi="Times New Roman" w:cs="Times New Roman"/>
          <w:sz w:val="24"/>
          <w:szCs w:val="24"/>
          <w:lang w:val="en-US"/>
        </w:rPr>
        <w:t>egulations of 1899 and 1907 (</w:t>
      </w:r>
      <w:r w:rsidR="0023168C">
        <w:rPr>
          <w:rFonts w:ascii="Times New Roman" w:hAnsi="Times New Roman" w:cs="Times New Roman"/>
          <w:sz w:val="24"/>
          <w:szCs w:val="24"/>
          <w:lang w:val="en-US"/>
        </w:rPr>
        <w:t>the “</w:t>
      </w:r>
      <w:r w:rsidRPr="00083793">
        <w:rPr>
          <w:rFonts w:ascii="Times New Roman" w:hAnsi="Times New Roman" w:cs="Times New Roman"/>
          <w:sz w:val="24"/>
          <w:szCs w:val="24"/>
          <w:lang w:val="en-US"/>
        </w:rPr>
        <w:t>Hague Rules</w:t>
      </w:r>
      <w:r w:rsidR="0023168C">
        <w:rPr>
          <w:rFonts w:ascii="Times New Roman" w:hAnsi="Times New Roman" w:cs="Times New Roman"/>
          <w:sz w:val="24"/>
          <w:szCs w:val="24"/>
          <w:lang w:val="en-US"/>
        </w:rPr>
        <w:t>”</w:t>
      </w:r>
      <w:r w:rsidRPr="00083793">
        <w:rPr>
          <w:rFonts w:ascii="Times New Roman" w:hAnsi="Times New Roman" w:cs="Times New Roman"/>
          <w:sz w:val="24"/>
          <w:szCs w:val="24"/>
          <w:lang w:val="en-US"/>
        </w:rPr>
        <w:t>), that the protection of tangible cultural heritage in armed conflict was codified in the form of binding international rules.</w:t>
      </w:r>
      <w:r w:rsidR="006509FF">
        <w:rPr>
          <w:rStyle w:val="EndnoteReference"/>
          <w:rFonts w:ascii="Times New Roman" w:hAnsi="Times New Roman" w:cs="Times New Roman"/>
          <w:sz w:val="24"/>
          <w:szCs w:val="24"/>
          <w:lang w:val="en-US"/>
        </w:rPr>
        <w:endnoteReference w:id="3"/>
      </w:r>
      <w:r w:rsidRPr="00083793">
        <w:rPr>
          <w:rFonts w:ascii="Times New Roman" w:hAnsi="Times New Roman" w:cs="Times New Roman"/>
          <w:sz w:val="24"/>
          <w:szCs w:val="24"/>
          <w:lang w:val="en-US"/>
        </w:rPr>
        <w:t xml:space="preserve"> While Articles 27 and 56 of </w:t>
      </w:r>
      <w:r w:rsidR="00145E2B">
        <w:rPr>
          <w:rFonts w:ascii="Times New Roman" w:hAnsi="Times New Roman" w:cs="Times New Roman"/>
          <w:sz w:val="24"/>
          <w:szCs w:val="24"/>
          <w:lang w:val="en-US"/>
        </w:rPr>
        <w:t xml:space="preserve">the </w:t>
      </w:r>
      <w:r w:rsidR="00C40F43">
        <w:rPr>
          <w:rFonts w:ascii="Times New Roman" w:hAnsi="Times New Roman" w:cs="Times New Roman"/>
          <w:sz w:val="24"/>
          <w:szCs w:val="24"/>
          <w:lang w:val="en-US"/>
        </w:rPr>
        <w:t xml:space="preserve">1907 </w:t>
      </w:r>
      <w:r w:rsidRPr="00083793">
        <w:rPr>
          <w:rFonts w:ascii="Times New Roman" w:hAnsi="Times New Roman" w:cs="Times New Roman"/>
          <w:sz w:val="24"/>
          <w:szCs w:val="24"/>
          <w:lang w:val="en-US"/>
        </w:rPr>
        <w:t xml:space="preserve">Hague </w:t>
      </w:r>
      <w:r w:rsidR="00E12642">
        <w:rPr>
          <w:rFonts w:ascii="Times New Roman" w:hAnsi="Times New Roman" w:cs="Times New Roman"/>
          <w:sz w:val="24"/>
          <w:szCs w:val="24"/>
          <w:lang w:val="en-US"/>
        </w:rPr>
        <w:t>Conventi</w:t>
      </w:r>
      <w:r w:rsidR="00145E2B">
        <w:rPr>
          <w:rFonts w:ascii="Times New Roman" w:hAnsi="Times New Roman" w:cs="Times New Roman"/>
          <w:sz w:val="24"/>
          <w:szCs w:val="24"/>
          <w:lang w:val="en-US"/>
        </w:rPr>
        <w:t>on</w:t>
      </w:r>
      <w:r w:rsidR="00E12642">
        <w:rPr>
          <w:rFonts w:ascii="Times New Roman" w:hAnsi="Times New Roman" w:cs="Times New Roman"/>
          <w:sz w:val="24"/>
          <w:szCs w:val="24"/>
          <w:lang w:val="en-US"/>
        </w:rPr>
        <w:t xml:space="preserve"> IV </w:t>
      </w:r>
      <w:r w:rsidR="00145E2B">
        <w:rPr>
          <w:rFonts w:ascii="Times New Roman" w:hAnsi="Times New Roman" w:cs="Times New Roman"/>
          <w:sz w:val="24"/>
          <w:szCs w:val="24"/>
          <w:lang w:val="en-US"/>
        </w:rPr>
        <w:t xml:space="preserve">regulations </w:t>
      </w:r>
      <w:r w:rsidRPr="00083793">
        <w:rPr>
          <w:rFonts w:ascii="Times New Roman" w:hAnsi="Times New Roman" w:cs="Times New Roman"/>
          <w:sz w:val="24"/>
          <w:szCs w:val="24"/>
          <w:lang w:val="en-US"/>
        </w:rPr>
        <w:t>provide for minimum protections for immovable cultural objects (subject to considerations of military necessity) in the context of the conduct of hostilities and situations of occupation</w:t>
      </w:r>
      <w:r w:rsidR="006C2D54">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respectively, the question of the specific applicability of individual criminal responsibility remained ambiguous, not to say controversial. Article 56 adopted verbatim the text of Article 8 of the </w:t>
      </w:r>
      <w:r w:rsidR="009028A4">
        <w:rPr>
          <w:rFonts w:ascii="Times New Roman" w:hAnsi="Times New Roman" w:cs="Times New Roman"/>
          <w:sz w:val="24"/>
          <w:szCs w:val="24"/>
          <w:lang w:val="en-US"/>
        </w:rPr>
        <w:t xml:space="preserve">1874 </w:t>
      </w:r>
      <w:r w:rsidRPr="00083793">
        <w:rPr>
          <w:rFonts w:ascii="Times New Roman" w:hAnsi="Times New Roman" w:cs="Times New Roman"/>
          <w:sz w:val="24"/>
          <w:szCs w:val="24"/>
          <w:lang w:val="en-US"/>
        </w:rPr>
        <w:t>Brussels Declaration</w:t>
      </w:r>
      <w:r w:rsidR="009F2ECC">
        <w:rPr>
          <w:rStyle w:val="EndnoteReference"/>
          <w:rFonts w:ascii="Times New Roman" w:hAnsi="Times New Roman" w:cs="Times New Roman"/>
          <w:sz w:val="24"/>
          <w:szCs w:val="24"/>
          <w:lang w:val="en-US"/>
        </w:rPr>
        <w:endnoteReference w:id="4"/>
      </w:r>
      <w:r w:rsidRPr="00083793">
        <w:rPr>
          <w:rFonts w:ascii="Times New Roman" w:hAnsi="Times New Roman" w:cs="Times New Roman"/>
          <w:sz w:val="24"/>
          <w:szCs w:val="24"/>
          <w:lang w:val="en-US"/>
        </w:rPr>
        <w:t xml:space="preserve"> to the effect that all acts of seizure, destruction</w:t>
      </w:r>
      <w:r w:rsidR="00E66677">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or willful damage, “be made the subject of legal proceedings</w:t>
      </w:r>
      <w:r w:rsidR="00B0666C">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w:t>
      </w:r>
      <w:r w:rsidR="00B0666C">
        <w:rPr>
          <w:rFonts w:ascii="Times New Roman" w:hAnsi="Times New Roman" w:cs="Times New Roman"/>
          <w:sz w:val="24"/>
          <w:szCs w:val="24"/>
          <w:lang w:val="en-US"/>
        </w:rPr>
        <w:t xml:space="preserve">but </w:t>
      </w:r>
      <w:r w:rsidRPr="00083793">
        <w:rPr>
          <w:rFonts w:ascii="Times New Roman" w:hAnsi="Times New Roman" w:cs="Times New Roman"/>
          <w:sz w:val="24"/>
          <w:szCs w:val="24"/>
          <w:lang w:val="en-US"/>
        </w:rPr>
        <w:t xml:space="preserve">the suggestion that this implied the imposition of individual criminal responsibility was contestable. </w:t>
      </w:r>
    </w:p>
    <w:p w14:paraId="05D2EE9F" w14:textId="41E2072F" w:rsidR="006A3999" w:rsidRPr="00083793" w:rsidRDefault="006A3999" w:rsidP="00016FD4">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 xml:space="preserve">The opaque threat of criminal sanction contained in the Hague Rules clearly </w:t>
      </w:r>
      <w:r w:rsidR="00635D00">
        <w:rPr>
          <w:rFonts w:ascii="Times New Roman" w:hAnsi="Times New Roman" w:cs="Times New Roman"/>
          <w:sz w:val="24"/>
          <w:szCs w:val="24"/>
          <w:lang w:val="en-US"/>
        </w:rPr>
        <w:t>did</w:t>
      </w:r>
      <w:r w:rsidR="00635D00" w:rsidRPr="00083793">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 xml:space="preserve">little </w:t>
      </w:r>
      <w:r w:rsidR="00635D00">
        <w:rPr>
          <w:rFonts w:ascii="Times New Roman" w:hAnsi="Times New Roman" w:cs="Times New Roman"/>
          <w:sz w:val="24"/>
          <w:szCs w:val="24"/>
          <w:lang w:val="en-US"/>
        </w:rPr>
        <w:t xml:space="preserve">to </w:t>
      </w:r>
      <w:r w:rsidRPr="00083793">
        <w:rPr>
          <w:rFonts w:ascii="Times New Roman" w:hAnsi="Times New Roman" w:cs="Times New Roman"/>
          <w:sz w:val="24"/>
          <w:szCs w:val="24"/>
          <w:lang w:val="en-US"/>
        </w:rPr>
        <w:t xml:space="preserve">curtail the rampant destruction of cultural heritage characteristic of World War I. Wanton destruction of precious cultural </w:t>
      </w:r>
      <w:r w:rsidR="00491B89">
        <w:rPr>
          <w:rFonts w:ascii="Times New Roman" w:hAnsi="Times New Roman" w:cs="Times New Roman"/>
          <w:sz w:val="24"/>
          <w:szCs w:val="24"/>
          <w:lang w:val="en-US"/>
        </w:rPr>
        <w:t xml:space="preserve">heritage </w:t>
      </w:r>
      <w:r w:rsidRPr="00083793">
        <w:rPr>
          <w:rFonts w:ascii="Times New Roman" w:hAnsi="Times New Roman" w:cs="Times New Roman"/>
          <w:sz w:val="24"/>
          <w:szCs w:val="24"/>
          <w:lang w:val="en-US"/>
        </w:rPr>
        <w:t xml:space="preserve">sites exemplified </w:t>
      </w:r>
      <w:r w:rsidR="00491B89">
        <w:rPr>
          <w:rFonts w:ascii="Times New Roman" w:hAnsi="Times New Roman" w:cs="Times New Roman"/>
          <w:sz w:val="24"/>
          <w:szCs w:val="24"/>
          <w:lang w:val="en-US"/>
        </w:rPr>
        <w:t>by</w:t>
      </w:r>
      <w:r w:rsidRPr="00083793">
        <w:rPr>
          <w:rFonts w:ascii="Times New Roman" w:hAnsi="Times New Roman" w:cs="Times New Roman"/>
          <w:sz w:val="24"/>
          <w:szCs w:val="24"/>
          <w:lang w:val="en-US"/>
        </w:rPr>
        <w:t xml:space="preserve"> the infamous burning of the library of the Catholic University of Louvain</w:t>
      </w:r>
      <w:r w:rsidR="00E66677">
        <w:rPr>
          <w:rFonts w:ascii="Times New Roman" w:hAnsi="Times New Roman" w:cs="Times New Roman"/>
          <w:sz w:val="24"/>
          <w:szCs w:val="24"/>
          <w:lang w:val="en-US"/>
        </w:rPr>
        <w:t xml:space="preserve"> and </w:t>
      </w:r>
      <w:r w:rsidRPr="00083793">
        <w:rPr>
          <w:rFonts w:ascii="Times New Roman" w:hAnsi="Times New Roman" w:cs="Times New Roman"/>
          <w:sz w:val="24"/>
          <w:szCs w:val="24"/>
          <w:lang w:val="en-US"/>
        </w:rPr>
        <w:t xml:space="preserve">the razing of the Cloth Hall at Ypres, </w:t>
      </w:r>
      <w:r w:rsidR="00E66677">
        <w:rPr>
          <w:rFonts w:ascii="Times New Roman" w:hAnsi="Times New Roman" w:cs="Times New Roman"/>
          <w:sz w:val="24"/>
          <w:szCs w:val="24"/>
          <w:lang w:val="en-US"/>
        </w:rPr>
        <w:t xml:space="preserve">both in Belgium, and </w:t>
      </w:r>
      <w:r w:rsidR="00E66677" w:rsidRPr="00083793">
        <w:rPr>
          <w:rFonts w:ascii="Times New Roman" w:hAnsi="Times New Roman" w:cs="Times New Roman"/>
          <w:sz w:val="24"/>
          <w:szCs w:val="24"/>
          <w:lang w:val="en-US"/>
        </w:rPr>
        <w:t xml:space="preserve">the bombardment of the cathedral </w:t>
      </w:r>
      <w:r w:rsidR="00BE0FC5">
        <w:rPr>
          <w:rFonts w:ascii="Times New Roman" w:hAnsi="Times New Roman" w:cs="Times New Roman"/>
          <w:sz w:val="24"/>
          <w:szCs w:val="24"/>
          <w:lang w:val="en-US"/>
        </w:rPr>
        <w:t xml:space="preserve">in </w:t>
      </w:r>
      <w:r w:rsidR="00E66677" w:rsidRPr="00083793">
        <w:rPr>
          <w:rFonts w:ascii="Times New Roman" w:hAnsi="Times New Roman" w:cs="Times New Roman"/>
          <w:sz w:val="24"/>
          <w:szCs w:val="24"/>
          <w:lang w:val="en-US"/>
        </w:rPr>
        <w:t xml:space="preserve">Rheims, </w:t>
      </w:r>
      <w:r w:rsidR="00E66677">
        <w:rPr>
          <w:rFonts w:ascii="Times New Roman" w:hAnsi="Times New Roman" w:cs="Times New Roman"/>
          <w:sz w:val="24"/>
          <w:szCs w:val="24"/>
          <w:lang w:val="en-US"/>
        </w:rPr>
        <w:t xml:space="preserve">France </w:t>
      </w:r>
      <w:r w:rsidRPr="00083793">
        <w:rPr>
          <w:rFonts w:ascii="Times New Roman" w:hAnsi="Times New Roman" w:cs="Times New Roman"/>
          <w:sz w:val="24"/>
          <w:szCs w:val="24"/>
          <w:lang w:val="en-US"/>
        </w:rPr>
        <w:t xml:space="preserve">were contemporaneously held up as emblems of the indiscriminate barbarity of German </w:t>
      </w:r>
      <w:r w:rsidR="00491B89">
        <w:rPr>
          <w:rFonts w:ascii="Times New Roman" w:hAnsi="Times New Roman" w:cs="Times New Roman"/>
          <w:sz w:val="24"/>
          <w:szCs w:val="24"/>
          <w:lang w:val="en-US"/>
        </w:rPr>
        <w:t xml:space="preserve">military </w:t>
      </w:r>
      <w:r w:rsidRPr="00083793">
        <w:rPr>
          <w:rFonts w:ascii="Times New Roman" w:hAnsi="Times New Roman" w:cs="Times New Roman"/>
          <w:sz w:val="24"/>
          <w:szCs w:val="24"/>
          <w:lang w:val="en-US"/>
        </w:rPr>
        <w:t xml:space="preserve">tactics, and have since been etched in historical memory. In the aftermath of the burning of Louvain, the British </w:t>
      </w:r>
      <w:r w:rsidR="000B2E5B">
        <w:rPr>
          <w:rFonts w:ascii="Times New Roman" w:hAnsi="Times New Roman" w:cs="Times New Roman"/>
          <w:sz w:val="24"/>
          <w:szCs w:val="24"/>
          <w:lang w:val="en-US"/>
        </w:rPr>
        <w:t>p</w:t>
      </w:r>
      <w:r w:rsidRPr="00083793">
        <w:rPr>
          <w:rFonts w:ascii="Times New Roman" w:hAnsi="Times New Roman" w:cs="Times New Roman"/>
          <w:sz w:val="24"/>
          <w:szCs w:val="24"/>
          <w:lang w:val="en-US"/>
        </w:rPr>
        <w:t xml:space="preserve">rime </w:t>
      </w:r>
      <w:r w:rsidR="000B2E5B">
        <w:rPr>
          <w:rFonts w:ascii="Times New Roman" w:hAnsi="Times New Roman" w:cs="Times New Roman"/>
          <w:sz w:val="24"/>
          <w:szCs w:val="24"/>
          <w:lang w:val="en-US"/>
        </w:rPr>
        <w:t>m</w:t>
      </w:r>
      <w:r w:rsidRPr="00083793">
        <w:rPr>
          <w:rFonts w:ascii="Times New Roman" w:hAnsi="Times New Roman" w:cs="Times New Roman"/>
          <w:sz w:val="24"/>
          <w:szCs w:val="24"/>
          <w:lang w:val="en-US"/>
        </w:rPr>
        <w:t>inister, Herbert Asquith, referred to it as “the greatest crime committed against civilization and culture since the Thirty Years’ War</w:t>
      </w:r>
      <w:r w:rsidR="00C1385A" w:rsidRPr="00083793">
        <w:rPr>
          <w:rFonts w:ascii="Times New Roman" w:hAnsi="Times New Roman" w:cs="Times New Roman"/>
          <w:sz w:val="24"/>
          <w:szCs w:val="24"/>
          <w:lang w:val="en-US"/>
        </w:rPr>
        <w:t>—</w:t>
      </w:r>
      <w:r w:rsidRPr="00083793">
        <w:rPr>
          <w:rFonts w:ascii="Times New Roman" w:hAnsi="Times New Roman" w:cs="Times New Roman"/>
          <w:sz w:val="24"/>
          <w:szCs w:val="24"/>
          <w:lang w:val="en-US"/>
        </w:rPr>
        <w:t>a shameless holocaust of irreparable treasures lit up by blind barbarian vengeance</w:t>
      </w:r>
      <w:r w:rsidR="00EC7182">
        <w:rPr>
          <w:rFonts w:ascii="Times New Roman" w:hAnsi="Times New Roman" w:cs="Times New Roman"/>
          <w:sz w:val="24"/>
          <w:szCs w:val="24"/>
          <w:lang w:val="en-US"/>
        </w:rPr>
        <w:t>.”</w:t>
      </w:r>
      <w:r w:rsidRPr="00083793">
        <w:rPr>
          <w:rStyle w:val="EndnoteReference"/>
          <w:rFonts w:ascii="Times New Roman" w:hAnsi="Times New Roman" w:cs="Times New Roman"/>
          <w:sz w:val="24"/>
          <w:szCs w:val="24"/>
          <w:lang w:val="en-US"/>
        </w:rPr>
        <w:endnoteReference w:id="5"/>
      </w:r>
      <w:r w:rsidRPr="00083793">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lastRenderedPageBreak/>
        <w:t>However, mere condemnation is a poor alternative to criminal accountability, a fact not lost on the Allied powers</w:t>
      </w:r>
      <w:r w:rsidR="006C30E0">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who</w:t>
      </w:r>
      <w:r w:rsidR="006C30E0">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in the context of the plenary meeting of the Preliminary Peace Conference convened in Paris in January 1919, established </w:t>
      </w:r>
      <w:r w:rsidR="00574326">
        <w:rPr>
          <w:rFonts w:ascii="Times New Roman" w:hAnsi="Times New Roman" w:cs="Times New Roman"/>
          <w:sz w:val="24"/>
          <w:szCs w:val="24"/>
          <w:lang w:val="en-US"/>
        </w:rPr>
        <w:t>a</w:t>
      </w:r>
      <w:r w:rsidR="00574326" w:rsidRPr="00083793">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 xml:space="preserve">Commission on the Responsibility of the Authors of the War and on Enforcement of Penalties. </w:t>
      </w:r>
    </w:p>
    <w:p w14:paraId="081904F5" w14:textId="0CF14B88" w:rsidR="006A3999" w:rsidRPr="00083793" w:rsidRDefault="006A3999" w:rsidP="00016FD4">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 xml:space="preserve">The wide-ranging mandate of the </w:t>
      </w:r>
      <w:r w:rsidR="009A103F">
        <w:rPr>
          <w:rFonts w:ascii="Times New Roman" w:hAnsi="Times New Roman" w:cs="Times New Roman"/>
          <w:sz w:val="24"/>
          <w:szCs w:val="24"/>
          <w:lang w:val="en-US"/>
        </w:rPr>
        <w:t>c</w:t>
      </w:r>
      <w:r w:rsidRPr="00083793">
        <w:rPr>
          <w:rFonts w:ascii="Times New Roman" w:hAnsi="Times New Roman" w:cs="Times New Roman"/>
          <w:sz w:val="24"/>
          <w:szCs w:val="24"/>
          <w:lang w:val="en-US"/>
        </w:rPr>
        <w:t>ommission included ascertainment of “the facts as to breaches of the laws and customs of war</w:t>
      </w:r>
      <w:r w:rsidR="00EC7182">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and determination of “the constitution and procedure of a tribunal appropriate for the trial of these offences</w:t>
      </w:r>
      <w:r w:rsidR="00EC7182">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What we witness in the mandate of the </w:t>
      </w:r>
      <w:r w:rsidR="009A103F">
        <w:rPr>
          <w:rFonts w:ascii="Times New Roman" w:hAnsi="Times New Roman" w:cs="Times New Roman"/>
          <w:sz w:val="24"/>
          <w:szCs w:val="24"/>
          <w:lang w:val="en-US"/>
        </w:rPr>
        <w:t>c</w:t>
      </w:r>
      <w:r w:rsidRPr="00083793">
        <w:rPr>
          <w:rFonts w:ascii="Times New Roman" w:hAnsi="Times New Roman" w:cs="Times New Roman"/>
          <w:sz w:val="24"/>
          <w:szCs w:val="24"/>
          <w:lang w:val="en-US"/>
        </w:rPr>
        <w:t xml:space="preserve">ommission is the first meaningful elaboration of the very </w:t>
      </w:r>
      <w:r w:rsidR="002A2087">
        <w:rPr>
          <w:rFonts w:ascii="Times New Roman" w:hAnsi="Times New Roman" w:cs="Times New Roman"/>
          <w:sz w:val="24"/>
          <w:szCs w:val="24"/>
          <w:lang w:val="en-US"/>
        </w:rPr>
        <w:t>idea</w:t>
      </w:r>
      <w:r w:rsidRPr="00083793">
        <w:rPr>
          <w:rFonts w:ascii="Times New Roman" w:hAnsi="Times New Roman" w:cs="Times New Roman"/>
          <w:sz w:val="24"/>
          <w:szCs w:val="24"/>
          <w:lang w:val="en-US"/>
        </w:rPr>
        <w:t xml:space="preserve"> of international criminal justice, and in particular that violations of the laws and customs of war entail individual criminal responsibility prosecutable before a dedicated international tribunal. Sub-Commission III was tasked with drafting a list of </w:t>
      </w:r>
      <w:r w:rsidR="009F7085">
        <w:rPr>
          <w:rFonts w:ascii="Times New Roman" w:hAnsi="Times New Roman" w:cs="Times New Roman"/>
          <w:sz w:val="24"/>
          <w:szCs w:val="24"/>
          <w:lang w:val="en-US"/>
        </w:rPr>
        <w:t>offense</w:t>
      </w:r>
      <w:r w:rsidRPr="00083793">
        <w:rPr>
          <w:rFonts w:ascii="Times New Roman" w:hAnsi="Times New Roman" w:cs="Times New Roman"/>
          <w:sz w:val="24"/>
          <w:szCs w:val="24"/>
          <w:lang w:val="en-US"/>
        </w:rPr>
        <w:t xml:space="preserve">s for which, in its view, individual criminal responsibility should be sought. The </w:t>
      </w:r>
      <w:r w:rsidR="00473542">
        <w:rPr>
          <w:rFonts w:ascii="Times New Roman" w:hAnsi="Times New Roman" w:cs="Times New Roman"/>
          <w:sz w:val="24"/>
          <w:szCs w:val="24"/>
          <w:lang w:val="en-US"/>
        </w:rPr>
        <w:t>s</w:t>
      </w:r>
      <w:r w:rsidRPr="00083793">
        <w:rPr>
          <w:rFonts w:ascii="Times New Roman" w:hAnsi="Times New Roman" w:cs="Times New Roman"/>
          <w:sz w:val="24"/>
          <w:szCs w:val="24"/>
          <w:lang w:val="en-US"/>
        </w:rPr>
        <w:t>ub</w:t>
      </w:r>
      <w:r w:rsidR="004605BA">
        <w:rPr>
          <w:rFonts w:ascii="Times New Roman" w:hAnsi="Times New Roman" w:cs="Times New Roman"/>
          <w:sz w:val="24"/>
          <w:szCs w:val="24"/>
          <w:lang w:val="en-US"/>
        </w:rPr>
        <w:t>c</w:t>
      </w:r>
      <w:r w:rsidRPr="00083793">
        <w:rPr>
          <w:rFonts w:ascii="Times New Roman" w:hAnsi="Times New Roman" w:cs="Times New Roman"/>
          <w:sz w:val="24"/>
          <w:szCs w:val="24"/>
          <w:lang w:val="en-US"/>
        </w:rPr>
        <w:t xml:space="preserve">ommission returned a list of some thirty-two </w:t>
      </w:r>
      <w:r w:rsidR="009F7085">
        <w:rPr>
          <w:rFonts w:ascii="Times New Roman" w:hAnsi="Times New Roman" w:cs="Times New Roman"/>
          <w:sz w:val="24"/>
          <w:szCs w:val="24"/>
          <w:lang w:val="en-US"/>
        </w:rPr>
        <w:t>offense</w:t>
      </w:r>
      <w:r w:rsidRPr="00083793">
        <w:rPr>
          <w:rFonts w:ascii="Times New Roman" w:hAnsi="Times New Roman" w:cs="Times New Roman"/>
          <w:sz w:val="24"/>
          <w:szCs w:val="24"/>
          <w:lang w:val="en-US"/>
        </w:rPr>
        <w:t xml:space="preserve">s, </w:t>
      </w:r>
      <w:r w:rsidR="008F18B8">
        <w:rPr>
          <w:rFonts w:ascii="Times New Roman" w:hAnsi="Times New Roman" w:cs="Times New Roman"/>
          <w:sz w:val="24"/>
          <w:szCs w:val="24"/>
          <w:lang w:val="en-US"/>
        </w:rPr>
        <w:t xml:space="preserve">constituting </w:t>
      </w:r>
      <w:r w:rsidRPr="00083793">
        <w:rPr>
          <w:rFonts w:ascii="Times New Roman" w:hAnsi="Times New Roman" w:cs="Times New Roman"/>
          <w:sz w:val="24"/>
          <w:szCs w:val="24"/>
          <w:lang w:val="en-US"/>
        </w:rPr>
        <w:t>the first effort aimed at elaborating what in common legal parlance are referred to as “war crimes</w:t>
      </w:r>
      <w:r w:rsidR="00EC7182">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Included in the </w:t>
      </w:r>
      <w:r w:rsidR="00800F39">
        <w:rPr>
          <w:rFonts w:ascii="Times New Roman" w:hAnsi="Times New Roman" w:cs="Times New Roman"/>
          <w:sz w:val="24"/>
          <w:szCs w:val="24"/>
          <w:lang w:val="en-US"/>
        </w:rPr>
        <w:t>s</w:t>
      </w:r>
      <w:r w:rsidRPr="00083793">
        <w:rPr>
          <w:rFonts w:ascii="Times New Roman" w:hAnsi="Times New Roman" w:cs="Times New Roman"/>
          <w:sz w:val="24"/>
          <w:szCs w:val="24"/>
          <w:lang w:val="en-US"/>
        </w:rPr>
        <w:t>ub</w:t>
      </w:r>
      <w:r w:rsidR="00800F39">
        <w:rPr>
          <w:rFonts w:ascii="Times New Roman" w:hAnsi="Times New Roman" w:cs="Times New Roman"/>
          <w:sz w:val="24"/>
          <w:szCs w:val="24"/>
          <w:lang w:val="en-US"/>
        </w:rPr>
        <w:t>c</w:t>
      </w:r>
      <w:r w:rsidRPr="00083793">
        <w:rPr>
          <w:rFonts w:ascii="Times New Roman" w:hAnsi="Times New Roman" w:cs="Times New Roman"/>
          <w:sz w:val="24"/>
          <w:szCs w:val="24"/>
          <w:lang w:val="en-US"/>
        </w:rPr>
        <w:t xml:space="preserve">ommission’s list was the </w:t>
      </w:r>
      <w:r w:rsidR="009F7085">
        <w:rPr>
          <w:rFonts w:ascii="Times New Roman" w:hAnsi="Times New Roman" w:cs="Times New Roman"/>
          <w:sz w:val="24"/>
          <w:szCs w:val="24"/>
          <w:lang w:val="en-US"/>
        </w:rPr>
        <w:t>offense</w:t>
      </w:r>
      <w:r w:rsidRPr="00083793">
        <w:rPr>
          <w:rFonts w:ascii="Times New Roman" w:hAnsi="Times New Roman" w:cs="Times New Roman"/>
          <w:sz w:val="24"/>
          <w:szCs w:val="24"/>
          <w:lang w:val="en-US"/>
        </w:rPr>
        <w:t xml:space="preserve"> of “wanton destruction of religious, charitable, educational, and historic buildings and monuments</w:t>
      </w:r>
      <w:r w:rsidR="00EC7182">
        <w:rPr>
          <w:rFonts w:ascii="Times New Roman" w:hAnsi="Times New Roman" w:cs="Times New Roman"/>
          <w:sz w:val="24"/>
          <w:szCs w:val="24"/>
          <w:lang w:val="en-US"/>
        </w:rPr>
        <w:t>.”</w:t>
      </w:r>
      <w:r w:rsidRPr="00083793">
        <w:rPr>
          <w:rStyle w:val="EndnoteReference"/>
          <w:rFonts w:ascii="Times New Roman" w:hAnsi="Times New Roman" w:cs="Times New Roman"/>
          <w:sz w:val="24"/>
          <w:szCs w:val="24"/>
          <w:lang w:val="en-US"/>
        </w:rPr>
        <w:endnoteReference w:id="6"/>
      </w:r>
      <w:r w:rsidRPr="00083793">
        <w:rPr>
          <w:rFonts w:ascii="Times New Roman" w:hAnsi="Times New Roman" w:cs="Times New Roman"/>
          <w:sz w:val="24"/>
          <w:szCs w:val="24"/>
          <w:lang w:val="en-US"/>
        </w:rPr>
        <w:t xml:space="preserve"> The express focus of the </w:t>
      </w:r>
      <w:r w:rsidR="009F7085">
        <w:rPr>
          <w:rFonts w:ascii="Times New Roman" w:hAnsi="Times New Roman" w:cs="Times New Roman"/>
          <w:sz w:val="24"/>
          <w:szCs w:val="24"/>
          <w:lang w:val="en-US"/>
        </w:rPr>
        <w:t>offense</w:t>
      </w:r>
      <w:r w:rsidRPr="00083793">
        <w:rPr>
          <w:rFonts w:ascii="Times New Roman" w:hAnsi="Times New Roman" w:cs="Times New Roman"/>
          <w:sz w:val="24"/>
          <w:szCs w:val="24"/>
          <w:lang w:val="en-US"/>
        </w:rPr>
        <w:t xml:space="preserve"> on immovable cultural heritage is consistent with those references contained in the Hague Rules, the Brussels Declaration, the Lieber Code</w:t>
      </w:r>
      <w:r w:rsidR="00D37D14">
        <w:rPr>
          <w:rFonts w:ascii="Times New Roman" w:hAnsi="Times New Roman" w:cs="Times New Roman"/>
          <w:sz w:val="24"/>
          <w:szCs w:val="24"/>
          <w:lang w:val="en-US"/>
        </w:rPr>
        <w:t>.</w:t>
      </w:r>
    </w:p>
    <w:p w14:paraId="42DFF183" w14:textId="59086011" w:rsidR="006A3999" w:rsidRPr="00083793" w:rsidRDefault="006A3999" w:rsidP="00016FD4">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 xml:space="preserve">The final text of the </w:t>
      </w:r>
      <w:r w:rsidR="00E75C02">
        <w:rPr>
          <w:rFonts w:ascii="Times New Roman" w:hAnsi="Times New Roman" w:cs="Times New Roman"/>
          <w:sz w:val="24"/>
          <w:szCs w:val="24"/>
          <w:lang w:val="en-US"/>
        </w:rPr>
        <w:t xml:space="preserve">1919 </w:t>
      </w:r>
      <w:r w:rsidRPr="00083793">
        <w:rPr>
          <w:rFonts w:ascii="Times New Roman" w:hAnsi="Times New Roman" w:cs="Times New Roman"/>
          <w:sz w:val="24"/>
          <w:szCs w:val="24"/>
          <w:lang w:val="en-US"/>
        </w:rPr>
        <w:t xml:space="preserve">Treaty of Versailles included a number of provisions relating to individual criminal responsibility generally. However, the promise of the </w:t>
      </w:r>
      <w:r w:rsidR="009F7E22">
        <w:rPr>
          <w:rFonts w:ascii="Times New Roman" w:hAnsi="Times New Roman" w:cs="Times New Roman"/>
          <w:sz w:val="24"/>
          <w:szCs w:val="24"/>
          <w:lang w:val="en-US"/>
        </w:rPr>
        <w:t>t</w:t>
      </w:r>
      <w:r w:rsidRPr="00083793">
        <w:rPr>
          <w:rFonts w:ascii="Times New Roman" w:hAnsi="Times New Roman" w:cs="Times New Roman"/>
          <w:sz w:val="24"/>
          <w:szCs w:val="24"/>
          <w:lang w:val="en-US"/>
        </w:rPr>
        <w:t xml:space="preserve">reaty </w:t>
      </w:r>
      <w:r w:rsidR="009F7E22">
        <w:rPr>
          <w:rFonts w:ascii="Times New Roman" w:hAnsi="Times New Roman" w:cs="Times New Roman"/>
          <w:sz w:val="24"/>
          <w:szCs w:val="24"/>
          <w:lang w:val="en-US"/>
        </w:rPr>
        <w:t>in this area</w:t>
      </w:r>
      <w:r w:rsidRPr="00083793">
        <w:rPr>
          <w:rFonts w:ascii="Times New Roman" w:hAnsi="Times New Roman" w:cs="Times New Roman"/>
          <w:sz w:val="24"/>
          <w:szCs w:val="24"/>
          <w:lang w:val="en-US"/>
        </w:rPr>
        <w:t xml:space="preserve"> would never be fulfilled. The purported demand of the Allied powers for criminal accountability would rapidly wane in the face of the political and economic pragmatism invited by pan-European postwar social instability. The compromise (and </w:t>
      </w:r>
      <w:r w:rsidRPr="00083793">
        <w:rPr>
          <w:rFonts w:ascii="Times New Roman" w:hAnsi="Times New Roman" w:cs="Times New Roman"/>
          <w:sz w:val="24"/>
          <w:szCs w:val="24"/>
          <w:lang w:val="en-US"/>
        </w:rPr>
        <w:lastRenderedPageBreak/>
        <w:t xml:space="preserve">largely symbolic) proceedings </w:t>
      </w:r>
      <w:r w:rsidR="002664CE">
        <w:rPr>
          <w:rFonts w:ascii="Times New Roman" w:hAnsi="Times New Roman" w:cs="Times New Roman"/>
          <w:sz w:val="24"/>
          <w:szCs w:val="24"/>
          <w:lang w:val="en-US"/>
        </w:rPr>
        <w:t xml:space="preserve">in 1921 </w:t>
      </w:r>
      <w:r w:rsidRPr="00083793">
        <w:rPr>
          <w:rFonts w:ascii="Times New Roman" w:hAnsi="Times New Roman" w:cs="Times New Roman"/>
          <w:sz w:val="24"/>
          <w:szCs w:val="24"/>
          <w:lang w:val="en-US"/>
        </w:rPr>
        <w:t>that would come to be known as the Leipzig War Crimes Trials</w:t>
      </w:r>
      <w:r w:rsidR="002664CE">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would be remembered as a combination of farce, parody, and tragedy rather than a landmark moment in the history of international criminal justice.</w:t>
      </w:r>
      <w:r w:rsidRPr="00083793">
        <w:rPr>
          <w:rStyle w:val="EndnoteReference"/>
          <w:rFonts w:ascii="Times New Roman" w:hAnsi="Times New Roman" w:cs="Times New Roman"/>
          <w:sz w:val="24"/>
          <w:szCs w:val="24"/>
          <w:lang w:val="en-US"/>
        </w:rPr>
        <w:endnoteReference w:id="7"/>
      </w:r>
      <w:r w:rsidRPr="00083793">
        <w:rPr>
          <w:rFonts w:ascii="Times New Roman" w:hAnsi="Times New Roman" w:cs="Times New Roman"/>
          <w:sz w:val="24"/>
          <w:szCs w:val="24"/>
          <w:lang w:val="en-US"/>
        </w:rPr>
        <w:t xml:space="preserve"> </w:t>
      </w:r>
      <w:r w:rsidR="00F403F4">
        <w:rPr>
          <w:rFonts w:ascii="Times New Roman" w:hAnsi="Times New Roman" w:cs="Times New Roman"/>
          <w:sz w:val="24"/>
          <w:szCs w:val="24"/>
          <w:lang w:val="en-US"/>
        </w:rPr>
        <w:t>And o</w:t>
      </w:r>
      <w:r w:rsidRPr="00083793">
        <w:rPr>
          <w:rFonts w:ascii="Times New Roman" w:hAnsi="Times New Roman" w:cs="Times New Roman"/>
          <w:sz w:val="24"/>
          <w:szCs w:val="24"/>
          <w:lang w:val="en-US"/>
        </w:rPr>
        <w:t>f the twelve trials completed, none addressed charges relating to the destruction of cultural heritage. While the trials stand as a precedent that international criminal justice would much rather forget, they, alongside the Treaty of Versailles, nonetheless set down the principle that violations of the laws and customs of war carr</w:t>
      </w:r>
      <w:r w:rsidR="002F12DA">
        <w:rPr>
          <w:rFonts w:ascii="Times New Roman" w:hAnsi="Times New Roman" w:cs="Times New Roman"/>
          <w:sz w:val="24"/>
          <w:szCs w:val="24"/>
          <w:lang w:val="en-US"/>
        </w:rPr>
        <w:t>y</w:t>
      </w:r>
      <w:r w:rsidRPr="00083793">
        <w:rPr>
          <w:rFonts w:ascii="Times New Roman" w:hAnsi="Times New Roman" w:cs="Times New Roman"/>
          <w:sz w:val="24"/>
          <w:szCs w:val="24"/>
          <w:lang w:val="en-US"/>
        </w:rPr>
        <w:t xml:space="preserve"> individual criminal responsibility enforceable both domestically and before internationally constituted courts and tribunals. Such a principle would be central to the establishment of the International Military Tribunal at Nuremberg (IMT) in the immediate aftermath of World War II. </w:t>
      </w:r>
    </w:p>
    <w:p w14:paraId="24410582" w14:textId="77777777" w:rsidR="006A3999" w:rsidRPr="00083793" w:rsidRDefault="006A3999" w:rsidP="00016FD4">
      <w:pPr>
        <w:spacing w:after="0" w:line="480" w:lineRule="auto"/>
        <w:contextualSpacing/>
        <w:rPr>
          <w:rFonts w:ascii="Times New Roman" w:hAnsi="Times New Roman" w:cs="Times New Roman"/>
          <w:i/>
          <w:sz w:val="24"/>
          <w:szCs w:val="24"/>
          <w:lang w:val="en-US"/>
        </w:rPr>
      </w:pPr>
    </w:p>
    <w:p w14:paraId="6D7D1AAD" w14:textId="72C93041" w:rsidR="006A3999" w:rsidRPr="00083793" w:rsidRDefault="006A3999" w:rsidP="009869C8">
      <w:pPr>
        <w:pStyle w:val="Heading2"/>
        <w:rPr>
          <w:lang w:val="en-US"/>
        </w:rPr>
      </w:pPr>
      <w:r w:rsidRPr="00083793">
        <w:rPr>
          <w:lang w:val="en-US"/>
        </w:rPr>
        <w:t xml:space="preserve">Prelude to Nuremberg: The UNWCC and Crimes </w:t>
      </w:r>
      <w:r w:rsidR="002F51DA">
        <w:rPr>
          <w:lang w:val="en-US"/>
        </w:rPr>
        <w:t>a</w:t>
      </w:r>
      <w:r w:rsidRPr="00083793">
        <w:rPr>
          <w:lang w:val="en-US"/>
        </w:rPr>
        <w:t xml:space="preserve">gainst Cultural Heritage </w:t>
      </w:r>
    </w:p>
    <w:p w14:paraId="73753F81" w14:textId="15ED72CE" w:rsidR="006A3999" w:rsidRPr="00083793" w:rsidRDefault="006A3999" w:rsidP="00016FD4">
      <w:pPr>
        <w:spacing w:after="0" w:line="480" w:lineRule="auto"/>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 xml:space="preserve">Before discussing the advances in accountability for looting and destruction of cultural heritage brought about by the Trial of the Major War Criminals before the IMT, it is worth considering the associated but parallel activities of the United Nations War Crimes Commission (UNWCC). The UNWCC’s determination to unravel and offer clarity on key questions relating to individual criminal responsibility for international crimes has until relatively recently only been accounted for in the footnotes of the history of international criminal justice. The true contribution of the UNWCC was gradually revealed once its extensive archive, controlled by the </w:t>
      </w:r>
      <w:r w:rsidR="00486D73">
        <w:rPr>
          <w:rFonts w:ascii="Times New Roman" w:hAnsi="Times New Roman" w:cs="Times New Roman"/>
          <w:sz w:val="24"/>
          <w:szCs w:val="24"/>
          <w:lang w:val="en-US"/>
        </w:rPr>
        <w:t>US</w:t>
      </w:r>
      <w:r w:rsidRPr="00083793">
        <w:rPr>
          <w:rFonts w:ascii="Times New Roman" w:hAnsi="Times New Roman" w:cs="Times New Roman"/>
          <w:sz w:val="24"/>
          <w:szCs w:val="24"/>
          <w:lang w:val="en-US"/>
        </w:rPr>
        <w:t xml:space="preserve"> </w:t>
      </w:r>
      <w:r w:rsidR="00486D73">
        <w:rPr>
          <w:rFonts w:ascii="Times New Roman" w:hAnsi="Times New Roman" w:cs="Times New Roman"/>
          <w:sz w:val="24"/>
          <w:szCs w:val="24"/>
          <w:lang w:val="en-US"/>
        </w:rPr>
        <w:t>g</w:t>
      </w:r>
      <w:r w:rsidRPr="00083793">
        <w:rPr>
          <w:rFonts w:ascii="Times New Roman" w:hAnsi="Times New Roman" w:cs="Times New Roman"/>
          <w:sz w:val="24"/>
          <w:szCs w:val="24"/>
          <w:lang w:val="en-US"/>
        </w:rPr>
        <w:t>overnment, was made available to researchers in 2011.</w:t>
      </w:r>
      <w:r w:rsidRPr="00083793">
        <w:rPr>
          <w:rStyle w:val="EndnoteReference"/>
          <w:rFonts w:ascii="Times New Roman" w:hAnsi="Times New Roman" w:cs="Times New Roman"/>
          <w:sz w:val="24"/>
          <w:szCs w:val="24"/>
          <w:lang w:val="en-US"/>
        </w:rPr>
        <w:endnoteReference w:id="8"/>
      </w:r>
      <w:r w:rsidRPr="00083793">
        <w:rPr>
          <w:rFonts w:ascii="Times New Roman" w:hAnsi="Times New Roman" w:cs="Times New Roman"/>
          <w:sz w:val="24"/>
          <w:szCs w:val="24"/>
          <w:lang w:val="en-US"/>
        </w:rPr>
        <w:t xml:space="preserve"> </w:t>
      </w:r>
    </w:p>
    <w:p w14:paraId="74121DFD" w14:textId="1FEB4A98" w:rsidR="006A3999" w:rsidRPr="00083793" w:rsidRDefault="006A3999" w:rsidP="00016FD4">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Established in October 1943 on the initiative of seventeen Allied states, the UNWCC was envisaged as a means by which to assist states in the preparation of cases involving the commission of war crimes. As such</w:t>
      </w:r>
      <w:r w:rsidR="00EA4E45">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the UNWCC was viewed as </w:t>
      </w:r>
      <w:r w:rsidRPr="00083793">
        <w:rPr>
          <w:rFonts w:ascii="Times New Roman" w:hAnsi="Times New Roman" w:cs="Times New Roman"/>
          <w:sz w:val="24"/>
          <w:szCs w:val="24"/>
          <w:lang w:val="en-US"/>
        </w:rPr>
        <w:lastRenderedPageBreak/>
        <w:t>complimentary to domestic legal processes</w:t>
      </w:r>
      <w:r w:rsidR="00234B92">
        <w:rPr>
          <w:rFonts w:ascii="Times New Roman" w:hAnsi="Times New Roman" w:cs="Times New Roman"/>
          <w:sz w:val="24"/>
          <w:szCs w:val="24"/>
          <w:lang w:val="en-US"/>
        </w:rPr>
        <w:t>, and</w:t>
      </w:r>
      <w:r w:rsidR="00815D13">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took on an important advisory function wherein it made, “recommendations to member Governments on questions of law and procedure in order to carry out the objects of the Allied nations</w:t>
      </w:r>
      <w:r w:rsidR="00EC7182">
        <w:rPr>
          <w:rFonts w:ascii="Times New Roman" w:hAnsi="Times New Roman" w:cs="Times New Roman"/>
          <w:sz w:val="24"/>
          <w:szCs w:val="24"/>
          <w:lang w:val="en-US"/>
        </w:rPr>
        <w:t>.”</w:t>
      </w:r>
      <w:r w:rsidRPr="00083793">
        <w:rPr>
          <w:rStyle w:val="EndnoteReference"/>
          <w:rFonts w:ascii="Times New Roman" w:hAnsi="Times New Roman" w:cs="Times New Roman"/>
          <w:sz w:val="24"/>
          <w:szCs w:val="24"/>
          <w:lang w:val="en-US"/>
        </w:rPr>
        <w:endnoteReference w:id="9"/>
      </w:r>
      <w:r w:rsidRPr="00083793">
        <w:rPr>
          <w:rFonts w:ascii="Times New Roman" w:hAnsi="Times New Roman" w:cs="Times New Roman"/>
          <w:sz w:val="24"/>
          <w:szCs w:val="24"/>
          <w:lang w:val="en-US"/>
        </w:rPr>
        <w:t xml:space="preserve"> From the archive, it is evident that </w:t>
      </w:r>
      <w:r w:rsidR="002A2087">
        <w:rPr>
          <w:rFonts w:ascii="Times New Roman" w:hAnsi="Times New Roman" w:cs="Times New Roman"/>
          <w:sz w:val="24"/>
          <w:szCs w:val="24"/>
          <w:lang w:val="en-US"/>
        </w:rPr>
        <w:t>the UNWCC</w:t>
      </w:r>
      <w:r w:rsidRPr="00083793">
        <w:rPr>
          <w:rFonts w:ascii="Times New Roman" w:hAnsi="Times New Roman" w:cs="Times New Roman"/>
          <w:sz w:val="24"/>
          <w:szCs w:val="24"/>
          <w:lang w:val="en-US"/>
        </w:rPr>
        <w:t xml:space="preserve"> was actively involved in compiling case files and lists of possible suspects relating to the commission of crimes against cultural heritage. </w:t>
      </w:r>
      <w:r w:rsidR="009E1755">
        <w:rPr>
          <w:rFonts w:ascii="Times New Roman" w:hAnsi="Times New Roman" w:cs="Times New Roman"/>
          <w:sz w:val="24"/>
          <w:szCs w:val="24"/>
          <w:lang w:val="en-US"/>
        </w:rPr>
        <w:t xml:space="preserve">These </w:t>
      </w:r>
      <w:r w:rsidRPr="00083793">
        <w:rPr>
          <w:rFonts w:ascii="Times New Roman" w:hAnsi="Times New Roman" w:cs="Times New Roman"/>
          <w:sz w:val="24"/>
          <w:szCs w:val="24"/>
          <w:lang w:val="en-US"/>
        </w:rPr>
        <w:t xml:space="preserve">activities focused predominately on the </w:t>
      </w:r>
      <w:r w:rsidR="005C6020">
        <w:rPr>
          <w:rFonts w:ascii="Times New Roman" w:hAnsi="Times New Roman" w:cs="Times New Roman"/>
          <w:sz w:val="24"/>
          <w:szCs w:val="24"/>
          <w:lang w:val="en-US"/>
        </w:rPr>
        <w:t>large-scale</w:t>
      </w:r>
      <w:r w:rsidR="005C6020" w:rsidRPr="00083793">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 xml:space="preserve">looting of cultural objects by German forces across occupied Europe. The archives reveal that the UNWCC actively cooperated and collaborated with Allied efforts to safeguard cultural monuments and sites, and to identify, track down, and return looted cultural objects. For example, </w:t>
      </w:r>
      <w:r w:rsidR="008F4DA2">
        <w:rPr>
          <w:rFonts w:ascii="Times New Roman" w:hAnsi="Times New Roman" w:cs="Times New Roman"/>
          <w:sz w:val="24"/>
          <w:szCs w:val="24"/>
          <w:lang w:val="en-US"/>
        </w:rPr>
        <w:t>it</w:t>
      </w:r>
      <w:r w:rsidRPr="00083793">
        <w:rPr>
          <w:rFonts w:ascii="Times New Roman" w:hAnsi="Times New Roman" w:cs="Times New Roman"/>
          <w:sz w:val="24"/>
          <w:szCs w:val="24"/>
          <w:lang w:val="en-US"/>
        </w:rPr>
        <w:t xml:space="preserve"> exchanged information with the Monuments, Fine Arts</w:t>
      </w:r>
      <w:r w:rsidR="008F4DA2">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and Archives (MFAA)</w:t>
      </w:r>
      <w:r w:rsidR="008F4DA2">
        <w:rPr>
          <w:rFonts w:ascii="Times New Roman" w:hAnsi="Times New Roman" w:cs="Times New Roman"/>
          <w:sz w:val="24"/>
          <w:szCs w:val="24"/>
          <w:lang w:val="en-US"/>
        </w:rPr>
        <w:t xml:space="preserve"> </w:t>
      </w:r>
      <w:r w:rsidR="00946D22">
        <w:rPr>
          <w:rFonts w:ascii="Times New Roman" w:hAnsi="Times New Roman" w:cs="Times New Roman"/>
          <w:sz w:val="24"/>
          <w:szCs w:val="24"/>
          <w:lang w:val="en-US"/>
        </w:rPr>
        <w:t>program</w:t>
      </w:r>
      <w:r w:rsidRPr="00083793">
        <w:rPr>
          <w:rFonts w:ascii="Times New Roman" w:hAnsi="Times New Roman" w:cs="Times New Roman"/>
          <w:sz w:val="24"/>
          <w:szCs w:val="24"/>
          <w:lang w:val="en-US"/>
        </w:rPr>
        <w:t xml:space="preserve">, which fell under the authority of the Civil Affairs and Military Governments </w:t>
      </w:r>
      <w:r w:rsidR="0009358D">
        <w:rPr>
          <w:rFonts w:ascii="Times New Roman" w:hAnsi="Times New Roman" w:cs="Times New Roman"/>
          <w:sz w:val="24"/>
          <w:szCs w:val="24"/>
          <w:lang w:val="en-US"/>
        </w:rPr>
        <w:t>s</w:t>
      </w:r>
      <w:r w:rsidRPr="00083793">
        <w:rPr>
          <w:rFonts w:ascii="Times New Roman" w:hAnsi="Times New Roman" w:cs="Times New Roman"/>
          <w:sz w:val="24"/>
          <w:szCs w:val="24"/>
          <w:lang w:val="en-US"/>
        </w:rPr>
        <w:t xml:space="preserve">ections of the Allied Armies. </w:t>
      </w:r>
    </w:p>
    <w:p w14:paraId="761562ED" w14:textId="0194A1F7" w:rsidR="006A3999" w:rsidRPr="00083793" w:rsidRDefault="006A3999" w:rsidP="00016FD4">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More significant from a prosecutorial perspective is the UNWCC’s interaction with the Inter-Allied Commission on the Protection and Restitution of Cultural Material, known as the Vaucher Commission</w:t>
      </w:r>
      <w:r w:rsidR="006F20C4">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 xml:space="preserve">after its </w:t>
      </w:r>
      <w:r w:rsidR="006F20C4">
        <w:rPr>
          <w:rFonts w:ascii="Times New Roman" w:hAnsi="Times New Roman" w:cs="Times New Roman"/>
          <w:sz w:val="24"/>
          <w:szCs w:val="24"/>
          <w:lang w:val="en-US"/>
        </w:rPr>
        <w:t>c</w:t>
      </w:r>
      <w:r w:rsidRPr="00083793">
        <w:rPr>
          <w:rFonts w:ascii="Times New Roman" w:hAnsi="Times New Roman" w:cs="Times New Roman"/>
          <w:sz w:val="24"/>
          <w:szCs w:val="24"/>
          <w:lang w:val="en-US"/>
        </w:rPr>
        <w:t xml:space="preserve">hairman Professor Paul Vaucher, the </w:t>
      </w:r>
      <w:r w:rsidR="00400706">
        <w:rPr>
          <w:rFonts w:ascii="Times New Roman" w:hAnsi="Times New Roman" w:cs="Times New Roman"/>
          <w:sz w:val="24"/>
          <w:szCs w:val="24"/>
          <w:lang w:val="en-US"/>
        </w:rPr>
        <w:t>c</w:t>
      </w:r>
      <w:r w:rsidRPr="00083793">
        <w:rPr>
          <w:rFonts w:ascii="Times New Roman" w:hAnsi="Times New Roman" w:cs="Times New Roman"/>
          <w:sz w:val="24"/>
          <w:szCs w:val="24"/>
          <w:lang w:val="en-US"/>
        </w:rPr>
        <w:t xml:space="preserve">ultural </w:t>
      </w:r>
      <w:r w:rsidR="00400706">
        <w:rPr>
          <w:rFonts w:ascii="Times New Roman" w:hAnsi="Times New Roman" w:cs="Times New Roman"/>
          <w:sz w:val="24"/>
          <w:szCs w:val="24"/>
          <w:lang w:val="en-US"/>
        </w:rPr>
        <w:t>a</w:t>
      </w:r>
      <w:r w:rsidRPr="00083793">
        <w:rPr>
          <w:rFonts w:ascii="Times New Roman" w:hAnsi="Times New Roman" w:cs="Times New Roman"/>
          <w:sz w:val="24"/>
          <w:szCs w:val="24"/>
          <w:lang w:val="en-US"/>
        </w:rPr>
        <w:t>ttaché to the French Embassy in London</w:t>
      </w:r>
      <w:r w:rsidR="00400706">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w:t>
      </w:r>
      <w:r w:rsidR="00400706">
        <w:rPr>
          <w:rFonts w:ascii="Times New Roman" w:hAnsi="Times New Roman" w:cs="Times New Roman"/>
          <w:sz w:val="24"/>
          <w:szCs w:val="24"/>
          <w:lang w:val="en-US"/>
        </w:rPr>
        <w:t xml:space="preserve">The commission </w:t>
      </w:r>
      <w:r w:rsidRPr="00083793">
        <w:rPr>
          <w:rFonts w:ascii="Times New Roman" w:hAnsi="Times New Roman" w:cs="Times New Roman"/>
          <w:sz w:val="24"/>
          <w:szCs w:val="24"/>
          <w:lang w:val="en-US"/>
        </w:rPr>
        <w:t xml:space="preserve">was established </w:t>
      </w:r>
      <w:r w:rsidR="00480116" w:rsidRPr="00083793">
        <w:rPr>
          <w:rFonts w:ascii="Times New Roman" w:hAnsi="Times New Roman" w:cs="Times New Roman"/>
          <w:sz w:val="24"/>
          <w:szCs w:val="24"/>
          <w:lang w:val="en-US"/>
        </w:rPr>
        <w:t>in April 1944</w:t>
      </w:r>
      <w:r w:rsidR="00480116">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by the Conference of Allied Ministers of Education</w:t>
      </w:r>
      <w:r w:rsidR="00C1385A" w:rsidRPr="00083793">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the precursor to </w:t>
      </w:r>
      <w:r w:rsidR="008425D9">
        <w:rPr>
          <w:rFonts w:ascii="Times New Roman" w:hAnsi="Times New Roman" w:cs="Times New Roman"/>
          <w:sz w:val="24"/>
          <w:szCs w:val="24"/>
          <w:lang w:val="en-US"/>
        </w:rPr>
        <w:t xml:space="preserve">the </w:t>
      </w:r>
      <w:r w:rsidR="008425D9" w:rsidRPr="008425D9">
        <w:rPr>
          <w:rFonts w:ascii="Times New Roman" w:hAnsi="Times New Roman" w:cs="Times New Roman"/>
          <w:sz w:val="24"/>
          <w:szCs w:val="24"/>
          <w:lang w:val="en-US"/>
        </w:rPr>
        <w:t xml:space="preserve">UN Educational, Scientific and Cultural Organization </w:t>
      </w:r>
      <w:r w:rsidR="008425D9">
        <w:rPr>
          <w:rFonts w:ascii="Times New Roman" w:hAnsi="Times New Roman" w:cs="Times New Roman"/>
          <w:sz w:val="24"/>
          <w:szCs w:val="24"/>
          <w:lang w:val="en-US"/>
        </w:rPr>
        <w:t>(</w:t>
      </w:r>
      <w:r w:rsidRPr="00083793">
        <w:rPr>
          <w:rFonts w:ascii="Times New Roman" w:hAnsi="Times New Roman" w:cs="Times New Roman"/>
          <w:sz w:val="24"/>
          <w:szCs w:val="24"/>
          <w:lang w:val="en-US"/>
        </w:rPr>
        <w:t>UNESCO</w:t>
      </w:r>
      <w:r w:rsidR="008425D9">
        <w:rPr>
          <w:rFonts w:ascii="Times New Roman" w:hAnsi="Times New Roman" w:cs="Times New Roman"/>
          <w:sz w:val="24"/>
          <w:szCs w:val="24"/>
          <w:lang w:val="en-US"/>
        </w:rPr>
        <w:t>)</w:t>
      </w:r>
      <w:r w:rsidRPr="00083793">
        <w:rPr>
          <w:rFonts w:ascii="Times New Roman" w:hAnsi="Times New Roman" w:cs="Times New Roman"/>
          <w:sz w:val="24"/>
          <w:szCs w:val="24"/>
          <w:lang w:val="en-US"/>
        </w:rPr>
        <w:t>. The primary objectives of the Vaucher Commission were: i) “to collect from all available sources the fullest possible information as to the damage, destruction, and looting of monuments, works of art and cultural material of all sorts in the occupied countries</w:t>
      </w:r>
      <w:r w:rsidR="003E6E14">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ii) “to act as a pool for all such information</w:t>
      </w:r>
      <w:r w:rsidR="003E6E14">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and iii) “to offer its services in any other useful capacity to such military or civil authorities as may now or hereafter be concerned with the public </w:t>
      </w:r>
      <w:r w:rsidRPr="00083793">
        <w:rPr>
          <w:rFonts w:ascii="Times New Roman" w:hAnsi="Times New Roman" w:cs="Times New Roman"/>
          <w:sz w:val="24"/>
          <w:szCs w:val="24"/>
          <w:lang w:val="en-US"/>
        </w:rPr>
        <w:lastRenderedPageBreak/>
        <w:t>administration of any liberated territory or of any enemy territory which may be occupied by Allied Forces</w:t>
      </w:r>
      <w:r w:rsidR="00EC7182">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In its work, the </w:t>
      </w:r>
      <w:r w:rsidR="00E13FC9">
        <w:rPr>
          <w:rFonts w:ascii="Times New Roman" w:hAnsi="Times New Roman" w:cs="Times New Roman"/>
          <w:sz w:val="24"/>
          <w:szCs w:val="24"/>
          <w:lang w:val="en-US"/>
        </w:rPr>
        <w:t>c</w:t>
      </w:r>
      <w:r w:rsidRPr="00083793">
        <w:rPr>
          <w:rFonts w:ascii="Times New Roman" w:hAnsi="Times New Roman" w:cs="Times New Roman"/>
          <w:sz w:val="24"/>
          <w:szCs w:val="24"/>
          <w:lang w:val="en-US"/>
        </w:rPr>
        <w:t xml:space="preserve">ommission focused on the compilation of extensive indexes documenting sites subject to looting or to the destruction of cultural material, and indexes listing objects looted or disappeared. However, of particular relevance for the UNWCC was the </w:t>
      </w:r>
      <w:r w:rsidR="004F0367">
        <w:rPr>
          <w:rFonts w:ascii="Times New Roman" w:hAnsi="Times New Roman" w:cs="Times New Roman"/>
          <w:sz w:val="24"/>
          <w:szCs w:val="24"/>
          <w:lang w:val="en-US"/>
        </w:rPr>
        <w:t>c</w:t>
      </w:r>
      <w:r w:rsidRPr="00083793">
        <w:rPr>
          <w:rFonts w:ascii="Times New Roman" w:hAnsi="Times New Roman" w:cs="Times New Roman"/>
          <w:sz w:val="24"/>
          <w:szCs w:val="24"/>
          <w:lang w:val="en-US"/>
        </w:rPr>
        <w:t>ommission’s index of individuals suspected of having been involved in the looting or destruction of cultural property across occupied Europe. While the Vaucher Commission was only operational for some eighteenth months</w:t>
      </w:r>
      <w:r w:rsidR="00C1385A" w:rsidRPr="00083793">
        <w:rPr>
          <w:rFonts w:ascii="Times New Roman" w:hAnsi="Times New Roman" w:cs="Times New Roman"/>
          <w:sz w:val="24"/>
          <w:szCs w:val="24"/>
          <w:lang w:val="en-US"/>
        </w:rPr>
        <w:t>—</w:t>
      </w:r>
      <w:r w:rsidRPr="00083793">
        <w:rPr>
          <w:rFonts w:ascii="Times New Roman" w:hAnsi="Times New Roman" w:cs="Times New Roman"/>
          <w:sz w:val="24"/>
          <w:szCs w:val="24"/>
          <w:lang w:val="en-US"/>
        </w:rPr>
        <w:t>its final report was submitted in December 1945</w:t>
      </w:r>
      <w:r w:rsidR="00C1385A" w:rsidRPr="00083793">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it nonetheless succeeded in gathering copious amounts of valuable information with direct relevance to the prosecution of cases involving the looting and destruction of cultural heritage. For instance, its final report documents that </w:t>
      </w:r>
      <w:r w:rsidR="00B36D2B">
        <w:rPr>
          <w:rFonts w:ascii="Times New Roman" w:hAnsi="Times New Roman" w:cs="Times New Roman"/>
          <w:sz w:val="24"/>
          <w:szCs w:val="24"/>
          <w:lang w:val="en-US"/>
        </w:rPr>
        <w:t>it</w:t>
      </w:r>
      <w:r w:rsidRPr="00083793">
        <w:rPr>
          <w:rFonts w:ascii="Times New Roman" w:hAnsi="Times New Roman" w:cs="Times New Roman"/>
          <w:sz w:val="24"/>
          <w:szCs w:val="24"/>
          <w:lang w:val="en-US"/>
        </w:rPr>
        <w:t xml:space="preserve"> circulated some “2,000 confidential dossiers relating to looters” to military authorities and other relevant bodies.</w:t>
      </w:r>
      <w:r w:rsidRPr="00083793">
        <w:rPr>
          <w:rStyle w:val="EndnoteReference"/>
          <w:rFonts w:ascii="Times New Roman" w:hAnsi="Times New Roman" w:cs="Times New Roman"/>
          <w:sz w:val="24"/>
          <w:szCs w:val="24"/>
          <w:lang w:val="en-US"/>
        </w:rPr>
        <w:endnoteReference w:id="10"/>
      </w:r>
      <w:r w:rsidRPr="00083793">
        <w:rPr>
          <w:rFonts w:ascii="Times New Roman" w:hAnsi="Times New Roman" w:cs="Times New Roman"/>
          <w:sz w:val="24"/>
          <w:szCs w:val="24"/>
          <w:lang w:val="en-US"/>
        </w:rPr>
        <w:t xml:space="preserve"> </w:t>
      </w:r>
    </w:p>
    <w:p w14:paraId="2D810D38" w14:textId="1C3F216A" w:rsidR="006A3999" w:rsidRPr="00083793" w:rsidRDefault="006A3999" w:rsidP="00016FD4">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The minutes of the Vaucher Commission reveal that it welcomed a delegation from the UNWCC in March 1945</w:t>
      </w:r>
      <w:r w:rsidR="002366F9">
        <w:rPr>
          <w:rFonts w:ascii="Times New Roman" w:hAnsi="Times New Roman" w:cs="Times New Roman"/>
          <w:sz w:val="24"/>
          <w:szCs w:val="24"/>
          <w:lang w:val="en-US"/>
        </w:rPr>
        <w:t xml:space="preserve">, which met </w:t>
      </w:r>
      <w:r w:rsidRPr="00083793">
        <w:rPr>
          <w:rFonts w:ascii="Times New Roman" w:hAnsi="Times New Roman" w:cs="Times New Roman"/>
          <w:sz w:val="24"/>
          <w:szCs w:val="24"/>
          <w:lang w:val="en-US"/>
        </w:rPr>
        <w:t>to discuss the modalities of potential cooperation between the two bodies. Cecil Hirst, the</w:t>
      </w:r>
      <w:r w:rsidR="000D1240">
        <w:rPr>
          <w:rFonts w:ascii="Times New Roman" w:hAnsi="Times New Roman" w:cs="Times New Roman"/>
          <w:sz w:val="24"/>
          <w:szCs w:val="24"/>
          <w:lang w:val="en-US"/>
        </w:rPr>
        <w:t>n</w:t>
      </w:r>
      <w:r w:rsidRPr="00083793">
        <w:rPr>
          <w:rFonts w:ascii="Times New Roman" w:hAnsi="Times New Roman" w:cs="Times New Roman"/>
          <w:sz w:val="24"/>
          <w:szCs w:val="24"/>
          <w:lang w:val="en-US"/>
        </w:rPr>
        <w:t xml:space="preserve"> </w:t>
      </w:r>
      <w:r w:rsidR="002366F9">
        <w:rPr>
          <w:rFonts w:ascii="Times New Roman" w:hAnsi="Times New Roman" w:cs="Times New Roman"/>
          <w:sz w:val="24"/>
          <w:szCs w:val="24"/>
          <w:lang w:val="en-US"/>
        </w:rPr>
        <w:t>c</w:t>
      </w:r>
      <w:r w:rsidRPr="00083793">
        <w:rPr>
          <w:rFonts w:ascii="Times New Roman" w:hAnsi="Times New Roman" w:cs="Times New Roman"/>
          <w:sz w:val="24"/>
          <w:szCs w:val="24"/>
          <w:lang w:val="en-US"/>
        </w:rPr>
        <w:t xml:space="preserve">hair of the UNWCC, had previously met with Vaucher Commission </w:t>
      </w:r>
      <w:r w:rsidR="00DE5FAB">
        <w:rPr>
          <w:rFonts w:ascii="Times New Roman" w:hAnsi="Times New Roman" w:cs="Times New Roman"/>
          <w:sz w:val="24"/>
          <w:szCs w:val="24"/>
          <w:lang w:val="en-US"/>
        </w:rPr>
        <w:t>s</w:t>
      </w:r>
      <w:r w:rsidRPr="00083793">
        <w:rPr>
          <w:rFonts w:ascii="Times New Roman" w:hAnsi="Times New Roman" w:cs="Times New Roman"/>
          <w:sz w:val="24"/>
          <w:szCs w:val="24"/>
          <w:lang w:val="en-US"/>
        </w:rPr>
        <w:t>ecretary CP Harvey on two occasions. During these meetings Hirst explained that the UNWCC was “inclined to widen the scope of its activities, and was taking an increased interest in crimes against artistic property</w:t>
      </w:r>
      <w:r w:rsidR="00EC7182">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H</w:t>
      </w:r>
      <w:r w:rsidR="000D1240">
        <w:rPr>
          <w:rFonts w:ascii="Times New Roman" w:hAnsi="Times New Roman" w:cs="Times New Roman"/>
          <w:sz w:val="24"/>
          <w:szCs w:val="24"/>
          <w:lang w:val="en-US"/>
        </w:rPr>
        <w:t>e</w:t>
      </w:r>
      <w:r w:rsidRPr="00083793">
        <w:rPr>
          <w:rFonts w:ascii="Times New Roman" w:hAnsi="Times New Roman" w:cs="Times New Roman"/>
          <w:sz w:val="24"/>
          <w:szCs w:val="24"/>
          <w:lang w:val="en-US"/>
        </w:rPr>
        <w:t xml:space="preserve"> was particularly eager to be granted access to the information compiled by the Vaucher Commission</w:t>
      </w:r>
      <w:r w:rsidR="005D7FB7">
        <w:rPr>
          <w:rFonts w:ascii="Times New Roman" w:hAnsi="Times New Roman" w:cs="Times New Roman"/>
          <w:sz w:val="24"/>
          <w:szCs w:val="24"/>
          <w:lang w:val="en-US"/>
        </w:rPr>
        <w:t>, especially</w:t>
      </w:r>
      <w:r w:rsidRPr="00083793">
        <w:rPr>
          <w:rFonts w:ascii="Times New Roman" w:hAnsi="Times New Roman" w:cs="Times New Roman"/>
          <w:sz w:val="24"/>
          <w:szCs w:val="24"/>
          <w:lang w:val="en-US"/>
        </w:rPr>
        <w:t xml:space="preserve"> its list of suspects. The minutes reveal that several members of the </w:t>
      </w:r>
      <w:r w:rsidR="00FC14F5">
        <w:rPr>
          <w:rFonts w:ascii="Times New Roman" w:hAnsi="Times New Roman" w:cs="Times New Roman"/>
          <w:sz w:val="24"/>
          <w:szCs w:val="24"/>
          <w:lang w:val="en-US"/>
        </w:rPr>
        <w:t>c</w:t>
      </w:r>
      <w:r w:rsidRPr="00083793">
        <w:rPr>
          <w:rFonts w:ascii="Times New Roman" w:hAnsi="Times New Roman" w:cs="Times New Roman"/>
          <w:sz w:val="24"/>
          <w:szCs w:val="24"/>
          <w:lang w:val="en-US"/>
        </w:rPr>
        <w:t xml:space="preserve">ommission </w:t>
      </w:r>
      <w:r w:rsidR="00FC14F5">
        <w:rPr>
          <w:rFonts w:ascii="Times New Roman" w:hAnsi="Times New Roman" w:cs="Times New Roman"/>
          <w:sz w:val="24"/>
          <w:szCs w:val="24"/>
          <w:lang w:val="en-US"/>
        </w:rPr>
        <w:t xml:space="preserve">were wary </w:t>
      </w:r>
      <w:r w:rsidRPr="00083793">
        <w:rPr>
          <w:rFonts w:ascii="Times New Roman" w:hAnsi="Times New Roman" w:cs="Times New Roman"/>
          <w:sz w:val="24"/>
          <w:szCs w:val="24"/>
          <w:lang w:val="en-US"/>
        </w:rPr>
        <w:t>at the prospect of handing over swathes of material to the UNWCC</w:t>
      </w:r>
      <w:r w:rsidR="00731857">
        <w:rPr>
          <w:rFonts w:ascii="Times New Roman" w:hAnsi="Times New Roman" w:cs="Times New Roman"/>
          <w:sz w:val="24"/>
          <w:szCs w:val="24"/>
          <w:lang w:val="en-US"/>
        </w:rPr>
        <w:t xml:space="preserve">, concerned </w:t>
      </w:r>
      <w:r w:rsidR="00E13126">
        <w:rPr>
          <w:rFonts w:ascii="Times New Roman" w:hAnsi="Times New Roman" w:cs="Times New Roman"/>
          <w:sz w:val="24"/>
          <w:szCs w:val="24"/>
          <w:lang w:val="en-US"/>
        </w:rPr>
        <w:t xml:space="preserve">at </w:t>
      </w:r>
      <w:r w:rsidRPr="00083793">
        <w:rPr>
          <w:rFonts w:ascii="Times New Roman" w:hAnsi="Times New Roman" w:cs="Times New Roman"/>
          <w:sz w:val="24"/>
          <w:szCs w:val="24"/>
          <w:lang w:val="en-US"/>
        </w:rPr>
        <w:t xml:space="preserve">the </w:t>
      </w:r>
      <w:r w:rsidR="00482FA3">
        <w:rPr>
          <w:rFonts w:ascii="Times New Roman" w:hAnsi="Times New Roman" w:cs="Times New Roman"/>
          <w:sz w:val="24"/>
          <w:szCs w:val="24"/>
          <w:lang w:val="en-US"/>
        </w:rPr>
        <w:t>possib</w:t>
      </w:r>
      <w:r w:rsidR="00E13126">
        <w:rPr>
          <w:rFonts w:ascii="Times New Roman" w:hAnsi="Times New Roman" w:cs="Times New Roman"/>
          <w:sz w:val="24"/>
          <w:szCs w:val="24"/>
          <w:lang w:val="en-US"/>
        </w:rPr>
        <w:t>ility of</w:t>
      </w:r>
      <w:r w:rsidR="00482FA3">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cherry</w:t>
      </w:r>
      <w:r w:rsidR="002D40F7">
        <w:rPr>
          <w:rFonts w:ascii="Times New Roman" w:hAnsi="Times New Roman" w:cs="Times New Roman"/>
          <w:sz w:val="24"/>
          <w:szCs w:val="24"/>
          <w:lang w:val="en-US"/>
        </w:rPr>
        <w:t>-</w:t>
      </w:r>
      <w:r w:rsidRPr="00083793">
        <w:rPr>
          <w:rFonts w:ascii="Times New Roman" w:hAnsi="Times New Roman" w:cs="Times New Roman"/>
          <w:sz w:val="24"/>
          <w:szCs w:val="24"/>
          <w:lang w:val="en-US"/>
        </w:rPr>
        <w:t>picking information and suspects.</w:t>
      </w:r>
      <w:r w:rsidRPr="00083793">
        <w:rPr>
          <w:rStyle w:val="EndnoteReference"/>
          <w:rFonts w:ascii="Times New Roman" w:hAnsi="Times New Roman" w:cs="Times New Roman"/>
          <w:sz w:val="24"/>
          <w:szCs w:val="24"/>
          <w:lang w:val="en-US"/>
        </w:rPr>
        <w:endnoteReference w:id="11"/>
      </w:r>
      <w:r w:rsidRPr="00083793">
        <w:rPr>
          <w:rFonts w:ascii="Times New Roman" w:hAnsi="Times New Roman" w:cs="Times New Roman"/>
          <w:sz w:val="24"/>
          <w:szCs w:val="24"/>
          <w:lang w:val="en-US"/>
        </w:rPr>
        <w:t xml:space="preserve"> </w:t>
      </w:r>
    </w:p>
    <w:p w14:paraId="4AE4DF35" w14:textId="1FEBD940" w:rsidR="006A3999" w:rsidRPr="00083793" w:rsidRDefault="006A3999" w:rsidP="00016FD4">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lastRenderedPageBreak/>
        <w:t xml:space="preserve">Despite misgivings, the Vaucher Commission agreed to assist the UNWCC and to open up </w:t>
      </w:r>
      <w:r w:rsidR="00FC3099">
        <w:rPr>
          <w:rFonts w:ascii="Times New Roman" w:hAnsi="Times New Roman" w:cs="Times New Roman"/>
          <w:sz w:val="24"/>
          <w:szCs w:val="24"/>
          <w:lang w:val="en-US"/>
        </w:rPr>
        <w:t>its</w:t>
      </w:r>
      <w:r w:rsidR="00FC3099" w:rsidRPr="00083793">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 xml:space="preserve">files. To this end, in April 1945, Wing-Commander Llewellyn-Jones selected forty cases from the </w:t>
      </w:r>
      <w:r w:rsidR="003116F5">
        <w:rPr>
          <w:rFonts w:ascii="Times New Roman" w:hAnsi="Times New Roman" w:cs="Times New Roman"/>
          <w:sz w:val="24"/>
          <w:szCs w:val="24"/>
          <w:lang w:val="en-US"/>
        </w:rPr>
        <w:t>c</w:t>
      </w:r>
      <w:r w:rsidRPr="00083793">
        <w:rPr>
          <w:rFonts w:ascii="Times New Roman" w:hAnsi="Times New Roman" w:cs="Times New Roman"/>
          <w:sz w:val="24"/>
          <w:szCs w:val="24"/>
          <w:lang w:val="en-US"/>
        </w:rPr>
        <w:t>ommission’s trove of material, all of which pertained to the looting of cultural objects in occupied Poland.</w:t>
      </w:r>
      <w:r w:rsidRPr="00083793">
        <w:rPr>
          <w:rStyle w:val="EndnoteReference"/>
          <w:rFonts w:ascii="Times New Roman" w:hAnsi="Times New Roman" w:cs="Times New Roman"/>
          <w:sz w:val="24"/>
          <w:szCs w:val="24"/>
          <w:lang w:val="en-US"/>
        </w:rPr>
        <w:endnoteReference w:id="12"/>
      </w:r>
      <w:r w:rsidRPr="00083793">
        <w:rPr>
          <w:rFonts w:ascii="Times New Roman" w:hAnsi="Times New Roman" w:cs="Times New Roman"/>
          <w:sz w:val="24"/>
          <w:szCs w:val="24"/>
          <w:lang w:val="en-US"/>
        </w:rPr>
        <w:t xml:space="preserve"> Of these, four were selected by Llewellyn-Jones as test cases. In the months after the selection of the test cases, the minutes reveal the eagerness of the membership of the Vaucher Commission to be further informed of the progress and status of the cases</w:t>
      </w:r>
      <w:r w:rsidR="003B57C1">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w:t>
      </w:r>
      <w:r w:rsidR="003B57C1">
        <w:rPr>
          <w:rFonts w:ascii="Times New Roman" w:hAnsi="Times New Roman" w:cs="Times New Roman"/>
          <w:sz w:val="24"/>
          <w:szCs w:val="24"/>
          <w:lang w:val="en-US"/>
        </w:rPr>
        <w:t>H</w:t>
      </w:r>
      <w:r w:rsidR="003B57C1" w:rsidRPr="00083793">
        <w:rPr>
          <w:rFonts w:ascii="Times New Roman" w:hAnsi="Times New Roman" w:cs="Times New Roman"/>
          <w:sz w:val="24"/>
          <w:szCs w:val="24"/>
          <w:lang w:val="en-US"/>
        </w:rPr>
        <w:t>owever</w:t>
      </w:r>
      <w:r w:rsidRPr="00083793">
        <w:rPr>
          <w:rFonts w:ascii="Times New Roman" w:hAnsi="Times New Roman" w:cs="Times New Roman"/>
          <w:sz w:val="24"/>
          <w:szCs w:val="24"/>
          <w:lang w:val="en-US"/>
        </w:rPr>
        <w:t>,</w:t>
      </w:r>
      <w:r w:rsidR="008B192C">
        <w:rPr>
          <w:rFonts w:ascii="Times New Roman" w:hAnsi="Times New Roman" w:cs="Times New Roman"/>
          <w:sz w:val="24"/>
          <w:szCs w:val="24"/>
          <w:lang w:val="en-US"/>
        </w:rPr>
        <w:t xml:space="preserve"> neither</w:t>
      </w:r>
      <w:r w:rsidRPr="00083793">
        <w:rPr>
          <w:rFonts w:ascii="Times New Roman" w:hAnsi="Times New Roman" w:cs="Times New Roman"/>
          <w:sz w:val="24"/>
          <w:szCs w:val="24"/>
          <w:lang w:val="en-US"/>
        </w:rPr>
        <w:t xml:space="preserve"> </w:t>
      </w:r>
      <w:r w:rsidR="006D03F2">
        <w:rPr>
          <w:rFonts w:ascii="Times New Roman" w:hAnsi="Times New Roman" w:cs="Times New Roman"/>
          <w:sz w:val="24"/>
          <w:szCs w:val="24"/>
          <w:lang w:val="en-US"/>
        </w:rPr>
        <w:t xml:space="preserve">the </w:t>
      </w:r>
      <w:r w:rsidR="00B13A96">
        <w:rPr>
          <w:rFonts w:ascii="Times New Roman" w:hAnsi="Times New Roman" w:cs="Times New Roman"/>
          <w:sz w:val="24"/>
          <w:szCs w:val="24"/>
          <w:lang w:val="en-US"/>
        </w:rPr>
        <w:t xml:space="preserve">archives of the commission </w:t>
      </w:r>
      <w:r w:rsidR="006D03F2">
        <w:rPr>
          <w:rFonts w:ascii="Times New Roman" w:hAnsi="Times New Roman" w:cs="Times New Roman"/>
          <w:sz w:val="24"/>
          <w:szCs w:val="24"/>
          <w:lang w:val="en-US"/>
        </w:rPr>
        <w:t xml:space="preserve">nor </w:t>
      </w:r>
      <w:r w:rsidR="00B52125">
        <w:rPr>
          <w:rFonts w:ascii="Times New Roman" w:hAnsi="Times New Roman" w:cs="Times New Roman"/>
          <w:sz w:val="24"/>
          <w:szCs w:val="24"/>
          <w:lang w:val="en-US"/>
        </w:rPr>
        <w:t xml:space="preserve">those of </w:t>
      </w:r>
      <w:r w:rsidRPr="00083793">
        <w:rPr>
          <w:rFonts w:ascii="Times New Roman" w:hAnsi="Times New Roman" w:cs="Times New Roman"/>
          <w:sz w:val="24"/>
          <w:szCs w:val="24"/>
          <w:lang w:val="en-US"/>
        </w:rPr>
        <w:t>the UNWCC reveal what ultimately happened to them.</w:t>
      </w:r>
      <w:r w:rsidRPr="00083793">
        <w:rPr>
          <w:rStyle w:val="EndnoteReference"/>
          <w:rFonts w:ascii="Times New Roman" w:hAnsi="Times New Roman" w:cs="Times New Roman"/>
          <w:sz w:val="24"/>
          <w:szCs w:val="24"/>
          <w:lang w:val="en-US"/>
        </w:rPr>
        <w:endnoteReference w:id="13"/>
      </w:r>
      <w:r w:rsidRPr="00083793">
        <w:rPr>
          <w:rFonts w:ascii="Times New Roman" w:hAnsi="Times New Roman" w:cs="Times New Roman"/>
          <w:sz w:val="24"/>
          <w:szCs w:val="24"/>
          <w:lang w:val="en-US"/>
        </w:rPr>
        <w:t xml:space="preserve"> Sadly, the trail runs cold on this fascinating collaboration.</w:t>
      </w:r>
    </w:p>
    <w:p w14:paraId="4953C121" w14:textId="7C4461E7" w:rsidR="006A3999" w:rsidRPr="00083793" w:rsidRDefault="006A3999" w:rsidP="00016FD4">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It will be some time before we have a clear picture of the full extent of the impact of the work of the UNWCC on the prosecution of crimes against</w:t>
      </w:r>
      <w:r w:rsidR="00600DCA">
        <w:rPr>
          <w:rFonts w:ascii="Times New Roman" w:hAnsi="Times New Roman" w:cs="Times New Roman"/>
          <w:sz w:val="24"/>
          <w:szCs w:val="24"/>
          <w:lang w:val="en-US"/>
        </w:rPr>
        <w:t xml:space="preserve"> tangible</w:t>
      </w:r>
      <w:r w:rsidRPr="00083793">
        <w:rPr>
          <w:rFonts w:ascii="Times New Roman" w:hAnsi="Times New Roman" w:cs="Times New Roman"/>
          <w:sz w:val="24"/>
          <w:szCs w:val="24"/>
          <w:lang w:val="en-US"/>
        </w:rPr>
        <w:t xml:space="preserve"> cultural heritage. Prior to the opening of </w:t>
      </w:r>
      <w:r w:rsidR="003C59B9">
        <w:rPr>
          <w:rFonts w:ascii="Times New Roman" w:hAnsi="Times New Roman" w:cs="Times New Roman"/>
          <w:sz w:val="24"/>
          <w:szCs w:val="24"/>
          <w:lang w:val="en-US"/>
        </w:rPr>
        <w:t>its</w:t>
      </w:r>
      <w:r w:rsidRPr="00083793">
        <w:rPr>
          <w:rFonts w:ascii="Times New Roman" w:hAnsi="Times New Roman" w:cs="Times New Roman"/>
          <w:sz w:val="24"/>
          <w:szCs w:val="24"/>
          <w:lang w:val="en-US"/>
        </w:rPr>
        <w:t xml:space="preserve"> archives, most insights into its work were gleaned from the series of law reports it published between 1947 and 1949. Referred to as the </w:t>
      </w:r>
      <w:r w:rsidRPr="00083793">
        <w:rPr>
          <w:rFonts w:ascii="Times New Roman" w:hAnsi="Times New Roman" w:cs="Times New Roman"/>
          <w:i/>
          <w:sz w:val="24"/>
          <w:szCs w:val="24"/>
          <w:lang w:val="en-US"/>
        </w:rPr>
        <w:t>Law Reports of the Trial of War Criminals</w:t>
      </w:r>
      <w:r w:rsidRPr="00083793">
        <w:rPr>
          <w:rFonts w:ascii="Times New Roman" w:hAnsi="Times New Roman" w:cs="Times New Roman"/>
          <w:sz w:val="24"/>
          <w:szCs w:val="24"/>
          <w:lang w:val="en-US"/>
        </w:rPr>
        <w:t>, the</w:t>
      </w:r>
      <w:r w:rsidR="008A3BD1">
        <w:rPr>
          <w:rFonts w:ascii="Times New Roman" w:hAnsi="Times New Roman" w:cs="Times New Roman"/>
          <w:sz w:val="24"/>
          <w:szCs w:val="24"/>
          <w:lang w:val="en-US"/>
        </w:rPr>
        <w:t>y</w:t>
      </w:r>
      <w:r w:rsidRPr="00083793">
        <w:rPr>
          <w:rFonts w:ascii="Times New Roman" w:hAnsi="Times New Roman" w:cs="Times New Roman"/>
          <w:sz w:val="24"/>
          <w:szCs w:val="24"/>
          <w:lang w:val="en-US"/>
        </w:rPr>
        <w:t xml:space="preserve"> set out in fifteen volumes to summarize a selection of the cases prosecuted in domestic jurisdictions that were driven by, and which benefitted from, the work of the UNWCC.</w:t>
      </w:r>
      <w:r w:rsidRPr="00083793">
        <w:rPr>
          <w:rStyle w:val="EndnoteReference"/>
          <w:rFonts w:ascii="Times New Roman" w:hAnsi="Times New Roman" w:cs="Times New Roman"/>
          <w:sz w:val="24"/>
          <w:szCs w:val="24"/>
          <w:lang w:val="en-US"/>
        </w:rPr>
        <w:endnoteReference w:id="14"/>
      </w:r>
      <w:r w:rsidRPr="00083793">
        <w:rPr>
          <w:rFonts w:ascii="Times New Roman" w:hAnsi="Times New Roman" w:cs="Times New Roman"/>
          <w:sz w:val="24"/>
          <w:szCs w:val="24"/>
          <w:lang w:val="en-US"/>
        </w:rPr>
        <w:t xml:space="preserve"> Most notable from the perspective of the prosecution of crimes against cultural heritage is the </w:t>
      </w:r>
      <w:r w:rsidR="00AE576A">
        <w:rPr>
          <w:rFonts w:ascii="Times New Roman" w:hAnsi="Times New Roman" w:cs="Times New Roman"/>
          <w:iCs/>
          <w:sz w:val="24"/>
          <w:szCs w:val="24"/>
          <w:lang w:val="en-US"/>
        </w:rPr>
        <w:t>t</w:t>
      </w:r>
      <w:r w:rsidRPr="00A02D5C">
        <w:rPr>
          <w:rFonts w:ascii="Times New Roman" w:hAnsi="Times New Roman" w:cs="Times New Roman"/>
          <w:iCs/>
          <w:sz w:val="24"/>
          <w:szCs w:val="24"/>
          <w:lang w:val="en-US"/>
        </w:rPr>
        <w:t>rial of Arthur Greiser</w:t>
      </w:r>
      <w:r w:rsidRPr="00083793">
        <w:rPr>
          <w:rFonts w:ascii="Times New Roman" w:hAnsi="Times New Roman" w:cs="Times New Roman"/>
          <w:i/>
          <w:sz w:val="24"/>
          <w:szCs w:val="24"/>
          <w:lang w:val="en-US"/>
        </w:rPr>
        <w:t xml:space="preserve"> </w:t>
      </w:r>
      <w:r w:rsidRPr="00083793">
        <w:rPr>
          <w:rFonts w:ascii="Times New Roman" w:hAnsi="Times New Roman" w:cs="Times New Roman"/>
          <w:sz w:val="24"/>
          <w:szCs w:val="24"/>
          <w:lang w:val="en-US"/>
        </w:rPr>
        <w:t>before the Supreme National Tribunal of Poland</w:t>
      </w:r>
      <w:r w:rsidR="00D71080">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Greiser</w:t>
      </w:r>
      <w:r w:rsidR="00F8798F">
        <w:rPr>
          <w:rFonts w:ascii="Times New Roman" w:hAnsi="Times New Roman" w:cs="Times New Roman"/>
          <w:sz w:val="24"/>
          <w:szCs w:val="24"/>
          <w:lang w:val="en-US"/>
        </w:rPr>
        <w:t xml:space="preserve"> was</w:t>
      </w:r>
      <w:r w:rsidRPr="00083793">
        <w:rPr>
          <w:rFonts w:ascii="Times New Roman" w:hAnsi="Times New Roman" w:cs="Times New Roman"/>
          <w:sz w:val="24"/>
          <w:szCs w:val="24"/>
          <w:lang w:val="en-US"/>
        </w:rPr>
        <w:t xml:space="preserve"> the former </w:t>
      </w:r>
      <w:r w:rsidRPr="00A02D5C">
        <w:rPr>
          <w:rFonts w:ascii="Times New Roman" w:hAnsi="Times New Roman" w:cs="Times New Roman"/>
          <w:iCs/>
          <w:sz w:val="24"/>
          <w:szCs w:val="24"/>
          <w:lang w:val="en-US"/>
        </w:rPr>
        <w:t>Gauleiter</w:t>
      </w:r>
      <w:r w:rsidRPr="00083793">
        <w:rPr>
          <w:rFonts w:ascii="Times New Roman" w:hAnsi="Times New Roman" w:cs="Times New Roman"/>
          <w:i/>
          <w:sz w:val="24"/>
          <w:szCs w:val="24"/>
          <w:lang w:val="en-US"/>
        </w:rPr>
        <w:t xml:space="preserve"> </w:t>
      </w:r>
      <w:r w:rsidRPr="00083793">
        <w:rPr>
          <w:rFonts w:ascii="Times New Roman" w:hAnsi="Times New Roman" w:cs="Times New Roman"/>
          <w:sz w:val="24"/>
          <w:szCs w:val="24"/>
          <w:lang w:val="en-US"/>
        </w:rPr>
        <w:t xml:space="preserve">and </w:t>
      </w:r>
      <w:r w:rsidRPr="00A02D5C">
        <w:rPr>
          <w:rFonts w:ascii="Times New Roman" w:hAnsi="Times New Roman" w:cs="Times New Roman"/>
          <w:iCs/>
          <w:sz w:val="24"/>
          <w:szCs w:val="24"/>
          <w:lang w:val="en-US"/>
        </w:rPr>
        <w:t>Reichsstatthelter</w:t>
      </w:r>
      <w:r w:rsidRPr="00083793">
        <w:rPr>
          <w:rFonts w:ascii="Times New Roman" w:hAnsi="Times New Roman" w:cs="Times New Roman"/>
          <w:i/>
          <w:sz w:val="24"/>
          <w:szCs w:val="24"/>
          <w:lang w:val="en-US"/>
        </w:rPr>
        <w:t xml:space="preserve"> </w:t>
      </w:r>
      <w:r w:rsidR="00CF5130">
        <w:rPr>
          <w:rFonts w:ascii="Times New Roman" w:hAnsi="Times New Roman" w:cs="Times New Roman"/>
          <w:iCs/>
          <w:sz w:val="24"/>
          <w:szCs w:val="24"/>
          <w:lang w:val="en-US"/>
        </w:rPr>
        <w:t>(</w:t>
      </w:r>
      <w:r w:rsidR="008E3307">
        <w:rPr>
          <w:rFonts w:ascii="Times New Roman" w:hAnsi="Times New Roman" w:cs="Times New Roman"/>
          <w:iCs/>
          <w:sz w:val="24"/>
          <w:szCs w:val="24"/>
          <w:lang w:val="en-US"/>
        </w:rPr>
        <w:t xml:space="preserve">regional </w:t>
      </w:r>
      <w:r w:rsidR="00BD63CF">
        <w:rPr>
          <w:rFonts w:ascii="Times New Roman" w:hAnsi="Times New Roman" w:cs="Times New Roman"/>
          <w:iCs/>
          <w:sz w:val="24"/>
          <w:szCs w:val="24"/>
          <w:lang w:val="en-US"/>
        </w:rPr>
        <w:t xml:space="preserve">Nazi </w:t>
      </w:r>
      <w:r w:rsidR="008E3307">
        <w:rPr>
          <w:rFonts w:ascii="Times New Roman" w:hAnsi="Times New Roman" w:cs="Times New Roman"/>
          <w:iCs/>
          <w:sz w:val="24"/>
          <w:szCs w:val="24"/>
          <w:lang w:val="en-US"/>
        </w:rPr>
        <w:t xml:space="preserve">leader and </w:t>
      </w:r>
      <w:r w:rsidR="00CF5130">
        <w:rPr>
          <w:rFonts w:ascii="Times New Roman" w:hAnsi="Times New Roman" w:cs="Times New Roman"/>
          <w:iCs/>
          <w:sz w:val="24"/>
          <w:szCs w:val="24"/>
          <w:lang w:val="en-US"/>
        </w:rPr>
        <w:t xml:space="preserve">governor) </w:t>
      </w:r>
      <w:r w:rsidRPr="00083793">
        <w:rPr>
          <w:rFonts w:ascii="Times New Roman" w:hAnsi="Times New Roman" w:cs="Times New Roman"/>
          <w:sz w:val="24"/>
          <w:szCs w:val="24"/>
          <w:lang w:val="en-US"/>
        </w:rPr>
        <w:t xml:space="preserve">of </w:t>
      </w:r>
      <w:r w:rsidR="000D527E">
        <w:rPr>
          <w:rFonts w:ascii="Times New Roman" w:hAnsi="Times New Roman" w:cs="Times New Roman"/>
          <w:sz w:val="24"/>
          <w:szCs w:val="24"/>
          <w:lang w:val="en-US"/>
        </w:rPr>
        <w:t xml:space="preserve">the </w:t>
      </w:r>
      <w:r w:rsidRPr="00083793">
        <w:rPr>
          <w:rFonts w:ascii="Times New Roman" w:hAnsi="Times New Roman" w:cs="Times New Roman"/>
          <w:sz w:val="24"/>
          <w:szCs w:val="24"/>
          <w:lang w:val="en-US"/>
        </w:rPr>
        <w:t xml:space="preserve">Wartheland, </w:t>
      </w:r>
      <w:r w:rsidR="00220198">
        <w:rPr>
          <w:rFonts w:ascii="Times New Roman" w:hAnsi="Times New Roman" w:cs="Times New Roman"/>
          <w:sz w:val="24"/>
          <w:szCs w:val="24"/>
          <w:lang w:val="en-US"/>
        </w:rPr>
        <w:t>the part of occupied Poland incorporated formally into Ger</w:t>
      </w:r>
      <w:r w:rsidR="00E319AF">
        <w:rPr>
          <w:rFonts w:ascii="Times New Roman" w:hAnsi="Times New Roman" w:cs="Times New Roman"/>
          <w:sz w:val="24"/>
          <w:szCs w:val="24"/>
          <w:lang w:val="en-US"/>
        </w:rPr>
        <w:t>m</w:t>
      </w:r>
      <w:r w:rsidR="00220198">
        <w:rPr>
          <w:rFonts w:ascii="Times New Roman" w:hAnsi="Times New Roman" w:cs="Times New Roman"/>
          <w:sz w:val="24"/>
          <w:szCs w:val="24"/>
          <w:lang w:val="en-US"/>
        </w:rPr>
        <w:t>a</w:t>
      </w:r>
      <w:r w:rsidR="00EF2CA3">
        <w:rPr>
          <w:rFonts w:ascii="Times New Roman" w:hAnsi="Times New Roman" w:cs="Times New Roman"/>
          <w:sz w:val="24"/>
          <w:szCs w:val="24"/>
          <w:lang w:val="en-US"/>
        </w:rPr>
        <w:t>n</w:t>
      </w:r>
      <w:r w:rsidR="00220198">
        <w:rPr>
          <w:rFonts w:ascii="Times New Roman" w:hAnsi="Times New Roman" w:cs="Times New Roman"/>
          <w:sz w:val="24"/>
          <w:szCs w:val="24"/>
          <w:lang w:val="en-US"/>
        </w:rPr>
        <w:t>y during the war</w:t>
      </w:r>
      <w:r w:rsidR="00F8798F">
        <w:rPr>
          <w:rFonts w:ascii="Times New Roman" w:hAnsi="Times New Roman" w:cs="Times New Roman"/>
          <w:sz w:val="24"/>
          <w:szCs w:val="24"/>
          <w:lang w:val="en-US"/>
        </w:rPr>
        <w:t xml:space="preserve">. His </w:t>
      </w:r>
      <w:r w:rsidR="00F8798F" w:rsidRPr="00083793">
        <w:rPr>
          <w:rFonts w:ascii="Times New Roman" w:hAnsi="Times New Roman" w:cs="Times New Roman"/>
          <w:sz w:val="24"/>
          <w:szCs w:val="24"/>
          <w:lang w:val="en-US"/>
        </w:rPr>
        <w:t xml:space="preserve">indictment </w:t>
      </w:r>
      <w:r w:rsidRPr="00083793">
        <w:rPr>
          <w:rFonts w:ascii="Times New Roman" w:hAnsi="Times New Roman" w:cs="Times New Roman"/>
          <w:sz w:val="24"/>
          <w:szCs w:val="24"/>
          <w:lang w:val="en-US"/>
        </w:rPr>
        <w:t xml:space="preserve">was seminal </w:t>
      </w:r>
      <w:r w:rsidR="00F25575">
        <w:rPr>
          <w:rFonts w:ascii="Times New Roman" w:hAnsi="Times New Roman" w:cs="Times New Roman"/>
          <w:sz w:val="24"/>
          <w:szCs w:val="24"/>
          <w:lang w:val="en-US"/>
        </w:rPr>
        <w:t xml:space="preserve">because </w:t>
      </w:r>
      <w:r w:rsidRPr="00083793">
        <w:rPr>
          <w:rFonts w:ascii="Times New Roman" w:hAnsi="Times New Roman" w:cs="Times New Roman"/>
          <w:sz w:val="24"/>
          <w:szCs w:val="24"/>
          <w:lang w:val="en-US"/>
        </w:rPr>
        <w:t>it laid charges relating to the widespread destruction of Polish heritage undertaken as part of, and in tandem with, a campaign of genocide and persecution.</w:t>
      </w:r>
      <w:r w:rsidRPr="00083793">
        <w:rPr>
          <w:rStyle w:val="EndnoteReference"/>
          <w:rFonts w:ascii="Times New Roman" w:hAnsi="Times New Roman" w:cs="Times New Roman"/>
          <w:sz w:val="24"/>
          <w:szCs w:val="24"/>
          <w:lang w:val="en-US"/>
        </w:rPr>
        <w:endnoteReference w:id="15"/>
      </w:r>
      <w:r w:rsidRPr="00083793">
        <w:rPr>
          <w:rFonts w:ascii="Times New Roman" w:hAnsi="Times New Roman" w:cs="Times New Roman"/>
          <w:sz w:val="24"/>
          <w:szCs w:val="24"/>
          <w:lang w:val="en-US"/>
        </w:rPr>
        <w:t xml:space="preserve"> The indictment also charged Greiser with involvement in the conception and implementation </w:t>
      </w:r>
      <w:r w:rsidRPr="00083793">
        <w:rPr>
          <w:rFonts w:ascii="Times New Roman" w:hAnsi="Times New Roman" w:cs="Times New Roman"/>
          <w:sz w:val="24"/>
          <w:szCs w:val="24"/>
          <w:lang w:val="en-US"/>
        </w:rPr>
        <w:lastRenderedPageBreak/>
        <w:t xml:space="preserve">of so-called “denationalization” policies, </w:t>
      </w:r>
      <w:r w:rsidR="000E2520">
        <w:rPr>
          <w:rFonts w:ascii="Times New Roman" w:hAnsi="Times New Roman" w:cs="Times New Roman"/>
          <w:sz w:val="24"/>
          <w:szCs w:val="24"/>
          <w:lang w:val="en-US"/>
        </w:rPr>
        <w:t>the</w:t>
      </w:r>
      <w:r w:rsidRPr="00083793">
        <w:rPr>
          <w:rFonts w:ascii="Times New Roman" w:hAnsi="Times New Roman" w:cs="Times New Roman"/>
          <w:sz w:val="24"/>
          <w:szCs w:val="24"/>
          <w:lang w:val="en-US"/>
        </w:rPr>
        <w:t xml:space="preserve"> purpose </w:t>
      </w:r>
      <w:r w:rsidR="00F30D71">
        <w:rPr>
          <w:rFonts w:ascii="Times New Roman" w:hAnsi="Times New Roman" w:cs="Times New Roman"/>
          <w:sz w:val="24"/>
          <w:szCs w:val="24"/>
          <w:lang w:val="en-US"/>
        </w:rPr>
        <w:t>o</w:t>
      </w:r>
      <w:r w:rsidR="000E2520">
        <w:rPr>
          <w:rFonts w:ascii="Times New Roman" w:hAnsi="Times New Roman" w:cs="Times New Roman"/>
          <w:sz w:val="24"/>
          <w:szCs w:val="24"/>
          <w:lang w:val="en-US"/>
        </w:rPr>
        <w:t xml:space="preserve">f which </w:t>
      </w:r>
      <w:r w:rsidRPr="00083793">
        <w:rPr>
          <w:rFonts w:ascii="Times New Roman" w:hAnsi="Times New Roman" w:cs="Times New Roman"/>
          <w:sz w:val="24"/>
          <w:szCs w:val="24"/>
          <w:lang w:val="en-US"/>
        </w:rPr>
        <w:t>was the eradication of individual and collective identity and the imposition of a homogenized, assimilated, “German” society on the occupied population.</w:t>
      </w:r>
      <w:r w:rsidRPr="00083793">
        <w:rPr>
          <w:rStyle w:val="EndnoteReference"/>
          <w:rFonts w:ascii="Times New Roman" w:hAnsi="Times New Roman" w:cs="Times New Roman"/>
          <w:sz w:val="24"/>
          <w:szCs w:val="24"/>
          <w:lang w:val="en-US"/>
        </w:rPr>
        <w:endnoteReference w:id="16"/>
      </w:r>
      <w:r w:rsidRPr="00083793">
        <w:rPr>
          <w:rFonts w:ascii="Times New Roman" w:hAnsi="Times New Roman" w:cs="Times New Roman"/>
          <w:sz w:val="24"/>
          <w:szCs w:val="24"/>
          <w:lang w:val="en-US"/>
        </w:rPr>
        <w:t xml:space="preserve"> The case addresse</w:t>
      </w:r>
      <w:r w:rsidR="0042668D">
        <w:rPr>
          <w:rFonts w:ascii="Times New Roman" w:hAnsi="Times New Roman" w:cs="Times New Roman"/>
          <w:sz w:val="24"/>
          <w:szCs w:val="24"/>
          <w:lang w:val="en-US"/>
        </w:rPr>
        <w:t>d</w:t>
      </w:r>
      <w:r w:rsidRPr="00083793">
        <w:rPr>
          <w:rFonts w:ascii="Times New Roman" w:hAnsi="Times New Roman" w:cs="Times New Roman"/>
          <w:sz w:val="24"/>
          <w:szCs w:val="24"/>
          <w:lang w:val="en-US"/>
        </w:rPr>
        <w:t xml:space="preserve"> the destruction of both tangible and intangible cultural heritage and had an impact on early conceptualizations of the notion of cultural genocide</w:t>
      </w:r>
      <w:r w:rsidR="0042668D">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illustrat</w:t>
      </w:r>
      <w:r w:rsidR="0042668D">
        <w:rPr>
          <w:rFonts w:ascii="Times New Roman" w:hAnsi="Times New Roman" w:cs="Times New Roman"/>
          <w:sz w:val="24"/>
          <w:szCs w:val="24"/>
          <w:lang w:val="en-US"/>
        </w:rPr>
        <w:t>ing</w:t>
      </w:r>
      <w:r w:rsidRPr="00083793">
        <w:rPr>
          <w:rFonts w:ascii="Times New Roman" w:hAnsi="Times New Roman" w:cs="Times New Roman"/>
          <w:sz w:val="24"/>
          <w:szCs w:val="24"/>
          <w:lang w:val="en-US"/>
        </w:rPr>
        <w:t xml:space="preserve"> for the first time the unmistakable link between acts of heritage destruction and genocidal intent. </w:t>
      </w:r>
    </w:p>
    <w:p w14:paraId="2D24F6C4" w14:textId="00EFA789" w:rsidR="006A3999" w:rsidRDefault="006A3999" w:rsidP="00016FD4">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The UNWCC’s role in forging accountability efforts for crimes against culture constitutes something of a hidden history. More prominent in orthodox accounts of the evolution of international criminal law in this sphere is the legacy of the IMT and its prosecution of</w:t>
      </w:r>
      <w:r w:rsidR="006771F2">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among others</w:t>
      </w:r>
      <w:r w:rsidR="006771F2">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Alfred Rosenberg, the architect and overseer of the Third Reich’s systematic crimes against culture. </w:t>
      </w:r>
    </w:p>
    <w:p w14:paraId="70CBC11D" w14:textId="77777777" w:rsidR="009C2630" w:rsidRPr="00083793" w:rsidRDefault="009C2630" w:rsidP="00016FD4">
      <w:pPr>
        <w:spacing w:after="0" w:line="480" w:lineRule="auto"/>
        <w:ind w:firstLine="720"/>
        <w:contextualSpacing/>
        <w:rPr>
          <w:rFonts w:ascii="Times New Roman" w:hAnsi="Times New Roman" w:cs="Times New Roman"/>
          <w:sz w:val="24"/>
          <w:szCs w:val="24"/>
          <w:lang w:val="en-US"/>
        </w:rPr>
      </w:pPr>
    </w:p>
    <w:p w14:paraId="7E1B86A1" w14:textId="2900C952" w:rsidR="006A3999" w:rsidRPr="00083793" w:rsidRDefault="006A3999" w:rsidP="009869C8">
      <w:pPr>
        <w:pStyle w:val="Heading2"/>
        <w:rPr>
          <w:lang w:val="en-US"/>
        </w:rPr>
      </w:pPr>
      <w:r w:rsidRPr="00083793">
        <w:rPr>
          <w:lang w:val="en-US"/>
        </w:rPr>
        <w:t>Nuremberg, Rosenberg</w:t>
      </w:r>
      <w:r w:rsidR="009C2630">
        <w:rPr>
          <w:lang w:val="en-US"/>
        </w:rPr>
        <w:t>,</w:t>
      </w:r>
      <w:r w:rsidRPr="00083793">
        <w:rPr>
          <w:lang w:val="en-US"/>
        </w:rPr>
        <w:t xml:space="preserve"> and Crimes </w:t>
      </w:r>
      <w:r w:rsidR="009C2630">
        <w:rPr>
          <w:lang w:val="en-US"/>
        </w:rPr>
        <w:t>a</w:t>
      </w:r>
      <w:r w:rsidRPr="00083793">
        <w:rPr>
          <w:lang w:val="en-US"/>
        </w:rPr>
        <w:t>gainst Culture</w:t>
      </w:r>
    </w:p>
    <w:p w14:paraId="0108CEFF" w14:textId="76610AD2" w:rsidR="006A3999" w:rsidRPr="00083793" w:rsidRDefault="006A3999" w:rsidP="00016FD4">
      <w:pPr>
        <w:spacing w:after="0" w:line="480" w:lineRule="auto"/>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Under Article 6</w:t>
      </w:r>
      <w:r w:rsidR="006771F2">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b of the </w:t>
      </w:r>
      <w:r w:rsidR="00880A19">
        <w:rPr>
          <w:rFonts w:ascii="Times New Roman" w:hAnsi="Times New Roman" w:cs="Times New Roman"/>
          <w:sz w:val="24"/>
          <w:szCs w:val="24"/>
          <w:lang w:val="en-US"/>
        </w:rPr>
        <w:t xml:space="preserve">London </w:t>
      </w:r>
      <w:r w:rsidRPr="00083793">
        <w:rPr>
          <w:rFonts w:ascii="Times New Roman" w:hAnsi="Times New Roman" w:cs="Times New Roman"/>
          <w:sz w:val="24"/>
          <w:szCs w:val="24"/>
          <w:lang w:val="en-US"/>
        </w:rPr>
        <w:t>Charter</w:t>
      </w:r>
      <w:r w:rsidR="00880A19">
        <w:rPr>
          <w:rFonts w:ascii="Times New Roman" w:hAnsi="Times New Roman" w:cs="Times New Roman"/>
          <w:sz w:val="24"/>
          <w:szCs w:val="24"/>
          <w:lang w:val="en-US"/>
        </w:rPr>
        <w:t>, which established</w:t>
      </w:r>
      <w:r w:rsidRPr="00083793">
        <w:rPr>
          <w:rFonts w:ascii="Times New Roman" w:hAnsi="Times New Roman" w:cs="Times New Roman"/>
          <w:sz w:val="24"/>
          <w:szCs w:val="24"/>
          <w:lang w:val="en-US"/>
        </w:rPr>
        <w:t xml:space="preserve"> the IMT, the </w:t>
      </w:r>
      <w:r w:rsidR="00DF3A79">
        <w:rPr>
          <w:rFonts w:ascii="Times New Roman" w:hAnsi="Times New Roman" w:cs="Times New Roman"/>
          <w:sz w:val="24"/>
          <w:szCs w:val="24"/>
          <w:lang w:val="en-US"/>
        </w:rPr>
        <w:t>t</w:t>
      </w:r>
      <w:r w:rsidRPr="00083793">
        <w:rPr>
          <w:rFonts w:ascii="Times New Roman" w:hAnsi="Times New Roman" w:cs="Times New Roman"/>
          <w:sz w:val="24"/>
          <w:szCs w:val="24"/>
          <w:lang w:val="en-US"/>
        </w:rPr>
        <w:t>ribunal had jurisdiction over violations of the laws and customs of war, part of which was “the plunder of public or private property, wanton destruction of cities, towns or villages, or devastation not justified by military necessity</w:t>
      </w:r>
      <w:r w:rsidR="00EC7182">
        <w:rPr>
          <w:rFonts w:ascii="Times New Roman" w:hAnsi="Times New Roman" w:cs="Times New Roman"/>
          <w:sz w:val="24"/>
          <w:szCs w:val="24"/>
          <w:lang w:val="en-US"/>
        </w:rPr>
        <w:t>.”</w:t>
      </w:r>
      <w:r w:rsidRPr="00083793">
        <w:rPr>
          <w:rStyle w:val="EndnoteReference"/>
          <w:rFonts w:ascii="Times New Roman" w:hAnsi="Times New Roman" w:cs="Times New Roman"/>
          <w:sz w:val="24"/>
          <w:szCs w:val="24"/>
          <w:lang w:val="en-US"/>
        </w:rPr>
        <w:endnoteReference w:id="17"/>
      </w:r>
      <w:r w:rsidRPr="00083793">
        <w:rPr>
          <w:rFonts w:ascii="Times New Roman" w:hAnsi="Times New Roman" w:cs="Times New Roman"/>
          <w:sz w:val="24"/>
          <w:szCs w:val="24"/>
          <w:lang w:val="en-US"/>
        </w:rPr>
        <w:t xml:space="preserve"> The primary focus of the evidence relating to the looting and destruction of cultural sites and objects centered on Rosenberg, who among other roles oversaw the “Einsatzstab Rosenberg” (Special Staff Rosenberg).</w:t>
      </w:r>
      <w:r w:rsidRPr="00083793">
        <w:rPr>
          <w:rStyle w:val="EndnoteReference"/>
          <w:rFonts w:ascii="Times New Roman" w:hAnsi="Times New Roman" w:cs="Times New Roman"/>
          <w:sz w:val="24"/>
          <w:szCs w:val="24"/>
          <w:lang w:val="en-US"/>
        </w:rPr>
        <w:endnoteReference w:id="18"/>
      </w:r>
      <w:r w:rsidRPr="00083793">
        <w:rPr>
          <w:rFonts w:ascii="Times New Roman" w:hAnsi="Times New Roman" w:cs="Times New Roman"/>
          <w:sz w:val="24"/>
          <w:szCs w:val="24"/>
          <w:lang w:val="en-US"/>
        </w:rPr>
        <w:t xml:space="preserve"> The US prosecution team at Nuremberg presented the Einsatzstab as “an organization which planned and directed the looting of cultural treasures of nearly all Europe</w:t>
      </w:r>
      <w:r w:rsidR="00EC7182">
        <w:rPr>
          <w:rFonts w:ascii="Times New Roman" w:hAnsi="Times New Roman" w:cs="Times New Roman"/>
          <w:sz w:val="24"/>
          <w:szCs w:val="24"/>
          <w:lang w:val="en-US"/>
        </w:rPr>
        <w:t>.”</w:t>
      </w:r>
      <w:r w:rsidRPr="00083793">
        <w:rPr>
          <w:rStyle w:val="EndnoteReference"/>
          <w:rFonts w:ascii="Times New Roman" w:hAnsi="Times New Roman" w:cs="Times New Roman"/>
          <w:sz w:val="24"/>
          <w:szCs w:val="24"/>
          <w:lang w:val="en-US"/>
        </w:rPr>
        <w:endnoteReference w:id="19"/>
      </w:r>
      <w:r w:rsidRPr="00083793">
        <w:rPr>
          <w:rFonts w:ascii="Times New Roman" w:hAnsi="Times New Roman" w:cs="Times New Roman"/>
          <w:sz w:val="24"/>
          <w:szCs w:val="24"/>
          <w:lang w:val="en-US"/>
        </w:rPr>
        <w:t xml:space="preserve"> </w:t>
      </w:r>
    </w:p>
    <w:p w14:paraId="49F9AD88" w14:textId="38DE62F5" w:rsidR="006A3999" w:rsidRPr="00083793" w:rsidRDefault="006A3999" w:rsidP="00016FD4">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 xml:space="preserve">The sheer scale of looting defied accurate quantification and description with the </w:t>
      </w:r>
      <w:r w:rsidR="00277407">
        <w:rPr>
          <w:rFonts w:ascii="Times New Roman" w:hAnsi="Times New Roman" w:cs="Times New Roman"/>
          <w:sz w:val="24"/>
          <w:szCs w:val="24"/>
          <w:lang w:val="en-US"/>
        </w:rPr>
        <w:t>p</w:t>
      </w:r>
      <w:r w:rsidRPr="00083793">
        <w:rPr>
          <w:rFonts w:ascii="Times New Roman" w:hAnsi="Times New Roman" w:cs="Times New Roman"/>
          <w:sz w:val="24"/>
          <w:szCs w:val="24"/>
          <w:lang w:val="en-US"/>
        </w:rPr>
        <w:t xml:space="preserve">rosecution relying on estimates drawn from seized German records. In an effort to give the judges a sense of both the scale of the looting and the cultural value of the objects </w:t>
      </w:r>
      <w:r w:rsidRPr="00083793">
        <w:rPr>
          <w:rFonts w:ascii="Times New Roman" w:hAnsi="Times New Roman" w:cs="Times New Roman"/>
          <w:sz w:val="24"/>
          <w:szCs w:val="24"/>
          <w:lang w:val="en-US"/>
        </w:rPr>
        <w:lastRenderedPageBreak/>
        <w:t xml:space="preserve">stolen, the </w:t>
      </w:r>
      <w:r w:rsidR="005678F7">
        <w:rPr>
          <w:rFonts w:ascii="Times New Roman" w:hAnsi="Times New Roman" w:cs="Times New Roman"/>
          <w:sz w:val="24"/>
          <w:szCs w:val="24"/>
          <w:lang w:val="en-US"/>
        </w:rPr>
        <w:t>p</w:t>
      </w:r>
      <w:r w:rsidRPr="00083793">
        <w:rPr>
          <w:rFonts w:ascii="Times New Roman" w:hAnsi="Times New Roman" w:cs="Times New Roman"/>
          <w:sz w:val="24"/>
          <w:szCs w:val="24"/>
          <w:lang w:val="en-US"/>
        </w:rPr>
        <w:t>rosecution select</w:t>
      </w:r>
      <w:r w:rsidR="005678F7">
        <w:rPr>
          <w:rFonts w:ascii="Times New Roman" w:hAnsi="Times New Roman" w:cs="Times New Roman"/>
          <w:sz w:val="24"/>
          <w:szCs w:val="24"/>
          <w:lang w:val="en-US"/>
        </w:rPr>
        <w:t>ed</w:t>
      </w:r>
      <w:r w:rsidRPr="00083793">
        <w:rPr>
          <w:rFonts w:ascii="Times New Roman" w:hAnsi="Times New Roman" w:cs="Times New Roman"/>
          <w:sz w:val="24"/>
          <w:szCs w:val="24"/>
          <w:lang w:val="en-US"/>
        </w:rPr>
        <w:t xml:space="preserve"> a number of images from the carefully compiled catalogues maintained by the Einsatzstab Rosenberg</w:t>
      </w:r>
      <w:r w:rsidR="00967B6E">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shar</w:t>
      </w:r>
      <w:r w:rsidR="00967B6E">
        <w:rPr>
          <w:rFonts w:ascii="Times New Roman" w:hAnsi="Times New Roman" w:cs="Times New Roman"/>
          <w:sz w:val="24"/>
          <w:szCs w:val="24"/>
          <w:lang w:val="en-US"/>
        </w:rPr>
        <w:t>ing</w:t>
      </w:r>
      <w:r w:rsidRPr="00083793">
        <w:rPr>
          <w:rFonts w:ascii="Times New Roman" w:hAnsi="Times New Roman" w:cs="Times New Roman"/>
          <w:sz w:val="24"/>
          <w:szCs w:val="24"/>
          <w:lang w:val="en-US"/>
        </w:rPr>
        <w:t xml:space="preserve"> them with the </w:t>
      </w:r>
      <w:r w:rsidR="005678F7">
        <w:rPr>
          <w:rFonts w:ascii="Times New Roman" w:hAnsi="Times New Roman" w:cs="Times New Roman"/>
          <w:sz w:val="24"/>
          <w:szCs w:val="24"/>
          <w:lang w:val="en-US"/>
        </w:rPr>
        <w:t>c</w:t>
      </w:r>
      <w:r w:rsidRPr="00083793">
        <w:rPr>
          <w:rFonts w:ascii="Times New Roman" w:hAnsi="Times New Roman" w:cs="Times New Roman"/>
          <w:sz w:val="24"/>
          <w:szCs w:val="24"/>
          <w:lang w:val="en-US"/>
        </w:rPr>
        <w:t xml:space="preserve">ourtroom via projector. </w:t>
      </w:r>
      <w:r w:rsidR="00D51DB4">
        <w:rPr>
          <w:rFonts w:ascii="Times New Roman" w:hAnsi="Times New Roman" w:cs="Times New Roman"/>
          <w:sz w:val="24"/>
          <w:szCs w:val="24"/>
          <w:lang w:val="en-US"/>
        </w:rPr>
        <w:t>T</w:t>
      </w:r>
      <w:r w:rsidRPr="00083793">
        <w:rPr>
          <w:rFonts w:ascii="Times New Roman" w:hAnsi="Times New Roman" w:cs="Times New Roman"/>
          <w:sz w:val="24"/>
          <w:szCs w:val="24"/>
          <w:lang w:val="en-US"/>
        </w:rPr>
        <w:t xml:space="preserve">he </w:t>
      </w:r>
      <w:r w:rsidR="00D51DB4">
        <w:rPr>
          <w:rFonts w:ascii="Times New Roman" w:hAnsi="Times New Roman" w:cs="Times New Roman"/>
          <w:sz w:val="24"/>
          <w:szCs w:val="24"/>
          <w:lang w:val="en-US"/>
        </w:rPr>
        <w:t>p</w:t>
      </w:r>
      <w:r w:rsidRPr="00083793">
        <w:rPr>
          <w:rFonts w:ascii="Times New Roman" w:hAnsi="Times New Roman" w:cs="Times New Roman"/>
          <w:sz w:val="24"/>
          <w:szCs w:val="24"/>
          <w:lang w:val="en-US"/>
        </w:rPr>
        <w:t xml:space="preserve">rosecution </w:t>
      </w:r>
      <w:r w:rsidR="00D51DB4">
        <w:rPr>
          <w:rFonts w:ascii="Times New Roman" w:hAnsi="Times New Roman" w:cs="Times New Roman"/>
          <w:sz w:val="24"/>
          <w:szCs w:val="24"/>
          <w:lang w:val="en-US"/>
        </w:rPr>
        <w:t xml:space="preserve">displayed </w:t>
      </w:r>
      <w:r w:rsidRPr="00083793">
        <w:rPr>
          <w:rFonts w:ascii="Times New Roman" w:hAnsi="Times New Roman" w:cs="Times New Roman"/>
          <w:sz w:val="24"/>
          <w:szCs w:val="24"/>
          <w:lang w:val="en-US"/>
        </w:rPr>
        <w:t>thirteen images</w:t>
      </w:r>
      <w:r w:rsidR="00D51DB4">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ranging from Vecchio’s </w:t>
      </w:r>
      <w:r w:rsidRPr="00A02D5C">
        <w:rPr>
          <w:rFonts w:ascii="Times New Roman" w:hAnsi="Times New Roman" w:cs="Times New Roman"/>
          <w:i/>
          <w:iCs/>
          <w:sz w:val="24"/>
          <w:szCs w:val="24"/>
          <w:lang w:val="en-US"/>
        </w:rPr>
        <w:t>Portrait of a Woman</w:t>
      </w:r>
      <w:r w:rsidR="00EC7182">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and Reynolds’ </w:t>
      </w:r>
      <w:r w:rsidRPr="00A02D5C">
        <w:rPr>
          <w:rFonts w:ascii="Times New Roman" w:hAnsi="Times New Roman" w:cs="Times New Roman"/>
          <w:i/>
          <w:iCs/>
          <w:sz w:val="24"/>
          <w:szCs w:val="24"/>
          <w:lang w:val="en-US"/>
        </w:rPr>
        <w:t>Portrait of Lady Spencer</w:t>
      </w:r>
      <w:r w:rsidR="00EC7182">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to </w:t>
      </w:r>
      <w:r w:rsidRPr="00A02D5C">
        <w:rPr>
          <w:rFonts w:ascii="Times New Roman" w:hAnsi="Times New Roman" w:cs="Times New Roman"/>
          <w:i/>
          <w:iCs/>
          <w:sz w:val="24"/>
          <w:szCs w:val="24"/>
          <w:lang w:val="en-US"/>
        </w:rPr>
        <w:t>The Three Graces</w:t>
      </w:r>
      <w:r w:rsidRPr="00083793">
        <w:rPr>
          <w:rFonts w:ascii="Times New Roman" w:hAnsi="Times New Roman" w:cs="Times New Roman"/>
          <w:sz w:val="24"/>
          <w:szCs w:val="24"/>
          <w:lang w:val="en-US"/>
        </w:rPr>
        <w:t xml:space="preserve"> by Rubens, as well as a selection of jewelry, a silver-inlaid Louis XIV cabinet, and a Gobelin tapestry.</w:t>
      </w:r>
      <w:r w:rsidRPr="00083793">
        <w:rPr>
          <w:rStyle w:val="EndnoteReference"/>
          <w:rFonts w:ascii="Times New Roman" w:hAnsi="Times New Roman" w:cs="Times New Roman"/>
          <w:sz w:val="24"/>
          <w:szCs w:val="24"/>
          <w:lang w:val="en-US"/>
        </w:rPr>
        <w:endnoteReference w:id="20"/>
      </w:r>
      <w:r w:rsidRPr="00083793">
        <w:rPr>
          <w:rFonts w:ascii="Times New Roman" w:hAnsi="Times New Roman" w:cs="Times New Roman"/>
          <w:sz w:val="24"/>
          <w:szCs w:val="24"/>
          <w:lang w:val="en-US"/>
        </w:rPr>
        <w:t xml:space="preserve"> </w:t>
      </w:r>
    </w:p>
    <w:p w14:paraId="0A830A49" w14:textId="06076EDE" w:rsidR="006A3999" w:rsidRPr="00083793" w:rsidRDefault="006A3999" w:rsidP="00016FD4">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 xml:space="preserve">Notably, the </w:t>
      </w:r>
      <w:r w:rsidR="0074159E">
        <w:rPr>
          <w:rFonts w:ascii="Times New Roman" w:hAnsi="Times New Roman" w:cs="Times New Roman"/>
          <w:sz w:val="24"/>
          <w:szCs w:val="24"/>
          <w:lang w:val="en-US"/>
        </w:rPr>
        <w:t xml:space="preserve">IMT </w:t>
      </w:r>
      <w:r w:rsidRPr="00083793">
        <w:rPr>
          <w:rFonts w:ascii="Times New Roman" w:hAnsi="Times New Roman" w:cs="Times New Roman"/>
          <w:sz w:val="24"/>
          <w:szCs w:val="24"/>
          <w:lang w:val="en-US"/>
        </w:rPr>
        <w:t xml:space="preserve">proceedings placed a much greater focus on the looting of cultural objects compared with evidence relating to the destruction of cultural property and sites. The consequences of the Nazi pursuit of total war in the wanton destruction of cities and the devastation of public and private property </w:t>
      </w:r>
      <w:r w:rsidR="001F2F87">
        <w:rPr>
          <w:rFonts w:ascii="Times New Roman" w:hAnsi="Times New Roman" w:cs="Times New Roman"/>
          <w:sz w:val="24"/>
          <w:szCs w:val="24"/>
          <w:lang w:val="en-US"/>
        </w:rPr>
        <w:t>are</w:t>
      </w:r>
      <w:r w:rsidR="001F2F87" w:rsidRPr="00083793">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 xml:space="preserve">certainly accounted for, as are policies relating to denationalization and </w:t>
      </w:r>
      <w:r w:rsidR="009A6FAE">
        <w:rPr>
          <w:rFonts w:ascii="Times New Roman" w:hAnsi="Times New Roman" w:cs="Times New Roman"/>
          <w:sz w:val="24"/>
          <w:szCs w:val="24"/>
          <w:lang w:val="en-US"/>
        </w:rPr>
        <w:t>G</w:t>
      </w:r>
      <w:r w:rsidRPr="00083793">
        <w:rPr>
          <w:rFonts w:ascii="Times New Roman" w:hAnsi="Times New Roman" w:cs="Times New Roman"/>
          <w:sz w:val="24"/>
          <w:szCs w:val="24"/>
          <w:lang w:val="en-US"/>
        </w:rPr>
        <w:t>ermani</w:t>
      </w:r>
      <w:r w:rsidR="00A21704">
        <w:rPr>
          <w:rFonts w:ascii="Times New Roman" w:hAnsi="Times New Roman" w:cs="Times New Roman"/>
          <w:sz w:val="24"/>
          <w:szCs w:val="24"/>
          <w:lang w:val="en-US"/>
        </w:rPr>
        <w:t>z</w:t>
      </w:r>
      <w:r w:rsidRPr="00083793">
        <w:rPr>
          <w:rFonts w:ascii="Times New Roman" w:hAnsi="Times New Roman" w:cs="Times New Roman"/>
          <w:sz w:val="24"/>
          <w:szCs w:val="24"/>
          <w:lang w:val="en-US"/>
        </w:rPr>
        <w:t>ation</w:t>
      </w:r>
      <w:r w:rsidR="00AB531B">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w:t>
      </w:r>
      <w:r w:rsidR="00AB531B">
        <w:rPr>
          <w:rFonts w:ascii="Times New Roman" w:hAnsi="Times New Roman" w:cs="Times New Roman"/>
          <w:sz w:val="24"/>
          <w:szCs w:val="24"/>
          <w:lang w:val="en-US"/>
        </w:rPr>
        <w:t xml:space="preserve">but </w:t>
      </w:r>
      <w:r w:rsidRPr="00083793">
        <w:rPr>
          <w:rFonts w:ascii="Times New Roman" w:hAnsi="Times New Roman" w:cs="Times New Roman"/>
          <w:sz w:val="24"/>
          <w:szCs w:val="24"/>
          <w:lang w:val="en-US"/>
        </w:rPr>
        <w:t>there is little specificity to the prosecution case or the final judgment with regard to the destruction of monuments, or the destruction of buildings and sites of cultural value</w:t>
      </w:r>
      <w:r w:rsidR="00055A7B">
        <w:rPr>
          <w:rFonts w:ascii="Times New Roman" w:hAnsi="Times New Roman" w:cs="Times New Roman"/>
          <w:sz w:val="24"/>
          <w:szCs w:val="24"/>
          <w:lang w:val="en-US"/>
        </w:rPr>
        <w:t>,</w:t>
      </w:r>
      <w:r w:rsidR="00055A7B">
        <w:rPr>
          <w:rStyle w:val="EndnoteReference"/>
          <w:rFonts w:ascii="Times New Roman" w:hAnsi="Times New Roman" w:cs="Times New Roman"/>
          <w:sz w:val="24"/>
          <w:szCs w:val="24"/>
          <w:lang w:val="en-US"/>
        </w:rPr>
        <w:endnoteReference w:id="21"/>
      </w:r>
      <w:r w:rsidR="00055A7B">
        <w:rPr>
          <w:rFonts w:ascii="Times New Roman" w:hAnsi="Times New Roman" w:cs="Times New Roman"/>
          <w:sz w:val="24"/>
          <w:szCs w:val="24"/>
          <w:lang w:val="en-US"/>
        </w:rPr>
        <w:t xml:space="preserve"> and as a consequence neither is </w:t>
      </w:r>
      <w:r w:rsidR="00055A7B" w:rsidRPr="00083793">
        <w:rPr>
          <w:rFonts w:ascii="Times New Roman" w:hAnsi="Times New Roman" w:cs="Times New Roman"/>
          <w:sz w:val="24"/>
          <w:szCs w:val="24"/>
          <w:lang w:val="en-US"/>
        </w:rPr>
        <w:t>an especially rich source of legal guidance</w:t>
      </w:r>
      <w:r w:rsidR="00055A7B">
        <w:rPr>
          <w:rFonts w:ascii="Times New Roman" w:hAnsi="Times New Roman" w:cs="Times New Roman"/>
          <w:sz w:val="24"/>
          <w:szCs w:val="24"/>
          <w:lang w:val="en-US"/>
        </w:rPr>
        <w:t xml:space="preserve"> in this area</w:t>
      </w:r>
      <w:r w:rsidRPr="00083793">
        <w:rPr>
          <w:rFonts w:ascii="Times New Roman" w:hAnsi="Times New Roman" w:cs="Times New Roman"/>
          <w:sz w:val="24"/>
          <w:szCs w:val="24"/>
          <w:lang w:val="en-US"/>
        </w:rPr>
        <w:t xml:space="preserve">.  </w:t>
      </w:r>
    </w:p>
    <w:p w14:paraId="602E4339" w14:textId="1866C082" w:rsidR="006A3999" w:rsidRPr="00083793" w:rsidRDefault="006A3999" w:rsidP="00016FD4">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 xml:space="preserve">While the judgment may be lacking in elemental specificity, it is certainly not lacking in principle. Indeed, this was recognized during the drafting of the </w:t>
      </w:r>
      <w:r w:rsidR="00544D96">
        <w:rPr>
          <w:rFonts w:ascii="Times New Roman" w:hAnsi="Times New Roman" w:cs="Times New Roman"/>
          <w:sz w:val="24"/>
          <w:szCs w:val="24"/>
          <w:lang w:val="en-US"/>
        </w:rPr>
        <w:t xml:space="preserve">1954 Hague </w:t>
      </w:r>
      <w:r w:rsidRPr="00083793">
        <w:rPr>
          <w:rFonts w:ascii="Times New Roman" w:hAnsi="Times New Roman" w:cs="Times New Roman"/>
          <w:sz w:val="24"/>
          <w:szCs w:val="24"/>
          <w:lang w:val="en-US"/>
        </w:rPr>
        <w:t>Convention for the Protection of Cultural Property in the Event of Armed Conflict</w:t>
      </w:r>
      <w:r w:rsidR="003312C8">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with the </w:t>
      </w:r>
      <w:r w:rsidRPr="00083793">
        <w:rPr>
          <w:rFonts w:ascii="Times New Roman" w:hAnsi="Times New Roman" w:cs="Times New Roman"/>
          <w:i/>
          <w:sz w:val="24"/>
          <w:szCs w:val="24"/>
          <w:lang w:val="en-US"/>
        </w:rPr>
        <w:t xml:space="preserve">travaux </w:t>
      </w:r>
      <w:r w:rsidR="003312C8" w:rsidRPr="003312C8">
        <w:rPr>
          <w:rFonts w:ascii="Times New Roman" w:hAnsi="Times New Roman" w:cs="Times New Roman"/>
          <w:i/>
          <w:sz w:val="24"/>
          <w:szCs w:val="24"/>
          <w:lang w:val="en-US"/>
        </w:rPr>
        <w:t>préparatoires</w:t>
      </w:r>
      <w:r w:rsidR="003312C8">
        <w:rPr>
          <w:rFonts w:ascii="Times New Roman" w:hAnsi="Times New Roman" w:cs="Times New Roman"/>
          <w:iCs/>
          <w:sz w:val="24"/>
          <w:szCs w:val="24"/>
          <w:lang w:val="en-US"/>
        </w:rPr>
        <w:t>, or drafting history</w:t>
      </w:r>
      <w:r w:rsidR="003312C8">
        <w:rPr>
          <w:rFonts w:ascii="Times New Roman" w:hAnsi="Times New Roman" w:cs="Times New Roman"/>
          <w:sz w:val="24"/>
          <w:szCs w:val="24"/>
          <w:lang w:val="en-US"/>
        </w:rPr>
        <w:t>,</w:t>
      </w:r>
      <w:r w:rsidR="003312C8" w:rsidRPr="00A02D5C">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 xml:space="preserve">noting that the </w:t>
      </w:r>
      <w:r w:rsidR="00761C3B">
        <w:rPr>
          <w:rFonts w:ascii="Times New Roman" w:hAnsi="Times New Roman" w:cs="Times New Roman"/>
          <w:sz w:val="24"/>
          <w:szCs w:val="24"/>
          <w:lang w:val="en-US"/>
        </w:rPr>
        <w:t xml:space="preserve">IMT </w:t>
      </w:r>
      <w:r w:rsidRPr="00083793">
        <w:rPr>
          <w:rFonts w:ascii="Times New Roman" w:hAnsi="Times New Roman" w:cs="Times New Roman"/>
          <w:sz w:val="24"/>
          <w:szCs w:val="24"/>
          <w:lang w:val="en-US"/>
        </w:rPr>
        <w:t>had “introduced the principle of punishing attacks on the cultural heritage of a nation into positive international law</w:t>
      </w:r>
      <w:r w:rsidR="00EC7182">
        <w:rPr>
          <w:rFonts w:ascii="Times New Roman" w:hAnsi="Times New Roman" w:cs="Times New Roman"/>
          <w:sz w:val="24"/>
          <w:szCs w:val="24"/>
          <w:lang w:val="en-US"/>
        </w:rPr>
        <w:t>.”</w:t>
      </w:r>
      <w:r w:rsidRPr="00083793">
        <w:rPr>
          <w:rStyle w:val="EndnoteReference"/>
          <w:rFonts w:ascii="Times New Roman" w:hAnsi="Times New Roman" w:cs="Times New Roman"/>
          <w:sz w:val="24"/>
          <w:szCs w:val="24"/>
          <w:lang w:val="en-US"/>
        </w:rPr>
        <w:endnoteReference w:id="22"/>
      </w:r>
      <w:r w:rsidRPr="00083793">
        <w:rPr>
          <w:rFonts w:ascii="Times New Roman" w:hAnsi="Times New Roman" w:cs="Times New Roman"/>
          <w:sz w:val="24"/>
          <w:szCs w:val="24"/>
          <w:lang w:val="en-US"/>
        </w:rPr>
        <w:t xml:space="preserve"> In expressing this principle, the Nuremberg judgment established a precedent that would be instrumental </w:t>
      </w:r>
      <w:r w:rsidR="00F30D71">
        <w:rPr>
          <w:rFonts w:ascii="Times New Roman" w:hAnsi="Times New Roman" w:cs="Times New Roman"/>
          <w:sz w:val="24"/>
          <w:szCs w:val="24"/>
          <w:lang w:val="en-US"/>
        </w:rPr>
        <w:t>in</w:t>
      </w:r>
      <w:r w:rsidRPr="00083793">
        <w:rPr>
          <w:rFonts w:ascii="Times New Roman" w:hAnsi="Times New Roman" w:cs="Times New Roman"/>
          <w:sz w:val="24"/>
          <w:szCs w:val="24"/>
          <w:lang w:val="en-US"/>
        </w:rPr>
        <w:t xml:space="preserve"> the prosecution of crimes against cultural heritage before the International Criminal Tribunal for the former Yugoslavia (ICTY) and ultimately the ICC.</w:t>
      </w:r>
    </w:p>
    <w:p w14:paraId="06B55D69" w14:textId="77777777" w:rsidR="00064504" w:rsidRDefault="00064504" w:rsidP="00064504">
      <w:pPr>
        <w:spacing w:after="0" w:line="480" w:lineRule="auto"/>
        <w:contextualSpacing/>
        <w:rPr>
          <w:rFonts w:ascii="Times New Roman" w:hAnsi="Times New Roman" w:cs="Times New Roman"/>
          <w:sz w:val="24"/>
          <w:szCs w:val="24"/>
          <w:lang w:val="en-US"/>
        </w:rPr>
      </w:pPr>
    </w:p>
    <w:p w14:paraId="69D5BE17" w14:textId="2319A715" w:rsidR="006A3999" w:rsidRPr="00083793" w:rsidRDefault="006A3999" w:rsidP="00A02D5C">
      <w:pPr>
        <w:pStyle w:val="Heading2"/>
        <w:rPr>
          <w:lang w:val="en-US"/>
        </w:rPr>
      </w:pPr>
      <w:r w:rsidRPr="00083793">
        <w:rPr>
          <w:lang w:val="en-US"/>
        </w:rPr>
        <w:t>The ICTY</w:t>
      </w:r>
      <w:r w:rsidR="00B35E51">
        <w:rPr>
          <w:lang w:val="en-US"/>
        </w:rPr>
        <w:t>:</w:t>
      </w:r>
      <w:r w:rsidRPr="00083793">
        <w:rPr>
          <w:lang w:val="en-US"/>
        </w:rPr>
        <w:t xml:space="preserve"> </w:t>
      </w:r>
      <w:r w:rsidR="00B35E51">
        <w:rPr>
          <w:lang w:val="en-US"/>
        </w:rPr>
        <w:t>T</w:t>
      </w:r>
      <w:r w:rsidRPr="00083793">
        <w:rPr>
          <w:lang w:val="en-US"/>
        </w:rPr>
        <w:t>he Foregrounding of Heritage Destruction in International Prosecutions</w:t>
      </w:r>
    </w:p>
    <w:p w14:paraId="47EA7722" w14:textId="31B2052A" w:rsidR="006A3999" w:rsidRPr="00083793" w:rsidRDefault="006A3999" w:rsidP="00016FD4">
      <w:pPr>
        <w:spacing w:after="0" w:line="480" w:lineRule="auto"/>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 xml:space="preserve">In the years following the conclusion of the IMT proceedings, the momentum created by this historic advance in international law precipitated the drafting and adoption of a series of instruments that placed ever-increasing emphasis on notions of human dignity, fundamental human rights, and the pursuit of individual criminal responsibility for international crimes. </w:t>
      </w:r>
      <w:r w:rsidR="001E578E">
        <w:rPr>
          <w:rFonts w:ascii="Times New Roman" w:hAnsi="Times New Roman" w:cs="Times New Roman"/>
          <w:sz w:val="24"/>
          <w:szCs w:val="24"/>
          <w:lang w:val="en-US"/>
        </w:rPr>
        <w:t>Nevertheless, i</w:t>
      </w:r>
      <w:r w:rsidRPr="00083793">
        <w:rPr>
          <w:rFonts w:ascii="Times New Roman" w:hAnsi="Times New Roman" w:cs="Times New Roman"/>
          <w:sz w:val="24"/>
          <w:szCs w:val="24"/>
          <w:lang w:val="en-US"/>
        </w:rPr>
        <w:t xml:space="preserve">t was inevitable that the optimism of the law’s postwar progressive development would gradually dissipate in the context of the intractability and consequent inertia of the Cold War. For the next </w:t>
      </w:r>
      <w:r w:rsidR="007052F4">
        <w:rPr>
          <w:rFonts w:ascii="Times New Roman" w:hAnsi="Times New Roman" w:cs="Times New Roman"/>
          <w:sz w:val="24"/>
          <w:szCs w:val="24"/>
          <w:lang w:val="en-US"/>
        </w:rPr>
        <w:t>fifty</w:t>
      </w:r>
      <w:r w:rsidR="007052F4" w:rsidRPr="00083793">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years international criminal accountability became an occasional domestic spectacle rather than a pillar of the international legal order. However, with the Cold War shackles</w:t>
      </w:r>
      <w:r w:rsidR="00A674C2">
        <w:rPr>
          <w:rFonts w:ascii="Times New Roman" w:hAnsi="Times New Roman" w:cs="Times New Roman"/>
          <w:sz w:val="24"/>
          <w:szCs w:val="24"/>
          <w:lang w:val="en-US"/>
        </w:rPr>
        <w:t xml:space="preserve"> completely</w:t>
      </w:r>
      <w:r w:rsidRPr="00083793">
        <w:rPr>
          <w:rFonts w:ascii="Times New Roman" w:hAnsi="Times New Roman" w:cs="Times New Roman"/>
          <w:sz w:val="24"/>
          <w:szCs w:val="24"/>
          <w:lang w:val="en-US"/>
        </w:rPr>
        <w:t xml:space="preserve"> removed </w:t>
      </w:r>
      <w:r w:rsidR="00A674C2">
        <w:rPr>
          <w:rFonts w:ascii="Times New Roman" w:hAnsi="Times New Roman" w:cs="Times New Roman"/>
          <w:sz w:val="24"/>
          <w:szCs w:val="24"/>
          <w:lang w:val="en-US"/>
        </w:rPr>
        <w:t>after</w:t>
      </w:r>
      <w:r w:rsidR="00A674C2" w:rsidRPr="00083793">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 xml:space="preserve">the </w:t>
      </w:r>
      <w:r w:rsidR="00A674C2">
        <w:rPr>
          <w:rFonts w:ascii="Times New Roman" w:hAnsi="Times New Roman" w:cs="Times New Roman"/>
          <w:sz w:val="24"/>
          <w:szCs w:val="24"/>
          <w:lang w:val="en-US"/>
        </w:rPr>
        <w:t xml:space="preserve">December 1991 implosion </w:t>
      </w:r>
      <w:r w:rsidRPr="00083793">
        <w:rPr>
          <w:rFonts w:ascii="Times New Roman" w:hAnsi="Times New Roman" w:cs="Times New Roman"/>
          <w:sz w:val="24"/>
          <w:szCs w:val="24"/>
          <w:lang w:val="en-US"/>
        </w:rPr>
        <w:t xml:space="preserve">of the Soviet Union, the early 1990s represented a moment in which the legacy of Nuremberg could be revived. </w:t>
      </w:r>
    </w:p>
    <w:p w14:paraId="08E93A15" w14:textId="1A09EA0A" w:rsidR="006A3999" w:rsidRPr="00083793" w:rsidRDefault="006A3999" w:rsidP="00016FD4">
      <w:pPr>
        <w:spacing w:after="0" w:line="480" w:lineRule="auto"/>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ab/>
        <w:t>The breakup of Yugoslavia</w:t>
      </w:r>
      <w:r w:rsidR="00D8305C">
        <w:rPr>
          <w:rFonts w:ascii="Times New Roman" w:hAnsi="Times New Roman" w:cs="Times New Roman"/>
          <w:sz w:val="24"/>
          <w:szCs w:val="24"/>
          <w:lang w:val="en-US"/>
        </w:rPr>
        <w:t>, which</w:t>
      </w:r>
      <w:r w:rsidRPr="00083793">
        <w:rPr>
          <w:rFonts w:ascii="Times New Roman" w:hAnsi="Times New Roman" w:cs="Times New Roman"/>
          <w:sz w:val="24"/>
          <w:szCs w:val="24"/>
          <w:lang w:val="en-US"/>
        </w:rPr>
        <w:t xml:space="preserve"> </w:t>
      </w:r>
      <w:r w:rsidR="00D8305C">
        <w:rPr>
          <w:rFonts w:ascii="Times New Roman" w:hAnsi="Times New Roman" w:cs="Times New Roman"/>
          <w:sz w:val="24"/>
          <w:szCs w:val="24"/>
          <w:lang w:val="en-US"/>
        </w:rPr>
        <w:t xml:space="preserve">started </w:t>
      </w:r>
      <w:r w:rsidRPr="00083793">
        <w:rPr>
          <w:rFonts w:ascii="Times New Roman" w:hAnsi="Times New Roman" w:cs="Times New Roman"/>
          <w:sz w:val="24"/>
          <w:szCs w:val="24"/>
          <w:lang w:val="en-US"/>
        </w:rPr>
        <w:t>in 199</w:t>
      </w:r>
      <w:r w:rsidR="00B268A6">
        <w:rPr>
          <w:rFonts w:ascii="Times New Roman" w:hAnsi="Times New Roman" w:cs="Times New Roman"/>
          <w:sz w:val="24"/>
          <w:szCs w:val="24"/>
          <w:lang w:val="en-US"/>
        </w:rPr>
        <w:t>0</w:t>
      </w:r>
      <w:r w:rsidR="00D8305C">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sparked a protracted and brutal interethnic conflict characterized by harrowing numbers of civilian casualties, ethnic cleansing, and the wanton destruction of public and private property, including in particular the deliberate targeting of cultural sites by all parties to the conflict. The response of the international community took several forms, but central was the determination that international criminal justice could play a role in the restoration of peace. </w:t>
      </w:r>
    </w:p>
    <w:p w14:paraId="7665EC3A" w14:textId="65463238" w:rsidR="006A3999" w:rsidRPr="00083793" w:rsidRDefault="006A3999" w:rsidP="00016FD4">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 xml:space="preserve">To this end, the </w:t>
      </w:r>
      <w:r w:rsidR="009266C5">
        <w:rPr>
          <w:rFonts w:ascii="Times New Roman" w:hAnsi="Times New Roman" w:cs="Times New Roman"/>
          <w:sz w:val="24"/>
          <w:szCs w:val="24"/>
          <w:lang w:val="en-US"/>
        </w:rPr>
        <w:t xml:space="preserve">UN </w:t>
      </w:r>
      <w:r w:rsidRPr="00083793">
        <w:rPr>
          <w:rFonts w:ascii="Times New Roman" w:hAnsi="Times New Roman" w:cs="Times New Roman"/>
          <w:sz w:val="24"/>
          <w:szCs w:val="24"/>
          <w:lang w:val="en-US"/>
        </w:rPr>
        <w:t xml:space="preserve">Security Council, invoking its powers under Chapter VII of the </w:t>
      </w:r>
      <w:r w:rsidR="009266C5">
        <w:rPr>
          <w:rFonts w:ascii="Times New Roman" w:hAnsi="Times New Roman" w:cs="Times New Roman"/>
          <w:sz w:val="24"/>
          <w:szCs w:val="24"/>
          <w:lang w:val="en-US"/>
        </w:rPr>
        <w:t xml:space="preserve">UN </w:t>
      </w:r>
      <w:r w:rsidRPr="00083793">
        <w:rPr>
          <w:rFonts w:ascii="Times New Roman" w:hAnsi="Times New Roman" w:cs="Times New Roman"/>
          <w:sz w:val="24"/>
          <w:szCs w:val="24"/>
          <w:lang w:val="en-US"/>
        </w:rPr>
        <w:t>Charter, established the ICTY in May 1993</w:t>
      </w:r>
      <w:r w:rsidR="006D7684" w:rsidRPr="006D7684">
        <w:rPr>
          <w:rFonts w:ascii="Times New Roman" w:hAnsi="Times New Roman" w:cs="Times New Roman"/>
          <w:sz w:val="24"/>
          <w:szCs w:val="24"/>
          <w:lang w:val="en-US"/>
        </w:rPr>
        <w:t xml:space="preserve"> </w:t>
      </w:r>
      <w:r w:rsidR="006D7684">
        <w:rPr>
          <w:rFonts w:ascii="Times New Roman" w:hAnsi="Times New Roman" w:cs="Times New Roman"/>
          <w:sz w:val="24"/>
          <w:szCs w:val="24"/>
          <w:lang w:val="en-US"/>
        </w:rPr>
        <w:t>through r</w:t>
      </w:r>
      <w:r w:rsidR="006D7684" w:rsidRPr="00083793">
        <w:rPr>
          <w:rFonts w:ascii="Times New Roman" w:hAnsi="Times New Roman" w:cs="Times New Roman"/>
          <w:sz w:val="24"/>
          <w:szCs w:val="24"/>
          <w:lang w:val="en-US"/>
        </w:rPr>
        <w:t>esolution 827</w:t>
      </w:r>
      <w:r w:rsidRPr="00083793">
        <w:rPr>
          <w:rFonts w:ascii="Times New Roman" w:hAnsi="Times New Roman" w:cs="Times New Roman"/>
          <w:sz w:val="24"/>
          <w:szCs w:val="24"/>
          <w:lang w:val="en-US"/>
        </w:rPr>
        <w:t xml:space="preserve">. Under its </w:t>
      </w:r>
      <w:r w:rsidR="000175A6">
        <w:rPr>
          <w:rFonts w:ascii="Times New Roman" w:hAnsi="Times New Roman" w:cs="Times New Roman"/>
          <w:sz w:val="24"/>
          <w:szCs w:val="24"/>
          <w:lang w:val="en-US"/>
        </w:rPr>
        <w:t>s</w:t>
      </w:r>
      <w:r w:rsidRPr="00083793">
        <w:rPr>
          <w:rFonts w:ascii="Times New Roman" w:hAnsi="Times New Roman" w:cs="Times New Roman"/>
          <w:sz w:val="24"/>
          <w:szCs w:val="24"/>
          <w:lang w:val="en-US"/>
        </w:rPr>
        <w:t xml:space="preserve">tatute, the ICTY had jurisdiction with respect to war crimes, crimes against humanity, </w:t>
      </w:r>
      <w:r w:rsidRPr="00083793">
        <w:rPr>
          <w:rFonts w:ascii="Times New Roman" w:hAnsi="Times New Roman" w:cs="Times New Roman"/>
          <w:sz w:val="24"/>
          <w:szCs w:val="24"/>
          <w:lang w:val="en-US"/>
        </w:rPr>
        <w:lastRenderedPageBreak/>
        <w:t>and genocide committed on the territory of the former Yugoslavia since 1 January 1991. Most importantly for present purposes, under Article 3</w:t>
      </w:r>
      <w:r w:rsidR="008C4750">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d of </w:t>
      </w:r>
      <w:r w:rsidR="00575A3A">
        <w:rPr>
          <w:rFonts w:ascii="Times New Roman" w:hAnsi="Times New Roman" w:cs="Times New Roman"/>
          <w:sz w:val="24"/>
          <w:szCs w:val="24"/>
          <w:lang w:val="en-US"/>
        </w:rPr>
        <w:t>its s</w:t>
      </w:r>
      <w:r w:rsidRPr="00083793">
        <w:rPr>
          <w:rFonts w:ascii="Times New Roman" w:hAnsi="Times New Roman" w:cs="Times New Roman"/>
          <w:sz w:val="24"/>
          <w:szCs w:val="24"/>
          <w:lang w:val="en-US"/>
        </w:rPr>
        <w:t xml:space="preserve">tatute the </w:t>
      </w:r>
      <w:r w:rsidR="00575A3A">
        <w:rPr>
          <w:rFonts w:ascii="Times New Roman" w:hAnsi="Times New Roman" w:cs="Times New Roman"/>
          <w:sz w:val="24"/>
          <w:szCs w:val="24"/>
          <w:lang w:val="en-US"/>
        </w:rPr>
        <w:t>t</w:t>
      </w:r>
      <w:r w:rsidRPr="00083793">
        <w:rPr>
          <w:rFonts w:ascii="Times New Roman" w:hAnsi="Times New Roman" w:cs="Times New Roman"/>
          <w:sz w:val="24"/>
          <w:szCs w:val="24"/>
          <w:lang w:val="en-US"/>
        </w:rPr>
        <w:t xml:space="preserve">ribunal was expressly granted jurisdiction to prosecute crimes against </w:t>
      </w:r>
      <w:r w:rsidR="00F30D71">
        <w:rPr>
          <w:rFonts w:ascii="Times New Roman" w:hAnsi="Times New Roman" w:cs="Times New Roman"/>
          <w:sz w:val="24"/>
          <w:szCs w:val="24"/>
          <w:lang w:val="en-US"/>
        </w:rPr>
        <w:t xml:space="preserve">tangible </w:t>
      </w:r>
      <w:r w:rsidRPr="00083793">
        <w:rPr>
          <w:rFonts w:ascii="Times New Roman" w:hAnsi="Times New Roman" w:cs="Times New Roman"/>
          <w:sz w:val="24"/>
          <w:szCs w:val="24"/>
          <w:lang w:val="en-US"/>
        </w:rPr>
        <w:t>cultural heritage as a violation of the law</w:t>
      </w:r>
      <w:r w:rsidR="00FF795F">
        <w:rPr>
          <w:rFonts w:ascii="Times New Roman" w:hAnsi="Times New Roman" w:cs="Times New Roman"/>
          <w:sz w:val="24"/>
          <w:szCs w:val="24"/>
          <w:lang w:val="en-US"/>
        </w:rPr>
        <w:t>s</w:t>
      </w:r>
      <w:r w:rsidRPr="00083793">
        <w:rPr>
          <w:rFonts w:ascii="Times New Roman" w:hAnsi="Times New Roman" w:cs="Times New Roman"/>
          <w:sz w:val="24"/>
          <w:szCs w:val="24"/>
          <w:lang w:val="en-US"/>
        </w:rPr>
        <w:t xml:space="preserve"> and customs of war. The wording of </w:t>
      </w:r>
      <w:r w:rsidR="002C45E1">
        <w:rPr>
          <w:rFonts w:ascii="Times New Roman" w:hAnsi="Times New Roman" w:cs="Times New Roman"/>
          <w:sz w:val="24"/>
          <w:szCs w:val="24"/>
          <w:lang w:val="en-US"/>
        </w:rPr>
        <w:t>the a</w:t>
      </w:r>
      <w:r w:rsidRPr="00083793">
        <w:rPr>
          <w:rFonts w:ascii="Times New Roman" w:hAnsi="Times New Roman" w:cs="Times New Roman"/>
          <w:sz w:val="24"/>
          <w:szCs w:val="24"/>
          <w:lang w:val="en-US"/>
        </w:rPr>
        <w:t>rticle provides for the prosecution of conduct relating to the “seizure of, destruction or wilful damage done to institutions dedicated to religion, charity and education, the arts and sciences, historic monuments and works of art and science</w:t>
      </w:r>
      <w:r w:rsidR="00EC7182">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w:t>
      </w:r>
    </w:p>
    <w:p w14:paraId="5ECDAC3D" w14:textId="28C91476" w:rsidR="00752C1A" w:rsidRDefault="006A3999" w:rsidP="00A02D5C">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The ICTY’s jurisdiction to prosecute crimes against cultural heritage was not limited to the terms of Article 3</w:t>
      </w:r>
      <w:r w:rsidR="00481E7A">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d. The complex interethnic character of the various conflicts that raged on the </w:t>
      </w:r>
      <w:r w:rsidR="005E4E77">
        <w:rPr>
          <w:rFonts w:ascii="Times New Roman" w:hAnsi="Times New Roman" w:cs="Times New Roman"/>
          <w:sz w:val="24"/>
          <w:szCs w:val="24"/>
          <w:lang w:val="en-US"/>
        </w:rPr>
        <w:t xml:space="preserve">territory of the </w:t>
      </w:r>
      <w:r w:rsidRPr="00083793">
        <w:rPr>
          <w:rFonts w:ascii="Times New Roman" w:hAnsi="Times New Roman" w:cs="Times New Roman"/>
          <w:sz w:val="24"/>
          <w:szCs w:val="24"/>
          <w:lang w:val="en-US"/>
        </w:rPr>
        <w:t>former Yugoslavia demanded that prosecutions reflect the underlying motivations and specific intent that drove perpetrators to systematically destroy cultural heritage. Throughout the period of the conflicts</w:t>
      </w:r>
      <w:r w:rsidR="006707D7">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from 1991 to 1999</w:t>
      </w:r>
      <w:r w:rsidR="006707D7">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 xml:space="preserve">heritage destruction in Croatia, Bosnia and Herzegovina, Serbia, and </w:t>
      </w:r>
      <w:r w:rsidR="0033785E">
        <w:rPr>
          <w:rFonts w:ascii="Times New Roman" w:hAnsi="Times New Roman" w:cs="Times New Roman"/>
          <w:sz w:val="24"/>
          <w:szCs w:val="24"/>
          <w:lang w:val="en-US"/>
        </w:rPr>
        <w:t xml:space="preserve">the latter’s </w:t>
      </w:r>
      <w:r w:rsidR="00C83C32">
        <w:rPr>
          <w:rFonts w:ascii="Times New Roman" w:hAnsi="Times New Roman" w:cs="Times New Roman"/>
          <w:sz w:val="24"/>
          <w:szCs w:val="24"/>
          <w:lang w:val="en-US"/>
        </w:rPr>
        <w:t xml:space="preserve">own </w:t>
      </w:r>
      <w:r w:rsidR="0033785E">
        <w:rPr>
          <w:rFonts w:ascii="Times New Roman" w:hAnsi="Times New Roman" w:cs="Times New Roman"/>
          <w:sz w:val="24"/>
          <w:szCs w:val="24"/>
          <w:lang w:val="en-US"/>
        </w:rPr>
        <w:t>break</w:t>
      </w:r>
      <w:r w:rsidR="00C83C32">
        <w:rPr>
          <w:rFonts w:ascii="Times New Roman" w:hAnsi="Times New Roman" w:cs="Times New Roman"/>
          <w:sz w:val="24"/>
          <w:szCs w:val="24"/>
          <w:lang w:val="en-US"/>
        </w:rPr>
        <w:t>a</w:t>
      </w:r>
      <w:r w:rsidR="0033785E">
        <w:rPr>
          <w:rFonts w:ascii="Times New Roman" w:hAnsi="Times New Roman" w:cs="Times New Roman"/>
          <w:sz w:val="24"/>
          <w:szCs w:val="24"/>
          <w:lang w:val="en-US"/>
        </w:rPr>
        <w:t>way terri</w:t>
      </w:r>
      <w:r w:rsidR="00C83C32">
        <w:rPr>
          <w:rFonts w:ascii="Times New Roman" w:hAnsi="Times New Roman" w:cs="Times New Roman"/>
          <w:sz w:val="24"/>
          <w:szCs w:val="24"/>
          <w:lang w:val="en-US"/>
        </w:rPr>
        <w:t>t</w:t>
      </w:r>
      <w:r w:rsidR="0033785E">
        <w:rPr>
          <w:rFonts w:ascii="Times New Roman" w:hAnsi="Times New Roman" w:cs="Times New Roman"/>
          <w:sz w:val="24"/>
          <w:szCs w:val="24"/>
          <w:lang w:val="en-US"/>
        </w:rPr>
        <w:t>o</w:t>
      </w:r>
      <w:r w:rsidR="00C83C32">
        <w:rPr>
          <w:rFonts w:ascii="Times New Roman" w:hAnsi="Times New Roman" w:cs="Times New Roman"/>
          <w:sz w:val="24"/>
          <w:szCs w:val="24"/>
          <w:lang w:val="en-US"/>
        </w:rPr>
        <w:t>r</w:t>
      </w:r>
      <w:r w:rsidR="0033785E">
        <w:rPr>
          <w:rFonts w:ascii="Times New Roman" w:hAnsi="Times New Roman" w:cs="Times New Roman"/>
          <w:sz w:val="24"/>
          <w:szCs w:val="24"/>
          <w:lang w:val="en-US"/>
        </w:rPr>
        <w:t xml:space="preserve">y of </w:t>
      </w:r>
      <w:r w:rsidRPr="00083793">
        <w:rPr>
          <w:rFonts w:ascii="Times New Roman" w:hAnsi="Times New Roman" w:cs="Times New Roman"/>
          <w:sz w:val="24"/>
          <w:szCs w:val="24"/>
          <w:lang w:val="en-US"/>
        </w:rPr>
        <w:t>Kosovo was not the result of recklessness or the disproportionate use of force; it was the consequence of concerted campaigns of ethnic cleansing, persecution, and genocide. The foundation to the destruction of cultural heritage</w:t>
      </w:r>
      <w:r w:rsidR="009C5812">
        <w:rPr>
          <w:rFonts w:ascii="Times New Roman" w:hAnsi="Times New Roman" w:cs="Times New Roman"/>
          <w:sz w:val="24"/>
          <w:szCs w:val="24"/>
          <w:lang w:val="en-US"/>
        </w:rPr>
        <w:t xml:space="preserve"> was the pursuit of</w:t>
      </w:r>
      <w:r w:rsidRPr="00083793">
        <w:rPr>
          <w:rFonts w:ascii="Times New Roman" w:hAnsi="Times New Roman" w:cs="Times New Roman"/>
          <w:sz w:val="24"/>
          <w:szCs w:val="24"/>
          <w:lang w:val="en-US"/>
        </w:rPr>
        <w:t xml:space="preserve"> ethnic homogeneity and the complete elimination of the “other</w:t>
      </w:r>
      <w:r w:rsidR="00EC7182">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In short, the situation encompassed both ethnic </w:t>
      </w:r>
      <w:r w:rsidRPr="00083793">
        <w:rPr>
          <w:rFonts w:ascii="Times New Roman" w:hAnsi="Times New Roman" w:cs="Times New Roman"/>
          <w:i/>
          <w:sz w:val="24"/>
          <w:szCs w:val="24"/>
          <w:lang w:val="en-US"/>
        </w:rPr>
        <w:t xml:space="preserve">and </w:t>
      </w:r>
      <w:r w:rsidRPr="00083793">
        <w:rPr>
          <w:rFonts w:ascii="Times New Roman" w:hAnsi="Times New Roman" w:cs="Times New Roman"/>
          <w:sz w:val="24"/>
          <w:szCs w:val="24"/>
          <w:lang w:val="en-US"/>
        </w:rPr>
        <w:t>cultural cleansing.</w:t>
      </w:r>
      <w:r w:rsidRPr="00083793">
        <w:rPr>
          <w:rStyle w:val="EndnoteReference"/>
          <w:rFonts w:ascii="Times New Roman" w:hAnsi="Times New Roman" w:cs="Times New Roman"/>
          <w:sz w:val="24"/>
          <w:szCs w:val="24"/>
          <w:lang w:val="en-US"/>
        </w:rPr>
        <w:endnoteReference w:id="23"/>
      </w:r>
      <w:r w:rsidRPr="00083793">
        <w:rPr>
          <w:rFonts w:ascii="Times New Roman" w:hAnsi="Times New Roman" w:cs="Times New Roman"/>
          <w:sz w:val="24"/>
          <w:szCs w:val="24"/>
          <w:lang w:val="en-US"/>
        </w:rPr>
        <w:t xml:space="preserve"> Article 3</w:t>
      </w:r>
      <w:r w:rsidR="008440CB">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d </w:t>
      </w:r>
      <w:r w:rsidR="008440CB">
        <w:rPr>
          <w:rFonts w:ascii="Times New Roman" w:hAnsi="Times New Roman" w:cs="Times New Roman"/>
          <w:sz w:val="24"/>
          <w:szCs w:val="24"/>
          <w:lang w:val="en-US"/>
        </w:rPr>
        <w:t xml:space="preserve">of the statute </w:t>
      </w:r>
      <w:r w:rsidRPr="00083793">
        <w:rPr>
          <w:rFonts w:ascii="Times New Roman" w:hAnsi="Times New Roman" w:cs="Times New Roman"/>
          <w:sz w:val="24"/>
          <w:szCs w:val="24"/>
          <w:lang w:val="en-US"/>
        </w:rPr>
        <w:t>was not equipped to encapsulate this reality, rather it was for Articles 4 and 5</w:t>
      </w:r>
      <w:r w:rsidR="00A20C6A">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which addressed genocide and crimes against humanity</w:t>
      </w:r>
      <w:r w:rsidR="002973FB">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respectively</w:t>
      </w:r>
      <w:r w:rsidR="00A20C6A">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to account for the persecutory and at times genocidal intent that characterized the destruction of cultural heritage in the former Yugoslavia. </w:t>
      </w:r>
    </w:p>
    <w:p w14:paraId="02947E0B" w14:textId="4552F550" w:rsidR="006A3999" w:rsidRPr="00083793" w:rsidRDefault="006A0DA5" w:rsidP="00016FD4">
      <w:pPr>
        <w:spacing w:after="0"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6A3999" w:rsidRPr="00083793">
        <w:rPr>
          <w:rFonts w:ascii="Times New Roman" w:hAnsi="Times New Roman" w:cs="Times New Roman"/>
          <w:sz w:val="24"/>
          <w:szCs w:val="24"/>
          <w:lang w:val="en-US"/>
        </w:rPr>
        <w:t xml:space="preserve">Over the course of almost </w:t>
      </w:r>
      <w:r w:rsidR="00F02DC6">
        <w:rPr>
          <w:rFonts w:ascii="Times New Roman" w:hAnsi="Times New Roman" w:cs="Times New Roman"/>
          <w:sz w:val="24"/>
          <w:szCs w:val="24"/>
          <w:lang w:val="en-US"/>
        </w:rPr>
        <w:t>twenty-five</w:t>
      </w:r>
      <w:r w:rsidR="00F02DC6" w:rsidRPr="00083793">
        <w:rPr>
          <w:rFonts w:ascii="Times New Roman" w:hAnsi="Times New Roman" w:cs="Times New Roman"/>
          <w:sz w:val="24"/>
          <w:szCs w:val="24"/>
          <w:lang w:val="en-US"/>
        </w:rPr>
        <w:t xml:space="preserve"> </w:t>
      </w:r>
      <w:r w:rsidR="006A3999" w:rsidRPr="00083793">
        <w:rPr>
          <w:rFonts w:ascii="Times New Roman" w:hAnsi="Times New Roman" w:cs="Times New Roman"/>
          <w:sz w:val="24"/>
          <w:szCs w:val="24"/>
          <w:lang w:val="en-US"/>
        </w:rPr>
        <w:t xml:space="preserve">years, the ICTY </w:t>
      </w:r>
      <w:r>
        <w:rPr>
          <w:rFonts w:ascii="Times New Roman" w:hAnsi="Times New Roman" w:cs="Times New Roman"/>
          <w:sz w:val="24"/>
          <w:szCs w:val="24"/>
          <w:lang w:val="en-US"/>
        </w:rPr>
        <w:t xml:space="preserve">also </w:t>
      </w:r>
      <w:r w:rsidR="006A3999" w:rsidRPr="00083793">
        <w:rPr>
          <w:rFonts w:ascii="Times New Roman" w:hAnsi="Times New Roman" w:cs="Times New Roman"/>
          <w:sz w:val="24"/>
          <w:szCs w:val="24"/>
          <w:lang w:val="en-US"/>
        </w:rPr>
        <w:t>developed an extensive and diverse body of jurisprudence addressing individual criminal responsibility for the destruction of tangible cultural heritage. Charges addressing the destruction of cultural heritage as a war crime under Article 3</w:t>
      </w:r>
      <w:r w:rsidR="00F85667">
        <w:rPr>
          <w:rFonts w:ascii="Times New Roman" w:hAnsi="Times New Roman" w:cs="Times New Roman"/>
          <w:sz w:val="24"/>
          <w:szCs w:val="24"/>
          <w:lang w:val="en-US"/>
        </w:rPr>
        <w:t>.</w:t>
      </w:r>
      <w:r w:rsidR="006A3999" w:rsidRPr="00083793">
        <w:rPr>
          <w:rFonts w:ascii="Times New Roman" w:hAnsi="Times New Roman" w:cs="Times New Roman"/>
          <w:sz w:val="24"/>
          <w:szCs w:val="24"/>
          <w:lang w:val="en-US"/>
        </w:rPr>
        <w:t xml:space="preserve">d were frequently connected with related charges of persecution as a crime against humanity. This strategy reflected the relationship between the intentional destruction of cultural heritage and </w:t>
      </w:r>
      <w:r w:rsidR="00307B64">
        <w:rPr>
          <w:rFonts w:ascii="Times New Roman" w:hAnsi="Times New Roman" w:cs="Times New Roman"/>
          <w:sz w:val="24"/>
          <w:szCs w:val="24"/>
          <w:lang w:val="en-US"/>
        </w:rPr>
        <w:t xml:space="preserve">associated </w:t>
      </w:r>
      <w:r w:rsidR="006A3999" w:rsidRPr="00083793">
        <w:rPr>
          <w:rFonts w:ascii="Times New Roman" w:hAnsi="Times New Roman" w:cs="Times New Roman"/>
          <w:sz w:val="24"/>
          <w:szCs w:val="24"/>
          <w:lang w:val="en-US"/>
        </w:rPr>
        <w:t xml:space="preserve">systematic attacks against civilian populations. </w:t>
      </w:r>
      <w:r w:rsidR="003152BE">
        <w:rPr>
          <w:rFonts w:ascii="Times New Roman" w:hAnsi="Times New Roman" w:cs="Times New Roman"/>
          <w:sz w:val="24"/>
          <w:szCs w:val="24"/>
          <w:lang w:val="en-US"/>
        </w:rPr>
        <w:t>While a</w:t>
      </w:r>
      <w:r w:rsidR="006A3999" w:rsidRPr="00083793">
        <w:rPr>
          <w:rFonts w:ascii="Times New Roman" w:hAnsi="Times New Roman" w:cs="Times New Roman"/>
          <w:sz w:val="24"/>
          <w:szCs w:val="24"/>
          <w:lang w:val="en-US"/>
        </w:rPr>
        <w:t xml:space="preserve"> full account of the ICTY’s jurisprudential legacy can hardly be captured in this short contribution, a number of seminal cases demand attention.</w:t>
      </w:r>
      <w:r w:rsidR="00392E25">
        <w:rPr>
          <w:rStyle w:val="EndnoteReference"/>
          <w:rFonts w:ascii="Times New Roman" w:hAnsi="Times New Roman" w:cs="Times New Roman"/>
          <w:sz w:val="24"/>
          <w:szCs w:val="24"/>
          <w:lang w:val="en-US"/>
        </w:rPr>
        <w:endnoteReference w:id="24"/>
      </w:r>
      <w:r w:rsidR="006A3999" w:rsidRPr="00083793">
        <w:rPr>
          <w:rFonts w:ascii="Times New Roman" w:hAnsi="Times New Roman" w:cs="Times New Roman"/>
          <w:sz w:val="24"/>
          <w:szCs w:val="24"/>
          <w:lang w:val="en-US"/>
        </w:rPr>
        <w:t xml:space="preserve"> </w:t>
      </w:r>
    </w:p>
    <w:p w14:paraId="3B02ACCE" w14:textId="4831778E" w:rsidR="006A3999" w:rsidRPr="00083793" w:rsidRDefault="0062429B">
      <w:pPr>
        <w:spacing w:after="0" w:line="480" w:lineRule="auto"/>
        <w:ind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T</w:t>
      </w:r>
      <w:r w:rsidR="006A3999" w:rsidRPr="00083793">
        <w:rPr>
          <w:rFonts w:ascii="Times New Roman" w:hAnsi="Times New Roman" w:cs="Times New Roman"/>
          <w:sz w:val="24"/>
          <w:szCs w:val="24"/>
          <w:lang w:val="en-US"/>
        </w:rPr>
        <w:t>he destruction of cultural heritage was not the sole focus in any one case at the ICTY</w:t>
      </w:r>
      <w:r>
        <w:rPr>
          <w:rFonts w:ascii="Times New Roman" w:hAnsi="Times New Roman" w:cs="Times New Roman"/>
          <w:sz w:val="24"/>
          <w:szCs w:val="24"/>
          <w:lang w:val="en-US"/>
        </w:rPr>
        <w:t>, but</w:t>
      </w:r>
      <w:r w:rsidR="006A3999" w:rsidRPr="0008379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w:t>
      </w:r>
      <w:r w:rsidR="006A3999" w:rsidRPr="00083793">
        <w:rPr>
          <w:rFonts w:ascii="Times New Roman" w:hAnsi="Times New Roman" w:cs="Times New Roman"/>
          <w:sz w:val="24"/>
          <w:szCs w:val="24"/>
          <w:lang w:val="en-US"/>
        </w:rPr>
        <w:t xml:space="preserve">a number of cases heritage destruction featured more prominently. Perhaps most significant is </w:t>
      </w:r>
      <w:r w:rsidR="006A3999" w:rsidRPr="00083793">
        <w:rPr>
          <w:rFonts w:ascii="Times New Roman" w:hAnsi="Times New Roman" w:cs="Times New Roman"/>
          <w:i/>
          <w:sz w:val="24"/>
          <w:szCs w:val="24"/>
          <w:lang w:val="en-US"/>
        </w:rPr>
        <w:t>Strugar</w:t>
      </w:r>
      <w:r w:rsidR="006A3999" w:rsidRPr="00083793">
        <w:rPr>
          <w:rFonts w:ascii="Times New Roman" w:hAnsi="Times New Roman" w:cs="Times New Roman"/>
          <w:sz w:val="24"/>
          <w:szCs w:val="24"/>
          <w:lang w:val="en-US"/>
        </w:rPr>
        <w:t>, which dealt with criminal responsibility for the shelling of the Old Town of Dubrovnik, a UNESCO World Heritage Site</w:t>
      </w:r>
      <w:r w:rsidR="00E6519F">
        <w:rPr>
          <w:rFonts w:ascii="Times New Roman" w:hAnsi="Times New Roman" w:cs="Times New Roman"/>
          <w:sz w:val="24"/>
          <w:szCs w:val="24"/>
          <w:lang w:val="en-US"/>
        </w:rPr>
        <w:t xml:space="preserve"> in Cr</w:t>
      </w:r>
      <w:r w:rsidR="009854B2">
        <w:rPr>
          <w:rFonts w:ascii="Times New Roman" w:hAnsi="Times New Roman" w:cs="Times New Roman"/>
          <w:sz w:val="24"/>
          <w:szCs w:val="24"/>
          <w:lang w:val="en-US"/>
        </w:rPr>
        <w:t>o</w:t>
      </w:r>
      <w:r w:rsidR="00E6519F">
        <w:rPr>
          <w:rFonts w:ascii="Times New Roman" w:hAnsi="Times New Roman" w:cs="Times New Roman"/>
          <w:sz w:val="24"/>
          <w:szCs w:val="24"/>
          <w:lang w:val="en-US"/>
        </w:rPr>
        <w:t>atia</w:t>
      </w:r>
      <w:r w:rsidR="006A3999" w:rsidRPr="00083793">
        <w:rPr>
          <w:rFonts w:ascii="Times New Roman" w:hAnsi="Times New Roman" w:cs="Times New Roman"/>
          <w:sz w:val="24"/>
          <w:szCs w:val="24"/>
          <w:lang w:val="en-US"/>
        </w:rPr>
        <w:t xml:space="preserve">. </w:t>
      </w:r>
      <w:r w:rsidR="00C50677">
        <w:rPr>
          <w:rFonts w:ascii="Times New Roman" w:hAnsi="Times New Roman" w:cs="Times New Roman"/>
          <w:sz w:val="24"/>
          <w:szCs w:val="24"/>
          <w:lang w:val="en-US"/>
        </w:rPr>
        <w:t xml:space="preserve">Pavle </w:t>
      </w:r>
      <w:r w:rsidR="006A3999" w:rsidRPr="00083793">
        <w:rPr>
          <w:rFonts w:ascii="Times New Roman" w:hAnsi="Times New Roman" w:cs="Times New Roman"/>
          <w:sz w:val="24"/>
          <w:szCs w:val="24"/>
          <w:lang w:val="en-US"/>
        </w:rPr>
        <w:t>Strugar</w:t>
      </w:r>
      <w:r w:rsidR="00862AB2">
        <w:rPr>
          <w:rFonts w:ascii="Times New Roman" w:hAnsi="Times New Roman" w:cs="Times New Roman"/>
          <w:sz w:val="24"/>
          <w:szCs w:val="24"/>
          <w:lang w:val="en-US"/>
        </w:rPr>
        <w:t xml:space="preserve">, </w:t>
      </w:r>
      <w:r w:rsidR="003D5EA5">
        <w:rPr>
          <w:rFonts w:ascii="Times New Roman" w:hAnsi="Times New Roman" w:cs="Times New Roman"/>
          <w:sz w:val="24"/>
          <w:szCs w:val="24"/>
          <w:lang w:val="en-US"/>
        </w:rPr>
        <w:t>the</w:t>
      </w:r>
      <w:r w:rsidR="00862AB2">
        <w:rPr>
          <w:rFonts w:ascii="Times New Roman" w:hAnsi="Times New Roman" w:cs="Times New Roman"/>
          <w:sz w:val="24"/>
          <w:szCs w:val="24"/>
          <w:lang w:val="en-US"/>
        </w:rPr>
        <w:t xml:space="preserve"> commander of a unit of the Yugoslav People’s Army (JNA)</w:t>
      </w:r>
      <w:r w:rsidR="00100AC8">
        <w:rPr>
          <w:rFonts w:ascii="Times New Roman" w:hAnsi="Times New Roman" w:cs="Times New Roman"/>
          <w:sz w:val="24"/>
          <w:szCs w:val="24"/>
          <w:lang w:val="en-US"/>
        </w:rPr>
        <w:t>,</w:t>
      </w:r>
      <w:r w:rsidR="006A3999" w:rsidRPr="00083793">
        <w:rPr>
          <w:rFonts w:ascii="Times New Roman" w:hAnsi="Times New Roman" w:cs="Times New Roman"/>
          <w:sz w:val="24"/>
          <w:szCs w:val="24"/>
          <w:lang w:val="en-US"/>
        </w:rPr>
        <w:t xml:space="preserve"> argued that the Old Town constituted a legitimate military target and that the shelling was consistent with </w:t>
      </w:r>
      <w:r w:rsidR="00F7733A">
        <w:rPr>
          <w:rFonts w:ascii="Times New Roman" w:hAnsi="Times New Roman" w:cs="Times New Roman"/>
          <w:sz w:val="24"/>
          <w:szCs w:val="24"/>
          <w:lang w:val="en-US"/>
        </w:rPr>
        <w:t>his</w:t>
      </w:r>
      <w:r w:rsidR="00F7733A" w:rsidRPr="00083793">
        <w:rPr>
          <w:rFonts w:ascii="Times New Roman" w:hAnsi="Times New Roman" w:cs="Times New Roman"/>
          <w:sz w:val="24"/>
          <w:szCs w:val="24"/>
          <w:lang w:val="en-US"/>
        </w:rPr>
        <w:t xml:space="preserve"> </w:t>
      </w:r>
      <w:r w:rsidR="006A3999" w:rsidRPr="00083793">
        <w:rPr>
          <w:rFonts w:ascii="Times New Roman" w:hAnsi="Times New Roman" w:cs="Times New Roman"/>
          <w:sz w:val="24"/>
          <w:szCs w:val="24"/>
          <w:lang w:val="en-US"/>
        </w:rPr>
        <w:t xml:space="preserve">understanding </w:t>
      </w:r>
      <w:r w:rsidR="00F7733A">
        <w:rPr>
          <w:rFonts w:ascii="Times New Roman" w:hAnsi="Times New Roman" w:cs="Times New Roman"/>
          <w:sz w:val="24"/>
          <w:szCs w:val="24"/>
          <w:lang w:val="en-US"/>
        </w:rPr>
        <w:t xml:space="preserve">of </w:t>
      </w:r>
      <w:r w:rsidR="006A3999" w:rsidRPr="00083793">
        <w:rPr>
          <w:rFonts w:ascii="Times New Roman" w:hAnsi="Times New Roman" w:cs="Times New Roman"/>
          <w:sz w:val="24"/>
          <w:szCs w:val="24"/>
          <w:lang w:val="en-US"/>
        </w:rPr>
        <w:t xml:space="preserve">the notion of military necessity since it was his belief that Croatian forces were using it as a defensive stronghold. The </w:t>
      </w:r>
      <w:r w:rsidR="009854B2">
        <w:rPr>
          <w:rFonts w:ascii="Times New Roman" w:hAnsi="Times New Roman" w:cs="Times New Roman"/>
          <w:sz w:val="24"/>
          <w:szCs w:val="24"/>
          <w:lang w:val="en-US"/>
        </w:rPr>
        <w:t>t</w:t>
      </w:r>
      <w:r w:rsidR="006A3999" w:rsidRPr="00083793">
        <w:rPr>
          <w:rFonts w:ascii="Times New Roman" w:hAnsi="Times New Roman" w:cs="Times New Roman"/>
          <w:sz w:val="24"/>
          <w:szCs w:val="24"/>
          <w:lang w:val="en-US"/>
        </w:rPr>
        <w:t>rial chamber was not persuaded</w:t>
      </w:r>
      <w:r w:rsidR="00307B64">
        <w:rPr>
          <w:rFonts w:ascii="Times New Roman" w:hAnsi="Times New Roman" w:cs="Times New Roman"/>
          <w:sz w:val="24"/>
          <w:szCs w:val="24"/>
          <w:lang w:val="en-US"/>
        </w:rPr>
        <w:t>. And i</w:t>
      </w:r>
      <w:r w:rsidR="006A3999" w:rsidRPr="00083793">
        <w:rPr>
          <w:rFonts w:ascii="Times New Roman" w:hAnsi="Times New Roman" w:cs="Times New Roman"/>
          <w:sz w:val="24"/>
          <w:szCs w:val="24"/>
          <w:lang w:val="en-US"/>
        </w:rPr>
        <w:t xml:space="preserve">n finding </w:t>
      </w:r>
      <w:r w:rsidR="00221030">
        <w:rPr>
          <w:rFonts w:ascii="Times New Roman" w:hAnsi="Times New Roman" w:cs="Times New Roman"/>
          <w:sz w:val="24"/>
          <w:szCs w:val="24"/>
          <w:lang w:val="en-US"/>
        </w:rPr>
        <w:t xml:space="preserve">him </w:t>
      </w:r>
      <w:r w:rsidR="006A3999" w:rsidRPr="00083793">
        <w:rPr>
          <w:rFonts w:ascii="Times New Roman" w:hAnsi="Times New Roman" w:cs="Times New Roman"/>
          <w:sz w:val="24"/>
          <w:szCs w:val="24"/>
          <w:lang w:val="en-US"/>
        </w:rPr>
        <w:t xml:space="preserve">guilty and sentencing him to eight years imprisonment, </w:t>
      </w:r>
      <w:r w:rsidR="00221030">
        <w:rPr>
          <w:rFonts w:ascii="Times New Roman" w:hAnsi="Times New Roman" w:cs="Times New Roman"/>
          <w:sz w:val="24"/>
          <w:szCs w:val="24"/>
          <w:lang w:val="en-US"/>
        </w:rPr>
        <w:t xml:space="preserve">it </w:t>
      </w:r>
      <w:r w:rsidR="006A3999" w:rsidRPr="00083793">
        <w:rPr>
          <w:rFonts w:ascii="Times New Roman" w:hAnsi="Times New Roman" w:cs="Times New Roman"/>
          <w:sz w:val="24"/>
          <w:szCs w:val="24"/>
          <w:lang w:val="en-US"/>
        </w:rPr>
        <w:t xml:space="preserve">interpreted the elements of the </w:t>
      </w:r>
      <w:r w:rsidR="009F7085">
        <w:rPr>
          <w:rFonts w:ascii="Times New Roman" w:hAnsi="Times New Roman" w:cs="Times New Roman"/>
          <w:sz w:val="24"/>
          <w:szCs w:val="24"/>
          <w:lang w:val="en-US"/>
        </w:rPr>
        <w:t>offense</w:t>
      </w:r>
      <w:r w:rsidR="006A3999" w:rsidRPr="00083793">
        <w:rPr>
          <w:rFonts w:ascii="Times New Roman" w:hAnsi="Times New Roman" w:cs="Times New Roman"/>
          <w:sz w:val="24"/>
          <w:szCs w:val="24"/>
          <w:lang w:val="en-US"/>
        </w:rPr>
        <w:t xml:space="preserve"> under Article 3</w:t>
      </w:r>
      <w:r w:rsidR="0036527F">
        <w:rPr>
          <w:rFonts w:ascii="Times New Roman" w:hAnsi="Times New Roman" w:cs="Times New Roman"/>
          <w:sz w:val="24"/>
          <w:szCs w:val="24"/>
          <w:lang w:val="en-US"/>
        </w:rPr>
        <w:t>.</w:t>
      </w:r>
      <w:r w:rsidR="006A3999" w:rsidRPr="00083793">
        <w:rPr>
          <w:rFonts w:ascii="Times New Roman" w:hAnsi="Times New Roman" w:cs="Times New Roman"/>
          <w:sz w:val="24"/>
          <w:szCs w:val="24"/>
          <w:lang w:val="en-US"/>
        </w:rPr>
        <w:t xml:space="preserve">d. </w:t>
      </w:r>
      <w:r w:rsidR="0036527F">
        <w:rPr>
          <w:rFonts w:ascii="Times New Roman" w:hAnsi="Times New Roman" w:cs="Times New Roman"/>
          <w:sz w:val="24"/>
          <w:szCs w:val="24"/>
          <w:lang w:val="en-US"/>
        </w:rPr>
        <w:t xml:space="preserve">The court </w:t>
      </w:r>
      <w:r w:rsidR="006A3999" w:rsidRPr="00083793">
        <w:rPr>
          <w:rFonts w:ascii="Times New Roman" w:hAnsi="Times New Roman" w:cs="Times New Roman"/>
          <w:sz w:val="24"/>
          <w:szCs w:val="24"/>
          <w:lang w:val="en-US"/>
        </w:rPr>
        <w:t xml:space="preserve">determined that the protection of cultural heritage </w:t>
      </w:r>
      <w:r w:rsidR="00A77D33">
        <w:rPr>
          <w:rFonts w:ascii="Times New Roman" w:hAnsi="Times New Roman" w:cs="Times New Roman"/>
          <w:sz w:val="24"/>
          <w:szCs w:val="24"/>
          <w:lang w:val="en-US"/>
        </w:rPr>
        <w:t xml:space="preserve">applies </w:t>
      </w:r>
      <w:r w:rsidR="006A3999" w:rsidRPr="00083793">
        <w:rPr>
          <w:rFonts w:ascii="Times New Roman" w:hAnsi="Times New Roman" w:cs="Times New Roman"/>
          <w:sz w:val="24"/>
          <w:szCs w:val="24"/>
          <w:lang w:val="en-US"/>
        </w:rPr>
        <w:t xml:space="preserve">equally </w:t>
      </w:r>
      <w:r w:rsidR="000719A8">
        <w:rPr>
          <w:rFonts w:ascii="Times New Roman" w:hAnsi="Times New Roman" w:cs="Times New Roman"/>
          <w:sz w:val="24"/>
          <w:szCs w:val="24"/>
          <w:lang w:val="en-US"/>
        </w:rPr>
        <w:t xml:space="preserve">to </w:t>
      </w:r>
      <w:r w:rsidR="006A3999" w:rsidRPr="00083793">
        <w:rPr>
          <w:rFonts w:ascii="Times New Roman" w:hAnsi="Times New Roman" w:cs="Times New Roman"/>
          <w:sz w:val="24"/>
          <w:szCs w:val="24"/>
          <w:lang w:val="en-US"/>
        </w:rPr>
        <w:t xml:space="preserve">international </w:t>
      </w:r>
      <w:r w:rsidR="000719A8">
        <w:rPr>
          <w:rFonts w:ascii="Times New Roman" w:hAnsi="Times New Roman" w:cs="Times New Roman"/>
          <w:sz w:val="24"/>
          <w:szCs w:val="24"/>
          <w:lang w:val="en-US"/>
        </w:rPr>
        <w:t xml:space="preserve">and </w:t>
      </w:r>
      <w:r w:rsidR="006A3999" w:rsidRPr="00083793">
        <w:rPr>
          <w:rFonts w:ascii="Times New Roman" w:hAnsi="Times New Roman" w:cs="Times New Roman"/>
          <w:sz w:val="24"/>
          <w:szCs w:val="24"/>
          <w:lang w:val="en-US"/>
        </w:rPr>
        <w:t xml:space="preserve">non-international </w:t>
      </w:r>
      <w:r w:rsidR="000719A8" w:rsidRPr="00083793">
        <w:rPr>
          <w:rFonts w:ascii="Times New Roman" w:hAnsi="Times New Roman" w:cs="Times New Roman"/>
          <w:sz w:val="24"/>
          <w:szCs w:val="24"/>
          <w:lang w:val="en-US"/>
        </w:rPr>
        <w:t>in armed conflict</w:t>
      </w:r>
      <w:r w:rsidR="006A3999" w:rsidRPr="00083793">
        <w:rPr>
          <w:rFonts w:ascii="Times New Roman" w:hAnsi="Times New Roman" w:cs="Times New Roman"/>
          <w:sz w:val="24"/>
          <w:szCs w:val="24"/>
          <w:lang w:val="en-US"/>
        </w:rPr>
        <w:t xml:space="preserve">, and that </w:t>
      </w:r>
      <w:r w:rsidR="002C5031">
        <w:rPr>
          <w:rFonts w:ascii="Times New Roman" w:hAnsi="Times New Roman" w:cs="Times New Roman"/>
          <w:sz w:val="24"/>
          <w:szCs w:val="24"/>
          <w:lang w:val="en-US"/>
        </w:rPr>
        <w:t xml:space="preserve">the article </w:t>
      </w:r>
      <w:r w:rsidR="006A3999" w:rsidRPr="00083793">
        <w:rPr>
          <w:rFonts w:ascii="Times New Roman" w:hAnsi="Times New Roman" w:cs="Times New Roman"/>
          <w:sz w:val="24"/>
          <w:szCs w:val="24"/>
          <w:lang w:val="en-US"/>
        </w:rPr>
        <w:t xml:space="preserve">reflected customary international law. The </w:t>
      </w:r>
      <w:r w:rsidR="00436B27">
        <w:rPr>
          <w:rFonts w:ascii="Times New Roman" w:hAnsi="Times New Roman" w:cs="Times New Roman"/>
          <w:sz w:val="24"/>
          <w:szCs w:val="24"/>
          <w:lang w:val="en-US"/>
        </w:rPr>
        <w:t>j</w:t>
      </w:r>
      <w:r w:rsidR="006A3999" w:rsidRPr="00083793">
        <w:rPr>
          <w:rFonts w:ascii="Times New Roman" w:hAnsi="Times New Roman" w:cs="Times New Roman"/>
          <w:sz w:val="24"/>
          <w:szCs w:val="24"/>
          <w:lang w:val="en-US"/>
        </w:rPr>
        <w:t>udgment identifie</w:t>
      </w:r>
      <w:r w:rsidR="00EC7BA4">
        <w:rPr>
          <w:rFonts w:ascii="Times New Roman" w:hAnsi="Times New Roman" w:cs="Times New Roman"/>
          <w:sz w:val="24"/>
          <w:szCs w:val="24"/>
          <w:lang w:val="en-US"/>
        </w:rPr>
        <w:t>d</w:t>
      </w:r>
      <w:r w:rsidR="006A3999" w:rsidRPr="00083793">
        <w:rPr>
          <w:rFonts w:ascii="Times New Roman" w:hAnsi="Times New Roman" w:cs="Times New Roman"/>
          <w:sz w:val="24"/>
          <w:szCs w:val="24"/>
          <w:lang w:val="en-US"/>
        </w:rPr>
        <w:t xml:space="preserve"> three elements to the </w:t>
      </w:r>
      <w:r w:rsidR="009F7085">
        <w:rPr>
          <w:rFonts w:ascii="Times New Roman" w:hAnsi="Times New Roman" w:cs="Times New Roman"/>
          <w:sz w:val="24"/>
          <w:szCs w:val="24"/>
          <w:lang w:val="en-US"/>
        </w:rPr>
        <w:t>offense</w:t>
      </w:r>
      <w:r w:rsidR="006A3999" w:rsidRPr="00083793">
        <w:rPr>
          <w:rFonts w:ascii="Times New Roman" w:hAnsi="Times New Roman" w:cs="Times New Roman"/>
          <w:sz w:val="24"/>
          <w:szCs w:val="24"/>
          <w:lang w:val="en-US"/>
        </w:rPr>
        <w:t xml:space="preserve"> under Article 3</w:t>
      </w:r>
      <w:r w:rsidR="00AB686D">
        <w:rPr>
          <w:rFonts w:ascii="Times New Roman" w:hAnsi="Times New Roman" w:cs="Times New Roman"/>
          <w:sz w:val="24"/>
          <w:szCs w:val="24"/>
          <w:lang w:val="en-US"/>
        </w:rPr>
        <w:t>.</w:t>
      </w:r>
      <w:r w:rsidR="006A3999" w:rsidRPr="00083793">
        <w:rPr>
          <w:rFonts w:ascii="Times New Roman" w:hAnsi="Times New Roman" w:cs="Times New Roman"/>
          <w:sz w:val="24"/>
          <w:szCs w:val="24"/>
          <w:lang w:val="en-US"/>
        </w:rPr>
        <w:t>d: “(i)</w:t>
      </w:r>
      <w:r w:rsidR="00AB686D">
        <w:rPr>
          <w:rFonts w:ascii="Times New Roman" w:hAnsi="Times New Roman" w:cs="Times New Roman"/>
          <w:sz w:val="24"/>
          <w:szCs w:val="24"/>
          <w:lang w:val="en-US"/>
        </w:rPr>
        <w:t xml:space="preserve"> </w:t>
      </w:r>
      <w:r w:rsidR="006A3999" w:rsidRPr="00083793">
        <w:rPr>
          <w:rFonts w:ascii="Times New Roman" w:hAnsi="Times New Roman" w:cs="Times New Roman"/>
          <w:sz w:val="24"/>
          <w:szCs w:val="24"/>
          <w:lang w:val="en-US"/>
        </w:rPr>
        <w:t xml:space="preserve">… damage or destruction to property which constitutes the cultural or spiritual heritage of peoples; (ii) the damaged or destroyed </w:t>
      </w:r>
      <w:r w:rsidR="006A3999" w:rsidRPr="00083793">
        <w:rPr>
          <w:rFonts w:ascii="Times New Roman" w:hAnsi="Times New Roman" w:cs="Times New Roman"/>
          <w:sz w:val="24"/>
          <w:szCs w:val="24"/>
          <w:lang w:val="en-US"/>
        </w:rPr>
        <w:lastRenderedPageBreak/>
        <w:t>property was not used for military purposes at the time when the acts of hostility directed against these objects took place; and (iii) the act was carried out with the intent to damage or destroy the property in question</w:t>
      </w:r>
      <w:r w:rsidR="00EC7182">
        <w:rPr>
          <w:rFonts w:ascii="Times New Roman" w:hAnsi="Times New Roman" w:cs="Times New Roman"/>
          <w:sz w:val="24"/>
          <w:szCs w:val="24"/>
          <w:lang w:val="en-US"/>
        </w:rPr>
        <w:t>.”</w:t>
      </w:r>
      <w:r w:rsidR="006A3999" w:rsidRPr="00083793">
        <w:rPr>
          <w:rStyle w:val="EndnoteReference"/>
          <w:rFonts w:ascii="Times New Roman" w:hAnsi="Times New Roman" w:cs="Times New Roman"/>
          <w:sz w:val="24"/>
          <w:szCs w:val="24"/>
          <w:lang w:val="en-US"/>
        </w:rPr>
        <w:endnoteReference w:id="25"/>
      </w:r>
    </w:p>
    <w:p w14:paraId="70AC1E92" w14:textId="370EAED8" w:rsidR="006A3999" w:rsidRPr="00083793" w:rsidRDefault="006A3999" w:rsidP="00016FD4">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 xml:space="preserve">In a series of cases the ICTY expounded not only on the elements of the </w:t>
      </w:r>
      <w:r w:rsidR="009F7085">
        <w:rPr>
          <w:rFonts w:ascii="Times New Roman" w:hAnsi="Times New Roman" w:cs="Times New Roman"/>
          <w:sz w:val="24"/>
          <w:szCs w:val="24"/>
          <w:lang w:val="en-US"/>
        </w:rPr>
        <w:t>offense</w:t>
      </w:r>
      <w:r w:rsidRPr="00083793">
        <w:rPr>
          <w:rFonts w:ascii="Times New Roman" w:hAnsi="Times New Roman" w:cs="Times New Roman"/>
          <w:sz w:val="24"/>
          <w:szCs w:val="24"/>
          <w:lang w:val="en-US"/>
        </w:rPr>
        <w:t xml:space="preserve"> falling within the scope of Article 3</w:t>
      </w:r>
      <w:r w:rsidR="00B634C8">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d, but advanced much further in offering reflections on the normative values that motivate accountability for heritage destruction in international criminal law. For example, in the </w:t>
      </w:r>
      <w:r w:rsidRPr="00083793">
        <w:rPr>
          <w:rFonts w:ascii="Times New Roman" w:hAnsi="Times New Roman" w:cs="Times New Roman"/>
          <w:i/>
          <w:sz w:val="24"/>
          <w:szCs w:val="24"/>
          <w:lang w:val="en-US"/>
        </w:rPr>
        <w:t xml:space="preserve">Hadžihasanović and Kubura </w:t>
      </w:r>
      <w:r w:rsidRPr="00083793">
        <w:rPr>
          <w:rFonts w:ascii="Times New Roman" w:hAnsi="Times New Roman" w:cs="Times New Roman"/>
          <w:sz w:val="24"/>
          <w:szCs w:val="24"/>
          <w:lang w:val="en-US"/>
        </w:rPr>
        <w:t xml:space="preserve">case, dealing with the destruction of religious buildings, the </w:t>
      </w:r>
      <w:r w:rsidR="00FE0E57">
        <w:rPr>
          <w:rFonts w:ascii="Times New Roman" w:hAnsi="Times New Roman" w:cs="Times New Roman"/>
          <w:sz w:val="24"/>
          <w:szCs w:val="24"/>
          <w:lang w:val="en-US"/>
        </w:rPr>
        <w:t>t</w:t>
      </w:r>
      <w:r w:rsidRPr="00083793">
        <w:rPr>
          <w:rFonts w:ascii="Times New Roman" w:hAnsi="Times New Roman" w:cs="Times New Roman"/>
          <w:sz w:val="24"/>
          <w:szCs w:val="24"/>
          <w:lang w:val="en-US"/>
        </w:rPr>
        <w:t xml:space="preserve">ribunal emphasized that, in assessing the gravity of the alleged </w:t>
      </w:r>
      <w:r w:rsidR="009F7085">
        <w:rPr>
          <w:rFonts w:ascii="Times New Roman" w:hAnsi="Times New Roman" w:cs="Times New Roman"/>
          <w:sz w:val="24"/>
          <w:szCs w:val="24"/>
          <w:lang w:val="en-US"/>
        </w:rPr>
        <w:t>offense</w:t>
      </w:r>
      <w:r w:rsidRPr="00083793">
        <w:rPr>
          <w:rFonts w:ascii="Times New Roman" w:hAnsi="Times New Roman" w:cs="Times New Roman"/>
          <w:sz w:val="24"/>
          <w:szCs w:val="24"/>
          <w:lang w:val="en-US"/>
        </w:rPr>
        <w:t xml:space="preserve">, the spiritual value of property protected under </w:t>
      </w:r>
      <w:r w:rsidR="00FE0E57">
        <w:rPr>
          <w:rFonts w:ascii="Times New Roman" w:hAnsi="Times New Roman" w:cs="Times New Roman"/>
          <w:sz w:val="24"/>
          <w:szCs w:val="24"/>
          <w:lang w:val="en-US"/>
        </w:rPr>
        <w:t>the a</w:t>
      </w:r>
      <w:r w:rsidRPr="00083793">
        <w:rPr>
          <w:rFonts w:ascii="Times New Roman" w:hAnsi="Times New Roman" w:cs="Times New Roman"/>
          <w:sz w:val="24"/>
          <w:szCs w:val="24"/>
          <w:lang w:val="en-US"/>
        </w:rPr>
        <w:t>rticle should be a paramount consideration over and above the material damage inflicted.</w:t>
      </w:r>
      <w:r w:rsidRPr="00083793">
        <w:rPr>
          <w:rStyle w:val="EndnoteReference"/>
          <w:rFonts w:ascii="Times New Roman" w:hAnsi="Times New Roman" w:cs="Times New Roman"/>
          <w:sz w:val="24"/>
          <w:szCs w:val="24"/>
          <w:lang w:val="en-US"/>
        </w:rPr>
        <w:endnoteReference w:id="26"/>
      </w:r>
      <w:r w:rsidRPr="00083793">
        <w:rPr>
          <w:rFonts w:ascii="Times New Roman" w:hAnsi="Times New Roman" w:cs="Times New Roman"/>
          <w:sz w:val="24"/>
          <w:szCs w:val="24"/>
          <w:lang w:val="en-US"/>
        </w:rPr>
        <w:t xml:space="preserve"> In other instances, the </w:t>
      </w:r>
      <w:r w:rsidR="00D407D7">
        <w:rPr>
          <w:rFonts w:ascii="Times New Roman" w:hAnsi="Times New Roman" w:cs="Times New Roman"/>
          <w:sz w:val="24"/>
          <w:szCs w:val="24"/>
          <w:lang w:val="en-US"/>
        </w:rPr>
        <w:t xml:space="preserve">ICTY </w:t>
      </w:r>
      <w:r w:rsidRPr="00083793">
        <w:rPr>
          <w:rFonts w:ascii="Times New Roman" w:hAnsi="Times New Roman" w:cs="Times New Roman"/>
          <w:sz w:val="24"/>
          <w:szCs w:val="24"/>
          <w:lang w:val="en-US"/>
        </w:rPr>
        <w:t xml:space="preserve">highlighted the intrinsic value of property protected under </w:t>
      </w:r>
      <w:r w:rsidR="00A52D04">
        <w:rPr>
          <w:rFonts w:ascii="Times New Roman" w:hAnsi="Times New Roman" w:cs="Times New Roman"/>
          <w:sz w:val="24"/>
          <w:szCs w:val="24"/>
          <w:lang w:val="en-US"/>
        </w:rPr>
        <w:t>the a</w:t>
      </w:r>
      <w:r w:rsidRPr="00083793">
        <w:rPr>
          <w:rFonts w:ascii="Times New Roman" w:hAnsi="Times New Roman" w:cs="Times New Roman"/>
          <w:sz w:val="24"/>
          <w:szCs w:val="24"/>
          <w:lang w:val="en-US"/>
        </w:rPr>
        <w:t>rticle.</w:t>
      </w:r>
      <w:r w:rsidRPr="00083793">
        <w:rPr>
          <w:rStyle w:val="EndnoteReference"/>
          <w:rFonts w:ascii="Times New Roman" w:hAnsi="Times New Roman" w:cs="Times New Roman"/>
          <w:sz w:val="24"/>
          <w:szCs w:val="24"/>
          <w:lang w:val="en-US"/>
        </w:rPr>
        <w:endnoteReference w:id="27"/>
      </w:r>
    </w:p>
    <w:p w14:paraId="161DA8AC" w14:textId="2CC46977" w:rsidR="006A3999" w:rsidRPr="00083793" w:rsidRDefault="006A3999" w:rsidP="00016FD4">
      <w:pPr>
        <w:spacing w:after="0" w:line="480" w:lineRule="auto"/>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ab/>
        <w:t xml:space="preserve">A significant feature of the </w:t>
      </w:r>
      <w:r w:rsidR="0045186E">
        <w:rPr>
          <w:rFonts w:ascii="Times New Roman" w:hAnsi="Times New Roman" w:cs="Times New Roman"/>
          <w:sz w:val="24"/>
          <w:szCs w:val="24"/>
          <w:lang w:val="en-US"/>
        </w:rPr>
        <w:t>tribunal’s</w:t>
      </w:r>
      <w:r w:rsidR="0045186E" w:rsidRPr="00083793">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 xml:space="preserve">jurisprudence is its recognition of the intersectionality of heritage destruction with the crime against humanity of persecution. The </w:t>
      </w:r>
      <w:r w:rsidR="00D720BD">
        <w:rPr>
          <w:rFonts w:ascii="Times New Roman" w:hAnsi="Times New Roman" w:cs="Times New Roman"/>
          <w:sz w:val="24"/>
          <w:szCs w:val="24"/>
          <w:lang w:val="en-US"/>
        </w:rPr>
        <w:t>latter</w:t>
      </w:r>
      <w:r w:rsidRPr="00083793">
        <w:rPr>
          <w:rFonts w:ascii="Times New Roman" w:hAnsi="Times New Roman" w:cs="Times New Roman"/>
          <w:sz w:val="24"/>
          <w:szCs w:val="24"/>
          <w:lang w:val="en-US"/>
        </w:rPr>
        <w:t xml:space="preserve"> is complex and multilayered</w:t>
      </w:r>
      <w:r w:rsidR="00A62218">
        <w:rPr>
          <w:rFonts w:ascii="Times New Roman" w:hAnsi="Times New Roman" w:cs="Times New Roman"/>
          <w:sz w:val="24"/>
          <w:szCs w:val="24"/>
          <w:lang w:val="en-US"/>
        </w:rPr>
        <w:t>, but</w:t>
      </w:r>
      <w:r w:rsidRPr="00083793">
        <w:rPr>
          <w:rFonts w:ascii="Times New Roman" w:hAnsi="Times New Roman" w:cs="Times New Roman"/>
          <w:sz w:val="24"/>
          <w:szCs w:val="24"/>
          <w:lang w:val="en-US"/>
        </w:rPr>
        <w:t xml:space="preserve"> </w:t>
      </w:r>
      <w:r w:rsidR="00D720BD">
        <w:rPr>
          <w:rFonts w:ascii="Times New Roman" w:hAnsi="Times New Roman" w:cs="Times New Roman"/>
          <w:sz w:val="24"/>
          <w:szCs w:val="24"/>
          <w:lang w:val="en-US"/>
        </w:rPr>
        <w:t>a</w:t>
      </w:r>
      <w:r w:rsidRPr="00083793">
        <w:rPr>
          <w:rFonts w:ascii="Times New Roman" w:hAnsi="Times New Roman" w:cs="Times New Roman"/>
          <w:sz w:val="24"/>
          <w:szCs w:val="24"/>
          <w:lang w:val="en-US"/>
        </w:rPr>
        <w:t xml:space="preserve">t the heart of </w:t>
      </w:r>
      <w:r w:rsidR="00307B64">
        <w:rPr>
          <w:rFonts w:ascii="Times New Roman" w:hAnsi="Times New Roman" w:cs="Times New Roman"/>
          <w:sz w:val="24"/>
          <w:szCs w:val="24"/>
          <w:lang w:val="en-US"/>
        </w:rPr>
        <w:t>it</w:t>
      </w:r>
      <w:r w:rsidRPr="00083793">
        <w:rPr>
          <w:rFonts w:ascii="Times New Roman" w:hAnsi="Times New Roman" w:cs="Times New Roman"/>
          <w:sz w:val="24"/>
          <w:szCs w:val="24"/>
          <w:lang w:val="en-US"/>
        </w:rPr>
        <w:t xml:space="preserve"> is the denial of fundamental human rights on discriminatory grounds. In the </w:t>
      </w:r>
      <w:r w:rsidRPr="00083793">
        <w:rPr>
          <w:rFonts w:ascii="Times New Roman" w:hAnsi="Times New Roman" w:cs="Times New Roman"/>
          <w:i/>
          <w:sz w:val="24"/>
          <w:szCs w:val="24"/>
          <w:lang w:val="en-US"/>
        </w:rPr>
        <w:t>Tadić</w:t>
      </w:r>
      <w:r w:rsidRPr="00083793">
        <w:rPr>
          <w:rFonts w:ascii="Times New Roman" w:hAnsi="Times New Roman" w:cs="Times New Roman"/>
          <w:sz w:val="24"/>
          <w:szCs w:val="24"/>
          <w:lang w:val="en-US"/>
        </w:rPr>
        <w:t xml:space="preserve"> case, the </w:t>
      </w:r>
      <w:r w:rsidR="00A275B2">
        <w:rPr>
          <w:rFonts w:ascii="Times New Roman" w:hAnsi="Times New Roman" w:cs="Times New Roman"/>
          <w:sz w:val="24"/>
          <w:szCs w:val="24"/>
          <w:lang w:val="en-US"/>
        </w:rPr>
        <w:t>t</w:t>
      </w:r>
      <w:r w:rsidRPr="00083793">
        <w:rPr>
          <w:rFonts w:ascii="Times New Roman" w:hAnsi="Times New Roman" w:cs="Times New Roman"/>
          <w:sz w:val="24"/>
          <w:szCs w:val="24"/>
          <w:lang w:val="en-US"/>
        </w:rPr>
        <w:t xml:space="preserve">rial </w:t>
      </w:r>
      <w:r w:rsidR="00A275B2">
        <w:rPr>
          <w:rFonts w:ascii="Times New Roman" w:hAnsi="Times New Roman" w:cs="Times New Roman"/>
          <w:sz w:val="24"/>
          <w:szCs w:val="24"/>
          <w:lang w:val="en-US"/>
        </w:rPr>
        <w:t>c</w:t>
      </w:r>
      <w:r w:rsidRPr="00083793">
        <w:rPr>
          <w:rFonts w:ascii="Times New Roman" w:hAnsi="Times New Roman" w:cs="Times New Roman"/>
          <w:sz w:val="24"/>
          <w:szCs w:val="24"/>
          <w:lang w:val="en-US"/>
        </w:rPr>
        <w:t>hamber held that persecution under Article 5</w:t>
      </w:r>
      <w:r w:rsidR="009E6D04">
        <w:rPr>
          <w:rFonts w:ascii="Times New Roman" w:hAnsi="Times New Roman" w:cs="Times New Roman"/>
          <w:sz w:val="24"/>
          <w:szCs w:val="24"/>
          <w:lang w:val="en-US"/>
        </w:rPr>
        <w:t>.</w:t>
      </w:r>
      <w:r w:rsidRPr="00083793">
        <w:rPr>
          <w:rFonts w:ascii="Times New Roman" w:hAnsi="Times New Roman" w:cs="Times New Roman"/>
          <w:sz w:val="24"/>
          <w:szCs w:val="24"/>
          <w:lang w:val="en-US"/>
        </w:rPr>
        <w:t>h</w:t>
      </w:r>
      <w:r w:rsidR="009E6D04">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provided broad coverage, “including acts mentioned elsewhere in the Statute as well as acts which, although not in and of themselves inhumane, are considered inhumane because of the discriminatory grounds on which they are taken</w:t>
      </w:r>
      <w:r w:rsidR="00EC7182">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The </w:t>
      </w:r>
      <w:r w:rsidR="000F73AC">
        <w:rPr>
          <w:rFonts w:ascii="Times New Roman" w:hAnsi="Times New Roman" w:cs="Times New Roman"/>
          <w:sz w:val="24"/>
          <w:szCs w:val="24"/>
          <w:lang w:val="en-US"/>
        </w:rPr>
        <w:t xml:space="preserve">tribunal </w:t>
      </w:r>
      <w:r w:rsidRPr="00083793">
        <w:rPr>
          <w:rFonts w:ascii="Times New Roman" w:hAnsi="Times New Roman" w:cs="Times New Roman"/>
          <w:sz w:val="24"/>
          <w:szCs w:val="24"/>
          <w:lang w:val="en-US"/>
        </w:rPr>
        <w:t>emphasized that “what is necessary is some form of discrimination that is intended to be and results in an infringement of an individual’s fundamental rights</w:t>
      </w:r>
      <w:r w:rsidR="00EC7182">
        <w:rPr>
          <w:rFonts w:ascii="Times New Roman" w:hAnsi="Times New Roman" w:cs="Times New Roman"/>
          <w:sz w:val="24"/>
          <w:szCs w:val="24"/>
          <w:lang w:val="en-US"/>
        </w:rPr>
        <w:t>.”</w:t>
      </w:r>
      <w:r w:rsidRPr="00083793">
        <w:rPr>
          <w:rStyle w:val="EndnoteReference"/>
          <w:rFonts w:ascii="Times New Roman" w:hAnsi="Times New Roman" w:cs="Times New Roman"/>
          <w:sz w:val="24"/>
          <w:szCs w:val="24"/>
          <w:lang w:val="en-US"/>
        </w:rPr>
        <w:endnoteReference w:id="28"/>
      </w:r>
      <w:r w:rsidRPr="00083793">
        <w:rPr>
          <w:rFonts w:ascii="Times New Roman" w:hAnsi="Times New Roman" w:cs="Times New Roman"/>
          <w:sz w:val="24"/>
          <w:szCs w:val="24"/>
          <w:lang w:val="en-US"/>
        </w:rPr>
        <w:t xml:space="preserve"> </w:t>
      </w:r>
    </w:p>
    <w:p w14:paraId="01944B52" w14:textId="4899F3FE" w:rsidR="004E7F00" w:rsidRDefault="006A3999">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lastRenderedPageBreak/>
        <w:t xml:space="preserve">The first recognition that the targeting and destruction of religious and cultural heritage could be classified as persecution came in the </w:t>
      </w:r>
      <w:r w:rsidRPr="00083793">
        <w:rPr>
          <w:rFonts w:ascii="Times New Roman" w:hAnsi="Times New Roman" w:cs="Times New Roman"/>
          <w:i/>
          <w:sz w:val="24"/>
          <w:szCs w:val="24"/>
          <w:lang w:val="en-US"/>
        </w:rPr>
        <w:t>Blaškić</w:t>
      </w:r>
      <w:r w:rsidRPr="00083793">
        <w:rPr>
          <w:rFonts w:ascii="Times New Roman" w:hAnsi="Times New Roman" w:cs="Times New Roman"/>
          <w:sz w:val="24"/>
          <w:szCs w:val="24"/>
          <w:lang w:val="en-US"/>
        </w:rPr>
        <w:t xml:space="preserve"> case. </w:t>
      </w:r>
      <w:r w:rsidR="00FE3D72">
        <w:rPr>
          <w:rFonts w:ascii="Times New Roman" w:hAnsi="Times New Roman" w:cs="Times New Roman"/>
          <w:sz w:val="24"/>
          <w:szCs w:val="24"/>
          <w:lang w:val="en-US"/>
        </w:rPr>
        <w:t>T</w:t>
      </w:r>
      <w:r w:rsidRPr="00083793">
        <w:rPr>
          <w:rFonts w:ascii="Times New Roman" w:hAnsi="Times New Roman" w:cs="Times New Roman"/>
          <w:sz w:val="24"/>
          <w:szCs w:val="24"/>
          <w:lang w:val="en-US"/>
        </w:rPr>
        <w:t xml:space="preserve">he </w:t>
      </w:r>
      <w:r w:rsidR="000A1AE1">
        <w:rPr>
          <w:rFonts w:ascii="Times New Roman" w:hAnsi="Times New Roman" w:cs="Times New Roman"/>
          <w:sz w:val="24"/>
          <w:szCs w:val="24"/>
          <w:lang w:val="en-US"/>
        </w:rPr>
        <w:t>t</w:t>
      </w:r>
      <w:r w:rsidRPr="00083793">
        <w:rPr>
          <w:rFonts w:ascii="Times New Roman" w:hAnsi="Times New Roman" w:cs="Times New Roman"/>
          <w:sz w:val="24"/>
          <w:szCs w:val="24"/>
          <w:lang w:val="en-US"/>
        </w:rPr>
        <w:t xml:space="preserve">rial </w:t>
      </w:r>
      <w:r w:rsidR="000A1AE1">
        <w:rPr>
          <w:rFonts w:ascii="Times New Roman" w:hAnsi="Times New Roman" w:cs="Times New Roman"/>
          <w:sz w:val="24"/>
          <w:szCs w:val="24"/>
          <w:lang w:val="en-US"/>
        </w:rPr>
        <w:t>c</w:t>
      </w:r>
      <w:r w:rsidRPr="00083793">
        <w:rPr>
          <w:rFonts w:ascii="Times New Roman" w:hAnsi="Times New Roman" w:cs="Times New Roman"/>
          <w:sz w:val="24"/>
          <w:szCs w:val="24"/>
          <w:lang w:val="en-US"/>
        </w:rPr>
        <w:t>hamber determined that “persecution may take forms other than injury to the human person, in particular those acts rendered serious not by their apparent cruelty but by the discrimination they seek to instil within humankind</w:t>
      </w:r>
      <w:r w:rsidR="00EC7182">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Included within this understanding was the “confiscation or destruction of private dwellings or businesses, symbolic buildings or means of subsistence</w:t>
      </w:r>
      <w:r w:rsidR="00EC7182">
        <w:rPr>
          <w:rFonts w:ascii="Times New Roman" w:hAnsi="Times New Roman" w:cs="Times New Roman"/>
          <w:sz w:val="24"/>
          <w:szCs w:val="24"/>
          <w:lang w:val="en-US"/>
        </w:rPr>
        <w:t>.”</w:t>
      </w:r>
      <w:r w:rsidRPr="00083793">
        <w:rPr>
          <w:rStyle w:val="EndnoteReference"/>
          <w:rFonts w:ascii="Times New Roman" w:hAnsi="Times New Roman" w:cs="Times New Roman"/>
          <w:sz w:val="24"/>
          <w:szCs w:val="24"/>
          <w:lang w:val="en-US"/>
        </w:rPr>
        <w:endnoteReference w:id="29"/>
      </w:r>
      <w:r w:rsidRPr="00083793">
        <w:rPr>
          <w:rFonts w:ascii="Times New Roman" w:hAnsi="Times New Roman" w:cs="Times New Roman"/>
          <w:sz w:val="24"/>
          <w:szCs w:val="24"/>
          <w:lang w:val="en-US"/>
        </w:rPr>
        <w:t xml:space="preserve"> </w:t>
      </w:r>
    </w:p>
    <w:p w14:paraId="4C5ADF08" w14:textId="55518E5F" w:rsidR="006A3999" w:rsidRPr="00083793" w:rsidRDefault="006A3999" w:rsidP="00A02D5C">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 xml:space="preserve">This opened the door for further development of the law in the </w:t>
      </w:r>
      <w:r w:rsidRPr="00083793">
        <w:rPr>
          <w:rFonts w:ascii="Times New Roman" w:hAnsi="Times New Roman" w:cs="Times New Roman"/>
          <w:i/>
          <w:sz w:val="24"/>
          <w:szCs w:val="24"/>
          <w:lang w:val="en-US"/>
        </w:rPr>
        <w:t>Kordić and Čerkez</w:t>
      </w:r>
      <w:r w:rsidRPr="00083793">
        <w:rPr>
          <w:rFonts w:ascii="Times New Roman" w:hAnsi="Times New Roman" w:cs="Times New Roman"/>
          <w:sz w:val="24"/>
          <w:szCs w:val="24"/>
          <w:lang w:val="en-US"/>
        </w:rPr>
        <w:t xml:space="preserve"> case</w:t>
      </w:r>
      <w:r w:rsidR="00FE3D72">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w:t>
      </w:r>
      <w:r w:rsidR="00FE3D72">
        <w:rPr>
          <w:rFonts w:ascii="Times New Roman" w:hAnsi="Times New Roman" w:cs="Times New Roman"/>
          <w:sz w:val="24"/>
          <w:szCs w:val="24"/>
          <w:lang w:val="en-US"/>
        </w:rPr>
        <w:t>i</w:t>
      </w:r>
      <w:r w:rsidRPr="00083793">
        <w:rPr>
          <w:rFonts w:ascii="Times New Roman" w:hAnsi="Times New Roman" w:cs="Times New Roman"/>
          <w:sz w:val="24"/>
          <w:szCs w:val="24"/>
          <w:lang w:val="en-US"/>
        </w:rPr>
        <w:t xml:space="preserve">n </w:t>
      </w:r>
      <w:r w:rsidR="00FE3D72">
        <w:rPr>
          <w:rFonts w:ascii="Times New Roman" w:hAnsi="Times New Roman" w:cs="Times New Roman"/>
          <w:sz w:val="24"/>
          <w:szCs w:val="24"/>
          <w:lang w:val="en-US"/>
        </w:rPr>
        <w:t xml:space="preserve">which </w:t>
      </w:r>
      <w:r w:rsidRPr="00083793">
        <w:rPr>
          <w:rFonts w:ascii="Times New Roman" w:hAnsi="Times New Roman" w:cs="Times New Roman"/>
          <w:sz w:val="24"/>
          <w:szCs w:val="24"/>
          <w:lang w:val="en-US"/>
        </w:rPr>
        <w:t>the accused were charged with multiple counts relating to “the destruction and plunder of Bosnian Muslim property and the destruction of institutions dedicated to religion or education</w:t>
      </w:r>
      <w:r w:rsidR="00EC7182">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Reflecting on whether attacks on religious cultural property fell within the scope of persecution, the </w:t>
      </w:r>
      <w:r w:rsidR="002636E7">
        <w:rPr>
          <w:rFonts w:ascii="Times New Roman" w:hAnsi="Times New Roman" w:cs="Times New Roman"/>
          <w:sz w:val="24"/>
          <w:szCs w:val="24"/>
          <w:lang w:val="en-US"/>
        </w:rPr>
        <w:t>tribunal</w:t>
      </w:r>
      <w:r w:rsidRPr="00083793">
        <w:rPr>
          <w:rFonts w:ascii="Times New Roman" w:hAnsi="Times New Roman" w:cs="Times New Roman"/>
          <w:sz w:val="24"/>
          <w:szCs w:val="24"/>
          <w:lang w:val="en-US"/>
        </w:rPr>
        <w:t xml:space="preserve"> stated:</w:t>
      </w:r>
      <w:r w:rsidR="00CD3F98">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This act, when perpetrated with the requisite discriminatory intent, amounts to an attack on the very religious identity of a people. As such it manifests a nearly pure expression of the notion of ‘crimes against humanity</w:t>
      </w:r>
      <w:r w:rsidR="002636E7">
        <w:rPr>
          <w:rFonts w:ascii="Times New Roman" w:hAnsi="Times New Roman" w:cs="Times New Roman"/>
          <w:sz w:val="24"/>
          <w:szCs w:val="24"/>
          <w:lang w:val="en-US"/>
        </w:rPr>
        <w:t>,</w:t>
      </w:r>
      <w:r w:rsidRPr="00083793">
        <w:rPr>
          <w:rFonts w:ascii="Times New Roman" w:hAnsi="Times New Roman" w:cs="Times New Roman"/>
          <w:sz w:val="24"/>
          <w:szCs w:val="24"/>
          <w:lang w:val="en-US"/>
        </w:rPr>
        <w:t>’ for all of humanity is indeed injured by the destruction of a unique religious culture and its concomitant cultural objects. The Trial Chamber therefore finds that the destruction and willful damage of institutions dedicated to Muslim religion or education, coupled with the requisite discriminatory intent, may amount to an act of persecution.</w:t>
      </w:r>
      <w:r w:rsidR="00CD3F98">
        <w:rPr>
          <w:rFonts w:ascii="Times New Roman" w:hAnsi="Times New Roman" w:cs="Times New Roman"/>
          <w:sz w:val="24"/>
          <w:szCs w:val="24"/>
          <w:lang w:val="en-US"/>
        </w:rPr>
        <w:t>”</w:t>
      </w:r>
      <w:r w:rsidRPr="00083793">
        <w:rPr>
          <w:rStyle w:val="EndnoteReference"/>
          <w:rFonts w:ascii="Times New Roman" w:hAnsi="Times New Roman" w:cs="Times New Roman"/>
          <w:sz w:val="24"/>
          <w:szCs w:val="24"/>
          <w:lang w:val="en-US"/>
        </w:rPr>
        <w:endnoteReference w:id="30"/>
      </w:r>
    </w:p>
    <w:p w14:paraId="552B26F9" w14:textId="655A24A3" w:rsidR="006A3999" w:rsidRPr="00083793" w:rsidRDefault="006A3999" w:rsidP="00016FD4">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 xml:space="preserve">This </w:t>
      </w:r>
      <w:r w:rsidR="00A66D87">
        <w:rPr>
          <w:rFonts w:ascii="Times New Roman" w:hAnsi="Times New Roman" w:cs="Times New Roman"/>
          <w:sz w:val="24"/>
          <w:szCs w:val="24"/>
          <w:lang w:val="en-US"/>
        </w:rPr>
        <w:t xml:space="preserve">categorically </w:t>
      </w:r>
      <w:r w:rsidRPr="00083793">
        <w:rPr>
          <w:rFonts w:ascii="Times New Roman" w:hAnsi="Times New Roman" w:cs="Times New Roman"/>
          <w:sz w:val="24"/>
          <w:szCs w:val="24"/>
          <w:lang w:val="en-US"/>
        </w:rPr>
        <w:t>emphasizes the intersectionality of attacks on cultural heritage with campaigns of ethnic cleansing</w:t>
      </w:r>
      <w:r w:rsidR="00C50098">
        <w:rPr>
          <w:rFonts w:ascii="Times New Roman" w:hAnsi="Times New Roman" w:cs="Times New Roman"/>
          <w:sz w:val="24"/>
          <w:szCs w:val="24"/>
          <w:lang w:val="en-US"/>
        </w:rPr>
        <w:t>.</w:t>
      </w:r>
      <w:r w:rsidR="00EE6AE2">
        <w:rPr>
          <w:rFonts w:ascii="Times New Roman" w:hAnsi="Times New Roman" w:cs="Times New Roman"/>
          <w:sz w:val="24"/>
          <w:szCs w:val="24"/>
          <w:lang w:val="en-US"/>
        </w:rPr>
        <w:t xml:space="preserve"> </w:t>
      </w:r>
      <w:r w:rsidR="00C50098">
        <w:rPr>
          <w:rFonts w:ascii="Times New Roman" w:hAnsi="Times New Roman" w:cs="Times New Roman"/>
          <w:sz w:val="24"/>
          <w:szCs w:val="24"/>
          <w:lang w:val="en-US"/>
        </w:rPr>
        <w:t xml:space="preserve">It </w:t>
      </w:r>
      <w:r w:rsidR="00EE6AE2">
        <w:rPr>
          <w:rFonts w:ascii="Times New Roman" w:hAnsi="Times New Roman" w:cs="Times New Roman"/>
          <w:sz w:val="24"/>
          <w:szCs w:val="24"/>
          <w:lang w:val="en-US"/>
        </w:rPr>
        <w:t xml:space="preserve">is </w:t>
      </w:r>
      <w:r w:rsidR="00C50098">
        <w:rPr>
          <w:rFonts w:ascii="Times New Roman" w:hAnsi="Times New Roman" w:cs="Times New Roman"/>
          <w:sz w:val="24"/>
          <w:szCs w:val="24"/>
          <w:lang w:val="en-US"/>
        </w:rPr>
        <w:t xml:space="preserve">also </w:t>
      </w:r>
      <w:r w:rsidR="00EE6AE2">
        <w:rPr>
          <w:rFonts w:ascii="Times New Roman" w:hAnsi="Times New Roman" w:cs="Times New Roman"/>
          <w:sz w:val="24"/>
          <w:szCs w:val="24"/>
          <w:lang w:val="en-US"/>
        </w:rPr>
        <w:t>a</w:t>
      </w:r>
      <w:r w:rsidRPr="00083793">
        <w:rPr>
          <w:rFonts w:ascii="Times New Roman" w:hAnsi="Times New Roman" w:cs="Times New Roman"/>
          <w:sz w:val="24"/>
          <w:szCs w:val="24"/>
          <w:lang w:val="en-US"/>
        </w:rPr>
        <w:t xml:space="preserve">rguably the closest international criminal law has come to encapsulating within a single prosecutable </w:t>
      </w:r>
      <w:r w:rsidR="009F7085">
        <w:rPr>
          <w:rFonts w:ascii="Times New Roman" w:hAnsi="Times New Roman" w:cs="Times New Roman"/>
          <w:sz w:val="24"/>
          <w:szCs w:val="24"/>
          <w:lang w:val="en-US"/>
        </w:rPr>
        <w:t>offense</w:t>
      </w:r>
      <w:r w:rsidRPr="00083793">
        <w:rPr>
          <w:rFonts w:ascii="Times New Roman" w:hAnsi="Times New Roman" w:cs="Times New Roman"/>
          <w:sz w:val="24"/>
          <w:szCs w:val="24"/>
          <w:lang w:val="en-US"/>
        </w:rPr>
        <w:t xml:space="preserve"> acts contemplated by Ra</w:t>
      </w:r>
      <w:r w:rsidR="00630A32">
        <w:rPr>
          <w:rFonts w:ascii="Times New Roman" w:hAnsi="Times New Roman" w:cs="Times New Roman"/>
          <w:sz w:val="24"/>
          <w:szCs w:val="24"/>
          <w:lang w:val="en-US"/>
        </w:rPr>
        <w:t>ph</w:t>
      </w:r>
      <w:r w:rsidRPr="00083793">
        <w:rPr>
          <w:rFonts w:ascii="Times New Roman" w:hAnsi="Times New Roman" w:cs="Times New Roman"/>
          <w:sz w:val="24"/>
          <w:szCs w:val="24"/>
          <w:lang w:val="en-US"/>
        </w:rPr>
        <w:t>ael Lemkin</w:t>
      </w:r>
      <w:r w:rsidR="00784B45">
        <w:rPr>
          <w:rFonts w:ascii="Times New Roman" w:hAnsi="Times New Roman" w:cs="Times New Roman"/>
          <w:sz w:val="24"/>
          <w:szCs w:val="24"/>
          <w:lang w:val="en-US"/>
        </w:rPr>
        <w:t>—who first proposed the concept of genocide—</w:t>
      </w:r>
      <w:r w:rsidRPr="00083793">
        <w:rPr>
          <w:rFonts w:ascii="Times New Roman" w:hAnsi="Times New Roman" w:cs="Times New Roman"/>
          <w:sz w:val="24"/>
          <w:szCs w:val="24"/>
          <w:lang w:val="en-US"/>
        </w:rPr>
        <w:t xml:space="preserve">to fall within the scope of the notion of </w:t>
      </w:r>
      <w:r w:rsidR="00E23317">
        <w:rPr>
          <w:rFonts w:ascii="Times New Roman" w:hAnsi="Times New Roman" w:cs="Times New Roman"/>
          <w:sz w:val="24"/>
          <w:szCs w:val="24"/>
          <w:lang w:val="en-US"/>
        </w:rPr>
        <w:t>“</w:t>
      </w:r>
      <w:r w:rsidRPr="00083793">
        <w:rPr>
          <w:rFonts w:ascii="Times New Roman" w:hAnsi="Times New Roman" w:cs="Times New Roman"/>
          <w:sz w:val="24"/>
          <w:szCs w:val="24"/>
          <w:lang w:val="en-US"/>
        </w:rPr>
        <w:t>cultural genocide</w:t>
      </w:r>
      <w:r w:rsidR="00243871">
        <w:rPr>
          <w:rFonts w:ascii="Times New Roman" w:hAnsi="Times New Roman" w:cs="Times New Roman"/>
          <w:sz w:val="24"/>
          <w:szCs w:val="24"/>
          <w:lang w:val="en-US"/>
        </w:rPr>
        <w:t>,</w:t>
      </w:r>
      <w:r w:rsidR="00E23317">
        <w:rPr>
          <w:rFonts w:ascii="Times New Roman" w:hAnsi="Times New Roman" w:cs="Times New Roman"/>
          <w:sz w:val="24"/>
          <w:szCs w:val="24"/>
          <w:lang w:val="en-US"/>
        </w:rPr>
        <w:t>”</w:t>
      </w:r>
      <w:r w:rsidR="00243871">
        <w:rPr>
          <w:rFonts w:ascii="Times New Roman" w:hAnsi="Times New Roman" w:cs="Times New Roman"/>
          <w:sz w:val="24"/>
          <w:szCs w:val="24"/>
          <w:lang w:val="en-US"/>
        </w:rPr>
        <w:t xml:space="preserve"> which he referred to as “vandalism.”</w:t>
      </w:r>
      <w:r w:rsidRPr="00083793">
        <w:rPr>
          <w:rFonts w:ascii="Times New Roman" w:hAnsi="Times New Roman" w:cs="Times New Roman"/>
          <w:sz w:val="24"/>
          <w:szCs w:val="24"/>
          <w:lang w:val="en-US"/>
        </w:rPr>
        <w:t xml:space="preserve"> In prosecuting </w:t>
      </w:r>
      <w:r w:rsidRPr="00083793">
        <w:rPr>
          <w:rFonts w:ascii="Times New Roman" w:hAnsi="Times New Roman" w:cs="Times New Roman"/>
          <w:sz w:val="24"/>
          <w:szCs w:val="24"/>
          <w:lang w:val="en-US"/>
        </w:rPr>
        <w:lastRenderedPageBreak/>
        <w:t>heritage destruction as persecution, the ICTY was in a position to comprehensively set out the context within which attacks on cultural heritage were carried out.</w:t>
      </w:r>
      <w:r w:rsidRPr="00083793">
        <w:rPr>
          <w:rStyle w:val="EndnoteReference"/>
          <w:rFonts w:ascii="Times New Roman" w:hAnsi="Times New Roman" w:cs="Times New Roman"/>
          <w:sz w:val="24"/>
          <w:szCs w:val="24"/>
          <w:lang w:val="en-US"/>
        </w:rPr>
        <w:endnoteReference w:id="31"/>
      </w:r>
      <w:r w:rsidRPr="00083793">
        <w:rPr>
          <w:rFonts w:ascii="Times New Roman" w:hAnsi="Times New Roman" w:cs="Times New Roman"/>
          <w:sz w:val="24"/>
          <w:szCs w:val="24"/>
          <w:lang w:val="en-US"/>
        </w:rPr>
        <w:t xml:space="preserve"> </w:t>
      </w:r>
      <w:r w:rsidR="007C2C3F">
        <w:rPr>
          <w:rFonts w:ascii="Times New Roman" w:hAnsi="Times New Roman" w:cs="Times New Roman"/>
          <w:sz w:val="24"/>
          <w:szCs w:val="24"/>
          <w:lang w:val="en-US"/>
        </w:rPr>
        <w:t>Such a</w:t>
      </w:r>
      <w:r w:rsidRPr="00083793">
        <w:rPr>
          <w:rFonts w:ascii="Times New Roman" w:hAnsi="Times New Roman" w:cs="Times New Roman"/>
          <w:sz w:val="24"/>
          <w:szCs w:val="24"/>
          <w:lang w:val="en-US"/>
        </w:rPr>
        <w:t xml:space="preserve">ttacks are rarely isolated incidents of destruction, but rather fall within a widespread pattern of related conduct that is systematically directed at the eradication of significant markers of </w:t>
      </w:r>
      <w:r w:rsidR="008F331A">
        <w:rPr>
          <w:rFonts w:ascii="Times New Roman" w:hAnsi="Times New Roman" w:cs="Times New Roman"/>
          <w:sz w:val="24"/>
          <w:szCs w:val="24"/>
          <w:lang w:val="en-US"/>
        </w:rPr>
        <w:t xml:space="preserve">the </w:t>
      </w:r>
      <w:r w:rsidRPr="00083793">
        <w:rPr>
          <w:rFonts w:ascii="Times New Roman" w:hAnsi="Times New Roman" w:cs="Times New Roman"/>
          <w:sz w:val="24"/>
          <w:szCs w:val="24"/>
          <w:lang w:val="en-US"/>
        </w:rPr>
        <w:t xml:space="preserve">religious and cultural identity of a distinct group. </w:t>
      </w:r>
    </w:p>
    <w:p w14:paraId="7382FBF7" w14:textId="32BA57D3" w:rsidR="006A3999" w:rsidRPr="00083793" w:rsidRDefault="006A3999" w:rsidP="00016FD4">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 xml:space="preserve">The absence of cultural genocide from the 1948 Genocide Convention has been much lamented and commented upon. While international criminal law does not expressly contemplate accountability for cultural genocide, evidence of heritage destruction </w:t>
      </w:r>
      <w:r w:rsidR="0042157E">
        <w:rPr>
          <w:rFonts w:ascii="Times New Roman" w:hAnsi="Times New Roman" w:cs="Times New Roman"/>
          <w:sz w:val="24"/>
          <w:szCs w:val="24"/>
          <w:lang w:val="en-US"/>
        </w:rPr>
        <w:t>was</w:t>
      </w:r>
      <w:r w:rsidRPr="00083793">
        <w:rPr>
          <w:rFonts w:ascii="Times New Roman" w:hAnsi="Times New Roman" w:cs="Times New Roman"/>
          <w:sz w:val="24"/>
          <w:szCs w:val="24"/>
          <w:lang w:val="en-US"/>
        </w:rPr>
        <w:t xml:space="preserve"> used to great effect by the ICTY as a means of establishing the specific intent required of the crime of genocide; </w:t>
      </w:r>
      <w:r w:rsidR="00360672">
        <w:rPr>
          <w:rFonts w:ascii="Times New Roman" w:hAnsi="Times New Roman" w:cs="Times New Roman"/>
          <w:sz w:val="24"/>
          <w:szCs w:val="24"/>
          <w:lang w:val="en-US"/>
        </w:rPr>
        <w:t>that is</w:t>
      </w:r>
      <w:r w:rsidRPr="00083793">
        <w:rPr>
          <w:rFonts w:ascii="Times New Roman" w:hAnsi="Times New Roman" w:cs="Times New Roman"/>
          <w:sz w:val="24"/>
          <w:szCs w:val="24"/>
          <w:lang w:val="en-US"/>
        </w:rPr>
        <w:t xml:space="preserve">, the intent to </w:t>
      </w:r>
      <w:r w:rsidR="00803452">
        <w:rPr>
          <w:rFonts w:ascii="Times New Roman" w:hAnsi="Times New Roman" w:cs="Times New Roman"/>
          <w:sz w:val="24"/>
          <w:szCs w:val="24"/>
          <w:lang w:val="en-US"/>
        </w:rPr>
        <w:t>destroy</w:t>
      </w:r>
      <w:r w:rsidRPr="00083793">
        <w:rPr>
          <w:rFonts w:ascii="Times New Roman" w:hAnsi="Times New Roman" w:cs="Times New Roman"/>
          <w:sz w:val="24"/>
          <w:szCs w:val="24"/>
          <w:lang w:val="en-US"/>
        </w:rPr>
        <w:t xml:space="preserve"> the protected group in whole or in part. The utility of evidence of heritage destruction in this regard was clearly endorsed in the </w:t>
      </w:r>
      <w:r w:rsidRPr="00083793">
        <w:rPr>
          <w:rFonts w:ascii="Times New Roman" w:hAnsi="Times New Roman" w:cs="Times New Roman"/>
          <w:i/>
          <w:sz w:val="24"/>
          <w:szCs w:val="24"/>
          <w:lang w:val="en-US"/>
        </w:rPr>
        <w:t xml:space="preserve">Tolimir </w:t>
      </w:r>
      <w:r w:rsidRPr="00083793">
        <w:rPr>
          <w:rFonts w:ascii="Times New Roman" w:hAnsi="Times New Roman" w:cs="Times New Roman"/>
          <w:sz w:val="24"/>
          <w:szCs w:val="24"/>
          <w:lang w:val="en-US"/>
        </w:rPr>
        <w:t xml:space="preserve">case, where the </w:t>
      </w:r>
      <w:r w:rsidR="00126367">
        <w:rPr>
          <w:rFonts w:ascii="Times New Roman" w:hAnsi="Times New Roman" w:cs="Times New Roman"/>
          <w:sz w:val="24"/>
          <w:szCs w:val="24"/>
          <w:lang w:val="en-US"/>
        </w:rPr>
        <w:t>t</w:t>
      </w:r>
      <w:r w:rsidRPr="00083793">
        <w:rPr>
          <w:rFonts w:ascii="Times New Roman" w:hAnsi="Times New Roman" w:cs="Times New Roman"/>
          <w:sz w:val="24"/>
          <w:szCs w:val="24"/>
          <w:lang w:val="en-US"/>
        </w:rPr>
        <w:t>ribunal stated that: “</w:t>
      </w:r>
      <w:r w:rsidR="00324D7A">
        <w:rPr>
          <w:rFonts w:ascii="Times New Roman" w:hAnsi="Times New Roman" w:cs="Times New Roman"/>
          <w:sz w:val="24"/>
          <w:szCs w:val="24"/>
          <w:lang w:val="en-US"/>
        </w:rPr>
        <w:t>A</w:t>
      </w:r>
      <w:r w:rsidRPr="00083793">
        <w:rPr>
          <w:rFonts w:ascii="Times New Roman" w:hAnsi="Times New Roman" w:cs="Times New Roman"/>
          <w:sz w:val="24"/>
          <w:szCs w:val="24"/>
          <w:lang w:val="en-US"/>
        </w:rPr>
        <w:t>lthough an attack on cultural or religious property or symbols of a group would not constitute a genocidal act, such an attack may nevertheless be considered evidence of an intent to physically destroy the group</w:t>
      </w:r>
      <w:r w:rsidR="00EC7182">
        <w:rPr>
          <w:rFonts w:ascii="Times New Roman" w:hAnsi="Times New Roman" w:cs="Times New Roman"/>
          <w:sz w:val="24"/>
          <w:szCs w:val="24"/>
          <w:lang w:val="en-US"/>
        </w:rPr>
        <w:t>.”</w:t>
      </w:r>
      <w:r w:rsidRPr="00083793">
        <w:rPr>
          <w:rStyle w:val="EndnoteReference"/>
          <w:rFonts w:ascii="Times New Roman" w:hAnsi="Times New Roman" w:cs="Times New Roman"/>
          <w:sz w:val="24"/>
          <w:szCs w:val="24"/>
          <w:lang w:val="en-US"/>
        </w:rPr>
        <w:endnoteReference w:id="32"/>
      </w:r>
      <w:r w:rsidRPr="00083793">
        <w:rPr>
          <w:rFonts w:ascii="Times New Roman" w:hAnsi="Times New Roman" w:cs="Times New Roman"/>
          <w:sz w:val="24"/>
          <w:szCs w:val="24"/>
          <w:lang w:val="en-US"/>
        </w:rPr>
        <w:t xml:space="preserve"> This position has been endorsed in the jurisprudence of the International Court of Justice, </w:t>
      </w:r>
      <w:r w:rsidR="00855704">
        <w:rPr>
          <w:rFonts w:ascii="Times New Roman" w:hAnsi="Times New Roman" w:cs="Times New Roman"/>
          <w:sz w:val="24"/>
          <w:szCs w:val="24"/>
          <w:lang w:val="en-US"/>
        </w:rPr>
        <w:t>which</w:t>
      </w:r>
      <w:r w:rsidR="00855704" w:rsidRPr="00083793">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ha</w:t>
      </w:r>
      <w:r w:rsidR="00855704">
        <w:rPr>
          <w:rFonts w:ascii="Times New Roman" w:hAnsi="Times New Roman" w:cs="Times New Roman"/>
          <w:sz w:val="24"/>
          <w:szCs w:val="24"/>
          <w:lang w:val="en-US"/>
        </w:rPr>
        <w:t>s</w:t>
      </w:r>
      <w:r w:rsidRPr="00083793">
        <w:rPr>
          <w:rFonts w:ascii="Times New Roman" w:hAnsi="Times New Roman" w:cs="Times New Roman"/>
          <w:sz w:val="24"/>
          <w:szCs w:val="24"/>
          <w:lang w:val="en-US"/>
        </w:rPr>
        <w:t xml:space="preserve"> cited ICTY jurisprudence approvingly on the matter.</w:t>
      </w:r>
      <w:r w:rsidRPr="00083793">
        <w:rPr>
          <w:rStyle w:val="EndnoteReference"/>
          <w:rFonts w:ascii="Times New Roman" w:hAnsi="Times New Roman" w:cs="Times New Roman"/>
          <w:sz w:val="24"/>
          <w:szCs w:val="24"/>
          <w:lang w:val="en-US"/>
        </w:rPr>
        <w:endnoteReference w:id="33"/>
      </w:r>
    </w:p>
    <w:p w14:paraId="030926F3" w14:textId="32E68CF1" w:rsidR="006A3999" w:rsidRPr="00083793" w:rsidRDefault="006A3999" w:rsidP="00016FD4">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The ICTY deserves due recognition for foregrounding the destruction of cultural property in many of its most high</w:t>
      </w:r>
      <w:r w:rsidR="00D51CB0">
        <w:rPr>
          <w:rFonts w:ascii="Times New Roman" w:hAnsi="Times New Roman" w:cs="Times New Roman"/>
          <w:sz w:val="24"/>
          <w:szCs w:val="24"/>
          <w:lang w:val="en-US"/>
        </w:rPr>
        <w:t>-</w:t>
      </w:r>
      <w:r w:rsidRPr="00083793">
        <w:rPr>
          <w:rFonts w:ascii="Times New Roman" w:hAnsi="Times New Roman" w:cs="Times New Roman"/>
          <w:sz w:val="24"/>
          <w:szCs w:val="24"/>
          <w:lang w:val="en-US"/>
        </w:rPr>
        <w:t>profile cases. The following section considers the extent to which the ICC has embraced this legacy and whether</w:t>
      </w:r>
      <w:r w:rsidR="00D51CB0">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it is well placed</w:t>
      </w:r>
      <w:r w:rsidR="00D51CB0">
        <w:rPr>
          <w:rFonts w:ascii="Times New Roman" w:hAnsi="Times New Roman" w:cs="Times New Roman"/>
          <w:sz w:val="24"/>
          <w:szCs w:val="24"/>
          <w:lang w:val="en-US"/>
        </w:rPr>
        <w:t xml:space="preserve"> or not</w:t>
      </w:r>
      <w:r w:rsidRPr="00083793">
        <w:rPr>
          <w:rFonts w:ascii="Times New Roman" w:hAnsi="Times New Roman" w:cs="Times New Roman"/>
          <w:sz w:val="24"/>
          <w:szCs w:val="24"/>
          <w:lang w:val="en-US"/>
        </w:rPr>
        <w:t xml:space="preserve"> to further the law as it relates to the destruction of cultural heritage. </w:t>
      </w:r>
    </w:p>
    <w:p w14:paraId="1127E144" w14:textId="77777777" w:rsidR="006A3999" w:rsidRPr="00083793" w:rsidRDefault="006A3999" w:rsidP="00016FD4">
      <w:pPr>
        <w:spacing w:after="0" w:line="480" w:lineRule="auto"/>
        <w:contextualSpacing/>
        <w:rPr>
          <w:rFonts w:ascii="Times New Roman" w:hAnsi="Times New Roman" w:cs="Times New Roman"/>
          <w:b/>
          <w:sz w:val="24"/>
          <w:szCs w:val="24"/>
          <w:lang w:val="en-US"/>
        </w:rPr>
      </w:pPr>
    </w:p>
    <w:p w14:paraId="41F9AEE5" w14:textId="618EC59A" w:rsidR="006A3999" w:rsidRPr="00083793" w:rsidRDefault="006A3999" w:rsidP="00A02D5C">
      <w:pPr>
        <w:pStyle w:val="Heading2"/>
        <w:rPr>
          <w:lang w:val="en-US"/>
        </w:rPr>
      </w:pPr>
      <w:r w:rsidRPr="00083793">
        <w:rPr>
          <w:lang w:val="en-US"/>
        </w:rPr>
        <w:lastRenderedPageBreak/>
        <w:t>The ICC</w:t>
      </w:r>
      <w:r w:rsidR="00CB70DB">
        <w:rPr>
          <w:lang w:val="en-US"/>
        </w:rPr>
        <w:t>:</w:t>
      </w:r>
      <w:r w:rsidRPr="00083793">
        <w:rPr>
          <w:lang w:val="en-US"/>
        </w:rPr>
        <w:t xml:space="preserve"> </w:t>
      </w:r>
      <w:r w:rsidRPr="00083793">
        <w:rPr>
          <w:i/>
          <w:lang w:val="en-US"/>
        </w:rPr>
        <w:t>Al Mahdi</w:t>
      </w:r>
      <w:r w:rsidRPr="00083793">
        <w:rPr>
          <w:lang w:val="en-US"/>
        </w:rPr>
        <w:t xml:space="preserve"> and the Trajectory of Accountability for Heritage Destruction</w:t>
      </w:r>
    </w:p>
    <w:p w14:paraId="22B752B9" w14:textId="0DDC480B" w:rsidR="006A3999" w:rsidRPr="00083793" w:rsidRDefault="006A3999" w:rsidP="00016FD4">
      <w:pPr>
        <w:spacing w:after="0" w:line="480" w:lineRule="auto"/>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Since its establishment</w:t>
      </w:r>
      <w:r w:rsidR="00680B36">
        <w:rPr>
          <w:rFonts w:ascii="Times New Roman" w:hAnsi="Times New Roman" w:cs="Times New Roman"/>
          <w:sz w:val="24"/>
          <w:szCs w:val="24"/>
          <w:lang w:val="en-US"/>
        </w:rPr>
        <w:t xml:space="preserve"> in 2002</w:t>
      </w:r>
      <w:r w:rsidR="00475FCF">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the ICC has struggled under the weight of utopian expectations. The unfortunate reality is that in the </w:t>
      </w:r>
      <w:r w:rsidR="00680B36">
        <w:rPr>
          <w:rFonts w:ascii="Times New Roman" w:hAnsi="Times New Roman" w:cs="Times New Roman"/>
          <w:sz w:val="24"/>
          <w:szCs w:val="24"/>
          <w:lang w:val="en-US"/>
        </w:rPr>
        <w:t xml:space="preserve">more than twenty </w:t>
      </w:r>
      <w:r w:rsidRPr="00083793">
        <w:rPr>
          <w:rFonts w:ascii="Times New Roman" w:hAnsi="Times New Roman" w:cs="Times New Roman"/>
          <w:sz w:val="24"/>
          <w:szCs w:val="24"/>
          <w:lang w:val="en-US"/>
        </w:rPr>
        <w:t xml:space="preserve">years since the conclusion of the </w:t>
      </w:r>
      <w:r w:rsidR="00A94EB5">
        <w:rPr>
          <w:rFonts w:ascii="Times New Roman" w:hAnsi="Times New Roman" w:cs="Times New Roman"/>
          <w:sz w:val="24"/>
          <w:szCs w:val="24"/>
          <w:lang w:val="en-US"/>
        </w:rPr>
        <w:t xml:space="preserve">1998 </w:t>
      </w:r>
      <w:r w:rsidRPr="00083793">
        <w:rPr>
          <w:rFonts w:ascii="Times New Roman" w:hAnsi="Times New Roman" w:cs="Times New Roman"/>
          <w:sz w:val="24"/>
          <w:szCs w:val="24"/>
          <w:lang w:val="en-US"/>
        </w:rPr>
        <w:t xml:space="preserve">Rome Statute that gave birth to the ICC, there have only been rare successes amid a plethora of failures and missed opportunities. One of the more unexpected success stories relates to the efforts of the Office of the Prosecutor to pursue charges relating to heritage destruction. Under Article 8 of the Rome Statute, the </w:t>
      </w:r>
      <w:r w:rsidR="00513065">
        <w:rPr>
          <w:rFonts w:ascii="Times New Roman" w:hAnsi="Times New Roman" w:cs="Times New Roman"/>
          <w:sz w:val="24"/>
          <w:szCs w:val="24"/>
          <w:lang w:val="en-US"/>
        </w:rPr>
        <w:t>c</w:t>
      </w:r>
      <w:r w:rsidRPr="00083793">
        <w:rPr>
          <w:rFonts w:ascii="Times New Roman" w:hAnsi="Times New Roman" w:cs="Times New Roman"/>
          <w:sz w:val="24"/>
          <w:szCs w:val="24"/>
          <w:lang w:val="en-US"/>
        </w:rPr>
        <w:t>ourt has jurisdiction to prosecute the war crime of “intentionally directing attacks against buildings dedicated to religion, education, art, science or charitable purposes, historic monuments, hospitals and places where the sick and wounded are collected provided they are not military objectives</w:t>
      </w:r>
      <w:r w:rsidR="00EC7182">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This provision is applicable both in </w:t>
      </w:r>
      <w:r w:rsidR="00307B64">
        <w:rPr>
          <w:rFonts w:ascii="Times New Roman" w:hAnsi="Times New Roman" w:cs="Times New Roman"/>
          <w:sz w:val="24"/>
          <w:szCs w:val="24"/>
          <w:lang w:val="en-US"/>
        </w:rPr>
        <w:t xml:space="preserve">national and </w:t>
      </w:r>
      <w:r w:rsidRPr="00083793">
        <w:rPr>
          <w:rFonts w:ascii="Times New Roman" w:hAnsi="Times New Roman" w:cs="Times New Roman"/>
          <w:sz w:val="24"/>
          <w:szCs w:val="24"/>
          <w:lang w:val="en-US"/>
        </w:rPr>
        <w:t>international armed conflict under Articles 8</w:t>
      </w:r>
      <w:r w:rsidR="00297A79">
        <w:rPr>
          <w:rFonts w:ascii="Times New Roman" w:hAnsi="Times New Roman" w:cs="Times New Roman"/>
          <w:sz w:val="24"/>
          <w:szCs w:val="24"/>
          <w:lang w:val="en-US"/>
        </w:rPr>
        <w:t>.</w:t>
      </w:r>
      <w:r w:rsidRPr="00083793">
        <w:rPr>
          <w:rFonts w:ascii="Times New Roman" w:hAnsi="Times New Roman" w:cs="Times New Roman"/>
          <w:sz w:val="24"/>
          <w:szCs w:val="24"/>
          <w:lang w:val="en-US"/>
        </w:rPr>
        <w:t>2</w:t>
      </w:r>
      <w:r w:rsidR="00297A79">
        <w:rPr>
          <w:rFonts w:ascii="Times New Roman" w:hAnsi="Times New Roman" w:cs="Times New Roman"/>
          <w:sz w:val="24"/>
          <w:szCs w:val="24"/>
          <w:lang w:val="en-US"/>
        </w:rPr>
        <w:t>.</w:t>
      </w:r>
      <w:r w:rsidRPr="00083793">
        <w:rPr>
          <w:rFonts w:ascii="Times New Roman" w:hAnsi="Times New Roman" w:cs="Times New Roman"/>
          <w:sz w:val="24"/>
          <w:szCs w:val="24"/>
          <w:lang w:val="en-US"/>
        </w:rPr>
        <w:t>b</w:t>
      </w:r>
      <w:r w:rsidR="00297A79">
        <w:rPr>
          <w:rFonts w:ascii="Times New Roman" w:hAnsi="Times New Roman" w:cs="Times New Roman"/>
          <w:sz w:val="24"/>
          <w:szCs w:val="24"/>
          <w:lang w:val="en-US"/>
        </w:rPr>
        <w:t>.</w:t>
      </w:r>
      <w:r w:rsidRPr="00083793">
        <w:rPr>
          <w:rFonts w:ascii="Times New Roman" w:hAnsi="Times New Roman" w:cs="Times New Roman"/>
          <w:sz w:val="24"/>
          <w:szCs w:val="24"/>
          <w:lang w:val="en-US"/>
        </w:rPr>
        <w:t>ix and 8</w:t>
      </w:r>
      <w:r w:rsidR="00297A79">
        <w:rPr>
          <w:rFonts w:ascii="Times New Roman" w:hAnsi="Times New Roman" w:cs="Times New Roman"/>
          <w:sz w:val="24"/>
          <w:szCs w:val="24"/>
          <w:lang w:val="en-US"/>
        </w:rPr>
        <w:t>.</w:t>
      </w:r>
      <w:r w:rsidRPr="00083793">
        <w:rPr>
          <w:rFonts w:ascii="Times New Roman" w:hAnsi="Times New Roman" w:cs="Times New Roman"/>
          <w:sz w:val="24"/>
          <w:szCs w:val="24"/>
          <w:lang w:val="en-US"/>
        </w:rPr>
        <w:t>2</w:t>
      </w:r>
      <w:r w:rsidR="00297A79">
        <w:rPr>
          <w:rFonts w:ascii="Times New Roman" w:hAnsi="Times New Roman" w:cs="Times New Roman"/>
          <w:sz w:val="24"/>
          <w:szCs w:val="24"/>
          <w:lang w:val="en-US"/>
        </w:rPr>
        <w:t>.</w:t>
      </w:r>
      <w:r w:rsidRPr="00083793">
        <w:rPr>
          <w:rFonts w:ascii="Times New Roman" w:hAnsi="Times New Roman" w:cs="Times New Roman"/>
          <w:sz w:val="24"/>
          <w:szCs w:val="24"/>
          <w:lang w:val="en-US"/>
        </w:rPr>
        <w:t>e</w:t>
      </w:r>
      <w:r w:rsidR="00297A79">
        <w:rPr>
          <w:rFonts w:ascii="Times New Roman" w:hAnsi="Times New Roman" w:cs="Times New Roman"/>
          <w:sz w:val="24"/>
          <w:szCs w:val="24"/>
          <w:lang w:val="en-US"/>
        </w:rPr>
        <w:t>.</w:t>
      </w:r>
      <w:r w:rsidRPr="00083793">
        <w:rPr>
          <w:rFonts w:ascii="Times New Roman" w:hAnsi="Times New Roman" w:cs="Times New Roman"/>
          <w:sz w:val="24"/>
          <w:szCs w:val="24"/>
          <w:lang w:val="en-US"/>
        </w:rPr>
        <w:t>iv</w:t>
      </w:r>
      <w:r w:rsidR="00297A79">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respectively. Harking back to the terms of Article 2</w:t>
      </w:r>
      <w:r w:rsidR="002464CE">
        <w:rPr>
          <w:rFonts w:ascii="Times New Roman" w:hAnsi="Times New Roman" w:cs="Times New Roman"/>
          <w:sz w:val="24"/>
          <w:szCs w:val="24"/>
          <w:lang w:val="en-US"/>
        </w:rPr>
        <w:t>7</w:t>
      </w:r>
      <w:r w:rsidRPr="00083793">
        <w:rPr>
          <w:rFonts w:ascii="Times New Roman" w:hAnsi="Times New Roman" w:cs="Times New Roman"/>
          <w:sz w:val="24"/>
          <w:szCs w:val="24"/>
          <w:lang w:val="en-US"/>
        </w:rPr>
        <w:t xml:space="preserve"> of </w:t>
      </w:r>
      <w:r w:rsidR="000636EB">
        <w:rPr>
          <w:rFonts w:ascii="Times New Roman" w:hAnsi="Times New Roman" w:cs="Times New Roman"/>
          <w:sz w:val="24"/>
          <w:szCs w:val="24"/>
          <w:lang w:val="en-US"/>
        </w:rPr>
        <w:t xml:space="preserve">the </w:t>
      </w:r>
      <w:r w:rsidR="008E5F4F">
        <w:rPr>
          <w:rFonts w:ascii="Times New Roman" w:hAnsi="Times New Roman" w:cs="Times New Roman"/>
          <w:sz w:val="24"/>
          <w:szCs w:val="24"/>
          <w:lang w:val="en-US"/>
        </w:rPr>
        <w:t>r</w:t>
      </w:r>
      <w:r w:rsidRPr="00083793">
        <w:rPr>
          <w:rFonts w:ascii="Times New Roman" w:hAnsi="Times New Roman" w:cs="Times New Roman"/>
          <w:sz w:val="24"/>
          <w:szCs w:val="24"/>
          <w:lang w:val="en-US"/>
        </w:rPr>
        <w:t xml:space="preserve">egulations annexed to Hague Convention IV of 1907, the provision mixes the protection of immovable cultural property with other types of protected property. </w:t>
      </w:r>
      <w:r w:rsidR="005F43B7">
        <w:rPr>
          <w:rFonts w:ascii="Times New Roman" w:hAnsi="Times New Roman" w:cs="Times New Roman"/>
          <w:sz w:val="24"/>
          <w:szCs w:val="24"/>
          <w:lang w:val="en-US"/>
        </w:rPr>
        <w:t>T</w:t>
      </w:r>
      <w:r w:rsidRPr="00083793">
        <w:rPr>
          <w:rFonts w:ascii="Times New Roman" w:hAnsi="Times New Roman" w:cs="Times New Roman"/>
          <w:sz w:val="24"/>
          <w:szCs w:val="24"/>
          <w:lang w:val="en-US"/>
        </w:rPr>
        <w:t>he emphasis is clearly on civilian use rather than the cultural value of the protected property</w:t>
      </w:r>
      <w:r w:rsidR="005F43B7">
        <w:rPr>
          <w:rFonts w:ascii="Times New Roman" w:hAnsi="Times New Roman" w:cs="Times New Roman"/>
          <w:sz w:val="24"/>
          <w:szCs w:val="24"/>
          <w:lang w:val="en-US"/>
        </w:rPr>
        <w:t>,</w:t>
      </w:r>
      <w:r w:rsidRPr="00083793">
        <w:rPr>
          <w:rStyle w:val="EndnoteReference"/>
          <w:rFonts w:ascii="Times New Roman" w:hAnsi="Times New Roman" w:cs="Times New Roman"/>
          <w:sz w:val="24"/>
          <w:szCs w:val="24"/>
          <w:lang w:val="en-US"/>
        </w:rPr>
        <w:endnoteReference w:id="34"/>
      </w:r>
      <w:r w:rsidRPr="00083793">
        <w:rPr>
          <w:rFonts w:ascii="Times New Roman" w:hAnsi="Times New Roman" w:cs="Times New Roman"/>
          <w:sz w:val="24"/>
          <w:szCs w:val="24"/>
          <w:lang w:val="en-US"/>
        </w:rPr>
        <w:t xml:space="preserve"> </w:t>
      </w:r>
      <w:r w:rsidR="005F43B7">
        <w:rPr>
          <w:rFonts w:ascii="Times New Roman" w:hAnsi="Times New Roman" w:cs="Times New Roman"/>
          <w:sz w:val="24"/>
          <w:szCs w:val="24"/>
          <w:lang w:val="en-US"/>
        </w:rPr>
        <w:t>and t</w:t>
      </w:r>
      <w:r w:rsidRPr="00083793">
        <w:rPr>
          <w:rFonts w:ascii="Times New Roman" w:hAnsi="Times New Roman" w:cs="Times New Roman"/>
          <w:sz w:val="24"/>
          <w:szCs w:val="24"/>
          <w:lang w:val="en-US"/>
        </w:rPr>
        <w:t xml:space="preserve">he scope of the provision is further limited by the exclusion of movable cultural objects. </w:t>
      </w:r>
    </w:p>
    <w:p w14:paraId="6DED3A47" w14:textId="56C496AD" w:rsidR="006A3999" w:rsidRPr="00083793" w:rsidRDefault="006A3999" w:rsidP="00016FD4">
      <w:pPr>
        <w:spacing w:after="0" w:line="480" w:lineRule="auto"/>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ab/>
        <w:t>Whereas Article 3</w:t>
      </w:r>
      <w:r w:rsidR="003633E4">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d of the ICTY </w:t>
      </w:r>
      <w:r w:rsidR="003633E4">
        <w:rPr>
          <w:rFonts w:ascii="Times New Roman" w:hAnsi="Times New Roman" w:cs="Times New Roman"/>
          <w:sz w:val="24"/>
          <w:szCs w:val="24"/>
          <w:lang w:val="en-US"/>
        </w:rPr>
        <w:t>s</w:t>
      </w:r>
      <w:r w:rsidRPr="00083793">
        <w:rPr>
          <w:rFonts w:ascii="Times New Roman" w:hAnsi="Times New Roman" w:cs="Times New Roman"/>
          <w:sz w:val="24"/>
          <w:szCs w:val="24"/>
          <w:lang w:val="en-US"/>
        </w:rPr>
        <w:t xml:space="preserve">tatute referred to “damage or destruction” done to cultural property, the equivalent </w:t>
      </w:r>
      <w:r w:rsidR="009F7085">
        <w:rPr>
          <w:rFonts w:ascii="Times New Roman" w:hAnsi="Times New Roman" w:cs="Times New Roman"/>
          <w:sz w:val="24"/>
          <w:szCs w:val="24"/>
          <w:lang w:val="en-US"/>
        </w:rPr>
        <w:t>offense</w:t>
      </w:r>
      <w:r w:rsidRPr="00083793">
        <w:rPr>
          <w:rFonts w:ascii="Times New Roman" w:hAnsi="Times New Roman" w:cs="Times New Roman"/>
          <w:sz w:val="24"/>
          <w:szCs w:val="24"/>
          <w:lang w:val="en-US"/>
        </w:rPr>
        <w:t xml:space="preserve"> under the Rome Statute refers to “intentionally directing attacks</w:t>
      </w:r>
      <w:r w:rsidR="00EC7182">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w:t>
      </w:r>
      <w:r w:rsidR="00307B64">
        <w:rPr>
          <w:rFonts w:ascii="Times New Roman" w:hAnsi="Times New Roman" w:cs="Times New Roman"/>
          <w:sz w:val="24"/>
          <w:szCs w:val="24"/>
          <w:lang w:val="en-US"/>
        </w:rPr>
        <w:t>A</w:t>
      </w:r>
      <w:r w:rsidRPr="00083793">
        <w:rPr>
          <w:rFonts w:ascii="Times New Roman" w:hAnsi="Times New Roman" w:cs="Times New Roman"/>
          <w:sz w:val="24"/>
          <w:szCs w:val="24"/>
          <w:lang w:val="en-US"/>
        </w:rPr>
        <w:t>n attack under international humanitarian law (also known as the laws of war) is quite particular, and refers to combat action, whether in offen</w:t>
      </w:r>
      <w:r w:rsidR="000E41C9">
        <w:rPr>
          <w:rFonts w:ascii="Times New Roman" w:hAnsi="Times New Roman" w:cs="Times New Roman"/>
          <w:sz w:val="24"/>
          <w:szCs w:val="24"/>
          <w:lang w:val="en-US"/>
        </w:rPr>
        <w:t>s</w:t>
      </w:r>
      <w:r w:rsidRPr="00083793">
        <w:rPr>
          <w:rFonts w:ascii="Times New Roman" w:hAnsi="Times New Roman" w:cs="Times New Roman"/>
          <w:sz w:val="24"/>
          <w:szCs w:val="24"/>
          <w:lang w:val="en-US"/>
        </w:rPr>
        <w:t>e or defen</w:t>
      </w:r>
      <w:r w:rsidR="006459FE">
        <w:rPr>
          <w:rFonts w:ascii="Times New Roman" w:hAnsi="Times New Roman" w:cs="Times New Roman"/>
          <w:sz w:val="24"/>
          <w:szCs w:val="24"/>
          <w:lang w:val="en-US"/>
        </w:rPr>
        <w:t>s</w:t>
      </w:r>
      <w:r w:rsidRPr="00083793">
        <w:rPr>
          <w:rFonts w:ascii="Times New Roman" w:hAnsi="Times New Roman" w:cs="Times New Roman"/>
          <w:sz w:val="24"/>
          <w:szCs w:val="24"/>
          <w:lang w:val="en-US"/>
        </w:rPr>
        <w:t>e. This means that in the language of international humanitarian law, attacks occur during a specific phase of an armed conflict</w:t>
      </w:r>
      <w:r w:rsidR="009A745C">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during the conduct of hostilities. This would suggest that in order for an </w:t>
      </w:r>
      <w:r w:rsidR="009F7085">
        <w:rPr>
          <w:rFonts w:ascii="Times New Roman" w:hAnsi="Times New Roman" w:cs="Times New Roman"/>
          <w:sz w:val="24"/>
          <w:szCs w:val="24"/>
          <w:lang w:val="en-US"/>
        </w:rPr>
        <w:t>offense</w:t>
      </w:r>
      <w:r w:rsidRPr="00083793">
        <w:rPr>
          <w:rFonts w:ascii="Times New Roman" w:hAnsi="Times New Roman" w:cs="Times New Roman"/>
          <w:sz w:val="24"/>
          <w:szCs w:val="24"/>
          <w:lang w:val="en-US"/>
        </w:rPr>
        <w:t xml:space="preserve"> under Article 8</w:t>
      </w:r>
      <w:r w:rsidR="001320B2">
        <w:rPr>
          <w:rFonts w:ascii="Times New Roman" w:hAnsi="Times New Roman" w:cs="Times New Roman"/>
          <w:sz w:val="24"/>
          <w:szCs w:val="24"/>
          <w:lang w:val="en-US"/>
        </w:rPr>
        <w:t>.</w:t>
      </w:r>
      <w:r w:rsidRPr="00083793">
        <w:rPr>
          <w:rFonts w:ascii="Times New Roman" w:hAnsi="Times New Roman" w:cs="Times New Roman"/>
          <w:sz w:val="24"/>
          <w:szCs w:val="24"/>
          <w:lang w:val="en-US"/>
        </w:rPr>
        <w:t>2</w:t>
      </w:r>
      <w:r w:rsidR="001320B2">
        <w:rPr>
          <w:rFonts w:ascii="Times New Roman" w:hAnsi="Times New Roman" w:cs="Times New Roman"/>
          <w:sz w:val="24"/>
          <w:szCs w:val="24"/>
          <w:lang w:val="en-US"/>
        </w:rPr>
        <w:t>.</w:t>
      </w:r>
      <w:r w:rsidRPr="00083793">
        <w:rPr>
          <w:rFonts w:ascii="Times New Roman" w:hAnsi="Times New Roman" w:cs="Times New Roman"/>
          <w:sz w:val="24"/>
          <w:szCs w:val="24"/>
          <w:lang w:val="en-US"/>
        </w:rPr>
        <w:t>b</w:t>
      </w:r>
      <w:r w:rsidR="001320B2">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ix or </w:t>
      </w:r>
      <w:r w:rsidRPr="00083793">
        <w:rPr>
          <w:rFonts w:ascii="Times New Roman" w:hAnsi="Times New Roman" w:cs="Times New Roman"/>
          <w:sz w:val="24"/>
          <w:szCs w:val="24"/>
          <w:lang w:val="en-US"/>
        </w:rPr>
        <w:lastRenderedPageBreak/>
        <w:t>8</w:t>
      </w:r>
      <w:r w:rsidR="001320B2">
        <w:rPr>
          <w:rFonts w:ascii="Times New Roman" w:hAnsi="Times New Roman" w:cs="Times New Roman"/>
          <w:sz w:val="24"/>
          <w:szCs w:val="24"/>
          <w:lang w:val="en-US"/>
        </w:rPr>
        <w:t>.</w:t>
      </w:r>
      <w:r w:rsidRPr="00083793">
        <w:rPr>
          <w:rFonts w:ascii="Times New Roman" w:hAnsi="Times New Roman" w:cs="Times New Roman"/>
          <w:sz w:val="24"/>
          <w:szCs w:val="24"/>
          <w:lang w:val="en-US"/>
        </w:rPr>
        <w:t>2</w:t>
      </w:r>
      <w:r w:rsidR="001320B2">
        <w:rPr>
          <w:rFonts w:ascii="Times New Roman" w:hAnsi="Times New Roman" w:cs="Times New Roman"/>
          <w:sz w:val="24"/>
          <w:szCs w:val="24"/>
          <w:lang w:val="en-US"/>
        </w:rPr>
        <w:t>.</w:t>
      </w:r>
      <w:r w:rsidRPr="00083793">
        <w:rPr>
          <w:rFonts w:ascii="Times New Roman" w:hAnsi="Times New Roman" w:cs="Times New Roman"/>
          <w:sz w:val="24"/>
          <w:szCs w:val="24"/>
          <w:lang w:val="en-US"/>
        </w:rPr>
        <w:t>e</w:t>
      </w:r>
      <w:r w:rsidR="001320B2">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iv to be prosecutable, the cultural property must be intentionally attacked during the conduct of hostilities, and not in other phases of the armed conflict such as situations of occupation, or where territory or objects have fallen into the hands of one of the parties. If the provision is strictly construed, as is required by Article 22 of the Rome Statute, the scope of protection afforded to immovable cultural heritage is significantly reduced. </w:t>
      </w:r>
    </w:p>
    <w:p w14:paraId="40E1A30A" w14:textId="52C24739" w:rsidR="006A3999" w:rsidRPr="00083793" w:rsidRDefault="006A3999" w:rsidP="00016FD4">
      <w:pPr>
        <w:spacing w:after="0" w:line="480" w:lineRule="auto"/>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ab/>
        <w:t xml:space="preserve">The opportunity to explore the interpretation to be given to heritage protection under Article 8 came in the </w:t>
      </w:r>
      <w:r w:rsidRPr="00083793">
        <w:rPr>
          <w:rFonts w:ascii="Times New Roman" w:hAnsi="Times New Roman" w:cs="Times New Roman"/>
          <w:i/>
          <w:sz w:val="24"/>
          <w:szCs w:val="24"/>
          <w:lang w:val="en-US"/>
        </w:rPr>
        <w:t xml:space="preserve">Al Mahdi </w:t>
      </w:r>
      <w:r w:rsidRPr="00083793">
        <w:rPr>
          <w:rFonts w:ascii="Times New Roman" w:hAnsi="Times New Roman" w:cs="Times New Roman"/>
          <w:sz w:val="24"/>
          <w:szCs w:val="24"/>
          <w:lang w:val="en-US"/>
        </w:rPr>
        <w:t>case</w:t>
      </w:r>
      <w:r w:rsidR="001D7BFF">
        <w:rPr>
          <w:rFonts w:ascii="Times New Roman" w:hAnsi="Times New Roman" w:cs="Times New Roman"/>
          <w:sz w:val="24"/>
          <w:szCs w:val="24"/>
          <w:lang w:val="en-US"/>
        </w:rPr>
        <w:t>, which</w:t>
      </w:r>
      <w:r w:rsidRPr="00083793">
        <w:rPr>
          <w:rFonts w:ascii="Times New Roman" w:hAnsi="Times New Roman" w:cs="Times New Roman"/>
          <w:sz w:val="24"/>
          <w:szCs w:val="24"/>
          <w:lang w:val="en-US"/>
        </w:rPr>
        <w:t xml:space="preserve"> arose in the context of the Office of the Prosecutor’s investigation into crimes allegedly committed in the context of the internal armed conflict that was waged in Mali in 2012 and 2013. The conflict was sparked by an Islamist uprising in </w:t>
      </w:r>
      <w:r w:rsidR="00BA6002">
        <w:rPr>
          <w:rFonts w:ascii="Times New Roman" w:hAnsi="Times New Roman" w:cs="Times New Roman"/>
          <w:sz w:val="24"/>
          <w:szCs w:val="24"/>
          <w:lang w:val="en-US"/>
        </w:rPr>
        <w:t xml:space="preserve">the north of the country </w:t>
      </w:r>
      <w:r w:rsidRPr="00083793">
        <w:rPr>
          <w:rFonts w:ascii="Times New Roman" w:hAnsi="Times New Roman" w:cs="Times New Roman"/>
          <w:sz w:val="24"/>
          <w:szCs w:val="24"/>
          <w:lang w:val="en-US"/>
        </w:rPr>
        <w:t xml:space="preserve">in January 2012 that culminated in large </w:t>
      </w:r>
      <w:r w:rsidR="00036E10">
        <w:rPr>
          <w:rFonts w:ascii="Times New Roman" w:hAnsi="Times New Roman" w:cs="Times New Roman"/>
          <w:sz w:val="24"/>
          <w:szCs w:val="24"/>
          <w:lang w:val="en-US"/>
        </w:rPr>
        <w:t>areas</w:t>
      </w:r>
      <w:r w:rsidRPr="00083793">
        <w:rPr>
          <w:rFonts w:ascii="Times New Roman" w:hAnsi="Times New Roman" w:cs="Times New Roman"/>
          <w:sz w:val="24"/>
          <w:szCs w:val="24"/>
          <w:lang w:val="en-US"/>
        </w:rPr>
        <w:t xml:space="preserve">, including the city of Timbuktu, falling under the control of an alliance of Islamist groups. </w:t>
      </w:r>
      <w:r w:rsidRPr="00A02D5C">
        <w:rPr>
          <w:rFonts w:ascii="Times New Roman" w:hAnsi="Times New Roman" w:cs="Times New Roman"/>
          <w:sz w:val="24"/>
          <w:szCs w:val="24"/>
          <w:lang w:val="en-US"/>
        </w:rPr>
        <w:t>Ansar Dine</w:t>
      </w:r>
      <w:r w:rsidR="005E5A76">
        <w:rPr>
          <w:rFonts w:ascii="Times New Roman" w:hAnsi="Times New Roman" w:cs="Times New Roman"/>
          <w:iCs/>
          <w:sz w:val="24"/>
          <w:szCs w:val="24"/>
          <w:lang w:val="en-US"/>
        </w:rPr>
        <w:t>,</w:t>
      </w:r>
      <w:r w:rsidR="005E5A76" w:rsidRPr="005E5A76">
        <w:rPr>
          <w:rFonts w:ascii="Times New Roman" w:hAnsi="Times New Roman" w:cs="Times New Roman"/>
          <w:sz w:val="24"/>
          <w:szCs w:val="24"/>
          <w:lang w:val="en-US"/>
        </w:rPr>
        <w:t xml:space="preserve"> </w:t>
      </w:r>
      <w:r w:rsidR="005E5A76">
        <w:rPr>
          <w:rFonts w:ascii="Times New Roman" w:hAnsi="Times New Roman" w:cs="Times New Roman"/>
          <w:sz w:val="24"/>
          <w:szCs w:val="24"/>
          <w:lang w:val="en-US"/>
        </w:rPr>
        <w:t>a S</w:t>
      </w:r>
      <w:r w:rsidR="005E5A76" w:rsidRPr="00083793">
        <w:rPr>
          <w:rFonts w:ascii="Times New Roman" w:hAnsi="Times New Roman" w:cs="Times New Roman"/>
          <w:sz w:val="24"/>
          <w:szCs w:val="24"/>
          <w:lang w:val="en-US"/>
        </w:rPr>
        <w:t xml:space="preserve">alafist </w:t>
      </w:r>
      <w:r w:rsidR="005E5A76">
        <w:rPr>
          <w:rFonts w:ascii="Times New Roman" w:hAnsi="Times New Roman" w:cs="Times New Roman"/>
          <w:sz w:val="24"/>
          <w:szCs w:val="24"/>
          <w:lang w:val="en-US"/>
        </w:rPr>
        <w:t xml:space="preserve">(ultraconservative Muslim) </w:t>
      </w:r>
      <w:r w:rsidR="005E5A76" w:rsidRPr="00083793">
        <w:rPr>
          <w:rFonts w:ascii="Times New Roman" w:hAnsi="Times New Roman" w:cs="Times New Roman"/>
          <w:sz w:val="24"/>
          <w:szCs w:val="24"/>
          <w:lang w:val="en-US"/>
        </w:rPr>
        <w:t>group</w:t>
      </w:r>
      <w:r w:rsidRPr="00083793">
        <w:rPr>
          <w:rFonts w:ascii="Times New Roman" w:hAnsi="Times New Roman" w:cs="Times New Roman"/>
          <w:sz w:val="24"/>
          <w:szCs w:val="24"/>
          <w:lang w:val="en-US"/>
        </w:rPr>
        <w:t xml:space="preserve"> was a prominent member of this alliance, and, along with </w:t>
      </w:r>
      <w:r w:rsidR="00482341">
        <w:rPr>
          <w:rFonts w:ascii="Times New Roman" w:hAnsi="Times New Roman" w:cs="Times New Roman"/>
          <w:iCs/>
          <w:sz w:val="24"/>
          <w:szCs w:val="24"/>
          <w:lang w:val="en-US"/>
        </w:rPr>
        <w:t>a</w:t>
      </w:r>
      <w:r w:rsidRPr="00A02D5C">
        <w:rPr>
          <w:rFonts w:ascii="Times New Roman" w:hAnsi="Times New Roman" w:cs="Times New Roman"/>
          <w:iCs/>
          <w:sz w:val="24"/>
          <w:szCs w:val="24"/>
          <w:lang w:val="en-US"/>
        </w:rPr>
        <w:t>l-Qa</w:t>
      </w:r>
      <w:r w:rsidR="00482341">
        <w:rPr>
          <w:rFonts w:ascii="Times New Roman" w:hAnsi="Times New Roman" w:cs="Times New Roman"/>
          <w:iCs/>
          <w:sz w:val="24"/>
          <w:szCs w:val="24"/>
          <w:lang w:val="en-US"/>
        </w:rPr>
        <w:t>e</w:t>
      </w:r>
      <w:r w:rsidRPr="00A02D5C">
        <w:rPr>
          <w:rFonts w:ascii="Times New Roman" w:hAnsi="Times New Roman" w:cs="Times New Roman"/>
          <w:iCs/>
          <w:sz w:val="24"/>
          <w:szCs w:val="24"/>
          <w:lang w:val="en-US"/>
        </w:rPr>
        <w:t xml:space="preserve">da in the Islamic Maghreb </w:t>
      </w:r>
      <w:r w:rsidRPr="00EF205C">
        <w:rPr>
          <w:rFonts w:ascii="Times New Roman" w:hAnsi="Times New Roman" w:cs="Times New Roman"/>
          <w:iCs/>
          <w:sz w:val="24"/>
          <w:szCs w:val="24"/>
          <w:lang w:val="en-US"/>
        </w:rPr>
        <w:t>(</w:t>
      </w:r>
      <w:r w:rsidRPr="00A02D5C">
        <w:rPr>
          <w:rFonts w:ascii="Times New Roman" w:hAnsi="Times New Roman" w:cs="Times New Roman"/>
          <w:iCs/>
          <w:sz w:val="24"/>
          <w:szCs w:val="24"/>
          <w:lang w:val="en-US"/>
        </w:rPr>
        <w:t>AQIM)</w:t>
      </w:r>
      <w:r w:rsidRPr="00083793">
        <w:rPr>
          <w:rFonts w:ascii="Times New Roman" w:hAnsi="Times New Roman" w:cs="Times New Roman"/>
          <w:sz w:val="24"/>
          <w:szCs w:val="24"/>
          <w:lang w:val="en-US"/>
        </w:rPr>
        <w:t xml:space="preserve">, controlled Timbuktu between April 2012 and its liberation by French and Malian </w:t>
      </w:r>
      <w:r w:rsidR="003822EF">
        <w:rPr>
          <w:rFonts w:ascii="Times New Roman" w:hAnsi="Times New Roman" w:cs="Times New Roman"/>
          <w:sz w:val="24"/>
          <w:szCs w:val="24"/>
          <w:lang w:val="en-US"/>
        </w:rPr>
        <w:t xml:space="preserve">government </w:t>
      </w:r>
      <w:r w:rsidRPr="00083793">
        <w:rPr>
          <w:rFonts w:ascii="Times New Roman" w:hAnsi="Times New Roman" w:cs="Times New Roman"/>
          <w:sz w:val="24"/>
          <w:szCs w:val="24"/>
          <w:lang w:val="en-US"/>
        </w:rPr>
        <w:t xml:space="preserve">forces in January 2013. During the short-lived occupation of the city, a fundamentalist, strictly conservative system of </w:t>
      </w:r>
      <w:r w:rsidR="00B6427B">
        <w:rPr>
          <w:rFonts w:ascii="Times New Roman" w:hAnsi="Times New Roman" w:cs="Times New Roman"/>
          <w:iCs/>
          <w:sz w:val="24"/>
          <w:szCs w:val="24"/>
          <w:lang w:val="en-US"/>
        </w:rPr>
        <w:t>s</w:t>
      </w:r>
      <w:r w:rsidRPr="00A02D5C">
        <w:rPr>
          <w:rFonts w:ascii="Times New Roman" w:hAnsi="Times New Roman" w:cs="Times New Roman"/>
          <w:iCs/>
          <w:sz w:val="24"/>
          <w:szCs w:val="24"/>
          <w:lang w:val="en-US"/>
        </w:rPr>
        <w:t>haria</w:t>
      </w:r>
      <w:r w:rsidRPr="00083793">
        <w:rPr>
          <w:rFonts w:ascii="Times New Roman" w:hAnsi="Times New Roman" w:cs="Times New Roman"/>
          <w:i/>
          <w:sz w:val="24"/>
          <w:szCs w:val="24"/>
          <w:lang w:val="en-US"/>
        </w:rPr>
        <w:t xml:space="preserve"> </w:t>
      </w:r>
      <w:r w:rsidRPr="00083793">
        <w:rPr>
          <w:rFonts w:ascii="Times New Roman" w:hAnsi="Times New Roman" w:cs="Times New Roman"/>
          <w:sz w:val="24"/>
          <w:szCs w:val="24"/>
          <w:lang w:val="en-US"/>
        </w:rPr>
        <w:t xml:space="preserve">law was enforced. From April to September 2012, Ahmad </w:t>
      </w:r>
      <w:r w:rsidR="00123F2C">
        <w:rPr>
          <w:rFonts w:ascii="Times New Roman" w:hAnsi="Times New Roman" w:cs="Times New Roman"/>
          <w:sz w:val="24"/>
          <w:szCs w:val="24"/>
          <w:lang w:val="en-US"/>
        </w:rPr>
        <w:t>a</w:t>
      </w:r>
      <w:r w:rsidRPr="00083793">
        <w:rPr>
          <w:rFonts w:ascii="Times New Roman" w:hAnsi="Times New Roman" w:cs="Times New Roman"/>
          <w:sz w:val="24"/>
          <w:szCs w:val="24"/>
          <w:lang w:val="en-US"/>
        </w:rPr>
        <w:t>l</w:t>
      </w:r>
      <w:r w:rsidR="00123F2C">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Faqi </w:t>
      </w:r>
      <w:r w:rsidR="00123F2C">
        <w:rPr>
          <w:rFonts w:ascii="Times New Roman" w:hAnsi="Times New Roman" w:cs="Times New Roman"/>
          <w:sz w:val="24"/>
          <w:szCs w:val="24"/>
          <w:lang w:val="en-US"/>
        </w:rPr>
        <w:t>a</w:t>
      </w:r>
      <w:r w:rsidRPr="00083793">
        <w:rPr>
          <w:rFonts w:ascii="Times New Roman" w:hAnsi="Times New Roman" w:cs="Times New Roman"/>
          <w:sz w:val="24"/>
          <w:szCs w:val="24"/>
          <w:lang w:val="en-US"/>
        </w:rPr>
        <w:t>l</w:t>
      </w:r>
      <w:r w:rsidR="00123F2C">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Mahdi acted as the head of the </w:t>
      </w:r>
      <w:r w:rsidRPr="00A02D5C">
        <w:rPr>
          <w:rFonts w:ascii="Times New Roman" w:hAnsi="Times New Roman" w:cs="Times New Roman"/>
          <w:iCs/>
          <w:sz w:val="24"/>
          <w:szCs w:val="24"/>
          <w:lang w:val="en-US"/>
        </w:rPr>
        <w:t>Hesbah</w:t>
      </w:r>
      <w:r w:rsidRPr="00083793">
        <w:rPr>
          <w:rFonts w:ascii="Times New Roman" w:hAnsi="Times New Roman" w:cs="Times New Roman"/>
          <w:sz w:val="24"/>
          <w:szCs w:val="24"/>
          <w:lang w:val="en-US"/>
        </w:rPr>
        <w:t>, or morality brigade.</w:t>
      </w:r>
      <w:r w:rsidRPr="00083793">
        <w:rPr>
          <w:rStyle w:val="EndnoteReference"/>
          <w:rFonts w:ascii="Times New Roman" w:hAnsi="Times New Roman" w:cs="Times New Roman"/>
          <w:sz w:val="24"/>
          <w:szCs w:val="24"/>
          <w:lang w:val="en-US"/>
        </w:rPr>
        <w:endnoteReference w:id="35"/>
      </w:r>
      <w:r w:rsidRPr="00083793">
        <w:rPr>
          <w:rFonts w:ascii="Times New Roman" w:hAnsi="Times New Roman" w:cs="Times New Roman"/>
          <w:sz w:val="24"/>
          <w:szCs w:val="24"/>
          <w:lang w:val="en-US"/>
        </w:rPr>
        <w:t xml:space="preserve"> </w:t>
      </w:r>
    </w:p>
    <w:p w14:paraId="2B388A2E" w14:textId="33D74C92" w:rsidR="006A3999" w:rsidRPr="00083793" w:rsidRDefault="006A3999" w:rsidP="00A02D5C">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Famed as a historically significant cent</w:t>
      </w:r>
      <w:r w:rsidR="00DB3F12">
        <w:rPr>
          <w:rFonts w:ascii="Times New Roman" w:hAnsi="Times New Roman" w:cs="Times New Roman"/>
          <w:sz w:val="24"/>
          <w:szCs w:val="24"/>
          <w:lang w:val="en-US"/>
        </w:rPr>
        <w:t>er</w:t>
      </w:r>
      <w:r w:rsidRPr="00083793">
        <w:rPr>
          <w:rFonts w:ascii="Times New Roman" w:hAnsi="Times New Roman" w:cs="Times New Roman"/>
          <w:sz w:val="24"/>
          <w:szCs w:val="24"/>
          <w:lang w:val="en-US"/>
        </w:rPr>
        <w:t xml:space="preserve"> of Islamic learning and culture, Timbuktu was inscribed on the UNESCO World Heritage List in 1988. The city is renowned for its unique Islamic architecture </w:t>
      </w:r>
      <w:r w:rsidR="00307B64">
        <w:rPr>
          <w:rFonts w:ascii="Times New Roman" w:hAnsi="Times New Roman" w:cs="Times New Roman"/>
          <w:sz w:val="24"/>
          <w:szCs w:val="24"/>
          <w:lang w:val="en-US"/>
        </w:rPr>
        <w:t>including</w:t>
      </w:r>
      <w:r w:rsidRPr="00083793">
        <w:rPr>
          <w:rFonts w:ascii="Times New Roman" w:hAnsi="Times New Roman" w:cs="Times New Roman"/>
          <w:sz w:val="24"/>
          <w:szCs w:val="24"/>
          <w:lang w:val="en-US"/>
        </w:rPr>
        <w:t xml:space="preserve"> mosques, madrasas, and mausoleums. In June 2012, the leadership of </w:t>
      </w:r>
      <w:r w:rsidRPr="00A02D5C">
        <w:rPr>
          <w:rFonts w:ascii="Times New Roman" w:hAnsi="Times New Roman" w:cs="Times New Roman"/>
          <w:iCs/>
          <w:sz w:val="24"/>
          <w:szCs w:val="24"/>
          <w:lang w:val="en-US"/>
        </w:rPr>
        <w:t>Ansar Dine</w:t>
      </w:r>
      <w:r w:rsidRPr="00083793">
        <w:rPr>
          <w:rFonts w:ascii="Times New Roman" w:hAnsi="Times New Roman" w:cs="Times New Roman"/>
          <w:i/>
          <w:sz w:val="24"/>
          <w:szCs w:val="24"/>
          <w:lang w:val="en-US"/>
        </w:rPr>
        <w:t xml:space="preserve"> </w:t>
      </w:r>
      <w:r w:rsidRPr="00083793">
        <w:rPr>
          <w:rFonts w:ascii="Times New Roman" w:hAnsi="Times New Roman" w:cs="Times New Roman"/>
          <w:sz w:val="24"/>
          <w:szCs w:val="24"/>
          <w:lang w:val="en-US"/>
        </w:rPr>
        <w:t xml:space="preserve">proclaimed that any construction over a tomb was contrary to </w:t>
      </w:r>
      <w:r w:rsidR="00FE13FF">
        <w:rPr>
          <w:rFonts w:ascii="Times New Roman" w:hAnsi="Times New Roman" w:cs="Times New Roman"/>
          <w:iCs/>
          <w:sz w:val="24"/>
          <w:szCs w:val="24"/>
          <w:lang w:val="en-US"/>
        </w:rPr>
        <w:t>s</w:t>
      </w:r>
      <w:r w:rsidRPr="00A02D5C">
        <w:rPr>
          <w:rFonts w:ascii="Times New Roman" w:hAnsi="Times New Roman" w:cs="Times New Roman"/>
          <w:iCs/>
          <w:sz w:val="24"/>
          <w:szCs w:val="24"/>
          <w:lang w:val="en-US"/>
        </w:rPr>
        <w:t>haria</w:t>
      </w:r>
      <w:r w:rsidRPr="00083793">
        <w:rPr>
          <w:rFonts w:ascii="Times New Roman" w:hAnsi="Times New Roman" w:cs="Times New Roman"/>
          <w:i/>
          <w:sz w:val="24"/>
          <w:szCs w:val="24"/>
          <w:lang w:val="en-US"/>
        </w:rPr>
        <w:t xml:space="preserve"> </w:t>
      </w:r>
      <w:r w:rsidRPr="00083793">
        <w:rPr>
          <w:rFonts w:ascii="Times New Roman" w:hAnsi="Times New Roman" w:cs="Times New Roman"/>
          <w:sz w:val="24"/>
          <w:szCs w:val="24"/>
          <w:lang w:val="en-US"/>
        </w:rPr>
        <w:t xml:space="preserve">law and must be destroyed. As the leader </w:t>
      </w:r>
      <w:r w:rsidRPr="00083793">
        <w:rPr>
          <w:rFonts w:ascii="Times New Roman" w:hAnsi="Times New Roman" w:cs="Times New Roman"/>
          <w:sz w:val="24"/>
          <w:szCs w:val="24"/>
          <w:lang w:val="en-US"/>
        </w:rPr>
        <w:lastRenderedPageBreak/>
        <w:t xml:space="preserve">of the </w:t>
      </w:r>
      <w:r w:rsidRPr="00A02D5C">
        <w:rPr>
          <w:rFonts w:ascii="Times New Roman" w:hAnsi="Times New Roman" w:cs="Times New Roman"/>
          <w:iCs/>
          <w:sz w:val="24"/>
          <w:szCs w:val="24"/>
          <w:lang w:val="en-US"/>
        </w:rPr>
        <w:t>Hesbah</w:t>
      </w:r>
      <w:r w:rsidRPr="00083793">
        <w:rPr>
          <w:rFonts w:ascii="Times New Roman" w:hAnsi="Times New Roman" w:cs="Times New Roman"/>
          <w:sz w:val="24"/>
          <w:szCs w:val="24"/>
          <w:lang w:val="en-US"/>
        </w:rPr>
        <w:t xml:space="preserve">, </w:t>
      </w:r>
      <w:r w:rsidR="009D4F33">
        <w:rPr>
          <w:rFonts w:ascii="Times New Roman" w:hAnsi="Times New Roman" w:cs="Times New Roman"/>
          <w:sz w:val="24"/>
          <w:szCs w:val="24"/>
          <w:lang w:val="en-US"/>
        </w:rPr>
        <w:t>a</w:t>
      </w:r>
      <w:r w:rsidRPr="00083793">
        <w:rPr>
          <w:rFonts w:ascii="Times New Roman" w:hAnsi="Times New Roman" w:cs="Times New Roman"/>
          <w:sz w:val="24"/>
          <w:szCs w:val="24"/>
          <w:lang w:val="en-US"/>
        </w:rPr>
        <w:t>l</w:t>
      </w:r>
      <w:r w:rsidR="009D4F33">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Mahdi was instructed to destroy the mausoleums of saints located in Timbuktu’s cemeteries. Consequently, between 30 June and 11 July 2012, </w:t>
      </w:r>
      <w:r w:rsidR="00BB61BF">
        <w:rPr>
          <w:rFonts w:ascii="Times New Roman" w:hAnsi="Times New Roman" w:cs="Times New Roman"/>
          <w:sz w:val="24"/>
          <w:szCs w:val="24"/>
          <w:lang w:val="en-US"/>
        </w:rPr>
        <w:t>a</w:t>
      </w:r>
      <w:r w:rsidRPr="00083793">
        <w:rPr>
          <w:rFonts w:ascii="Times New Roman" w:hAnsi="Times New Roman" w:cs="Times New Roman"/>
          <w:sz w:val="24"/>
          <w:szCs w:val="24"/>
          <w:lang w:val="en-US"/>
        </w:rPr>
        <w:t>l</w:t>
      </w:r>
      <w:r w:rsidR="00BB61BF">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Mahdi, alongside a number of coperpetrators, attacked and destroyed nine of the most revered mausoleums in </w:t>
      </w:r>
      <w:r w:rsidR="00A93692">
        <w:rPr>
          <w:rFonts w:ascii="Times New Roman" w:hAnsi="Times New Roman" w:cs="Times New Roman"/>
          <w:sz w:val="24"/>
          <w:szCs w:val="24"/>
          <w:lang w:val="en-US"/>
        </w:rPr>
        <w:t>the city</w:t>
      </w:r>
      <w:r w:rsidRPr="00083793">
        <w:rPr>
          <w:rFonts w:ascii="Times New Roman" w:hAnsi="Times New Roman" w:cs="Times New Roman"/>
          <w:sz w:val="24"/>
          <w:szCs w:val="24"/>
          <w:lang w:val="en-US"/>
        </w:rPr>
        <w:t xml:space="preserve">, as well as the legendary door of the </w:t>
      </w:r>
      <w:r w:rsidRPr="00A02D5C">
        <w:rPr>
          <w:rFonts w:ascii="Times New Roman" w:hAnsi="Times New Roman" w:cs="Times New Roman"/>
          <w:iCs/>
          <w:sz w:val="24"/>
          <w:szCs w:val="24"/>
          <w:lang w:val="en-US"/>
        </w:rPr>
        <w:t>Sidi Yahia</w:t>
      </w:r>
      <w:r w:rsidRPr="00083793">
        <w:rPr>
          <w:rFonts w:ascii="Times New Roman" w:hAnsi="Times New Roman" w:cs="Times New Roman"/>
          <w:sz w:val="24"/>
          <w:szCs w:val="24"/>
          <w:lang w:val="en-US"/>
        </w:rPr>
        <w:t xml:space="preserve"> </w:t>
      </w:r>
      <w:r w:rsidR="00A93692">
        <w:rPr>
          <w:rFonts w:ascii="Times New Roman" w:hAnsi="Times New Roman" w:cs="Times New Roman"/>
          <w:sz w:val="24"/>
          <w:szCs w:val="24"/>
          <w:lang w:val="en-US"/>
        </w:rPr>
        <w:t>m</w:t>
      </w:r>
      <w:r w:rsidRPr="00083793">
        <w:rPr>
          <w:rFonts w:ascii="Times New Roman" w:hAnsi="Times New Roman" w:cs="Times New Roman"/>
          <w:sz w:val="24"/>
          <w:szCs w:val="24"/>
          <w:lang w:val="en-US"/>
        </w:rPr>
        <w:t xml:space="preserve">osque. </w:t>
      </w:r>
    </w:p>
    <w:p w14:paraId="3319CE7E" w14:textId="4B88D75F" w:rsidR="006A3999" w:rsidRPr="00083793" w:rsidRDefault="006A3999" w:rsidP="00A02D5C">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 xml:space="preserve">In January 2013, the ICC Office of the Prosecutor formally opened </w:t>
      </w:r>
      <w:r w:rsidR="0053483F">
        <w:rPr>
          <w:rFonts w:ascii="Times New Roman" w:hAnsi="Times New Roman" w:cs="Times New Roman"/>
          <w:sz w:val="24"/>
          <w:szCs w:val="24"/>
          <w:lang w:val="en-US"/>
        </w:rPr>
        <w:t>an</w:t>
      </w:r>
      <w:r w:rsidR="0053483F" w:rsidRPr="00083793">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investigation into the situation in Mali, not</w:t>
      </w:r>
      <w:r w:rsidR="008272B8">
        <w:rPr>
          <w:rFonts w:ascii="Times New Roman" w:hAnsi="Times New Roman" w:cs="Times New Roman"/>
          <w:sz w:val="24"/>
          <w:szCs w:val="24"/>
          <w:lang w:val="en-US"/>
        </w:rPr>
        <w:t>ing</w:t>
      </w:r>
      <w:r w:rsidRPr="00083793">
        <w:rPr>
          <w:rFonts w:ascii="Times New Roman" w:hAnsi="Times New Roman" w:cs="Times New Roman"/>
          <w:sz w:val="24"/>
          <w:szCs w:val="24"/>
          <w:lang w:val="en-US"/>
        </w:rPr>
        <w:t xml:space="preserve"> that there was “a reasonable basis to believe that war crimes of attacking protected objects pursuant to Article 8(2)(e)(iv) were committed at least in Timbuktu</w:t>
      </w:r>
      <w:r w:rsidR="00EC7182">
        <w:rPr>
          <w:rFonts w:ascii="Times New Roman" w:hAnsi="Times New Roman" w:cs="Times New Roman"/>
          <w:sz w:val="24"/>
          <w:szCs w:val="24"/>
          <w:lang w:val="en-US"/>
        </w:rPr>
        <w:t>.”</w:t>
      </w:r>
      <w:r w:rsidRPr="00083793">
        <w:rPr>
          <w:rStyle w:val="EndnoteReference"/>
          <w:rFonts w:ascii="Times New Roman" w:hAnsi="Times New Roman" w:cs="Times New Roman"/>
          <w:sz w:val="24"/>
          <w:szCs w:val="24"/>
          <w:lang w:val="en-US"/>
        </w:rPr>
        <w:endnoteReference w:id="36"/>
      </w:r>
      <w:r w:rsidRPr="00083793">
        <w:rPr>
          <w:rFonts w:ascii="Times New Roman" w:hAnsi="Times New Roman" w:cs="Times New Roman"/>
          <w:sz w:val="24"/>
          <w:szCs w:val="24"/>
          <w:lang w:val="en-US"/>
        </w:rPr>
        <w:t xml:space="preserve"> In September 2015, an arrest warrant was issued under seal against </w:t>
      </w:r>
      <w:r w:rsidR="00604884">
        <w:rPr>
          <w:rFonts w:ascii="Times New Roman" w:hAnsi="Times New Roman" w:cs="Times New Roman"/>
          <w:sz w:val="24"/>
          <w:szCs w:val="24"/>
          <w:lang w:val="en-US"/>
        </w:rPr>
        <w:t>a</w:t>
      </w:r>
      <w:r w:rsidRPr="00083793">
        <w:rPr>
          <w:rFonts w:ascii="Times New Roman" w:hAnsi="Times New Roman" w:cs="Times New Roman"/>
          <w:sz w:val="24"/>
          <w:szCs w:val="24"/>
          <w:lang w:val="en-US"/>
        </w:rPr>
        <w:t>l</w:t>
      </w:r>
      <w:r w:rsidR="00604884">
        <w:rPr>
          <w:rFonts w:ascii="Times New Roman" w:hAnsi="Times New Roman" w:cs="Times New Roman"/>
          <w:sz w:val="24"/>
          <w:szCs w:val="24"/>
          <w:lang w:val="en-US"/>
        </w:rPr>
        <w:t>-</w:t>
      </w:r>
      <w:r w:rsidRPr="00083793">
        <w:rPr>
          <w:rFonts w:ascii="Times New Roman" w:hAnsi="Times New Roman" w:cs="Times New Roman"/>
          <w:sz w:val="24"/>
          <w:szCs w:val="24"/>
          <w:lang w:val="en-US"/>
        </w:rPr>
        <w:t>Mahdi</w:t>
      </w:r>
      <w:r w:rsidR="00604884">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who had fled and was at that time in custody in neighboring Niger. </w:t>
      </w:r>
      <w:r w:rsidR="00AC47E8">
        <w:rPr>
          <w:rFonts w:ascii="Times New Roman" w:hAnsi="Times New Roman" w:cs="Times New Roman"/>
          <w:sz w:val="24"/>
          <w:szCs w:val="24"/>
          <w:lang w:val="en-US"/>
        </w:rPr>
        <w:t xml:space="preserve">He </w:t>
      </w:r>
      <w:r w:rsidRPr="00083793">
        <w:rPr>
          <w:rFonts w:ascii="Times New Roman" w:hAnsi="Times New Roman" w:cs="Times New Roman"/>
          <w:sz w:val="24"/>
          <w:szCs w:val="24"/>
          <w:lang w:val="en-US"/>
        </w:rPr>
        <w:t>was swiftly surrendered into the custody of the ICC</w:t>
      </w:r>
      <w:r w:rsidR="00623708">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where he faced one charge of attacking protected objects under </w:t>
      </w:r>
      <w:r w:rsidR="001C5E0F">
        <w:rPr>
          <w:rFonts w:ascii="Times New Roman" w:hAnsi="Times New Roman" w:cs="Times New Roman"/>
          <w:sz w:val="24"/>
          <w:szCs w:val="24"/>
          <w:lang w:val="en-US"/>
        </w:rPr>
        <w:t>the aforementioned article</w:t>
      </w:r>
      <w:r w:rsidRPr="00083793">
        <w:rPr>
          <w:rFonts w:ascii="Times New Roman" w:hAnsi="Times New Roman" w:cs="Times New Roman"/>
          <w:sz w:val="24"/>
          <w:szCs w:val="24"/>
          <w:lang w:val="en-US"/>
        </w:rPr>
        <w:t>. That the case focused exclusively on his role in the destruction of religious and cultural heritage was a significant statement on the part of the Office of the Prosecutor</w:t>
      </w:r>
      <w:r w:rsidR="006D7E20">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w:t>
      </w:r>
      <w:r w:rsidR="006D7E20">
        <w:rPr>
          <w:rFonts w:ascii="Times New Roman" w:hAnsi="Times New Roman" w:cs="Times New Roman"/>
          <w:sz w:val="24"/>
          <w:szCs w:val="24"/>
          <w:lang w:val="en-US"/>
        </w:rPr>
        <w:t>a</w:t>
      </w:r>
      <w:r w:rsidRPr="00083793">
        <w:rPr>
          <w:rFonts w:ascii="Times New Roman" w:hAnsi="Times New Roman" w:cs="Times New Roman"/>
          <w:sz w:val="24"/>
          <w:szCs w:val="24"/>
          <w:lang w:val="en-US"/>
        </w:rPr>
        <w:t xml:space="preserve">s noted in the context of the ICTY, up </w:t>
      </w:r>
      <w:r w:rsidR="006D7E20">
        <w:rPr>
          <w:rFonts w:ascii="Times New Roman" w:hAnsi="Times New Roman" w:cs="Times New Roman"/>
          <w:sz w:val="24"/>
          <w:szCs w:val="24"/>
          <w:lang w:val="en-US"/>
        </w:rPr>
        <w:t>to</w:t>
      </w:r>
      <w:r w:rsidR="006D7E20" w:rsidRPr="00083793">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 xml:space="preserve">this point charges relating to crimes against cultural heritage had been laid alongside other </w:t>
      </w:r>
      <w:r w:rsidR="009F7085">
        <w:rPr>
          <w:rFonts w:ascii="Times New Roman" w:hAnsi="Times New Roman" w:cs="Times New Roman"/>
          <w:sz w:val="24"/>
          <w:szCs w:val="24"/>
          <w:lang w:val="en-US"/>
        </w:rPr>
        <w:t>offense</w:t>
      </w:r>
      <w:r w:rsidRPr="00083793">
        <w:rPr>
          <w:rFonts w:ascii="Times New Roman" w:hAnsi="Times New Roman" w:cs="Times New Roman"/>
          <w:sz w:val="24"/>
          <w:szCs w:val="24"/>
          <w:lang w:val="en-US"/>
        </w:rPr>
        <w:t>s entailing the infliction of physical harm</w:t>
      </w:r>
      <w:r w:rsidR="003E2A2C">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an international criminal case </w:t>
      </w:r>
      <w:r w:rsidR="003E2A2C">
        <w:rPr>
          <w:rFonts w:ascii="Times New Roman" w:hAnsi="Times New Roman" w:cs="Times New Roman"/>
          <w:sz w:val="24"/>
          <w:szCs w:val="24"/>
          <w:lang w:val="en-US"/>
        </w:rPr>
        <w:t xml:space="preserve">had never </w:t>
      </w:r>
      <w:r w:rsidRPr="00083793">
        <w:rPr>
          <w:rFonts w:ascii="Times New Roman" w:hAnsi="Times New Roman" w:cs="Times New Roman"/>
          <w:sz w:val="24"/>
          <w:szCs w:val="24"/>
          <w:lang w:val="en-US"/>
        </w:rPr>
        <w:t>been constructed purely around the destruction of cultural heritage. Th</w:t>
      </w:r>
      <w:r w:rsidR="00854215">
        <w:rPr>
          <w:rFonts w:ascii="Times New Roman" w:hAnsi="Times New Roman" w:cs="Times New Roman"/>
          <w:sz w:val="24"/>
          <w:szCs w:val="24"/>
          <w:lang w:val="en-US"/>
        </w:rPr>
        <w:t>e</w:t>
      </w:r>
      <w:r w:rsidRPr="00083793">
        <w:rPr>
          <w:rFonts w:ascii="Times New Roman" w:hAnsi="Times New Roman" w:cs="Times New Roman"/>
          <w:sz w:val="24"/>
          <w:szCs w:val="24"/>
          <w:lang w:val="en-US"/>
        </w:rPr>
        <w:t xml:space="preserve"> decision was </w:t>
      </w:r>
      <w:r w:rsidR="00854215">
        <w:rPr>
          <w:rFonts w:ascii="Times New Roman" w:hAnsi="Times New Roman" w:cs="Times New Roman"/>
          <w:sz w:val="24"/>
          <w:szCs w:val="24"/>
          <w:lang w:val="en-US"/>
        </w:rPr>
        <w:t xml:space="preserve">criticized by </w:t>
      </w:r>
      <w:r w:rsidRPr="00083793">
        <w:rPr>
          <w:rFonts w:ascii="Times New Roman" w:hAnsi="Times New Roman" w:cs="Times New Roman"/>
          <w:sz w:val="24"/>
          <w:szCs w:val="24"/>
          <w:lang w:val="en-US"/>
        </w:rPr>
        <w:t>several human rights organizations</w:t>
      </w:r>
      <w:r w:rsidR="00F3493C">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 xml:space="preserve">highlighting that, as head of the </w:t>
      </w:r>
      <w:r w:rsidRPr="00A02D5C">
        <w:rPr>
          <w:rFonts w:ascii="Times New Roman" w:hAnsi="Times New Roman" w:cs="Times New Roman"/>
          <w:iCs/>
          <w:sz w:val="24"/>
          <w:szCs w:val="24"/>
          <w:lang w:val="en-US"/>
        </w:rPr>
        <w:t>Hesbah</w:t>
      </w:r>
      <w:r w:rsidRPr="00083793">
        <w:rPr>
          <w:rFonts w:ascii="Times New Roman" w:hAnsi="Times New Roman" w:cs="Times New Roman"/>
          <w:sz w:val="24"/>
          <w:szCs w:val="24"/>
          <w:lang w:val="en-US"/>
        </w:rPr>
        <w:t>,</w:t>
      </w:r>
      <w:r w:rsidRPr="00A02D5C">
        <w:rPr>
          <w:rFonts w:ascii="Times New Roman" w:hAnsi="Times New Roman" w:cs="Times New Roman"/>
          <w:iCs/>
          <w:sz w:val="24"/>
          <w:szCs w:val="24"/>
          <w:lang w:val="en-US"/>
        </w:rPr>
        <w:t xml:space="preserve"> </w:t>
      </w:r>
      <w:r w:rsidR="00CC3596">
        <w:rPr>
          <w:rFonts w:ascii="Times New Roman" w:hAnsi="Times New Roman" w:cs="Times New Roman"/>
          <w:sz w:val="24"/>
          <w:szCs w:val="24"/>
          <w:lang w:val="en-US"/>
        </w:rPr>
        <w:t>a</w:t>
      </w:r>
      <w:r w:rsidRPr="00083793">
        <w:rPr>
          <w:rFonts w:ascii="Times New Roman" w:hAnsi="Times New Roman" w:cs="Times New Roman"/>
          <w:sz w:val="24"/>
          <w:szCs w:val="24"/>
          <w:lang w:val="en-US"/>
        </w:rPr>
        <w:t>l</w:t>
      </w:r>
      <w:r w:rsidR="00CC3596">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Mahdi could and should be held responsible for a variety of other crimes, including widespread gender-based violence. </w:t>
      </w:r>
    </w:p>
    <w:p w14:paraId="00139211" w14:textId="124D5EC0" w:rsidR="006A3999" w:rsidRPr="00083793" w:rsidRDefault="006A3999" w:rsidP="00A02D5C">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 xml:space="preserve">In a statement issued shortly after </w:t>
      </w:r>
      <w:r w:rsidR="00E966E3">
        <w:rPr>
          <w:rFonts w:ascii="Times New Roman" w:hAnsi="Times New Roman" w:cs="Times New Roman"/>
          <w:sz w:val="24"/>
          <w:szCs w:val="24"/>
          <w:lang w:val="en-US"/>
        </w:rPr>
        <w:t>he</w:t>
      </w:r>
      <w:r w:rsidRPr="00083793">
        <w:rPr>
          <w:rFonts w:ascii="Times New Roman" w:hAnsi="Times New Roman" w:cs="Times New Roman"/>
          <w:sz w:val="24"/>
          <w:szCs w:val="24"/>
          <w:lang w:val="en-US"/>
        </w:rPr>
        <w:t xml:space="preserve"> was handed into the custody of the </w:t>
      </w:r>
      <w:r w:rsidR="00E966E3">
        <w:rPr>
          <w:rFonts w:ascii="Times New Roman" w:hAnsi="Times New Roman" w:cs="Times New Roman"/>
          <w:sz w:val="24"/>
          <w:szCs w:val="24"/>
          <w:lang w:val="en-US"/>
        </w:rPr>
        <w:t>c</w:t>
      </w:r>
      <w:r w:rsidRPr="00083793">
        <w:rPr>
          <w:rFonts w:ascii="Times New Roman" w:hAnsi="Times New Roman" w:cs="Times New Roman"/>
          <w:sz w:val="24"/>
          <w:szCs w:val="24"/>
          <w:lang w:val="en-US"/>
        </w:rPr>
        <w:t>ourt, Chief Prosecutor</w:t>
      </w:r>
      <w:r w:rsidR="00E966E3">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Bensouda remarked that:</w:t>
      </w:r>
    </w:p>
    <w:p w14:paraId="09D744EF" w14:textId="644F0FA8" w:rsidR="006A3999" w:rsidRPr="00083793" w:rsidRDefault="006A3999" w:rsidP="00A02D5C">
      <w:pPr>
        <w:spacing w:after="0" w:line="480" w:lineRule="auto"/>
        <w:ind w:left="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 xml:space="preserve">The people of Mali deserve justice for the attacks against their cities, their beliefs and their communities. Let there be no mistake: the charges we have brought </w:t>
      </w:r>
      <w:r w:rsidRPr="00083793">
        <w:rPr>
          <w:rFonts w:ascii="Times New Roman" w:hAnsi="Times New Roman" w:cs="Times New Roman"/>
          <w:sz w:val="24"/>
          <w:szCs w:val="24"/>
          <w:lang w:val="en-US"/>
        </w:rPr>
        <w:lastRenderedPageBreak/>
        <w:t>against Ahmad Al Faqi Al Mahdi involve the most serious crimes; they are about the destruction of irreplaceable historic monuments, and they are about a callous assault on the dignity and identity of entire populations and their religious and historical roots. The inhabitants of Northern Mali, the main victims of these attacks, deserve to see justice done</w:t>
      </w:r>
      <w:r w:rsidR="004C31E9">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 No longer should such reprehensible conduct go unpunished. It is rightly said that ‘cultural heritage is the mirror of humanity</w:t>
      </w:r>
      <w:r w:rsidR="00C5330E">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Such attacks affect humanity as a whole. We must stand up to the destruction and defacing of our common heritage.</w:t>
      </w:r>
      <w:r w:rsidRPr="00083793">
        <w:rPr>
          <w:rStyle w:val="EndnoteReference"/>
          <w:rFonts w:ascii="Times New Roman" w:hAnsi="Times New Roman" w:cs="Times New Roman"/>
          <w:sz w:val="24"/>
          <w:szCs w:val="24"/>
          <w:lang w:val="en-US"/>
        </w:rPr>
        <w:endnoteReference w:id="37"/>
      </w:r>
      <w:r w:rsidRPr="00083793">
        <w:rPr>
          <w:rFonts w:ascii="Times New Roman" w:hAnsi="Times New Roman" w:cs="Times New Roman"/>
          <w:sz w:val="24"/>
          <w:szCs w:val="24"/>
          <w:lang w:val="en-US"/>
        </w:rPr>
        <w:t xml:space="preserve"> </w:t>
      </w:r>
    </w:p>
    <w:p w14:paraId="61B853C9" w14:textId="77777777" w:rsidR="00E55F04" w:rsidRDefault="00E55F04" w:rsidP="00016FD4">
      <w:pPr>
        <w:spacing w:after="0" w:line="480" w:lineRule="auto"/>
        <w:contextualSpacing/>
        <w:rPr>
          <w:rFonts w:ascii="Times New Roman" w:hAnsi="Times New Roman" w:cs="Times New Roman"/>
          <w:sz w:val="24"/>
          <w:szCs w:val="24"/>
          <w:lang w:val="en-US"/>
        </w:rPr>
      </w:pPr>
    </w:p>
    <w:p w14:paraId="227C457E" w14:textId="7B349565" w:rsidR="006A3999" w:rsidRPr="00083793" w:rsidRDefault="006A3999" w:rsidP="00016FD4">
      <w:pPr>
        <w:spacing w:after="0" w:line="480" w:lineRule="auto"/>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 xml:space="preserve">There is much to unpack in this statement. Most strikingly, </w:t>
      </w:r>
      <w:r w:rsidR="00E55F04" w:rsidRPr="00083793">
        <w:rPr>
          <w:rFonts w:ascii="Times New Roman" w:hAnsi="Times New Roman" w:cs="Times New Roman"/>
          <w:sz w:val="24"/>
          <w:szCs w:val="24"/>
          <w:lang w:val="en-US"/>
        </w:rPr>
        <w:t xml:space="preserve">Bensouda </w:t>
      </w:r>
      <w:r w:rsidRPr="00083793">
        <w:rPr>
          <w:rFonts w:ascii="Times New Roman" w:hAnsi="Times New Roman" w:cs="Times New Roman"/>
          <w:sz w:val="24"/>
          <w:szCs w:val="24"/>
          <w:lang w:val="en-US"/>
        </w:rPr>
        <w:t>emphasize</w:t>
      </w:r>
      <w:r w:rsidR="00E55F04">
        <w:rPr>
          <w:rFonts w:ascii="Times New Roman" w:hAnsi="Times New Roman" w:cs="Times New Roman"/>
          <w:sz w:val="24"/>
          <w:szCs w:val="24"/>
          <w:lang w:val="en-US"/>
        </w:rPr>
        <w:t>d</w:t>
      </w:r>
      <w:r w:rsidRPr="00083793">
        <w:rPr>
          <w:rFonts w:ascii="Times New Roman" w:hAnsi="Times New Roman" w:cs="Times New Roman"/>
          <w:sz w:val="24"/>
          <w:szCs w:val="24"/>
          <w:lang w:val="en-US"/>
        </w:rPr>
        <w:t xml:space="preserve"> the anthropocentric character of the charges</w:t>
      </w:r>
      <w:r w:rsidR="004F54E7">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thereby implicitly rejecting suggestions that crimes against cultural heritage are not of the same gravity as </w:t>
      </w:r>
      <w:r w:rsidR="009F7085">
        <w:rPr>
          <w:rFonts w:ascii="Times New Roman" w:hAnsi="Times New Roman" w:cs="Times New Roman"/>
          <w:sz w:val="24"/>
          <w:szCs w:val="24"/>
          <w:lang w:val="en-US"/>
        </w:rPr>
        <w:t>offense</w:t>
      </w:r>
      <w:r w:rsidRPr="00083793">
        <w:rPr>
          <w:rFonts w:ascii="Times New Roman" w:hAnsi="Times New Roman" w:cs="Times New Roman"/>
          <w:sz w:val="24"/>
          <w:szCs w:val="24"/>
          <w:lang w:val="en-US"/>
        </w:rPr>
        <w:t>s that involve the infliction of physical harm. The charges are presented as attacks on dignity and individual and collective identity, rather than as the infliction of material damage. This language underlines the universal cultural value of the mausoleums rather than their practical value to the local population.</w:t>
      </w:r>
    </w:p>
    <w:p w14:paraId="73D5477F" w14:textId="2C625745" w:rsidR="006A3999" w:rsidRPr="00083793" w:rsidRDefault="006A3999" w:rsidP="00016FD4">
      <w:pPr>
        <w:spacing w:after="0" w:line="480" w:lineRule="auto"/>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ab/>
        <w:t xml:space="preserve">It was hoped that the case would allow the </w:t>
      </w:r>
      <w:r w:rsidR="004F54E7">
        <w:rPr>
          <w:rFonts w:ascii="Times New Roman" w:hAnsi="Times New Roman" w:cs="Times New Roman"/>
          <w:sz w:val="24"/>
          <w:szCs w:val="24"/>
          <w:lang w:val="en-US"/>
        </w:rPr>
        <w:t xml:space="preserve">ICC </w:t>
      </w:r>
      <w:r w:rsidRPr="00083793">
        <w:rPr>
          <w:rFonts w:ascii="Times New Roman" w:hAnsi="Times New Roman" w:cs="Times New Roman"/>
          <w:sz w:val="24"/>
          <w:szCs w:val="24"/>
          <w:lang w:val="en-US"/>
        </w:rPr>
        <w:t xml:space="preserve">judges to carefully unravel the extent of the protection afforded to cultural heritage under the Rome Statute. However, such hopes were significantly dented by </w:t>
      </w:r>
      <w:r w:rsidR="004F54E7">
        <w:rPr>
          <w:rFonts w:ascii="Times New Roman" w:hAnsi="Times New Roman" w:cs="Times New Roman"/>
          <w:sz w:val="24"/>
          <w:szCs w:val="24"/>
          <w:lang w:val="en-US"/>
        </w:rPr>
        <w:t>a</w:t>
      </w:r>
      <w:r w:rsidRPr="00083793">
        <w:rPr>
          <w:rFonts w:ascii="Times New Roman" w:hAnsi="Times New Roman" w:cs="Times New Roman"/>
          <w:sz w:val="24"/>
          <w:szCs w:val="24"/>
          <w:lang w:val="en-US"/>
        </w:rPr>
        <w:t>l</w:t>
      </w:r>
      <w:r w:rsidR="004F54E7">
        <w:rPr>
          <w:rFonts w:ascii="Times New Roman" w:hAnsi="Times New Roman" w:cs="Times New Roman"/>
          <w:sz w:val="24"/>
          <w:szCs w:val="24"/>
          <w:lang w:val="en-US"/>
        </w:rPr>
        <w:t>-</w:t>
      </w:r>
      <w:r w:rsidRPr="00083793">
        <w:rPr>
          <w:rFonts w:ascii="Times New Roman" w:hAnsi="Times New Roman" w:cs="Times New Roman"/>
          <w:sz w:val="24"/>
          <w:szCs w:val="24"/>
          <w:lang w:val="en-US"/>
        </w:rPr>
        <w:t>Mahdi’s decision to plead guilty to the charge</w:t>
      </w:r>
      <w:r w:rsidR="006E2446">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instead of a lengthy set of proceedings, all that was required was a brief outline of the evidence supporting the charge, and confirmation that his guilty plea was free and fully informed. One question that needed to be addressed, however, was whether the fact that the mausoleums were destroyed outside of the conduct of </w:t>
      </w:r>
      <w:r w:rsidR="00C737D8">
        <w:rPr>
          <w:rFonts w:ascii="Times New Roman" w:hAnsi="Times New Roman" w:cs="Times New Roman"/>
          <w:sz w:val="24"/>
          <w:szCs w:val="24"/>
          <w:lang w:val="en-US"/>
        </w:rPr>
        <w:t xml:space="preserve">the </w:t>
      </w:r>
      <w:r w:rsidRPr="00083793">
        <w:rPr>
          <w:rFonts w:ascii="Times New Roman" w:hAnsi="Times New Roman" w:cs="Times New Roman"/>
          <w:sz w:val="24"/>
          <w:szCs w:val="24"/>
          <w:lang w:val="en-US"/>
        </w:rPr>
        <w:t xml:space="preserve">hostilities phase of the </w:t>
      </w:r>
      <w:r w:rsidRPr="00083793">
        <w:rPr>
          <w:rFonts w:ascii="Times New Roman" w:hAnsi="Times New Roman" w:cs="Times New Roman"/>
          <w:sz w:val="24"/>
          <w:szCs w:val="24"/>
          <w:lang w:val="en-US"/>
        </w:rPr>
        <w:lastRenderedPageBreak/>
        <w:t>conflict had any impact on the applicability of Article 8</w:t>
      </w:r>
      <w:r w:rsidR="006E2446">
        <w:rPr>
          <w:rFonts w:ascii="Times New Roman" w:hAnsi="Times New Roman" w:cs="Times New Roman"/>
          <w:sz w:val="24"/>
          <w:szCs w:val="24"/>
          <w:lang w:val="en-US"/>
        </w:rPr>
        <w:t>.</w:t>
      </w:r>
      <w:r w:rsidRPr="00083793">
        <w:rPr>
          <w:rFonts w:ascii="Times New Roman" w:hAnsi="Times New Roman" w:cs="Times New Roman"/>
          <w:sz w:val="24"/>
          <w:szCs w:val="24"/>
          <w:lang w:val="en-US"/>
        </w:rPr>
        <w:t>2</w:t>
      </w:r>
      <w:r w:rsidR="006E2446">
        <w:rPr>
          <w:rFonts w:ascii="Times New Roman" w:hAnsi="Times New Roman" w:cs="Times New Roman"/>
          <w:sz w:val="24"/>
          <w:szCs w:val="24"/>
          <w:lang w:val="en-US"/>
        </w:rPr>
        <w:t>.</w:t>
      </w:r>
      <w:r w:rsidRPr="00083793">
        <w:rPr>
          <w:rFonts w:ascii="Times New Roman" w:hAnsi="Times New Roman" w:cs="Times New Roman"/>
          <w:sz w:val="24"/>
          <w:szCs w:val="24"/>
          <w:lang w:val="en-US"/>
        </w:rPr>
        <w:t>e</w:t>
      </w:r>
      <w:r w:rsidR="006E2446">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iv to </w:t>
      </w:r>
      <w:r w:rsidR="007F126C">
        <w:rPr>
          <w:rFonts w:ascii="Times New Roman" w:hAnsi="Times New Roman" w:cs="Times New Roman"/>
          <w:sz w:val="24"/>
          <w:szCs w:val="24"/>
          <w:lang w:val="en-US"/>
        </w:rPr>
        <w:t>a</w:t>
      </w:r>
      <w:r w:rsidRPr="00083793">
        <w:rPr>
          <w:rFonts w:ascii="Times New Roman" w:hAnsi="Times New Roman" w:cs="Times New Roman"/>
          <w:sz w:val="24"/>
          <w:szCs w:val="24"/>
          <w:lang w:val="en-US"/>
        </w:rPr>
        <w:t>l</w:t>
      </w:r>
      <w:r w:rsidR="007F126C">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Mahdi’s conduct. The </w:t>
      </w:r>
      <w:r w:rsidR="007F126C">
        <w:rPr>
          <w:rFonts w:ascii="Times New Roman" w:hAnsi="Times New Roman" w:cs="Times New Roman"/>
          <w:sz w:val="24"/>
          <w:szCs w:val="24"/>
          <w:lang w:val="en-US"/>
        </w:rPr>
        <w:t>t</w:t>
      </w:r>
      <w:r w:rsidRPr="00083793">
        <w:rPr>
          <w:rFonts w:ascii="Times New Roman" w:hAnsi="Times New Roman" w:cs="Times New Roman"/>
          <w:sz w:val="24"/>
          <w:szCs w:val="24"/>
          <w:lang w:val="en-US"/>
        </w:rPr>
        <w:t xml:space="preserve">rial </w:t>
      </w:r>
      <w:r w:rsidR="007F126C">
        <w:rPr>
          <w:rFonts w:ascii="Times New Roman" w:hAnsi="Times New Roman" w:cs="Times New Roman"/>
          <w:sz w:val="24"/>
          <w:szCs w:val="24"/>
          <w:lang w:val="en-US"/>
        </w:rPr>
        <w:t>c</w:t>
      </w:r>
      <w:r w:rsidRPr="00083793">
        <w:rPr>
          <w:rFonts w:ascii="Times New Roman" w:hAnsi="Times New Roman" w:cs="Times New Roman"/>
          <w:sz w:val="24"/>
          <w:szCs w:val="24"/>
          <w:lang w:val="en-US"/>
        </w:rPr>
        <w:t>hamber chose to elide the strictures of international humanitarian law</w:t>
      </w:r>
      <w:r w:rsidR="00171991">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stating that:</w:t>
      </w:r>
      <w:r w:rsidR="00171991">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 xml:space="preserve">The element of ‘direct[ing] an attack’ encompasses any acts of violence against protected objects and [the </w:t>
      </w:r>
      <w:r w:rsidR="006C6896">
        <w:rPr>
          <w:rFonts w:ascii="Times New Roman" w:hAnsi="Times New Roman" w:cs="Times New Roman"/>
          <w:sz w:val="24"/>
          <w:szCs w:val="24"/>
          <w:lang w:val="en-US"/>
        </w:rPr>
        <w:t>c</w:t>
      </w:r>
      <w:r w:rsidRPr="00083793">
        <w:rPr>
          <w:rFonts w:ascii="Times New Roman" w:hAnsi="Times New Roman" w:cs="Times New Roman"/>
          <w:sz w:val="24"/>
          <w:szCs w:val="24"/>
          <w:lang w:val="en-US"/>
        </w:rPr>
        <w:t>hamber] will not make a distinction as to whether it was carried out in the conduct of hostilities or after the object had fallen under the control of the armed group</w:t>
      </w:r>
      <w:r w:rsidR="006C6896">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 This reflects the special status of religious, cultural, historical and similar objects, and the Chamber should not change this status by making distinctions not found in the language of the Statute.</w:t>
      </w:r>
      <w:r w:rsidR="0045219F">
        <w:rPr>
          <w:rFonts w:ascii="Times New Roman" w:hAnsi="Times New Roman" w:cs="Times New Roman"/>
          <w:sz w:val="24"/>
          <w:szCs w:val="24"/>
          <w:lang w:val="en-US"/>
        </w:rPr>
        <w:t>”</w:t>
      </w:r>
      <w:r w:rsidRPr="00083793">
        <w:rPr>
          <w:rStyle w:val="EndnoteReference"/>
          <w:rFonts w:ascii="Times New Roman" w:hAnsi="Times New Roman" w:cs="Times New Roman"/>
          <w:sz w:val="24"/>
          <w:szCs w:val="24"/>
          <w:lang w:val="en-US"/>
        </w:rPr>
        <w:endnoteReference w:id="38"/>
      </w:r>
    </w:p>
    <w:p w14:paraId="5824CB65" w14:textId="72DFE21C" w:rsidR="006A3999" w:rsidRPr="00083793" w:rsidRDefault="006A3999" w:rsidP="00A02D5C">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 xml:space="preserve">This interpretation led one prominent commentator to provocatively proclaim that </w:t>
      </w:r>
      <w:r w:rsidR="001545EB">
        <w:rPr>
          <w:rFonts w:ascii="Times New Roman" w:hAnsi="Times New Roman" w:cs="Times New Roman"/>
          <w:sz w:val="24"/>
          <w:szCs w:val="24"/>
          <w:lang w:val="en-US"/>
        </w:rPr>
        <w:t>a</w:t>
      </w:r>
      <w:r w:rsidRPr="00083793">
        <w:rPr>
          <w:rFonts w:ascii="Times New Roman" w:hAnsi="Times New Roman" w:cs="Times New Roman"/>
          <w:sz w:val="24"/>
          <w:szCs w:val="24"/>
          <w:lang w:val="en-US"/>
        </w:rPr>
        <w:t>l</w:t>
      </w:r>
      <w:r w:rsidR="001545EB">
        <w:rPr>
          <w:rFonts w:ascii="Times New Roman" w:hAnsi="Times New Roman" w:cs="Times New Roman"/>
          <w:sz w:val="24"/>
          <w:szCs w:val="24"/>
          <w:lang w:val="en-US"/>
        </w:rPr>
        <w:t>-</w:t>
      </w:r>
      <w:r w:rsidRPr="00083793">
        <w:rPr>
          <w:rFonts w:ascii="Times New Roman" w:hAnsi="Times New Roman" w:cs="Times New Roman"/>
          <w:sz w:val="24"/>
          <w:szCs w:val="24"/>
          <w:lang w:val="en-US"/>
        </w:rPr>
        <w:t>Mahdi had been convicted “of a crime he did not commit</w:t>
      </w:r>
      <w:r w:rsidR="00EC7182">
        <w:rPr>
          <w:rFonts w:ascii="Times New Roman" w:hAnsi="Times New Roman" w:cs="Times New Roman"/>
          <w:sz w:val="24"/>
          <w:szCs w:val="24"/>
          <w:lang w:val="en-US"/>
        </w:rPr>
        <w:t>.”</w:t>
      </w:r>
      <w:r w:rsidRPr="00083793">
        <w:rPr>
          <w:rStyle w:val="EndnoteReference"/>
          <w:rFonts w:ascii="Times New Roman" w:hAnsi="Times New Roman" w:cs="Times New Roman"/>
          <w:sz w:val="24"/>
          <w:szCs w:val="24"/>
          <w:lang w:val="en-US"/>
        </w:rPr>
        <w:endnoteReference w:id="39"/>
      </w:r>
      <w:r w:rsidRPr="00083793">
        <w:rPr>
          <w:rFonts w:ascii="Times New Roman" w:hAnsi="Times New Roman" w:cs="Times New Roman"/>
          <w:sz w:val="24"/>
          <w:szCs w:val="24"/>
          <w:lang w:val="en-US"/>
        </w:rPr>
        <w:t xml:space="preserve"> From a purely international humanitarian law perspective, there is much to be said for this conclusion. How the notion of “attack” is to be interpreted for the purposes of war crimes under the Rome Statute continues to be a source of some confusion</w:t>
      </w:r>
      <w:r w:rsidR="00AF6214">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w:t>
      </w:r>
      <w:r w:rsidR="00AF6214">
        <w:rPr>
          <w:rFonts w:ascii="Times New Roman" w:hAnsi="Times New Roman" w:cs="Times New Roman"/>
          <w:sz w:val="24"/>
          <w:szCs w:val="24"/>
          <w:lang w:val="en-US"/>
        </w:rPr>
        <w:t>S</w:t>
      </w:r>
      <w:r w:rsidRPr="00083793">
        <w:rPr>
          <w:rFonts w:ascii="Times New Roman" w:hAnsi="Times New Roman" w:cs="Times New Roman"/>
          <w:sz w:val="24"/>
          <w:szCs w:val="24"/>
          <w:lang w:val="en-US"/>
        </w:rPr>
        <w:t xml:space="preserve">hould it be strictly construed in line with international humanitarian law, or should it be given a broader, more liberal understanding? It was hoped that the issue would be resolved by the </w:t>
      </w:r>
      <w:r w:rsidR="009D12FA">
        <w:rPr>
          <w:rFonts w:ascii="Times New Roman" w:hAnsi="Times New Roman" w:cs="Times New Roman"/>
          <w:sz w:val="24"/>
          <w:szCs w:val="24"/>
          <w:lang w:val="en-US"/>
        </w:rPr>
        <w:t>a</w:t>
      </w:r>
      <w:r w:rsidRPr="00083793">
        <w:rPr>
          <w:rFonts w:ascii="Times New Roman" w:hAnsi="Times New Roman" w:cs="Times New Roman"/>
          <w:sz w:val="24"/>
          <w:szCs w:val="24"/>
          <w:lang w:val="en-US"/>
        </w:rPr>
        <w:t xml:space="preserve">ppeals </w:t>
      </w:r>
      <w:r w:rsidR="009D12FA">
        <w:rPr>
          <w:rFonts w:ascii="Times New Roman" w:hAnsi="Times New Roman" w:cs="Times New Roman"/>
          <w:sz w:val="24"/>
          <w:szCs w:val="24"/>
          <w:lang w:val="en-US"/>
        </w:rPr>
        <w:t>c</w:t>
      </w:r>
      <w:r w:rsidRPr="00083793">
        <w:rPr>
          <w:rFonts w:ascii="Times New Roman" w:hAnsi="Times New Roman" w:cs="Times New Roman"/>
          <w:sz w:val="24"/>
          <w:szCs w:val="24"/>
          <w:lang w:val="en-US"/>
        </w:rPr>
        <w:t xml:space="preserve">hamber in the </w:t>
      </w:r>
      <w:r w:rsidRPr="00083793">
        <w:rPr>
          <w:rFonts w:ascii="Times New Roman" w:hAnsi="Times New Roman" w:cs="Times New Roman"/>
          <w:i/>
          <w:sz w:val="24"/>
          <w:szCs w:val="24"/>
          <w:lang w:val="en-US"/>
        </w:rPr>
        <w:t xml:space="preserve">Ntaganda </w:t>
      </w:r>
      <w:r w:rsidRPr="00083793">
        <w:rPr>
          <w:rFonts w:ascii="Times New Roman" w:hAnsi="Times New Roman" w:cs="Times New Roman"/>
          <w:sz w:val="24"/>
          <w:szCs w:val="24"/>
          <w:lang w:val="en-US"/>
        </w:rPr>
        <w:t xml:space="preserve">case, </w:t>
      </w:r>
      <w:r w:rsidR="0021234F">
        <w:rPr>
          <w:rFonts w:ascii="Times New Roman" w:hAnsi="Times New Roman" w:cs="Times New Roman"/>
          <w:sz w:val="24"/>
          <w:szCs w:val="24"/>
          <w:lang w:val="en-US"/>
        </w:rPr>
        <w:t xml:space="preserve">but </w:t>
      </w:r>
      <w:r w:rsidRPr="00083793">
        <w:rPr>
          <w:rFonts w:ascii="Times New Roman" w:hAnsi="Times New Roman" w:cs="Times New Roman"/>
          <w:sz w:val="24"/>
          <w:szCs w:val="24"/>
          <w:lang w:val="en-US"/>
        </w:rPr>
        <w:t xml:space="preserve">while the </w:t>
      </w:r>
      <w:r w:rsidR="00A76D8C">
        <w:rPr>
          <w:rFonts w:ascii="Times New Roman" w:hAnsi="Times New Roman" w:cs="Times New Roman"/>
          <w:sz w:val="24"/>
          <w:szCs w:val="24"/>
          <w:lang w:val="en-US"/>
        </w:rPr>
        <w:t xml:space="preserve">court </w:t>
      </w:r>
      <w:r w:rsidRPr="00083793">
        <w:rPr>
          <w:rFonts w:ascii="Times New Roman" w:hAnsi="Times New Roman" w:cs="Times New Roman"/>
          <w:sz w:val="24"/>
          <w:szCs w:val="24"/>
          <w:lang w:val="en-US"/>
        </w:rPr>
        <w:t xml:space="preserve">appeared to disavow the </w:t>
      </w:r>
      <w:r w:rsidRPr="00083793">
        <w:rPr>
          <w:rFonts w:ascii="Times New Roman" w:hAnsi="Times New Roman" w:cs="Times New Roman"/>
          <w:i/>
          <w:sz w:val="24"/>
          <w:szCs w:val="24"/>
          <w:lang w:val="en-US"/>
        </w:rPr>
        <w:t xml:space="preserve">Al Mahdi </w:t>
      </w:r>
      <w:r w:rsidRPr="00083793">
        <w:rPr>
          <w:rFonts w:ascii="Times New Roman" w:hAnsi="Times New Roman" w:cs="Times New Roman"/>
          <w:sz w:val="24"/>
          <w:szCs w:val="24"/>
          <w:lang w:val="en-US"/>
        </w:rPr>
        <w:t>approach, significant ambiguity and uncertainty remain.</w:t>
      </w:r>
      <w:r w:rsidRPr="00083793">
        <w:rPr>
          <w:rStyle w:val="EndnoteReference"/>
          <w:rFonts w:ascii="Times New Roman" w:hAnsi="Times New Roman" w:cs="Times New Roman"/>
          <w:sz w:val="24"/>
          <w:szCs w:val="24"/>
          <w:lang w:val="en-US"/>
        </w:rPr>
        <w:endnoteReference w:id="40"/>
      </w:r>
      <w:r w:rsidRPr="00083793">
        <w:rPr>
          <w:rFonts w:ascii="Times New Roman" w:hAnsi="Times New Roman" w:cs="Times New Roman"/>
          <w:sz w:val="24"/>
          <w:szCs w:val="24"/>
          <w:lang w:val="en-US"/>
        </w:rPr>
        <w:t xml:space="preserve">  </w:t>
      </w:r>
    </w:p>
    <w:p w14:paraId="36BD83C8" w14:textId="052730B2" w:rsidR="00184956" w:rsidRDefault="006A3999" w:rsidP="00016FD4">
      <w:pPr>
        <w:spacing w:after="0" w:line="480" w:lineRule="auto"/>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ab/>
        <w:t xml:space="preserve">In determining </w:t>
      </w:r>
      <w:r w:rsidR="004D59F6">
        <w:rPr>
          <w:rFonts w:ascii="Times New Roman" w:hAnsi="Times New Roman" w:cs="Times New Roman"/>
          <w:sz w:val="24"/>
          <w:szCs w:val="24"/>
          <w:lang w:val="en-US"/>
        </w:rPr>
        <w:t>a</w:t>
      </w:r>
      <w:r w:rsidRPr="00083793">
        <w:rPr>
          <w:rFonts w:ascii="Times New Roman" w:hAnsi="Times New Roman" w:cs="Times New Roman"/>
          <w:sz w:val="24"/>
          <w:szCs w:val="24"/>
          <w:lang w:val="en-US"/>
        </w:rPr>
        <w:t>l</w:t>
      </w:r>
      <w:r w:rsidR="004D59F6">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Mahdi’s sentence, the </w:t>
      </w:r>
      <w:r w:rsidR="004D59F6">
        <w:rPr>
          <w:rFonts w:ascii="Times New Roman" w:hAnsi="Times New Roman" w:cs="Times New Roman"/>
          <w:sz w:val="24"/>
          <w:szCs w:val="24"/>
          <w:lang w:val="en-US"/>
        </w:rPr>
        <w:t>t</w:t>
      </w:r>
      <w:r w:rsidRPr="00083793">
        <w:rPr>
          <w:rFonts w:ascii="Times New Roman" w:hAnsi="Times New Roman" w:cs="Times New Roman"/>
          <w:sz w:val="24"/>
          <w:szCs w:val="24"/>
          <w:lang w:val="en-US"/>
        </w:rPr>
        <w:t xml:space="preserve">rial </w:t>
      </w:r>
      <w:r w:rsidR="004D59F6">
        <w:rPr>
          <w:rFonts w:ascii="Times New Roman" w:hAnsi="Times New Roman" w:cs="Times New Roman"/>
          <w:sz w:val="24"/>
          <w:szCs w:val="24"/>
          <w:lang w:val="en-US"/>
        </w:rPr>
        <w:t>c</w:t>
      </w:r>
      <w:r w:rsidRPr="00083793">
        <w:rPr>
          <w:rFonts w:ascii="Times New Roman" w:hAnsi="Times New Roman" w:cs="Times New Roman"/>
          <w:sz w:val="24"/>
          <w:szCs w:val="24"/>
          <w:lang w:val="en-US"/>
        </w:rPr>
        <w:t xml:space="preserve">hamber embarked on an assessment of the gravity of the crime. In doing so, they </w:t>
      </w:r>
      <w:r w:rsidR="00552EDA">
        <w:rPr>
          <w:rFonts w:ascii="Times New Roman" w:hAnsi="Times New Roman" w:cs="Times New Roman"/>
          <w:sz w:val="24"/>
          <w:szCs w:val="24"/>
          <w:lang w:val="en-US"/>
        </w:rPr>
        <w:t>rejected</w:t>
      </w:r>
      <w:r w:rsidR="00552EDA" w:rsidRPr="00083793">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any notion that there was an immediate and obvious equivalence b</w:t>
      </w:r>
      <w:r w:rsidR="00FA2436">
        <w:rPr>
          <w:rFonts w:ascii="Times New Roman" w:hAnsi="Times New Roman" w:cs="Times New Roman"/>
          <w:sz w:val="24"/>
          <w:szCs w:val="24"/>
          <w:lang w:val="en-US"/>
        </w:rPr>
        <w:t>etw</w:t>
      </w:r>
      <w:r w:rsidRPr="00083793">
        <w:rPr>
          <w:rFonts w:ascii="Times New Roman" w:hAnsi="Times New Roman" w:cs="Times New Roman"/>
          <w:sz w:val="24"/>
          <w:szCs w:val="24"/>
          <w:lang w:val="en-US"/>
        </w:rPr>
        <w:t xml:space="preserve">een all crimes under the </w:t>
      </w:r>
      <w:r w:rsidR="00452EFE">
        <w:rPr>
          <w:rFonts w:ascii="Times New Roman" w:hAnsi="Times New Roman" w:cs="Times New Roman"/>
          <w:sz w:val="24"/>
          <w:szCs w:val="24"/>
          <w:lang w:val="en-US"/>
        </w:rPr>
        <w:t>s</w:t>
      </w:r>
      <w:r w:rsidRPr="00083793">
        <w:rPr>
          <w:rFonts w:ascii="Times New Roman" w:hAnsi="Times New Roman" w:cs="Times New Roman"/>
          <w:sz w:val="24"/>
          <w:szCs w:val="24"/>
          <w:lang w:val="en-US"/>
        </w:rPr>
        <w:t>tatute</w:t>
      </w:r>
      <w:r w:rsidR="00452EFE">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stating that, “even if inherently grave, crimes against property are generally of lesser gravity than crimes against persons</w:t>
      </w:r>
      <w:r w:rsidR="00EC7182">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Due recognition was given to the “symbolic and emotional value” attached to the destroyed mausoleums, their status as UNESCO World Heritage </w:t>
      </w:r>
      <w:r w:rsidR="00E65A75">
        <w:rPr>
          <w:rFonts w:ascii="Times New Roman" w:hAnsi="Times New Roman" w:cs="Times New Roman"/>
          <w:sz w:val="24"/>
          <w:szCs w:val="24"/>
          <w:lang w:val="en-US"/>
        </w:rPr>
        <w:lastRenderedPageBreak/>
        <w:t>S</w:t>
      </w:r>
      <w:r w:rsidRPr="00083793">
        <w:rPr>
          <w:rFonts w:ascii="Times New Roman" w:hAnsi="Times New Roman" w:cs="Times New Roman"/>
          <w:sz w:val="24"/>
          <w:szCs w:val="24"/>
          <w:lang w:val="en-US"/>
        </w:rPr>
        <w:t>ites, and the fact that they were destroyed for religious motives.</w:t>
      </w:r>
      <w:r w:rsidRPr="00083793">
        <w:rPr>
          <w:rStyle w:val="EndnoteReference"/>
          <w:rFonts w:ascii="Times New Roman" w:hAnsi="Times New Roman" w:cs="Times New Roman"/>
          <w:sz w:val="24"/>
          <w:szCs w:val="24"/>
          <w:lang w:val="en-US"/>
        </w:rPr>
        <w:endnoteReference w:id="41"/>
      </w:r>
      <w:r w:rsidRPr="00083793">
        <w:rPr>
          <w:rFonts w:ascii="Times New Roman" w:hAnsi="Times New Roman" w:cs="Times New Roman"/>
          <w:sz w:val="24"/>
          <w:szCs w:val="24"/>
          <w:lang w:val="en-US"/>
        </w:rPr>
        <w:t xml:space="preserve"> Having </w:t>
      </w:r>
      <w:r w:rsidR="00E65A75">
        <w:rPr>
          <w:rFonts w:ascii="Times New Roman" w:hAnsi="Times New Roman" w:cs="Times New Roman"/>
          <w:sz w:val="24"/>
          <w:szCs w:val="24"/>
          <w:lang w:val="en-US"/>
        </w:rPr>
        <w:t>taken</w:t>
      </w:r>
      <w:r w:rsidR="00E65A75" w:rsidRPr="00083793">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 xml:space="preserve">all aggravating and mitigating factors </w:t>
      </w:r>
      <w:r w:rsidR="00E65A75">
        <w:rPr>
          <w:rFonts w:ascii="Times New Roman" w:hAnsi="Times New Roman" w:cs="Times New Roman"/>
          <w:sz w:val="24"/>
          <w:szCs w:val="24"/>
          <w:lang w:val="en-US"/>
        </w:rPr>
        <w:t xml:space="preserve">into account </w:t>
      </w:r>
      <w:r w:rsidRPr="00083793">
        <w:rPr>
          <w:rFonts w:ascii="Times New Roman" w:hAnsi="Times New Roman" w:cs="Times New Roman"/>
          <w:sz w:val="24"/>
          <w:szCs w:val="24"/>
          <w:lang w:val="en-US"/>
        </w:rPr>
        <w:t xml:space="preserve">(including his admission of guilt and statement of remorse), </w:t>
      </w:r>
      <w:r w:rsidR="00E65A75">
        <w:rPr>
          <w:rFonts w:ascii="Times New Roman" w:hAnsi="Times New Roman" w:cs="Times New Roman"/>
          <w:sz w:val="24"/>
          <w:szCs w:val="24"/>
          <w:lang w:val="en-US"/>
        </w:rPr>
        <w:t>a</w:t>
      </w:r>
      <w:r w:rsidRPr="00083793">
        <w:rPr>
          <w:rFonts w:ascii="Times New Roman" w:hAnsi="Times New Roman" w:cs="Times New Roman"/>
          <w:sz w:val="24"/>
          <w:szCs w:val="24"/>
          <w:lang w:val="en-US"/>
        </w:rPr>
        <w:t>l</w:t>
      </w:r>
      <w:r w:rsidR="00E65A75">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Mahdi was sentenced to nine years. </w:t>
      </w:r>
    </w:p>
    <w:p w14:paraId="169BD010" w14:textId="4FE0CED0" w:rsidR="006A3999" w:rsidRPr="00083793" w:rsidRDefault="006A3999" w:rsidP="00A02D5C">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Under Article 75 of the Rome Statute, the ICC has the power to award reparations in the form of restitution, compensation</w:t>
      </w:r>
      <w:r w:rsidR="00184956">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or rehabilitation to victims of crimes. Following </w:t>
      </w:r>
      <w:r w:rsidR="00184956">
        <w:rPr>
          <w:rFonts w:ascii="Times New Roman" w:hAnsi="Times New Roman" w:cs="Times New Roman"/>
          <w:sz w:val="24"/>
          <w:szCs w:val="24"/>
          <w:lang w:val="en-US"/>
        </w:rPr>
        <w:t>a</w:t>
      </w:r>
      <w:r w:rsidRPr="00083793">
        <w:rPr>
          <w:rFonts w:ascii="Times New Roman" w:hAnsi="Times New Roman" w:cs="Times New Roman"/>
          <w:sz w:val="24"/>
          <w:szCs w:val="24"/>
          <w:lang w:val="en-US"/>
        </w:rPr>
        <w:t>l</w:t>
      </w:r>
      <w:r w:rsidR="00184956">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Mahdi’s conviction, the </w:t>
      </w:r>
      <w:r w:rsidR="00981C05">
        <w:rPr>
          <w:rFonts w:ascii="Times New Roman" w:hAnsi="Times New Roman" w:cs="Times New Roman"/>
          <w:sz w:val="24"/>
          <w:szCs w:val="24"/>
          <w:lang w:val="en-US"/>
        </w:rPr>
        <w:t>c</w:t>
      </w:r>
      <w:r w:rsidRPr="00083793">
        <w:rPr>
          <w:rFonts w:ascii="Times New Roman" w:hAnsi="Times New Roman" w:cs="Times New Roman"/>
          <w:sz w:val="24"/>
          <w:szCs w:val="24"/>
          <w:lang w:val="en-US"/>
        </w:rPr>
        <w:t>ourt set about determining the appropriate reparations to be awarded</w:t>
      </w:r>
      <w:r w:rsidR="009F4366">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w:t>
      </w:r>
      <w:r w:rsidR="009F4366">
        <w:rPr>
          <w:rFonts w:ascii="Times New Roman" w:hAnsi="Times New Roman" w:cs="Times New Roman"/>
          <w:sz w:val="24"/>
          <w:szCs w:val="24"/>
          <w:lang w:val="en-US"/>
        </w:rPr>
        <w:t xml:space="preserve">permitting </w:t>
      </w:r>
      <w:r w:rsidRPr="00083793">
        <w:rPr>
          <w:rFonts w:ascii="Times New Roman" w:hAnsi="Times New Roman" w:cs="Times New Roman"/>
          <w:sz w:val="24"/>
          <w:szCs w:val="24"/>
          <w:lang w:val="en-US"/>
        </w:rPr>
        <w:t xml:space="preserve">experts to submit their opinion on how </w:t>
      </w:r>
      <w:r w:rsidR="004A7272">
        <w:rPr>
          <w:rFonts w:ascii="Times New Roman" w:hAnsi="Times New Roman" w:cs="Times New Roman"/>
          <w:sz w:val="24"/>
          <w:szCs w:val="24"/>
          <w:lang w:val="en-US"/>
        </w:rPr>
        <w:t xml:space="preserve">it </w:t>
      </w:r>
      <w:r w:rsidRPr="00083793">
        <w:rPr>
          <w:rFonts w:ascii="Times New Roman" w:hAnsi="Times New Roman" w:cs="Times New Roman"/>
          <w:sz w:val="24"/>
          <w:szCs w:val="24"/>
          <w:lang w:val="en-US"/>
        </w:rPr>
        <w:t xml:space="preserve">should conceptualize and quantify the harm that resulted from </w:t>
      </w:r>
      <w:r w:rsidR="00382FA7">
        <w:rPr>
          <w:rFonts w:ascii="Times New Roman" w:hAnsi="Times New Roman" w:cs="Times New Roman"/>
          <w:sz w:val="24"/>
          <w:szCs w:val="24"/>
          <w:lang w:val="en-US"/>
        </w:rPr>
        <w:t>his</w:t>
      </w:r>
      <w:r w:rsidRPr="00083793">
        <w:rPr>
          <w:rFonts w:ascii="Times New Roman" w:hAnsi="Times New Roman" w:cs="Times New Roman"/>
          <w:sz w:val="24"/>
          <w:szCs w:val="24"/>
          <w:lang w:val="en-US"/>
        </w:rPr>
        <w:t xml:space="preserve"> actions and how this should be reflected in the reparations order. </w:t>
      </w:r>
    </w:p>
    <w:p w14:paraId="2D7A9A39" w14:textId="34DF3307" w:rsidR="005E021C" w:rsidRDefault="006A3999" w:rsidP="00016FD4">
      <w:pPr>
        <w:spacing w:after="0" w:line="480" w:lineRule="auto"/>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ab/>
        <w:t xml:space="preserve">In </w:t>
      </w:r>
      <w:r w:rsidR="00DC54E5">
        <w:rPr>
          <w:rFonts w:ascii="Times New Roman" w:hAnsi="Times New Roman" w:cs="Times New Roman"/>
          <w:sz w:val="24"/>
          <w:szCs w:val="24"/>
          <w:lang w:val="en-US"/>
        </w:rPr>
        <w:t xml:space="preserve">this </w:t>
      </w:r>
      <w:r w:rsidRPr="00083793">
        <w:rPr>
          <w:rFonts w:ascii="Times New Roman" w:hAnsi="Times New Roman" w:cs="Times New Roman"/>
          <w:sz w:val="24"/>
          <w:szCs w:val="24"/>
          <w:lang w:val="en-US"/>
        </w:rPr>
        <w:t>order</w:t>
      </w:r>
      <w:r w:rsidR="000545FE">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of 17 August 2017, reflecting on the importance of tangible and intangible cultural heritage, </w:t>
      </w:r>
      <w:r w:rsidR="00BF7CCE">
        <w:rPr>
          <w:rFonts w:ascii="Times New Roman" w:hAnsi="Times New Roman" w:cs="Times New Roman"/>
          <w:sz w:val="24"/>
          <w:szCs w:val="24"/>
          <w:lang w:val="en-US"/>
        </w:rPr>
        <w:t xml:space="preserve">the court </w:t>
      </w:r>
      <w:r w:rsidRPr="00083793">
        <w:rPr>
          <w:rFonts w:ascii="Times New Roman" w:hAnsi="Times New Roman" w:cs="Times New Roman"/>
          <w:sz w:val="24"/>
          <w:szCs w:val="24"/>
          <w:lang w:val="en-US"/>
        </w:rPr>
        <w:t>stated that “cultural heritage is considered internationally important regardless of its location and origin” and “cultural heritage is important not only in itself, but also in relation to its human dimension</w:t>
      </w:r>
      <w:r w:rsidR="00EC7182">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The </w:t>
      </w:r>
      <w:r w:rsidR="00C50757">
        <w:rPr>
          <w:rFonts w:ascii="Times New Roman" w:hAnsi="Times New Roman" w:cs="Times New Roman"/>
          <w:sz w:val="24"/>
          <w:szCs w:val="24"/>
          <w:lang w:val="en-US"/>
        </w:rPr>
        <w:t>court</w:t>
      </w:r>
      <w:r w:rsidR="008E0958">
        <w:rPr>
          <w:rFonts w:ascii="Times New Roman" w:hAnsi="Times New Roman" w:cs="Times New Roman"/>
          <w:sz w:val="24"/>
          <w:szCs w:val="24"/>
          <w:lang w:val="en-US"/>
        </w:rPr>
        <w:t xml:space="preserve"> also</w:t>
      </w:r>
      <w:r w:rsidR="00C50757" w:rsidRPr="00083793">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recognized that heritage destruction constitutes “an irreplaceable loss that negates humanity</w:t>
      </w:r>
      <w:r w:rsidR="00EC7182">
        <w:rPr>
          <w:rFonts w:ascii="Times New Roman" w:hAnsi="Times New Roman" w:cs="Times New Roman"/>
          <w:sz w:val="24"/>
          <w:szCs w:val="24"/>
          <w:lang w:val="en-US"/>
        </w:rPr>
        <w:t>.”</w:t>
      </w:r>
      <w:r w:rsidRPr="00083793">
        <w:rPr>
          <w:rStyle w:val="EndnoteReference"/>
          <w:rFonts w:ascii="Times New Roman" w:hAnsi="Times New Roman" w:cs="Times New Roman"/>
          <w:sz w:val="24"/>
          <w:szCs w:val="24"/>
          <w:lang w:val="en-US"/>
        </w:rPr>
        <w:endnoteReference w:id="42"/>
      </w:r>
      <w:r w:rsidRPr="00083793">
        <w:rPr>
          <w:rFonts w:ascii="Times New Roman" w:hAnsi="Times New Roman" w:cs="Times New Roman"/>
          <w:sz w:val="24"/>
          <w:szCs w:val="24"/>
          <w:lang w:val="en-US"/>
        </w:rPr>
        <w:t xml:space="preserve"> With respect to the victims of </w:t>
      </w:r>
      <w:r w:rsidR="00D626DC">
        <w:rPr>
          <w:rFonts w:ascii="Times New Roman" w:hAnsi="Times New Roman" w:cs="Times New Roman"/>
          <w:sz w:val="24"/>
          <w:szCs w:val="24"/>
          <w:lang w:val="en-US"/>
        </w:rPr>
        <w:t>a</w:t>
      </w:r>
      <w:r w:rsidRPr="00083793">
        <w:rPr>
          <w:rFonts w:ascii="Times New Roman" w:hAnsi="Times New Roman" w:cs="Times New Roman"/>
          <w:sz w:val="24"/>
          <w:szCs w:val="24"/>
          <w:lang w:val="en-US"/>
        </w:rPr>
        <w:t>l</w:t>
      </w:r>
      <w:r w:rsidR="00D626DC">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Mahdi’s actions, </w:t>
      </w:r>
      <w:r w:rsidR="00C6710D">
        <w:rPr>
          <w:rFonts w:ascii="Times New Roman" w:hAnsi="Times New Roman" w:cs="Times New Roman"/>
          <w:sz w:val="24"/>
          <w:szCs w:val="24"/>
          <w:lang w:val="en-US"/>
        </w:rPr>
        <w:t>it</w:t>
      </w:r>
      <w:r w:rsidR="00C6710D" w:rsidRPr="00083793">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 xml:space="preserve">determined that harm was inflicted on the community of Timbuktu, the people of Mali, and the international community, thus </w:t>
      </w:r>
      <w:r w:rsidR="00D626DC">
        <w:rPr>
          <w:rFonts w:ascii="Times New Roman" w:hAnsi="Times New Roman" w:cs="Times New Roman"/>
          <w:sz w:val="24"/>
          <w:szCs w:val="24"/>
          <w:lang w:val="en-US"/>
        </w:rPr>
        <w:t xml:space="preserve">it </w:t>
      </w:r>
      <w:r w:rsidRPr="00083793">
        <w:rPr>
          <w:rFonts w:ascii="Times New Roman" w:hAnsi="Times New Roman" w:cs="Times New Roman"/>
          <w:sz w:val="24"/>
          <w:szCs w:val="24"/>
          <w:lang w:val="en-US"/>
        </w:rPr>
        <w:t>was conceptualized as occurring on the local, national, and international level</w:t>
      </w:r>
      <w:r w:rsidR="00D626DC">
        <w:rPr>
          <w:rFonts w:ascii="Times New Roman" w:hAnsi="Times New Roman" w:cs="Times New Roman"/>
          <w:sz w:val="24"/>
          <w:szCs w:val="24"/>
          <w:lang w:val="en-US"/>
        </w:rPr>
        <w:t>s</w:t>
      </w:r>
      <w:r w:rsidRPr="00083793">
        <w:rPr>
          <w:rFonts w:ascii="Times New Roman" w:hAnsi="Times New Roman" w:cs="Times New Roman"/>
          <w:sz w:val="24"/>
          <w:szCs w:val="24"/>
          <w:lang w:val="en-US"/>
        </w:rPr>
        <w:t>. Al</w:t>
      </w:r>
      <w:r w:rsidR="002950F0">
        <w:rPr>
          <w:rFonts w:ascii="Times New Roman" w:hAnsi="Times New Roman" w:cs="Times New Roman"/>
          <w:sz w:val="24"/>
          <w:szCs w:val="24"/>
          <w:lang w:val="en-US"/>
        </w:rPr>
        <w:t>-</w:t>
      </w:r>
      <w:r w:rsidRPr="00083793">
        <w:rPr>
          <w:rFonts w:ascii="Times New Roman" w:hAnsi="Times New Roman" w:cs="Times New Roman"/>
          <w:sz w:val="24"/>
          <w:szCs w:val="24"/>
          <w:lang w:val="en-US"/>
        </w:rPr>
        <w:t>Mahdi’s actions resulted in material damage, economic loss, moral harm in the form of “mental pain and anguish</w:t>
      </w:r>
      <w:r w:rsidR="00EC7182">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the “disruption of culture</w:t>
      </w:r>
      <w:r w:rsidR="00EC7182">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and emotional distress. Having considered multiple factors the </w:t>
      </w:r>
      <w:r w:rsidR="002950F0">
        <w:rPr>
          <w:rFonts w:ascii="Times New Roman" w:hAnsi="Times New Roman" w:cs="Times New Roman"/>
          <w:sz w:val="24"/>
          <w:szCs w:val="24"/>
          <w:lang w:val="en-US"/>
        </w:rPr>
        <w:t>court</w:t>
      </w:r>
      <w:r w:rsidR="002950F0" w:rsidRPr="00083793">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 xml:space="preserve">determined that </w:t>
      </w:r>
      <w:r w:rsidR="002950F0">
        <w:rPr>
          <w:rFonts w:ascii="Times New Roman" w:hAnsi="Times New Roman" w:cs="Times New Roman"/>
          <w:sz w:val="24"/>
          <w:szCs w:val="24"/>
          <w:lang w:val="en-US"/>
        </w:rPr>
        <w:t xml:space="preserve">he </w:t>
      </w:r>
      <w:r w:rsidRPr="00083793">
        <w:rPr>
          <w:rFonts w:ascii="Times New Roman" w:hAnsi="Times New Roman" w:cs="Times New Roman"/>
          <w:sz w:val="24"/>
          <w:szCs w:val="24"/>
          <w:lang w:val="en-US"/>
        </w:rPr>
        <w:t xml:space="preserve">was liable for </w:t>
      </w:r>
      <w:r w:rsidR="008C5FD4">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2.12 million for the economic loss that resulted from his actions. Furthermore, individual and collective reparations </w:t>
      </w:r>
      <w:r w:rsidR="00452782">
        <w:rPr>
          <w:rFonts w:ascii="Times New Roman" w:hAnsi="Times New Roman" w:cs="Times New Roman"/>
          <w:sz w:val="24"/>
          <w:szCs w:val="24"/>
          <w:lang w:val="en-US"/>
        </w:rPr>
        <w:t>totaling €</w:t>
      </w:r>
      <w:r w:rsidRPr="00083793">
        <w:rPr>
          <w:rFonts w:ascii="Times New Roman" w:hAnsi="Times New Roman" w:cs="Times New Roman"/>
          <w:sz w:val="24"/>
          <w:szCs w:val="24"/>
          <w:lang w:val="en-US"/>
        </w:rPr>
        <w:t xml:space="preserve">483,000 </w:t>
      </w:r>
      <w:r w:rsidR="0054377E">
        <w:rPr>
          <w:rFonts w:ascii="Times New Roman" w:hAnsi="Times New Roman" w:cs="Times New Roman"/>
          <w:sz w:val="24"/>
          <w:szCs w:val="24"/>
          <w:lang w:val="en-US"/>
        </w:rPr>
        <w:t>were</w:t>
      </w:r>
      <w:r w:rsidRPr="00083793">
        <w:rPr>
          <w:rFonts w:ascii="Times New Roman" w:hAnsi="Times New Roman" w:cs="Times New Roman"/>
          <w:sz w:val="24"/>
          <w:szCs w:val="24"/>
          <w:lang w:val="en-US"/>
        </w:rPr>
        <w:t xml:space="preserve"> awarded for the moral harm inflicted. </w:t>
      </w:r>
    </w:p>
    <w:p w14:paraId="7289BEA4" w14:textId="00B0432A" w:rsidR="006A3999" w:rsidRPr="00083793" w:rsidRDefault="006A3999" w:rsidP="00A02D5C">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lastRenderedPageBreak/>
        <w:t xml:space="preserve">With respect to the harm suffered by the national and international communities, the </w:t>
      </w:r>
      <w:r w:rsidR="00F851FC">
        <w:rPr>
          <w:rFonts w:ascii="Times New Roman" w:hAnsi="Times New Roman" w:cs="Times New Roman"/>
          <w:sz w:val="24"/>
          <w:szCs w:val="24"/>
          <w:lang w:val="en-US"/>
        </w:rPr>
        <w:t>court</w:t>
      </w:r>
      <w:r w:rsidR="00F851FC" w:rsidRPr="00083793">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 xml:space="preserve">chose to award symbolic reparations in the form of </w:t>
      </w:r>
      <w:r w:rsidR="00F851FC">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1 to the state of Mali and UNESCO. In total, </w:t>
      </w:r>
      <w:r w:rsidR="00A05C0D">
        <w:rPr>
          <w:rFonts w:ascii="Times New Roman" w:hAnsi="Times New Roman" w:cs="Times New Roman"/>
          <w:sz w:val="24"/>
          <w:szCs w:val="24"/>
          <w:lang w:val="en-US"/>
        </w:rPr>
        <w:t>a</w:t>
      </w:r>
      <w:r w:rsidRPr="00083793">
        <w:rPr>
          <w:rFonts w:ascii="Times New Roman" w:hAnsi="Times New Roman" w:cs="Times New Roman"/>
          <w:sz w:val="24"/>
          <w:szCs w:val="24"/>
          <w:lang w:val="en-US"/>
        </w:rPr>
        <w:t>l</w:t>
      </w:r>
      <w:r w:rsidR="00A05C0D">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Mahdi was held personally liable for reparations of </w:t>
      </w:r>
      <w:r w:rsidR="00A05C0D">
        <w:rPr>
          <w:rFonts w:ascii="Times New Roman" w:hAnsi="Times New Roman" w:cs="Times New Roman"/>
          <w:sz w:val="24"/>
          <w:szCs w:val="24"/>
          <w:lang w:val="en-US"/>
        </w:rPr>
        <w:t>€</w:t>
      </w:r>
      <w:r w:rsidRPr="00083793">
        <w:rPr>
          <w:rFonts w:ascii="Times New Roman" w:hAnsi="Times New Roman" w:cs="Times New Roman"/>
          <w:sz w:val="24"/>
          <w:szCs w:val="24"/>
          <w:lang w:val="en-US"/>
        </w:rPr>
        <w:t>2.7 million</w:t>
      </w:r>
      <w:r w:rsidR="00510059">
        <w:rPr>
          <w:rFonts w:ascii="Times New Roman" w:hAnsi="Times New Roman" w:cs="Times New Roman"/>
          <w:sz w:val="24"/>
          <w:szCs w:val="24"/>
          <w:lang w:val="en-US"/>
        </w:rPr>
        <w:t>, though h</w:t>
      </w:r>
      <w:r w:rsidR="00A05C0D">
        <w:rPr>
          <w:rFonts w:ascii="Times New Roman" w:hAnsi="Times New Roman" w:cs="Times New Roman"/>
          <w:sz w:val="24"/>
          <w:szCs w:val="24"/>
          <w:lang w:val="en-US"/>
        </w:rPr>
        <w:t xml:space="preserve">e </w:t>
      </w:r>
      <w:r w:rsidRPr="00083793">
        <w:rPr>
          <w:rFonts w:ascii="Times New Roman" w:hAnsi="Times New Roman" w:cs="Times New Roman"/>
          <w:sz w:val="24"/>
          <w:szCs w:val="24"/>
          <w:lang w:val="en-US"/>
        </w:rPr>
        <w:t xml:space="preserve">is not in a position, nor is he likely to be in the future, to fulfill the reparations order. Consequently, the Court’s Trust Fund for Victims has stepped in to ensure that in time, through fund raising and voluntary contributions from states, the reparations will be appropriately fulfilled. </w:t>
      </w:r>
    </w:p>
    <w:p w14:paraId="3A4751FA" w14:textId="708F6D64" w:rsidR="005E021C" w:rsidRDefault="006A3999" w:rsidP="00016FD4">
      <w:pPr>
        <w:spacing w:after="0" w:line="480" w:lineRule="auto"/>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ab/>
        <w:t xml:space="preserve">The </w:t>
      </w:r>
      <w:r w:rsidRPr="00083793">
        <w:rPr>
          <w:rFonts w:ascii="Times New Roman" w:hAnsi="Times New Roman" w:cs="Times New Roman"/>
          <w:i/>
          <w:sz w:val="24"/>
          <w:szCs w:val="24"/>
          <w:lang w:val="en-US"/>
        </w:rPr>
        <w:t xml:space="preserve">Al Mahdi </w:t>
      </w:r>
      <w:r w:rsidRPr="00083793">
        <w:rPr>
          <w:rFonts w:ascii="Times New Roman" w:hAnsi="Times New Roman" w:cs="Times New Roman"/>
          <w:sz w:val="24"/>
          <w:szCs w:val="24"/>
          <w:lang w:val="en-US"/>
        </w:rPr>
        <w:t>case has undoubtedly made an important contribution in terms of sharpening international criminal law’s relevance to ongoing efforts aimed at accountability for heritage destruction. Prosecuted during a period in which the world was outraged at the intentional, wanton, and ideologically</w:t>
      </w:r>
      <w:r w:rsidR="00681F26">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driven destruction of cultural heritage by </w:t>
      </w:r>
      <w:r w:rsidR="00A4072E">
        <w:rPr>
          <w:rFonts w:ascii="Times New Roman" w:hAnsi="Times New Roman" w:cs="Times New Roman"/>
          <w:sz w:val="24"/>
          <w:szCs w:val="24"/>
          <w:lang w:val="en-US"/>
        </w:rPr>
        <w:t xml:space="preserve">the </w:t>
      </w:r>
      <w:r w:rsidR="009200F6" w:rsidRPr="009200F6">
        <w:rPr>
          <w:rFonts w:ascii="Times New Roman" w:hAnsi="Times New Roman" w:cs="Times New Roman"/>
          <w:sz w:val="24"/>
          <w:szCs w:val="24"/>
          <w:lang w:val="en-US"/>
        </w:rPr>
        <w:t xml:space="preserve">Islamic State of Iraq and </w:t>
      </w:r>
      <w:r w:rsidR="009200F6">
        <w:rPr>
          <w:rFonts w:ascii="Times New Roman" w:hAnsi="Times New Roman" w:cs="Times New Roman"/>
          <w:sz w:val="24"/>
          <w:szCs w:val="24"/>
          <w:lang w:val="en-US"/>
        </w:rPr>
        <w:t>Syria</w:t>
      </w:r>
      <w:r w:rsidR="009200F6" w:rsidRPr="009200F6">
        <w:rPr>
          <w:rFonts w:ascii="Times New Roman" w:hAnsi="Times New Roman" w:cs="Times New Roman"/>
          <w:sz w:val="24"/>
          <w:szCs w:val="24"/>
          <w:lang w:val="en-US"/>
        </w:rPr>
        <w:t xml:space="preserve"> (ISI</w:t>
      </w:r>
      <w:r w:rsidR="009200F6">
        <w:rPr>
          <w:rFonts w:ascii="Times New Roman" w:hAnsi="Times New Roman" w:cs="Times New Roman"/>
          <w:sz w:val="24"/>
          <w:szCs w:val="24"/>
          <w:lang w:val="en-US"/>
        </w:rPr>
        <w:t>S</w:t>
      </w:r>
      <w:r w:rsidR="009200F6" w:rsidRPr="009200F6">
        <w:rPr>
          <w:rFonts w:ascii="Times New Roman" w:hAnsi="Times New Roman" w:cs="Times New Roman"/>
          <w:sz w:val="24"/>
          <w:szCs w:val="24"/>
          <w:lang w:val="en-US"/>
        </w:rPr>
        <w:t>, also known as ISI</w:t>
      </w:r>
      <w:r w:rsidR="009200F6">
        <w:rPr>
          <w:rFonts w:ascii="Times New Roman" w:hAnsi="Times New Roman" w:cs="Times New Roman"/>
          <w:sz w:val="24"/>
          <w:szCs w:val="24"/>
          <w:lang w:val="en-US"/>
        </w:rPr>
        <w:t>L</w:t>
      </w:r>
      <w:r w:rsidR="009200F6" w:rsidRPr="009200F6">
        <w:rPr>
          <w:rFonts w:ascii="Times New Roman" w:hAnsi="Times New Roman" w:cs="Times New Roman"/>
          <w:sz w:val="24"/>
          <w:szCs w:val="24"/>
          <w:lang w:val="en-US"/>
        </w:rPr>
        <w:t xml:space="preserve"> or Da’esh)</w:t>
      </w:r>
      <w:r w:rsidRPr="00083793">
        <w:rPr>
          <w:rFonts w:ascii="Times New Roman" w:hAnsi="Times New Roman" w:cs="Times New Roman"/>
          <w:sz w:val="24"/>
          <w:szCs w:val="24"/>
          <w:lang w:val="en-US"/>
        </w:rPr>
        <w:t xml:space="preserve">, the case’s timeliness marked the possibility of international accountability, and stood as a warning to potential perpetrators that a reckoning may be at hand. </w:t>
      </w:r>
    </w:p>
    <w:p w14:paraId="296388B3" w14:textId="06FCB8B5" w:rsidR="006A3999" w:rsidRPr="00083793" w:rsidRDefault="006A3999" w:rsidP="00A02D5C">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 xml:space="preserve">In the immediate aftermath of the case, there was a brief period in which efforts were made to build on the momentum created by the positive reception to </w:t>
      </w:r>
      <w:r w:rsidR="005E021C">
        <w:rPr>
          <w:rFonts w:ascii="Times New Roman" w:hAnsi="Times New Roman" w:cs="Times New Roman"/>
          <w:sz w:val="24"/>
          <w:szCs w:val="24"/>
          <w:lang w:val="en-US"/>
        </w:rPr>
        <w:t>a</w:t>
      </w:r>
      <w:r w:rsidRPr="00083793">
        <w:rPr>
          <w:rFonts w:ascii="Times New Roman" w:hAnsi="Times New Roman" w:cs="Times New Roman"/>
          <w:sz w:val="24"/>
          <w:szCs w:val="24"/>
          <w:lang w:val="en-US"/>
        </w:rPr>
        <w:t>l</w:t>
      </w:r>
      <w:r w:rsidR="005E021C">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Mahdi’s conviction. A </w:t>
      </w:r>
      <w:r w:rsidR="004F7BBD">
        <w:rPr>
          <w:rFonts w:ascii="Times New Roman" w:hAnsi="Times New Roman" w:cs="Times New Roman"/>
          <w:sz w:val="24"/>
          <w:szCs w:val="24"/>
          <w:lang w:val="en-US"/>
        </w:rPr>
        <w:t>m</w:t>
      </w:r>
      <w:r w:rsidRPr="00083793">
        <w:rPr>
          <w:rFonts w:ascii="Times New Roman" w:hAnsi="Times New Roman" w:cs="Times New Roman"/>
          <w:sz w:val="24"/>
          <w:szCs w:val="24"/>
          <w:lang w:val="en-US"/>
        </w:rPr>
        <w:t xml:space="preserve">emorandum of </w:t>
      </w:r>
      <w:r w:rsidR="004F7BBD">
        <w:rPr>
          <w:rFonts w:ascii="Times New Roman" w:hAnsi="Times New Roman" w:cs="Times New Roman"/>
          <w:sz w:val="24"/>
          <w:szCs w:val="24"/>
          <w:lang w:val="en-US"/>
        </w:rPr>
        <w:t>u</w:t>
      </w:r>
      <w:r w:rsidRPr="00083793">
        <w:rPr>
          <w:rFonts w:ascii="Times New Roman" w:hAnsi="Times New Roman" w:cs="Times New Roman"/>
          <w:sz w:val="24"/>
          <w:szCs w:val="24"/>
          <w:lang w:val="en-US"/>
        </w:rPr>
        <w:t xml:space="preserve">nderstanding was signed by the Office of the Prosecutor and UNESCO formalizing their cooperative relationship. More recently, in </w:t>
      </w:r>
      <w:r w:rsidR="004F7BBD">
        <w:rPr>
          <w:rFonts w:ascii="Times New Roman" w:hAnsi="Times New Roman" w:cs="Times New Roman"/>
          <w:sz w:val="24"/>
          <w:szCs w:val="24"/>
          <w:lang w:val="en-US"/>
        </w:rPr>
        <w:t xml:space="preserve">the </w:t>
      </w:r>
      <w:r w:rsidRPr="00083793">
        <w:rPr>
          <w:rFonts w:ascii="Times New Roman" w:hAnsi="Times New Roman" w:cs="Times New Roman"/>
          <w:sz w:val="24"/>
          <w:szCs w:val="24"/>
          <w:lang w:val="en-US"/>
        </w:rPr>
        <w:t xml:space="preserve">final days of her term of office as </w:t>
      </w:r>
      <w:r w:rsidR="004F7BBD">
        <w:rPr>
          <w:rFonts w:ascii="Times New Roman" w:hAnsi="Times New Roman" w:cs="Times New Roman"/>
          <w:sz w:val="24"/>
          <w:szCs w:val="24"/>
          <w:lang w:val="en-US"/>
        </w:rPr>
        <w:t>c</w:t>
      </w:r>
      <w:r w:rsidRPr="00083793">
        <w:rPr>
          <w:rFonts w:ascii="Times New Roman" w:hAnsi="Times New Roman" w:cs="Times New Roman"/>
          <w:sz w:val="24"/>
          <w:szCs w:val="24"/>
          <w:lang w:val="en-US"/>
        </w:rPr>
        <w:t xml:space="preserve">hief </w:t>
      </w:r>
      <w:r w:rsidR="004F7BBD">
        <w:rPr>
          <w:rFonts w:ascii="Times New Roman" w:hAnsi="Times New Roman" w:cs="Times New Roman"/>
          <w:sz w:val="24"/>
          <w:szCs w:val="24"/>
          <w:lang w:val="en-US"/>
        </w:rPr>
        <w:t>p</w:t>
      </w:r>
      <w:r w:rsidRPr="00083793">
        <w:rPr>
          <w:rFonts w:ascii="Times New Roman" w:hAnsi="Times New Roman" w:cs="Times New Roman"/>
          <w:sz w:val="24"/>
          <w:szCs w:val="24"/>
          <w:lang w:val="en-US"/>
        </w:rPr>
        <w:t xml:space="preserve">rosecutor, Bensouda published a dedicated </w:t>
      </w:r>
      <w:r w:rsidRPr="00A02D5C">
        <w:rPr>
          <w:rFonts w:ascii="Times New Roman" w:hAnsi="Times New Roman" w:cs="Times New Roman"/>
          <w:i/>
          <w:iCs/>
          <w:sz w:val="24"/>
          <w:szCs w:val="24"/>
          <w:lang w:val="en-US"/>
        </w:rPr>
        <w:t xml:space="preserve">Policy </w:t>
      </w:r>
      <w:r w:rsidR="00715EBC" w:rsidRPr="00A02D5C">
        <w:rPr>
          <w:rFonts w:ascii="Times New Roman" w:hAnsi="Times New Roman" w:cs="Times New Roman"/>
          <w:i/>
          <w:iCs/>
          <w:sz w:val="24"/>
          <w:szCs w:val="24"/>
          <w:lang w:val="en-US"/>
        </w:rPr>
        <w:t>o</w:t>
      </w:r>
      <w:r w:rsidRPr="00A02D5C">
        <w:rPr>
          <w:rFonts w:ascii="Times New Roman" w:hAnsi="Times New Roman" w:cs="Times New Roman"/>
          <w:i/>
          <w:iCs/>
          <w:sz w:val="24"/>
          <w:szCs w:val="24"/>
          <w:lang w:val="en-US"/>
        </w:rPr>
        <w:t>n Cultural Heritage</w:t>
      </w:r>
      <w:r w:rsidRPr="00083793">
        <w:rPr>
          <w:rFonts w:ascii="Times New Roman" w:hAnsi="Times New Roman" w:cs="Times New Roman"/>
          <w:sz w:val="24"/>
          <w:szCs w:val="24"/>
          <w:lang w:val="en-US"/>
        </w:rPr>
        <w:t xml:space="preserve">. </w:t>
      </w:r>
      <w:r w:rsidR="00715EBC">
        <w:rPr>
          <w:rFonts w:ascii="Times New Roman" w:hAnsi="Times New Roman" w:cs="Times New Roman"/>
          <w:sz w:val="24"/>
          <w:szCs w:val="24"/>
          <w:lang w:val="en-US"/>
        </w:rPr>
        <w:t xml:space="preserve">This </w:t>
      </w:r>
      <w:r w:rsidRPr="00083793">
        <w:rPr>
          <w:rFonts w:ascii="Times New Roman" w:hAnsi="Times New Roman" w:cs="Times New Roman"/>
          <w:sz w:val="24"/>
          <w:szCs w:val="24"/>
          <w:lang w:val="en-US"/>
        </w:rPr>
        <w:t xml:space="preserve">commits the </w:t>
      </w:r>
      <w:r w:rsidR="005F2926" w:rsidRPr="00083793">
        <w:rPr>
          <w:rFonts w:ascii="Times New Roman" w:hAnsi="Times New Roman" w:cs="Times New Roman"/>
          <w:sz w:val="24"/>
          <w:szCs w:val="24"/>
          <w:lang w:val="en-US"/>
        </w:rPr>
        <w:t>Office of the Prosecutor</w:t>
      </w:r>
      <w:r w:rsidRPr="00083793">
        <w:rPr>
          <w:rFonts w:ascii="Times New Roman" w:hAnsi="Times New Roman" w:cs="Times New Roman"/>
          <w:sz w:val="24"/>
          <w:szCs w:val="24"/>
          <w:lang w:val="en-US"/>
        </w:rPr>
        <w:t>, among other things, to integrat</w:t>
      </w:r>
      <w:r w:rsidR="008D2693">
        <w:rPr>
          <w:rFonts w:ascii="Times New Roman" w:hAnsi="Times New Roman" w:cs="Times New Roman"/>
          <w:sz w:val="24"/>
          <w:szCs w:val="24"/>
          <w:lang w:val="en-US"/>
        </w:rPr>
        <w:t>e</w:t>
      </w:r>
      <w:r w:rsidRPr="00083793">
        <w:rPr>
          <w:rFonts w:ascii="Times New Roman" w:hAnsi="Times New Roman" w:cs="Times New Roman"/>
          <w:sz w:val="24"/>
          <w:szCs w:val="24"/>
          <w:lang w:val="en-US"/>
        </w:rPr>
        <w:t xml:space="preserve"> the investigation and prosecution of heritage destruction (in all of its forms) </w:t>
      </w:r>
      <w:r w:rsidR="00912AF4">
        <w:rPr>
          <w:rFonts w:ascii="Times New Roman" w:hAnsi="Times New Roman" w:cs="Times New Roman"/>
          <w:sz w:val="24"/>
          <w:szCs w:val="24"/>
          <w:lang w:val="en-US"/>
        </w:rPr>
        <w:t>into</w:t>
      </w:r>
      <w:r w:rsidR="00912AF4" w:rsidRPr="00083793">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the heart of its activities.</w:t>
      </w:r>
      <w:r w:rsidRPr="00083793">
        <w:rPr>
          <w:rStyle w:val="EndnoteReference"/>
          <w:rFonts w:ascii="Times New Roman" w:hAnsi="Times New Roman" w:cs="Times New Roman"/>
          <w:sz w:val="24"/>
          <w:szCs w:val="24"/>
          <w:lang w:val="en-US"/>
        </w:rPr>
        <w:endnoteReference w:id="43"/>
      </w:r>
      <w:r w:rsidRPr="00083793">
        <w:rPr>
          <w:rFonts w:ascii="Times New Roman" w:hAnsi="Times New Roman" w:cs="Times New Roman"/>
          <w:sz w:val="24"/>
          <w:szCs w:val="24"/>
          <w:lang w:val="en-US"/>
        </w:rPr>
        <w:t xml:space="preserve"> This is an important step in the right direction, which it is hoped will be taken up, developed, and implemented by Chief Prosecutor Karim Khan during his term of office.</w:t>
      </w:r>
    </w:p>
    <w:p w14:paraId="6A7FFCE3" w14:textId="3C2EF092" w:rsidR="006A3999" w:rsidRPr="00083793" w:rsidRDefault="006A3999" w:rsidP="00016FD4">
      <w:pPr>
        <w:spacing w:after="0" w:line="480" w:lineRule="auto"/>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ab/>
        <w:t xml:space="preserve">Clearly, </w:t>
      </w:r>
      <w:r w:rsidRPr="00083793">
        <w:rPr>
          <w:rFonts w:ascii="Times New Roman" w:hAnsi="Times New Roman" w:cs="Times New Roman"/>
          <w:i/>
          <w:sz w:val="24"/>
          <w:szCs w:val="24"/>
          <w:lang w:val="en-US"/>
        </w:rPr>
        <w:t>Al Mahdi</w:t>
      </w:r>
      <w:r w:rsidRPr="00083793">
        <w:rPr>
          <w:rFonts w:ascii="Times New Roman" w:hAnsi="Times New Roman" w:cs="Times New Roman"/>
          <w:sz w:val="24"/>
          <w:szCs w:val="24"/>
          <w:lang w:val="en-US"/>
        </w:rPr>
        <w:t xml:space="preserve"> constitutes a positive development deserving of recognition. However, it also stands as something of a missed opportunity. While on the one hand the decision to focus the case on a single charge of heritage destruction highlighted the role of international criminal law in this area, it failed to fully account for and present the broader context in which the destruction of the mausoleums took place. The charge against </w:t>
      </w:r>
      <w:r w:rsidR="00E76F4E">
        <w:rPr>
          <w:rFonts w:ascii="Times New Roman" w:hAnsi="Times New Roman" w:cs="Times New Roman"/>
          <w:sz w:val="24"/>
          <w:szCs w:val="24"/>
          <w:lang w:val="en-US"/>
        </w:rPr>
        <w:t>a</w:t>
      </w:r>
      <w:r w:rsidRPr="00083793">
        <w:rPr>
          <w:rFonts w:ascii="Times New Roman" w:hAnsi="Times New Roman" w:cs="Times New Roman"/>
          <w:sz w:val="24"/>
          <w:szCs w:val="24"/>
          <w:lang w:val="en-US"/>
        </w:rPr>
        <w:t>l</w:t>
      </w:r>
      <w:r w:rsidR="00E76F4E">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Mahdi did not make clear that his actions were part of a broader campaign of persecution in which the fundamental rights of the people of Timbuktu were denied. In this respect, the case appeared to deviate from the important advances made in the jurisprudence of the ICTY. </w:t>
      </w:r>
    </w:p>
    <w:p w14:paraId="4B1583B4" w14:textId="52A71789" w:rsidR="006A3999" w:rsidRPr="00083793" w:rsidRDefault="006A3999" w:rsidP="00A02D5C">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 xml:space="preserve">The decision not to charge </w:t>
      </w:r>
      <w:r w:rsidR="00547353">
        <w:rPr>
          <w:rFonts w:ascii="Times New Roman" w:hAnsi="Times New Roman" w:cs="Times New Roman"/>
          <w:sz w:val="24"/>
          <w:szCs w:val="24"/>
          <w:lang w:val="en-US"/>
        </w:rPr>
        <w:t>him</w:t>
      </w:r>
      <w:r w:rsidRPr="00083793">
        <w:rPr>
          <w:rFonts w:ascii="Times New Roman" w:hAnsi="Times New Roman" w:cs="Times New Roman"/>
          <w:sz w:val="24"/>
          <w:szCs w:val="24"/>
          <w:lang w:val="en-US"/>
        </w:rPr>
        <w:t xml:space="preserve"> with the crime against humanity of persecution, or any other </w:t>
      </w:r>
      <w:r w:rsidR="009F7085">
        <w:rPr>
          <w:rFonts w:ascii="Times New Roman" w:hAnsi="Times New Roman" w:cs="Times New Roman"/>
          <w:sz w:val="24"/>
          <w:szCs w:val="24"/>
          <w:lang w:val="en-US"/>
        </w:rPr>
        <w:t>offense</w:t>
      </w:r>
      <w:r w:rsidRPr="00083793">
        <w:rPr>
          <w:rFonts w:ascii="Times New Roman" w:hAnsi="Times New Roman" w:cs="Times New Roman"/>
          <w:sz w:val="24"/>
          <w:szCs w:val="24"/>
          <w:lang w:val="en-US"/>
        </w:rPr>
        <w:t xml:space="preserve">, was necessarily a conscious one. It is entirely conceivable that limiting the charges against </w:t>
      </w:r>
      <w:r w:rsidR="00547353">
        <w:rPr>
          <w:rFonts w:ascii="Times New Roman" w:hAnsi="Times New Roman" w:cs="Times New Roman"/>
          <w:sz w:val="24"/>
          <w:szCs w:val="24"/>
          <w:lang w:val="en-US"/>
        </w:rPr>
        <w:t>a</w:t>
      </w:r>
      <w:r w:rsidRPr="00083793">
        <w:rPr>
          <w:rFonts w:ascii="Times New Roman" w:hAnsi="Times New Roman" w:cs="Times New Roman"/>
          <w:sz w:val="24"/>
          <w:szCs w:val="24"/>
          <w:lang w:val="en-US"/>
        </w:rPr>
        <w:t>l</w:t>
      </w:r>
      <w:r w:rsidR="00547353">
        <w:rPr>
          <w:rFonts w:ascii="Times New Roman" w:hAnsi="Times New Roman" w:cs="Times New Roman"/>
          <w:sz w:val="24"/>
          <w:szCs w:val="24"/>
          <w:lang w:val="en-US"/>
        </w:rPr>
        <w:t>-</w:t>
      </w:r>
      <w:r w:rsidRPr="00083793">
        <w:rPr>
          <w:rFonts w:ascii="Times New Roman" w:hAnsi="Times New Roman" w:cs="Times New Roman"/>
          <w:sz w:val="24"/>
          <w:szCs w:val="24"/>
          <w:lang w:val="en-US"/>
        </w:rPr>
        <w:t>Mahdi was a purely pragmatic decision on the part of the Office of the Prosecutor</w:t>
      </w:r>
      <w:r w:rsidR="00547353">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w:t>
      </w:r>
      <w:r w:rsidR="00547353">
        <w:rPr>
          <w:rFonts w:ascii="Times New Roman" w:hAnsi="Times New Roman" w:cs="Times New Roman"/>
          <w:sz w:val="24"/>
          <w:szCs w:val="24"/>
          <w:lang w:val="en-US"/>
        </w:rPr>
        <w:t xml:space="preserve">which </w:t>
      </w:r>
      <w:r w:rsidRPr="00083793">
        <w:rPr>
          <w:rFonts w:ascii="Times New Roman" w:hAnsi="Times New Roman" w:cs="Times New Roman"/>
          <w:sz w:val="24"/>
          <w:szCs w:val="24"/>
          <w:lang w:val="en-US"/>
        </w:rPr>
        <w:t xml:space="preserve">viewed the case as a stepping-stone to prosecuting further cases arising from the situation in Mali. The commencement in 2020 of proceedings against </w:t>
      </w:r>
      <w:r w:rsidR="005442A0">
        <w:rPr>
          <w:rFonts w:ascii="Times New Roman" w:hAnsi="Times New Roman" w:cs="Times New Roman"/>
          <w:sz w:val="24"/>
          <w:szCs w:val="24"/>
          <w:lang w:val="en-US"/>
        </w:rPr>
        <w:t>a</w:t>
      </w:r>
      <w:r w:rsidRPr="00083793">
        <w:rPr>
          <w:rFonts w:ascii="Times New Roman" w:hAnsi="Times New Roman" w:cs="Times New Roman"/>
          <w:sz w:val="24"/>
          <w:szCs w:val="24"/>
          <w:lang w:val="en-US"/>
        </w:rPr>
        <w:t>l</w:t>
      </w:r>
      <w:r w:rsidR="005442A0">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Mahdi’s </w:t>
      </w:r>
      <w:r w:rsidR="00D763A0">
        <w:rPr>
          <w:rFonts w:ascii="Times New Roman" w:hAnsi="Times New Roman" w:cs="Times New Roman"/>
          <w:sz w:val="24"/>
          <w:szCs w:val="24"/>
          <w:lang w:val="en-US"/>
        </w:rPr>
        <w:t>acolyte and</w:t>
      </w:r>
      <w:r w:rsidRPr="00083793">
        <w:rPr>
          <w:rFonts w:ascii="Times New Roman" w:hAnsi="Times New Roman" w:cs="Times New Roman"/>
          <w:sz w:val="24"/>
          <w:szCs w:val="24"/>
          <w:lang w:val="en-US"/>
        </w:rPr>
        <w:t xml:space="preserve"> former chief of </w:t>
      </w:r>
      <w:r w:rsidRPr="00A02D5C">
        <w:rPr>
          <w:rFonts w:ascii="Times New Roman" w:hAnsi="Times New Roman" w:cs="Times New Roman"/>
          <w:iCs/>
          <w:sz w:val="24"/>
          <w:szCs w:val="24"/>
          <w:lang w:val="en-US"/>
        </w:rPr>
        <w:t>Ansar Dine’s</w:t>
      </w:r>
      <w:r w:rsidRPr="00083793">
        <w:rPr>
          <w:rFonts w:ascii="Times New Roman" w:hAnsi="Times New Roman" w:cs="Times New Roman"/>
          <w:i/>
          <w:sz w:val="24"/>
          <w:szCs w:val="24"/>
          <w:lang w:val="en-US"/>
        </w:rPr>
        <w:t xml:space="preserve"> </w:t>
      </w:r>
      <w:r w:rsidRPr="00083793">
        <w:rPr>
          <w:rFonts w:ascii="Times New Roman" w:hAnsi="Times New Roman" w:cs="Times New Roman"/>
          <w:sz w:val="24"/>
          <w:szCs w:val="24"/>
          <w:lang w:val="en-US"/>
        </w:rPr>
        <w:t>Islamic police</w:t>
      </w:r>
      <w:r w:rsidR="00570729">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w:t>
      </w:r>
      <w:r w:rsidR="00D763A0">
        <w:rPr>
          <w:rFonts w:ascii="Times New Roman" w:hAnsi="Times New Roman" w:cs="Times New Roman"/>
          <w:sz w:val="24"/>
          <w:szCs w:val="24"/>
          <w:lang w:val="en-US"/>
        </w:rPr>
        <w:t>a</w:t>
      </w:r>
      <w:r w:rsidRPr="00083793">
        <w:rPr>
          <w:rFonts w:ascii="Times New Roman" w:hAnsi="Times New Roman" w:cs="Times New Roman"/>
          <w:sz w:val="24"/>
          <w:szCs w:val="24"/>
          <w:lang w:val="en-US"/>
        </w:rPr>
        <w:t>l</w:t>
      </w:r>
      <w:r w:rsidR="00D763A0">
        <w:rPr>
          <w:rFonts w:ascii="Times New Roman" w:hAnsi="Times New Roman" w:cs="Times New Roman"/>
          <w:sz w:val="24"/>
          <w:szCs w:val="24"/>
          <w:lang w:val="en-US"/>
        </w:rPr>
        <w:t>-</w:t>
      </w:r>
      <w:r w:rsidRPr="00083793">
        <w:rPr>
          <w:rFonts w:ascii="Times New Roman" w:hAnsi="Times New Roman" w:cs="Times New Roman"/>
          <w:sz w:val="24"/>
          <w:szCs w:val="24"/>
          <w:lang w:val="en-US"/>
        </w:rPr>
        <w:t>Hassan Ag Abdoul Aziz</w:t>
      </w:r>
      <w:r w:rsidR="00570729">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tends to lend credence to this conclusion. In contrast with </w:t>
      </w:r>
      <w:r w:rsidR="00F30749">
        <w:rPr>
          <w:rFonts w:ascii="Times New Roman" w:hAnsi="Times New Roman" w:cs="Times New Roman"/>
          <w:sz w:val="24"/>
          <w:szCs w:val="24"/>
          <w:lang w:val="en-US"/>
        </w:rPr>
        <w:t>the former</w:t>
      </w:r>
      <w:r w:rsidRPr="00083793">
        <w:rPr>
          <w:rFonts w:ascii="Times New Roman" w:hAnsi="Times New Roman" w:cs="Times New Roman"/>
          <w:sz w:val="24"/>
          <w:szCs w:val="24"/>
          <w:lang w:val="en-US"/>
        </w:rPr>
        <w:t xml:space="preserve">, </w:t>
      </w:r>
      <w:r w:rsidR="00F30749">
        <w:rPr>
          <w:rFonts w:ascii="Times New Roman" w:hAnsi="Times New Roman" w:cs="Times New Roman"/>
          <w:sz w:val="24"/>
          <w:szCs w:val="24"/>
          <w:lang w:val="en-US"/>
        </w:rPr>
        <w:t>a</w:t>
      </w:r>
      <w:r w:rsidRPr="00083793">
        <w:rPr>
          <w:rFonts w:ascii="Times New Roman" w:hAnsi="Times New Roman" w:cs="Times New Roman"/>
          <w:sz w:val="24"/>
          <w:szCs w:val="24"/>
          <w:lang w:val="en-US"/>
        </w:rPr>
        <w:t>l</w:t>
      </w:r>
      <w:r w:rsidR="00F30749">
        <w:rPr>
          <w:rFonts w:ascii="Times New Roman" w:hAnsi="Times New Roman" w:cs="Times New Roman"/>
          <w:sz w:val="24"/>
          <w:szCs w:val="24"/>
          <w:lang w:val="en-US"/>
        </w:rPr>
        <w:t>-</w:t>
      </w:r>
      <w:r w:rsidRPr="00083793">
        <w:rPr>
          <w:rFonts w:ascii="Times New Roman" w:hAnsi="Times New Roman" w:cs="Times New Roman"/>
          <w:sz w:val="24"/>
          <w:szCs w:val="24"/>
          <w:lang w:val="en-US"/>
        </w:rPr>
        <w:t>Hassan is on trial for multiple counts of war crimes and crimes against humanity, includ</w:t>
      </w:r>
      <w:r w:rsidR="00570729">
        <w:rPr>
          <w:rFonts w:ascii="Times New Roman" w:hAnsi="Times New Roman" w:cs="Times New Roman"/>
          <w:sz w:val="24"/>
          <w:szCs w:val="24"/>
          <w:lang w:val="en-US"/>
        </w:rPr>
        <w:t>ing</w:t>
      </w:r>
      <w:r w:rsidRPr="00083793">
        <w:rPr>
          <w:rFonts w:ascii="Times New Roman" w:hAnsi="Times New Roman" w:cs="Times New Roman"/>
          <w:sz w:val="24"/>
          <w:szCs w:val="24"/>
          <w:lang w:val="en-US"/>
        </w:rPr>
        <w:t xml:space="preserve"> the destruction of the mausoleums. Most significantly, he is facing charges of religious and gender-based persecution as a crime against humanity under Article 7 of the Rome Statute. Central to these charges is evidence relating not only to the destruction of the mausoleums, but also evidence that addresses the wider policies of </w:t>
      </w:r>
      <w:r w:rsidRPr="00A02D5C">
        <w:rPr>
          <w:rFonts w:ascii="Times New Roman" w:hAnsi="Times New Roman" w:cs="Times New Roman"/>
          <w:iCs/>
          <w:sz w:val="24"/>
          <w:szCs w:val="24"/>
          <w:lang w:val="en-US"/>
        </w:rPr>
        <w:t>Ansar Dine</w:t>
      </w:r>
      <w:r w:rsidRPr="00083793">
        <w:rPr>
          <w:rFonts w:ascii="Times New Roman" w:hAnsi="Times New Roman" w:cs="Times New Roman"/>
          <w:i/>
          <w:sz w:val="24"/>
          <w:szCs w:val="24"/>
          <w:lang w:val="en-US"/>
        </w:rPr>
        <w:t xml:space="preserve"> </w:t>
      </w:r>
      <w:r w:rsidRPr="00083793">
        <w:rPr>
          <w:rFonts w:ascii="Times New Roman" w:hAnsi="Times New Roman" w:cs="Times New Roman"/>
          <w:sz w:val="24"/>
          <w:szCs w:val="24"/>
          <w:lang w:val="en-US"/>
        </w:rPr>
        <w:t xml:space="preserve">that targeted the cultural heritage of the people of Timbuktu. In this respect, the Office of the Prosecutor is arguing that </w:t>
      </w:r>
      <w:r w:rsidRPr="00A02D5C">
        <w:rPr>
          <w:rFonts w:ascii="Times New Roman" w:hAnsi="Times New Roman" w:cs="Times New Roman"/>
          <w:iCs/>
          <w:sz w:val="24"/>
          <w:szCs w:val="24"/>
          <w:lang w:val="en-US"/>
        </w:rPr>
        <w:t>Ansar Dine’s</w:t>
      </w:r>
      <w:r w:rsidRPr="00083793">
        <w:rPr>
          <w:rFonts w:ascii="Times New Roman" w:hAnsi="Times New Roman" w:cs="Times New Roman"/>
          <w:i/>
          <w:sz w:val="24"/>
          <w:szCs w:val="24"/>
          <w:lang w:val="en-US"/>
        </w:rPr>
        <w:t xml:space="preserve"> </w:t>
      </w:r>
      <w:r w:rsidRPr="00083793">
        <w:rPr>
          <w:rFonts w:ascii="Times New Roman" w:hAnsi="Times New Roman" w:cs="Times New Roman"/>
          <w:sz w:val="24"/>
          <w:szCs w:val="24"/>
          <w:lang w:val="en-US"/>
        </w:rPr>
        <w:t xml:space="preserve">persecution of the </w:t>
      </w:r>
      <w:r w:rsidR="00BC36A7">
        <w:rPr>
          <w:rFonts w:ascii="Times New Roman" w:hAnsi="Times New Roman" w:cs="Times New Roman"/>
          <w:sz w:val="24"/>
          <w:szCs w:val="24"/>
          <w:lang w:val="en-US"/>
        </w:rPr>
        <w:t xml:space="preserve">city’s </w:t>
      </w:r>
      <w:r w:rsidRPr="00083793">
        <w:rPr>
          <w:rFonts w:ascii="Times New Roman" w:hAnsi="Times New Roman" w:cs="Times New Roman"/>
          <w:sz w:val="24"/>
          <w:szCs w:val="24"/>
          <w:lang w:val="en-US"/>
        </w:rPr>
        <w:t xml:space="preserve">civilian population included the denial of access to and participation in traditional forms of worship (including forms of prayer and religious festivals), singing and even listening to music, dress (including wearing amulets and talismans), and the imposition of a system of single-sex education based on </w:t>
      </w:r>
      <w:r w:rsidR="005719A3" w:rsidRPr="00A02D5C">
        <w:rPr>
          <w:rFonts w:ascii="Times New Roman" w:hAnsi="Times New Roman" w:cs="Times New Roman"/>
          <w:iCs/>
          <w:sz w:val="24"/>
          <w:szCs w:val="24"/>
          <w:lang w:val="en-US"/>
        </w:rPr>
        <w:t>the group’s</w:t>
      </w:r>
      <w:r w:rsidRPr="00A02D5C">
        <w:rPr>
          <w:rFonts w:ascii="Times New Roman" w:hAnsi="Times New Roman" w:cs="Times New Roman"/>
          <w:iCs/>
          <w:sz w:val="24"/>
          <w:szCs w:val="24"/>
          <w:lang w:val="en-US"/>
        </w:rPr>
        <w:t xml:space="preserve"> </w:t>
      </w:r>
      <w:r w:rsidR="003932B7">
        <w:rPr>
          <w:rFonts w:ascii="Times New Roman" w:hAnsi="Times New Roman" w:cs="Times New Roman"/>
          <w:sz w:val="24"/>
          <w:szCs w:val="24"/>
          <w:lang w:val="en-US"/>
        </w:rPr>
        <w:t>S</w:t>
      </w:r>
      <w:r w:rsidRPr="00083793">
        <w:rPr>
          <w:rFonts w:ascii="Times New Roman" w:hAnsi="Times New Roman" w:cs="Times New Roman"/>
          <w:sz w:val="24"/>
          <w:szCs w:val="24"/>
          <w:lang w:val="en-US"/>
        </w:rPr>
        <w:t>alafist ideology.</w:t>
      </w:r>
      <w:r w:rsidRPr="00083793">
        <w:rPr>
          <w:rStyle w:val="EndnoteReference"/>
          <w:rFonts w:ascii="Times New Roman" w:hAnsi="Times New Roman" w:cs="Times New Roman"/>
          <w:sz w:val="24"/>
          <w:szCs w:val="24"/>
          <w:lang w:val="en-US"/>
        </w:rPr>
        <w:endnoteReference w:id="44"/>
      </w:r>
      <w:r w:rsidRPr="00083793">
        <w:rPr>
          <w:rFonts w:ascii="Times New Roman" w:hAnsi="Times New Roman" w:cs="Times New Roman"/>
          <w:sz w:val="24"/>
          <w:szCs w:val="24"/>
          <w:lang w:val="en-US"/>
        </w:rPr>
        <w:t xml:space="preserve"> </w:t>
      </w:r>
    </w:p>
    <w:p w14:paraId="136A782B" w14:textId="1E6274BA" w:rsidR="006A3999" w:rsidRPr="00083793" w:rsidRDefault="006A3999" w:rsidP="00A02D5C">
      <w:pPr>
        <w:spacing w:after="0" w:line="480" w:lineRule="auto"/>
        <w:ind w:firstLine="72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The case has the potential to be of seminal importance in the history of international criminal law. In addition to opening up space for the prosecution of intangible cultural heritage destruction, thus broadening international criminal law’s appreciation of cultural heritage’s implicit diversity, it is also the first case in the history of international criminal law addressing gender-based persecution.</w:t>
      </w:r>
      <w:r w:rsidRPr="00083793">
        <w:rPr>
          <w:rStyle w:val="EndnoteReference"/>
          <w:rFonts w:ascii="Times New Roman" w:hAnsi="Times New Roman" w:cs="Times New Roman"/>
          <w:sz w:val="24"/>
          <w:szCs w:val="24"/>
          <w:lang w:val="en-US"/>
        </w:rPr>
        <w:endnoteReference w:id="45"/>
      </w:r>
      <w:r w:rsidRPr="00083793">
        <w:rPr>
          <w:rFonts w:ascii="Times New Roman" w:hAnsi="Times New Roman" w:cs="Times New Roman"/>
          <w:sz w:val="24"/>
          <w:szCs w:val="24"/>
          <w:lang w:val="en-US"/>
        </w:rPr>
        <w:t xml:space="preserve"> In constructing a charge of religious and gender-based persecution around evidence of the destruction of tangible and intangible cultural heritage, the Office of the Prosecutor is recognizing the inherent intersectionality of heritage destruction with different forms of discrimination. The narrative of the case presents the religious persecution as occurring against the civilian population of Timbuktu who did not subscribe to </w:t>
      </w:r>
      <w:r w:rsidRPr="00A02D5C">
        <w:rPr>
          <w:rFonts w:ascii="Times New Roman" w:hAnsi="Times New Roman" w:cs="Times New Roman"/>
          <w:iCs/>
          <w:sz w:val="24"/>
          <w:szCs w:val="24"/>
          <w:lang w:val="en-US"/>
        </w:rPr>
        <w:t>Ansar Dine’s</w:t>
      </w:r>
      <w:r w:rsidRPr="00083793">
        <w:rPr>
          <w:rFonts w:ascii="Times New Roman" w:hAnsi="Times New Roman" w:cs="Times New Roman"/>
          <w:i/>
          <w:sz w:val="24"/>
          <w:szCs w:val="24"/>
          <w:lang w:val="en-US"/>
        </w:rPr>
        <w:t xml:space="preserve"> </w:t>
      </w:r>
      <w:r w:rsidRPr="00083793">
        <w:rPr>
          <w:rFonts w:ascii="Times New Roman" w:hAnsi="Times New Roman" w:cs="Times New Roman"/>
          <w:sz w:val="24"/>
          <w:szCs w:val="24"/>
          <w:lang w:val="en-US"/>
        </w:rPr>
        <w:t xml:space="preserve">ideology. However, the inclusion of gender-based persecution </w:t>
      </w:r>
      <w:r w:rsidR="00250461">
        <w:rPr>
          <w:rFonts w:ascii="Times New Roman" w:hAnsi="Times New Roman" w:cs="Times New Roman"/>
          <w:sz w:val="24"/>
          <w:szCs w:val="24"/>
          <w:lang w:val="en-US"/>
        </w:rPr>
        <w:t>represents how</w:t>
      </w:r>
      <w:r w:rsidRPr="00083793">
        <w:rPr>
          <w:rFonts w:ascii="Times New Roman" w:hAnsi="Times New Roman" w:cs="Times New Roman"/>
          <w:sz w:val="24"/>
          <w:szCs w:val="24"/>
          <w:lang w:val="en-US"/>
        </w:rPr>
        <w:t xml:space="preserve"> women and girls </w:t>
      </w:r>
      <w:r w:rsidR="00AF2543">
        <w:rPr>
          <w:rFonts w:ascii="Times New Roman" w:hAnsi="Times New Roman" w:cs="Times New Roman"/>
          <w:sz w:val="24"/>
          <w:szCs w:val="24"/>
          <w:lang w:val="en-US"/>
        </w:rPr>
        <w:t>in</w:t>
      </w:r>
      <w:r w:rsidR="00AF2543" w:rsidRPr="00083793">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 xml:space="preserve">Timbuktu were </w:t>
      </w:r>
      <w:r w:rsidR="00250461">
        <w:rPr>
          <w:rFonts w:ascii="Times New Roman" w:hAnsi="Times New Roman" w:cs="Times New Roman"/>
          <w:sz w:val="24"/>
          <w:szCs w:val="24"/>
          <w:lang w:val="en-US"/>
        </w:rPr>
        <w:t xml:space="preserve">also </w:t>
      </w:r>
      <w:r w:rsidRPr="00083793">
        <w:rPr>
          <w:rFonts w:ascii="Times New Roman" w:hAnsi="Times New Roman" w:cs="Times New Roman"/>
          <w:sz w:val="24"/>
          <w:szCs w:val="24"/>
          <w:lang w:val="en-US"/>
        </w:rPr>
        <w:t xml:space="preserve">persecuted on account of their gender and nonconformity with </w:t>
      </w:r>
      <w:r w:rsidR="00445B2A">
        <w:rPr>
          <w:rFonts w:ascii="Times New Roman" w:hAnsi="Times New Roman" w:cs="Times New Roman"/>
          <w:iCs/>
          <w:sz w:val="24"/>
          <w:szCs w:val="24"/>
          <w:lang w:val="en-US"/>
        </w:rPr>
        <w:t xml:space="preserve">the group’s </w:t>
      </w:r>
      <w:r w:rsidRPr="00083793">
        <w:rPr>
          <w:rFonts w:ascii="Times New Roman" w:hAnsi="Times New Roman" w:cs="Times New Roman"/>
          <w:sz w:val="24"/>
          <w:szCs w:val="24"/>
          <w:lang w:val="en-US"/>
        </w:rPr>
        <w:t xml:space="preserve">brutally misogynistic </w:t>
      </w:r>
      <w:r w:rsidR="00445B2A">
        <w:rPr>
          <w:rFonts w:ascii="Times New Roman" w:hAnsi="Times New Roman" w:cs="Times New Roman"/>
          <w:sz w:val="24"/>
          <w:szCs w:val="24"/>
          <w:lang w:val="en-US"/>
        </w:rPr>
        <w:t>rule</w:t>
      </w:r>
      <w:r w:rsidR="004F7C39">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w:t>
      </w:r>
      <w:r w:rsidR="004F7C39">
        <w:rPr>
          <w:rFonts w:ascii="Times New Roman" w:hAnsi="Times New Roman" w:cs="Times New Roman"/>
          <w:sz w:val="24"/>
          <w:szCs w:val="24"/>
          <w:lang w:val="en-US"/>
        </w:rPr>
        <w:t xml:space="preserve">they </w:t>
      </w:r>
      <w:r w:rsidRPr="00083793">
        <w:rPr>
          <w:rFonts w:ascii="Times New Roman" w:hAnsi="Times New Roman" w:cs="Times New Roman"/>
          <w:sz w:val="24"/>
          <w:szCs w:val="24"/>
          <w:lang w:val="en-US"/>
        </w:rPr>
        <w:t>were doubly persecuted, and the destruction of tangible and intangible cultural heritage was central to both forms of persecution.</w:t>
      </w:r>
    </w:p>
    <w:p w14:paraId="7690D30C" w14:textId="38A68DAD" w:rsidR="006A3999" w:rsidRPr="00083793" w:rsidRDefault="006A3999" w:rsidP="00016FD4">
      <w:pPr>
        <w:spacing w:after="0" w:line="480" w:lineRule="auto"/>
        <w:ind w:firstLine="360"/>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 xml:space="preserve">The </w:t>
      </w:r>
      <w:r w:rsidRPr="00083793">
        <w:rPr>
          <w:rFonts w:ascii="Times New Roman" w:hAnsi="Times New Roman" w:cs="Times New Roman"/>
          <w:i/>
          <w:sz w:val="24"/>
          <w:szCs w:val="24"/>
          <w:lang w:val="en-US"/>
        </w:rPr>
        <w:t xml:space="preserve">Al Mahdi </w:t>
      </w:r>
      <w:r w:rsidRPr="00083793">
        <w:rPr>
          <w:rFonts w:ascii="Times New Roman" w:hAnsi="Times New Roman" w:cs="Times New Roman"/>
          <w:sz w:val="24"/>
          <w:szCs w:val="24"/>
          <w:lang w:val="en-US"/>
        </w:rPr>
        <w:t xml:space="preserve">and </w:t>
      </w:r>
      <w:r w:rsidRPr="00083793">
        <w:rPr>
          <w:rFonts w:ascii="Times New Roman" w:hAnsi="Times New Roman" w:cs="Times New Roman"/>
          <w:i/>
          <w:sz w:val="24"/>
          <w:szCs w:val="24"/>
          <w:lang w:val="en-US"/>
        </w:rPr>
        <w:t>Al Has</w:t>
      </w:r>
      <w:r w:rsidR="00317BA0">
        <w:rPr>
          <w:rFonts w:ascii="Times New Roman" w:hAnsi="Times New Roman" w:cs="Times New Roman"/>
          <w:i/>
          <w:sz w:val="24"/>
          <w:szCs w:val="24"/>
          <w:lang w:val="en-US"/>
        </w:rPr>
        <w:t>s</w:t>
      </w:r>
      <w:r w:rsidRPr="00083793">
        <w:rPr>
          <w:rFonts w:ascii="Times New Roman" w:hAnsi="Times New Roman" w:cs="Times New Roman"/>
          <w:i/>
          <w:sz w:val="24"/>
          <w:szCs w:val="24"/>
          <w:lang w:val="en-US"/>
        </w:rPr>
        <w:t xml:space="preserve">an </w:t>
      </w:r>
      <w:r w:rsidRPr="00083793">
        <w:rPr>
          <w:rFonts w:ascii="Times New Roman" w:hAnsi="Times New Roman" w:cs="Times New Roman"/>
          <w:sz w:val="24"/>
          <w:szCs w:val="24"/>
          <w:lang w:val="en-US"/>
        </w:rPr>
        <w:t xml:space="preserve">cases allow for reasonable optimism that, like the ICTY, the ICC is on the road to constructing an important legacy with respect to accountability for heritage destruction. However, given the pace of proceedings, the limited capacity of the </w:t>
      </w:r>
      <w:r w:rsidR="00370B86">
        <w:rPr>
          <w:rFonts w:ascii="Times New Roman" w:hAnsi="Times New Roman" w:cs="Times New Roman"/>
          <w:sz w:val="24"/>
          <w:szCs w:val="24"/>
          <w:lang w:val="en-US"/>
        </w:rPr>
        <w:t>c</w:t>
      </w:r>
      <w:r w:rsidRPr="00083793">
        <w:rPr>
          <w:rFonts w:ascii="Times New Roman" w:hAnsi="Times New Roman" w:cs="Times New Roman"/>
          <w:sz w:val="24"/>
          <w:szCs w:val="24"/>
          <w:lang w:val="en-US"/>
        </w:rPr>
        <w:t xml:space="preserve">ourt, and increasing state ambivalence with respect to international criminal justice mechanisms, it would be naïve to expect the ICC to carry the weight of delivering global accountability for heritage destruction. </w:t>
      </w:r>
      <w:r w:rsidR="00A14A4F">
        <w:rPr>
          <w:rFonts w:ascii="Times New Roman" w:hAnsi="Times New Roman" w:cs="Times New Roman"/>
          <w:sz w:val="24"/>
          <w:szCs w:val="24"/>
          <w:lang w:val="en-US"/>
        </w:rPr>
        <w:t>It</w:t>
      </w:r>
      <w:r w:rsidRPr="00083793">
        <w:rPr>
          <w:rFonts w:ascii="Times New Roman" w:hAnsi="Times New Roman" w:cs="Times New Roman"/>
          <w:sz w:val="24"/>
          <w:szCs w:val="24"/>
          <w:lang w:val="en-US"/>
        </w:rPr>
        <w:t xml:space="preserve"> certainly has a role to play in ending impunity for heritage destruction, </w:t>
      </w:r>
      <w:r w:rsidR="00FB48F7">
        <w:rPr>
          <w:rFonts w:ascii="Times New Roman" w:hAnsi="Times New Roman" w:cs="Times New Roman"/>
          <w:sz w:val="24"/>
          <w:szCs w:val="24"/>
          <w:lang w:val="en-US"/>
        </w:rPr>
        <w:t>but</w:t>
      </w:r>
      <w:r w:rsidRPr="00083793">
        <w:rPr>
          <w:rFonts w:ascii="Times New Roman" w:hAnsi="Times New Roman" w:cs="Times New Roman"/>
          <w:sz w:val="24"/>
          <w:szCs w:val="24"/>
          <w:lang w:val="en-US"/>
        </w:rPr>
        <w:t xml:space="preserve"> </w:t>
      </w:r>
      <w:r w:rsidR="00FB48F7">
        <w:rPr>
          <w:rFonts w:ascii="Times New Roman" w:hAnsi="Times New Roman" w:cs="Times New Roman"/>
          <w:sz w:val="24"/>
          <w:szCs w:val="24"/>
          <w:lang w:val="en-US"/>
        </w:rPr>
        <w:t xml:space="preserve">this </w:t>
      </w:r>
      <w:r w:rsidRPr="00083793">
        <w:rPr>
          <w:rFonts w:ascii="Times New Roman" w:hAnsi="Times New Roman" w:cs="Times New Roman"/>
          <w:sz w:val="24"/>
          <w:szCs w:val="24"/>
          <w:lang w:val="en-US"/>
        </w:rPr>
        <w:t>must be considered as but one element of the global response to this issue.</w:t>
      </w:r>
    </w:p>
    <w:p w14:paraId="2CFD73DD" w14:textId="77777777" w:rsidR="006A3999" w:rsidRPr="00083793" w:rsidRDefault="006A3999" w:rsidP="00016FD4">
      <w:pPr>
        <w:spacing w:after="0" w:line="480" w:lineRule="auto"/>
        <w:contextualSpacing/>
        <w:rPr>
          <w:rFonts w:ascii="Times New Roman" w:hAnsi="Times New Roman" w:cs="Times New Roman"/>
          <w:b/>
          <w:sz w:val="24"/>
          <w:szCs w:val="24"/>
          <w:lang w:val="en-US"/>
        </w:rPr>
      </w:pPr>
    </w:p>
    <w:p w14:paraId="1252AC8C" w14:textId="77777777" w:rsidR="006A3999" w:rsidRPr="00083793" w:rsidRDefault="006A3999" w:rsidP="00A02D5C">
      <w:pPr>
        <w:pStyle w:val="Heading2"/>
        <w:rPr>
          <w:lang w:val="en-US"/>
        </w:rPr>
      </w:pPr>
      <w:r w:rsidRPr="00083793">
        <w:rPr>
          <w:lang w:val="en-US"/>
        </w:rPr>
        <w:t>Conclusion</w:t>
      </w:r>
    </w:p>
    <w:p w14:paraId="08B22060" w14:textId="6F3ED2DC" w:rsidR="006A3999" w:rsidRPr="00083793" w:rsidRDefault="006A3999" w:rsidP="00016FD4">
      <w:pPr>
        <w:spacing w:after="0" w:line="480" w:lineRule="auto"/>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 xml:space="preserve">Since the </w:t>
      </w:r>
      <w:r w:rsidR="00026D89">
        <w:rPr>
          <w:rFonts w:ascii="Times New Roman" w:hAnsi="Times New Roman" w:cs="Times New Roman"/>
          <w:sz w:val="24"/>
          <w:szCs w:val="24"/>
          <w:lang w:val="en-US"/>
        </w:rPr>
        <w:t>concept</w:t>
      </w:r>
      <w:r w:rsidRPr="00083793">
        <w:rPr>
          <w:rFonts w:ascii="Times New Roman" w:hAnsi="Times New Roman" w:cs="Times New Roman"/>
          <w:sz w:val="24"/>
          <w:szCs w:val="24"/>
          <w:lang w:val="en-US"/>
        </w:rPr>
        <w:t xml:space="preserve"> of individual criminal responsibility for the commission of international crimes took root over a century ago, international criminal law has played an important role in documenting and holding to account those most responsible for </w:t>
      </w:r>
      <w:r w:rsidR="00AC5E90">
        <w:rPr>
          <w:rFonts w:ascii="Times New Roman" w:hAnsi="Times New Roman" w:cs="Times New Roman"/>
          <w:sz w:val="24"/>
          <w:szCs w:val="24"/>
          <w:lang w:val="en-US"/>
        </w:rPr>
        <w:t xml:space="preserve">cultural </w:t>
      </w:r>
      <w:r w:rsidRPr="00083793">
        <w:rPr>
          <w:rFonts w:ascii="Times New Roman" w:hAnsi="Times New Roman" w:cs="Times New Roman"/>
          <w:sz w:val="24"/>
          <w:szCs w:val="24"/>
          <w:lang w:val="en-US"/>
        </w:rPr>
        <w:t>heritage destruction. The resulting jurisprudence has led to the progressive development of the law and has been a notable component in the emergence of the distinct body of international cultural heritage law. From Nuremberg to the ICC, international criminal law has recognized that the harm inflicted by heritage destruction is far from purely material, but rather exists on a spectrum of harm that has a profound impact on the spiritual and mental well</w:t>
      </w:r>
      <w:r w:rsidR="006F333A">
        <w:rPr>
          <w:rFonts w:ascii="Times New Roman" w:hAnsi="Times New Roman" w:cs="Times New Roman"/>
          <w:sz w:val="24"/>
          <w:szCs w:val="24"/>
          <w:lang w:val="en-US"/>
        </w:rPr>
        <w:t>-</w:t>
      </w:r>
      <w:r w:rsidRPr="00083793">
        <w:rPr>
          <w:rFonts w:ascii="Times New Roman" w:hAnsi="Times New Roman" w:cs="Times New Roman"/>
          <w:sz w:val="24"/>
          <w:szCs w:val="24"/>
          <w:lang w:val="en-US"/>
        </w:rPr>
        <w:t>being of people on an individual and collective level. Numerous seminal cases have highlighted the link between heritage destruction and crimes against humanity, and while states have rejected the notion of cultural genocide, evidence of heritage destruction has been used as a means of proving genocidal intent. Perhaps most significantly, the prosecution of heritage destruction before international criminal courts has underlined the universal values that are eroded when heritage is targeted. Heritage destruction is an affront to the dignity and identity of those most immediately affected by it</w:t>
      </w:r>
      <w:r w:rsidR="001E189B">
        <w:rPr>
          <w:rFonts w:ascii="Times New Roman" w:hAnsi="Times New Roman" w:cs="Times New Roman"/>
          <w:sz w:val="24"/>
          <w:szCs w:val="24"/>
          <w:lang w:val="en-US"/>
        </w:rPr>
        <w:t xml:space="preserve"> and </w:t>
      </w:r>
      <w:r w:rsidRPr="00083793">
        <w:rPr>
          <w:rFonts w:ascii="Times New Roman" w:hAnsi="Times New Roman" w:cs="Times New Roman"/>
          <w:sz w:val="24"/>
          <w:szCs w:val="24"/>
          <w:lang w:val="en-US"/>
        </w:rPr>
        <w:t xml:space="preserve">constitutes a stain on the very notion of humanity. </w:t>
      </w:r>
    </w:p>
    <w:p w14:paraId="3490A81E" w14:textId="125A1A78" w:rsidR="006A3999" w:rsidRDefault="006A3999" w:rsidP="00016FD4">
      <w:pPr>
        <w:spacing w:after="0" w:line="480" w:lineRule="auto"/>
        <w:contextualSpacing/>
        <w:rPr>
          <w:rFonts w:ascii="Times New Roman" w:hAnsi="Times New Roman" w:cs="Times New Roman"/>
          <w:sz w:val="24"/>
          <w:szCs w:val="24"/>
          <w:lang w:val="en-US"/>
        </w:rPr>
      </w:pPr>
      <w:r w:rsidRPr="00083793">
        <w:rPr>
          <w:rFonts w:ascii="Times New Roman" w:hAnsi="Times New Roman" w:cs="Times New Roman"/>
          <w:sz w:val="24"/>
          <w:szCs w:val="24"/>
          <w:lang w:val="en-US"/>
        </w:rPr>
        <w:tab/>
        <w:t xml:space="preserve">With the burgeoning case law of the ICC, there is cause for optimism that international criminal </w:t>
      </w:r>
      <w:r w:rsidR="00D97257">
        <w:rPr>
          <w:rFonts w:ascii="Times New Roman" w:hAnsi="Times New Roman" w:cs="Times New Roman"/>
          <w:sz w:val="24"/>
          <w:szCs w:val="24"/>
          <w:lang w:val="en-US"/>
        </w:rPr>
        <w:t>justice</w:t>
      </w:r>
      <w:r w:rsidR="00D97257" w:rsidRPr="00083793">
        <w:rPr>
          <w:rFonts w:ascii="Times New Roman" w:hAnsi="Times New Roman" w:cs="Times New Roman"/>
          <w:sz w:val="24"/>
          <w:szCs w:val="24"/>
          <w:lang w:val="en-US"/>
        </w:rPr>
        <w:t xml:space="preserve"> </w:t>
      </w:r>
      <w:r w:rsidRPr="00083793">
        <w:rPr>
          <w:rFonts w:ascii="Times New Roman" w:hAnsi="Times New Roman" w:cs="Times New Roman"/>
          <w:sz w:val="24"/>
          <w:szCs w:val="24"/>
          <w:lang w:val="en-US"/>
        </w:rPr>
        <w:t>can continue to pursue accountability for heritage destruction. However, it is imperative that it be seen as a subsidiary, rather than as a primary, means of accountability. The cases prosecuted by international criminal courts should be used as a source of guidance and inspiration to states to ensure that legislation is in place to allow for the prosecution of heritage destruction before domestic courts</w:t>
      </w:r>
      <w:r w:rsidR="00D97257">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the future of accountability for heritage destruction must be before domestic courts in accordance with the Second Protocol to the 1954 Hague Convention. International prosecution can show the way, but it is for states to follow if there is to be meaningful accountability for the scourge that is</w:t>
      </w:r>
      <w:r w:rsidR="00AC5E90">
        <w:rPr>
          <w:rFonts w:ascii="Times New Roman" w:hAnsi="Times New Roman" w:cs="Times New Roman"/>
          <w:sz w:val="24"/>
          <w:szCs w:val="24"/>
          <w:lang w:val="en-US"/>
        </w:rPr>
        <w:t xml:space="preserve"> cultural</w:t>
      </w:r>
      <w:r w:rsidRPr="00083793">
        <w:rPr>
          <w:rFonts w:ascii="Times New Roman" w:hAnsi="Times New Roman" w:cs="Times New Roman"/>
          <w:sz w:val="24"/>
          <w:szCs w:val="24"/>
          <w:lang w:val="en-US"/>
        </w:rPr>
        <w:t xml:space="preserve"> heritage destruction.</w:t>
      </w:r>
    </w:p>
    <w:p w14:paraId="0C560B92" w14:textId="77777777" w:rsidR="00EF205C" w:rsidRPr="00083793" w:rsidRDefault="00EF205C" w:rsidP="00016FD4">
      <w:pPr>
        <w:spacing w:after="0" w:line="480" w:lineRule="auto"/>
        <w:contextualSpacing/>
        <w:rPr>
          <w:rFonts w:ascii="Times New Roman" w:hAnsi="Times New Roman" w:cs="Times New Roman"/>
          <w:sz w:val="24"/>
          <w:szCs w:val="24"/>
          <w:lang w:val="en-US"/>
        </w:rPr>
      </w:pPr>
    </w:p>
    <w:p w14:paraId="6C2EFE72" w14:textId="762AC5AF" w:rsidR="00D9267D" w:rsidRDefault="00016FD4" w:rsidP="00A02D5C">
      <w:pPr>
        <w:pStyle w:val="Heading2"/>
        <w:rPr>
          <w:lang w:val="en-US"/>
        </w:rPr>
      </w:pPr>
      <w:r w:rsidRPr="00A02D5C">
        <w:rPr>
          <w:lang w:val="en-US"/>
        </w:rPr>
        <w:t>Suggested Readings</w:t>
      </w:r>
    </w:p>
    <w:p w14:paraId="0E260A65" w14:textId="0A10E4F8" w:rsidR="00D9267D" w:rsidRDefault="00016FD4" w:rsidP="00A02D5C">
      <w:pPr>
        <w:pStyle w:val="ListParagraph"/>
        <w:spacing w:after="0" w:line="480" w:lineRule="auto"/>
        <w:ind w:left="0"/>
        <w:rPr>
          <w:lang w:val="en-US"/>
        </w:rPr>
      </w:pPr>
      <w:r w:rsidRPr="00083793">
        <w:rPr>
          <w:rFonts w:ascii="Times New Roman" w:hAnsi="Times New Roman" w:cs="Times New Roman"/>
          <w:sz w:val="24"/>
          <w:szCs w:val="24"/>
          <w:lang w:val="en-US"/>
        </w:rPr>
        <w:t>Serge Brammertz</w:t>
      </w:r>
      <w:r w:rsidR="00D94A96">
        <w:rPr>
          <w:rFonts w:ascii="Times New Roman" w:hAnsi="Times New Roman" w:cs="Times New Roman"/>
          <w:sz w:val="24"/>
          <w:szCs w:val="24"/>
          <w:lang w:val="en-US"/>
        </w:rPr>
        <w:t xml:space="preserve">, </w:t>
      </w:r>
      <w:r w:rsidR="00D94A96" w:rsidRPr="00D94A96">
        <w:rPr>
          <w:rFonts w:ascii="Times New Roman" w:hAnsi="Times New Roman" w:cs="Times New Roman"/>
          <w:sz w:val="24"/>
          <w:szCs w:val="24"/>
          <w:lang w:val="en-US"/>
        </w:rPr>
        <w:t xml:space="preserve">Kevin C. Hughes, Alison Kipp, </w:t>
      </w:r>
      <w:r w:rsidR="00613A2B">
        <w:rPr>
          <w:rFonts w:ascii="Times New Roman" w:hAnsi="Times New Roman" w:cs="Times New Roman"/>
          <w:sz w:val="24"/>
          <w:szCs w:val="24"/>
          <w:lang w:val="en-US"/>
        </w:rPr>
        <w:t>and</w:t>
      </w:r>
      <w:r w:rsidR="00D94A96" w:rsidRPr="00D94A96">
        <w:rPr>
          <w:rFonts w:ascii="Times New Roman" w:hAnsi="Times New Roman" w:cs="Times New Roman"/>
          <w:sz w:val="24"/>
          <w:szCs w:val="24"/>
          <w:lang w:val="en-US"/>
        </w:rPr>
        <w:t xml:space="preserve"> William B. Tomljanovich</w:t>
      </w:r>
      <w:r w:rsidRPr="00083793">
        <w:rPr>
          <w:rFonts w:ascii="Times New Roman" w:hAnsi="Times New Roman" w:cs="Times New Roman"/>
          <w:sz w:val="24"/>
          <w:szCs w:val="24"/>
          <w:lang w:val="en-US"/>
        </w:rPr>
        <w:t xml:space="preserve">, </w:t>
      </w:r>
      <w:r w:rsidR="00BC5A59">
        <w:rPr>
          <w:rFonts w:ascii="Times New Roman" w:hAnsi="Times New Roman" w:cs="Times New Roman"/>
          <w:sz w:val="24"/>
          <w:szCs w:val="24"/>
          <w:lang w:val="en-US"/>
        </w:rPr>
        <w:t>“</w:t>
      </w:r>
      <w:r w:rsidRPr="00083793">
        <w:rPr>
          <w:rFonts w:ascii="Times New Roman" w:hAnsi="Times New Roman" w:cs="Times New Roman"/>
          <w:sz w:val="24"/>
          <w:szCs w:val="24"/>
          <w:lang w:val="en-US"/>
        </w:rPr>
        <w:t>Attacks against Cultural Heritage as a Weapon of War: Prosecutions at the ICTY,</w:t>
      </w:r>
      <w:r w:rsidR="00BC5A59">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w:t>
      </w:r>
      <w:r w:rsidRPr="00083793">
        <w:rPr>
          <w:rFonts w:ascii="Times New Roman" w:hAnsi="Times New Roman" w:cs="Times New Roman"/>
          <w:i/>
          <w:sz w:val="24"/>
          <w:szCs w:val="24"/>
          <w:lang w:val="en-US"/>
        </w:rPr>
        <w:t xml:space="preserve">Journal of International Criminal Justice </w:t>
      </w:r>
      <w:r w:rsidRPr="00083793">
        <w:rPr>
          <w:rFonts w:ascii="Times New Roman" w:hAnsi="Times New Roman" w:cs="Times New Roman"/>
          <w:sz w:val="24"/>
          <w:szCs w:val="24"/>
          <w:lang w:val="en-US"/>
        </w:rPr>
        <w:t>14, no. 5 (2016): 1143–74</w:t>
      </w:r>
      <w:r w:rsidR="00BC5A59">
        <w:rPr>
          <w:rFonts w:ascii="Times New Roman" w:hAnsi="Times New Roman" w:cs="Times New Roman"/>
          <w:sz w:val="24"/>
          <w:szCs w:val="24"/>
          <w:lang w:val="en-US"/>
        </w:rPr>
        <w:t>.</w:t>
      </w:r>
    </w:p>
    <w:p w14:paraId="4027D948" w14:textId="77777777" w:rsidR="00D9267D" w:rsidRDefault="00D9267D" w:rsidP="00D9267D">
      <w:pPr>
        <w:pStyle w:val="ListParagraph"/>
        <w:spacing w:after="0" w:line="480" w:lineRule="auto"/>
        <w:ind w:left="0"/>
        <w:rPr>
          <w:rFonts w:ascii="Times New Roman" w:hAnsi="Times New Roman" w:cs="Times New Roman"/>
          <w:sz w:val="24"/>
          <w:szCs w:val="24"/>
          <w:lang w:val="en-US"/>
        </w:rPr>
      </w:pPr>
    </w:p>
    <w:p w14:paraId="1C4A4A1E" w14:textId="7D42B10D" w:rsidR="00016FD4" w:rsidRPr="00083793" w:rsidRDefault="00016FD4" w:rsidP="00A02D5C">
      <w:pPr>
        <w:pStyle w:val="ListParagraph"/>
        <w:spacing w:after="0" w:line="480" w:lineRule="auto"/>
        <w:ind w:left="0"/>
        <w:rPr>
          <w:rFonts w:ascii="Times New Roman" w:hAnsi="Times New Roman" w:cs="Times New Roman"/>
          <w:sz w:val="24"/>
          <w:szCs w:val="24"/>
          <w:lang w:val="en-US"/>
        </w:rPr>
      </w:pPr>
      <w:r w:rsidRPr="00083793">
        <w:rPr>
          <w:rFonts w:ascii="Times New Roman" w:hAnsi="Times New Roman" w:cs="Times New Roman"/>
          <w:sz w:val="24"/>
          <w:szCs w:val="24"/>
          <w:lang w:val="en-US"/>
        </w:rPr>
        <w:t>Micaela Frulli</w:t>
      </w:r>
      <w:r w:rsidR="00742B39">
        <w:rPr>
          <w:rFonts w:ascii="Times New Roman" w:hAnsi="Times New Roman" w:cs="Times New Roman"/>
          <w:sz w:val="24"/>
          <w:szCs w:val="24"/>
          <w:lang w:val="en-US"/>
        </w:rPr>
        <w:t>, “</w:t>
      </w:r>
      <w:r w:rsidRPr="00083793">
        <w:rPr>
          <w:rFonts w:ascii="Times New Roman" w:hAnsi="Times New Roman" w:cs="Times New Roman"/>
          <w:sz w:val="24"/>
          <w:szCs w:val="24"/>
          <w:lang w:val="en-US"/>
        </w:rPr>
        <w:t>The Criminalization of Offences against Cultural Heritage in Times of Armed Conflict: The Quest for Consistency</w:t>
      </w:r>
      <w:r w:rsidR="00742B39">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w:t>
      </w:r>
      <w:r w:rsidRPr="00083793">
        <w:rPr>
          <w:rFonts w:ascii="Times New Roman" w:hAnsi="Times New Roman" w:cs="Times New Roman"/>
          <w:i/>
          <w:sz w:val="24"/>
          <w:szCs w:val="24"/>
          <w:lang w:val="en-US"/>
        </w:rPr>
        <w:t xml:space="preserve">European Journal of International Law </w:t>
      </w:r>
      <w:r w:rsidRPr="00083793">
        <w:rPr>
          <w:rFonts w:ascii="Times New Roman" w:hAnsi="Times New Roman" w:cs="Times New Roman"/>
          <w:sz w:val="24"/>
          <w:szCs w:val="24"/>
          <w:lang w:val="en-US"/>
        </w:rPr>
        <w:t>22, no. 1 (2011):</w:t>
      </w:r>
      <w:r w:rsidRPr="00083793">
        <w:rPr>
          <w:rFonts w:ascii="Times New Roman" w:hAnsi="Times New Roman" w:cs="Times New Roman"/>
          <w:i/>
          <w:sz w:val="24"/>
          <w:szCs w:val="24"/>
          <w:lang w:val="en-US"/>
        </w:rPr>
        <w:t xml:space="preserve"> </w:t>
      </w:r>
      <w:r w:rsidRPr="00083793">
        <w:rPr>
          <w:rFonts w:ascii="Times New Roman" w:hAnsi="Times New Roman" w:cs="Times New Roman"/>
          <w:sz w:val="24"/>
          <w:szCs w:val="24"/>
          <w:lang w:val="en-US"/>
        </w:rPr>
        <w:t>203–17</w:t>
      </w:r>
      <w:r w:rsidR="004E1941">
        <w:rPr>
          <w:rFonts w:ascii="Times New Roman" w:hAnsi="Times New Roman" w:cs="Times New Roman"/>
          <w:sz w:val="24"/>
          <w:szCs w:val="24"/>
          <w:lang w:val="en-US"/>
        </w:rPr>
        <w:t>.</w:t>
      </w:r>
    </w:p>
    <w:p w14:paraId="24F591C5" w14:textId="4E6F4F59" w:rsidR="00D9267D" w:rsidRDefault="00D9267D" w:rsidP="00D9267D">
      <w:pPr>
        <w:pStyle w:val="ListParagraph"/>
        <w:spacing w:after="0" w:line="480" w:lineRule="auto"/>
        <w:ind w:left="0"/>
        <w:rPr>
          <w:rFonts w:ascii="Times New Roman" w:hAnsi="Times New Roman" w:cs="Times New Roman"/>
          <w:sz w:val="24"/>
          <w:szCs w:val="24"/>
          <w:lang w:val="en-US"/>
        </w:rPr>
      </w:pPr>
    </w:p>
    <w:p w14:paraId="1F43D802" w14:textId="7F9DB09A" w:rsidR="00D9267D" w:rsidRDefault="00D9267D" w:rsidP="00D9267D">
      <w:pPr>
        <w:pStyle w:val="ListParagraph"/>
        <w:spacing w:after="0" w:line="480" w:lineRule="auto"/>
        <w:ind w:left="0"/>
        <w:rPr>
          <w:rFonts w:ascii="Times New Roman" w:hAnsi="Times New Roman" w:cs="Times New Roman"/>
          <w:sz w:val="24"/>
          <w:szCs w:val="24"/>
          <w:lang w:val="en-US"/>
        </w:rPr>
      </w:pPr>
      <w:r w:rsidRPr="00D9267D">
        <w:rPr>
          <w:rFonts w:ascii="Times New Roman" w:hAnsi="Times New Roman" w:cs="Times New Roman"/>
          <w:sz w:val="24"/>
          <w:szCs w:val="24"/>
          <w:lang w:val="en-US"/>
        </w:rPr>
        <w:t xml:space="preserve">ICC, Office of the Prosecutor, </w:t>
      </w:r>
      <w:r w:rsidRPr="00A02D5C">
        <w:rPr>
          <w:rFonts w:ascii="Times New Roman" w:hAnsi="Times New Roman" w:cs="Times New Roman"/>
          <w:i/>
          <w:iCs/>
          <w:sz w:val="24"/>
          <w:szCs w:val="24"/>
          <w:lang w:val="en-US"/>
        </w:rPr>
        <w:t>Policy on Cultural Heritage</w:t>
      </w:r>
      <w:r w:rsidRPr="00D9267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Hague: ICC, </w:t>
      </w:r>
      <w:r w:rsidRPr="00D9267D">
        <w:rPr>
          <w:rFonts w:ascii="Times New Roman" w:hAnsi="Times New Roman" w:cs="Times New Roman"/>
          <w:sz w:val="24"/>
          <w:szCs w:val="24"/>
          <w:lang w:val="en-US"/>
        </w:rPr>
        <w:t>June 2021), https://www.icc-cpi.int/itemsDocuments/20210614-otp-policy-cultural-heritage-eng.pdf.</w:t>
      </w:r>
    </w:p>
    <w:p w14:paraId="5F8D02CC" w14:textId="77777777" w:rsidR="00B87306" w:rsidRDefault="00B87306" w:rsidP="00D9267D">
      <w:pPr>
        <w:pStyle w:val="ListParagraph"/>
        <w:spacing w:after="0" w:line="480" w:lineRule="auto"/>
        <w:ind w:left="0"/>
        <w:rPr>
          <w:rFonts w:ascii="Times New Roman" w:hAnsi="Times New Roman" w:cs="Times New Roman"/>
          <w:sz w:val="24"/>
          <w:szCs w:val="24"/>
          <w:lang w:val="en-US"/>
        </w:rPr>
      </w:pPr>
    </w:p>
    <w:p w14:paraId="5011BE11" w14:textId="028F36A3" w:rsidR="00D9267D" w:rsidRPr="00083793" w:rsidRDefault="00D9267D" w:rsidP="00D9267D">
      <w:pPr>
        <w:pStyle w:val="ListParagraph"/>
        <w:spacing w:after="0" w:line="480" w:lineRule="auto"/>
        <w:ind w:left="0"/>
        <w:rPr>
          <w:rFonts w:ascii="Times New Roman" w:hAnsi="Times New Roman" w:cs="Times New Roman"/>
          <w:sz w:val="24"/>
          <w:szCs w:val="24"/>
          <w:lang w:val="en-US"/>
        </w:rPr>
      </w:pPr>
      <w:r w:rsidRPr="006C0796">
        <w:rPr>
          <w:rFonts w:ascii="Times New Roman" w:hAnsi="Times New Roman" w:cs="Times New Roman"/>
          <w:sz w:val="24"/>
          <w:szCs w:val="24"/>
          <w:lang w:val="en-US"/>
        </w:rPr>
        <w:t xml:space="preserve">Ana Filipa Vrdoljak, “Cultural Heritage in Human Rights and Humanitarian Law,” in </w:t>
      </w:r>
      <w:r w:rsidRPr="006C0796">
        <w:rPr>
          <w:rFonts w:ascii="Times New Roman" w:hAnsi="Times New Roman" w:cs="Times New Roman"/>
          <w:i/>
          <w:sz w:val="24"/>
          <w:szCs w:val="24"/>
          <w:lang w:val="en-US"/>
        </w:rPr>
        <w:t>International Humanitarian Law and International Human Rights Law</w:t>
      </w:r>
      <w:r w:rsidRPr="00A02D5C">
        <w:rPr>
          <w:rFonts w:ascii="Times New Roman" w:hAnsi="Times New Roman" w:cs="Times New Roman"/>
          <w:iCs/>
          <w:sz w:val="24"/>
          <w:szCs w:val="24"/>
          <w:lang w:val="en-US"/>
        </w:rPr>
        <w:t>,</w:t>
      </w:r>
      <w:r w:rsidRPr="006C0796">
        <w:rPr>
          <w:rFonts w:ascii="Times New Roman" w:hAnsi="Times New Roman" w:cs="Times New Roman"/>
          <w:i/>
          <w:sz w:val="24"/>
          <w:szCs w:val="24"/>
          <w:lang w:val="en-US"/>
        </w:rPr>
        <w:t xml:space="preserve"> </w:t>
      </w:r>
      <w:r w:rsidRPr="006C0796">
        <w:rPr>
          <w:rFonts w:ascii="Times New Roman" w:hAnsi="Times New Roman" w:cs="Times New Roman"/>
          <w:sz w:val="24"/>
          <w:szCs w:val="24"/>
          <w:lang w:val="en-US"/>
        </w:rPr>
        <w:t>ed. Orna Ben-Nephtali</w:t>
      </w:r>
      <w:r w:rsidRPr="006C0796">
        <w:rPr>
          <w:rFonts w:ascii="Times New Roman" w:hAnsi="Times New Roman" w:cs="Times New Roman"/>
          <w:i/>
          <w:sz w:val="24"/>
          <w:szCs w:val="24"/>
          <w:lang w:val="en-US"/>
        </w:rPr>
        <w:t xml:space="preserve"> </w:t>
      </w:r>
      <w:r w:rsidRPr="006C0796">
        <w:rPr>
          <w:rFonts w:ascii="Times New Roman" w:hAnsi="Times New Roman" w:cs="Times New Roman"/>
          <w:sz w:val="24"/>
          <w:szCs w:val="24"/>
          <w:lang w:val="en-US"/>
        </w:rPr>
        <w:t>(Oxford: Oxford University Press, 2011), 250–302</w:t>
      </w:r>
      <w:r w:rsidR="00CD43CC">
        <w:rPr>
          <w:rFonts w:ascii="Times New Roman" w:hAnsi="Times New Roman" w:cs="Times New Roman"/>
          <w:sz w:val="24"/>
          <w:szCs w:val="24"/>
          <w:lang w:val="en-US"/>
        </w:rPr>
        <w:t>.</w:t>
      </w:r>
    </w:p>
    <w:p w14:paraId="0711C726" w14:textId="77777777" w:rsidR="00D9267D" w:rsidRDefault="00D9267D" w:rsidP="00D9267D">
      <w:pPr>
        <w:pStyle w:val="ListParagraph"/>
        <w:spacing w:after="0" w:line="480" w:lineRule="auto"/>
        <w:ind w:left="0"/>
        <w:rPr>
          <w:rFonts w:ascii="Times New Roman" w:hAnsi="Times New Roman" w:cs="Times New Roman"/>
          <w:sz w:val="24"/>
          <w:szCs w:val="24"/>
          <w:lang w:val="en-US"/>
        </w:rPr>
      </w:pPr>
    </w:p>
    <w:p w14:paraId="2C8E44F1" w14:textId="616819D4" w:rsidR="00D81077" w:rsidRDefault="00016FD4" w:rsidP="00D9267D">
      <w:pPr>
        <w:pStyle w:val="ListParagraph"/>
        <w:spacing w:after="0" w:line="480" w:lineRule="auto"/>
        <w:ind w:left="0"/>
        <w:rPr>
          <w:rFonts w:ascii="Times New Roman" w:hAnsi="Times New Roman" w:cs="Times New Roman"/>
          <w:sz w:val="24"/>
          <w:szCs w:val="24"/>
          <w:lang w:val="en-US"/>
        </w:rPr>
      </w:pPr>
      <w:r w:rsidRPr="00083793">
        <w:rPr>
          <w:rFonts w:ascii="Times New Roman" w:hAnsi="Times New Roman" w:cs="Times New Roman"/>
          <w:sz w:val="24"/>
          <w:szCs w:val="24"/>
          <w:lang w:val="en-US"/>
        </w:rPr>
        <w:t>Karolina Wierczyńska and Andrzej Jakubowski</w:t>
      </w:r>
      <w:r w:rsidR="00742B39">
        <w:rPr>
          <w:rFonts w:ascii="Times New Roman" w:hAnsi="Times New Roman" w:cs="Times New Roman"/>
          <w:sz w:val="24"/>
          <w:szCs w:val="24"/>
          <w:lang w:val="en-US"/>
        </w:rPr>
        <w:t>, “</w:t>
      </w:r>
      <w:r w:rsidRPr="00083793">
        <w:rPr>
          <w:rFonts w:ascii="Times New Roman" w:hAnsi="Times New Roman" w:cs="Times New Roman"/>
          <w:sz w:val="24"/>
          <w:szCs w:val="24"/>
          <w:lang w:val="en-US"/>
        </w:rPr>
        <w:t xml:space="preserve">Individual Criminal Responsibility for Deliberate Destruction of Cultural Heritage: Contextualizing the ICC Judgment in the </w:t>
      </w:r>
      <w:r w:rsidRPr="00083793">
        <w:rPr>
          <w:rFonts w:ascii="Times New Roman" w:hAnsi="Times New Roman" w:cs="Times New Roman"/>
          <w:i/>
          <w:sz w:val="24"/>
          <w:szCs w:val="24"/>
          <w:lang w:val="en-US"/>
        </w:rPr>
        <w:t xml:space="preserve">Al-Mahdi </w:t>
      </w:r>
      <w:r w:rsidRPr="00083793">
        <w:rPr>
          <w:rFonts w:ascii="Times New Roman" w:hAnsi="Times New Roman" w:cs="Times New Roman"/>
          <w:sz w:val="24"/>
          <w:szCs w:val="24"/>
          <w:lang w:val="en-US"/>
        </w:rPr>
        <w:t>Case</w:t>
      </w:r>
      <w:r w:rsidR="00742B39">
        <w:rPr>
          <w:rFonts w:ascii="Times New Roman" w:hAnsi="Times New Roman" w:cs="Times New Roman"/>
          <w:sz w:val="24"/>
          <w:szCs w:val="24"/>
          <w:lang w:val="en-US"/>
        </w:rPr>
        <w:t>,”</w:t>
      </w:r>
      <w:r w:rsidRPr="00083793">
        <w:rPr>
          <w:rFonts w:ascii="Times New Roman" w:hAnsi="Times New Roman" w:cs="Times New Roman"/>
          <w:sz w:val="24"/>
          <w:szCs w:val="24"/>
          <w:lang w:val="en-US"/>
        </w:rPr>
        <w:t xml:space="preserve"> </w:t>
      </w:r>
      <w:r w:rsidRPr="00083793">
        <w:rPr>
          <w:rFonts w:ascii="Times New Roman" w:hAnsi="Times New Roman" w:cs="Times New Roman"/>
          <w:i/>
          <w:sz w:val="24"/>
          <w:szCs w:val="24"/>
          <w:lang w:val="en-US"/>
        </w:rPr>
        <w:t xml:space="preserve">Chinese Journal of International Law </w:t>
      </w:r>
      <w:r w:rsidRPr="00083793">
        <w:rPr>
          <w:rFonts w:ascii="Times New Roman" w:hAnsi="Times New Roman" w:cs="Times New Roman"/>
          <w:sz w:val="24"/>
          <w:szCs w:val="24"/>
          <w:lang w:val="en-US"/>
        </w:rPr>
        <w:t>16, no. 4 (2017):</w:t>
      </w:r>
      <w:r w:rsidRPr="00083793">
        <w:rPr>
          <w:rFonts w:ascii="Times New Roman" w:hAnsi="Times New Roman" w:cs="Times New Roman"/>
          <w:i/>
          <w:sz w:val="24"/>
          <w:szCs w:val="24"/>
          <w:lang w:val="en-US"/>
        </w:rPr>
        <w:t xml:space="preserve"> </w:t>
      </w:r>
      <w:r w:rsidRPr="00083793">
        <w:rPr>
          <w:rFonts w:ascii="Times New Roman" w:hAnsi="Times New Roman" w:cs="Times New Roman"/>
          <w:sz w:val="24"/>
          <w:szCs w:val="24"/>
          <w:lang w:val="en-US"/>
        </w:rPr>
        <w:t>695–721.</w:t>
      </w:r>
    </w:p>
    <w:p w14:paraId="40888535" w14:textId="506B1D24" w:rsidR="00D9267D" w:rsidRDefault="00D9267D" w:rsidP="00D9267D">
      <w:pPr>
        <w:pStyle w:val="ListParagraph"/>
        <w:spacing w:after="0" w:line="480" w:lineRule="auto"/>
        <w:ind w:left="0"/>
        <w:rPr>
          <w:rFonts w:ascii="Times New Roman" w:hAnsi="Times New Roman" w:cs="Times New Roman"/>
          <w:sz w:val="24"/>
          <w:szCs w:val="24"/>
          <w:lang w:val="en-US"/>
        </w:rPr>
      </w:pPr>
    </w:p>
    <w:p w14:paraId="3849D495" w14:textId="77777777" w:rsidR="00D9267D" w:rsidRPr="00083793" w:rsidRDefault="00D9267D" w:rsidP="00A02D5C">
      <w:pPr>
        <w:pStyle w:val="ListParagraph"/>
        <w:spacing w:after="0" w:line="480" w:lineRule="auto"/>
        <w:ind w:left="0"/>
        <w:rPr>
          <w:rFonts w:ascii="Times New Roman" w:hAnsi="Times New Roman" w:cs="Times New Roman"/>
          <w:sz w:val="24"/>
          <w:szCs w:val="24"/>
          <w:lang w:val="en-US"/>
        </w:rPr>
      </w:pPr>
    </w:p>
    <w:sectPr w:rsidR="00D9267D" w:rsidRPr="00083793" w:rsidSect="002500B6">
      <w:headerReference w:type="default" r:id="rId9"/>
      <w:footerReference w:type="even" r:id="rId10"/>
      <w:footerReference w:type="default" r:id="rId11"/>
      <w:endnotePr>
        <w:numFmt w:val="decimal"/>
      </w:endnotePr>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10203" w14:textId="77777777" w:rsidR="007C2B0F" w:rsidRDefault="007C2B0F" w:rsidP="006A3999">
      <w:pPr>
        <w:spacing w:after="0" w:line="240" w:lineRule="auto"/>
      </w:pPr>
      <w:r>
        <w:separator/>
      </w:r>
    </w:p>
  </w:endnote>
  <w:endnote w:type="continuationSeparator" w:id="0">
    <w:p w14:paraId="669D7014" w14:textId="77777777" w:rsidR="007C2B0F" w:rsidRDefault="007C2B0F" w:rsidP="006A3999">
      <w:pPr>
        <w:spacing w:after="0" w:line="240" w:lineRule="auto"/>
      </w:pPr>
      <w:r>
        <w:continuationSeparator/>
      </w:r>
    </w:p>
  </w:endnote>
  <w:endnote w:id="1">
    <w:p w14:paraId="2C3FF445" w14:textId="71B3D293"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w:t>
      </w:r>
      <w:r w:rsidR="00780C88" w:rsidRPr="00827B34">
        <w:rPr>
          <w:rFonts w:ascii="Times New Roman" w:hAnsi="Times New Roman" w:cs="Times New Roman"/>
          <w:lang w:val="en-US"/>
        </w:rPr>
        <w:t xml:space="preserve"> ICC, “Statement of the Prosecutor of the International Criminal Court, Fatou Bensouda, at the Opening of Trial in the Case against Mr</w:t>
      </w:r>
      <w:r w:rsidR="00827B34" w:rsidRPr="00827B34">
        <w:rPr>
          <w:rFonts w:ascii="Times New Roman" w:hAnsi="Times New Roman" w:cs="Times New Roman"/>
          <w:lang w:val="en-US"/>
        </w:rPr>
        <w:t>.</w:t>
      </w:r>
      <w:r w:rsidR="00780C88" w:rsidRPr="00827B34">
        <w:rPr>
          <w:rFonts w:ascii="Times New Roman" w:hAnsi="Times New Roman" w:cs="Times New Roman"/>
          <w:lang w:val="en-US"/>
        </w:rPr>
        <w:t xml:space="preserve"> Ahmad Al-Faqi Al Mahdi,” 22 August 2016, https://www.icc-cpi.int/Pages/item.aspx?name=otp-stat-al-mahdi-160822</w:t>
      </w:r>
      <w:r w:rsidRPr="00A02D5C">
        <w:rPr>
          <w:rFonts w:ascii="Times New Roman" w:hAnsi="Times New Roman" w:cs="Times New Roman"/>
          <w:i/>
          <w:lang w:val="en-US"/>
        </w:rPr>
        <w:t xml:space="preserve">. </w:t>
      </w:r>
    </w:p>
  </w:endnote>
  <w:endnote w:id="2">
    <w:p w14:paraId="651979D2" w14:textId="5BE009FE"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w:t>
      </w:r>
      <w:r w:rsidR="00A01BEC" w:rsidRPr="00A02D5C">
        <w:rPr>
          <w:rFonts w:ascii="Times New Roman" w:hAnsi="Times New Roman" w:cs="Times New Roman"/>
          <w:lang w:val="en-US"/>
        </w:rPr>
        <w:t>Francis Lieber,</w:t>
      </w:r>
      <w:r w:rsidR="00A01BEC" w:rsidRPr="00827B34">
        <w:rPr>
          <w:rFonts w:ascii="Times New Roman" w:hAnsi="Times New Roman" w:cs="Times New Roman"/>
          <w:lang w:val="en-US"/>
        </w:rPr>
        <w:t xml:space="preserve"> Instructions for the Government of Armies of the United States in the Field, General Orders No. 100, </w:t>
      </w:r>
      <w:r w:rsidR="00A01BEC" w:rsidRPr="00A02D5C">
        <w:rPr>
          <w:rFonts w:ascii="Times New Roman" w:hAnsi="Times New Roman" w:cs="Times New Roman"/>
          <w:lang w:val="en-US"/>
        </w:rPr>
        <w:t xml:space="preserve">Adjutant General’s Office, </w:t>
      </w:r>
      <w:r w:rsidR="00A01BEC" w:rsidRPr="00827B34">
        <w:rPr>
          <w:rFonts w:ascii="Times New Roman" w:hAnsi="Times New Roman" w:cs="Times New Roman"/>
          <w:lang w:val="en-US"/>
        </w:rPr>
        <w:t>24 April 1863, Art</w:t>
      </w:r>
      <w:r w:rsidR="008C53FF" w:rsidRPr="00827B34">
        <w:rPr>
          <w:rFonts w:ascii="Times New Roman" w:hAnsi="Times New Roman" w:cs="Times New Roman"/>
          <w:lang w:val="en-US"/>
        </w:rPr>
        <w:t>s</w:t>
      </w:r>
      <w:r w:rsidR="00A01BEC" w:rsidRPr="00827B34">
        <w:rPr>
          <w:rFonts w:ascii="Times New Roman" w:hAnsi="Times New Roman" w:cs="Times New Roman"/>
          <w:lang w:val="en-US"/>
        </w:rPr>
        <w:t xml:space="preserve">. 35, </w:t>
      </w:r>
      <w:r w:rsidRPr="00A02D5C">
        <w:rPr>
          <w:rFonts w:ascii="Times New Roman" w:hAnsi="Times New Roman" w:cs="Times New Roman"/>
          <w:lang w:val="en-US"/>
        </w:rPr>
        <w:t>44.</w:t>
      </w:r>
    </w:p>
  </w:endnote>
  <w:endnote w:id="3">
    <w:p w14:paraId="52A9E2B7" w14:textId="290C9950" w:rsidR="006509FF" w:rsidRPr="00A02D5C" w:rsidRDefault="006509FF"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Convention (II) with Respect to the Laws and Customs of War on Land and Its Annex: Regulations Concerning the Laws and Customs of War on Land, The Hague, 29 July 1899; and Convention (IV) Respecting the Laws and Customs of War on Land and Its Annex: Regulations Concerning the Laws and Customs of War on Land, The Hague, 18 October 1907.</w:t>
      </w:r>
    </w:p>
  </w:endnote>
  <w:endnote w:id="4">
    <w:p w14:paraId="44166996" w14:textId="42214DE1" w:rsidR="009F2ECC" w:rsidRPr="00A02D5C" w:rsidRDefault="009F2ECC"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w:t>
      </w:r>
      <w:r w:rsidR="00A84142" w:rsidRPr="00827B34">
        <w:rPr>
          <w:rFonts w:ascii="Times New Roman" w:hAnsi="Times New Roman" w:cs="Times New Roman"/>
          <w:lang w:val="en-US"/>
        </w:rPr>
        <w:t xml:space="preserve">Its full name is the </w:t>
      </w:r>
      <w:r w:rsidRPr="00A02D5C">
        <w:rPr>
          <w:rFonts w:ascii="Times New Roman" w:hAnsi="Times New Roman" w:cs="Times New Roman"/>
          <w:lang w:val="en-US"/>
        </w:rPr>
        <w:t xml:space="preserve">Project of an International Declaration </w:t>
      </w:r>
      <w:r w:rsidR="00854C98" w:rsidRPr="00827B34">
        <w:rPr>
          <w:rFonts w:ascii="Times New Roman" w:hAnsi="Times New Roman" w:cs="Times New Roman"/>
          <w:lang w:val="en-US"/>
        </w:rPr>
        <w:t>C</w:t>
      </w:r>
      <w:r w:rsidRPr="00A02D5C">
        <w:rPr>
          <w:rFonts w:ascii="Times New Roman" w:hAnsi="Times New Roman" w:cs="Times New Roman"/>
          <w:lang w:val="en-US"/>
        </w:rPr>
        <w:t>oncerning the Laws and Customs of War</w:t>
      </w:r>
      <w:r w:rsidR="00BD5505" w:rsidRPr="00827B34">
        <w:rPr>
          <w:rFonts w:ascii="Times New Roman" w:hAnsi="Times New Roman" w:cs="Times New Roman"/>
          <w:lang w:val="en-US"/>
        </w:rPr>
        <w:t>,</w:t>
      </w:r>
      <w:r w:rsidRPr="00A02D5C">
        <w:rPr>
          <w:rFonts w:ascii="Times New Roman" w:hAnsi="Times New Roman" w:cs="Times New Roman"/>
          <w:lang w:val="en-US"/>
        </w:rPr>
        <w:t xml:space="preserve"> Brussels, 27 August 1874.</w:t>
      </w:r>
    </w:p>
  </w:endnote>
  <w:endnote w:id="5">
    <w:p w14:paraId="1D6368EC" w14:textId="20BAB244"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Asquith made this remark in private correspond</w:t>
      </w:r>
      <w:r w:rsidR="00E92FE0" w:rsidRPr="00827B34">
        <w:rPr>
          <w:rFonts w:ascii="Times New Roman" w:hAnsi="Times New Roman" w:cs="Times New Roman"/>
          <w:lang w:val="en-US"/>
        </w:rPr>
        <w:t>e</w:t>
      </w:r>
      <w:r w:rsidRPr="00A02D5C">
        <w:rPr>
          <w:rFonts w:ascii="Times New Roman" w:hAnsi="Times New Roman" w:cs="Times New Roman"/>
          <w:lang w:val="en-US"/>
        </w:rPr>
        <w:t>nce</w:t>
      </w:r>
      <w:r w:rsidR="00585DA1" w:rsidRPr="00827B34">
        <w:rPr>
          <w:rFonts w:ascii="Times New Roman" w:hAnsi="Times New Roman" w:cs="Times New Roman"/>
          <w:lang w:val="en-US"/>
        </w:rPr>
        <w:t>.</w:t>
      </w:r>
      <w:r w:rsidRPr="00A02D5C">
        <w:rPr>
          <w:rFonts w:ascii="Times New Roman" w:hAnsi="Times New Roman" w:cs="Times New Roman"/>
          <w:lang w:val="en-US"/>
        </w:rPr>
        <w:t xml:space="preserve"> </w:t>
      </w:r>
      <w:r w:rsidR="00585DA1" w:rsidRPr="00827B34">
        <w:rPr>
          <w:rFonts w:ascii="Times New Roman" w:hAnsi="Times New Roman" w:cs="Times New Roman"/>
          <w:lang w:val="en-US"/>
        </w:rPr>
        <w:t>S</w:t>
      </w:r>
      <w:r w:rsidRPr="00A02D5C">
        <w:rPr>
          <w:rFonts w:ascii="Times New Roman" w:hAnsi="Times New Roman" w:cs="Times New Roman"/>
          <w:lang w:val="en-US"/>
        </w:rPr>
        <w:t>ee Michael Brock and Eleanor Brock</w:t>
      </w:r>
      <w:r w:rsidR="00D635DC" w:rsidRPr="00827B34">
        <w:rPr>
          <w:rFonts w:ascii="Times New Roman" w:hAnsi="Times New Roman" w:cs="Times New Roman"/>
          <w:lang w:val="en-US"/>
        </w:rPr>
        <w:t>,</w:t>
      </w:r>
      <w:r w:rsidRPr="00A02D5C">
        <w:rPr>
          <w:rFonts w:ascii="Times New Roman" w:hAnsi="Times New Roman" w:cs="Times New Roman"/>
          <w:lang w:val="en-US"/>
        </w:rPr>
        <w:t xml:space="preserve"> eds</w:t>
      </w:r>
      <w:r w:rsidR="00D635DC" w:rsidRPr="00827B34">
        <w:rPr>
          <w:rFonts w:ascii="Times New Roman" w:hAnsi="Times New Roman" w:cs="Times New Roman"/>
          <w:lang w:val="en-US"/>
        </w:rPr>
        <w:t>.</w:t>
      </w:r>
      <w:r w:rsidRPr="00A02D5C">
        <w:rPr>
          <w:rFonts w:ascii="Times New Roman" w:hAnsi="Times New Roman" w:cs="Times New Roman"/>
          <w:lang w:val="en-US"/>
        </w:rPr>
        <w:t xml:space="preserve">, </w:t>
      </w:r>
      <w:r w:rsidRPr="00A02D5C">
        <w:rPr>
          <w:rFonts w:ascii="Times New Roman" w:hAnsi="Times New Roman" w:cs="Times New Roman"/>
          <w:i/>
          <w:lang w:val="en-US"/>
        </w:rPr>
        <w:t>Asquith</w:t>
      </w:r>
      <w:r w:rsidR="00D635DC" w:rsidRPr="00827B34">
        <w:rPr>
          <w:rFonts w:ascii="Times New Roman" w:hAnsi="Times New Roman" w:cs="Times New Roman"/>
          <w:i/>
          <w:lang w:val="en-US"/>
        </w:rPr>
        <w:t>:</w:t>
      </w:r>
      <w:r w:rsidRPr="00A02D5C">
        <w:rPr>
          <w:rFonts w:ascii="Times New Roman" w:hAnsi="Times New Roman" w:cs="Times New Roman"/>
          <w:i/>
          <w:lang w:val="en-US"/>
        </w:rPr>
        <w:t xml:space="preserve"> Letters to Venetia Stanley </w:t>
      </w:r>
      <w:r w:rsidRPr="00A02D5C">
        <w:rPr>
          <w:rFonts w:ascii="Times New Roman" w:hAnsi="Times New Roman" w:cs="Times New Roman"/>
          <w:lang w:val="en-US"/>
        </w:rPr>
        <w:t xml:space="preserve">(Oxford: Oxford University Press, 1985), quoted in Alan Kramer, </w:t>
      </w:r>
      <w:r w:rsidRPr="00A02D5C">
        <w:rPr>
          <w:rFonts w:ascii="Times New Roman" w:hAnsi="Times New Roman" w:cs="Times New Roman"/>
          <w:i/>
          <w:lang w:val="en-US"/>
        </w:rPr>
        <w:t xml:space="preserve">Dynamic of Destruction: Culture and Mass Killing in the First World War </w:t>
      </w:r>
      <w:r w:rsidRPr="00A02D5C">
        <w:rPr>
          <w:rFonts w:ascii="Times New Roman" w:hAnsi="Times New Roman" w:cs="Times New Roman"/>
          <w:lang w:val="en-US"/>
        </w:rPr>
        <w:t xml:space="preserve">(Oxford: Oxford University Press, 2007), 14. </w:t>
      </w:r>
    </w:p>
  </w:endnote>
  <w:endnote w:id="6">
    <w:p w14:paraId="30F64F79" w14:textId="32557D2E"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w:t>
      </w:r>
      <w:r w:rsidR="008447D0" w:rsidRPr="00827B34">
        <w:rPr>
          <w:rFonts w:ascii="Times New Roman" w:hAnsi="Times New Roman" w:cs="Times New Roman"/>
          <w:lang w:val="en-US"/>
        </w:rPr>
        <w:t xml:space="preserve">See “Commission on the Responsibility of the Authors of the War and on Enforcement of Penalties,” </w:t>
      </w:r>
      <w:r w:rsidR="008447D0" w:rsidRPr="00827B34">
        <w:rPr>
          <w:rFonts w:ascii="Times New Roman" w:hAnsi="Times New Roman" w:cs="Times New Roman"/>
          <w:i/>
          <w:lang w:val="en-US"/>
        </w:rPr>
        <w:t xml:space="preserve">American Journal of International Law </w:t>
      </w:r>
      <w:r w:rsidR="008447D0" w:rsidRPr="00827B34">
        <w:rPr>
          <w:rFonts w:ascii="Times New Roman" w:hAnsi="Times New Roman" w:cs="Times New Roman"/>
          <w:lang w:val="en-US"/>
        </w:rPr>
        <w:t>14, no. 1 (1920):</w:t>
      </w:r>
      <w:r w:rsidR="008447D0" w:rsidRPr="00827B34">
        <w:rPr>
          <w:rFonts w:ascii="Times New Roman" w:hAnsi="Times New Roman" w:cs="Times New Roman"/>
          <w:i/>
          <w:lang w:val="en-US"/>
        </w:rPr>
        <w:t xml:space="preserve"> </w:t>
      </w:r>
      <w:r w:rsidR="008447D0" w:rsidRPr="00827B34">
        <w:rPr>
          <w:rFonts w:ascii="Times New Roman" w:hAnsi="Times New Roman" w:cs="Times New Roman"/>
          <w:lang w:val="en-US"/>
        </w:rPr>
        <w:t xml:space="preserve">95, </w:t>
      </w:r>
      <w:r w:rsidRPr="00A02D5C">
        <w:rPr>
          <w:rFonts w:ascii="Times New Roman" w:hAnsi="Times New Roman" w:cs="Times New Roman"/>
          <w:lang w:val="en-US"/>
        </w:rPr>
        <w:t>115.</w:t>
      </w:r>
    </w:p>
  </w:endnote>
  <w:endnote w:id="7">
    <w:p w14:paraId="7453B2B1" w14:textId="1D0BC272"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See Matthias Neuner</w:t>
      </w:r>
      <w:r w:rsidR="00EA5D79" w:rsidRPr="00827B34">
        <w:rPr>
          <w:rFonts w:ascii="Times New Roman" w:hAnsi="Times New Roman" w:cs="Times New Roman"/>
          <w:lang w:val="en-US"/>
        </w:rPr>
        <w:t>,</w:t>
      </w:r>
      <w:r w:rsidRPr="00A02D5C">
        <w:rPr>
          <w:rFonts w:ascii="Times New Roman" w:hAnsi="Times New Roman" w:cs="Times New Roman"/>
          <w:lang w:val="en-US"/>
        </w:rPr>
        <w:t xml:space="preserve"> “When Justice </w:t>
      </w:r>
      <w:r w:rsidR="00EA5D79" w:rsidRPr="00827B34">
        <w:rPr>
          <w:rFonts w:ascii="Times New Roman" w:hAnsi="Times New Roman" w:cs="Times New Roman"/>
          <w:lang w:val="en-US"/>
        </w:rPr>
        <w:t>I</w:t>
      </w:r>
      <w:r w:rsidRPr="00A02D5C">
        <w:rPr>
          <w:rFonts w:ascii="Times New Roman" w:hAnsi="Times New Roman" w:cs="Times New Roman"/>
          <w:lang w:val="en-US"/>
        </w:rPr>
        <w:t xml:space="preserve">s Left to the Losers: The Leipzig War Crimes Trials,” in </w:t>
      </w:r>
      <w:r w:rsidRPr="00A02D5C">
        <w:rPr>
          <w:rFonts w:ascii="Times New Roman" w:hAnsi="Times New Roman" w:cs="Times New Roman"/>
          <w:i/>
          <w:lang w:val="en-US"/>
        </w:rPr>
        <w:t>Historical Origins of International Criminal Law: Volume I</w:t>
      </w:r>
      <w:r w:rsidRPr="00A02D5C">
        <w:rPr>
          <w:rFonts w:ascii="Times New Roman" w:hAnsi="Times New Roman" w:cs="Times New Roman"/>
          <w:iCs/>
          <w:lang w:val="en-US"/>
        </w:rPr>
        <w:t>,</w:t>
      </w:r>
      <w:r w:rsidRPr="00A02D5C">
        <w:rPr>
          <w:rFonts w:ascii="Times New Roman" w:hAnsi="Times New Roman" w:cs="Times New Roman"/>
          <w:i/>
          <w:lang w:val="en-US"/>
        </w:rPr>
        <w:t xml:space="preserve"> </w:t>
      </w:r>
      <w:r w:rsidRPr="00A02D5C">
        <w:rPr>
          <w:rFonts w:ascii="Times New Roman" w:hAnsi="Times New Roman" w:cs="Times New Roman"/>
          <w:lang w:val="en-US"/>
        </w:rPr>
        <w:t>ed. Morten Bergsmo</w:t>
      </w:r>
      <w:r w:rsidR="00877D32" w:rsidRPr="00827B34">
        <w:rPr>
          <w:rFonts w:ascii="Times New Roman" w:hAnsi="Times New Roman" w:cs="Times New Roman"/>
          <w:lang w:val="en-US"/>
        </w:rPr>
        <w:t>,</w:t>
      </w:r>
      <w:r w:rsidRPr="00A02D5C">
        <w:rPr>
          <w:rFonts w:ascii="Times New Roman" w:hAnsi="Times New Roman" w:cs="Times New Roman"/>
          <w:lang w:val="en-US"/>
        </w:rPr>
        <w:t xml:space="preserve"> </w:t>
      </w:r>
      <w:r w:rsidR="00877D32" w:rsidRPr="00827B34">
        <w:rPr>
          <w:rFonts w:ascii="Times New Roman" w:hAnsi="Times New Roman" w:cs="Times New Roman"/>
          <w:lang w:val="en-US"/>
        </w:rPr>
        <w:t>Cheah Wui Ling, and Yi Ping</w:t>
      </w:r>
      <w:r w:rsidRPr="00A02D5C">
        <w:rPr>
          <w:rFonts w:ascii="Times New Roman" w:hAnsi="Times New Roman" w:cs="Times New Roman"/>
          <w:i/>
          <w:lang w:val="en-US"/>
        </w:rPr>
        <w:t xml:space="preserve"> </w:t>
      </w:r>
      <w:r w:rsidRPr="00A02D5C">
        <w:rPr>
          <w:rFonts w:ascii="Times New Roman" w:hAnsi="Times New Roman" w:cs="Times New Roman"/>
          <w:lang w:val="en-US"/>
        </w:rPr>
        <w:t>(Brussels: Tortel Opsahl Academic EPublisher, 2014), 333</w:t>
      </w:r>
      <w:r w:rsidR="00016FD4" w:rsidRPr="00A02D5C">
        <w:rPr>
          <w:rFonts w:ascii="Times New Roman" w:hAnsi="Times New Roman" w:cs="Times New Roman"/>
          <w:lang w:val="en-US"/>
        </w:rPr>
        <w:t>–</w:t>
      </w:r>
      <w:r w:rsidRPr="00A02D5C">
        <w:rPr>
          <w:rFonts w:ascii="Times New Roman" w:hAnsi="Times New Roman" w:cs="Times New Roman"/>
          <w:lang w:val="en-US"/>
        </w:rPr>
        <w:t>77.</w:t>
      </w:r>
    </w:p>
  </w:endnote>
  <w:endnote w:id="8">
    <w:p w14:paraId="49FB130E" w14:textId="6541A38F" w:rsidR="006A3999" w:rsidRPr="00A02D5C" w:rsidRDefault="006A3999" w:rsidP="00A02D5C">
      <w:pPr>
        <w:pStyle w:val="EndnoteText"/>
        <w:spacing w:line="480" w:lineRule="auto"/>
        <w:rPr>
          <w:rFonts w:ascii="Times New Roman" w:hAnsi="Times New Roman" w:cs="Times New Roman"/>
          <w:i/>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For an account of the obstacles that had to be negotiated in order to gain access to the archives of the UNWCC, see Dan Plesch, </w:t>
      </w:r>
      <w:r w:rsidRPr="00A02D5C">
        <w:rPr>
          <w:rFonts w:ascii="Times New Roman" w:hAnsi="Times New Roman" w:cs="Times New Roman"/>
          <w:i/>
          <w:lang w:val="en-US"/>
        </w:rPr>
        <w:t xml:space="preserve">Human Rights </w:t>
      </w:r>
      <w:r w:rsidR="00A91E0A" w:rsidRPr="00827B34">
        <w:rPr>
          <w:rFonts w:ascii="Times New Roman" w:hAnsi="Times New Roman" w:cs="Times New Roman"/>
          <w:i/>
          <w:lang w:val="en-US"/>
        </w:rPr>
        <w:t>a</w:t>
      </w:r>
      <w:r w:rsidRPr="00A02D5C">
        <w:rPr>
          <w:rFonts w:ascii="Times New Roman" w:hAnsi="Times New Roman" w:cs="Times New Roman"/>
          <w:i/>
          <w:lang w:val="en-US"/>
        </w:rPr>
        <w:t xml:space="preserve">fter Hitler: The Lost History of Prosecuting Axis War Crimes </w:t>
      </w:r>
      <w:r w:rsidRPr="00A02D5C">
        <w:rPr>
          <w:rFonts w:ascii="Times New Roman" w:hAnsi="Times New Roman" w:cs="Times New Roman"/>
          <w:lang w:val="en-US"/>
        </w:rPr>
        <w:t xml:space="preserve">(Washington, DC: Georgetown University Press, 2017). </w:t>
      </w:r>
    </w:p>
  </w:endnote>
  <w:endnote w:id="9">
    <w:p w14:paraId="4016E983" w14:textId="222C9AAA"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w:t>
      </w:r>
      <w:r w:rsidR="00E22F1E" w:rsidRPr="00827B34">
        <w:rPr>
          <w:rFonts w:ascii="Times New Roman" w:hAnsi="Times New Roman" w:cs="Times New Roman"/>
          <w:lang w:val="en-US"/>
        </w:rPr>
        <w:t>Plesch</w:t>
      </w:r>
      <w:r w:rsidRPr="00A02D5C">
        <w:rPr>
          <w:rFonts w:ascii="Times New Roman" w:hAnsi="Times New Roman" w:cs="Times New Roman"/>
          <w:lang w:val="en-US"/>
        </w:rPr>
        <w:t>.</w:t>
      </w:r>
    </w:p>
  </w:endnote>
  <w:endnote w:id="10">
    <w:p w14:paraId="58B2AA36" w14:textId="24362CF3"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w:t>
      </w:r>
      <w:r w:rsidR="00996F81" w:rsidRPr="00827B34">
        <w:rPr>
          <w:rFonts w:ascii="Times New Roman" w:hAnsi="Times New Roman" w:cs="Times New Roman"/>
          <w:lang w:val="en-US"/>
        </w:rPr>
        <w:t xml:space="preserve">Commission for the Protection and Restitution of Cultural Material, </w:t>
      </w:r>
      <w:r w:rsidR="00996F81" w:rsidRPr="00827B34">
        <w:rPr>
          <w:rFonts w:ascii="Times New Roman" w:hAnsi="Times New Roman" w:cs="Times New Roman"/>
          <w:i/>
          <w:iCs/>
          <w:lang w:val="en-US"/>
        </w:rPr>
        <w:t>Final Report</w:t>
      </w:r>
      <w:r w:rsidR="00996F81" w:rsidRPr="00827B34">
        <w:rPr>
          <w:rFonts w:ascii="Times New Roman" w:hAnsi="Times New Roman" w:cs="Times New Roman"/>
          <w:lang w:val="en-US"/>
        </w:rPr>
        <w:t>, doc. no. AME/148, 15 December 1945 (British National Archives Reference T 209/5/1)</w:t>
      </w:r>
      <w:r w:rsidRPr="00A02D5C">
        <w:rPr>
          <w:rFonts w:ascii="Times New Roman" w:hAnsi="Times New Roman" w:cs="Times New Roman"/>
          <w:lang w:val="en-US"/>
        </w:rPr>
        <w:t xml:space="preserve">, 2. </w:t>
      </w:r>
    </w:p>
  </w:endnote>
  <w:endnote w:id="11">
    <w:p w14:paraId="737990EF" w14:textId="7489C3AA"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w:t>
      </w:r>
      <w:r w:rsidR="00640D1C" w:rsidRPr="00827B34">
        <w:rPr>
          <w:rFonts w:ascii="Times New Roman" w:hAnsi="Times New Roman" w:cs="Times New Roman"/>
          <w:lang w:val="en-US"/>
        </w:rPr>
        <w:t xml:space="preserve">See Conference of Allied Ministers of Education, Commission for Protection and Restitution of Cultural Material, “Draft Minutes of the </w:t>
      </w:r>
      <w:r w:rsidR="00640D1C" w:rsidRPr="009A73EB">
        <w:rPr>
          <w:rFonts w:ascii="Times New Roman" w:hAnsi="Times New Roman" w:cs="Times New Roman"/>
          <w:lang w:val="en-US"/>
        </w:rPr>
        <w:t>15</w:t>
      </w:r>
      <w:r w:rsidR="009A73EB">
        <w:rPr>
          <w:rFonts w:ascii="Times New Roman" w:hAnsi="Times New Roman" w:cs="Times New Roman"/>
          <w:lang w:val="en-US"/>
        </w:rPr>
        <w:t>th</w:t>
      </w:r>
      <w:r w:rsidR="00640D1C" w:rsidRPr="009A73EB">
        <w:rPr>
          <w:rFonts w:ascii="Times New Roman" w:hAnsi="Times New Roman" w:cs="Times New Roman"/>
          <w:lang w:val="en-US"/>
        </w:rPr>
        <w:t xml:space="preserve"> Meeting</w:t>
      </w:r>
      <w:r w:rsidR="00F134AD" w:rsidRPr="00827B34">
        <w:rPr>
          <w:rFonts w:ascii="Times New Roman" w:hAnsi="Times New Roman" w:cs="Times New Roman"/>
          <w:lang w:val="en-US"/>
        </w:rPr>
        <w:t xml:space="preserve"> </w:t>
      </w:r>
      <w:r w:rsidR="00640D1C" w:rsidRPr="00827B34">
        <w:rPr>
          <w:rFonts w:ascii="Times New Roman" w:hAnsi="Times New Roman" w:cs="Times New Roman"/>
          <w:lang w:val="en-US"/>
        </w:rPr>
        <w:t xml:space="preserve">of the Commission,” 2 March 1945, </w:t>
      </w:r>
      <w:r w:rsidR="008256ED">
        <w:rPr>
          <w:rFonts w:ascii="Times New Roman" w:hAnsi="Times New Roman" w:cs="Times New Roman"/>
          <w:lang w:val="en-US"/>
        </w:rPr>
        <w:t>US National Archives Microfilm Publication M1944, roll 154.</w:t>
      </w:r>
    </w:p>
  </w:endnote>
  <w:endnote w:id="12">
    <w:p w14:paraId="141C00AC" w14:textId="3DA40CE1"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w:t>
      </w:r>
      <w:r w:rsidR="002B380B" w:rsidRPr="00827B34">
        <w:rPr>
          <w:rFonts w:ascii="Times New Roman" w:hAnsi="Times New Roman" w:cs="Times New Roman"/>
          <w:lang w:val="en-US"/>
        </w:rPr>
        <w:t>UNWCC, Committee I, “Looting of Art Treasures and Report of the Vaucher Committee: Report by Wing Commander Jones and Discussion in Committee I,” 24 April 1945, https://www.legal-tools.org/doc/0c6110/pdf</w:t>
      </w:r>
      <w:r w:rsidRPr="00A02D5C">
        <w:rPr>
          <w:rFonts w:ascii="Times New Roman" w:hAnsi="Times New Roman" w:cs="Times New Roman"/>
          <w:i/>
          <w:lang w:val="en-US"/>
        </w:rPr>
        <w:t>.</w:t>
      </w:r>
    </w:p>
  </w:endnote>
  <w:endnote w:id="13">
    <w:p w14:paraId="11527099" w14:textId="737359C7"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Conference of Allied Ministers of Education, Commission for Protection and Restitution of Cultural Material</w:t>
      </w:r>
      <w:r w:rsidR="00742B39" w:rsidRPr="00827B34">
        <w:rPr>
          <w:rFonts w:ascii="Times New Roman" w:hAnsi="Times New Roman" w:cs="Times New Roman"/>
          <w:lang w:val="en-US"/>
        </w:rPr>
        <w:t>, “</w:t>
      </w:r>
      <w:r w:rsidRPr="00A02D5C">
        <w:rPr>
          <w:rFonts w:ascii="Times New Roman" w:hAnsi="Times New Roman" w:cs="Times New Roman"/>
          <w:lang w:val="en-US"/>
        </w:rPr>
        <w:t>Draft Minutes of the 17th Meeting of the Commission</w:t>
      </w:r>
      <w:r w:rsidR="00742B39" w:rsidRPr="00827B34">
        <w:rPr>
          <w:rFonts w:ascii="Times New Roman" w:hAnsi="Times New Roman" w:cs="Times New Roman"/>
          <w:lang w:val="en-US"/>
        </w:rPr>
        <w:t>,”</w:t>
      </w:r>
      <w:r w:rsidRPr="00A02D5C">
        <w:rPr>
          <w:rFonts w:ascii="Times New Roman" w:hAnsi="Times New Roman" w:cs="Times New Roman"/>
          <w:lang w:val="en-US"/>
        </w:rPr>
        <w:t xml:space="preserve"> 8 June 1945</w:t>
      </w:r>
      <w:r w:rsidR="008256ED" w:rsidRPr="00827B34">
        <w:rPr>
          <w:rFonts w:ascii="Times New Roman" w:hAnsi="Times New Roman" w:cs="Times New Roman"/>
          <w:lang w:val="en-US"/>
        </w:rPr>
        <w:t xml:space="preserve">, </w:t>
      </w:r>
      <w:r w:rsidR="008256ED">
        <w:rPr>
          <w:rFonts w:ascii="Times New Roman" w:hAnsi="Times New Roman" w:cs="Times New Roman"/>
          <w:lang w:val="en-US"/>
        </w:rPr>
        <w:t xml:space="preserve">US National Archives Microfilm Publication M1944, roll 154, </w:t>
      </w:r>
      <w:r w:rsidR="005037BE" w:rsidRPr="00827B34">
        <w:rPr>
          <w:rFonts w:ascii="Times New Roman" w:hAnsi="Times New Roman" w:cs="Times New Roman"/>
          <w:lang w:val="en-US"/>
        </w:rPr>
        <w:t>2</w:t>
      </w:r>
      <w:r w:rsidR="008256ED">
        <w:t>.</w:t>
      </w:r>
    </w:p>
  </w:endnote>
  <w:endnote w:id="14">
    <w:p w14:paraId="22B65435" w14:textId="7142A5C5" w:rsidR="006A3999" w:rsidRPr="00A02D5C" w:rsidRDefault="006A3999" w:rsidP="00A02D5C">
      <w:pPr>
        <w:spacing w:line="480" w:lineRule="auto"/>
        <w:rPr>
          <w:rFonts w:ascii="Times New Roman" w:hAnsi="Times New Roman" w:cs="Times New Roman"/>
          <w:sz w:val="24"/>
          <w:szCs w:val="24"/>
          <w:lang w:val="en-US"/>
        </w:rPr>
      </w:pPr>
      <w:r w:rsidRPr="00A02D5C">
        <w:rPr>
          <w:rStyle w:val="EndnoteReference"/>
          <w:rFonts w:ascii="Times New Roman" w:hAnsi="Times New Roman" w:cs="Times New Roman"/>
          <w:sz w:val="24"/>
          <w:szCs w:val="24"/>
          <w:lang w:val="en-US"/>
        </w:rPr>
        <w:endnoteRef/>
      </w:r>
      <w:r w:rsidRPr="00A02D5C">
        <w:rPr>
          <w:rFonts w:ascii="Times New Roman" w:hAnsi="Times New Roman" w:cs="Times New Roman"/>
          <w:sz w:val="24"/>
          <w:szCs w:val="24"/>
          <w:lang w:val="en-US"/>
        </w:rPr>
        <w:t xml:space="preserve"> All </w:t>
      </w:r>
      <w:r w:rsidR="00916269" w:rsidRPr="00827B34">
        <w:rPr>
          <w:rFonts w:ascii="Times New Roman" w:hAnsi="Times New Roman" w:cs="Times New Roman"/>
          <w:sz w:val="24"/>
          <w:szCs w:val="24"/>
          <w:lang w:val="en-US"/>
        </w:rPr>
        <w:t>fifteen</w:t>
      </w:r>
      <w:r w:rsidR="00916269" w:rsidRPr="00A02D5C">
        <w:rPr>
          <w:rFonts w:ascii="Times New Roman" w:hAnsi="Times New Roman" w:cs="Times New Roman"/>
          <w:sz w:val="24"/>
          <w:szCs w:val="24"/>
          <w:lang w:val="en-US"/>
        </w:rPr>
        <w:t xml:space="preserve"> </w:t>
      </w:r>
      <w:r w:rsidRPr="00A02D5C">
        <w:rPr>
          <w:rFonts w:ascii="Times New Roman" w:hAnsi="Times New Roman" w:cs="Times New Roman"/>
          <w:sz w:val="24"/>
          <w:szCs w:val="24"/>
          <w:lang w:val="en-US"/>
        </w:rPr>
        <w:t>volumes can be accessed through the Library of Congress:</w:t>
      </w:r>
      <w:r w:rsidR="0035719D" w:rsidRPr="00827B34">
        <w:rPr>
          <w:rFonts w:ascii="Times New Roman" w:hAnsi="Times New Roman" w:cs="Times New Roman"/>
          <w:sz w:val="24"/>
          <w:szCs w:val="24"/>
          <w:lang w:val="en-US"/>
        </w:rPr>
        <w:t xml:space="preserve"> Military Legal Resources, “Law Reports of Trials of War Criminals,”</w:t>
      </w:r>
      <w:r w:rsidRPr="00A02D5C">
        <w:rPr>
          <w:rFonts w:ascii="Times New Roman" w:hAnsi="Times New Roman" w:cs="Times New Roman"/>
          <w:sz w:val="24"/>
          <w:szCs w:val="24"/>
          <w:lang w:val="en-US"/>
        </w:rPr>
        <w:t xml:space="preserve"> </w:t>
      </w:r>
      <w:r w:rsidR="00916269" w:rsidRPr="00A02D5C">
        <w:rPr>
          <w:rFonts w:ascii="Times New Roman" w:hAnsi="Times New Roman" w:cs="Times New Roman"/>
          <w:sz w:val="24"/>
          <w:szCs w:val="24"/>
          <w:lang w:val="en-US"/>
        </w:rPr>
        <w:t>https://www.loc.gov/rr/frd/Military_Law/law-reports-trials-war-criminals.html</w:t>
      </w:r>
      <w:r w:rsidRPr="00A02D5C">
        <w:rPr>
          <w:rFonts w:ascii="Times New Roman" w:hAnsi="Times New Roman" w:cs="Times New Roman"/>
          <w:sz w:val="24"/>
          <w:szCs w:val="24"/>
          <w:lang w:val="en-US"/>
        </w:rPr>
        <w:t>.</w:t>
      </w:r>
    </w:p>
  </w:endnote>
  <w:endnote w:id="15">
    <w:p w14:paraId="47C938B0" w14:textId="129D7A5F"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See</w:t>
      </w:r>
      <w:r w:rsidR="00D34EF3" w:rsidRPr="00827B34">
        <w:rPr>
          <w:rFonts w:ascii="Times New Roman" w:hAnsi="Times New Roman" w:cs="Times New Roman"/>
          <w:lang w:val="en-US"/>
        </w:rPr>
        <w:t xml:space="preserve"> </w:t>
      </w:r>
      <w:r w:rsidRPr="00A02D5C">
        <w:rPr>
          <w:rFonts w:ascii="Times New Roman" w:hAnsi="Times New Roman" w:cs="Times New Roman"/>
          <w:lang w:val="en-US"/>
        </w:rPr>
        <w:t xml:space="preserve">Mark Drumbl, “Germans </w:t>
      </w:r>
      <w:r w:rsidR="00B039E5">
        <w:rPr>
          <w:rFonts w:ascii="Times New Roman" w:hAnsi="Times New Roman" w:cs="Times New Roman"/>
          <w:lang w:val="en-US"/>
        </w:rPr>
        <w:t>A</w:t>
      </w:r>
      <w:r w:rsidRPr="00A02D5C">
        <w:rPr>
          <w:rFonts w:ascii="Times New Roman" w:hAnsi="Times New Roman" w:cs="Times New Roman"/>
          <w:lang w:val="en-US"/>
        </w:rPr>
        <w:t xml:space="preserve">re the Lords and Poles </w:t>
      </w:r>
      <w:r w:rsidR="00921C1B">
        <w:rPr>
          <w:rFonts w:ascii="Times New Roman" w:hAnsi="Times New Roman" w:cs="Times New Roman"/>
          <w:lang w:val="en-US"/>
        </w:rPr>
        <w:t>A</w:t>
      </w:r>
      <w:r w:rsidRPr="00A02D5C">
        <w:rPr>
          <w:rFonts w:ascii="Times New Roman" w:hAnsi="Times New Roman" w:cs="Times New Roman"/>
          <w:lang w:val="en-US"/>
        </w:rPr>
        <w:t xml:space="preserve">re the Servants: The Trial of Arthur Greiser in Poland, 1946” in </w:t>
      </w:r>
      <w:r w:rsidRPr="00A02D5C">
        <w:rPr>
          <w:rFonts w:ascii="Times New Roman" w:hAnsi="Times New Roman" w:cs="Times New Roman"/>
          <w:i/>
          <w:lang w:val="en-US"/>
        </w:rPr>
        <w:t>The Hidden Histories of War Crimes Trials</w:t>
      </w:r>
      <w:r w:rsidRPr="00A02D5C">
        <w:rPr>
          <w:rFonts w:ascii="Times New Roman" w:hAnsi="Times New Roman" w:cs="Times New Roman"/>
          <w:iCs/>
          <w:lang w:val="en-US"/>
        </w:rPr>
        <w:t xml:space="preserve">, </w:t>
      </w:r>
      <w:r w:rsidRPr="00A02D5C">
        <w:rPr>
          <w:rFonts w:ascii="Times New Roman" w:hAnsi="Times New Roman" w:cs="Times New Roman"/>
          <w:lang w:val="en-US"/>
        </w:rPr>
        <w:t>ed. Kevin Heller and Gerry Simpson</w:t>
      </w:r>
      <w:r w:rsidRPr="00A02D5C">
        <w:rPr>
          <w:rFonts w:ascii="Times New Roman" w:hAnsi="Times New Roman" w:cs="Times New Roman"/>
          <w:i/>
          <w:lang w:val="en-US"/>
        </w:rPr>
        <w:t xml:space="preserve"> </w:t>
      </w:r>
      <w:r w:rsidRPr="00A02D5C">
        <w:rPr>
          <w:rFonts w:ascii="Times New Roman" w:hAnsi="Times New Roman" w:cs="Times New Roman"/>
          <w:lang w:val="en-US"/>
        </w:rPr>
        <w:t>(Oxford: Oxford University Press, 2013), 411.</w:t>
      </w:r>
    </w:p>
  </w:endnote>
  <w:endnote w:id="16">
    <w:p w14:paraId="0D90A410" w14:textId="3E6C3AF2"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w:t>
      </w:r>
      <w:r w:rsidR="005B2165" w:rsidRPr="00827B34">
        <w:rPr>
          <w:rFonts w:ascii="Times New Roman" w:hAnsi="Times New Roman" w:cs="Times New Roman"/>
          <w:lang w:val="en-US"/>
        </w:rPr>
        <w:t xml:space="preserve">See </w:t>
      </w:r>
      <w:r w:rsidR="00BA3F51" w:rsidRPr="004C3528">
        <w:rPr>
          <w:rFonts w:ascii="Times New Roman" w:hAnsi="Times New Roman" w:cs="Times New Roman"/>
          <w:lang w:val="en-US"/>
        </w:rPr>
        <w:t>UNWCC</w:t>
      </w:r>
      <w:r w:rsidR="00BA3F51">
        <w:rPr>
          <w:rFonts w:ascii="Times New Roman" w:hAnsi="Times New Roman" w:cs="Times New Roman"/>
          <w:lang w:val="en-US"/>
        </w:rPr>
        <w:t>,</w:t>
      </w:r>
      <w:r w:rsidR="00BA3F51" w:rsidRPr="004C3528">
        <w:rPr>
          <w:rFonts w:ascii="Times New Roman" w:hAnsi="Times New Roman" w:cs="Times New Roman"/>
          <w:iCs/>
          <w:lang w:val="en-US"/>
        </w:rPr>
        <w:t xml:space="preserve"> </w:t>
      </w:r>
      <w:r w:rsidR="005B2165" w:rsidRPr="00827B34">
        <w:rPr>
          <w:rFonts w:ascii="Times New Roman" w:hAnsi="Times New Roman" w:cs="Times New Roman"/>
          <w:lang w:val="en-US"/>
        </w:rPr>
        <w:t xml:space="preserve">“Trial of Gauleiter Artur Greiser, Supreme National Tribunal of Poland, 21st June–7th July 1946,” in </w:t>
      </w:r>
      <w:r w:rsidR="005B2165" w:rsidRPr="00827B34">
        <w:rPr>
          <w:rFonts w:ascii="Times New Roman" w:hAnsi="Times New Roman" w:cs="Times New Roman"/>
          <w:i/>
          <w:lang w:val="en-US"/>
        </w:rPr>
        <w:t>Law Reports of Trials of War Criminals: Volume XIII</w:t>
      </w:r>
      <w:r w:rsidR="005B2165" w:rsidRPr="00827B34">
        <w:rPr>
          <w:rFonts w:ascii="Times New Roman" w:hAnsi="Times New Roman" w:cs="Times New Roman"/>
          <w:lang w:val="en-US"/>
        </w:rPr>
        <w:t xml:space="preserve"> (London: His Majesty’s Stationary Office, 1949), 71</w:t>
      </w:r>
      <w:r w:rsidRPr="00A02D5C">
        <w:rPr>
          <w:rFonts w:ascii="Times New Roman" w:hAnsi="Times New Roman" w:cs="Times New Roman"/>
          <w:lang w:val="en-US"/>
        </w:rPr>
        <w:t>.</w:t>
      </w:r>
    </w:p>
  </w:endnote>
  <w:endnote w:id="17">
    <w:p w14:paraId="00F2B16A" w14:textId="2B59BA7C"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w:t>
      </w:r>
      <w:r w:rsidR="00B3743C" w:rsidRPr="00827B34">
        <w:rPr>
          <w:rFonts w:ascii="Times New Roman" w:hAnsi="Times New Roman" w:cs="Times New Roman"/>
          <w:lang w:val="en-US"/>
        </w:rPr>
        <w:t>Charter of the International Military Tribunal (</w:t>
      </w:r>
      <w:r w:rsidRPr="00A02D5C">
        <w:rPr>
          <w:rFonts w:ascii="Times New Roman" w:hAnsi="Times New Roman" w:cs="Times New Roman"/>
          <w:lang w:val="en-US"/>
        </w:rPr>
        <w:t>London Charter</w:t>
      </w:r>
      <w:r w:rsidR="00B3743C" w:rsidRPr="00827B34">
        <w:rPr>
          <w:rFonts w:ascii="Times New Roman" w:hAnsi="Times New Roman" w:cs="Times New Roman"/>
          <w:lang w:val="en-US"/>
        </w:rPr>
        <w:t>)</w:t>
      </w:r>
      <w:r w:rsidRPr="00A02D5C">
        <w:rPr>
          <w:rFonts w:ascii="Times New Roman" w:hAnsi="Times New Roman" w:cs="Times New Roman"/>
          <w:lang w:val="en-US"/>
        </w:rPr>
        <w:t xml:space="preserve">, </w:t>
      </w:r>
      <w:r w:rsidR="00283582" w:rsidRPr="00827B34">
        <w:rPr>
          <w:rFonts w:ascii="Times New Roman" w:hAnsi="Times New Roman" w:cs="Times New Roman"/>
          <w:lang w:val="en-US"/>
        </w:rPr>
        <w:t xml:space="preserve">8 </w:t>
      </w:r>
      <w:r w:rsidR="00B3743C" w:rsidRPr="00827B34">
        <w:rPr>
          <w:rFonts w:ascii="Times New Roman" w:hAnsi="Times New Roman" w:cs="Times New Roman"/>
          <w:lang w:val="en-US"/>
        </w:rPr>
        <w:t xml:space="preserve">August 1945, </w:t>
      </w:r>
      <w:r w:rsidR="00B3743C" w:rsidRPr="00A02D5C">
        <w:rPr>
          <w:rFonts w:ascii="Times New Roman" w:hAnsi="Times New Roman" w:cs="Times New Roman"/>
          <w:lang w:val="en-US"/>
        </w:rPr>
        <w:t>Art</w:t>
      </w:r>
      <w:r w:rsidR="00B3743C" w:rsidRPr="00827B34">
        <w:rPr>
          <w:rFonts w:ascii="Times New Roman" w:hAnsi="Times New Roman" w:cs="Times New Roman"/>
          <w:lang w:val="en-US"/>
        </w:rPr>
        <w:t>.</w:t>
      </w:r>
      <w:r w:rsidR="00B3743C" w:rsidRPr="00A02D5C">
        <w:rPr>
          <w:rFonts w:ascii="Times New Roman" w:hAnsi="Times New Roman" w:cs="Times New Roman"/>
          <w:lang w:val="en-US"/>
        </w:rPr>
        <w:t xml:space="preserve"> </w:t>
      </w:r>
      <w:r w:rsidRPr="00A02D5C">
        <w:rPr>
          <w:rFonts w:ascii="Times New Roman" w:hAnsi="Times New Roman" w:cs="Times New Roman"/>
          <w:lang w:val="en-US"/>
        </w:rPr>
        <w:t>6</w:t>
      </w:r>
      <w:r w:rsidR="00B3743C" w:rsidRPr="00827B34">
        <w:rPr>
          <w:rFonts w:ascii="Times New Roman" w:hAnsi="Times New Roman" w:cs="Times New Roman"/>
          <w:lang w:val="en-US"/>
        </w:rPr>
        <w:t>.</w:t>
      </w:r>
      <w:r w:rsidRPr="00A02D5C">
        <w:rPr>
          <w:rFonts w:ascii="Times New Roman" w:hAnsi="Times New Roman" w:cs="Times New Roman"/>
          <w:lang w:val="en-US"/>
        </w:rPr>
        <w:t>b.</w:t>
      </w:r>
    </w:p>
  </w:endnote>
  <w:endnote w:id="18">
    <w:p w14:paraId="798CDA70" w14:textId="297A06C4"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Rosenberg was by no means the only defendant to face charges relating to looting and destruction, indeed it was alleged that he was joined in the conspiracy by </w:t>
      </w:r>
      <w:r w:rsidR="00A35533" w:rsidRPr="00827B34">
        <w:rPr>
          <w:rFonts w:ascii="Times New Roman" w:hAnsi="Times New Roman" w:cs="Times New Roman"/>
          <w:lang w:val="en-US"/>
        </w:rPr>
        <w:t>Nuremberg co</w:t>
      </w:r>
      <w:r w:rsidRPr="00A02D5C">
        <w:rPr>
          <w:rFonts w:ascii="Times New Roman" w:hAnsi="Times New Roman" w:cs="Times New Roman"/>
          <w:lang w:val="en-US"/>
        </w:rPr>
        <w:t xml:space="preserve">defendants </w:t>
      </w:r>
      <w:r w:rsidR="00A35533" w:rsidRPr="00827B34">
        <w:rPr>
          <w:rFonts w:ascii="Times New Roman" w:hAnsi="Times New Roman" w:cs="Times New Roman"/>
          <w:lang w:val="en-US"/>
        </w:rPr>
        <w:t xml:space="preserve">Hermann </w:t>
      </w:r>
      <w:r w:rsidRPr="00A02D5C">
        <w:rPr>
          <w:rFonts w:ascii="Times New Roman" w:hAnsi="Times New Roman" w:cs="Times New Roman"/>
          <w:lang w:val="en-US"/>
        </w:rPr>
        <w:t>G</w:t>
      </w:r>
      <w:r w:rsidR="00A35533" w:rsidRPr="00827B34">
        <w:rPr>
          <w:rFonts w:ascii="Times New Roman" w:hAnsi="Times New Roman" w:cs="Times New Roman"/>
          <w:lang w:val="en-US"/>
        </w:rPr>
        <w:t>ö</w:t>
      </w:r>
      <w:r w:rsidRPr="00A02D5C">
        <w:rPr>
          <w:rFonts w:ascii="Times New Roman" w:hAnsi="Times New Roman" w:cs="Times New Roman"/>
          <w:lang w:val="en-US"/>
        </w:rPr>
        <w:t xml:space="preserve">ring, </w:t>
      </w:r>
      <w:r w:rsidR="00A35533" w:rsidRPr="00827B34">
        <w:rPr>
          <w:rFonts w:ascii="Times New Roman" w:hAnsi="Times New Roman" w:cs="Times New Roman"/>
          <w:lang w:val="en-US"/>
        </w:rPr>
        <w:t xml:space="preserve">Wilhelm </w:t>
      </w:r>
      <w:r w:rsidRPr="00A02D5C">
        <w:rPr>
          <w:rFonts w:ascii="Times New Roman" w:hAnsi="Times New Roman" w:cs="Times New Roman"/>
          <w:lang w:val="en-US"/>
        </w:rPr>
        <w:t>Keit</w:t>
      </w:r>
      <w:r w:rsidR="00761F43" w:rsidRPr="00827B34">
        <w:rPr>
          <w:rFonts w:ascii="Times New Roman" w:hAnsi="Times New Roman" w:cs="Times New Roman"/>
          <w:lang w:val="en-US"/>
        </w:rPr>
        <w:t>e</w:t>
      </w:r>
      <w:r w:rsidRPr="00A02D5C">
        <w:rPr>
          <w:rFonts w:ascii="Times New Roman" w:hAnsi="Times New Roman" w:cs="Times New Roman"/>
          <w:lang w:val="en-US"/>
        </w:rPr>
        <w:t>l</w:t>
      </w:r>
      <w:r w:rsidR="00283582" w:rsidRPr="00827B34">
        <w:rPr>
          <w:rFonts w:ascii="Times New Roman" w:hAnsi="Times New Roman" w:cs="Times New Roman"/>
          <w:lang w:val="en-US"/>
        </w:rPr>
        <w:t>,</w:t>
      </w:r>
      <w:r w:rsidRPr="00A02D5C">
        <w:rPr>
          <w:rFonts w:ascii="Times New Roman" w:hAnsi="Times New Roman" w:cs="Times New Roman"/>
          <w:lang w:val="en-US"/>
        </w:rPr>
        <w:t xml:space="preserve"> and </w:t>
      </w:r>
      <w:r w:rsidR="00A35533" w:rsidRPr="00827B34">
        <w:rPr>
          <w:rFonts w:ascii="Times New Roman" w:hAnsi="Times New Roman" w:cs="Times New Roman"/>
          <w:lang w:val="en-US"/>
        </w:rPr>
        <w:t xml:space="preserve">Hans </w:t>
      </w:r>
      <w:r w:rsidRPr="00A02D5C">
        <w:rPr>
          <w:rFonts w:ascii="Times New Roman" w:hAnsi="Times New Roman" w:cs="Times New Roman"/>
          <w:lang w:val="en-US"/>
        </w:rPr>
        <w:t>Frank.</w:t>
      </w:r>
    </w:p>
  </w:endnote>
  <w:endnote w:id="19">
    <w:p w14:paraId="2BA4FDF7" w14:textId="36E80A48"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IMT, </w:t>
      </w:r>
      <w:r w:rsidR="00197409" w:rsidRPr="00827B34">
        <w:rPr>
          <w:rFonts w:ascii="Times New Roman" w:hAnsi="Times New Roman" w:cs="Times New Roman"/>
          <w:lang w:val="en-US"/>
        </w:rPr>
        <w:t>“</w:t>
      </w:r>
      <w:r w:rsidRPr="00A02D5C">
        <w:rPr>
          <w:rFonts w:ascii="Times New Roman" w:hAnsi="Times New Roman" w:cs="Times New Roman"/>
          <w:iCs/>
          <w:lang w:val="en-US"/>
        </w:rPr>
        <w:t>Blue Series</w:t>
      </w:r>
      <w:r w:rsidR="00197409" w:rsidRPr="00827B34">
        <w:rPr>
          <w:rFonts w:ascii="Times New Roman" w:hAnsi="Times New Roman" w:cs="Times New Roman"/>
          <w:iCs/>
          <w:lang w:val="en-US"/>
        </w:rPr>
        <w:t>”</w:t>
      </w:r>
      <w:r w:rsidRPr="00A02D5C">
        <w:rPr>
          <w:rFonts w:ascii="Times New Roman" w:hAnsi="Times New Roman" w:cs="Times New Roman"/>
          <w:iCs/>
          <w:lang w:val="en-US"/>
        </w:rPr>
        <w:t xml:space="preserve"> Volume IV</w:t>
      </w:r>
      <w:r w:rsidR="00197409" w:rsidRPr="00827B34">
        <w:rPr>
          <w:rFonts w:ascii="Times New Roman" w:hAnsi="Times New Roman" w:cs="Times New Roman"/>
          <w:lang w:val="en-US"/>
        </w:rPr>
        <w:t xml:space="preserve">, </w:t>
      </w:r>
      <w:r w:rsidRPr="00A02D5C">
        <w:rPr>
          <w:rFonts w:ascii="Times New Roman" w:hAnsi="Times New Roman" w:cs="Times New Roman"/>
          <w:lang w:val="en-US"/>
        </w:rPr>
        <w:t>81</w:t>
      </w:r>
      <w:r w:rsidR="00197409" w:rsidRPr="00827B34">
        <w:rPr>
          <w:rFonts w:ascii="Times New Roman" w:hAnsi="Times New Roman" w:cs="Times New Roman"/>
          <w:lang w:val="en-US"/>
        </w:rPr>
        <w:t xml:space="preserve"> (18 December 1945), https://www.loc.gov/rr/frd/Military_Law/pdf/NT_Vol-IV.pdf</w:t>
      </w:r>
      <w:r w:rsidRPr="00A02D5C">
        <w:rPr>
          <w:rFonts w:ascii="Times New Roman" w:hAnsi="Times New Roman" w:cs="Times New Roman"/>
          <w:lang w:val="en-US"/>
        </w:rPr>
        <w:t>.</w:t>
      </w:r>
    </w:p>
  </w:endnote>
  <w:endnote w:id="20">
    <w:p w14:paraId="73AFB4BC" w14:textId="7F578EC7"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See IMT, 91.</w:t>
      </w:r>
      <w:r w:rsidR="00016FD4" w:rsidRPr="00A02D5C">
        <w:rPr>
          <w:rFonts w:ascii="Times New Roman" w:hAnsi="Times New Roman" w:cs="Times New Roman"/>
          <w:lang w:val="en-US"/>
        </w:rPr>
        <w:t xml:space="preserve"> </w:t>
      </w:r>
      <w:r w:rsidRPr="00A02D5C">
        <w:rPr>
          <w:rFonts w:ascii="Times New Roman" w:hAnsi="Times New Roman" w:cs="Times New Roman"/>
          <w:lang w:val="en-US"/>
        </w:rPr>
        <w:t xml:space="preserve">The Soviet </w:t>
      </w:r>
      <w:r w:rsidR="00DE72B5" w:rsidRPr="00827B34">
        <w:rPr>
          <w:rFonts w:ascii="Times New Roman" w:hAnsi="Times New Roman" w:cs="Times New Roman"/>
          <w:lang w:val="en-US"/>
        </w:rPr>
        <w:t>p</w:t>
      </w:r>
      <w:r w:rsidRPr="00A02D5C">
        <w:rPr>
          <w:rFonts w:ascii="Times New Roman" w:hAnsi="Times New Roman" w:cs="Times New Roman"/>
          <w:lang w:val="en-US"/>
        </w:rPr>
        <w:t xml:space="preserve">rosecution case included extensive evidence of heritage destruction throughout Soviet territory. </w:t>
      </w:r>
      <w:r w:rsidR="00DE72B5" w:rsidRPr="00827B34">
        <w:rPr>
          <w:rFonts w:ascii="Times New Roman" w:hAnsi="Times New Roman" w:cs="Times New Roman"/>
          <w:lang w:val="en-US"/>
        </w:rPr>
        <w:t xml:space="preserve">This was </w:t>
      </w:r>
      <w:r w:rsidRPr="00A02D5C">
        <w:rPr>
          <w:rFonts w:ascii="Times New Roman" w:hAnsi="Times New Roman" w:cs="Times New Roman"/>
          <w:lang w:val="en-US"/>
        </w:rPr>
        <w:t>presented in various form</w:t>
      </w:r>
      <w:r w:rsidR="00DE72B5" w:rsidRPr="00827B34">
        <w:rPr>
          <w:rFonts w:ascii="Times New Roman" w:hAnsi="Times New Roman" w:cs="Times New Roman"/>
          <w:lang w:val="en-US"/>
        </w:rPr>
        <w:t>s</w:t>
      </w:r>
      <w:r w:rsidRPr="00A02D5C">
        <w:rPr>
          <w:rFonts w:ascii="Times New Roman" w:hAnsi="Times New Roman" w:cs="Times New Roman"/>
          <w:lang w:val="en-US"/>
        </w:rPr>
        <w:t xml:space="preserve">, including </w:t>
      </w:r>
      <w:r w:rsidR="00DE72B5" w:rsidRPr="00827B34">
        <w:rPr>
          <w:rFonts w:ascii="Times New Roman" w:hAnsi="Times New Roman" w:cs="Times New Roman"/>
          <w:lang w:val="en-US"/>
        </w:rPr>
        <w:t xml:space="preserve">that </w:t>
      </w:r>
      <w:r w:rsidRPr="00A02D5C">
        <w:rPr>
          <w:rFonts w:ascii="Times New Roman" w:hAnsi="Times New Roman" w:cs="Times New Roman"/>
          <w:lang w:val="en-US"/>
        </w:rPr>
        <w:t>of a documentary specifically created for the proceedings. For a general overview of the Soviet role at Nuremberg</w:t>
      </w:r>
      <w:r w:rsidR="00695F32" w:rsidRPr="00827B34">
        <w:rPr>
          <w:rFonts w:ascii="Times New Roman" w:hAnsi="Times New Roman" w:cs="Times New Roman"/>
          <w:lang w:val="en-US"/>
        </w:rPr>
        <w:t>,</w:t>
      </w:r>
      <w:r w:rsidRPr="00A02D5C">
        <w:rPr>
          <w:rFonts w:ascii="Times New Roman" w:hAnsi="Times New Roman" w:cs="Times New Roman"/>
          <w:lang w:val="en-US"/>
        </w:rPr>
        <w:t xml:space="preserve"> see Francine Hirsch, </w:t>
      </w:r>
      <w:r w:rsidRPr="00A02D5C">
        <w:rPr>
          <w:rFonts w:ascii="Times New Roman" w:hAnsi="Times New Roman" w:cs="Times New Roman"/>
          <w:i/>
          <w:lang w:val="en-US"/>
        </w:rPr>
        <w:t xml:space="preserve">Soviet Judgment at Nuremberg </w:t>
      </w:r>
      <w:r w:rsidRPr="00A02D5C">
        <w:rPr>
          <w:rFonts w:ascii="Times New Roman" w:hAnsi="Times New Roman" w:cs="Times New Roman"/>
          <w:lang w:val="en-US"/>
        </w:rPr>
        <w:t>(Oxford: Oxford University Press, 2020).</w:t>
      </w:r>
    </w:p>
  </w:endnote>
  <w:endnote w:id="21">
    <w:p w14:paraId="63599972" w14:textId="58FB68FF" w:rsidR="00055A7B" w:rsidRPr="00A02D5C" w:rsidRDefault="00055A7B"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w:t>
      </w:r>
      <w:r w:rsidRPr="00827B34">
        <w:rPr>
          <w:rFonts w:ascii="Times New Roman" w:hAnsi="Times New Roman" w:cs="Times New Roman"/>
          <w:lang w:val="en-US"/>
        </w:rPr>
        <w:t>This is most likely due to the prosecution’s desire to avoid accusations of hypocrisy given the widespread evidence and notoriety of the indiscriminate Allied destruction of German towns and cities.</w:t>
      </w:r>
    </w:p>
  </w:endnote>
  <w:endnote w:id="22">
    <w:p w14:paraId="36B57F7E" w14:textId="714792F8" w:rsidR="006A3999" w:rsidRPr="00A02D5C" w:rsidRDefault="006A3999" w:rsidP="00A02D5C">
      <w:pPr>
        <w:pStyle w:val="EndnoteText"/>
        <w:spacing w:line="480" w:lineRule="auto"/>
        <w:rPr>
          <w:rFonts w:ascii="Times New Roman" w:hAnsi="Times New Roman" w:cs="Times New Roman"/>
          <w:highlight w:val="yellow"/>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Quoted in Ana Filipa Vrdoljak, “Cultural Heritage in Human Rights and Humanitarian Law</w:t>
      </w:r>
      <w:r w:rsidR="00017EE2" w:rsidRPr="00827B34">
        <w:rPr>
          <w:rFonts w:ascii="Times New Roman" w:hAnsi="Times New Roman" w:cs="Times New Roman"/>
          <w:lang w:val="en-US"/>
        </w:rPr>
        <w:t>,</w:t>
      </w:r>
      <w:r w:rsidRPr="00A02D5C">
        <w:rPr>
          <w:rFonts w:ascii="Times New Roman" w:hAnsi="Times New Roman" w:cs="Times New Roman"/>
          <w:lang w:val="en-US"/>
        </w:rPr>
        <w:t xml:space="preserve">” in </w:t>
      </w:r>
      <w:r w:rsidRPr="00A02D5C">
        <w:rPr>
          <w:rFonts w:ascii="Times New Roman" w:hAnsi="Times New Roman" w:cs="Times New Roman"/>
          <w:i/>
          <w:lang w:val="en-US"/>
        </w:rPr>
        <w:t>International Humanitarian Law and International Human Rights Law</w:t>
      </w:r>
      <w:r w:rsidRPr="00A02D5C">
        <w:rPr>
          <w:rFonts w:ascii="Times New Roman" w:hAnsi="Times New Roman" w:cs="Times New Roman"/>
          <w:iCs/>
          <w:lang w:val="en-US"/>
        </w:rPr>
        <w:t xml:space="preserve">, </w:t>
      </w:r>
      <w:r w:rsidRPr="00A02D5C">
        <w:rPr>
          <w:rFonts w:ascii="Times New Roman" w:hAnsi="Times New Roman" w:cs="Times New Roman"/>
          <w:lang w:val="en-US"/>
        </w:rPr>
        <w:t>ed. Orna Ben-Nephtali</w:t>
      </w:r>
      <w:r w:rsidRPr="00A02D5C">
        <w:rPr>
          <w:rFonts w:ascii="Times New Roman" w:hAnsi="Times New Roman" w:cs="Times New Roman"/>
          <w:i/>
          <w:lang w:val="en-US"/>
        </w:rPr>
        <w:t xml:space="preserve"> </w:t>
      </w:r>
      <w:r w:rsidRPr="00A02D5C">
        <w:rPr>
          <w:rFonts w:ascii="Times New Roman" w:hAnsi="Times New Roman" w:cs="Times New Roman"/>
          <w:lang w:val="en-US"/>
        </w:rPr>
        <w:t>(Oxford: Oxford University Press, 2011), 272</w:t>
      </w:r>
      <w:r w:rsidR="00016FD4" w:rsidRPr="00A02D5C">
        <w:rPr>
          <w:rFonts w:ascii="Times New Roman" w:hAnsi="Times New Roman" w:cs="Times New Roman"/>
          <w:lang w:val="en-US"/>
        </w:rPr>
        <w:t>–</w:t>
      </w:r>
      <w:r w:rsidRPr="00A02D5C">
        <w:rPr>
          <w:rFonts w:ascii="Times New Roman" w:hAnsi="Times New Roman" w:cs="Times New Roman"/>
          <w:lang w:val="en-US"/>
        </w:rPr>
        <w:t>273.</w:t>
      </w:r>
      <w:r w:rsidR="00017EE2" w:rsidRPr="00827B34">
        <w:rPr>
          <w:rFonts w:ascii="Times New Roman" w:hAnsi="Times New Roman" w:cs="Times New Roman"/>
          <w:lang w:val="en-US"/>
        </w:rPr>
        <w:t xml:space="preserve"> </w:t>
      </w:r>
    </w:p>
  </w:endnote>
  <w:endnote w:id="23">
    <w:p w14:paraId="5D219C31" w14:textId="19CB6D89"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Council of Europe, Committee on Culture and Education, </w:t>
      </w:r>
      <w:r w:rsidRPr="00A02D5C">
        <w:rPr>
          <w:rFonts w:ascii="Times New Roman" w:hAnsi="Times New Roman" w:cs="Times New Roman"/>
          <w:i/>
          <w:lang w:val="en-US"/>
        </w:rPr>
        <w:t>War Damage to the</w:t>
      </w:r>
      <w:r w:rsidR="00017EE2" w:rsidRPr="00827B34">
        <w:rPr>
          <w:rFonts w:ascii="Times New Roman" w:hAnsi="Times New Roman" w:cs="Times New Roman"/>
          <w:i/>
          <w:lang w:val="en-US"/>
        </w:rPr>
        <w:t xml:space="preserve"> </w:t>
      </w:r>
      <w:r w:rsidRPr="00A02D5C">
        <w:rPr>
          <w:rFonts w:ascii="Times New Roman" w:hAnsi="Times New Roman" w:cs="Times New Roman"/>
          <w:i/>
          <w:lang w:val="en-US"/>
        </w:rPr>
        <w:t>Cultural Heritage in Croatia and Bosnia</w:t>
      </w:r>
      <w:r w:rsidR="006F047F" w:rsidRPr="00827B34">
        <w:rPr>
          <w:rFonts w:ascii="Times New Roman" w:hAnsi="Times New Roman" w:cs="Times New Roman"/>
          <w:i/>
          <w:lang w:val="en-US"/>
        </w:rPr>
        <w:t>–</w:t>
      </w:r>
      <w:r w:rsidRPr="00A02D5C">
        <w:rPr>
          <w:rFonts w:ascii="Times New Roman" w:hAnsi="Times New Roman" w:cs="Times New Roman"/>
          <w:i/>
          <w:lang w:val="en-US"/>
        </w:rPr>
        <w:t>Herzegovina</w:t>
      </w:r>
      <w:r w:rsidR="00010404" w:rsidRPr="00827B34">
        <w:rPr>
          <w:rFonts w:ascii="Times New Roman" w:hAnsi="Times New Roman" w:cs="Times New Roman"/>
          <w:iCs/>
          <w:lang w:val="en-US"/>
        </w:rPr>
        <w:t>,</w:t>
      </w:r>
      <w:r w:rsidRPr="00A02D5C">
        <w:rPr>
          <w:rFonts w:ascii="Times New Roman" w:hAnsi="Times New Roman" w:cs="Times New Roman"/>
          <w:lang w:val="en-US"/>
        </w:rPr>
        <w:t xml:space="preserve"> </w:t>
      </w:r>
      <w:r w:rsidR="001049DF" w:rsidRPr="00827B34">
        <w:rPr>
          <w:rFonts w:ascii="Times New Roman" w:hAnsi="Times New Roman" w:cs="Times New Roman"/>
          <w:lang w:val="en-US"/>
        </w:rPr>
        <w:t xml:space="preserve">information report, </w:t>
      </w:r>
      <w:r w:rsidR="006F047F" w:rsidRPr="00827B34">
        <w:rPr>
          <w:rFonts w:ascii="Times New Roman" w:hAnsi="Times New Roman" w:cs="Times New Roman"/>
          <w:lang w:val="en-US"/>
        </w:rPr>
        <w:t>d</w:t>
      </w:r>
      <w:r w:rsidRPr="00A02D5C">
        <w:rPr>
          <w:rFonts w:ascii="Times New Roman" w:hAnsi="Times New Roman" w:cs="Times New Roman"/>
          <w:lang w:val="en-US"/>
        </w:rPr>
        <w:t xml:space="preserve">oc. </w:t>
      </w:r>
      <w:r w:rsidR="006F047F" w:rsidRPr="00827B34">
        <w:rPr>
          <w:rFonts w:ascii="Times New Roman" w:hAnsi="Times New Roman" w:cs="Times New Roman"/>
          <w:lang w:val="en-US"/>
        </w:rPr>
        <w:t xml:space="preserve">no. </w:t>
      </w:r>
      <w:r w:rsidRPr="00A02D5C">
        <w:rPr>
          <w:rFonts w:ascii="Times New Roman" w:hAnsi="Times New Roman" w:cs="Times New Roman"/>
          <w:lang w:val="en-US"/>
        </w:rPr>
        <w:t>7431</w:t>
      </w:r>
      <w:r w:rsidR="00010404" w:rsidRPr="00827B34">
        <w:rPr>
          <w:rFonts w:ascii="Times New Roman" w:hAnsi="Times New Roman" w:cs="Times New Roman"/>
          <w:lang w:val="en-US"/>
        </w:rPr>
        <w:t>, 1995</w:t>
      </w:r>
      <w:r w:rsidRPr="00A02D5C">
        <w:rPr>
          <w:rFonts w:ascii="Times New Roman" w:hAnsi="Times New Roman" w:cs="Times New Roman"/>
          <w:lang w:val="en-US"/>
        </w:rPr>
        <w:t xml:space="preserve">. </w:t>
      </w:r>
    </w:p>
  </w:endnote>
  <w:endnote w:id="24">
    <w:p w14:paraId="19E6DFAD" w14:textId="696775AF" w:rsidR="00392E25" w:rsidRPr="00A02D5C" w:rsidRDefault="00392E25"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w:t>
      </w:r>
      <w:r w:rsidRPr="00827B34">
        <w:rPr>
          <w:rFonts w:ascii="Times New Roman" w:hAnsi="Times New Roman" w:cs="Times New Roman"/>
          <w:lang w:val="en-US"/>
        </w:rPr>
        <w:t xml:space="preserve">Council of Europe, </w:t>
      </w:r>
      <w:r w:rsidR="00F41769" w:rsidRPr="00827B34">
        <w:rPr>
          <w:rFonts w:ascii="Times New Roman" w:hAnsi="Times New Roman" w:cs="Times New Roman"/>
          <w:lang w:val="en-US"/>
        </w:rPr>
        <w:t xml:space="preserve">para. </w:t>
      </w:r>
      <w:r w:rsidRPr="00827B34">
        <w:rPr>
          <w:rFonts w:ascii="Times New Roman" w:hAnsi="Times New Roman" w:cs="Times New Roman"/>
          <w:lang w:val="en-US"/>
        </w:rPr>
        <w:t>1157.</w:t>
      </w:r>
    </w:p>
  </w:endnote>
  <w:endnote w:id="25">
    <w:p w14:paraId="7954B4E1" w14:textId="28DFBDC4"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w:t>
      </w:r>
      <w:r w:rsidR="00F41769" w:rsidRPr="00827B34">
        <w:rPr>
          <w:rFonts w:ascii="Times New Roman" w:hAnsi="Times New Roman" w:cs="Times New Roman"/>
          <w:lang w:val="en-US"/>
        </w:rPr>
        <w:t>Council of Europe,</w:t>
      </w:r>
      <w:r w:rsidR="00F41769" w:rsidRPr="00827B34" w:rsidDel="00F41769">
        <w:rPr>
          <w:rFonts w:ascii="Times New Roman" w:hAnsi="Times New Roman" w:cs="Times New Roman"/>
          <w:i/>
          <w:lang w:val="en-US"/>
        </w:rPr>
        <w:t xml:space="preserve"> </w:t>
      </w:r>
      <w:r w:rsidRPr="00A02D5C">
        <w:rPr>
          <w:rFonts w:ascii="Times New Roman" w:hAnsi="Times New Roman" w:cs="Times New Roman"/>
          <w:lang w:val="en-US"/>
        </w:rPr>
        <w:t>para</w:t>
      </w:r>
      <w:r w:rsidR="00F41769" w:rsidRPr="00827B34">
        <w:rPr>
          <w:rFonts w:ascii="Times New Roman" w:hAnsi="Times New Roman" w:cs="Times New Roman"/>
          <w:lang w:val="en-US"/>
        </w:rPr>
        <w:t>s</w:t>
      </w:r>
      <w:r w:rsidRPr="00A02D5C">
        <w:rPr>
          <w:rFonts w:ascii="Times New Roman" w:hAnsi="Times New Roman" w:cs="Times New Roman"/>
          <w:lang w:val="en-US"/>
        </w:rPr>
        <w:t xml:space="preserve">. </w:t>
      </w:r>
      <w:r w:rsidR="00F41769" w:rsidRPr="00827B34">
        <w:rPr>
          <w:rFonts w:ascii="Times New Roman" w:hAnsi="Times New Roman" w:cs="Times New Roman"/>
          <w:lang w:val="en-US"/>
        </w:rPr>
        <w:t xml:space="preserve">229, </w:t>
      </w:r>
      <w:r w:rsidRPr="00A02D5C">
        <w:rPr>
          <w:rFonts w:ascii="Times New Roman" w:hAnsi="Times New Roman" w:cs="Times New Roman"/>
          <w:lang w:val="en-US"/>
        </w:rPr>
        <w:t>312.</w:t>
      </w:r>
      <w:r w:rsidR="00594076" w:rsidRPr="00827B34">
        <w:rPr>
          <w:rFonts w:ascii="Times New Roman" w:hAnsi="Times New Roman" w:cs="Times New Roman"/>
          <w:lang w:val="en-US"/>
        </w:rPr>
        <w:t xml:space="preserve"> See ICTY, </w:t>
      </w:r>
      <w:r w:rsidR="00594076" w:rsidRPr="00A02D5C">
        <w:rPr>
          <w:rFonts w:ascii="Times New Roman" w:hAnsi="Times New Roman" w:cs="Times New Roman"/>
          <w:i/>
          <w:iCs/>
          <w:lang w:val="en-US"/>
        </w:rPr>
        <w:t>Pavle Strugar</w:t>
      </w:r>
      <w:r w:rsidR="00594076" w:rsidRPr="00827B34">
        <w:rPr>
          <w:rFonts w:ascii="Times New Roman" w:hAnsi="Times New Roman" w:cs="Times New Roman"/>
          <w:lang w:val="en-US"/>
        </w:rPr>
        <w:t>, case no. IT-01-42</w:t>
      </w:r>
      <w:r w:rsidR="0009207E" w:rsidRPr="00827B34">
        <w:rPr>
          <w:rFonts w:ascii="Times New Roman" w:hAnsi="Times New Roman" w:cs="Times New Roman"/>
          <w:lang w:val="en-US"/>
        </w:rPr>
        <w:t>-T</w:t>
      </w:r>
      <w:r w:rsidR="00594076" w:rsidRPr="00827B34">
        <w:rPr>
          <w:rFonts w:ascii="Times New Roman" w:hAnsi="Times New Roman" w:cs="Times New Roman"/>
          <w:lang w:val="en-US"/>
        </w:rPr>
        <w:t xml:space="preserve">, Judgment, 31 </w:t>
      </w:r>
      <w:r w:rsidR="00B73769" w:rsidRPr="00827B34">
        <w:rPr>
          <w:rFonts w:ascii="Times New Roman" w:hAnsi="Times New Roman" w:cs="Times New Roman"/>
          <w:lang w:val="en-US"/>
        </w:rPr>
        <w:t>J</w:t>
      </w:r>
      <w:r w:rsidR="00594076" w:rsidRPr="00827B34">
        <w:rPr>
          <w:rFonts w:ascii="Times New Roman" w:hAnsi="Times New Roman" w:cs="Times New Roman"/>
          <w:lang w:val="en-US"/>
        </w:rPr>
        <w:t xml:space="preserve">anuary 2005, https://www.icty.org/x/cases/strugar/tjug/en/str-tj050131e.pdf. </w:t>
      </w:r>
    </w:p>
  </w:endnote>
  <w:endnote w:id="26">
    <w:p w14:paraId="41AC071C" w14:textId="63C5FCE6"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w:t>
      </w:r>
      <w:r w:rsidR="00066254" w:rsidRPr="00827B34">
        <w:rPr>
          <w:rFonts w:ascii="Times New Roman" w:hAnsi="Times New Roman" w:cs="Times New Roman"/>
          <w:lang w:val="en-US"/>
        </w:rPr>
        <w:t xml:space="preserve">ICTY, </w:t>
      </w:r>
      <w:r w:rsidRPr="00A02D5C">
        <w:rPr>
          <w:rFonts w:ascii="Times New Roman" w:hAnsi="Times New Roman" w:cs="Times New Roman"/>
          <w:i/>
          <w:lang w:val="en-US"/>
        </w:rPr>
        <w:t>Hadzihasanovic and Kubura</w:t>
      </w:r>
      <w:r w:rsidRPr="00A02D5C">
        <w:rPr>
          <w:rFonts w:ascii="Times New Roman" w:hAnsi="Times New Roman" w:cs="Times New Roman"/>
          <w:lang w:val="en-US"/>
        </w:rPr>
        <w:t xml:space="preserve">, </w:t>
      </w:r>
      <w:r w:rsidR="008F4A80" w:rsidRPr="00827B34">
        <w:rPr>
          <w:rFonts w:ascii="Times New Roman" w:hAnsi="Times New Roman" w:cs="Times New Roman"/>
          <w:lang w:val="en-US"/>
        </w:rPr>
        <w:t xml:space="preserve">case no. IT-01-47-T, </w:t>
      </w:r>
      <w:r w:rsidRPr="00A02D5C">
        <w:rPr>
          <w:rFonts w:ascii="Times New Roman" w:hAnsi="Times New Roman" w:cs="Times New Roman"/>
          <w:lang w:val="en-US"/>
        </w:rPr>
        <w:t>Judgment, 15 March 2006, para. 63</w:t>
      </w:r>
      <w:r w:rsidR="00723B72">
        <w:rPr>
          <w:rFonts w:ascii="Times New Roman" w:hAnsi="Times New Roman" w:cs="Times New Roman"/>
          <w:lang w:val="en-US"/>
        </w:rPr>
        <w:t>,</w:t>
      </w:r>
      <w:r w:rsidR="00723B72" w:rsidRPr="00723B72">
        <w:t xml:space="preserve"> </w:t>
      </w:r>
      <w:r w:rsidR="00723B72" w:rsidRPr="00723B72">
        <w:rPr>
          <w:rFonts w:ascii="Times New Roman" w:hAnsi="Times New Roman" w:cs="Times New Roman"/>
          <w:lang w:val="en-US"/>
        </w:rPr>
        <w:t>https://www.icty.org/x/cases/hadzihasanovic_kubura/tjug/en/had-judg060315e.pdf</w:t>
      </w:r>
      <w:r w:rsidRPr="00A02D5C">
        <w:rPr>
          <w:rFonts w:ascii="Times New Roman" w:hAnsi="Times New Roman" w:cs="Times New Roman"/>
          <w:lang w:val="en-US"/>
        </w:rPr>
        <w:t>.</w:t>
      </w:r>
    </w:p>
  </w:endnote>
  <w:endnote w:id="27">
    <w:p w14:paraId="7F99A23F" w14:textId="19F7713D"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w:t>
      </w:r>
      <w:r w:rsidR="00066254" w:rsidRPr="00827B34">
        <w:rPr>
          <w:rFonts w:ascii="Times New Roman" w:hAnsi="Times New Roman" w:cs="Times New Roman"/>
          <w:lang w:val="en-US"/>
        </w:rPr>
        <w:t xml:space="preserve">ICTY, </w:t>
      </w:r>
      <w:r w:rsidRPr="00A02D5C">
        <w:rPr>
          <w:rFonts w:ascii="Times New Roman" w:hAnsi="Times New Roman" w:cs="Times New Roman"/>
          <w:i/>
          <w:lang w:val="en-US"/>
        </w:rPr>
        <w:t>Prli</w:t>
      </w:r>
      <w:r w:rsidR="00A340E5" w:rsidRPr="00827B34">
        <w:rPr>
          <w:rFonts w:ascii="Times New Roman" w:hAnsi="Times New Roman" w:cs="Times New Roman"/>
          <w:i/>
          <w:lang w:val="en-US"/>
        </w:rPr>
        <w:t>ć</w:t>
      </w:r>
      <w:r w:rsidRPr="00A02D5C">
        <w:rPr>
          <w:rFonts w:ascii="Times New Roman" w:hAnsi="Times New Roman" w:cs="Times New Roman"/>
          <w:i/>
          <w:lang w:val="en-US"/>
        </w:rPr>
        <w:t xml:space="preserve"> et al.</w:t>
      </w:r>
      <w:r w:rsidRPr="00A02D5C">
        <w:rPr>
          <w:rFonts w:ascii="Times New Roman" w:hAnsi="Times New Roman" w:cs="Times New Roman"/>
          <w:iCs/>
          <w:lang w:val="en-US"/>
        </w:rPr>
        <w:t>,</w:t>
      </w:r>
      <w:r w:rsidRPr="00A02D5C">
        <w:rPr>
          <w:rFonts w:ascii="Times New Roman" w:hAnsi="Times New Roman" w:cs="Times New Roman"/>
          <w:i/>
          <w:lang w:val="en-US"/>
        </w:rPr>
        <w:t xml:space="preserve"> </w:t>
      </w:r>
      <w:r w:rsidR="004A20DE" w:rsidRPr="00827B34">
        <w:rPr>
          <w:rFonts w:ascii="Times New Roman" w:hAnsi="Times New Roman" w:cs="Times New Roman"/>
          <w:iCs/>
          <w:lang w:val="en-US"/>
        </w:rPr>
        <w:t xml:space="preserve">case no. </w:t>
      </w:r>
      <w:r w:rsidR="004A20DE" w:rsidRPr="00827B34">
        <w:rPr>
          <w:rFonts w:ascii="Times New Roman" w:hAnsi="Times New Roman" w:cs="Times New Roman"/>
          <w:lang w:val="en-US"/>
        </w:rPr>
        <w:t xml:space="preserve">IT-04-74-T, </w:t>
      </w:r>
      <w:r w:rsidRPr="00A02D5C">
        <w:rPr>
          <w:rFonts w:ascii="Times New Roman" w:hAnsi="Times New Roman" w:cs="Times New Roman"/>
          <w:lang w:val="en-US"/>
        </w:rPr>
        <w:t xml:space="preserve">Judgment, Volume </w:t>
      </w:r>
      <w:r w:rsidR="00A340E5" w:rsidRPr="00827B34">
        <w:rPr>
          <w:rFonts w:ascii="Times New Roman" w:hAnsi="Times New Roman" w:cs="Times New Roman"/>
          <w:lang w:val="en-US"/>
        </w:rPr>
        <w:t>2 of 6</w:t>
      </w:r>
      <w:r w:rsidRPr="00A02D5C">
        <w:rPr>
          <w:rFonts w:ascii="Times New Roman" w:hAnsi="Times New Roman" w:cs="Times New Roman"/>
          <w:lang w:val="en-US"/>
        </w:rPr>
        <w:t xml:space="preserve">, </w:t>
      </w:r>
      <w:r w:rsidR="00DC3D5D" w:rsidRPr="00827B34">
        <w:rPr>
          <w:rFonts w:ascii="Times New Roman" w:hAnsi="Times New Roman" w:cs="Times New Roman"/>
          <w:lang w:val="en-US"/>
        </w:rPr>
        <w:t xml:space="preserve">doc. no. D2165-1567/78692 BIS, </w:t>
      </w:r>
      <w:r w:rsidR="00A340E5" w:rsidRPr="00827B34">
        <w:rPr>
          <w:rFonts w:ascii="Times New Roman" w:hAnsi="Times New Roman" w:cs="Times New Roman"/>
          <w:lang w:val="en-US"/>
        </w:rPr>
        <w:t xml:space="preserve">29 May 2013, </w:t>
      </w:r>
      <w:r w:rsidRPr="00A02D5C">
        <w:rPr>
          <w:rFonts w:ascii="Times New Roman" w:hAnsi="Times New Roman" w:cs="Times New Roman"/>
          <w:lang w:val="en-US"/>
        </w:rPr>
        <w:t>para. 1282</w:t>
      </w:r>
      <w:r w:rsidR="00C01EBC">
        <w:rPr>
          <w:rFonts w:ascii="Times New Roman" w:hAnsi="Times New Roman" w:cs="Times New Roman"/>
          <w:lang w:val="en-US"/>
        </w:rPr>
        <w:t xml:space="preserve">, </w:t>
      </w:r>
      <w:r w:rsidR="00C01EBC" w:rsidRPr="00C01EBC">
        <w:rPr>
          <w:rFonts w:ascii="Times New Roman" w:hAnsi="Times New Roman" w:cs="Times New Roman"/>
          <w:lang w:val="en-US"/>
        </w:rPr>
        <w:t>https://www.icty.org/x/cases/prlic/tjug/en/130529-2.pdf</w:t>
      </w:r>
      <w:r w:rsidRPr="00A02D5C">
        <w:rPr>
          <w:rFonts w:ascii="Times New Roman" w:hAnsi="Times New Roman" w:cs="Times New Roman"/>
          <w:lang w:val="en-US"/>
        </w:rPr>
        <w:t>.</w:t>
      </w:r>
    </w:p>
  </w:endnote>
  <w:endnote w:id="28">
    <w:p w14:paraId="416860D4" w14:textId="108514F6"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w:t>
      </w:r>
      <w:r w:rsidR="00BA445B" w:rsidRPr="00827B34">
        <w:rPr>
          <w:rFonts w:ascii="Times New Roman" w:hAnsi="Times New Roman" w:cs="Times New Roman"/>
          <w:iCs/>
          <w:lang w:val="en-US"/>
        </w:rPr>
        <w:t xml:space="preserve">ICTY, </w:t>
      </w:r>
      <w:r w:rsidR="00BA445B" w:rsidRPr="00827B34">
        <w:rPr>
          <w:rFonts w:ascii="Times New Roman" w:hAnsi="Times New Roman" w:cs="Times New Roman"/>
          <w:i/>
          <w:lang w:val="en-US"/>
        </w:rPr>
        <w:t>Tadić</w:t>
      </w:r>
      <w:r w:rsidR="00BA445B" w:rsidRPr="00827B34">
        <w:rPr>
          <w:rFonts w:ascii="Times New Roman" w:hAnsi="Times New Roman" w:cs="Times New Roman"/>
          <w:lang w:val="en-US"/>
        </w:rPr>
        <w:t xml:space="preserve">, case no. IT-95-1-T, </w:t>
      </w:r>
      <w:r w:rsidR="00F23A4D">
        <w:rPr>
          <w:rFonts w:ascii="Times New Roman" w:hAnsi="Times New Roman" w:cs="Times New Roman"/>
          <w:lang w:val="en-US"/>
        </w:rPr>
        <w:t>Opinion and</w:t>
      </w:r>
      <w:r w:rsidR="00BA445B" w:rsidRPr="00827B34">
        <w:rPr>
          <w:rFonts w:ascii="Times New Roman" w:hAnsi="Times New Roman" w:cs="Times New Roman"/>
          <w:lang w:val="en-US"/>
        </w:rPr>
        <w:t xml:space="preserve"> Judgment, 7 May 1997, paras. 715, </w:t>
      </w:r>
      <w:r w:rsidRPr="00A02D5C">
        <w:rPr>
          <w:rFonts w:ascii="Times New Roman" w:hAnsi="Times New Roman" w:cs="Times New Roman"/>
          <w:lang w:val="en-US"/>
        </w:rPr>
        <w:t>697</w:t>
      </w:r>
      <w:r w:rsidR="00F23A4D">
        <w:rPr>
          <w:rFonts w:ascii="Times New Roman" w:hAnsi="Times New Roman" w:cs="Times New Roman"/>
          <w:lang w:val="en-US"/>
        </w:rPr>
        <w:t>,</w:t>
      </w:r>
      <w:r w:rsidR="00F23A4D" w:rsidRPr="00F23A4D">
        <w:t xml:space="preserve"> </w:t>
      </w:r>
      <w:r w:rsidR="00F23A4D" w:rsidRPr="00F23A4D">
        <w:rPr>
          <w:rFonts w:ascii="Times New Roman" w:hAnsi="Times New Roman" w:cs="Times New Roman"/>
          <w:lang w:val="en-US"/>
        </w:rPr>
        <w:t>https://www.icty.org/x/cases/tadic/tjug/en/tad-tsj70507JT2-e.pdf</w:t>
      </w:r>
      <w:r w:rsidRPr="00A02D5C">
        <w:rPr>
          <w:rFonts w:ascii="Times New Roman" w:hAnsi="Times New Roman" w:cs="Times New Roman"/>
          <w:lang w:val="en-US"/>
        </w:rPr>
        <w:t>.</w:t>
      </w:r>
    </w:p>
  </w:endnote>
  <w:endnote w:id="29">
    <w:p w14:paraId="2498FE80" w14:textId="5C81C99A"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w:t>
      </w:r>
      <w:r w:rsidR="00791315" w:rsidRPr="00827B34">
        <w:rPr>
          <w:rFonts w:ascii="Times New Roman" w:hAnsi="Times New Roman" w:cs="Times New Roman"/>
          <w:lang w:val="en-US"/>
        </w:rPr>
        <w:t xml:space="preserve">ICTY, </w:t>
      </w:r>
      <w:r w:rsidR="00791315" w:rsidRPr="00827B34">
        <w:rPr>
          <w:rFonts w:ascii="Times New Roman" w:hAnsi="Times New Roman" w:cs="Times New Roman"/>
          <w:i/>
          <w:lang w:val="en-US"/>
        </w:rPr>
        <w:t>Blaškć</w:t>
      </w:r>
      <w:r w:rsidR="00791315" w:rsidRPr="00827B34">
        <w:rPr>
          <w:rFonts w:ascii="Times New Roman" w:hAnsi="Times New Roman" w:cs="Times New Roman"/>
          <w:lang w:val="en-US"/>
        </w:rPr>
        <w:t>, case no. IT-95-14-T, Judgment, 3 March 2000, para. 227</w:t>
      </w:r>
      <w:r w:rsidR="00F23A4D">
        <w:rPr>
          <w:rFonts w:ascii="Times New Roman" w:hAnsi="Times New Roman" w:cs="Times New Roman"/>
          <w:lang w:val="en-US"/>
        </w:rPr>
        <w:t xml:space="preserve">, </w:t>
      </w:r>
      <w:r w:rsidR="00F23A4D" w:rsidRPr="00F23A4D">
        <w:rPr>
          <w:rFonts w:ascii="Times New Roman" w:hAnsi="Times New Roman" w:cs="Times New Roman"/>
          <w:lang w:val="en-US"/>
        </w:rPr>
        <w:t>https://www.icty.org/x/cases/blaskic/tjug/en/bla-tj000303e.pdf</w:t>
      </w:r>
      <w:r w:rsidR="00791315" w:rsidRPr="00827B34">
        <w:rPr>
          <w:rFonts w:ascii="Times New Roman" w:hAnsi="Times New Roman" w:cs="Times New Roman"/>
          <w:lang w:val="en-US"/>
        </w:rPr>
        <w:t>.</w:t>
      </w:r>
    </w:p>
  </w:endnote>
  <w:endnote w:id="30">
    <w:p w14:paraId="633CCEB5" w14:textId="39CE16DE"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w:t>
      </w:r>
      <w:r w:rsidR="002261B6" w:rsidRPr="00827B34">
        <w:rPr>
          <w:rFonts w:ascii="Times New Roman" w:hAnsi="Times New Roman" w:cs="Times New Roman"/>
          <w:lang w:val="en-US"/>
        </w:rPr>
        <w:t xml:space="preserve">ICTY, </w:t>
      </w:r>
      <w:r w:rsidR="002261B6" w:rsidRPr="00827B34">
        <w:rPr>
          <w:rFonts w:ascii="Times New Roman" w:hAnsi="Times New Roman" w:cs="Times New Roman"/>
          <w:i/>
          <w:lang w:val="en-US"/>
        </w:rPr>
        <w:t>Kordić and Čerkez</w:t>
      </w:r>
      <w:r w:rsidR="002261B6" w:rsidRPr="00827B34">
        <w:rPr>
          <w:rFonts w:ascii="Times New Roman" w:hAnsi="Times New Roman" w:cs="Times New Roman"/>
          <w:lang w:val="en-US"/>
        </w:rPr>
        <w:t xml:space="preserve">, case no. IT-95-14/2-T, Judgment, 26 February 2001, paras. 6, </w:t>
      </w:r>
      <w:r w:rsidRPr="00A02D5C">
        <w:rPr>
          <w:rFonts w:ascii="Times New Roman" w:hAnsi="Times New Roman" w:cs="Times New Roman"/>
          <w:lang w:val="en-US"/>
        </w:rPr>
        <w:t>207</w:t>
      </w:r>
      <w:r w:rsidR="00F23A4D">
        <w:rPr>
          <w:rFonts w:ascii="Times New Roman" w:hAnsi="Times New Roman" w:cs="Times New Roman"/>
          <w:lang w:val="en-US"/>
        </w:rPr>
        <w:t>,</w:t>
      </w:r>
      <w:r w:rsidR="00F23A4D" w:rsidRPr="00F23A4D">
        <w:t xml:space="preserve"> </w:t>
      </w:r>
      <w:r w:rsidR="00F23A4D" w:rsidRPr="00F23A4D">
        <w:rPr>
          <w:rFonts w:ascii="Times New Roman" w:hAnsi="Times New Roman" w:cs="Times New Roman"/>
          <w:lang w:val="en-US"/>
        </w:rPr>
        <w:t>https://www.icty.org/x/cases/kordic_cerkez/tjug/en/kor-tj010226e.pdf</w:t>
      </w:r>
      <w:r w:rsidRPr="00A02D5C">
        <w:rPr>
          <w:rFonts w:ascii="Times New Roman" w:hAnsi="Times New Roman" w:cs="Times New Roman"/>
          <w:lang w:val="en-US"/>
        </w:rPr>
        <w:t>.</w:t>
      </w:r>
    </w:p>
  </w:endnote>
  <w:endnote w:id="31">
    <w:p w14:paraId="2ED2D01E" w14:textId="47BAA990"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Serge Brammertz et al.</w:t>
      </w:r>
      <w:r w:rsidR="00742B39" w:rsidRPr="00827B34">
        <w:rPr>
          <w:rFonts w:ascii="Times New Roman" w:hAnsi="Times New Roman" w:cs="Times New Roman"/>
          <w:lang w:val="en-US"/>
        </w:rPr>
        <w:t>, “</w:t>
      </w:r>
      <w:r w:rsidRPr="00A02D5C">
        <w:rPr>
          <w:rFonts w:ascii="Times New Roman" w:hAnsi="Times New Roman" w:cs="Times New Roman"/>
          <w:lang w:val="en-US"/>
        </w:rPr>
        <w:t>Attacks against Cultural Heritage as a Weapon of War: Prosecutions at the ICTY</w:t>
      </w:r>
      <w:r w:rsidR="00742B39" w:rsidRPr="00827B34">
        <w:rPr>
          <w:rFonts w:ascii="Times New Roman" w:hAnsi="Times New Roman" w:cs="Times New Roman"/>
          <w:lang w:val="en-US"/>
        </w:rPr>
        <w:t>,”</w:t>
      </w:r>
      <w:r w:rsidRPr="00A02D5C">
        <w:rPr>
          <w:rFonts w:ascii="Times New Roman" w:hAnsi="Times New Roman" w:cs="Times New Roman"/>
          <w:lang w:val="en-US"/>
        </w:rPr>
        <w:t xml:space="preserve"> </w:t>
      </w:r>
      <w:r w:rsidRPr="00A02D5C">
        <w:rPr>
          <w:rFonts w:ascii="Times New Roman" w:hAnsi="Times New Roman" w:cs="Times New Roman"/>
          <w:i/>
          <w:lang w:val="en-US"/>
        </w:rPr>
        <w:t xml:space="preserve">Journal of International Criminal Justice </w:t>
      </w:r>
      <w:r w:rsidRPr="00A02D5C">
        <w:rPr>
          <w:rFonts w:ascii="Times New Roman" w:hAnsi="Times New Roman" w:cs="Times New Roman"/>
          <w:lang w:val="en-US"/>
        </w:rPr>
        <w:t>14, no. 5 (2016):</w:t>
      </w:r>
      <w:r w:rsidRPr="00A02D5C">
        <w:rPr>
          <w:rFonts w:ascii="Times New Roman" w:hAnsi="Times New Roman" w:cs="Times New Roman"/>
          <w:i/>
          <w:lang w:val="en-US"/>
        </w:rPr>
        <w:t xml:space="preserve"> </w:t>
      </w:r>
      <w:r w:rsidRPr="00A02D5C">
        <w:rPr>
          <w:rFonts w:ascii="Times New Roman" w:hAnsi="Times New Roman" w:cs="Times New Roman"/>
          <w:lang w:val="en-US"/>
        </w:rPr>
        <w:t>1161.</w:t>
      </w:r>
    </w:p>
  </w:endnote>
  <w:endnote w:id="32">
    <w:p w14:paraId="6886EAFC" w14:textId="2076DEC7"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w:t>
      </w:r>
      <w:r w:rsidR="000B5C3D" w:rsidRPr="00827B34">
        <w:rPr>
          <w:rFonts w:ascii="Times New Roman" w:hAnsi="Times New Roman" w:cs="Times New Roman"/>
          <w:lang w:val="en-US"/>
        </w:rPr>
        <w:t xml:space="preserve">ICTY, </w:t>
      </w:r>
      <w:r w:rsidRPr="00A02D5C">
        <w:rPr>
          <w:rFonts w:ascii="Times New Roman" w:hAnsi="Times New Roman" w:cs="Times New Roman"/>
          <w:i/>
          <w:lang w:val="en-US"/>
        </w:rPr>
        <w:t>Tolimir</w:t>
      </w:r>
      <w:r w:rsidRPr="00A02D5C">
        <w:rPr>
          <w:rFonts w:ascii="Times New Roman" w:hAnsi="Times New Roman" w:cs="Times New Roman"/>
          <w:iCs/>
          <w:lang w:val="en-US"/>
        </w:rPr>
        <w:t xml:space="preserve">, </w:t>
      </w:r>
      <w:r w:rsidR="00F079FF" w:rsidRPr="00827B34">
        <w:rPr>
          <w:rFonts w:ascii="Times New Roman" w:hAnsi="Times New Roman" w:cs="Times New Roman"/>
          <w:iCs/>
          <w:lang w:val="en-US"/>
        </w:rPr>
        <w:t xml:space="preserve">case no. </w:t>
      </w:r>
      <w:r w:rsidR="00F079FF" w:rsidRPr="00827B34">
        <w:rPr>
          <w:rFonts w:ascii="Times New Roman" w:hAnsi="Times New Roman" w:cs="Times New Roman"/>
          <w:lang w:val="en-US"/>
        </w:rPr>
        <w:t xml:space="preserve">IT-05-88/2-T, </w:t>
      </w:r>
      <w:r w:rsidRPr="00A02D5C">
        <w:rPr>
          <w:rFonts w:ascii="Times New Roman" w:hAnsi="Times New Roman" w:cs="Times New Roman"/>
          <w:lang w:val="en-US"/>
        </w:rPr>
        <w:t>Judgment, 12 December 2012, para. 746</w:t>
      </w:r>
      <w:r w:rsidR="00387233">
        <w:rPr>
          <w:rFonts w:ascii="Times New Roman" w:hAnsi="Times New Roman" w:cs="Times New Roman"/>
          <w:lang w:val="en-US"/>
        </w:rPr>
        <w:t>,</w:t>
      </w:r>
      <w:r w:rsidR="00387233" w:rsidRPr="00387233">
        <w:t xml:space="preserve"> </w:t>
      </w:r>
      <w:r w:rsidR="00387233" w:rsidRPr="00387233">
        <w:rPr>
          <w:rFonts w:ascii="Times New Roman" w:hAnsi="Times New Roman" w:cs="Times New Roman"/>
          <w:lang w:val="en-US"/>
        </w:rPr>
        <w:t>https://www.icty.org/x/cases/tolimir/tjug/en/121212.pdf</w:t>
      </w:r>
      <w:r w:rsidRPr="00A02D5C">
        <w:rPr>
          <w:rFonts w:ascii="Times New Roman" w:hAnsi="Times New Roman" w:cs="Times New Roman"/>
          <w:lang w:val="en-US"/>
        </w:rPr>
        <w:t xml:space="preserve">. See also, </w:t>
      </w:r>
      <w:r w:rsidR="003460F5" w:rsidRPr="00827B34">
        <w:rPr>
          <w:rFonts w:ascii="Times New Roman" w:hAnsi="Times New Roman" w:cs="Times New Roman"/>
          <w:lang w:val="en-US"/>
        </w:rPr>
        <w:t xml:space="preserve">ICTY, </w:t>
      </w:r>
      <w:r w:rsidRPr="00A02D5C">
        <w:rPr>
          <w:rFonts w:ascii="Times New Roman" w:hAnsi="Times New Roman" w:cs="Times New Roman"/>
          <w:i/>
          <w:lang w:val="en-US"/>
        </w:rPr>
        <w:t>Krstić</w:t>
      </w:r>
      <w:r w:rsidRPr="00A02D5C">
        <w:rPr>
          <w:rFonts w:ascii="Times New Roman" w:hAnsi="Times New Roman" w:cs="Times New Roman"/>
          <w:lang w:val="en-US"/>
        </w:rPr>
        <w:t xml:space="preserve">, </w:t>
      </w:r>
      <w:r w:rsidR="003460F5" w:rsidRPr="00827B34">
        <w:rPr>
          <w:rFonts w:ascii="Times New Roman" w:hAnsi="Times New Roman" w:cs="Times New Roman"/>
          <w:lang w:val="en-US"/>
        </w:rPr>
        <w:t xml:space="preserve">case no. IT-98-33-A, </w:t>
      </w:r>
      <w:r w:rsidRPr="00A02D5C">
        <w:rPr>
          <w:rFonts w:ascii="Times New Roman" w:hAnsi="Times New Roman" w:cs="Times New Roman"/>
          <w:lang w:val="en-US"/>
        </w:rPr>
        <w:t>Appeal Judgment, 19 April 2004, para. 25</w:t>
      </w:r>
      <w:r w:rsidR="005F2556">
        <w:rPr>
          <w:rFonts w:ascii="Times New Roman" w:hAnsi="Times New Roman" w:cs="Times New Roman"/>
          <w:lang w:val="en-US"/>
        </w:rPr>
        <w:t>,</w:t>
      </w:r>
      <w:r w:rsidR="005C3DE2">
        <w:rPr>
          <w:rFonts w:ascii="Times New Roman" w:hAnsi="Times New Roman" w:cs="Times New Roman"/>
          <w:lang w:val="en-US"/>
        </w:rPr>
        <w:t xml:space="preserve"> </w:t>
      </w:r>
      <w:r w:rsidR="00256264" w:rsidRPr="00256264">
        <w:rPr>
          <w:rFonts w:ascii="Times New Roman" w:hAnsi="Times New Roman" w:cs="Times New Roman"/>
          <w:lang w:val="en-US"/>
        </w:rPr>
        <w:t>https://www.icty.org/x/cases/krstic/acjug/en/krs-aj040419e.pdf</w:t>
      </w:r>
      <w:r w:rsidRPr="00A02D5C">
        <w:rPr>
          <w:rFonts w:ascii="Times New Roman" w:hAnsi="Times New Roman" w:cs="Times New Roman"/>
          <w:lang w:val="en-US"/>
        </w:rPr>
        <w:t>.</w:t>
      </w:r>
    </w:p>
  </w:endnote>
  <w:endnote w:id="33">
    <w:p w14:paraId="1AF1A874" w14:textId="3A1FE69E"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w:t>
      </w:r>
      <w:r w:rsidR="00E6288F" w:rsidRPr="00827B34">
        <w:rPr>
          <w:rFonts w:ascii="Times New Roman" w:hAnsi="Times New Roman" w:cs="Times New Roman"/>
          <w:lang w:val="en-US"/>
        </w:rPr>
        <w:t xml:space="preserve">ICJ, </w:t>
      </w:r>
      <w:r w:rsidR="00E6288F" w:rsidRPr="00827B34">
        <w:rPr>
          <w:rFonts w:ascii="Times New Roman" w:hAnsi="Times New Roman" w:cs="Times New Roman"/>
          <w:i/>
          <w:lang w:val="en-US"/>
        </w:rPr>
        <w:t>Application of the Convention on the Prevention and Punishment of the Crime of Genocide (Bosnia and Herzegovina v. Serbia)</w:t>
      </w:r>
      <w:r w:rsidR="00E6288F" w:rsidRPr="00827B34">
        <w:rPr>
          <w:rFonts w:ascii="Times New Roman" w:hAnsi="Times New Roman" w:cs="Times New Roman"/>
          <w:iCs/>
          <w:lang w:val="en-US"/>
        </w:rPr>
        <w:t xml:space="preserve">, </w:t>
      </w:r>
      <w:r w:rsidR="00E6288F" w:rsidRPr="00827B34">
        <w:rPr>
          <w:rFonts w:ascii="Times New Roman" w:hAnsi="Times New Roman" w:cs="Times New Roman"/>
          <w:lang w:val="en-US"/>
        </w:rPr>
        <w:t>Judgment, 26 February 2007, para. 344, https://www.icj-cij.org/public/files/case-related/91/091-20070226-JUD-01-00-EN.pdf</w:t>
      </w:r>
      <w:r w:rsidRPr="00A02D5C">
        <w:rPr>
          <w:rFonts w:ascii="Times New Roman" w:hAnsi="Times New Roman" w:cs="Times New Roman"/>
          <w:lang w:val="en-US"/>
        </w:rPr>
        <w:t xml:space="preserve">; and </w:t>
      </w:r>
      <w:r w:rsidR="0041053A" w:rsidRPr="00827B34">
        <w:rPr>
          <w:rFonts w:ascii="Times New Roman" w:hAnsi="Times New Roman" w:cs="Times New Roman"/>
          <w:lang w:val="en-US"/>
        </w:rPr>
        <w:t xml:space="preserve">ICJ, </w:t>
      </w:r>
      <w:r w:rsidR="0041053A" w:rsidRPr="00827B34">
        <w:rPr>
          <w:rFonts w:ascii="Times New Roman" w:hAnsi="Times New Roman" w:cs="Times New Roman"/>
          <w:i/>
          <w:lang w:val="en-US"/>
        </w:rPr>
        <w:t>Application of the Convention on the Prevention and Punishment of the Crime of Genocide (Croatia v. Serbia)</w:t>
      </w:r>
      <w:r w:rsidR="0041053A" w:rsidRPr="00827B34">
        <w:rPr>
          <w:rFonts w:ascii="Times New Roman" w:hAnsi="Times New Roman" w:cs="Times New Roman"/>
          <w:iCs/>
          <w:lang w:val="en-US"/>
        </w:rPr>
        <w:t>,</w:t>
      </w:r>
      <w:r w:rsidR="0041053A" w:rsidRPr="00827B34">
        <w:rPr>
          <w:rFonts w:ascii="Times New Roman" w:hAnsi="Times New Roman" w:cs="Times New Roman"/>
          <w:lang w:val="en-US"/>
        </w:rPr>
        <w:t xml:space="preserve"> Judgment, 3 February 2015, paras. 386–99,</w:t>
      </w:r>
      <w:r w:rsidR="0041053A" w:rsidRPr="00827B34">
        <w:rPr>
          <w:lang w:val="en-US"/>
        </w:rPr>
        <w:t xml:space="preserve"> </w:t>
      </w:r>
      <w:r w:rsidR="0041053A" w:rsidRPr="00827B34">
        <w:rPr>
          <w:rFonts w:ascii="Times New Roman" w:hAnsi="Times New Roman" w:cs="Times New Roman"/>
          <w:lang w:val="en-US"/>
        </w:rPr>
        <w:t>https://www.icj-cij.org/public/files/case-related/118/118-20150203-JUD-01-00-EN.pdf</w:t>
      </w:r>
      <w:r w:rsidRPr="00A02D5C">
        <w:rPr>
          <w:rFonts w:ascii="Times New Roman" w:hAnsi="Times New Roman" w:cs="Times New Roman"/>
          <w:lang w:val="en-US"/>
        </w:rPr>
        <w:t xml:space="preserve">. </w:t>
      </w:r>
    </w:p>
  </w:endnote>
  <w:endnote w:id="34">
    <w:p w14:paraId="595BD560" w14:textId="00F6AE0A"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Micaela Frulli</w:t>
      </w:r>
      <w:r w:rsidR="00742B39" w:rsidRPr="00827B34">
        <w:rPr>
          <w:rFonts w:ascii="Times New Roman" w:hAnsi="Times New Roman" w:cs="Times New Roman"/>
          <w:lang w:val="en-US"/>
        </w:rPr>
        <w:t>, “</w:t>
      </w:r>
      <w:r w:rsidRPr="00A02D5C">
        <w:rPr>
          <w:rFonts w:ascii="Times New Roman" w:hAnsi="Times New Roman" w:cs="Times New Roman"/>
          <w:lang w:val="en-US"/>
        </w:rPr>
        <w:t xml:space="preserve">The Criminalization of Offences </w:t>
      </w:r>
      <w:r w:rsidR="002D0FD8" w:rsidRPr="00827B34">
        <w:rPr>
          <w:rFonts w:ascii="Times New Roman" w:hAnsi="Times New Roman" w:cs="Times New Roman"/>
          <w:lang w:val="en-US"/>
        </w:rPr>
        <w:t>a</w:t>
      </w:r>
      <w:r w:rsidRPr="00A02D5C">
        <w:rPr>
          <w:rFonts w:ascii="Times New Roman" w:hAnsi="Times New Roman" w:cs="Times New Roman"/>
          <w:lang w:val="en-US"/>
        </w:rPr>
        <w:t>gainst Cultural Heritage in Times of Armed Conflict: The Quest for Consistency</w:t>
      </w:r>
      <w:r w:rsidR="002D0FD8" w:rsidRPr="00827B34">
        <w:rPr>
          <w:rFonts w:ascii="Times New Roman" w:hAnsi="Times New Roman" w:cs="Times New Roman"/>
          <w:lang w:val="en-US"/>
        </w:rPr>
        <w:t>,”</w:t>
      </w:r>
      <w:r w:rsidRPr="00A02D5C">
        <w:rPr>
          <w:rFonts w:ascii="Times New Roman" w:hAnsi="Times New Roman" w:cs="Times New Roman"/>
          <w:lang w:val="en-US"/>
        </w:rPr>
        <w:t xml:space="preserve"> </w:t>
      </w:r>
      <w:r w:rsidRPr="00A02D5C">
        <w:rPr>
          <w:rFonts w:ascii="Times New Roman" w:hAnsi="Times New Roman" w:cs="Times New Roman"/>
          <w:i/>
          <w:lang w:val="en-US"/>
        </w:rPr>
        <w:t xml:space="preserve">European Journal of International Law </w:t>
      </w:r>
      <w:r w:rsidRPr="00A02D5C">
        <w:rPr>
          <w:rFonts w:ascii="Times New Roman" w:hAnsi="Times New Roman" w:cs="Times New Roman"/>
          <w:lang w:val="en-US"/>
        </w:rPr>
        <w:t>22, no. 1 (2011):</w:t>
      </w:r>
      <w:r w:rsidRPr="00A02D5C">
        <w:rPr>
          <w:rFonts w:ascii="Times New Roman" w:hAnsi="Times New Roman" w:cs="Times New Roman"/>
          <w:i/>
          <w:lang w:val="en-US"/>
        </w:rPr>
        <w:t xml:space="preserve"> </w:t>
      </w:r>
      <w:r w:rsidRPr="00A02D5C">
        <w:rPr>
          <w:rFonts w:ascii="Times New Roman" w:hAnsi="Times New Roman" w:cs="Times New Roman"/>
          <w:lang w:val="en-US"/>
        </w:rPr>
        <w:t>211.</w:t>
      </w:r>
    </w:p>
  </w:endnote>
  <w:endnote w:id="35">
    <w:p w14:paraId="33159912" w14:textId="33794597"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w:t>
      </w:r>
      <w:r w:rsidR="002D0FD8" w:rsidRPr="00827B34">
        <w:rPr>
          <w:rFonts w:ascii="Times New Roman" w:hAnsi="Times New Roman" w:cs="Times New Roman"/>
          <w:lang w:val="en-US"/>
        </w:rPr>
        <w:t xml:space="preserve">ICC, </w:t>
      </w:r>
      <w:r w:rsidRPr="00A02D5C">
        <w:rPr>
          <w:rFonts w:ascii="Times New Roman" w:hAnsi="Times New Roman" w:cs="Times New Roman"/>
          <w:i/>
          <w:lang w:val="en-US"/>
        </w:rPr>
        <w:t>Al Mahdi</w:t>
      </w:r>
      <w:r w:rsidRPr="00A02D5C">
        <w:rPr>
          <w:rFonts w:ascii="Times New Roman" w:hAnsi="Times New Roman" w:cs="Times New Roman"/>
          <w:iCs/>
          <w:lang w:val="en-US"/>
        </w:rPr>
        <w:t xml:space="preserve">, </w:t>
      </w:r>
      <w:r w:rsidR="00531E21" w:rsidRPr="00827B34">
        <w:rPr>
          <w:rFonts w:ascii="Times New Roman" w:hAnsi="Times New Roman" w:cs="Times New Roman"/>
          <w:iCs/>
          <w:lang w:val="en-US"/>
        </w:rPr>
        <w:t xml:space="preserve">case no. </w:t>
      </w:r>
      <w:r w:rsidR="00DA1E25" w:rsidRPr="00827B34">
        <w:rPr>
          <w:rFonts w:ascii="Times New Roman" w:hAnsi="Times New Roman" w:cs="Times New Roman"/>
          <w:lang w:val="en-US"/>
        </w:rPr>
        <w:t xml:space="preserve">ICC-01/12-01/15, </w:t>
      </w:r>
      <w:r w:rsidRPr="00A02D5C">
        <w:rPr>
          <w:rFonts w:ascii="Times New Roman" w:hAnsi="Times New Roman" w:cs="Times New Roman"/>
          <w:lang w:val="en-US"/>
        </w:rPr>
        <w:t>Judgment and Sentence, 27 September 2016, para. 33</w:t>
      </w:r>
      <w:r w:rsidR="00C66E48">
        <w:rPr>
          <w:rFonts w:ascii="Times New Roman" w:hAnsi="Times New Roman" w:cs="Times New Roman"/>
          <w:lang w:val="en-US"/>
        </w:rPr>
        <w:t>,</w:t>
      </w:r>
      <w:r w:rsidR="0097273C" w:rsidRPr="0097273C">
        <w:t xml:space="preserve"> </w:t>
      </w:r>
      <w:r w:rsidR="0097273C" w:rsidRPr="0097273C">
        <w:rPr>
          <w:rFonts w:ascii="Times New Roman" w:hAnsi="Times New Roman" w:cs="Times New Roman"/>
          <w:lang w:val="en-US"/>
        </w:rPr>
        <w:t>https://www.icc-cpi.int/Pages/record.aspx?docNo=ICC-01/12-01/15-171</w:t>
      </w:r>
      <w:r w:rsidRPr="00A02D5C">
        <w:rPr>
          <w:rFonts w:ascii="Times New Roman" w:hAnsi="Times New Roman" w:cs="Times New Roman"/>
          <w:lang w:val="en-US"/>
        </w:rPr>
        <w:t>.</w:t>
      </w:r>
    </w:p>
  </w:endnote>
  <w:endnote w:id="36">
    <w:p w14:paraId="5E9E0F2B" w14:textId="4CC15C6A"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ICC</w:t>
      </w:r>
      <w:r w:rsidR="00531E21" w:rsidRPr="00827B34">
        <w:rPr>
          <w:rFonts w:ascii="Times New Roman" w:hAnsi="Times New Roman" w:cs="Times New Roman"/>
          <w:lang w:val="en-US"/>
        </w:rPr>
        <w:t>,</w:t>
      </w:r>
      <w:r w:rsidRPr="00A02D5C">
        <w:rPr>
          <w:rFonts w:ascii="Times New Roman" w:hAnsi="Times New Roman" w:cs="Times New Roman"/>
          <w:lang w:val="en-US"/>
        </w:rPr>
        <w:t xml:space="preserve"> Office of the Prosecutor, </w:t>
      </w:r>
      <w:r w:rsidRPr="00A02D5C">
        <w:rPr>
          <w:rFonts w:ascii="Times New Roman" w:hAnsi="Times New Roman" w:cs="Times New Roman"/>
          <w:i/>
          <w:lang w:val="en-US"/>
        </w:rPr>
        <w:t>Situation in Mali</w:t>
      </w:r>
      <w:r w:rsidR="008360D1" w:rsidRPr="00827B34">
        <w:rPr>
          <w:rFonts w:ascii="Times New Roman" w:hAnsi="Times New Roman" w:cs="Times New Roman"/>
          <w:i/>
          <w:lang w:val="en-US"/>
        </w:rPr>
        <w:t>:</w:t>
      </w:r>
      <w:r w:rsidRPr="00A02D5C">
        <w:rPr>
          <w:rFonts w:ascii="Times New Roman" w:hAnsi="Times New Roman" w:cs="Times New Roman"/>
          <w:i/>
          <w:lang w:val="en-US"/>
        </w:rPr>
        <w:t xml:space="preserve"> Article 53(1) Report</w:t>
      </w:r>
      <w:r w:rsidRPr="00A02D5C">
        <w:rPr>
          <w:rFonts w:ascii="Times New Roman" w:hAnsi="Times New Roman" w:cs="Times New Roman"/>
          <w:lang w:val="en-US"/>
        </w:rPr>
        <w:t>, 16 January 2013, para. 113.</w:t>
      </w:r>
    </w:p>
  </w:endnote>
  <w:endnote w:id="37">
    <w:p w14:paraId="70B8D755" w14:textId="325B9CB1"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ICC, Office of the Prosecutor, </w:t>
      </w:r>
      <w:r w:rsidR="009C0907">
        <w:rPr>
          <w:rFonts w:ascii="Times New Roman" w:hAnsi="Times New Roman" w:cs="Times New Roman"/>
          <w:lang w:val="en-US"/>
        </w:rPr>
        <w:t>“</w:t>
      </w:r>
      <w:r w:rsidRPr="00A02D5C">
        <w:rPr>
          <w:rFonts w:ascii="Times New Roman" w:hAnsi="Times New Roman" w:cs="Times New Roman"/>
          <w:lang w:val="en-US"/>
        </w:rPr>
        <w:t xml:space="preserve">Statement of </w:t>
      </w:r>
      <w:r w:rsidR="00C25C4D" w:rsidRPr="00827B34">
        <w:rPr>
          <w:rFonts w:ascii="Times New Roman" w:hAnsi="Times New Roman" w:cs="Times New Roman"/>
          <w:lang w:val="en-US"/>
        </w:rPr>
        <w:t xml:space="preserve">the </w:t>
      </w:r>
      <w:r w:rsidRPr="00A02D5C">
        <w:rPr>
          <w:rFonts w:ascii="Times New Roman" w:hAnsi="Times New Roman" w:cs="Times New Roman"/>
          <w:lang w:val="en-US"/>
        </w:rPr>
        <w:t>Prosecutor</w:t>
      </w:r>
      <w:r w:rsidR="00C25C4D" w:rsidRPr="00827B34">
        <w:rPr>
          <w:rFonts w:ascii="Times New Roman" w:hAnsi="Times New Roman" w:cs="Times New Roman"/>
          <w:lang w:val="en-US"/>
        </w:rPr>
        <w:t xml:space="preserve"> of the International Criminal Court</w:t>
      </w:r>
      <w:r w:rsidRPr="00A02D5C">
        <w:rPr>
          <w:rFonts w:ascii="Times New Roman" w:hAnsi="Times New Roman" w:cs="Times New Roman"/>
          <w:lang w:val="en-US"/>
        </w:rPr>
        <w:t>, Fa</w:t>
      </w:r>
      <w:r w:rsidR="004D03E7" w:rsidRPr="00827B34">
        <w:rPr>
          <w:rFonts w:ascii="Times New Roman" w:hAnsi="Times New Roman" w:cs="Times New Roman"/>
          <w:lang w:val="en-US"/>
        </w:rPr>
        <w:t>t</w:t>
      </w:r>
      <w:r w:rsidRPr="00A02D5C">
        <w:rPr>
          <w:rFonts w:ascii="Times New Roman" w:hAnsi="Times New Roman" w:cs="Times New Roman"/>
          <w:lang w:val="en-US"/>
        </w:rPr>
        <w:t xml:space="preserve">ou Bensouda, </w:t>
      </w:r>
      <w:r w:rsidR="00C25C4D" w:rsidRPr="00827B34">
        <w:rPr>
          <w:rFonts w:ascii="Times New Roman" w:hAnsi="Times New Roman" w:cs="Times New Roman"/>
          <w:lang w:val="en-US"/>
        </w:rPr>
        <w:t xml:space="preserve">Following the Transfer of the First Suspect in the Mali Investigation,” </w:t>
      </w:r>
      <w:r w:rsidRPr="00A02D5C">
        <w:rPr>
          <w:rFonts w:ascii="Times New Roman" w:hAnsi="Times New Roman" w:cs="Times New Roman"/>
          <w:lang w:val="en-US"/>
        </w:rPr>
        <w:t xml:space="preserve">26 September 2015, </w:t>
      </w:r>
      <w:r w:rsidR="0000618A" w:rsidRPr="0000618A">
        <w:t xml:space="preserve"> </w:t>
      </w:r>
      <w:r w:rsidR="0000618A" w:rsidRPr="0000618A">
        <w:rPr>
          <w:rFonts w:ascii="Times New Roman" w:hAnsi="Times New Roman" w:cs="Times New Roman"/>
          <w:lang w:val="en-US"/>
        </w:rPr>
        <w:t>https://www.icc-cpi.int/pages/item.aspx?name=otp-stat-26-09-2015.</w:t>
      </w:r>
    </w:p>
  </w:endnote>
  <w:endnote w:id="38">
    <w:p w14:paraId="7E29DB99" w14:textId="5E6C4D43"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w:t>
      </w:r>
      <w:r w:rsidR="004E259F" w:rsidRPr="00827B34">
        <w:rPr>
          <w:rFonts w:ascii="Times New Roman" w:hAnsi="Times New Roman" w:cs="Times New Roman"/>
          <w:lang w:val="en-US"/>
        </w:rPr>
        <w:t xml:space="preserve">ICC, </w:t>
      </w:r>
      <w:r w:rsidRPr="00A02D5C">
        <w:rPr>
          <w:rFonts w:ascii="Times New Roman" w:hAnsi="Times New Roman" w:cs="Times New Roman"/>
          <w:i/>
          <w:lang w:val="en-US"/>
        </w:rPr>
        <w:t>Al Mahdi</w:t>
      </w:r>
      <w:r w:rsidRPr="00A02D5C">
        <w:rPr>
          <w:rFonts w:ascii="Times New Roman" w:hAnsi="Times New Roman" w:cs="Times New Roman"/>
          <w:iCs/>
          <w:lang w:val="en-US"/>
        </w:rPr>
        <w:t xml:space="preserve">, </w:t>
      </w:r>
      <w:r w:rsidRPr="00A02D5C">
        <w:rPr>
          <w:rFonts w:ascii="Times New Roman" w:hAnsi="Times New Roman" w:cs="Times New Roman"/>
          <w:lang w:val="en-US"/>
        </w:rPr>
        <w:t>Judgment and Sentence, para. 15.</w:t>
      </w:r>
    </w:p>
  </w:endnote>
  <w:endnote w:id="39">
    <w:p w14:paraId="26DA8960" w14:textId="2B7C82AB"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See William Schabas</w:t>
      </w:r>
      <w:r w:rsidR="00742B39" w:rsidRPr="00827B34">
        <w:rPr>
          <w:rFonts w:ascii="Times New Roman" w:hAnsi="Times New Roman" w:cs="Times New Roman"/>
          <w:lang w:val="en-US"/>
        </w:rPr>
        <w:t>, “</w:t>
      </w:r>
      <w:r w:rsidRPr="00A02D5C">
        <w:rPr>
          <w:rFonts w:ascii="Times New Roman" w:hAnsi="Times New Roman" w:cs="Times New Roman"/>
          <w:lang w:val="en-US"/>
        </w:rPr>
        <w:t xml:space="preserve">Al Mahdi </w:t>
      </w:r>
      <w:r w:rsidR="007B414A" w:rsidRPr="00827B34">
        <w:rPr>
          <w:rFonts w:ascii="Times New Roman" w:hAnsi="Times New Roman" w:cs="Times New Roman"/>
          <w:lang w:val="en-US"/>
        </w:rPr>
        <w:t>H</w:t>
      </w:r>
      <w:r w:rsidRPr="00A02D5C">
        <w:rPr>
          <w:rFonts w:ascii="Times New Roman" w:hAnsi="Times New Roman" w:cs="Times New Roman"/>
          <w:lang w:val="en-US"/>
        </w:rPr>
        <w:t xml:space="preserve">as </w:t>
      </w:r>
      <w:r w:rsidR="007B414A" w:rsidRPr="00827B34">
        <w:rPr>
          <w:rFonts w:ascii="Times New Roman" w:hAnsi="Times New Roman" w:cs="Times New Roman"/>
          <w:lang w:val="en-US"/>
        </w:rPr>
        <w:t>B</w:t>
      </w:r>
      <w:r w:rsidRPr="00A02D5C">
        <w:rPr>
          <w:rFonts w:ascii="Times New Roman" w:hAnsi="Times New Roman" w:cs="Times New Roman"/>
          <w:lang w:val="en-US"/>
        </w:rPr>
        <w:t xml:space="preserve">een Convicted of a Crime </w:t>
      </w:r>
      <w:r w:rsidR="007B414A" w:rsidRPr="00827B34">
        <w:rPr>
          <w:rFonts w:ascii="Times New Roman" w:hAnsi="Times New Roman" w:cs="Times New Roman"/>
          <w:lang w:val="en-US"/>
        </w:rPr>
        <w:t>H</w:t>
      </w:r>
      <w:r w:rsidRPr="00A02D5C">
        <w:rPr>
          <w:rFonts w:ascii="Times New Roman" w:hAnsi="Times New Roman" w:cs="Times New Roman"/>
          <w:lang w:val="en-US"/>
        </w:rPr>
        <w:t xml:space="preserve">e </w:t>
      </w:r>
      <w:r w:rsidR="007B414A" w:rsidRPr="00827B34">
        <w:rPr>
          <w:rFonts w:ascii="Times New Roman" w:hAnsi="Times New Roman" w:cs="Times New Roman"/>
          <w:lang w:val="en-US"/>
        </w:rPr>
        <w:t>D</w:t>
      </w:r>
      <w:r w:rsidRPr="00A02D5C">
        <w:rPr>
          <w:rFonts w:ascii="Times New Roman" w:hAnsi="Times New Roman" w:cs="Times New Roman"/>
          <w:lang w:val="en-US"/>
        </w:rPr>
        <w:t xml:space="preserve">id </w:t>
      </w:r>
      <w:r w:rsidR="007B414A" w:rsidRPr="00827B34">
        <w:rPr>
          <w:rFonts w:ascii="Times New Roman" w:hAnsi="Times New Roman" w:cs="Times New Roman"/>
          <w:lang w:val="en-US"/>
        </w:rPr>
        <w:t>N</w:t>
      </w:r>
      <w:r w:rsidRPr="00A02D5C">
        <w:rPr>
          <w:rFonts w:ascii="Times New Roman" w:hAnsi="Times New Roman" w:cs="Times New Roman"/>
          <w:lang w:val="en-US"/>
        </w:rPr>
        <w:t>ot Commit</w:t>
      </w:r>
      <w:r w:rsidR="00742B39" w:rsidRPr="00827B34">
        <w:rPr>
          <w:rFonts w:ascii="Times New Roman" w:hAnsi="Times New Roman" w:cs="Times New Roman"/>
          <w:lang w:val="en-US"/>
        </w:rPr>
        <w:t>,”</w:t>
      </w:r>
      <w:r w:rsidRPr="00A02D5C">
        <w:rPr>
          <w:rFonts w:ascii="Times New Roman" w:hAnsi="Times New Roman" w:cs="Times New Roman"/>
          <w:lang w:val="en-US"/>
        </w:rPr>
        <w:t xml:space="preserve"> </w:t>
      </w:r>
      <w:r w:rsidRPr="00A02D5C">
        <w:rPr>
          <w:rFonts w:ascii="Times New Roman" w:hAnsi="Times New Roman" w:cs="Times New Roman"/>
          <w:i/>
          <w:lang w:val="en-US"/>
        </w:rPr>
        <w:t xml:space="preserve">Case Western Reserve Journal of International Law </w:t>
      </w:r>
      <w:r w:rsidRPr="00A02D5C">
        <w:rPr>
          <w:rFonts w:ascii="Times New Roman" w:hAnsi="Times New Roman" w:cs="Times New Roman"/>
          <w:lang w:val="en-US"/>
        </w:rPr>
        <w:t>49, no. 1 (2017):</w:t>
      </w:r>
      <w:r w:rsidRPr="00A02D5C">
        <w:rPr>
          <w:rFonts w:ascii="Times New Roman" w:hAnsi="Times New Roman" w:cs="Times New Roman"/>
          <w:i/>
          <w:lang w:val="en-US"/>
        </w:rPr>
        <w:t xml:space="preserve"> </w:t>
      </w:r>
      <w:r w:rsidRPr="00A02D5C">
        <w:rPr>
          <w:rFonts w:ascii="Times New Roman" w:hAnsi="Times New Roman" w:cs="Times New Roman"/>
          <w:lang w:val="en-US"/>
        </w:rPr>
        <w:t>75.</w:t>
      </w:r>
    </w:p>
  </w:endnote>
  <w:endnote w:id="40">
    <w:p w14:paraId="28D4E70B" w14:textId="28133F8B"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See Ori Pomson</w:t>
      </w:r>
      <w:r w:rsidR="00742B39" w:rsidRPr="00827B34">
        <w:rPr>
          <w:rFonts w:ascii="Times New Roman" w:hAnsi="Times New Roman" w:cs="Times New Roman"/>
          <w:lang w:val="en-US"/>
        </w:rPr>
        <w:t>, “</w:t>
      </w:r>
      <w:r w:rsidRPr="00A02D5C">
        <w:rPr>
          <w:rFonts w:ascii="Times New Roman" w:hAnsi="Times New Roman" w:cs="Times New Roman"/>
          <w:lang w:val="en-US"/>
        </w:rPr>
        <w:t>Ntaganda Appeals Chamber Judgment Divided on Meaning of “Attack</w:t>
      </w:r>
      <w:r w:rsidR="00EC7182" w:rsidRPr="00A02D5C">
        <w:rPr>
          <w:rFonts w:ascii="Times New Roman" w:hAnsi="Times New Roman" w:cs="Times New Roman"/>
          <w:lang w:val="en-US"/>
        </w:rPr>
        <w:t>,”</w:t>
      </w:r>
      <w:r w:rsidRPr="00A02D5C">
        <w:rPr>
          <w:rFonts w:ascii="Times New Roman" w:hAnsi="Times New Roman" w:cs="Times New Roman"/>
          <w:lang w:val="en-US"/>
        </w:rPr>
        <w:t xml:space="preserve">’ </w:t>
      </w:r>
      <w:r w:rsidRPr="00A02D5C">
        <w:rPr>
          <w:rFonts w:ascii="Times New Roman" w:hAnsi="Times New Roman" w:cs="Times New Roman"/>
          <w:i/>
          <w:lang w:val="en-US"/>
        </w:rPr>
        <w:t>Articles of War</w:t>
      </w:r>
      <w:r w:rsidR="00634BD4" w:rsidRPr="00827B34">
        <w:rPr>
          <w:rFonts w:ascii="Times New Roman" w:hAnsi="Times New Roman" w:cs="Times New Roman"/>
          <w:iCs/>
          <w:lang w:val="en-US"/>
        </w:rPr>
        <w:t>,</w:t>
      </w:r>
      <w:r w:rsidRPr="00A02D5C">
        <w:rPr>
          <w:rFonts w:ascii="Times New Roman" w:hAnsi="Times New Roman" w:cs="Times New Roman"/>
          <w:i/>
          <w:lang w:val="en-US"/>
        </w:rPr>
        <w:t xml:space="preserve"> </w:t>
      </w:r>
      <w:r w:rsidRPr="00A02D5C">
        <w:rPr>
          <w:rFonts w:ascii="Times New Roman" w:hAnsi="Times New Roman" w:cs="Times New Roman"/>
          <w:lang w:val="en-US"/>
        </w:rPr>
        <w:t xml:space="preserve">12 May 2021, </w:t>
      </w:r>
      <w:r w:rsidR="000B42FC" w:rsidRPr="000B42FC">
        <w:rPr>
          <w:rFonts w:ascii="Times New Roman" w:hAnsi="Times New Roman" w:cs="Times New Roman"/>
          <w:lang w:val="en-US"/>
        </w:rPr>
        <w:t>https://lieber.westpoint.edu/ntaganda-appeals-chamber-judgment-divided-meaning-attack/.</w:t>
      </w:r>
    </w:p>
  </w:endnote>
  <w:endnote w:id="41">
    <w:p w14:paraId="27F4BF7C" w14:textId="60B454D7"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w:t>
      </w:r>
      <w:r w:rsidR="00C41518" w:rsidRPr="00827B34">
        <w:rPr>
          <w:rFonts w:ascii="Times New Roman" w:hAnsi="Times New Roman" w:cs="Times New Roman"/>
          <w:lang w:val="en-US"/>
        </w:rPr>
        <w:t xml:space="preserve">ICC, </w:t>
      </w:r>
      <w:r w:rsidR="00C41518" w:rsidRPr="00827B34">
        <w:rPr>
          <w:rFonts w:ascii="Times New Roman" w:hAnsi="Times New Roman" w:cs="Times New Roman"/>
          <w:i/>
          <w:lang w:val="en-US"/>
        </w:rPr>
        <w:t>Al Mahdi</w:t>
      </w:r>
      <w:r w:rsidR="00C41518" w:rsidRPr="00A02D5C">
        <w:rPr>
          <w:rFonts w:ascii="Times New Roman" w:hAnsi="Times New Roman" w:cs="Times New Roman"/>
          <w:iCs/>
          <w:lang w:val="en-US"/>
        </w:rPr>
        <w:t>,</w:t>
      </w:r>
      <w:r w:rsidR="00C41518" w:rsidRPr="00827B34">
        <w:rPr>
          <w:rFonts w:ascii="Times New Roman" w:hAnsi="Times New Roman" w:cs="Times New Roman"/>
          <w:i/>
          <w:lang w:val="en-US"/>
        </w:rPr>
        <w:t xml:space="preserve"> </w:t>
      </w:r>
      <w:r w:rsidR="00C41518" w:rsidRPr="00827B34">
        <w:rPr>
          <w:rFonts w:ascii="Times New Roman" w:hAnsi="Times New Roman" w:cs="Times New Roman"/>
          <w:lang w:val="en-US"/>
        </w:rPr>
        <w:t xml:space="preserve">Judgment and Sentence, paras. 77, </w:t>
      </w:r>
      <w:r w:rsidRPr="00A02D5C">
        <w:rPr>
          <w:rFonts w:ascii="Times New Roman" w:hAnsi="Times New Roman" w:cs="Times New Roman"/>
          <w:lang w:val="en-US"/>
        </w:rPr>
        <w:t>79</w:t>
      </w:r>
      <w:r w:rsidR="00C41518" w:rsidRPr="00827B34">
        <w:rPr>
          <w:rFonts w:ascii="Times New Roman" w:hAnsi="Times New Roman" w:cs="Times New Roman"/>
          <w:lang w:val="en-US"/>
        </w:rPr>
        <w:t>–</w:t>
      </w:r>
      <w:r w:rsidRPr="00A02D5C">
        <w:rPr>
          <w:rFonts w:ascii="Times New Roman" w:hAnsi="Times New Roman" w:cs="Times New Roman"/>
          <w:lang w:val="en-US"/>
        </w:rPr>
        <w:t>81.</w:t>
      </w:r>
    </w:p>
  </w:endnote>
  <w:endnote w:id="42">
    <w:p w14:paraId="0AFDE4CF" w14:textId="681A664A"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w:t>
      </w:r>
      <w:r w:rsidR="00D2388D" w:rsidRPr="00827B34">
        <w:rPr>
          <w:rFonts w:ascii="Times New Roman" w:hAnsi="Times New Roman" w:cs="Times New Roman"/>
          <w:lang w:val="en-US"/>
        </w:rPr>
        <w:t xml:space="preserve">ICC, </w:t>
      </w:r>
      <w:r w:rsidR="00D2388D" w:rsidRPr="00827B34">
        <w:rPr>
          <w:rFonts w:ascii="Times New Roman" w:hAnsi="Times New Roman" w:cs="Times New Roman"/>
          <w:i/>
          <w:lang w:val="en-US"/>
        </w:rPr>
        <w:t>Al Mahdi</w:t>
      </w:r>
      <w:r w:rsidR="00D2388D" w:rsidRPr="00827B34">
        <w:rPr>
          <w:rFonts w:ascii="Times New Roman" w:hAnsi="Times New Roman" w:cs="Times New Roman"/>
          <w:iCs/>
          <w:lang w:val="en-US"/>
        </w:rPr>
        <w:t>,</w:t>
      </w:r>
      <w:r w:rsidR="00D2388D" w:rsidRPr="00827B34">
        <w:rPr>
          <w:rFonts w:ascii="Times New Roman" w:hAnsi="Times New Roman" w:cs="Times New Roman"/>
          <w:i/>
          <w:lang w:val="en-US"/>
        </w:rPr>
        <w:t xml:space="preserve"> </w:t>
      </w:r>
      <w:r w:rsidR="00D2388D" w:rsidRPr="00827B34">
        <w:rPr>
          <w:rFonts w:ascii="Times New Roman" w:hAnsi="Times New Roman" w:cs="Times New Roman"/>
          <w:lang w:val="en-US"/>
        </w:rPr>
        <w:t xml:space="preserve">Reparations Order, 17 August 2017, paras. 15, 16, </w:t>
      </w:r>
      <w:r w:rsidRPr="00A02D5C">
        <w:rPr>
          <w:rFonts w:ascii="Times New Roman" w:hAnsi="Times New Roman" w:cs="Times New Roman"/>
          <w:lang w:val="en-US"/>
        </w:rPr>
        <w:t>22</w:t>
      </w:r>
      <w:r w:rsidR="00765D32">
        <w:rPr>
          <w:rFonts w:ascii="Times New Roman" w:hAnsi="Times New Roman" w:cs="Times New Roman"/>
          <w:lang w:val="en-US"/>
        </w:rPr>
        <w:t>,</w:t>
      </w:r>
      <w:r w:rsidR="00765D32" w:rsidRPr="00765D32">
        <w:t xml:space="preserve"> </w:t>
      </w:r>
      <w:r w:rsidR="00765D32" w:rsidRPr="00765D32">
        <w:rPr>
          <w:rFonts w:ascii="Times New Roman" w:hAnsi="Times New Roman" w:cs="Times New Roman"/>
          <w:lang w:val="en-US"/>
        </w:rPr>
        <w:t>https://www.icc-cpi.int/CourtRecords/CR2017_05117.PDF</w:t>
      </w:r>
      <w:r w:rsidRPr="00A02D5C">
        <w:rPr>
          <w:rFonts w:ascii="Times New Roman" w:hAnsi="Times New Roman" w:cs="Times New Roman"/>
          <w:lang w:val="en-US"/>
        </w:rPr>
        <w:t>.</w:t>
      </w:r>
    </w:p>
  </w:endnote>
  <w:endnote w:id="43">
    <w:p w14:paraId="25EABBAF" w14:textId="2B1BE3FA"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w:t>
      </w:r>
      <w:r w:rsidR="00EB3A7B" w:rsidRPr="00827B34">
        <w:rPr>
          <w:rFonts w:ascii="Times New Roman" w:hAnsi="Times New Roman" w:cs="Times New Roman"/>
          <w:lang w:val="en-US"/>
        </w:rPr>
        <w:t xml:space="preserve">ICC, Office of the Prosecutor, </w:t>
      </w:r>
      <w:r w:rsidR="00EB3A7B" w:rsidRPr="00827B34">
        <w:rPr>
          <w:rFonts w:ascii="Times New Roman" w:hAnsi="Times New Roman" w:cs="Times New Roman"/>
          <w:i/>
          <w:lang w:val="en-US"/>
        </w:rPr>
        <w:t>Policy on Cultural Heritage</w:t>
      </w:r>
      <w:r w:rsidR="00EB3A7B" w:rsidRPr="00827B34">
        <w:rPr>
          <w:rFonts w:ascii="Times New Roman" w:hAnsi="Times New Roman" w:cs="Times New Roman"/>
          <w:lang w:val="en-US"/>
        </w:rPr>
        <w:t xml:space="preserve"> (The Hague: ICC, June 2021), para. 20, https://www.icc-cpi.int/itemsDocuments/20210614-otp-policy-cultural-heritage-eng.pdf</w:t>
      </w:r>
      <w:r w:rsidRPr="00A02D5C">
        <w:rPr>
          <w:rFonts w:ascii="Times New Roman" w:hAnsi="Times New Roman" w:cs="Times New Roman"/>
          <w:lang w:val="en-US"/>
        </w:rPr>
        <w:t>.</w:t>
      </w:r>
    </w:p>
  </w:endnote>
  <w:endnote w:id="44">
    <w:p w14:paraId="392F00B1" w14:textId="13CC3260"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w:t>
      </w:r>
      <w:r w:rsidR="00CD3A13" w:rsidRPr="00827B34">
        <w:rPr>
          <w:rFonts w:ascii="Times New Roman" w:hAnsi="Times New Roman" w:cs="Times New Roman"/>
          <w:lang w:val="en-US"/>
        </w:rPr>
        <w:t xml:space="preserve">ICC, </w:t>
      </w:r>
      <w:r w:rsidRPr="00A02D5C">
        <w:rPr>
          <w:rFonts w:ascii="Times New Roman" w:hAnsi="Times New Roman" w:cs="Times New Roman"/>
          <w:i/>
          <w:lang w:val="en-US"/>
        </w:rPr>
        <w:t>Al Hassan Ag Abdoul Aziz Ag Mohamed Ag Mahmoud</w:t>
      </w:r>
      <w:r w:rsidRPr="00A02D5C">
        <w:rPr>
          <w:rFonts w:ascii="Times New Roman" w:hAnsi="Times New Roman" w:cs="Times New Roman"/>
          <w:iCs/>
          <w:lang w:val="en-US"/>
        </w:rPr>
        <w:t>,</w:t>
      </w:r>
      <w:r w:rsidRPr="00A02D5C">
        <w:rPr>
          <w:rFonts w:ascii="Times New Roman" w:hAnsi="Times New Roman" w:cs="Times New Roman"/>
          <w:i/>
          <w:lang w:val="en-US"/>
        </w:rPr>
        <w:t xml:space="preserve"> </w:t>
      </w:r>
      <w:r w:rsidR="00CD3A13" w:rsidRPr="00827B34">
        <w:rPr>
          <w:rFonts w:ascii="Times New Roman" w:hAnsi="Times New Roman" w:cs="Times New Roman"/>
          <w:iCs/>
          <w:lang w:val="en-US"/>
        </w:rPr>
        <w:t xml:space="preserve">case no. </w:t>
      </w:r>
      <w:r w:rsidR="00CD3A13" w:rsidRPr="00827B34">
        <w:rPr>
          <w:rFonts w:ascii="Times New Roman" w:hAnsi="Times New Roman" w:cs="Times New Roman"/>
          <w:lang w:val="en-US"/>
        </w:rPr>
        <w:t xml:space="preserve">ICC-01/12-01/18, </w:t>
      </w:r>
      <w:r w:rsidRPr="00A02D5C">
        <w:rPr>
          <w:rFonts w:ascii="Times New Roman" w:hAnsi="Times New Roman" w:cs="Times New Roman"/>
          <w:lang w:val="en-US"/>
        </w:rPr>
        <w:t>Rectificatif à la Décision relative à la confirmation des charges portées contre Al Hassan Ag Abdoul Aziz Ag Mohamed Ag Mahmoud</w:t>
      </w:r>
      <w:r w:rsidR="004C3A69" w:rsidRPr="00827B34">
        <w:rPr>
          <w:rFonts w:ascii="Times New Roman" w:hAnsi="Times New Roman" w:cs="Times New Roman"/>
          <w:lang w:val="en-US"/>
        </w:rPr>
        <w:t>,</w:t>
      </w:r>
      <w:r w:rsidRPr="00A02D5C">
        <w:rPr>
          <w:rFonts w:ascii="Times New Roman" w:hAnsi="Times New Roman" w:cs="Times New Roman"/>
          <w:lang w:val="en-US"/>
        </w:rPr>
        <w:t xml:space="preserve"> 13 </w:t>
      </w:r>
      <w:r w:rsidR="00AB615F" w:rsidRPr="00827B34">
        <w:rPr>
          <w:rFonts w:ascii="Times New Roman" w:hAnsi="Times New Roman" w:cs="Times New Roman"/>
          <w:lang w:val="en-US"/>
        </w:rPr>
        <w:t>N</w:t>
      </w:r>
      <w:r w:rsidRPr="00A02D5C">
        <w:rPr>
          <w:rFonts w:ascii="Times New Roman" w:hAnsi="Times New Roman" w:cs="Times New Roman"/>
          <w:lang w:val="en-US"/>
        </w:rPr>
        <w:t>ovemb</w:t>
      </w:r>
      <w:r w:rsidR="00AB615F" w:rsidRPr="00827B34">
        <w:rPr>
          <w:rFonts w:ascii="Times New Roman" w:hAnsi="Times New Roman" w:cs="Times New Roman"/>
          <w:lang w:val="en-US"/>
        </w:rPr>
        <w:t>er</w:t>
      </w:r>
      <w:r w:rsidRPr="00A02D5C">
        <w:rPr>
          <w:rFonts w:ascii="Times New Roman" w:hAnsi="Times New Roman" w:cs="Times New Roman"/>
          <w:lang w:val="en-US"/>
        </w:rPr>
        <w:t xml:space="preserve"> 2019, para. 683.</w:t>
      </w:r>
    </w:p>
  </w:endnote>
  <w:endnote w:id="45">
    <w:p w14:paraId="5B3A5127" w14:textId="505576AA" w:rsidR="006A3999" w:rsidRPr="00A02D5C" w:rsidRDefault="006A3999" w:rsidP="00A02D5C">
      <w:pPr>
        <w:pStyle w:val="EndnoteText"/>
        <w:spacing w:line="480" w:lineRule="auto"/>
        <w:rPr>
          <w:rFonts w:ascii="Times New Roman" w:hAnsi="Times New Roman" w:cs="Times New Roman"/>
          <w:lang w:val="en-US"/>
        </w:rPr>
      </w:pPr>
      <w:r w:rsidRPr="00A02D5C">
        <w:rPr>
          <w:rStyle w:val="EndnoteReference"/>
          <w:rFonts w:ascii="Times New Roman" w:hAnsi="Times New Roman" w:cs="Times New Roman"/>
          <w:lang w:val="en-US"/>
        </w:rPr>
        <w:endnoteRef/>
      </w:r>
      <w:r w:rsidRPr="00A02D5C">
        <w:rPr>
          <w:rFonts w:ascii="Times New Roman" w:hAnsi="Times New Roman" w:cs="Times New Roman"/>
          <w:lang w:val="en-US"/>
        </w:rPr>
        <w:t xml:space="preserve"> Rosemary Grey et al.</w:t>
      </w:r>
      <w:r w:rsidR="00742B39" w:rsidRPr="00827B34">
        <w:rPr>
          <w:rFonts w:ascii="Times New Roman" w:hAnsi="Times New Roman" w:cs="Times New Roman"/>
          <w:lang w:val="en-US"/>
        </w:rPr>
        <w:t>, “</w:t>
      </w:r>
      <w:r w:rsidRPr="00A02D5C">
        <w:rPr>
          <w:rFonts w:ascii="Times New Roman" w:hAnsi="Times New Roman" w:cs="Times New Roman"/>
          <w:lang w:val="en-US"/>
        </w:rPr>
        <w:t>Gender-</w:t>
      </w:r>
      <w:r w:rsidR="00341097" w:rsidRPr="00827B34">
        <w:rPr>
          <w:rFonts w:ascii="Times New Roman" w:hAnsi="Times New Roman" w:cs="Times New Roman"/>
          <w:lang w:val="en-US"/>
        </w:rPr>
        <w:t>B</w:t>
      </w:r>
      <w:r w:rsidRPr="00A02D5C">
        <w:rPr>
          <w:rFonts w:ascii="Times New Roman" w:hAnsi="Times New Roman" w:cs="Times New Roman"/>
          <w:lang w:val="en-US"/>
        </w:rPr>
        <w:t xml:space="preserve">ased Persecution as a Crime </w:t>
      </w:r>
      <w:r w:rsidR="00341097" w:rsidRPr="00827B34">
        <w:rPr>
          <w:rFonts w:ascii="Times New Roman" w:hAnsi="Times New Roman" w:cs="Times New Roman"/>
          <w:lang w:val="en-US"/>
        </w:rPr>
        <w:t>a</w:t>
      </w:r>
      <w:r w:rsidRPr="00A02D5C">
        <w:rPr>
          <w:rFonts w:ascii="Times New Roman" w:hAnsi="Times New Roman" w:cs="Times New Roman"/>
          <w:lang w:val="en-US"/>
        </w:rPr>
        <w:t>gainst Humanity: The Road Ahead</w:t>
      </w:r>
      <w:r w:rsidR="00742B39" w:rsidRPr="00827B34">
        <w:rPr>
          <w:rFonts w:ascii="Times New Roman" w:hAnsi="Times New Roman" w:cs="Times New Roman"/>
          <w:lang w:val="en-US"/>
        </w:rPr>
        <w:t>,”</w:t>
      </w:r>
      <w:r w:rsidRPr="00A02D5C">
        <w:rPr>
          <w:rFonts w:ascii="Times New Roman" w:hAnsi="Times New Roman" w:cs="Times New Roman"/>
          <w:lang w:val="en-US"/>
        </w:rPr>
        <w:t xml:space="preserve"> </w:t>
      </w:r>
      <w:r w:rsidRPr="00A02D5C">
        <w:rPr>
          <w:rFonts w:ascii="Times New Roman" w:hAnsi="Times New Roman" w:cs="Times New Roman"/>
          <w:i/>
          <w:lang w:val="en-US"/>
        </w:rPr>
        <w:t xml:space="preserve">Journal of International Criminal Justice </w:t>
      </w:r>
      <w:r w:rsidRPr="00A02D5C">
        <w:rPr>
          <w:rFonts w:ascii="Times New Roman" w:hAnsi="Times New Roman" w:cs="Times New Roman"/>
          <w:lang w:val="en-US"/>
        </w:rPr>
        <w:t>17, no. 5 (2019):</w:t>
      </w:r>
      <w:r w:rsidRPr="00A02D5C">
        <w:rPr>
          <w:rFonts w:ascii="Times New Roman" w:hAnsi="Times New Roman" w:cs="Times New Roman"/>
          <w:i/>
          <w:lang w:val="en-US"/>
        </w:rPr>
        <w:t xml:space="preserve"> </w:t>
      </w:r>
      <w:r w:rsidRPr="00A02D5C">
        <w:rPr>
          <w:rFonts w:ascii="Times New Roman" w:hAnsi="Times New Roman" w:cs="Times New Roman"/>
          <w:lang w:val="en-US"/>
        </w:rPr>
        <w:t xml:space="preserve">957.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7831226"/>
      <w:docPartObj>
        <w:docPartGallery w:val="Page Numbers (Bottom of Page)"/>
        <w:docPartUnique/>
      </w:docPartObj>
    </w:sdtPr>
    <w:sdtEndPr>
      <w:rPr>
        <w:rStyle w:val="PageNumber"/>
      </w:rPr>
    </w:sdtEndPr>
    <w:sdtContent>
      <w:p w14:paraId="5AD6DDD0" w14:textId="5AD12A49" w:rsidR="00016FD4" w:rsidRDefault="00016FD4" w:rsidP="00F362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457CF0" w14:textId="77777777" w:rsidR="00016FD4" w:rsidRDefault="00016FD4" w:rsidP="00016F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20791215"/>
      <w:docPartObj>
        <w:docPartGallery w:val="Page Numbers (Bottom of Page)"/>
        <w:docPartUnique/>
      </w:docPartObj>
    </w:sdtPr>
    <w:sdtEndPr>
      <w:rPr>
        <w:rStyle w:val="PageNumber"/>
        <w:rFonts w:ascii="Times New Roman" w:hAnsi="Times New Roman" w:cs="Times New Roman"/>
      </w:rPr>
    </w:sdtEndPr>
    <w:sdtContent>
      <w:p w14:paraId="5156B365" w14:textId="61966DE8" w:rsidR="00016FD4" w:rsidRPr="00016FD4" w:rsidRDefault="00016FD4" w:rsidP="00F36259">
        <w:pPr>
          <w:pStyle w:val="Footer"/>
          <w:framePr w:wrap="none" w:vAnchor="text" w:hAnchor="margin" w:xAlign="right" w:y="1"/>
          <w:rPr>
            <w:rStyle w:val="PageNumber"/>
            <w:rFonts w:ascii="Times New Roman" w:hAnsi="Times New Roman" w:cs="Times New Roman"/>
          </w:rPr>
        </w:pPr>
        <w:r w:rsidRPr="00016FD4">
          <w:rPr>
            <w:rStyle w:val="PageNumber"/>
            <w:rFonts w:ascii="Times New Roman" w:hAnsi="Times New Roman" w:cs="Times New Roman"/>
          </w:rPr>
          <w:fldChar w:fldCharType="begin"/>
        </w:r>
        <w:r w:rsidRPr="00016FD4">
          <w:rPr>
            <w:rStyle w:val="PageNumber"/>
            <w:rFonts w:ascii="Times New Roman" w:hAnsi="Times New Roman" w:cs="Times New Roman"/>
          </w:rPr>
          <w:instrText xml:space="preserve"> PAGE </w:instrText>
        </w:r>
        <w:r w:rsidRPr="00016FD4">
          <w:rPr>
            <w:rStyle w:val="PageNumber"/>
            <w:rFonts w:ascii="Times New Roman" w:hAnsi="Times New Roman" w:cs="Times New Roman"/>
          </w:rPr>
          <w:fldChar w:fldCharType="separate"/>
        </w:r>
        <w:r w:rsidRPr="00016FD4">
          <w:rPr>
            <w:rStyle w:val="PageNumber"/>
            <w:rFonts w:ascii="Times New Roman" w:hAnsi="Times New Roman" w:cs="Times New Roman"/>
            <w:noProof/>
          </w:rPr>
          <w:t>1</w:t>
        </w:r>
        <w:r w:rsidRPr="00016FD4">
          <w:rPr>
            <w:rStyle w:val="PageNumber"/>
            <w:rFonts w:ascii="Times New Roman" w:hAnsi="Times New Roman" w:cs="Times New Roman"/>
          </w:rPr>
          <w:fldChar w:fldCharType="end"/>
        </w:r>
      </w:p>
    </w:sdtContent>
  </w:sdt>
  <w:p w14:paraId="05EC326A" w14:textId="77777777" w:rsidR="00016FD4" w:rsidRPr="00016FD4" w:rsidRDefault="00016FD4" w:rsidP="00016FD4">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108DC" w14:textId="77777777" w:rsidR="007C2B0F" w:rsidRDefault="007C2B0F" w:rsidP="006A3999">
      <w:pPr>
        <w:spacing w:after="0" w:line="240" w:lineRule="auto"/>
      </w:pPr>
      <w:r>
        <w:separator/>
      </w:r>
    </w:p>
  </w:footnote>
  <w:footnote w:type="continuationSeparator" w:id="0">
    <w:p w14:paraId="0480DCE4" w14:textId="77777777" w:rsidR="007C2B0F" w:rsidRDefault="007C2B0F" w:rsidP="006A3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62163" w14:textId="77777777" w:rsidR="0001761E" w:rsidRPr="00A814B4" w:rsidRDefault="006A3999" w:rsidP="00C8608C">
    <w:pPr>
      <w:jc w:val="center"/>
      <w:rPr>
        <w:rFonts w:ascii="Times New Roman" w:hAnsi="Times New Roman" w:cs="Times New Roman"/>
        <w:lang w:val="en-US"/>
      </w:rPr>
    </w:pPr>
    <w:r>
      <w:tab/>
    </w:r>
  </w:p>
  <w:p w14:paraId="030B7270" w14:textId="77777777" w:rsidR="0001761E" w:rsidRDefault="007C2B0F" w:rsidP="00A814B4">
    <w:pPr>
      <w:pStyle w:val="Header"/>
      <w:tabs>
        <w:tab w:val="clear" w:pos="4320"/>
        <w:tab w:val="clear" w:pos="8640"/>
        <w:tab w:val="left" w:pos="294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063F8"/>
    <w:multiLevelType w:val="hybridMultilevel"/>
    <w:tmpl w:val="D8221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E0B27"/>
    <w:multiLevelType w:val="multilevel"/>
    <w:tmpl w:val="4EA8FDE8"/>
    <w:lvl w:ilvl="0">
      <w:start w:val="1"/>
      <w:numFmt w:val="upperRoman"/>
      <w:lvlText w:val="%1."/>
      <w:lvlJc w:val="left"/>
      <w:pPr>
        <w:ind w:left="1080" w:hanging="72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C63531"/>
    <w:multiLevelType w:val="multilevel"/>
    <w:tmpl w:val="9A8C57A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D5165A6"/>
    <w:multiLevelType w:val="hybridMultilevel"/>
    <w:tmpl w:val="5C98A6D0"/>
    <w:lvl w:ilvl="0" w:tplc="8FE023A2">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60C74"/>
    <w:multiLevelType w:val="hybridMultilevel"/>
    <w:tmpl w:val="CDA00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99"/>
    <w:rsid w:val="0000521B"/>
    <w:rsid w:val="0000618A"/>
    <w:rsid w:val="00010404"/>
    <w:rsid w:val="0001191D"/>
    <w:rsid w:val="00016FD4"/>
    <w:rsid w:val="000175A6"/>
    <w:rsid w:val="00017EE2"/>
    <w:rsid w:val="00022306"/>
    <w:rsid w:val="00025430"/>
    <w:rsid w:val="00026D89"/>
    <w:rsid w:val="00032911"/>
    <w:rsid w:val="00032BE0"/>
    <w:rsid w:val="00036E10"/>
    <w:rsid w:val="000523C6"/>
    <w:rsid w:val="000545FE"/>
    <w:rsid w:val="00055A7B"/>
    <w:rsid w:val="000636EB"/>
    <w:rsid w:val="00064504"/>
    <w:rsid w:val="00065D13"/>
    <w:rsid w:val="00066254"/>
    <w:rsid w:val="00071437"/>
    <w:rsid w:val="000719A8"/>
    <w:rsid w:val="00072C1B"/>
    <w:rsid w:val="00077C6D"/>
    <w:rsid w:val="000818BB"/>
    <w:rsid w:val="00083793"/>
    <w:rsid w:val="00087184"/>
    <w:rsid w:val="0009207E"/>
    <w:rsid w:val="0009358D"/>
    <w:rsid w:val="000A1AE1"/>
    <w:rsid w:val="000B287F"/>
    <w:rsid w:val="000B2E5B"/>
    <w:rsid w:val="000B42FC"/>
    <w:rsid w:val="000B51EC"/>
    <w:rsid w:val="000B566B"/>
    <w:rsid w:val="000B5C3D"/>
    <w:rsid w:val="000C0926"/>
    <w:rsid w:val="000C4ACB"/>
    <w:rsid w:val="000C6A3A"/>
    <w:rsid w:val="000D1240"/>
    <w:rsid w:val="000D4637"/>
    <w:rsid w:val="000D527E"/>
    <w:rsid w:val="000D6FF6"/>
    <w:rsid w:val="000E1454"/>
    <w:rsid w:val="000E2520"/>
    <w:rsid w:val="000E41C9"/>
    <w:rsid w:val="000F0392"/>
    <w:rsid w:val="000F73AC"/>
    <w:rsid w:val="00100A59"/>
    <w:rsid w:val="00100AC8"/>
    <w:rsid w:val="001022F7"/>
    <w:rsid w:val="001023B5"/>
    <w:rsid w:val="00102895"/>
    <w:rsid w:val="001049DF"/>
    <w:rsid w:val="001211AA"/>
    <w:rsid w:val="00121CDC"/>
    <w:rsid w:val="00123F2C"/>
    <w:rsid w:val="00126367"/>
    <w:rsid w:val="001320B2"/>
    <w:rsid w:val="00133AB3"/>
    <w:rsid w:val="00145E2B"/>
    <w:rsid w:val="00147CC1"/>
    <w:rsid w:val="00151214"/>
    <w:rsid w:val="001542DB"/>
    <w:rsid w:val="001545EB"/>
    <w:rsid w:val="00161018"/>
    <w:rsid w:val="00171991"/>
    <w:rsid w:val="00174992"/>
    <w:rsid w:val="00174C95"/>
    <w:rsid w:val="00175157"/>
    <w:rsid w:val="00176606"/>
    <w:rsid w:val="00183D7D"/>
    <w:rsid w:val="00184956"/>
    <w:rsid w:val="00197409"/>
    <w:rsid w:val="001A2C51"/>
    <w:rsid w:val="001B1B92"/>
    <w:rsid w:val="001B496F"/>
    <w:rsid w:val="001C09E8"/>
    <w:rsid w:val="001C33BE"/>
    <w:rsid w:val="001C5E0F"/>
    <w:rsid w:val="001C69E0"/>
    <w:rsid w:val="001C6ED1"/>
    <w:rsid w:val="001D34F4"/>
    <w:rsid w:val="001D7BFF"/>
    <w:rsid w:val="001E013A"/>
    <w:rsid w:val="001E189B"/>
    <w:rsid w:val="001E2A4C"/>
    <w:rsid w:val="001E578E"/>
    <w:rsid w:val="001E6DF6"/>
    <w:rsid w:val="001F2F87"/>
    <w:rsid w:val="001F7CE9"/>
    <w:rsid w:val="00200F07"/>
    <w:rsid w:val="0021234F"/>
    <w:rsid w:val="00220198"/>
    <w:rsid w:val="00221030"/>
    <w:rsid w:val="002261B6"/>
    <w:rsid w:val="0023168C"/>
    <w:rsid w:val="00234B92"/>
    <w:rsid w:val="002366F9"/>
    <w:rsid w:val="00241EF0"/>
    <w:rsid w:val="00243871"/>
    <w:rsid w:val="00243963"/>
    <w:rsid w:val="002464CE"/>
    <w:rsid w:val="002500B6"/>
    <w:rsid w:val="00250461"/>
    <w:rsid w:val="00256264"/>
    <w:rsid w:val="002566CE"/>
    <w:rsid w:val="00262F13"/>
    <w:rsid w:val="002636E7"/>
    <w:rsid w:val="002664CE"/>
    <w:rsid w:val="0027009D"/>
    <w:rsid w:val="002723AE"/>
    <w:rsid w:val="00277407"/>
    <w:rsid w:val="00283582"/>
    <w:rsid w:val="00290C24"/>
    <w:rsid w:val="002950F0"/>
    <w:rsid w:val="00295F3B"/>
    <w:rsid w:val="002973FB"/>
    <w:rsid w:val="00297A79"/>
    <w:rsid w:val="00297E04"/>
    <w:rsid w:val="002A2087"/>
    <w:rsid w:val="002B380B"/>
    <w:rsid w:val="002B4CAE"/>
    <w:rsid w:val="002C45E1"/>
    <w:rsid w:val="002C5031"/>
    <w:rsid w:val="002D0FD8"/>
    <w:rsid w:val="002D404E"/>
    <w:rsid w:val="002D40F7"/>
    <w:rsid w:val="002E2BE1"/>
    <w:rsid w:val="002E52D1"/>
    <w:rsid w:val="002F12DA"/>
    <w:rsid w:val="002F51DA"/>
    <w:rsid w:val="00307B64"/>
    <w:rsid w:val="003116F5"/>
    <w:rsid w:val="0031309B"/>
    <w:rsid w:val="003152BE"/>
    <w:rsid w:val="00317BA0"/>
    <w:rsid w:val="00324D7A"/>
    <w:rsid w:val="003312C8"/>
    <w:rsid w:val="0033682A"/>
    <w:rsid w:val="0033785E"/>
    <w:rsid w:val="00341097"/>
    <w:rsid w:val="003460F5"/>
    <w:rsid w:val="00350858"/>
    <w:rsid w:val="003564D0"/>
    <w:rsid w:val="0035719D"/>
    <w:rsid w:val="00360672"/>
    <w:rsid w:val="003633E4"/>
    <w:rsid w:val="0036527F"/>
    <w:rsid w:val="00370B86"/>
    <w:rsid w:val="00373CD2"/>
    <w:rsid w:val="00380BFA"/>
    <w:rsid w:val="003822EF"/>
    <w:rsid w:val="00382FA7"/>
    <w:rsid w:val="00387233"/>
    <w:rsid w:val="00391B45"/>
    <w:rsid w:val="00392E25"/>
    <w:rsid w:val="003932B7"/>
    <w:rsid w:val="003957B9"/>
    <w:rsid w:val="003A6B99"/>
    <w:rsid w:val="003B57C1"/>
    <w:rsid w:val="003B7F90"/>
    <w:rsid w:val="003C59B9"/>
    <w:rsid w:val="003C5E60"/>
    <w:rsid w:val="003C7C4B"/>
    <w:rsid w:val="003D5EA5"/>
    <w:rsid w:val="003E0AF2"/>
    <w:rsid w:val="003E2A2C"/>
    <w:rsid w:val="003E6E14"/>
    <w:rsid w:val="003F7B23"/>
    <w:rsid w:val="00400706"/>
    <w:rsid w:val="0041053A"/>
    <w:rsid w:val="00416F5F"/>
    <w:rsid w:val="00420095"/>
    <w:rsid w:val="0042157E"/>
    <w:rsid w:val="0042668D"/>
    <w:rsid w:val="004275C2"/>
    <w:rsid w:val="004342B5"/>
    <w:rsid w:val="00436B27"/>
    <w:rsid w:val="00445B2A"/>
    <w:rsid w:val="00446128"/>
    <w:rsid w:val="0045186E"/>
    <w:rsid w:val="0045219F"/>
    <w:rsid w:val="00452782"/>
    <w:rsid w:val="00452EFE"/>
    <w:rsid w:val="0045774C"/>
    <w:rsid w:val="004605BA"/>
    <w:rsid w:val="00460DA5"/>
    <w:rsid w:val="00473542"/>
    <w:rsid w:val="00474C15"/>
    <w:rsid w:val="00475FCF"/>
    <w:rsid w:val="00480116"/>
    <w:rsid w:val="00481E7A"/>
    <w:rsid w:val="00482341"/>
    <w:rsid w:val="00482FA3"/>
    <w:rsid w:val="00486D73"/>
    <w:rsid w:val="0048706F"/>
    <w:rsid w:val="00491B89"/>
    <w:rsid w:val="004954F8"/>
    <w:rsid w:val="004A20DE"/>
    <w:rsid w:val="004A5BB3"/>
    <w:rsid w:val="004A7272"/>
    <w:rsid w:val="004B5C24"/>
    <w:rsid w:val="004C080C"/>
    <w:rsid w:val="004C0DB7"/>
    <w:rsid w:val="004C19EC"/>
    <w:rsid w:val="004C31E9"/>
    <w:rsid w:val="004C3A69"/>
    <w:rsid w:val="004C70CD"/>
    <w:rsid w:val="004D03E7"/>
    <w:rsid w:val="004D59F6"/>
    <w:rsid w:val="004E1941"/>
    <w:rsid w:val="004E1F69"/>
    <w:rsid w:val="004E259F"/>
    <w:rsid w:val="004E7F00"/>
    <w:rsid w:val="004F0367"/>
    <w:rsid w:val="004F54E7"/>
    <w:rsid w:val="004F7BBD"/>
    <w:rsid w:val="004F7C39"/>
    <w:rsid w:val="005037BE"/>
    <w:rsid w:val="0050389A"/>
    <w:rsid w:val="00510059"/>
    <w:rsid w:val="00513065"/>
    <w:rsid w:val="00531E21"/>
    <w:rsid w:val="0053483F"/>
    <w:rsid w:val="00535EBA"/>
    <w:rsid w:val="005413C4"/>
    <w:rsid w:val="0054377E"/>
    <w:rsid w:val="005442A0"/>
    <w:rsid w:val="00544D96"/>
    <w:rsid w:val="00545225"/>
    <w:rsid w:val="005467AF"/>
    <w:rsid w:val="00547353"/>
    <w:rsid w:val="00551F61"/>
    <w:rsid w:val="00552EDA"/>
    <w:rsid w:val="00561D67"/>
    <w:rsid w:val="005678F7"/>
    <w:rsid w:val="00570729"/>
    <w:rsid w:val="0057076D"/>
    <w:rsid w:val="005719A3"/>
    <w:rsid w:val="00574326"/>
    <w:rsid w:val="00575A3A"/>
    <w:rsid w:val="005842A3"/>
    <w:rsid w:val="0058432F"/>
    <w:rsid w:val="00585DA1"/>
    <w:rsid w:val="00594076"/>
    <w:rsid w:val="00596058"/>
    <w:rsid w:val="005A2D0B"/>
    <w:rsid w:val="005A3A6D"/>
    <w:rsid w:val="005B2165"/>
    <w:rsid w:val="005B3CDA"/>
    <w:rsid w:val="005C3DE2"/>
    <w:rsid w:val="005C6020"/>
    <w:rsid w:val="005C60C3"/>
    <w:rsid w:val="005D7FB7"/>
    <w:rsid w:val="005E021C"/>
    <w:rsid w:val="005E4E77"/>
    <w:rsid w:val="005E58A6"/>
    <w:rsid w:val="005E5A76"/>
    <w:rsid w:val="005F2556"/>
    <w:rsid w:val="005F2926"/>
    <w:rsid w:val="005F43B7"/>
    <w:rsid w:val="00600DCA"/>
    <w:rsid w:val="00601FC9"/>
    <w:rsid w:val="00604884"/>
    <w:rsid w:val="00613A2B"/>
    <w:rsid w:val="00614F42"/>
    <w:rsid w:val="00623708"/>
    <w:rsid w:val="0062429B"/>
    <w:rsid w:val="006244E2"/>
    <w:rsid w:val="00630700"/>
    <w:rsid w:val="00630A32"/>
    <w:rsid w:val="00634BD4"/>
    <w:rsid w:val="00635D00"/>
    <w:rsid w:val="00640D1C"/>
    <w:rsid w:val="006459FE"/>
    <w:rsid w:val="006509FF"/>
    <w:rsid w:val="00655353"/>
    <w:rsid w:val="006707D7"/>
    <w:rsid w:val="006771F2"/>
    <w:rsid w:val="00680B36"/>
    <w:rsid w:val="00681F26"/>
    <w:rsid w:val="006865BB"/>
    <w:rsid w:val="00694AD4"/>
    <w:rsid w:val="00695F32"/>
    <w:rsid w:val="006A0DA5"/>
    <w:rsid w:val="006A3999"/>
    <w:rsid w:val="006A4FDA"/>
    <w:rsid w:val="006A760F"/>
    <w:rsid w:val="006A7C0E"/>
    <w:rsid w:val="006C2D54"/>
    <w:rsid w:val="006C30E0"/>
    <w:rsid w:val="006C3762"/>
    <w:rsid w:val="006C3F61"/>
    <w:rsid w:val="006C4348"/>
    <w:rsid w:val="006C5A48"/>
    <w:rsid w:val="006C6896"/>
    <w:rsid w:val="006C6BC3"/>
    <w:rsid w:val="006C7914"/>
    <w:rsid w:val="006D03F2"/>
    <w:rsid w:val="006D7684"/>
    <w:rsid w:val="006D7E20"/>
    <w:rsid w:val="006E2446"/>
    <w:rsid w:val="006F047F"/>
    <w:rsid w:val="006F20C4"/>
    <w:rsid w:val="006F333A"/>
    <w:rsid w:val="006F3500"/>
    <w:rsid w:val="007052F4"/>
    <w:rsid w:val="00712EF8"/>
    <w:rsid w:val="00715D52"/>
    <w:rsid w:val="00715EBC"/>
    <w:rsid w:val="00723B72"/>
    <w:rsid w:val="00726413"/>
    <w:rsid w:val="00726425"/>
    <w:rsid w:val="00731857"/>
    <w:rsid w:val="0074159E"/>
    <w:rsid w:val="00742B39"/>
    <w:rsid w:val="00752C1A"/>
    <w:rsid w:val="007531D5"/>
    <w:rsid w:val="00756274"/>
    <w:rsid w:val="0075783F"/>
    <w:rsid w:val="0076093B"/>
    <w:rsid w:val="00761C3B"/>
    <w:rsid w:val="00761F43"/>
    <w:rsid w:val="00765D32"/>
    <w:rsid w:val="00780C88"/>
    <w:rsid w:val="0078334E"/>
    <w:rsid w:val="00784B45"/>
    <w:rsid w:val="00791315"/>
    <w:rsid w:val="007B414A"/>
    <w:rsid w:val="007C2B0F"/>
    <w:rsid w:val="007C2C3F"/>
    <w:rsid w:val="007D022E"/>
    <w:rsid w:val="007D7E89"/>
    <w:rsid w:val="007E0BE9"/>
    <w:rsid w:val="007F126C"/>
    <w:rsid w:val="007F44D2"/>
    <w:rsid w:val="00800F39"/>
    <w:rsid w:val="00801D24"/>
    <w:rsid w:val="00803452"/>
    <w:rsid w:val="00806197"/>
    <w:rsid w:val="00812D08"/>
    <w:rsid w:val="00815379"/>
    <w:rsid w:val="00815D13"/>
    <w:rsid w:val="00816C21"/>
    <w:rsid w:val="008256ED"/>
    <w:rsid w:val="00826886"/>
    <w:rsid w:val="008272B8"/>
    <w:rsid w:val="00827B34"/>
    <w:rsid w:val="00833CAE"/>
    <w:rsid w:val="008360D1"/>
    <w:rsid w:val="008425D9"/>
    <w:rsid w:val="008440CB"/>
    <w:rsid w:val="008447D0"/>
    <w:rsid w:val="00854215"/>
    <w:rsid w:val="00854C98"/>
    <w:rsid w:val="00855704"/>
    <w:rsid w:val="008601F2"/>
    <w:rsid w:val="00862AB2"/>
    <w:rsid w:val="00870F72"/>
    <w:rsid w:val="00877D32"/>
    <w:rsid w:val="008805C3"/>
    <w:rsid w:val="00880A19"/>
    <w:rsid w:val="008836DA"/>
    <w:rsid w:val="00887537"/>
    <w:rsid w:val="00887B67"/>
    <w:rsid w:val="00895469"/>
    <w:rsid w:val="008A14EA"/>
    <w:rsid w:val="008A2744"/>
    <w:rsid w:val="008A3BD1"/>
    <w:rsid w:val="008A53C1"/>
    <w:rsid w:val="008B192C"/>
    <w:rsid w:val="008C113D"/>
    <w:rsid w:val="008C15EC"/>
    <w:rsid w:val="008C4750"/>
    <w:rsid w:val="008C53FF"/>
    <w:rsid w:val="008C5FD4"/>
    <w:rsid w:val="008D2693"/>
    <w:rsid w:val="008E0958"/>
    <w:rsid w:val="008E3307"/>
    <w:rsid w:val="008E5F4F"/>
    <w:rsid w:val="008F18B8"/>
    <w:rsid w:val="008F331A"/>
    <w:rsid w:val="008F4A80"/>
    <w:rsid w:val="008F4DA2"/>
    <w:rsid w:val="008F598E"/>
    <w:rsid w:val="009028A4"/>
    <w:rsid w:val="00912AF4"/>
    <w:rsid w:val="00916269"/>
    <w:rsid w:val="009200F6"/>
    <w:rsid w:val="00920DAD"/>
    <w:rsid w:val="00921C1B"/>
    <w:rsid w:val="009266C5"/>
    <w:rsid w:val="009316A1"/>
    <w:rsid w:val="00932D10"/>
    <w:rsid w:val="00934007"/>
    <w:rsid w:val="00934E79"/>
    <w:rsid w:val="0093596A"/>
    <w:rsid w:val="00946D22"/>
    <w:rsid w:val="00955957"/>
    <w:rsid w:val="0096043B"/>
    <w:rsid w:val="009656FF"/>
    <w:rsid w:val="00967B6E"/>
    <w:rsid w:val="0097273C"/>
    <w:rsid w:val="00981C05"/>
    <w:rsid w:val="009854B2"/>
    <w:rsid w:val="009869C8"/>
    <w:rsid w:val="0099425D"/>
    <w:rsid w:val="00996F81"/>
    <w:rsid w:val="009A103F"/>
    <w:rsid w:val="009A2EC2"/>
    <w:rsid w:val="009A6FAE"/>
    <w:rsid w:val="009A73EB"/>
    <w:rsid w:val="009A745C"/>
    <w:rsid w:val="009B03E2"/>
    <w:rsid w:val="009B2DF2"/>
    <w:rsid w:val="009B39D6"/>
    <w:rsid w:val="009C0907"/>
    <w:rsid w:val="009C2630"/>
    <w:rsid w:val="009C2D4B"/>
    <w:rsid w:val="009C5812"/>
    <w:rsid w:val="009D12FA"/>
    <w:rsid w:val="009D23C0"/>
    <w:rsid w:val="009D4096"/>
    <w:rsid w:val="009D4F33"/>
    <w:rsid w:val="009E1755"/>
    <w:rsid w:val="009E4637"/>
    <w:rsid w:val="009E6D04"/>
    <w:rsid w:val="009F0494"/>
    <w:rsid w:val="009F2ECC"/>
    <w:rsid w:val="009F4366"/>
    <w:rsid w:val="009F7085"/>
    <w:rsid w:val="009F7376"/>
    <w:rsid w:val="009F7E22"/>
    <w:rsid w:val="00A01BEC"/>
    <w:rsid w:val="00A02D5C"/>
    <w:rsid w:val="00A05C0D"/>
    <w:rsid w:val="00A14A4F"/>
    <w:rsid w:val="00A20C6A"/>
    <w:rsid w:val="00A21704"/>
    <w:rsid w:val="00A275B2"/>
    <w:rsid w:val="00A2766E"/>
    <w:rsid w:val="00A340E5"/>
    <w:rsid w:val="00A35533"/>
    <w:rsid w:val="00A4072E"/>
    <w:rsid w:val="00A435A4"/>
    <w:rsid w:val="00A43746"/>
    <w:rsid w:val="00A45FED"/>
    <w:rsid w:val="00A52D04"/>
    <w:rsid w:val="00A53282"/>
    <w:rsid w:val="00A57AE4"/>
    <w:rsid w:val="00A62218"/>
    <w:rsid w:val="00A62409"/>
    <w:rsid w:val="00A66D87"/>
    <w:rsid w:val="00A674C2"/>
    <w:rsid w:val="00A76D8C"/>
    <w:rsid w:val="00A77D33"/>
    <w:rsid w:val="00A84142"/>
    <w:rsid w:val="00A91E0A"/>
    <w:rsid w:val="00A93692"/>
    <w:rsid w:val="00A94EB5"/>
    <w:rsid w:val="00AA2884"/>
    <w:rsid w:val="00AA5FB0"/>
    <w:rsid w:val="00AB531B"/>
    <w:rsid w:val="00AB615F"/>
    <w:rsid w:val="00AB686D"/>
    <w:rsid w:val="00AB712C"/>
    <w:rsid w:val="00AB7BD3"/>
    <w:rsid w:val="00AC47E8"/>
    <w:rsid w:val="00AC5E90"/>
    <w:rsid w:val="00AC74AD"/>
    <w:rsid w:val="00AD5C20"/>
    <w:rsid w:val="00AD6E18"/>
    <w:rsid w:val="00AD7B4C"/>
    <w:rsid w:val="00AE0FBB"/>
    <w:rsid w:val="00AE576A"/>
    <w:rsid w:val="00AF2543"/>
    <w:rsid w:val="00AF2FE8"/>
    <w:rsid w:val="00AF6214"/>
    <w:rsid w:val="00B039E5"/>
    <w:rsid w:val="00B0666C"/>
    <w:rsid w:val="00B07927"/>
    <w:rsid w:val="00B07A5E"/>
    <w:rsid w:val="00B1230C"/>
    <w:rsid w:val="00B13A96"/>
    <w:rsid w:val="00B16467"/>
    <w:rsid w:val="00B17BBD"/>
    <w:rsid w:val="00B22A62"/>
    <w:rsid w:val="00B268A6"/>
    <w:rsid w:val="00B30DB9"/>
    <w:rsid w:val="00B35E51"/>
    <w:rsid w:val="00B36D2B"/>
    <w:rsid w:val="00B3743C"/>
    <w:rsid w:val="00B445C4"/>
    <w:rsid w:val="00B44A98"/>
    <w:rsid w:val="00B52125"/>
    <w:rsid w:val="00B52334"/>
    <w:rsid w:val="00B540AC"/>
    <w:rsid w:val="00B634C8"/>
    <w:rsid w:val="00B6427B"/>
    <w:rsid w:val="00B716F5"/>
    <w:rsid w:val="00B72BF3"/>
    <w:rsid w:val="00B73769"/>
    <w:rsid w:val="00B747D0"/>
    <w:rsid w:val="00B77360"/>
    <w:rsid w:val="00B8147E"/>
    <w:rsid w:val="00B87306"/>
    <w:rsid w:val="00B924F4"/>
    <w:rsid w:val="00B974FF"/>
    <w:rsid w:val="00BA3F51"/>
    <w:rsid w:val="00BA445B"/>
    <w:rsid w:val="00BA6002"/>
    <w:rsid w:val="00BB61BF"/>
    <w:rsid w:val="00BC32B3"/>
    <w:rsid w:val="00BC36A7"/>
    <w:rsid w:val="00BC5A59"/>
    <w:rsid w:val="00BD09C8"/>
    <w:rsid w:val="00BD5505"/>
    <w:rsid w:val="00BD5796"/>
    <w:rsid w:val="00BD63CF"/>
    <w:rsid w:val="00BE0FC5"/>
    <w:rsid w:val="00BE1F66"/>
    <w:rsid w:val="00BE4258"/>
    <w:rsid w:val="00BE6E12"/>
    <w:rsid w:val="00BF2859"/>
    <w:rsid w:val="00BF352F"/>
    <w:rsid w:val="00BF3F22"/>
    <w:rsid w:val="00BF7CCE"/>
    <w:rsid w:val="00C0073C"/>
    <w:rsid w:val="00C01EBC"/>
    <w:rsid w:val="00C03143"/>
    <w:rsid w:val="00C11CEB"/>
    <w:rsid w:val="00C126F4"/>
    <w:rsid w:val="00C13238"/>
    <w:rsid w:val="00C1385A"/>
    <w:rsid w:val="00C15004"/>
    <w:rsid w:val="00C16659"/>
    <w:rsid w:val="00C25C4D"/>
    <w:rsid w:val="00C27341"/>
    <w:rsid w:val="00C40F43"/>
    <w:rsid w:val="00C41518"/>
    <w:rsid w:val="00C50098"/>
    <w:rsid w:val="00C50677"/>
    <w:rsid w:val="00C50757"/>
    <w:rsid w:val="00C508D8"/>
    <w:rsid w:val="00C5330E"/>
    <w:rsid w:val="00C558BD"/>
    <w:rsid w:val="00C61950"/>
    <w:rsid w:val="00C66E48"/>
    <w:rsid w:val="00C6710D"/>
    <w:rsid w:val="00C737D8"/>
    <w:rsid w:val="00C7437F"/>
    <w:rsid w:val="00C83C32"/>
    <w:rsid w:val="00C84C9A"/>
    <w:rsid w:val="00C9083F"/>
    <w:rsid w:val="00CB19A9"/>
    <w:rsid w:val="00CB1A26"/>
    <w:rsid w:val="00CB70DB"/>
    <w:rsid w:val="00CC3596"/>
    <w:rsid w:val="00CD2766"/>
    <w:rsid w:val="00CD3A13"/>
    <w:rsid w:val="00CD3F98"/>
    <w:rsid w:val="00CD43CC"/>
    <w:rsid w:val="00CF5130"/>
    <w:rsid w:val="00CF7C1B"/>
    <w:rsid w:val="00D03037"/>
    <w:rsid w:val="00D03BC3"/>
    <w:rsid w:val="00D04E82"/>
    <w:rsid w:val="00D07DA5"/>
    <w:rsid w:val="00D14D6D"/>
    <w:rsid w:val="00D150C4"/>
    <w:rsid w:val="00D156CD"/>
    <w:rsid w:val="00D2388D"/>
    <w:rsid w:val="00D34EF3"/>
    <w:rsid w:val="00D35CC5"/>
    <w:rsid w:val="00D36DB1"/>
    <w:rsid w:val="00D37D14"/>
    <w:rsid w:val="00D407D7"/>
    <w:rsid w:val="00D411EB"/>
    <w:rsid w:val="00D43C71"/>
    <w:rsid w:val="00D51CB0"/>
    <w:rsid w:val="00D51DB4"/>
    <w:rsid w:val="00D571B4"/>
    <w:rsid w:val="00D60C55"/>
    <w:rsid w:val="00D62213"/>
    <w:rsid w:val="00D626DC"/>
    <w:rsid w:val="00D635DC"/>
    <w:rsid w:val="00D70FCF"/>
    <w:rsid w:val="00D71080"/>
    <w:rsid w:val="00D720BD"/>
    <w:rsid w:val="00D72B4F"/>
    <w:rsid w:val="00D76307"/>
    <w:rsid w:val="00D763A0"/>
    <w:rsid w:val="00D7726A"/>
    <w:rsid w:val="00D81077"/>
    <w:rsid w:val="00D8305C"/>
    <w:rsid w:val="00D9267D"/>
    <w:rsid w:val="00D94A96"/>
    <w:rsid w:val="00D97257"/>
    <w:rsid w:val="00DA1E25"/>
    <w:rsid w:val="00DB373B"/>
    <w:rsid w:val="00DB3F12"/>
    <w:rsid w:val="00DB49C1"/>
    <w:rsid w:val="00DB4C3C"/>
    <w:rsid w:val="00DB4F77"/>
    <w:rsid w:val="00DC0319"/>
    <w:rsid w:val="00DC3D5D"/>
    <w:rsid w:val="00DC54E5"/>
    <w:rsid w:val="00DE0BEC"/>
    <w:rsid w:val="00DE5546"/>
    <w:rsid w:val="00DE5FAB"/>
    <w:rsid w:val="00DE72B5"/>
    <w:rsid w:val="00DF2D86"/>
    <w:rsid w:val="00DF3A79"/>
    <w:rsid w:val="00E12642"/>
    <w:rsid w:val="00E13126"/>
    <w:rsid w:val="00E13FC9"/>
    <w:rsid w:val="00E22F1E"/>
    <w:rsid w:val="00E23317"/>
    <w:rsid w:val="00E27C6F"/>
    <w:rsid w:val="00E319AF"/>
    <w:rsid w:val="00E54C95"/>
    <w:rsid w:val="00E55F04"/>
    <w:rsid w:val="00E6288F"/>
    <w:rsid w:val="00E6519F"/>
    <w:rsid w:val="00E65A75"/>
    <w:rsid w:val="00E66677"/>
    <w:rsid w:val="00E67932"/>
    <w:rsid w:val="00E75C02"/>
    <w:rsid w:val="00E76F4E"/>
    <w:rsid w:val="00E77D29"/>
    <w:rsid w:val="00E8470C"/>
    <w:rsid w:val="00E92FE0"/>
    <w:rsid w:val="00E931D7"/>
    <w:rsid w:val="00E94759"/>
    <w:rsid w:val="00E94A9A"/>
    <w:rsid w:val="00E966E3"/>
    <w:rsid w:val="00EA4E45"/>
    <w:rsid w:val="00EA5D79"/>
    <w:rsid w:val="00EB3A7B"/>
    <w:rsid w:val="00EB402C"/>
    <w:rsid w:val="00EB5679"/>
    <w:rsid w:val="00EB5E10"/>
    <w:rsid w:val="00EC1247"/>
    <w:rsid w:val="00EC7182"/>
    <w:rsid w:val="00EC7BA4"/>
    <w:rsid w:val="00EE6AE2"/>
    <w:rsid w:val="00EF205C"/>
    <w:rsid w:val="00EF2CA3"/>
    <w:rsid w:val="00EF57B0"/>
    <w:rsid w:val="00EF7330"/>
    <w:rsid w:val="00F02DC6"/>
    <w:rsid w:val="00F079FF"/>
    <w:rsid w:val="00F11CEC"/>
    <w:rsid w:val="00F134AD"/>
    <w:rsid w:val="00F17C32"/>
    <w:rsid w:val="00F23A4D"/>
    <w:rsid w:val="00F25575"/>
    <w:rsid w:val="00F30749"/>
    <w:rsid w:val="00F30D71"/>
    <w:rsid w:val="00F342CD"/>
    <w:rsid w:val="00F3493C"/>
    <w:rsid w:val="00F403F4"/>
    <w:rsid w:val="00F41769"/>
    <w:rsid w:val="00F43498"/>
    <w:rsid w:val="00F50F92"/>
    <w:rsid w:val="00F54978"/>
    <w:rsid w:val="00F5733E"/>
    <w:rsid w:val="00F63B34"/>
    <w:rsid w:val="00F73F7B"/>
    <w:rsid w:val="00F75E51"/>
    <w:rsid w:val="00F7733A"/>
    <w:rsid w:val="00F81D46"/>
    <w:rsid w:val="00F851FC"/>
    <w:rsid w:val="00F85667"/>
    <w:rsid w:val="00F8798F"/>
    <w:rsid w:val="00FA03CE"/>
    <w:rsid w:val="00FA2436"/>
    <w:rsid w:val="00FB48F7"/>
    <w:rsid w:val="00FB6D39"/>
    <w:rsid w:val="00FB757E"/>
    <w:rsid w:val="00FB7BAB"/>
    <w:rsid w:val="00FC14F5"/>
    <w:rsid w:val="00FC1E54"/>
    <w:rsid w:val="00FC2F6C"/>
    <w:rsid w:val="00FC3099"/>
    <w:rsid w:val="00FE0E57"/>
    <w:rsid w:val="00FE13FF"/>
    <w:rsid w:val="00FE3D72"/>
    <w:rsid w:val="00FE4153"/>
    <w:rsid w:val="00FF5C85"/>
    <w:rsid w:val="00FF77FB"/>
    <w:rsid w:val="00FF795F"/>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7A93C1"/>
  <w14:defaultImageDpi w14:val="300"/>
  <w15:docId w15:val="{F29D194B-9E74-4F1C-B49D-FF515E639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3999"/>
    <w:pPr>
      <w:spacing w:after="160" w:line="259" w:lineRule="auto"/>
    </w:pPr>
    <w:rPr>
      <w:rFonts w:asciiTheme="minorHAnsi" w:hAnsiTheme="minorHAnsi" w:cstheme="minorBidi"/>
      <w:sz w:val="22"/>
      <w:szCs w:val="22"/>
      <w:lang w:val="nl-NL"/>
    </w:rPr>
  </w:style>
  <w:style w:type="paragraph" w:styleId="Heading1">
    <w:name w:val="heading 1"/>
    <w:basedOn w:val="Normal"/>
    <w:next w:val="Normal"/>
    <w:link w:val="Heading1Char"/>
    <w:uiPriority w:val="9"/>
    <w:qFormat/>
    <w:rsid w:val="001542D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542D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7515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9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6A3999"/>
    <w:rPr>
      <w:rFonts w:asciiTheme="minorHAnsi" w:eastAsiaTheme="minorHAnsi" w:hAnsiTheme="minorHAnsi" w:cstheme="minorBidi"/>
      <w:sz w:val="22"/>
      <w:szCs w:val="22"/>
      <w:lang w:val="nl-NL"/>
    </w:rPr>
  </w:style>
  <w:style w:type="paragraph" w:styleId="ListParagraph">
    <w:name w:val="List Paragraph"/>
    <w:basedOn w:val="Normal"/>
    <w:uiPriority w:val="34"/>
    <w:qFormat/>
    <w:rsid w:val="006A3999"/>
    <w:pPr>
      <w:ind w:left="720"/>
      <w:contextualSpacing/>
    </w:pPr>
  </w:style>
  <w:style w:type="character" w:styleId="Hyperlink">
    <w:name w:val="Hyperlink"/>
    <w:basedOn w:val="DefaultParagraphFont"/>
    <w:uiPriority w:val="99"/>
    <w:unhideWhenUsed/>
    <w:rsid w:val="006A3999"/>
    <w:rPr>
      <w:color w:val="0000FF"/>
      <w:u w:val="single"/>
    </w:rPr>
  </w:style>
  <w:style w:type="paragraph" w:styleId="EndnoteText">
    <w:name w:val="endnote text"/>
    <w:basedOn w:val="Normal"/>
    <w:link w:val="EndnoteTextChar"/>
    <w:uiPriority w:val="99"/>
    <w:unhideWhenUsed/>
    <w:rsid w:val="006A3999"/>
    <w:pPr>
      <w:spacing w:after="0" w:line="240" w:lineRule="auto"/>
    </w:pPr>
    <w:rPr>
      <w:sz w:val="24"/>
      <w:szCs w:val="24"/>
    </w:rPr>
  </w:style>
  <w:style w:type="character" w:customStyle="1" w:styleId="EndnoteTextChar">
    <w:name w:val="Endnote Text Char"/>
    <w:basedOn w:val="DefaultParagraphFont"/>
    <w:link w:val="EndnoteText"/>
    <w:uiPriority w:val="99"/>
    <w:rsid w:val="006A3999"/>
    <w:rPr>
      <w:rFonts w:asciiTheme="minorHAnsi" w:eastAsiaTheme="minorHAnsi" w:hAnsiTheme="minorHAnsi" w:cstheme="minorBidi"/>
      <w:sz w:val="24"/>
      <w:szCs w:val="24"/>
      <w:lang w:val="nl-NL"/>
    </w:rPr>
  </w:style>
  <w:style w:type="character" w:styleId="EndnoteReference">
    <w:name w:val="endnote reference"/>
    <w:basedOn w:val="DefaultParagraphFont"/>
    <w:uiPriority w:val="99"/>
    <w:unhideWhenUsed/>
    <w:rsid w:val="006A3999"/>
    <w:rPr>
      <w:vertAlign w:val="superscript"/>
    </w:rPr>
  </w:style>
  <w:style w:type="paragraph" w:styleId="Footer">
    <w:name w:val="footer"/>
    <w:basedOn w:val="Normal"/>
    <w:link w:val="FooterChar"/>
    <w:uiPriority w:val="99"/>
    <w:unhideWhenUsed/>
    <w:rsid w:val="00016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FD4"/>
    <w:rPr>
      <w:rFonts w:asciiTheme="minorHAnsi" w:hAnsiTheme="minorHAnsi" w:cstheme="minorBidi"/>
      <w:sz w:val="22"/>
      <w:szCs w:val="22"/>
      <w:lang w:val="nl-NL"/>
    </w:rPr>
  </w:style>
  <w:style w:type="character" w:styleId="PageNumber">
    <w:name w:val="page number"/>
    <w:basedOn w:val="DefaultParagraphFont"/>
    <w:uiPriority w:val="99"/>
    <w:semiHidden/>
    <w:unhideWhenUsed/>
    <w:rsid w:val="00016FD4"/>
  </w:style>
  <w:style w:type="character" w:customStyle="1" w:styleId="Heading1Char">
    <w:name w:val="Heading 1 Char"/>
    <w:basedOn w:val="DefaultParagraphFont"/>
    <w:link w:val="Heading1"/>
    <w:uiPriority w:val="9"/>
    <w:rsid w:val="001542DB"/>
    <w:rPr>
      <w:rFonts w:asciiTheme="majorHAnsi" w:eastAsiaTheme="majorEastAsia" w:hAnsiTheme="majorHAnsi" w:cstheme="majorBidi"/>
      <w:color w:val="365F91" w:themeColor="accent1" w:themeShade="BF"/>
      <w:sz w:val="32"/>
      <w:szCs w:val="32"/>
      <w:lang w:val="nl-NL"/>
    </w:rPr>
  </w:style>
  <w:style w:type="character" w:customStyle="1" w:styleId="Heading2Char">
    <w:name w:val="Heading 2 Char"/>
    <w:basedOn w:val="DefaultParagraphFont"/>
    <w:link w:val="Heading2"/>
    <w:uiPriority w:val="9"/>
    <w:rsid w:val="001542DB"/>
    <w:rPr>
      <w:rFonts w:asciiTheme="majorHAnsi" w:eastAsiaTheme="majorEastAsia" w:hAnsiTheme="majorHAnsi" w:cstheme="majorBidi"/>
      <w:color w:val="365F91" w:themeColor="accent1" w:themeShade="BF"/>
      <w:sz w:val="26"/>
      <w:szCs w:val="26"/>
      <w:lang w:val="nl-NL"/>
    </w:rPr>
  </w:style>
  <w:style w:type="character" w:styleId="CommentReference">
    <w:name w:val="annotation reference"/>
    <w:basedOn w:val="DefaultParagraphFont"/>
    <w:uiPriority w:val="99"/>
    <w:semiHidden/>
    <w:unhideWhenUsed/>
    <w:rsid w:val="00545225"/>
    <w:rPr>
      <w:sz w:val="16"/>
      <w:szCs w:val="16"/>
    </w:rPr>
  </w:style>
  <w:style w:type="paragraph" w:styleId="CommentText">
    <w:name w:val="annotation text"/>
    <w:basedOn w:val="Normal"/>
    <w:link w:val="CommentTextChar"/>
    <w:uiPriority w:val="99"/>
    <w:semiHidden/>
    <w:unhideWhenUsed/>
    <w:rsid w:val="00545225"/>
    <w:pPr>
      <w:spacing w:line="240" w:lineRule="auto"/>
    </w:pPr>
    <w:rPr>
      <w:sz w:val="20"/>
      <w:szCs w:val="20"/>
    </w:rPr>
  </w:style>
  <w:style w:type="character" w:customStyle="1" w:styleId="CommentTextChar">
    <w:name w:val="Comment Text Char"/>
    <w:basedOn w:val="DefaultParagraphFont"/>
    <w:link w:val="CommentText"/>
    <w:uiPriority w:val="99"/>
    <w:semiHidden/>
    <w:rsid w:val="00545225"/>
    <w:rPr>
      <w:rFonts w:asciiTheme="minorHAnsi" w:hAnsiTheme="minorHAnsi" w:cstheme="minorBidi"/>
      <w:lang w:val="nl-NL"/>
    </w:rPr>
  </w:style>
  <w:style w:type="paragraph" w:styleId="CommentSubject">
    <w:name w:val="annotation subject"/>
    <w:basedOn w:val="CommentText"/>
    <w:next w:val="CommentText"/>
    <w:link w:val="CommentSubjectChar"/>
    <w:uiPriority w:val="99"/>
    <w:semiHidden/>
    <w:unhideWhenUsed/>
    <w:rsid w:val="00545225"/>
    <w:rPr>
      <w:b/>
      <w:bCs/>
    </w:rPr>
  </w:style>
  <w:style w:type="character" w:customStyle="1" w:styleId="CommentSubjectChar">
    <w:name w:val="Comment Subject Char"/>
    <w:basedOn w:val="CommentTextChar"/>
    <w:link w:val="CommentSubject"/>
    <w:uiPriority w:val="99"/>
    <w:semiHidden/>
    <w:rsid w:val="00545225"/>
    <w:rPr>
      <w:rFonts w:asciiTheme="minorHAnsi" w:hAnsiTheme="minorHAnsi" w:cstheme="minorBidi"/>
      <w:b/>
      <w:bCs/>
      <w:lang w:val="nl-NL"/>
    </w:rPr>
  </w:style>
  <w:style w:type="paragraph" w:styleId="Revision">
    <w:name w:val="Revision"/>
    <w:hidden/>
    <w:uiPriority w:val="99"/>
    <w:semiHidden/>
    <w:rsid w:val="00545225"/>
    <w:rPr>
      <w:rFonts w:asciiTheme="minorHAnsi" w:hAnsiTheme="minorHAnsi" w:cstheme="minorBidi"/>
      <w:sz w:val="22"/>
      <w:szCs w:val="22"/>
      <w:lang w:val="nl-NL"/>
    </w:rPr>
  </w:style>
  <w:style w:type="character" w:customStyle="1" w:styleId="Heading3Char">
    <w:name w:val="Heading 3 Char"/>
    <w:basedOn w:val="DefaultParagraphFont"/>
    <w:link w:val="Heading3"/>
    <w:uiPriority w:val="9"/>
    <w:rsid w:val="00175157"/>
    <w:rPr>
      <w:rFonts w:asciiTheme="majorHAnsi" w:eastAsiaTheme="majorEastAsia" w:hAnsiTheme="majorHAnsi" w:cstheme="majorBidi"/>
      <w:color w:val="243F60" w:themeColor="accent1" w:themeShade="7F"/>
      <w:sz w:val="24"/>
      <w:szCs w:val="24"/>
      <w:lang w:val="nl-NL"/>
    </w:rPr>
  </w:style>
  <w:style w:type="paragraph" w:styleId="BalloonText">
    <w:name w:val="Balloon Text"/>
    <w:basedOn w:val="Normal"/>
    <w:link w:val="BalloonTextChar"/>
    <w:uiPriority w:val="99"/>
    <w:semiHidden/>
    <w:unhideWhenUsed/>
    <w:rsid w:val="009D409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D4096"/>
    <w:rPr>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806378">
      <w:bodyDiv w:val="1"/>
      <w:marLeft w:val="0"/>
      <w:marRight w:val="0"/>
      <w:marTop w:val="0"/>
      <w:marBottom w:val="0"/>
      <w:divBdr>
        <w:top w:val="none" w:sz="0" w:space="0" w:color="auto"/>
        <w:left w:val="none" w:sz="0" w:space="0" w:color="auto"/>
        <w:bottom w:val="none" w:sz="0" w:space="0" w:color="auto"/>
        <w:right w:val="none" w:sz="0" w:space="0" w:color="auto"/>
      </w:divBdr>
    </w:div>
    <w:div w:id="949778857">
      <w:bodyDiv w:val="1"/>
      <w:marLeft w:val="0"/>
      <w:marRight w:val="0"/>
      <w:marTop w:val="0"/>
      <w:marBottom w:val="0"/>
      <w:divBdr>
        <w:top w:val="none" w:sz="0" w:space="0" w:color="auto"/>
        <w:left w:val="none" w:sz="0" w:space="0" w:color="auto"/>
        <w:bottom w:val="none" w:sz="0" w:space="0" w:color="auto"/>
        <w:right w:val="none" w:sz="0" w:space="0" w:color="auto"/>
      </w:divBdr>
    </w:div>
    <w:div w:id="1615478012">
      <w:bodyDiv w:val="1"/>
      <w:marLeft w:val="0"/>
      <w:marRight w:val="0"/>
      <w:marTop w:val="0"/>
      <w:marBottom w:val="0"/>
      <w:divBdr>
        <w:top w:val="none" w:sz="0" w:space="0" w:color="auto"/>
        <w:left w:val="none" w:sz="0" w:space="0" w:color="auto"/>
        <w:bottom w:val="none" w:sz="0" w:space="0" w:color="auto"/>
        <w:right w:val="none" w:sz="0" w:space="0" w:color="auto"/>
      </w:divBdr>
    </w:div>
    <w:div w:id="1832452846">
      <w:bodyDiv w:val="1"/>
      <w:marLeft w:val="0"/>
      <w:marRight w:val="0"/>
      <w:marTop w:val="0"/>
      <w:marBottom w:val="0"/>
      <w:divBdr>
        <w:top w:val="none" w:sz="0" w:space="0" w:color="auto"/>
        <w:left w:val="none" w:sz="0" w:space="0" w:color="auto"/>
        <w:bottom w:val="none" w:sz="0" w:space="0" w:color="auto"/>
        <w:right w:val="none" w:sz="0" w:space="0" w:color="auto"/>
      </w:divBdr>
      <w:divsChild>
        <w:div w:id="34894976">
          <w:marLeft w:val="0"/>
          <w:marRight w:val="0"/>
          <w:marTop w:val="0"/>
          <w:marBottom w:val="0"/>
          <w:divBdr>
            <w:top w:val="none" w:sz="0" w:space="0" w:color="auto"/>
            <w:left w:val="none" w:sz="0" w:space="0" w:color="auto"/>
            <w:bottom w:val="none" w:sz="0" w:space="0" w:color="auto"/>
            <w:right w:val="none" w:sz="0" w:space="0" w:color="auto"/>
          </w:divBdr>
          <w:divsChild>
            <w:div w:id="1532107791">
              <w:marLeft w:val="0"/>
              <w:marRight w:val="0"/>
              <w:marTop w:val="0"/>
              <w:marBottom w:val="0"/>
              <w:divBdr>
                <w:top w:val="none" w:sz="0" w:space="0" w:color="auto"/>
                <w:left w:val="none" w:sz="0" w:space="0" w:color="auto"/>
                <w:bottom w:val="none" w:sz="0" w:space="0" w:color="auto"/>
                <w:right w:val="none" w:sz="0" w:space="0" w:color="auto"/>
              </w:divBdr>
              <w:divsChild>
                <w:div w:id="4253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0903">
      <w:bodyDiv w:val="1"/>
      <w:marLeft w:val="0"/>
      <w:marRight w:val="0"/>
      <w:marTop w:val="0"/>
      <w:marBottom w:val="0"/>
      <w:divBdr>
        <w:top w:val="none" w:sz="0" w:space="0" w:color="auto"/>
        <w:left w:val="none" w:sz="0" w:space="0" w:color="auto"/>
        <w:bottom w:val="none" w:sz="0" w:space="0" w:color="auto"/>
        <w:right w:val="none" w:sz="0" w:space="0" w:color="auto"/>
      </w:divBdr>
      <w:divsChild>
        <w:div w:id="530925296">
          <w:marLeft w:val="0"/>
          <w:marRight w:val="0"/>
          <w:marTop w:val="0"/>
          <w:marBottom w:val="0"/>
          <w:divBdr>
            <w:top w:val="none" w:sz="0" w:space="0" w:color="auto"/>
            <w:left w:val="none" w:sz="0" w:space="0" w:color="auto"/>
            <w:bottom w:val="none" w:sz="0" w:space="0" w:color="auto"/>
            <w:right w:val="none" w:sz="0" w:space="0" w:color="auto"/>
          </w:divBdr>
          <w:divsChild>
            <w:div w:id="359162871">
              <w:marLeft w:val="0"/>
              <w:marRight w:val="0"/>
              <w:marTop w:val="0"/>
              <w:marBottom w:val="0"/>
              <w:divBdr>
                <w:top w:val="none" w:sz="0" w:space="0" w:color="auto"/>
                <w:left w:val="none" w:sz="0" w:space="0" w:color="auto"/>
                <w:bottom w:val="none" w:sz="0" w:space="0" w:color="auto"/>
                <w:right w:val="none" w:sz="0" w:space="0" w:color="auto"/>
              </w:divBdr>
              <w:divsChild>
                <w:div w:id="119191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201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0865DCE-9E49-FD44-A4D5-EAD653EEF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24</Pages>
  <Words>7721</Words>
  <Characters>44016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Powderly</dc:creator>
  <cp:keywords/>
  <dc:description/>
  <cp:lastModifiedBy>Laura diZerega</cp:lastModifiedBy>
  <cp:revision>5</cp:revision>
  <cp:lastPrinted>2021-09-20T21:44:00Z</cp:lastPrinted>
  <dcterms:created xsi:type="dcterms:W3CDTF">2021-12-08T00:14:00Z</dcterms:created>
  <dcterms:modified xsi:type="dcterms:W3CDTF">2021-12-17T20:06:00Z</dcterms:modified>
</cp:coreProperties>
</file>