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5397E" w14:textId="6A329D2A" w:rsidR="00FA1B79" w:rsidRPr="003952DE" w:rsidRDefault="00FA1B79" w:rsidP="00C2455D">
      <w:pPr>
        <w:pStyle w:val="Heading1"/>
      </w:pPr>
      <w:r w:rsidRPr="003952DE">
        <w:t>From Kyoto to Baghdad</w:t>
      </w:r>
      <w:r w:rsidR="00F03448" w:rsidRPr="003952DE">
        <w:t xml:space="preserve"> </w:t>
      </w:r>
      <w:r w:rsidR="0022782C" w:rsidRPr="003952DE">
        <w:t>to</w:t>
      </w:r>
      <w:r w:rsidR="00F03448" w:rsidRPr="003952DE">
        <w:t xml:space="preserve"> </w:t>
      </w:r>
      <w:r w:rsidR="0022782C" w:rsidRPr="003952DE">
        <w:t>Tehran</w:t>
      </w:r>
      <w:r w:rsidRPr="003952DE">
        <w:t>:</w:t>
      </w:r>
      <w:r w:rsidR="00F85201">
        <w:t xml:space="preserve"> </w:t>
      </w:r>
      <w:r w:rsidR="00F03448" w:rsidRPr="003952DE">
        <w:t xml:space="preserve">Leadership, Law, and the Protection of </w:t>
      </w:r>
      <w:r w:rsidRPr="003952DE">
        <w:t xml:space="preserve">Cultural </w:t>
      </w:r>
      <w:r w:rsidR="00CE5FB3" w:rsidRPr="003952DE">
        <w:t>Heritage</w:t>
      </w:r>
    </w:p>
    <w:p w14:paraId="0D31AA87" w14:textId="55A76DE9" w:rsidR="00092FA7" w:rsidRPr="003952DE" w:rsidRDefault="00092FA7" w:rsidP="00B42C2D">
      <w:pPr>
        <w:spacing w:line="480" w:lineRule="auto"/>
        <w:rPr>
          <w:color w:val="000000" w:themeColor="text1"/>
        </w:rPr>
      </w:pPr>
      <w:r w:rsidRPr="003952DE">
        <w:rPr>
          <w:color w:val="000000" w:themeColor="text1"/>
        </w:rPr>
        <w:t>Scott D. Sagan</w:t>
      </w:r>
    </w:p>
    <w:p w14:paraId="53270B9A" w14:textId="75A6A0C0" w:rsidR="007D15AC" w:rsidRDefault="007D15AC" w:rsidP="00B42C2D">
      <w:pPr>
        <w:spacing w:line="480" w:lineRule="auto"/>
        <w:rPr>
          <w:color w:val="000000" w:themeColor="text1"/>
        </w:rPr>
      </w:pPr>
    </w:p>
    <w:p w14:paraId="70E00FC3" w14:textId="77777777" w:rsidR="00CD197A" w:rsidRDefault="00CD197A" w:rsidP="00CD197A">
      <w:pPr>
        <w:spacing w:line="480" w:lineRule="auto"/>
      </w:pPr>
      <w:r w:rsidRPr="00CD6601">
        <w:t xml:space="preserve">© 2022 J. Paul Getty Trust. Originally published in </w:t>
      </w:r>
      <w:r w:rsidRPr="00CD6601">
        <w:rPr>
          <w:i/>
        </w:rPr>
        <w:t>Cultural Heritage and Mass Atrocities</w:t>
      </w:r>
      <w:r w:rsidRPr="00CD6601">
        <w:t xml:space="preserve"> © 2022 J. Paul Getty Trust, www.getty.edu/publicatio</w:t>
      </w:r>
      <w:r>
        <w:t>n</w:t>
      </w:r>
      <w:r w:rsidRPr="00CD6601">
        <w:t xml:space="preserve">s/cultural-heritage-mass-atrocities (licensed under </w:t>
      </w:r>
      <w:hyperlink r:id="rId8" w:history="1">
        <w:r w:rsidRPr="00CD6601">
          <w:rPr>
            <w:rStyle w:val="Hyperlink"/>
          </w:rPr>
          <w:t>CC BY 4.0</w:t>
        </w:r>
      </w:hyperlink>
      <w:r w:rsidRPr="00CD6601">
        <w:t>)</w:t>
      </w:r>
    </w:p>
    <w:p w14:paraId="1471E80E" w14:textId="77777777" w:rsidR="00CD197A" w:rsidRDefault="00CD197A" w:rsidP="00B42C2D">
      <w:pPr>
        <w:spacing w:line="480" w:lineRule="auto"/>
        <w:rPr>
          <w:color w:val="000000" w:themeColor="text1"/>
        </w:rPr>
      </w:pPr>
      <w:bookmarkStart w:id="0" w:name="_GoBack"/>
      <w:bookmarkEnd w:id="0"/>
    </w:p>
    <w:p w14:paraId="667A6D9D" w14:textId="32C445A0" w:rsidR="00092FA7" w:rsidRDefault="002E524A" w:rsidP="00C2455D">
      <w:pPr>
        <w:pStyle w:val="Heading2"/>
      </w:pPr>
      <w:r>
        <w:t>Keynote</w:t>
      </w:r>
    </w:p>
    <w:p w14:paraId="4B76EBE9" w14:textId="205DC465" w:rsidR="000C1100" w:rsidRPr="003952DE" w:rsidRDefault="000C1100" w:rsidP="00B42C2D">
      <w:pPr>
        <w:spacing w:line="480" w:lineRule="auto"/>
        <w:rPr>
          <w:color w:val="000000" w:themeColor="text1"/>
        </w:rPr>
      </w:pPr>
      <w:r>
        <w:rPr>
          <w:color w:val="000000" w:themeColor="text1"/>
        </w:rPr>
        <w:t xml:space="preserve">How does the law of armed conflict protect cultural </w:t>
      </w:r>
      <w:r w:rsidR="00061023">
        <w:rPr>
          <w:color w:val="000000" w:themeColor="text1"/>
        </w:rPr>
        <w:t>heritage</w:t>
      </w:r>
      <w:r>
        <w:rPr>
          <w:color w:val="000000" w:themeColor="text1"/>
        </w:rPr>
        <w:t>?</w:t>
      </w:r>
      <w:r w:rsidR="00F116A6">
        <w:rPr>
          <w:color w:val="000000" w:themeColor="text1"/>
        </w:rPr>
        <w:t xml:space="preserve"> </w:t>
      </w:r>
      <w:r>
        <w:rPr>
          <w:color w:val="000000" w:themeColor="text1"/>
        </w:rPr>
        <w:t>The history of US military plans and operations in 1945, 1991, 2003, and 20</w:t>
      </w:r>
      <w:r w:rsidR="00061023">
        <w:rPr>
          <w:color w:val="000000" w:themeColor="text1"/>
        </w:rPr>
        <w:t>20</w:t>
      </w:r>
      <w:r>
        <w:rPr>
          <w:color w:val="000000" w:themeColor="text1"/>
        </w:rPr>
        <w:t xml:space="preserve"> demonstrate</w:t>
      </w:r>
      <w:r w:rsidR="00874247">
        <w:rPr>
          <w:color w:val="000000" w:themeColor="text1"/>
        </w:rPr>
        <w:t>s</w:t>
      </w:r>
      <w:r>
        <w:rPr>
          <w:color w:val="000000" w:themeColor="text1"/>
        </w:rPr>
        <w:t xml:space="preserve"> how strategic</w:t>
      </w:r>
      <w:r w:rsidR="00061023">
        <w:rPr>
          <w:color w:val="000000" w:themeColor="text1"/>
        </w:rPr>
        <w:t>,</w:t>
      </w:r>
      <w:r>
        <w:rPr>
          <w:color w:val="000000" w:themeColor="text1"/>
        </w:rPr>
        <w:t xml:space="preserve"> ethical</w:t>
      </w:r>
      <w:r w:rsidR="00061023">
        <w:rPr>
          <w:color w:val="000000" w:themeColor="text1"/>
        </w:rPr>
        <w:t>, and</w:t>
      </w:r>
      <w:r>
        <w:rPr>
          <w:color w:val="000000" w:themeColor="text1"/>
        </w:rPr>
        <w:t xml:space="preserve"> legal logic</w:t>
      </w:r>
      <w:r w:rsidR="00061023">
        <w:rPr>
          <w:color w:val="000000" w:themeColor="text1"/>
        </w:rPr>
        <w:t>s</w:t>
      </w:r>
      <w:r>
        <w:rPr>
          <w:color w:val="000000" w:themeColor="text1"/>
        </w:rPr>
        <w:t xml:space="preserve"> interact in </w:t>
      </w:r>
      <w:r w:rsidR="00A778F4">
        <w:rPr>
          <w:color w:val="000000" w:themeColor="text1"/>
        </w:rPr>
        <w:t xml:space="preserve">a </w:t>
      </w:r>
      <w:r>
        <w:rPr>
          <w:color w:val="000000" w:themeColor="text1"/>
        </w:rPr>
        <w:t xml:space="preserve">complex </w:t>
      </w:r>
      <w:r w:rsidR="00A778F4">
        <w:rPr>
          <w:color w:val="000000" w:themeColor="text1"/>
        </w:rPr>
        <w:t>manner</w:t>
      </w:r>
      <w:r>
        <w:rPr>
          <w:color w:val="000000" w:themeColor="text1"/>
        </w:rPr>
        <w:t xml:space="preserve">. </w:t>
      </w:r>
      <w:r w:rsidR="00A778F4">
        <w:rPr>
          <w:color w:val="000000" w:themeColor="text1"/>
        </w:rPr>
        <w:t>Laws create</w:t>
      </w:r>
      <w:r w:rsidR="00E1043C">
        <w:rPr>
          <w:color w:val="000000" w:themeColor="text1"/>
        </w:rPr>
        <w:t xml:space="preserve"> obligations and</w:t>
      </w:r>
      <w:r w:rsidR="00A778F4">
        <w:rPr>
          <w:color w:val="000000" w:themeColor="text1"/>
        </w:rPr>
        <w:t xml:space="preserve"> entailments that constrain decisionmakers in unexpected ways.</w:t>
      </w:r>
    </w:p>
    <w:p w14:paraId="1E2CACB2" w14:textId="14DBB310" w:rsidR="007D15AC" w:rsidRDefault="007D15AC" w:rsidP="00B42C2D">
      <w:pPr>
        <w:spacing w:line="480" w:lineRule="auto"/>
        <w:rPr>
          <w:color w:val="000000" w:themeColor="text1"/>
        </w:rPr>
      </w:pPr>
    </w:p>
    <w:p w14:paraId="478DED72" w14:textId="51F3B6AA" w:rsidR="000C1100" w:rsidRDefault="002E524A" w:rsidP="00C2455D">
      <w:pPr>
        <w:pStyle w:val="Heading2"/>
      </w:pPr>
      <w:r>
        <w:t>Abstract</w:t>
      </w:r>
    </w:p>
    <w:p w14:paraId="5DAFCD17" w14:textId="48441E79" w:rsidR="000C1100" w:rsidRPr="003952DE" w:rsidRDefault="00061023" w:rsidP="00C2455D">
      <w:pPr>
        <w:spacing w:line="480" w:lineRule="auto"/>
        <w:rPr>
          <w:color w:val="000000" w:themeColor="text1"/>
        </w:rPr>
      </w:pPr>
      <w:r>
        <w:rPr>
          <w:color w:val="000000" w:themeColor="text1"/>
        </w:rPr>
        <w:t xml:space="preserve">How does the law of armed conflict protect cultural </w:t>
      </w:r>
      <w:r w:rsidR="0022037B">
        <w:rPr>
          <w:color w:val="000000" w:themeColor="text1"/>
        </w:rPr>
        <w:t>heritage</w:t>
      </w:r>
      <w:r>
        <w:rPr>
          <w:color w:val="000000" w:themeColor="text1"/>
        </w:rPr>
        <w:t>?</w:t>
      </w:r>
      <w:r w:rsidR="00F116A6">
        <w:rPr>
          <w:color w:val="000000" w:themeColor="text1"/>
        </w:rPr>
        <w:t xml:space="preserve"> </w:t>
      </w:r>
      <w:r>
        <w:rPr>
          <w:color w:val="000000" w:themeColor="text1"/>
        </w:rPr>
        <w:t xml:space="preserve">The history of </w:t>
      </w:r>
      <w:r w:rsidR="008C2534">
        <w:rPr>
          <w:color w:val="000000" w:themeColor="text1"/>
        </w:rPr>
        <w:t xml:space="preserve">President Harry </w:t>
      </w:r>
      <w:r>
        <w:rPr>
          <w:color w:val="000000" w:themeColor="text1"/>
        </w:rPr>
        <w:t>Truman’s decision to spare Kyoto from atomic destruction in 1945,</w:t>
      </w:r>
      <w:r w:rsidR="00F116A6">
        <w:rPr>
          <w:color w:val="000000" w:themeColor="text1"/>
        </w:rPr>
        <w:t xml:space="preserve"> </w:t>
      </w:r>
      <w:r>
        <w:rPr>
          <w:color w:val="000000" w:themeColor="text1"/>
        </w:rPr>
        <w:t xml:space="preserve">US targeting decisions in the 1991 Gulf War, the 2003 looting of the </w:t>
      </w:r>
      <w:r w:rsidR="00412EC0">
        <w:rPr>
          <w:color w:val="000000" w:themeColor="text1"/>
        </w:rPr>
        <w:t xml:space="preserve">Iraq </w:t>
      </w:r>
      <w:r>
        <w:rPr>
          <w:color w:val="000000" w:themeColor="text1"/>
        </w:rPr>
        <w:t>Museum</w:t>
      </w:r>
      <w:r w:rsidR="00412EC0">
        <w:rPr>
          <w:color w:val="000000" w:themeColor="text1"/>
        </w:rPr>
        <w:t xml:space="preserve"> in Baghdad</w:t>
      </w:r>
      <w:r>
        <w:rPr>
          <w:color w:val="000000" w:themeColor="text1"/>
        </w:rPr>
        <w:t xml:space="preserve">, and </w:t>
      </w:r>
      <w:r w:rsidR="00317FF9">
        <w:rPr>
          <w:color w:val="000000" w:themeColor="text1"/>
        </w:rPr>
        <w:t xml:space="preserve">President Donald </w:t>
      </w:r>
      <w:r>
        <w:rPr>
          <w:color w:val="000000" w:themeColor="text1"/>
        </w:rPr>
        <w:t xml:space="preserve">Trump’s threats in 2020 to attack Iranian cultural sites demonstrate how strategic logic and ethical or legal logic interact in complex ways. </w:t>
      </w:r>
      <w:r w:rsidR="000C1100" w:rsidRPr="003952DE">
        <w:rPr>
          <w:color w:val="000000" w:themeColor="text1"/>
        </w:rPr>
        <w:t xml:space="preserve">The </w:t>
      </w:r>
      <w:r w:rsidR="0023163B">
        <w:rPr>
          <w:color w:val="000000" w:themeColor="text1"/>
        </w:rPr>
        <w:t xml:space="preserve">international </w:t>
      </w:r>
      <w:r w:rsidR="000C1100" w:rsidRPr="003952DE">
        <w:rPr>
          <w:color w:val="000000" w:themeColor="text1"/>
        </w:rPr>
        <w:t xml:space="preserve">legal principles of proportionality and precaution must always be followed so that soldiers take risks and </w:t>
      </w:r>
      <w:r w:rsidR="000C1100">
        <w:rPr>
          <w:color w:val="000000" w:themeColor="text1"/>
        </w:rPr>
        <w:t>properly weigh</w:t>
      </w:r>
      <w:r w:rsidR="000C1100" w:rsidRPr="003952DE">
        <w:rPr>
          <w:color w:val="000000" w:themeColor="text1"/>
        </w:rPr>
        <w:t xml:space="preserve"> the harm of cultural heritage destruction against the importance of destroying a legitimate target. </w:t>
      </w:r>
      <w:r w:rsidR="000C1100">
        <w:rPr>
          <w:color w:val="000000" w:themeColor="text1"/>
        </w:rPr>
        <w:t xml:space="preserve">Unfortunately, this </w:t>
      </w:r>
      <w:r w:rsidR="003E1ECF">
        <w:rPr>
          <w:color w:val="000000" w:themeColor="text1"/>
        </w:rPr>
        <w:t xml:space="preserve">complex </w:t>
      </w:r>
      <w:r w:rsidR="000C1100">
        <w:rPr>
          <w:color w:val="000000" w:themeColor="text1"/>
        </w:rPr>
        <w:t>balancing act is made more difficult when an adversary’s military forces hide near or within cultural heritage sites.</w:t>
      </w:r>
      <w:r w:rsidR="00F116A6">
        <w:rPr>
          <w:color w:val="000000" w:themeColor="text1"/>
        </w:rPr>
        <w:t xml:space="preserve"> </w:t>
      </w:r>
      <w:r w:rsidR="000C1100" w:rsidRPr="003952DE">
        <w:rPr>
          <w:color w:val="000000" w:themeColor="text1"/>
        </w:rPr>
        <w:t xml:space="preserve">Fortunately, the history also illuminates how </w:t>
      </w:r>
      <w:r w:rsidR="000C1100" w:rsidRPr="003952DE">
        <w:rPr>
          <w:color w:val="000000" w:themeColor="text1"/>
        </w:rPr>
        <w:lastRenderedPageBreak/>
        <w:t xml:space="preserve">legal constraints can take on a life of their own, influencing </w:t>
      </w:r>
      <w:r w:rsidR="000C1100">
        <w:rPr>
          <w:color w:val="000000" w:themeColor="text1"/>
        </w:rPr>
        <w:t xml:space="preserve">operational </w:t>
      </w:r>
      <w:r w:rsidR="000C1100" w:rsidRPr="003952DE">
        <w:rPr>
          <w:color w:val="000000" w:themeColor="text1"/>
        </w:rPr>
        <w:t xml:space="preserve">decisions even when individual </w:t>
      </w:r>
      <w:r w:rsidR="000C1100">
        <w:rPr>
          <w:color w:val="000000" w:themeColor="text1"/>
        </w:rPr>
        <w:t xml:space="preserve">political </w:t>
      </w:r>
      <w:r w:rsidR="000C1100" w:rsidRPr="003952DE">
        <w:rPr>
          <w:color w:val="000000" w:themeColor="text1"/>
        </w:rPr>
        <w:t>leaders themselves are not particularly concerned about following international law.</w:t>
      </w:r>
    </w:p>
    <w:p w14:paraId="2E2F0A6D" w14:textId="77777777" w:rsidR="000C1100" w:rsidRPr="003952DE" w:rsidRDefault="000C1100" w:rsidP="00B42C2D">
      <w:pPr>
        <w:spacing w:line="480" w:lineRule="auto"/>
        <w:rPr>
          <w:color w:val="000000" w:themeColor="text1"/>
        </w:rPr>
      </w:pPr>
    </w:p>
    <w:p w14:paraId="509DE386" w14:textId="099045F8" w:rsidR="007D15AC" w:rsidRPr="00C2455D" w:rsidRDefault="00077409" w:rsidP="00C2455D">
      <w:pPr>
        <w:pStyle w:val="Heading2"/>
      </w:pPr>
      <w:r w:rsidRPr="00C2455D">
        <w:t xml:space="preserve">Biography </w:t>
      </w:r>
    </w:p>
    <w:p w14:paraId="0EBB3601" w14:textId="1191348D" w:rsidR="00E22AD5" w:rsidRPr="003952DE" w:rsidRDefault="00077409" w:rsidP="000F60A2">
      <w:pPr>
        <w:shd w:val="clear" w:color="auto" w:fill="FFFFFF"/>
        <w:spacing w:line="480" w:lineRule="auto"/>
        <w:textAlignment w:val="baseline"/>
        <w:rPr>
          <w:color w:val="000000" w:themeColor="text1"/>
        </w:rPr>
      </w:pPr>
      <w:r w:rsidRPr="003952DE">
        <w:rPr>
          <w:color w:val="000000" w:themeColor="text1"/>
        </w:rPr>
        <w:t>Scott D. Sagan is the Caroline SG Munro Professor of Political Science and a Senior Fellow at the Center for International Security and Cooperation and the Freeman Spogli Institute at Stanford University. Sagan is the author of </w:t>
      </w:r>
      <w:r w:rsidRPr="003952DE">
        <w:rPr>
          <w:i/>
          <w:iCs/>
          <w:color w:val="000000" w:themeColor="text1"/>
        </w:rPr>
        <w:t>The Limits of Safety: Organizations, Accidents, and Nuclear Weapons</w:t>
      </w:r>
      <w:r w:rsidRPr="003952DE">
        <w:rPr>
          <w:color w:val="000000" w:themeColor="text1"/>
        </w:rPr>
        <w:t> (1993) and, with Kenneth N. Waltz, </w:t>
      </w:r>
      <w:r w:rsidRPr="003952DE">
        <w:rPr>
          <w:i/>
          <w:iCs/>
          <w:color w:val="000000" w:themeColor="text1"/>
        </w:rPr>
        <w:t>The Spread of Nuclear Weapons: An Enduring Debate</w:t>
      </w:r>
      <w:r w:rsidRPr="003952DE">
        <w:rPr>
          <w:color w:val="000000" w:themeColor="text1"/>
        </w:rPr>
        <w:t xml:space="preserve"> (2012). Sagan previously was a lecturer in the Department of Government at Harvard University and served as special assistant to the director of the Organization of the Joint Chiefs of Staff </w:t>
      </w:r>
      <w:r w:rsidR="00807FC2">
        <w:rPr>
          <w:color w:val="000000" w:themeColor="text1"/>
        </w:rPr>
        <w:t>at the US Department of Defense</w:t>
      </w:r>
      <w:r w:rsidRPr="003952DE">
        <w:rPr>
          <w:color w:val="000000" w:themeColor="text1"/>
        </w:rPr>
        <w:t>.</w:t>
      </w:r>
    </w:p>
    <w:p w14:paraId="0A4BEBD9" w14:textId="77777777" w:rsidR="00E40919" w:rsidRDefault="00E40919" w:rsidP="00E85C6F">
      <w:pPr>
        <w:spacing w:line="480" w:lineRule="auto"/>
        <w:rPr>
          <w:color w:val="000000" w:themeColor="text1"/>
          <w:u w:val="single"/>
        </w:rPr>
      </w:pPr>
    </w:p>
    <w:p w14:paraId="7711240B" w14:textId="0A99AE23" w:rsidR="00323DAE" w:rsidRPr="00B40B27" w:rsidRDefault="00323DAE" w:rsidP="00E85C6F">
      <w:pPr>
        <w:spacing w:line="480" w:lineRule="auto"/>
        <w:rPr>
          <w:color w:val="000000" w:themeColor="text1"/>
          <w:u w:val="single"/>
        </w:rPr>
      </w:pPr>
    </w:p>
    <w:p w14:paraId="0B51ADAC" w14:textId="75E32DD7" w:rsidR="00263092" w:rsidRDefault="00FA1B79" w:rsidP="00E85C6F">
      <w:pPr>
        <w:spacing w:line="480" w:lineRule="auto"/>
        <w:rPr>
          <w:color w:val="000000" w:themeColor="text1"/>
        </w:rPr>
      </w:pPr>
      <w:r w:rsidRPr="003952DE">
        <w:rPr>
          <w:color w:val="000000" w:themeColor="text1"/>
        </w:rPr>
        <w:t xml:space="preserve">In July 1945, </w:t>
      </w:r>
      <w:r w:rsidR="0017690A" w:rsidRPr="003952DE">
        <w:rPr>
          <w:color w:val="000000" w:themeColor="text1"/>
        </w:rPr>
        <w:t>at the end of World War</w:t>
      </w:r>
      <w:r w:rsidR="006B749F">
        <w:rPr>
          <w:color w:val="000000" w:themeColor="text1"/>
        </w:rPr>
        <w:t xml:space="preserve"> II</w:t>
      </w:r>
      <w:r w:rsidR="0017690A" w:rsidRPr="003952DE">
        <w:rPr>
          <w:color w:val="000000" w:themeColor="text1"/>
        </w:rPr>
        <w:t xml:space="preserve">, </w:t>
      </w:r>
      <w:r w:rsidR="0050530F">
        <w:rPr>
          <w:color w:val="000000" w:themeColor="text1"/>
        </w:rPr>
        <w:t>US s</w:t>
      </w:r>
      <w:r w:rsidRPr="003952DE">
        <w:rPr>
          <w:color w:val="000000" w:themeColor="text1"/>
        </w:rPr>
        <w:t xml:space="preserve">ecretary of </w:t>
      </w:r>
      <w:r w:rsidR="0050530F">
        <w:rPr>
          <w:color w:val="000000" w:themeColor="text1"/>
        </w:rPr>
        <w:t>w</w:t>
      </w:r>
      <w:r w:rsidRPr="003952DE">
        <w:rPr>
          <w:color w:val="000000" w:themeColor="text1"/>
        </w:rPr>
        <w:t xml:space="preserve">ar Henry Stimson </w:t>
      </w:r>
      <w:r w:rsidR="00F03448" w:rsidRPr="003952DE">
        <w:rPr>
          <w:color w:val="000000" w:themeColor="text1"/>
        </w:rPr>
        <w:t>persuaded</w:t>
      </w:r>
      <w:r w:rsidRPr="003952DE">
        <w:rPr>
          <w:color w:val="000000" w:themeColor="text1"/>
        </w:rPr>
        <w:t xml:space="preserve"> President Harry Truman to remove Kyoto, the ancient capital of Japan, from the top of the target list for the dropping of the atomic bomb. </w:t>
      </w:r>
      <w:r w:rsidR="008D4ABE" w:rsidRPr="003952DE">
        <w:rPr>
          <w:color w:val="000000" w:themeColor="text1"/>
        </w:rPr>
        <w:t xml:space="preserve">In 1991, </w:t>
      </w:r>
      <w:r w:rsidR="0017690A" w:rsidRPr="003952DE">
        <w:rPr>
          <w:color w:val="000000" w:themeColor="text1"/>
        </w:rPr>
        <w:t xml:space="preserve">during the Gulf War, </w:t>
      </w:r>
      <w:r w:rsidR="008D4ABE" w:rsidRPr="003952DE">
        <w:rPr>
          <w:color w:val="000000" w:themeColor="text1"/>
        </w:rPr>
        <w:t xml:space="preserve">US </w:t>
      </w:r>
      <w:r w:rsidR="0017690A" w:rsidRPr="003952DE">
        <w:rPr>
          <w:color w:val="000000" w:themeColor="text1"/>
        </w:rPr>
        <w:t xml:space="preserve">Central Command developed an extensive “no-attack” list of cultural, religious, and historical sites that were off-limits for military targeting. </w:t>
      </w:r>
      <w:r w:rsidR="00F20C9F" w:rsidRPr="003952DE">
        <w:rPr>
          <w:color w:val="000000" w:themeColor="text1"/>
        </w:rPr>
        <w:t>In March 2003</w:t>
      </w:r>
      <w:r w:rsidR="00AB69F4">
        <w:rPr>
          <w:color w:val="000000" w:themeColor="text1"/>
        </w:rPr>
        <w:t>, after the invasion of Iraq</w:t>
      </w:r>
      <w:r w:rsidR="00F20C9F" w:rsidRPr="003952DE">
        <w:rPr>
          <w:color w:val="000000" w:themeColor="text1"/>
        </w:rPr>
        <w:t>,</w:t>
      </w:r>
      <w:r w:rsidR="00AB69F4">
        <w:rPr>
          <w:color w:val="000000" w:themeColor="text1"/>
        </w:rPr>
        <w:t xml:space="preserve"> </w:t>
      </w:r>
      <w:r w:rsidR="00F20C9F" w:rsidRPr="003952DE">
        <w:rPr>
          <w:color w:val="000000" w:themeColor="text1"/>
        </w:rPr>
        <w:t xml:space="preserve">it became clear that </w:t>
      </w:r>
      <w:r w:rsidR="00AB69F4">
        <w:rPr>
          <w:color w:val="000000" w:themeColor="text1"/>
        </w:rPr>
        <w:t xml:space="preserve">such </w:t>
      </w:r>
      <w:r w:rsidR="00F20C9F" w:rsidRPr="003952DE">
        <w:rPr>
          <w:color w:val="000000" w:themeColor="text1"/>
        </w:rPr>
        <w:t>no-attack lists are not enough when</w:t>
      </w:r>
      <w:r w:rsidR="00AB69F4">
        <w:rPr>
          <w:color w:val="000000" w:themeColor="text1"/>
        </w:rPr>
        <w:t xml:space="preserve"> </w:t>
      </w:r>
      <w:r w:rsidR="00F20C9F" w:rsidRPr="003952DE">
        <w:rPr>
          <w:color w:val="000000" w:themeColor="text1"/>
        </w:rPr>
        <w:t xml:space="preserve">considerable looting took place at the </w:t>
      </w:r>
      <w:r w:rsidR="006107F6">
        <w:rPr>
          <w:color w:val="000000" w:themeColor="text1"/>
        </w:rPr>
        <w:t>Iraq</w:t>
      </w:r>
      <w:r w:rsidR="006107F6" w:rsidRPr="003952DE">
        <w:rPr>
          <w:color w:val="000000" w:themeColor="text1"/>
        </w:rPr>
        <w:t xml:space="preserve"> </w:t>
      </w:r>
      <w:r w:rsidR="00F20C9F" w:rsidRPr="003952DE">
        <w:rPr>
          <w:color w:val="000000" w:themeColor="text1"/>
        </w:rPr>
        <w:t xml:space="preserve">Museum in Baghdad. </w:t>
      </w:r>
      <w:r w:rsidR="006A732B">
        <w:rPr>
          <w:color w:val="000000" w:themeColor="text1"/>
        </w:rPr>
        <w:t>Yet i</w:t>
      </w:r>
      <w:r w:rsidR="00F20C9F" w:rsidRPr="003952DE">
        <w:rPr>
          <w:color w:val="000000" w:themeColor="text1"/>
        </w:rPr>
        <w:t xml:space="preserve">n response to </w:t>
      </w:r>
      <w:r w:rsidR="009D5268" w:rsidRPr="003952DE">
        <w:rPr>
          <w:color w:val="000000" w:themeColor="text1"/>
        </w:rPr>
        <w:t xml:space="preserve">widespread </w:t>
      </w:r>
      <w:r w:rsidR="00F20C9F" w:rsidRPr="003952DE">
        <w:rPr>
          <w:color w:val="000000" w:themeColor="text1"/>
        </w:rPr>
        <w:t>criticism</w:t>
      </w:r>
      <w:r w:rsidR="009D5E9A" w:rsidRPr="003952DE">
        <w:rPr>
          <w:color w:val="000000" w:themeColor="text1"/>
        </w:rPr>
        <w:t xml:space="preserve"> of the </w:t>
      </w:r>
      <w:r w:rsidR="00E85C6F" w:rsidRPr="003952DE">
        <w:rPr>
          <w:color w:val="000000" w:themeColor="text1"/>
        </w:rPr>
        <w:t>US</w:t>
      </w:r>
      <w:r w:rsidR="009D5E9A" w:rsidRPr="003952DE">
        <w:rPr>
          <w:color w:val="000000" w:themeColor="text1"/>
        </w:rPr>
        <w:t xml:space="preserve"> military for failing to prevent the looting</w:t>
      </w:r>
      <w:r w:rsidR="00F20C9F" w:rsidRPr="003952DE">
        <w:rPr>
          <w:color w:val="000000" w:themeColor="text1"/>
        </w:rPr>
        <w:t xml:space="preserve">, </w:t>
      </w:r>
      <w:r w:rsidR="00246595" w:rsidRPr="003952DE">
        <w:rPr>
          <w:color w:val="000000" w:themeColor="text1"/>
        </w:rPr>
        <w:t xml:space="preserve">Secretary of Defense Donald Rumsfeld displayed </w:t>
      </w:r>
      <w:r w:rsidR="0017690A" w:rsidRPr="003952DE">
        <w:rPr>
          <w:color w:val="000000" w:themeColor="text1"/>
        </w:rPr>
        <w:t xml:space="preserve">little </w:t>
      </w:r>
      <w:r w:rsidR="00246595" w:rsidRPr="003952DE">
        <w:rPr>
          <w:color w:val="000000" w:themeColor="text1"/>
        </w:rPr>
        <w:t xml:space="preserve">concern </w:t>
      </w:r>
      <w:r w:rsidR="00112245" w:rsidRPr="003952DE">
        <w:rPr>
          <w:color w:val="000000" w:themeColor="text1"/>
        </w:rPr>
        <w:t xml:space="preserve">about the incident. </w:t>
      </w:r>
      <w:r w:rsidR="008D4ABE" w:rsidRPr="003952DE">
        <w:rPr>
          <w:color w:val="000000" w:themeColor="text1"/>
        </w:rPr>
        <w:t>I</w:t>
      </w:r>
      <w:r w:rsidR="00F03448" w:rsidRPr="003952DE">
        <w:rPr>
          <w:color w:val="000000" w:themeColor="text1"/>
        </w:rPr>
        <w:t xml:space="preserve">n January 2020, President Donald Trump </w:t>
      </w:r>
      <w:r w:rsidR="0022782C" w:rsidRPr="003952DE">
        <w:rPr>
          <w:color w:val="000000" w:themeColor="text1"/>
        </w:rPr>
        <w:t xml:space="preserve">tweeted a </w:t>
      </w:r>
      <w:r w:rsidR="00F03448" w:rsidRPr="003952DE">
        <w:rPr>
          <w:color w:val="000000" w:themeColor="text1"/>
        </w:rPr>
        <w:t>threat</w:t>
      </w:r>
      <w:r w:rsidR="0022782C" w:rsidRPr="003952DE">
        <w:rPr>
          <w:color w:val="000000" w:themeColor="text1"/>
        </w:rPr>
        <w:t xml:space="preserve"> to</w:t>
      </w:r>
      <w:r w:rsidR="00F03448" w:rsidRPr="003952DE">
        <w:rPr>
          <w:color w:val="000000" w:themeColor="text1"/>
        </w:rPr>
        <w:t xml:space="preserve"> </w:t>
      </w:r>
      <w:r w:rsidR="0022782C" w:rsidRPr="003952DE">
        <w:rPr>
          <w:color w:val="000000" w:themeColor="text1"/>
        </w:rPr>
        <w:t>target</w:t>
      </w:r>
      <w:r w:rsidR="00F03448" w:rsidRPr="003952DE">
        <w:rPr>
          <w:color w:val="000000" w:themeColor="text1"/>
        </w:rPr>
        <w:t xml:space="preserve"> </w:t>
      </w:r>
      <w:r w:rsidR="00112245" w:rsidRPr="003952DE">
        <w:rPr>
          <w:color w:val="000000" w:themeColor="text1"/>
        </w:rPr>
        <w:t xml:space="preserve">Iranian cultural heritage sites, </w:t>
      </w:r>
      <w:r w:rsidR="00112245" w:rsidRPr="003952DE">
        <w:rPr>
          <w:color w:val="000000" w:themeColor="text1"/>
        </w:rPr>
        <w:lastRenderedPageBreak/>
        <w:t xml:space="preserve">but Secretary of Defense </w:t>
      </w:r>
      <w:r w:rsidR="00F7672E" w:rsidRPr="003952DE">
        <w:rPr>
          <w:color w:val="000000" w:themeColor="text1"/>
          <w:shd w:val="clear" w:color="auto" w:fill="FFFFFF"/>
        </w:rPr>
        <w:t xml:space="preserve">Mark Esper </w:t>
      </w:r>
      <w:r w:rsidR="00112245" w:rsidRPr="003952DE">
        <w:rPr>
          <w:color w:val="000000" w:themeColor="text1"/>
        </w:rPr>
        <w:t xml:space="preserve">promptly announced that </w:t>
      </w:r>
      <w:r w:rsidR="00E85C6F" w:rsidRPr="003952DE">
        <w:rPr>
          <w:color w:val="000000" w:themeColor="text1"/>
        </w:rPr>
        <w:t>US</w:t>
      </w:r>
      <w:r w:rsidR="00F7672E" w:rsidRPr="003952DE">
        <w:rPr>
          <w:color w:val="000000" w:themeColor="text1"/>
        </w:rPr>
        <w:t xml:space="preserve"> </w:t>
      </w:r>
      <w:r w:rsidR="00112245" w:rsidRPr="003952DE">
        <w:rPr>
          <w:color w:val="000000" w:themeColor="text1"/>
        </w:rPr>
        <w:t>armed forces would follow the laws of armed conflict in any retaliatory attack against Iran.</w:t>
      </w:r>
    </w:p>
    <w:p w14:paraId="3C3F0B88" w14:textId="637314CB" w:rsidR="007A586E" w:rsidRDefault="00F03448" w:rsidP="00263092">
      <w:pPr>
        <w:spacing w:line="480" w:lineRule="auto"/>
        <w:ind w:firstLine="720"/>
        <w:rPr>
          <w:color w:val="000000" w:themeColor="text1"/>
        </w:rPr>
      </w:pPr>
      <w:r w:rsidRPr="003952DE">
        <w:rPr>
          <w:color w:val="000000" w:themeColor="text1"/>
        </w:rPr>
        <w:t xml:space="preserve">These </w:t>
      </w:r>
      <w:r w:rsidR="009625E7" w:rsidRPr="003952DE">
        <w:rPr>
          <w:color w:val="000000" w:themeColor="text1"/>
        </w:rPr>
        <w:t>events</w:t>
      </w:r>
      <w:r w:rsidRPr="003952DE">
        <w:rPr>
          <w:color w:val="000000" w:themeColor="text1"/>
        </w:rPr>
        <w:t xml:space="preserve"> took place in different eras with different </w:t>
      </w:r>
      <w:r w:rsidR="009164C2">
        <w:rPr>
          <w:color w:val="000000" w:themeColor="text1"/>
        </w:rPr>
        <w:t xml:space="preserve">international </w:t>
      </w:r>
      <w:r w:rsidRPr="003952DE">
        <w:rPr>
          <w:color w:val="000000" w:themeColor="text1"/>
        </w:rPr>
        <w:t xml:space="preserve">legal regimes in place regarding rules and standards for cultural </w:t>
      </w:r>
      <w:r w:rsidR="001E1CD9" w:rsidRPr="003952DE">
        <w:rPr>
          <w:color w:val="000000" w:themeColor="text1"/>
        </w:rPr>
        <w:t>heritage</w:t>
      </w:r>
      <w:r w:rsidRPr="003952DE">
        <w:rPr>
          <w:color w:val="000000" w:themeColor="text1"/>
        </w:rPr>
        <w:t xml:space="preserve"> protection in war. But the contrasting statements</w:t>
      </w:r>
      <w:r w:rsidR="0022782C" w:rsidRPr="003952DE">
        <w:rPr>
          <w:color w:val="000000" w:themeColor="text1"/>
        </w:rPr>
        <w:t xml:space="preserve"> and behavior also provide insights into </w:t>
      </w:r>
      <w:r w:rsidR="00E0613D" w:rsidRPr="003952DE">
        <w:rPr>
          <w:color w:val="000000" w:themeColor="text1"/>
        </w:rPr>
        <w:t xml:space="preserve">the </w:t>
      </w:r>
      <w:r w:rsidR="00D717BD" w:rsidRPr="003952DE">
        <w:rPr>
          <w:color w:val="000000" w:themeColor="text1"/>
        </w:rPr>
        <w:t>complex process by which</w:t>
      </w:r>
      <w:r w:rsidR="006102BB" w:rsidRPr="003952DE">
        <w:rPr>
          <w:color w:val="000000" w:themeColor="text1"/>
        </w:rPr>
        <w:t xml:space="preserve"> </w:t>
      </w:r>
      <w:r w:rsidR="0022782C" w:rsidRPr="003952DE">
        <w:rPr>
          <w:color w:val="000000" w:themeColor="text1"/>
        </w:rPr>
        <w:t xml:space="preserve">ethical and legal reasoning </w:t>
      </w:r>
      <w:r w:rsidR="00D717BD" w:rsidRPr="003952DE">
        <w:rPr>
          <w:color w:val="000000" w:themeColor="text1"/>
        </w:rPr>
        <w:t xml:space="preserve">and strategic imperatives interact to impact </w:t>
      </w:r>
      <w:r w:rsidR="006102BB" w:rsidRPr="003952DE">
        <w:rPr>
          <w:color w:val="000000" w:themeColor="text1"/>
        </w:rPr>
        <w:t xml:space="preserve">military </w:t>
      </w:r>
      <w:r w:rsidR="0022782C" w:rsidRPr="003952DE">
        <w:rPr>
          <w:color w:val="000000" w:themeColor="text1"/>
        </w:rPr>
        <w:t>decision-making</w:t>
      </w:r>
      <w:r w:rsidR="00D717BD" w:rsidRPr="003952DE">
        <w:rPr>
          <w:color w:val="000000" w:themeColor="text1"/>
        </w:rPr>
        <w:t>.</w:t>
      </w:r>
      <w:r w:rsidR="0022782C" w:rsidRPr="003952DE">
        <w:rPr>
          <w:color w:val="000000" w:themeColor="text1"/>
        </w:rPr>
        <w:t xml:space="preserve"> </w:t>
      </w:r>
      <w:r w:rsidR="00D717BD" w:rsidRPr="003952DE">
        <w:rPr>
          <w:color w:val="000000" w:themeColor="text1"/>
        </w:rPr>
        <w:t>Th</w:t>
      </w:r>
      <w:r w:rsidR="001646D3" w:rsidRPr="003952DE">
        <w:rPr>
          <w:color w:val="000000" w:themeColor="text1"/>
        </w:rPr>
        <w:t>e history of these incidents</w:t>
      </w:r>
      <w:r w:rsidR="008B7A3B" w:rsidRPr="003952DE">
        <w:rPr>
          <w:color w:val="000000" w:themeColor="text1"/>
        </w:rPr>
        <w:t xml:space="preserve"> </w:t>
      </w:r>
      <w:r w:rsidR="005C508D" w:rsidRPr="003952DE">
        <w:rPr>
          <w:color w:val="000000" w:themeColor="text1"/>
        </w:rPr>
        <w:t>illustrates</w:t>
      </w:r>
      <w:r w:rsidR="00A86B1D" w:rsidRPr="003952DE">
        <w:rPr>
          <w:color w:val="000000" w:themeColor="text1"/>
        </w:rPr>
        <w:t xml:space="preserve"> </w:t>
      </w:r>
      <w:r w:rsidR="006021E6" w:rsidRPr="003952DE">
        <w:rPr>
          <w:color w:val="000000" w:themeColor="text1"/>
        </w:rPr>
        <w:t xml:space="preserve">why it is easier to prioritize protection of cultural heritage when it is deemed to </w:t>
      </w:r>
      <w:r w:rsidR="004D6FDF" w:rsidRPr="003952DE">
        <w:rPr>
          <w:color w:val="000000" w:themeColor="text1"/>
        </w:rPr>
        <w:t>make</w:t>
      </w:r>
      <w:r w:rsidR="006021E6" w:rsidRPr="003952DE">
        <w:rPr>
          <w:color w:val="000000" w:themeColor="text1"/>
        </w:rPr>
        <w:t xml:space="preserve"> a positive contribution to winning the war and sustaining the peace. </w:t>
      </w:r>
      <w:r w:rsidR="004D6FDF" w:rsidRPr="003952DE">
        <w:rPr>
          <w:color w:val="000000" w:themeColor="text1"/>
        </w:rPr>
        <w:t xml:space="preserve">But that </w:t>
      </w:r>
      <w:r w:rsidR="00230782" w:rsidRPr="003952DE">
        <w:rPr>
          <w:color w:val="000000" w:themeColor="text1"/>
        </w:rPr>
        <w:t xml:space="preserve">is </w:t>
      </w:r>
      <w:r w:rsidR="004D6FDF" w:rsidRPr="003952DE">
        <w:rPr>
          <w:color w:val="000000" w:themeColor="text1"/>
        </w:rPr>
        <w:t>not always the case, and trade</w:t>
      </w:r>
      <w:r w:rsidR="00B258F8">
        <w:rPr>
          <w:color w:val="000000" w:themeColor="text1"/>
        </w:rPr>
        <w:t>-</w:t>
      </w:r>
      <w:r w:rsidR="004D6FDF" w:rsidRPr="003952DE">
        <w:rPr>
          <w:color w:val="000000" w:themeColor="text1"/>
        </w:rPr>
        <w:t xml:space="preserve">offs between cultural protection and military force protection are common. </w:t>
      </w:r>
      <w:r w:rsidR="00230782" w:rsidRPr="003952DE">
        <w:rPr>
          <w:color w:val="000000" w:themeColor="text1"/>
        </w:rPr>
        <w:t xml:space="preserve">The legal principles of proportionality and precaution must always be followed so that soldiers take risks and </w:t>
      </w:r>
      <w:r w:rsidR="00D76ABE">
        <w:rPr>
          <w:color w:val="000000" w:themeColor="text1"/>
        </w:rPr>
        <w:t>properly weigh</w:t>
      </w:r>
      <w:r w:rsidR="00230782" w:rsidRPr="003952DE">
        <w:rPr>
          <w:color w:val="000000" w:themeColor="text1"/>
        </w:rPr>
        <w:t xml:space="preserve"> the harm of cultural heritage destruction against the importance of destroying a legitimate target. </w:t>
      </w:r>
      <w:r w:rsidR="00D76ABE">
        <w:rPr>
          <w:color w:val="000000" w:themeColor="text1"/>
        </w:rPr>
        <w:t xml:space="preserve">Unfortunately, this </w:t>
      </w:r>
      <w:r w:rsidR="00A80C77">
        <w:rPr>
          <w:color w:val="000000" w:themeColor="text1"/>
        </w:rPr>
        <w:t xml:space="preserve">complex </w:t>
      </w:r>
      <w:r w:rsidR="00D76ABE">
        <w:rPr>
          <w:color w:val="000000" w:themeColor="text1"/>
        </w:rPr>
        <w:t>balancing act is made more difficult when an adversary’s military forces hide near or within cultural heritage sites.</w:t>
      </w:r>
      <w:r w:rsidR="00F116A6">
        <w:rPr>
          <w:color w:val="000000" w:themeColor="text1"/>
        </w:rPr>
        <w:t xml:space="preserve"> </w:t>
      </w:r>
      <w:r w:rsidR="009E212F">
        <w:rPr>
          <w:color w:val="000000" w:themeColor="text1"/>
        </w:rPr>
        <w:t>Nevertheless</w:t>
      </w:r>
      <w:r w:rsidR="00230782" w:rsidRPr="003952DE">
        <w:rPr>
          <w:color w:val="000000" w:themeColor="text1"/>
        </w:rPr>
        <w:t>, t</w:t>
      </w:r>
      <w:r w:rsidR="006021E6" w:rsidRPr="003952DE">
        <w:rPr>
          <w:color w:val="000000" w:themeColor="text1"/>
        </w:rPr>
        <w:t xml:space="preserve">he history also illuminates how legal constraints can take on a life of their own, influencing </w:t>
      </w:r>
      <w:r w:rsidR="00D76ABE">
        <w:rPr>
          <w:color w:val="000000" w:themeColor="text1"/>
        </w:rPr>
        <w:t xml:space="preserve">operational </w:t>
      </w:r>
      <w:r w:rsidR="006021E6" w:rsidRPr="003952DE">
        <w:rPr>
          <w:color w:val="000000" w:themeColor="text1"/>
        </w:rPr>
        <w:t xml:space="preserve">decisions even when </w:t>
      </w:r>
      <w:r w:rsidR="00F7672E" w:rsidRPr="003952DE">
        <w:rPr>
          <w:color w:val="000000" w:themeColor="text1"/>
        </w:rPr>
        <w:t>individual</w:t>
      </w:r>
      <w:r w:rsidR="006021E6" w:rsidRPr="003952DE">
        <w:rPr>
          <w:color w:val="000000" w:themeColor="text1"/>
        </w:rPr>
        <w:t xml:space="preserve"> </w:t>
      </w:r>
      <w:r w:rsidR="00D76ABE">
        <w:rPr>
          <w:color w:val="000000" w:themeColor="text1"/>
        </w:rPr>
        <w:t xml:space="preserve">political </w:t>
      </w:r>
      <w:r w:rsidR="006021E6" w:rsidRPr="003952DE">
        <w:rPr>
          <w:color w:val="000000" w:themeColor="text1"/>
        </w:rPr>
        <w:t xml:space="preserve">leaders are not particularly concerned about following international law. </w:t>
      </w:r>
    </w:p>
    <w:p w14:paraId="395F4D7E" w14:textId="77777777" w:rsidR="00E40919" w:rsidRPr="003952DE" w:rsidRDefault="00E40919" w:rsidP="00C2455D">
      <w:pPr>
        <w:spacing w:line="480" w:lineRule="auto"/>
        <w:rPr>
          <w:color w:val="000000" w:themeColor="text1"/>
        </w:rPr>
      </w:pPr>
    </w:p>
    <w:p w14:paraId="70980AEE" w14:textId="5F20E359" w:rsidR="007A586E" w:rsidRPr="003952DE" w:rsidRDefault="007A586E" w:rsidP="00C2455D">
      <w:pPr>
        <w:pStyle w:val="Heading2"/>
      </w:pPr>
      <w:r w:rsidRPr="003952DE">
        <w:t xml:space="preserve">The Role of Law </w:t>
      </w:r>
      <w:r w:rsidR="000B5ACC" w:rsidRPr="003952DE">
        <w:t xml:space="preserve">in Cultural </w:t>
      </w:r>
      <w:r w:rsidR="00F7672E" w:rsidRPr="003952DE">
        <w:t xml:space="preserve">Heritage </w:t>
      </w:r>
      <w:r w:rsidR="000B5ACC" w:rsidRPr="003952DE">
        <w:t>Protection</w:t>
      </w:r>
    </w:p>
    <w:p w14:paraId="11936BDA" w14:textId="27628D7D" w:rsidR="00E27C32" w:rsidRPr="003952DE" w:rsidRDefault="00FC777C" w:rsidP="00D76ABE">
      <w:pPr>
        <w:spacing w:line="480" w:lineRule="auto"/>
        <w:rPr>
          <w:color w:val="000000" w:themeColor="text1"/>
        </w:rPr>
      </w:pPr>
      <w:r w:rsidRPr="003952DE">
        <w:rPr>
          <w:color w:val="000000" w:themeColor="text1"/>
        </w:rPr>
        <w:t xml:space="preserve">The </w:t>
      </w:r>
      <w:r w:rsidR="00D717BD" w:rsidRPr="003952DE">
        <w:rPr>
          <w:color w:val="000000" w:themeColor="text1"/>
        </w:rPr>
        <w:t>historical case</w:t>
      </w:r>
      <w:r w:rsidR="009E212F">
        <w:rPr>
          <w:color w:val="000000" w:themeColor="text1"/>
        </w:rPr>
        <w:t xml:space="preserve"> </w:t>
      </w:r>
      <w:r w:rsidR="00D717BD" w:rsidRPr="003952DE">
        <w:rPr>
          <w:color w:val="000000" w:themeColor="text1"/>
        </w:rPr>
        <w:t xml:space="preserve">studies </w:t>
      </w:r>
      <w:r w:rsidR="009E212F">
        <w:rPr>
          <w:color w:val="000000" w:themeColor="text1"/>
        </w:rPr>
        <w:t xml:space="preserve">examined here </w:t>
      </w:r>
      <w:r w:rsidR="00BA7DD8" w:rsidRPr="003952DE">
        <w:rPr>
          <w:color w:val="000000" w:themeColor="text1"/>
        </w:rPr>
        <w:t>illuminate</w:t>
      </w:r>
      <w:r w:rsidR="00022AF6" w:rsidRPr="003952DE">
        <w:rPr>
          <w:color w:val="000000" w:themeColor="text1"/>
        </w:rPr>
        <w:t xml:space="preserve"> </w:t>
      </w:r>
      <w:r w:rsidRPr="003952DE">
        <w:rPr>
          <w:color w:val="000000" w:themeColor="text1"/>
        </w:rPr>
        <w:t xml:space="preserve">four main arguments. First, the relationship between the ethical </w:t>
      </w:r>
      <w:r w:rsidR="00D717BD" w:rsidRPr="003952DE">
        <w:rPr>
          <w:color w:val="000000" w:themeColor="text1"/>
        </w:rPr>
        <w:t xml:space="preserve">and legal </w:t>
      </w:r>
      <w:r w:rsidRPr="003952DE">
        <w:rPr>
          <w:color w:val="000000" w:themeColor="text1"/>
        </w:rPr>
        <w:t>requirement</w:t>
      </w:r>
      <w:r w:rsidR="00D717BD" w:rsidRPr="003952DE">
        <w:rPr>
          <w:color w:val="000000" w:themeColor="text1"/>
        </w:rPr>
        <w:t>s</w:t>
      </w:r>
      <w:r w:rsidRPr="003952DE">
        <w:rPr>
          <w:color w:val="000000" w:themeColor="text1"/>
        </w:rPr>
        <w:t xml:space="preserve"> to protect cultural heritage and the strategic incentives to win wars is complex and contested. </w:t>
      </w:r>
      <w:r w:rsidR="002210C6" w:rsidRPr="003952DE">
        <w:rPr>
          <w:color w:val="000000" w:themeColor="text1"/>
        </w:rPr>
        <w:t xml:space="preserve">There are two central </w:t>
      </w:r>
      <w:r w:rsidR="002472C9" w:rsidRPr="003952DE">
        <w:rPr>
          <w:color w:val="000000" w:themeColor="text1"/>
        </w:rPr>
        <w:t>logics</w:t>
      </w:r>
      <w:r w:rsidR="002210C6" w:rsidRPr="003952DE">
        <w:rPr>
          <w:color w:val="000000" w:themeColor="text1"/>
        </w:rPr>
        <w:t xml:space="preserve"> for protecting cultural </w:t>
      </w:r>
      <w:r w:rsidR="00A306C1" w:rsidRPr="003952DE">
        <w:rPr>
          <w:color w:val="000000" w:themeColor="text1"/>
        </w:rPr>
        <w:t>heritage</w:t>
      </w:r>
      <w:r w:rsidR="002210C6" w:rsidRPr="003952DE">
        <w:rPr>
          <w:color w:val="000000" w:themeColor="text1"/>
        </w:rPr>
        <w:t xml:space="preserve"> in war</w:t>
      </w:r>
      <w:r w:rsidR="009E212F">
        <w:rPr>
          <w:color w:val="000000" w:themeColor="text1"/>
        </w:rPr>
        <w:t>,</w:t>
      </w:r>
      <w:r w:rsidR="002210C6" w:rsidRPr="003952DE">
        <w:rPr>
          <w:color w:val="000000" w:themeColor="text1"/>
        </w:rPr>
        <w:t xml:space="preserve"> a moral</w:t>
      </w:r>
      <w:r w:rsidR="004B2E5F">
        <w:rPr>
          <w:color w:val="000000" w:themeColor="text1"/>
        </w:rPr>
        <w:t xml:space="preserve"> </w:t>
      </w:r>
      <w:r w:rsidR="008161C7" w:rsidRPr="003952DE">
        <w:rPr>
          <w:color w:val="000000" w:themeColor="text1"/>
        </w:rPr>
        <w:t xml:space="preserve">and a strategic </w:t>
      </w:r>
      <w:r w:rsidR="009E212F">
        <w:rPr>
          <w:color w:val="000000" w:themeColor="text1"/>
        </w:rPr>
        <w:t>one</w:t>
      </w:r>
      <w:r w:rsidR="008161C7" w:rsidRPr="003952DE">
        <w:rPr>
          <w:color w:val="000000" w:themeColor="text1"/>
        </w:rPr>
        <w:t>.</w:t>
      </w:r>
      <w:r w:rsidR="00D1079A" w:rsidRPr="003952DE">
        <w:rPr>
          <w:color w:val="000000" w:themeColor="text1"/>
        </w:rPr>
        <w:t xml:space="preserve"> </w:t>
      </w:r>
      <w:r w:rsidR="008161C7" w:rsidRPr="003952DE">
        <w:rPr>
          <w:color w:val="000000" w:themeColor="text1"/>
        </w:rPr>
        <w:t xml:space="preserve">The </w:t>
      </w:r>
      <w:r w:rsidR="00591ECB">
        <w:rPr>
          <w:color w:val="000000" w:themeColor="text1"/>
        </w:rPr>
        <w:t>first</w:t>
      </w:r>
      <w:r w:rsidR="008161C7" w:rsidRPr="003952DE">
        <w:rPr>
          <w:color w:val="000000" w:themeColor="text1"/>
        </w:rPr>
        <w:t xml:space="preserve"> </w:t>
      </w:r>
      <w:r w:rsidR="002210C6" w:rsidRPr="003952DE">
        <w:rPr>
          <w:color w:val="000000" w:themeColor="text1"/>
        </w:rPr>
        <w:t xml:space="preserve">emphasizes the intrinsic value of cultural heritage to humankind and argues that protecting cultural </w:t>
      </w:r>
      <w:r w:rsidR="00665626" w:rsidRPr="003952DE">
        <w:rPr>
          <w:color w:val="000000" w:themeColor="text1"/>
        </w:rPr>
        <w:t>heritage</w:t>
      </w:r>
      <w:r w:rsidR="002210C6" w:rsidRPr="003952DE">
        <w:rPr>
          <w:color w:val="000000" w:themeColor="text1"/>
        </w:rPr>
        <w:t xml:space="preserve"> is just the right thing to do</w:t>
      </w:r>
      <w:r w:rsidR="00A306C1" w:rsidRPr="003952DE">
        <w:rPr>
          <w:color w:val="000000" w:themeColor="text1"/>
        </w:rPr>
        <w:t xml:space="preserve">; </w:t>
      </w:r>
      <w:r w:rsidR="008161C7" w:rsidRPr="003952DE">
        <w:rPr>
          <w:color w:val="000000" w:themeColor="text1"/>
        </w:rPr>
        <w:t xml:space="preserve">the </w:t>
      </w:r>
      <w:r w:rsidR="002210C6" w:rsidRPr="003952DE">
        <w:rPr>
          <w:color w:val="000000" w:themeColor="text1"/>
        </w:rPr>
        <w:t>strategic logic</w:t>
      </w:r>
      <w:r w:rsidR="00A306C1" w:rsidRPr="003952DE">
        <w:rPr>
          <w:color w:val="000000" w:themeColor="text1"/>
        </w:rPr>
        <w:t>, in contrast,</w:t>
      </w:r>
      <w:r w:rsidR="002210C6" w:rsidRPr="003952DE">
        <w:rPr>
          <w:color w:val="000000" w:themeColor="text1"/>
        </w:rPr>
        <w:t xml:space="preserve"> maintains that protecting </w:t>
      </w:r>
      <w:r w:rsidR="00A306C1" w:rsidRPr="003952DE">
        <w:rPr>
          <w:color w:val="000000" w:themeColor="text1"/>
        </w:rPr>
        <w:t xml:space="preserve">an adversary’s </w:t>
      </w:r>
      <w:r w:rsidR="002210C6" w:rsidRPr="003952DE">
        <w:rPr>
          <w:color w:val="000000" w:themeColor="text1"/>
        </w:rPr>
        <w:t xml:space="preserve">cultural </w:t>
      </w:r>
      <w:r w:rsidR="00A306C1" w:rsidRPr="003952DE">
        <w:rPr>
          <w:color w:val="000000" w:themeColor="text1"/>
        </w:rPr>
        <w:t>heritage</w:t>
      </w:r>
      <w:r w:rsidR="002210C6" w:rsidRPr="003952DE">
        <w:rPr>
          <w:color w:val="000000" w:themeColor="text1"/>
        </w:rPr>
        <w:t xml:space="preserve"> </w:t>
      </w:r>
      <w:r w:rsidR="002210C6" w:rsidRPr="003952DE">
        <w:rPr>
          <w:color w:val="000000" w:themeColor="text1"/>
        </w:rPr>
        <w:lastRenderedPageBreak/>
        <w:t xml:space="preserve">helps win wars. </w:t>
      </w:r>
      <w:r w:rsidR="00F655FB" w:rsidRPr="003952DE">
        <w:rPr>
          <w:color w:val="000000" w:themeColor="text1"/>
        </w:rPr>
        <w:t xml:space="preserve">Under the moral logic argument, there can be tensions and trade-offs between cultural </w:t>
      </w:r>
      <w:r w:rsidR="00A306C1" w:rsidRPr="003952DE">
        <w:rPr>
          <w:color w:val="000000" w:themeColor="text1"/>
        </w:rPr>
        <w:t>heritage</w:t>
      </w:r>
      <w:r w:rsidR="00F655FB" w:rsidRPr="003952DE">
        <w:rPr>
          <w:color w:val="000000" w:themeColor="text1"/>
        </w:rPr>
        <w:t xml:space="preserve"> protection and </w:t>
      </w:r>
      <w:r w:rsidR="001646D3" w:rsidRPr="003952DE">
        <w:rPr>
          <w:color w:val="000000" w:themeColor="text1"/>
        </w:rPr>
        <w:t xml:space="preserve">destroying legitimate targets that create </w:t>
      </w:r>
      <w:r w:rsidR="00F655FB" w:rsidRPr="003952DE">
        <w:rPr>
          <w:color w:val="000000" w:themeColor="text1"/>
        </w:rPr>
        <w:t>“military advantage</w:t>
      </w:r>
      <w:r w:rsidR="001646D3" w:rsidRPr="003952DE">
        <w:rPr>
          <w:color w:val="000000" w:themeColor="text1"/>
        </w:rPr>
        <w:t>.</w:t>
      </w:r>
      <w:r w:rsidR="00F655FB" w:rsidRPr="003952DE">
        <w:rPr>
          <w:color w:val="000000" w:themeColor="text1"/>
        </w:rPr>
        <w:t xml:space="preserve">” </w:t>
      </w:r>
      <w:r w:rsidR="00B258F8">
        <w:rPr>
          <w:color w:val="000000" w:themeColor="text1"/>
        </w:rPr>
        <w:t xml:space="preserve">Such calculations </w:t>
      </w:r>
      <w:r w:rsidR="00F7672E" w:rsidRPr="003952DE">
        <w:rPr>
          <w:color w:val="000000" w:themeColor="text1"/>
        </w:rPr>
        <w:t xml:space="preserve">often </w:t>
      </w:r>
      <w:r w:rsidR="001646D3" w:rsidRPr="003952DE">
        <w:rPr>
          <w:color w:val="000000" w:themeColor="text1"/>
        </w:rPr>
        <w:t xml:space="preserve">force </w:t>
      </w:r>
      <w:r w:rsidR="00F655FB" w:rsidRPr="003952DE">
        <w:rPr>
          <w:color w:val="000000" w:themeColor="text1"/>
        </w:rPr>
        <w:t xml:space="preserve">the </w:t>
      </w:r>
      <w:r w:rsidR="00E85C6F" w:rsidRPr="003952DE">
        <w:rPr>
          <w:color w:val="000000" w:themeColor="text1"/>
        </w:rPr>
        <w:t>US</w:t>
      </w:r>
      <w:r w:rsidR="00F655FB" w:rsidRPr="003952DE">
        <w:rPr>
          <w:color w:val="000000" w:themeColor="text1"/>
        </w:rPr>
        <w:t xml:space="preserve"> military</w:t>
      </w:r>
      <w:r w:rsidR="001646D3" w:rsidRPr="003952DE">
        <w:rPr>
          <w:color w:val="000000" w:themeColor="text1"/>
        </w:rPr>
        <w:t>, following</w:t>
      </w:r>
      <w:r w:rsidR="00F655FB" w:rsidRPr="003952DE">
        <w:rPr>
          <w:color w:val="000000" w:themeColor="text1"/>
        </w:rPr>
        <w:t xml:space="preserve"> the laws of armed conflict</w:t>
      </w:r>
      <w:r w:rsidR="001646D3" w:rsidRPr="003952DE">
        <w:rPr>
          <w:color w:val="000000" w:themeColor="text1"/>
        </w:rPr>
        <w:t>,</w:t>
      </w:r>
      <w:r w:rsidR="00F655FB" w:rsidRPr="003952DE">
        <w:rPr>
          <w:color w:val="000000" w:themeColor="text1"/>
        </w:rPr>
        <w:t xml:space="preserve"> </w:t>
      </w:r>
      <w:r w:rsidR="001646D3" w:rsidRPr="003952DE">
        <w:rPr>
          <w:color w:val="000000" w:themeColor="text1"/>
        </w:rPr>
        <w:t>to weigh the intended positive c</w:t>
      </w:r>
      <w:r w:rsidR="00F655FB" w:rsidRPr="003952DE">
        <w:rPr>
          <w:color w:val="000000" w:themeColor="text1"/>
        </w:rPr>
        <w:t>ontributions</w:t>
      </w:r>
      <w:r w:rsidR="001646D3" w:rsidRPr="003952DE">
        <w:rPr>
          <w:color w:val="000000" w:themeColor="text1"/>
        </w:rPr>
        <w:t xml:space="preserve"> of an operation</w:t>
      </w:r>
      <w:r w:rsidR="00F655FB" w:rsidRPr="003952DE">
        <w:rPr>
          <w:color w:val="000000" w:themeColor="text1"/>
        </w:rPr>
        <w:t xml:space="preserve"> </w:t>
      </w:r>
      <w:r w:rsidR="00A306C1" w:rsidRPr="003952DE">
        <w:rPr>
          <w:color w:val="000000" w:themeColor="text1"/>
        </w:rPr>
        <w:t xml:space="preserve">against a specific target </w:t>
      </w:r>
      <w:r w:rsidR="00F655FB" w:rsidRPr="003952DE">
        <w:rPr>
          <w:color w:val="000000" w:themeColor="text1"/>
        </w:rPr>
        <w:t xml:space="preserve">to </w:t>
      </w:r>
      <w:r w:rsidR="001646D3" w:rsidRPr="003952DE">
        <w:rPr>
          <w:color w:val="000000" w:themeColor="text1"/>
        </w:rPr>
        <w:t xml:space="preserve">eventual </w:t>
      </w:r>
      <w:r w:rsidR="00F655FB" w:rsidRPr="003952DE">
        <w:rPr>
          <w:color w:val="000000" w:themeColor="text1"/>
        </w:rPr>
        <w:t>victory</w:t>
      </w:r>
      <w:r w:rsidR="001646D3" w:rsidRPr="003952DE">
        <w:rPr>
          <w:color w:val="000000" w:themeColor="text1"/>
        </w:rPr>
        <w:t xml:space="preserve"> against the incidental harm to cultural </w:t>
      </w:r>
      <w:r w:rsidR="00A306C1" w:rsidRPr="003952DE">
        <w:rPr>
          <w:color w:val="000000" w:themeColor="text1"/>
        </w:rPr>
        <w:t>heritage sites</w:t>
      </w:r>
      <w:r w:rsidR="00F655FB" w:rsidRPr="003952DE">
        <w:rPr>
          <w:color w:val="000000" w:themeColor="text1"/>
        </w:rPr>
        <w:t xml:space="preserve">. Under the strategic logic, </w:t>
      </w:r>
      <w:r w:rsidR="00A306C1" w:rsidRPr="003952DE">
        <w:rPr>
          <w:color w:val="000000" w:themeColor="text1"/>
        </w:rPr>
        <w:t>such trade</w:t>
      </w:r>
      <w:r w:rsidR="00591ECB">
        <w:rPr>
          <w:color w:val="000000" w:themeColor="text1"/>
        </w:rPr>
        <w:t>-</w:t>
      </w:r>
      <w:r w:rsidR="00A306C1" w:rsidRPr="003952DE">
        <w:rPr>
          <w:color w:val="000000" w:themeColor="text1"/>
        </w:rPr>
        <w:t xml:space="preserve">offs do not exist: </w:t>
      </w:r>
      <w:r w:rsidR="00F655FB" w:rsidRPr="003952DE">
        <w:rPr>
          <w:color w:val="000000" w:themeColor="text1"/>
        </w:rPr>
        <w:t xml:space="preserve">protection of cultural </w:t>
      </w:r>
      <w:r w:rsidR="00A306C1" w:rsidRPr="003952DE">
        <w:rPr>
          <w:color w:val="000000" w:themeColor="text1"/>
        </w:rPr>
        <w:t>heritage</w:t>
      </w:r>
      <w:r w:rsidR="00F655FB" w:rsidRPr="003952DE">
        <w:rPr>
          <w:color w:val="000000" w:themeColor="text1"/>
        </w:rPr>
        <w:t xml:space="preserve"> contributes to </w:t>
      </w:r>
      <w:r w:rsidR="001646D3" w:rsidRPr="003952DE">
        <w:rPr>
          <w:color w:val="000000" w:themeColor="text1"/>
        </w:rPr>
        <w:t xml:space="preserve">eventual </w:t>
      </w:r>
      <w:r w:rsidR="00F655FB" w:rsidRPr="003952DE">
        <w:rPr>
          <w:color w:val="000000" w:themeColor="text1"/>
        </w:rPr>
        <w:t xml:space="preserve">victory both by encouraging </w:t>
      </w:r>
      <w:r w:rsidR="009562E5" w:rsidRPr="003952DE">
        <w:rPr>
          <w:color w:val="000000" w:themeColor="text1"/>
        </w:rPr>
        <w:t>local populations to</w:t>
      </w:r>
      <w:r w:rsidR="00F655FB" w:rsidRPr="003952DE">
        <w:rPr>
          <w:color w:val="000000" w:themeColor="text1"/>
        </w:rPr>
        <w:t xml:space="preserve"> support the protectors and by contributing to postwar stability and reconstruction. Laurie Rush has claimed, for example, that cultural </w:t>
      </w:r>
      <w:r w:rsidR="00E8306F" w:rsidRPr="003952DE">
        <w:rPr>
          <w:color w:val="000000" w:themeColor="text1"/>
        </w:rPr>
        <w:t>heritage</w:t>
      </w:r>
      <w:r w:rsidR="00BC43B6" w:rsidRPr="003952DE">
        <w:rPr>
          <w:color w:val="000000" w:themeColor="text1"/>
        </w:rPr>
        <w:t xml:space="preserve"> </w:t>
      </w:r>
      <w:r w:rsidR="00F655FB" w:rsidRPr="003952DE">
        <w:rPr>
          <w:color w:val="000000" w:themeColor="text1"/>
        </w:rPr>
        <w:t xml:space="preserve">protection </w:t>
      </w:r>
      <w:r w:rsidR="00055151" w:rsidRPr="003952DE">
        <w:rPr>
          <w:color w:val="000000" w:themeColor="text1"/>
        </w:rPr>
        <w:t>is “</w:t>
      </w:r>
      <w:r w:rsidR="00F655FB" w:rsidRPr="003952DE">
        <w:rPr>
          <w:color w:val="000000" w:themeColor="text1"/>
        </w:rPr>
        <w:t xml:space="preserve">a force multiplier,” </w:t>
      </w:r>
      <w:r w:rsidR="00A306C1" w:rsidRPr="003952DE">
        <w:rPr>
          <w:color w:val="000000" w:themeColor="text1"/>
        </w:rPr>
        <w:t xml:space="preserve">that is, protection of cultural sites makes </w:t>
      </w:r>
      <w:r w:rsidR="002D2D9A" w:rsidRPr="003952DE">
        <w:rPr>
          <w:color w:val="000000" w:themeColor="text1"/>
        </w:rPr>
        <w:t xml:space="preserve">individual </w:t>
      </w:r>
      <w:r w:rsidR="00A306C1" w:rsidRPr="003952DE">
        <w:rPr>
          <w:color w:val="000000" w:themeColor="text1"/>
        </w:rPr>
        <w:t xml:space="preserve">military operations more effective </w:t>
      </w:r>
      <w:r w:rsidR="002D2D9A" w:rsidRPr="003952DE">
        <w:rPr>
          <w:color w:val="000000" w:themeColor="text1"/>
        </w:rPr>
        <w:t xml:space="preserve">in achieving the broader goals of war, </w:t>
      </w:r>
      <w:r w:rsidR="009D3623" w:rsidRPr="003952DE">
        <w:rPr>
          <w:color w:val="000000" w:themeColor="text1"/>
        </w:rPr>
        <w:t xml:space="preserve">and the </w:t>
      </w:r>
      <w:r w:rsidR="00E85C6F" w:rsidRPr="003952DE">
        <w:rPr>
          <w:color w:val="000000" w:themeColor="text1"/>
        </w:rPr>
        <w:t>US</w:t>
      </w:r>
      <w:r w:rsidR="009D3623" w:rsidRPr="003952DE">
        <w:rPr>
          <w:color w:val="000000" w:themeColor="text1"/>
        </w:rPr>
        <w:t xml:space="preserve"> military should </w:t>
      </w:r>
      <w:r w:rsidR="002D2D9A" w:rsidRPr="003952DE">
        <w:rPr>
          <w:color w:val="000000" w:themeColor="text1"/>
        </w:rPr>
        <w:t xml:space="preserve">therefore </w:t>
      </w:r>
      <w:r w:rsidR="009D3623" w:rsidRPr="003952DE">
        <w:rPr>
          <w:color w:val="000000" w:themeColor="text1"/>
        </w:rPr>
        <w:t>be “protecting the past to secure the future.</w:t>
      </w:r>
      <w:r w:rsidR="00F655FB" w:rsidRPr="003952DE">
        <w:rPr>
          <w:color w:val="000000" w:themeColor="text1"/>
        </w:rPr>
        <w:t>”</w:t>
      </w:r>
      <w:r w:rsidR="00E27C32" w:rsidRPr="003952DE">
        <w:rPr>
          <w:rStyle w:val="EndnoteReference"/>
          <w:color w:val="000000" w:themeColor="text1"/>
        </w:rPr>
        <w:endnoteReference w:id="2"/>
      </w:r>
      <w:r w:rsidR="00F116A6">
        <w:rPr>
          <w:color w:val="000000" w:themeColor="text1"/>
        </w:rPr>
        <w:t xml:space="preserve"> </w:t>
      </w:r>
      <w:r w:rsidR="006057BB">
        <w:rPr>
          <w:color w:val="000000" w:themeColor="text1"/>
        </w:rPr>
        <w:t>These two logics can coexist inside leaders’ calculations</w:t>
      </w:r>
      <w:r w:rsidR="00CC7817">
        <w:rPr>
          <w:color w:val="000000" w:themeColor="text1"/>
        </w:rPr>
        <w:t>,</w:t>
      </w:r>
      <w:r w:rsidR="006057BB">
        <w:rPr>
          <w:color w:val="000000" w:themeColor="text1"/>
        </w:rPr>
        <w:t xml:space="preserve"> and there is</w:t>
      </w:r>
      <w:r w:rsidR="00E27C32" w:rsidRPr="003952DE">
        <w:rPr>
          <w:color w:val="000000" w:themeColor="text1"/>
        </w:rPr>
        <w:t xml:space="preserve"> strong historical evidence</w:t>
      </w:r>
      <w:r w:rsidR="006057BB">
        <w:rPr>
          <w:color w:val="000000" w:themeColor="text1"/>
        </w:rPr>
        <w:t xml:space="preserve"> in the protection</w:t>
      </w:r>
      <w:r w:rsidR="00CC7817">
        <w:rPr>
          <w:color w:val="000000" w:themeColor="text1"/>
        </w:rPr>
        <w:t>-</w:t>
      </w:r>
      <w:r w:rsidR="006057BB">
        <w:rPr>
          <w:color w:val="000000" w:themeColor="text1"/>
        </w:rPr>
        <w:t>of</w:t>
      </w:r>
      <w:r w:rsidR="00CC7817">
        <w:rPr>
          <w:color w:val="000000" w:themeColor="text1"/>
        </w:rPr>
        <w:t>-</w:t>
      </w:r>
      <w:r w:rsidR="006057BB">
        <w:rPr>
          <w:color w:val="000000" w:themeColor="text1"/>
        </w:rPr>
        <w:t xml:space="preserve">Kyoto case in 1945 that Secretary Stimson used </w:t>
      </w:r>
      <w:r w:rsidR="00E27C32" w:rsidRPr="003952DE">
        <w:rPr>
          <w:color w:val="000000" w:themeColor="text1"/>
        </w:rPr>
        <w:t xml:space="preserve">the strategic rationale for cultural </w:t>
      </w:r>
      <w:r w:rsidR="00665626" w:rsidRPr="003952DE">
        <w:rPr>
          <w:color w:val="000000" w:themeColor="text1"/>
        </w:rPr>
        <w:t>heritage</w:t>
      </w:r>
      <w:r w:rsidR="00E27C32" w:rsidRPr="003952DE">
        <w:rPr>
          <w:color w:val="000000" w:themeColor="text1"/>
        </w:rPr>
        <w:t xml:space="preserve"> protection </w:t>
      </w:r>
      <w:r w:rsidR="00CC7817">
        <w:rPr>
          <w:color w:val="000000" w:themeColor="text1"/>
        </w:rPr>
        <w:t xml:space="preserve">in order </w:t>
      </w:r>
      <w:r w:rsidR="006057BB">
        <w:rPr>
          <w:color w:val="000000" w:themeColor="text1"/>
        </w:rPr>
        <w:t xml:space="preserve">to </w:t>
      </w:r>
      <w:r w:rsidR="00CC7817">
        <w:rPr>
          <w:color w:val="000000" w:themeColor="text1"/>
        </w:rPr>
        <w:t xml:space="preserve">more effectively persuade </w:t>
      </w:r>
      <w:r w:rsidR="006057BB">
        <w:rPr>
          <w:color w:val="000000" w:themeColor="text1"/>
        </w:rPr>
        <w:t xml:space="preserve">President Truman. </w:t>
      </w:r>
    </w:p>
    <w:p w14:paraId="41F57551" w14:textId="719D228D" w:rsidR="00E27C32" w:rsidRPr="003952DE" w:rsidRDefault="00E27C32" w:rsidP="00E22AD5">
      <w:pPr>
        <w:spacing w:line="480" w:lineRule="auto"/>
        <w:ind w:firstLine="720"/>
        <w:rPr>
          <w:bCs/>
          <w:color w:val="000000" w:themeColor="text1"/>
        </w:rPr>
      </w:pPr>
      <w:r w:rsidRPr="003952DE">
        <w:rPr>
          <w:color w:val="000000" w:themeColor="text1"/>
        </w:rPr>
        <w:t>Second, the history demonstrates that laws protecting cultural heritage matter</w:t>
      </w:r>
      <w:r w:rsidR="006057BB">
        <w:rPr>
          <w:color w:val="000000" w:themeColor="text1"/>
        </w:rPr>
        <w:t xml:space="preserve"> and that the United States has increasingly sought to comply with existing law</w:t>
      </w:r>
      <w:r w:rsidRPr="003952DE">
        <w:rPr>
          <w:color w:val="000000" w:themeColor="text1"/>
        </w:rPr>
        <w:t xml:space="preserve">. </w:t>
      </w:r>
      <w:r w:rsidR="00B87483">
        <w:rPr>
          <w:color w:val="000000" w:themeColor="text1"/>
        </w:rPr>
        <w:t>L</w:t>
      </w:r>
      <w:r w:rsidRPr="003952DE">
        <w:rPr>
          <w:color w:val="000000" w:themeColor="text1"/>
        </w:rPr>
        <w:t xml:space="preserve">ike other </w:t>
      </w:r>
      <w:r w:rsidR="002822E8">
        <w:rPr>
          <w:color w:val="000000" w:themeColor="text1"/>
        </w:rPr>
        <w:t>countries</w:t>
      </w:r>
      <w:r w:rsidRPr="003952DE">
        <w:rPr>
          <w:color w:val="000000" w:themeColor="text1"/>
        </w:rPr>
        <w:t xml:space="preserve">, </w:t>
      </w:r>
      <w:r w:rsidR="002822E8">
        <w:rPr>
          <w:color w:val="000000" w:themeColor="text1"/>
        </w:rPr>
        <w:t xml:space="preserve">the United States </w:t>
      </w:r>
      <w:r w:rsidR="00AC07F9">
        <w:rPr>
          <w:color w:val="000000" w:themeColor="text1"/>
        </w:rPr>
        <w:t xml:space="preserve">tends to only </w:t>
      </w:r>
      <w:r w:rsidRPr="003952DE">
        <w:rPr>
          <w:color w:val="000000" w:themeColor="text1"/>
        </w:rPr>
        <w:t>ratify treaties that it believe</w:t>
      </w:r>
      <w:r w:rsidR="00AC07F9">
        <w:rPr>
          <w:color w:val="000000" w:themeColor="text1"/>
        </w:rPr>
        <w:t>s</w:t>
      </w:r>
      <w:r w:rsidRPr="003952DE">
        <w:rPr>
          <w:color w:val="000000" w:themeColor="text1"/>
        </w:rPr>
        <w:t xml:space="preserve"> serve its interests. This helps explain why </w:t>
      </w:r>
      <w:r w:rsidR="00394887">
        <w:rPr>
          <w:color w:val="000000" w:themeColor="text1"/>
        </w:rPr>
        <w:t>it</w:t>
      </w:r>
      <w:r w:rsidRPr="003952DE">
        <w:rPr>
          <w:color w:val="000000" w:themeColor="text1"/>
        </w:rPr>
        <w:t xml:space="preserve"> did not ratify the 1954 Hague Convention</w:t>
      </w:r>
      <w:r w:rsidR="00513061" w:rsidRPr="00C016A3">
        <w:t xml:space="preserve"> </w:t>
      </w:r>
      <w:r w:rsidR="00513061">
        <w:t>for</w:t>
      </w:r>
      <w:r w:rsidR="00513061" w:rsidRPr="00C016A3">
        <w:t xml:space="preserve"> the Protection of Cultural </w:t>
      </w:r>
      <w:r w:rsidR="00513061">
        <w:t>Property</w:t>
      </w:r>
      <w:r w:rsidR="00513061" w:rsidRPr="00C016A3">
        <w:t xml:space="preserve"> in the Event of Armed Conflict</w:t>
      </w:r>
      <w:r w:rsidR="00513061" w:rsidRPr="003952DE">
        <w:rPr>
          <w:color w:val="000000" w:themeColor="text1"/>
        </w:rPr>
        <w:t xml:space="preserve"> </w:t>
      </w:r>
      <w:r w:rsidR="00D54AB0" w:rsidRPr="003952DE">
        <w:rPr>
          <w:color w:val="000000" w:themeColor="text1"/>
        </w:rPr>
        <w:t>(hereafter the 1954 Hague Convention)</w:t>
      </w:r>
      <w:r w:rsidR="00D54AB0">
        <w:rPr>
          <w:color w:val="000000" w:themeColor="text1"/>
        </w:rPr>
        <w:t xml:space="preserve"> </w:t>
      </w:r>
      <w:r w:rsidRPr="003952DE">
        <w:rPr>
          <w:color w:val="000000" w:themeColor="text1"/>
        </w:rPr>
        <w:t>until 2009</w:t>
      </w:r>
      <w:r w:rsidR="006057BB">
        <w:rPr>
          <w:color w:val="000000" w:themeColor="text1"/>
        </w:rPr>
        <w:t>, after the Baghdad looting incident and other destruction of cultural property in Iraq encouraged a reassessment of US policy.</w:t>
      </w:r>
      <w:r w:rsidR="00F116A6">
        <w:rPr>
          <w:color w:val="000000" w:themeColor="text1"/>
        </w:rPr>
        <w:t xml:space="preserve"> </w:t>
      </w:r>
      <w:r w:rsidRPr="003952DE">
        <w:rPr>
          <w:color w:val="000000" w:themeColor="text1"/>
        </w:rPr>
        <w:t xml:space="preserve">International law, however, whether through </w:t>
      </w:r>
      <w:r w:rsidR="0049398F">
        <w:rPr>
          <w:color w:val="000000" w:themeColor="text1"/>
        </w:rPr>
        <w:t xml:space="preserve">a </w:t>
      </w:r>
      <w:r w:rsidRPr="003952DE">
        <w:rPr>
          <w:color w:val="000000" w:themeColor="text1"/>
        </w:rPr>
        <w:t>ratified treaty or accept</w:t>
      </w:r>
      <w:r w:rsidR="0049398F">
        <w:rPr>
          <w:color w:val="000000" w:themeColor="text1"/>
        </w:rPr>
        <w:t>ance</w:t>
      </w:r>
      <w:r w:rsidRPr="003952DE">
        <w:rPr>
          <w:color w:val="000000" w:themeColor="text1"/>
        </w:rPr>
        <w:t xml:space="preserve"> as c</w:t>
      </w:r>
      <w:r w:rsidR="00BE05C0">
        <w:rPr>
          <w:color w:val="000000" w:themeColor="text1"/>
        </w:rPr>
        <w:t xml:space="preserve">ustomary international </w:t>
      </w:r>
      <w:r w:rsidRPr="003952DE">
        <w:rPr>
          <w:color w:val="000000" w:themeColor="text1"/>
        </w:rPr>
        <w:t>law</w:t>
      </w:r>
      <w:r w:rsidR="00C7104A">
        <w:rPr>
          <w:color w:val="000000" w:themeColor="text1"/>
        </w:rPr>
        <w:t>,</w:t>
      </w:r>
      <w:r w:rsidRPr="003952DE">
        <w:rPr>
          <w:color w:val="000000" w:themeColor="text1"/>
        </w:rPr>
        <w:t xml:space="preserve"> can constrain states, often in unanticipated ways. As</w:t>
      </w:r>
      <w:r w:rsidRPr="003952DE">
        <w:rPr>
          <w:bCs/>
          <w:color w:val="000000" w:themeColor="text1"/>
        </w:rPr>
        <w:t xml:space="preserve"> Laura Ford Savarese and John Fabian Witt argue, the laws of armed conflict create “entailments”</w:t>
      </w:r>
      <w:r w:rsidR="00D258BC">
        <w:rPr>
          <w:bCs/>
          <w:color w:val="000000" w:themeColor="text1"/>
        </w:rPr>
        <w:t>:</w:t>
      </w:r>
      <w:r w:rsidRPr="003952DE">
        <w:rPr>
          <w:bCs/>
          <w:color w:val="000000" w:themeColor="text1"/>
        </w:rPr>
        <w:t xml:space="preserve"> “What </w:t>
      </w:r>
      <w:r w:rsidRPr="003952DE">
        <w:rPr>
          <w:bCs/>
          <w:color w:val="000000" w:themeColor="text1"/>
        </w:rPr>
        <w:lastRenderedPageBreak/>
        <w:t>makes law strategically valuable is that it entails consequences beyond the control of the parties that invoke it.”</w:t>
      </w:r>
      <w:r w:rsidRPr="003952DE">
        <w:rPr>
          <w:rStyle w:val="EndnoteReference"/>
          <w:bCs/>
          <w:color w:val="000000" w:themeColor="text1"/>
        </w:rPr>
        <w:endnoteReference w:id="3"/>
      </w:r>
      <w:r w:rsidR="00BE05C0">
        <w:rPr>
          <w:bCs/>
          <w:color w:val="000000" w:themeColor="text1"/>
        </w:rPr>
        <w:t xml:space="preserve"> Laws can create </w:t>
      </w:r>
      <w:r w:rsidR="0049398F">
        <w:rPr>
          <w:bCs/>
          <w:color w:val="000000" w:themeColor="text1"/>
        </w:rPr>
        <w:t xml:space="preserve">formal </w:t>
      </w:r>
      <w:r w:rsidR="00BE05C0">
        <w:rPr>
          <w:bCs/>
          <w:color w:val="000000" w:themeColor="text1"/>
        </w:rPr>
        <w:t xml:space="preserve">obligations, to be sure, but their existence also </w:t>
      </w:r>
      <w:r w:rsidR="0049398F">
        <w:rPr>
          <w:bCs/>
          <w:color w:val="000000" w:themeColor="text1"/>
        </w:rPr>
        <w:t xml:space="preserve">shapes expectations, </w:t>
      </w:r>
      <w:r w:rsidR="00BE05C0">
        <w:rPr>
          <w:bCs/>
          <w:color w:val="000000" w:themeColor="text1"/>
        </w:rPr>
        <w:t>makes violations more costly</w:t>
      </w:r>
      <w:r w:rsidR="0049398F">
        <w:rPr>
          <w:bCs/>
          <w:color w:val="000000" w:themeColor="text1"/>
        </w:rPr>
        <w:t>,</w:t>
      </w:r>
      <w:r w:rsidR="00BE05C0">
        <w:rPr>
          <w:bCs/>
          <w:color w:val="000000" w:themeColor="text1"/>
        </w:rPr>
        <w:t xml:space="preserve"> and enables critics of policies to mobilize more effectively.</w:t>
      </w:r>
    </w:p>
    <w:p w14:paraId="143C7959" w14:textId="563FEA65" w:rsidR="00E27C32" w:rsidRPr="003952DE" w:rsidRDefault="00E27C32" w:rsidP="00E22AD5">
      <w:pPr>
        <w:spacing w:line="480" w:lineRule="auto"/>
        <w:ind w:firstLine="720"/>
        <w:rPr>
          <w:bCs/>
          <w:color w:val="000000" w:themeColor="text1"/>
        </w:rPr>
      </w:pPr>
      <w:r w:rsidRPr="003952DE">
        <w:rPr>
          <w:bCs/>
          <w:color w:val="000000" w:themeColor="text1"/>
        </w:rPr>
        <w:t xml:space="preserve">In this sense, the laws regarding cultural heritage protection are not different from other laws of armed conflict. The laws prohibiting torture of prisoners, for example, </w:t>
      </w:r>
      <w:r w:rsidR="00853827">
        <w:rPr>
          <w:bCs/>
          <w:color w:val="000000" w:themeColor="text1"/>
        </w:rPr>
        <w:t>have</w:t>
      </w:r>
      <w:r w:rsidR="00853827" w:rsidRPr="003952DE">
        <w:rPr>
          <w:bCs/>
          <w:color w:val="000000" w:themeColor="text1"/>
        </w:rPr>
        <w:t xml:space="preserve"> </w:t>
      </w:r>
      <w:r w:rsidRPr="003952DE">
        <w:rPr>
          <w:bCs/>
          <w:color w:val="000000" w:themeColor="text1"/>
        </w:rPr>
        <w:t>not end</w:t>
      </w:r>
      <w:r w:rsidR="00853827">
        <w:rPr>
          <w:bCs/>
          <w:color w:val="000000" w:themeColor="text1"/>
        </w:rPr>
        <w:t>ed</w:t>
      </w:r>
      <w:r w:rsidRPr="003952DE">
        <w:rPr>
          <w:bCs/>
          <w:color w:val="000000" w:themeColor="text1"/>
        </w:rPr>
        <w:t xml:space="preserve"> the practice of torture. However, they </w:t>
      </w:r>
      <w:r w:rsidR="0055384B">
        <w:rPr>
          <w:bCs/>
          <w:color w:val="000000" w:themeColor="text1"/>
        </w:rPr>
        <w:t xml:space="preserve">have </w:t>
      </w:r>
      <w:r w:rsidRPr="003952DE">
        <w:rPr>
          <w:bCs/>
          <w:color w:val="000000" w:themeColor="text1"/>
        </w:rPr>
        <w:t xml:space="preserve">increased </w:t>
      </w:r>
      <w:r w:rsidR="0081703E">
        <w:rPr>
          <w:bCs/>
          <w:color w:val="000000" w:themeColor="text1"/>
        </w:rPr>
        <w:t xml:space="preserve">the </w:t>
      </w:r>
      <w:r w:rsidRPr="003952DE">
        <w:rPr>
          <w:bCs/>
          <w:color w:val="000000" w:themeColor="text1"/>
        </w:rPr>
        <w:t>incentives for humane treatment, created opportunities for reciprocity, and increased the probability of punishment for violators of the law.</w:t>
      </w:r>
      <w:r w:rsidRPr="003952DE">
        <w:rPr>
          <w:rStyle w:val="EndnoteReference"/>
          <w:bCs/>
          <w:color w:val="000000" w:themeColor="text1"/>
        </w:rPr>
        <w:endnoteReference w:id="4"/>
      </w:r>
      <w:r w:rsidRPr="003952DE">
        <w:rPr>
          <w:bCs/>
          <w:color w:val="000000" w:themeColor="text1"/>
        </w:rPr>
        <w:t xml:space="preserve"> The laws protecting cultural heritage in war do not guarantee compliance, but they increase focus on protection and create extra </w:t>
      </w:r>
      <w:r w:rsidR="00BE05C0">
        <w:rPr>
          <w:bCs/>
          <w:color w:val="000000" w:themeColor="text1"/>
        </w:rPr>
        <w:t xml:space="preserve">political </w:t>
      </w:r>
      <w:r w:rsidRPr="003952DE">
        <w:rPr>
          <w:bCs/>
          <w:color w:val="000000" w:themeColor="text1"/>
        </w:rPr>
        <w:t xml:space="preserve">costs for violation in ways that the </w:t>
      </w:r>
      <w:r w:rsidR="00E85C6F" w:rsidRPr="003952DE">
        <w:rPr>
          <w:bCs/>
          <w:color w:val="000000" w:themeColor="text1"/>
        </w:rPr>
        <w:t>US</w:t>
      </w:r>
      <w:r w:rsidRPr="003952DE">
        <w:rPr>
          <w:bCs/>
          <w:color w:val="000000" w:themeColor="text1"/>
        </w:rPr>
        <w:t xml:space="preserve"> </w:t>
      </w:r>
      <w:r w:rsidR="006057BB">
        <w:rPr>
          <w:bCs/>
          <w:color w:val="000000" w:themeColor="text1"/>
        </w:rPr>
        <w:t xml:space="preserve">government </w:t>
      </w:r>
      <w:r w:rsidRPr="003952DE">
        <w:rPr>
          <w:bCs/>
          <w:color w:val="000000" w:themeColor="text1"/>
        </w:rPr>
        <w:t>does not always anticipate.</w:t>
      </w:r>
      <w:r w:rsidR="00D1079A" w:rsidRPr="003952DE">
        <w:rPr>
          <w:bCs/>
          <w:color w:val="000000" w:themeColor="text1"/>
        </w:rPr>
        <w:t xml:space="preserve"> </w:t>
      </w:r>
    </w:p>
    <w:p w14:paraId="464D3388" w14:textId="57BA2D95" w:rsidR="00E27C32" w:rsidRPr="003952DE" w:rsidRDefault="00E27C32" w:rsidP="00E22AD5">
      <w:pPr>
        <w:spacing w:line="480" w:lineRule="auto"/>
        <w:ind w:firstLine="720"/>
        <w:rPr>
          <w:bCs/>
          <w:color w:val="000000" w:themeColor="text1"/>
        </w:rPr>
      </w:pPr>
      <w:r w:rsidRPr="003952DE">
        <w:rPr>
          <w:bCs/>
          <w:color w:val="000000" w:themeColor="text1"/>
        </w:rPr>
        <w:t xml:space="preserve">Third, the </w:t>
      </w:r>
      <w:r w:rsidR="006057BB">
        <w:rPr>
          <w:bCs/>
          <w:color w:val="000000" w:themeColor="text1"/>
        </w:rPr>
        <w:t xml:space="preserve">history shows that </w:t>
      </w:r>
      <w:r w:rsidRPr="003952DE">
        <w:rPr>
          <w:bCs/>
          <w:color w:val="000000" w:themeColor="text1"/>
        </w:rPr>
        <w:t xml:space="preserve">laws regarding cultural heritage protection still require constant interpretation by junior and senior </w:t>
      </w:r>
      <w:r w:rsidR="00D07A08">
        <w:rPr>
          <w:bCs/>
          <w:color w:val="000000" w:themeColor="text1"/>
        </w:rPr>
        <w:t xml:space="preserve">military </w:t>
      </w:r>
      <w:r w:rsidRPr="003952DE">
        <w:rPr>
          <w:bCs/>
          <w:color w:val="000000" w:themeColor="text1"/>
        </w:rPr>
        <w:t xml:space="preserve">officers. In this regard as well they are similar to other laws of armed conflict. </w:t>
      </w:r>
      <w:r w:rsidRPr="003952DE">
        <w:rPr>
          <w:color w:val="000000" w:themeColor="text1"/>
        </w:rPr>
        <w:t xml:space="preserve">To use a common legal theory analogy, the laws of armed conflict generally provide “standards,” rather than “rules,” to guide decision-making: </w:t>
      </w:r>
      <w:r w:rsidR="006D492B">
        <w:rPr>
          <w:color w:val="000000" w:themeColor="text1"/>
        </w:rPr>
        <w:t>a</w:t>
      </w:r>
      <w:r w:rsidRPr="003952DE">
        <w:rPr>
          <w:color w:val="000000" w:themeColor="text1"/>
        </w:rPr>
        <w:t xml:space="preserve"> standard is like a law telling a driver “do not drive recklessly,” while a rule is like a law telling a driver “do not drive above 60 miles per hour.” In Additional Protocol I to the </w:t>
      </w:r>
      <w:r w:rsidR="006D492B">
        <w:rPr>
          <w:color w:val="000000" w:themeColor="text1"/>
        </w:rPr>
        <w:t xml:space="preserve">1949 </w:t>
      </w:r>
      <w:r w:rsidRPr="003952DE">
        <w:rPr>
          <w:color w:val="000000" w:themeColor="text1"/>
        </w:rPr>
        <w:t>Geneva Conventions, the principles of proportionality (do not engage in attacks that kill disproportionate numbers of civilians) and precaution (take feasible precautions to avoid noncombatant deaths) are standards requiring much interpretation, while the principle of distinction (do not intentionally target civilians) is closer to a rule. The 1954 Hague Convention should be thought of as setting standards more often than rules. With the possible exception of the strict red</w:t>
      </w:r>
      <w:r w:rsidR="008337C5">
        <w:rPr>
          <w:color w:val="000000" w:themeColor="text1"/>
        </w:rPr>
        <w:t xml:space="preserve"> </w:t>
      </w:r>
      <w:r w:rsidRPr="003952DE">
        <w:rPr>
          <w:color w:val="000000" w:themeColor="text1"/>
        </w:rPr>
        <w:t xml:space="preserve">line rule to refrain “from any act of hostility, directed against such [cultural] property,” the treaty’s </w:t>
      </w:r>
      <w:r w:rsidRPr="003952DE">
        <w:rPr>
          <w:color w:val="000000" w:themeColor="text1"/>
        </w:rPr>
        <w:lastRenderedPageBreak/>
        <w:t>guidelines still require complex, situation-dependent interpretation by battlefield commanders and military lawyers.</w:t>
      </w:r>
      <w:r w:rsidRPr="003952DE">
        <w:rPr>
          <w:rStyle w:val="EndnoteReference"/>
          <w:color w:val="000000" w:themeColor="text1"/>
        </w:rPr>
        <w:endnoteReference w:id="5"/>
      </w:r>
      <w:r w:rsidRPr="003952DE">
        <w:rPr>
          <w:color w:val="000000" w:themeColor="text1"/>
        </w:rPr>
        <w:t xml:space="preserve"> </w:t>
      </w:r>
      <w:r w:rsidR="006057BB">
        <w:rPr>
          <w:color w:val="000000" w:themeColor="text1"/>
        </w:rPr>
        <w:t>Examples of this can be seen in the history of the 1991 Gulf War.</w:t>
      </w:r>
    </w:p>
    <w:p w14:paraId="043DFF32" w14:textId="02964B24" w:rsidR="00E27C32" w:rsidRPr="003952DE" w:rsidRDefault="00E27C32" w:rsidP="00E22AD5">
      <w:pPr>
        <w:spacing w:line="480" w:lineRule="auto"/>
        <w:ind w:firstLine="720"/>
        <w:rPr>
          <w:bCs/>
          <w:color w:val="000000" w:themeColor="text1"/>
        </w:rPr>
      </w:pPr>
      <w:r w:rsidRPr="003952DE">
        <w:rPr>
          <w:bCs/>
          <w:color w:val="000000" w:themeColor="text1"/>
        </w:rPr>
        <w:t xml:space="preserve">Fourth, top-level leadership matters. The historical </w:t>
      </w:r>
      <w:r w:rsidR="00CC0686" w:rsidRPr="003952DE">
        <w:rPr>
          <w:bCs/>
          <w:color w:val="000000" w:themeColor="text1"/>
        </w:rPr>
        <w:t>case</w:t>
      </w:r>
      <w:r w:rsidR="009E212F">
        <w:rPr>
          <w:bCs/>
          <w:color w:val="000000" w:themeColor="text1"/>
        </w:rPr>
        <w:t xml:space="preserve"> </w:t>
      </w:r>
      <w:r w:rsidR="00CC0686" w:rsidRPr="003952DE">
        <w:rPr>
          <w:bCs/>
          <w:color w:val="000000" w:themeColor="text1"/>
        </w:rPr>
        <w:t>studies</w:t>
      </w:r>
      <w:r w:rsidRPr="003952DE">
        <w:rPr>
          <w:bCs/>
          <w:color w:val="000000" w:themeColor="text1"/>
        </w:rPr>
        <w:t xml:space="preserve"> described </w:t>
      </w:r>
      <w:r w:rsidR="008A0315">
        <w:rPr>
          <w:bCs/>
          <w:color w:val="000000" w:themeColor="text1"/>
        </w:rPr>
        <w:t xml:space="preserve">here </w:t>
      </w:r>
      <w:r w:rsidRPr="003952DE">
        <w:rPr>
          <w:bCs/>
          <w:color w:val="000000" w:themeColor="text1"/>
        </w:rPr>
        <w:t xml:space="preserve">demonstrate how different </w:t>
      </w:r>
      <w:r w:rsidR="00CD04C7">
        <w:rPr>
          <w:bCs/>
          <w:color w:val="000000" w:themeColor="text1"/>
        </w:rPr>
        <w:t xml:space="preserve">US </w:t>
      </w:r>
      <w:r w:rsidRPr="003952DE">
        <w:rPr>
          <w:bCs/>
          <w:color w:val="000000" w:themeColor="text1"/>
        </w:rPr>
        <w:t xml:space="preserve">presidents and secretaries of defense hold wide-ranging views about the importance of the laws of armed conflict. </w:t>
      </w:r>
      <w:r w:rsidR="00B94D98">
        <w:rPr>
          <w:bCs/>
          <w:color w:val="000000" w:themeColor="text1"/>
        </w:rPr>
        <w:t>While s</w:t>
      </w:r>
      <w:r w:rsidRPr="003952DE">
        <w:rPr>
          <w:bCs/>
          <w:color w:val="000000" w:themeColor="text1"/>
        </w:rPr>
        <w:t>ome leaders are deeply concerned about the</w:t>
      </w:r>
      <w:r w:rsidR="00B94D98">
        <w:rPr>
          <w:bCs/>
          <w:color w:val="000000" w:themeColor="text1"/>
        </w:rPr>
        <w:t>se</w:t>
      </w:r>
      <w:r w:rsidRPr="003952DE">
        <w:rPr>
          <w:bCs/>
          <w:color w:val="000000" w:themeColor="text1"/>
        </w:rPr>
        <w:t xml:space="preserve"> laws, others are not. If Henry Stimson, for example, had not been the </w:t>
      </w:r>
      <w:r w:rsidR="004D75F9">
        <w:rPr>
          <w:bCs/>
          <w:color w:val="000000" w:themeColor="text1"/>
        </w:rPr>
        <w:t>s</w:t>
      </w:r>
      <w:r w:rsidRPr="003952DE">
        <w:rPr>
          <w:bCs/>
          <w:color w:val="000000" w:themeColor="text1"/>
        </w:rPr>
        <w:t xml:space="preserve">ecretary of </w:t>
      </w:r>
      <w:r w:rsidR="004D75F9">
        <w:rPr>
          <w:bCs/>
          <w:color w:val="000000" w:themeColor="text1"/>
        </w:rPr>
        <w:t>w</w:t>
      </w:r>
      <w:r w:rsidRPr="003952DE">
        <w:rPr>
          <w:bCs/>
          <w:color w:val="000000" w:themeColor="text1"/>
        </w:rPr>
        <w:t xml:space="preserve">ar in 1945, the city of Kyoto would </w:t>
      </w:r>
      <w:r w:rsidR="006057BB">
        <w:rPr>
          <w:bCs/>
          <w:color w:val="000000" w:themeColor="text1"/>
        </w:rPr>
        <w:t xml:space="preserve">almost certainly </w:t>
      </w:r>
      <w:r w:rsidRPr="003952DE">
        <w:rPr>
          <w:bCs/>
          <w:color w:val="000000" w:themeColor="text1"/>
        </w:rPr>
        <w:t xml:space="preserve">have been destroyed. If Rumsfeld had not been </w:t>
      </w:r>
      <w:r w:rsidR="0036284D">
        <w:rPr>
          <w:bCs/>
          <w:color w:val="000000" w:themeColor="text1"/>
        </w:rPr>
        <w:t>s</w:t>
      </w:r>
      <w:r w:rsidRPr="003952DE">
        <w:rPr>
          <w:bCs/>
          <w:color w:val="000000" w:themeColor="text1"/>
        </w:rPr>
        <w:t xml:space="preserve">ecretary of </w:t>
      </w:r>
      <w:r w:rsidR="0036284D">
        <w:rPr>
          <w:bCs/>
          <w:color w:val="000000" w:themeColor="text1"/>
        </w:rPr>
        <w:t>d</w:t>
      </w:r>
      <w:r w:rsidRPr="003952DE">
        <w:rPr>
          <w:bCs/>
          <w:color w:val="000000" w:themeColor="text1"/>
        </w:rPr>
        <w:t xml:space="preserve">efense in 2003, it is possible that the </w:t>
      </w:r>
      <w:r w:rsidR="006107F6">
        <w:rPr>
          <w:bCs/>
          <w:color w:val="000000" w:themeColor="text1"/>
        </w:rPr>
        <w:t>Iraq</w:t>
      </w:r>
      <w:r w:rsidR="006107F6" w:rsidRPr="003952DE">
        <w:rPr>
          <w:bCs/>
          <w:color w:val="000000" w:themeColor="text1"/>
        </w:rPr>
        <w:t xml:space="preserve"> </w:t>
      </w:r>
      <w:r w:rsidR="00551719">
        <w:rPr>
          <w:bCs/>
          <w:color w:val="000000" w:themeColor="text1"/>
        </w:rPr>
        <w:t>M</w:t>
      </w:r>
      <w:r w:rsidRPr="003952DE">
        <w:rPr>
          <w:bCs/>
          <w:color w:val="000000" w:themeColor="text1"/>
        </w:rPr>
        <w:t>useum would not have been looted. The history</w:t>
      </w:r>
      <w:r w:rsidR="007F1DC1">
        <w:rPr>
          <w:bCs/>
          <w:color w:val="000000" w:themeColor="text1"/>
        </w:rPr>
        <w:t>, however,</w:t>
      </w:r>
      <w:r w:rsidRPr="003952DE">
        <w:rPr>
          <w:bCs/>
          <w:color w:val="000000" w:themeColor="text1"/>
        </w:rPr>
        <w:t xml:space="preserve"> also reveals one entailment of the laws of armed conflict: professional military </w:t>
      </w:r>
      <w:r w:rsidR="007F1DC1">
        <w:rPr>
          <w:bCs/>
          <w:color w:val="000000" w:themeColor="text1"/>
        </w:rPr>
        <w:t xml:space="preserve">and civilian </w:t>
      </w:r>
      <w:r w:rsidRPr="003952DE">
        <w:rPr>
          <w:bCs/>
          <w:color w:val="000000" w:themeColor="text1"/>
        </w:rPr>
        <w:t xml:space="preserve">leaders are trained and incentivized to follow the laws of armed conflict, and this can increase the probability of compliance, even when some top political leaders </w:t>
      </w:r>
      <w:r w:rsidR="00CC4A40">
        <w:rPr>
          <w:bCs/>
          <w:color w:val="000000" w:themeColor="text1"/>
        </w:rPr>
        <w:t xml:space="preserve">do not </w:t>
      </w:r>
      <w:r w:rsidRPr="003952DE">
        <w:rPr>
          <w:bCs/>
          <w:color w:val="000000" w:themeColor="text1"/>
        </w:rPr>
        <w:t>care. This is clear in the 2020 incident when Secretary Esper refused to target Iranian cultural sites despite President Trump’s threats to do exactly that.</w:t>
      </w:r>
    </w:p>
    <w:p w14:paraId="07C049B3" w14:textId="77777777" w:rsidR="00E40919" w:rsidRDefault="00E40919" w:rsidP="00E22AD5">
      <w:pPr>
        <w:spacing w:line="480" w:lineRule="auto"/>
        <w:rPr>
          <w:color w:val="000000" w:themeColor="text1"/>
          <w:u w:val="single"/>
        </w:rPr>
      </w:pPr>
    </w:p>
    <w:p w14:paraId="4BD6C791" w14:textId="182CBFA1" w:rsidR="00E27C32" w:rsidRPr="003952DE" w:rsidRDefault="00E27C32" w:rsidP="00C2455D">
      <w:pPr>
        <w:pStyle w:val="Heading2"/>
      </w:pPr>
      <w:r w:rsidRPr="003952DE">
        <w:t>Sparing Kyoto</w:t>
      </w:r>
    </w:p>
    <w:p w14:paraId="1669A69F" w14:textId="69113D19" w:rsidR="00E27C32" w:rsidRPr="003952DE" w:rsidRDefault="00E27C32" w:rsidP="00E22AD5">
      <w:pPr>
        <w:spacing w:line="480" w:lineRule="auto"/>
        <w:rPr>
          <w:color w:val="000000" w:themeColor="text1"/>
        </w:rPr>
      </w:pPr>
      <w:r w:rsidRPr="003952DE">
        <w:rPr>
          <w:color w:val="000000" w:themeColor="text1"/>
        </w:rPr>
        <w:t>The decision to drop the atomic bomb on Hiroshima has been the subject of exhaustive research.</w:t>
      </w:r>
      <w:r w:rsidR="00F116A6">
        <w:rPr>
          <w:color w:val="000000" w:themeColor="text1"/>
        </w:rPr>
        <w:t xml:space="preserve"> </w:t>
      </w:r>
      <w:r w:rsidRPr="003952DE">
        <w:rPr>
          <w:color w:val="000000" w:themeColor="text1"/>
        </w:rPr>
        <w:t>What is less well understood is the complex, even convoluted, process by which Kyoto was taken off the top of the target list, with Nagasaki as its replacement.</w:t>
      </w:r>
      <w:r w:rsidR="00D1079A" w:rsidRPr="003952DE">
        <w:rPr>
          <w:color w:val="000000" w:themeColor="text1"/>
        </w:rPr>
        <w:t xml:space="preserve"> </w:t>
      </w:r>
      <w:r w:rsidRPr="003952DE">
        <w:rPr>
          <w:color w:val="000000" w:themeColor="text1"/>
        </w:rPr>
        <w:t>Michael Gordin calls the sparing of Kyoto “the solitary instance of moral restraint dictating target choice on behalf of any belligerent in World War II.”</w:t>
      </w:r>
      <w:r w:rsidRPr="003952DE">
        <w:rPr>
          <w:rStyle w:val="EndnoteReference"/>
          <w:color w:val="000000" w:themeColor="text1"/>
        </w:rPr>
        <w:endnoteReference w:id="6"/>
      </w:r>
      <w:r w:rsidRPr="003952DE">
        <w:rPr>
          <w:color w:val="000000" w:themeColor="text1"/>
        </w:rPr>
        <w:t xml:space="preserve"> Gordin’s argument, however, ignores the many instances of Allied bombing decisions taking into account protection of cultural </w:t>
      </w:r>
      <w:r w:rsidR="00665626" w:rsidRPr="003952DE">
        <w:rPr>
          <w:color w:val="000000" w:themeColor="text1"/>
        </w:rPr>
        <w:t>heritage</w:t>
      </w:r>
      <w:r w:rsidRPr="003952DE">
        <w:rPr>
          <w:color w:val="000000" w:themeColor="text1"/>
        </w:rPr>
        <w:t xml:space="preserve"> in Europe, a phenomenon well</w:t>
      </w:r>
      <w:r w:rsidR="00D64C30">
        <w:rPr>
          <w:color w:val="000000" w:themeColor="text1"/>
        </w:rPr>
        <w:t xml:space="preserve"> </w:t>
      </w:r>
      <w:r w:rsidRPr="003952DE">
        <w:rPr>
          <w:color w:val="000000" w:themeColor="text1"/>
        </w:rPr>
        <w:t>documented by Ron Hassner.</w:t>
      </w:r>
      <w:r w:rsidRPr="003952DE">
        <w:rPr>
          <w:rStyle w:val="EndnoteReference"/>
          <w:color w:val="000000" w:themeColor="text1"/>
        </w:rPr>
        <w:endnoteReference w:id="7"/>
      </w:r>
      <w:r w:rsidRPr="003952DE">
        <w:rPr>
          <w:color w:val="000000" w:themeColor="text1"/>
        </w:rPr>
        <w:t xml:space="preserve"> Gordin’s argument also underplays the strategic element of the rationale behind Stimson’s insistence that Kyoto be </w:t>
      </w:r>
      <w:r w:rsidR="00FF2FAA">
        <w:rPr>
          <w:color w:val="000000" w:themeColor="text1"/>
        </w:rPr>
        <w:t>removed from</w:t>
      </w:r>
      <w:r w:rsidRPr="003952DE">
        <w:rPr>
          <w:color w:val="000000" w:themeColor="text1"/>
        </w:rPr>
        <w:t xml:space="preserve"> the target list. It is impossible to disentangle or weigh the relative importance of moral and strategic motives in Stimson’s mind.</w:t>
      </w:r>
      <w:r w:rsidRPr="003952DE">
        <w:rPr>
          <w:rStyle w:val="EndnoteReference"/>
          <w:color w:val="000000" w:themeColor="text1"/>
        </w:rPr>
        <w:endnoteReference w:id="8"/>
      </w:r>
      <w:r w:rsidRPr="003952DE">
        <w:rPr>
          <w:color w:val="000000" w:themeColor="text1"/>
        </w:rPr>
        <w:t xml:space="preserve"> But </w:t>
      </w:r>
      <w:r w:rsidR="00225ED3">
        <w:rPr>
          <w:color w:val="000000" w:themeColor="text1"/>
        </w:rPr>
        <w:t xml:space="preserve">it </w:t>
      </w:r>
      <w:r w:rsidRPr="003952DE">
        <w:rPr>
          <w:color w:val="000000" w:themeColor="text1"/>
        </w:rPr>
        <w:t xml:space="preserve">is clear that both motives existed, and that Stimson employed the two arguments as necessary in his efforts to spare Kyoto. </w:t>
      </w:r>
    </w:p>
    <w:p w14:paraId="54DB02DC" w14:textId="5561E835" w:rsidR="00E27C32" w:rsidRPr="003952DE" w:rsidRDefault="00E27C32" w:rsidP="00E22AD5">
      <w:pPr>
        <w:spacing w:line="480" w:lineRule="auto"/>
        <w:ind w:firstLine="720"/>
        <w:rPr>
          <w:color w:val="000000" w:themeColor="text1"/>
        </w:rPr>
      </w:pPr>
      <w:r w:rsidRPr="003952DE">
        <w:rPr>
          <w:color w:val="000000" w:themeColor="text1"/>
        </w:rPr>
        <w:t xml:space="preserve">When the Target Committee, which included Robert Oppenheimer and Major General Leslie Groves, met in Los Alamos, they considered destroying cultural heritage as a positive act, </w:t>
      </w:r>
      <w:r w:rsidRPr="003952DE">
        <w:rPr>
          <w:color w:val="000000" w:themeColor="text1"/>
        </w:rPr>
        <w:lastRenderedPageBreak/>
        <w:t xml:space="preserve">one that would reduce the Japanese civilian population’s support for continuing the war. Committee meeting minutes suggest that the destruction of Kyoto and the Imperial Palace in Tokyo would contribute to military victory: </w:t>
      </w:r>
    </w:p>
    <w:p w14:paraId="748CD4D1" w14:textId="5211F1B7" w:rsidR="00E27C32" w:rsidRPr="003952DE" w:rsidRDefault="00E27C32" w:rsidP="001D0D54">
      <w:pPr>
        <w:spacing w:line="480" w:lineRule="auto"/>
        <w:ind w:left="720" w:right="720"/>
        <w:textAlignment w:val="center"/>
        <w:rPr>
          <w:color w:val="000000" w:themeColor="text1"/>
        </w:rPr>
      </w:pPr>
      <w:r w:rsidRPr="003952DE">
        <w:rPr>
          <w:color w:val="000000" w:themeColor="text1"/>
          <w:u w:val="single"/>
        </w:rPr>
        <w:t>Kyoto</w:t>
      </w:r>
      <w:r w:rsidR="001C3CF5">
        <w:rPr>
          <w:color w:val="000000" w:themeColor="text1"/>
        </w:rPr>
        <w:t>:</w:t>
      </w:r>
      <w:r w:rsidRPr="003952DE">
        <w:rPr>
          <w:color w:val="000000" w:themeColor="text1"/>
        </w:rPr>
        <w:t xml:space="preserve"> This target is an urban industrial area with a population of 1,000,000. It is the former capital of Japan and many people and industries are now being moved there as other areas are being destroyed. From the psychological point of view there is the advantage that Kyoto is an intellectual center for Japan and the people there are more apt to appreciate the significance of such a weapon as the gadget</w:t>
      </w:r>
      <w:r w:rsidR="00F23D0A">
        <w:rPr>
          <w:color w:val="000000" w:themeColor="text1"/>
        </w:rPr>
        <w:t xml:space="preserve"> … </w:t>
      </w:r>
      <w:r w:rsidRPr="003952DE">
        <w:rPr>
          <w:color w:val="000000" w:themeColor="text1"/>
        </w:rPr>
        <w:t>Hiroshima has the advantage of being such a size and with possible focusing f</w:t>
      </w:r>
      <w:r w:rsidR="00F76E12">
        <w:rPr>
          <w:color w:val="000000" w:themeColor="text1"/>
        </w:rPr>
        <w:t>ro</w:t>
      </w:r>
      <w:r w:rsidRPr="003952DE">
        <w:rPr>
          <w:color w:val="000000" w:themeColor="text1"/>
        </w:rPr>
        <w:t>m nearby mountains that a large fraction of the city may be destroyed. The Emperor</w:t>
      </w:r>
      <w:r w:rsidR="00E4104F">
        <w:rPr>
          <w:color w:val="000000" w:themeColor="text1"/>
        </w:rPr>
        <w:t>’</w:t>
      </w:r>
      <w:r w:rsidRPr="003952DE">
        <w:rPr>
          <w:color w:val="000000" w:themeColor="text1"/>
        </w:rPr>
        <w:t>s Palace in Tokyo has a greater fame than any other target but is of least strategic value.</w:t>
      </w:r>
      <w:r w:rsidRPr="003952DE">
        <w:rPr>
          <w:rStyle w:val="EndnoteReference"/>
          <w:color w:val="000000" w:themeColor="text1"/>
        </w:rPr>
        <w:endnoteReference w:id="9"/>
      </w:r>
    </w:p>
    <w:p w14:paraId="5AF35D49" w14:textId="71D0398C" w:rsidR="00E27C32" w:rsidRPr="00E40919" w:rsidRDefault="00E40919" w:rsidP="00E22AD5">
      <w:pPr>
        <w:spacing w:line="480" w:lineRule="auto"/>
        <w:rPr>
          <w:b/>
          <w:color w:val="000000" w:themeColor="text1"/>
        </w:rPr>
      </w:pPr>
      <w:r w:rsidRPr="00E40919">
        <w:rPr>
          <w:b/>
          <w:color w:val="000000" w:themeColor="text1"/>
        </w:rPr>
        <w:t>(f</w:t>
      </w:r>
      <w:r w:rsidR="006419AE" w:rsidRPr="00E40919">
        <w:rPr>
          <w:b/>
          <w:color w:val="000000" w:themeColor="text1"/>
        </w:rPr>
        <w:t>ig</w:t>
      </w:r>
      <w:r w:rsidRPr="00E40919">
        <w:rPr>
          <w:b/>
          <w:color w:val="000000" w:themeColor="text1"/>
        </w:rPr>
        <w:t>.</w:t>
      </w:r>
      <w:r w:rsidR="004F266B">
        <w:rPr>
          <w:b/>
          <w:color w:val="000000" w:themeColor="text1"/>
        </w:rPr>
        <w:t>28.</w:t>
      </w:r>
      <w:r w:rsidRPr="00E40919">
        <w:rPr>
          <w:b/>
          <w:color w:val="000000" w:themeColor="text1"/>
        </w:rPr>
        <w:t>1)</w:t>
      </w:r>
      <w:r w:rsidR="006419AE" w:rsidRPr="00E40919">
        <w:rPr>
          <w:b/>
          <w:color w:val="000000" w:themeColor="text1"/>
        </w:rPr>
        <w:t xml:space="preserve"> </w:t>
      </w:r>
    </w:p>
    <w:p w14:paraId="40350481" w14:textId="48AB78B6" w:rsidR="00E27C32" w:rsidRPr="003952DE" w:rsidRDefault="00E27C32">
      <w:pPr>
        <w:spacing w:line="480" w:lineRule="auto"/>
        <w:ind w:firstLine="720"/>
        <w:rPr>
          <w:color w:val="000000" w:themeColor="text1"/>
        </w:rPr>
      </w:pPr>
      <w:r w:rsidRPr="003952DE">
        <w:rPr>
          <w:color w:val="000000" w:themeColor="text1"/>
        </w:rPr>
        <w:t xml:space="preserve">Military logic supported attacking Kyoto because of the increasing amount of military industry coming into the city, its location </w:t>
      </w:r>
      <w:r w:rsidR="00DF43CA">
        <w:rPr>
          <w:color w:val="000000" w:themeColor="text1"/>
        </w:rPr>
        <w:t xml:space="preserve">surrounded by </w:t>
      </w:r>
      <w:r w:rsidRPr="003952DE">
        <w:rPr>
          <w:color w:val="000000" w:themeColor="text1"/>
        </w:rPr>
        <w:t>mountain</w:t>
      </w:r>
      <w:r w:rsidR="00DF43CA">
        <w:rPr>
          <w:color w:val="000000" w:themeColor="text1"/>
        </w:rPr>
        <w:t>s</w:t>
      </w:r>
      <w:r w:rsidRPr="003952DE">
        <w:rPr>
          <w:color w:val="000000" w:themeColor="text1"/>
        </w:rPr>
        <w:t xml:space="preserve">, and because of its large population. Indeed, Kyoto was well over twice the size of Hiroshima or any other city that had not yet been subjected to the </w:t>
      </w:r>
      <w:r w:rsidR="001232D1" w:rsidRPr="003952DE">
        <w:rPr>
          <w:color w:val="000000" w:themeColor="text1"/>
        </w:rPr>
        <w:t>firebombing campaign</w:t>
      </w:r>
      <w:r w:rsidR="001232D1">
        <w:rPr>
          <w:color w:val="000000" w:themeColor="text1"/>
        </w:rPr>
        <w:t xml:space="preserve"> of the </w:t>
      </w:r>
      <w:r w:rsidR="003A214A">
        <w:rPr>
          <w:color w:val="000000" w:themeColor="text1"/>
        </w:rPr>
        <w:t xml:space="preserve">US </w:t>
      </w:r>
      <w:r w:rsidRPr="003952DE">
        <w:rPr>
          <w:color w:val="000000" w:themeColor="text1"/>
        </w:rPr>
        <w:t>Army Air Forces</w:t>
      </w:r>
      <w:r w:rsidR="001232D1">
        <w:rPr>
          <w:color w:val="000000" w:themeColor="text1"/>
        </w:rPr>
        <w:t xml:space="preserve"> (as the US Air Force was then </w:t>
      </w:r>
      <w:r w:rsidR="00D839FA">
        <w:rPr>
          <w:color w:val="000000" w:themeColor="text1"/>
        </w:rPr>
        <w:t>known</w:t>
      </w:r>
      <w:r w:rsidR="001232D1">
        <w:rPr>
          <w:color w:val="000000" w:themeColor="text1"/>
        </w:rPr>
        <w:t>)</w:t>
      </w:r>
      <w:r w:rsidRPr="003952DE">
        <w:rPr>
          <w:color w:val="000000" w:themeColor="text1"/>
        </w:rPr>
        <w:t xml:space="preserve">. Simply put, if Kyoto was attacked, more Japanese people would be killed. This appealed to </w:t>
      </w:r>
      <w:r w:rsidR="00220422">
        <w:rPr>
          <w:color w:val="000000" w:themeColor="text1"/>
        </w:rPr>
        <w:t>General</w:t>
      </w:r>
      <w:r w:rsidR="00220422" w:rsidRPr="003952DE">
        <w:rPr>
          <w:color w:val="000000" w:themeColor="text1"/>
        </w:rPr>
        <w:t xml:space="preserve"> </w:t>
      </w:r>
      <w:r w:rsidRPr="003952DE">
        <w:rPr>
          <w:color w:val="000000" w:themeColor="text1"/>
        </w:rPr>
        <w:t>Groves</w:t>
      </w:r>
      <w:r w:rsidR="001A19D8">
        <w:rPr>
          <w:color w:val="000000" w:themeColor="text1"/>
        </w:rPr>
        <w:t>:</w:t>
      </w:r>
      <w:r w:rsidRPr="003952DE">
        <w:rPr>
          <w:color w:val="000000" w:themeColor="text1"/>
        </w:rPr>
        <w:t xml:space="preserve"> </w:t>
      </w:r>
      <w:r w:rsidR="001A19D8">
        <w:rPr>
          <w:color w:val="000000" w:themeColor="text1"/>
        </w:rPr>
        <w:t>a</w:t>
      </w:r>
      <w:r w:rsidRPr="003952DE">
        <w:rPr>
          <w:color w:val="000000" w:themeColor="text1"/>
        </w:rPr>
        <w:t xml:space="preserve">s </w:t>
      </w:r>
      <w:r w:rsidR="001A19D8">
        <w:rPr>
          <w:color w:val="000000" w:themeColor="text1"/>
        </w:rPr>
        <w:t xml:space="preserve">he </w:t>
      </w:r>
      <w:r w:rsidRPr="003952DE">
        <w:rPr>
          <w:color w:val="000000" w:themeColor="text1"/>
        </w:rPr>
        <w:t>later put it</w:t>
      </w:r>
      <w:r w:rsidR="00734CAF">
        <w:rPr>
          <w:color w:val="000000" w:themeColor="text1"/>
        </w:rPr>
        <w:t>,</w:t>
      </w:r>
      <w:r w:rsidRPr="003952DE">
        <w:rPr>
          <w:color w:val="000000" w:themeColor="text1"/>
        </w:rPr>
        <w:t xml:space="preserve"> “I particularly want</w:t>
      </w:r>
      <w:r w:rsidR="00D332C9">
        <w:rPr>
          <w:color w:val="000000" w:themeColor="text1"/>
        </w:rPr>
        <w:t>ed</w:t>
      </w:r>
      <w:r w:rsidRPr="003952DE">
        <w:rPr>
          <w:color w:val="000000" w:themeColor="text1"/>
        </w:rPr>
        <w:t xml:space="preserve"> Kyoto as a target because</w:t>
      </w:r>
      <w:r w:rsidR="00734CAF">
        <w:rPr>
          <w:color w:val="000000" w:themeColor="text1"/>
        </w:rPr>
        <w:t xml:space="preserve"> </w:t>
      </w:r>
      <w:r w:rsidRPr="003952DE">
        <w:rPr>
          <w:color w:val="000000" w:themeColor="text1"/>
        </w:rPr>
        <w:t>…</w:t>
      </w:r>
      <w:r w:rsidR="00734CAF">
        <w:rPr>
          <w:color w:val="000000" w:themeColor="text1"/>
        </w:rPr>
        <w:t xml:space="preserve"> </w:t>
      </w:r>
      <w:r w:rsidRPr="003952DE">
        <w:rPr>
          <w:color w:val="000000" w:themeColor="text1"/>
        </w:rPr>
        <w:t>it was large enough in area for us to gain complete knowledge of the effect of an atomic bomb.”</w:t>
      </w:r>
      <w:r w:rsidRPr="003952DE">
        <w:rPr>
          <w:rStyle w:val="EndnoteReference"/>
          <w:color w:val="000000" w:themeColor="text1"/>
        </w:rPr>
        <w:endnoteReference w:id="10"/>
      </w:r>
      <w:r w:rsidRPr="003952DE">
        <w:rPr>
          <w:color w:val="000000" w:themeColor="text1"/>
        </w:rPr>
        <w:t xml:space="preserve"> </w:t>
      </w:r>
    </w:p>
    <w:p w14:paraId="5499E0B6" w14:textId="54B12C02" w:rsidR="00E27C32" w:rsidRPr="003952DE" w:rsidRDefault="00E27C32" w:rsidP="00C2455D">
      <w:pPr>
        <w:spacing w:line="480" w:lineRule="auto"/>
        <w:ind w:firstLine="720"/>
        <w:rPr>
          <w:color w:val="000000" w:themeColor="text1"/>
        </w:rPr>
      </w:pPr>
      <w:r w:rsidRPr="003952DE">
        <w:rPr>
          <w:color w:val="000000" w:themeColor="text1"/>
        </w:rPr>
        <w:t xml:space="preserve">Groves’ account </w:t>
      </w:r>
      <w:r w:rsidR="00092D4A">
        <w:rPr>
          <w:color w:val="000000" w:themeColor="text1"/>
        </w:rPr>
        <w:t xml:space="preserve">of </w:t>
      </w:r>
      <w:r w:rsidR="00092D4A" w:rsidRPr="003952DE">
        <w:rPr>
          <w:color w:val="000000" w:themeColor="text1"/>
        </w:rPr>
        <w:t>Stimson</w:t>
      </w:r>
      <w:r w:rsidR="00092D4A">
        <w:rPr>
          <w:color w:val="000000" w:themeColor="text1"/>
        </w:rPr>
        <w:t>’s</w:t>
      </w:r>
      <w:r w:rsidR="00092D4A" w:rsidRPr="003952DE">
        <w:rPr>
          <w:color w:val="000000" w:themeColor="text1"/>
        </w:rPr>
        <w:t xml:space="preserve"> </w:t>
      </w:r>
      <w:r w:rsidR="00092D4A">
        <w:rPr>
          <w:color w:val="000000" w:themeColor="text1"/>
        </w:rPr>
        <w:t xml:space="preserve">opposition </w:t>
      </w:r>
      <w:r w:rsidRPr="003952DE">
        <w:rPr>
          <w:color w:val="000000" w:themeColor="text1"/>
        </w:rPr>
        <w:t xml:space="preserve">is revealing: “The reason for his objection was that Kyoto was the ancient capital of Japan, a historical city, and one that was of great religious </w:t>
      </w:r>
      <w:r w:rsidRPr="003952DE">
        <w:rPr>
          <w:color w:val="000000" w:themeColor="text1"/>
        </w:rPr>
        <w:lastRenderedPageBreak/>
        <w:t xml:space="preserve">significance to </w:t>
      </w:r>
      <w:r w:rsidR="00906B2D">
        <w:rPr>
          <w:color w:val="000000" w:themeColor="text1"/>
        </w:rPr>
        <w:t xml:space="preserve">the </w:t>
      </w:r>
      <w:r w:rsidRPr="003952DE">
        <w:rPr>
          <w:color w:val="000000" w:themeColor="text1"/>
        </w:rPr>
        <w:t>Japan</w:t>
      </w:r>
      <w:r w:rsidR="00906B2D">
        <w:rPr>
          <w:color w:val="000000" w:themeColor="text1"/>
        </w:rPr>
        <w:t>ese</w:t>
      </w:r>
      <w:r w:rsidRPr="003952DE">
        <w:rPr>
          <w:color w:val="000000" w:themeColor="text1"/>
        </w:rPr>
        <w:t xml:space="preserve">.” Groves noticed that Stimson’s position </w:t>
      </w:r>
      <w:r w:rsidR="00ED5DEC">
        <w:rPr>
          <w:color w:val="000000" w:themeColor="text1"/>
        </w:rPr>
        <w:t xml:space="preserve">then </w:t>
      </w:r>
      <w:r w:rsidRPr="003952DE">
        <w:rPr>
          <w:color w:val="000000" w:themeColor="text1"/>
        </w:rPr>
        <w:t>evolved to emphasize the strategic rationale: “In the course of our conversion he gradually developed the view that the decision should be governed by the historical position that the United States would occupy after the war.”</w:t>
      </w:r>
      <w:r w:rsidRPr="003952DE">
        <w:rPr>
          <w:rStyle w:val="EndnoteReference"/>
          <w:color w:val="000000" w:themeColor="text1"/>
        </w:rPr>
        <w:endnoteReference w:id="11"/>
      </w:r>
      <w:r w:rsidR="00D1079A" w:rsidRPr="003952DE">
        <w:rPr>
          <w:color w:val="000000" w:themeColor="text1"/>
        </w:rPr>
        <w:t xml:space="preserve"> </w:t>
      </w:r>
      <w:r w:rsidRPr="003952DE">
        <w:rPr>
          <w:color w:val="000000" w:themeColor="text1"/>
        </w:rPr>
        <w:t xml:space="preserve">Stimson stressed his moral reasoning for sparing Kyoto in his </w:t>
      </w:r>
      <w:r w:rsidR="00046707">
        <w:rPr>
          <w:color w:val="000000" w:themeColor="text1"/>
        </w:rPr>
        <w:t>postwar</w:t>
      </w:r>
      <w:r w:rsidRPr="003952DE">
        <w:rPr>
          <w:color w:val="000000" w:themeColor="text1"/>
        </w:rPr>
        <w:t xml:space="preserve"> memoirs:</w:t>
      </w:r>
      <w:r w:rsidR="00822DE7">
        <w:rPr>
          <w:color w:val="000000" w:themeColor="text1"/>
        </w:rPr>
        <w:t xml:space="preserve"> “</w:t>
      </w:r>
      <w:r w:rsidRPr="003952DE">
        <w:rPr>
          <w:color w:val="000000" w:themeColor="text1"/>
        </w:rPr>
        <w:t>With President Truman’s warm support I struck off the list of suggest targets the city of Kyoto. Although it was a target of considerable military importance, it had been the ancient capital of Japan and was a shrine of Japanese art and culture. We determined that it should be spared.</w:t>
      </w:r>
      <w:r w:rsidR="00822DE7">
        <w:rPr>
          <w:color w:val="000000" w:themeColor="text1"/>
        </w:rPr>
        <w:t>”</w:t>
      </w:r>
      <w:r w:rsidRPr="003952DE">
        <w:rPr>
          <w:rStyle w:val="EndnoteReference"/>
          <w:color w:val="000000" w:themeColor="text1"/>
        </w:rPr>
        <w:endnoteReference w:id="12"/>
      </w:r>
    </w:p>
    <w:p w14:paraId="1EFEA503" w14:textId="3E6DA96C" w:rsidR="00E27C32" w:rsidRPr="003952DE" w:rsidRDefault="00E27C32" w:rsidP="00C2455D">
      <w:pPr>
        <w:spacing w:line="480" w:lineRule="auto"/>
        <w:ind w:firstLine="720"/>
        <w:rPr>
          <w:color w:val="000000" w:themeColor="text1"/>
        </w:rPr>
      </w:pPr>
      <w:r w:rsidRPr="003952DE">
        <w:rPr>
          <w:color w:val="000000" w:themeColor="text1"/>
        </w:rPr>
        <w:t xml:space="preserve">But it was the “strategic” rationale for sparing Kyoto that Stimson emphasized as being effective in his crucial discussions with Truman at </w:t>
      </w:r>
      <w:r w:rsidR="00417831">
        <w:rPr>
          <w:color w:val="000000" w:themeColor="text1"/>
        </w:rPr>
        <w:t xml:space="preserve">the </w:t>
      </w:r>
      <w:r w:rsidR="00647AE6">
        <w:rPr>
          <w:color w:val="000000" w:themeColor="text1"/>
        </w:rPr>
        <w:t xml:space="preserve">Allied leaders’ </w:t>
      </w:r>
      <w:r w:rsidRPr="003952DE">
        <w:rPr>
          <w:color w:val="000000" w:themeColor="text1"/>
        </w:rPr>
        <w:t>Potsdam</w:t>
      </w:r>
      <w:r w:rsidR="00417831">
        <w:rPr>
          <w:color w:val="000000" w:themeColor="text1"/>
        </w:rPr>
        <w:t xml:space="preserve"> Conference in Germany</w:t>
      </w:r>
      <w:r w:rsidR="00647AE6">
        <w:rPr>
          <w:color w:val="000000" w:themeColor="text1"/>
        </w:rPr>
        <w:t xml:space="preserve"> in July–August 1945</w:t>
      </w:r>
      <w:r w:rsidRPr="003952DE">
        <w:rPr>
          <w:color w:val="000000" w:themeColor="text1"/>
        </w:rPr>
        <w:t>. As Stimson recorded in his diary: “We had a few words more about the S-1 program, and I again gave him my reasons for eliminating one of the proposed targets. He again reiterated with the utmost emphasis his own concurring belief on that subject, and he was particularly emphatic in agreeing with my suggestion that if elimination was not done, the bitterness which would be caused by such a wanton act might make it impossible during the long post-war period to reconcile the Japanese to us in that area rather than to the Russians.”</w:t>
      </w:r>
      <w:r w:rsidRPr="003952DE">
        <w:rPr>
          <w:rStyle w:val="EndnoteReference"/>
          <w:color w:val="000000" w:themeColor="text1"/>
        </w:rPr>
        <w:endnoteReference w:id="13"/>
      </w:r>
      <w:r w:rsidR="00803AB8">
        <w:rPr>
          <w:color w:val="000000" w:themeColor="text1"/>
        </w:rPr>
        <w:t xml:space="preserve"> </w:t>
      </w:r>
      <w:r w:rsidRPr="003952DE">
        <w:rPr>
          <w:color w:val="000000" w:themeColor="text1"/>
        </w:rPr>
        <w:t xml:space="preserve">Truman’s diary entry is </w:t>
      </w:r>
      <w:r w:rsidR="00803AB8">
        <w:rPr>
          <w:color w:val="000000" w:themeColor="text1"/>
        </w:rPr>
        <w:t xml:space="preserve">also </w:t>
      </w:r>
      <w:r w:rsidRPr="003952DE">
        <w:rPr>
          <w:color w:val="000000" w:themeColor="text1"/>
        </w:rPr>
        <w:t>revealing: “I have told the Sec. of War, Mr. Stimson to use it so that military objectives and soldiers and sailors are the target and not women and children. Even if the Japs are savages, ruthless, merciless, and fanatic, we as the leader of the world for the common welfare cannot drop this terrible bomb on the old Capitol [Kyoto] or the new [Tokyo]. He and I are in accord.”</w:t>
      </w:r>
      <w:r w:rsidRPr="003952DE">
        <w:rPr>
          <w:rStyle w:val="EndnoteReference"/>
          <w:color w:val="000000" w:themeColor="text1"/>
        </w:rPr>
        <w:endnoteReference w:id="14"/>
      </w:r>
    </w:p>
    <w:p w14:paraId="07E02532" w14:textId="531569A4" w:rsidR="00E27C32" w:rsidRPr="003952DE" w:rsidRDefault="00E27C32" w:rsidP="00E22AD5">
      <w:pPr>
        <w:spacing w:line="480" w:lineRule="auto"/>
        <w:ind w:firstLine="720"/>
        <w:rPr>
          <w:color w:val="000000" w:themeColor="text1"/>
        </w:rPr>
      </w:pPr>
      <w:r w:rsidRPr="003952DE">
        <w:rPr>
          <w:color w:val="000000" w:themeColor="text1"/>
        </w:rPr>
        <w:t xml:space="preserve">Stimson’s use of the strategic rationale for sparing Kyoto helped persuade Truman to support his efforts against the military planners led by Groves. This decision saved the lives of many thousands of Japanese civilians, since Kyoto’s population was significantly larger than that </w:t>
      </w:r>
      <w:r w:rsidRPr="003952DE">
        <w:rPr>
          <w:color w:val="000000" w:themeColor="text1"/>
        </w:rPr>
        <w:lastRenderedPageBreak/>
        <w:t>of Nagasaki, the city that replaced it on the target list. But saving Japanese lives was not Stimson’s objective</w:t>
      </w:r>
      <w:r w:rsidR="00803AB8">
        <w:rPr>
          <w:color w:val="000000" w:themeColor="text1"/>
        </w:rPr>
        <w:t xml:space="preserve">—this </w:t>
      </w:r>
      <w:r w:rsidRPr="003952DE">
        <w:rPr>
          <w:color w:val="000000" w:themeColor="text1"/>
        </w:rPr>
        <w:t>was saving Kyoto’s cultural treasures. The evidence is clear that Truman’s eventual decision to spare Emperor Hirohito from war crimes trials helped negotiate surrender and end the war</w:t>
      </w:r>
      <w:r w:rsidR="00F92700">
        <w:rPr>
          <w:color w:val="000000" w:themeColor="text1"/>
        </w:rPr>
        <w:t>,</w:t>
      </w:r>
      <w:r w:rsidRPr="003952DE">
        <w:rPr>
          <w:color w:val="000000" w:themeColor="text1"/>
        </w:rPr>
        <w:t xml:space="preserve"> </w:t>
      </w:r>
      <w:r w:rsidR="003F5BC9">
        <w:rPr>
          <w:color w:val="000000" w:themeColor="text1"/>
        </w:rPr>
        <w:t xml:space="preserve">and </w:t>
      </w:r>
      <w:r w:rsidR="00F92700">
        <w:rPr>
          <w:color w:val="000000" w:themeColor="text1"/>
        </w:rPr>
        <w:t>aid</w:t>
      </w:r>
      <w:r w:rsidR="003F5BC9">
        <w:rPr>
          <w:color w:val="000000" w:themeColor="text1"/>
        </w:rPr>
        <w:t>ed</w:t>
      </w:r>
      <w:r w:rsidR="00F92700">
        <w:rPr>
          <w:color w:val="000000" w:themeColor="text1"/>
        </w:rPr>
        <w:t xml:space="preserve"> </w:t>
      </w:r>
      <w:r w:rsidRPr="003952DE">
        <w:rPr>
          <w:color w:val="000000" w:themeColor="text1"/>
        </w:rPr>
        <w:t xml:space="preserve">the </w:t>
      </w:r>
      <w:r w:rsidR="00E85C6F" w:rsidRPr="003952DE">
        <w:rPr>
          <w:color w:val="000000" w:themeColor="text1"/>
        </w:rPr>
        <w:t>US</w:t>
      </w:r>
      <w:r w:rsidRPr="003952DE">
        <w:rPr>
          <w:color w:val="000000" w:themeColor="text1"/>
        </w:rPr>
        <w:t xml:space="preserve"> </w:t>
      </w:r>
      <w:r w:rsidR="00F92700">
        <w:rPr>
          <w:color w:val="000000" w:themeColor="text1"/>
        </w:rPr>
        <w:t xml:space="preserve">in </w:t>
      </w:r>
      <w:r w:rsidRPr="003952DE">
        <w:rPr>
          <w:color w:val="000000" w:themeColor="text1"/>
        </w:rPr>
        <w:t>maintain</w:t>
      </w:r>
      <w:r w:rsidR="00F92700">
        <w:rPr>
          <w:color w:val="000000" w:themeColor="text1"/>
        </w:rPr>
        <w:t>ing</w:t>
      </w:r>
      <w:r w:rsidRPr="003952DE">
        <w:rPr>
          <w:color w:val="000000" w:themeColor="text1"/>
        </w:rPr>
        <w:t xml:space="preserve"> peace and stability during the occupation of Japan.</w:t>
      </w:r>
      <w:r w:rsidRPr="003952DE">
        <w:rPr>
          <w:rStyle w:val="EndnoteReference"/>
          <w:color w:val="000000" w:themeColor="text1"/>
        </w:rPr>
        <w:endnoteReference w:id="15"/>
      </w:r>
      <w:r w:rsidRPr="003952DE">
        <w:rPr>
          <w:color w:val="000000" w:themeColor="text1"/>
        </w:rPr>
        <w:t xml:space="preserve"> </w:t>
      </w:r>
      <w:r w:rsidR="00A83CA4">
        <w:rPr>
          <w:color w:val="000000" w:themeColor="text1"/>
        </w:rPr>
        <w:t xml:space="preserve">It </w:t>
      </w:r>
      <w:r w:rsidRPr="003952DE">
        <w:rPr>
          <w:color w:val="000000" w:themeColor="text1"/>
        </w:rPr>
        <w:t xml:space="preserve">is not clear, however, </w:t>
      </w:r>
      <w:r w:rsidR="00DF782B">
        <w:rPr>
          <w:color w:val="000000" w:themeColor="text1"/>
        </w:rPr>
        <w:t xml:space="preserve">that </w:t>
      </w:r>
      <w:r w:rsidRPr="003952DE">
        <w:rPr>
          <w:color w:val="000000" w:themeColor="text1"/>
        </w:rPr>
        <w:t xml:space="preserve">sparing Kyoto had similarly important strategic effects. </w:t>
      </w:r>
    </w:p>
    <w:p w14:paraId="4D4169B9" w14:textId="77777777" w:rsidR="00E40919" w:rsidRDefault="00E40919" w:rsidP="00E22AD5">
      <w:pPr>
        <w:spacing w:line="480" w:lineRule="auto"/>
        <w:rPr>
          <w:color w:val="000000" w:themeColor="text1"/>
          <w:u w:val="single"/>
        </w:rPr>
      </w:pPr>
    </w:p>
    <w:p w14:paraId="33773D20" w14:textId="5F43F601" w:rsidR="00E27C32" w:rsidRPr="003952DE" w:rsidRDefault="00E27C32" w:rsidP="00C2455D">
      <w:pPr>
        <w:pStyle w:val="Heading2"/>
      </w:pPr>
      <w:r w:rsidRPr="003952DE">
        <w:t>The 1954 Hague Convention</w:t>
      </w:r>
      <w:r w:rsidR="00D1079A" w:rsidRPr="003952DE">
        <w:t xml:space="preserve"> </w:t>
      </w:r>
    </w:p>
    <w:p w14:paraId="6AAD96D6" w14:textId="34437E20" w:rsidR="00246EA1" w:rsidRPr="003952DE" w:rsidRDefault="00E27C32" w:rsidP="0049398F">
      <w:pPr>
        <w:spacing w:line="480" w:lineRule="auto"/>
        <w:rPr>
          <w:color w:val="000000" w:themeColor="text1"/>
        </w:rPr>
      </w:pPr>
      <w:r w:rsidRPr="003952DE">
        <w:rPr>
          <w:color w:val="000000" w:themeColor="text1"/>
        </w:rPr>
        <w:t>The 1954 Hague Convention was a response to the massive cultural heritage destruction that occurred during World War II. In brief, Article 1 defines cultural property as “(a) movable or immovable property of great importance to every people</w:t>
      </w:r>
      <w:r w:rsidR="00781CF8">
        <w:rPr>
          <w:color w:val="000000" w:themeColor="text1"/>
        </w:rPr>
        <w:t xml:space="preserve"> … </w:t>
      </w:r>
      <w:r w:rsidRPr="003952DE">
        <w:rPr>
          <w:color w:val="000000" w:themeColor="text1"/>
        </w:rPr>
        <w:t>(b) buildings whose main and effective purpose is to preserve or exhibit the movable cultural property</w:t>
      </w:r>
      <w:r w:rsidR="00781CF8">
        <w:rPr>
          <w:color w:val="000000" w:themeColor="text1"/>
        </w:rPr>
        <w:t xml:space="preserve"> … [</w:t>
      </w:r>
      <w:r w:rsidRPr="003952DE">
        <w:rPr>
          <w:color w:val="000000" w:themeColor="text1"/>
        </w:rPr>
        <w:t>and</w:t>
      </w:r>
      <w:r w:rsidR="00781CF8">
        <w:rPr>
          <w:color w:val="000000" w:themeColor="text1"/>
        </w:rPr>
        <w:t>]</w:t>
      </w:r>
      <w:r w:rsidRPr="003952DE">
        <w:rPr>
          <w:color w:val="000000" w:themeColor="text1"/>
        </w:rPr>
        <w:t xml:space="preserve"> (c) centers containing a large amount of cultural property.”</w:t>
      </w:r>
      <w:r w:rsidRPr="003952DE">
        <w:rPr>
          <w:rStyle w:val="EndnoteReference"/>
          <w:color w:val="000000" w:themeColor="text1"/>
        </w:rPr>
        <w:endnoteReference w:id="16"/>
      </w:r>
      <w:r w:rsidR="0049398F">
        <w:rPr>
          <w:color w:val="000000" w:themeColor="text1"/>
        </w:rPr>
        <w:t xml:space="preserve"> </w:t>
      </w:r>
      <w:r w:rsidR="00237F8D">
        <w:rPr>
          <w:color w:val="000000" w:themeColor="text1"/>
        </w:rPr>
        <w:t xml:space="preserve">Article 3 </w:t>
      </w:r>
      <w:r w:rsidR="0088755E">
        <w:rPr>
          <w:color w:val="000000" w:themeColor="text1"/>
        </w:rPr>
        <w:t xml:space="preserve">requires </w:t>
      </w:r>
      <w:r w:rsidR="00237F8D">
        <w:rPr>
          <w:color w:val="000000" w:themeColor="text1"/>
        </w:rPr>
        <w:t xml:space="preserve">that states </w:t>
      </w:r>
      <w:r w:rsidR="00C562A2">
        <w:rPr>
          <w:color w:val="000000" w:themeColor="text1"/>
        </w:rPr>
        <w:t xml:space="preserve">protect cultural </w:t>
      </w:r>
      <w:r w:rsidR="0088755E">
        <w:rPr>
          <w:color w:val="000000" w:themeColor="text1"/>
        </w:rPr>
        <w:t>heritage</w:t>
      </w:r>
      <w:r w:rsidR="00037DEF">
        <w:rPr>
          <w:color w:val="000000" w:themeColor="text1"/>
        </w:rPr>
        <w:t xml:space="preserve"> </w:t>
      </w:r>
      <w:r w:rsidR="00C562A2">
        <w:rPr>
          <w:color w:val="000000" w:themeColor="text1"/>
        </w:rPr>
        <w:t xml:space="preserve">within their own territory, </w:t>
      </w:r>
      <w:r w:rsidR="00781FE1">
        <w:rPr>
          <w:color w:val="000000" w:themeColor="text1"/>
        </w:rPr>
        <w:t>and</w:t>
      </w:r>
      <w:r w:rsidR="00005257">
        <w:rPr>
          <w:color w:val="000000" w:themeColor="text1"/>
        </w:rPr>
        <w:t>,</w:t>
      </w:r>
      <w:r w:rsidR="00781FE1">
        <w:rPr>
          <w:color w:val="000000" w:themeColor="text1"/>
        </w:rPr>
        <w:t xml:space="preserve"> to that effect, </w:t>
      </w:r>
      <w:r w:rsidR="00C95F41">
        <w:rPr>
          <w:color w:val="000000" w:themeColor="text1"/>
        </w:rPr>
        <w:t xml:space="preserve">Article 4 </w:t>
      </w:r>
      <w:r w:rsidR="00E42EE3">
        <w:rPr>
          <w:color w:val="000000" w:themeColor="text1"/>
        </w:rPr>
        <w:t xml:space="preserve">requires that states </w:t>
      </w:r>
      <w:r w:rsidR="00C95F41">
        <w:rPr>
          <w:color w:val="000000" w:themeColor="text1"/>
        </w:rPr>
        <w:t xml:space="preserve">not place military objects </w:t>
      </w:r>
      <w:r w:rsidR="002136D7">
        <w:rPr>
          <w:color w:val="000000" w:themeColor="text1"/>
        </w:rPr>
        <w:t xml:space="preserve">in locations that would endanger </w:t>
      </w:r>
      <w:r w:rsidR="00E42EE3">
        <w:rPr>
          <w:color w:val="000000" w:themeColor="text1"/>
        </w:rPr>
        <w:t>cul</w:t>
      </w:r>
      <w:r w:rsidR="00184D92">
        <w:rPr>
          <w:color w:val="000000" w:themeColor="text1"/>
        </w:rPr>
        <w:t xml:space="preserve">tural heritage </w:t>
      </w:r>
      <w:r w:rsidR="007B7715">
        <w:rPr>
          <w:color w:val="000000" w:themeColor="text1"/>
        </w:rPr>
        <w:t>sites.</w:t>
      </w:r>
      <w:r w:rsidR="002021D9">
        <w:rPr>
          <w:color w:val="000000" w:themeColor="text1"/>
        </w:rPr>
        <w:t xml:space="preserve"> Article 4</w:t>
      </w:r>
      <w:r w:rsidR="00A70E9E">
        <w:rPr>
          <w:color w:val="000000" w:themeColor="text1"/>
        </w:rPr>
        <w:t xml:space="preserve"> </w:t>
      </w:r>
      <w:r w:rsidR="007E68A9">
        <w:rPr>
          <w:color w:val="000000" w:themeColor="text1"/>
        </w:rPr>
        <w:t>additionally</w:t>
      </w:r>
      <w:r w:rsidR="00E13E5D">
        <w:rPr>
          <w:color w:val="000000" w:themeColor="text1"/>
        </w:rPr>
        <w:t xml:space="preserve"> </w:t>
      </w:r>
      <w:r w:rsidR="00184D92">
        <w:rPr>
          <w:color w:val="000000" w:themeColor="text1"/>
        </w:rPr>
        <w:t>requires</w:t>
      </w:r>
      <w:r w:rsidR="00442714">
        <w:rPr>
          <w:color w:val="000000" w:themeColor="text1"/>
        </w:rPr>
        <w:t xml:space="preserve"> states </w:t>
      </w:r>
      <w:r w:rsidR="00141F81">
        <w:rPr>
          <w:color w:val="000000" w:themeColor="text1"/>
        </w:rPr>
        <w:t xml:space="preserve">to refrain from </w:t>
      </w:r>
      <w:r w:rsidR="001370C1">
        <w:rPr>
          <w:color w:val="000000" w:themeColor="text1"/>
        </w:rPr>
        <w:t xml:space="preserve">targeting </w:t>
      </w:r>
      <w:r w:rsidR="00096C22">
        <w:rPr>
          <w:color w:val="000000" w:themeColor="text1"/>
        </w:rPr>
        <w:t xml:space="preserve">cultural </w:t>
      </w:r>
      <w:r w:rsidR="00184D92">
        <w:rPr>
          <w:color w:val="000000" w:themeColor="text1"/>
        </w:rPr>
        <w:t>heritage</w:t>
      </w:r>
      <w:r w:rsidR="001370C1">
        <w:rPr>
          <w:color w:val="000000" w:themeColor="text1"/>
        </w:rPr>
        <w:t xml:space="preserve"> in “any act of hostility</w:t>
      </w:r>
      <w:r w:rsidR="0017600C">
        <w:rPr>
          <w:color w:val="000000" w:themeColor="text1"/>
        </w:rPr>
        <w:t>,</w:t>
      </w:r>
      <w:r w:rsidR="001370C1">
        <w:rPr>
          <w:color w:val="000000" w:themeColor="text1"/>
        </w:rPr>
        <w:t>”</w:t>
      </w:r>
      <w:r w:rsidR="0017600C">
        <w:rPr>
          <w:color w:val="000000" w:themeColor="text1"/>
        </w:rPr>
        <w:t xml:space="preserve"> to prevent </w:t>
      </w:r>
      <w:r w:rsidR="00DD636D">
        <w:rPr>
          <w:color w:val="000000" w:themeColor="text1"/>
        </w:rPr>
        <w:t xml:space="preserve">its damage by way of looting or </w:t>
      </w:r>
      <w:r w:rsidR="00B35543">
        <w:rPr>
          <w:color w:val="000000" w:themeColor="text1"/>
        </w:rPr>
        <w:t xml:space="preserve">vandalism, </w:t>
      </w:r>
      <w:r w:rsidR="00F9016D">
        <w:rPr>
          <w:color w:val="000000" w:themeColor="text1"/>
        </w:rPr>
        <w:t xml:space="preserve">and </w:t>
      </w:r>
      <w:r w:rsidR="00827917">
        <w:rPr>
          <w:color w:val="000000" w:themeColor="text1"/>
        </w:rPr>
        <w:t xml:space="preserve">to not </w:t>
      </w:r>
      <w:r w:rsidR="000A772C">
        <w:rPr>
          <w:color w:val="000000" w:themeColor="text1"/>
        </w:rPr>
        <w:t xml:space="preserve">target </w:t>
      </w:r>
      <w:r w:rsidR="00184D92">
        <w:rPr>
          <w:color w:val="000000" w:themeColor="text1"/>
        </w:rPr>
        <w:t>cultural heritage</w:t>
      </w:r>
      <w:r w:rsidR="000A772C">
        <w:rPr>
          <w:color w:val="000000" w:themeColor="text1"/>
        </w:rPr>
        <w:t xml:space="preserve"> </w:t>
      </w:r>
      <w:r w:rsidR="00184D92">
        <w:rPr>
          <w:color w:val="000000" w:themeColor="text1"/>
        </w:rPr>
        <w:t xml:space="preserve">even in an </w:t>
      </w:r>
      <w:r w:rsidR="00873576">
        <w:rPr>
          <w:color w:val="000000" w:themeColor="text1"/>
        </w:rPr>
        <w:t>act</w:t>
      </w:r>
      <w:r w:rsidR="000A772C">
        <w:rPr>
          <w:color w:val="000000" w:themeColor="text1"/>
        </w:rPr>
        <w:t xml:space="preserve"> of reprisal</w:t>
      </w:r>
      <w:r w:rsidR="00184D92">
        <w:rPr>
          <w:color w:val="000000" w:themeColor="text1"/>
        </w:rPr>
        <w:t>.</w:t>
      </w:r>
    </w:p>
    <w:p w14:paraId="0EAAB3C0" w14:textId="10FD455D" w:rsidR="00E27C32" w:rsidRPr="003952DE" w:rsidRDefault="00B474D8" w:rsidP="00E22AD5">
      <w:pPr>
        <w:spacing w:line="480" w:lineRule="auto"/>
        <w:ind w:firstLine="720"/>
        <w:rPr>
          <w:color w:val="000000" w:themeColor="text1"/>
        </w:rPr>
      </w:pPr>
      <w:r>
        <w:rPr>
          <w:color w:val="000000" w:themeColor="text1"/>
        </w:rPr>
        <w:t>As mentioned, t</w:t>
      </w:r>
      <w:r w:rsidR="00E27C32" w:rsidRPr="003952DE">
        <w:rPr>
          <w:color w:val="000000" w:themeColor="text1"/>
        </w:rPr>
        <w:t xml:space="preserve">he </w:t>
      </w:r>
      <w:r w:rsidR="0088254D">
        <w:rPr>
          <w:color w:val="000000" w:themeColor="text1"/>
        </w:rPr>
        <w:t>United States</w:t>
      </w:r>
      <w:r w:rsidR="0088254D" w:rsidRPr="003952DE">
        <w:rPr>
          <w:color w:val="000000" w:themeColor="text1"/>
        </w:rPr>
        <w:t xml:space="preserve"> </w:t>
      </w:r>
      <w:r w:rsidR="00E27C32" w:rsidRPr="003952DE">
        <w:rPr>
          <w:color w:val="000000" w:themeColor="text1"/>
        </w:rPr>
        <w:t xml:space="preserve">did not ratify the </w:t>
      </w:r>
      <w:r w:rsidR="00A14F5B">
        <w:rPr>
          <w:color w:val="000000" w:themeColor="text1"/>
        </w:rPr>
        <w:t>c</w:t>
      </w:r>
      <w:r w:rsidR="00E27C32" w:rsidRPr="003952DE">
        <w:rPr>
          <w:color w:val="000000" w:themeColor="text1"/>
        </w:rPr>
        <w:t>onvention until 2009</w:t>
      </w:r>
      <w:r w:rsidR="00DA6BF1">
        <w:rPr>
          <w:color w:val="000000" w:themeColor="text1"/>
        </w:rPr>
        <w:t>, a</w:t>
      </w:r>
      <w:r w:rsidR="001D12D0">
        <w:rPr>
          <w:color w:val="000000" w:themeColor="text1"/>
        </w:rPr>
        <w:t xml:space="preserve">nd </w:t>
      </w:r>
      <w:r w:rsidR="00E27C32" w:rsidRPr="003952DE">
        <w:rPr>
          <w:color w:val="000000" w:themeColor="text1"/>
        </w:rPr>
        <w:t>its instrument of ratification</w:t>
      </w:r>
      <w:r w:rsidR="001D12D0">
        <w:rPr>
          <w:color w:val="000000" w:themeColor="text1"/>
        </w:rPr>
        <w:t xml:space="preserve"> </w:t>
      </w:r>
      <w:r w:rsidR="00E27C32" w:rsidRPr="003952DE">
        <w:rPr>
          <w:color w:val="000000" w:themeColor="text1"/>
        </w:rPr>
        <w:t xml:space="preserve">included important qualifying declarations, outlining </w:t>
      </w:r>
      <w:r w:rsidR="009B0BB1">
        <w:rPr>
          <w:color w:val="000000" w:themeColor="text1"/>
        </w:rPr>
        <w:t>the US government’s</w:t>
      </w:r>
      <w:r w:rsidR="009B0BB1" w:rsidRPr="003952DE">
        <w:rPr>
          <w:color w:val="000000" w:themeColor="text1"/>
        </w:rPr>
        <w:t xml:space="preserve"> </w:t>
      </w:r>
      <w:r w:rsidR="00E27C32" w:rsidRPr="003952DE">
        <w:rPr>
          <w:color w:val="000000" w:themeColor="text1"/>
        </w:rPr>
        <w:t>interpretation of a “military necessity exception”</w:t>
      </w:r>
      <w:r w:rsidR="00D258BC">
        <w:rPr>
          <w:color w:val="000000" w:themeColor="text1"/>
        </w:rPr>
        <w:t>:</w:t>
      </w:r>
      <w:r w:rsidR="00E27C32" w:rsidRPr="003952DE">
        <w:rPr>
          <w:color w:val="000000" w:themeColor="text1"/>
        </w:rPr>
        <w:t xml:space="preserve"> attacks on cultural </w:t>
      </w:r>
      <w:r w:rsidR="00665626" w:rsidRPr="003952DE">
        <w:rPr>
          <w:color w:val="000000" w:themeColor="text1"/>
        </w:rPr>
        <w:t>heritage</w:t>
      </w:r>
      <w:r w:rsidR="00E27C32" w:rsidRPr="003952DE">
        <w:rPr>
          <w:color w:val="000000" w:themeColor="text1"/>
        </w:rPr>
        <w:t xml:space="preserve"> </w:t>
      </w:r>
      <w:r w:rsidR="008F032B">
        <w:rPr>
          <w:color w:val="000000" w:themeColor="text1"/>
        </w:rPr>
        <w:t>sites</w:t>
      </w:r>
      <w:r w:rsidR="00B66E98">
        <w:rPr>
          <w:color w:val="000000" w:themeColor="text1"/>
        </w:rPr>
        <w:t xml:space="preserve"> </w:t>
      </w:r>
      <w:r w:rsidR="00E27C32" w:rsidRPr="003952DE">
        <w:rPr>
          <w:color w:val="000000" w:themeColor="text1"/>
        </w:rPr>
        <w:t>are permitted, provided they are “proportionate” and “</w:t>
      </w:r>
      <w:r w:rsidR="00E27C32" w:rsidRPr="003952DE">
        <w:rPr>
          <w:iCs/>
          <w:color w:val="000000" w:themeColor="text1"/>
        </w:rPr>
        <w:t>required by military necessity and notwithstanding possible collateral damage to such property.”</w:t>
      </w:r>
      <w:r w:rsidR="00E27C32" w:rsidRPr="003952DE">
        <w:rPr>
          <w:rStyle w:val="EndnoteReference"/>
          <w:iCs/>
          <w:color w:val="000000" w:themeColor="text1"/>
        </w:rPr>
        <w:endnoteReference w:id="17"/>
      </w:r>
      <w:r w:rsidR="00E27C32" w:rsidRPr="003952DE">
        <w:rPr>
          <w:iCs/>
          <w:color w:val="000000" w:themeColor="text1"/>
        </w:rPr>
        <w:t xml:space="preserve"> </w:t>
      </w:r>
      <w:r w:rsidR="00E27C32" w:rsidRPr="003952DE">
        <w:rPr>
          <w:color w:val="000000" w:themeColor="text1"/>
        </w:rPr>
        <w:t xml:space="preserve">The </w:t>
      </w:r>
      <w:r w:rsidR="009B0BB1">
        <w:rPr>
          <w:color w:val="000000" w:themeColor="text1"/>
        </w:rPr>
        <w:t xml:space="preserve">US Department of </w:t>
      </w:r>
      <w:r w:rsidR="00E27C32" w:rsidRPr="003952DE">
        <w:rPr>
          <w:color w:val="000000" w:themeColor="text1"/>
        </w:rPr>
        <w:t>Defense</w:t>
      </w:r>
      <w:r w:rsidR="009B0BB1">
        <w:rPr>
          <w:color w:val="000000" w:themeColor="text1"/>
        </w:rPr>
        <w:t>’s</w:t>
      </w:r>
      <w:r w:rsidR="00E27C32" w:rsidRPr="003952DE">
        <w:rPr>
          <w:color w:val="000000" w:themeColor="text1"/>
        </w:rPr>
        <w:t xml:space="preserve"> 2016 </w:t>
      </w:r>
      <w:r w:rsidR="00E27C32" w:rsidRPr="003952DE">
        <w:rPr>
          <w:i/>
          <w:iCs/>
          <w:color w:val="000000" w:themeColor="text1"/>
        </w:rPr>
        <w:t>Law of War Manual</w:t>
      </w:r>
      <w:r w:rsidR="00E27C32" w:rsidRPr="003952DE">
        <w:rPr>
          <w:color w:val="000000" w:themeColor="text1"/>
        </w:rPr>
        <w:t xml:space="preserve"> affirms this military necessity waiver</w:t>
      </w:r>
      <w:r w:rsidR="00936401">
        <w:rPr>
          <w:color w:val="000000" w:themeColor="text1"/>
        </w:rPr>
        <w:t>.</w:t>
      </w:r>
      <w:r w:rsidR="00E27C32" w:rsidRPr="003952DE">
        <w:rPr>
          <w:color w:val="000000" w:themeColor="text1"/>
        </w:rPr>
        <w:t xml:space="preserve"> </w:t>
      </w:r>
      <w:r w:rsidR="00936401">
        <w:rPr>
          <w:color w:val="000000" w:themeColor="text1"/>
        </w:rPr>
        <w:t xml:space="preserve">Nevertheless, the </w:t>
      </w:r>
      <w:r w:rsidR="00936401">
        <w:rPr>
          <w:color w:val="000000" w:themeColor="text1"/>
        </w:rPr>
        <w:lastRenderedPageBreak/>
        <w:t xml:space="preserve">manual also </w:t>
      </w:r>
      <w:r w:rsidR="00E27C32" w:rsidRPr="003952DE">
        <w:rPr>
          <w:color w:val="000000" w:themeColor="text1"/>
        </w:rPr>
        <w:t>cautions commanders to remember that “the requirement that military necessity imperatively require</w:t>
      </w:r>
      <w:r w:rsidR="003C7822">
        <w:rPr>
          <w:color w:val="000000" w:themeColor="text1"/>
        </w:rPr>
        <w:t>[s]</w:t>
      </w:r>
      <w:r w:rsidR="00E27C32" w:rsidRPr="003952DE">
        <w:rPr>
          <w:color w:val="000000" w:themeColor="text1"/>
        </w:rPr>
        <w:t xml:space="preserve"> such acts should not be confused with convenience or be used to cloak slackness or indifference to the preservation of cultural property.”</w:t>
      </w:r>
      <w:r w:rsidR="00E27C32" w:rsidRPr="003952DE">
        <w:rPr>
          <w:rStyle w:val="EndnoteReference"/>
          <w:color w:val="000000" w:themeColor="text1"/>
        </w:rPr>
        <w:endnoteReference w:id="18"/>
      </w:r>
      <w:r w:rsidR="00E27C32" w:rsidRPr="003952DE">
        <w:rPr>
          <w:color w:val="000000" w:themeColor="text1"/>
        </w:rPr>
        <w:t xml:space="preserve"> </w:t>
      </w:r>
      <w:r w:rsidR="00936401">
        <w:rPr>
          <w:color w:val="000000" w:themeColor="text1"/>
        </w:rPr>
        <w:t xml:space="preserve">This </w:t>
      </w:r>
      <w:r w:rsidR="00936401" w:rsidRPr="003952DE">
        <w:rPr>
          <w:color w:val="000000" w:themeColor="text1"/>
        </w:rPr>
        <w:t>follow</w:t>
      </w:r>
      <w:r w:rsidR="00936401">
        <w:rPr>
          <w:color w:val="000000" w:themeColor="text1"/>
        </w:rPr>
        <w:t>s</w:t>
      </w:r>
      <w:r w:rsidR="00936401" w:rsidRPr="003952DE">
        <w:rPr>
          <w:color w:val="000000" w:themeColor="text1"/>
        </w:rPr>
        <w:t xml:space="preserve"> </w:t>
      </w:r>
      <w:r w:rsidR="00936401">
        <w:rPr>
          <w:color w:val="000000" w:themeColor="text1"/>
        </w:rPr>
        <w:t xml:space="preserve">General Dwight </w:t>
      </w:r>
      <w:r w:rsidR="00936401" w:rsidRPr="003952DE">
        <w:rPr>
          <w:color w:val="000000" w:themeColor="text1"/>
        </w:rPr>
        <w:t xml:space="preserve">Eisenhower’s famous </w:t>
      </w:r>
      <w:r w:rsidR="00936401">
        <w:rPr>
          <w:color w:val="000000" w:themeColor="text1"/>
        </w:rPr>
        <w:t xml:space="preserve">WWII </w:t>
      </w:r>
      <w:r w:rsidR="00936401" w:rsidRPr="003952DE">
        <w:rPr>
          <w:color w:val="000000" w:themeColor="text1"/>
        </w:rPr>
        <w:t>warning</w:t>
      </w:r>
      <w:r w:rsidR="00936401">
        <w:rPr>
          <w:color w:val="000000" w:themeColor="text1"/>
        </w:rPr>
        <w:t xml:space="preserve"> that “‘military necessity’ is sometimes used where it would be more truthful to speak of military convenience or even personal convenience</w:t>
      </w:r>
      <w:r w:rsidR="003C7822">
        <w:rPr>
          <w:color w:val="000000" w:themeColor="text1"/>
        </w:rPr>
        <w:t>.</w:t>
      </w:r>
      <w:r w:rsidR="00936401">
        <w:rPr>
          <w:color w:val="000000" w:themeColor="text1"/>
        </w:rPr>
        <w:t>”</w:t>
      </w:r>
      <w:r w:rsidR="00936401">
        <w:rPr>
          <w:rStyle w:val="EndnoteReference"/>
          <w:color w:val="000000" w:themeColor="text1"/>
        </w:rPr>
        <w:endnoteReference w:id="19"/>
      </w:r>
      <w:r w:rsidR="00936401" w:rsidRPr="003952DE">
        <w:rPr>
          <w:color w:val="000000" w:themeColor="text1"/>
        </w:rPr>
        <w:t xml:space="preserve"> </w:t>
      </w:r>
      <w:r w:rsidR="00E27C32" w:rsidRPr="003952DE">
        <w:rPr>
          <w:color w:val="000000" w:themeColor="text1"/>
        </w:rPr>
        <w:t xml:space="preserve">The manual also insists that even when a waiver of the protection of cultural heritage may be warranted as a matter of law, decisionmakers may still refrain from harming cultural </w:t>
      </w:r>
      <w:r w:rsidR="00665626" w:rsidRPr="003952DE">
        <w:rPr>
          <w:color w:val="000000" w:themeColor="text1"/>
        </w:rPr>
        <w:t>heritage</w:t>
      </w:r>
      <w:r w:rsidR="00E27C32" w:rsidRPr="003952DE">
        <w:rPr>
          <w:color w:val="000000" w:themeColor="text1"/>
        </w:rPr>
        <w:t xml:space="preserve"> for broader </w:t>
      </w:r>
      <w:r w:rsidR="007F1DC1">
        <w:rPr>
          <w:color w:val="000000" w:themeColor="text1"/>
        </w:rPr>
        <w:t>strategic or policy</w:t>
      </w:r>
      <w:r w:rsidR="00E27C32" w:rsidRPr="003952DE">
        <w:rPr>
          <w:color w:val="000000" w:themeColor="text1"/>
        </w:rPr>
        <w:t xml:space="preserve"> reasons. </w:t>
      </w:r>
      <w:r w:rsidR="007F1DC1">
        <w:rPr>
          <w:color w:val="000000" w:themeColor="text1"/>
        </w:rPr>
        <w:t>I</w:t>
      </w:r>
      <w:r w:rsidR="00E27C32" w:rsidRPr="003952DE">
        <w:rPr>
          <w:color w:val="000000" w:themeColor="text1"/>
        </w:rPr>
        <w:t xml:space="preserve">t is </w:t>
      </w:r>
      <w:r w:rsidR="00057E79">
        <w:rPr>
          <w:color w:val="000000" w:themeColor="text1"/>
        </w:rPr>
        <w:t xml:space="preserve">important and </w:t>
      </w:r>
      <w:r w:rsidR="00E27C32" w:rsidRPr="003952DE">
        <w:rPr>
          <w:color w:val="000000" w:themeColor="text1"/>
        </w:rPr>
        <w:t xml:space="preserve">worrisome to note that </w:t>
      </w:r>
      <w:r w:rsidR="008E2F87">
        <w:rPr>
          <w:color w:val="000000" w:themeColor="text1"/>
        </w:rPr>
        <w:t xml:space="preserve">while </w:t>
      </w:r>
      <w:r w:rsidR="00E27C32" w:rsidRPr="003952DE">
        <w:rPr>
          <w:color w:val="000000" w:themeColor="text1"/>
        </w:rPr>
        <w:t xml:space="preserve">the manual </w:t>
      </w:r>
      <w:r w:rsidR="008E2F87">
        <w:rPr>
          <w:color w:val="000000" w:themeColor="text1"/>
        </w:rPr>
        <w:t xml:space="preserve">also </w:t>
      </w:r>
      <w:r w:rsidR="00E27C32" w:rsidRPr="003952DE">
        <w:rPr>
          <w:color w:val="000000" w:themeColor="text1"/>
        </w:rPr>
        <w:t xml:space="preserve">cites Stimson’s decision to spare Kyoto as an example of an appropriate restraint </w:t>
      </w:r>
      <w:r w:rsidR="008E2F87">
        <w:rPr>
          <w:color w:val="000000" w:themeColor="text1"/>
        </w:rPr>
        <w:t xml:space="preserve">toward </w:t>
      </w:r>
      <w:r w:rsidR="00E27C32" w:rsidRPr="003952DE">
        <w:rPr>
          <w:color w:val="000000" w:themeColor="text1"/>
        </w:rPr>
        <w:t xml:space="preserve">cultural </w:t>
      </w:r>
      <w:r w:rsidR="00665626" w:rsidRPr="003952DE">
        <w:rPr>
          <w:color w:val="000000" w:themeColor="text1"/>
        </w:rPr>
        <w:t>heritage</w:t>
      </w:r>
      <w:r w:rsidR="00E27C32" w:rsidRPr="003952DE">
        <w:rPr>
          <w:color w:val="000000" w:themeColor="text1"/>
        </w:rPr>
        <w:t xml:space="preserve">, it claims that by today’s standards an attack on Kyoto </w:t>
      </w:r>
      <w:r w:rsidR="00D469E8">
        <w:rPr>
          <w:color w:val="000000" w:themeColor="text1"/>
        </w:rPr>
        <w:t>c</w:t>
      </w:r>
      <w:r w:rsidR="00E27C32" w:rsidRPr="003952DE">
        <w:rPr>
          <w:color w:val="000000" w:themeColor="text1"/>
        </w:rPr>
        <w:t xml:space="preserve">ould still have </w:t>
      </w:r>
      <w:r w:rsidR="00D469E8">
        <w:rPr>
          <w:color w:val="000000" w:themeColor="text1"/>
        </w:rPr>
        <w:t>been justified under the</w:t>
      </w:r>
      <w:r w:rsidR="00E27C32" w:rsidRPr="003952DE">
        <w:rPr>
          <w:color w:val="000000" w:themeColor="text1"/>
        </w:rPr>
        <w:t xml:space="preserve"> military necessity exception.</w:t>
      </w:r>
      <w:r w:rsidR="00E27C32" w:rsidRPr="003952DE">
        <w:rPr>
          <w:rStyle w:val="EndnoteReference"/>
          <w:color w:val="000000" w:themeColor="text1"/>
        </w:rPr>
        <w:endnoteReference w:id="20"/>
      </w:r>
    </w:p>
    <w:p w14:paraId="484AB85C" w14:textId="77777777" w:rsidR="00E40919" w:rsidRDefault="00E40919" w:rsidP="00E22AD5">
      <w:pPr>
        <w:spacing w:line="480" w:lineRule="auto"/>
        <w:rPr>
          <w:color w:val="000000" w:themeColor="text1"/>
          <w:u w:val="single"/>
        </w:rPr>
      </w:pPr>
    </w:p>
    <w:p w14:paraId="0963ACA6" w14:textId="6181B6B2" w:rsidR="00E27C32" w:rsidRPr="003952DE" w:rsidRDefault="00E27C32" w:rsidP="00C2455D">
      <w:pPr>
        <w:pStyle w:val="Heading2"/>
      </w:pPr>
      <w:r w:rsidRPr="003952DE">
        <w:t>The 1991 Gulf War and 2003 Invasion of Iraq</w:t>
      </w:r>
    </w:p>
    <w:p w14:paraId="25B92FA5" w14:textId="3DC97A67" w:rsidR="009B1C2C" w:rsidRPr="00E40919" w:rsidRDefault="00820BBF" w:rsidP="00C2455D">
      <w:pPr>
        <w:autoSpaceDE w:val="0"/>
        <w:autoSpaceDN w:val="0"/>
        <w:adjustRightInd w:val="0"/>
        <w:spacing w:line="480" w:lineRule="auto"/>
        <w:rPr>
          <w:b/>
          <w:color w:val="000000" w:themeColor="text1"/>
        </w:rPr>
      </w:pPr>
      <w:r>
        <w:rPr>
          <w:color w:val="000000" w:themeColor="text1"/>
        </w:rPr>
        <w:t xml:space="preserve">Although in 1991 </w:t>
      </w:r>
      <w:r w:rsidR="00E27C32" w:rsidRPr="003952DE">
        <w:rPr>
          <w:color w:val="000000" w:themeColor="text1"/>
        </w:rPr>
        <w:t xml:space="preserve">the </w:t>
      </w:r>
      <w:r>
        <w:rPr>
          <w:color w:val="000000" w:themeColor="text1"/>
        </w:rPr>
        <w:t xml:space="preserve">United States was </w:t>
      </w:r>
      <w:r w:rsidR="00E27C32" w:rsidRPr="003952DE">
        <w:rPr>
          <w:color w:val="000000" w:themeColor="text1"/>
        </w:rPr>
        <w:t xml:space="preserve">not yet a party to the 1954 Hague Convention, </w:t>
      </w:r>
      <w:r w:rsidR="000876F8">
        <w:rPr>
          <w:color w:val="000000" w:themeColor="text1"/>
        </w:rPr>
        <w:t>its</w:t>
      </w:r>
      <w:r w:rsidR="000876F8" w:rsidRPr="003952DE">
        <w:rPr>
          <w:color w:val="000000" w:themeColor="text1"/>
        </w:rPr>
        <w:t xml:space="preserve"> </w:t>
      </w:r>
      <w:r w:rsidR="00E27C32" w:rsidRPr="003952DE">
        <w:rPr>
          <w:color w:val="000000" w:themeColor="text1"/>
        </w:rPr>
        <w:t xml:space="preserve">armed forces were trained to adhere to some of the convention’s principles, suggesting that the </w:t>
      </w:r>
      <w:r w:rsidR="00DA6BF1">
        <w:rPr>
          <w:color w:val="000000" w:themeColor="text1"/>
        </w:rPr>
        <w:t xml:space="preserve">US </w:t>
      </w:r>
      <w:r w:rsidR="00087A2C">
        <w:rPr>
          <w:color w:val="000000" w:themeColor="text1"/>
        </w:rPr>
        <w:t xml:space="preserve">military </w:t>
      </w:r>
      <w:r w:rsidR="00E27C32" w:rsidRPr="003952DE">
        <w:rPr>
          <w:color w:val="000000" w:themeColor="text1"/>
        </w:rPr>
        <w:t xml:space="preserve">accepted most of the provisions as reflecting customary international law and thus legally constraining </w:t>
      </w:r>
      <w:r w:rsidR="007D68B9">
        <w:rPr>
          <w:color w:val="000000" w:themeColor="text1"/>
        </w:rPr>
        <w:t>it</w:t>
      </w:r>
      <w:r w:rsidR="00336373">
        <w:rPr>
          <w:color w:val="000000" w:themeColor="text1"/>
        </w:rPr>
        <w:t>s</w:t>
      </w:r>
      <w:r w:rsidR="007D68B9">
        <w:rPr>
          <w:color w:val="000000" w:themeColor="text1"/>
        </w:rPr>
        <w:t xml:space="preserve"> </w:t>
      </w:r>
      <w:r w:rsidR="00E27C32" w:rsidRPr="003952DE">
        <w:rPr>
          <w:color w:val="000000" w:themeColor="text1"/>
        </w:rPr>
        <w:t>plans and operations.</w:t>
      </w:r>
      <w:r w:rsidR="00E27C32" w:rsidRPr="003952DE">
        <w:rPr>
          <w:rStyle w:val="EndnoteReference"/>
          <w:color w:val="000000" w:themeColor="text1"/>
        </w:rPr>
        <w:endnoteReference w:id="21"/>
      </w:r>
      <w:r w:rsidR="00E27C32" w:rsidRPr="003952DE">
        <w:rPr>
          <w:color w:val="000000" w:themeColor="text1"/>
        </w:rPr>
        <w:t xml:space="preserve"> The effects of the laws of armed conflict regarding cultural </w:t>
      </w:r>
      <w:r w:rsidR="00665626" w:rsidRPr="003952DE">
        <w:rPr>
          <w:color w:val="000000" w:themeColor="text1"/>
        </w:rPr>
        <w:t>heritage</w:t>
      </w:r>
      <w:r w:rsidR="00E27C32" w:rsidRPr="003952DE">
        <w:rPr>
          <w:color w:val="000000" w:themeColor="text1"/>
        </w:rPr>
        <w:t xml:space="preserve"> protection were direct and significant during the 1991 Gulf War. The after-action report </w:t>
      </w:r>
      <w:r w:rsidR="00F93565">
        <w:rPr>
          <w:color w:val="000000" w:themeColor="text1"/>
        </w:rPr>
        <w:t>by</w:t>
      </w:r>
      <w:r w:rsidR="0044465A">
        <w:rPr>
          <w:color w:val="000000" w:themeColor="text1"/>
        </w:rPr>
        <w:t xml:space="preserve"> the Department of the Defense </w:t>
      </w:r>
      <w:r w:rsidR="00E27C32" w:rsidRPr="003952DE">
        <w:rPr>
          <w:color w:val="000000" w:themeColor="text1"/>
        </w:rPr>
        <w:t>to Congress particularly highlighted the importance of “off-limits target lists” and the proportionality principle applied to legitimate military targets</w:t>
      </w:r>
      <w:r w:rsidR="00057E79">
        <w:rPr>
          <w:color w:val="000000" w:themeColor="text1"/>
        </w:rPr>
        <w:t>:</w:t>
      </w:r>
      <w:r w:rsidR="0095023E">
        <w:rPr>
          <w:color w:val="000000" w:themeColor="text1"/>
        </w:rPr>
        <w:t xml:space="preserve"> “</w:t>
      </w:r>
      <w:r w:rsidR="00E27C32" w:rsidRPr="003952DE">
        <w:rPr>
          <w:color w:val="000000" w:themeColor="text1"/>
        </w:rPr>
        <w:t>Planners were aware that each bomb carried a potential moral and political impact, and that Iraq has a rich cultural and religious heritage dating back several thousand years</w:t>
      </w:r>
      <w:r w:rsidR="00482192">
        <w:rPr>
          <w:color w:val="000000" w:themeColor="text1"/>
        </w:rPr>
        <w:t>.</w:t>
      </w:r>
      <w:r w:rsidR="00A839FD">
        <w:rPr>
          <w:color w:val="000000" w:themeColor="text1"/>
        </w:rPr>
        <w:t xml:space="preserve"> … </w:t>
      </w:r>
      <w:r w:rsidR="00E27C32" w:rsidRPr="003952DE">
        <w:rPr>
          <w:color w:val="000000" w:themeColor="text1"/>
        </w:rPr>
        <w:t>Targeting policies, therefore, scrupulously avoided damage to mosques, religious shrines, and archaeological sites, as well as to civilian facilities and the civilian population</w:t>
      </w:r>
      <w:r w:rsidR="00366287">
        <w:rPr>
          <w:color w:val="000000" w:themeColor="text1"/>
        </w:rPr>
        <w:t>.</w:t>
      </w:r>
      <w:r w:rsidR="00F7423F">
        <w:rPr>
          <w:color w:val="000000" w:themeColor="text1"/>
        </w:rPr>
        <w:t xml:space="preserve"> … </w:t>
      </w:r>
      <w:r w:rsidR="00E27C32" w:rsidRPr="003952DE">
        <w:rPr>
          <w:color w:val="000000" w:themeColor="text1"/>
        </w:rPr>
        <w:t>When targeting officers calculated the probability of collateral damage as too high, the target was not attacked.</w:t>
      </w:r>
      <w:r w:rsidR="0095023E">
        <w:rPr>
          <w:color w:val="000000" w:themeColor="text1"/>
        </w:rPr>
        <w:t>”</w:t>
      </w:r>
      <w:r w:rsidR="00E27C32" w:rsidRPr="003952DE">
        <w:rPr>
          <w:rStyle w:val="EndnoteReference"/>
          <w:color w:val="000000" w:themeColor="text1"/>
        </w:rPr>
        <w:endnoteReference w:id="22"/>
      </w:r>
      <w:r w:rsidR="0095023E">
        <w:rPr>
          <w:b/>
          <w:color w:val="000000" w:themeColor="text1"/>
        </w:rPr>
        <w:t xml:space="preserve"> </w:t>
      </w:r>
      <w:r w:rsidR="00E40919" w:rsidRPr="00E40919">
        <w:rPr>
          <w:b/>
          <w:color w:val="000000" w:themeColor="text1"/>
        </w:rPr>
        <w:t>(fig.</w:t>
      </w:r>
      <w:r w:rsidR="00893CBF">
        <w:rPr>
          <w:b/>
          <w:color w:val="000000" w:themeColor="text1"/>
        </w:rPr>
        <w:t>28.</w:t>
      </w:r>
      <w:r w:rsidR="00E40919" w:rsidRPr="00E40919">
        <w:rPr>
          <w:b/>
          <w:color w:val="000000" w:themeColor="text1"/>
        </w:rPr>
        <w:t>2)</w:t>
      </w:r>
    </w:p>
    <w:p w14:paraId="24AACF66" w14:textId="31C5DC73" w:rsidR="00E27C32" w:rsidRPr="003952DE" w:rsidRDefault="00E27C32" w:rsidP="00E22AD5">
      <w:pPr>
        <w:spacing w:line="480" w:lineRule="auto"/>
        <w:ind w:firstLine="720"/>
        <w:rPr>
          <w:color w:val="000000" w:themeColor="text1"/>
        </w:rPr>
      </w:pPr>
      <w:r w:rsidRPr="003952DE">
        <w:rPr>
          <w:color w:val="000000" w:themeColor="text1"/>
        </w:rPr>
        <w:t xml:space="preserve">Perhaps the most widely discussed example of adherence to cultural heritage protection rules influencing a </w:t>
      </w:r>
      <w:r w:rsidR="00E85C6F" w:rsidRPr="003952DE">
        <w:rPr>
          <w:color w:val="000000" w:themeColor="text1"/>
        </w:rPr>
        <w:t>US</w:t>
      </w:r>
      <w:r w:rsidRPr="003952DE">
        <w:rPr>
          <w:color w:val="000000" w:themeColor="text1"/>
        </w:rPr>
        <w:t xml:space="preserve"> targeting decision was when the Iraqi Air Force placed two fighter aircraft immediately outside the Temple of Ur. The Iraqis apparently anticipated that the </w:t>
      </w:r>
      <w:r w:rsidR="00A00439">
        <w:rPr>
          <w:color w:val="000000" w:themeColor="text1"/>
        </w:rPr>
        <w:t>United States</w:t>
      </w:r>
      <w:r w:rsidR="00A00439" w:rsidRPr="003952DE">
        <w:rPr>
          <w:color w:val="000000" w:themeColor="text1"/>
        </w:rPr>
        <w:t xml:space="preserve"> </w:t>
      </w:r>
      <w:r w:rsidRPr="003952DE">
        <w:rPr>
          <w:color w:val="000000" w:themeColor="text1"/>
        </w:rPr>
        <w:t>would refrain from attacking, or that if the</w:t>
      </w:r>
      <w:r w:rsidR="00642340">
        <w:rPr>
          <w:color w:val="000000" w:themeColor="text1"/>
        </w:rPr>
        <w:t>y did</w:t>
      </w:r>
      <w:r w:rsidRPr="003952DE">
        <w:rPr>
          <w:color w:val="000000" w:themeColor="text1"/>
        </w:rPr>
        <w:t xml:space="preserve">, the destruction of the temple would create a propaganda victory for Iraq. According to the Department </w:t>
      </w:r>
      <w:r w:rsidR="00642340">
        <w:rPr>
          <w:color w:val="000000" w:themeColor="text1"/>
        </w:rPr>
        <w:t xml:space="preserve">of Defense </w:t>
      </w:r>
      <w:r w:rsidRPr="003952DE">
        <w:rPr>
          <w:color w:val="000000" w:themeColor="text1"/>
        </w:rPr>
        <w:t xml:space="preserve">report, </w:t>
      </w:r>
      <w:r w:rsidR="00E85C6F" w:rsidRPr="003952DE">
        <w:rPr>
          <w:color w:val="000000" w:themeColor="text1"/>
        </w:rPr>
        <w:t>US</w:t>
      </w:r>
      <w:r w:rsidRPr="003952DE">
        <w:rPr>
          <w:color w:val="000000" w:themeColor="text1"/>
        </w:rPr>
        <w:t xml:space="preserve"> forces chose not to attack the aircraft</w:t>
      </w:r>
      <w:r w:rsidR="000B7DA8">
        <w:rPr>
          <w:color w:val="000000" w:themeColor="text1"/>
        </w:rPr>
        <w:t xml:space="preserve"> </w:t>
      </w:r>
      <w:r w:rsidRPr="003952DE">
        <w:rPr>
          <w:color w:val="000000" w:themeColor="text1"/>
        </w:rPr>
        <w:t>because the military advantage of destroying the</w:t>
      </w:r>
      <w:r w:rsidR="000B7DA8">
        <w:rPr>
          <w:color w:val="000000" w:themeColor="text1"/>
        </w:rPr>
        <w:t>m</w:t>
      </w:r>
      <w:r w:rsidRPr="003952DE">
        <w:rPr>
          <w:color w:val="000000" w:themeColor="text1"/>
        </w:rPr>
        <w:t xml:space="preserve"> was deemed insufficient</w:t>
      </w:r>
      <w:r w:rsidR="0025123B">
        <w:rPr>
          <w:color w:val="000000" w:themeColor="text1"/>
        </w:rPr>
        <w:t xml:space="preserve"> to justify</w:t>
      </w:r>
      <w:r w:rsidR="0025123B" w:rsidRPr="00C2455D">
        <w:rPr>
          <w:color w:val="000000" w:themeColor="text1"/>
        </w:rPr>
        <w:t xml:space="preserve"> the risk</w:t>
      </w:r>
      <w:r w:rsidR="0025123B">
        <w:rPr>
          <w:color w:val="000000" w:themeColor="text1"/>
        </w:rPr>
        <w:t xml:space="preserve"> to the temple</w:t>
      </w:r>
      <w:r w:rsidR="003D1AE3">
        <w:rPr>
          <w:color w:val="000000" w:themeColor="text1"/>
        </w:rPr>
        <w:t xml:space="preserve">, </w:t>
      </w:r>
      <w:r w:rsidR="0025123B">
        <w:rPr>
          <w:color w:val="000000" w:themeColor="text1"/>
        </w:rPr>
        <w:t xml:space="preserve">rather than the </w:t>
      </w:r>
      <w:r w:rsidR="003D1AE3" w:rsidRPr="003952DE">
        <w:rPr>
          <w:color w:val="000000" w:themeColor="text1"/>
        </w:rPr>
        <w:t xml:space="preserve">legal advice </w:t>
      </w:r>
      <w:r w:rsidR="003D1AE3">
        <w:rPr>
          <w:color w:val="000000" w:themeColor="text1"/>
        </w:rPr>
        <w:t xml:space="preserve">they received </w:t>
      </w:r>
      <w:r w:rsidR="003D1AE3" w:rsidRPr="003952DE">
        <w:rPr>
          <w:color w:val="000000" w:themeColor="text1"/>
        </w:rPr>
        <w:t xml:space="preserve">that Iraq would be responsible for any collateral damage </w:t>
      </w:r>
      <w:r w:rsidR="0025123B">
        <w:rPr>
          <w:color w:val="000000" w:themeColor="text1"/>
        </w:rPr>
        <w:t>to it</w:t>
      </w:r>
      <w:r w:rsidRPr="003952DE">
        <w:rPr>
          <w:color w:val="000000" w:themeColor="text1"/>
        </w:rPr>
        <w:t>. Thus</w:t>
      </w:r>
      <w:r w:rsidR="00B66E98">
        <w:rPr>
          <w:color w:val="000000" w:themeColor="text1"/>
        </w:rPr>
        <w:t>,</w:t>
      </w:r>
      <w:r w:rsidRPr="003952DE">
        <w:rPr>
          <w:color w:val="000000" w:themeColor="text1"/>
        </w:rPr>
        <w:t xml:space="preserve"> </w:t>
      </w:r>
      <w:r w:rsidR="00945D2C">
        <w:rPr>
          <w:color w:val="000000" w:themeColor="text1"/>
        </w:rPr>
        <w:t xml:space="preserve">it was </w:t>
      </w:r>
      <w:r w:rsidRPr="003952DE">
        <w:rPr>
          <w:color w:val="000000" w:themeColor="text1"/>
        </w:rPr>
        <w:t xml:space="preserve">the proportionality rule </w:t>
      </w:r>
      <w:r w:rsidR="0093646C">
        <w:rPr>
          <w:color w:val="000000" w:themeColor="text1"/>
        </w:rPr>
        <w:t xml:space="preserve">that </w:t>
      </w:r>
      <w:r w:rsidRPr="003952DE">
        <w:rPr>
          <w:color w:val="000000" w:themeColor="text1"/>
        </w:rPr>
        <w:t xml:space="preserve">created </w:t>
      </w:r>
      <w:r w:rsidR="006501BB">
        <w:rPr>
          <w:color w:val="000000" w:themeColor="text1"/>
        </w:rPr>
        <w:t xml:space="preserve">the </w:t>
      </w:r>
      <w:r w:rsidRPr="003952DE">
        <w:rPr>
          <w:color w:val="000000" w:themeColor="text1"/>
        </w:rPr>
        <w:t>constraint. According to the report: “While the law of war permits the attack of the two fighter aircraft, with Iraq bearing responsibility for any damage to the temple, Commander-in-chief, Central Command (CINCCENT) elected not to attack the aircraft on the basis of respect for cultural property and the belief that the positioning of the aircraft adjacent to Ur (without servicing equipment or a runway nearby) effectively had placed each out of action, thereby limiting the value of their destruction by Coalition air forces when weighed against the risk of damage to the temple.”</w:t>
      </w:r>
      <w:r w:rsidRPr="003952DE">
        <w:rPr>
          <w:rStyle w:val="EndnoteReference"/>
          <w:color w:val="000000" w:themeColor="text1"/>
        </w:rPr>
        <w:endnoteReference w:id="23"/>
      </w:r>
    </w:p>
    <w:p w14:paraId="70027EF0" w14:textId="3B71F6FB" w:rsidR="00E27C32" w:rsidRPr="003952DE" w:rsidRDefault="00E27C32" w:rsidP="00E22AD5">
      <w:pPr>
        <w:spacing w:line="480" w:lineRule="auto"/>
        <w:ind w:firstLine="720"/>
        <w:rPr>
          <w:rStyle w:val="FooterChar"/>
          <w:color w:val="000000" w:themeColor="text1"/>
        </w:rPr>
      </w:pPr>
      <w:r w:rsidRPr="003952DE">
        <w:rPr>
          <w:color w:val="000000" w:themeColor="text1"/>
        </w:rPr>
        <w:t xml:space="preserve">This example is widely cited as an effort </w:t>
      </w:r>
      <w:r w:rsidR="00D66490">
        <w:rPr>
          <w:color w:val="000000" w:themeColor="text1"/>
        </w:rPr>
        <w:t>by</w:t>
      </w:r>
      <w:r w:rsidRPr="003952DE">
        <w:rPr>
          <w:color w:val="000000" w:themeColor="text1"/>
        </w:rPr>
        <w:t xml:space="preserve"> </w:t>
      </w:r>
      <w:r w:rsidR="00281E34">
        <w:rPr>
          <w:color w:val="000000" w:themeColor="text1"/>
        </w:rPr>
        <w:t xml:space="preserve">President </w:t>
      </w:r>
      <w:r w:rsidRPr="003952DE">
        <w:rPr>
          <w:color w:val="000000" w:themeColor="text1"/>
        </w:rPr>
        <w:t>Saddam Hussein to practice “lawfare</w:t>
      </w:r>
      <w:r w:rsidR="00281E34">
        <w:rPr>
          <w:color w:val="000000" w:themeColor="text1"/>
        </w:rPr>
        <w:t>,</w:t>
      </w:r>
      <w:r w:rsidRPr="003952DE">
        <w:rPr>
          <w:color w:val="000000" w:themeColor="text1"/>
        </w:rPr>
        <w:t xml:space="preserve">” using </w:t>
      </w:r>
      <w:r w:rsidR="00E85C6F" w:rsidRPr="003952DE">
        <w:rPr>
          <w:color w:val="000000" w:themeColor="text1"/>
        </w:rPr>
        <w:t>US</w:t>
      </w:r>
      <w:r w:rsidRPr="003952DE">
        <w:rPr>
          <w:color w:val="000000" w:themeColor="text1"/>
        </w:rPr>
        <w:t xml:space="preserve"> and international respect for the laws of armed conflict and cultural </w:t>
      </w:r>
      <w:r w:rsidR="00665626" w:rsidRPr="003952DE">
        <w:rPr>
          <w:color w:val="000000" w:themeColor="text1"/>
        </w:rPr>
        <w:t>heritage</w:t>
      </w:r>
      <w:r w:rsidRPr="003952DE">
        <w:rPr>
          <w:color w:val="000000" w:themeColor="text1"/>
        </w:rPr>
        <w:t xml:space="preserve"> protection to shelter his armed forces or, if attacked, </w:t>
      </w:r>
      <w:r w:rsidR="00633D12">
        <w:rPr>
          <w:color w:val="000000" w:themeColor="text1"/>
        </w:rPr>
        <w:t>weaken</w:t>
      </w:r>
      <w:r w:rsidRPr="003952DE">
        <w:rPr>
          <w:color w:val="000000" w:themeColor="text1"/>
        </w:rPr>
        <w:t xml:space="preserve"> </w:t>
      </w:r>
      <w:r w:rsidR="00E85C6F" w:rsidRPr="003952DE">
        <w:rPr>
          <w:color w:val="000000" w:themeColor="text1"/>
        </w:rPr>
        <w:t>US</w:t>
      </w:r>
      <w:r w:rsidRPr="003952DE">
        <w:rPr>
          <w:color w:val="000000" w:themeColor="text1"/>
        </w:rPr>
        <w:t xml:space="preserve"> domestic and coalition support for the war. It is also an example, however, of the subtle power of law’s entailments since the </w:t>
      </w:r>
      <w:r w:rsidR="008F032B">
        <w:rPr>
          <w:color w:val="000000" w:themeColor="text1"/>
        </w:rPr>
        <w:t xml:space="preserve">US, had signed the treaty and was </w:t>
      </w:r>
      <w:r w:rsidR="00005257">
        <w:rPr>
          <w:color w:val="000000" w:themeColor="text1"/>
        </w:rPr>
        <w:t xml:space="preserve">thereby </w:t>
      </w:r>
      <w:r w:rsidR="008F032B">
        <w:rPr>
          <w:color w:val="000000" w:themeColor="text1"/>
        </w:rPr>
        <w:t xml:space="preserve">obliged to refrain from acts that would defeat </w:t>
      </w:r>
      <w:r w:rsidR="00005257">
        <w:rPr>
          <w:color w:val="000000" w:themeColor="text1"/>
        </w:rPr>
        <w:t xml:space="preserve">its </w:t>
      </w:r>
      <w:r w:rsidR="008F032B">
        <w:rPr>
          <w:color w:val="000000" w:themeColor="text1"/>
        </w:rPr>
        <w:t>purpose</w:t>
      </w:r>
      <w:r w:rsidR="00005257">
        <w:rPr>
          <w:color w:val="000000" w:themeColor="text1"/>
        </w:rPr>
        <w:t>, even though the US had not ratified it</w:t>
      </w:r>
      <w:r w:rsidR="008F032B">
        <w:rPr>
          <w:color w:val="000000" w:themeColor="text1"/>
        </w:rPr>
        <w:t>. Most importantly, the law encouraged commanders to assess proportionality and take a broader perspective on the effects of attacks</w:t>
      </w:r>
      <w:r w:rsidRPr="003952DE">
        <w:rPr>
          <w:color w:val="000000" w:themeColor="text1"/>
        </w:rPr>
        <w:t>.</w:t>
      </w:r>
      <w:r w:rsidRPr="003952DE">
        <w:rPr>
          <w:rStyle w:val="EndnoteReference"/>
          <w:color w:val="000000" w:themeColor="text1"/>
        </w:rPr>
        <w:endnoteReference w:id="24"/>
      </w:r>
      <w:r w:rsidRPr="003952DE">
        <w:rPr>
          <w:rStyle w:val="FooterChar"/>
          <w:color w:val="000000" w:themeColor="text1"/>
        </w:rPr>
        <w:t xml:space="preserve"> Patty Gerstenblith notes that in 1991 “</w:t>
      </w:r>
      <w:r w:rsidRPr="003952DE">
        <w:rPr>
          <w:color w:val="000000" w:themeColor="text1"/>
        </w:rPr>
        <w:t xml:space="preserve">no archaeological, cultural, or historic site was intentionally targeted” though many sites were unintentionally damaged, including the brickwork at the Temple of Ur through </w:t>
      </w:r>
      <w:r w:rsidR="007847AA">
        <w:rPr>
          <w:color w:val="000000" w:themeColor="text1"/>
        </w:rPr>
        <w:t>“</w:t>
      </w:r>
      <w:r w:rsidRPr="003952DE">
        <w:rPr>
          <w:color w:val="000000" w:themeColor="text1"/>
        </w:rPr>
        <w:t>rocket or shell fire.”</w:t>
      </w:r>
      <w:r w:rsidRPr="003952DE">
        <w:rPr>
          <w:rStyle w:val="EndnoteReference"/>
          <w:color w:val="000000" w:themeColor="text1"/>
        </w:rPr>
        <w:endnoteReference w:id="25"/>
      </w:r>
    </w:p>
    <w:p w14:paraId="310AE6C4" w14:textId="2C586872" w:rsidR="00E27C32" w:rsidRPr="003952DE" w:rsidRDefault="00E27C32" w:rsidP="00165781">
      <w:pPr>
        <w:spacing w:line="480" w:lineRule="auto"/>
        <w:ind w:firstLine="720"/>
        <w:rPr>
          <w:color w:val="000000" w:themeColor="text1"/>
        </w:rPr>
      </w:pPr>
      <w:r w:rsidRPr="003952DE">
        <w:rPr>
          <w:color w:val="000000" w:themeColor="text1"/>
        </w:rPr>
        <w:t xml:space="preserve">The </w:t>
      </w:r>
      <w:r w:rsidR="00DA485B">
        <w:rPr>
          <w:color w:val="000000" w:themeColor="text1"/>
        </w:rPr>
        <w:t>United States</w:t>
      </w:r>
      <w:r w:rsidR="00DA485B" w:rsidRPr="003952DE">
        <w:rPr>
          <w:color w:val="000000" w:themeColor="text1"/>
        </w:rPr>
        <w:t xml:space="preserve"> </w:t>
      </w:r>
      <w:r w:rsidRPr="003952DE">
        <w:rPr>
          <w:color w:val="000000" w:themeColor="text1"/>
        </w:rPr>
        <w:t>is also widely perceived to have been constrained in direct attacks on cultural sites in the 2003 invasion of Iraq, but that campaign raised an important</w:t>
      </w:r>
      <w:r w:rsidR="00057E79">
        <w:rPr>
          <w:color w:val="000000" w:themeColor="text1"/>
        </w:rPr>
        <w:t xml:space="preserve"> new</w:t>
      </w:r>
      <w:r w:rsidRPr="003952DE">
        <w:rPr>
          <w:color w:val="000000" w:themeColor="text1"/>
        </w:rPr>
        <w:t xml:space="preserve"> question about the priority that should be given to active measures to protect cultural </w:t>
      </w:r>
      <w:r w:rsidR="00665626" w:rsidRPr="003952DE">
        <w:rPr>
          <w:color w:val="000000" w:themeColor="text1"/>
        </w:rPr>
        <w:t>heritage</w:t>
      </w:r>
      <w:r w:rsidRPr="003952DE">
        <w:rPr>
          <w:color w:val="000000" w:themeColor="text1"/>
        </w:rPr>
        <w:t xml:space="preserve"> from local looters. After Saddam Hussein’s </w:t>
      </w:r>
      <w:r w:rsidR="00BB3317">
        <w:rPr>
          <w:color w:val="000000" w:themeColor="text1"/>
        </w:rPr>
        <w:t>government</w:t>
      </w:r>
      <w:r w:rsidR="00BB3317" w:rsidRPr="003952DE">
        <w:rPr>
          <w:color w:val="000000" w:themeColor="text1"/>
        </w:rPr>
        <w:t xml:space="preserve"> </w:t>
      </w:r>
      <w:r w:rsidRPr="003952DE">
        <w:rPr>
          <w:color w:val="000000" w:themeColor="text1"/>
        </w:rPr>
        <w:t xml:space="preserve">fell in Baghdad, Iraqi citizens began looting the ousted </w:t>
      </w:r>
      <w:r w:rsidR="00BB3317">
        <w:rPr>
          <w:color w:val="000000" w:themeColor="text1"/>
        </w:rPr>
        <w:t>leader’s</w:t>
      </w:r>
      <w:r w:rsidR="00BB3317" w:rsidRPr="003952DE">
        <w:rPr>
          <w:color w:val="000000" w:themeColor="text1"/>
        </w:rPr>
        <w:t xml:space="preserve"> </w:t>
      </w:r>
      <w:r w:rsidRPr="003952DE">
        <w:rPr>
          <w:color w:val="000000" w:themeColor="text1"/>
        </w:rPr>
        <w:t>residences, government agencies, and</w:t>
      </w:r>
      <w:r w:rsidR="00AA6B7E">
        <w:rPr>
          <w:color w:val="000000" w:themeColor="text1"/>
        </w:rPr>
        <w:t>,</w:t>
      </w:r>
      <w:r w:rsidRPr="003952DE">
        <w:rPr>
          <w:color w:val="000000" w:themeColor="text1"/>
        </w:rPr>
        <w:t xml:space="preserve"> most dramatically, the </w:t>
      </w:r>
      <w:r w:rsidR="006107F6">
        <w:rPr>
          <w:color w:val="000000" w:themeColor="text1"/>
        </w:rPr>
        <w:t>Iraq</w:t>
      </w:r>
      <w:r w:rsidR="006107F6" w:rsidRPr="003952DE">
        <w:rPr>
          <w:color w:val="000000" w:themeColor="text1"/>
        </w:rPr>
        <w:t xml:space="preserve"> </w:t>
      </w:r>
      <w:r w:rsidRPr="003952DE">
        <w:rPr>
          <w:color w:val="000000" w:themeColor="text1"/>
        </w:rPr>
        <w:t>Museum, ultimately stealing thousands of antiquities, many of which remain missing to this day.</w:t>
      </w:r>
      <w:r w:rsidRPr="003952DE">
        <w:rPr>
          <w:rStyle w:val="EndnoteReference"/>
          <w:color w:val="000000" w:themeColor="text1"/>
        </w:rPr>
        <w:endnoteReference w:id="26"/>
      </w:r>
      <w:r w:rsidRPr="003952DE">
        <w:rPr>
          <w:color w:val="000000" w:themeColor="text1"/>
        </w:rPr>
        <w:t xml:space="preserve"> Chairman of the Joint Chiefs of Staff General Richard Myers defended the failure </w:t>
      </w:r>
      <w:r w:rsidR="009538CD">
        <w:rPr>
          <w:color w:val="000000" w:themeColor="text1"/>
        </w:rPr>
        <w:t xml:space="preserve">of the United States </w:t>
      </w:r>
      <w:r w:rsidRPr="003952DE">
        <w:rPr>
          <w:color w:val="000000" w:themeColor="text1"/>
        </w:rPr>
        <w:t xml:space="preserve">to stop the pillaging as the result of an overriding need to focus energies on subduing the paramilitary groups throughout Baghdad that remained loyal to the </w:t>
      </w:r>
      <w:r w:rsidR="00FD724E">
        <w:rPr>
          <w:color w:val="000000" w:themeColor="text1"/>
        </w:rPr>
        <w:t xml:space="preserve">deposed </w:t>
      </w:r>
      <w:r w:rsidR="00D320E0">
        <w:rPr>
          <w:color w:val="000000" w:themeColor="text1"/>
        </w:rPr>
        <w:t>government</w:t>
      </w:r>
      <w:r w:rsidRPr="003952DE">
        <w:rPr>
          <w:color w:val="000000" w:themeColor="text1"/>
        </w:rPr>
        <w:t>.</w:t>
      </w:r>
      <w:r w:rsidRPr="003952DE">
        <w:rPr>
          <w:rStyle w:val="EndnoteReference"/>
          <w:color w:val="000000" w:themeColor="text1"/>
        </w:rPr>
        <w:endnoteReference w:id="27"/>
      </w:r>
      <w:r w:rsidRPr="003952DE">
        <w:rPr>
          <w:color w:val="000000" w:themeColor="text1"/>
        </w:rPr>
        <w:t xml:space="preserve"> In response to growing condemnation as press coverage of the </w:t>
      </w:r>
      <w:r w:rsidR="006107F6">
        <w:rPr>
          <w:color w:val="000000" w:themeColor="text1"/>
        </w:rPr>
        <w:t>Iraq</w:t>
      </w:r>
      <w:r w:rsidR="006107F6" w:rsidRPr="003952DE">
        <w:rPr>
          <w:color w:val="000000" w:themeColor="text1"/>
        </w:rPr>
        <w:t xml:space="preserve"> </w:t>
      </w:r>
      <w:r w:rsidRPr="003952DE">
        <w:rPr>
          <w:color w:val="000000" w:themeColor="text1"/>
        </w:rPr>
        <w:t>Museum increased, Secretary of Defense Rumsfeld seemed resigned to the inevitability of looting: “Freedom’s untidy</w:t>
      </w:r>
      <w:r w:rsidR="001B7488">
        <w:rPr>
          <w:color w:val="000000" w:themeColor="text1"/>
        </w:rPr>
        <w:t xml:space="preserve">. </w:t>
      </w:r>
      <w:r w:rsidRPr="003952DE">
        <w:rPr>
          <w:color w:val="000000" w:themeColor="text1"/>
        </w:rPr>
        <w:t>…</w:t>
      </w:r>
      <w:r w:rsidR="001B7488">
        <w:rPr>
          <w:color w:val="000000" w:themeColor="text1"/>
        </w:rPr>
        <w:t xml:space="preserve"> </w:t>
      </w:r>
      <w:r w:rsidRPr="003952DE">
        <w:rPr>
          <w:color w:val="000000" w:themeColor="text1"/>
        </w:rPr>
        <w:t>Stuff happens.”</w:t>
      </w:r>
      <w:r w:rsidRPr="003952DE">
        <w:rPr>
          <w:rStyle w:val="EndnoteReference"/>
          <w:color w:val="000000" w:themeColor="text1"/>
        </w:rPr>
        <w:endnoteReference w:id="28"/>
      </w:r>
      <w:r w:rsidRPr="003952DE">
        <w:rPr>
          <w:color w:val="000000" w:themeColor="text1"/>
        </w:rPr>
        <w:t xml:space="preserve"> </w:t>
      </w:r>
    </w:p>
    <w:p w14:paraId="3FE469F8" w14:textId="238FAC79" w:rsidR="00E27C32" w:rsidRPr="003952DE" w:rsidRDefault="0068190F" w:rsidP="00165781">
      <w:pPr>
        <w:spacing w:line="480" w:lineRule="auto"/>
        <w:ind w:firstLine="720"/>
        <w:rPr>
          <w:color w:val="000000" w:themeColor="text1"/>
        </w:rPr>
      </w:pPr>
      <w:r>
        <w:rPr>
          <w:color w:val="000000" w:themeColor="text1"/>
        </w:rPr>
        <w:t>In</w:t>
      </w:r>
      <w:r w:rsidR="00EA3626">
        <w:rPr>
          <w:color w:val="000000" w:themeColor="text1"/>
        </w:rPr>
        <w:t xml:space="preserve"> 2003 t</w:t>
      </w:r>
      <w:r w:rsidR="006107F6">
        <w:rPr>
          <w:color w:val="000000" w:themeColor="text1"/>
        </w:rPr>
        <w:t xml:space="preserve">he </w:t>
      </w:r>
      <w:r w:rsidR="005A0B87">
        <w:rPr>
          <w:color w:val="000000" w:themeColor="text1"/>
        </w:rPr>
        <w:t>United States</w:t>
      </w:r>
      <w:r w:rsidR="005A0B87" w:rsidRPr="003952DE">
        <w:rPr>
          <w:color w:val="000000" w:themeColor="text1"/>
        </w:rPr>
        <w:t xml:space="preserve"> </w:t>
      </w:r>
      <w:r w:rsidR="00E27C32" w:rsidRPr="003952DE">
        <w:rPr>
          <w:color w:val="000000" w:themeColor="text1"/>
        </w:rPr>
        <w:t>was still not a state party to the 1954 Hague Convention. Accordingly, military manuals at the time did not specifically require personnel to protect Iraq’s cultural heritage during the initial conflict or ensuing occupation</w:t>
      </w:r>
      <w:r w:rsidR="00995AC2">
        <w:rPr>
          <w:color w:val="000000" w:themeColor="text1"/>
        </w:rPr>
        <w:t>,</w:t>
      </w:r>
      <w:r w:rsidR="00057E79">
        <w:rPr>
          <w:color w:val="000000" w:themeColor="text1"/>
        </w:rPr>
        <w:t xml:space="preserve"> and only placed prohibitions on looting by US military forces, deliberate targeting of cultural site</w:t>
      </w:r>
      <w:r w:rsidR="00995AC2">
        <w:rPr>
          <w:color w:val="000000" w:themeColor="text1"/>
        </w:rPr>
        <w:t>s,</w:t>
      </w:r>
      <w:r w:rsidR="00057E79">
        <w:rPr>
          <w:color w:val="000000" w:themeColor="text1"/>
        </w:rPr>
        <w:t xml:space="preserve"> or </w:t>
      </w:r>
      <w:r w:rsidR="00995AC2">
        <w:rPr>
          <w:color w:val="000000" w:themeColor="text1"/>
        </w:rPr>
        <w:t xml:space="preserve">the </w:t>
      </w:r>
      <w:r w:rsidR="00057E79">
        <w:rPr>
          <w:color w:val="000000" w:themeColor="text1"/>
        </w:rPr>
        <w:t>use of cultural sites for military purposes.</w:t>
      </w:r>
      <w:r w:rsidR="00E27C32" w:rsidRPr="003952DE">
        <w:rPr>
          <w:rStyle w:val="EndnoteReference"/>
          <w:color w:val="000000" w:themeColor="text1"/>
        </w:rPr>
        <w:endnoteReference w:id="29"/>
      </w:r>
      <w:r w:rsidR="00295858" w:rsidRPr="003952DE">
        <w:rPr>
          <w:color w:val="000000" w:themeColor="text1"/>
        </w:rPr>
        <w:t xml:space="preserve"> </w:t>
      </w:r>
      <w:r w:rsidR="00E27C32" w:rsidRPr="003952DE">
        <w:rPr>
          <w:color w:val="000000" w:themeColor="text1"/>
        </w:rPr>
        <w:t xml:space="preserve">Inclusion of these prohibitions indicated only a limited acceptance at the operational level of the </w:t>
      </w:r>
      <w:r w:rsidR="004144F5">
        <w:rPr>
          <w:color w:val="000000" w:themeColor="text1"/>
        </w:rPr>
        <w:t>c</w:t>
      </w:r>
      <w:r w:rsidR="00E27C32" w:rsidRPr="003952DE">
        <w:rPr>
          <w:color w:val="000000" w:themeColor="text1"/>
        </w:rPr>
        <w:t>onvention’s principles.</w:t>
      </w:r>
      <w:r w:rsidR="00D1079A" w:rsidRPr="003952DE">
        <w:rPr>
          <w:color w:val="000000" w:themeColor="text1"/>
        </w:rPr>
        <w:t xml:space="preserve"> </w:t>
      </w:r>
      <w:r w:rsidR="00412EC0">
        <w:rPr>
          <w:color w:val="000000" w:themeColor="text1"/>
        </w:rPr>
        <w:t>A m</w:t>
      </w:r>
      <w:r w:rsidR="00E27C32" w:rsidRPr="003952DE">
        <w:rPr>
          <w:color w:val="000000" w:themeColor="text1"/>
        </w:rPr>
        <w:t xml:space="preserve">ilitary policy which lacked affirmative requirements to protect cultural heritage paved the way for the looting and destruction of the </w:t>
      </w:r>
      <w:r w:rsidR="006107F6">
        <w:rPr>
          <w:color w:val="000000" w:themeColor="text1"/>
        </w:rPr>
        <w:t>Iraq</w:t>
      </w:r>
      <w:r w:rsidR="006107F6" w:rsidRPr="003952DE">
        <w:rPr>
          <w:color w:val="000000" w:themeColor="text1"/>
        </w:rPr>
        <w:t xml:space="preserve"> </w:t>
      </w:r>
      <w:r w:rsidR="00E27C32" w:rsidRPr="003952DE">
        <w:rPr>
          <w:color w:val="000000" w:themeColor="text1"/>
        </w:rPr>
        <w:t>Museum and other important cultural sites in Baghdad. Patty Gerstenblith’s conclusion was highly critical: “looting of government buildings by the local populace was tacitly permitted by the lack of intervention of coalition forces.</w:t>
      </w:r>
      <w:r w:rsidR="00E27C32" w:rsidRPr="00C2455D">
        <w:rPr>
          <w:rStyle w:val="EndnoteReference"/>
          <w:color w:val="000000" w:themeColor="text1"/>
          <w:vertAlign w:val="baseline"/>
        </w:rPr>
        <w:t>”</w:t>
      </w:r>
      <w:r w:rsidR="00E27C32" w:rsidRPr="003952DE">
        <w:rPr>
          <w:rStyle w:val="EndnoteReference"/>
          <w:color w:val="000000" w:themeColor="text1"/>
        </w:rPr>
        <w:endnoteReference w:id="30"/>
      </w:r>
      <w:r w:rsidR="00E27C32" w:rsidRPr="003952DE">
        <w:rPr>
          <w:color w:val="000000" w:themeColor="text1"/>
        </w:rPr>
        <w:t xml:space="preserve"> </w:t>
      </w:r>
    </w:p>
    <w:p w14:paraId="69103710" w14:textId="1D6A5E5D" w:rsidR="00E27C32" w:rsidRPr="003952DE" w:rsidRDefault="00E27C32" w:rsidP="00E22AD5">
      <w:pPr>
        <w:spacing w:line="480" w:lineRule="auto"/>
        <w:ind w:firstLine="720"/>
        <w:rPr>
          <w:color w:val="000000" w:themeColor="text1"/>
        </w:rPr>
      </w:pPr>
      <w:r w:rsidRPr="003952DE">
        <w:rPr>
          <w:color w:val="000000" w:themeColor="text1"/>
        </w:rPr>
        <w:t xml:space="preserve">As a result of the </w:t>
      </w:r>
      <w:r w:rsidR="00A11A77">
        <w:rPr>
          <w:color w:val="000000" w:themeColor="text1"/>
        </w:rPr>
        <w:t xml:space="preserve">ensuing </w:t>
      </w:r>
      <w:r w:rsidRPr="003952DE">
        <w:rPr>
          <w:color w:val="000000" w:themeColor="text1"/>
        </w:rPr>
        <w:t xml:space="preserve">global outcry, according to Matthew Thurlow many officials in the </w:t>
      </w:r>
      <w:r w:rsidR="00E85C6F" w:rsidRPr="003952DE">
        <w:rPr>
          <w:color w:val="000000" w:themeColor="text1"/>
        </w:rPr>
        <w:t>US</w:t>
      </w:r>
      <w:r w:rsidRPr="003952DE">
        <w:rPr>
          <w:color w:val="000000" w:themeColor="text1"/>
        </w:rPr>
        <w:t xml:space="preserve"> government learned that “intentionally destroying cultural sites is often conflated with negligently failing to prevent their destruction.”</w:t>
      </w:r>
      <w:r w:rsidRPr="003952DE">
        <w:rPr>
          <w:rStyle w:val="EndnoteReference"/>
          <w:color w:val="000000" w:themeColor="text1"/>
        </w:rPr>
        <w:endnoteReference w:id="31"/>
      </w:r>
      <w:r w:rsidRPr="003952DE">
        <w:rPr>
          <w:color w:val="000000" w:themeColor="text1"/>
        </w:rPr>
        <w:t xml:space="preserve"> This political controversy encouraged the </w:t>
      </w:r>
      <w:r w:rsidR="000E72A3">
        <w:rPr>
          <w:color w:val="000000" w:themeColor="text1"/>
        </w:rPr>
        <w:t>United States</w:t>
      </w:r>
      <w:r w:rsidR="000E72A3" w:rsidRPr="003952DE">
        <w:rPr>
          <w:color w:val="000000" w:themeColor="text1"/>
        </w:rPr>
        <w:t xml:space="preserve"> </w:t>
      </w:r>
      <w:r w:rsidRPr="003952DE">
        <w:rPr>
          <w:color w:val="000000" w:themeColor="text1"/>
        </w:rPr>
        <w:t xml:space="preserve">to finally ratify the </w:t>
      </w:r>
      <w:r w:rsidR="00A11A77">
        <w:rPr>
          <w:color w:val="000000" w:themeColor="text1"/>
        </w:rPr>
        <w:t>c</w:t>
      </w:r>
      <w:r w:rsidRPr="003952DE">
        <w:rPr>
          <w:color w:val="000000" w:themeColor="text1"/>
        </w:rPr>
        <w:t>onvention in 2009.</w:t>
      </w:r>
      <w:r w:rsidRPr="003952DE">
        <w:rPr>
          <w:rStyle w:val="EndnoteReference"/>
          <w:color w:val="000000" w:themeColor="text1"/>
        </w:rPr>
        <w:endnoteReference w:id="32"/>
      </w:r>
      <w:r w:rsidRPr="003952DE">
        <w:rPr>
          <w:color w:val="000000" w:themeColor="text1"/>
        </w:rPr>
        <w:t xml:space="preserve"> The Department </w:t>
      </w:r>
      <w:r w:rsidR="00C31925">
        <w:rPr>
          <w:color w:val="000000" w:themeColor="text1"/>
        </w:rPr>
        <w:t xml:space="preserve">of </w:t>
      </w:r>
      <w:r w:rsidR="00C31925" w:rsidRPr="003952DE">
        <w:rPr>
          <w:color w:val="000000" w:themeColor="text1"/>
        </w:rPr>
        <w:t xml:space="preserve">Defense </w:t>
      </w:r>
      <w:r w:rsidRPr="003952DE">
        <w:rPr>
          <w:color w:val="000000" w:themeColor="text1"/>
        </w:rPr>
        <w:t>manual was later updated to require military commanders “to take reasonable measures to prevent or stop any form of theft, pillage, or misappropriation of, and any acts of vandalism directed against, cultural property” during occupation.</w:t>
      </w:r>
      <w:r w:rsidRPr="003952DE">
        <w:rPr>
          <w:rStyle w:val="EndnoteReference"/>
          <w:color w:val="000000" w:themeColor="text1"/>
        </w:rPr>
        <w:endnoteReference w:id="33"/>
      </w:r>
    </w:p>
    <w:p w14:paraId="237A70A8" w14:textId="51A398CE" w:rsidR="00E27C32" w:rsidRPr="003952DE" w:rsidRDefault="00E27C32" w:rsidP="00E22AD5">
      <w:pPr>
        <w:autoSpaceDE w:val="0"/>
        <w:autoSpaceDN w:val="0"/>
        <w:adjustRightInd w:val="0"/>
        <w:spacing w:line="480" w:lineRule="auto"/>
        <w:ind w:firstLine="720"/>
        <w:rPr>
          <w:color w:val="000000" w:themeColor="text1"/>
        </w:rPr>
      </w:pPr>
      <w:r w:rsidRPr="003952DE">
        <w:rPr>
          <w:color w:val="000000" w:themeColor="text1"/>
        </w:rPr>
        <w:t xml:space="preserve">In October 2019, the Pentagon signaled a willingness to allocate greater energy toward cultural </w:t>
      </w:r>
      <w:r w:rsidR="00665626" w:rsidRPr="003952DE">
        <w:rPr>
          <w:color w:val="000000" w:themeColor="text1"/>
        </w:rPr>
        <w:t>heritage</w:t>
      </w:r>
      <w:r w:rsidRPr="003952DE">
        <w:rPr>
          <w:color w:val="000000" w:themeColor="text1"/>
        </w:rPr>
        <w:t xml:space="preserve"> protection when it announced that the </w:t>
      </w:r>
      <w:r w:rsidR="00E47107">
        <w:rPr>
          <w:color w:val="000000" w:themeColor="text1"/>
        </w:rPr>
        <w:t>a</w:t>
      </w:r>
      <w:r w:rsidRPr="003952DE">
        <w:rPr>
          <w:color w:val="000000" w:themeColor="text1"/>
        </w:rPr>
        <w:t xml:space="preserve">rmy was training a group of commissioned officers of the </w:t>
      </w:r>
      <w:r w:rsidR="00E47107">
        <w:rPr>
          <w:color w:val="000000" w:themeColor="text1"/>
        </w:rPr>
        <w:t xml:space="preserve">US </w:t>
      </w:r>
      <w:r w:rsidRPr="003952DE">
        <w:rPr>
          <w:color w:val="000000" w:themeColor="text1"/>
        </w:rPr>
        <w:t>Army Reserve to “provide a scholarly liaison for military commanders and the local authorities to help secure the cultural heritage of the regions involved and rebuild civil society in war and disaster zones.”</w:t>
      </w:r>
      <w:r w:rsidRPr="003952DE">
        <w:rPr>
          <w:color w:val="000000" w:themeColor="text1"/>
          <w:vertAlign w:val="superscript"/>
        </w:rPr>
        <w:endnoteReference w:id="34"/>
      </w:r>
      <w:r w:rsidRPr="003952DE">
        <w:rPr>
          <w:color w:val="000000" w:themeColor="text1"/>
        </w:rPr>
        <w:t xml:space="preserve"> More specifically, the group </w:t>
      </w:r>
      <w:r w:rsidR="00295858">
        <w:rPr>
          <w:color w:val="000000" w:themeColor="text1"/>
        </w:rPr>
        <w:t xml:space="preserve">was assigned to </w:t>
      </w:r>
      <w:r w:rsidRPr="003952DE">
        <w:rPr>
          <w:color w:val="000000" w:themeColor="text1"/>
        </w:rPr>
        <w:t xml:space="preserve">help the </w:t>
      </w:r>
      <w:r w:rsidR="00EB1E8F">
        <w:rPr>
          <w:color w:val="000000" w:themeColor="text1"/>
        </w:rPr>
        <w:t>government</w:t>
      </w:r>
      <w:r w:rsidR="00EB1E8F" w:rsidRPr="003952DE">
        <w:rPr>
          <w:color w:val="000000" w:themeColor="text1"/>
        </w:rPr>
        <w:t xml:space="preserve"> </w:t>
      </w:r>
      <w:r w:rsidRPr="003952DE">
        <w:rPr>
          <w:color w:val="000000" w:themeColor="text1"/>
        </w:rPr>
        <w:t xml:space="preserve">fulfill its obligations as a </w:t>
      </w:r>
      <w:r w:rsidR="00DB6596">
        <w:rPr>
          <w:color w:val="000000" w:themeColor="text1"/>
        </w:rPr>
        <w:t xml:space="preserve">party to </w:t>
      </w:r>
      <w:r w:rsidRPr="003952DE">
        <w:rPr>
          <w:color w:val="000000" w:themeColor="text1"/>
        </w:rPr>
        <w:t xml:space="preserve">the </w:t>
      </w:r>
      <w:r w:rsidR="00EB1E8F">
        <w:rPr>
          <w:color w:val="000000" w:themeColor="text1"/>
        </w:rPr>
        <w:t>c</w:t>
      </w:r>
      <w:r w:rsidRPr="003952DE">
        <w:rPr>
          <w:color w:val="000000" w:themeColor="text1"/>
        </w:rPr>
        <w:t>onvention by providing lists of sites to avoid in airstrikes and ground operations and locations w</w:t>
      </w:r>
      <w:r w:rsidR="00EB1E8F">
        <w:rPr>
          <w:color w:val="000000" w:themeColor="text1"/>
        </w:rPr>
        <w:t>h</w:t>
      </w:r>
      <w:r w:rsidRPr="003952DE">
        <w:rPr>
          <w:color w:val="000000" w:themeColor="text1"/>
        </w:rPr>
        <w:t>ere the military should try to forestall looting.</w:t>
      </w:r>
      <w:r w:rsidR="00D1079A" w:rsidRPr="003952DE">
        <w:rPr>
          <w:color w:val="000000" w:themeColor="text1"/>
        </w:rPr>
        <w:t xml:space="preserve"> </w:t>
      </w:r>
    </w:p>
    <w:p w14:paraId="3B007018" w14:textId="77777777" w:rsidR="00E40919" w:rsidRDefault="00E40919" w:rsidP="00E22AD5">
      <w:pPr>
        <w:spacing w:line="480" w:lineRule="auto"/>
        <w:rPr>
          <w:bCs/>
          <w:color w:val="000000" w:themeColor="text1"/>
          <w:u w:val="single"/>
        </w:rPr>
      </w:pPr>
    </w:p>
    <w:p w14:paraId="67A6D4E1" w14:textId="7532DACA" w:rsidR="00E27C32" w:rsidRPr="003952DE" w:rsidRDefault="00E27C32" w:rsidP="00C2455D">
      <w:pPr>
        <w:pStyle w:val="Heading2"/>
      </w:pPr>
      <w:r w:rsidRPr="003952DE">
        <w:t>Trump’s 2020 Threat to Iran</w:t>
      </w:r>
    </w:p>
    <w:p w14:paraId="75ECBE7E" w14:textId="07C7B3A3" w:rsidR="00E27C32" w:rsidRPr="003952DE" w:rsidRDefault="00E27C32" w:rsidP="00E22AD5">
      <w:pPr>
        <w:spacing w:line="480" w:lineRule="auto"/>
        <w:ind w:right="720"/>
        <w:rPr>
          <w:color w:val="000000" w:themeColor="text1"/>
          <w:lang w:val="en"/>
        </w:rPr>
      </w:pPr>
      <w:r w:rsidRPr="003952DE">
        <w:rPr>
          <w:color w:val="000000" w:themeColor="text1"/>
          <w:lang w:val="en"/>
        </w:rPr>
        <w:t>On</w:t>
      </w:r>
      <w:r w:rsidR="00F95969">
        <w:rPr>
          <w:color w:val="000000" w:themeColor="text1"/>
          <w:lang w:val="en"/>
        </w:rPr>
        <w:t xml:space="preserve"> 4</w:t>
      </w:r>
      <w:r w:rsidRPr="003952DE">
        <w:rPr>
          <w:color w:val="000000" w:themeColor="text1"/>
          <w:lang w:val="en"/>
        </w:rPr>
        <w:t xml:space="preserve"> January 2020, one day after the </w:t>
      </w:r>
      <w:r w:rsidR="00401274">
        <w:rPr>
          <w:color w:val="000000" w:themeColor="text1"/>
          <w:lang w:val="en"/>
        </w:rPr>
        <w:t>United States</w:t>
      </w:r>
      <w:r w:rsidR="00401274" w:rsidRPr="003952DE">
        <w:rPr>
          <w:color w:val="000000" w:themeColor="text1"/>
          <w:lang w:val="en"/>
        </w:rPr>
        <w:t xml:space="preserve"> </w:t>
      </w:r>
      <w:r w:rsidRPr="003952DE">
        <w:rPr>
          <w:color w:val="000000" w:themeColor="text1"/>
          <w:lang w:val="en"/>
        </w:rPr>
        <w:t xml:space="preserve">killed Major General Qassem Soleimani, the commander of Iran’s Islamic Revolutionary Guard Corps, President Trump tweeted out a threat to destroy Iranian cultural </w:t>
      </w:r>
      <w:r w:rsidR="00665626" w:rsidRPr="003952DE">
        <w:rPr>
          <w:color w:val="000000" w:themeColor="text1"/>
          <w:lang w:val="en"/>
        </w:rPr>
        <w:t>heritage</w:t>
      </w:r>
      <w:r w:rsidRPr="003952DE">
        <w:rPr>
          <w:color w:val="000000" w:themeColor="text1"/>
          <w:lang w:val="en"/>
        </w:rPr>
        <w:t>:</w:t>
      </w:r>
      <w:r w:rsidR="00A048DC">
        <w:rPr>
          <w:color w:val="000000" w:themeColor="text1"/>
          <w:lang w:val="en"/>
        </w:rPr>
        <w:t xml:space="preserve"> “</w:t>
      </w:r>
      <w:r w:rsidR="00A048DC" w:rsidRPr="00A048DC">
        <w:rPr>
          <w:color w:val="000000" w:themeColor="text1"/>
          <w:lang w:val="en"/>
        </w:rPr>
        <w:t>Let this serve as a WARNING that if Iran strikes any Americans, or American assets, we have targeted 52 Iranian sites (representing the 52 American hostages taken by Iran many years ago), some at a very high level &amp; important to Iran &amp; the Iranian culture, and those targets, and Iran itself, WILL BE HIT VERY FAST AND VERY HARD. The USA wants no more threats!”</w:t>
      </w:r>
      <w:r w:rsidR="00A048DC">
        <w:rPr>
          <w:rStyle w:val="EndnoteReference"/>
          <w:color w:val="000000" w:themeColor="text1"/>
          <w:lang w:val="en"/>
        </w:rPr>
        <w:endnoteReference w:id="35"/>
      </w:r>
    </w:p>
    <w:p w14:paraId="582445CD" w14:textId="76011B10" w:rsidR="00FD0A25" w:rsidRDefault="00E27C32" w:rsidP="00C2455D">
      <w:pPr>
        <w:spacing w:line="480" w:lineRule="auto"/>
        <w:ind w:firstLine="720"/>
        <w:rPr>
          <w:color w:val="000000" w:themeColor="text1"/>
        </w:rPr>
      </w:pPr>
      <w:r w:rsidRPr="003952DE">
        <w:rPr>
          <w:color w:val="000000" w:themeColor="text1"/>
          <w:lang w:val="en"/>
        </w:rPr>
        <w:t>Trump’s tweet</w:t>
      </w:r>
      <w:r w:rsidR="00BE2A1E">
        <w:rPr>
          <w:color w:val="000000" w:themeColor="text1"/>
          <w:lang w:val="en"/>
        </w:rPr>
        <w:t xml:space="preserve"> </w:t>
      </w:r>
      <w:r w:rsidRPr="003952DE">
        <w:rPr>
          <w:color w:val="000000" w:themeColor="text1"/>
          <w:lang w:val="en"/>
        </w:rPr>
        <w:t xml:space="preserve">reflected </w:t>
      </w:r>
      <w:r w:rsidR="00460CAB">
        <w:rPr>
          <w:color w:val="000000" w:themeColor="text1"/>
          <w:lang w:val="en"/>
        </w:rPr>
        <w:t>the president’s</w:t>
      </w:r>
      <w:r w:rsidR="00460CAB" w:rsidRPr="003952DE">
        <w:rPr>
          <w:color w:val="000000" w:themeColor="text1"/>
          <w:lang w:val="en"/>
        </w:rPr>
        <w:t xml:space="preserve"> </w:t>
      </w:r>
      <w:r w:rsidRPr="003952DE">
        <w:rPr>
          <w:color w:val="000000" w:themeColor="text1"/>
          <w:lang w:val="en"/>
        </w:rPr>
        <w:t xml:space="preserve">strong </w:t>
      </w:r>
      <w:r w:rsidR="007B7E1E">
        <w:rPr>
          <w:color w:val="000000" w:themeColor="text1"/>
          <w:lang w:val="en"/>
        </w:rPr>
        <w:t>vengeful</w:t>
      </w:r>
      <w:r w:rsidRPr="003952DE">
        <w:rPr>
          <w:color w:val="000000" w:themeColor="text1"/>
          <w:lang w:val="en"/>
        </w:rPr>
        <w:t xml:space="preserve"> proclivities. The threat to target Iranian cultural sites is one of many examples of </w:t>
      </w:r>
      <w:r w:rsidR="00D235D6">
        <w:rPr>
          <w:color w:val="000000" w:themeColor="text1"/>
          <w:lang w:val="en"/>
        </w:rPr>
        <w:t>his</w:t>
      </w:r>
      <w:r w:rsidR="00D235D6" w:rsidRPr="003952DE">
        <w:rPr>
          <w:color w:val="000000" w:themeColor="text1"/>
          <w:lang w:val="en"/>
        </w:rPr>
        <w:t xml:space="preserve"> </w:t>
      </w:r>
      <w:r w:rsidRPr="003952DE">
        <w:rPr>
          <w:color w:val="000000" w:themeColor="text1"/>
          <w:lang w:val="en"/>
        </w:rPr>
        <w:t xml:space="preserve">disregard for the laws of armed conflict. During the 2016 </w:t>
      </w:r>
      <w:r w:rsidR="00B40B4C">
        <w:rPr>
          <w:color w:val="000000" w:themeColor="text1"/>
          <w:lang w:val="en"/>
        </w:rPr>
        <w:t xml:space="preserve">US </w:t>
      </w:r>
      <w:r w:rsidR="00F630F4">
        <w:rPr>
          <w:color w:val="000000" w:themeColor="text1"/>
          <w:lang w:val="en"/>
        </w:rPr>
        <w:t xml:space="preserve">presidential election </w:t>
      </w:r>
      <w:r w:rsidRPr="003952DE">
        <w:rPr>
          <w:color w:val="000000" w:themeColor="text1"/>
          <w:lang w:val="en"/>
        </w:rPr>
        <w:t xml:space="preserve">campaign, for example, Trump had accused the administration </w:t>
      </w:r>
      <w:r w:rsidR="00666A42">
        <w:rPr>
          <w:color w:val="000000" w:themeColor="text1"/>
          <w:lang w:val="en"/>
        </w:rPr>
        <w:t xml:space="preserve">of President Barack Obama </w:t>
      </w:r>
      <w:r w:rsidRPr="003952DE">
        <w:rPr>
          <w:color w:val="000000" w:themeColor="text1"/>
          <w:lang w:val="en"/>
        </w:rPr>
        <w:t>of fighting “a very politically correct war” against terrorists and said that he instead would “take out their families.”</w:t>
      </w:r>
      <w:r w:rsidRPr="003952DE">
        <w:rPr>
          <w:rStyle w:val="EndnoteReference"/>
          <w:color w:val="000000" w:themeColor="text1"/>
        </w:rPr>
        <w:endnoteReference w:id="36"/>
      </w:r>
      <w:r w:rsidRPr="003952DE">
        <w:rPr>
          <w:color w:val="000000" w:themeColor="text1"/>
        </w:rPr>
        <w:t xml:space="preserve"> In November 2019, he granted clemency to three </w:t>
      </w:r>
      <w:r w:rsidR="00E85C6F" w:rsidRPr="003952DE">
        <w:rPr>
          <w:color w:val="000000" w:themeColor="text1"/>
        </w:rPr>
        <w:t>US</w:t>
      </w:r>
      <w:r w:rsidRPr="003952DE">
        <w:rPr>
          <w:color w:val="000000" w:themeColor="text1"/>
        </w:rPr>
        <w:t xml:space="preserve"> servicemen convicted or accused of deliberately killing noncombatants.</w:t>
      </w:r>
      <w:r w:rsidRPr="003952DE">
        <w:rPr>
          <w:rStyle w:val="EndnoteReference"/>
          <w:color w:val="000000" w:themeColor="text1"/>
        </w:rPr>
        <w:endnoteReference w:id="37"/>
      </w:r>
      <w:r w:rsidRPr="003952DE">
        <w:rPr>
          <w:color w:val="000000" w:themeColor="text1"/>
          <w:lang w:val="en"/>
        </w:rPr>
        <w:t xml:space="preserve"> In this light, it is not surprising that after facing criticism for his threat to attack cultural sites, Trump doubled</w:t>
      </w:r>
      <w:r w:rsidR="00726BE2">
        <w:rPr>
          <w:color w:val="000000" w:themeColor="text1"/>
          <w:lang w:val="en"/>
        </w:rPr>
        <w:t xml:space="preserve"> </w:t>
      </w:r>
      <w:r w:rsidRPr="003952DE">
        <w:rPr>
          <w:color w:val="000000" w:themeColor="text1"/>
          <w:lang w:val="en"/>
        </w:rPr>
        <w:t>down the next day:</w:t>
      </w:r>
      <w:r w:rsidR="00726BE2">
        <w:rPr>
          <w:color w:val="000000" w:themeColor="text1"/>
        </w:rPr>
        <w:t xml:space="preserve"> “</w:t>
      </w:r>
      <w:r w:rsidRPr="003952DE">
        <w:rPr>
          <w:color w:val="000000" w:themeColor="text1"/>
        </w:rPr>
        <w:t>They’re allowed to kill our people. They’re allowed to torture and maim our people. They’re allowed to use roadside bombs and blow up our people. And we’re not allowed to touch their cultural site? It doesn’t work that way.</w:t>
      </w:r>
      <w:r w:rsidR="00726BE2">
        <w:rPr>
          <w:color w:val="000000" w:themeColor="text1"/>
        </w:rPr>
        <w:t>”</w:t>
      </w:r>
      <w:r w:rsidRPr="003952DE">
        <w:rPr>
          <w:rStyle w:val="EndnoteReference"/>
          <w:color w:val="000000" w:themeColor="text1"/>
        </w:rPr>
        <w:endnoteReference w:id="38"/>
      </w:r>
    </w:p>
    <w:p w14:paraId="458E6DCF" w14:textId="17D61FCB" w:rsidR="00E27C32" w:rsidRPr="003952DE" w:rsidRDefault="00C06F5D" w:rsidP="00FD0A25">
      <w:pPr>
        <w:spacing w:line="480" w:lineRule="auto"/>
        <w:ind w:right="720" w:firstLine="720"/>
        <w:rPr>
          <w:color w:val="000000" w:themeColor="text1"/>
        </w:rPr>
      </w:pPr>
      <w:r>
        <w:rPr>
          <w:color w:val="000000" w:themeColor="text1"/>
          <w:lang w:val="en"/>
        </w:rPr>
        <w:t xml:space="preserve">However, </w:t>
      </w:r>
      <w:r w:rsidR="00E27C32" w:rsidRPr="003952DE">
        <w:rPr>
          <w:color w:val="000000" w:themeColor="text1"/>
          <w:lang w:val="en"/>
        </w:rPr>
        <w:t>Trump’s threats to attack cultural heritage sites</w:t>
      </w:r>
      <w:r>
        <w:rPr>
          <w:color w:val="000000" w:themeColor="text1"/>
          <w:lang w:val="en"/>
        </w:rPr>
        <w:t xml:space="preserve"> </w:t>
      </w:r>
      <w:r w:rsidR="00E27C32" w:rsidRPr="003952DE">
        <w:rPr>
          <w:color w:val="000000" w:themeColor="text1"/>
          <w:lang w:val="en"/>
        </w:rPr>
        <w:t xml:space="preserve">were criticized by a number of Democratic </w:t>
      </w:r>
      <w:r w:rsidR="005B0E2B">
        <w:rPr>
          <w:color w:val="000000" w:themeColor="text1"/>
          <w:lang w:val="en"/>
        </w:rPr>
        <w:t>m</w:t>
      </w:r>
      <w:r w:rsidR="00E27C32" w:rsidRPr="003952DE">
        <w:rPr>
          <w:color w:val="000000" w:themeColor="text1"/>
          <w:lang w:val="en"/>
        </w:rPr>
        <w:t>embers of Congress as threats to commit “a war crime.”</w:t>
      </w:r>
      <w:r w:rsidR="00E27C32" w:rsidRPr="003952DE">
        <w:rPr>
          <w:rStyle w:val="EndnoteReference"/>
          <w:color w:val="000000" w:themeColor="text1"/>
        </w:rPr>
        <w:endnoteReference w:id="39"/>
      </w:r>
      <w:r w:rsidR="00E27C32" w:rsidRPr="003952DE">
        <w:rPr>
          <w:color w:val="000000" w:themeColor="text1"/>
          <w:lang w:val="en"/>
        </w:rPr>
        <w:t xml:space="preserve"> </w:t>
      </w:r>
      <w:r w:rsidR="00C4700A">
        <w:rPr>
          <w:color w:val="000000" w:themeColor="text1"/>
          <w:lang w:val="en"/>
        </w:rPr>
        <w:t xml:space="preserve">In addition, </w:t>
      </w:r>
      <w:r w:rsidR="00E27C32" w:rsidRPr="003952DE">
        <w:rPr>
          <w:color w:val="000000" w:themeColor="text1"/>
          <w:lang w:val="en"/>
        </w:rPr>
        <w:t xml:space="preserve">Republican </w:t>
      </w:r>
      <w:r w:rsidR="004D5748">
        <w:rPr>
          <w:color w:val="000000" w:themeColor="text1"/>
          <w:lang w:val="en"/>
        </w:rPr>
        <w:t>s</w:t>
      </w:r>
      <w:r w:rsidR="00E27C32" w:rsidRPr="003952DE">
        <w:rPr>
          <w:color w:val="000000" w:themeColor="text1"/>
          <w:lang w:val="en"/>
        </w:rPr>
        <w:t xml:space="preserve">enators, including staunch Trump allies </w:t>
      </w:r>
      <w:r w:rsidR="00E27C32" w:rsidRPr="003952DE">
        <w:rPr>
          <w:color w:val="000000" w:themeColor="text1"/>
        </w:rPr>
        <w:t>Mitch McConnell and Lindsay Graham, respectively characterized targeting cultural sites as “inappropriate” and something that both is “not lawful” and “undercuts what we’re trying to do.”</w:t>
      </w:r>
      <w:r w:rsidR="00E27C32" w:rsidRPr="003952DE">
        <w:rPr>
          <w:rStyle w:val="EndnoteReference"/>
          <w:color w:val="000000" w:themeColor="text1"/>
        </w:rPr>
        <w:endnoteReference w:id="40"/>
      </w:r>
      <w:r w:rsidR="00E27C32" w:rsidRPr="003952DE">
        <w:rPr>
          <w:color w:val="000000" w:themeColor="text1"/>
        </w:rPr>
        <w:t xml:space="preserve"> In this incident, the laws of armed conflict created more political opposition than otherwise would have existed.</w:t>
      </w:r>
    </w:p>
    <w:p w14:paraId="2FDA8C61" w14:textId="080468F7" w:rsidR="00E27C32" w:rsidRPr="00C2455D" w:rsidRDefault="00E27C32" w:rsidP="00C2455D">
      <w:pPr>
        <w:spacing w:line="480" w:lineRule="auto"/>
        <w:rPr>
          <w:rFonts w:eastAsiaTheme="minorHAnsi"/>
          <w:color w:val="000000" w:themeColor="text1"/>
        </w:rPr>
      </w:pPr>
      <w:r w:rsidRPr="003952DE">
        <w:rPr>
          <w:color w:val="000000" w:themeColor="text1"/>
        </w:rPr>
        <w:tab/>
        <w:t>Secretary of State Mike Pompeo tried to reassure the public by stating</w:t>
      </w:r>
      <w:r w:rsidR="00F956A6">
        <w:rPr>
          <w:color w:val="000000" w:themeColor="text1"/>
        </w:rPr>
        <w:t>:</w:t>
      </w:r>
      <w:r w:rsidRPr="003952DE">
        <w:rPr>
          <w:color w:val="000000" w:themeColor="text1"/>
        </w:rPr>
        <w:t xml:space="preserve"> </w:t>
      </w:r>
      <w:r w:rsidRPr="003952DE">
        <w:rPr>
          <w:color w:val="000000" w:themeColor="text1"/>
          <w:shd w:val="clear" w:color="auto" w:fill="FFFFFF"/>
        </w:rPr>
        <w:t>“</w:t>
      </w:r>
      <w:r w:rsidR="00F956A6">
        <w:rPr>
          <w:color w:val="000000" w:themeColor="text1"/>
          <w:shd w:val="clear" w:color="auto" w:fill="FFFFFF"/>
        </w:rPr>
        <w:t>T</w:t>
      </w:r>
      <w:r w:rsidRPr="003952DE">
        <w:rPr>
          <w:color w:val="000000" w:themeColor="text1"/>
          <w:shd w:val="clear" w:color="auto" w:fill="FFFFFF"/>
        </w:rPr>
        <w:t>he American people should know that every target that we strike will be a lawful target.”</w:t>
      </w:r>
      <w:r w:rsidRPr="003952DE">
        <w:rPr>
          <w:rStyle w:val="EndnoteReference"/>
          <w:color w:val="000000" w:themeColor="text1"/>
          <w:shd w:val="clear" w:color="auto" w:fill="FFFFFF"/>
        </w:rPr>
        <w:endnoteReference w:id="41"/>
      </w:r>
      <w:r w:rsidRPr="003952DE">
        <w:rPr>
          <w:color w:val="000000" w:themeColor="text1"/>
          <w:shd w:val="clear" w:color="auto" w:fill="FFFFFF"/>
        </w:rPr>
        <w:t xml:space="preserve"> The following exchange between Secretary of Defense Esper and the Pentagon press corps perhaps best </w:t>
      </w:r>
      <w:r w:rsidRPr="003952DE">
        <w:rPr>
          <w:color w:val="000000" w:themeColor="text1"/>
        </w:rPr>
        <w:t>reveals the constraining power of the law</w:t>
      </w:r>
      <w:r w:rsidR="00784D1E">
        <w:rPr>
          <w:rFonts w:eastAsiaTheme="minorHAnsi"/>
          <w:bCs/>
          <w:i/>
          <w:color w:val="000000" w:themeColor="text1"/>
        </w:rPr>
        <w:t>.</w:t>
      </w:r>
      <w:r w:rsidR="00784D1E" w:rsidRPr="00C2455D">
        <w:rPr>
          <w:color w:val="000000" w:themeColor="text1"/>
        </w:rPr>
        <w:t xml:space="preserve"> </w:t>
      </w:r>
      <w:r w:rsidRPr="00C2455D">
        <w:rPr>
          <w:rFonts w:eastAsiaTheme="minorHAnsi"/>
          <w:bCs/>
          <w:color w:val="000000" w:themeColor="text1"/>
        </w:rPr>
        <w:t>Question</w:t>
      </w:r>
      <w:r w:rsidRPr="00C2455D">
        <w:rPr>
          <w:rFonts w:eastAsiaTheme="minorHAnsi"/>
          <w:bCs/>
          <w:iCs/>
          <w:color w:val="000000" w:themeColor="text1"/>
        </w:rPr>
        <w:t>:</w:t>
      </w:r>
      <w:r w:rsidRPr="00C2455D">
        <w:rPr>
          <w:rFonts w:eastAsiaTheme="minorHAnsi"/>
          <w:bCs/>
          <w:color w:val="000000" w:themeColor="text1"/>
        </w:rPr>
        <w:t xml:space="preserve"> “</w:t>
      </w:r>
      <w:r w:rsidRPr="00C2455D">
        <w:rPr>
          <w:rFonts w:eastAsiaTheme="minorHAnsi"/>
          <w:color w:val="000000" w:themeColor="text1"/>
        </w:rPr>
        <w:t>The president has twice now, not hypothetical, said he is willing to strike cultural sites. Truly cultural sites not with weapons that makes them military targets. So straight-up could you both say whether you are willing to target cultural sites?”</w:t>
      </w:r>
      <w:r w:rsidR="0056135C">
        <w:rPr>
          <w:rFonts w:eastAsiaTheme="minorHAnsi"/>
          <w:color w:val="000000" w:themeColor="text1"/>
        </w:rPr>
        <w:t xml:space="preserve"> </w:t>
      </w:r>
      <w:r w:rsidRPr="00C2455D">
        <w:rPr>
          <w:rFonts w:eastAsiaTheme="minorHAnsi"/>
          <w:bCs/>
          <w:iCs/>
          <w:color w:val="000000" w:themeColor="text1"/>
        </w:rPr>
        <w:t>Esper:</w:t>
      </w:r>
      <w:r w:rsidRPr="00C2455D">
        <w:rPr>
          <w:rFonts w:eastAsiaTheme="minorHAnsi"/>
          <w:bCs/>
          <w:color w:val="000000" w:themeColor="text1"/>
        </w:rPr>
        <w:t xml:space="preserve"> </w:t>
      </w:r>
      <w:r w:rsidRPr="00C2455D">
        <w:rPr>
          <w:rFonts w:eastAsiaTheme="minorHAnsi"/>
          <w:color w:val="000000" w:themeColor="text1"/>
        </w:rPr>
        <w:t>“We will follow the laws of armed conflict.”</w:t>
      </w:r>
      <w:r w:rsidR="00E779D7">
        <w:rPr>
          <w:rFonts w:eastAsiaTheme="minorHAnsi"/>
          <w:color w:val="000000" w:themeColor="text1"/>
        </w:rPr>
        <w:t xml:space="preserve"> </w:t>
      </w:r>
      <w:r w:rsidRPr="00C2455D">
        <w:rPr>
          <w:rFonts w:eastAsiaTheme="minorHAnsi"/>
          <w:bCs/>
          <w:iCs/>
          <w:color w:val="000000" w:themeColor="text1"/>
        </w:rPr>
        <w:t>Question:</w:t>
      </w:r>
      <w:r w:rsidRPr="00C2455D">
        <w:rPr>
          <w:rFonts w:eastAsiaTheme="minorHAnsi"/>
          <w:bCs/>
          <w:color w:val="000000" w:themeColor="text1"/>
        </w:rPr>
        <w:t xml:space="preserve"> “</w:t>
      </w:r>
      <w:r w:rsidRPr="00C2455D">
        <w:rPr>
          <w:rFonts w:eastAsiaTheme="minorHAnsi"/>
          <w:color w:val="000000" w:themeColor="text1"/>
        </w:rPr>
        <w:t>And that means no because targeting a cultural site is a war crime?”</w:t>
      </w:r>
      <w:r w:rsidR="007A0D09" w:rsidRPr="00C850E2">
        <w:rPr>
          <w:rFonts w:eastAsiaTheme="minorHAnsi"/>
          <w:iCs/>
          <w:color w:val="000000" w:themeColor="text1"/>
        </w:rPr>
        <w:t xml:space="preserve"> </w:t>
      </w:r>
      <w:r w:rsidRPr="00C2455D">
        <w:rPr>
          <w:rFonts w:eastAsiaTheme="minorHAnsi"/>
          <w:bCs/>
          <w:iCs/>
          <w:color w:val="000000" w:themeColor="text1"/>
        </w:rPr>
        <w:t>Esper:</w:t>
      </w:r>
      <w:r w:rsidRPr="00C2455D">
        <w:rPr>
          <w:rFonts w:eastAsiaTheme="minorHAnsi"/>
          <w:bCs/>
          <w:color w:val="000000" w:themeColor="text1"/>
        </w:rPr>
        <w:t xml:space="preserve"> “</w:t>
      </w:r>
      <w:r w:rsidRPr="00C2455D">
        <w:rPr>
          <w:rFonts w:eastAsiaTheme="minorHAnsi"/>
          <w:color w:val="000000" w:themeColor="text1"/>
        </w:rPr>
        <w:t>That</w:t>
      </w:r>
      <w:r w:rsidR="006A13EE">
        <w:rPr>
          <w:rFonts w:eastAsiaTheme="minorHAnsi"/>
          <w:color w:val="000000" w:themeColor="text1"/>
        </w:rPr>
        <w:t>’</w:t>
      </w:r>
      <w:r w:rsidRPr="00C2455D">
        <w:rPr>
          <w:rFonts w:eastAsiaTheme="minorHAnsi"/>
          <w:color w:val="000000" w:themeColor="text1"/>
        </w:rPr>
        <w:t>s</w:t>
      </w:r>
      <w:r w:rsidR="006A13EE">
        <w:rPr>
          <w:rFonts w:eastAsiaTheme="minorHAnsi"/>
          <w:color w:val="000000" w:themeColor="text1"/>
        </w:rPr>
        <w:t>,</w:t>
      </w:r>
      <w:r w:rsidRPr="00C2455D">
        <w:rPr>
          <w:rFonts w:eastAsiaTheme="minorHAnsi"/>
          <w:color w:val="000000" w:themeColor="text1"/>
        </w:rPr>
        <w:t xml:space="preserve"> that</w:t>
      </w:r>
      <w:r w:rsidR="006A13EE">
        <w:rPr>
          <w:rFonts w:eastAsiaTheme="minorHAnsi"/>
          <w:color w:val="000000" w:themeColor="text1"/>
        </w:rPr>
        <w:t>’</w:t>
      </w:r>
      <w:r w:rsidRPr="00C2455D">
        <w:rPr>
          <w:rFonts w:eastAsiaTheme="minorHAnsi"/>
          <w:color w:val="000000" w:themeColor="text1"/>
        </w:rPr>
        <w:t>s the laws of armed conflict.”</w:t>
      </w:r>
      <w:r w:rsidRPr="003952DE">
        <w:rPr>
          <w:rStyle w:val="EndnoteReference"/>
          <w:rFonts w:eastAsiaTheme="minorHAnsi"/>
          <w:color w:val="000000" w:themeColor="text1"/>
        </w:rPr>
        <w:endnoteReference w:id="42"/>
      </w:r>
    </w:p>
    <w:p w14:paraId="157F8F6D" w14:textId="2C64729B" w:rsidR="00E27C32" w:rsidRPr="003952DE" w:rsidRDefault="00E27C32" w:rsidP="00C2455D">
      <w:pPr>
        <w:spacing w:line="480" w:lineRule="auto"/>
        <w:ind w:right="720"/>
        <w:rPr>
          <w:color w:val="000000" w:themeColor="text1"/>
        </w:rPr>
      </w:pPr>
      <w:r w:rsidRPr="003952DE">
        <w:rPr>
          <w:color w:val="000000" w:themeColor="text1"/>
          <w:lang w:val="en"/>
        </w:rPr>
        <w:tab/>
        <w:t xml:space="preserve">Trump finally backed away from the threat, but not without complaints about the constraints, on </w:t>
      </w:r>
      <w:r w:rsidR="00085A03">
        <w:rPr>
          <w:color w:val="000000" w:themeColor="text1"/>
          <w:lang w:val="en"/>
        </w:rPr>
        <w:t xml:space="preserve">7 </w:t>
      </w:r>
      <w:r w:rsidRPr="003952DE">
        <w:rPr>
          <w:color w:val="000000" w:themeColor="text1"/>
          <w:lang w:val="en"/>
        </w:rPr>
        <w:t>January 2020:</w:t>
      </w:r>
      <w:r w:rsidR="001A3B56">
        <w:rPr>
          <w:color w:val="000000" w:themeColor="text1"/>
        </w:rPr>
        <w:t xml:space="preserve"> “</w:t>
      </w:r>
      <w:r w:rsidRPr="003952DE">
        <w:rPr>
          <w:color w:val="000000" w:themeColor="text1"/>
        </w:rPr>
        <w:t>They are allowed to kill our people. They are allowed to maim our people. They are allowed to blow up everything that we have, and there’s nothing that stops them. And we are, according to various laws, supposed to be very careful with their cultural heritage. And you know what, if that</w:t>
      </w:r>
      <w:r w:rsidR="001F7171">
        <w:rPr>
          <w:color w:val="000000" w:themeColor="text1"/>
        </w:rPr>
        <w:t>’</w:t>
      </w:r>
      <w:r w:rsidRPr="003952DE">
        <w:rPr>
          <w:color w:val="000000" w:themeColor="text1"/>
        </w:rPr>
        <w:t>s what the law is, I like to obey the law.</w:t>
      </w:r>
      <w:r w:rsidR="00105FD9">
        <w:rPr>
          <w:color w:val="000000" w:themeColor="text1"/>
        </w:rPr>
        <w:t>”</w:t>
      </w:r>
      <w:r w:rsidRPr="003952DE">
        <w:rPr>
          <w:rStyle w:val="EndnoteReference"/>
          <w:color w:val="000000" w:themeColor="text1"/>
        </w:rPr>
        <w:endnoteReference w:id="43"/>
      </w:r>
    </w:p>
    <w:p w14:paraId="39E3E49E" w14:textId="45C369C4" w:rsidR="00E27C32" w:rsidRPr="003952DE" w:rsidRDefault="00E27C32" w:rsidP="00E22AD5">
      <w:pPr>
        <w:spacing w:line="480" w:lineRule="auto"/>
        <w:ind w:firstLine="720"/>
        <w:rPr>
          <w:color w:val="000000" w:themeColor="text1"/>
        </w:rPr>
      </w:pPr>
      <w:r w:rsidRPr="003952DE">
        <w:rPr>
          <w:bCs/>
          <w:color w:val="000000" w:themeColor="text1"/>
        </w:rPr>
        <w:t>What should we make of this incident? We do</w:t>
      </w:r>
      <w:r w:rsidR="00160C6F">
        <w:rPr>
          <w:bCs/>
          <w:color w:val="000000" w:themeColor="text1"/>
        </w:rPr>
        <w:t xml:space="preserve"> not</w:t>
      </w:r>
      <w:r w:rsidRPr="003952DE">
        <w:rPr>
          <w:bCs/>
          <w:color w:val="000000" w:themeColor="text1"/>
        </w:rPr>
        <w:t xml:space="preserve"> know whether a target list presented to the president included a cultural site that was being used by the Iranians for military purposes.</w:t>
      </w:r>
      <w:r w:rsidR="00D1079A" w:rsidRPr="003952DE">
        <w:rPr>
          <w:bCs/>
          <w:color w:val="000000" w:themeColor="text1"/>
        </w:rPr>
        <w:t xml:space="preserve"> </w:t>
      </w:r>
      <w:r w:rsidRPr="003952DE">
        <w:rPr>
          <w:bCs/>
          <w:color w:val="000000" w:themeColor="text1"/>
        </w:rPr>
        <w:t xml:space="preserve">But we do know that, with </w:t>
      </w:r>
      <w:r w:rsidR="00B00B16">
        <w:rPr>
          <w:bCs/>
          <w:color w:val="000000" w:themeColor="text1"/>
        </w:rPr>
        <w:t xml:space="preserve">the </w:t>
      </w:r>
      <w:r w:rsidRPr="003952DE">
        <w:rPr>
          <w:bCs/>
          <w:color w:val="000000" w:themeColor="text1"/>
        </w:rPr>
        <w:t>exception</w:t>
      </w:r>
      <w:r w:rsidR="00B00B16">
        <w:rPr>
          <w:bCs/>
          <w:color w:val="000000" w:themeColor="text1"/>
        </w:rPr>
        <w:t xml:space="preserve"> of such </w:t>
      </w:r>
      <w:r w:rsidR="00444BE9">
        <w:rPr>
          <w:bCs/>
          <w:color w:val="000000" w:themeColor="text1"/>
        </w:rPr>
        <w:t xml:space="preserve">military </w:t>
      </w:r>
      <w:r w:rsidR="00B00B16">
        <w:rPr>
          <w:bCs/>
          <w:color w:val="000000" w:themeColor="text1"/>
        </w:rPr>
        <w:t>use</w:t>
      </w:r>
      <w:r w:rsidR="00AA760F">
        <w:rPr>
          <w:bCs/>
          <w:color w:val="000000" w:themeColor="text1"/>
        </w:rPr>
        <w:t xml:space="preserve"> by the enemy</w:t>
      </w:r>
      <w:r w:rsidRPr="003952DE">
        <w:rPr>
          <w:bCs/>
          <w:color w:val="000000" w:themeColor="text1"/>
        </w:rPr>
        <w:t xml:space="preserve">, direct targeting of cultural </w:t>
      </w:r>
      <w:r w:rsidR="00665626" w:rsidRPr="003952DE">
        <w:rPr>
          <w:bCs/>
          <w:color w:val="000000" w:themeColor="text1"/>
        </w:rPr>
        <w:t>heritage</w:t>
      </w:r>
      <w:r w:rsidRPr="003952DE">
        <w:rPr>
          <w:bCs/>
          <w:color w:val="000000" w:themeColor="text1"/>
        </w:rPr>
        <w:t xml:space="preserve"> sites would be illegal. </w:t>
      </w:r>
      <w:r w:rsidRPr="003952DE">
        <w:rPr>
          <w:color w:val="000000" w:themeColor="text1"/>
        </w:rPr>
        <w:t xml:space="preserve">The best contemporary legal analysis was by Mark Nevitt, a retired </w:t>
      </w:r>
      <w:r w:rsidR="0037273F">
        <w:rPr>
          <w:color w:val="000000" w:themeColor="text1"/>
        </w:rPr>
        <w:t>U</w:t>
      </w:r>
      <w:r w:rsidR="008A36AE">
        <w:rPr>
          <w:color w:val="000000" w:themeColor="text1"/>
        </w:rPr>
        <w:t>S</w:t>
      </w:r>
      <w:r w:rsidR="0037273F">
        <w:rPr>
          <w:color w:val="000000" w:themeColor="text1"/>
        </w:rPr>
        <w:t xml:space="preserve"> </w:t>
      </w:r>
      <w:r w:rsidRPr="003952DE">
        <w:rPr>
          <w:color w:val="000000" w:themeColor="text1"/>
        </w:rPr>
        <w:t xml:space="preserve">Navy </w:t>
      </w:r>
      <w:r w:rsidR="006E2A33">
        <w:rPr>
          <w:color w:val="000000" w:themeColor="text1"/>
        </w:rPr>
        <w:t>Judge Advocate General’s Corp (</w:t>
      </w:r>
      <w:r w:rsidRPr="003952DE">
        <w:rPr>
          <w:color w:val="000000" w:themeColor="text1"/>
        </w:rPr>
        <w:t>JAG</w:t>
      </w:r>
      <w:r w:rsidR="006E2A33">
        <w:rPr>
          <w:color w:val="000000" w:themeColor="text1"/>
        </w:rPr>
        <w:t>)</w:t>
      </w:r>
      <w:r w:rsidRPr="003952DE">
        <w:rPr>
          <w:color w:val="000000" w:themeColor="text1"/>
        </w:rPr>
        <w:t xml:space="preserve"> officer and professor at the </w:t>
      </w:r>
      <w:r w:rsidR="00E85C6F" w:rsidRPr="003952DE">
        <w:rPr>
          <w:color w:val="000000" w:themeColor="text1"/>
        </w:rPr>
        <w:t>US</w:t>
      </w:r>
      <w:r w:rsidRPr="003952DE">
        <w:rPr>
          <w:color w:val="000000" w:themeColor="text1"/>
        </w:rPr>
        <w:t xml:space="preserve"> Naval Academy, who noted that targeting Iranian cultural sites would violate international law (the 1954 Hague Convention), </w:t>
      </w:r>
      <w:r w:rsidR="00E85C6F" w:rsidRPr="003952DE">
        <w:rPr>
          <w:color w:val="000000" w:themeColor="text1"/>
        </w:rPr>
        <w:t>US</w:t>
      </w:r>
      <w:r w:rsidRPr="003952DE">
        <w:rPr>
          <w:color w:val="000000" w:themeColor="text1"/>
        </w:rPr>
        <w:t xml:space="preserve"> domestic law (18 </w:t>
      </w:r>
      <w:r w:rsidR="00E85C6F" w:rsidRPr="003952DE">
        <w:rPr>
          <w:color w:val="000000" w:themeColor="text1"/>
        </w:rPr>
        <w:t>US</w:t>
      </w:r>
      <w:r w:rsidR="0019063B">
        <w:rPr>
          <w:color w:val="000000" w:themeColor="text1"/>
        </w:rPr>
        <w:t xml:space="preserve"> Code</w:t>
      </w:r>
      <w:r w:rsidRPr="003952DE">
        <w:rPr>
          <w:color w:val="000000" w:themeColor="text1"/>
        </w:rPr>
        <w:t xml:space="preserve"> </w:t>
      </w:r>
      <w:r w:rsidR="00D91B47">
        <w:rPr>
          <w:color w:val="000000" w:themeColor="text1"/>
        </w:rPr>
        <w:t xml:space="preserve">Section </w:t>
      </w:r>
      <w:r w:rsidRPr="003952DE">
        <w:rPr>
          <w:color w:val="000000" w:themeColor="text1"/>
        </w:rPr>
        <w:t>2441)</w:t>
      </w:r>
      <w:r w:rsidR="00FE11EF">
        <w:rPr>
          <w:color w:val="000000" w:themeColor="text1"/>
        </w:rPr>
        <w:t>,</w:t>
      </w:r>
      <w:r w:rsidRPr="003952DE">
        <w:rPr>
          <w:color w:val="000000" w:themeColor="text1"/>
        </w:rPr>
        <w:t xml:space="preserve"> and </w:t>
      </w:r>
      <w:r w:rsidR="00E85C6F" w:rsidRPr="003952DE">
        <w:rPr>
          <w:color w:val="000000" w:themeColor="text1"/>
        </w:rPr>
        <w:t>US</w:t>
      </w:r>
      <w:r w:rsidRPr="003952DE">
        <w:rPr>
          <w:color w:val="000000" w:themeColor="text1"/>
        </w:rPr>
        <w:t xml:space="preserve"> military law and guidance (outlined in the</w:t>
      </w:r>
      <w:r w:rsidR="00C06D83">
        <w:rPr>
          <w:color w:val="000000" w:themeColor="text1"/>
        </w:rPr>
        <w:t xml:space="preserve"> 2016</w:t>
      </w:r>
      <w:r w:rsidRPr="003952DE">
        <w:rPr>
          <w:color w:val="000000" w:themeColor="text1"/>
        </w:rPr>
        <w:t xml:space="preserve"> </w:t>
      </w:r>
      <w:r w:rsidRPr="003952DE">
        <w:rPr>
          <w:i/>
          <w:iCs/>
          <w:color w:val="000000" w:themeColor="text1"/>
        </w:rPr>
        <w:t>Law of War Manual</w:t>
      </w:r>
      <w:r w:rsidRPr="003952DE">
        <w:rPr>
          <w:color w:val="000000" w:themeColor="text1"/>
        </w:rPr>
        <w:t>). Nevitt concluded that “there is simply no legal gray area or colorable argument to the contrary. This ‘legal trifecta’ provides for strong protections of cultural sites around the world in both peacetime and across the spectrum of armed conflict.”</w:t>
      </w:r>
      <w:r w:rsidRPr="003952DE">
        <w:rPr>
          <w:rStyle w:val="EndnoteReference"/>
          <w:color w:val="000000" w:themeColor="text1"/>
        </w:rPr>
        <w:endnoteReference w:id="44"/>
      </w:r>
      <w:r w:rsidRPr="003952DE">
        <w:rPr>
          <w:color w:val="000000" w:themeColor="text1"/>
        </w:rPr>
        <w:t xml:space="preserve"> Unless there was specific intelligence that Iran was using a protected cultural site as a military facility (for example, by placing aircraft next to a temple or mosque), any officer who received an order to attack a cultural site would be obligated to disobey.</w:t>
      </w:r>
      <w:r w:rsidRPr="003952DE">
        <w:rPr>
          <w:rStyle w:val="EndnoteReference"/>
          <w:color w:val="000000" w:themeColor="text1"/>
        </w:rPr>
        <w:endnoteReference w:id="45"/>
      </w:r>
      <w:r w:rsidRPr="003952DE">
        <w:rPr>
          <w:color w:val="000000" w:themeColor="text1"/>
        </w:rPr>
        <w:t xml:space="preserve"> There was no evidence that such intelligence existed, however, when Trump issued his threat, which helps explain why the </w:t>
      </w:r>
      <w:r w:rsidR="004961A3">
        <w:rPr>
          <w:color w:val="000000" w:themeColor="text1"/>
        </w:rPr>
        <w:t>s</w:t>
      </w:r>
      <w:r w:rsidRPr="003952DE">
        <w:rPr>
          <w:color w:val="000000" w:themeColor="text1"/>
        </w:rPr>
        <w:t xml:space="preserve">ecretary of </w:t>
      </w:r>
      <w:r w:rsidR="004961A3">
        <w:rPr>
          <w:color w:val="000000" w:themeColor="text1"/>
        </w:rPr>
        <w:t>d</w:t>
      </w:r>
      <w:r w:rsidRPr="003952DE">
        <w:rPr>
          <w:color w:val="000000" w:themeColor="text1"/>
        </w:rPr>
        <w:t xml:space="preserve">efense was so quick to clarify the Pentagon’s position and contradict the president. </w:t>
      </w:r>
    </w:p>
    <w:p w14:paraId="4F9942F9" w14:textId="77777777" w:rsidR="00E40919" w:rsidRDefault="00E40919" w:rsidP="00E22AD5">
      <w:pPr>
        <w:tabs>
          <w:tab w:val="left" w:pos="2272"/>
        </w:tabs>
        <w:spacing w:line="480" w:lineRule="auto"/>
        <w:rPr>
          <w:bCs/>
          <w:color w:val="000000" w:themeColor="text1"/>
          <w:u w:val="single"/>
        </w:rPr>
      </w:pPr>
    </w:p>
    <w:p w14:paraId="25FD8603" w14:textId="469B51AD" w:rsidR="00E27C32" w:rsidRPr="003952DE" w:rsidRDefault="00E27C32" w:rsidP="00C2455D">
      <w:pPr>
        <w:pStyle w:val="Heading2"/>
      </w:pPr>
      <w:r w:rsidRPr="003952DE">
        <w:t>Conclusions: The Past and Future of Cultural Protection</w:t>
      </w:r>
    </w:p>
    <w:p w14:paraId="44747FE5" w14:textId="07968AB8" w:rsidR="00E27C32" w:rsidRPr="003952DE" w:rsidRDefault="00E27C32" w:rsidP="00E22AD5">
      <w:pPr>
        <w:spacing w:line="480" w:lineRule="auto"/>
        <w:rPr>
          <w:color w:val="000000" w:themeColor="text1"/>
        </w:rPr>
      </w:pPr>
      <w:r w:rsidRPr="003952DE">
        <w:rPr>
          <w:color w:val="000000" w:themeColor="text1"/>
        </w:rPr>
        <w:t xml:space="preserve">Global norms have moved a great distance from accepting plunder to </w:t>
      </w:r>
      <w:r w:rsidR="00295858">
        <w:rPr>
          <w:color w:val="000000" w:themeColor="text1"/>
        </w:rPr>
        <w:t>promoting</w:t>
      </w:r>
      <w:r w:rsidRPr="003952DE">
        <w:rPr>
          <w:color w:val="000000" w:themeColor="text1"/>
        </w:rPr>
        <w:t xml:space="preserve"> protection. When viewed from a great distance, the arc of history may well bend toward justice. But from a closer perspective th</w:t>
      </w:r>
      <w:r w:rsidR="00EF29B8">
        <w:rPr>
          <w:color w:val="000000" w:themeColor="text1"/>
        </w:rPr>
        <w:t>at</w:t>
      </w:r>
      <w:r w:rsidRPr="003952DE">
        <w:rPr>
          <w:color w:val="000000" w:themeColor="text1"/>
        </w:rPr>
        <w:t xml:space="preserve"> arc looks more like a roller</w:t>
      </w:r>
      <w:r w:rsidR="00EF29B8">
        <w:rPr>
          <w:color w:val="000000" w:themeColor="text1"/>
        </w:rPr>
        <w:t>-</w:t>
      </w:r>
      <w:r w:rsidRPr="003952DE">
        <w:rPr>
          <w:color w:val="000000" w:themeColor="text1"/>
        </w:rPr>
        <w:t xml:space="preserve">coaster ride, with successes mixed with failures to protect cultural </w:t>
      </w:r>
      <w:r w:rsidR="00665626" w:rsidRPr="003952DE">
        <w:rPr>
          <w:color w:val="000000" w:themeColor="text1"/>
        </w:rPr>
        <w:t>heritage</w:t>
      </w:r>
      <w:r w:rsidRPr="003952DE">
        <w:rPr>
          <w:color w:val="000000" w:themeColor="text1"/>
        </w:rPr>
        <w:t xml:space="preserve"> and different reactions to those failures.</w:t>
      </w:r>
      <w:r w:rsidRPr="003952DE">
        <w:rPr>
          <w:rStyle w:val="EndnoteReference"/>
          <w:color w:val="000000" w:themeColor="text1"/>
        </w:rPr>
        <w:endnoteReference w:id="46"/>
      </w:r>
      <w:r w:rsidRPr="003952DE">
        <w:rPr>
          <w:color w:val="000000" w:themeColor="text1"/>
        </w:rPr>
        <w:t xml:space="preserve"> The arc of history only bends toward justice if we make it do so. </w:t>
      </w:r>
    </w:p>
    <w:p w14:paraId="11172172" w14:textId="56AD7F94" w:rsidR="00E27C32" w:rsidRPr="003952DE" w:rsidRDefault="00E27C32" w:rsidP="00E22AD5">
      <w:pPr>
        <w:spacing w:line="480" w:lineRule="auto"/>
        <w:ind w:firstLine="720"/>
        <w:rPr>
          <w:color w:val="000000" w:themeColor="text1"/>
        </w:rPr>
      </w:pPr>
      <w:r w:rsidRPr="003952DE">
        <w:rPr>
          <w:bCs/>
          <w:color w:val="000000" w:themeColor="text1"/>
        </w:rPr>
        <w:t xml:space="preserve">This historical review has focused on the United States, but the lessons apply to all states. </w:t>
      </w:r>
      <w:r w:rsidR="009A39FC">
        <w:rPr>
          <w:bCs/>
          <w:color w:val="000000" w:themeColor="text1"/>
        </w:rPr>
        <w:t>In general, d</w:t>
      </w:r>
      <w:r w:rsidRPr="003952DE">
        <w:rPr>
          <w:bCs/>
          <w:color w:val="000000" w:themeColor="text1"/>
        </w:rPr>
        <w:t>emocracies are</w:t>
      </w:r>
      <w:r w:rsidR="009A39FC">
        <w:rPr>
          <w:bCs/>
          <w:color w:val="000000" w:themeColor="text1"/>
        </w:rPr>
        <w:t xml:space="preserve"> </w:t>
      </w:r>
      <w:r w:rsidRPr="003952DE">
        <w:rPr>
          <w:bCs/>
          <w:color w:val="000000" w:themeColor="text1"/>
        </w:rPr>
        <w:t>more likely to comply with the international</w:t>
      </w:r>
      <w:r w:rsidR="007B7E1E">
        <w:rPr>
          <w:bCs/>
          <w:color w:val="000000" w:themeColor="text1"/>
        </w:rPr>
        <w:t xml:space="preserve"> treaties </w:t>
      </w:r>
      <w:r w:rsidR="006B6910">
        <w:rPr>
          <w:bCs/>
          <w:color w:val="000000" w:themeColor="text1"/>
        </w:rPr>
        <w:t>that</w:t>
      </w:r>
      <w:r w:rsidR="00F22DBF" w:rsidRPr="003952DE">
        <w:rPr>
          <w:bCs/>
          <w:color w:val="000000" w:themeColor="text1"/>
        </w:rPr>
        <w:t xml:space="preserve"> </w:t>
      </w:r>
      <w:r w:rsidRPr="003952DE">
        <w:rPr>
          <w:bCs/>
          <w:color w:val="000000" w:themeColor="text1"/>
        </w:rPr>
        <w:t>they have</w:t>
      </w:r>
      <w:r w:rsidR="00F22DBF">
        <w:rPr>
          <w:bCs/>
          <w:color w:val="000000" w:themeColor="text1"/>
        </w:rPr>
        <w:t xml:space="preserve"> </w:t>
      </w:r>
      <w:r w:rsidRPr="003952DE">
        <w:rPr>
          <w:bCs/>
          <w:color w:val="000000" w:themeColor="text1"/>
        </w:rPr>
        <w:t xml:space="preserve">signed </w:t>
      </w:r>
      <w:r w:rsidR="006E298B">
        <w:rPr>
          <w:bCs/>
          <w:color w:val="000000" w:themeColor="text1"/>
        </w:rPr>
        <w:t>and ratified</w:t>
      </w:r>
      <w:r w:rsidRPr="003952DE">
        <w:rPr>
          <w:bCs/>
          <w:color w:val="000000" w:themeColor="text1"/>
        </w:rPr>
        <w:t>.</w:t>
      </w:r>
      <w:r w:rsidRPr="003952DE">
        <w:rPr>
          <w:rStyle w:val="EndnoteReference"/>
          <w:bCs/>
          <w:color w:val="000000" w:themeColor="text1"/>
        </w:rPr>
        <w:endnoteReference w:id="47"/>
      </w:r>
      <w:r w:rsidRPr="003952DE">
        <w:rPr>
          <w:bCs/>
          <w:color w:val="000000" w:themeColor="text1"/>
        </w:rPr>
        <w:t xml:space="preserve"> This is a reminder</w:t>
      </w:r>
      <w:r w:rsidR="0008301D">
        <w:rPr>
          <w:bCs/>
          <w:color w:val="000000" w:themeColor="text1"/>
        </w:rPr>
        <w:t>,</w:t>
      </w:r>
      <w:r w:rsidRPr="003952DE">
        <w:rPr>
          <w:bCs/>
          <w:color w:val="000000" w:themeColor="text1"/>
        </w:rPr>
        <w:t xml:space="preserve"> therefore</w:t>
      </w:r>
      <w:r w:rsidR="0008301D">
        <w:rPr>
          <w:bCs/>
          <w:color w:val="000000" w:themeColor="text1"/>
        </w:rPr>
        <w:t>,</w:t>
      </w:r>
      <w:r w:rsidRPr="003952DE">
        <w:rPr>
          <w:bCs/>
          <w:color w:val="000000" w:themeColor="text1"/>
        </w:rPr>
        <w:t xml:space="preserve"> of the importance of getting all states, democracies and nondemocracies alike, to ratify treaties that seek to protect cultural </w:t>
      </w:r>
      <w:r w:rsidR="00665626" w:rsidRPr="003952DE">
        <w:rPr>
          <w:bCs/>
          <w:color w:val="000000" w:themeColor="text1"/>
        </w:rPr>
        <w:t>heritage</w:t>
      </w:r>
      <w:r w:rsidRPr="003952DE">
        <w:rPr>
          <w:bCs/>
          <w:color w:val="000000" w:themeColor="text1"/>
        </w:rPr>
        <w:t xml:space="preserve"> in conflict.</w:t>
      </w:r>
      <w:r w:rsidR="00D1079A" w:rsidRPr="003952DE">
        <w:rPr>
          <w:bCs/>
          <w:color w:val="000000" w:themeColor="text1"/>
        </w:rPr>
        <w:t xml:space="preserve"> </w:t>
      </w:r>
      <w:r w:rsidRPr="003952DE">
        <w:rPr>
          <w:bCs/>
          <w:color w:val="000000" w:themeColor="text1"/>
        </w:rPr>
        <w:t>But because these treaties usually create standards of appropriate behavior</w:t>
      </w:r>
      <w:r w:rsidR="00347D66">
        <w:rPr>
          <w:bCs/>
          <w:color w:val="000000" w:themeColor="text1"/>
        </w:rPr>
        <w:t>—</w:t>
      </w:r>
      <w:r w:rsidRPr="003952DE">
        <w:rPr>
          <w:bCs/>
          <w:color w:val="000000" w:themeColor="text1"/>
        </w:rPr>
        <w:t xml:space="preserve">not specific rules to govern how to make trade-offs between acts that improve military advantage and constraints that protect cultural </w:t>
      </w:r>
      <w:r w:rsidR="00665626" w:rsidRPr="003952DE">
        <w:rPr>
          <w:bCs/>
          <w:color w:val="000000" w:themeColor="text1"/>
        </w:rPr>
        <w:t>heritage</w:t>
      </w:r>
      <w:r w:rsidR="00347D66">
        <w:rPr>
          <w:bCs/>
          <w:color w:val="000000" w:themeColor="text1"/>
        </w:rPr>
        <w:t>—</w:t>
      </w:r>
      <w:r w:rsidRPr="003952DE">
        <w:rPr>
          <w:bCs/>
          <w:color w:val="000000" w:themeColor="text1"/>
        </w:rPr>
        <w:t>the international community needs to be constantly vigilant to identify not only clear violations of law, but also poor interpretations of norms or implementation of laws that lead to unnecessary cultural heritage destruction.</w:t>
      </w:r>
    </w:p>
    <w:p w14:paraId="11AD0905" w14:textId="04D72906" w:rsidR="00E27C32" w:rsidRDefault="00E27C32" w:rsidP="00E22AD5">
      <w:pPr>
        <w:spacing w:line="480" w:lineRule="auto"/>
        <w:ind w:firstLine="720"/>
        <w:rPr>
          <w:bCs/>
          <w:color w:val="000000" w:themeColor="text1"/>
        </w:rPr>
      </w:pPr>
      <w:r w:rsidRPr="003952DE">
        <w:rPr>
          <w:bCs/>
          <w:color w:val="000000" w:themeColor="text1"/>
        </w:rPr>
        <w:t>The 1954 Hague Convention created entailments that encouraged the United States, despite not originally ratifying the treaty, to adjust its behavior over time. This phenomenon was neither linear nor inevitable. It was subject to backtracking, leadership pressures, and errors in wartime decision-making. For American political and military leaders</w:t>
      </w:r>
      <w:r w:rsidR="00CF078D" w:rsidRPr="00CF078D">
        <w:rPr>
          <w:bCs/>
          <w:color w:val="000000" w:themeColor="text1"/>
        </w:rPr>
        <w:t xml:space="preserve"> </w:t>
      </w:r>
      <w:r w:rsidR="00CF078D" w:rsidRPr="003952DE">
        <w:rPr>
          <w:bCs/>
          <w:color w:val="000000" w:themeColor="text1"/>
        </w:rPr>
        <w:t>in the crucible of war</w:t>
      </w:r>
      <w:r w:rsidRPr="003952DE">
        <w:rPr>
          <w:bCs/>
          <w:color w:val="000000" w:themeColor="text1"/>
        </w:rPr>
        <w:t xml:space="preserve">, both strategic and moral considerations were at play, considerations that sometimes reinforced each other and </w:t>
      </w:r>
      <w:r w:rsidR="00CF078D">
        <w:rPr>
          <w:bCs/>
          <w:color w:val="000000" w:themeColor="text1"/>
        </w:rPr>
        <w:t>at others</w:t>
      </w:r>
      <w:r w:rsidR="00CF078D" w:rsidRPr="003952DE">
        <w:rPr>
          <w:bCs/>
          <w:color w:val="000000" w:themeColor="text1"/>
        </w:rPr>
        <w:t xml:space="preserve"> </w:t>
      </w:r>
      <w:r w:rsidRPr="003952DE">
        <w:rPr>
          <w:bCs/>
          <w:color w:val="000000" w:themeColor="text1"/>
        </w:rPr>
        <w:t>created tensions.</w:t>
      </w:r>
    </w:p>
    <w:p w14:paraId="3B05E29B" w14:textId="65AACA3B" w:rsidR="00D76ABE" w:rsidRPr="000C1100" w:rsidRDefault="00111B62" w:rsidP="000C1100">
      <w:pPr>
        <w:spacing w:line="480" w:lineRule="auto"/>
        <w:ind w:firstLine="720"/>
        <w:rPr>
          <w:bCs/>
          <w:color w:val="000000" w:themeColor="text1"/>
        </w:rPr>
      </w:pPr>
      <w:r>
        <w:rPr>
          <w:color w:val="000000" w:themeColor="text1"/>
        </w:rPr>
        <w:t>I</w:t>
      </w:r>
      <w:r w:rsidR="00D76ABE" w:rsidRPr="003952DE">
        <w:rPr>
          <w:color w:val="000000" w:themeColor="text1"/>
        </w:rPr>
        <w:t xml:space="preserve">n many situations, protecting cultural heritage in war </w:t>
      </w:r>
      <w:r>
        <w:rPr>
          <w:color w:val="000000" w:themeColor="text1"/>
        </w:rPr>
        <w:t xml:space="preserve">may </w:t>
      </w:r>
      <w:r w:rsidR="00D76ABE" w:rsidRPr="003952DE">
        <w:rPr>
          <w:color w:val="000000" w:themeColor="text1"/>
        </w:rPr>
        <w:t xml:space="preserve">contribute to victory and enhance the prospects of </w:t>
      </w:r>
      <w:r w:rsidR="00046707">
        <w:rPr>
          <w:color w:val="000000" w:themeColor="text1"/>
        </w:rPr>
        <w:t>postwar</w:t>
      </w:r>
      <w:r w:rsidR="00D76ABE" w:rsidRPr="003952DE">
        <w:rPr>
          <w:color w:val="000000" w:themeColor="text1"/>
        </w:rPr>
        <w:t xml:space="preserve"> reconstruction. But we lack empirical evidence about how often and to what degree this is true. Indeed, the evidence for the “strategic logic” regarding cultural heritage protection is quite anecdotal compared to the rigorous empirical social science research about the strategic effects of “force protection,” torture of prisoners, and collateral damage </w:t>
      </w:r>
      <w:r w:rsidR="004411CD">
        <w:rPr>
          <w:color w:val="000000" w:themeColor="text1"/>
        </w:rPr>
        <w:t>to</w:t>
      </w:r>
      <w:r w:rsidR="004411CD" w:rsidRPr="003952DE">
        <w:rPr>
          <w:color w:val="000000" w:themeColor="text1"/>
        </w:rPr>
        <w:t xml:space="preserve"> </w:t>
      </w:r>
      <w:r w:rsidR="00D76ABE" w:rsidRPr="003952DE">
        <w:rPr>
          <w:color w:val="000000" w:themeColor="text1"/>
        </w:rPr>
        <w:t>civilians.</w:t>
      </w:r>
      <w:r w:rsidR="00D76ABE" w:rsidRPr="003952DE">
        <w:rPr>
          <w:rStyle w:val="EndnoteReference"/>
          <w:color w:val="000000" w:themeColor="text1"/>
        </w:rPr>
        <w:endnoteReference w:id="48"/>
      </w:r>
      <w:r w:rsidR="00F116A6">
        <w:rPr>
          <w:color w:val="000000" w:themeColor="text1"/>
        </w:rPr>
        <w:t xml:space="preserve"> </w:t>
      </w:r>
      <w:r w:rsidR="00295858">
        <w:rPr>
          <w:color w:val="000000" w:themeColor="text1"/>
        </w:rPr>
        <w:t xml:space="preserve">The international community would benefit from more </w:t>
      </w:r>
      <w:r w:rsidR="000C1100">
        <w:rPr>
          <w:color w:val="000000" w:themeColor="text1"/>
        </w:rPr>
        <w:t xml:space="preserve">empirical </w:t>
      </w:r>
      <w:r w:rsidR="00295858">
        <w:rPr>
          <w:color w:val="000000" w:themeColor="text1"/>
        </w:rPr>
        <w:t xml:space="preserve">research on the conditions </w:t>
      </w:r>
      <w:r w:rsidR="00834ED0">
        <w:rPr>
          <w:color w:val="000000" w:themeColor="text1"/>
        </w:rPr>
        <w:t xml:space="preserve">under </w:t>
      </w:r>
      <w:r w:rsidR="00295858">
        <w:rPr>
          <w:color w:val="000000" w:themeColor="text1"/>
        </w:rPr>
        <w:t xml:space="preserve">which </w:t>
      </w:r>
      <w:r w:rsidR="000C1100">
        <w:rPr>
          <w:color w:val="000000" w:themeColor="text1"/>
        </w:rPr>
        <w:t>protecting cultural heritage helps win conflicts and promotes peace afterward</w:t>
      </w:r>
      <w:r w:rsidR="00834ED0">
        <w:rPr>
          <w:color w:val="000000" w:themeColor="text1"/>
        </w:rPr>
        <w:t>,</w:t>
      </w:r>
      <w:r w:rsidR="000C1100">
        <w:rPr>
          <w:color w:val="000000" w:themeColor="text1"/>
        </w:rPr>
        <w:t xml:space="preserve"> and </w:t>
      </w:r>
      <w:r w:rsidR="00834ED0">
        <w:rPr>
          <w:color w:val="000000" w:themeColor="text1"/>
        </w:rPr>
        <w:t xml:space="preserve">under </w:t>
      </w:r>
      <w:r w:rsidR="000C1100">
        <w:rPr>
          <w:color w:val="000000" w:themeColor="text1"/>
        </w:rPr>
        <w:t xml:space="preserve">which this strategic logic is compelling. </w:t>
      </w:r>
    </w:p>
    <w:p w14:paraId="1A752B01" w14:textId="7E9A1411" w:rsidR="004C117E" w:rsidRDefault="00E27C32" w:rsidP="00C2455D">
      <w:pPr>
        <w:spacing w:line="480" w:lineRule="auto"/>
        <w:ind w:firstLine="720"/>
        <w:rPr>
          <w:color w:val="000000" w:themeColor="text1"/>
        </w:rPr>
      </w:pPr>
      <w:r w:rsidRPr="003952DE">
        <w:rPr>
          <w:color w:val="000000" w:themeColor="text1"/>
        </w:rPr>
        <w:t xml:space="preserve">It is important that more governments recognize that protection of cultural heritage can be a force multiplier in some contexts, reducing the animosity of foreign civilians and increasing the prospects for peaceful settlements and post-conflict stability. But it is also important for the </w:t>
      </w:r>
      <w:r w:rsidR="00FD3ADE">
        <w:rPr>
          <w:color w:val="000000" w:themeColor="text1"/>
        </w:rPr>
        <w:t>United States</w:t>
      </w:r>
      <w:r w:rsidR="00FD3ADE" w:rsidRPr="003952DE">
        <w:rPr>
          <w:color w:val="000000" w:themeColor="text1"/>
        </w:rPr>
        <w:t xml:space="preserve"> </w:t>
      </w:r>
      <w:r w:rsidRPr="003952DE">
        <w:rPr>
          <w:color w:val="000000" w:themeColor="text1"/>
        </w:rPr>
        <w:t>and other governments to take great care to protect cultural heritage, not only when it contributes to winning the war</w:t>
      </w:r>
      <w:r w:rsidR="000C1100">
        <w:rPr>
          <w:color w:val="000000" w:themeColor="text1"/>
        </w:rPr>
        <w:t xml:space="preserve"> and sustaining the peace</w:t>
      </w:r>
      <w:r w:rsidRPr="003952DE">
        <w:rPr>
          <w:color w:val="000000" w:themeColor="text1"/>
        </w:rPr>
        <w:t xml:space="preserve">, but even when it does not. </w:t>
      </w:r>
      <w:r w:rsidR="00834448">
        <w:rPr>
          <w:color w:val="000000" w:themeColor="text1"/>
        </w:rPr>
        <w:t>And w</w:t>
      </w:r>
      <w:r w:rsidRPr="003952DE">
        <w:rPr>
          <w:color w:val="000000" w:themeColor="text1"/>
        </w:rPr>
        <w:t xml:space="preserve">e should protect cultural heritage even when </w:t>
      </w:r>
      <w:r w:rsidR="0008301D">
        <w:rPr>
          <w:color w:val="000000" w:themeColor="text1"/>
        </w:rPr>
        <w:t>we do</w:t>
      </w:r>
      <w:r w:rsidRPr="003952DE">
        <w:rPr>
          <w:color w:val="000000" w:themeColor="text1"/>
        </w:rPr>
        <w:t xml:space="preserve"> not expect reciprocity. </w:t>
      </w:r>
      <w:r w:rsidR="00AD1FD7">
        <w:rPr>
          <w:color w:val="000000" w:themeColor="text1"/>
        </w:rPr>
        <w:t>Ultimately, w</w:t>
      </w:r>
      <w:r w:rsidRPr="003952DE">
        <w:rPr>
          <w:color w:val="000000" w:themeColor="text1"/>
        </w:rPr>
        <w:t xml:space="preserve">e should protect cultural heritage in war because it is the right thing to do. As Jennifer M. O’Conner, the chief legal officer in the </w:t>
      </w:r>
      <w:r w:rsidR="00E85C6F" w:rsidRPr="003952DE">
        <w:rPr>
          <w:color w:val="000000" w:themeColor="text1"/>
        </w:rPr>
        <w:t>US</w:t>
      </w:r>
      <w:r w:rsidRPr="003952DE">
        <w:rPr>
          <w:color w:val="000000" w:themeColor="text1"/>
        </w:rPr>
        <w:t xml:space="preserve"> Department of Defense, argued in 2016: </w:t>
      </w:r>
      <w:r w:rsidR="000A6076">
        <w:rPr>
          <w:color w:val="000000" w:themeColor="text1"/>
        </w:rPr>
        <w:t>“</w:t>
      </w:r>
      <w:r w:rsidRPr="003952DE">
        <w:rPr>
          <w:color w:val="000000" w:themeColor="text1"/>
        </w:rPr>
        <w:t>We comply with the law of war because it is the law</w:t>
      </w:r>
      <w:r w:rsidR="000C61AF">
        <w:rPr>
          <w:color w:val="000000" w:themeColor="text1"/>
        </w:rPr>
        <w:t xml:space="preserve"> </w:t>
      </w:r>
      <w:r w:rsidRPr="003952DE">
        <w:rPr>
          <w:color w:val="000000" w:themeColor="text1"/>
        </w:rPr>
        <w:t>…</w:t>
      </w:r>
      <w:r w:rsidR="000C61AF">
        <w:rPr>
          <w:color w:val="000000" w:themeColor="text1"/>
        </w:rPr>
        <w:t xml:space="preserve"> </w:t>
      </w:r>
      <w:r w:rsidRPr="003952DE">
        <w:rPr>
          <w:color w:val="000000" w:themeColor="text1"/>
        </w:rPr>
        <w:t>we will treat everyone lawfully and humanely, even when our foes do not do the same. We follow the law because it reflects our core values, the very principles that we are fighting to protect and preserve</w:t>
      </w:r>
      <w:r w:rsidR="00196465">
        <w:rPr>
          <w:color w:val="000000" w:themeColor="text1"/>
        </w:rPr>
        <w:t>—</w:t>
      </w:r>
      <w:r w:rsidRPr="003952DE">
        <w:rPr>
          <w:color w:val="000000" w:themeColor="text1"/>
        </w:rPr>
        <w:t>in short, it reflects who we are.</w:t>
      </w:r>
      <w:r w:rsidR="000A6076">
        <w:rPr>
          <w:color w:val="000000" w:themeColor="text1"/>
        </w:rPr>
        <w:t>”</w:t>
      </w:r>
      <w:r w:rsidRPr="003952DE">
        <w:rPr>
          <w:rStyle w:val="EndnoteReference"/>
          <w:color w:val="000000" w:themeColor="text1"/>
        </w:rPr>
        <w:endnoteReference w:id="49"/>
      </w:r>
      <w:r w:rsidR="000A6076">
        <w:rPr>
          <w:color w:val="000000" w:themeColor="text1"/>
        </w:rPr>
        <w:t xml:space="preserve"> </w:t>
      </w:r>
      <w:r w:rsidR="00A5213A" w:rsidRPr="003952DE">
        <w:rPr>
          <w:color w:val="000000" w:themeColor="text1"/>
        </w:rPr>
        <w:t>O’Conner was referring to the laws of armed conflict regarding protection of noncombatants</w:t>
      </w:r>
      <w:r w:rsidR="00361E38">
        <w:rPr>
          <w:color w:val="000000" w:themeColor="text1"/>
        </w:rPr>
        <w:t>,</w:t>
      </w:r>
      <w:r w:rsidR="00A5213A" w:rsidRPr="003952DE">
        <w:rPr>
          <w:color w:val="000000" w:themeColor="text1"/>
        </w:rPr>
        <w:t xml:space="preserve"> </w:t>
      </w:r>
      <w:r w:rsidR="00361E38">
        <w:rPr>
          <w:color w:val="000000" w:themeColor="text1"/>
        </w:rPr>
        <w:t>b</w:t>
      </w:r>
      <w:r w:rsidR="00A5213A" w:rsidRPr="003952DE">
        <w:rPr>
          <w:color w:val="000000" w:themeColor="text1"/>
        </w:rPr>
        <w:t xml:space="preserve">ut the sentiment holds true about protection of cultural </w:t>
      </w:r>
      <w:r w:rsidR="00A630AB" w:rsidRPr="003952DE">
        <w:rPr>
          <w:color w:val="000000" w:themeColor="text1"/>
        </w:rPr>
        <w:t>heritage</w:t>
      </w:r>
      <w:r w:rsidR="00A5213A" w:rsidRPr="003952DE">
        <w:rPr>
          <w:color w:val="000000" w:themeColor="text1"/>
        </w:rPr>
        <w:t xml:space="preserve"> as well. We should follow the law because it reflects who we are</w:t>
      </w:r>
      <w:r w:rsidR="003063D3" w:rsidRPr="003952DE">
        <w:rPr>
          <w:color w:val="000000" w:themeColor="text1"/>
        </w:rPr>
        <w:t>, or at least who we aspire to be.</w:t>
      </w:r>
      <w:r w:rsidR="00DD7DEB" w:rsidRPr="003952DE">
        <w:rPr>
          <w:color w:val="000000" w:themeColor="text1"/>
        </w:rPr>
        <w:t xml:space="preserve"> </w:t>
      </w:r>
    </w:p>
    <w:p w14:paraId="0DE951BE" w14:textId="2DAEE61B" w:rsidR="0028329C" w:rsidRDefault="0028329C" w:rsidP="0028329C"/>
    <w:p w14:paraId="29BE5D78" w14:textId="26D963E8" w:rsidR="00574CAF" w:rsidRDefault="00574CAF" w:rsidP="0028329C">
      <w:r>
        <w:t>Figure Captions</w:t>
      </w:r>
    </w:p>
    <w:p w14:paraId="7CDA836F" w14:textId="77777777" w:rsidR="00574CAF" w:rsidRDefault="00574CAF" w:rsidP="0028329C"/>
    <w:p w14:paraId="04EB6ADD" w14:textId="32E580BC" w:rsidR="0028329C" w:rsidRDefault="0028329C" w:rsidP="00574CAF">
      <w:pPr>
        <w:spacing w:line="480" w:lineRule="auto"/>
        <w:rPr>
          <w:color w:val="000000" w:themeColor="text1"/>
        </w:rPr>
      </w:pPr>
      <w:r w:rsidRPr="0009707A">
        <w:rPr>
          <w:color w:val="000000" w:themeColor="text1"/>
        </w:rPr>
        <w:t xml:space="preserve">Figure </w:t>
      </w:r>
      <w:r w:rsidR="00291135">
        <w:rPr>
          <w:color w:val="000000" w:themeColor="text1"/>
        </w:rPr>
        <w:t>28.</w:t>
      </w:r>
      <w:r w:rsidRPr="0009707A">
        <w:rPr>
          <w:color w:val="000000" w:themeColor="text1"/>
        </w:rPr>
        <w:t>1: Target map of Kyoto, June 1945</w:t>
      </w:r>
      <w:r>
        <w:rPr>
          <w:color w:val="000000" w:themeColor="text1"/>
        </w:rPr>
        <w:t xml:space="preserve">. </w:t>
      </w:r>
      <w:r w:rsidR="00291135">
        <w:rPr>
          <w:color w:val="000000" w:themeColor="text1"/>
        </w:rPr>
        <w:t>(</w:t>
      </w:r>
      <w:r w:rsidRPr="003952DE">
        <w:rPr>
          <w:color w:val="000000" w:themeColor="text1"/>
        </w:rPr>
        <w:t xml:space="preserve">Alex Wellerstein, “The Kyoto </w:t>
      </w:r>
      <w:r>
        <w:rPr>
          <w:color w:val="000000" w:themeColor="text1"/>
        </w:rPr>
        <w:t>M</w:t>
      </w:r>
      <w:r w:rsidRPr="003952DE">
        <w:rPr>
          <w:color w:val="000000" w:themeColor="text1"/>
        </w:rPr>
        <w:t xml:space="preserve">isconception,” </w:t>
      </w:r>
      <w:r w:rsidRPr="00C2455D">
        <w:rPr>
          <w:i/>
          <w:iCs/>
          <w:color w:val="000000" w:themeColor="text1"/>
        </w:rPr>
        <w:t>The Nuclear Secrecy Blog</w:t>
      </w:r>
      <w:r w:rsidRPr="003952DE">
        <w:rPr>
          <w:color w:val="000000" w:themeColor="text1"/>
        </w:rPr>
        <w:t>,</w:t>
      </w:r>
      <w:r w:rsidR="00F05527">
        <w:rPr>
          <w:color w:val="000000" w:themeColor="text1"/>
        </w:rPr>
        <w:t xml:space="preserve"> 8 August 2014,</w:t>
      </w:r>
      <w:r w:rsidRPr="003952DE">
        <w:rPr>
          <w:color w:val="000000" w:themeColor="text1"/>
        </w:rPr>
        <w:t xml:space="preserve"> </w:t>
      </w:r>
      <w:r w:rsidR="0083153B" w:rsidRPr="00C2455D">
        <w:t>http://blog.nuclearsecrecy.com/2014/08/08/kyoto-misconception/</w:t>
      </w:r>
      <w:r w:rsidR="00291135">
        <w:rPr>
          <w:color w:val="000000" w:themeColor="text1"/>
        </w:rPr>
        <w:t>)</w:t>
      </w:r>
    </w:p>
    <w:p w14:paraId="093D8262" w14:textId="1EAB0CC0" w:rsidR="0028329C" w:rsidRPr="00987C99" w:rsidRDefault="0028329C" w:rsidP="00574CAF">
      <w:pPr>
        <w:spacing w:line="480" w:lineRule="auto"/>
        <w:rPr>
          <w:color w:val="000000" w:themeColor="text1"/>
          <w:lang w:val="en"/>
        </w:rPr>
      </w:pPr>
      <w:r w:rsidRPr="00F50BF0">
        <w:rPr>
          <w:color w:val="000000" w:themeColor="text1"/>
        </w:rPr>
        <w:t xml:space="preserve">Figure </w:t>
      </w:r>
      <w:r w:rsidR="00291135">
        <w:rPr>
          <w:color w:val="000000" w:themeColor="text1"/>
        </w:rPr>
        <w:t>28.</w:t>
      </w:r>
      <w:r w:rsidRPr="00F50BF0">
        <w:rPr>
          <w:color w:val="000000" w:themeColor="text1"/>
        </w:rPr>
        <w:t>2: Iraqi military aircraft stationed near the Temple of Ur</w:t>
      </w:r>
      <w:r>
        <w:rPr>
          <w:color w:val="000000" w:themeColor="text1"/>
        </w:rPr>
        <w:t xml:space="preserve">. </w:t>
      </w:r>
      <w:r w:rsidR="00291135">
        <w:rPr>
          <w:color w:val="000000" w:themeColor="text1"/>
        </w:rPr>
        <w:t>(</w:t>
      </w:r>
      <w:r w:rsidRPr="003952DE">
        <w:rPr>
          <w:color w:val="000000" w:themeColor="text1"/>
        </w:rPr>
        <w:t xml:space="preserve">US Department of Defense, </w:t>
      </w:r>
      <w:r w:rsidRPr="00C2455D">
        <w:rPr>
          <w:i/>
          <w:iCs/>
          <w:color w:val="000000" w:themeColor="text1"/>
        </w:rPr>
        <w:t>Conduct of the Persian Gulf War: Final Report to Congress</w:t>
      </w:r>
      <w:r w:rsidRPr="003952DE">
        <w:rPr>
          <w:color w:val="000000" w:themeColor="text1"/>
        </w:rPr>
        <w:t xml:space="preserve"> </w:t>
      </w:r>
      <w:r w:rsidR="009C53E6">
        <w:rPr>
          <w:color w:val="000000" w:themeColor="text1"/>
        </w:rPr>
        <w:t xml:space="preserve">(Washington, DC: Department of Defense, </w:t>
      </w:r>
      <w:r w:rsidR="00FE7B5A">
        <w:rPr>
          <w:color w:val="000000" w:themeColor="text1"/>
        </w:rPr>
        <w:t>A</w:t>
      </w:r>
      <w:r w:rsidR="00514FE3">
        <w:rPr>
          <w:color w:val="000000" w:themeColor="text1"/>
        </w:rPr>
        <w:t>pril</w:t>
      </w:r>
      <w:r w:rsidR="00FE7B5A">
        <w:rPr>
          <w:color w:val="000000" w:themeColor="text1"/>
        </w:rPr>
        <w:t xml:space="preserve"> </w:t>
      </w:r>
      <w:r w:rsidRPr="003952DE">
        <w:rPr>
          <w:color w:val="000000" w:themeColor="text1"/>
        </w:rPr>
        <w:t>1992</w:t>
      </w:r>
      <w:r w:rsidR="009C53E6">
        <w:rPr>
          <w:color w:val="000000" w:themeColor="text1"/>
        </w:rPr>
        <w:t>)</w:t>
      </w:r>
      <w:r w:rsidRPr="003952DE">
        <w:rPr>
          <w:color w:val="000000" w:themeColor="text1"/>
        </w:rPr>
        <w:t xml:space="preserve">, </w:t>
      </w:r>
      <w:r w:rsidR="008803E0" w:rsidRPr="00C2455D">
        <w:t>https://apps.dtic.mil/dtic/tr/fulltext/u2/a249270.pdf</w:t>
      </w:r>
      <w:r w:rsidR="008803E0">
        <w:rPr>
          <w:color w:val="000000" w:themeColor="text1"/>
        </w:rPr>
        <w:t>,</w:t>
      </w:r>
      <w:r w:rsidRPr="003952DE">
        <w:rPr>
          <w:color w:val="000000" w:themeColor="text1"/>
        </w:rPr>
        <w:t xml:space="preserve"> 133</w:t>
      </w:r>
      <w:r w:rsidR="00291135">
        <w:rPr>
          <w:color w:val="000000" w:themeColor="text1"/>
        </w:rPr>
        <w:t>)</w:t>
      </w:r>
    </w:p>
    <w:p w14:paraId="40B0AB91" w14:textId="54B2A8A6" w:rsidR="007D15AC" w:rsidRDefault="007D15AC" w:rsidP="0028329C">
      <w:pPr>
        <w:rPr>
          <w:color w:val="000000" w:themeColor="text1"/>
          <w:lang w:val="en"/>
        </w:rPr>
      </w:pPr>
    </w:p>
    <w:p w14:paraId="5245F95E" w14:textId="3EA7FD9E" w:rsidR="007D15AC" w:rsidRPr="00487E3D" w:rsidRDefault="007D15AC" w:rsidP="00C2455D">
      <w:pPr>
        <w:pStyle w:val="Heading2"/>
      </w:pPr>
      <w:r w:rsidRPr="00487E3D">
        <w:t>Suggest</w:t>
      </w:r>
      <w:r w:rsidR="00F116A6">
        <w:t xml:space="preserve">ed </w:t>
      </w:r>
      <w:r w:rsidRPr="00487E3D">
        <w:t>Reading</w:t>
      </w:r>
      <w:r w:rsidR="00F116A6">
        <w:t>s</w:t>
      </w:r>
    </w:p>
    <w:p w14:paraId="617C6FC7" w14:textId="4DB959FC" w:rsidR="007D15AC" w:rsidRPr="00C2455D" w:rsidRDefault="007D15AC" w:rsidP="00C2455D">
      <w:pPr>
        <w:spacing w:line="480" w:lineRule="auto"/>
        <w:rPr>
          <w:color w:val="000000" w:themeColor="text1"/>
        </w:rPr>
      </w:pPr>
      <w:r w:rsidRPr="00C2455D">
        <w:rPr>
          <w:color w:val="000000" w:themeColor="text1"/>
        </w:rPr>
        <w:t xml:space="preserve">Joseph H. Felter and Jacob N. Shapiro, “Limiting Civilian Casualties as Part of a Winning Strategy: The Case of Courageous Restraint,” </w:t>
      </w:r>
      <w:r w:rsidRPr="00C2455D">
        <w:rPr>
          <w:i/>
          <w:color w:val="000000" w:themeColor="text1"/>
        </w:rPr>
        <w:t xml:space="preserve">Daedalus </w:t>
      </w:r>
      <w:r w:rsidRPr="00C2455D">
        <w:rPr>
          <w:color w:val="000000" w:themeColor="text1"/>
        </w:rPr>
        <w:t>146, no. 1 (2017)</w:t>
      </w:r>
      <w:r w:rsidR="00F56BCE">
        <w:rPr>
          <w:color w:val="000000" w:themeColor="text1"/>
        </w:rPr>
        <w:t>: 44–58</w:t>
      </w:r>
      <w:r w:rsidRPr="00C2455D">
        <w:rPr>
          <w:color w:val="000000" w:themeColor="text1"/>
        </w:rPr>
        <w:t>.</w:t>
      </w:r>
    </w:p>
    <w:p w14:paraId="2079FA49" w14:textId="544AB26A" w:rsidR="00CD19E6" w:rsidRDefault="00CD19E6" w:rsidP="00CD19E6">
      <w:pPr>
        <w:spacing w:line="480" w:lineRule="auto"/>
        <w:rPr>
          <w:color w:val="000000" w:themeColor="text1"/>
        </w:rPr>
      </w:pPr>
    </w:p>
    <w:p w14:paraId="5C5C80AA" w14:textId="77777777" w:rsidR="00014D43" w:rsidRPr="004D2894" w:rsidRDefault="00014D43" w:rsidP="00014D43">
      <w:pPr>
        <w:spacing w:line="480" w:lineRule="auto"/>
        <w:rPr>
          <w:bCs/>
          <w:color w:val="000000" w:themeColor="text1"/>
        </w:rPr>
      </w:pPr>
      <w:r w:rsidRPr="004D2894">
        <w:rPr>
          <w:bCs/>
          <w:color w:val="000000" w:themeColor="text1"/>
        </w:rPr>
        <w:t xml:space="preserve">Laura Ford Savarese and John Fabian Witt, “Strategy &amp; Entailments: The Enduring Role of Law in the US Armed Forces,” </w:t>
      </w:r>
      <w:r w:rsidRPr="004D2894">
        <w:rPr>
          <w:bCs/>
          <w:i/>
          <w:color w:val="000000" w:themeColor="text1"/>
        </w:rPr>
        <w:t xml:space="preserve">Daedalus </w:t>
      </w:r>
      <w:r w:rsidRPr="004D2894">
        <w:rPr>
          <w:bCs/>
          <w:color w:val="000000" w:themeColor="text1"/>
        </w:rPr>
        <w:t>146, no. 1 (2017)</w:t>
      </w:r>
      <w:r>
        <w:rPr>
          <w:bCs/>
          <w:color w:val="000000" w:themeColor="text1"/>
        </w:rPr>
        <w:t>: 11–23</w:t>
      </w:r>
      <w:r w:rsidRPr="004D2894">
        <w:rPr>
          <w:bCs/>
          <w:color w:val="000000" w:themeColor="text1"/>
        </w:rPr>
        <w:t>.</w:t>
      </w:r>
    </w:p>
    <w:p w14:paraId="50AB72B6" w14:textId="77777777" w:rsidR="00014D43" w:rsidRDefault="00014D43" w:rsidP="00CD19E6">
      <w:pPr>
        <w:spacing w:line="480" w:lineRule="auto"/>
        <w:rPr>
          <w:color w:val="000000" w:themeColor="text1"/>
        </w:rPr>
      </w:pPr>
    </w:p>
    <w:p w14:paraId="7DD8FCF5" w14:textId="5D3C6353" w:rsidR="007D15AC" w:rsidRPr="00C2455D" w:rsidRDefault="007D15AC" w:rsidP="00C2455D">
      <w:pPr>
        <w:spacing w:line="480" w:lineRule="auto"/>
        <w:rPr>
          <w:color w:val="000000" w:themeColor="text1"/>
        </w:rPr>
      </w:pPr>
      <w:r w:rsidRPr="00C2455D">
        <w:rPr>
          <w:color w:val="000000" w:themeColor="text1"/>
        </w:rPr>
        <w:t>Patty Gerstenblith, “From Bamiyan to Baghdad: Warfare and the Preservation of Cultural Heritage at the Beginning of the 21</w:t>
      </w:r>
      <w:r w:rsidRPr="00C2455D">
        <w:rPr>
          <w:color w:val="000000" w:themeColor="text1"/>
          <w:vertAlign w:val="superscript"/>
        </w:rPr>
        <w:t>st</w:t>
      </w:r>
      <w:r w:rsidRPr="00C2455D">
        <w:rPr>
          <w:color w:val="000000" w:themeColor="text1"/>
        </w:rPr>
        <w:t xml:space="preserve"> Century,” </w:t>
      </w:r>
      <w:r w:rsidRPr="00C2455D">
        <w:rPr>
          <w:i/>
          <w:color w:val="000000" w:themeColor="text1"/>
        </w:rPr>
        <w:t>Georgetown Journal of International Law</w:t>
      </w:r>
      <w:r w:rsidRPr="00C2455D">
        <w:rPr>
          <w:color w:val="000000" w:themeColor="text1"/>
        </w:rPr>
        <w:t xml:space="preserve"> 37</w:t>
      </w:r>
      <w:r w:rsidR="005D30F5">
        <w:rPr>
          <w:color w:val="000000" w:themeColor="text1"/>
        </w:rPr>
        <w:t>, no. 2</w:t>
      </w:r>
      <w:r w:rsidRPr="00C2455D">
        <w:rPr>
          <w:color w:val="000000" w:themeColor="text1"/>
        </w:rPr>
        <w:t xml:space="preserve"> (2006)</w:t>
      </w:r>
      <w:r w:rsidR="005D30F5">
        <w:rPr>
          <w:color w:val="000000" w:themeColor="text1"/>
        </w:rPr>
        <w:t>: 245–351</w:t>
      </w:r>
      <w:r w:rsidRPr="00C2455D">
        <w:rPr>
          <w:color w:val="000000" w:themeColor="text1"/>
        </w:rPr>
        <w:t>.</w:t>
      </w:r>
    </w:p>
    <w:p w14:paraId="54B0C3C5" w14:textId="77777777" w:rsidR="00D67BCA" w:rsidRDefault="00D67BCA" w:rsidP="00D67BCA">
      <w:pPr>
        <w:spacing w:line="480" w:lineRule="auto"/>
        <w:rPr>
          <w:color w:val="000000" w:themeColor="text1"/>
        </w:rPr>
      </w:pPr>
    </w:p>
    <w:p w14:paraId="086D30C7" w14:textId="42199740" w:rsidR="007D15AC" w:rsidRPr="00C2455D" w:rsidRDefault="007D15AC" w:rsidP="00C2455D">
      <w:pPr>
        <w:spacing w:line="480" w:lineRule="auto"/>
        <w:rPr>
          <w:color w:val="000000" w:themeColor="text1"/>
        </w:rPr>
      </w:pPr>
      <w:r w:rsidRPr="00C2455D">
        <w:rPr>
          <w:color w:val="000000" w:themeColor="text1"/>
        </w:rPr>
        <w:t xml:space="preserve">Katherine E. McKinney, Scott D. Sagan, and Allen S. Weiner, “Why the </w:t>
      </w:r>
      <w:r w:rsidR="00D67BCA">
        <w:rPr>
          <w:color w:val="000000" w:themeColor="text1"/>
        </w:rPr>
        <w:t>A</w:t>
      </w:r>
      <w:r w:rsidRPr="00C2455D">
        <w:rPr>
          <w:color w:val="000000" w:themeColor="text1"/>
        </w:rPr>
        <w:t xml:space="preserve">tomic </w:t>
      </w:r>
      <w:r w:rsidR="00D67BCA">
        <w:rPr>
          <w:color w:val="000000" w:themeColor="text1"/>
        </w:rPr>
        <w:t>B</w:t>
      </w:r>
      <w:r w:rsidRPr="00C2455D">
        <w:rPr>
          <w:color w:val="000000" w:themeColor="text1"/>
        </w:rPr>
        <w:t xml:space="preserve">ombing of Hiroshima </w:t>
      </w:r>
      <w:r w:rsidR="00C65EFD">
        <w:rPr>
          <w:color w:val="000000" w:themeColor="text1"/>
        </w:rPr>
        <w:t>W</w:t>
      </w:r>
      <w:r w:rsidRPr="00C2455D">
        <w:rPr>
          <w:color w:val="000000" w:themeColor="text1"/>
        </w:rPr>
        <w:t xml:space="preserve">ould </w:t>
      </w:r>
      <w:r w:rsidR="00C65EFD">
        <w:rPr>
          <w:color w:val="000000" w:themeColor="text1"/>
        </w:rPr>
        <w:t>B</w:t>
      </w:r>
      <w:r w:rsidRPr="00C2455D">
        <w:rPr>
          <w:color w:val="000000" w:themeColor="text1"/>
        </w:rPr>
        <w:t xml:space="preserve">e </w:t>
      </w:r>
      <w:r w:rsidR="00C65EFD">
        <w:rPr>
          <w:color w:val="000000" w:themeColor="text1"/>
        </w:rPr>
        <w:t>I</w:t>
      </w:r>
      <w:r w:rsidRPr="00C2455D">
        <w:rPr>
          <w:color w:val="000000" w:themeColor="text1"/>
        </w:rPr>
        <w:t xml:space="preserve">llegal </w:t>
      </w:r>
      <w:r w:rsidR="00C65EFD">
        <w:rPr>
          <w:color w:val="000000" w:themeColor="text1"/>
        </w:rPr>
        <w:t>T</w:t>
      </w:r>
      <w:r w:rsidRPr="00C2455D">
        <w:rPr>
          <w:color w:val="000000" w:themeColor="text1"/>
        </w:rPr>
        <w:t xml:space="preserve">oday,” </w:t>
      </w:r>
      <w:r w:rsidRPr="00C2455D">
        <w:rPr>
          <w:i/>
          <w:iCs/>
          <w:color w:val="000000" w:themeColor="text1"/>
        </w:rPr>
        <w:t>Bulletin of Atomic Scientists</w:t>
      </w:r>
      <w:r w:rsidRPr="00C2455D">
        <w:rPr>
          <w:color w:val="000000" w:themeColor="text1"/>
        </w:rPr>
        <w:t xml:space="preserve"> </w:t>
      </w:r>
      <w:r w:rsidR="000B7FAD">
        <w:rPr>
          <w:color w:val="000000" w:themeColor="text1"/>
        </w:rPr>
        <w:t xml:space="preserve">76, no. 4 </w:t>
      </w:r>
      <w:r w:rsidRPr="00C2455D">
        <w:rPr>
          <w:color w:val="000000" w:themeColor="text1"/>
        </w:rPr>
        <w:t>(2020)</w:t>
      </w:r>
      <w:r w:rsidR="00852EBB">
        <w:rPr>
          <w:color w:val="000000" w:themeColor="text1"/>
        </w:rPr>
        <w:t>: 157–65</w:t>
      </w:r>
      <w:r w:rsidRPr="00C2455D">
        <w:rPr>
          <w:color w:val="000000" w:themeColor="text1"/>
        </w:rPr>
        <w:t>.</w:t>
      </w:r>
    </w:p>
    <w:p w14:paraId="5589CCC4" w14:textId="77777777" w:rsidR="00CC76F7" w:rsidRDefault="00CC76F7" w:rsidP="00CC76F7">
      <w:pPr>
        <w:spacing w:line="480" w:lineRule="auto"/>
        <w:rPr>
          <w:color w:val="000000" w:themeColor="text1"/>
        </w:rPr>
      </w:pPr>
    </w:p>
    <w:p w14:paraId="00714BA6" w14:textId="53C96CC0" w:rsidR="007D15AC" w:rsidRDefault="007D15AC" w:rsidP="007D15AC">
      <w:pPr>
        <w:spacing w:line="480" w:lineRule="auto"/>
        <w:rPr>
          <w:color w:val="000000" w:themeColor="text1"/>
          <w:u w:val="single"/>
        </w:rPr>
      </w:pPr>
      <w:r w:rsidRPr="00C2455D">
        <w:rPr>
          <w:color w:val="000000" w:themeColor="text1"/>
        </w:rPr>
        <w:t xml:space="preserve">Wayne Sandholtz, </w:t>
      </w:r>
      <w:r w:rsidRPr="00C2455D">
        <w:rPr>
          <w:i/>
          <w:iCs/>
          <w:color w:val="000000" w:themeColor="text1"/>
        </w:rPr>
        <w:t xml:space="preserve">Prohibiting Plunder: How Norms Change </w:t>
      </w:r>
      <w:r w:rsidRPr="00C2455D">
        <w:rPr>
          <w:color w:val="000000" w:themeColor="text1"/>
        </w:rPr>
        <w:t>(New York: Oxford University Press, 2007).</w:t>
      </w:r>
    </w:p>
    <w:p w14:paraId="55753E71" w14:textId="77777777" w:rsidR="0028329C" w:rsidRPr="003952DE" w:rsidRDefault="0028329C" w:rsidP="004F1E96">
      <w:pPr>
        <w:spacing w:line="480" w:lineRule="auto"/>
        <w:ind w:right="720"/>
        <w:rPr>
          <w:color w:val="000000" w:themeColor="text1"/>
        </w:rPr>
      </w:pPr>
    </w:p>
    <w:sectPr w:rsidR="0028329C" w:rsidRPr="003952DE" w:rsidSect="00E40919">
      <w:headerReference w:type="default" r:id="rId9"/>
      <w:footerReference w:type="even" r:id="rId10"/>
      <w:footerReference w:type="default" r:id="rId11"/>
      <w:endnotePr>
        <w:numFmt w:val="decimal"/>
      </w:endnotePr>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E308C" w16cex:dateUtc="2021-08-23T21:34:00Z"/>
  <w16cex:commentExtensible w16cex:durableId="24968F69" w16cex:dateUtc="2021-07-12T16:52:00Z"/>
  <w16cex:commentExtensible w16cex:durableId="24A96305" w16cex:dateUtc="2021-07-26T23:36:00Z"/>
  <w16cex:commentExtensible w16cex:durableId="24CE374D" w16cex:dateUtc="2021-08-23T22:03:00Z"/>
  <w16cex:commentExtensible w16cex:durableId="24CE3904" w16cex:dateUtc="2021-08-23T22:1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24FBC" w14:textId="77777777" w:rsidR="005C2FB0" w:rsidRDefault="005C2FB0" w:rsidP="007A586E">
      <w:r>
        <w:separator/>
      </w:r>
    </w:p>
  </w:endnote>
  <w:endnote w:type="continuationSeparator" w:id="0">
    <w:p w14:paraId="27AF6796" w14:textId="77777777" w:rsidR="005C2FB0" w:rsidRDefault="005C2FB0" w:rsidP="007A586E">
      <w:r>
        <w:continuationSeparator/>
      </w:r>
    </w:p>
  </w:endnote>
  <w:endnote w:type="continuationNotice" w:id="1">
    <w:p w14:paraId="3518DDD6" w14:textId="77777777" w:rsidR="005C2FB0" w:rsidRDefault="005C2FB0"/>
  </w:endnote>
  <w:endnote w:id="2">
    <w:p w14:paraId="7CB84349" w14:textId="11C713AF"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Laurie </w:t>
      </w:r>
      <w:r w:rsidR="00097B69" w:rsidRPr="00651258">
        <w:rPr>
          <w:color w:val="000000" w:themeColor="text1"/>
          <w:sz w:val="24"/>
          <w:szCs w:val="24"/>
        </w:rPr>
        <w:t xml:space="preserve">W. </w:t>
      </w:r>
      <w:r w:rsidRPr="00651258">
        <w:rPr>
          <w:color w:val="000000" w:themeColor="text1"/>
          <w:sz w:val="24"/>
          <w:szCs w:val="24"/>
        </w:rPr>
        <w:t xml:space="preserve">Rush, “Cultural Property Protection as a Force Multiplier in Stability Operations,” </w:t>
      </w:r>
      <w:r w:rsidRPr="00651258">
        <w:rPr>
          <w:i/>
          <w:color w:val="000000" w:themeColor="text1"/>
          <w:sz w:val="24"/>
          <w:szCs w:val="24"/>
        </w:rPr>
        <w:t xml:space="preserve">Military Review </w:t>
      </w:r>
      <w:r w:rsidRPr="00651258">
        <w:rPr>
          <w:color w:val="000000" w:themeColor="text1"/>
          <w:sz w:val="24"/>
          <w:szCs w:val="24"/>
        </w:rPr>
        <w:t>(March</w:t>
      </w:r>
      <w:r w:rsidR="00097B69" w:rsidRPr="00651258">
        <w:rPr>
          <w:rFonts w:eastAsiaTheme="minorHAnsi"/>
          <w:color w:val="000000" w:themeColor="text1"/>
          <w:sz w:val="24"/>
          <w:szCs w:val="24"/>
        </w:rPr>
        <w:t>–</w:t>
      </w:r>
      <w:r w:rsidRPr="00651258">
        <w:rPr>
          <w:color w:val="000000" w:themeColor="text1"/>
          <w:sz w:val="24"/>
          <w:szCs w:val="24"/>
        </w:rPr>
        <w:t xml:space="preserve">April 2012): 36. Also see Laurie W. Rush and Matthew F. Bogdanos, “Protecting the Past to Secure the Future: The Strategic Value of Heritage Training,” </w:t>
      </w:r>
      <w:r w:rsidRPr="00651258">
        <w:rPr>
          <w:i/>
          <w:iCs/>
          <w:color w:val="000000" w:themeColor="text1"/>
          <w:sz w:val="24"/>
          <w:szCs w:val="24"/>
        </w:rPr>
        <w:t>Joint Force Quarterly</w:t>
      </w:r>
      <w:r w:rsidRPr="00651258">
        <w:rPr>
          <w:color w:val="000000" w:themeColor="text1"/>
          <w:sz w:val="24"/>
          <w:szCs w:val="24"/>
        </w:rPr>
        <w:t xml:space="preserve"> 53</w:t>
      </w:r>
      <w:r w:rsidR="008A2A3D" w:rsidRPr="00651258">
        <w:rPr>
          <w:color w:val="000000" w:themeColor="text1"/>
          <w:sz w:val="24"/>
          <w:szCs w:val="24"/>
        </w:rPr>
        <w:t>, no. 2</w:t>
      </w:r>
      <w:r w:rsidRPr="00651258">
        <w:rPr>
          <w:color w:val="000000" w:themeColor="text1"/>
          <w:sz w:val="24"/>
          <w:szCs w:val="24"/>
        </w:rPr>
        <w:t xml:space="preserve"> (2009): 126</w:t>
      </w:r>
      <w:r w:rsidR="008A2A3D" w:rsidRPr="00651258">
        <w:rPr>
          <w:rFonts w:eastAsiaTheme="minorHAnsi"/>
          <w:color w:val="000000" w:themeColor="text1"/>
          <w:sz w:val="24"/>
          <w:szCs w:val="24"/>
        </w:rPr>
        <w:t>–</w:t>
      </w:r>
      <w:r w:rsidRPr="00651258">
        <w:rPr>
          <w:color w:val="000000" w:themeColor="text1"/>
          <w:sz w:val="24"/>
          <w:szCs w:val="24"/>
        </w:rPr>
        <w:t>27</w:t>
      </w:r>
      <w:r w:rsidR="00E0772D" w:rsidRPr="00651258">
        <w:rPr>
          <w:color w:val="000000" w:themeColor="text1"/>
          <w:sz w:val="24"/>
          <w:szCs w:val="24"/>
        </w:rPr>
        <w:t>;</w:t>
      </w:r>
      <w:r w:rsidRPr="00651258">
        <w:rPr>
          <w:color w:val="000000" w:themeColor="text1"/>
          <w:sz w:val="24"/>
          <w:szCs w:val="24"/>
        </w:rPr>
        <w:t xml:space="preserve"> and Thomas G. Weiss and Nina Connelly, </w:t>
      </w:r>
      <w:r w:rsidRPr="00651258">
        <w:rPr>
          <w:i/>
          <w:iCs/>
          <w:color w:val="000000" w:themeColor="text1"/>
          <w:sz w:val="24"/>
          <w:szCs w:val="24"/>
        </w:rPr>
        <w:t>Cultural Cleansing and Mass Atrocities: Protecting Cultural Heritage in Armed Conflict</w:t>
      </w:r>
      <w:r w:rsidR="00E0772D" w:rsidRPr="00651258">
        <w:rPr>
          <w:i/>
          <w:iCs/>
          <w:color w:val="000000" w:themeColor="text1"/>
          <w:sz w:val="24"/>
          <w:szCs w:val="24"/>
        </w:rPr>
        <w:t xml:space="preserve"> Zones</w:t>
      </w:r>
      <w:r w:rsidRPr="00651258">
        <w:rPr>
          <w:color w:val="000000" w:themeColor="text1"/>
          <w:sz w:val="24"/>
          <w:szCs w:val="24"/>
        </w:rPr>
        <w:t xml:space="preserve"> </w:t>
      </w:r>
      <w:r w:rsidR="00137454" w:rsidRPr="00651258">
        <w:rPr>
          <w:color w:val="000000" w:themeColor="text1"/>
          <w:sz w:val="24"/>
          <w:szCs w:val="24"/>
        </w:rPr>
        <w:t xml:space="preserve">(Los Angeles: </w:t>
      </w:r>
      <w:r w:rsidRPr="00651258">
        <w:rPr>
          <w:iCs/>
          <w:color w:val="000000" w:themeColor="text1"/>
          <w:sz w:val="24"/>
          <w:szCs w:val="24"/>
        </w:rPr>
        <w:t>J. Paul Getty Trust</w:t>
      </w:r>
      <w:r w:rsidR="00137454" w:rsidRPr="00651258">
        <w:rPr>
          <w:iCs/>
          <w:color w:val="000000" w:themeColor="text1"/>
          <w:sz w:val="24"/>
          <w:szCs w:val="24"/>
        </w:rPr>
        <w:t>, 2017),</w:t>
      </w:r>
      <w:r w:rsidRPr="00651258">
        <w:rPr>
          <w:iCs/>
          <w:color w:val="000000" w:themeColor="text1"/>
          <w:sz w:val="24"/>
          <w:szCs w:val="24"/>
        </w:rPr>
        <w:t xml:space="preserve"> Occasional Papers in Cultural Heritage Policy</w:t>
      </w:r>
      <w:r w:rsidR="00137454" w:rsidRPr="00651258">
        <w:rPr>
          <w:iCs/>
          <w:color w:val="000000" w:themeColor="text1"/>
          <w:sz w:val="24"/>
          <w:szCs w:val="24"/>
        </w:rPr>
        <w:t xml:space="preserve"> no. 1</w:t>
      </w:r>
      <w:r w:rsidR="003F3120" w:rsidRPr="00651258">
        <w:rPr>
          <w:color w:val="000000" w:themeColor="text1"/>
          <w:sz w:val="24"/>
          <w:szCs w:val="24"/>
        </w:rPr>
        <w:t>,</w:t>
      </w:r>
      <w:r w:rsidR="008A2A3D" w:rsidRPr="00651258">
        <w:rPr>
          <w:color w:val="000000" w:themeColor="text1"/>
          <w:sz w:val="24"/>
          <w:szCs w:val="24"/>
        </w:rPr>
        <w:t xml:space="preserve"> </w:t>
      </w:r>
      <w:r w:rsidRPr="00651258">
        <w:rPr>
          <w:color w:val="000000" w:themeColor="text1"/>
          <w:sz w:val="24"/>
          <w:szCs w:val="24"/>
        </w:rPr>
        <w:t>14.</w:t>
      </w:r>
    </w:p>
  </w:endnote>
  <w:endnote w:id="3">
    <w:p w14:paraId="57559120" w14:textId="1D4ADF84" w:rsidR="00E27C32" w:rsidRPr="00651258" w:rsidRDefault="00E27C32" w:rsidP="00651258">
      <w:pPr>
        <w:spacing w:line="480" w:lineRule="auto"/>
        <w:rPr>
          <w:bCs/>
          <w:color w:val="000000" w:themeColor="text1"/>
        </w:rPr>
      </w:pPr>
      <w:r w:rsidRPr="00651258">
        <w:rPr>
          <w:rStyle w:val="EndnoteReference"/>
          <w:color w:val="000000" w:themeColor="text1"/>
        </w:rPr>
        <w:endnoteRef/>
      </w:r>
      <w:r w:rsidRPr="00651258">
        <w:rPr>
          <w:color w:val="000000" w:themeColor="text1"/>
        </w:rPr>
        <w:t xml:space="preserve"> </w:t>
      </w:r>
      <w:r w:rsidRPr="00651258">
        <w:rPr>
          <w:bCs/>
          <w:color w:val="000000" w:themeColor="text1"/>
        </w:rPr>
        <w:t xml:space="preserve">Laura Ford Savarese and John Fabian Witt, “Strategy &amp; Entailments: The Enduring Role of Law in the </w:t>
      </w:r>
      <w:r w:rsidR="00E85C6F" w:rsidRPr="00651258">
        <w:rPr>
          <w:bCs/>
          <w:color w:val="000000" w:themeColor="text1"/>
        </w:rPr>
        <w:t>US</w:t>
      </w:r>
      <w:r w:rsidRPr="00651258">
        <w:rPr>
          <w:bCs/>
          <w:color w:val="000000" w:themeColor="text1"/>
        </w:rPr>
        <w:t xml:space="preserve"> Armed Forces,” </w:t>
      </w:r>
      <w:r w:rsidRPr="00651258">
        <w:rPr>
          <w:bCs/>
          <w:i/>
          <w:color w:val="000000" w:themeColor="text1"/>
        </w:rPr>
        <w:t xml:space="preserve">Daedalus </w:t>
      </w:r>
      <w:r w:rsidRPr="00651258">
        <w:rPr>
          <w:bCs/>
          <w:color w:val="000000" w:themeColor="text1"/>
        </w:rPr>
        <w:t>146, no. 1 (2017)</w:t>
      </w:r>
      <w:r w:rsidR="00916DF8" w:rsidRPr="00651258">
        <w:rPr>
          <w:bCs/>
          <w:color w:val="000000" w:themeColor="text1"/>
        </w:rPr>
        <w:t>:</w:t>
      </w:r>
      <w:r w:rsidRPr="00651258">
        <w:rPr>
          <w:bCs/>
          <w:color w:val="000000" w:themeColor="text1"/>
        </w:rPr>
        <w:t xml:space="preserve"> 11.</w:t>
      </w:r>
    </w:p>
  </w:endnote>
  <w:endnote w:id="4">
    <w:p w14:paraId="7C396E32" w14:textId="5BFD5FD7"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James D. Morrow,</w:t>
      </w:r>
      <w:r w:rsidRPr="00651258">
        <w:rPr>
          <w:i/>
          <w:iCs/>
          <w:color w:val="000000" w:themeColor="text1"/>
          <w:sz w:val="24"/>
          <w:szCs w:val="24"/>
        </w:rPr>
        <w:t xml:space="preserve"> Order within Anarchy</w:t>
      </w:r>
      <w:r w:rsidRPr="00651258">
        <w:rPr>
          <w:color w:val="000000" w:themeColor="text1"/>
          <w:sz w:val="24"/>
          <w:szCs w:val="24"/>
        </w:rPr>
        <w:t xml:space="preserve"> (Cambridge: Cambridge University Press, 2014); </w:t>
      </w:r>
      <w:r w:rsidR="00343618" w:rsidRPr="00651258">
        <w:rPr>
          <w:color w:val="000000" w:themeColor="text1"/>
          <w:sz w:val="24"/>
          <w:szCs w:val="24"/>
        </w:rPr>
        <w:t>a</w:t>
      </w:r>
      <w:r w:rsidR="00555EC8" w:rsidRPr="00651258">
        <w:rPr>
          <w:color w:val="000000" w:themeColor="text1"/>
          <w:sz w:val="24"/>
          <w:szCs w:val="24"/>
        </w:rPr>
        <w:t>nd</w:t>
      </w:r>
      <w:r w:rsidR="00343618" w:rsidRPr="00651258">
        <w:rPr>
          <w:color w:val="000000" w:themeColor="text1"/>
          <w:sz w:val="24"/>
          <w:szCs w:val="24"/>
        </w:rPr>
        <w:t xml:space="preserve"> </w:t>
      </w:r>
      <w:r w:rsidRPr="00651258">
        <w:rPr>
          <w:color w:val="000000" w:themeColor="text1"/>
          <w:sz w:val="24"/>
          <w:szCs w:val="24"/>
        </w:rPr>
        <w:t xml:space="preserve">Geoffrey PR Wallace, </w:t>
      </w:r>
      <w:r w:rsidRPr="00651258">
        <w:rPr>
          <w:i/>
          <w:iCs/>
          <w:color w:val="000000" w:themeColor="text1"/>
          <w:sz w:val="24"/>
          <w:szCs w:val="24"/>
        </w:rPr>
        <w:t>Life and Death in Captivity</w:t>
      </w:r>
      <w:r w:rsidRPr="00651258">
        <w:rPr>
          <w:color w:val="000000" w:themeColor="text1"/>
          <w:sz w:val="24"/>
          <w:szCs w:val="24"/>
        </w:rPr>
        <w:t xml:space="preserve"> (Ithaca, NY: Cornell University Press, 2015).</w:t>
      </w:r>
    </w:p>
  </w:endnote>
  <w:endnote w:id="5">
    <w:p w14:paraId="2A0E9C3A" w14:textId="53AE3EE9"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w:t>
      </w:r>
      <w:r w:rsidR="00064FEA" w:rsidRPr="00651258">
        <w:rPr>
          <w:color w:val="000000" w:themeColor="text1"/>
          <w:sz w:val="24"/>
          <w:szCs w:val="24"/>
        </w:rPr>
        <w:t xml:space="preserve">Hague </w:t>
      </w:r>
      <w:r w:rsidRPr="00651258">
        <w:rPr>
          <w:color w:val="000000" w:themeColor="text1"/>
          <w:sz w:val="24"/>
          <w:szCs w:val="24"/>
        </w:rPr>
        <w:t>Convention for the Protection of Cultural Property in the Event of Armed Conflict</w:t>
      </w:r>
      <w:r w:rsidR="00064FEA" w:rsidRPr="00651258">
        <w:rPr>
          <w:color w:val="000000" w:themeColor="text1"/>
          <w:sz w:val="24"/>
          <w:szCs w:val="24"/>
        </w:rPr>
        <w:t>, 1954,</w:t>
      </w:r>
      <w:r w:rsidRPr="00651258">
        <w:rPr>
          <w:color w:val="000000" w:themeColor="text1"/>
          <w:sz w:val="24"/>
          <w:szCs w:val="24"/>
        </w:rPr>
        <w:t xml:space="preserve"> </w:t>
      </w:r>
      <w:r w:rsidR="00064FEA" w:rsidRPr="00651258">
        <w:rPr>
          <w:color w:val="000000" w:themeColor="text1"/>
          <w:sz w:val="24"/>
          <w:szCs w:val="24"/>
          <w:shd w:val="clear" w:color="auto" w:fill="FFFFFF"/>
        </w:rPr>
        <w:t>A</w:t>
      </w:r>
      <w:r w:rsidRPr="00651258">
        <w:rPr>
          <w:color w:val="000000" w:themeColor="text1"/>
          <w:sz w:val="24"/>
          <w:szCs w:val="24"/>
          <w:shd w:val="clear" w:color="auto" w:fill="FFFFFF"/>
        </w:rPr>
        <w:t xml:space="preserve">rt. 4.1. </w:t>
      </w:r>
    </w:p>
  </w:endnote>
  <w:endnote w:id="6">
    <w:p w14:paraId="3C401A50" w14:textId="054CDD1A"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Michael D. Gordin, </w:t>
      </w:r>
      <w:r w:rsidRPr="00651258">
        <w:rPr>
          <w:i/>
          <w:iCs/>
          <w:color w:val="000000" w:themeColor="text1"/>
          <w:sz w:val="24"/>
          <w:szCs w:val="24"/>
        </w:rPr>
        <w:t>Five Days in August: How World War II Became a Nuclear War</w:t>
      </w:r>
      <w:r w:rsidRPr="00651258">
        <w:rPr>
          <w:color w:val="000000" w:themeColor="text1"/>
          <w:sz w:val="24"/>
          <w:szCs w:val="24"/>
        </w:rPr>
        <w:t xml:space="preserve"> (Princeton</w:t>
      </w:r>
      <w:r w:rsidR="00016A00" w:rsidRPr="00651258">
        <w:rPr>
          <w:color w:val="000000" w:themeColor="text1"/>
          <w:sz w:val="24"/>
          <w:szCs w:val="24"/>
        </w:rPr>
        <w:t>, NJ</w:t>
      </w:r>
      <w:r w:rsidRPr="00651258">
        <w:rPr>
          <w:color w:val="000000" w:themeColor="text1"/>
          <w:sz w:val="24"/>
          <w:szCs w:val="24"/>
        </w:rPr>
        <w:t>: Princeton University Press, 2007)</w:t>
      </w:r>
      <w:r w:rsidR="004005D5" w:rsidRPr="00651258">
        <w:rPr>
          <w:color w:val="000000" w:themeColor="text1"/>
          <w:sz w:val="24"/>
          <w:szCs w:val="24"/>
        </w:rPr>
        <w:t>,</w:t>
      </w:r>
      <w:r w:rsidR="00551719" w:rsidRPr="00651258">
        <w:rPr>
          <w:color w:val="000000" w:themeColor="text1"/>
          <w:sz w:val="24"/>
          <w:szCs w:val="24"/>
        </w:rPr>
        <w:t xml:space="preserve"> </w:t>
      </w:r>
      <w:r w:rsidRPr="00651258">
        <w:rPr>
          <w:color w:val="000000" w:themeColor="text1"/>
          <w:sz w:val="24"/>
          <w:szCs w:val="24"/>
        </w:rPr>
        <w:t>45.</w:t>
      </w:r>
    </w:p>
  </w:endnote>
  <w:endnote w:id="7">
    <w:p w14:paraId="023E3413" w14:textId="77777777"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Ron E. Hassner, </w:t>
      </w:r>
      <w:r w:rsidRPr="00651258">
        <w:rPr>
          <w:i/>
          <w:iCs/>
          <w:color w:val="000000" w:themeColor="text1"/>
          <w:sz w:val="24"/>
          <w:szCs w:val="24"/>
        </w:rPr>
        <w:t>Religion on the Battlefield</w:t>
      </w:r>
      <w:r w:rsidRPr="00651258">
        <w:rPr>
          <w:color w:val="000000" w:themeColor="text1"/>
          <w:sz w:val="24"/>
          <w:szCs w:val="24"/>
        </w:rPr>
        <w:t xml:space="preserve"> (Ithaca, NY: Cornell University Press, 2016).</w:t>
      </w:r>
    </w:p>
  </w:endnote>
  <w:endnote w:id="8">
    <w:p w14:paraId="27607B8B" w14:textId="2BA20EAB" w:rsidR="00E27C32" w:rsidRPr="00651258" w:rsidRDefault="00E27C32" w:rsidP="00651258">
      <w:pPr>
        <w:pStyle w:val="Default"/>
        <w:spacing w:line="480" w:lineRule="auto"/>
        <w:rPr>
          <w:rFonts w:ascii="Times New Roman" w:hAnsi="Times New Roman" w:cs="Times New Roman"/>
          <w:color w:val="000000" w:themeColor="text1"/>
        </w:rPr>
      </w:pPr>
      <w:r w:rsidRPr="00651258">
        <w:rPr>
          <w:rStyle w:val="EndnoteReference"/>
          <w:rFonts w:ascii="Times New Roman" w:hAnsi="Times New Roman" w:cs="Times New Roman"/>
          <w:color w:val="000000" w:themeColor="text1"/>
        </w:rPr>
        <w:endnoteRef/>
      </w:r>
      <w:r w:rsidRPr="00651258">
        <w:rPr>
          <w:rFonts w:ascii="Times New Roman" w:hAnsi="Times New Roman" w:cs="Times New Roman"/>
          <w:color w:val="000000" w:themeColor="text1"/>
        </w:rPr>
        <w:t xml:space="preserve"> See Sean L. Malloy,</w:t>
      </w:r>
      <w:r w:rsidR="00D1079A" w:rsidRPr="00651258">
        <w:rPr>
          <w:rFonts w:ascii="Times New Roman" w:hAnsi="Times New Roman" w:cs="Times New Roman"/>
          <w:color w:val="000000" w:themeColor="text1"/>
        </w:rPr>
        <w:t xml:space="preserve"> </w:t>
      </w:r>
      <w:r w:rsidRPr="00651258">
        <w:rPr>
          <w:rFonts w:ascii="Times New Roman" w:hAnsi="Times New Roman" w:cs="Times New Roman"/>
          <w:i/>
          <w:iCs/>
          <w:color w:val="000000" w:themeColor="text1"/>
        </w:rPr>
        <w:t xml:space="preserve">Atomic Tragedy: Henry L. Stimson and the Decision to </w:t>
      </w:r>
      <w:r w:rsidR="00016A00" w:rsidRPr="00651258">
        <w:rPr>
          <w:rFonts w:ascii="Times New Roman" w:hAnsi="Times New Roman" w:cs="Times New Roman"/>
          <w:i/>
          <w:iCs/>
          <w:color w:val="000000" w:themeColor="text1"/>
        </w:rPr>
        <w:t>U</w:t>
      </w:r>
      <w:r w:rsidRPr="00651258">
        <w:rPr>
          <w:rFonts w:ascii="Times New Roman" w:hAnsi="Times New Roman" w:cs="Times New Roman"/>
          <w:i/>
          <w:iCs/>
          <w:color w:val="000000" w:themeColor="text1"/>
        </w:rPr>
        <w:t xml:space="preserve">se the Bomb </w:t>
      </w:r>
      <w:r w:rsidR="00016A00" w:rsidRPr="00651258">
        <w:rPr>
          <w:rFonts w:ascii="Times New Roman" w:hAnsi="Times New Roman" w:cs="Times New Roman"/>
          <w:i/>
          <w:iCs/>
          <w:color w:val="000000" w:themeColor="text1"/>
        </w:rPr>
        <w:t>a</w:t>
      </w:r>
      <w:r w:rsidRPr="00651258">
        <w:rPr>
          <w:rFonts w:ascii="Times New Roman" w:hAnsi="Times New Roman" w:cs="Times New Roman"/>
          <w:i/>
          <w:iCs/>
          <w:color w:val="000000" w:themeColor="text1"/>
        </w:rPr>
        <w:t>gainst Japan</w:t>
      </w:r>
      <w:r w:rsidR="004005D5" w:rsidRPr="00651258">
        <w:rPr>
          <w:rFonts w:ascii="Times New Roman" w:hAnsi="Times New Roman" w:cs="Times New Roman"/>
          <w:iCs/>
          <w:color w:val="000000" w:themeColor="text1"/>
        </w:rPr>
        <w:t xml:space="preserve"> </w:t>
      </w:r>
      <w:r w:rsidRPr="00651258">
        <w:rPr>
          <w:rFonts w:ascii="Times New Roman" w:hAnsi="Times New Roman" w:cs="Times New Roman"/>
          <w:iCs/>
          <w:color w:val="000000" w:themeColor="text1"/>
        </w:rPr>
        <w:t>(Ithaca,</w:t>
      </w:r>
      <w:r w:rsidR="004005D5" w:rsidRPr="00651258">
        <w:rPr>
          <w:rFonts w:ascii="Times New Roman" w:hAnsi="Times New Roman" w:cs="Times New Roman"/>
          <w:iCs/>
          <w:color w:val="000000" w:themeColor="text1"/>
        </w:rPr>
        <w:t xml:space="preserve"> </w:t>
      </w:r>
      <w:r w:rsidRPr="00651258">
        <w:rPr>
          <w:rFonts w:ascii="Times New Roman" w:hAnsi="Times New Roman" w:cs="Times New Roman"/>
          <w:iCs/>
          <w:color w:val="000000" w:themeColor="text1"/>
        </w:rPr>
        <w:t xml:space="preserve">NY: Cornell University Press, 2008), </w:t>
      </w:r>
      <w:r w:rsidRPr="00651258">
        <w:rPr>
          <w:rFonts w:ascii="Times New Roman" w:hAnsi="Times New Roman" w:cs="Times New Roman"/>
          <w:color w:val="000000" w:themeColor="text1"/>
        </w:rPr>
        <w:t>120</w:t>
      </w:r>
      <w:r w:rsidR="004005D5" w:rsidRPr="00651258">
        <w:rPr>
          <w:rFonts w:ascii="Times New Roman" w:hAnsi="Times New Roman" w:cs="Times New Roman"/>
        </w:rPr>
        <w:t>–</w:t>
      </w:r>
      <w:r w:rsidRPr="00651258">
        <w:rPr>
          <w:rFonts w:ascii="Times New Roman" w:hAnsi="Times New Roman" w:cs="Times New Roman"/>
          <w:color w:val="000000" w:themeColor="text1"/>
        </w:rPr>
        <w:t>42.</w:t>
      </w:r>
    </w:p>
  </w:endnote>
  <w:endnote w:id="9">
    <w:p w14:paraId="75EFDFEF" w14:textId="58D24EF6"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w:t>
      </w:r>
      <w:r w:rsidR="007405AE" w:rsidRPr="00651258">
        <w:rPr>
          <w:color w:val="000000" w:themeColor="text1"/>
          <w:sz w:val="24"/>
          <w:szCs w:val="24"/>
        </w:rPr>
        <w:t xml:space="preserve">US Army, </w:t>
      </w:r>
      <w:r w:rsidR="00F23D0A" w:rsidRPr="00651258">
        <w:rPr>
          <w:color w:val="000000" w:themeColor="text1"/>
          <w:sz w:val="24"/>
          <w:szCs w:val="24"/>
        </w:rPr>
        <w:t>“Summary of Target Committee Meetings on 10 and 11 May 1945,</w:t>
      </w:r>
      <w:r w:rsidR="00016A00" w:rsidRPr="00651258">
        <w:rPr>
          <w:color w:val="000000" w:themeColor="text1"/>
          <w:sz w:val="24"/>
          <w:szCs w:val="24"/>
        </w:rPr>
        <w:t>”</w:t>
      </w:r>
      <w:r w:rsidR="00F23D0A" w:rsidRPr="00651258">
        <w:rPr>
          <w:color w:val="000000" w:themeColor="text1"/>
          <w:sz w:val="24"/>
          <w:szCs w:val="24"/>
        </w:rPr>
        <w:t xml:space="preserve"> Memorandum from Major JA Derry to Dr. NF Ramsey to General LR Groves, </w:t>
      </w:r>
      <w:r w:rsidR="00016A00" w:rsidRPr="00651258">
        <w:rPr>
          <w:color w:val="000000" w:themeColor="text1"/>
          <w:sz w:val="24"/>
          <w:szCs w:val="24"/>
        </w:rPr>
        <w:t xml:space="preserve">12 </w:t>
      </w:r>
      <w:r w:rsidR="00F23D0A" w:rsidRPr="00651258">
        <w:rPr>
          <w:color w:val="000000" w:themeColor="text1"/>
          <w:sz w:val="24"/>
          <w:szCs w:val="24"/>
        </w:rPr>
        <w:t xml:space="preserve">May 1945, RG 77, MED Records, Top Secret Documents, File no. 5d (copy from microfilm), </w:t>
      </w:r>
      <w:r w:rsidR="00421489" w:rsidRPr="00651258">
        <w:rPr>
          <w:color w:val="000000" w:themeColor="text1"/>
          <w:sz w:val="24"/>
          <w:szCs w:val="24"/>
        </w:rPr>
        <w:t>t</w:t>
      </w:r>
      <w:r w:rsidR="00F23D0A" w:rsidRPr="00651258">
        <w:rPr>
          <w:color w:val="000000" w:themeColor="text1"/>
          <w:sz w:val="24"/>
          <w:szCs w:val="24"/>
        </w:rPr>
        <w:t xml:space="preserve">he National Security Archive, Washington, DC, </w:t>
      </w:r>
      <w:r w:rsidR="00736881" w:rsidRPr="00651258">
        <w:rPr>
          <w:sz w:val="24"/>
          <w:szCs w:val="24"/>
        </w:rPr>
        <w:t>https://nsarchive2.gwu.edu/nukevault/ebb525-The-Atomic-Bomb-and-the-End-of-World-War-II/documents/011.pdf</w:t>
      </w:r>
      <w:r w:rsidR="00F23D0A" w:rsidRPr="00651258">
        <w:rPr>
          <w:color w:val="000000" w:themeColor="text1"/>
          <w:sz w:val="24"/>
          <w:szCs w:val="24"/>
        </w:rPr>
        <w:t>, 4, 6.</w:t>
      </w:r>
      <w:r w:rsidR="00F23D0A" w:rsidRPr="00651258" w:rsidDel="00F23D0A">
        <w:rPr>
          <w:color w:val="000000" w:themeColor="text1"/>
          <w:sz w:val="24"/>
          <w:szCs w:val="24"/>
        </w:rPr>
        <w:t xml:space="preserve"> </w:t>
      </w:r>
      <w:r w:rsidRPr="00651258">
        <w:rPr>
          <w:color w:val="000000" w:themeColor="text1"/>
          <w:sz w:val="24"/>
          <w:szCs w:val="24"/>
        </w:rPr>
        <w:t xml:space="preserve"> </w:t>
      </w:r>
    </w:p>
  </w:endnote>
  <w:endnote w:id="10">
    <w:p w14:paraId="439763B6" w14:textId="1AE42409"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As quoted in McGeorge Bundy, </w:t>
      </w:r>
      <w:r w:rsidRPr="00651258">
        <w:rPr>
          <w:i/>
          <w:iCs/>
          <w:color w:val="000000" w:themeColor="text1"/>
          <w:sz w:val="24"/>
          <w:szCs w:val="24"/>
        </w:rPr>
        <w:t>Danger and Survival: Choices about the Bomb in the First Fifty Year</w:t>
      </w:r>
      <w:r w:rsidRPr="00651258">
        <w:rPr>
          <w:color w:val="000000" w:themeColor="text1"/>
          <w:sz w:val="24"/>
          <w:szCs w:val="24"/>
        </w:rPr>
        <w:t>s (New York</w:t>
      </w:r>
      <w:r w:rsidR="00AF2309" w:rsidRPr="00651258">
        <w:rPr>
          <w:color w:val="000000" w:themeColor="text1"/>
          <w:sz w:val="24"/>
          <w:szCs w:val="24"/>
        </w:rPr>
        <w:t>:</w:t>
      </w:r>
      <w:r w:rsidRPr="00651258">
        <w:rPr>
          <w:color w:val="000000" w:themeColor="text1"/>
          <w:sz w:val="24"/>
          <w:szCs w:val="24"/>
        </w:rPr>
        <w:t xml:space="preserve"> Random House, 1988), 78.</w:t>
      </w:r>
    </w:p>
  </w:endnote>
  <w:endnote w:id="11">
    <w:p w14:paraId="4A000455" w14:textId="3CED2E39"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w:t>
      </w:r>
      <w:r w:rsidR="004B3D7B" w:rsidRPr="00651258">
        <w:rPr>
          <w:color w:val="000000" w:themeColor="text1"/>
          <w:sz w:val="24"/>
          <w:szCs w:val="24"/>
        </w:rPr>
        <w:t>Bundy</w:t>
      </w:r>
      <w:r w:rsidRPr="00651258">
        <w:rPr>
          <w:color w:val="000000" w:themeColor="text1"/>
          <w:sz w:val="24"/>
          <w:szCs w:val="24"/>
        </w:rPr>
        <w:t>,</w:t>
      </w:r>
      <w:r w:rsidR="004B3D7B" w:rsidRPr="00651258">
        <w:rPr>
          <w:color w:val="000000" w:themeColor="text1"/>
          <w:sz w:val="24"/>
          <w:szCs w:val="24"/>
        </w:rPr>
        <w:t xml:space="preserve"> </w:t>
      </w:r>
      <w:r w:rsidRPr="00651258">
        <w:rPr>
          <w:color w:val="000000" w:themeColor="text1"/>
          <w:sz w:val="24"/>
          <w:szCs w:val="24"/>
        </w:rPr>
        <w:t>78.</w:t>
      </w:r>
    </w:p>
  </w:endnote>
  <w:endnote w:id="12">
    <w:p w14:paraId="7DB2FBA7" w14:textId="23BA921E"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Henry L. Stimson and McGeorge Bundy, </w:t>
      </w:r>
      <w:r w:rsidRPr="00651258">
        <w:rPr>
          <w:i/>
          <w:iCs/>
          <w:color w:val="000000" w:themeColor="text1"/>
          <w:sz w:val="24"/>
          <w:szCs w:val="24"/>
        </w:rPr>
        <w:t>On Service in Peace and War</w:t>
      </w:r>
      <w:r w:rsidRPr="00651258">
        <w:rPr>
          <w:color w:val="000000" w:themeColor="text1"/>
          <w:sz w:val="24"/>
          <w:szCs w:val="24"/>
        </w:rPr>
        <w:t xml:space="preserve"> (New York: Harper &amp; Brothers, 1948).</w:t>
      </w:r>
    </w:p>
  </w:endnote>
  <w:endnote w:id="13">
    <w:p w14:paraId="566D4082" w14:textId="5182FEA0"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Office of the Historian</w:t>
      </w:r>
      <w:r w:rsidR="00D26AC8" w:rsidRPr="00651258">
        <w:rPr>
          <w:color w:val="000000" w:themeColor="text1"/>
          <w:sz w:val="24"/>
          <w:szCs w:val="24"/>
        </w:rPr>
        <w:t>,</w:t>
      </w:r>
      <w:r w:rsidRPr="00651258">
        <w:rPr>
          <w:color w:val="000000" w:themeColor="text1"/>
          <w:sz w:val="24"/>
          <w:szCs w:val="24"/>
        </w:rPr>
        <w:t xml:space="preserve"> “Foreign Relations of the United States: Diplomatic Papers, the Conference of Berlin (the Potsdam Conference), 1945, Volume II</w:t>
      </w:r>
      <w:r w:rsidR="008C0531" w:rsidRPr="00651258">
        <w:rPr>
          <w:color w:val="000000" w:themeColor="text1"/>
          <w:sz w:val="24"/>
          <w:szCs w:val="24"/>
        </w:rPr>
        <w:t>,</w:t>
      </w:r>
      <w:r w:rsidRPr="00651258">
        <w:rPr>
          <w:color w:val="000000" w:themeColor="text1"/>
          <w:sz w:val="24"/>
          <w:szCs w:val="24"/>
        </w:rPr>
        <w:t xml:space="preserve">” </w:t>
      </w:r>
      <w:r w:rsidR="00114B64" w:rsidRPr="00651258">
        <w:rPr>
          <w:color w:val="000000" w:themeColor="text1"/>
          <w:sz w:val="24"/>
          <w:szCs w:val="24"/>
        </w:rPr>
        <w:t xml:space="preserve">US </w:t>
      </w:r>
      <w:r w:rsidRPr="00651258">
        <w:rPr>
          <w:color w:val="000000" w:themeColor="text1"/>
          <w:sz w:val="24"/>
          <w:szCs w:val="24"/>
        </w:rPr>
        <w:t>Department of State</w:t>
      </w:r>
      <w:r w:rsidR="008C0531" w:rsidRPr="00651258">
        <w:rPr>
          <w:color w:val="000000" w:themeColor="text1"/>
          <w:sz w:val="24"/>
          <w:szCs w:val="24"/>
        </w:rPr>
        <w:t xml:space="preserve">, </w:t>
      </w:r>
      <w:r w:rsidR="00114B64" w:rsidRPr="00651258">
        <w:rPr>
          <w:color w:val="000000" w:themeColor="text1"/>
          <w:sz w:val="24"/>
          <w:szCs w:val="24"/>
        </w:rPr>
        <w:t>https://history.state.gov/historicaldocuments/frus1945Berlinv02/d1310</w:t>
      </w:r>
      <w:r w:rsidRPr="00651258">
        <w:rPr>
          <w:color w:val="000000" w:themeColor="text1"/>
          <w:sz w:val="24"/>
          <w:szCs w:val="24"/>
        </w:rPr>
        <w:t>. For an excellent analysis see Alex Wellerstein,</w:t>
      </w:r>
      <w:r w:rsidR="0078354B" w:rsidRPr="00651258">
        <w:rPr>
          <w:color w:val="000000" w:themeColor="text1"/>
          <w:sz w:val="24"/>
          <w:szCs w:val="24"/>
        </w:rPr>
        <w:t xml:space="preserve"> </w:t>
      </w:r>
      <w:r w:rsidRPr="00651258">
        <w:rPr>
          <w:color w:val="000000" w:themeColor="text1"/>
          <w:sz w:val="24"/>
          <w:szCs w:val="24"/>
        </w:rPr>
        <w:t>“The Kyoto Misconception: What Truman Knew, and Didn</w:t>
      </w:r>
      <w:r w:rsidR="00024CEA" w:rsidRPr="00651258">
        <w:rPr>
          <w:color w:val="000000" w:themeColor="text1"/>
          <w:sz w:val="24"/>
          <w:szCs w:val="24"/>
        </w:rPr>
        <w:t>’</w:t>
      </w:r>
      <w:r w:rsidRPr="00651258">
        <w:rPr>
          <w:color w:val="000000" w:themeColor="text1"/>
          <w:sz w:val="24"/>
          <w:szCs w:val="24"/>
        </w:rPr>
        <w:t xml:space="preserve">t Know, </w:t>
      </w:r>
      <w:r w:rsidR="00880E14" w:rsidRPr="00651258">
        <w:rPr>
          <w:color w:val="000000" w:themeColor="text1"/>
          <w:sz w:val="24"/>
          <w:szCs w:val="24"/>
        </w:rPr>
        <w:t>a</w:t>
      </w:r>
      <w:r w:rsidRPr="00651258">
        <w:rPr>
          <w:color w:val="000000" w:themeColor="text1"/>
          <w:sz w:val="24"/>
          <w:szCs w:val="24"/>
        </w:rPr>
        <w:t>bout Hiroshima</w:t>
      </w:r>
      <w:r w:rsidR="0078354B" w:rsidRPr="00651258">
        <w:rPr>
          <w:color w:val="000000" w:themeColor="text1"/>
          <w:sz w:val="24"/>
          <w:szCs w:val="24"/>
        </w:rPr>
        <w:t>,</w:t>
      </w:r>
      <w:r w:rsidRPr="00651258">
        <w:rPr>
          <w:color w:val="000000" w:themeColor="text1"/>
          <w:sz w:val="24"/>
          <w:szCs w:val="24"/>
        </w:rPr>
        <w:t xml:space="preserve">” in </w:t>
      </w:r>
      <w:r w:rsidRPr="00651258">
        <w:rPr>
          <w:i/>
          <w:color w:val="000000" w:themeColor="text1"/>
          <w:sz w:val="24"/>
          <w:szCs w:val="24"/>
        </w:rPr>
        <w:t>The Age of Hiroshima</w:t>
      </w:r>
      <w:r w:rsidR="0078354B" w:rsidRPr="00651258">
        <w:rPr>
          <w:color w:val="000000" w:themeColor="text1"/>
          <w:sz w:val="24"/>
          <w:szCs w:val="24"/>
        </w:rPr>
        <w:t>,</w:t>
      </w:r>
      <w:r w:rsidRPr="00651258">
        <w:rPr>
          <w:i/>
          <w:color w:val="000000" w:themeColor="text1"/>
          <w:sz w:val="24"/>
          <w:szCs w:val="24"/>
        </w:rPr>
        <w:t xml:space="preserve"> </w:t>
      </w:r>
      <w:r w:rsidRPr="00651258">
        <w:rPr>
          <w:color w:val="000000" w:themeColor="text1"/>
          <w:sz w:val="24"/>
          <w:szCs w:val="24"/>
        </w:rPr>
        <w:t>ed. Michael D. Gordin and G. John Ikenberry</w:t>
      </w:r>
      <w:r w:rsidR="005E4933" w:rsidRPr="00651258">
        <w:rPr>
          <w:color w:val="000000" w:themeColor="text1"/>
          <w:sz w:val="24"/>
          <w:szCs w:val="24"/>
        </w:rPr>
        <w:t xml:space="preserve"> </w:t>
      </w:r>
      <w:r w:rsidRPr="00651258">
        <w:rPr>
          <w:color w:val="000000" w:themeColor="text1"/>
          <w:sz w:val="24"/>
          <w:szCs w:val="24"/>
        </w:rPr>
        <w:t>(Princeton, NJ: Princeton University Press, 2020)</w:t>
      </w:r>
      <w:r w:rsidR="0078354B" w:rsidRPr="00651258">
        <w:rPr>
          <w:color w:val="000000" w:themeColor="text1"/>
          <w:sz w:val="24"/>
          <w:szCs w:val="24"/>
        </w:rPr>
        <w:t xml:space="preserve">, </w:t>
      </w:r>
      <w:r w:rsidRPr="00651258">
        <w:rPr>
          <w:color w:val="000000" w:themeColor="text1"/>
          <w:sz w:val="24"/>
          <w:szCs w:val="24"/>
        </w:rPr>
        <w:t>34</w:t>
      </w:r>
      <w:r w:rsidR="0078354B" w:rsidRPr="00651258">
        <w:rPr>
          <w:rFonts w:eastAsiaTheme="minorHAnsi"/>
          <w:sz w:val="24"/>
          <w:szCs w:val="24"/>
        </w:rPr>
        <w:t>–</w:t>
      </w:r>
      <w:r w:rsidRPr="00651258">
        <w:rPr>
          <w:color w:val="000000" w:themeColor="text1"/>
          <w:sz w:val="24"/>
          <w:szCs w:val="24"/>
        </w:rPr>
        <w:t>55.</w:t>
      </w:r>
    </w:p>
  </w:endnote>
  <w:endnote w:id="14">
    <w:p w14:paraId="3850AB65" w14:textId="2459C077"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00D1079A" w:rsidRPr="00651258">
        <w:rPr>
          <w:color w:val="000000" w:themeColor="text1"/>
          <w:sz w:val="24"/>
          <w:szCs w:val="24"/>
        </w:rPr>
        <w:t xml:space="preserve"> </w:t>
      </w:r>
      <w:r w:rsidRPr="00651258">
        <w:rPr>
          <w:color w:val="000000" w:themeColor="text1"/>
          <w:sz w:val="24"/>
          <w:szCs w:val="24"/>
        </w:rPr>
        <w:t xml:space="preserve">David McCullough, </w:t>
      </w:r>
      <w:r w:rsidRPr="00651258">
        <w:rPr>
          <w:i/>
          <w:color w:val="000000" w:themeColor="text1"/>
          <w:sz w:val="24"/>
          <w:szCs w:val="24"/>
        </w:rPr>
        <w:t>Truman</w:t>
      </w:r>
      <w:r w:rsidRPr="00651258">
        <w:rPr>
          <w:color w:val="000000" w:themeColor="text1"/>
          <w:sz w:val="24"/>
          <w:szCs w:val="24"/>
        </w:rPr>
        <w:t xml:space="preserve"> (New York: Simon &amp; Schuster, 1992), 592.</w:t>
      </w:r>
    </w:p>
  </w:endnote>
  <w:endnote w:id="15">
    <w:p w14:paraId="09CC1850" w14:textId="331D5333" w:rsidR="00E27C32" w:rsidRPr="00651258" w:rsidRDefault="00E27C32" w:rsidP="00651258">
      <w:pPr>
        <w:spacing w:line="480" w:lineRule="auto"/>
        <w:rPr>
          <w:color w:val="000000" w:themeColor="text1"/>
        </w:rPr>
      </w:pPr>
      <w:r w:rsidRPr="00651258">
        <w:rPr>
          <w:rStyle w:val="EndnoteReference"/>
          <w:color w:val="000000" w:themeColor="text1"/>
        </w:rPr>
        <w:endnoteRef/>
      </w:r>
      <w:r w:rsidRPr="00651258">
        <w:rPr>
          <w:color w:val="000000" w:themeColor="text1"/>
        </w:rPr>
        <w:t xml:space="preserve"> See Katherine E. McKinney, Scott D. Sagan, and Allen S. Weiner, “Why the </w:t>
      </w:r>
      <w:r w:rsidR="00CD3F1B" w:rsidRPr="00651258">
        <w:rPr>
          <w:color w:val="000000" w:themeColor="text1"/>
        </w:rPr>
        <w:t>A</w:t>
      </w:r>
      <w:r w:rsidRPr="00651258">
        <w:rPr>
          <w:color w:val="000000" w:themeColor="text1"/>
        </w:rPr>
        <w:t xml:space="preserve">tomic </w:t>
      </w:r>
      <w:r w:rsidR="00CD3F1B" w:rsidRPr="00651258">
        <w:rPr>
          <w:color w:val="000000" w:themeColor="text1"/>
        </w:rPr>
        <w:t>B</w:t>
      </w:r>
      <w:r w:rsidRPr="00651258">
        <w:rPr>
          <w:color w:val="000000" w:themeColor="text1"/>
        </w:rPr>
        <w:t xml:space="preserve">ombing of Hiroshima </w:t>
      </w:r>
      <w:r w:rsidR="00CD3F1B" w:rsidRPr="00651258">
        <w:rPr>
          <w:color w:val="000000" w:themeColor="text1"/>
        </w:rPr>
        <w:t>W</w:t>
      </w:r>
      <w:r w:rsidRPr="00651258">
        <w:rPr>
          <w:color w:val="000000" w:themeColor="text1"/>
        </w:rPr>
        <w:t xml:space="preserve">ould </w:t>
      </w:r>
      <w:r w:rsidR="00CD3F1B" w:rsidRPr="00651258">
        <w:rPr>
          <w:color w:val="000000" w:themeColor="text1"/>
        </w:rPr>
        <w:t>B</w:t>
      </w:r>
      <w:r w:rsidRPr="00651258">
        <w:rPr>
          <w:color w:val="000000" w:themeColor="text1"/>
        </w:rPr>
        <w:t xml:space="preserve">e </w:t>
      </w:r>
      <w:r w:rsidR="00CD3F1B" w:rsidRPr="00651258">
        <w:rPr>
          <w:color w:val="000000" w:themeColor="text1"/>
        </w:rPr>
        <w:t>I</w:t>
      </w:r>
      <w:r w:rsidRPr="00651258">
        <w:rPr>
          <w:color w:val="000000" w:themeColor="text1"/>
        </w:rPr>
        <w:t xml:space="preserve">llegal </w:t>
      </w:r>
      <w:r w:rsidR="00CD3F1B" w:rsidRPr="00651258">
        <w:rPr>
          <w:color w:val="000000" w:themeColor="text1"/>
        </w:rPr>
        <w:t>T</w:t>
      </w:r>
      <w:r w:rsidRPr="00651258">
        <w:rPr>
          <w:color w:val="000000" w:themeColor="text1"/>
        </w:rPr>
        <w:t xml:space="preserve">oday,” </w:t>
      </w:r>
      <w:r w:rsidRPr="00651258">
        <w:rPr>
          <w:i/>
          <w:iCs/>
          <w:color w:val="000000" w:themeColor="text1"/>
        </w:rPr>
        <w:t xml:space="preserve">Bulletin of </w:t>
      </w:r>
      <w:r w:rsidR="009F1E52" w:rsidRPr="00651258">
        <w:rPr>
          <w:i/>
          <w:iCs/>
          <w:color w:val="000000" w:themeColor="text1"/>
        </w:rPr>
        <w:t xml:space="preserve">the </w:t>
      </w:r>
      <w:r w:rsidRPr="00651258">
        <w:rPr>
          <w:i/>
          <w:iCs/>
          <w:color w:val="000000" w:themeColor="text1"/>
        </w:rPr>
        <w:t>Atomic Scientists</w:t>
      </w:r>
      <w:r w:rsidRPr="00651258">
        <w:rPr>
          <w:color w:val="000000" w:themeColor="text1"/>
        </w:rPr>
        <w:t xml:space="preserve"> </w:t>
      </w:r>
      <w:r w:rsidR="00F83DD2" w:rsidRPr="00651258">
        <w:rPr>
          <w:color w:val="000000" w:themeColor="text1"/>
        </w:rPr>
        <w:t xml:space="preserve">76, no. 4 </w:t>
      </w:r>
      <w:r w:rsidRPr="00651258">
        <w:rPr>
          <w:color w:val="000000" w:themeColor="text1"/>
        </w:rPr>
        <w:t>(2020)</w:t>
      </w:r>
      <w:r w:rsidR="000D6A2A" w:rsidRPr="00651258">
        <w:rPr>
          <w:color w:val="000000" w:themeColor="text1"/>
        </w:rPr>
        <w:t>:</w:t>
      </w:r>
      <w:r w:rsidRPr="00651258">
        <w:rPr>
          <w:color w:val="000000" w:themeColor="text1"/>
        </w:rPr>
        <w:t xml:space="preserve"> 157</w:t>
      </w:r>
      <w:r w:rsidR="009F1E52" w:rsidRPr="00651258">
        <w:rPr>
          <w:rFonts w:eastAsiaTheme="minorHAnsi"/>
        </w:rPr>
        <w:t>–</w:t>
      </w:r>
      <w:r w:rsidRPr="00651258">
        <w:rPr>
          <w:color w:val="000000" w:themeColor="text1"/>
        </w:rPr>
        <w:t xml:space="preserve">65; and John W. Dower, </w:t>
      </w:r>
      <w:r w:rsidRPr="00651258">
        <w:rPr>
          <w:i/>
          <w:iCs/>
          <w:color w:val="000000" w:themeColor="text1"/>
        </w:rPr>
        <w:t xml:space="preserve">Embracing Defeat: Japan in the Wake of World War II </w:t>
      </w:r>
      <w:r w:rsidRPr="00651258">
        <w:rPr>
          <w:color w:val="000000" w:themeColor="text1"/>
        </w:rPr>
        <w:t>(New York: WW Norton, 1999).</w:t>
      </w:r>
    </w:p>
  </w:endnote>
  <w:endnote w:id="16">
    <w:p w14:paraId="75CD67A3" w14:textId="6AB73BB5" w:rsidR="00E27C32" w:rsidRPr="00651258" w:rsidRDefault="00E27C32" w:rsidP="00651258">
      <w:pPr>
        <w:spacing w:line="480" w:lineRule="auto"/>
        <w:rPr>
          <w:color w:val="000000" w:themeColor="text1"/>
        </w:rPr>
      </w:pPr>
      <w:r w:rsidRPr="00651258">
        <w:rPr>
          <w:rStyle w:val="EndnoteReference"/>
          <w:color w:val="000000" w:themeColor="text1"/>
        </w:rPr>
        <w:endnoteRef/>
      </w:r>
      <w:r w:rsidRPr="00651258">
        <w:rPr>
          <w:color w:val="000000" w:themeColor="text1"/>
        </w:rPr>
        <w:t xml:space="preserve"> </w:t>
      </w:r>
      <w:r w:rsidR="0046083F" w:rsidRPr="00651258">
        <w:rPr>
          <w:color w:val="000000" w:themeColor="text1"/>
        </w:rPr>
        <w:t xml:space="preserve">1954 Hague </w:t>
      </w:r>
      <w:r w:rsidRPr="00651258">
        <w:rPr>
          <w:color w:val="000000" w:themeColor="text1"/>
        </w:rPr>
        <w:t>Convention</w:t>
      </w:r>
      <w:r w:rsidR="0046083F" w:rsidRPr="00651258">
        <w:rPr>
          <w:color w:val="000000" w:themeColor="text1"/>
        </w:rPr>
        <w:t>,</w:t>
      </w:r>
      <w:r w:rsidRPr="00651258">
        <w:rPr>
          <w:color w:val="000000" w:themeColor="text1"/>
        </w:rPr>
        <w:t xml:space="preserve"> </w:t>
      </w:r>
      <w:r w:rsidR="0046083F" w:rsidRPr="00651258">
        <w:rPr>
          <w:color w:val="000000" w:themeColor="text1"/>
          <w:shd w:val="clear" w:color="auto" w:fill="FFFFFF"/>
        </w:rPr>
        <w:t>A</w:t>
      </w:r>
      <w:r w:rsidRPr="00651258">
        <w:rPr>
          <w:color w:val="000000" w:themeColor="text1"/>
          <w:shd w:val="clear" w:color="auto" w:fill="FFFFFF"/>
        </w:rPr>
        <w:t>rt. 1.</w:t>
      </w:r>
    </w:p>
  </w:endnote>
  <w:endnote w:id="17">
    <w:p w14:paraId="7EEA5207" w14:textId="39519540" w:rsidR="00E27C32" w:rsidRPr="00651258" w:rsidRDefault="00E27C32" w:rsidP="00651258">
      <w:pPr>
        <w:spacing w:line="480" w:lineRule="auto"/>
      </w:pPr>
      <w:r w:rsidRPr="00651258">
        <w:rPr>
          <w:rStyle w:val="EndnoteReference"/>
          <w:color w:val="000000" w:themeColor="text1"/>
        </w:rPr>
        <w:endnoteRef/>
      </w:r>
      <w:r w:rsidRPr="00651258">
        <w:rPr>
          <w:color w:val="000000" w:themeColor="text1"/>
        </w:rPr>
        <w:t xml:space="preserve"> </w:t>
      </w:r>
      <w:r w:rsidR="009B28A6" w:rsidRPr="00651258">
        <w:rPr>
          <w:color w:val="000000" w:themeColor="text1"/>
        </w:rPr>
        <w:t xml:space="preserve">UNESCO: Legal Instruments, </w:t>
      </w:r>
      <w:r w:rsidRPr="00651258">
        <w:rPr>
          <w:color w:val="000000" w:themeColor="text1"/>
        </w:rPr>
        <w:t xml:space="preserve">“Ratification by the United States of America of the Convention for the Protection of Cultural Property in the Event of Armed Conflict (The Hague, 14 May 1954),” </w:t>
      </w:r>
      <w:r w:rsidR="00462D7E" w:rsidRPr="00651258">
        <w:rPr>
          <w:iCs/>
          <w:color w:val="000000" w:themeColor="text1"/>
        </w:rPr>
        <w:t xml:space="preserve">23 </w:t>
      </w:r>
      <w:r w:rsidRPr="00651258">
        <w:rPr>
          <w:color w:val="000000" w:themeColor="text1"/>
        </w:rPr>
        <w:t xml:space="preserve">March 2009, </w:t>
      </w:r>
      <w:r w:rsidR="00462D7E" w:rsidRPr="00651258">
        <w:rPr>
          <w:color w:val="000000" w:themeColor="text1"/>
        </w:rPr>
        <w:t>http://portal.unesco.org/en/ev.php-URL_ID=44905&amp;URL_DO=DO_TOPIC&amp;URL_SECTION=201.html</w:t>
      </w:r>
      <w:r w:rsidRPr="00651258">
        <w:rPr>
          <w:color w:val="000000" w:themeColor="text1"/>
        </w:rPr>
        <w:t xml:space="preserve">. </w:t>
      </w:r>
      <w:r w:rsidRPr="00651258">
        <w:t xml:space="preserve">On the negotiation of the treaty and the controversy around the military necessity waiver, see Wayne Sandholtz, </w:t>
      </w:r>
      <w:r w:rsidRPr="00651258">
        <w:rPr>
          <w:i/>
          <w:iCs/>
        </w:rPr>
        <w:t xml:space="preserve">Prohibiting Plunder: How Norms Change </w:t>
      </w:r>
      <w:r w:rsidRPr="00651258">
        <w:t>(New York: Oxford University Press, 2007), 180</w:t>
      </w:r>
      <w:r w:rsidR="00C03B23" w:rsidRPr="00651258">
        <w:rPr>
          <w:rFonts w:eastAsiaTheme="minorHAnsi"/>
        </w:rPr>
        <w:t>–</w:t>
      </w:r>
      <w:r w:rsidRPr="00651258">
        <w:t>86.</w:t>
      </w:r>
    </w:p>
  </w:endnote>
  <w:endnote w:id="18">
    <w:p w14:paraId="417B3CA2" w14:textId="0EB69269"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006C6DBB" w:rsidRPr="00651258">
        <w:rPr>
          <w:color w:val="000000" w:themeColor="text1"/>
          <w:sz w:val="24"/>
          <w:szCs w:val="24"/>
        </w:rPr>
        <w:t xml:space="preserve"> US Department of Defense,</w:t>
      </w:r>
      <w:r w:rsidRPr="00651258">
        <w:rPr>
          <w:color w:val="000000" w:themeColor="text1"/>
          <w:sz w:val="24"/>
          <w:szCs w:val="24"/>
        </w:rPr>
        <w:t xml:space="preserve"> </w:t>
      </w:r>
      <w:r w:rsidRPr="00651258">
        <w:rPr>
          <w:i/>
          <w:iCs/>
          <w:color w:val="000000" w:themeColor="text1"/>
          <w:sz w:val="24"/>
          <w:szCs w:val="24"/>
        </w:rPr>
        <w:t xml:space="preserve">Department </w:t>
      </w:r>
      <w:r w:rsidR="006C6DBB" w:rsidRPr="00651258">
        <w:rPr>
          <w:i/>
          <w:iCs/>
          <w:color w:val="000000" w:themeColor="text1"/>
          <w:sz w:val="24"/>
          <w:szCs w:val="24"/>
        </w:rPr>
        <w:t>o</w:t>
      </w:r>
      <w:r w:rsidRPr="00651258">
        <w:rPr>
          <w:i/>
          <w:iCs/>
          <w:color w:val="000000" w:themeColor="text1"/>
          <w:sz w:val="24"/>
          <w:szCs w:val="24"/>
        </w:rPr>
        <w:t xml:space="preserve">f Defense Law </w:t>
      </w:r>
      <w:r w:rsidR="006C6DBB" w:rsidRPr="00651258">
        <w:rPr>
          <w:i/>
          <w:iCs/>
          <w:color w:val="000000" w:themeColor="text1"/>
          <w:sz w:val="24"/>
          <w:szCs w:val="24"/>
        </w:rPr>
        <w:t>o</w:t>
      </w:r>
      <w:r w:rsidRPr="00651258">
        <w:rPr>
          <w:i/>
          <w:iCs/>
          <w:color w:val="000000" w:themeColor="text1"/>
          <w:sz w:val="24"/>
          <w:szCs w:val="24"/>
        </w:rPr>
        <w:t>f War Manual</w:t>
      </w:r>
      <w:r w:rsidR="006C6DBB" w:rsidRPr="00651258">
        <w:rPr>
          <w:color w:val="000000" w:themeColor="text1"/>
          <w:sz w:val="24"/>
          <w:szCs w:val="24"/>
        </w:rPr>
        <w:t xml:space="preserve"> </w:t>
      </w:r>
      <w:r w:rsidR="00AE7726" w:rsidRPr="00651258">
        <w:rPr>
          <w:color w:val="000000" w:themeColor="text1"/>
          <w:sz w:val="24"/>
          <w:szCs w:val="24"/>
        </w:rPr>
        <w:t xml:space="preserve">(Washington, DC: </w:t>
      </w:r>
      <w:r w:rsidR="006C6DBB" w:rsidRPr="00651258">
        <w:rPr>
          <w:color w:val="000000" w:themeColor="text1"/>
          <w:sz w:val="24"/>
          <w:szCs w:val="24"/>
        </w:rPr>
        <w:t>General Counsel of the Department of Defense,</w:t>
      </w:r>
      <w:r w:rsidR="00AE7726" w:rsidRPr="00651258">
        <w:rPr>
          <w:color w:val="000000" w:themeColor="text1"/>
          <w:sz w:val="24"/>
          <w:szCs w:val="24"/>
        </w:rPr>
        <w:t xml:space="preserve"> June 2015, updated December 2016)</w:t>
      </w:r>
      <w:r w:rsidRPr="00651258">
        <w:rPr>
          <w:color w:val="000000" w:themeColor="text1"/>
          <w:sz w:val="24"/>
          <w:szCs w:val="24"/>
        </w:rPr>
        <w:t>,</w:t>
      </w:r>
      <w:r w:rsidR="00A6138A" w:rsidRPr="00651258">
        <w:rPr>
          <w:color w:val="000000" w:themeColor="text1"/>
          <w:sz w:val="24"/>
          <w:szCs w:val="24"/>
        </w:rPr>
        <w:t xml:space="preserve"> 298–99</w:t>
      </w:r>
      <w:r w:rsidR="00160F13" w:rsidRPr="00651258">
        <w:rPr>
          <w:color w:val="000000" w:themeColor="text1"/>
          <w:sz w:val="24"/>
          <w:szCs w:val="24"/>
        </w:rPr>
        <w:t xml:space="preserve"> </w:t>
      </w:r>
      <w:r w:rsidR="00A6138A" w:rsidRPr="00651258">
        <w:rPr>
          <w:color w:val="000000" w:themeColor="text1"/>
          <w:sz w:val="24"/>
          <w:szCs w:val="24"/>
        </w:rPr>
        <w:t>(</w:t>
      </w:r>
      <w:r w:rsidR="00160F13" w:rsidRPr="00651258">
        <w:rPr>
          <w:color w:val="000000" w:themeColor="text1"/>
          <w:sz w:val="24"/>
          <w:szCs w:val="24"/>
        </w:rPr>
        <w:t>p</w:t>
      </w:r>
      <w:r w:rsidR="005D09B8" w:rsidRPr="00651258">
        <w:rPr>
          <w:color w:val="000000" w:themeColor="text1"/>
          <w:sz w:val="24"/>
          <w:szCs w:val="24"/>
        </w:rPr>
        <w:t xml:space="preserve">ara. </w:t>
      </w:r>
      <w:r w:rsidRPr="00651258">
        <w:rPr>
          <w:color w:val="000000" w:themeColor="text1"/>
          <w:sz w:val="24"/>
          <w:szCs w:val="24"/>
        </w:rPr>
        <w:t>5.18.3.1</w:t>
      </w:r>
      <w:r w:rsidR="00A6138A" w:rsidRPr="00651258">
        <w:rPr>
          <w:color w:val="000000" w:themeColor="text1"/>
          <w:sz w:val="24"/>
          <w:szCs w:val="24"/>
        </w:rPr>
        <w:t xml:space="preserve">, </w:t>
      </w:r>
      <w:r w:rsidR="00443447" w:rsidRPr="00651258">
        <w:rPr>
          <w:color w:val="000000" w:themeColor="text1"/>
          <w:sz w:val="24"/>
          <w:szCs w:val="24"/>
        </w:rPr>
        <w:t>Imperative Military Necessity Waiver)</w:t>
      </w:r>
      <w:r w:rsidRPr="00651258">
        <w:rPr>
          <w:color w:val="000000" w:themeColor="text1"/>
          <w:sz w:val="24"/>
          <w:szCs w:val="24"/>
        </w:rPr>
        <w:t xml:space="preserve">, </w:t>
      </w:r>
      <w:r w:rsidR="00FE32EE" w:rsidRPr="00651258">
        <w:rPr>
          <w:sz w:val="24"/>
          <w:szCs w:val="24"/>
        </w:rPr>
        <w:t>https://dod.defense.gov/Portals/1/Documents/pubs/DoD%20Law%20of%20War%20Manual%20-%20June%202015%20Updated%20Dec%202016.pdf?ver=2016-12-13-172036-190</w:t>
      </w:r>
      <w:r w:rsidR="00204432" w:rsidRPr="00651258">
        <w:rPr>
          <w:color w:val="000000" w:themeColor="text1"/>
          <w:sz w:val="24"/>
          <w:szCs w:val="24"/>
        </w:rPr>
        <w:t>.</w:t>
      </w:r>
      <w:r w:rsidRPr="00651258">
        <w:rPr>
          <w:color w:val="000000" w:themeColor="text1"/>
          <w:sz w:val="24"/>
          <w:szCs w:val="24"/>
        </w:rPr>
        <w:t xml:space="preserve"> </w:t>
      </w:r>
    </w:p>
  </w:endnote>
  <w:endnote w:id="19">
    <w:p w14:paraId="3E01AB9A" w14:textId="359CE61C" w:rsidR="00936401" w:rsidRPr="00651258" w:rsidRDefault="00936401" w:rsidP="00651258">
      <w:pPr>
        <w:pStyle w:val="EndnoteText"/>
        <w:spacing w:line="480" w:lineRule="auto"/>
        <w:rPr>
          <w:sz w:val="24"/>
          <w:szCs w:val="24"/>
        </w:rPr>
      </w:pPr>
      <w:r w:rsidRPr="00651258">
        <w:rPr>
          <w:rStyle w:val="EndnoteReference"/>
          <w:sz w:val="24"/>
          <w:szCs w:val="24"/>
        </w:rPr>
        <w:endnoteRef/>
      </w:r>
      <w:r w:rsidRPr="00651258">
        <w:rPr>
          <w:sz w:val="24"/>
          <w:szCs w:val="24"/>
        </w:rPr>
        <w:t xml:space="preserve"> </w:t>
      </w:r>
      <w:r w:rsidR="001738B7" w:rsidRPr="00651258">
        <w:rPr>
          <w:sz w:val="24"/>
          <w:szCs w:val="24"/>
        </w:rPr>
        <w:t>Quoted in</w:t>
      </w:r>
      <w:r w:rsidR="001738B7" w:rsidRPr="00651258">
        <w:rPr>
          <w:color w:val="000000" w:themeColor="text1"/>
          <w:sz w:val="24"/>
          <w:szCs w:val="24"/>
        </w:rPr>
        <w:t xml:space="preserve"> US Department of Defense, 55 n.30</w:t>
      </w:r>
      <w:r w:rsidR="009C4B59" w:rsidRPr="00651258">
        <w:rPr>
          <w:color w:val="000000" w:themeColor="text1"/>
          <w:sz w:val="24"/>
          <w:szCs w:val="24"/>
        </w:rPr>
        <w:t>. Original source:</w:t>
      </w:r>
      <w:r w:rsidR="001738B7" w:rsidRPr="00651258">
        <w:rPr>
          <w:sz w:val="24"/>
          <w:szCs w:val="24"/>
        </w:rPr>
        <w:t xml:space="preserve"> </w:t>
      </w:r>
      <w:r w:rsidRPr="00651258">
        <w:rPr>
          <w:sz w:val="24"/>
          <w:szCs w:val="24"/>
        </w:rPr>
        <w:t xml:space="preserve">General Dwight D. Eisenhower, Commander-in-Chief, US Army, </w:t>
      </w:r>
      <w:r w:rsidR="00E47605" w:rsidRPr="00651258">
        <w:rPr>
          <w:sz w:val="24"/>
          <w:szCs w:val="24"/>
        </w:rPr>
        <w:t>“</w:t>
      </w:r>
      <w:r w:rsidRPr="00651258">
        <w:rPr>
          <w:sz w:val="24"/>
          <w:szCs w:val="24"/>
        </w:rPr>
        <w:t>Memorandum Regarding the Protection of Historical Monuments in Italy,</w:t>
      </w:r>
      <w:r w:rsidR="00E47605" w:rsidRPr="00651258">
        <w:rPr>
          <w:sz w:val="24"/>
          <w:szCs w:val="24"/>
        </w:rPr>
        <w:t>”</w:t>
      </w:r>
      <w:r w:rsidRPr="00651258">
        <w:rPr>
          <w:sz w:val="24"/>
          <w:szCs w:val="24"/>
        </w:rPr>
        <w:t xml:space="preserve"> </w:t>
      </w:r>
      <w:r w:rsidR="00454012" w:rsidRPr="00651258">
        <w:rPr>
          <w:sz w:val="24"/>
          <w:szCs w:val="24"/>
        </w:rPr>
        <w:t xml:space="preserve">29 </w:t>
      </w:r>
      <w:r w:rsidRPr="00651258">
        <w:rPr>
          <w:sz w:val="24"/>
          <w:szCs w:val="24"/>
        </w:rPr>
        <w:t>Dec</w:t>
      </w:r>
      <w:r w:rsidR="00454012" w:rsidRPr="00651258">
        <w:rPr>
          <w:sz w:val="24"/>
          <w:szCs w:val="24"/>
        </w:rPr>
        <w:t>ember</w:t>
      </w:r>
      <w:r w:rsidRPr="00651258">
        <w:rPr>
          <w:sz w:val="24"/>
          <w:szCs w:val="24"/>
        </w:rPr>
        <w:t xml:space="preserve"> 1943, X</w:t>
      </w:r>
      <w:r w:rsidR="00B516CF" w:rsidRPr="00651258">
        <w:rPr>
          <w:sz w:val="24"/>
          <w:szCs w:val="24"/>
        </w:rPr>
        <w:t xml:space="preserve"> Whiteman’s Digest,</w:t>
      </w:r>
      <w:r w:rsidRPr="00651258">
        <w:rPr>
          <w:sz w:val="24"/>
          <w:szCs w:val="24"/>
        </w:rPr>
        <w:t xml:space="preserve"> 438 (</w:t>
      </w:r>
      <w:r w:rsidR="004A5E04">
        <w:rPr>
          <w:sz w:val="24"/>
          <w:szCs w:val="24"/>
        </w:rPr>
        <w:t>p</w:t>
      </w:r>
      <w:r w:rsidR="00366149" w:rsidRPr="00651258">
        <w:rPr>
          <w:sz w:val="24"/>
          <w:szCs w:val="24"/>
        </w:rPr>
        <w:t xml:space="preserve">ara. </w:t>
      </w:r>
      <w:r w:rsidRPr="00651258">
        <w:rPr>
          <w:sz w:val="24"/>
          <w:szCs w:val="24"/>
        </w:rPr>
        <w:t>13).</w:t>
      </w:r>
    </w:p>
  </w:endnote>
  <w:endnote w:id="20">
    <w:p w14:paraId="64D0E376" w14:textId="345EDEFE"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w:t>
      </w:r>
      <w:r w:rsidR="0088004B" w:rsidRPr="00651258">
        <w:rPr>
          <w:color w:val="000000" w:themeColor="text1"/>
          <w:sz w:val="24"/>
          <w:szCs w:val="24"/>
        </w:rPr>
        <w:t>US Department of Defense</w:t>
      </w:r>
      <w:r w:rsidRPr="00651258">
        <w:rPr>
          <w:color w:val="000000" w:themeColor="text1"/>
          <w:sz w:val="24"/>
          <w:szCs w:val="24"/>
        </w:rPr>
        <w:t>,</w:t>
      </w:r>
      <w:r w:rsidR="0088004B" w:rsidRPr="00651258">
        <w:rPr>
          <w:color w:val="000000" w:themeColor="text1"/>
          <w:sz w:val="24"/>
          <w:szCs w:val="24"/>
        </w:rPr>
        <w:t xml:space="preserve"> 301 n.618 (</w:t>
      </w:r>
      <w:r w:rsidR="004A5E04">
        <w:rPr>
          <w:color w:val="000000" w:themeColor="text1"/>
          <w:sz w:val="24"/>
          <w:szCs w:val="24"/>
        </w:rPr>
        <w:t>p</w:t>
      </w:r>
      <w:r w:rsidR="0088004B" w:rsidRPr="00651258">
        <w:rPr>
          <w:color w:val="000000" w:themeColor="text1"/>
          <w:sz w:val="24"/>
          <w:szCs w:val="24"/>
        </w:rPr>
        <w:t>ara.</w:t>
      </w:r>
      <w:r w:rsidRPr="00651258">
        <w:rPr>
          <w:color w:val="000000" w:themeColor="text1"/>
          <w:sz w:val="24"/>
          <w:szCs w:val="24"/>
        </w:rPr>
        <w:t xml:space="preserve"> 5.18.5.1</w:t>
      </w:r>
      <w:r w:rsidR="0088004B" w:rsidRPr="00651258">
        <w:rPr>
          <w:color w:val="000000" w:themeColor="text1"/>
          <w:sz w:val="24"/>
          <w:szCs w:val="24"/>
        </w:rPr>
        <w:t>)</w:t>
      </w:r>
      <w:r w:rsidRPr="00651258">
        <w:rPr>
          <w:color w:val="000000" w:themeColor="text1"/>
          <w:sz w:val="24"/>
          <w:szCs w:val="24"/>
        </w:rPr>
        <w:t>.</w:t>
      </w:r>
    </w:p>
  </w:endnote>
  <w:endnote w:id="21">
    <w:p w14:paraId="7E6D6853" w14:textId="76078C8B"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Federation of American Scientists, “Putting Noncombatants at Risk: Saddam’s Use of ‘Human Shields,’” January 2003, </w:t>
      </w:r>
      <w:r w:rsidR="008150F3" w:rsidRPr="00651258">
        <w:rPr>
          <w:sz w:val="24"/>
          <w:szCs w:val="24"/>
        </w:rPr>
        <w:t>https://fas.org/irp/cia/product/iraq_human_shields/index.html</w:t>
      </w:r>
      <w:r w:rsidR="006F3A40" w:rsidRPr="00651258">
        <w:rPr>
          <w:color w:val="000000" w:themeColor="text1"/>
          <w:sz w:val="24"/>
          <w:szCs w:val="24"/>
        </w:rPr>
        <w:t xml:space="preserve">; and </w:t>
      </w:r>
      <w:r w:rsidRPr="00651258">
        <w:rPr>
          <w:color w:val="000000" w:themeColor="text1"/>
          <w:sz w:val="24"/>
          <w:szCs w:val="24"/>
        </w:rPr>
        <w:t xml:space="preserve">David A. Meyer, “The 1954 Hague Cultural Property Convention and Its Emergence into Customary International Law,” </w:t>
      </w:r>
      <w:r w:rsidRPr="00651258">
        <w:rPr>
          <w:i/>
          <w:color w:val="000000" w:themeColor="text1"/>
          <w:sz w:val="24"/>
          <w:szCs w:val="24"/>
        </w:rPr>
        <w:t xml:space="preserve">Boston University International Law Journal </w:t>
      </w:r>
      <w:r w:rsidRPr="00651258">
        <w:rPr>
          <w:color w:val="000000" w:themeColor="text1"/>
          <w:sz w:val="24"/>
          <w:szCs w:val="24"/>
        </w:rPr>
        <w:t>11, no. 2 (1993)</w:t>
      </w:r>
      <w:r w:rsidR="005A2534" w:rsidRPr="00651258">
        <w:rPr>
          <w:color w:val="000000" w:themeColor="text1"/>
          <w:sz w:val="24"/>
          <w:szCs w:val="24"/>
        </w:rPr>
        <w:t>:</w:t>
      </w:r>
      <w:r w:rsidRPr="00651258">
        <w:rPr>
          <w:color w:val="000000" w:themeColor="text1"/>
          <w:sz w:val="24"/>
          <w:szCs w:val="24"/>
        </w:rPr>
        <w:t xml:space="preserve"> 349</w:t>
      </w:r>
      <w:r w:rsidR="00C03B23" w:rsidRPr="00651258">
        <w:rPr>
          <w:rFonts w:eastAsiaTheme="minorHAnsi"/>
          <w:sz w:val="24"/>
          <w:szCs w:val="24"/>
        </w:rPr>
        <w:t>–</w:t>
      </w:r>
      <w:r w:rsidRPr="00651258">
        <w:rPr>
          <w:color w:val="000000" w:themeColor="text1"/>
          <w:sz w:val="24"/>
          <w:szCs w:val="24"/>
        </w:rPr>
        <w:t xml:space="preserve">89. </w:t>
      </w:r>
    </w:p>
  </w:endnote>
  <w:endnote w:id="22">
    <w:p w14:paraId="268C02A6" w14:textId="2D01E27C"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w:t>
      </w:r>
      <w:r w:rsidR="00E85C6F" w:rsidRPr="00651258">
        <w:rPr>
          <w:color w:val="000000" w:themeColor="text1"/>
          <w:sz w:val="24"/>
          <w:szCs w:val="24"/>
        </w:rPr>
        <w:t>US</w:t>
      </w:r>
      <w:r w:rsidRPr="00651258">
        <w:rPr>
          <w:color w:val="000000" w:themeColor="text1"/>
          <w:sz w:val="24"/>
          <w:szCs w:val="24"/>
        </w:rPr>
        <w:t xml:space="preserve"> Department of Defense, </w:t>
      </w:r>
      <w:r w:rsidRPr="00651258">
        <w:rPr>
          <w:i/>
          <w:iCs/>
          <w:color w:val="000000" w:themeColor="text1"/>
          <w:sz w:val="24"/>
          <w:szCs w:val="24"/>
        </w:rPr>
        <w:t>Conduct of the Persian Gulf War: Final Report to Congress</w:t>
      </w:r>
      <w:r w:rsidRPr="00651258">
        <w:rPr>
          <w:color w:val="000000" w:themeColor="text1"/>
          <w:sz w:val="24"/>
          <w:szCs w:val="24"/>
        </w:rPr>
        <w:t xml:space="preserve"> (</w:t>
      </w:r>
      <w:r w:rsidR="00DB118C" w:rsidRPr="00651258">
        <w:rPr>
          <w:color w:val="000000" w:themeColor="text1"/>
          <w:sz w:val="24"/>
          <w:szCs w:val="24"/>
        </w:rPr>
        <w:t xml:space="preserve">Washington, DC: Department of Defense, April </w:t>
      </w:r>
      <w:r w:rsidRPr="00651258">
        <w:rPr>
          <w:color w:val="000000" w:themeColor="text1"/>
          <w:sz w:val="24"/>
          <w:szCs w:val="24"/>
        </w:rPr>
        <w:t xml:space="preserve">1992), </w:t>
      </w:r>
      <w:r w:rsidR="00A7175F" w:rsidRPr="00651258">
        <w:rPr>
          <w:sz w:val="24"/>
          <w:szCs w:val="24"/>
        </w:rPr>
        <w:t>https://apps.dtic.mil/dtic/tr/fulltext/u2/a249270.pdf</w:t>
      </w:r>
      <w:r w:rsidR="009C53E6" w:rsidRPr="00651258">
        <w:rPr>
          <w:color w:val="000000" w:themeColor="text1"/>
          <w:sz w:val="24"/>
          <w:szCs w:val="24"/>
        </w:rPr>
        <w:t>,</w:t>
      </w:r>
      <w:r w:rsidRPr="00651258">
        <w:rPr>
          <w:color w:val="000000" w:themeColor="text1"/>
          <w:sz w:val="24"/>
          <w:szCs w:val="24"/>
        </w:rPr>
        <w:t xml:space="preserve"> 132</w:t>
      </w:r>
      <w:r w:rsidR="00C03B23" w:rsidRPr="00651258">
        <w:rPr>
          <w:color w:val="000000" w:themeColor="text1"/>
          <w:sz w:val="24"/>
          <w:szCs w:val="24"/>
        </w:rPr>
        <w:t>–</w:t>
      </w:r>
      <w:r w:rsidRPr="00651258">
        <w:rPr>
          <w:color w:val="000000" w:themeColor="text1"/>
          <w:sz w:val="24"/>
          <w:szCs w:val="24"/>
        </w:rPr>
        <w:t xml:space="preserve">33. </w:t>
      </w:r>
    </w:p>
  </w:endnote>
  <w:endnote w:id="23">
    <w:p w14:paraId="73948FB4" w14:textId="1D278064" w:rsidR="00E27C32" w:rsidRPr="00651258" w:rsidRDefault="00E27C32" w:rsidP="00651258">
      <w:pPr>
        <w:spacing w:line="480" w:lineRule="auto"/>
        <w:rPr>
          <w:color w:val="000000" w:themeColor="text1"/>
        </w:rPr>
      </w:pPr>
      <w:r w:rsidRPr="00651258">
        <w:rPr>
          <w:rStyle w:val="EndnoteReference"/>
          <w:color w:val="000000" w:themeColor="text1"/>
        </w:rPr>
        <w:endnoteRef/>
      </w:r>
      <w:r w:rsidRPr="00651258">
        <w:rPr>
          <w:color w:val="000000" w:themeColor="text1"/>
        </w:rPr>
        <w:t xml:space="preserve"> </w:t>
      </w:r>
      <w:r w:rsidR="005546D6" w:rsidRPr="00651258">
        <w:rPr>
          <w:color w:val="000000" w:themeColor="text1"/>
        </w:rPr>
        <w:t xml:space="preserve">US Department of Defense, </w:t>
      </w:r>
      <w:r w:rsidR="005546D6" w:rsidRPr="00651258">
        <w:rPr>
          <w:i/>
          <w:iCs/>
          <w:color w:val="000000" w:themeColor="text1"/>
        </w:rPr>
        <w:t>Conduct of the Persian Gulf War: Final Report to Congress</w:t>
      </w:r>
      <w:r w:rsidR="00E8765E" w:rsidRPr="00651258">
        <w:rPr>
          <w:i/>
          <w:iCs/>
          <w:color w:val="000000" w:themeColor="text1"/>
        </w:rPr>
        <w:t>—</w:t>
      </w:r>
      <w:r w:rsidRPr="00651258">
        <w:rPr>
          <w:i/>
          <w:iCs/>
          <w:color w:val="000000" w:themeColor="text1"/>
          <w:shd w:val="clear" w:color="auto" w:fill="FFFFFF"/>
        </w:rPr>
        <w:t xml:space="preserve">Appendix </w:t>
      </w:r>
      <w:r w:rsidR="004D7B8B" w:rsidRPr="00651258">
        <w:rPr>
          <w:i/>
          <w:iCs/>
          <w:color w:val="000000" w:themeColor="text1"/>
          <w:shd w:val="clear" w:color="auto" w:fill="FFFFFF"/>
        </w:rPr>
        <w:t>o</w:t>
      </w:r>
      <w:r w:rsidRPr="00651258">
        <w:rPr>
          <w:i/>
          <w:iCs/>
          <w:color w:val="000000" w:themeColor="text1"/>
          <w:shd w:val="clear" w:color="auto" w:fill="FFFFFF"/>
        </w:rPr>
        <w:t xml:space="preserve">n </w:t>
      </w:r>
      <w:r w:rsidR="004D7B8B" w:rsidRPr="00651258">
        <w:rPr>
          <w:i/>
          <w:iCs/>
          <w:color w:val="000000" w:themeColor="text1"/>
          <w:shd w:val="clear" w:color="auto" w:fill="FFFFFF"/>
        </w:rPr>
        <w:t>t</w:t>
      </w:r>
      <w:r w:rsidRPr="00651258">
        <w:rPr>
          <w:i/>
          <w:iCs/>
          <w:color w:val="000000" w:themeColor="text1"/>
          <w:shd w:val="clear" w:color="auto" w:fill="FFFFFF"/>
        </w:rPr>
        <w:t xml:space="preserve">he Role </w:t>
      </w:r>
      <w:r w:rsidR="004D7B8B" w:rsidRPr="00651258">
        <w:rPr>
          <w:i/>
          <w:iCs/>
          <w:color w:val="000000" w:themeColor="text1"/>
          <w:shd w:val="clear" w:color="auto" w:fill="FFFFFF"/>
        </w:rPr>
        <w:t>o</w:t>
      </w:r>
      <w:r w:rsidRPr="00651258">
        <w:rPr>
          <w:i/>
          <w:iCs/>
          <w:color w:val="000000" w:themeColor="text1"/>
          <w:shd w:val="clear" w:color="auto" w:fill="FFFFFF"/>
        </w:rPr>
        <w:t xml:space="preserve">f </w:t>
      </w:r>
      <w:r w:rsidR="004D7B8B" w:rsidRPr="00651258">
        <w:rPr>
          <w:i/>
          <w:iCs/>
          <w:color w:val="000000" w:themeColor="text1"/>
          <w:shd w:val="clear" w:color="auto" w:fill="FFFFFF"/>
        </w:rPr>
        <w:t>t</w:t>
      </w:r>
      <w:r w:rsidRPr="00651258">
        <w:rPr>
          <w:i/>
          <w:iCs/>
          <w:color w:val="000000" w:themeColor="text1"/>
          <w:shd w:val="clear" w:color="auto" w:fill="FFFFFF"/>
        </w:rPr>
        <w:t xml:space="preserve">he Law </w:t>
      </w:r>
      <w:r w:rsidR="004D7B8B" w:rsidRPr="00651258">
        <w:rPr>
          <w:i/>
          <w:iCs/>
          <w:color w:val="000000" w:themeColor="text1"/>
          <w:shd w:val="clear" w:color="auto" w:fill="FFFFFF"/>
        </w:rPr>
        <w:t>o</w:t>
      </w:r>
      <w:r w:rsidRPr="00651258">
        <w:rPr>
          <w:i/>
          <w:iCs/>
          <w:color w:val="000000" w:themeColor="text1"/>
          <w:shd w:val="clear" w:color="auto" w:fill="FFFFFF"/>
        </w:rPr>
        <w:t>f War</w:t>
      </w:r>
      <w:r w:rsidRPr="00651258">
        <w:rPr>
          <w:color w:val="000000" w:themeColor="text1"/>
          <w:shd w:val="clear" w:color="auto" w:fill="FFFFFF"/>
        </w:rPr>
        <w:t> </w:t>
      </w:r>
      <w:r w:rsidR="005546D6" w:rsidRPr="00651258">
        <w:rPr>
          <w:color w:val="000000" w:themeColor="text1"/>
        </w:rPr>
        <w:t xml:space="preserve">(Washington, DC: Department of Defense, April 1992). </w:t>
      </w:r>
      <w:r w:rsidR="00CE6D73" w:rsidRPr="00651258">
        <w:rPr>
          <w:color w:val="000000" w:themeColor="text1"/>
        </w:rPr>
        <w:t>For text</w:t>
      </w:r>
      <w:r w:rsidR="00AA47F9" w:rsidRPr="00651258">
        <w:rPr>
          <w:color w:val="000000" w:themeColor="text1"/>
        </w:rPr>
        <w:t>,</w:t>
      </w:r>
      <w:r w:rsidR="00CE6D73" w:rsidRPr="00651258">
        <w:rPr>
          <w:color w:val="000000" w:themeColor="text1"/>
        </w:rPr>
        <w:t xml:space="preserve"> s</w:t>
      </w:r>
      <w:r w:rsidR="005546D6" w:rsidRPr="00651258">
        <w:rPr>
          <w:color w:val="000000" w:themeColor="text1"/>
        </w:rPr>
        <w:t>ee</w:t>
      </w:r>
      <w:r w:rsidR="005546D6" w:rsidRPr="00651258">
        <w:rPr>
          <w:color w:val="000000" w:themeColor="text1"/>
          <w:shd w:val="clear" w:color="auto" w:fill="FFFFFF"/>
        </w:rPr>
        <w:t xml:space="preserve"> </w:t>
      </w:r>
      <w:r w:rsidRPr="00651258">
        <w:rPr>
          <w:i/>
          <w:iCs/>
          <w:color w:val="000000" w:themeColor="text1"/>
          <w:shd w:val="clear" w:color="auto" w:fill="FFFFFF"/>
        </w:rPr>
        <w:t>International Legal Materials</w:t>
      </w:r>
      <w:r w:rsidRPr="00651258">
        <w:rPr>
          <w:color w:val="000000" w:themeColor="text1"/>
          <w:shd w:val="clear" w:color="auto" w:fill="FFFFFF"/>
        </w:rPr>
        <w:t> 31, no. 3 (1992): 626</w:t>
      </w:r>
      <w:r w:rsidR="00635AA5" w:rsidRPr="00651258">
        <w:rPr>
          <w:color w:val="000000" w:themeColor="text1"/>
          <w:shd w:val="clear" w:color="auto" w:fill="FFFFFF"/>
        </w:rPr>
        <w:t>,</w:t>
      </w:r>
      <w:r w:rsidRPr="00651258">
        <w:rPr>
          <w:color w:val="000000" w:themeColor="text1"/>
          <w:shd w:val="clear" w:color="auto" w:fill="FFFFFF"/>
        </w:rPr>
        <w:t xml:space="preserve"> www.jstor.org/stable/20693692.</w:t>
      </w:r>
    </w:p>
  </w:endnote>
  <w:endnote w:id="24">
    <w:p w14:paraId="253C2047" w14:textId="4BE678A1"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See W. Hays Parks, “The Gulf War: A Practitioner’s View,” </w:t>
      </w:r>
      <w:r w:rsidRPr="00651258">
        <w:rPr>
          <w:i/>
          <w:color w:val="000000" w:themeColor="text1"/>
          <w:sz w:val="24"/>
          <w:szCs w:val="24"/>
        </w:rPr>
        <w:t xml:space="preserve">Penn State International Law Review </w:t>
      </w:r>
      <w:r w:rsidRPr="00651258">
        <w:rPr>
          <w:color w:val="000000" w:themeColor="text1"/>
          <w:sz w:val="24"/>
          <w:szCs w:val="24"/>
        </w:rPr>
        <w:t>10, no. 3 (1992)</w:t>
      </w:r>
      <w:r w:rsidR="008A1828" w:rsidRPr="00651258">
        <w:rPr>
          <w:color w:val="000000" w:themeColor="text1"/>
          <w:sz w:val="24"/>
          <w:szCs w:val="24"/>
        </w:rPr>
        <w:t xml:space="preserve">: </w:t>
      </w:r>
      <w:r w:rsidRPr="00651258">
        <w:rPr>
          <w:color w:val="000000" w:themeColor="text1"/>
          <w:sz w:val="24"/>
          <w:szCs w:val="24"/>
        </w:rPr>
        <w:t>393</w:t>
      </w:r>
      <w:r w:rsidR="00CA6F1C" w:rsidRPr="00651258">
        <w:rPr>
          <w:color w:val="000000" w:themeColor="text1"/>
          <w:sz w:val="24"/>
          <w:szCs w:val="24"/>
        </w:rPr>
        <w:t>–</w:t>
      </w:r>
      <w:r w:rsidRPr="00651258">
        <w:rPr>
          <w:color w:val="000000" w:themeColor="text1"/>
          <w:sz w:val="24"/>
          <w:szCs w:val="24"/>
        </w:rPr>
        <w:t xml:space="preserve">423; </w:t>
      </w:r>
      <w:r w:rsidR="009C396A" w:rsidRPr="00651258">
        <w:rPr>
          <w:color w:val="000000" w:themeColor="text1"/>
          <w:sz w:val="24"/>
          <w:szCs w:val="24"/>
        </w:rPr>
        <w:t xml:space="preserve">and </w:t>
      </w:r>
      <w:r w:rsidRPr="00651258">
        <w:rPr>
          <w:color w:val="000000" w:themeColor="text1"/>
          <w:sz w:val="24"/>
          <w:szCs w:val="24"/>
        </w:rPr>
        <w:t>Meyer, “The 1954 Hague Cultural Property Convention</w:t>
      </w:r>
      <w:r w:rsidR="00576E88" w:rsidRPr="00651258">
        <w:rPr>
          <w:color w:val="000000" w:themeColor="text1"/>
          <w:sz w:val="24"/>
          <w:szCs w:val="24"/>
        </w:rPr>
        <w:t>,”</w:t>
      </w:r>
      <w:r w:rsidR="008A1828" w:rsidRPr="00651258">
        <w:rPr>
          <w:color w:val="000000" w:themeColor="text1"/>
          <w:sz w:val="24"/>
          <w:szCs w:val="24"/>
        </w:rPr>
        <w:t xml:space="preserve"> </w:t>
      </w:r>
      <w:r w:rsidRPr="00651258">
        <w:rPr>
          <w:color w:val="000000" w:themeColor="text1"/>
          <w:sz w:val="24"/>
          <w:szCs w:val="24"/>
        </w:rPr>
        <w:t>376</w:t>
      </w:r>
      <w:r w:rsidR="00C03B23" w:rsidRPr="00651258">
        <w:rPr>
          <w:rFonts w:eastAsiaTheme="minorHAnsi"/>
          <w:sz w:val="24"/>
          <w:szCs w:val="24"/>
        </w:rPr>
        <w:t>–</w:t>
      </w:r>
      <w:r w:rsidRPr="00651258">
        <w:rPr>
          <w:color w:val="000000" w:themeColor="text1"/>
          <w:sz w:val="24"/>
          <w:szCs w:val="24"/>
        </w:rPr>
        <w:t xml:space="preserve">77. </w:t>
      </w:r>
    </w:p>
  </w:endnote>
  <w:endnote w:id="25">
    <w:p w14:paraId="6E8CE72B" w14:textId="63AE8763" w:rsidR="00E27C32" w:rsidRPr="00651258" w:rsidRDefault="00E27C32" w:rsidP="00651258">
      <w:pPr>
        <w:autoSpaceDE w:val="0"/>
        <w:autoSpaceDN w:val="0"/>
        <w:adjustRightInd w:val="0"/>
        <w:spacing w:line="480" w:lineRule="auto"/>
        <w:rPr>
          <w:color w:val="000000" w:themeColor="text1"/>
        </w:rPr>
      </w:pPr>
      <w:r w:rsidRPr="00651258">
        <w:rPr>
          <w:rStyle w:val="EndnoteReference"/>
          <w:color w:val="000000" w:themeColor="text1"/>
        </w:rPr>
        <w:endnoteRef/>
      </w:r>
      <w:r w:rsidRPr="00651258">
        <w:rPr>
          <w:color w:val="000000" w:themeColor="text1"/>
        </w:rPr>
        <w:t xml:space="preserve"> Patty Gerstenblith, “From Bamiyan to Baghdad: Warfare and the Preservation of Cultural Heritage at the Beginning of the 21</w:t>
      </w:r>
      <w:r w:rsidR="0033085F" w:rsidRPr="00651258">
        <w:rPr>
          <w:color w:val="000000" w:themeColor="text1"/>
        </w:rPr>
        <w:t>st</w:t>
      </w:r>
      <w:r w:rsidRPr="00651258">
        <w:rPr>
          <w:color w:val="000000" w:themeColor="text1"/>
        </w:rPr>
        <w:t xml:space="preserve"> Century,” </w:t>
      </w:r>
      <w:r w:rsidRPr="00651258">
        <w:rPr>
          <w:i/>
          <w:color w:val="000000" w:themeColor="text1"/>
        </w:rPr>
        <w:t>Georgetown Journal of International Law</w:t>
      </w:r>
      <w:r w:rsidRPr="00651258">
        <w:rPr>
          <w:color w:val="000000" w:themeColor="text1"/>
        </w:rPr>
        <w:t xml:space="preserve"> 37</w:t>
      </w:r>
      <w:r w:rsidR="007847AA" w:rsidRPr="00651258">
        <w:rPr>
          <w:color w:val="000000" w:themeColor="text1"/>
        </w:rPr>
        <w:t>, no. 2</w:t>
      </w:r>
      <w:r w:rsidRPr="00651258">
        <w:rPr>
          <w:color w:val="000000" w:themeColor="text1"/>
        </w:rPr>
        <w:t xml:space="preserve"> (2006)</w:t>
      </w:r>
      <w:r w:rsidR="00331398" w:rsidRPr="00651258">
        <w:rPr>
          <w:color w:val="000000" w:themeColor="text1"/>
        </w:rPr>
        <w:t xml:space="preserve">: </w:t>
      </w:r>
      <w:r w:rsidRPr="00651258">
        <w:rPr>
          <w:color w:val="000000" w:themeColor="text1"/>
        </w:rPr>
        <w:t xml:space="preserve">280. </w:t>
      </w:r>
    </w:p>
  </w:endnote>
  <w:endnote w:id="26">
    <w:p w14:paraId="17473B58" w14:textId="398CC512"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Matthew Bogdanos, “The Casualties of War: The Truth about the Iraq Museum,” </w:t>
      </w:r>
      <w:r w:rsidRPr="00651258">
        <w:rPr>
          <w:i/>
          <w:color w:val="000000" w:themeColor="text1"/>
          <w:sz w:val="24"/>
          <w:szCs w:val="24"/>
        </w:rPr>
        <w:t xml:space="preserve">American Journal of Archaeology </w:t>
      </w:r>
      <w:r w:rsidRPr="00651258">
        <w:rPr>
          <w:color w:val="000000" w:themeColor="text1"/>
          <w:sz w:val="24"/>
          <w:szCs w:val="24"/>
        </w:rPr>
        <w:t>109, no. 3 (2005)</w:t>
      </w:r>
      <w:r w:rsidR="00C03B23" w:rsidRPr="00651258">
        <w:rPr>
          <w:color w:val="000000" w:themeColor="text1"/>
          <w:sz w:val="24"/>
          <w:szCs w:val="24"/>
        </w:rPr>
        <w:t xml:space="preserve">: </w:t>
      </w:r>
      <w:r w:rsidRPr="00651258">
        <w:rPr>
          <w:color w:val="000000" w:themeColor="text1"/>
          <w:sz w:val="24"/>
          <w:szCs w:val="24"/>
        </w:rPr>
        <w:t>477</w:t>
      </w:r>
      <w:r w:rsidR="00C03B23" w:rsidRPr="00651258">
        <w:rPr>
          <w:rFonts w:eastAsiaTheme="minorHAnsi"/>
          <w:sz w:val="24"/>
          <w:szCs w:val="24"/>
        </w:rPr>
        <w:t>–</w:t>
      </w:r>
      <w:r w:rsidRPr="00651258">
        <w:rPr>
          <w:color w:val="000000" w:themeColor="text1"/>
          <w:sz w:val="24"/>
          <w:szCs w:val="24"/>
        </w:rPr>
        <w:t xml:space="preserve">526. </w:t>
      </w:r>
    </w:p>
  </w:endnote>
  <w:endnote w:id="27">
    <w:p w14:paraId="22BC67E0" w14:textId="4B7EBD67"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James Cogbill, “Protection of Arts and Antiquities during Wartime: Examining the Past and Preparing for the Future,” </w:t>
      </w:r>
      <w:r w:rsidRPr="00651258">
        <w:rPr>
          <w:i/>
          <w:color w:val="000000" w:themeColor="text1"/>
          <w:sz w:val="24"/>
          <w:szCs w:val="24"/>
        </w:rPr>
        <w:t xml:space="preserve">Military Review </w:t>
      </w:r>
      <w:r w:rsidRPr="00651258">
        <w:rPr>
          <w:color w:val="000000" w:themeColor="text1"/>
          <w:sz w:val="24"/>
          <w:szCs w:val="24"/>
        </w:rPr>
        <w:t>(January</w:t>
      </w:r>
      <w:r w:rsidR="00A52A0C" w:rsidRPr="00651258">
        <w:rPr>
          <w:rFonts w:eastAsiaTheme="minorHAnsi"/>
          <w:sz w:val="24"/>
          <w:szCs w:val="24"/>
        </w:rPr>
        <w:t>–</w:t>
      </w:r>
      <w:r w:rsidRPr="00651258">
        <w:rPr>
          <w:color w:val="000000" w:themeColor="text1"/>
          <w:sz w:val="24"/>
          <w:szCs w:val="24"/>
        </w:rPr>
        <w:t>February 2008)</w:t>
      </w:r>
      <w:r w:rsidR="00A52A0C" w:rsidRPr="00651258">
        <w:rPr>
          <w:color w:val="000000" w:themeColor="text1"/>
          <w:sz w:val="24"/>
          <w:szCs w:val="24"/>
        </w:rPr>
        <w:t xml:space="preserve">: </w:t>
      </w:r>
      <w:r w:rsidRPr="00651258">
        <w:rPr>
          <w:color w:val="000000" w:themeColor="text1"/>
          <w:sz w:val="24"/>
          <w:szCs w:val="24"/>
        </w:rPr>
        <w:t xml:space="preserve">33; </w:t>
      </w:r>
      <w:r w:rsidR="0046420B" w:rsidRPr="00651258">
        <w:rPr>
          <w:color w:val="000000" w:themeColor="text1"/>
          <w:sz w:val="24"/>
          <w:szCs w:val="24"/>
        </w:rPr>
        <w:t xml:space="preserve">and </w:t>
      </w:r>
      <w:r w:rsidRPr="00651258">
        <w:rPr>
          <w:color w:val="000000" w:themeColor="text1"/>
          <w:sz w:val="24"/>
          <w:szCs w:val="24"/>
        </w:rPr>
        <w:t xml:space="preserve">Douglas Jehl and Elizabeth Becker, “Experts’ Pleas to the Pentagon Didn’t Save Museum,” </w:t>
      </w:r>
      <w:r w:rsidRPr="00651258">
        <w:rPr>
          <w:i/>
          <w:color w:val="000000" w:themeColor="text1"/>
          <w:sz w:val="24"/>
          <w:szCs w:val="24"/>
        </w:rPr>
        <w:t>New York Times</w:t>
      </w:r>
      <w:r w:rsidRPr="00651258">
        <w:rPr>
          <w:iCs/>
          <w:color w:val="000000" w:themeColor="text1"/>
          <w:sz w:val="24"/>
          <w:szCs w:val="24"/>
        </w:rPr>
        <w:t xml:space="preserve">, </w:t>
      </w:r>
      <w:r w:rsidR="0046420B" w:rsidRPr="00651258">
        <w:rPr>
          <w:color w:val="000000" w:themeColor="text1"/>
          <w:sz w:val="24"/>
          <w:szCs w:val="24"/>
        </w:rPr>
        <w:t xml:space="preserve">16 </w:t>
      </w:r>
      <w:r w:rsidRPr="00651258">
        <w:rPr>
          <w:color w:val="000000" w:themeColor="text1"/>
          <w:sz w:val="24"/>
          <w:szCs w:val="24"/>
        </w:rPr>
        <w:t xml:space="preserve">April 2003, </w:t>
      </w:r>
      <w:r w:rsidR="00D86625" w:rsidRPr="00651258">
        <w:rPr>
          <w:sz w:val="24"/>
          <w:szCs w:val="24"/>
        </w:rPr>
        <w:t>https://www.nytimes.com/2003/04/16/world/a-nation-at-war-the-looting-experts-pleas-to-pentagon-didn-t-save-museum.html</w:t>
      </w:r>
      <w:r w:rsidRPr="00651258">
        <w:rPr>
          <w:color w:val="000000" w:themeColor="text1"/>
          <w:sz w:val="24"/>
          <w:szCs w:val="24"/>
        </w:rPr>
        <w:t xml:space="preserve">. </w:t>
      </w:r>
    </w:p>
  </w:endnote>
  <w:endnote w:id="28">
    <w:p w14:paraId="30E9CC1A" w14:textId="35797B86" w:rsidR="00E27C32" w:rsidRPr="00651258" w:rsidRDefault="00E27C32" w:rsidP="00651258">
      <w:pPr>
        <w:spacing w:line="480" w:lineRule="auto"/>
        <w:rPr>
          <w:color w:val="000000" w:themeColor="text1"/>
        </w:rPr>
      </w:pPr>
      <w:r w:rsidRPr="00651258">
        <w:rPr>
          <w:rStyle w:val="EndnoteReference"/>
          <w:color w:val="000000" w:themeColor="text1"/>
        </w:rPr>
        <w:endnoteRef/>
      </w:r>
      <w:r w:rsidRPr="00651258">
        <w:rPr>
          <w:color w:val="000000" w:themeColor="text1"/>
        </w:rPr>
        <w:t xml:space="preserve"> Sean Loughlin, “Rumsfeld on </w:t>
      </w:r>
      <w:r w:rsidR="0087625B" w:rsidRPr="00651258">
        <w:rPr>
          <w:color w:val="000000" w:themeColor="text1"/>
        </w:rPr>
        <w:t>L</w:t>
      </w:r>
      <w:r w:rsidRPr="00651258">
        <w:rPr>
          <w:color w:val="000000" w:themeColor="text1"/>
        </w:rPr>
        <w:t xml:space="preserve">ooting in Iraq: ‘Stuff Happens,’” </w:t>
      </w:r>
      <w:r w:rsidRPr="00651258">
        <w:rPr>
          <w:iCs/>
          <w:color w:val="000000" w:themeColor="text1"/>
        </w:rPr>
        <w:t>CNN</w:t>
      </w:r>
      <w:r w:rsidRPr="00651258">
        <w:rPr>
          <w:color w:val="000000" w:themeColor="text1"/>
        </w:rPr>
        <w:t xml:space="preserve">, </w:t>
      </w:r>
      <w:r w:rsidR="0087625B" w:rsidRPr="00651258">
        <w:rPr>
          <w:color w:val="000000" w:themeColor="text1"/>
        </w:rPr>
        <w:t xml:space="preserve">12 </w:t>
      </w:r>
      <w:r w:rsidRPr="00651258">
        <w:rPr>
          <w:color w:val="000000" w:themeColor="text1"/>
        </w:rPr>
        <w:t xml:space="preserve">April 2003, </w:t>
      </w:r>
      <w:r w:rsidR="0087625B" w:rsidRPr="00651258">
        <w:t>https://www.cnn.com/2003/US/04/11/sprj.irq.pentagon/</w:t>
      </w:r>
      <w:r w:rsidRPr="00651258">
        <w:rPr>
          <w:color w:val="000000" w:themeColor="text1"/>
        </w:rPr>
        <w:t xml:space="preserve">. </w:t>
      </w:r>
    </w:p>
  </w:endnote>
  <w:endnote w:id="29">
    <w:p w14:paraId="1F7B81D2" w14:textId="4C79FA44"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Matthew D. Thurlow, “Protecting Cultural Property in Iraq: How American Military Policy Comports with International Law,” </w:t>
      </w:r>
      <w:r w:rsidRPr="00651258">
        <w:rPr>
          <w:i/>
          <w:color w:val="000000" w:themeColor="text1"/>
          <w:sz w:val="24"/>
          <w:szCs w:val="24"/>
        </w:rPr>
        <w:t xml:space="preserve">Yale Human Rights and Development Law Journal </w:t>
      </w:r>
      <w:r w:rsidRPr="00651258">
        <w:rPr>
          <w:color w:val="000000" w:themeColor="text1"/>
          <w:sz w:val="24"/>
          <w:szCs w:val="24"/>
        </w:rPr>
        <w:t>8</w:t>
      </w:r>
      <w:r w:rsidR="00E5595F" w:rsidRPr="00651258">
        <w:rPr>
          <w:color w:val="000000" w:themeColor="text1"/>
          <w:sz w:val="24"/>
          <w:szCs w:val="24"/>
        </w:rPr>
        <w:t>, no. 1</w:t>
      </w:r>
      <w:r w:rsidRPr="00651258">
        <w:rPr>
          <w:color w:val="000000" w:themeColor="text1"/>
          <w:sz w:val="24"/>
          <w:szCs w:val="24"/>
        </w:rPr>
        <w:t xml:space="preserve"> (2005): 172</w:t>
      </w:r>
      <w:r w:rsidR="00295858" w:rsidRPr="00651258">
        <w:rPr>
          <w:color w:val="000000" w:themeColor="text1"/>
          <w:sz w:val="24"/>
          <w:szCs w:val="24"/>
        </w:rPr>
        <w:t>, 175.</w:t>
      </w:r>
    </w:p>
  </w:endnote>
  <w:endnote w:id="30">
    <w:p w14:paraId="42D4022D" w14:textId="67093D70" w:rsidR="00E27C32" w:rsidRPr="00651258" w:rsidRDefault="00E27C32" w:rsidP="00651258">
      <w:pPr>
        <w:autoSpaceDE w:val="0"/>
        <w:autoSpaceDN w:val="0"/>
        <w:adjustRightInd w:val="0"/>
        <w:spacing w:line="480" w:lineRule="auto"/>
        <w:rPr>
          <w:color w:val="000000" w:themeColor="text1"/>
        </w:rPr>
      </w:pPr>
      <w:r w:rsidRPr="00651258">
        <w:rPr>
          <w:rStyle w:val="EndnoteReference"/>
          <w:color w:val="000000" w:themeColor="text1"/>
        </w:rPr>
        <w:endnoteRef/>
      </w:r>
      <w:r w:rsidRPr="00651258">
        <w:rPr>
          <w:color w:val="000000" w:themeColor="text1"/>
        </w:rPr>
        <w:t xml:space="preserve"> Gerstenblith, “From Bamiyan to Baghdad,” </w:t>
      </w:r>
      <w:r w:rsidR="00C726AA" w:rsidRPr="00651258">
        <w:rPr>
          <w:color w:val="000000" w:themeColor="text1"/>
        </w:rPr>
        <w:t xml:space="preserve">288. </w:t>
      </w:r>
    </w:p>
  </w:endnote>
  <w:endnote w:id="31">
    <w:p w14:paraId="27574EC4" w14:textId="1B4FE158"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w:t>
      </w:r>
      <w:r w:rsidR="00D5562C" w:rsidRPr="00651258">
        <w:rPr>
          <w:color w:val="000000" w:themeColor="text1"/>
          <w:sz w:val="24"/>
          <w:szCs w:val="24"/>
        </w:rPr>
        <w:t>Thurlow, “Protecting Cultural Property in Iraq,” 179.</w:t>
      </w:r>
    </w:p>
  </w:endnote>
  <w:endnote w:id="32">
    <w:p w14:paraId="4776CFA4" w14:textId="4A7F2149"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b/>
          <w:color w:val="000000" w:themeColor="text1"/>
          <w:sz w:val="24"/>
          <w:szCs w:val="24"/>
        </w:rPr>
        <w:t xml:space="preserve"> </w:t>
      </w:r>
      <w:r w:rsidRPr="00651258">
        <w:rPr>
          <w:color w:val="000000" w:themeColor="text1"/>
          <w:sz w:val="24"/>
          <w:szCs w:val="24"/>
        </w:rPr>
        <w:t xml:space="preserve">Patty Gerstenblith, “The Destruction of Cultural Heritage: A Crime </w:t>
      </w:r>
      <w:r w:rsidR="00EB2E73" w:rsidRPr="00651258">
        <w:rPr>
          <w:color w:val="000000" w:themeColor="text1"/>
          <w:sz w:val="24"/>
          <w:szCs w:val="24"/>
        </w:rPr>
        <w:t>a</w:t>
      </w:r>
      <w:r w:rsidRPr="00651258">
        <w:rPr>
          <w:color w:val="000000" w:themeColor="text1"/>
          <w:sz w:val="24"/>
          <w:szCs w:val="24"/>
        </w:rPr>
        <w:t xml:space="preserve">gainst Property or a Crime </w:t>
      </w:r>
      <w:r w:rsidR="00EB2E73" w:rsidRPr="00651258">
        <w:rPr>
          <w:color w:val="000000" w:themeColor="text1"/>
          <w:sz w:val="24"/>
          <w:szCs w:val="24"/>
        </w:rPr>
        <w:t>a</w:t>
      </w:r>
      <w:r w:rsidRPr="00651258">
        <w:rPr>
          <w:color w:val="000000" w:themeColor="text1"/>
          <w:sz w:val="24"/>
          <w:szCs w:val="24"/>
        </w:rPr>
        <w:t xml:space="preserve">gainst People?” </w:t>
      </w:r>
      <w:r w:rsidRPr="00651258">
        <w:rPr>
          <w:i/>
          <w:color w:val="000000" w:themeColor="text1"/>
          <w:sz w:val="24"/>
          <w:szCs w:val="24"/>
        </w:rPr>
        <w:t xml:space="preserve">The John Marshall Review of Intellectual Property Law </w:t>
      </w:r>
      <w:r w:rsidRPr="00651258">
        <w:rPr>
          <w:color w:val="000000" w:themeColor="text1"/>
          <w:sz w:val="24"/>
          <w:szCs w:val="24"/>
        </w:rPr>
        <w:t>15</w:t>
      </w:r>
      <w:r w:rsidRPr="00651258">
        <w:rPr>
          <w:i/>
          <w:color w:val="000000" w:themeColor="text1"/>
          <w:sz w:val="24"/>
          <w:szCs w:val="24"/>
        </w:rPr>
        <w:t xml:space="preserve"> </w:t>
      </w:r>
      <w:r w:rsidRPr="00651258">
        <w:rPr>
          <w:color w:val="000000" w:themeColor="text1"/>
          <w:sz w:val="24"/>
          <w:szCs w:val="24"/>
        </w:rPr>
        <w:t>(2016): 355.</w:t>
      </w:r>
    </w:p>
  </w:endnote>
  <w:endnote w:id="33">
    <w:p w14:paraId="46FAB64F" w14:textId="0ED70331" w:rsidR="00E27C32" w:rsidRPr="00651258" w:rsidRDefault="00E27C32" w:rsidP="00651258">
      <w:pPr>
        <w:autoSpaceDE w:val="0"/>
        <w:autoSpaceDN w:val="0"/>
        <w:adjustRightInd w:val="0"/>
        <w:spacing w:line="480" w:lineRule="auto"/>
        <w:rPr>
          <w:color w:val="000000" w:themeColor="text1"/>
        </w:rPr>
      </w:pPr>
      <w:r w:rsidRPr="00651258">
        <w:rPr>
          <w:rStyle w:val="EndnoteReference"/>
          <w:color w:val="000000" w:themeColor="text1"/>
        </w:rPr>
        <w:endnoteRef/>
      </w:r>
      <w:r w:rsidRPr="00651258">
        <w:rPr>
          <w:color w:val="000000" w:themeColor="text1"/>
        </w:rPr>
        <w:t xml:space="preserve"> </w:t>
      </w:r>
      <w:r w:rsidR="00C15CFB" w:rsidRPr="00651258">
        <w:rPr>
          <w:color w:val="000000" w:themeColor="text1"/>
        </w:rPr>
        <w:t xml:space="preserve">US Department of Defense, </w:t>
      </w:r>
      <w:r w:rsidR="00C15CFB" w:rsidRPr="00651258">
        <w:rPr>
          <w:i/>
          <w:iCs/>
          <w:color w:val="000000" w:themeColor="text1"/>
        </w:rPr>
        <w:t>Department of Defense Law of War Manual</w:t>
      </w:r>
      <w:r w:rsidRPr="00651258">
        <w:rPr>
          <w:color w:val="000000" w:themeColor="text1"/>
        </w:rPr>
        <w:t xml:space="preserve">, </w:t>
      </w:r>
      <w:r w:rsidR="004A5E04">
        <w:rPr>
          <w:color w:val="000000" w:themeColor="text1"/>
        </w:rPr>
        <w:t>p</w:t>
      </w:r>
      <w:r w:rsidR="00C15CFB" w:rsidRPr="00651258">
        <w:rPr>
          <w:color w:val="000000" w:themeColor="text1"/>
        </w:rPr>
        <w:t xml:space="preserve">ara. </w:t>
      </w:r>
      <w:r w:rsidRPr="00651258">
        <w:rPr>
          <w:color w:val="000000" w:themeColor="text1"/>
        </w:rPr>
        <w:t>11.19.</w:t>
      </w:r>
    </w:p>
  </w:endnote>
  <w:endnote w:id="34">
    <w:p w14:paraId="76E3C64E" w14:textId="24C2801F" w:rsidR="00E27C32" w:rsidRPr="00651258" w:rsidRDefault="00E27C32" w:rsidP="00651258">
      <w:pPr>
        <w:spacing w:line="480" w:lineRule="auto"/>
        <w:rPr>
          <w:color w:val="000000" w:themeColor="text1"/>
        </w:rPr>
      </w:pPr>
      <w:r w:rsidRPr="00651258">
        <w:rPr>
          <w:rStyle w:val="EndnoteReference"/>
          <w:color w:val="000000" w:themeColor="text1"/>
        </w:rPr>
        <w:endnoteRef/>
      </w:r>
      <w:r w:rsidRPr="00651258">
        <w:rPr>
          <w:color w:val="000000" w:themeColor="text1"/>
        </w:rPr>
        <w:t xml:space="preserve"> Ralph Blumenthal and Tom Mashberg, “The Army </w:t>
      </w:r>
      <w:r w:rsidR="00F21FEE" w:rsidRPr="00651258">
        <w:rPr>
          <w:color w:val="000000" w:themeColor="text1"/>
        </w:rPr>
        <w:t>I</w:t>
      </w:r>
      <w:r w:rsidRPr="00651258">
        <w:rPr>
          <w:color w:val="000000" w:themeColor="text1"/>
        </w:rPr>
        <w:t xml:space="preserve">s Looking for a Few Good Art Experts,” </w:t>
      </w:r>
      <w:r w:rsidRPr="00651258">
        <w:rPr>
          <w:i/>
          <w:color w:val="000000" w:themeColor="text1"/>
        </w:rPr>
        <w:t>New York Times</w:t>
      </w:r>
      <w:r w:rsidRPr="00651258">
        <w:rPr>
          <w:iCs/>
          <w:color w:val="000000" w:themeColor="text1"/>
        </w:rPr>
        <w:t xml:space="preserve">, </w:t>
      </w:r>
      <w:r w:rsidR="00F21FEE" w:rsidRPr="00651258">
        <w:rPr>
          <w:color w:val="000000" w:themeColor="text1"/>
        </w:rPr>
        <w:t xml:space="preserve">21 </w:t>
      </w:r>
      <w:r w:rsidRPr="00651258">
        <w:rPr>
          <w:color w:val="000000" w:themeColor="text1"/>
        </w:rPr>
        <w:t xml:space="preserve">October 2019, </w:t>
      </w:r>
      <w:r w:rsidR="00F21FEE" w:rsidRPr="00651258">
        <w:t>https://www.nytimes.com/2019/10/21/arts/design/new-monuments-men.html</w:t>
      </w:r>
      <w:r w:rsidRPr="00651258">
        <w:rPr>
          <w:color w:val="000000" w:themeColor="text1"/>
        </w:rPr>
        <w:t>.</w:t>
      </w:r>
    </w:p>
  </w:endnote>
  <w:endnote w:id="35">
    <w:p w14:paraId="134329A4" w14:textId="2563B8A2" w:rsidR="00A048DC" w:rsidRPr="001B717F" w:rsidRDefault="00A048DC" w:rsidP="001B717F">
      <w:pPr>
        <w:pStyle w:val="EndnoteText"/>
        <w:spacing w:line="480" w:lineRule="auto"/>
        <w:rPr>
          <w:sz w:val="24"/>
          <w:szCs w:val="24"/>
        </w:rPr>
      </w:pPr>
      <w:r w:rsidRPr="001B717F">
        <w:rPr>
          <w:rStyle w:val="EndnoteReference"/>
          <w:sz w:val="24"/>
          <w:szCs w:val="24"/>
        </w:rPr>
        <w:endnoteRef/>
      </w:r>
      <w:r w:rsidRPr="001B717F">
        <w:rPr>
          <w:sz w:val="24"/>
          <w:szCs w:val="24"/>
        </w:rPr>
        <w:t xml:space="preserve"> </w:t>
      </w:r>
      <w:r w:rsidR="00651258" w:rsidRPr="001B717F">
        <w:rPr>
          <w:sz w:val="24"/>
          <w:szCs w:val="24"/>
        </w:rPr>
        <w:t>Donald Trump (@realDonald Trump, 4 January 2020), https://www.thetrumparchive.com/?searchbox=%22some+at+a+very+high+level%22.</w:t>
      </w:r>
    </w:p>
  </w:endnote>
  <w:endnote w:id="36">
    <w:p w14:paraId="050B8241" w14:textId="575522ED" w:rsidR="00E27C32" w:rsidRPr="00651258" w:rsidRDefault="00E27C32" w:rsidP="00651258">
      <w:pPr>
        <w:spacing w:line="480" w:lineRule="auto"/>
        <w:rPr>
          <w:color w:val="000000" w:themeColor="text1"/>
        </w:rPr>
      </w:pPr>
      <w:r w:rsidRPr="00651258">
        <w:rPr>
          <w:rStyle w:val="EndnoteReference"/>
          <w:color w:val="000000" w:themeColor="text1"/>
        </w:rPr>
        <w:endnoteRef/>
      </w:r>
      <w:r w:rsidRPr="00651258">
        <w:rPr>
          <w:color w:val="000000" w:themeColor="text1"/>
        </w:rPr>
        <w:t xml:space="preserve"> Tom Lobianco, “Donald Trump on </w:t>
      </w:r>
      <w:r w:rsidR="00403B57" w:rsidRPr="00651258">
        <w:rPr>
          <w:color w:val="000000" w:themeColor="text1"/>
        </w:rPr>
        <w:t>T</w:t>
      </w:r>
      <w:r w:rsidRPr="00651258">
        <w:rPr>
          <w:color w:val="000000" w:themeColor="text1"/>
        </w:rPr>
        <w:t xml:space="preserve">errorists: ‘Take </w:t>
      </w:r>
      <w:r w:rsidR="00403B57" w:rsidRPr="00651258">
        <w:rPr>
          <w:color w:val="000000" w:themeColor="text1"/>
        </w:rPr>
        <w:t>O</w:t>
      </w:r>
      <w:r w:rsidRPr="00651258">
        <w:rPr>
          <w:color w:val="000000" w:themeColor="text1"/>
        </w:rPr>
        <w:t xml:space="preserve">ut </w:t>
      </w:r>
      <w:r w:rsidR="00403B57" w:rsidRPr="00651258">
        <w:rPr>
          <w:color w:val="000000" w:themeColor="text1"/>
        </w:rPr>
        <w:t>T</w:t>
      </w:r>
      <w:r w:rsidRPr="00651258">
        <w:rPr>
          <w:color w:val="000000" w:themeColor="text1"/>
        </w:rPr>
        <w:t xml:space="preserve">heir </w:t>
      </w:r>
      <w:r w:rsidR="00403B57" w:rsidRPr="00651258">
        <w:rPr>
          <w:color w:val="000000" w:themeColor="text1"/>
        </w:rPr>
        <w:t>F</w:t>
      </w:r>
      <w:r w:rsidRPr="00651258">
        <w:rPr>
          <w:color w:val="000000" w:themeColor="text1"/>
        </w:rPr>
        <w:t>amilies</w:t>
      </w:r>
      <w:r w:rsidR="00403B57" w:rsidRPr="00651258">
        <w:rPr>
          <w:color w:val="000000" w:themeColor="text1"/>
        </w:rPr>
        <w:t>,</w:t>
      </w:r>
      <w:r w:rsidRPr="00651258">
        <w:rPr>
          <w:color w:val="000000" w:themeColor="text1"/>
        </w:rPr>
        <w:t xml:space="preserve">’” </w:t>
      </w:r>
      <w:r w:rsidRPr="00651258">
        <w:rPr>
          <w:iCs/>
          <w:color w:val="000000" w:themeColor="text1"/>
        </w:rPr>
        <w:t>CNN</w:t>
      </w:r>
      <w:r w:rsidRPr="00651258">
        <w:rPr>
          <w:color w:val="000000" w:themeColor="text1"/>
        </w:rPr>
        <w:t xml:space="preserve">, </w:t>
      </w:r>
      <w:r w:rsidR="00403B57" w:rsidRPr="00651258">
        <w:rPr>
          <w:color w:val="000000" w:themeColor="text1"/>
        </w:rPr>
        <w:t xml:space="preserve">3 </w:t>
      </w:r>
      <w:r w:rsidRPr="00651258">
        <w:rPr>
          <w:color w:val="000000" w:themeColor="text1"/>
        </w:rPr>
        <w:t>December 2015</w:t>
      </w:r>
      <w:r w:rsidR="00403B57" w:rsidRPr="00651258">
        <w:rPr>
          <w:color w:val="000000" w:themeColor="text1"/>
        </w:rPr>
        <w:t>,</w:t>
      </w:r>
      <w:r w:rsidRPr="00651258">
        <w:rPr>
          <w:color w:val="000000" w:themeColor="text1"/>
        </w:rPr>
        <w:t xml:space="preserve"> </w:t>
      </w:r>
      <w:r w:rsidR="00403B57" w:rsidRPr="00651258">
        <w:t>https://www.cnn.com/2015/12/02/politics/donald-trump-terrorists-families/</w:t>
      </w:r>
      <w:r w:rsidR="00595EA6" w:rsidRPr="00651258">
        <w:rPr>
          <w:rStyle w:val="Hyperlink"/>
          <w:color w:val="000000" w:themeColor="text1"/>
          <w:u w:val="none"/>
        </w:rPr>
        <w:t>.</w:t>
      </w:r>
    </w:p>
  </w:endnote>
  <w:endnote w:id="37">
    <w:p w14:paraId="2590A9F8" w14:textId="33E5E96F"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See Scott D. Sagan and Benjamin A</w:t>
      </w:r>
      <w:r w:rsidR="000957F1" w:rsidRPr="00651258">
        <w:rPr>
          <w:color w:val="000000" w:themeColor="text1"/>
          <w:sz w:val="24"/>
          <w:szCs w:val="24"/>
        </w:rPr>
        <w:t>.</w:t>
      </w:r>
      <w:r w:rsidRPr="00651258">
        <w:rPr>
          <w:color w:val="000000" w:themeColor="text1"/>
          <w:sz w:val="24"/>
          <w:szCs w:val="24"/>
        </w:rPr>
        <w:t xml:space="preserve"> Valentino, “Do Americans </w:t>
      </w:r>
      <w:r w:rsidR="000957F1" w:rsidRPr="00651258">
        <w:rPr>
          <w:color w:val="000000" w:themeColor="text1"/>
          <w:sz w:val="24"/>
          <w:szCs w:val="24"/>
        </w:rPr>
        <w:t>A</w:t>
      </w:r>
      <w:r w:rsidRPr="00651258">
        <w:rPr>
          <w:color w:val="000000" w:themeColor="text1"/>
          <w:sz w:val="24"/>
          <w:szCs w:val="24"/>
        </w:rPr>
        <w:t xml:space="preserve">pprove of Trump’s </w:t>
      </w:r>
      <w:r w:rsidR="000957F1" w:rsidRPr="00651258">
        <w:rPr>
          <w:color w:val="000000" w:themeColor="text1"/>
          <w:sz w:val="24"/>
          <w:szCs w:val="24"/>
        </w:rPr>
        <w:t>P</w:t>
      </w:r>
      <w:r w:rsidRPr="00651258">
        <w:rPr>
          <w:color w:val="000000" w:themeColor="text1"/>
          <w:sz w:val="24"/>
          <w:szCs w:val="24"/>
        </w:rPr>
        <w:t xml:space="preserve">ardons of </w:t>
      </w:r>
      <w:r w:rsidR="000957F1" w:rsidRPr="00651258">
        <w:rPr>
          <w:color w:val="000000" w:themeColor="text1"/>
          <w:sz w:val="24"/>
          <w:szCs w:val="24"/>
        </w:rPr>
        <w:t>C</w:t>
      </w:r>
      <w:r w:rsidRPr="00651258">
        <w:rPr>
          <w:color w:val="000000" w:themeColor="text1"/>
          <w:sz w:val="24"/>
          <w:szCs w:val="24"/>
        </w:rPr>
        <w:t xml:space="preserve">ourt </w:t>
      </w:r>
      <w:r w:rsidR="000957F1" w:rsidRPr="00651258">
        <w:rPr>
          <w:color w:val="000000" w:themeColor="text1"/>
          <w:sz w:val="24"/>
          <w:szCs w:val="24"/>
        </w:rPr>
        <w:t>M</w:t>
      </w:r>
      <w:r w:rsidRPr="00651258">
        <w:rPr>
          <w:color w:val="000000" w:themeColor="text1"/>
          <w:sz w:val="24"/>
          <w:szCs w:val="24"/>
        </w:rPr>
        <w:t xml:space="preserve">arshalled </w:t>
      </w:r>
      <w:r w:rsidR="000957F1" w:rsidRPr="00651258">
        <w:rPr>
          <w:color w:val="000000" w:themeColor="text1"/>
          <w:sz w:val="24"/>
          <w:szCs w:val="24"/>
        </w:rPr>
        <w:t>M</w:t>
      </w:r>
      <w:r w:rsidRPr="00651258">
        <w:rPr>
          <w:color w:val="000000" w:themeColor="text1"/>
          <w:sz w:val="24"/>
          <w:szCs w:val="24"/>
        </w:rPr>
        <w:t xml:space="preserve">ilitary </w:t>
      </w:r>
      <w:r w:rsidR="000957F1" w:rsidRPr="00651258">
        <w:rPr>
          <w:color w:val="000000" w:themeColor="text1"/>
          <w:sz w:val="24"/>
          <w:szCs w:val="24"/>
        </w:rPr>
        <w:t>O</w:t>
      </w:r>
      <w:r w:rsidRPr="00651258">
        <w:rPr>
          <w:color w:val="000000" w:themeColor="text1"/>
          <w:sz w:val="24"/>
          <w:szCs w:val="24"/>
        </w:rPr>
        <w:t>fficers</w:t>
      </w:r>
      <w:r w:rsidR="00595EA6" w:rsidRPr="00651258">
        <w:rPr>
          <w:color w:val="000000" w:themeColor="text1"/>
          <w:sz w:val="24"/>
          <w:szCs w:val="24"/>
        </w:rPr>
        <w:t>?</w:t>
      </w:r>
      <w:r w:rsidRPr="00651258">
        <w:rPr>
          <w:color w:val="000000" w:themeColor="text1"/>
          <w:sz w:val="24"/>
          <w:szCs w:val="24"/>
        </w:rPr>
        <w:t xml:space="preserve">” </w:t>
      </w:r>
      <w:r w:rsidRPr="00651258">
        <w:rPr>
          <w:i/>
          <w:color w:val="000000" w:themeColor="text1"/>
          <w:sz w:val="24"/>
          <w:szCs w:val="24"/>
        </w:rPr>
        <w:t>Washington Post</w:t>
      </w:r>
      <w:r w:rsidRPr="00651258">
        <w:rPr>
          <w:color w:val="000000" w:themeColor="text1"/>
          <w:sz w:val="24"/>
          <w:szCs w:val="24"/>
        </w:rPr>
        <w:t xml:space="preserve">, </w:t>
      </w:r>
      <w:r w:rsidR="009F2F29" w:rsidRPr="00651258">
        <w:rPr>
          <w:color w:val="000000" w:themeColor="text1"/>
          <w:sz w:val="24"/>
          <w:szCs w:val="24"/>
        </w:rPr>
        <w:t xml:space="preserve">16 </w:t>
      </w:r>
      <w:r w:rsidRPr="00651258">
        <w:rPr>
          <w:color w:val="000000" w:themeColor="text1"/>
          <w:sz w:val="24"/>
          <w:szCs w:val="24"/>
        </w:rPr>
        <w:t xml:space="preserve">December 2019, </w:t>
      </w:r>
      <w:r w:rsidR="009F2F29" w:rsidRPr="00651258">
        <w:rPr>
          <w:sz w:val="24"/>
          <w:szCs w:val="24"/>
        </w:rPr>
        <w:t>https://www.washingtonpost.com/politics/2019/12/16/do-americans-approve-trumps-pardons-court-martialed-military-officers/</w:t>
      </w:r>
      <w:r w:rsidR="009F2F29" w:rsidRPr="00651258">
        <w:rPr>
          <w:color w:val="000000" w:themeColor="text1"/>
          <w:sz w:val="24"/>
          <w:szCs w:val="24"/>
        </w:rPr>
        <w:t>.</w:t>
      </w:r>
    </w:p>
  </w:endnote>
  <w:endnote w:id="38">
    <w:p w14:paraId="39D544F8" w14:textId="28723D2A" w:rsidR="00E27C32" w:rsidRPr="00651258" w:rsidRDefault="00E27C32" w:rsidP="00651258">
      <w:pPr>
        <w:spacing w:line="480" w:lineRule="auto"/>
        <w:rPr>
          <w:color w:val="000000" w:themeColor="text1"/>
        </w:rPr>
      </w:pPr>
      <w:r w:rsidRPr="00651258">
        <w:rPr>
          <w:rStyle w:val="EndnoteReference"/>
          <w:color w:val="000000" w:themeColor="text1"/>
        </w:rPr>
        <w:endnoteRef/>
      </w:r>
      <w:r w:rsidRPr="00651258">
        <w:rPr>
          <w:color w:val="000000" w:themeColor="text1"/>
        </w:rPr>
        <w:t xml:space="preserve"> Maggie Haberman, “Trump Threatens Iranian Cultural Sites, and Warns of Sanctions on Iraq,” </w:t>
      </w:r>
      <w:r w:rsidRPr="00651258">
        <w:rPr>
          <w:i/>
          <w:color w:val="000000" w:themeColor="text1"/>
        </w:rPr>
        <w:t>New York Times</w:t>
      </w:r>
      <w:r w:rsidRPr="00651258">
        <w:rPr>
          <w:iCs/>
          <w:color w:val="000000" w:themeColor="text1"/>
        </w:rPr>
        <w:t xml:space="preserve">, </w:t>
      </w:r>
      <w:r w:rsidR="001175CC" w:rsidRPr="00651258">
        <w:rPr>
          <w:color w:val="000000" w:themeColor="text1"/>
        </w:rPr>
        <w:t xml:space="preserve">5 </w:t>
      </w:r>
      <w:r w:rsidRPr="00651258">
        <w:rPr>
          <w:color w:val="000000" w:themeColor="text1"/>
        </w:rPr>
        <w:t xml:space="preserve">January 2020, </w:t>
      </w:r>
      <w:r w:rsidR="001175CC" w:rsidRPr="00651258">
        <w:t>https://www.nytimes.com/2020/01/05/us/politics/trump-iran-cultural-sites.html</w:t>
      </w:r>
      <w:r w:rsidRPr="00651258">
        <w:rPr>
          <w:color w:val="000000" w:themeColor="text1"/>
        </w:rPr>
        <w:t xml:space="preserve">. </w:t>
      </w:r>
    </w:p>
  </w:endnote>
  <w:endnote w:id="39">
    <w:p w14:paraId="7AF0ABEE" w14:textId="56F3DEE3"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Rick Noack, “The </w:t>
      </w:r>
      <w:r w:rsidR="005835B6" w:rsidRPr="00651258">
        <w:rPr>
          <w:color w:val="000000" w:themeColor="text1"/>
          <w:sz w:val="24"/>
          <w:szCs w:val="24"/>
        </w:rPr>
        <w:t>D</w:t>
      </w:r>
      <w:r w:rsidRPr="00651258">
        <w:rPr>
          <w:color w:val="000000" w:themeColor="text1"/>
          <w:sz w:val="24"/>
          <w:szCs w:val="24"/>
        </w:rPr>
        <w:t xml:space="preserve">isturbing </w:t>
      </w:r>
      <w:r w:rsidR="005835B6" w:rsidRPr="00651258">
        <w:rPr>
          <w:color w:val="000000" w:themeColor="text1"/>
          <w:sz w:val="24"/>
          <w:szCs w:val="24"/>
        </w:rPr>
        <w:t>H</w:t>
      </w:r>
      <w:r w:rsidRPr="00651258">
        <w:rPr>
          <w:color w:val="000000" w:themeColor="text1"/>
          <w:sz w:val="24"/>
          <w:szCs w:val="24"/>
        </w:rPr>
        <w:t xml:space="preserve">istory behind Trump’s </w:t>
      </w:r>
      <w:r w:rsidR="00276E4F" w:rsidRPr="00651258">
        <w:rPr>
          <w:color w:val="000000" w:themeColor="text1"/>
          <w:sz w:val="24"/>
          <w:szCs w:val="24"/>
        </w:rPr>
        <w:t>T</w:t>
      </w:r>
      <w:r w:rsidRPr="00651258">
        <w:rPr>
          <w:color w:val="000000" w:themeColor="text1"/>
          <w:sz w:val="24"/>
          <w:szCs w:val="24"/>
        </w:rPr>
        <w:t xml:space="preserve">hreat to </w:t>
      </w:r>
      <w:r w:rsidR="00276E4F" w:rsidRPr="00651258">
        <w:rPr>
          <w:color w:val="000000" w:themeColor="text1"/>
          <w:sz w:val="24"/>
          <w:szCs w:val="24"/>
        </w:rPr>
        <w:t>T</w:t>
      </w:r>
      <w:r w:rsidRPr="00651258">
        <w:rPr>
          <w:color w:val="000000" w:themeColor="text1"/>
          <w:sz w:val="24"/>
          <w:szCs w:val="24"/>
        </w:rPr>
        <w:t xml:space="preserve">arget Iranian </w:t>
      </w:r>
      <w:r w:rsidR="00276E4F" w:rsidRPr="00651258">
        <w:rPr>
          <w:color w:val="000000" w:themeColor="text1"/>
          <w:sz w:val="24"/>
          <w:szCs w:val="24"/>
        </w:rPr>
        <w:t>C</w:t>
      </w:r>
      <w:r w:rsidRPr="00651258">
        <w:rPr>
          <w:color w:val="000000" w:themeColor="text1"/>
          <w:sz w:val="24"/>
          <w:szCs w:val="24"/>
        </w:rPr>
        <w:t xml:space="preserve">ultural </w:t>
      </w:r>
      <w:r w:rsidR="00276E4F" w:rsidRPr="00651258">
        <w:rPr>
          <w:color w:val="000000" w:themeColor="text1"/>
          <w:sz w:val="24"/>
          <w:szCs w:val="24"/>
        </w:rPr>
        <w:t>S</w:t>
      </w:r>
      <w:r w:rsidRPr="00651258">
        <w:rPr>
          <w:color w:val="000000" w:themeColor="text1"/>
          <w:sz w:val="24"/>
          <w:szCs w:val="24"/>
        </w:rPr>
        <w:t xml:space="preserve">ites,” </w:t>
      </w:r>
      <w:r w:rsidRPr="00651258">
        <w:rPr>
          <w:i/>
          <w:color w:val="000000" w:themeColor="text1"/>
          <w:sz w:val="24"/>
          <w:szCs w:val="24"/>
        </w:rPr>
        <w:t>Washington Post</w:t>
      </w:r>
      <w:r w:rsidRPr="00651258">
        <w:rPr>
          <w:iCs/>
          <w:color w:val="000000" w:themeColor="text1"/>
          <w:sz w:val="24"/>
          <w:szCs w:val="24"/>
        </w:rPr>
        <w:t xml:space="preserve">, </w:t>
      </w:r>
      <w:r w:rsidR="00276E4F" w:rsidRPr="00651258">
        <w:rPr>
          <w:iCs/>
          <w:color w:val="000000" w:themeColor="text1"/>
          <w:sz w:val="24"/>
          <w:szCs w:val="24"/>
        </w:rPr>
        <w:t xml:space="preserve">6 </w:t>
      </w:r>
      <w:r w:rsidRPr="00651258">
        <w:rPr>
          <w:color w:val="000000" w:themeColor="text1"/>
          <w:sz w:val="24"/>
          <w:szCs w:val="24"/>
        </w:rPr>
        <w:t xml:space="preserve">January 2020, </w:t>
      </w:r>
      <w:r w:rsidR="00DC7FAC" w:rsidRPr="00651258">
        <w:rPr>
          <w:sz w:val="24"/>
          <w:szCs w:val="24"/>
        </w:rPr>
        <w:t>https://www.washingtonpost.com/world/2020/01/06/disturbing-history-behind-trumps-idea-target-iranian-cultural-sites/</w:t>
      </w:r>
      <w:r w:rsidRPr="00651258">
        <w:rPr>
          <w:color w:val="000000" w:themeColor="text1"/>
          <w:sz w:val="24"/>
          <w:szCs w:val="24"/>
        </w:rPr>
        <w:t xml:space="preserve">; </w:t>
      </w:r>
      <w:r w:rsidR="00F00D2D" w:rsidRPr="00651258">
        <w:rPr>
          <w:color w:val="000000" w:themeColor="text1"/>
          <w:sz w:val="24"/>
          <w:szCs w:val="24"/>
        </w:rPr>
        <w:t xml:space="preserve">and </w:t>
      </w:r>
      <w:r w:rsidRPr="00651258">
        <w:rPr>
          <w:color w:val="000000" w:themeColor="text1"/>
          <w:sz w:val="24"/>
          <w:szCs w:val="24"/>
        </w:rPr>
        <w:t xml:space="preserve">Elizabeth Warren, </w:t>
      </w:r>
      <w:r w:rsidR="00835819" w:rsidRPr="00651258">
        <w:rPr>
          <w:color w:val="000000" w:themeColor="text1"/>
          <w:sz w:val="24"/>
          <w:szCs w:val="24"/>
        </w:rPr>
        <w:t>“You are threatening to commit war crimes. We are not at war with Iran. The American people do not want a war with Iran. This is a democracy. You do not get to start a war with Iran, and your threats put our troops and diplomats at greater risk. Stop</w:t>
      </w:r>
      <w:r w:rsidR="00E66D70" w:rsidRPr="00651258">
        <w:rPr>
          <w:color w:val="000000" w:themeColor="text1"/>
          <w:sz w:val="24"/>
          <w:szCs w:val="24"/>
        </w:rPr>
        <w:t>,</w:t>
      </w:r>
      <w:r w:rsidR="00835819" w:rsidRPr="00651258">
        <w:rPr>
          <w:color w:val="000000" w:themeColor="text1"/>
          <w:sz w:val="24"/>
          <w:szCs w:val="24"/>
        </w:rPr>
        <w:t>”</w:t>
      </w:r>
      <w:r w:rsidRPr="00651258">
        <w:rPr>
          <w:color w:val="000000" w:themeColor="text1"/>
          <w:sz w:val="24"/>
          <w:szCs w:val="24"/>
        </w:rPr>
        <w:t xml:space="preserve"> </w:t>
      </w:r>
      <w:r w:rsidR="00835819" w:rsidRPr="00651258">
        <w:rPr>
          <w:color w:val="000000" w:themeColor="text1"/>
          <w:sz w:val="24"/>
          <w:szCs w:val="24"/>
        </w:rPr>
        <w:t xml:space="preserve">@ewarren, 4 </w:t>
      </w:r>
      <w:r w:rsidRPr="00651258">
        <w:rPr>
          <w:color w:val="000000" w:themeColor="text1"/>
          <w:sz w:val="24"/>
          <w:szCs w:val="24"/>
        </w:rPr>
        <w:t xml:space="preserve">January 2020, </w:t>
      </w:r>
      <w:r w:rsidR="001B06AB" w:rsidRPr="00651258">
        <w:rPr>
          <w:sz w:val="24"/>
          <w:szCs w:val="24"/>
        </w:rPr>
        <w:t>https://twitter.com/ewarren/status/1213665218020171777</w:t>
      </w:r>
      <w:r w:rsidRPr="00651258">
        <w:rPr>
          <w:sz w:val="24"/>
          <w:szCs w:val="24"/>
        </w:rPr>
        <w:t xml:space="preserve">. </w:t>
      </w:r>
    </w:p>
  </w:endnote>
  <w:endnote w:id="40">
    <w:p w14:paraId="7E00D0A1" w14:textId="739253C8" w:rsidR="00E27C32" w:rsidRPr="00651258" w:rsidRDefault="00E27C32" w:rsidP="00651258">
      <w:pPr>
        <w:spacing w:line="480" w:lineRule="auto"/>
        <w:rPr>
          <w:color w:val="000000" w:themeColor="text1"/>
        </w:rPr>
      </w:pPr>
      <w:r w:rsidRPr="00651258">
        <w:rPr>
          <w:rStyle w:val="EndnoteReference"/>
          <w:color w:val="000000" w:themeColor="text1"/>
        </w:rPr>
        <w:endnoteRef/>
      </w:r>
      <w:r w:rsidRPr="00651258">
        <w:rPr>
          <w:color w:val="000000" w:themeColor="text1"/>
        </w:rPr>
        <w:t xml:space="preserve"> Alexander Bolton, “McConnell: ‘Not </w:t>
      </w:r>
      <w:r w:rsidR="00B72C3F" w:rsidRPr="00651258">
        <w:rPr>
          <w:color w:val="000000" w:themeColor="text1"/>
        </w:rPr>
        <w:t>A</w:t>
      </w:r>
      <w:r w:rsidRPr="00651258">
        <w:rPr>
          <w:color w:val="000000" w:themeColor="text1"/>
        </w:rPr>
        <w:t xml:space="preserve">ppropriate’ to </w:t>
      </w:r>
      <w:r w:rsidR="00B72C3F" w:rsidRPr="00651258">
        <w:rPr>
          <w:color w:val="000000" w:themeColor="text1"/>
        </w:rPr>
        <w:t>T</w:t>
      </w:r>
      <w:r w:rsidRPr="00651258">
        <w:rPr>
          <w:color w:val="000000" w:themeColor="text1"/>
        </w:rPr>
        <w:t xml:space="preserve">arget Iranian </w:t>
      </w:r>
      <w:r w:rsidR="00B72C3F" w:rsidRPr="00651258">
        <w:rPr>
          <w:color w:val="000000" w:themeColor="text1"/>
        </w:rPr>
        <w:t>C</w:t>
      </w:r>
      <w:r w:rsidRPr="00651258">
        <w:rPr>
          <w:color w:val="000000" w:themeColor="text1"/>
        </w:rPr>
        <w:t xml:space="preserve">ultural </w:t>
      </w:r>
      <w:r w:rsidR="00B72C3F" w:rsidRPr="00651258">
        <w:rPr>
          <w:color w:val="000000" w:themeColor="text1"/>
        </w:rPr>
        <w:t>S</w:t>
      </w:r>
      <w:r w:rsidRPr="00651258">
        <w:rPr>
          <w:color w:val="000000" w:themeColor="text1"/>
        </w:rPr>
        <w:t xml:space="preserve">ites,” </w:t>
      </w:r>
      <w:r w:rsidRPr="00651258">
        <w:rPr>
          <w:i/>
          <w:color w:val="000000" w:themeColor="text1"/>
        </w:rPr>
        <w:t>The Hill</w:t>
      </w:r>
      <w:r w:rsidRPr="00651258">
        <w:rPr>
          <w:iCs/>
          <w:color w:val="000000" w:themeColor="text1"/>
        </w:rPr>
        <w:t>,</w:t>
      </w:r>
      <w:r w:rsidRPr="00651258">
        <w:rPr>
          <w:i/>
          <w:color w:val="000000" w:themeColor="text1"/>
        </w:rPr>
        <w:t xml:space="preserve"> </w:t>
      </w:r>
      <w:r w:rsidR="00B72C3F" w:rsidRPr="00651258">
        <w:rPr>
          <w:iCs/>
          <w:color w:val="000000" w:themeColor="text1"/>
        </w:rPr>
        <w:t xml:space="preserve">7 </w:t>
      </w:r>
      <w:r w:rsidRPr="00651258">
        <w:rPr>
          <w:color w:val="000000" w:themeColor="text1"/>
        </w:rPr>
        <w:t xml:space="preserve">January 2020, </w:t>
      </w:r>
      <w:r w:rsidR="00B72C3F" w:rsidRPr="00651258">
        <w:t>https://thehill.com/homenews/senate/477187-mcconnell-not-appropriate-to-target-iranian-cultural-sites</w:t>
      </w:r>
      <w:r w:rsidRPr="00651258">
        <w:rPr>
          <w:rStyle w:val="Hyperlink"/>
          <w:color w:val="000000" w:themeColor="text1"/>
          <w:u w:val="none"/>
        </w:rPr>
        <w:t xml:space="preserve">; </w:t>
      </w:r>
      <w:r w:rsidR="004B0AF2" w:rsidRPr="00651258">
        <w:rPr>
          <w:rStyle w:val="Hyperlink"/>
          <w:color w:val="000000" w:themeColor="text1"/>
          <w:u w:val="none"/>
        </w:rPr>
        <w:t xml:space="preserve">and </w:t>
      </w:r>
      <w:r w:rsidRPr="00651258">
        <w:rPr>
          <w:color w:val="000000" w:themeColor="text1"/>
        </w:rPr>
        <w:t xml:space="preserve">Jordan Carney, “Graham </w:t>
      </w:r>
      <w:r w:rsidR="004B0AF2" w:rsidRPr="00651258">
        <w:rPr>
          <w:color w:val="000000" w:themeColor="text1"/>
        </w:rPr>
        <w:t>S</w:t>
      </w:r>
      <w:r w:rsidRPr="00651258">
        <w:rPr>
          <w:color w:val="000000" w:themeColor="text1"/>
        </w:rPr>
        <w:t xml:space="preserve">ays </w:t>
      </w:r>
      <w:r w:rsidR="004B0AF2" w:rsidRPr="00651258">
        <w:rPr>
          <w:color w:val="000000" w:themeColor="text1"/>
        </w:rPr>
        <w:t>H</w:t>
      </w:r>
      <w:r w:rsidRPr="00651258">
        <w:rPr>
          <w:color w:val="000000" w:themeColor="text1"/>
        </w:rPr>
        <w:t xml:space="preserve">e </w:t>
      </w:r>
      <w:r w:rsidR="004B0AF2" w:rsidRPr="00651258">
        <w:rPr>
          <w:color w:val="000000" w:themeColor="text1"/>
        </w:rPr>
        <w:t>W</w:t>
      </w:r>
      <w:r w:rsidRPr="00651258">
        <w:rPr>
          <w:color w:val="000000" w:themeColor="text1"/>
        </w:rPr>
        <w:t xml:space="preserve">arned Trump against </w:t>
      </w:r>
      <w:r w:rsidR="004B0AF2" w:rsidRPr="00651258">
        <w:rPr>
          <w:color w:val="000000" w:themeColor="text1"/>
        </w:rPr>
        <w:t>T</w:t>
      </w:r>
      <w:r w:rsidRPr="00651258">
        <w:rPr>
          <w:color w:val="000000" w:themeColor="text1"/>
        </w:rPr>
        <w:t xml:space="preserve">argeting Iranian </w:t>
      </w:r>
      <w:r w:rsidR="004B0AF2" w:rsidRPr="00651258">
        <w:rPr>
          <w:color w:val="000000" w:themeColor="text1"/>
        </w:rPr>
        <w:t>C</w:t>
      </w:r>
      <w:r w:rsidRPr="00651258">
        <w:rPr>
          <w:color w:val="000000" w:themeColor="text1"/>
        </w:rPr>
        <w:t xml:space="preserve">ultural </w:t>
      </w:r>
      <w:r w:rsidR="004B0AF2" w:rsidRPr="00651258">
        <w:rPr>
          <w:color w:val="000000" w:themeColor="text1"/>
        </w:rPr>
        <w:t>S</w:t>
      </w:r>
      <w:r w:rsidRPr="00651258">
        <w:rPr>
          <w:color w:val="000000" w:themeColor="text1"/>
        </w:rPr>
        <w:t xml:space="preserve">ites,” </w:t>
      </w:r>
      <w:r w:rsidRPr="00651258">
        <w:rPr>
          <w:i/>
          <w:color w:val="000000" w:themeColor="text1"/>
        </w:rPr>
        <w:t>The Hill</w:t>
      </w:r>
      <w:r w:rsidRPr="00651258">
        <w:rPr>
          <w:iCs/>
          <w:color w:val="000000" w:themeColor="text1"/>
        </w:rPr>
        <w:t xml:space="preserve">, </w:t>
      </w:r>
      <w:r w:rsidR="004B0AF2" w:rsidRPr="00651258">
        <w:rPr>
          <w:iCs/>
          <w:color w:val="000000" w:themeColor="text1"/>
        </w:rPr>
        <w:t>6</w:t>
      </w:r>
      <w:r w:rsidR="004B0AF2" w:rsidRPr="00651258">
        <w:rPr>
          <w:color w:val="000000" w:themeColor="text1"/>
        </w:rPr>
        <w:t xml:space="preserve"> </w:t>
      </w:r>
      <w:r w:rsidRPr="00651258">
        <w:rPr>
          <w:color w:val="000000" w:themeColor="text1"/>
        </w:rPr>
        <w:t xml:space="preserve">January 2020, </w:t>
      </w:r>
      <w:r w:rsidR="004B0AF2" w:rsidRPr="00651258">
        <w:t>https://thehill.com/homenews/senate/477031-graham-says-he-warned-trump-against-targeting-iranian-culture-sites</w:t>
      </w:r>
      <w:r w:rsidRPr="00651258">
        <w:rPr>
          <w:rStyle w:val="Hyperlink"/>
          <w:color w:val="000000" w:themeColor="text1"/>
          <w:u w:val="none"/>
        </w:rPr>
        <w:t>.</w:t>
      </w:r>
    </w:p>
  </w:endnote>
  <w:endnote w:id="41">
    <w:p w14:paraId="33399EF1" w14:textId="5E8DA7EA" w:rsidR="00E27C32" w:rsidRPr="00651258" w:rsidRDefault="00E27C32" w:rsidP="00651258">
      <w:pPr>
        <w:spacing w:line="480" w:lineRule="auto"/>
        <w:rPr>
          <w:color w:val="000000" w:themeColor="text1"/>
        </w:rPr>
      </w:pPr>
      <w:r w:rsidRPr="00651258">
        <w:rPr>
          <w:rStyle w:val="EndnoteReference"/>
          <w:color w:val="000000" w:themeColor="text1"/>
        </w:rPr>
        <w:endnoteRef/>
      </w:r>
      <w:r w:rsidRPr="00651258">
        <w:rPr>
          <w:color w:val="000000" w:themeColor="text1"/>
        </w:rPr>
        <w:t xml:space="preserve"> Conor Finnegan and Adia Robinson, “World </w:t>
      </w:r>
      <w:r w:rsidR="002C7F6B" w:rsidRPr="00651258">
        <w:rPr>
          <w:color w:val="000000" w:themeColor="text1"/>
        </w:rPr>
        <w:t>I</w:t>
      </w:r>
      <w:r w:rsidRPr="00651258">
        <w:rPr>
          <w:color w:val="000000" w:themeColor="text1"/>
        </w:rPr>
        <w:t xml:space="preserve">s </w:t>
      </w:r>
      <w:r w:rsidR="002C7F6B" w:rsidRPr="00651258">
        <w:rPr>
          <w:color w:val="000000" w:themeColor="text1"/>
        </w:rPr>
        <w:t>S</w:t>
      </w:r>
      <w:r w:rsidRPr="00651258">
        <w:rPr>
          <w:color w:val="000000" w:themeColor="text1"/>
        </w:rPr>
        <w:t xml:space="preserve">afer </w:t>
      </w:r>
      <w:r w:rsidR="002C7F6B" w:rsidRPr="00651258">
        <w:rPr>
          <w:color w:val="000000" w:themeColor="text1"/>
        </w:rPr>
        <w:t>B</w:t>
      </w:r>
      <w:r w:rsidRPr="00651258">
        <w:rPr>
          <w:color w:val="000000" w:themeColor="text1"/>
        </w:rPr>
        <w:t xml:space="preserve">ecause of Iranian </w:t>
      </w:r>
      <w:r w:rsidR="002C7F6B" w:rsidRPr="00651258">
        <w:rPr>
          <w:color w:val="000000" w:themeColor="text1"/>
        </w:rPr>
        <w:t>C</w:t>
      </w:r>
      <w:r w:rsidRPr="00651258">
        <w:rPr>
          <w:color w:val="000000" w:themeColor="text1"/>
        </w:rPr>
        <w:t xml:space="preserve">ommander’s </w:t>
      </w:r>
      <w:r w:rsidR="002C7F6B" w:rsidRPr="00651258">
        <w:rPr>
          <w:color w:val="000000" w:themeColor="text1"/>
        </w:rPr>
        <w:t>D</w:t>
      </w:r>
      <w:r w:rsidRPr="00651258">
        <w:rPr>
          <w:color w:val="000000" w:themeColor="text1"/>
        </w:rPr>
        <w:t xml:space="preserve">eath: Secretary of State Mike Pompeo,” </w:t>
      </w:r>
      <w:r w:rsidRPr="00651258">
        <w:rPr>
          <w:iCs/>
          <w:color w:val="000000" w:themeColor="text1"/>
        </w:rPr>
        <w:t xml:space="preserve">ABC News, </w:t>
      </w:r>
      <w:r w:rsidR="00AD6E74" w:rsidRPr="00651258">
        <w:rPr>
          <w:iCs/>
          <w:color w:val="000000" w:themeColor="text1"/>
        </w:rPr>
        <w:t xml:space="preserve">5 </w:t>
      </w:r>
      <w:r w:rsidRPr="00651258">
        <w:rPr>
          <w:color w:val="000000" w:themeColor="text1"/>
        </w:rPr>
        <w:t xml:space="preserve">January 2020, </w:t>
      </w:r>
      <w:r w:rsidR="008462D4" w:rsidRPr="00651258">
        <w:t>https://abcnews.go.com/Politics/world-safer-iranian-commanders-death-secretary-state-mike/story?id=68056187</w:t>
      </w:r>
      <w:r w:rsidRPr="00651258">
        <w:rPr>
          <w:color w:val="000000" w:themeColor="text1"/>
        </w:rPr>
        <w:t xml:space="preserve">. </w:t>
      </w:r>
    </w:p>
  </w:endnote>
  <w:endnote w:id="42">
    <w:p w14:paraId="449351B3" w14:textId="64600DC4"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w:t>
      </w:r>
      <w:r w:rsidR="00B35A1E" w:rsidRPr="00651258">
        <w:rPr>
          <w:iCs/>
          <w:color w:val="000000" w:themeColor="text1"/>
          <w:sz w:val="24"/>
          <w:szCs w:val="24"/>
        </w:rPr>
        <w:t>US Department of Defense,</w:t>
      </w:r>
      <w:r w:rsidR="00B35A1E" w:rsidRPr="00651258">
        <w:rPr>
          <w:color w:val="000000" w:themeColor="text1"/>
          <w:sz w:val="24"/>
          <w:szCs w:val="24"/>
        </w:rPr>
        <w:t xml:space="preserve"> </w:t>
      </w:r>
      <w:r w:rsidRPr="00651258">
        <w:rPr>
          <w:color w:val="000000" w:themeColor="text1"/>
          <w:sz w:val="24"/>
          <w:szCs w:val="24"/>
        </w:rPr>
        <w:t xml:space="preserve">“Press Gaggle with Secretary of Defense Dr. Mark T. Esper and Chairman of the Joint Chiefs of Staff General Mark A. Milley,” </w:t>
      </w:r>
      <w:r w:rsidR="00860FA1" w:rsidRPr="00651258">
        <w:rPr>
          <w:color w:val="000000" w:themeColor="text1"/>
          <w:sz w:val="24"/>
          <w:szCs w:val="24"/>
        </w:rPr>
        <w:t xml:space="preserve">Transcript, </w:t>
      </w:r>
      <w:r w:rsidR="008462D4" w:rsidRPr="00651258">
        <w:rPr>
          <w:color w:val="000000" w:themeColor="text1"/>
          <w:sz w:val="24"/>
          <w:szCs w:val="24"/>
        </w:rPr>
        <w:t xml:space="preserve">6 </w:t>
      </w:r>
      <w:r w:rsidRPr="00651258">
        <w:rPr>
          <w:color w:val="000000" w:themeColor="text1"/>
          <w:sz w:val="24"/>
          <w:szCs w:val="24"/>
        </w:rPr>
        <w:t xml:space="preserve">January 2020, </w:t>
      </w:r>
      <w:r w:rsidR="00512B42" w:rsidRPr="00651258">
        <w:rPr>
          <w:sz w:val="24"/>
          <w:szCs w:val="24"/>
        </w:rPr>
        <w:t>https://www.defense.gov/Newsroom/Transcripts/Transcript/Article/2051321/press-gaggle-with-secretary-of-defense-dr-mark-t-esper-and-chairman-of-the-join/</w:t>
      </w:r>
      <w:r w:rsidRPr="00651258">
        <w:rPr>
          <w:color w:val="000000" w:themeColor="text1"/>
          <w:sz w:val="24"/>
          <w:szCs w:val="24"/>
        </w:rPr>
        <w:t>.</w:t>
      </w:r>
      <w:r w:rsidR="00D1079A" w:rsidRPr="00651258">
        <w:rPr>
          <w:color w:val="000000" w:themeColor="text1"/>
          <w:sz w:val="24"/>
          <w:szCs w:val="24"/>
        </w:rPr>
        <w:t xml:space="preserve"> </w:t>
      </w:r>
      <w:r w:rsidRPr="00651258">
        <w:rPr>
          <w:color w:val="000000" w:themeColor="text1"/>
          <w:sz w:val="24"/>
          <w:szCs w:val="24"/>
        </w:rPr>
        <w:t>Both Pompeo and Esper are graduates of West Point.</w:t>
      </w:r>
    </w:p>
  </w:endnote>
  <w:endnote w:id="43">
    <w:p w14:paraId="62B22B2C" w14:textId="7271335C" w:rsidR="00E27C32" w:rsidRPr="00651258" w:rsidRDefault="00E27C32" w:rsidP="00651258">
      <w:pPr>
        <w:spacing w:line="480" w:lineRule="auto"/>
        <w:rPr>
          <w:color w:val="000000" w:themeColor="text1"/>
        </w:rPr>
      </w:pPr>
      <w:r w:rsidRPr="00651258">
        <w:rPr>
          <w:rStyle w:val="EndnoteReference"/>
          <w:color w:val="000000" w:themeColor="text1"/>
        </w:rPr>
        <w:endnoteRef/>
      </w:r>
      <w:r w:rsidRPr="00651258">
        <w:rPr>
          <w:color w:val="000000" w:themeColor="text1"/>
        </w:rPr>
        <w:t xml:space="preserve"> Quint Forgey, “‘I </w:t>
      </w:r>
      <w:r w:rsidR="00F50CEE" w:rsidRPr="00651258">
        <w:rPr>
          <w:color w:val="000000" w:themeColor="text1"/>
        </w:rPr>
        <w:t>L</w:t>
      </w:r>
      <w:r w:rsidRPr="00651258">
        <w:rPr>
          <w:color w:val="000000" w:themeColor="text1"/>
        </w:rPr>
        <w:t xml:space="preserve">ike to </w:t>
      </w:r>
      <w:r w:rsidR="00F50CEE" w:rsidRPr="00651258">
        <w:rPr>
          <w:color w:val="000000" w:themeColor="text1"/>
        </w:rPr>
        <w:t>O</w:t>
      </w:r>
      <w:r w:rsidRPr="00651258">
        <w:rPr>
          <w:color w:val="000000" w:themeColor="text1"/>
        </w:rPr>
        <w:t xml:space="preserve">bey the </w:t>
      </w:r>
      <w:r w:rsidR="00F50CEE" w:rsidRPr="00651258">
        <w:rPr>
          <w:color w:val="000000" w:themeColor="text1"/>
        </w:rPr>
        <w:t>L</w:t>
      </w:r>
      <w:r w:rsidRPr="00651258">
        <w:rPr>
          <w:color w:val="000000" w:themeColor="text1"/>
        </w:rPr>
        <w:t xml:space="preserve">aw’: Trump </w:t>
      </w:r>
      <w:r w:rsidR="00F50CEE" w:rsidRPr="00651258">
        <w:rPr>
          <w:color w:val="000000" w:themeColor="text1"/>
        </w:rPr>
        <w:t>B</w:t>
      </w:r>
      <w:r w:rsidRPr="00651258">
        <w:rPr>
          <w:color w:val="000000" w:themeColor="text1"/>
        </w:rPr>
        <w:t xml:space="preserve">acks </w:t>
      </w:r>
      <w:r w:rsidR="00F50CEE" w:rsidRPr="00651258">
        <w:rPr>
          <w:color w:val="000000" w:themeColor="text1"/>
        </w:rPr>
        <w:t>O</w:t>
      </w:r>
      <w:r w:rsidRPr="00651258">
        <w:rPr>
          <w:color w:val="000000" w:themeColor="text1"/>
        </w:rPr>
        <w:t xml:space="preserve">ff </w:t>
      </w:r>
      <w:r w:rsidR="00F50CEE" w:rsidRPr="00651258">
        <w:rPr>
          <w:color w:val="000000" w:themeColor="text1"/>
        </w:rPr>
        <w:t>T</w:t>
      </w:r>
      <w:r w:rsidRPr="00651258">
        <w:rPr>
          <w:color w:val="000000" w:themeColor="text1"/>
        </w:rPr>
        <w:t xml:space="preserve">hreat to </w:t>
      </w:r>
      <w:r w:rsidR="00EA6948" w:rsidRPr="00651258">
        <w:rPr>
          <w:color w:val="000000" w:themeColor="text1"/>
        </w:rPr>
        <w:t>T</w:t>
      </w:r>
      <w:r w:rsidRPr="00651258">
        <w:rPr>
          <w:color w:val="000000" w:themeColor="text1"/>
        </w:rPr>
        <w:t xml:space="preserve">arget Iranian </w:t>
      </w:r>
      <w:r w:rsidR="00F50CEE" w:rsidRPr="00651258">
        <w:rPr>
          <w:color w:val="000000" w:themeColor="text1"/>
        </w:rPr>
        <w:t>C</w:t>
      </w:r>
      <w:r w:rsidRPr="00651258">
        <w:rPr>
          <w:color w:val="000000" w:themeColor="text1"/>
        </w:rPr>
        <w:t xml:space="preserve">ultural sites,” </w:t>
      </w:r>
      <w:r w:rsidRPr="00651258">
        <w:rPr>
          <w:i/>
          <w:color w:val="000000" w:themeColor="text1"/>
        </w:rPr>
        <w:t>Politico</w:t>
      </w:r>
      <w:r w:rsidRPr="00651258">
        <w:rPr>
          <w:iCs/>
          <w:color w:val="000000" w:themeColor="text1"/>
        </w:rPr>
        <w:t xml:space="preserve">, </w:t>
      </w:r>
      <w:r w:rsidR="00F50CEE" w:rsidRPr="00651258">
        <w:rPr>
          <w:color w:val="000000" w:themeColor="text1"/>
        </w:rPr>
        <w:t xml:space="preserve">7 </w:t>
      </w:r>
      <w:r w:rsidRPr="00651258">
        <w:rPr>
          <w:color w:val="000000" w:themeColor="text1"/>
        </w:rPr>
        <w:t xml:space="preserve">January 2020, </w:t>
      </w:r>
      <w:r w:rsidR="00447C0F" w:rsidRPr="00651258">
        <w:t>https://www.politico.com/news/2020/01/07/pompeo-us-abide-laws-of-war-targeting-cultural-sites-095525</w:t>
      </w:r>
      <w:r w:rsidRPr="00651258">
        <w:rPr>
          <w:color w:val="000000" w:themeColor="text1"/>
        </w:rPr>
        <w:t xml:space="preserve">. </w:t>
      </w:r>
    </w:p>
  </w:endnote>
  <w:endnote w:id="44">
    <w:p w14:paraId="682F2D72" w14:textId="6826DCE7" w:rsidR="00E27C32" w:rsidRPr="00651258" w:rsidRDefault="00E27C32" w:rsidP="00651258">
      <w:pPr>
        <w:spacing w:line="480" w:lineRule="auto"/>
        <w:rPr>
          <w:color w:val="000000" w:themeColor="text1"/>
        </w:rPr>
      </w:pPr>
      <w:r w:rsidRPr="00651258">
        <w:rPr>
          <w:rStyle w:val="EndnoteReference"/>
          <w:color w:val="000000" w:themeColor="text1"/>
        </w:rPr>
        <w:endnoteRef/>
      </w:r>
      <w:r w:rsidRPr="00651258">
        <w:rPr>
          <w:color w:val="000000" w:themeColor="text1"/>
        </w:rPr>
        <w:t xml:space="preserve"> Mark Nevitt, “Trump’s Threat to Target Iranian Cultural Sites: Illegal Under International, Domestic and Military Law,” </w:t>
      </w:r>
      <w:r w:rsidRPr="00651258">
        <w:rPr>
          <w:iCs/>
          <w:color w:val="000000" w:themeColor="text1"/>
        </w:rPr>
        <w:t>Just Security</w:t>
      </w:r>
      <w:r w:rsidRPr="00651258">
        <w:rPr>
          <w:color w:val="000000" w:themeColor="text1"/>
        </w:rPr>
        <w:t xml:space="preserve">, </w:t>
      </w:r>
      <w:r w:rsidR="00D73F40" w:rsidRPr="00651258">
        <w:rPr>
          <w:color w:val="000000" w:themeColor="text1"/>
        </w:rPr>
        <w:t xml:space="preserve">8 </w:t>
      </w:r>
      <w:r w:rsidRPr="00651258">
        <w:rPr>
          <w:color w:val="000000" w:themeColor="text1"/>
        </w:rPr>
        <w:t xml:space="preserve">January 2020, </w:t>
      </w:r>
      <w:r w:rsidR="006352DD" w:rsidRPr="00651258">
        <w:t>https://www.justsecurity.org/67961/trumps-threat-to-target-iranian-cultural-sites-illegal-under-international-domestic-and-military-law/</w:t>
      </w:r>
      <w:r w:rsidRPr="00651258">
        <w:rPr>
          <w:rStyle w:val="Hyperlink"/>
          <w:color w:val="000000" w:themeColor="text1"/>
          <w:u w:val="none"/>
        </w:rPr>
        <w:t xml:space="preserve">. </w:t>
      </w:r>
    </w:p>
  </w:endnote>
  <w:endnote w:id="45">
    <w:p w14:paraId="1BB38BC7" w14:textId="27EE96DE" w:rsidR="00E27C32" w:rsidRPr="00651258" w:rsidRDefault="00E27C32" w:rsidP="00651258">
      <w:pPr>
        <w:spacing w:line="480" w:lineRule="auto"/>
        <w:rPr>
          <w:color w:val="000000" w:themeColor="text1"/>
        </w:rPr>
      </w:pPr>
      <w:r w:rsidRPr="00651258">
        <w:rPr>
          <w:rStyle w:val="EndnoteReference"/>
          <w:color w:val="000000" w:themeColor="text1"/>
        </w:rPr>
        <w:endnoteRef/>
      </w:r>
      <w:r w:rsidRPr="00651258">
        <w:rPr>
          <w:color w:val="000000" w:themeColor="text1"/>
        </w:rPr>
        <w:t xml:space="preserve"> Nevitt</w:t>
      </w:r>
      <w:r w:rsidR="004C57FD" w:rsidRPr="00651258">
        <w:rPr>
          <w:color w:val="000000" w:themeColor="text1"/>
        </w:rPr>
        <w:t>.</w:t>
      </w:r>
      <w:r w:rsidRPr="00651258">
        <w:rPr>
          <w:rStyle w:val="Hyperlink"/>
          <w:color w:val="000000" w:themeColor="text1"/>
        </w:rPr>
        <w:t xml:space="preserve"> </w:t>
      </w:r>
    </w:p>
  </w:endnote>
  <w:endnote w:id="46">
    <w:p w14:paraId="447E8C92" w14:textId="071E8078"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On the “cycle of norm change” see Sandholtz, </w:t>
      </w:r>
      <w:r w:rsidRPr="00651258">
        <w:rPr>
          <w:i/>
          <w:iCs/>
          <w:color w:val="000000" w:themeColor="text1"/>
          <w:sz w:val="24"/>
          <w:szCs w:val="24"/>
        </w:rPr>
        <w:t>Prohibiting Plunder</w:t>
      </w:r>
      <w:r w:rsidRPr="00651258">
        <w:rPr>
          <w:color w:val="000000" w:themeColor="text1"/>
          <w:sz w:val="24"/>
          <w:szCs w:val="24"/>
        </w:rPr>
        <w:t>, 1</w:t>
      </w:r>
      <w:r w:rsidR="00C03B23" w:rsidRPr="00651258">
        <w:rPr>
          <w:rFonts w:eastAsiaTheme="minorHAnsi"/>
          <w:sz w:val="24"/>
          <w:szCs w:val="24"/>
        </w:rPr>
        <w:t>–</w:t>
      </w:r>
      <w:r w:rsidRPr="00651258">
        <w:rPr>
          <w:color w:val="000000" w:themeColor="text1"/>
          <w:sz w:val="24"/>
          <w:szCs w:val="24"/>
        </w:rPr>
        <w:t>29</w:t>
      </w:r>
      <w:r w:rsidR="00EA6DC4" w:rsidRPr="00651258">
        <w:rPr>
          <w:color w:val="000000" w:themeColor="text1"/>
          <w:sz w:val="24"/>
          <w:szCs w:val="24"/>
        </w:rPr>
        <w:t>,</w:t>
      </w:r>
      <w:r w:rsidRPr="00651258">
        <w:rPr>
          <w:color w:val="000000" w:themeColor="text1"/>
          <w:sz w:val="24"/>
          <w:szCs w:val="24"/>
        </w:rPr>
        <w:t xml:space="preserve"> 261</w:t>
      </w:r>
      <w:r w:rsidR="00C03B23" w:rsidRPr="00651258">
        <w:rPr>
          <w:rFonts w:eastAsiaTheme="minorHAnsi"/>
          <w:sz w:val="24"/>
          <w:szCs w:val="24"/>
        </w:rPr>
        <w:t>–</w:t>
      </w:r>
      <w:r w:rsidRPr="00651258">
        <w:rPr>
          <w:color w:val="000000" w:themeColor="text1"/>
          <w:sz w:val="24"/>
          <w:szCs w:val="24"/>
        </w:rPr>
        <w:t>78.</w:t>
      </w:r>
    </w:p>
  </w:endnote>
  <w:endnote w:id="47">
    <w:p w14:paraId="411E697D" w14:textId="1DCA00EA"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Pr="00651258">
        <w:rPr>
          <w:color w:val="000000" w:themeColor="text1"/>
          <w:sz w:val="24"/>
          <w:szCs w:val="24"/>
        </w:rPr>
        <w:t xml:space="preserve"> Beth A. Simmons, “Treaty Compliance and Violation,” </w:t>
      </w:r>
      <w:r w:rsidRPr="00651258">
        <w:rPr>
          <w:i/>
          <w:iCs/>
          <w:color w:val="000000" w:themeColor="text1"/>
          <w:sz w:val="24"/>
          <w:szCs w:val="24"/>
        </w:rPr>
        <w:t>Annual Review of Political Science</w:t>
      </w:r>
      <w:r w:rsidR="00F110DB" w:rsidRPr="00651258">
        <w:rPr>
          <w:color w:val="000000" w:themeColor="text1"/>
          <w:sz w:val="24"/>
          <w:szCs w:val="24"/>
        </w:rPr>
        <w:t xml:space="preserve"> </w:t>
      </w:r>
      <w:r w:rsidRPr="00651258">
        <w:rPr>
          <w:color w:val="000000" w:themeColor="text1"/>
          <w:sz w:val="24"/>
          <w:szCs w:val="24"/>
        </w:rPr>
        <w:t>13,</w:t>
      </w:r>
      <w:r w:rsidR="00F941B3" w:rsidRPr="00651258">
        <w:rPr>
          <w:color w:val="000000" w:themeColor="text1"/>
          <w:sz w:val="24"/>
          <w:szCs w:val="24"/>
        </w:rPr>
        <w:t xml:space="preserve"> no. 1</w:t>
      </w:r>
      <w:r w:rsidRPr="00651258">
        <w:rPr>
          <w:color w:val="000000" w:themeColor="text1"/>
          <w:sz w:val="24"/>
          <w:szCs w:val="24"/>
        </w:rPr>
        <w:t xml:space="preserve"> (2010)</w:t>
      </w:r>
      <w:r w:rsidR="00F110DB" w:rsidRPr="00651258">
        <w:rPr>
          <w:color w:val="000000" w:themeColor="text1"/>
          <w:sz w:val="24"/>
          <w:szCs w:val="24"/>
        </w:rPr>
        <w:t>:</w:t>
      </w:r>
      <w:r w:rsidRPr="00651258">
        <w:rPr>
          <w:color w:val="000000" w:themeColor="text1"/>
          <w:sz w:val="24"/>
          <w:szCs w:val="24"/>
        </w:rPr>
        <w:t xml:space="preserve"> 273</w:t>
      </w:r>
      <w:r w:rsidR="00C03B23" w:rsidRPr="00651258">
        <w:rPr>
          <w:rFonts w:eastAsiaTheme="minorHAnsi"/>
          <w:sz w:val="24"/>
          <w:szCs w:val="24"/>
        </w:rPr>
        <w:t>–</w:t>
      </w:r>
      <w:r w:rsidRPr="00651258">
        <w:rPr>
          <w:color w:val="000000" w:themeColor="text1"/>
          <w:sz w:val="24"/>
          <w:szCs w:val="24"/>
        </w:rPr>
        <w:t>96.</w:t>
      </w:r>
    </w:p>
  </w:endnote>
  <w:endnote w:id="48">
    <w:p w14:paraId="1D1A5673" w14:textId="442EE1B8" w:rsidR="00D76ABE" w:rsidRPr="00651258" w:rsidRDefault="00D76ABE" w:rsidP="00651258">
      <w:pPr>
        <w:spacing w:line="480" w:lineRule="auto"/>
        <w:rPr>
          <w:color w:val="000000" w:themeColor="text1"/>
        </w:rPr>
      </w:pPr>
      <w:r w:rsidRPr="00651258">
        <w:rPr>
          <w:rStyle w:val="EndnoteReference"/>
          <w:color w:val="000000" w:themeColor="text1"/>
        </w:rPr>
        <w:endnoteRef/>
      </w:r>
      <w:r w:rsidRPr="00651258">
        <w:rPr>
          <w:color w:val="000000" w:themeColor="text1"/>
        </w:rPr>
        <w:t xml:space="preserve"> For examples see Joseph H. Felter and Jacob N. Shapiro, “Limiting Civilian Casualties as Part of a Winning Strategy: The Case of Courageous Restraint,” </w:t>
      </w:r>
      <w:r w:rsidRPr="00651258">
        <w:rPr>
          <w:i/>
          <w:color w:val="000000" w:themeColor="text1"/>
        </w:rPr>
        <w:t xml:space="preserve">Daedalus </w:t>
      </w:r>
      <w:r w:rsidRPr="00651258">
        <w:rPr>
          <w:color w:val="000000" w:themeColor="text1"/>
        </w:rPr>
        <w:t>146, no. 1 (2017): 44</w:t>
      </w:r>
      <w:r w:rsidRPr="00651258">
        <w:rPr>
          <w:rFonts w:eastAsiaTheme="minorHAnsi"/>
          <w:color w:val="000000" w:themeColor="text1"/>
        </w:rPr>
        <w:t>–</w:t>
      </w:r>
      <w:r w:rsidRPr="00651258">
        <w:rPr>
          <w:color w:val="000000" w:themeColor="text1"/>
        </w:rPr>
        <w:t xml:space="preserve">58; Ron E. Hassner, “What Do We Know about Interrogational Torture?” </w:t>
      </w:r>
      <w:r w:rsidRPr="00651258">
        <w:rPr>
          <w:i/>
          <w:color w:val="000000" w:themeColor="text1"/>
        </w:rPr>
        <w:t xml:space="preserve">International Journal of Intelligence and Counter-Intelligence </w:t>
      </w:r>
      <w:r w:rsidRPr="00651258">
        <w:rPr>
          <w:color w:val="000000" w:themeColor="text1"/>
        </w:rPr>
        <w:t>33, no. 1 (2020): 4</w:t>
      </w:r>
      <w:r w:rsidRPr="00651258">
        <w:rPr>
          <w:rFonts w:eastAsiaTheme="minorHAnsi"/>
          <w:color w:val="000000" w:themeColor="text1"/>
        </w:rPr>
        <w:t>–</w:t>
      </w:r>
      <w:r w:rsidRPr="00651258">
        <w:rPr>
          <w:color w:val="000000" w:themeColor="text1"/>
        </w:rPr>
        <w:t xml:space="preserve">42; Asfandyar Mir, “What Explains Counterterrorism Effectiveness? Evidence from the US Drone War in Pakistan,” </w:t>
      </w:r>
      <w:r w:rsidRPr="00651258">
        <w:rPr>
          <w:i/>
          <w:color w:val="000000" w:themeColor="text1"/>
        </w:rPr>
        <w:t xml:space="preserve">International Security </w:t>
      </w:r>
      <w:r w:rsidRPr="00651258">
        <w:rPr>
          <w:color w:val="000000" w:themeColor="text1"/>
        </w:rPr>
        <w:t>43, no. 2 (2018): 45</w:t>
      </w:r>
      <w:r w:rsidRPr="00651258">
        <w:rPr>
          <w:rFonts w:eastAsiaTheme="minorHAnsi"/>
          <w:color w:val="000000" w:themeColor="text1"/>
        </w:rPr>
        <w:t>–</w:t>
      </w:r>
      <w:r w:rsidRPr="00651258">
        <w:rPr>
          <w:color w:val="000000" w:themeColor="text1"/>
        </w:rPr>
        <w:t xml:space="preserve">83; and Janina Dill, “Distinction, Necessity, and Proportionality: Afghan Civilians’ Attitudes toward Wartime Harm,” </w:t>
      </w:r>
      <w:r w:rsidRPr="00651258">
        <w:rPr>
          <w:i/>
          <w:iCs/>
          <w:color w:val="000000" w:themeColor="text1"/>
        </w:rPr>
        <w:t>Ethics and International Affairs</w:t>
      </w:r>
      <w:r w:rsidRPr="00651258">
        <w:rPr>
          <w:color w:val="000000" w:themeColor="text1"/>
        </w:rPr>
        <w:t xml:space="preserve"> 33, no. 3 (2019): 315</w:t>
      </w:r>
      <w:r w:rsidRPr="00651258">
        <w:rPr>
          <w:rFonts w:eastAsiaTheme="minorHAnsi"/>
          <w:color w:val="000000" w:themeColor="text1"/>
        </w:rPr>
        <w:t>–</w:t>
      </w:r>
      <w:r w:rsidRPr="00651258">
        <w:rPr>
          <w:color w:val="000000" w:themeColor="text1"/>
        </w:rPr>
        <w:t xml:space="preserve">42. </w:t>
      </w:r>
    </w:p>
  </w:endnote>
  <w:endnote w:id="49">
    <w:p w14:paraId="30B09222" w14:textId="2F11EEA7" w:rsidR="00E27C32" w:rsidRPr="00651258" w:rsidRDefault="00E27C32" w:rsidP="00651258">
      <w:pPr>
        <w:pStyle w:val="EndnoteText"/>
        <w:spacing w:line="480" w:lineRule="auto"/>
        <w:rPr>
          <w:color w:val="000000" w:themeColor="text1"/>
          <w:sz w:val="24"/>
          <w:szCs w:val="24"/>
        </w:rPr>
      </w:pPr>
      <w:r w:rsidRPr="00651258">
        <w:rPr>
          <w:rStyle w:val="EndnoteReference"/>
          <w:color w:val="000000" w:themeColor="text1"/>
          <w:sz w:val="24"/>
          <w:szCs w:val="24"/>
        </w:rPr>
        <w:endnoteRef/>
      </w:r>
      <w:r w:rsidR="00A7687B" w:rsidRPr="00651258">
        <w:rPr>
          <w:color w:val="000000" w:themeColor="text1"/>
          <w:sz w:val="24"/>
          <w:szCs w:val="24"/>
        </w:rPr>
        <w:t xml:space="preserve"> Jennifer O’Connor, “Appling the Law of Targeting to the Modern Battlefield,” </w:t>
      </w:r>
      <w:r w:rsidR="00A7687B" w:rsidRPr="00651258">
        <w:rPr>
          <w:iCs/>
          <w:color w:val="000000" w:themeColor="text1"/>
          <w:sz w:val="24"/>
          <w:szCs w:val="24"/>
        </w:rPr>
        <w:t>Just Security</w:t>
      </w:r>
      <w:r w:rsidR="00A7687B" w:rsidRPr="00651258">
        <w:rPr>
          <w:color w:val="000000" w:themeColor="text1"/>
          <w:sz w:val="24"/>
          <w:szCs w:val="24"/>
        </w:rPr>
        <w:t xml:space="preserve">, </w:t>
      </w:r>
      <w:r w:rsidR="009313E8" w:rsidRPr="00651258">
        <w:rPr>
          <w:color w:val="000000" w:themeColor="text1"/>
          <w:sz w:val="24"/>
          <w:szCs w:val="24"/>
        </w:rPr>
        <w:t xml:space="preserve">28 </w:t>
      </w:r>
      <w:r w:rsidR="00A7687B" w:rsidRPr="00651258">
        <w:rPr>
          <w:color w:val="000000" w:themeColor="text1"/>
          <w:sz w:val="24"/>
          <w:szCs w:val="24"/>
        </w:rPr>
        <w:t>November 2016,</w:t>
      </w:r>
      <w:r w:rsidR="00F116A6" w:rsidRPr="00651258">
        <w:rPr>
          <w:color w:val="000000" w:themeColor="text1"/>
          <w:sz w:val="24"/>
          <w:szCs w:val="24"/>
        </w:rPr>
        <w:t xml:space="preserve"> </w:t>
      </w:r>
      <w:r w:rsidR="009313E8" w:rsidRPr="00651258">
        <w:rPr>
          <w:sz w:val="24"/>
          <w:szCs w:val="24"/>
        </w:rPr>
        <w:t>https://www.justsecurity.org/34977/applying-law-targeting-modern-battlefield‎-full-speech-dod-general-counsel-jennifer-oconnor/</w:t>
      </w:r>
      <w:r w:rsidR="009313E8" w:rsidRPr="00651258">
        <w:rPr>
          <w:color w:val="000000" w:themeColor="text1"/>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de">
    <w:altName w:val="Calibri"/>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4100283"/>
      <w:docPartObj>
        <w:docPartGallery w:val="Page Numbers (Bottom of Page)"/>
        <w:docPartUnique/>
      </w:docPartObj>
    </w:sdtPr>
    <w:sdtEndPr>
      <w:rPr>
        <w:rStyle w:val="PageNumber"/>
      </w:rPr>
    </w:sdtEndPr>
    <w:sdtContent>
      <w:p w14:paraId="0FD2C54C" w14:textId="77777777" w:rsidR="005C2981" w:rsidRDefault="005C2981" w:rsidP="00EE37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E7A5FD" w14:textId="77777777" w:rsidR="005C2981" w:rsidRDefault="005C2981" w:rsidP="007A58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355114"/>
      <w:docPartObj>
        <w:docPartGallery w:val="Page Numbers (Bottom of Page)"/>
        <w:docPartUnique/>
      </w:docPartObj>
    </w:sdtPr>
    <w:sdtEndPr>
      <w:rPr>
        <w:rStyle w:val="PageNumber"/>
        <w:rFonts w:ascii="Times New Roman" w:hAnsi="Times New Roman" w:cs="Times New Roman"/>
      </w:rPr>
    </w:sdtEndPr>
    <w:sdtContent>
      <w:p w14:paraId="54862F35" w14:textId="77777777" w:rsidR="005C2981" w:rsidRPr="001646D3" w:rsidRDefault="005C2981" w:rsidP="00EE37C1">
        <w:pPr>
          <w:pStyle w:val="Footer"/>
          <w:framePr w:wrap="none" w:vAnchor="text" w:hAnchor="margin" w:xAlign="right" w:y="1"/>
        </w:pPr>
        <w:r w:rsidRPr="00092FA7">
          <w:rPr>
            <w:rStyle w:val="PageNumber"/>
            <w:rFonts w:ascii="Times New Roman" w:hAnsi="Times New Roman" w:cs="Times New Roman"/>
          </w:rPr>
          <w:fldChar w:fldCharType="begin"/>
        </w:r>
        <w:r w:rsidRPr="00092FA7">
          <w:rPr>
            <w:rStyle w:val="PageNumber"/>
            <w:rFonts w:ascii="Times New Roman" w:hAnsi="Times New Roman" w:cs="Times New Roman"/>
          </w:rPr>
          <w:instrText xml:space="preserve"> PAGE </w:instrText>
        </w:r>
        <w:r w:rsidRPr="00092FA7">
          <w:rPr>
            <w:rStyle w:val="PageNumber"/>
            <w:rFonts w:ascii="Times New Roman" w:hAnsi="Times New Roman" w:cs="Times New Roman"/>
          </w:rPr>
          <w:fldChar w:fldCharType="separate"/>
        </w:r>
        <w:r w:rsidRPr="00092FA7">
          <w:rPr>
            <w:rStyle w:val="PageNumber"/>
            <w:rFonts w:ascii="Times New Roman" w:hAnsi="Times New Roman" w:cs="Times New Roman"/>
            <w:noProof/>
          </w:rPr>
          <w:t>1</w:t>
        </w:r>
        <w:r w:rsidRPr="00092FA7">
          <w:rPr>
            <w:rStyle w:val="PageNumber"/>
            <w:rFonts w:ascii="Times New Roman" w:hAnsi="Times New Roman" w:cs="Times New Roman"/>
          </w:rPr>
          <w:fldChar w:fldCharType="end"/>
        </w:r>
      </w:p>
    </w:sdtContent>
  </w:sdt>
  <w:p w14:paraId="3ACDEE5A" w14:textId="77777777" w:rsidR="005C2981" w:rsidRDefault="005C2981" w:rsidP="007A58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0B1D7" w14:textId="77777777" w:rsidR="005C2FB0" w:rsidRDefault="005C2FB0" w:rsidP="007A586E">
      <w:r>
        <w:separator/>
      </w:r>
    </w:p>
  </w:footnote>
  <w:footnote w:type="continuationSeparator" w:id="0">
    <w:p w14:paraId="3504017B" w14:textId="77777777" w:rsidR="005C2FB0" w:rsidRDefault="005C2FB0" w:rsidP="007A586E">
      <w:r>
        <w:continuationSeparator/>
      </w:r>
    </w:p>
  </w:footnote>
  <w:footnote w:type="continuationNotice" w:id="1">
    <w:p w14:paraId="6AFC3AC9" w14:textId="77777777" w:rsidR="005C2FB0" w:rsidRDefault="005C2F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545F9" w14:textId="77777777" w:rsidR="00EE7641" w:rsidRDefault="00EE76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A2F27"/>
    <w:multiLevelType w:val="multilevel"/>
    <w:tmpl w:val="3C1A200C"/>
    <w:lvl w:ilvl="0">
      <w:start w:val="1"/>
      <w:numFmt w:val="decimal"/>
      <w:lvlText w:val="%1."/>
      <w:lvlJc w:val="left"/>
      <w:pPr>
        <w:ind w:left="720" w:hanging="360"/>
      </w:pPr>
      <w:rPr>
        <w:rFonts w:hint="default"/>
      </w:r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B0F06C0"/>
    <w:multiLevelType w:val="multilevel"/>
    <w:tmpl w:val="3C1A200C"/>
    <w:lvl w:ilvl="0">
      <w:start w:val="1"/>
      <w:numFmt w:val="decimal"/>
      <w:lvlText w:val="%1."/>
      <w:lvlJc w:val="left"/>
      <w:pPr>
        <w:ind w:left="720" w:hanging="360"/>
      </w:pPr>
      <w:rPr>
        <w:rFonts w:hint="default"/>
      </w:r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C204CBB"/>
    <w:multiLevelType w:val="hybridMultilevel"/>
    <w:tmpl w:val="CF00D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1383B"/>
    <w:multiLevelType w:val="hybridMultilevel"/>
    <w:tmpl w:val="C55A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79"/>
    <w:rsid w:val="0000097C"/>
    <w:rsid w:val="000009A3"/>
    <w:rsid w:val="00001FE9"/>
    <w:rsid w:val="000023F4"/>
    <w:rsid w:val="000026FC"/>
    <w:rsid w:val="00002FD0"/>
    <w:rsid w:val="00005257"/>
    <w:rsid w:val="00005A84"/>
    <w:rsid w:val="000079AB"/>
    <w:rsid w:val="000129B7"/>
    <w:rsid w:val="00013B58"/>
    <w:rsid w:val="00014D43"/>
    <w:rsid w:val="00015108"/>
    <w:rsid w:val="00016A00"/>
    <w:rsid w:val="00022AF6"/>
    <w:rsid w:val="00024CEA"/>
    <w:rsid w:val="00031CFF"/>
    <w:rsid w:val="0003528B"/>
    <w:rsid w:val="00037DEF"/>
    <w:rsid w:val="0004011E"/>
    <w:rsid w:val="00046707"/>
    <w:rsid w:val="00053D19"/>
    <w:rsid w:val="00055151"/>
    <w:rsid w:val="00057E79"/>
    <w:rsid w:val="00060EDC"/>
    <w:rsid w:val="00061023"/>
    <w:rsid w:val="000627BE"/>
    <w:rsid w:val="00063DAA"/>
    <w:rsid w:val="00064FEA"/>
    <w:rsid w:val="00077409"/>
    <w:rsid w:val="0008301D"/>
    <w:rsid w:val="00083CA5"/>
    <w:rsid w:val="00085A03"/>
    <w:rsid w:val="000876F8"/>
    <w:rsid w:val="00087A2C"/>
    <w:rsid w:val="00092D4A"/>
    <w:rsid w:val="00092FA7"/>
    <w:rsid w:val="000957F1"/>
    <w:rsid w:val="000967D6"/>
    <w:rsid w:val="00096C22"/>
    <w:rsid w:val="00096CA9"/>
    <w:rsid w:val="00097B69"/>
    <w:rsid w:val="000A0429"/>
    <w:rsid w:val="000A1820"/>
    <w:rsid w:val="000A2081"/>
    <w:rsid w:val="000A6076"/>
    <w:rsid w:val="000A772C"/>
    <w:rsid w:val="000B5ACC"/>
    <w:rsid w:val="000B5C67"/>
    <w:rsid w:val="000B7DA8"/>
    <w:rsid w:val="000B7FAD"/>
    <w:rsid w:val="000C1100"/>
    <w:rsid w:val="000C61AF"/>
    <w:rsid w:val="000C6A0D"/>
    <w:rsid w:val="000D12AB"/>
    <w:rsid w:val="000D50FF"/>
    <w:rsid w:val="000D6A2A"/>
    <w:rsid w:val="000E4D9C"/>
    <w:rsid w:val="000E72A3"/>
    <w:rsid w:val="000F0707"/>
    <w:rsid w:val="000F0838"/>
    <w:rsid w:val="000F12C0"/>
    <w:rsid w:val="000F5F4F"/>
    <w:rsid w:val="000F60A2"/>
    <w:rsid w:val="000F6F2A"/>
    <w:rsid w:val="00105FD9"/>
    <w:rsid w:val="00111B62"/>
    <w:rsid w:val="00112245"/>
    <w:rsid w:val="00114B64"/>
    <w:rsid w:val="001175CC"/>
    <w:rsid w:val="001232D1"/>
    <w:rsid w:val="00133DC2"/>
    <w:rsid w:val="001370C1"/>
    <w:rsid w:val="00137454"/>
    <w:rsid w:val="00140555"/>
    <w:rsid w:val="00141F81"/>
    <w:rsid w:val="0014207B"/>
    <w:rsid w:val="00144426"/>
    <w:rsid w:val="00144763"/>
    <w:rsid w:val="0015446D"/>
    <w:rsid w:val="00157B32"/>
    <w:rsid w:val="00160C6F"/>
    <w:rsid w:val="00160F13"/>
    <w:rsid w:val="001646D3"/>
    <w:rsid w:val="00165781"/>
    <w:rsid w:val="00167A6F"/>
    <w:rsid w:val="00172A33"/>
    <w:rsid w:val="001738B7"/>
    <w:rsid w:val="0017600C"/>
    <w:rsid w:val="0017690A"/>
    <w:rsid w:val="001775EE"/>
    <w:rsid w:val="00184D92"/>
    <w:rsid w:val="0019063B"/>
    <w:rsid w:val="0019328B"/>
    <w:rsid w:val="00195091"/>
    <w:rsid w:val="00196465"/>
    <w:rsid w:val="001A19D8"/>
    <w:rsid w:val="001A3B56"/>
    <w:rsid w:val="001B06AB"/>
    <w:rsid w:val="001B4D57"/>
    <w:rsid w:val="001B717F"/>
    <w:rsid w:val="001B7488"/>
    <w:rsid w:val="001C0A46"/>
    <w:rsid w:val="001C0B4B"/>
    <w:rsid w:val="001C3CF5"/>
    <w:rsid w:val="001C4556"/>
    <w:rsid w:val="001C4F50"/>
    <w:rsid w:val="001C5A37"/>
    <w:rsid w:val="001C7431"/>
    <w:rsid w:val="001C7896"/>
    <w:rsid w:val="001D0D54"/>
    <w:rsid w:val="001D12D0"/>
    <w:rsid w:val="001D4114"/>
    <w:rsid w:val="001D4B3B"/>
    <w:rsid w:val="001D5A22"/>
    <w:rsid w:val="001D671D"/>
    <w:rsid w:val="001E0BE4"/>
    <w:rsid w:val="001E1CD9"/>
    <w:rsid w:val="001E3D07"/>
    <w:rsid w:val="001E7945"/>
    <w:rsid w:val="001F08B1"/>
    <w:rsid w:val="001F31F3"/>
    <w:rsid w:val="001F7171"/>
    <w:rsid w:val="002021D9"/>
    <w:rsid w:val="00202D4C"/>
    <w:rsid w:val="00204432"/>
    <w:rsid w:val="002071BC"/>
    <w:rsid w:val="002125BB"/>
    <w:rsid w:val="002136D7"/>
    <w:rsid w:val="00214220"/>
    <w:rsid w:val="00214C13"/>
    <w:rsid w:val="00215E87"/>
    <w:rsid w:val="0022037B"/>
    <w:rsid w:val="00220422"/>
    <w:rsid w:val="002210C6"/>
    <w:rsid w:val="00225ED3"/>
    <w:rsid w:val="0022782C"/>
    <w:rsid w:val="00230782"/>
    <w:rsid w:val="0023163B"/>
    <w:rsid w:val="0023330D"/>
    <w:rsid w:val="00235782"/>
    <w:rsid w:val="00235CF7"/>
    <w:rsid w:val="00237F8D"/>
    <w:rsid w:val="00240FDD"/>
    <w:rsid w:val="002423DC"/>
    <w:rsid w:val="002424DE"/>
    <w:rsid w:val="00246595"/>
    <w:rsid w:val="00246EA1"/>
    <w:rsid w:val="002472C9"/>
    <w:rsid w:val="0025123B"/>
    <w:rsid w:val="00255D26"/>
    <w:rsid w:val="00256192"/>
    <w:rsid w:val="00263092"/>
    <w:rsid w:val="0026332A"/>
    <w:rsid w:val="00265B9B"/>
    <w:rsid w:val="00270263"/>
    <w:rsid w:val="00276E4F"/>
    <w:rsid w:val="00281E34"/>
    <w:rsid w:val="002822E8"/>
    <w:rsid w:val="0028329C"/>
    <w:rsid w:val="00285BD4"/>
    <w:rsid w:val="00287586"/>
    <w:rsid w:val="002903CB"/>
    <w:rsid w:val="00291135"/>
    <w:rsid w:val="0029452E"/>
    <w:rsid w:val="00295858"/>
    <w:rsid w:val="00295BB0"/>
    <w:rsid w:val="002A1F76"/>
    <w:rsid w:val="002A722D"/>
    <w:rsid w:val="002B1347"/>
    <w:rsid w:val="002B224A"/>
    <w:rsid w:val="002B5BB8"/>
    <w:rsid w:val="002C392C"/>
    <w:rsid w:val="002C39BF"/>
    <w:rsid w:val="002C7F6B"/>
    <w:rsid w:val="002D13EB"/>
    <w:rsid w:val="002D2D9A"/>
    <w:rsid w:val="002D5B04"/>
    <w:rsid w:val="002D6FA3"/>
    <w:rsid w:val="002D6FD6"/>
    <w:rsid w:val="002E210A"/>
    <w:rsid w:val="002E524A"/>
    <w:rsid w:val="002F214B"/>
    <w:rsid w:val="002F4804"/>
    <w:rsid w:val="002F6C48"/>
    <w:rsid w:val="002F78B9"/>
    <w:rsid w:val="00300A8D"/>
    <w:rsid w:val="00301FAA"/>
    <w:rsid w:val="003063D3"/>
    <w:rsid w:val="00317FF9"/>
    <w:rsid w:val="003219F4"/>
    <w:rsid w:val="00323DAE"/>
    <w:rsid w:val="0033085F"/>
    <w:rsid w:val="00331398"/>
    <w:rsid w:val="00336373"/>
    <w:rsid w:val="00337BE4"/>
    <w:rsid w:val="0034119F"/>
    <w:rsid w:val="00343618"/>
    <w:rsid w:val="00347C0B"/>
    <w:rsid w:val="00347D66"/>
    <w:rsid w:val="00347FC9"/>
    <w:rsid w:val="00361E38"/>
    <w:rsid w:val="0036284D"/>
    <w:rsid w:val="0036383B"/>
    <w:rsid w:val="00366149"/>
    <w:rsid w:val="00366287"/>
    <w:rsid w:val="003668B2"/>
    <w:rsid w:val="00366EA0"/>
    <w:rsid w:val="00366FB9"/>
    <w:rsid w:val="0037273F"/>
    <w:rsid w:val="00375BBA"/>
    <w:rsid w:val="00377BAC"/>
    <w:rsid w:val="0038775F"/>
    <w:rsid w:val="00394887"/>
    <w:rsid w:val="003952DE"/>
    <w:rsid w:val="003A214A"/>
    <w:rsid w:val="003A7B30"/>
    <w:rsid w:val="003B0ADF"/>
    <w:rsid w:val="003B3004"/>
    <w:rsid w:val="003B442A"/>
    <w:rsid w:val="003B54B8"/>
    <w:rsid w:val="003B595C"/>
    <w:rsid w:val="003B5D62"/>
    <w:rsid w:val="003B6034"/>
    <w:rsid w:val="003B7F5F"/>
    <w:rsid w:val="003C7822"/>
    <w:rsid w:val="003D17CD"/>
    <w:rsid w:val="003D1AE3"/>
    <w:rsid w:val="003D6C9B"/>
    <w:rsid w:val="003D7AF7"/>
    <w:rsid w:val="003E0B91"/>
    <w:rsid w:val="003E1ECF"/>
    <w:rsid w:val="003F14B5"/>
    <w:rsid w:val="003F19D7"/>
    <w:rsid w:val="003F3120"/>
    <w:rsid w:val="003F3212"/>
    <w:rsid w:val="003F5BC9"/>
    <w:rsid w:val="004005D5"/>
    <w:rsid w:val="00401274"/>
    <w:rsid w:val="00403B57"/>
    <w:rsid w:val="0040791E"/>
    <w:rsid w:val="0041241A"/>
    <w:rsid w:val="00412EC0"/>
    <w:rsid w:val="004144F5"/>
    <w:rsid w:val="00417831"/>
    <w:rsid w:val="00421489"/>
    <w:rsid w:val="0042175A"/>
    <w:rsid w:val="00426BC6"/>
    <w:rsid w:val="00427B2B"/>
    <w:rsid w:val="00430970"/>
    <w:rsid w:val="00432FAC"/>
    <w:rsid w:val="004338EE"/>
    <w:rsid w:val="00434B88"/>
    <w:rsid w:val="00440A54"/>
    <w:rsid w:val="004411CD"/>
    <w:rsid w:val="00442714"/>
    <w:rsid w:val="00443447"/>
    <w:rsid w:val="00443F7D"/>
    <w:rsid w:val="0044465A"/>
    <w:rsid w:val="00444BE9"/>
    <w:rsid w:val="00446B0B"/>
    <w:rsid w:val="00447C0F"/>
    <w:rsid w:val="00454012"/>
    <w:rsid w:val="00457680"/>
    <w:rsid w:val="0046083F"/>
    <w:rsid w:val="00460CAB"/>
    <w:rsid w:val="0046143E"/>
    <w:rsid w:val="00462D7E"/>
    <w:rsid w:val="004634D2"/>
    <w:rsid w:val="0046420B"/>
    <w:rsid w:val="0047050F"/>
    <w:rsid w:val="0047418C"/>
    <w:rsid w:val="00475190"/>
    <w:rsid w:val="00476AF6"/>
    <w:rsid w:val="00480D18"/>
    <w:rsid w:val="00482192"/>
    <w:rsid w:val="00486820"/>
    <w:rsid w:val="00486BF0"/>
    <w:rsid w:val="00487E3D"/>
    <w:rsid w:val="0049398F"/>
    <w:rsid w:val="00493C8D"/>
    <w:rsid w:val="004961A3"/>
    <w:rsid w:val="004A18A5"/>
    <w:rsid w:val="004A2F9A"/>
    <w:rsid w:val="004A5E04"/>
    <w:rsid w:val="004A6463"/>
    <w:rsid w:val="004A6956"/>
    <w:rsid w:val="004B0AF2"/>
    <w:rsid w:val="004B2E5F"/>
    <w:rsid w:val="004B3D7B"/>
    <w:rsid w:val="004B6D30"/>
    <w:rsid w:val="004C06A9"/>
    <w:rsid w:val="004C117E"/>
    <w:rsid w:val="004C57FD"/>
    <w:rsid w:val="004C760E"/>
    <w:rsid w:val="004D5748"/>
    <w:rsid w:val="004D6FDF"/>
    <w:rsid w:val="004D75F9"/>
    <w:rsid w:val="004D7B8B"/>
    <w:rsid w:val="004E19A4"/>
    <w:rsid w:val="004F1E96"/>
    <w:rsid w:val="004F266B"/>
    <w:rsid w:val="004F3972"/>
    <w:rsid w:val="004F5DA9"/>
    <w:rsid w:val="004F7BAB"/>
    <w:rsid w:val="00504C8D"/>
    <w:rsid w:val="00504D97"/>
    <w:rsid w:val="0050530F"/>
    <w:rsid w:val="00506BD9"/>
    <w:rsid w:val="00506E5C"/>
    <w:rsid w:val="00507957"/>
    <w:rsid w:val="0051157C"/>
    <w:rsid w:val="00512B42"/>
    <w:rsid w:val="00513061"/>
    <w:rsid w:val="00514FE3"/>
    <w:rsid w:val="00523482"/>
    <w:rsid w:val="00523A5F"/>
    <w:rsid w:val="00527BC6"/>
    <w:rsid w:val="00534245"/>
    <w:rsid w:val="0053436E"/>
    <w:rsid w:val="00540432"/>
    <w:rsid w:val="00543F84"/>
    <w:rsid w:val="00551719"/>
    <w:rsid w:val="0055384B"/>
    <w:rsid w:val="005546D6"/>
    <w:rsid w:val="005552CB"/>
    <w:rsid w:val="00555613"/>
    <w:rsid w:val="00555EC8"/>
    <w:rsid w:val="00556FFE"/>
    <w:rsid w:val="00560588"/>
    <w:rsid w:val="0056135C"/>
    <w:rsid w:val="00561C23"/>
    <w:rsid w:val="00561FD5"/>
    <w:rsid w:val="00563241"/>
    <w:rsid w:val="00564E2A"/>
    <w:rsid w:val="00565B2B"/>
    <w:rsid w:val="00566B83"/>
    <w:rsid w:val="0057082E"/>
    <w:rsid w:val="00573477"/>
    <w:rsid w:val="00573AB5"/>
    <w:rsid w:val="00573F82"/>
    <w:rsid w:val="00574CAF"/>
    <w:rsid w:val="0057620B"/>
    <w:rsid w:val="00576E88"/>
    <w:rsid w:val="00577AA8"/>
    <w:rsid w:val="005835B6"/>
    <w:rsid w:val="005852D1"/>
    <w:rsid w:val="0058795F"/>
    <w:rsid w:val="00591306"/>
    <w:rsid w:val="00591ECB"/>
    <w:rsid w:val="00594ED1"/>
    <w:rsid w:val="00595EA6"/>
    <w:rsid w:val="005A0A06"/>
    <w:rsid w:val="005A0B87"/>
    <w:rsid w:val="005A2534"/>
    <w:rsid w:val="005A468F"/>
    <w:rsid w:val="005A7D43"/>
    <w:rsid w:val="005B0E2B"/>
    <w:rsid w:val="005B157D"/>
    <w:rsid w:val="005B7CFB"/>
    <w:rsid w:val="005C167B"/>
    <w:rsid w:val="005C2981"/>
    <w:rsid w:val="005C2FB0"/>
    <w:rsid w:val="005C33D7"/>
    <w:rsid w:val="005C508D"/>
    <w:rsid w:val="005C5FE0"/>
    <w:rsid w:val="005D09B8"/>
    <w:rsid w:val="005D2183"/>
    <w:rsid w:val="005D30F5"/>
    <w:rsid w:val="005D42E7"/>
    <w:rsid w:val="005E0979"/>
    <w:rsid w:val="005E4933"/>
    <w:rsid w:val="005E4AFF"/>
    <w:rsid w:val="005E4E11"/>
    <w:rsid w:val="005F0D7A"/>
    <w:rsid w:val="005F0DB4"/>
    <w:rsid w:val="005F14CD"/>
    <w:rsid w:val="005F65A1"/>
    <w:rsid w:val="006021E6"/>
    <w:rsid w:val="006036B4"/>
    <w:rsid w:val="00604C58"/>
    <w:rsid w:val="006057BB"/>
    <w:rsid w:val="0060743D"/>
    <w:rsid w:val="006102BB"/>
    <w:rsid w:val="006107F6"/>
    <w:rsid w:val="00613189"/>
    <w:rsid w:val="00615F66"/>
    <w:rsid w:val="0061712C"/>
    <w:rsid w:val="00622137"/>
    <w:rsid w:val="0063295C"/>
    <w:rsid w:val="00633D12"/>
    <w:rsid w:val="006352DD"/>
    <w:rsid w:val="00635AA5"/>
    <w:rsid w:val="006369C9"/>
    <w:rsid w:val="00640613"/>
    <w:rsid w:val="00640F02"/>
    <w:rsid w:val="00641630"/>
    <w:rsid w:val="006419AE"/>
    <w:rsid w:val="00642340"/>
    <w:rsid w:val="00642DB3"/>
    <w:rsid w:val="00645859"/>
    <w:rsid w:val="00646E00"/>
    <w:rsid w:val="00647924"/>
    <w:rsid w:val="00647AE6"/>
    <w:rsid w:val="006501BB"/>
    <w:rsid w:val="00651258"/>
    <w:rsid w:val="00652864"/>
    <w:rsid w:val="006541F2"/>
    <w:rsid w:val="00657595"/>
    <w:rsid w:val="00662567"/>
    <w:rsid w:val="00663571"/>
    <w:rsid w:val="00665626"/>
    <w:rsid w:val="00666A42"/>
    <w:rsid w:val="00671465"/>
    <w:rsid w:val="00673B66"/>
    <w:rsid w:val="006762F8"/>
    <w:rsid w:val="00680F04"/>
    <w:rsid w:val="0068155F"/>
    <w:rsid w:val="0068190F"/>
    <w:rsid w:val="006925DC"/>
    <w:rsid w:val="006A13EE"/>
    <w:rsid w:val="006A1CB3"/>
    <w:rsid w:val="006A64E8"/>
    <w:rsid w:val="006A732B"/>
    <w:rsid w:val="006B0C54"/>
    <w:rsid w:val="006B6910"/>
    <w:rsid w:val="006B749F"/>
    <w:rsid w:val="006C3143"/>
    <w:rsid w:val="006C6DBB"/>
    <w:rsid w:val="006D0CBC"/>
    <w:rsid w:val="006D492B"/>
    <w:rsid w:val="006D4CE6"/>
    <w:rsid w:val="006D60FA"/>
    <w:rsid w:val="006D792E"/>
    <w:rsid w:val="006E0B26"/>
    <w:rsid w:val="006E298B"/>
    <w:rsid w:val="006E2A33"/>
    <w:rsid w:val="006E2AF6"/>
    <w:rsid w:val="006F0136"/>
    <w:rsid w:val="006F0FBD"/>
    <w:rsid w:val="006F2E90"/>
    <w:rsid w:val="006F3A40"/>
    <w:rsid w:val="006F3AF8"/>
    <w:rsid w:val="00702445"/>
    <w:rsid w:val="00720D67"/>
    <w:rsid w:val="00726224"/>
    <w:rsid w:val="00726BE2"/>
    <w:rsid w:val="0073222A"/>
    <w:rsid w:val="00734CAF"/>
    <w:rsid w:val="00736881"/>
    <w:rsid w:val="007405AE"/>
    <w:rsid w:val="007426E2"/>
    <w:rsid w:val="00743976"/>
    <w:rsid w:val="00746CFB"/>
    <w:rsid w:val="0075277B"/>
    <w:rsid w:val="0075736A"/>
    <w:rsid w:val="00761C7B"/>
    <w:rsid w:val="00775B69"/>
    <w:rsid w:val="00776983"/>
    <w:rsid w:val="00777B70"/>
    <w:rsid w:val="00781CF8"/>
    <w:rsid w:val="00781FE1"/>
    <w:rsid w:val="0078354B"/>
    <w:rsid w:val="007847AA"/>
    <w:rsid w:val="00784D1E"/>
    <w:rsid w:val="0078723D"/>
    <w:rsid w:val="00792046"/>
    <w:rsid w:val="00795DBB"/>
    <w:rsid w:val="007A0D09"/>
    <w:rsid w:val="007A0FC1"/>
    <w:rsid w:val="007A3A15"/>
    <w:rsid w:val="007A3A4A"/>
    <w:rsid w:val="007A41BA"/>
    <w:rsid w:val="007A43E4"/>
    <w:rsid w:val="007A56BB"/>
    <w:rsid w:val="007A586E"/>
    <w:rsid w:val="007B7715"/>
    <w:rsid w:val="007B7E1E"/>
    <w:rsid w:val="007C1AD2"/>
    <w:rsid w:val="007D15AC"/>
    <w:rsid w:val="007D68B9"/>
    <w:rsid w:val="007E2109"/>
    <w:rsid w:val="007E68A9"/>
    <w:rsid w:val="007E7196"/>
    <w:rsid w:val="007F18AF"/>
    <w:rsid w:val="007F1DC1"/>
    <w:rsid w:val="007F5D24"/>
    <w:rsid w:val="00801CE0"/>
    <w:rsid w:val="00802D7C"/>
    <w:rsid w:val="00803AB8"/>
    <w:rsid w:val="00804F80"/>
    <w:rsid w:val="00805A92"/>
    <w:rsid w:val="00807FC2"/>
    <w:rsid w:val="00810184"/>
    <w:rsid w:val="00810744"/>
    <w:rsid w:val="00813C31"/>
    <w:rsid w:val="008150F3"/>
    <w:rsid w:val="0081553E"/>
    <w:rsid w:val="008161C7"/>
    <w:rsid w:val="0081624A"/>
    <w:rsid w:val="0081703E"/>
    <w:rsid w:val="00820BBF"/>
    <w:rsid w:val="00821A3A"/>
    <w:rsid w:val="00822DE7"/>
    <w:rsid w:val="008277A9"/>
    <w:rsid w:val="00827917"/>
    <w:rsid w:val="0083073D"/>
    <w:rsid w:val="0083153B"/>
    <w:rsid w:val="00831ADE"/>
    <w:rsid w:val="008337C5"/>
    <w:rsid w:val="0083405C"/>
    <w:rsid w:val="00834448"/>
    <w:rsid w:val="00834A1D"/>
    <w:rsid w:val="00834ED0"/>
    <w:rsid w:val="00835819"/>
    <w:rsid w:val="00836424"/>
    <w:rsid w:val="00842B9F"/>
    <w:rsid w:val="0084364D"/>
    <w:rsid w:val="00843B61"/>
    <w:rsid w:val="008462D4"/>
    <w:rsid w:val="00852354"/>
    <w:rsid w:val="00852EBB"/>
    <w:rsid w:val="00853827"/>
    <w:rsid w:val="00854E07"/>
    <w:rsid w:val="00860FA1"/>
    <w:rsid w:val="00865493"/>
    <w:rsid w:val="00867B3D"/>
    <w:rsid w:val="00872EB8"/>
    <w:rsid w:val="00873576"/>
    <w:rsid w:val="00874247"/>
    <w:rsid w:val="0087625B"/>
    <w:rsid w:val="0088004B"/>
    <w:rsid w:val="008803E0"/>
    <w:rsid w:val="00880E14"/>
    <w:rsid w:val="00881C23"/>
    <w:rsid w:val="0088254D"/>
    <w:rsid w:val="0088332E"/>
    <w:rsid w:val="0088755E"/>
    <w:rsid w:val="00892310"/>
    <w:rsid w:val="00893CBF"/>
    <w:rsid w:val="00896841"/>
    <w:rsid w:val="008A0315"/>
    <w:rsid w:val="008A063F"/>
    <w:rsid w:val="008A1828"/>
    <w:rsid w:val="008A2A3D"/>
    <w:rsid w:val="008A36AE"/>
    <w:rsid w:val="008B7A3B"/>
    <w:rsid w:val="008C0531"/>
    <w:rsid w:val="008C2534"/>
    <w:rsid w:val="008D0231"/>
    <w:rsid w:val="008D184D"/>
    <w:rsid w:val="008D1C82"/>
    <w:rsid w:val="008D4ABE"/>
    <w:rsid w:val="008D5A10"/>
    <w:rsid w:val="008D5E27"/>
    <w:rsid w:val="008D619D"/>
    <w:rsid w:val="008E24D5"/>
    <w:rsid w:val="008E2F87"/>
    <w:rsid w:val="008E7729"/>
    <w:rsid w:val="008F032B"/>
    <w:rsid w:val="008F5400"/>
    <w:rsid w:val="008F7066"/>
    <w:rsid w:val="00906B2D"/>
    <w:rsid w:val="009075F4"/>
    <w:rsid w:val="0091189F"/>
    <w:rsid w:val="009119B7"/>
    <w:rsid w:val="00913B8E"/>
    <w:rsid w:val="009164C2"/>
    <w:rsid w:val="00916DF8"/>
    <w:rsid w:val="00916E28"/>
    <w:rsid w:val="0091798A"/>
    <w:rsid w:val="009210BA"/>
    <w:rsid w:val="00921C52"/>
    <w:rsid w:val="009313E8"/>
    <w:rsid w:val="009344E0"/>
    <w:rsid w:val="00935E0B"/>
    <w:rsid w:val="00936341"/>
    <w:rsid w:val="00936401"/>
    <w:rsid w:val="0093646C"/>
    <w:rsid w:val="009435A2"/>
    <w:rsid w:val="00945C30"/>
    <w:rsid w:val="00945D2C"/>
    <w:rsid w:val="0095023E"/>
    <w:rsid w:val="00950D3B"/>
    <w:rsid w:val="009538CD"/>
    <w:rsid w:val="00954B11"/>
    <w:rsid w:val="009550F2"/>
    <w:rsid w:val="009562E5"/>
    <w:rsid w:val="0096020A"/>
    <w:rsid w:val="009625E7"/>
    <w:rsid w:val="009675C6"/>
    <w:rsid w:val="0098330A"/>
    <w:rsid w:val="00985C3E"/>
    <w:rsid w:val="00986475"/>
    <w:rsid w:val="0099134E"/>
    <w:rsid w:val="00995AC2"/>
    <w:rsid w:val="00997048"/>
    <w:rsid w:val="009976B5"/>
    <w:rsid w:val="009A1BFB"/>
    <w:rsid w:val="009A39FC"/>
    <w:rsid w:val="009A44AD"/>
    <w:rsid w:val="009A6209"/>
    <w:rsid w:val="009A7B99"/>
    <w:rsid w:val="009B04A6"/>
    <w:rsid w:val="009B0BB1"/>
    <w:rsid w:val="009B1C2C"/>
    <w:rsid w:val="009B28A6"/>
    <w:rsid w:val="009B42F8"/>
    <w:rsid w:val="009C14DB"/>
    <w:rsid w:val="009C2EC2"/>
    <w:rsid w:val="009C396A"/>
    <w:rsid w:val="009C4B59"/>
    <w:rsid w:val="009C53E6"/>
    <w:rsid w:val="009D2925"/>
    <w:rsid w:val="009D3623"/>
    <w:rsid w:val="009D5268"/>
    <w:rsid w:val="009D5E9A"/>
    <w:rsid w:val="009D7CF8"/>
    <w:rsid w:val="009E212F"/>
    <w:rsid w:val="009E26CE"/>
    <w:rsid w:val="009F1246"/>
    <w:rsid w:val="009F1388"/>
    <w:rsid w:val="009F1E52"/>
    <w:rsid w:val="009F290A"/>
    <w:rsid w:val="009F2F29"/>
    <w:rsid w:val="009F4A14"/>
    <w:rsid w:val="009F5C73"/>
    <w:rsid w:val="009F65DD"/>
    <w:rsid w:val="009F7104"/>
    <w:rsid w:val="00A00439"/>
    <w:rsid w:val="00A048DC"/>
    <w:rsid w:val="00A051C0"/>
    <w:rsid w:val="00A07440"/>
    <w:rsid w:val="00A10FA4"/>
    <w:rsid w:val="00A11A77"/>
    <w:rsid w:val="00A12863"/>
    <w:rsid w:val="00A14F5B"/>
    <w:rsid w:val="00A1582F"/>
    <w:rsid w:val="00A17289"/>
    <w:rsid w:val="00A22D84"/>
    <w:rsid w:val="00A306C1"/>
    <w:rsid w:val="00A35B74"/>
    <w:rsid w:val="00A365D4"/>
    <w:rsid w:val="00A507E1"/>
    <w:rsid w:val="00A5213A"/>
    <w:rsid w:val="00A52A0C"/>
    <w:rsid w:val="00A571C8"/>
    <w:rsid w:val="00A6138A"/>
    <w:rsid w:val="00A62C1F"/>
    <w:rsid w:val="00A630AB"/>
    <w:rsid w:val="00A64DDD"/>
    <w:rsid w:val="00A70E9E"/>
    <w:rsid w:val="00A7175F"/>
    <w:rsid w:val="00A72F98"/>
    <w:rsid w:val="00A7687B"/>
    <w:rsid w:val="00A778F4"/>
    <w:rsid w:val="00A80C77"/>
    <w:rsid w:val="00A815A2"/>
    <w:rsid w:val="00A839FD"/>
    <w:rsid w:val="00A83CA4"/>
    <w:rsid w:val="00A86B1D"/>
    <w:rsid w:val="00A87149"/>
    <w:rsid w:val="00A9312B"/>
    <w:rsid w:val="00A945E2"/>
    <w:rsid w:val="00AA47F9"/>
    <w:rsid w:val="00AA6B7E"/>
    <w:rsid w:val="00AA760F"/>
    <w:rsid w:val="00AB2EA5"/>
    <w:rsid w:val="00AB69F4"/>
    <w:rsid w:val="00AC07F9"/>
    <w:rsid w:val="00AC3817"/>
    <w:rsid w:val="00AC782C"/>
    <w:rsid w:val="00AD1FD7"/>
    <w:rsid w:val="00AD4776"/>
    <w:rsid w:val="00AD4C19"/>
    <w:rsid w:val="00AD4D58"/>
    <w:rsid w:val="00AD6E74"/>
    <w:rsid w:val="00AE6A10"/>
    <w:rsid w:val="00AE7726"/>
    <w:rsid w:val="00AF2309"/>
    <w:rsid w:val="00AF5C0F"/>
    <w:rsid w:val="00B009B7"/>
    <w:rsid w:val="00B00B16"/>
    <w:rsid w:val="00B01C0A"/>
    <w:rsid w:val="00B03E68"/>
    <w:rsid w:val="00B11409"/>
    <w:rsid w:val="00B11AF0"/>
    <w:rsid w:val="00B14863"/>
    <w:rsid w:val="00B154A9"/>
    <w:rsid w:val="00B220D1"/>
    <w:rsid w:val="00B235FF"/>
    <w:rsid w:val="00B258F8"/>
    <w:rsid w:val="00B35543"/>
    <w:rsid w:val="00B35A1E"/>
    <w:rsid w:val="00B409CA"/>
    <w:rsid w:val="00B40B27"/>
    <w:rsid w:val="00B40B4C"/>
    <w:rsid w:val="00B42BA2"/>
    <w:rsid w:val="00B42C2D"/>
    <w:rsid w:val="00B45FA7"/>
    <w:rsid w:val="00B474D8"/>
    <w:rsid w:val="00B51519"/>
    <w:rsid w:val="00B516CF"/>
    <w:rsid w:val="00B52764"/>
    <w:rsid w:val="00B52D38"/>
    <w:rsid w:val="00B54FD6"/>
    <w:rsid w:val="00B559EE"/>
    <w:rsid w:val="00B55A31"/>
    <w:rsid w:val="00B5637C"/>
    <w:rsid w:val="00B6690A"/>
    <w:rsid w:val="00B66B5A"/>
    <w:rsid w:val="00B66E98"/>
    <w:rsid w:val="00B67818"/>
    <w:rsid w:val="00B72C3F"/>
    <w:rsid w:val="00B762A9"/>
    <w:rsid w:val="00B863A8"/>
    <w:rsid w:val="00B86DC9"/>
    <w:rsid w:val="00B87483"/>
    <w:rsid w:val="00B925A9"/>
    <w:rsid w:val="00B928F6"/>
    <w:rsid w:val="00B94D98"/>
    <w:rsid w:val="00BA30A0"/>
    <w:rsid w:val="00BA7DD8"/>
    <w:rsid w:val="00BB0996"/>
    <w:rsid w:val="00BB1DAD"/>
    <w:rsid w:val="00BB3317"/>
    <w:rsid w:val="00BB5D4D"/>
    <w:rsid w:val="00BB6EC8"/>
    <w:rsid w:val="00BC43B6"/>
    <w:rsid w:val="00BD1FC2"/>
    <w:rsid w:val="00BD51FE"/>
    <w:rsid w:val="00BD58F2"/>
    <w:rsid w:val="00BD5BD9"/>
    <w:rsid w:val="00BD64C7"/>
    <w:rsid w:val="00BE05C0"/>
    <w:rsid w:val="00BE1DDF"/>
    <w:rsid w:val="00BE2A1E"/>
    <w:rsid w:val="00BE4AFB"/>
    <w:rsid w:val="00BF1812"/>
    <w:rsid w:val="00C02B05"/>
    <w:rsid w:val="00C03367"/>
    <w:rsid w:val="00C03B23"/>
    <w:rsid w:val="00C0550A"/>
    <w:rsid w:val="00C06D83"/>
    <w:rsid w:val="00C06F5D"/>
    <w:rsid w:val="00C06FBA"/>
    <w:rsid w:val="00C10200"/>
    <w:rsid w:val="00C11B76"/>
    <w:rsid w:val="00C1274C"/>
    <w:rsid w:val="00C15CFB"/>
    <w:rsid w:val="00C16BAB"/>
    <w:rsid w:val="00C2035D"/>
    <w:rsid w:val="00C2332F"/>
    <w:rsid w:val="00C236DC"/>
    <w:rsid w:val="00C2455D"/>
    <w:rsid w:val="00C31925"/>
    <w:rsid w:val="00C4320C"/>
    <w:rsid w:val="00C43260"/>
    <w:rsid w:val="00C43AAD"/>
    <w:rsid w:val="00C4700A"/>
    <w:rsid w:val="00C544F8"/>
    <w:rsid w:val="00C562A2"/>
    <w:rsid w:val="00C600FB"/>
    <w:rsid w:val="00C60FD8"/>
    <w:rsid w:val="00C65EFD"/>
    <w:rsid w:val="00C66EBA"/>
    <w:rsid w:val="00C7104A"/>
    <w:rsid w:val="00C726AA"/>
    <w:rsid w:val="00C77493"/>
    <w:rsid w:val="00C850E2"/>
    <w:rsid w:val="00C87A8D"/>
    <w:rsid w:val="00C94C72"/>
    <w:rsid w:val="00C95F41"/>
    <w:rsid w:val="00C96F0F"/>
    <w:rsid w:val="00C97134"/>
    <w:rsid w:val="00CA1414"/>
    <w:rsid w:val="00CA2648"/>
    <w:rsid w:val="00CA6F1C"/>
    <w:rsid w:val="00CB28F5"/>
    <w:rsid w:val="00CC04A5"/>
    <w:rsid w:val="00CC0686"/>
    <w:rsid w:val="00CC4A40"/>
    <w:rsid w:val="00CC7585"/>
    <w:rsid w:val="00CC76F7"/>
    <w:rsid w:val="00CC7817"/>
    <w:rsid w:val="00CD04C7"/>
    <w:rsid w:val="00CD0917"/>
    <w:rsid w:val="00CD162C"/>
    <w:rsid w:val="00CD197A"/>
    <w:rsid w:val="00CD19E6"/>
    <w:rsid w:val="00CD3F1B"/>
    <w:rsid w:val="00CD70FE"/>
    <w:rsid w:val="00CE080D"/>
    <w:rsid w:val="00CE4CA0"/>
    <w:rsid w:val="00CE5FB3"/>
    <w:rsid w:val="00CE6D73"/>
    <w:rsid w:val="00CF078D"/>
    <w:rsid w:val="00CF19EC"/>
    <w:rsid w:val="00D069B4"/>
    <w:rsid w:val="00D0709D"/>
    <w:rsid w:val="00D07A08"/>
    <w:rsid w:val="00D104AE"/>
    <w:rsid w:val="00D1079A"/>
    <w:rsid w:val="00D1427B"/>
    <w:rsid w:val="00D150A4"/>
    <w:rsid w:val="00D2275A"/>
    <w:rsid w:val="00D235D6"/>
    <w:rsid w:val="00D258BC"/>
    <w:rsid w:val="00D26AC8"/>
    <w:rsid w:val="00D320E0"/>
    <w:rsid w:val="00D332C9"/>
    <w:rsid w:val="00D44553"/>
    <w:rsid w:val="00D469E8"/>
    <w:rsid w:val="00D54AB0"/>
    <w:rsid w:val="00D5562C"/>
    <w:rsid w:val="00D617C0"/>
    <w:rsid w:val="00D638C1"/>
    <w:rsid w:val="00D64C30"/>
    <w:rsid w:val="00D66490"/>
    <w:rsid w:val="00D67BCA"/>
    <w:rsid w:val="00D70348"/>
    <w:rsid w:val="00D717BD"/>
    <w:rsid w:val="00D73F40"/>
    <w:rsid w:val="00D75EB7"/>
    <w:rsid w:val="00D76ABE"/>
    <w:rsid w:val="00D80F6C"/>
    <w:rsid w:val="00D812CF"/>
    <w:rsid w:val="00D839FA"/>
    <w:rsid w:val="00D84DC7"/>
    <w:rsid w:val="00D86625"/>
    <w:rsid w:val="00D91B47"/>
    <w:rsid w:val="00D94F85"/>
    <w:rsid w:val="00D97216"/>
    <w:rsid w:val="00DA2512"/>
    <w:rsid w:val="00DA485B"/>
    <w:rsid w:val="00DA4AFF"/>
    <w:rsid w:val="00DA5855"/>
    <w:rsid w:val="00DA6BF1"/>
    <w:rsid w:val="00DA70D0"/>
    <w:rsid w:val="00DB0EB9"/>
    <w:rsid w:val="00DB0FEC"/>
    <w:rsid w:val="00DB118C"/>
    <w:rsid w:val="00DB2C5E"/>
    <w:rsid w:val="00DB6596"/>
    <w:rsid w:val="00DC329F"/>
    <w:rsid w:val="00DC5384"/>
    <w:rsid w:val="00DC6E66"/>
    <w:rsid w:val="00DC7FAC"/>
    <w:rsid w:val="00DD41B3"/>
    <w:rsid w:val="00DD54B5"/>
    <w:rsid w:val="00DD636D"/>
    <w:rsid w:val="00DD7DEB"/>
    <w:rsid w:val="00DE43C1"/>
    <w:rsid w:val="00DF43CA"/>
    <w:rsid w:val="00DF5146"/>
    <w:rsid w:val="00DF782B"/>
    <w:rsid w:val="00E025FA"/>
    <w:rsid w:val="00E0613D"/>
    <w:rsid w:val="00E0772D"/>
    <w:rsid w:val="00E1043C"/>
    <w:rsid w:val="00E112D7"/>
    <w:rsid w:val="00E12F73"/>
    <w:rsid w:val="00E13E5D"/>
    <w:rsid w:val="00E22AD5"/>
    <w:rsid w:val="00E27C32"/>
    <w:rsid w:val="00E31DDE"/>
    <w:rsid w:val="00E32F0F"/>
    <w:rsid w:val="00E33DCE"/>
    <w:rsid w:val="00E40919"/>
    <w:rsid w:val="00E4104F"/>
    <w:rsid w:val="00E42EE3"/>
    <w:rsid w:val="00E47107"/>
    <w:rsid w:val="00E47605"/>
    <w:rsid w:val="00E5595F"/>
    <w:rsid w:val="00E63F97"/>
    <w:rsid w:val="00E66D70"/>
    <w:rsid w:val="00E70D28"/>
    <w:rsid w:val="00E75C96"/>
    <w:rsid w:val="00E771F7"/>
    <w:rsid w:val="00E779D7"/>
    <w:rsid w:val="00E803FE"/>
    <w:rsid w:val="00E82481"/>
    <w:rsid w:val="00E8306F"/>
    <w:rsid w:val="00E83985"/>
    <w:rsid w:val="00E85C6F"/>
    <w:rsid w:val="00E8765E"/>
    <w:rsid w:val="00E954D7"/>
    <w:rsid w:val="00E96D7F"/>
    <w:rsid w:val="00EA1116"/>
    <w:rsid w:val="00EA2B3C"/>
    <w:rsid w:val="00EA3626"/>
    <w:rsid w:val="00EA4F81"/>
    <w:rsid w:val="00EA6948"/>
    <w:rsid w:val="00EA6DC4"/>
    <w:rsid w:val="00EB0DB5"/>
    <w:rsid w:val="00EB1E8F"/>
    <w:rsid w:val="00EB2E73"/>
    <w:rsid w:val="00EC46A0"/>
    <w:rsid w:val="00EC5613"/>
    <w:rsid w:val="00EC59B0"/>
    <w:rsid w:val="00EC5A0F"/>
    <w:rsid w:val="00ED39FB"/>
    <w:rsid w:val="00ED3A9E"/>
    <w:rsid w:val="00ED3F8F"/>
    <w:rsid w:val="00ED55EB"/>
    <w:rsid w:val="00ED5DEC"/>
    <w:rsid w:val="00ED747F"/>
    <w:rsid w:val="00EE37C1"/>
    <w:rsid w:val="00EE7641"/>
    <w:rsid w:val="00EF29B8"/>
    <w:rsid w:val="00F0076D"/>
    <w:rsid w:val="00F00D2D"/>
    <w:rsid w:val="00F0205F"/>
    <w:rsid w:val="00F020DF"/>
    <w:rsid w:val="00F03448"/>
    <w:rsid w:val="00F0370D"/>
    <w:rsid w:val="00F05527"/>
    <w:rsid w:val="00F0705C"/>
    <w:rsid w:val="00F110DB"/>
    <w:rsid w:val="00F116A6"/>
    <w:rsid w:val="00F20C9F"/>
    <w:rsid w:val="00F21A51"/>
    <w:rsid w:val="00F21FEE"/>
    <w:rsid w:val="00F22DBF"/>
    <w:rsid w:val="00F23D0A"/>
    <w:rsid w:val="00F33186"/>
    <w:rsid w:val="00F50CEE"/>
    <w:rsid w:val="00F568EC"/>
    <w:rsid w:val="00F56BCE"/>
    <w:rsid w:val="00F61B5A"/>
    <w:rsid w:val="00F630F4"/>
    <w:rsid w:val="00F655FB"/>
    <w:rsid w:val="00F67571"/>
    <w:rsid w:val="00F70B87"/>
    <w:rsid w:val="00F70C09"/>
    <w:rsid w:val="00F7423F"/>
    <w:rsid w:val="00F74DFB"/>
    <w:rsid w:val="00F764BC"/>
    <w:rsid w:val="00F7672E"/>
    <w:rsid w:val="00F76E12"/>
    <w:rsid w:val="00F77FBD"/>
    <w:rsid w:val="00F817AC"/>
    <w:rsid w:val="00F83DD2"/>
    <w:rsid w:val="00F840CC"/>
    <w:rsid w:val="00F85201"/>
    <w:rsid w:val="00F85672"/>
    <w:rsid w:val="00F86F1C"/>
    <w:rsid w:val="00F9016D"/>
    <w:rsid w:val="00F905E1"/>
    <w:rsid w:val="00F92700"/>
    <w:rsid w:val="00F93565"/>
    <w:rsid w:val="00F941B3"/>
    <w:rsid w:val="00F956A6"/>
    <w:rsid w:val="00F95969"/>
    <w:rsid w:val="00FA10F6"/>
    <w:rsid w:val="00FA1B79"/>
    <w:rsid w:val="00FB372D"/>
    <w:rsid w:val="00FB7B9C"/>
    <w:rsid w:val="00FC10A9"/>
    <w:rsid w:val="00FC60E9"/>
    <w:rsid w:val="00FC777C"/>
    <w:rsid w:val="00FD01FE"/>
    <w:rsid w:val="00FD0A25"/>
    <w:rsid w:val="00FD3ADE"/>
    <w:rsid w:val="00FD51F2"/>
    <w:rsid w:val="00FD724E"/>
    <w:rsid w:val="00FE11EF"/>
    <w:rsid w:val="00FE3142"/>
    <w:rsid w:val="00FE32EE"/>
    <w:rsid w:val="00FE5D31"/>
    <w:rsid w:val="00FE7B5A"/>
    <w:rsid w:val="00FF2FAA"/>
    <w:rsid w:val="00FF3F45"/>
    <w:rsid w:val="00FF5252"/>
    <w:rsid w:val="00FF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7CCF"/>
  <w15:chartTrackingRefBased/>
  <w15:docId w15:val="{AEB7B365-7459-6E48-BE63-92FC5368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54D7"/>
    <w:rPr>
      <w:rFonts w:ascii="Times New Roman" w:eastAsia="Times New Roman" w:hAnsi="Times New Roman" w:cs="Times New Roman"/>
    </w:rPr>
  </w:style>
  <w:style w:type="paragraph" w:styleId="Heading1">
    <w:name w:val="heading 1"/>
    <w:basedOn w:val="Normal"/>
    <w:next w:val="Normal"/>
    <w:link w:val="Heading1Char"/>
    <w:uiPriority w:val="9"/>
    <w:qFormat/>
    <w:rsid w:val="00F852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2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18A5"/>
    <w:rPr>
      <w:b/>
      <w:bCs/>
    </w:rPr>
  </w:style>
  <w:style w:type="paragraph" w:styleId="BalloonText">
    <w:name w:val="Balloon Text"/>
    <w:basedOn w:val="Normal"/>
    <w:link w:val="BalloonTextChar"/>
    <w:uiPriority w:val="99"/>
    <w:semiHidden/>
    <w:unhideWhenUsed/>
    <w:rsid w:val="00F03448"/>
    <w:rPr>
      <w:rFonts w:eastAsiaTheme="minorHAnsi"/>
      <w:sz w:val="18"/>
      <w:szCs w:val="18"/>
    </w:rPr>
  </w:style>
  <w:style w:type="character" w:customStyle="1" w:styleId="BalloonTextChar">
    <w:name w:val="Balloon Text Char"/>
    <w:basedOn w:val="DefaultParagraphFont"/>
    <w:link w:val="BalloonText"/>
    <w:uiPriority w:val="99"/>
    <w:semiHidden/>
    <w:rsid w:val="00F03448"/>
    <w:rPr>
      <w:rFonts w:ascii="Times New Roman" w:hAnsi="Times New Roman" w:cs="Times New Roman"/>
      <w:sz w:val="18"/>
      <w:szCs w:val="18"/>
    </w:rPr>
  </w:style>
  <w:style w:type="paragraph" w:styleId="FootnoteText">
    <w:name w:val="footnote text"/>
    <w:basedOn w:val="Normal"/>
    <w:link w:val="FootnoteTextChar"/>
    <w:uiPriority w:val="99"/>
    <w:unhideWhenUsed/>
    <w:qFormat/>
    <w:rsid w:val="007A586E"/>
    <w:rPr>
      <w:sz w:val="20"/>
      <w:szCs w:val="20"/>
    </w:rPr>
  </w:style>
  <w:style w:type="character" w:customStyle="1" w:styleId="FootnoteTextChar">
    <w:name w:val="Footnote Text Char"/>
    <w:basedOn w:val="DefaultParagraphFont"/>
    <w:link w:val="FootnoteText"/>
    <w:uiPriority w:val="99"/>
    <w:rsid w:val="007A586E"/>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7A586E"/>
    <w:rPr>
      <w:vertAlign w:val="superscript"/>
    </w:rPr>
  </w:style>
  <w:style w:type="character" w:styleId="Hyperlink">
    <w:name w:val="Hyperlink"/>
    <w:basedOn w:val="DefaultParagraphFont"/>
    <w:uiPriority w:val="99"/>
    <w:unhideWhenUsed/>
    <w:rsid w:val="007A586E"/>
    <w:rPr>
      <w:color w:val="0000FF"/>
      <w:u w:val="single"/>
    </w:rPr>
  </w:style>
  <w:style w:type="paragraph" w:styleId="ListParagraph">
    <w:name w:val="List Paragraph"/>
    <w:basedOn w:val="Normal"/>
    <w:uiPriority w:val="34"/>
    <w:qFormat/>
    <w:rsid w:val="007A586E"/>
    <w:pPr>
      <w:ind w:left="720"/>
      <w:contextualSpacing/>
    </w:pPr>
  </w:style>
  <w:style w:type="character" w:styleId="FollowedHyperlink">
    <w:name w:val="FollowedHyperlink"/>
    <w:basedOn w:val="DefaultParagraphFont"/>
    <w:uiPriority w:val="99"/>
    <w:semiHidden/>
    <w:unhideWhenUsed/>
    <w:rsid w:val="007A586E"/>
    <w:rPr>
      <w:color w:val="954F72" w:themeColor="followedHyperlink"/>
      <w:u w:val="single"/>
    </w:rPr>
  </w:style>
  <w:style w:type="paragraph" w:styleId="Footer">
    <w:name w:val="footer"/>
    <w:basedOn w:val="Normal"/>
    <w:link w:val="FooterChar"/>
    <w:uiPriority w:val="99"/>
    <w:unhideWhenUsed/>
    <w:rsid w:val="007A586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7A586E"/>
  </w:style>
  <w:style w:type="character" w:styleId="PageNumber">
    <w:name w:val="page number"/>
    <w:basedOn w:val="DefaultParagraphFont"/>
    <w:uiPriority w:val="99"/>
    <w:semiHidden/>
    <w:unhideWhenUsed/>
    <w:rsid w:val="007A586E"/>
  </w:style>
  <w:style w:type="character" w:styleId="UnresolvedMention">
    <w:name w:val="Unresolved Mention"/>
    <w:basedOn w:val="DefaultParagraphFont"/>
    <w:uiPriority w:val="99"/>
    <w:semiHidden/>
    <w:unhideWhenUsed/>
    <w:rsid w:val="00F0076D"/>
    <w:rPr>
      <w:color w:val="605E5C"/>
      <w:shd w:val="clear" w:color="auto" w:fill="E1DFDD"/>
    </w:rPr>
  </w:style>
  <w:style w:type="character" w:styleId="CommentReference">
    <w:name w:val="annotation reference"/>
    <w:basedOn w:val="DefaultParagraphFont"/>
    <w:uiPriority w:val="99"/>
    <w:semiHidden/>
    <w:unhideWhenUsed/>
    <w:rsid w:val="00854E07"/>
    <w:rPr>
      <w:sz w:val="16"/>
      <w:szCs w:val="16"/>
    </w:rPr>
  </w:style>
  <w:style w:type="paragraph" w:styleId="CommentText">
    <w:name w:val="annotation text"/>
    <w:basedOn w:val="Normal"/>
    <w:link w:val="CommentTextChar"/>
    <w:uiPriority w:val="99"/>
    <w:semiHidden/>
    <w:unhideWhenUsed/>
    <w:rsid w:val="00854E0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854E07"/>
    <w:rPr>
      <w:sz w:val="20"/>
      <w:szCs w:val="20"/>
    </w:rPr>
  </w:style>
  <w:style w:type="paragraph" w:styleId="NoSpacing">
    <w:name w:val="No Spacing"/>
    <w:uiPriority w:val="1"/>
    <w:qFormat/>
    <w:rsid w:val="003D7AF7"/>
  </w:style>
  <w:style w:type="paragraph" w:styleId="CommentSubject">
    <w:name w:val="annotation subject"/>
    <w:basedOn w:val="CommentText"/>
    <w:next w:val="CommentText"/>
    <w:link w:val="CommentSubjectChar"/>
    <w:uiPriority w:val="99"/>
    <w:semiHidden/>
    <w:unhideWhenUsed/>
    <w:rsid w:val="00F0705C"/>
    <w:rPr>
      <w:b/>
      <w:bCs/>
    </w:rPr>
  </w:style>
  <w:style w:type="character" w:customStyle="1" w:styleId="CommentSubjectChar">
    <w:name w:val="Comment Subject Char"/>
    <w:basedOn w:val="CommentTextChar"/>
    <w:link w:val="CommentSubject"/>
    <w:uiPriority w:val="99"/>
    <w:semiHidden/>
    <w:rsid w:val="00F0705C"/>
    <w:rPr>
      <w:b/>
      <w:bCs/>
      <w:sz w:val="20"/>
      <w:szCs w:val="20"/>
    </w:rPr>
  </w:style>
  <w:style w:type="paragraph" w:customStyle="1" w:styleId="HTMLBody">
    <w:name w:val="HTML Body"/>
    <w:rsid w:val="00C544F8"/>
    <w:pPr>
      <w:autoSpaceDE w:val="0"/>
      <w:autoSpaceDN w:val="0"/>
      <w:adjustRightInd w:val="0"/>
    </w:pPr>
    <w:rPr>
      <w:rFonts w:ascii="Arial" w:eastAsia="Times New Roman" w:hAnsi="Arial" w:cs="Times New Roman"/>
      <w:sz w:val="20"/>
      <w:szCs w:val="20"/>
    </w:rPr>
  </w:style>
  <w:style w:type="character" w:styleId="Emphasis">
    <w:name w:val="Emphasis"/>
    <w:basedOn w:val="DefaultParagraphFont"/>
    <w:uiPriority w:val="20"/>
    <w:qFormat/>
    <w:rsid w:val="00867B3D"/>
    <w:rPr>
      <w:i/>
      <w:iCs/>
    </w:rPr>
  </w:style>
  <w:style w:type="paragraph" w:customStyle="1" w:styleId="Default">
    <w:name w:val="Default"/>
    <w:rsid w:val="00A051C0"/>
    <w:pPr>
      <w:autoSpaceDE w:val="0"/>
      <w:autoSpaceDN w:val="0"/>
      <w:adjustRightInd w:val="0"/>
    </w:pPr>
    <w:rPr>
      <w:rFonts w:ascii="Code" w:hAnsi="Code" w:cs="Code"/>
      <w:color w:val="000000"/>
    </w:rPr>
  </w:style>
  <w:style w:type="character" w:customStyle="1" w:styleId="longdesc">
    <w:name w:val="long_desc"/>
    <w:basedOn w:val="DefaultParagraphFont"/>
    <w:rsid w:val="00E954D7"/>
  </w:style>
  <w:style w:type="paragraph" w:styleId="Revision">
    <w:name w:val="Revision"/>
    <w:hidden/>
    <w:uiPriority w:val="99"/>
    <w:semiHidden/>
    <w:rsid w:val="009F1246"/>
    <w:rPr>
      <w:rFonts w:ascii="Times New Roman" w:eastAsia="Times New Roman" w:hAnsi="Times New Roman" w:cs="Times New Roman"/>
    </w:rPr>
  </w:style>
  <w:style w:type="paragraph" w:styleId="NormalWeb">
    <w:name w:val="Normal (Web)"/>
    <w:basedOn w:val="Normal"/>
    <w:uiPriority w:val="99"/>
    <w:semiHidden/>
    <w:unhideWhenUsed/>
    <w:rsid w:val="0034119F"/>
    <w:pPr>
      <w:spacing w:before="100" w:beforeAutospacing="1" w:after="100" w:afterAutospacing="1"/>
    </w:pPr>
  </w:style>
  <w:style w:type="paragraph" w:styleId="Header">
    <w:name w:val="header"/>
    <w:basedOn w:val="Normal"/>
    <w:link w:val="HeaderChar"/>
    <w:uiPriority w:val="99"/>
    <w:unhideWhenUsed/>
    <w:rsid w:val="00A72F98"/>
    <w:pPr>
      <w:tabs>
        <w:tab w:val="center" w:pos="4680"/>
        <w:tab w:val="right" w:pos="9360"/>
      </w:tabs>
    </w:pPr>
  </w:style>
  <w:style w:type="character" w:customStyle="1" w:styleId="HeaderChar">
    <w:name w:val="Header Char"/>
    <w:basedOn w:val="DefaultParagraphFont"/>
    <w:link w:val="Header"/>
    <w:uiPriority w:val="99"/>
    <w:rsid w:val="00A72F98"/>
    <w:rPr>
      <w:rFonts w:ascii="Times New Roman" w:eastAsia="Times New Roman" w:hAnsi="Times New Roman" w:cs="Times New Roman"/>
    </w:rPr>
  </w:style>
  <w:style w:type="character" w:customStyle="1" w:styleId="authors">
    <w:name w:val="authors"/>
    <w:basedOn w:val="DefaultParagraphFont"/>
    <w:rsid w:val="008D5E27"/>
  </w:style>
  <w:style w:type="character" w:customStyle="1" w:styleId="Date1">
    <w:name w:val="Date1"/>
    <w:basedOn w:val="DefaultParagraphFont"/>
    <w:rsid w:val="008D5E27"/>
  </w:style>
  <w:style w:type="character" w:customStyle="1" w:styleId="arttitle">
    <w:name w:val="art_title"/>
    <w:basedOn w:val="DefaultParagraphFont"/>
    <w:rsid w:val="008D5E27"/>
  </w:style>
  <w:style w:type="character" w:customStyle="1" w:styleId="serialtitle">
    <w:name w:val="serial_title"/>
    <w:basedOn w:val="DefaultParagraphFont"/>
    <w:rsid w:val="008D5E27"/>
  </w:style>
  <w:style w:type="character" w:customStyle="1" w:styleId="volumeissue">
    <w:name w:val="volume_issue"/>
    <w:basedOn w:val="DefaultParagraphFont"/>
    <w:rsid w:val="008D5E27"/>
  </w:style>
  <w:style w:type="character" w:customStyle="1" w:styleId="pagerange">
    <w:name w:val="page_range"/>
    <w:basedOn w:val="DefaultParagraphFont"/>
    <w:rsid w:val="008D5E27"/>
  </w:style>
  <w:style w:type="character" w:customStyle="1" w:styleId="doilink">
    <w:name w:val="doi_link"/>
    <w:basedOn w:val="DefaultParagraphFont"/>
    <w:rsid w:val="008D5E27"/>
  </w:style>
  <w:style w:type="paragraph" w:styleId="EndnoteText">
    <w:name w:val="endnote text"/>
    <w:basedOn w:val="Normal"/>
    <w:link w:val="EndnoteTextChar"/>
    <w:uiPriority w:val="99"/>
    <w:semiHidden/>
    <w:unhideWhenUsed/>
    <w:rsid w:val="00E27C32"/>
    <w:rPr>
      <w:sz w:val="20"/>
      <w:szCs w:val="20"/>
    </w:rPr>
  </w:style>
  <w:style w:type="character" w:customStyle="1" w:styleId="EndnoteTextChar">
    <w:name w:val="Endnote Text Char"/>
    <w:basedOn w:val="DefaultParagraphFont"/>
    <w:link w:val="EndnoteText"/>
    <w:uiPriority w:val="99"/>
    <w:semiHidden/>
    <w:rsid w:val="00E27C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27C32"/>
    <w:rPr>
      <w:vertAlign w:val="superscript"/>
    </w:rPr>
  </w:style>
  <w:style w:type="character" w:customStyle="1" w:styleId="Heading1Char">
    <w:name w:val="Heading 1 Char"/>
    <w:basedOn w:val="DefaultParagraphFont"/>
    <w:link w:val="Heading1"/>
    <w:uiPriority w:val="9"/>
    <w:rsid w:val="00F852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52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241822">
      <w:bodyDiv w:val="1"/>
      <w:marLeft w:val="0"/>
      <w:marRight w:val="0"/>
      <w:marTop w:val="0"/>
      <w:marBottom w:val="0"/>
      <w:divBdr>
        <w:top w:val="none" w:sz="0" w:space="0" w:color="auto"/>
        <w:left w:val="none" w:sz="0" w:space="0" w:color="auto"/>
        <w:bottom w:val="none" w:sz="0" w:space="0" w:color="auto"/>
        <w:right w:val="none" w:sz="0" w:space="0" w:color="auto"/>
      </w:divBdr>
    </w:div>
    <w:div w:id="539901216">
      <w:bodyDiv w:val="1"/>
      <w:marLeft w:val="0"/>
      <w:marRight w:val="0"/>
      <w:marTop w:val="0"/>
      <w:marBottom w:val="0"/>
      <w:divBdr>
        <w:top w:val="none" w:sz="0" w:space="0" w:color="auto"/>
        <w:left w:val="none" w:sz="0" w:space="0" w:color="auto"/>
        <w:bottom w:val="none" w:sz="0" w:space="0" w:color="auto"/>
        <w:right w:val="none" w:sz="0" w:space="0" w:color="auto"/>
      </w:divBdr>
    </w:div>
    <w:div w:id="579412790">
      <w:bodyDiv w:val="1"/>
      <w:marLeft w:val="0"/>
      <w:marRight w:val="0"/>
      <w:marTop w:val="0"/>
      <w:marBottom w:val="0"/>
      <w:divBdr>
        <w:top w:val="none" w:sz="0" w:space="0" w:color="auto"/>
        <w:left w:val="none" w:sz="0" w:space="0" w:color="auto"/>
        <w:bottom w:val="none" w:sz="0" w:space="0" w:color="auto"/>
        <w:right w:val="none" w:sz="0" w:space="0" w:color="auto"/>
      </w:divBdr>
      <w:divsChild>
        <w:div w:id="1750733553">
          <w:marLeft w:val="0"/>
          <w:marRight w:val="0"/>
          <w:marTop w:val="0"/>
          <w:marBottom w:val="0"/>
          <w:divBdr>
            <w:top w:val="none" w:sz="0" w:space="0" w:color="auto"/>
            <w:left w:val="none" w:sz="0" w:space="0" w:color="auto"/>
            <w:bottom w:val="none" w:sz="0" w:space="0" w:color="auto"/>
            <w:right w:val="none" w:sz="0" w:space="0" w:color="auto"/>
          </w:divBdr>
          <w:divsChild>
            <w:div w:id="1234240191">
              <w:marLeft w:val="0"/>
              <w:marRight w:val="0"/>
              <w:marTop w:val="0"/>
              <w:marBottom w:val="0"/>
              <w:divBdr>
                <w:top w:val="none" w:sz="0" w:space="0" w:color="auto"/>
                <w:left w:val="none" w:sz="0" w:space="0" w:color="auto"/>
                <w:bottom w:val="none" w:sz="0" w:space="0" w:color="auto"/>
                <w:right w:val="none" w:sz="0" w:space="0" w:color="auto"/>
              </w:divBdr>
              <w:divsChild>
                <w:div w:id="1698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032561">
      <w:bodyDiv w:val="1"/>
      <w:marLeft w:val="0"/>
      <w:marRight w:val="0"/>
      <w:marTop w:val="0"/>
      <w:marBottom w:val="0"/>
      <w:divBdr>
        <w:top w:val="none" w:sz="0" w:space="0" w:color="auto"/>
        <w:left w:val="none" w:sz="0" w:space="0" w:color="auto"/>
        <w:bottom w:val="none" w:sz="0" w:space="0" w:color="auto"/>
        <w:right w:val="none" w:sz="0" w:space="0" w:color="auto"/>
      </w:divBdr>
      <w:divsChild>
        <w:div w:id="1629117234">
          <w:marLeft w:val="0"/>
          <w:marRight w:val="0"/>
          <w:marTop w:val="0"/>
          <w:marBottom w:val="0"/>
          <w:divBdr>
            <w:top w:val="none" w:sz="0" w:space="0" w:color="auto"/>
            <w:left w:val="none" w:sz="0" w:space="0" w:color="auto"/>
            <w:bottom w:val="none" w:sz="0" w:space="0" w:color="auto"/>
            <w:right w:val="none" w:sz="0" w:space="0" w:color="auto"/>
          </w:divBdr>
        </w:div>
      </w:divsChild>
    </w:div>
    <w:div w:id="658731117">
      <w:bodyDiv w:val="1"/>
      <w:marLeft w:val="0"/>
      <w:marRight w:val="0"/>
      <w:marTop w:val="0"/>
      <w:marBottom w:val="0"/>
      <w:divBdr>
        <w:top w:val="none" w:sz="0" w:space="0" w:color="auto"/>
        <w:left w:val="none" w:sz="0" w:space="0" w:color="auto"/>
        <w:bottom w:val="none" w:sz="0" w:space="0" w:color="auto"/>
        <w:right w:val="none" w:sz="0" w:space="0" w:color="auto"/>
      </w:divBdr>
    </w:div>
    <w:div w:id="739329200">
      <w:bodyDiv w:val="1"/>
      <w:marLeft w:val="0"/>
      <w:marRight w:val="0"/>
      <w:marTop w:val="0"/>
      <w:marBottom w:val="0"/>
      <w:divBdr>
        <w:top w:val="none" w:sz="0" w:space="0" w:color="auto"/>
        <w:left w:val="none" w:sz="0" w:space="0" w:color="auto"/>
        <w:bottom w:val="none" w:sz="0" w:space="0" w:color="auto"/>
        <w:right w:val="none" w:sz="0" w:space="0" w:color="auto"/>
      </w:divBdr>
    </w:div>
    <w:div w:id="811944219">
      <w:bodyDiv w:val="1"/>
      <w:marLeft w:val="0"/>
      <w:marRight w:val="0"/>
      <w:marTop w:val="0"/>
      <w:marBottom w:val="0"/>
      <w:divBdr>
        <w:top w:val="none" w:sz="0" w:space="0" w:color="auto"/>
        <w:left w:val="none" w:sz="0" w:space="0" w:color="auto"/>
        <w:bottom w:val="none" w:sz="0" w:space="0" w:color="auto"/>
        <w:right w:val="none" w:sz="0" w:space="0" w:color="auto"/>
      </w:divBdr>
    </w:div>
    <w:div w:id="875969934">
      <w:bodyDiv w:val="1"/>
      <w:marLeft w:val="0"/>
      <w:marRight w:val="0"/>
      <w:marTop w:val="0"/>
      <w:marBottom w:val="0"/>
      <w:divBdr>
        <w:top w:val="none" w:sz="0" w:space="0" w:color="auto"/>
        <w:left w:val="none" w:sz="0" w:space="0" w:color="auto"/>
        <w:bottom w:val="none" w:sz="0" w:space="0" w:color="auto"/>
        <w:right w:val="none" w:sz="0" w:space="0" w:color="auto"/>
      </w:divBdr>
    </w:div>
    <w:div w:id="1333486626">
      <w:bodyDiv w:val="1"/>
      <w:marLeft w:val="0"/>
      <w:marRight w:val="0"/>
      <w:marTop w:val="0"/>
      <w:marBottom w:val="0"/>
      <w:divBdr>
        <w:top w:val="none" w:sz="0" w:space="0" w:color="auto"/>
        <w:left w:val="none" w:sz="0" w:space="0" w:color="auto"/>
        <w:bottom w:val="none" w:sz="0" w:space="0" w:color="auto"/>
        <w:right w:val="none" w:sz="0" w:space="0" w:color="auto"/>
      </w:divBdr>
    </w:div>
    <w:div w:id="1508403631">
      <w:bodyDiv w:val="1"/>
      <w:marLeft w:val="0"/>
      <w:marRight w:val="0"/>
      <w:marTop w:val="0"/>
      <w:marBottom w:val="0"/>
      <w:divBdr>
        <w:top w:val="none" w:sz="0" w:space="0" w:color="auto"/>
        <w:left w:val="none" w:sz="0" w:space="0" w:color="auto"/>
        <w:bottom w:val="none" w:sz="0" w:space="0" w:color="auto"/>
        <w:right w:val="none" w:sz="0" w:space="0" w:color="auto"/>
      </w:divBdr>
    </w:div>
    <w:div w:id="1682202902">
      <w:bodyDiv w:val="1"/>
      <w:marLeft w:val="0"/>
      <w:marRight w:val="0"/>
      <w:marTop w:val="0"/>
      <w:marBottom w:val="0"/>
      <w:divBdr>
        <w:top w:val="none" w:sz="0" w:space="0" w:color="auto"/>
        <w:left w:val="none" w:sz="0" w:space="0" w:color="auto"/>
        <w:bottom w:val="none" w:sz="0" w:space="0" w:color="auto"/>
        <w:right w:val="none" w:sz="0" w:space="0" w:color="auto"/>
      </w:divBdr>
    </w:div>
    <w:div w:id="1697582801">
      <w:bodyDiv w:val="1"/>
      <w:marLeft w:val="0"/>
      <w:marRight w:val="0"/>
      <w:marTop w:val="0"/>
      <w:marBottom w:val="0"/>
      <w:divBdr>
        <w:top w:val="none" w:sz="0" w:space="0" w:color="auto"/>
        <w:left w:val="none" w:sz="0" w:space="0" w:color="auto"/>
        <w:bottom w:val="none" w:sz="0" w:space="0" w:color="auto"/>
        <w:right w:val="none" w:sz="0" w:space="0" w:color="auto"/>
      </w:divBdr>
    </w:div>
    <w:div w:id="1750496696">
      <w:bodyDiv w:val="1"/>
      <w:marLeft w:val="0"/>
      <w:marRight w:val="0"/>
      <w:marTop w:val="0"/>
      <w:marBottom w:val="0"/>
      <w:divBdr>
        <w:top w:val="none" w:sz="0" w:space="0" w:color="auto"/>
        <w:left w:val="none" w:sz="0" w:space="0" w:color="auto"/>
        <w:bottom w:val="none" w:sz="0" w:space="0" w:color="auto"/>
        <w:right w:val="none" w:sz="0" w:space="0" w:color="auto"/>
      </w:divBdr>
    </w:div>
    <w:div w:id="199552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96C01DB-C4C7-D541-A8DD-B9CD195B0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5245</Words>
  <Characters>29903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 Sagan</dc:creator>
  <cp:keywords/>
  <dc:description/>
  <cp:lastModifiedBy>Laura diZerega</cp:lastModifiedBy>
  <cp:revision>4</cp:revision>
  <cp:lastPrinted>2021-08-04T21:29:00Z</cp:lastPrinted>
  <dcterms:created xsi:type="dcterms:W3CDTF">2021-11-01T19:55:00Z</dcterms:created>
  <dcterms:modified xsi:type="dcterms:W3CDTF">2021-12-17T19:56:00Z</dcterms:modified>
</cp:coreProperties>
</file>