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11A9" w14:textId="26A736F1" w:rsidR="00960314" w:rsidRPr="00EC461F" w:rsidRDefault="00960314" w:rsidP="00CB6BBB">
      <w:r w:rsidRPr="00EC461F">
        <w:t>Introduction</w:t>
      </w:r>
    </w:p>
    <w:p w14:paraId="77F38E45" w14:textId="1EA33961" w:rsidR="00EA7F12" w:rsidRPr="00EC461F" w:rsidRDefault="00EA7F12" w:rsidP="00CB6BBB">
      <w:r w:rsidRPr="00EC461F">
        <w:t>Jeffrey Spier and Sara E. Cole</w:t>
      </w:r>
    </w:p>
    <w:p w14:paraId="105C766F" w14:textId="46383838" w:rsidR="007464A0" w:rsidRPr="00EC461F" w:rsidRDefault="007464A0" w:rsidP="00CB6BBB"/>
    <w:p w14:paraId="75D1A983" w14:textId="0E0ED147" w:rsidR="007464A0" w:rsidRPr="00EC461F" w:rsidRDefault="007464A0" w:rsidP="00CB6BBB">
      <w:r w:rsidRPr="00EC461F">
        <w:t xml:space="preserve">In 2018 the J. Paul Getty Museum </w:t>
      </w:r>
      <w:r w:rsidR="00862E55" w:rsidRPr="00EC461F">
        <w:t>presented</w:t>
      </w:r>
      <w:r w:rsidRPr="00EC461F">
        <w:t xml:space="preserve"> the exhibition </w:t>
      </w:r>
      <w:r w:rsidRPr="00EC461F">
        <w:rPr>
          <w:i/>
        </w:rPr>
        <w:t>Beyond the Nile: Egypt and the Classical World</w:t>
      </w:r>
      <w:r w:rsidR="0095744B" w:rsidRPr="00EC461F">
        <w:t>, curated by Jeffrey Spier, Tim</w:t>
      </w:r>
      <w:r w:rsidR="00862E55" w:rsidRPr="00EC461F">
        <w:t>othy</w:t>
      </w:r>
      <w:r w:rsidR="0095744B" w:rsidRPr="00EC461F">
        <w:t xml:space="preserve"> Potts, and Sara E. Cole. </w:t>
      </w:r>
      <w:r w:rsidR="00735E71" w:rsidRPr="00EC461F">
        <w:rPr>
          <w:iCs/>
        </w:rPr>
        <w:t>This</w:t>
      </w:r>
      <w:r w:rsidR="004F5EF4" w:rsidRPr="00EC461F">
        <w:t xml:space="preserve"> was the first in a series of exhibitions </w:t>
      </w:r>
      <w:r w:rsidR="00F136FA" w:rsidRPr="00EC461F">
        <w:t xml:space="preserve">and publications </w:t>
      </w:r>
      <w:r w:rsidR="00862E55" w:rsidRPr="00EC461F">
        <w:t>seek</w:t>
      </w:r>
      <w:r w:rsidR="000C71E7" w:rsidRPr="00EC461F">
        <w:t>ing</w:t>
      </w:r>
      <w:r w:rsidR="00862E55" w:rsidRPr="00EC461F">
        <w:t xml:space="preserve"> to </w:t>
      </w:r>
      <w:r w:rsidR="00735E71" w:rsidRPr="00EC461F">
        <w:t>explore how</w:t>
      </w:r>
      <w:r w:rsidR="00862E55" w:rsidRPr="00EC461F">
        <w:t xml:space="preserve"> Greece and Rome influenced and were influenced by neighboring cultures and civilizations in the Mediterranean and Near East</w:t>
      </w:r>
      <w:r w:rsidR="00735E71" w:rsidRPr="00EC461F">
        <w:t xml:space="preserve"> over a period </w:t>
      </w:r>
      <w:r w:rsidR="00862E55" w:rsidRPr="00EC461F">
        <w:t xml:space="preserve">spanning </w:t>
      </w:r>
      <w:r w:rsidR="000C71E7" w:rsidRPr="00EC461F">
        <w:t xml:space="preserve">nearly </w:t>
      </w:r>
      <w:r w:rsidR="00666456" w:rsidRPr="00EC461F">
        <w:t>twenty-five hundred</w:t>
      </w:r>
      <w:r w:rsidR="00862E55" w:rsidRPr="00EC461F">
        <w:t xml:space="preserve"> years</w:t>
      </w:r>
      <w:r w:rsidR="00735E71" w:rsidRPr="00EC461F">
        <w:t>.</w:t>
      </w:r>
      <w:r w:rsidR="00862E55" w:rsidRPr="00EC461F">
        <w:t xml:space="preserve"> </w:t>
      </w:r>
      <w:r w:rsidR="00735E71" w:rsidRPr="00EC461F">
        <w:t>P</w:t>
      </w:r>
      <w:r w:rsidR="00862E55" w:rsidRPr="00EC461F">
        <w:t>roviding an assembl</w:t>
      </w:r>
      <w:r w:rsidR="00735E71" w:rsidRPr="00EC461F">
        <w:t>age of</w:t>
      </w:r>
      <w:r w:rsidR="00862E55" w:rsidRPr="00EC461F">
        <w:t xml:space="preserve"> objects </w:t>
      </w:r>
      <w:r w:rsidR="00735E71" w:rsidRPr="00EC461F">
        <w:t>rarely, if ever,</w:t>
      </w:r>
      <w:r w:rsidR="00862E55" w:rsidRPr="00EC461F">
        <w:t xml:space="preserve"> displayed together</w:t>
      </w:r>
      <w:r w:rsidR="00735E71" w:rsidRPr="00EC461F">
        <w:t>,</w:t>
      </w:r>
      <w:r w:rsidR="00862E55" w:rsidRPr="00EC461F">
        <w:t xml:space="preserve"> </w:t>
      </w:r>
      <w:r w:rsidR="00735E71" w:rsidRPr="00EC461F">
        <w:t>t</w:t>
      </w:r>
      <w:r w:rsidR="00862E55" w:rsidRPr="00EC461F">
        <w:t xml:space="preserve">he exhibition invited viewers to move beyond a common perception of Egypt, Greece, and Rome as monolithic, </w:t>
      </w:r>
      <w:r w:rsidR="00827818" w:rsidRPr="00EC461F">
        <w:t>static</w:t>
      </w:r>
      <w:r w:rsidR="00862E55" w:rsidRPr="00EC461F">
        <w:t xml:space="preserve"> cultures</w:t>
      </w:r>
      <w:r w:rsidR="00735E71" w:rsidRPr="00EC461F">
        <w:t xml:space="preserve">; </w:t>
      </w:r>
      <w:r w:rsidR="00862E55" w:rsidRPr="00EC461F">
        <w:t xml:space="preserve">to think about the </w:t>
      </w:r>
      <w:r w:rsidR="00C01A0F">
        <w:t>“</w:t>
      </w:r>
      <w:r w:rsidR="00666456" w:rsidRPr="00EC461F">
        <w:t>c</w:t>
      </w:r>
      <w:r w:rsidR="00862E55" w:rsidRPr="00EC461F">
        <w:t>lassical world</w:t>
      </w:r>
      <w:r w:rsidR="00C01A0F">
        <w:t>”</w:t>
      </w:r>
      <w:r w:rsidR="00862E55" w:rsidRPr="00EC461F">
        <w:t xml:space="preserve"> beyond the confines of its traditional definition</w:t>
      </w:r>
      <w:r w:rsidR="00C825B2" w:rsidRPr="00EC461F">
        <w:t>;</w:t>
      </w:r>
      <w:r w:rsidR="00862E55" w:rsidRPr="00EC461F">
        <w:t xml:space="preserve"> and to </w:t>
      </w:r>
      <w:r w:rsidR="0091412C" w:rsidRPr="00EC461F">
        <w:t>co</w:t>
      </w:r>
      <w:r w:rsidR="00F4157F" w:rsidRPr="00EC461F">
        <w:t>ntemplate</w:t>
      </w:r>
      <w:r w:rsidR="00862E55" w:rsidRPr="00EC461F">
        <w:t xml:space="preserve"> the interconnectedness of the ancient Mediterranean</w:t>
      </w:r>
      <w:r w:rsidR="003D4A08" w:rsidRPr="00EC461F">
        <w:t>.</w:t>
      </w:r>
    </w:p>
    <w:p w14:paraId="5372FCA6" w14:textId="64D65673" w:rsidR="007464A0" w:rsidRPr="00EC461F" w:rsidRDefault="00C91355" w:rsidP="00CB6BBB">
      <w:r w:rsidRPr="00EC461F">
        <w:tab/>
      </w:r>
      <w:r w:rsidR="000F6843" w:rsidRPr="000F6843">
        <w:rPr>
          <w:i/>
          <w:iCs/>
        </w:rPr>
        <w:t>Egypt and the Classical World: Cross-Cultural Encounters in Antiquity</w:t>
      </w:r>
      <w:r w:rsidR="00880895" w:rsidRPr="00EC461F">
        <w:t xml:space="preserve"> contains the proceedings of a scholars’ </w:t>
      </w:r>
      <w:r w:rsidR="00A33292" w:rsidRPr="00EC461F">
        <w:t xml:space="preserve">conference </w:t>
      </w:r>
      <w:r w:rsidR="00880895" w:rsidRPr="00EC461F">
        <w:t xml:space="preserve">held at the </w:t>
      </w:r>
      <w:r w:rsidR="0095744B" w:rsidRPr="00EC461F">
        <w:t>Getty</w:t>
      </w:r>
      <w:r w:rsidR="00880895" w:rsidRPr="00EC461F">
        <w:t xml:space="preserve"> on August 25</w:t>
      </w:r>
      <w:r w:rsidRPr="00EC461F">
        <w:t>–</w:t>
      </w:r>
      <w:r w:rsidR="00880895" w:rsidRPr="00EC461F">
        <w:t>26, 2018</w:t>
      </w:r>
      <w:r w:rsidR="00A33292" w:rsidRPr="00EC461F">
        <w:t>,</w:t>
      </w:r>
      <w:r w:rsidR="00880895" w:rsidRPr="00EC461F">
        <w:t xml:space="preserve"> in association with </w:t>
      </w:r>
      <w:r w:rsidR="00880895" w:rsidRPr="00EC461F">
        <w:rPr>
          <w:i/>
        </w:rPr>
        <w:t>Beyond the Nile</w:t>
      </w:r>
      <w:r w:rsidR="00880895" w:rsidRPr="00EC461F">
        <w:t>. Th</w:t>
      </w:r>
      <w:r w:rsidR="0095744B" w:rsidRPr="00EC461F">
        <w:t>e</w:t>
      </w:r>
      <w:r w:rsidR="00880895" w:rsidRPr="00EC461F">
        <w:t xml:space="preserve"> symposium brought together </w:t>
      </w:r>
      <w:r w:rsidR="007464A0" w:rsidRPr="00EC461F">
        <w:t xml:space="preserve">an international group of scholars whose work relates to the </w:t>
      </w:r>
      <w:r w:rsidR="00880895" w:rsidRPr="00EC461F">
        <w:t xml:space="preserve">cross-cultural </w:t>
      </w:r>
      <w:r w:rsidR="007464A0" w:rsidRPr="00EC461F">
        <w:t>theme</w:t>
      </w:r>
      <w:r w:rsidR="00880895" w:rsidRPr="00EC461F">
        <w:t>s</w:t>
      </w:r>
      <w:r w:rsidR="007464A0" w:rsidRPr="00EC461F">
        <w:t xml:space="preserve"> of the exhibition. </w:t>
      </w:r>
      <w:r w:rsidR="00A33292" w:rsidRPr="00EC461F">
        <w:t xml:space="preserve">A number </w:t>
      </w:r>
      <w:r w:rsidR="007464A0" w:rsidRPr="00EC461F">
        <w:t>of the</w:t>
      </w:r>
      <w:r w:rsidR="00C825B2" w:rsidRPr="00EC461F">
        <w:t xml:space="preserve"> contributors</w:t>
      </w:r>
      <w:r w:rsidR="007464A0" w:rsidRPr="00EC461F">
        <w:t xml:space="preserve"> </w:t>
      </w:r>
      <w:r w:rsidR="00880895" w:rsidRPr="00EC461F">
        <w:t xml:space="preserve">(Bommas, Kaper, Kelder, Minas-Nerpel) </w:t>
      </w:r>
      <w:r w:rsidR="007464A0" w:rsidRPr="00EC461F">
        <w:t xml:space="preserve">had previously been </w:t>
      </w:r>
      <w:r w:rsidR="00F136FA" w:rsidRPr="00EC461F">
        <w:t xml:space="preserve">in residence </w:t>
      </w:r>
      <w:r w:rsidR="007464A0" w:rsidRPr="00EC461F">
        <w:t xml:space="preserve">at the Getty </w:t>
      </w:r>
      <w:r w:rsidR="00F136FA" w:rsidRPr="00EC461F">
        <w:t xml:space="preserve">Villa </w:t>
      </w:r>
      <w:r w:rsidR="007464A0" w:rsidRPr="00EC461F">
        <w:t xml:space="preserve">as part of the Getty Research Institute’s Scholars Program </w:t>
      </w:r>
      <w:r w:rsidR="00A33292" w:rsidRPr="00EC461F">
        <w:t>with</w:t>
      </w:r>
      <w:r w:rsidR="007464A0" w:rsidRPr="00EC461F">
        <w:t xml:space="preserve"> the theme of </w:t>
      </w:r>
      <w:r w:rsidR="00C01A0F">
        <w:t>“</w:t>
      </w:r>
      <w:r w:rsidR="007464A0" w:rsidRPr="00EC461F">
        <w:t>The Classical World in Context: Egypt</w:t>
      </w:r>
      <w:r w:rsidR="00C01A0F">
        <w:t>”</w:t>
      </w:r>
      <w:r w:rsidR="007464A0" w:rsidRPr="00EC461F">
        <w:t xml:space="preserve"> during the 2015</w:t>
      </w:r>
      <w:r w:rsidRPr="00EC461F">
        <w:t>–</w:t>
      </w:r>
      <w:r w:rsidR="007464A0" w:rsidRPr="00EC461F">
        <w:t>16 and 2017</w:t>
      </w:r>
      <w:r w:rsidRPr="00EC461F">
        <w:t>–</w:t>
      </w:r>
      <w:r w:rsidR="007464A0" w:rsidRPr="00EC461F">
        <w:t>18 fellowship years. Others were contributors to the exhibition’s catalogue</w:t>
      </w:r>
      <w:r w:rsidR="00F136FA" w:rsidRPr="00EC461F">
        <w:t xml:space="preserve"> (Prada, Villing)</w:t>
      </w:r>
      <w:r w:rsidR="00200067" w:rsidRPr="00EC461F">
        <w:t xml:space="preserve"> or </w:t>
      </w:r>
      <w:r w:rsidR="00A33292" w:rsidRPr="00EC461F">
        <w:t>collaborat</w:t>
      </w:r>
      <w:r w:rsidR="00666456" w:rsidRPr="00EC461F">
        <w:t>ed</w:t>
      </w:r>
      <w:r w:rsidR="00A33292" w:rsidRPr="00EC461F">
        <w:t xml:space="preserve"> on the organiz</w:t>
      </w:r>
      <w:r w:rsidR="00666456" w:rsidRPr="00EC461F">
        <w:t>ation</w:t>
      </w:r>
      <w:r w:rsidR="00A33292" w:rsidRPr="00EC461F">
        <w:t xml:space="preserve"> of the exhibition</w:t>
      </w:r>
      <w:r w:rsidR="00200067" w:rsidRPr="00EC461F">
        <w:t xml:space="preserve"> (Spyropoulos)</w:t>
      </w:r>
      <w:r w:rsidR="007464A0" w:rsidRPr="00EC461F">
        <w:t xml:space="preserve">. All </w:t>
      </w:r>
      <w:r w:rsidR="00350778" w:rsidRPr="00EC461F">
        <w:t xml:space="preserve">made valuable intellectual </w:t>
      </w:r>
      <w:r w:rsidR="007464A0" w:rsidRPr="00EC461F">
        <w:t>contribut</w:t>
      </w:r>
      <w:r w:rsidR="00350778" w:rsidRPr="00EC461F">
        <w:t>ions</w:t>
      </w:r>
      <w:r w:rsidR="007464A0" w:rsidRPr="00EC461F">
        <w:t xml:space="preserve"> to the shaping of </w:t>
      </w:r>
      <w:r w:rsidR="00350778" w:rsidRPr="00EC461F">
        <w:rPr>
          <w:i/>
        </w:rPr>
        <w:t>Beyond the Nile</w:t>
      </w:r>
      <w:r w:rsidR="007464A0" w:rsidRPr="00EC461F">
        <w:t xml:space="preserve">. </w:t>
      </w:r>
    </w:p>
    <w:p w14:paraId="6B0743BD" w14:textId="1CFCA3E4" w:rsidR="007464A0" w:rsidRPr="00EC461F" w:rsidRDefault="00C91355" w:rsidP="00CB6BBB">
      <w:r w:rsidRPr="00EC461F">
        <w:tab/>
      </w:r>
      <w:r w:rsidR="00A33292" w:rsidRPr="00EC461F">
        <w:rPr>
          <w:iCs/>
        </w:rPr>
        <w:t xml:space="preserve">The </w:t>
      </w:r>
      <w:r w:rsidR="007464A0" w:rsidRPr="00EC461F">
        <w:t>exhibition catalogue include</w:t>
      </w:r>
      <w:r w:rsidR="00880895" w:rsidRPr="00EC461F">
        <w:t xml:space="preserve">s </w:t>
      </w:r>
      <w:r w:rsidR="007464A0" w:rsidRPr="00EC461F">
        <w:t>sixteen essays synthesizing the current state of knowledge in th</w:t>
      </w:r>
      <w:r w:rsidR="00A33292" w:rsidRPr="00EC461F">
        <w:t>e</w:t>
      </w:r>
      <w:r w:rsidR="007464A0" w:rsidRPr="00EC461F">
        <w:t xml:space="preserve"> field, as well as illustrations and discussions of the nearly </w:t>
      </w:r>
      <w:r w:rsidR="00666456" w:rsidRPr="00EC461F">
        <w:t>two hundred</w:t>
      </w:r>
      <w:r w:rsidR="007464A0" w:rsidRPr="00EC461F">
        <w:t xml:space="preserve"> objects </w:t>
      </w:r>
      <w:r w:rsidR="007464A0" w:rsidRPr="00EC461F">
        <w:lastRenderedPageBreak/>
        <w:t xml:space="preserve">in the exhibition. While the catalogue serves as an important reference work for scholars, students, and </w:t>
      </w:r>
      <w:r w:rsidR="00A33292" w:rsidRPr="00EC461F">
        <w:t xml:space="preserve">all </w:t>
      </w:r>
      <w:r w:rsidR="007464A0" w:rsidRPr="00EC461F">
        <w:t>interested members of the general public, th</w:t>
      </w:r>
      <w:r w:rsidR="00B43257" w:rsidRPr="00EC461F">
        <w:t>e present</w:t>
      </w:r>
      <w:r w:rsidR="007464A0" w:rsidRPr="00EC461F">
        <w:t xml:space="preserve"> collection of essays focuses more </w:t>
      </w:r>
      <w:r w:rsidR="00F7466A" w:rsidRPr="00EC461F">
        <w:t>closely</w:t>
      </w:r>
      <w:r w:rsidR="007464A0" w:rsidRPr="00EC461F">
        <w:t xml:space="preserve"> on current research projects and should be of value to specialists in the fields of </w:t>
      </w:r>
      <w:r w:rsidR="00666456" w:rsidRPr="00EC461F">
        <w:t>c</w:t>
      </w:r>
      <w:r w:rsidR="007464A0" w:rsidRPr="00EC461F">
        <w:t xml:space="preserve">lassics, Egyptology, archaeology, art history, </w:t>
      </w:r>
      <w:r w:rsidR="00AB4DAC" w:rsidRPr="00EC461F">
        <w:t xml:space="preserve">ancient history, </w:t>
      </w:r>
      <w:r w:rsidR="007464A0" w:rsidRPr="00EC461F">
        <w:t xml:space="preserve">and philology. </w:t>
      </w:r>
      <w:r w:rsidR="009271A9" w:rsidRPr="00EC461F">
        <w:t>The two publications</w:t>
      </w:r>
      <w:r w:rsidR="00666456" w:rsidRPr="00EC461F">
        <w:t>—</w:t>
      </w:r>
      <w:r w:rsidR="00B43257" w:rsidRPr="00EC461F">
        <w:t xml:space="preserve">exhibition catalogue and </w:t>
      </w:r>
      <w:r w:rsidR="00350778" w:rsidRPr="00EC461F">
        <w:t>conference</w:t>
      </w:r>
      <w:r w:rsidR="00B43257" w:rsidRPr="00EC461F">
        <w:t xml:space="preserve"> proceedings</w:t>
      </w:r>
      <w:r w:rsidR="00666456" w:rsidRPr="00EC461F">
        <w:t>—</w:t>
      </w:r>
      <w:r w:rsidR="009271A9" w:rsidRPr="00EC461F">
        <w:t xml:space="preserve">complement </w:t>
      </w:r>
      <w:r w:rsidR="00666456" w:rsidRPr="00EC461F">
        <w:t>each</w:t>
      </w:r>
      <w:r w:rsidR="009271A9" w:rsidRPr="00EC461F">
        <w:t xml:space="preserve"> other by providing both a wider lens through which to view Egypt’s interactions with </w:t>
      </w:r>
      <w:r w:rsidR="004F5EF4" w:rsidRPr="00EC461F">
        <w:t>Greece and Rome</w:t>
      </w:r>
      <w:r w:rsidR="00350778" w:rsidRPr="00EC461F">
        <w:t xml:space="preserve"> over millennia</w:t>
      </w:r>
      <w:r w:rsidR="009271A9" w:rsidRPr="00EC461F">
        <w:t xml:space="preserve"> and a </w:t>
      </w:r>
      <w:r w:rsidR="00350778" w:rsidRPr="00EC461F">
        <w:t>focused</w:t>
      </w:r>
      <w:r w:rsidR="009271A9" w:rsidRPr="00EC461F">
        <w:t xml:space="preserve"> look at the highly specialized, ongoing scholarship that is contributing to </w:t>
      </w:r>
      <w:r w:rsidR="00350778" w:rsidRPr="00EC461F">
        <w:t>our understanding of that broader narrative.</w:t>
      </w:r>
      <w:r w:rsidR="00EC461F" w:rsidRPr="00EC461F">
        <w:t xml:space="preserve"> </w:t>
      </w:r>
    </w:p>
    <w:p w14:paraId="746A8E7F" w14:textId="6E679BB1" w:rsidR="00200067" w:rsidRPr="00EC461F" w:rsidRDefault="00C91355" w:rsidP="00CB6BBB">
      <w:r w:rsidRPr="00EC461F">
        <w:tab/>
      </w:r>
      <w:r w:rsidR="00C11BA5" w:rsidRPr="00EC461F">
        <w:t>Our s</w:t>
      </w:r>
      <w:r w:rsidR="00200067" w:rsidRPr="00EC461F">
        <w:t>even authors present new, unpublished research on Egypt’s interactions with ancient Greece and Rome during four major time periods: the Bronze Age (ca. 2000</w:t>
      </w:r>
      <w:r w:rsidRPr="00EC461F">
        <w:t>–</w:t>
      </w:r>
      <w:r w:rsidR="00200067" w:rsidRPr="00EC461F">
        <w:t>1200 BC), Egypt’s Late Period (ca. 664</w:t>
      </w:r>
      <w:r w:rsidRPr="00EC461F">
        <w:t>–</w:t>
      </w:r>
      <w:r w:rsidR="00200067" w:rsidRPr="00EC461F">
        <w:t xml:space="preserve">332 BC), the Ptolemaic </w:t>
      </w:r>
      <w:r w:rsidR="00666456" w:rsidRPr="00EC461F">
        <w:t>p</w:t>
      </w:r>
      <w:r w:rsidR="00200067" w:rsidRPr="00EC461F">
        <w:t>eriod (323</w:t>
      </w:r>
      <w:r w:rsidRPr="00EC461F">
        <w:t>–</w:t>
      </w:r>
      <w:r w:rsidR="00200067" w:rsidRPr="00EC461F">
        <w:t xml:space="preserve">30 BC), and the Roman Empire (beginning in AD 30). </w:t>
      </w:r>
      <w:r w:rsidR="00A33292" w:rsidRPr="00EC461F">
        <w:t>The p</w:t>
      </w:r>
      <w:r w:rsidR="00200067" w:rsidRPr="00EC461F">
        <w:t xml:space="preserve">apers cover a </w:t>
      </w:r>
      <w:r w:rsidR="00666456" w:rsidRPr="00EC461F">
        <w:t>variety</w:t>
      </w:r>
      <w:r w:rsidR="00200067" w:rsidRPr="00EC461F">
        <w:t xml:space="preserve"> of materials</w:t>
      </w:r>
      <w:r w:rsidR="00666456" w:rsidRPr="00EC461F">
        <w:t>—</w:t>
      </w:r>
      <w:r w:rsidR="00200067" w:rsidRPr="00EC461F">
        <w:t>including archaeological finds, artworks, and inscriptions</w:t>
      </w:r>
      <w:r w:rsidR="00666456" w:rsidRPr="00EC461F">
        <w:t>—</w:t>
      </w:r>
      <w:r w:rsidR="00200067" w:rsidRPr="00EC461F">
        <w:t xml:space="preserve">and add to a rapidly growing body of scholarship on cross-cultural exchange </w:t>
      </w:r>
      <w:r w:rsidR="00666456" w:rsidRPr="00EC461F">
        <w:t>between</w:t>
      </w:r>
      <w:r w:rsidR="00200067" w:rsidRPr="00EC461F">
        <w:t xml:space="preserve"> Egypt and its Mediterranean neighbors in antiquity.</w:t>
      </w:r>
      <w:r w:rsidR="00CB370A" w:rsidRPr="00EC461F">
        <w:t xml:space="preserve"> For those who served as </w:t>
      </w:r>
      <w:r w:rsidR="00F136FA" w:rsidRPr="00EC461F">
        <w:t>Getty</w:t>
      </w:r>
      <w:r w:rsidR="00CB370A" w:rsidRPr="00EC461F">
        <w:t xml:space="preserve"> scholars, these symposium proceedings are an opportunity to publish the research projects they developed while </w:t>
      </w:r>
      <w:r w:rsidR="00F136FA" w:rsidRPr="00EC461F">
        <w:t>on fellowship</w:t>
      </w:r>
      <w:r w:rsidR="004967F0">
        <w:t xml:space="preserve"> in Los Angeles</w:t>
      </w:r>
      <w:r w:rsidR="00CB370A" w:rsidRPr="00EC461F">
        <w:t>. Additionally, several essays in this volume present in-depth analys</w:t>
      </w:r>
      <w:r w:rsidR="00743438" w:rsidRPr="00EC461F">
        <w:t>e</w:t>
      </w:r>
      <w:r w:rsidR="00CB370A" w:rsidRPr="00EC461F">
        <w:t xml:space="preserve">s of objects that were </w:t>
      </w:r>
      <w:r w:rsidR="00785C87" w:rsidRPr="00EC461F">
        <w:t xml:space="preserve">highlights of </w:t>
      </w:r>
      <w:r w:rsidR="00CB370A" w:rsidRPr="00EC461F">
        <w:rPr>
          <w:i/>
        </w:rPr>
        <w:t>Beyond the Nile</w:t>
      </w:r>
      <w:r w:rsidR="00F136FA" w:rsidRPr="00EC461F">
        <w:rPr>
          <w:i/>
        </w:rPr>
        <w:t xml:space="preserve"> </w:t>
      </w:r>
      <w:r w:rsidR="00F136FA" w:rsidRPr="00EC461F">
        <w:t>(Kelder, Villing, and Prada)</w:t>
      </w:r>
      <w:r w:rsidR="00CB370A" w:rsidRPr="00EC461F">
        <w:t>.</w:t>
      </w:r>
    </w:p>
    <w:p w14:paraId="5850B359" w14:textId="619744F1" w:rsidR="00DB0223" w:rsidRPr="00EC461F" w:rsidRDefault="00C91355" w:rsidP="00CB6BBB">
      <w:r w:rsidRPr="00EC461F">
        <w:tab/>
      </w:r>
      <w:r w:rsidR="00DB0223" w:rsidRPr="00EC461F">
        <w:t xml:space="preserve">Jorrit Kelder examines an underexplored aspect of the Bronze Age Mediterranean: the role of mercenaries in cross-cultural exchange. While numerous studies have focused on various aspects of the </w:t>
      </w:r>
      <w:r w:rsidR="004C29CB" w:rsidRPr="00EC461F">
        <w:t>l</w:t>
      </w:r>
      <w:r w:rsidR="00DB0223" w:rsidRPr="00EC461F">
        <w:t xml:space="preserve">ate Bronze Age </w:t>
      </w:r>
      <w:r w:rsidR="00C01A0F">
        <w:t>“</w:t>
      </w:r>
      <w:r w:rsidR="00DB0223" w:rsidRPr="00EC461F">
        <w:t>world system</w:t>
      </w:r>
      <w:r w:rsidR="00C01A0F">
        <w:t>”</w:t>
      </w:r>
      <w:r w:rsidR="00DB0223" w:rsidRPr="00EC461F">
        <w:t xml:space="preserve"> (such as the exchange of objects, raw materials, animals</w:t>
      </w:r>
      <w:r w:rsidR="00EC461F" w:rsidRPr="00EC461F">
        <w:t>,</w:t>
      </w:r>
      <w:r w:rsidR="00DB0223" w:rsidRPr="00EC461F">
        <w:t xml:space="preserve"> and plants</w:t>
      </w:r>
      <w:r w:rsidR="004C29CB" w:rsidRPr="00EC461F">
        <w:t>;</w:t>
      </w:r>
      <w:r w:rsidR="00DB0223" w:rsidRPr="00EC461F">
        <w:t xml:space="preserve"> </w:t>
      </w:r>
      <w:r w:rsidR="00EC461F" w:rsidRPr="00EC461F">
        <w:t>the migration of</w:t>
      </w:r>
      <w:r w:rsidR="004C29CB" w:rsidRPr="00EC461F">
        <w:t xml:space="preserve"> </w:t>
      </w:r>
      <w:r w:rsidR="00DB0223" w:rsidRPr="00EC461F">
        <w:t>specialist craftsmen and artists</w:t>
      </w:r>
      <w:r w:rsidR="00EC461F" w:rsidRPr="00EC461F">
        <w:t>;</w:t>
      </w:r>
      <w:r w:rsidR="00DB0223" w:rsidRPr="00EC461F">
        <w:t xml:space="preserve"> and even diplomatic marriages), the role of the military in the exchange of technologies and ideas has remained </w:t>
      </w:r>
      <w:r w:rsidR="00DB0223" w:rsidRPr="00EC461F">
        <w:lastRenderedPageBreak/>
        <w:t xml:space="preserve">remarkably </w:t>
      </w:r>
      <w:r w:rsidR="00B76FFE" w:rsidRPr="00EC461F">
        <w:t>neglected</w:t>
      </w:r>
      <w:r w:rsidR="00DB0223" w:rsidRPr="00EC461F">
        <w:t>. By highlighting a number of art</w:t>
      </w:r>
      <w:r w:rsidR="004C29CB" w:rsidRPr="00EC461F">
        <w:t>i</w:t>
      </w:r>
      <w:r w:rsidR="00DB0223" w:rsidRPr="00EC461F">
        <w:t xml:space="preserve">facts that have been found throughout the eastern Mediterranean, </w:t>
      </w:r>
      <w:r w:rsidR="00F136FA" w:rsidRPr="00EC461F">
        <w:t xml:space="preserve">including a remarkable wooden ship cart model </w:t>
      </w:r>
      <w:r w:rsidR="00B76FFE" w:rsidRPr="00EC461F">
        <w:t>that was displayed</w:t>
      </w:r>
      <w:r w:rsidR="00F136FA" w:rsidRPr="00EC461F">
        <w:t xml:space="preserve"> in </w:t>
      </w:r>
      <w:r w:rsidR="00B76FFE" w:rsidRPr="00EC461F">
        <w:rPr>
          <w:iCs/>
        </w:rPr>
        <w:t>the exhibition</w:t>
      </w:r>
      <w:r w:rsidR="00F136FA" w:rsidRPr="00EC461F">
        <w:t xml:space="preserve">, </w:t>
      </w:r>
      <w:r w:rsidR="00DB0223" w:rsidRPr="00EC461F">
        <w:t xml:space="preserve">this paper </w:t>
      </w:r>
      <w:r w:rsidR="00B76FFE" w:rsidRPr="00EC461F">
        <w:t>shows how soldiers were</w:t>
      </w:r>
      <w:r w:rsidR="00DB0223" w:rsidRPr="00EC461F">
        <w:t xml:space="preserve"> a conduit of knowledge and ideas in the </w:t>
      </w:r>
      <w:r w:rsidR="004C29CB" w:rsidRPr="00EC461F">
        <w:t>l</w:t>
      </w:r>
      <w:r w:rsidR="00DB0223" w:rsidRPr="00EC461F">
        <w:t xml:space="preserve">ate Bronze Age eastern Mediterranean and beyond. </w:t>
      </w:r>
    </w:p>
    <w:p w14:paraId="6B21B5AA" w14:textId="74189E38" w:rsidR="00155946" w:rsidRPr="00EC461F" w:rsidRDefault="00C91355" w:rsidP="00CB6BBB">
      <w:r w:rsidRPr="00EC461F">
        <w:tab/>
      </w:r>
      <w:r w:rsidR="00AB4DAC" w:rsidRPr="00EC461F">
        <w:t>In the Late Period, Greek</w:t>
      </w:r>
      <w:r w:rsidR="00B76FFE" w:rsidRPr="00EC461F">
        <w:t xml:space="preserve">s and Carians resident </w:t>
      </w:r>
      <w:r w:rsidR="00AB4DAC" w:rsidRPr="00EC461F">
        <w:t xml:space="preserve">in Egypt continued to fuel various forms of exchange and interaction. </w:t>
      </w:r>
      <w:r w:rsidR="004A2B8C" w:rsidRPr="00EC461F">
        <w:t xml:space="preserve">Alexandra Villing discusses case studies </w:t>
      </w:r>
      <w:r w:rsidR="00B76FFE" w:rsidRPr="00EC461F">
        <w:t xml:space="preserve">relating to </w:t>
      </w:r>
      <w:r w:rsidR="004A2B8C" w:rsidRPr="00EC461F">
        <w:t xml:space="preserve">three key sites (Memphis, Naukratis, and Alexandria) that provide evidence for </w:t>
      </w:r>
      <w:r w:rsidR="00B76FFE" w:rsidRPr="00EC461F">
        <w:t>cross-cultural</w:t>
      </w:r>
      <w:r w:rsidR="004A2B8C" w:rsidRPr="00EC461F">
        <w:t xml:space="preserve"> encounters from the </w:t>
      </w:r>
      <w:r w:rsidR="00702AB1" w:rsidRPr="00EC461F">
        <w:t>sixth</w:t>
      </w:r>
      <w:r w:rsidR="004A2B8C" w:rsidRPr="00EC461F">
        <w:t xml:space="preserve"> to the </w:t>
      </w:r>
      <w:r w:rsidR="00702AB1" w:rsidRPr="00EC461F">
        <w:t>third</w:t>
      </w:r>
      <w:r w:rsidR="004A2B8C" w:rsidRPr="00EC461F">
        <w:t xml:space="preserve"> century BC. Her first case study presents exciting new analysis of a </w:t>
      </w:r>
      <w:r w:rsidR="00C01A0F">
        <w:t>“</w:t>
      </w:r>
      <w:r w:rsidR="004A2B8C" w:rsidRPr="00EC461F">
        <w:t>hybrid</w:t>
      </w:r>
      <w:r w:rsidR="00C01A0F">
        <w:t>”</w:t>
      </w:r>
      <w:r w:rsidR="004A2B8C" w:rsidRPr="00EC461F">
        <w:t xml:space="preserve"> grave stel</w:t>
      </w:r>
      <w:r w:rsidR="004C29CB" w:rsidRPr="00EC461F">
        <w:t>a</w:t>
      </w:r>
      <w:r w:rsidR="004A2B8C" w:rsidRPr="00EC461F">
        <w:t xml:space="preserve"> from Memphis</w:t>
      </w:r>
      <w:r w:rsidR="00B76FFE" w:rsidRPr="00EC461F">
        <w:t xml:space="preserve"> (displayed in the exhibition)</w:t>
      </w:r>
      <w:r w:rsidR="004A2B8C" w:rsidRPr="00EC461F">
        <w:t xml:space="preserve"> combining Egyptian, Greek</w:t>
      </w:r>
      <w:r w:rsidR="00B926AC" w:rsidRPr="00EC461F">
        <w:t>,</w:t>
      </w:r>
      <w:r w:rsidR="004A2B8C" w:rsidRPr="00EC461F">
        <w:t xml:space="preserve"> and Carian elements in </w:t>
      </w:r>
      <w:r w:rsidR="00B926AC" w:rsidRPr="00EC461F">
        <w:t>its</w:t>
      </w:r>
      <w:r w:rsidR="004A2B8C" w:rsidRPr="00EC461F">
        <w:t xml:space="preserve"> carved figured decoration. Thanks to recent scientific examination, the painted patterns and color schemes now evident on the</w:t>
      </w:r>
      <w:r w:rsidR="00155946" w:rsidRPr="00EC461F">
        <w:t xml:space="preserve"> stel</w:t>
      </w:r>
      <w:r w:rsidR="004C29CB" w:rsidRPr="00EC461F">
        <w:t>a</w:t>
      </w:r>
      <w:r w:rsidR="004A2B8C" w:rsidRPr="00EC461F">
        <w:t xml:space="preserve"> emphasize how Egyptian and foreign traditions were intertwined in the lives of </w:t>
      </w:r>
      <w:r w:rsidR="00B76FFE" w:rsidRPr="00EC461F">
        <w:t>foreign</w:t>
      </w:r>
      <w:r w:rsidR="00155946" w:rsidRPr="00EC461F">
        <w:t xml:space="preserve"> </w:t>
      </w:r>
      <w:r w:rsidR="004A2B8C" w:rsidRPr="00EC461F">
        <w:t>mercenaries and their families</w:t>
      </w:r>
      <w:r w:rsidR="001959BC" w:rsidRPr="00EC461F">
        <w:t xml:space="preserve"> in Egypt</w:t>
      </w:r>
      <w:r w:rsidR="004A2B8C" w:rsidRPr="00EC461F">
        <w:t>.</w:t>
      </w:r>
      <w:r w:rsidR="00155946" w:rsidRPr="00EC461F">
        <w:t xml:space="preserve"> </w:t>
      </w:r>
      <w:r w:rsidR="0062724B" w:rsidRPr="00EC461F">
        <w:t>Villing’s</w:t>
      </w:r>
      <w:r w:rsidR="00155946" w:rsidRPr="00EC461F">
        <w:t xml:space="preserve"> other </w:t>
      </w:r>
      <w:r w:rsidR="004C29CB" w:rsidRPr="00EC461F">
        <w:t>case studies</w:t>
      </w:r>
      <w:r w:rsidR="00155946" w:rsidRPr="00EC461F">
        <w:t xml:space="preserve"> look at a </w:t>
      </w:r>
      <w:r w:rsidR="00702AB1" w:rsidRPr="00EC461F">
        <w:t>fourth</w:t>
      </w:r>
      <w:r w:rsidR="004C29CB" w:rsidRPr="00EC461F">
        <w:t>-</w:t>
      </w:r>
      <w:r w:rsidR="00155946" w:rsidRPr="00EC461F">
        <w:t xml:space="preserve">century </w:t>
      </w:r>
      <w:r w:rsidR="008C1EEE" w:rsidRPr="00EC461F">
        <w:t xml:space="preserve">BC </w:t>
      </w:r>
      <w:r w:rsidR="00155946" w:rsidRPr="00EC461F">
        <w:t>Athenian vase found in a burial at the</w:t>
      </w:r>
      <w:r w:rsidR="00B76FFE" w:rsidRPr="00EC461F">
        <w:t xml:space="preserve"> Greek</w:t>
      </w:r>
      <w:r w:rsidR="00155946" w:rsidRPr="00EC461F">
        <w:t xml:space="preserve"> trading hub of Naukratis and a group of Ptolemaic</w:t>
      </w:r>
      <w:r w:rsidR="00C01A0F">
        <w:t xml:space="preserve"> </w:t>
      </w:r>
      <w:r w:rsidR="00155946" w:rsidRPr="00EC461F">
        <w:t>period cat sculptures also from Naukratis</w:t>
      </w:r>
      <w:r w:rsidR="00B926AC" w:rsidRPr="00EC461F">
        <w:t xml:space="preserve"> that</w:t>
      </w:r>
      <w:r w:rsidR="00155946" w:rsidRPr="00EC461F">
        <w:t xml:space="preserve"> appear to be associated with a sanctuary to the cat</w:t>
      </w:r>
      <w:r w:rsidR="0078779F">
        <w:t xml:space="preserve"> </w:t>
      </w:r>
      <w:r w:rsidR="00155946" w:rsidRPr="00EC461F">
        <w:t>goddess Bastet</w:t>
      </w:r>
      <w:r w:rsidR="0078779F">
        <w:t>/</w:t>
      </w:r>
      <w:r w:rsidR="00155946" w:rsidRPr="00EC461F">
        <w:t>Boubastis</w:t>
      </w:r>
      <w:r w:rsidR="00B926AC" w:rsidRPr="00EC461F">
        <w:t xml:space="preserve">. </w:t>
      </w:r>
      <w:r w:rsidR="00B76FFE" w:rsidRPr="00EC461F">
        <w:t>This deity</w:t>
      </w:r>
      <w:r w:rsidR="00B926AC" w:rsidRPr="00EC461F">
        <w:t xml:space="preserve"> </w:t>
      </w:r>
      <w:r w:rsidR="00155946" w:rsidRPr="00EC461F">
        <w:t>was identified with the Ptolemaic queens Arsinoe II and Berenike II</w:t>
      </w:r>
      <w:r w:rsidR="00B926AC" w:rsidRPr="00EC461F">
        <w:t>, and the sanctuary had a close counterpart in Alexandria</w:t>
      </w:r>
      <w:r w:rsidR="00155946" w:rsidRPr="00EC461F">
        <w:t xml:space="preserve">. Taken together, the case studies paint a picture of a relationship in which religion and its expression in material culture </w:t>
      </w:r>
      <w:r w:rsidR="004C29CB" w:rsidRPr="00EC461F">
        <w:t>constituted</w:t>
      </w:r>
      <w:r w:rsidR="00155946" w:rsidRPr="00EC461F">
        <w:t xml:space="preserve"> an important and fertile arena for cross-cultural negotiation</w:t>
      </w:r>
      <w:r w:rsidR="004C29CB" w:rsidRPr="00EC461F">
        <w:t>—</w:t>
      </w:r>
      <w:r w:rsidR="00155946" w:rsidRPr="00EC461F">
        <w:t xml:space="preserve">in the private as well as </w:t>
      </w:r>
      <w:r w:rsidR="00EC461F" w:rsidRPr="00EC461F">
        <w:t xml:space="preserve">the </w:t>
      </w:r>
      <w:r w:rsidR="00155946" w:rsidRPr="00EC461F">
        <w:t xml:space="preserve">public sphere, across social </w:t>
      </w:r>
      <w:r w:rsidR="00E172A7" w:rsidRPr="00EC461F">
        <w:t>classes</w:t>
      </w:r>
      <w:r w:rsidR="00155946" w:rsidRPr="00EC461F">
        <w:t xml:space="preserve">, and over many centuries. </w:t>
      </w:r>
    </w:p>
    <w:p w14:paraId="0546D969" w14:textId="171E495A" w:rsidR="00AF159E" w:rsidRPr="00EC461F" w:rsidRDefault="00C91355" w:rsidP="00CB6BBB">
      <w:r w:rsidRPr="00EC461F">
        <w:tab/>
      </w:r>
      <w:r w:rsidR="00AB4DAC" w:rsidRPr="00EC461F">
        <w:t xml:space="preserve">Religion served as one of the major </w:t>
      </w:r>
      <w:r w:rsidR="00200B01" w:rsidRPr="00EC461F">
        <w:t>l</w:t>
      </w:r>
      <w:r w:rsidR="00AB4DAC" w:rsidRPr="00EC461F">
        <w:t xml:space="preserve">oci of </w:t>
      </w:r>
      <w:r w:rsidR="00E172A7" w:rsidRPr="00EC461F">
        <w:t xml:space="preserve">cultural </w:t>
      </w:r>
      <w:r w:rsidR="00AB4DAC" w:rsidRPr="00EC461F">
        <w:t>exchange</w:t>
      </w:r>
      <w:r w:rsidR="00E172A7" w:rsidRPr="00EC461F">
        <w:t>,</w:t>
      </w:r>
      <w:r w:rsidR="00AB4DAC" w:rsidRPr="00EC461F">
        <w:t xml:space="preserve"> as see</w:t>
      </w:r>
      <w:r w:rsidR="00E172A7" w:rsidRPr="00EC461F">
        <w:t>n</w:t>
      </w:r>
      <w:r w:rsidR="00AB4DAC" w:rsidRPr="00EC461F">
        <w:t xml:space="preserve"> in the case of the Egyptian goddess Isis</w:t>
      </w:r>
      <w:r w:rsidR="00E172A7" w:rsidRPr="00EC461F">
        <w:t xml:space="preserve">, who </w:t>
      </w:r>
      <w:r w:rsidR="00441F29" w:rsidRPr="00EC461F">
        <w:t xml:space="preserve">came to </w:t>
      </w:r>
      <w:r w:rsidR="00E172A7" w:rsidRPr="00EC461F">
        <w:t>function a</w:t>
      </w:r>
      <w:r w:rsidR="00AF159E" w:rsidRPr="00EC461F">
        <w:t xml:space="preserve">s </w:t>
      </w:r>
      <w:r w:rsidR="00E172A7" w:rsidRPr="00EC461F">
        <w:t>a</w:t>
      </w:r>
      <w:r w:rsidR="00AF159E" w:rsidRPr="00EC461F">
        <w:t xml:space="preserve"> </w:t>
      </w:r>
      <w:r w:rsidR="00C01A0F">
        <w:t>“</w:t>
      </w:r>
      <w:r w:rsidR="00AF159E" w:rsidRPr="00EC461F">
        <w:t>hearing and healing</w:t>
      </w:r>
      <w:r w:rsidR="00C01A0F">
        <w:t>”</w:t>
      </w:r>
      <w:r w:rsidR="00AF159E" w:rsidRPr="00EC461F">
        <w:t xml:space="preserve"> </w:t>
      </w:r>
      <w:r w:rsidR="00E172A7" w:rsidRPr="00EC461F">
        <w:t>deity</w:t>
      </w:r>
      <w:r w:rsidR="00441F29" w:rsidRPr="00EC461F">
        <w:t xml:space="preserve"> in the Hellenistic and Roman periods and</w:t>
      </w:r>
      <w:r w:rsidR="007740D5" w:rsidRPr="00EC461F">
        <w:t xml:space="preserve"> whose various roles are </w:t>
      </w:r>
      <w:r w:rsidR="00AF159E" w:rsidRPr="00EC461F">
        <w:t>the subject of Martin Bommas’</w:t>
      </w:r>
      <w:r w:rsidR="00EC461F" w:rsidRPr="00EC461F">
        <w:t>s</w:t>
      </w:r>
      <w:r w:rsidR="00AF159E" w:rsidRPr="00EC461F">
        <w:t xml:space="preserve"> essay. While </w:t>
      </w:r>
      <w:r w:rsidR="00AF159E" w:rsidRPr="00EC461F">
        <w:lastRenderedPageBreak/>
        <w:t xml:space="preserve">the Late Period saw Isis transformed into a goddess </w:t>
      </w:r>
      <w:r w:rsidR="00C01A0F">
        <w:t>“</w:t>
      </w:r>
      <w:r w:rsidR="00AF159E" w:rsidRPr="00EC461F">
        <w:t>Great of Magic</w:t>
      </w:r>
      <w:r w:rsidR="007740D5" w:rsidRPr="00EC461F">
        <w:t>,</w:t>
      </w:r>
      <w:r w:rsidR="00C01A0F">
        <w:t>”</w:t>
      </w:r>
      <w:r w:rsidR="00AF159E" w:rsidRPr="00EC461F">
        <w:t xml:space="preserve"> earlier periods </w:t>
      </w:r>
      <w:r w:rsidR="00C01A0F">
        <w:t xml:space="preserve">had </w:t>
      </w:r>
      <w:r w:rsidR="00AF159E" w:rsidRPr="00EC461F">
        <w:t>reduced </w:t>
      </w:r>
      <w:r w:rsidR="007740D5" w:rsidRPr="00EC461F">
        <w:t xml:space="preserve">her </w:t>
      </w:r>
      <w:r w:rsidR="00AF159E" w:rsidRPr="00EC461F">
        <w:t xml:space="preserve">to a deity who communicated with </w:t>
      </w:r>
      <w:r w:rsidR="00441F29" w:rsidRPr="00EC461F">
        <w:t xml:space="preserve">other </w:t>
      </w:r>
      <w:r w:rsidR="00AF159E" w:rsidRPr="00EC461F">
        <w:t>gods, incl</w:t>
      </w:r>
      <w:r w:rsidR="00EC0922" w:rsidRPr="00EC461F">
        <w:t>uding</w:t>
      </w:r>
      <w:r w:rsidR="00AF159E" w:rsidRPr="00EC461F">
        <w:t xml:space="preserve"> the dead transformed into Osiris. Within personal religious practice,</w:t>
      </w:r>
      <w:r w:rsidR="007740D5" w:rsidRPr="00EC461F">
        <w:t xml:space="preserve"> however,</w:t>
      </w:r>
      <w:r w:rsidR="00AF159E" w:rsidRPr="00EC461F">
        <w:t xml:space="preserve"> Isis </w:t>
      </w:r>
      <w:r w:rsidR="007740D5" w:rsidRPr="00EC461F">
        <w:t>rarely was a</w:t>
      </w:r>
      <w:r w:rsidR="00AF159E" w:rsidRPr="00EC461F">
        <w:t xml:space="preserve"> </w:t>
      </w:r>
      <w:r w:rsidR="007740D5" w:rsidRPr="00EC461F">
        <w:t xml:space="preserve">recipient </w:t>
      </w:r>
      <w:r w:rsidR="00AF159E" w:rsidRPr="00EC461F">
        <w:t xml:space="preserve">of prayers. </w:t>
      </w:r>
      <w:r w:rsidR="007740D5" w:rsidRPr="00EC461F">
        <w:t xml:space="preserve">It was after the </w:t>
      </w:r>
      <w:r w:rsidR="00AF159E" w:rsidRPr="00EC461F">
        <w:t xml:space="preserve">increased focus on her role as </w:t>
      </w:r>
      <w:r w:rsidR="007740D5" w:rsidRPr="00EC461F">
        <w:t xml:space="preserve">maternal deity </w:t>
      </w:r>
      <w:r w:rsidR="00AF159E" w:rsidRPr="00EC461F">
        <w:t xml:space="preserve">from the </w:t>
      </w:r>
      <w:r w:rsidR="007740D5" w:rsidRPr="00EC461F">
        <w:t xml:space="preserve">sixth </w:t>
      </w:r>
      <w:r w:rsidR="00EC0922" w:rsidRPr="00EC461F">
        <w:t>century</w:t>
      </w:r>
      <w:r w:rsidR="00AF159E" w:rsidRPr="00EC461F">
        <w:t xml:space="preserve"> BC onward</w:t>
      </w:r>
      <w:r w:rsidR="007740D5" w:rsidRPr="00EC461F">
        <w:t xml:space="preserve"> that</w:t>
      </w:r>
      <w:r w:rsidR="00AF159E" w:rsidRPr="00EC461F">
        <w:t xml:space="preserve"> </w:t>
      </w:r>
      <w:r w:rsidR="007740D5" w:rsidRPr="00EC461F">
        <w:t xml:space="preserve">she became </w:t>
      </w:r>
      <w:r w:rsidR="00AF159E" w:rsidRPr="00EC461F">
        <w:t>a mediator between the living and the gods</w:t>
      </w:r>
      <w:r w:rsidR="007740D5" w:rsidRPr="00EC461F">
        <w:t>. Her popularity as a healing goddess would eventually be embraced by Hellenistic Greek and Roman religion</w:t>
      </w:r>
      <w:r w:rsidR="00AF159E" w:rsidRPr="00EC461F">
        <w:t xml:space="preserve">. Supported by written and visual evidence, </w:t>
      </w:r>
      <w:r w:rsidR="00EC0922" w:rsidRPr="00EC461F">
        <w:t>Bommas’</w:t>
      </w:r>
      <w:r w:rsidR="00EC461F" w:rsidRPr="00EC461F">
        <w:t>s</w:t>
      </w:r>
      <w:r w:rsidR="00AF159E" w:rsidRPr="00EC461F">
        <w:t xml:space="preserve"> </w:t>
      </w:r>
      <w:r w:rsidR="00785C87" w:rsidRPr="00EC461F">
        <w:t>contribution</w:t>
      </w:r>
      <w:r w:rsidR="00AF159E" w:rsidRPr="00EC461F">
        <w:t xml:space="preserve"> trace</w:t>
      </w:r>
      <w:r w:rsidR="00EC0922" w:rsidRPr="00EC461F">
        <w:t>s</w:t>
      </w:r>
      <w:r w:rsidR="00AF159E" w:rsidRPr="00EC461F">
        <w:t xml:space="preserve"> the development of Isis</w:t>
      </w:r>
      <w:r w:rsidR="0078779F">
        <w:t>’s sphere</w:t>
      </w:r>
      <w:r w:rsidR="00AF159E" w:rsidRPr="00EC461F">
        <w:t xml:space="preserve"> from exclusivity during </w:t>
      </w:r>
      <w:r w:rsidR="007740D5" w:rsidRPr="00EC461F">
        <w:t xml:space="preserve">the </w:t>
      </w:r>
      <w:r w:rsidR="00EC461F" w:rsidRPr="00EC461F">
        <w:t>p</w:t>
      </w:r>
      <w:r w:rsidR="00AF159E" w:rsidRPr="00EC461F">
        <w:t xml:space="preserve">haraonic </w:t>
      </w:r>
      <w:r w:rsidR="007740D5" w:rsidRPr="00EC461F">
        <w:t xml:space="preserve">period </w:t>
      </w:r>
      <w:r w:rsidR="00AF159E" w:rsidRPr="00EC461F">
        <w:t xml:space="preserve">to </w:t>
      </w:r>
      <w:r w:rsidR="007740D5" w:rsidRPr="00EC461F">
        <w:t xml:space="preserve">popular </w:t>
      </w:r>
      <w:r w:rsidR="00AF159E" w:rsidRPr="00EC461F">
        <w:t xml:space="preserve">accessibility </w:t>
      </w:r>
      <w:r w:rsidR="007740D5" w:rsidRPr="00EC461F">
        <w:t>and</w:t>
      </w:r>
      <w:r w:rsidR="00EC461F" w:rsidRPr="00EC461F">
        <w:t xml:space="preserve"> </w:t>
      </w:r>
      <w:r w:rsidR="00AF159E" w:rsidRPr="00EC461F">
        <w:t>cult</w:t>
      </w:r>
      <w:r w:rsidR="007740D5" w:rsidRPr="00EC461F">
        <w:t xml:space="preserve"> worship both in Egypt and throughout</w:t>
      </w:r>
      <w:r w:rsidR="00AF159E" w:rsidRPr="00EC461F">
        <w:t xml:space="preserve"> the Mediterranea</w:t>
      </w:r>
      <w:r w:rsidR="007740D5" w:rsidRPr="00EC461F">
        <w:t>n, even into the Christian period.</w:t>
      </w:r>
    </w:p>
    <w:p w14:paraId="2F6D35CC" w14:textId="4DD22C94" w:rsidR="006E79D8" w:rsidRPr="00EC461F" w:rsidRDefault="00C91355" w:rsidP="00CB6BBB">
      <w:r w:rsidRPr="00EC461F">
        <w:tab/>
      </w:r>
      <w:r w:rsidR="004A2B7E" w:rsidRPr="00EC461F">
        <w:t>Martina Minas-Nerpel continues her groundbreaking work on the role of Ptolemaic queens</w:t>
      </w:r>
      <w:r w:rsidR="00200B01" w:rsidRPr="00EC461F">
        <w:t>, particular</w:t>
      </w:r>
      <w:r w:rsidR="00C373C6" w:rsidRPr="00EC461F">
        <w:t>ly in</w:t>
      </w:r>
      <w:r w:rsidR="00200B01" w:rsidRPr="00EC461F">
        <w:t xml:space="preserve"> connection </w:t>
      </w:r>
      <w:r w:rsidR="00C373C6" w:rsidRPr="00EC461F">
        <w:t>with</w:t>
      </w:r>
      <w:r w:rsidR="00200B01" w:rsidRPr="00EC461F">
        <w:t xml:space="preserve"> Isis and other Egyptian and Greek goddesses</w:t>
      </w:r>
      <w:r w:rsidR="004A2B7E" w:rsidRPr="00EC461F">
        <w:t xml:space="preserve">. When the Ptolemies </w:t>
      </w:r>
      <w:r w:rsidR="00E91BBD">
        <w:t>gained sovereignty over</w:t>
      </w:r>
      <w:r w:rsidR="004A2B7E" w:rsidRPr="00EC461F">
        <w:t xml:space="preserve"> Egypt (ca. 305 BC), they found themselves </w:t>
      </w:r>
      <w:r w:rsidR="003860C4">
        <w:t xml:space="preserve">ruling </w:t>
      </w:r>
      <w:r w:rsidR="004A2B7E" w:rsidRPr="00EC461F">
        <w:t xml:space="preserve">not only </w:t>
      </w:r>
      <w:r w:rsidR="003860C4">
        <w:t xml:space="preserve">as </w:t>
      </w:r>
      <w:r w:rsidR="004A2B7E" w:rsidRPr="00EC461F">
        <w:t xml:space="preserve">kings and queens of a Hellenic population but also </w:t>
      </w:r>
      <w:r w:rsidR="00D326D4">
        <w:t xml:space="preserve">as </w:t>
      </w:r>
      <w:r w:rsidR="004A2B7E" w:rsidRPr="00EC461F">
        <w:t xml:space="preserve">pharaohs </w:t>
      </w:r>
      <w:r w:rsidR="00482F1C" w:rsidRPr="00EC461F">
        <w:t xml:space="preserve">of </w:t>
      </w:r>
      <w:r w:rsidR="004A2B7E" w:rsidRPr="00EC461F">
        <w:t xml:space="preserve">the Egyptian people. They faced the immense task of constructing an identity for their empire and their rule, for which they </w:t>
      </w:r>
      <w:r w:rsidR="00482F1C" w:rsidRPr="00EC461F">
        <w:t xml:space="preserve">employed </w:t>
      </w:r>
      <w:r w:rsidR="004A2B7E" w:rsidRPr="00EC461F">
        <w:t xml:space="preserve">the ancient Egyptian past to create a </w:t>
      </w:r>
      <w:r w:rsidR="00482F1C" w:rsidRPr="00EC461F">
        <w:t xml:space="preserve">powerful </w:t>
      </w:r>
      <w:r w:rsidR="00441F29" w:rsidRPr="00EC461F">
        <w:t>dynastic ideology</w:t>
      </w:r>
      <w:r w:rsidR="004A2B7E" w:rsidRPr="00EC461F">
        <w:t>. Together with their advis</w:t>
      </w:r>
      <w:r w:rsidR="00EC461F" w:rsidRPr="00EC461F">
        <w:t>e</w:t>
      </w:r>
      <w:r w:rsidR="004A2B7E" w:rsidRPr="00EC461F">
        <w:t xml:space="preserve">rs, both Egyptian and Hellenic, they </w:t>
      </w:r>
      <w:r w:rsidR="00482F1C" w:rsidRPr="00EC461F">
        <w:t xml:space="preserve">created </w:t>
      </w:r>
      <w:r w:rsidR="004A2B7E" w:rsidRPr="00EC461F">
        <w:t xml:space="preserve">spaces in which theological and political concepts could be imaginatively </w:t>
      </w:r>
      <w:r w:rsidR="00482F1C" w:rsidRPr="00EC461F">
        <w:t>united</w:t>
      </w:r>
      <w:r w:rsidR="004A2B7E" w:rsidRPr="00EC461F">
        <w:t xml:space="preserve">. Minas-Nerpel focuses on the </w:t>
      </w:r>
      <w:r w:rsidR="00785C87" w:rsidRPr="00EC461F">
        <w:t>hybridizing</w:t>
      </w:r>
      <w:r w:rsidR="004A2B7E" w:rsidRPr="00EC461F">
        <w:t xml:space="preserve"> exchange that resulted in new semantic dimensions and </w:t>
      </w:r>
      <w:r w:rsidR="00C01A0F">
        <w:t>“</w:t>
      </w:r>
      <w:r w:rsidR="004A2B7E" w:rsidRPr="00EC461F">
        <w:t>cultural codes</w:t>
      </w:r>
      <w:r w:rsidR="00C01A0F">
        <w:t>”</w:t>
      </w:r>
      <w:r w:rsidR="004A2B7E" w:rsidRPr="00EC461F">
        <w:t xml:space="preserve"> in royal ideology. The dynamic interactions of the powerful Ptolemaic queens, especially Arsinoe II and Cleopatra VII, with Isis and other goddesses creat</w:t>
      </w:r>
      <w:r w:rsidR="00482F1C" w:rsidRPr="00EC461F">
        <w:t>ed</w:t>
      </w:r>
      <w:r w:rsidR="004A2B7E" w:rsidRPr="00EC461F">
        <w:t xml:space="preserve"> new modes of self-</w:t>
      </w:r>
      <w:r w:rsidR="00482F1C" w:rsidRPr="00EC461F">
        <w:t>representation</w:t>
      </w:r>
      <w:r w:rsidR="004A2B7E" w:rsidRPr="00EC461F">
        <w:t xml:space="preserve"> in both Egyptian and Hellenic textual and visual sources of the ruler cult. </w:t>
      </w:r>
    </w:p>
    <w:p w14:paraId="528CBB10" w14:textId="51038731" w:rsidR="00893712" w:rsidRPr="00EC461F" w:rsidRDefault="00C91355" w:rsidP="00CB6BBB">
      <w:r w:rsidRPr="00EC461F">
        <w:tab/>
      </w:r>
      <w:r w:rsidR="00785C87" w:rsidRPr="00EC461F">
        <w:t>Many of the syncreti</w:t>
      </w:r>
      <w:r w:rsidR="003E46FA" w:rsidRPr="00EC461F">
        <w:t>c</w:t>
      </w:r>
      <w:r w:rsidR="00785C87" w:rsidRPr="00EC461F">
        <w:t xml:space="preserve"> religious processes that began under the Ptolemies continued in Egypt under Roman </w:t>
      </w:r>
      <w:r w:rsidR="006E4D4F" w:rsidRPr="00EC461F">
        <w:t>rule</w:t>
      </w:r>
      <w:r w:rsidR="00785C87" w:rsidRPr="00EC461F">
        <w:t xml:space="preserve">. </w:t>
      </w:r>
      <w:r w:rsidR="00893712" w:rsidRPr="00EC461F">
        <w:t xml:space="preserve">Olaf Kaper </w:t>
      </w:r>
      <w:r w:rsidR="001959BC" w:rsidRPr="00EC461F">
        <w:t>analyzes</w:t>
      </w:r>
      <w:r w:rsidR="00893712" w:rsidRPr="00EC461F">
        <w:t xml:space="preserve"> the unique sequence of </w:t>
      </w:r>
      <w:r w:rsidR="00811543" w:rsidRPr="00EC461F">
        <w:t xml:space="preserve">Roman-era </w:t>
      </w:r>
      <w:r w:rsidR="00893712" w:rsidRPr="00EC461F">
        <w:t xml:space="preserve">wall paintings </w:t>
      </w:r>
      <w:r w:rsidR="00893712" w:rsidRPr="00EC461F">
        <w:lastRenderedPageBreak/>
        <w:t xml:space="preserve">discovered in a chapel in Egypt’s Dakhla Oasis. The </w:t>
      </w:r>
      <w:r w:rsidR="006E4D4F" w:rsidRPr="00EC461F">
        <w:t xml:space="preserve">second-century AD </w:t>
      </w:r>
      <w:r w:rsidR="00893712" w:rsidRPr="00EC461F">
        <w:t>temple of the god Tutu in Ismant el-Kharab (ancient Kellis) comprises a small and badly preserved stone temple and a much larger mud</w:t>
      </w:r>
      <w:r w:rsidR="00EC461F" w:rsidRPr="00EC461F">
        <w:t>-</w:t>
      </w:r>
      <w:r w:rsidR="00893712" w:rsidRPr="00EC461F">
        <w:t>brick chapel with wall paintings. This chapel was a mammisi</w:t>
      </w:r>
      <w:r w:rsidR="006E4D4F" w:rsidRPr="00EC461F">
        <w:t>,</w:t>
      </w:r>
      <w:r w:rsidR="00893712" w:rsidRPr="00EC461F">
        <w:t xml:space="preserve"> or birth</w:t>
      </w:r>
      <w:r w:rsidR="00EC461F" w:rsidRPr="00EC461F">
        <w:t xml:space="preserve"> </w:t>
      </w:r>
      <w:r w:rsidR="00893712" w:rsidRPr="00EC461F">
        <w:t>house, celebrating the periodic renewal of the god’s powers. Its wall paintings have been fully recovered and reconstructed</w:t>
      </w:r>
      <w:r w:rsidR="006E4D4F" w:rsidRPr="00EC461F">
        <w:t>,</w:t>
      </w:r>
      <w:r w:rsidR="00893712" w:rsidRPr="00EC461F">
        <w:t xml:space="preserve"> and they are unparalleled in Egyptian temple decoration. </w:t>
      </w:r>
      <w:r w:rsidR="001959BC" w:rsidRPr="00EC461F">
        <w:t>Kaper</w:t>
      </w:r>
      <w:r w:rsidR="006E4D4F" w:rsidRPr="00EC461F">
        <w:t xml:space="preserve"> here </w:t>
      </w:r>
      <w:r w:rsidR="001959BC" w:rsidRPr="00EC461F">
        <w:t xml:space="preserve">presents some of these images for the first time. </w:t>
      </w:r>
      <w:r w:rsidR="006E4D4F" w:rsidRPr="00EC461F">
        <w:t>H</w:t>
      </w:r>
      <w:r w:rsidR="00893712" w:rsidRPr="00EC461F">
        <w:t>alf of the shrine is decorated with panel paintings in Roman fashion</w:t>
      </w:r>
      <w:r w:rsidR="006E4D4F" w:rsidRPr="00EC461F">
        <w:t>,</w:t>
      </w:r>
      <w:r w:rsidR="00893712" w:rsidRPr="00EC461F">
        <w:t xml:space="preserve"> while the other half is in Egyptian style</w:t>
      </w:r>
      <w:r w:rsidR="006E4D4F" w:rsidRPr="00EC461F">
        <w:t>,</w:t>
      </w:r>
      <w:r w:rsidR="00893712" w:rsidRPr="00EC461F">
        <w:t xml:space="preserve"> with images of </w:t>
      </w:r>
      <w:r w:rsidR="00EC461F" w:rsidRPr="00EC461F">
        <w:t>more than four hundred</w:t>
      </w:r>
      <w:r w:rsidR="00893712" w:rsidRPr="00EC461F">
        <w:t xml:space="preserve"> deities and hieroglyphic inscriptions. The mammisi shows how the perceptions of ancient</w:t>
      </w:r>
      <w:r w:rsidR="001959BC" w:rsidRPr="00EC461F">
        <w:t xml:space="preserve"> Egyptian</w:t>
      </w:r>
      <w:r w:rsidR="00893712" w:rsidRPr="00EC461F">
        <w:t xml:space="preserve"> religion were changing under Roman domination and </w:t>
      </w:r>
      <w:r w:rsidR="006E4D4F" w:rsidRPr="00EC461F">
        <w:t>how</w:t>
      </w:r>
      <w:r w:rsidR="00893712" w:rsidRPr="00EC461F">
        <w:t xml:space="preserve"> </w:t>
      </w:r>
      <w:r w:rsidR="006E4D4F" w:rsidRPr="00EC461F">
        <w:t xml:space="preserve">practices might </w:t>
      </w:r>
      <w:r w:rsidR="00893712" w:rsidRPr="00EC461F">
        <w:t xml:space="preserve">have </w:t>
      </w:r>
      <w:r w:rsidR="00441F29" w:rsidRPr="00EC461F">
        <w:t xml:space="preserve">further </w:t>
      </w:r>
      <w:r w:rsidR="00893712" w:rsidRPr="00EC461F">
        <w:t>develop</w:t>
      </w:r>
      <w:r w:rsidR="006E4D4F" w:rsidRPr="00EC461F">
        <w:t>ed</w:t>
      </w:r>
      <w:r w:rsidR="00811543" w:rsidRPr="00EC461F">
        <w:t xml:space="preserve"> </w:t>
      </w:r>
      <w:r w:rsidR="00893712" w:rsidRPr="00EC461F">
        <w:t xml:space="preserve">if </w:t>
      </w:r>
      <w:r w:rsidR="006E4D4F" w:rsidRPr="00EC461F">
        <w:t xml:space="preserve">the site </w:t>
      </w:r>
      <w:r w:rsidR="00893712" w:rsidRPr="00EC461F">
        <w:t>had lived on.</w:t>
      </w:r>
    </w:p>
    <w:p w14:paraId="63F966F1" w14:textId="754570F4" w:rsidR="00075149" w:rsidRPr="00EC461F" w:rsidRDefault="00C91355" w:rsidP="00CB6BBB">
      <w:r w:rsidRPr="00EC461F">
        <w:tab/>
      </w:r>
      <w:r w:rsidR="00446E71" w:rsidRPr="00EC461F">
        <w:t xml:space="preserve">The </w:t>
      </w:r>
      <w:r w:rsidR="00200B01" w:rsidRPr="00EC461F">
        <w:t>Egypt</w:t>
      </w:r>
      <w:r w:rsidR="008A2FDE" w:rsidRPr="00EC461F">
        <w:t>ian imagery</w:t>
      </w:r>
      <w:r w:rsidR="00446E71" w:rsidRPr="00EC461F">
        <w:t xml:space="preserve"> that was</w:t>
      </w:r>
      <w:r w:rsidR="008A2FDE" w:rsidRPr="00EC461F">
        <w:t xml:space="preserve"> so popular</w:t>
      </w:r>
      <w:r w:rsidR="00446E71" w:rsidRPr="00EC461F">
        <w:t>ly used</w:t>
      </w:r>
      <w:r w:rsidR="008A2FDE" w:rsidRPr="00EC461F">
        <w:t xml:space="preserve"> </w:t>
      </w:r>
      <w:r w:rsidR="00200B01" w:rsidRPr="00EC461F">
        <w:t xml:space="preserve">throughout the </w:t>
      </w:r>
      <w:r w:rsidR="008A2FDE" w:rsidRPr="00EC461F">
        <w:t>Roman Empire,</w:t>
      </w:r>
      <w:r w:rsidR="00200B01" w:rsidRPr="00EC461F">
        <w:t xml:space="preserve"> </w:t>
      </w:r>
      <w:r w:rsidR="00446E71" w:rsidRPr="00EC461F">
        <w:t xml:space="preserve">including in the domestic sphere, </w:t>
      </w:r>
      <w:r w:rsidR="00200B01" w:rsidRPr="00EC461F">
        <w:t>present</w:t>
      </w:r>
      <w:r w:rsidR="008A2FDE" w:rsidRPr="00EC461F">
        <w:t>s</w:t>
      </w:r>
      <w:r w:rsidR="00200B01" w:rsidRPr="00EC461F">
        <w:t xml:space="preserve"> a rather different picture </w:t>
      </w:r>
      <w:r w:rsidR="008A2FDE" w:rsidRPr="00EC461F">
        <w:t>from</w:t>
      </w:r>
      <w:r w:rsidR="00200B01" w:rsidRPr="00EC461F">
        <w:t xml:space="preserve"> what is found in Egypt itself. </w:t>
      </w:r>
      <w:r w:rsidR="00F45718" w:rsidRPr="00EC461F">
        <w:t xml:space="preserve">George Spyropoulos </w:t>
      </w:r>
      <w:r w:rsidR="008A2FDE" w:rsidRPr="00EC461F">
        <w:t>considers</w:t>
      </w:r>
      <w:r w:rsidR="00F45718" w:rsidRPr="00EC461F">
        <w:t xml:space="preserve"> the </w:t>
      </w:r>
      <w:r w:rsidR="00EC461F" w:rsidRPr="00EC461F">
        <w:t>v</w:t>
      </w:r>
      <w:r w:rsidR="00F45718" w:rsidRPr="00EC461F">
        <w:t>illa of Herodes Atticus</w:t>
      </w:r>
      <w:r w:rsidR="00627EEF" w:rsidRPr="00EC461F">
        <w:t xml:space="preserve"> in </w:t>
      </w:r>
      <w:r w:rsidR="008A2FDE" w:rsidRPr="00EC461F">
        <w:t>Greece, a</w:t>
      </w:r>
      <w:r w:rsidR="00F45718" w:rsidRPr="00EC461F">
        <w:t xml:space="preserve"> </w:t>
      </w:r>
      <w:r w:rsidR="00075149" w:rsidRPr="00EC461F">
        <w:t xml:space="preserve">lavish </w:t>
      </w:r>
      <w:r w:rsidR="00EC461F" w:rsidRPr="00EC461F">
        <w:t>residence</w:t>
      </w:r>
      <w:r w:rsidR="00075149" w:rsidRPr="00EC461F">
        <w:t xml:space="preserve"> built in the </w:t>
      </w:r>
      <w:r w:rsidR="008A2FDE" w:rsidRPr="00EC461F">
        <w:t xml:space="preserve">Arcadian </w:t>
      </w:r>
      <w:r w:rsidR="00075149" w:rsidRPr="00EC461F">
        <w:t>countryside</w:t>
      </w:r>
      <w:r w:rsidR="008A2FDE" w:rsidRPr="00EC461F">
        <w:t>, which</w:t>
      </w:r>
      <w:r w:rsidR="00075149" w:rsidRPr="00EC461F">
        <w:t xml:space="preserve"> not only</w:t>
      </w:r>
      <w:r w:rsidR="008A2FDE" w:rsidRPr="00EC461F">
        <w:t xml:space="preserve"> </w:t>
      </w:r>
      <w:r w:rsidR="00441F29" w:rsidRPr="00EC461F">
        <w:t>created</w:t>
      </w:r>
      <w:r w:rsidR="00075149" w:rsidRPr="00EC461F">
        <w:t xml:space="preserve"> a</w:t>
      </w:r>
      <w:r w:rsidR="00441F29" w:rsidRPr="00EC461F">
        <w:t xml:space="preserve"> space</w:t>
      </w:r>
      <w:r w:rsidR="00075149" w:rsidRPr="00EC461F">
        <w:t xml:space="preserve"> of peace and solemnity but also </w:t>
      </w:r>
      <w:r w:rsidR="008A2FDE" w:rsidRPr="00EC461F">
        <w:t xml:space="preserve">displayed </w:t>
      </w:r>
      <w:r w:rsidR="00075149" w:rsidRPr="00EC461F">
        <w:t xml:space="preserve">a wide </w:t>
      </w:r>
      <w:r w:rsidR="00EC461F" w:rsidRPr="00EC461F">
        <w:t>array</w:t>
      </w:r>
      <w:r w:rsidR="00075149" w:rsidRPr="00EC461F">
        <w:t xml:space="preserve"> of cultural influences</w:t>
      </w:r>
      <w:r w:rsidR="008A2FDE" w:rsidRPr="00EC461F">
        <w:t xml:space="preserve"> in </w:t>
      </w:r>
      <w:r w:rsidR="00075149" w:rsidRPr="00EC461F">
        <w:t xml:space="preserve">a </w:t>
      </w:r>
      <w:r w:rsidR="00C01A0F">
        <w:t>“</w:t>
      </w:r>
      <w:r w:rsidR="00075149" w:rsidRPr="00EC461F">
        <w:t>New Style</w:t>
      </w:r>
      <w:r w:rsidR="00C01A0F">
        <w:t>”</w:t>
      </w:r>
      <w:r w:rsidR="00075149" w:rsidRPr="00EC461F">
        <w:t xml:space="preserve"> based on the appropriation of the conquered world, carefully organized into a cultural hierarchy. In the time of Augustus these eclectic inspirations</w:t>
      </w:r>
      <w:r w:rsidR="00EC461F" w:rsidRPr="00EC461F">
        <w:t>—</w:t>
      </w:r>
      <w:r w:rsidR="008A2FDE" w:rsidRPr="00EC461F">
        <w:t xml:space="preserve">from </w:t>
      </w:r>
      <w:r w:rsidR="00075149" w:rsidRPr="00EC461F">
        <w:t>Egypt, Classical and Hellenistic Greece, and Imperial Rome</w:t>
      </w:r>
      <w:r w:rsidR="00EC461F" w:rsidRPr="00EC461F">
        <w:t>—</w:t>
      </w:r>
      <w:r w:rsidR="00075149" w:rsidRPr="00EC461F">
        <w:t>penetrated the private sphere. Spyropoulos focuses on th</w:t>
      </w:r>
      <w:r w:rsidR="008A2FDE" w:rsidRPr="00EC461F">
        <w:t>is</w:t>
      </w:r>
      <w:r w:rsidR="00075149" w:rsidRPr="00EC461F">
        <w:t xml:space="preserve"> syncretic blending </w:t>
      </w:r>
      <w:r w:rsidR="008A2FDE" w:rsidRPr="00EC461F">
        <w:t>i</w:t>
      </w:r>
      <w:r w:rsidR="00075149" w:rsidRPr="00EC461F">
        <w:t xml:space="preserve">n the </w:t>
      </w:r>
      <w:r w:rsidR="00627EEF" w:rsidRPr="00EC461F">
        <w:t xml:space="preserve">second-century AD </w:t>
      </w:r>
      <w:r w:rsidR="008A2FDE" w:rsidRPr="00EC461F">
        <w:t>v</w:t>
      </w:r>
      <w:r w:rsidR="00075149" w:rsidRPr="00EC461F">
        <w:t xml:space="preserve">illa, where this cultural mixing of decorative Egyptianizing motifs alongside </w:t>
      </w:r>
      <w:r w:rsidR="0097341D" w:rsidRPr="00EC461F">
        <w:t>carefully selected traditional</w:t>
      </w:r>
      <w:r w:rsidR="00075149" w:rsidRPr="00EC461F">
        <w:t xml:space="preserve"> Greek </w:t>
      </w:r>
      <w:r w:rsidR="0097341D" w:rsidRPr="00EC461F">
        <w:t xml:space="preserve">and </w:t>
      </w:r>
      <w:r w:rsidR="00075149" w:rsidRPr="00EC461F">
        <w:t xml:space="preserve">Roman </w:t>
      </w:r>
      <w:r w:rsidR="00441F29" w:rsidRPr="00EC461F">
        <w:t>themes resulted in</w:t>
      </w:r>
      <w:r w:rsidR="00075149" w:rsidRPr="00EC461F">
        <w:t xml:space="preserve"> </w:t>
      </w:r>
      <w:r w:rsidR="0097341D" w:rsidRPr="00EC461F">
        <w:t xml:space="preserve">a </w:t>
      </w:r>
      <w:r w:rsidR="00075149" w:rsidRPr="00EC461F">
        <w:t>new</w:t>
      </w:r>
      <w:r w:rsidR="00441F29" w:rsidRPr="00EC461F">
        <w:t xml:space="preserve"> visual</w:t>
      </w:r>
      <w:r w:rsidR="00075149" w:rsidRPr="00EC461F">
        <w:t xml:space="preserve"> language</w:t>
      </w:r>
      <w:r w:rsidR="00441F29" w:rsidRPr="00EC461F">
        <w:t xml:space="preserve"> of empire</w:t>
      </w:r>
      <w:r w:rsidR="00075149" w:rsidRPr="00EC461F">
        <w:t xml:space="preserve">. Such a cultural mixing reflected and supported not only the status but also the persona in general of the homeowner. The </w:t>
      </w:r>
      <w:r w:rsidR="00EC461F" w:rsidRPr="00EC461F">
        <w:t>v</w:t>
      </w:r>
      <w:r w:rsidR="00075149" w:rsidRPr="00EC461F">
        <w:t xml:space="preserve">illa of Herodes Atticus provides an avenue for understanding representations of ancient Egypt and their meaning in </w:t>
      </w:r>
      <w:r w:rsidR="0097341D" w:rsidRPr="00EC461F">
        <w:t xml:space="preserve">the </w:t>
      </w:r>
      <w:r w:rsidR="00075149" w:rsidRPr="00EC461F">
        <w:t>domestic settings</w:t>
      </w:r>
      <w:r w:rsidR="0097341D" w:rsidRPr="00EC461F">
        <w:t xml:space="preserve"> of the Roman elite</w:t>
      </w:r>
      <w:r w:rsidR="00075149" w:rsidRPr="00EC461F">
        <w:t xml:space="preserve">. </w:t>
      </w:r>
    </w:p>
    <w:p w14:paraId="05E47681" w14:textId="632D3D23" w:rsidR="00DB0223" w:rsidRPr="00EC461F" w:rsidRDefault="00C91355" w:rsidP="00CB6BBB">
      <w:r w:rsidRPr="00EC461F">
        <w:lastRenderedPageBreak/>
        <w:tab/>
      </w:r>
      <w:r w:rsidR="00896B2B" w:rsidRPr="00EC461F">
        <w:t xml:space="preserve">Roman appropriation of Egyptian artworks and iconography, particularly the iconic form of the obelisk, has long intrigued scholars but has not been fully understood. </w:t>
      </w:r>
      <w:r w:rsidR="00785C87" w:rsidRPr="00EC461F">
        <w:t xml:space="preserve">Luigi Prada’s essay </w:t>
      </w:r>
      <w:r w:rsidR="00404F7B" w:rsidRPr="00EC461F">
        <w:t>sheds new light on</w:t>
      </w:r>
      <w:r w:rsidR="00785C87" w:rsidRPr="00EC461F">
        <w:t xml:space="preserve"> one of </w:t>
      </w:r>
      <w:r w:rsidR="0097341D" w:rsidRPr="00EC461F">
        <w:rPr>
          <w:iCs/>
        </w:rPr>
        <w:t>the exhibition’s</w:t>
      </w:r>
      <w:r w:rsidR="00785C87" w:rsidRPr="00EC461F">
        <w:t xml:space="preserve"> </w:t>
      </w:r>
      <w:r w:rsidR="0097341D" w:rsidRPr="00EC461F">
        <w:t>most remarkable</w:t>
      </w:r>
      <w:r w:rsidR="00785C87" w:rsidRPr="00EC461F">
        <w:t xml:space="preserve"> objects: a Romano-Egyptian obelisk from Benevento (ancient Beneventum), Italy, now in the collection of the Museo del Sannio</w:t>
      </w:r>
      <w:r w:rsidR="003E46FA" w:rsidRPr="00EC461F">
        <w:t>, and its twin</w:t>
      </w:r>
      <w:r w:rsidR="0097341D" w:rsidRPr="00EC461F">
        <w:t>, which stands in the city’s Piazza Papiniano</w:t>
      </w:r>
      <w:r w:rsidR="00785C87" w:rsidRPr="00EC461F">
        <w:t xml:space="preserve">. </w:t>
      </w:r>
      <w:r w:rsidR="0097341D" w:rsidRPr="00EC461F">
        <w:t>It is s</w:t>
      </w:r>
      <w:r w:rsidR="00785C87" w:rsidRPr="00EC461F">
        <w:t>triking</w:t>
      </w:r>
      <w:r w:rsidR="0097341D" w:rsidRPr="00EC461F">
        <w:t xml:space="preserve"> that the emperor or individuals honoring him </w:t>
      </w:r>
      <w:r w:rsidR="00785C87" w:rsidRPr="00EC461F">
        <w:t>commission</w:t>
      </w:r>
      <w:r w:rsidR="0097341D" w:rsidRPr="00EC461F">
        <w:t>ed</w:t>
      </w:r>
      <w:r w:rsidR="00785C87" w:rsidRPr="00EC461F">
        <w:t xml:space="preserve"> obelisks </w:t>
      </w:r>
      <w:r w:rsidR="0097341D" w:rsidRPr="00EC461F">
        <w:t>made of Egyptian granite</w:t>
      </w:r>
      <w:r w:rsidR="00CB6BBB">
        <w:t xml:space="preserve"> and</w:t>
      </w:r>
      <w:r w:rsidR="0097341D" w:rsidRPr="00EC461F">
        <w:t xml:space="preserve"> carved with hieroglyphic inscriptions and</w:t>
      </w:r>
      <w:r w:rsidR="00785C87" w:rsidRPr="00EC461F">
        <w:t xml:space="preserve"> </w:t>
      </w:r>
      <w:r w:rsidR="00CB6BBB">
        <w:t xml:space="preserve">had them </w:t>
      </w:r>
      <w:r w:rsidR="00785C87" w:rsidRPr="00EC461F">
        <w:t xml:space="preserve">erected in </w:t>
      </w:r>
      <w:r w:rsidR="0097341D" w:rsidRPr="00EC461F">
        <w:t>Italy.</w:t>
      </w:r>
      <w:r w:rsidR="00785C87" w:rsidRPr="00EC461F">
        <w:t xml:space="preserve"> </w:t>
      </w:r>
      <w:r w:rsidR="0097341D" w:rsidRPr="00EC461F">
        <w:t>H</w:t>
      </w:r>
      <w:r w:rsidR="00785C87" w:rsidRPr="00EC461F">
        <w:t xml:space="preserve">ieroglyphs were incomprehensible to virtually everybody in Rome, </w:t>
      </w:r>
      <w:r w:rsidR="0097341D" w:rsidRPr="00EC461F">
        <w:t>and even in Egypt</w:t>
      </w:r>
      <w:r w:rsidR="00785C87" w:rsidRPr="00EC461F">
        <w:t xml:space="preserve"> </w:t>
      </w:r>
      <w:r w:rsidR="0097341D" w:rsidRPr="00EC461F">
        <w:t>o</w:t>
      </w:r>
      <w:r w:rsidR="00785C87" w:rsidRPr="00EC461F">
        <w:t xml:space="preserve">nly the most learned among the intelligentsia—typically </w:t>
      </w:r>
      <w:r w:rsidR="0097341D" w:rsidRPr="00EC461F">
        <w:t>priests</w:t>
      </w:r>
      <w:r w:rsidR="00785C87" w:rsidRPr="00EC461F">
        <w:t xml:space="preserve">—would have been able to read and write the archaic language and script. </w:t>
      </w:r>
      <w:r w:rsidR="0097341D" w:rsidRPr="00EC461F">
        <w:t>W</w:t>
      </w:r>
      <w:r w:rsidR="00785C87" w:rsidRPr="00EC461F">
        <w:t>hy did the Romans choose such an esoteric writing system for some of their most splendid public monuments? Why record a message in a</w:t>
      </w:r>
      <w:r w:rsidR="0097341D" w:rsidRPr="00EC461F">
        <w:t>n inaccessible</w:t>
      </w:r>
      <w:r w:rsidR="00785C87" w:rsidRPr="00EC461F">
        <w:t xml:space="preserve"> script? Prada tackles these and related issues while also looking at the identity of those who composed and inscribed such </w:t>
      </w:r>
      <w:r w:rsidR="00C01A0F">
        <w:t>“</w:t>
      </w:r>
      <w:r w:rsidR="00785C87" w:rsidRPr="00EC461F">
        <w:t>silent</w:t>
      </w:r>
      <w:r w:rsidR="00C01A0F">
        <w:t>”</w:t>
      </w:r>
      <w:r w:rsidR="00785C87" w:rsidRPr="00EC461F">
        <w:t xml:space="preserve"> hieroglyphic inscriptions. </w:t>
      </w:r>
      <w:r w:rsidR="0097341D" w:rsidRPr="00EC461F">
        <w:t xml:space="preserve">His </w:t>
      </w:r>
      <w:r w:rsidR="003E46FA" w:rsidRPr="00EC461F">
        <w:t>study</w:t>
      </w:r>
      <w:r w:rsidR="0097341D" w:rsidRPr="00EC461F">
        <w:t xml:space="preserve"> includes</w:t>
      </w:r>
      <w:r w:rsidR="003E46FA" w:rsidRPr="00EC461F">
        <w:t xml:space="preserve"> a definitive </w:t>
      </w:r>
      <w:r w:rsidR="0097341D" w:rsidRPr="00EC461F">
        <w:t xml:space="preserve">critical </w:t>
      </w:r>
      <w:r w:rsidR="00EC461F">
        <w:t>re</w:t>
      </w:r>
      <w:r w:rsidR="003E46FA" w:rsidRPr="00EC461F">
        <w:t xml:space="preserve">edition of </w:t>
      </w:r>
      <w:r w:rsidR="0097341D" w:rsidRPr="00EC461F">
        <w:t>the inscriptions on both obelisks in Benevento</w:t>
      </w:r>
      <w:r w:rsidR="003E46FA" w:rsidRPr="00EC461F">
        <w:t xml:space="preserve">, updating all previous scholarship. </w:t>
      </w:r>
    </w:p>
    <w:sectPr w:rsidR="00DB0223" w:rsidRPr="00EC461F" w:rsidSect="008739E1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8A917" w14:textId="77777777" w:rsidR="00F67A5E" w:rsidRDefault="00F67A5E" w:rsidP="002142EC">
      <w:r>
        <w:separator/>
      </w:r>
    </w:p>
  </w:endnote>
  <w:endnote w:type="continuationSeparator" w:id="0">
    <w:p w14:paraId="398B64BE" w14:textId="77777777" w:rsidR="00F67A5E" w:rsidRDefault="00F67A5E" w:rsidP="002142EC">
      <w:r>
        <w:continuationSeparator/>
      </w:r>
    </w:p>
  </w:endnote>
  <w:endnote w:type="continuationNotice" w:id="1">
    <w:p w14:paraId="4CFE90D7" w14:textId="77777777" w:rsidR="00F67A5E" w:rsidRDefault="00F67A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11923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E41F97" w14:textId="06DBC1B9" w:rsidR="002142EC" w:rsidRDefault="002142EC" w:rsidP="00F87C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6C1811" w14:textId="77777777" w:rsidR="002142EC" w:rsidRDefault="002142EC" w:rsidP="002142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95729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DBD050" w14:textId="1EA660C3" w:rsidR="002142EC" w:rsidRDefault="002142EC" w:rsidP="00F87C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F0E05A" w14:textId="77777777" w:rsidR="002142EC" w:rsidRDefault="002142EC" w:rsidP="002142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023D3" w14:textId="77777777" w:rsidR="00F67A5E" w:rsidRDefault="00F67A5E" w:rsidP="002142EC">
      <w:r>
        <w:separator/>
      </w:r>
    </w:p>
  </w:footnote>
  <w:footnote w:type="continuationSeparator" w:id="0">
    <w:p w14:paraId="067F09D0" w14:textId="77777777" w:rsidR="00F67A5E" w:rsidRDefault="00F67A5E" w:rsidP="002142EC">
      <w:r>
        <w:continuationSeparator/>
      </w:r>
    </w:p>
  </w:footnote>
  <w:footnote w:type="continuationNotice" w:id="1">
    <w:p w14:paraId="163973CB" w14:textId="77777777" w:rsidR="00F67A5E" w:rsidRDefault="00F67A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CC04F" w14:textId="77777777" w:rsidR="005F0D27" w:rsidRDefault="005F0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0"/>
    <w:rsid w:val="00075149"/>
    <w:rsid w:val="00081220"/>
    <w:rsid w:val="000C71E7"/>
    <w:rsid w:val="000D1A5C"/>
    <w:rsid w:val="000F6843"/>
    <w:rsid w:val="00155946"/>
    <w:rsid w:val="00155FC8"/>
    <w:rsid w:val="001959BC"/>
    <w:rsid w:val="00200067"/>
    <w:rsid w:val="00200B01"/>
    <w:rsid w:val="002142EC"/>
    <w:rsid w:val="002D0E17"/>
    <w:rsid w:val="00324CFE"/>
    <w:rsid w:val="00350778"/>
    <w:rsid w:val="003860C4"/>
    <w:rsid w:val="00392A2B"/>
    <w:rsid w:val="003D4A08"/>
    <w:rsid w:val="003E46FA"/>
    <w:rsid w:val="00404F7B"/>
    <w:rsid w:val="00425445"/>
    <w:rsid w:val="00441F29"/>
    <w:rsid w:val="00446E71"/>
    <w:rsid w:val="00482F1C"/>
    <w:rsid w:val="004967F0"/>
    <w:rsid w:val="004A2B7E"/>
    <w:rsid w:val="004A2B8C"/>
    <w:rsid w:val="004C29CB"/>
    <w:rsid w:val="004E1420"/>
    <w:rsid w:val="004F5EF4"/>
    <w:rsid w:val="00524DA8"/>
    <w:rsid w:val="00537088"/>
    <w:rsid w:val="00566372"/>
    <w:rsid w:val="00582556"/>
    <w:rsid w:val="005F0D27"/>
    <w:rsid w:val="0062724B"/>
    <w:rsid w:val="00627EEF"/>
    <w:rsid w:val="00666456"/>
    <w:rsid w:val="006E4D4F"/>
    <w:rsid w:val="006E79D8"/>
    <w:rsid w:val="00702AB1"/>
    <w:rsid w:val="0071538D"/>
    <w:rsid w:val="0072074A"/>
    <w:rsid w:val="00735E71"/>
    <w:rsid w:val="00743438"/>
    <w:rsid w:val="007464A0"/>
    <w:rsid w:val="007740D5"/>
    <w:rsid w:val="00774E36"/>
    <w:rsid w:val="00785C87"/>
    <w:rsid w:val="0078779F"/>
    <w:rsid w:val="007A5828"/>
    <w:rsid w:val="007E4C72"/>
    <w:rsid w:val="00811543"/>
    <w:rsid w:val="00815EE0"/>
    <w:rsid w:val="00827818"/>
    <w:rsid w:val="00844B42"/>
    <w:rsid w:val="00845232"/>
    <w:rsid w:val="00862E55"/>
    <w:rsid w:val="008739E1"/>
    <w:rsid w:val="00880895"/>
    <w:rsid w:val="00893712"/>
    <w:rsid w:val="00896B2B"/>
    <w:rsid w:val="008A2FDE"/>
    <w:rsid w:val="008A37F6"/>
    <w:rsid w:val="008B14D9"/>
    <w:rsid w:val="008C1EEE"/>
    <w:rsid w:val="008C77EC"/>
    <w:rsid w:val="008E536C"/>
    <w:rsid w:val="0090081C"/>
    <w:rsid w:val="0091412C"/>
    <w:rsid w:val="009271A9"/>
    <w:rsid w:val="0095744B"/>
    <w:rsid w:val="00960314"/>
    <w:rsid w:val="0097341D"/>
    <w:rsid w:val="00980AD0"/>
    <w:rsid w:val="00A24E52"/>
    <w:rsid w:val="00A33292"/>
    <w:rsid w:val="00A36EA9"/>
    <w:rsid w:val="00AB4DAC"/>
    <w:rsid w:val="00AF159E"/>
    <w:rsid w:val="00B43257"/>
    <w:rsid w:val="00B76FFE"/>
    <w:rsid w:val="00B926AC"/>
    <w:rsid w:val="00BD1858"/>
    <w:rsid w:val="00C01A0F"/>
    <w:rsid w:val="00C11BA5"/>
    <w:rsid w:val="00C373C6"/>
    <w:rsid w:val="00C825B2"/>
    <w:rsid w:val="00C91355"/>
    <w:rsid w:val="00CB370A"/>
    <w:rsid w:val="00CB6BBB"/>
    <w:rsid w:val="00D2553C"/>
    <w:rsid w:val="00D326D4"/>
    <w:rsid w:val="00D334B2"/>
    <w:rsid w:val="00DB0223"/>
    <w:rsid w:val="00DC61F4"/>
    <w:rsid w:val="00E039D4"/>
    <w:rsid w:val="00E172A7"/>
    <w:rsid w:val="00E36E41"/>
    <w:rsid w:val="00E46C4B"/>
    <w:rsid w:val="00E530E9"/>
    <w:rsid w:val="00E757CC"/>
    <w:rsid w:val="00E91BBD"/>
    <w:rsid w:val="00EA7F12"/>
    <w:rsid w:val="00EC0922"/>
    <w:rsid w:val="00EC461F"/>
    <w:rsid w:val="00EF2DDE"/>
    <w:rsid w:val="00F136FA"/>
    <w:rsid w:val="00F33E1E"/>
    <w:rsid w:val="00F3772F"/>
    <w:rsid w:val="00F4157F"/>
    <w:rsid w:val="00F45718"/>
    <w:rsid w:val="00F67A5E"/>
    <w:rsid w:val="00F7466A"/>
    <w:rsid w:val="00FA71A9"/>
    <w:rsid w:val="00FC73E1"/>
    <w:rsid w:val="00FD1295"/>
    <w:rsid w:val="00FE173D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C451"/>
  <w14:defaultImageDpi w14:val="32767"/>
  <w15:chartTrackingRefBased/>
  <w15:docId w15:val="{4E757355-620D-2348-A5FE-A884E35B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F763D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4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2EC"/>
  </w:style>
  <w:style w:type="character" w:styleId="PageNumber">
    <w:name w:val="page number"/>
    <w:basedOn w:val="DefaultParagraphFont"/>
    <w:uiPriority w:val="99"/>
    <w:semiHidden/>
    <w:unhideWhenUsed/>
    <w:rsid w:val="002142EC"/>
  </w:style>
  <w:style w:type="character" w:styleId="CommentReference">
    <w:name w:val="annotation reference"/>
    <w:basedOn w:val="DefaultParagraphFont"/>
    <w:uiPriority w:val="99"/>
    <w:semiHidden/>
    <w:unhideWhenUsed/>
    <w:rsid w:val="008C7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7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7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E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E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76FFE"/>
  </w:style>
  <w:style w:type="paragraph" w:styleId="Header">
    <w:name w:val="header"/>
    <w:basedOn w:val="Normal"/>
    <w:link w:val="HeaderChar"/>
    <w:uiPriority w:val="99"/>
    <w:unhideWhenUsed/>
    <w:rsid w:val="005F0D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2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E. Cole</dc:creator>
  <cp:keywords/>
  <dc:description/>
  <cp:lastModifiedBy>Karen Jacobson</cp:lastModifiedBy>
  <cp:revision>3</cp:revision>
  <cp:lastPrinted>2021-07-12T08:41:00Z</cp:lastPrinted>
  <dcterms:created xsi:type="dcterms:W3CDTF">2021-07-14T23:15:00Z</dcterms:created>
  <dcterms:modified xsi:type="dcterms:W3CDTF">2021-07-15T00:16:00Z</dcterms:modified>
</cp:coreProperties>
</file>