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E6593" w14:textId="0733EDBD" w:rsidR="00CC4FF5" w:rsidRPr="00827CD4" w:rsidRDefault="00CC4FF5" w:rsidP="00B72341">
      <w:pPr>
        <w:rPr>
          <w:lang w:val="en-US"/>
        </w:rPr>
      </w:pPr>
      <w:r w:rsidRPr="00827CD4">
        <w:rPr>
          <w:lang w:val="en-US"/>
        </w:rPr>
        <w:t xml:space="preserve">The Kellis </w:t>
      </w:r>
      <w:r w:rsidR="00ED4B4F" w:rsidRPr="00ED4B4F">
        <w:rPr>
          <w:lang w:val="en-US"/>
        </w:rPr>
        <w:t>Mammisi</w:t>
      </w:r>
      <w:r w:rsidRPr="00827CD4">
        <w:rPr>
          <w:lang w:val="en-US"/>
        </w:rPr>
        <w:t xml:space="preserve">: </w:t>
      </w:r>
      <w:r w:rsidR="00827CD4">
        <w:rPr>
          <w:lang w:val="en-US"/>
        </w:rPr>
        <w:t>A P</w:t>
      </w:r>
      <w:r w:rsidRPr="00827CD4">
        <w:rPr>
          <w:lang w:val="en-US"/>
        </w:rPr>
        <w:t xml:space="preserve">ainted </w:t>
      </w:r>
      <w:r w:rsidR="00827CD4">
        <w:rPr>
          <w:lang w:val="en-US"/>
        </w:rPr>
        <w:t>C</w:t>
      </w:r>
      <w:r w:rsidRPr="00827CD4">
        <w:rPr>
          <w:lang w:val="en-US"/>
        </w:rPr>
        <w:t>ha</w:t>
      </w:r>
      <w:r w:rsidR="00EC2E21" w:rsidRPr="00827CD4">
        <w:rPr>
          <w:lang w:val="en-US"/>
        </w:rPr>
        <w:t xml:space="preserve">pel </w:t>
      </w:r>
      <w:r w:rsidR="009F2FCE" w:rsidRPr="00827CD4">
        <w:rPr>
          <w:lang w:val="en-US"/>
        </w:rPr>
        <w:t xml:space="preserve">from the </w:t>
      </w:r>
      <w:r w:rsidR="00827CD4">
        <w:rPr>
          <w:lang w:val="en-US"/>
        </w:rPr>
        <w:t>F</w:t>
      </w:r>
      <w:r w:rsidR="009F2FCE" w:rsidRPr="00827CD4">
        <w:rPr>
          <w:lang w:val="en-US"/>
        </w:rPr>
        <w:t xml:space="preserve">inal </w:t>
      </w:r>
      <w:r w:rsidR="00827CD4">
        <w:rPr>
          <w:lang w:val="en-US"/>
        </w:rPr>
        <w:t>C</w:t>
      </w:r>
      <w:r w:rsidR="009F2FCE" w:rsidRPr="00827CD4">
        <w:rPr>
          <w:lang w:val="en-US"/>
        </w:rPr>
        <w:t xml:space="preserve">enturies of </w:t>
      </w:r>
      <w:r w:rsidR="00F92EF7">
        <w:rPr>
          <w:lang w:val="en-US"/>
        </w:rPr>
        <w:t xml:space="preserve">the </w:t>
      </w:r>
      <w:r w:rsidR="00827CD4">
        <w:rPr>
          <w:lang w:val="en-US"/>
        </w:rPr>
        <w:t>A</w:t>
      </w:r>
      <w:r w:rsidR="009F2FCE" w:rsidRPr="00827CD4">
        <w:rPr>
          <w:lang w:val="en-US"/>
        </w:rPr>
        <w:t xml:space="preserve">ncient Egyptian </w:t>
      </w:r>
      <w:r w:rsidR="00827CD4">
        <w:rPr>
          <w:lang w:val="en-US"/>
        </w:rPr>
        <w:t>R</w:t>
      </w:r>
      <w:r w:rsidR="009F2FCE" w:rsidRPr="00827CD4">
        <w:rPr>
          <w:lang w:val="en-US"/>
        </w:rPr>
        <w:t>eligion</w:t>
      </w:r>
    </w:p>
    <w:p w14:paraId="158DB09D" w14:textId="69126404" w:rsidR="006C3E00" w:rsidRPr="00827CD4" w:rsidRDefault="00EC2E21" w:rsidP="00B72341">
      <w:pPr>
        <w:rPr>
          <w:lang w:val="en-US"/>
        </w:rPr>
      </w:pPr>
      <w:r w:rsidRPr="00827CD4">
        <w:rPr>
          <w:lang w:val="en-US"/>
        </w:rPr>
        <w:t>Olaf E. Kaper</w:t>
      </w:r>
    </w:p>
    <w:p w14:paraId="5E26F4CD" w14:textId="77777777" w:rsidR="00FB567C" w:rsidRPr="00827CD4" w:rsidRDefault="00FB567C" w:rsidP="00B72341">
      <w:pPr>
        <w:rPr>
          <w:lang w:val="en-US"/>
        </w:rPr>
      </w:pPr>
    </w:p>
    <w:p w14:paraId="4E0E9709" w14:textId="15A6C2E3" w:rsidR="008D374B" w:rsidRPr="00827CD4" w:rsidRDefault="006C3E00" w:rsidP="00B72341">
      <w:pPr>
        <w:rPr>
          <w:lang w:val="en-US"/>
        </w:rPr>
      </w:pPr>
      <w:r w:rsidRPr="00827CD4">
        <w:rPr>
          <w:lang w:val="en-US"/>
        </w:rPr>
        <w:t xml:space="preserve">The </w:t>
      </w:r>
      <w:r w:rsidR="00ED4B4F" w:rsidRPr="00ED4B4F">
        <w:rPr>
          <w:lang w:val="en-US"/>
        </w:rPr>
        <w:t>mammisi</w:t>
      </w:r>
      <w:r w:rsidRPr="00827CD4">
        <w:rPr>
          <w:lang w:val="en-US"/>
        </w:rPr>
        <w:t xml:space="preserve"> of Kellis is one of the major archaeological finds in Egypt from the past </w:t>
      </w:r>
      <w:r w:rsidR="00FB567C" w:rsidRPr="00827CD4">
        <w:rPr>
          <w:lang w:val="en-US"/>
        </w:rPr>
        <w:t>forty</w:t>
      </w:r>
      <w:r w:rsidRPr="00827CD4">
        <w:rPr>
          <w:lang w:val="en-US"/>
        </w:rPr>
        <w:t xml:space="preserve"> years</w:t>
      </w:r>
      <w:r w:rsidR="00BD435D" w:rsidRPr="00827CD4">
        <w:rPr>
          <w:lang w:val="en-US"/>
        </w:rPr>
        <w:t xml:space="preserve"> </w:t>
      </w:r>
      <w:r w:rsidR="00BD435D" w:rsidRPr="00AC78C9">
        <w:rPr>
          <w:highlight w:val="yellow"/>
          <w:lang w:val="en-US"/>
        </w:rPr>
        <w:t>(</w:t>
      </w:r>
      <w:r w:rsidR="00AC78C9" w:rsidRPr="00AC78C9">
        <w:rPr>
          <w:highlight w:val="yellow"/>
          <w:lang w:val="en-US"/>
        </w:rPr>
        <w:t>fig.</w:t>
      </w:r>
      <w:r w:rsidR="00774CC4">
        <w:rPr>
          <w:highlight w:val="yellow"/>
          <w:lang w:val="en-US"/>
        </w:rPr>
        <w:t xml:space="preserve"> </w:t>
      </w:r>
      <w:r w:rsidR="007A483E">
        <w:rPr>
          <w:highlight w:val="yellow"/>
          <w:lang w:val="en-US"/>
        </w:rPr>
        <w:t>5.1</w:t>
      </w:r>
      <w:r w:rsidR="00BD435D" w:rsidRPr="00AC78C9">
        <w:rPr>
          <w:highlight w:val="yellow"/>
          <w:lang w:val="en-US"/>
        </w:rPr>
        <w:t>)</w:t>
      </w:r>
      <w:r w:rsidRPr="00827CD4">
        <w:rPr>
          <w:lang w:val="en-US"/>
        </w:rPr>
        <w:t xml:space="preserve">. </w:t>
      </w:r>
      <w:r w:rsidR="00367234" w:rsidRPr="00827CD4">
        <w:rPr>
          <w:lang w:val="en-US"/>
        </w:rPr>
        <w:t>(</w:t>
      </w:r>
      <w:r w:rsidR="00367234">
        <w:rPr>
          <w:lang w:val="en-US"/>
        </w:rPr>
        <w:t xml:space="preserve">A mammisi is a </w:t>
      </w:r>
      <w:r w:rsidR="00367234" w:rsidRPr="00827CD4">
        <w:rPr>
          <w:lang w:val="en-US"/>
        </w:rPr>
        <w:t>birth house</w:t>
      </w:r>
      <w:r w:rsidR="00367234">
        <w:rPr>
          <w:lang w:val="en-US"/>
        </w:rPr>
        <w:t xml:space="preserve"> in the form of a subsidiary chapel belonging to a larger temple.</w:t>
      </w:r>
      <w:r w:rsidR="00367234" w:rsidRPr="00827CD4">
        <w:rPr>
          <w:lang w:val="en-US"/>
        </w:rPr>
        <w:t xml:space="preserve">) </w:t>
      </w:r>
      <w:r w:rsidRPr="00827CD4">
        <w:rPr>
          <w:lang w:val="en-US"/>
        </w:rPr>
        <w:t xml:space="preserve">Its significance lies in its wall paintings, which offer a radical new perspective on the </w:t>
      </w:r>
      <w:r w:rsidR="007D061A" w:rsidRPr="00827CD4">
        <w:rPr>
          <w:lang w:val="en-US"/>
        </w:rPr>
        <w:t>religion</w:t>
      </w:r>
      <w:r w:rsidRPr="00827CD4">
        <w:rPr>
          <w:lang w:val="en-US"/>
        </w:rPr>
        <w:t xml:space="preserve"> of Roman Egypt. It overturns the established notion that the temples in the south of Egypt followed traditional patterns and that true innovation of religious ideas took place </w:t>
      </w:r>
      <w:r w:rsidR="00F4240C">
        <w:rPr>
          <w:lang w:val="en-US"/>
        </w:rPr>
        <w:t>in major cult centers but not in</w:t>
      </w:r>
      <w:r w:rsidRPr="00827CD4">
        <w:rPr>
          <w:lang w:val="en-US"/>
        </w:rPr>
        <w:t xml:space="preserve"> the country</w:t>
      </w:r>
      <w:r w:rsidR="00FB567C" w:rsidRPr="00827CD4">
        <w:rPr>
          <w:lang w:val="en-US"/>
        </w:rPr>
        <w:t>side</w:t>
      </w:r>
      <w:r w:rsidRPr="00827CD4">
        <w:rPr>
          <w:lang w:val="en-US"/>
        </w:rPr>
        <w:t>. The present article presents some of the most important paintings in this shrine for the first time.</w:t>
      </w:r>
      <w:r w:rsidR="008D374B" w:rsidRPr="00827CD4">
        <w:rPr>
          <w:lang w:val="en-US"/>
        </w:rPr>
        <w:tab/>
      </w:r>
    </w:p>
    <w:p w14:paraId="2540A23A" w14:textId="28C91E48" w:rsidR="006C3E00" w:rsidRPr="00827CD4" w:rsidRDefault="000E07A3" w:rsidP="00B72341">
      <w:pPr>
        <w:rPr>
          <w:lang w:val="en-US"/>
        </w:rPr>
      </w:pPr>
      <w:r w:rsidRPr="009B0E02">
        <w:tab/>
      </w:r>
      <w:r w:rsidR="006C3E00" w:rsidRPr="00827CD4">
        <w:rPr>
          <w:lang w:val="en-US"/>
        </w:rPr>
        <w:t>Kellis is a village situated in the center of Dakhla Oasis, one of the large oases of the Western Desert, which was administered in combination with the neighboring Kharga Oasis.</w:t>
      </w:r>
      <w:r w:rsidR="006C3E00" w:rsidRPr="00827CD4">
        <w:rPr>
          <w:rStyle w:val="EndnoteReference"/>
          <w:rFonts w:cs="Times New Roman"/>
          <w:szCs w:val="24"/>
          <w:lang w:val="en-US"/>
        </w:rPr>
        <w:endnoteReference w:id="2"/>
      </w:r>
      <w:r w:rsidR="006C3E00" w:rsidRPr="00827CD4">
        <w:rPr>
          <w:lang w:val="en-US"/>
        </w:rPr>
        <w:t xml:space="preserve"> The village was abandoned before the end of the fourth century </w:t>
      </w:r>
      <w:r w:rsidR="00FB567C" w:rsidRPr="00827CD4">
        <w:rPr>
          <w:lang w:val="en-US"/>
        </w:rPr>
        <w:t>AD</w:t>
      </w:r>
      <w:r w:rsidR="00774CC4">
        <w:rPr>
          <w:lang w:val="en-US"/>
        </w:rPr>
        <w:t>,</w:t>
      </w:r>
      <w:r w:rsidR="006C3E00" w:rsidRPr="00827CD4">
        <w:rPr>
          <w:lang w:val="en-US"/>
        </w:rPr>
        <w:t xml:space="preserve"> and it has been under excavation since 1986 under the direction of Colin Hope. Its remains include a large temple enclosure, houses, workshops, three remarkably large villas with wall paintings,</w:t>
      </w:r>
      <w:r w:rsidR="006C3E00" w:rsidRPr="00827CD4">
        <w:rPr>
          <w:rStyle w:val="EndnoteReference"/>
          <w:rFonts w:cs="Times New Roman"/>
          <w:szCs w:val="24"/>
          <w:lang w:val="en-US"/>
        </w:rPr>
        <w:endnoteReference w:id="3"/>
      </w:r>
      <w:r w:rsidR="006C3E00" w:rsidRPr="00827CD4">
        <w:rPr>
          <w:lang w:val="en-US"/>
        </w:rPr>
        <w:t xml:space="preserve"> a bathhouse, three churches, several cemeteries, and possibly a </w:t>
      </w:r>
      <w:r w:rsidR="006C3E00" w:rsidRPr="00B72341">
        <w:rPr>
          <w:i/>
          <w:lang w:val="en-US"/>
        </w:rPr>
        <w:t>nymphaeum</w:t>
      </w:r>
      <w:r w:rsidR="006C3E00" w:rsidRPr="00827CD4">
        <w:rPr>
          <w:lang w:val="en-US"/>
        </w:rPr>
        <w:t>.</w:t>
      </w:r>
      <w:r w:rsidR="006C3E00" w:rsidRPr="00827CD4">
        <w:rPr>
          <w:rStyle w:val="EndnoteReference"/>
          <w:rFonts w:cs="Times New Roman"/>
          <w:szCs w:val="24"/>
          <w:lang w:val="en-US"/>
        </w:rPr>
        <w:endnoteReference w:id="4"/>
      </w:r>
    </w:p>
    <w:p w14:paraId="3E0B8084" w14:textId="120F04F2" w:rsidR="006C3E00" w:rsidRPr="00827CD4" w:rsidRDefault="000E07A3" w:rsidP="00B72341">
      <w:pPr>
        <w:rPr>
          <w:lang w:val="en-US"/>
        </w:rPr>
      </w:pPr>
      <w:r w:rsidRPr="009B0E02">
        <w:tab/>
      </w:r>
      <w:r w:rsidR="006C3E00" w:rsidRPr="00827CD4">
        <w:rPr>
          <w:lang w:val="en-US"/>
        </w:rPr>
        <w:t xml:space="preserve">The village temple was dedicated to a relatively new Egyptian god: Tutu, designated in Greek as Totoes or Tithoes. This god first emerged as a local deity of </w:t>
      </w:r>
      <w:r w:rsidR="00F92EF7">
        <w:rPr>
          <w:lang w:val="en-US"/>
        </w:rPr>
        <w:t xml:space="preserve">the town of </w:t>
      </w:r>
      <w:r w:rsidR="006C3E00" w:rsidRPr="00827CD4">
        <w:rPr>
          <w:lang w:val="en-US"/>
        </w:rPr>
        <w:t>Sais in the 26th Dynasty,</w:t>
      </w:r>
      <w:r w:rsidR="006C3E00" w:rsidRPr="00827CD4">
        <w:rPr>
          <w:rStyle w:val="EndnoteReference"/>
          <w:rFonts w:cs="Times New Roman"/>
          <w:szCs w:val="24"/>
          <w:lang w:val="en-US"/>
        </w:rPr>
        <w:endnoteReference w:id="5"/>
      </w:r>
      <w:r w:rsidR="006C3E00" w:rsidRPr="00827CD4">
        <w:rPr>
          <w:lang w:val="en-US"/>
        </w:rPr>
        <w:t xml:space="preserve"> after which his cult spread throughout the country.</w:t>
      </w:r>
      <w:r w:rsidR="00A47569" w:rsidRPr="00827CD4">
        <w:rPr>
          <w:lang w:val="en-US"/>
        </w:rPr>
        <w:t xml:space="preserve"> Despite the god</w:t>
      </w:r>
      <w:r w:rsidR="00B72341">
        <w:rPr>
          <w:lang w:val="en-US"/>
        </w:rPr>
        <w:t>’</w:t>
      </w:r>
      <w:r w:rsidR="00A47569" w:rsidRPr="00827CD4">
        <w:rPr>
          <w:lang w:val="en-US"/>
        </w:rPr>
        <w:t xml:space="preserve">s wide popularity, the Kellis temple is the only known </w:t>
      </w:r>
      <w:r w:rsidR="00B72341">
        <w:rPr>
          <w:lang w:val="en-US"/>
        </w:rPr>
        <w:t xml:space="preserve">example </w:t>
      </w:r>
      <w:r w:rsidR="00A47569" w:rsidRPr="00827CD4">
        <w:rPr>
          <w:lang w:val="en-US"/>
        </w:rPr>
        <w:t>that was dedicated primarily to Tutu.</w:t>
      </w:r>
      <w:r w:rsidR="006C3E00" w:rsidRPr="00827CD4">
        <w:rPr>
          <w:lang w:val="en-US"/>
        </w:rPr>
        <w:t xml:space="preserve"> </w:t>
      </w:r>
      <w:r w:rsidR="00C140B6" w:rsidRPr="00827CD4">
        <w:rPr>
          <w:lang w:val="en-US"/>
        </w:rPr>
        <w:t xml:space="preserve">It is worth speculating </w:t>
      </w:r>
      <w:r w:rsidR="00774CC4">
        <w:rPr>
          <w:lang w:val="en-US"/>
        </w:rPr>
        <w:t>as to</w:t>
      </w:r>
      <w:r w:rsidR="00C140B6" w:rsidRPr="00827CD4">
        <w:rPr>
          <w:lang w:val="en-US"/>
        </w:rPr>
        <w:t xml:space="preserve"> why Tutu did not feature more prominently in the </w:t>
      </w:r>
      <w:r w:rsidR="007D061A" w:rsidRPr="00827CD4">
        <w:rPr>
          <w:lang w:val="en-US"/>
        </w:rPr>
        <w:t xml:space="preserve">Egyptian </w:t>
      </w:r>
      <w:r w:rsidR="00C140B6" w:rsidRPr="00827CD4">
        <w:rPr>
          <w:lang w:val="en-US"/>
        </w:rPr>
        <w:t xml:space="preserve">religious landscape. It is not because </w:t>
      </w:r>
      <w:r w:rsidR="00E81ADE">
        <w:rPr>
          <w:lang w:val="en-US"/>
        </w:rPr>
        <w:t>he</w:t>
      </w:r>
      <w:r w:rsidR="006C3E00" w:rsidRPr="00827CD4">
        <w:rPr>
          <w:lang w:val="en-US"/>
        </w:rPr>
        <w:t xml:space="preserve"> was merely a</w:t>
      </w:r>
      <w:r w:rsidR="007D061A" w:rsidRPr="00827CD4">
        <w:rPr>
          <w:lang w:val="en-US"/>
        </w:rPr>
        <w:t xml:space="preserve"> </w:t>
      </w:r>
      <w:r w:rsidR="00E01A6B" w:rsidRPr="00827CD4">
        <w:rPr>
          <w:lang w:val="en-US"/>
        </w:rPr>
        <w:t xml:space="preserve">minor </w:t>
      </w:r>
      <w:r w:rsidR="006C3E00" w:rsidRPr="00827CD4">
        <w:rPr>
          <w:lang w:val="en-US"/>
        </w:rPr>
        <w:t xml:space="preserve">god, </w:t>
      </w:r>
      <w:r w:rsidR="00C140B6" w:rsidRPr="00827CD4">
        <w:rPr>
          <w:lang w:val="en-US"/>
        </w:rPr>
        <w:t xml:space="preserve">comparable to the god </w:t>
      </w:r>
      <w:r w:rsidR="006C3E00" w:rsidRPr="00827CD4">
        <w:rPr>
          <w:lang w:val="en-US"/>
        </w:rPr>
        <w:t xml:space="preserve">Bes, who did not receive a </w:t>
      </w:r>
      <w:r w:rsidR="006C3E00" w:rsidRPr="00827CD4">
        <w:rPr>
          <w:lang w:val="en-US"/>
        </w:rPr>
        <w:lastRenderedPageBreak/>
        <w:t>temple cult</w:t>
      </w:r>
      <w:r w:rsidR="00C140B6" w:rsidRPr="00827CD4">
        <w:rPr>
          <w:lang w:val="en-US"/>
        </w:rPr>
        <w:t xml:space="preserve"> anywhere in the country</w:t>
      </w:r>
      <w:r w:rsidR="004128B8" w:rsidRPr="00827CD4">
        <w:rPr>
          <w:lang w:val="en-US"/>
        </w:rPr>
        <w:t xml:space="preserve"> until late Roman times</w:t>
      </w:r>
      <w:r w:rsidR="006C3E00" w:rsidRPr="00827CD4">
        <w:rPr>
          <w:lang w:val="en-US"/>
        </w:rPr>
        <w:t>.</w:t>
      </w:r>
      <w:r w:rsidR="006C3E00" w:rsidRPr="00827CD4">
        <w:rPr>
          <w:rStyle w:val="EndnoteReference"/>
          <w:rFonts w:cs="Times New Roman"/>
          <w:szCs w:val="24"/>
          <w:lang w:val="en-US"/>
        </w:rPr>
        <w:endnoteReference w:id="6"/>
      </w:r>
      <w:r w:rsidR="006C3E00" w:rsidRPr="00827CD4">
        <w:rPr>
          <w:lang w:val="en-US"/>
        </w:rPr>
        <w:t xml:space="preserve"> Tutu</w:t>
      </w:r>
      <w:r w:rsidR="004128B8" w:rsidRPr="00827CD4">
        <w:rPr>
          <w:lang w:val="en-US"/>
        </w:rPr>
        <w:t xml:space="preserve">, </w:t>
      </w:r>
      <w:r w:rsidR="00774CC4">
        <w:rPr>
          <w:lang w:val="en-US"/>
        </w:rPr>
        <w:t>in contrast</w:t>
      </w:r>
      <w:r w:rsidR="004128B8" w:rsidRPr="00827CD4">
        <w:rPr>
          <w:lang w:val="en-US"/>
        </w:rPr>
        <w:t>,</w:t>
      </w:r>
      <w:r w:rsidR="006C3E00" w:rsidRPr="00827CD4">
        <w:rPr>
          <w:lang w:val="en-US"/>
        </w:rPr>
        <w:t xml:space="preserve"> </w:t>
      </w:r>
      <w:r w:rsidR="004128B8" w:rsidRPr="00827CD4">
        <w:rPr>
          <w:lang w:val="en-US"/>
        </w:rPr>
        <w:t xml:space="preserve">did receive a cult in </w:t>
      </w:r>
      <w:r w:rsidR="007B1A34" w:rsidRPr="00827CD4">
        <w:rPr>
          <w:lang w:val="en-US"/>
        </w:rPr>
        <w:t>many</w:t>
      </w:r>
      <w:r w:rsidR="004128B8" w:rsidRPr="00827CD4">
        <w:rPr>
          <w:lang w:val="en-US"/>
        </w:rPr>
        <w:t xml:space="preserve"> temples as an associated deity</w:t>
      </w:r>
      <w:r w:rsidR="007B1A34" w:rsidRPr="00827CD4">
        <w:rPr>
          <w:lang w:val="en-US"/>
        </w:rPr>
        <w:t>, even when he was not the primary focus of the cult</w:t>
      </w:r>
      <w:r w:rsidR="006C3E00" w:rsidRPr="00827CD4">
        <w:rPr>
          <w:lang w:val="en-US"/>
        </w:rPr>
        <w:t xml:space="preserve">. </w:t>
      </w:r>
      <w:r w:rsidR="007B1A34" w:rsidRPr="00827CD4">
        <w:rPr>
          <w:lang w:val="en-US"/>
        </w:rPr>
        <w:t>Examples are the temples at Esna and Koptos.</w:t>
      </w:r>
      <w:r w:rsidR="007B1A34" w:rsidRPr="00827CD4">
        <w:rPr>
          <w:rStyle w:val="EndnoteReference"/>
          <w:rFonts w:cs="Times New Roman"/>
          <w:szCs w:val="24"/>
          <w:lang w:val="en-US"/>
        </w:rPr>
        <w:endnoteReference w:id="7"/>
      </w:r>
      <w:r w:rsidR="007B1A34" w:rsidRPr="00827CD4">
        <w:rPr>
          <w:lang w:val="en-US"/>
        </w:rPr>
        <w:t xml:space="preserve"> </w:t>
      </w:r>
      <w:r w:rsidR="006C3E00" w:rsidRPr="00827CD4">
        <w:rPr>
          <w:lang w:val="en-US"/>
        </w:rPr>
        <w:t>There are several priests of Tutu known from inscriptions, also outside of Kellis,</w:t>
      </w:r>
      <w:r w:rsidR="006C3E00" w:rsidRPr="00827CD4">
        <w:rPr>
          <w:rStyle w:val="EndnoteReference"/>
          <w:rFonts w:cs="Times New Roman"/>
          <w:szCs w:val="24"/>
          <w:lang w:val="en-US"/>
        </w:rPr>
        <w:endnoteReference w:id="8"/>
      </w:r>
      <w:r w:rsidR="006C3E00" w:rsidRPr="00827CD4">
        <w:rPr>
          <w:lang w:val="en-US"/>
        </w:rPr>
        <w:t xml:space="preserve"> and the temple calendar at Esna records two festival dates for Tutu.</w:t>
      </w:r>
      <w:r w:rsidR="006C3E00" w:rsidRPr="00827CD4">
        <w:rPr>
          <w:rStyle w:val="EndnoteReference"/>
          <w:rFonts w:cs="Times New Roman"/>
          <w:szCs w:val="24"/>
          <w:lang w:val="en-US"/>
        </w:rPr>
        <w:endnoteReference w:id="9"/>
      </w:r>
      <w:r w:rsidR="006C3E00" w:rsidRPr="00827CD4">
        <w:rPr>
          <w:lang w:val="en-US"/>
        </w:rPr>
        <w:t xml:space="preserve"> </w:t>
      </w:r>
      <w:r w:rsidR="007B1A34" w:rsidRPr="00827CD4">
        <w:rPr>
          <w:lang w:val="en-US"/>
        </w:rPr>
        <w:t xml:space="preserve">Perhaps the reason why </w:t>
      </w:r>
      <w:r w:rsidR="007D061A" w:rsidRPr="00827CD4">
        <w:rPr>
          <w:lang w:val="en-US"/>
        </w:rPr>
        <w:t xml:space="preserve">the </w:t>
      </w:r>
      <w:r w:rsidR="007B1A34" w:rsidRPr="00827CD4">
        <w:rPr>
          <w:lang w:val="en-US"/>
        </w:rPr>
        <w:t xml:space="preserve">Kellis </w:t>
      </w:r>
      <w:r w:rsidR="007D061A" w:rsidRPr="00827CD4">
        <w:rPr>
          <w:lang w:val="en-US"/>
        </w:rPr>
        <w:t>temple remained exc</w:t>
      </w:r>
      <w:r w:rsidR="00EF3AD1" w:rsidRPr="00827CD4">
        <w:rPr>
          <w:lang w:val="en-US"/>
        </w:rPr>
        <w:t>eptional is to be sough</w:t>
      </w:r>
      <w:r w:rsidR="007D061A" w:rsidRPr="00827CD4">
        <w:rPr>
          <w:lang w:val="en-US"/>
        </w:rPr>
        <w:t>t in the date of its foundation</w:t>
      </w:r>
      <w:r w:rsidR="00EF3AD1" w:rsidRPr="00827CD4">
        <w:rPr>
          <w:lang w:val="en-US"/>
        </w:rPr>
        <w:t xml:space="preserve"> </w:t>
      </w:r>
      <w:r w:rsidR="007D061A" w:rsidRPr="00827CD4">
        <w:rPr>
          <w:lang w:val="en-US"/>
        </w:rPr>
        <w:t>in</w:t>
      </w:r>
      <w:r w:rsidR="00EF3AD1" w:rsidRPr="00827CD4">
        <w:rPr>
          <w:lang w:val="en-US"/>
        </w:rPr>
        <w:t xml:space="preserve"> the early Roman period, at which time very few new temples were </w:t>
      </w:r>
      <w:r w:rsidR="00FB567C" w:rsidRPr="00827CD4">
        <w:rPr>
          <w:lang w:val="en-US"/>
        </w:rPr>
        <w:t>built</w:t>
      </w:r>
      <w:r w:rsidR="0023136E" w:rsidRPr="00827CD4">
        <w:rPr>
          <w:lang w:val="en-US"/>
        </w:rPr>
        <w:t xml:space="preserve"> in Egypt.</w:t>
      </w:r>
      <w:r w:rsidR="0023136E" w:rsidRPr="00827CD4">
        <w:rPr>
          <w:rStyle w:val="EndnoteReference"/>
          <w:rFonts w:cs="Times New Roman"/>
          <w:szCs w:val="24"/>
          <w:lang w:val="en-US"/>
        </w:rPr>
        <w:endnoteReference w:id="10"/>
      </w:r>
      <w:r w:rsidR="00EF3AD1" w:rsidRPr="00827CD4">
        <w:rPr>
          <w:lang w:val="en-US"/>
        </w:rPr>
        <w:t xml:space="preserve"> </w:t>
      </w:r>
      <w:r w:rsidR="0023136E" w:rsidRPr="00827CD4">
        <w:rPr>
          <w:lang w:val="en-US"/>
        </w:rPr>
        <w:t xml:space="preserve">The increasing popularity of Tutu was elsewhere incorporated into existing cults, and there were not many occasions when a new temple could be dedicated to the god. </w:t>
      </w:r>
      <w:r w:rsidR="006C3E00" w:rsidRPr="00827CD4">
        <w:rPr>
          <w:lang w:val="en-US"/>
        </w:rPr>
        <w:t xml:space="preserve">There may well have been other temples dedicated primarily to </w:t>
      </w:r>
      <w:r w:rsidR="0023136E" w:rsidRPr="00827CD4">
        <w:rPr>
          <w:lang w:val="en-US"/>
        </w:rPr>
        <w:t>Tutu</w:t>
      </w:r>
      <w:r w:rsidR="006C3E00" w:rsidRPr="00827CD4">
        <w:rPr>
          <w:lang w:val="en-US"/>
        </w:rPr>
        <w:t>, but at this moment the Kellis temple is the only one known.</w:t>
      </w:r>
    </w:p>
    <w:p w14:paraId="77DB4734" w14:textId="775F026C" w:rsidR="006C3E00" w:rsidRPr="00827CD4" w:rsidRDefault="000E07A3" w:rsidP="00B72341">
      <w:pPr>
        <w:rPr>
          <w:lang w:val="en-US"/>
        </w:rPr>
      </w:pPr>
      <w:r w:rsidRPr="009B0E02">
        <w:tab/>
      </w:r>
      <w:r w:rsidR="006C3E00" w:rsidRPr="00827CD4">
        <w:rPr>
          <w:lang w:val="en-US"/>
        </w:rPr>
        <w:t>Several images of the god were found carved on stel</w:t>
      </w:r>
      <w:r w:rsidR="00E9721B">
        <w:rPr>
          <w:lang w:val="en-US"/>
        </w:rPr>
        <w:t>ae</w:t>
      </w:r>
      <w:r w:rsidR="006C3E00" w:rsidRPr="00827CD4">
        <w:rPr>
          <w:lang w:val="en-US"/>
        </w:rPr>
        <w:t xml:space="preserve"> and depicted on the walls of the Kellis temple. Tutu is </w:t>
      </w:r>
      <w:r w:rsidR="00E53A18" w:rsidRPr="00827CD4">
        <w:rPr>
          <w:lang w:val="en-US"/>
        </w:rPr>
        <w:t xml:space="preserve">often </w:t>
      </w:r>
      <w:r w:rsidR="006C3E00" w:rsidRPr="00827CD4">
        <w:rPr>
          <w:lang w:val="en-US"/>
        </w:rPr>
        <w:t>depicted</w:t>
      </w:r>
      <w:r w:rsidR="00E53A18" w:rsidRPr="00827CD4">
        <w:rPr>
          <w:lang w:val="en-US"/>
        </w:rPr>
        <w:t xml:space="preserve"> in Roman Egypt</w:t>
      </w:r>
      <w:r w:rsidR="006C3E00" w:rsidRPr="00827CD4">
        <w:rPr>
          <w:lang w:val="en-US"/>
        </w:rPr>
        <w:t xml:space="preserve"> as a striding sphinx with a cobra as a tail, but on the temple walls he usually appears in </w:t>
      </w:r>
      <w:r w:rsidR="006B0D15" w:rsidRPr="00827CD4">
        <w:rPr>
          <w:lang w:val="en-US"/>
        </w:rPr>
        <w:t xml:space="preserve">fully </w:t>
      </w:r>
      <w:r w:rsidR="006C3E00" w:rsidRPr="00827CD4">
        <w:rPr>
          <w:lang w:val="en-US"/>
        </w:rPr>
        <w:t>human form.</w:t>
      </w:r>
      <w:r w:rsidR="006C3E00" w:rsidRPr="00827CD4">
        <w:rPr>
          <w:rStyle w:val="EndnoteReference"/>
          <w:rFonts w:cs="Times New Roman"/>
          <w:szCs w:val="24"/>
          <w:lang w:val="en-US"/>
        </w:rPr>
        <w:endnoteReference w:id="11"/>
      </w:r>
      <w:r w:rsidR="006C3E00" w:rsidRPr="00827CD4">
        <w:rPr>
          <w:lang w:val="en-US"/>
        </w:rPr>
        <w:t xml:space="preserve"> The god was in control of fate, and that is why </w:t>
      </w:r>
      <w:r w:rsidR="00E53A18" w:rsidRPr="00827CD4">
        <w:rPr>
          <w:lang w:val="en-US"/>
        </w:rPr>
        <w:t>his image could be</w:t>
      </w:r>
      <w:r w:rsidR="006C3E00" w:rsidRPr="00827CD4">
        <w:rPr>
          <w:lang w:val="en-US"/>
        </w:rPr>
        <w:t xml:space="preserve"> combined with </w:t>
      </w:r>
      <w:r w:rsidR="00FB567C" w:rsidRPr="00827CD4">
        <w:rPr>
          <w:lang w:val="en-US"/>
        </w:rPr>
        <w:t>that</w:t>
      </w:r>
      <w:r w:rsidR="006C3E00" w:rsidRPr="00827CD4">
        <w:rPr>
          <w:lang w:val="en-US"/>
        </w:rPr>
        <w:t xml:space="preserve"> of the Greek goddess Nemesis.</w:t>
      </w:r>
      <w:r w:rsidR="007D061A" w:rsidRPr="00827CD4">
        <w:rPr>
          <w:rStyle w:val="EndnoteReference"/>
          <w:rFonts w:cs="Times New Roman"/>
          <w:szCs w:val="24"/>
          <w:lang w:val="en-US"/>
        </w:rPr>
        <w:endnoteReference w:id="12"/>
      </w:r>
      <w:r w:rsidR="006C3E00" w:rsidRPr="00827CD4">
        <w:rPr>
          <w:lang w:val="en-US"/>
        </w:rPr>
        <w:t xml:space="preserve"> He provided divine protection against illness and other misfortunes, which </w:t>
      </w:r>
      <w:r w:rsidR="00E53A18" w:rsidRPr="00827CD4">
        <w:rPr>
          <w:lang w:val="en-US"/>
        </w:rPr>
        <w:t xml:space="preserve">explains </w:t>
      </w:r>
      <w:r w:rsidR="00E81ADE">
        <w:rPr>
          <w:lang w:val="en-US"/>
        </w:rPr>
        <w:t>his</w:t>
      </w:r>
      <w:r w:rsidR="00E53A18" w:rsidRPr="00827CD4">
        <w:rPr>
          <w:lang w:val="en-US"/>
        </w:rPr>
        <w:t xml:space="preserve"> popular appeal</w:t>
      </w:r>
      <w:r w:rsidR="006C3E00" w:rsidRPr="00827CD4">
        <w:rPr>
          <w:lang w:val="en-US"/>
        </w:rPr>
        <w:t xml:space="preserve">. His consort in Kellis was called Tapsais. She is not known </w:t>
      </w:r>
      <w:r w:rsidR="006B0D15" w:rsidRPr="00827CD4">
        <w:rPr>
          <w:lang w:val="en-US"/>
        </w:rPr>
        <w:t>from</w:t>
      </w:r>
      <w:r w:rsidR="006C3E00" w:rsidRPr="00827CD4">
        <w:rPr>
          <w:lang w:val="en-US"/>
        </w:rPr>
        <w:t xml:space="preserve"> other sites, because she </w:t>
      </w:r>
      <w:r w:rsidR="00E53A18" w:rsidRPr="00827CD4">
        <w:rPr>
          <w:lang w:val="en-US"/>
        </w:rPr>
        <w:t xml:space="preserve">was probably </w:t>
      </w:r>
      <w:r w:rsidR="006C3E00" w:rsidRPr="00827CD4">
        <w:rPr>
          <w:lang w:val="en-US"/>
        </w:rPr>
        <w:t>a local woman who became a goddess after death.</w:t>
      </w:r>
      <w:r w:rsidR="006C3E00" w:rsidRPr="00827CD4">
        <w:rPr>
          <w:rStyle w:val="EndnoteReference"/>
          <w:rFonts w:cs="Times New Roman"/>
          <w:szCs w:val="24"/>
          <w:lang w:val="en-US"/>
        </w:rPr>
        <w:endnoteReference w:id="13"/>
      </w:r>
      <w:r w:rsidR="006C3E00" w:rsidRPr="00827CD4">
        <w:rPr>
          <w:lang w:val="en-US"/>
        </w:rPr>
        <w:t xml:space="preserve"> </w:t>
      </w:r>
      <w:r w:rsidR="00FB567C" w:rsidRPr="00827CD4">
        <w:rPr>
          <w:lang w:val="en-US"/>
        </w:rPr>
        <w:t>Like Tutu, s</w:t>
      </w:r>
      <w:r w:rsidR="006C3E00" w:rsidRPr="00827CD4">
        <w:rPr>
          <w:lang w:val="en-US"/>
        </w:rPr>
        <w:t xml:space="preserve">he was in control of fate, and </w:t>
      </w:r>
      <w:r w:rsidR="00E9721B" w:rsidRPr="00827CD4">
        <w:rPr>
          <w:lang w:val="en-US"/>
        </w:rPr>
        <w:t>like Isis</w:t>
      </w:r>
      <w:r w:rsidR="00E9721B">
        <w:rPr>
          <w:lang w:val="en-US"/>
        </w:rPr>
        <w:t xml:space="preserve">, </w:t>
      </w:r>
      <w:r w:rsidR="006C3E00" w:rsidRPr="00827CD4">
        <w:rPr>
          <w:lang w:val="en-US"/>
        </w:rPr>
        <w:t>she was depicted wearing a queen</w:t>
      </w:r>
      <w:r w:rsidR="00B72341">
        <w:rPr>
          <w:lang w:val="en-US"/>
        </w:rPr>
        <w:t>’</w:t>
      </w:r>
      <w:r w:rsidR="006C3E00" w:rsidRPr="00827CD4">
        <w:rPr>
          <w:lang w:val="en-US"/>
        </w:rPr>
        <w:t>s crown.</w:t>
      </w:r>
      <w:r w:rsidR="006C3E00" w:rsidRPr="00827CD4">
        <w:rPr>
          <w:rStyle w:val="EndnoteReference"/>
          <w:rFonts w:cs="Times New Roman"/>
          <w:szCs w:val="24"/>
          <w:lang w:val="en-US"/>
        </w:rPr>
        <w:endnoteReference w:id="14"/>
      </w:r>
    </w:p>
    <w:p w14:paraId="718E5D75" w14:textId="71DD12E1" w:rsidR="006C3E00" w:rsidRPr="00827CD4" w:rsidRDefault="000E07A3" w:rsidP="00B72341">
      <w:pPr>
        <w:rPr>
          <w:lang w:val="en-US"/>
        </w:rPr>
      </w:pPr>
      <w:r w:rsidRPr="009B0E02">
        <w:tab/>
      </w:r>
      <w:r w:rsidR="006C3E00" w:rsidRPr="00827CD4">
        <w:rPr>
          <w:lang w:val="en-US"/>
        </w:rPr>
        <w:t xml:space="preserve">The temple stopped functioning in the course of the fourth century </w:t>
      </w:r>
      <w:r w:rsidR="00B74532" w:rsidRPr="00827CD4">
        <w:rPr>
          <w:lang w:val="en-US"/>
        </w:rPr>
        <w:t>AD</w:t>
      </w:r>
      <w:r w:rsidR="006C3E00" w:rsidRPr="00827CD4">
        <w:rPr>
          <w:lang w:val="en-US"/>
        </w:rPr>
        <w:t>,</w:t>
      </w:r>
      <w:r w:rsidR="006C3E00" w:rsidRPr="00827CD4">
        <w:rPr>
          <w:rStyle w:val="EndnoteReference"/>
          <w:rFonts w:cs="Times New Roman"/>
          <w:szCs w:val="24"/>
          <w:lang w:val="en-US"/>
        </w:rPr>
        <w:endnoteReference w:id="15"/>
      </w:r>
      <w:r w:rsidR="006C3E00" w:rsidRPr="00827CD4">
        <w:rPr>
          <w:lang w:val="en-US"/>
        </w:rPr>
        <w:t xml:space="preserve"> and the building was robbed of its stone subsequently, </w:t>
      </w:r>
      <w:r w:rsidR="009F5EA7" w:rsidRPr="00827CD4">
        <w:rPr>
          <w:lang w:val="en-US"/>
        </w:rPr>
        <w:t xml:space="preserve">at an unknown date. </w:t>
      </w:r>
      <w:r w:rsidR="006C3E00" w:rsidRPr="00827CD4">
        <w:rPr>
          <w:lang w:val="en-US"/>
        </w:rPr>
        <w:t xml:space="preserve">Only a few blocks with relief decoration </w:t>
      </w:r>
      <w:r w:rsidR="007E679B" w:rsidRPr="00827CD4">
        <w:rPr>
          <w:lang w:val="en-US"/>
        </w:rPr>
        <w:t xml:space="preserve">remained </w:t>
      </w:r>
      <w:r w:rsidR="006C3E00" w:rsidRPr="00827CD4">
        <w:rPr>
          <w:lang w:val="en-US"/>
        </w:rPr>
        <w:t xml:space="preserve">in situ. From these it is clear that building works at the Kellis temple started in the first century </w:t>
      </w:r>
      <w:r w:rsidR="00B74532" w:rsidRPr="00827CD4">
        <w:rPr>
          <w:lang w:val="en-US"/>
        </w:rPr>
        <w:t>AD</w:t>
      </w:r>
      <w:r w:rsidR="006C3E00" w:rsidRPr="00827CD4">
        <w:rPr>
          <w:lang w:val="en-US"/>
        </w:rPr>
        <w:t xml:space="preserve">; the earliest inscriptional evidence dates to the time of </w:t>
      </w:r>
      <w:r w:rsidR="00E81ADE">
        <w:rPr>
          <w:lang w:val="en-US"/>
        </w:rPr>
        <w:t xml:space="preserve">Nero </w:t>
      </w:r>
      <w:r w:rsidR="00B74532" w:rsidRPr="00827CD4">
        <w:rPr>
          <w:lang w:val="en-US"/>
        </w:rPr>
        <w:t xml:space="preserve">(r. </w:t>
      </w:r>
      <w:r w:rsidR="00E9721B" w:rsidRPr="00827CD4">
        <w:rPr>
          <w:lang w:val="en-US"/>
        </w:rPr>
        <w:t xml:space="preserve">AD </w:t>
      </w:r>
      <w:r w:rsidR="00B74532" w:rsidRPr="00827CD4">
        <w:rPr>
          <w:lang w:val="en-US"/>
        </w:rPr>
        <w:t>54</w:t>
      </w:r>
      <w:r w:rsidR="002D28A3">
        <w:rPr>
          <w:lang w:val="en-US"/>
        </w:rPr>
        <w:t>–</w:t>
      </w:r>
      <w:r w:rsidR="00B74532" w:rsidRPr="00827CD4">
        <w:rPr>
          <w:lang w:val="en-US"/>
        </w:rPr>
        <w:t>68)</w:t>
      </w:r>
      <w:r w:rsidR="006C3E00" w:rsidRPr="00827CD4">
        <w:rPr>
          <w:lang w:val="en-US"/>
        </w:rPr>
        <w:t>.</w:t>
      </w:r>
      <w:r w:rsidR="006C3E00" w:rsidRPr="00827CD4">
        <w:rPr>
          <w:rStyle w:val="EndnoteReference"/>
          <w:rFonts w:cs="Times New Roman"/>
          <w:szCs w:val="24"/>
          <w:lang w:val="en-US"/>
        </w:rPr>
        <w:endnoteReference w:id="16"/>
      </w:r>
      <w:r w:rsidR="006C3E00" w:rsidRPr="00827CD4">
        <w:rPr>
          <w:lang w:val="en-US"/>
        </w:rPr>
        <w:t xml:space="preserve"> A fragmentary cartouche from the entrance gateway dates perhaps to Hadrian, and other </w:t>
      </w:r>
      <w:r w:rsidR="006C3E00" w:rsidRPr="00827CD4">
        <w:rPr>
          <w:lang w:val="en-US"/>
        </w:rPr>
        <w:lastRenderedPageBreak/>
        <w:t xml:space="preserve">work was carried out under Antoninus Pius </w:t>
      </w:r>
      <w:r w:rsidR="00B74532" w:rsidRPr="00827CD4">
        <w:rPr>
          <w:lang w:val="en-US"/>
        </w:rPr>
        <w:t xml:space="preserve">(r. </w:t>
      </w:r>
      <w:r w:rsidR="00E9721B" w:rsidRPr="00827CD4">
        <w:rPr>
          <w:lang w:val="en-US"/>
        </w:rPr>
        <w:t xml:space="preserve">AD </w:t>
      </w:r>
      <w:r w:rsidR="00B74532" w:rsidRPr="00827CD4">
        <w:rPr>
          <w:lang w:val="en-US"/>
        </w:rPr>
        <w:t>138</w:t>
      </w:r>
      <w:r w:rsidR="002D28A3">
        <w:rPr>
          <w:lang w:val="en-US"/>
        </w:rPr>
        <w:t>–</w:t>
      </w:r>
      <w:r w:rsidR="00B74532" w:rsidRPr="00827CD4">
        <w:rPr>
          <w:lang w:val="en-US"/>
        </w:rPr>
        <w:t xml:space="preserve">61) </w:t>
      </w:r>
      <w:r w:rsidR="006C3E00" w:rsidRPr="00827CD4">
        <w:rPr>
          <w:lang w:val="en-US"/>
        </w:rPr>
        <w:t>and Pertinax</w:t>
      </w:r>
      <w:r w:rsidR="00573991" w:rsidRPr="00827CD4">
        <w:rPr>
          <w:lang w:val="en-US"/>
        </w:rPr>
        <w:t xml:space="preserve"> (r. AD 193)</w:t>
      </w:r>
      <w:r w:rsidR="006C3E00" w:rsidRPr="00827CD4">
        <w:rPr>
          <w:lang w:val="en-US"/>
        </w:rPr>
        <w:t>.</w:t>
      </w:r>
      <w:r w:rsidR="006C3E00" w:rsidRPr="00827CD4">
        <w:rPr>
          <w:rStyle w:val="EndnoteReference"/>
          <w:rFonts w:cs="Times New Roman"/>
          <w:szCs w:val="24"/>
          <w:lang w:val="en-US"/>
        </w:rPr>
        <w:endnoteReference w:id="17"/>
      </w:r>
      <w:r w:rsidR="006C3E00" w:rsidRPr="00827CD4">
        <w:rPr>
          <w:lang w:val="en-US"/>
        </w:rPr>
        <w:t xml:space="preserve"> Finding Pertinax here is remarkable, because there are no other monuments in Egypt on which his name appears in hieroglyphs. Pertinax ruled for </w:t>
      </w:r>
      <w:r w:rsidR="00E9721B" w:rsidRPr="00827CD4">
        <w:rPr>
          <w:lang w:val="en-US"/>
        </w:rPr>
        <w:t xml:space="preserve">only </w:t>
      </w:r>
      <w:r w:rsidR="006C3E00" w:rsidRPr="00827CD4">
        <w:rPr>
          <w:lang w:val="en-US"/>
        </w:rPr>
        <w:t xml:space="preserve">three months in </w:t>
      </w:r>
      <w:r w:rsidR="00573991" w:rsidRPr="00827CD4">
        <w:rPr>
          <w:lang w:val="en-US"/>
        </w:rPr>
        <w:t xml:space="preserve">AD </w:t>
      </w:r>
      <w:r w:rsidR="006C3E00" w:rsidRPr="00827CD4">
        <w:rPr>
          <w:lang w:val="en-US"/>
        </w:rPr>
        <w:t xml:space="preserve">193, and the relief therefore shows how essential the role of the </w:t>
      </w:r>
      <w:r w:rsidR="00D86425" w:rsidRPr="00827CD4">
        <w:rPr>
          <w:lang w:val="en-US"/>
        </w:rPr>
        <w:t xml:space="preserve">pharaoh </w:t>
      </w:r>
      <w:r w:rsidR="006C3E00" w:rsidRPr="00827CD4">
        <w:rPr>
          <w:lang w:val="en-US"/>
        </w:rPr>
        <w:t>was</w:t>
      </w:r>
      <w:r w:rsidR="007E679B" w:rsidRPr="00827CD4">
        <w:rPr>
          <w:lang w:val="en-US"/>
        </w:rPr>
        <w:t xml:space="preserve"> still considered to be</w:t>
      </w:r>
      <w:r w:rsidR="006C3E00" w:rsidRPr="00827CD4">
        <w:rPr>
          <w:lang w:val="en-US"/>
        </w:rPr>
        <w:t xml:space="preserve"> </w:t>
      </w:r>
      <w:r w:rsidR="000522A7" w:rsidRPr="00827CD4">
        <w:rPr>
          <w:lang w:val="en-US"/>
        </w:rPr>
        <w:t>at this time</w:t>
      </w:r>
      <w:r w:rsidR="006C3E00" w:rsidRPr="00827CD4">
        <w:rPr>
          <w:lang w:val="en-US"/>
        </w:rPr>
        <w:t>. In this remote region at the border of the Roman Empire, knowing the identity of the emperor was still vital for the proper form of decoration on the walls of a village temple. Nevertheless, in Dakhla and Kharga the priests deviated from the practices in the Nile Valley, because they consistently reversed the order of the names of the emperor in the two cartouches.</w:t>
      </w:r>
      <w:r w:rsidR="006C3E00" w:rsidRPr="00827CD4">
        <w:rPr>
          <w:rStyle w:val="EndnoteReference"/>
          <w:rFonts w:cs="Times New Roman"/>
          <w:szCs w:val="24"/>
          <w:lang w:val="en-US"/>
        </w:rPr>
        <w:endnoteReference w:id="18"/>
      </w:r>
      <w:r w:rsidR="006C3E00" w:rsidRPr="00827CD4">
        <w:rPr>
          <w:lang w:val="en-US"/>
        </w:rPr>
        <w:t xml:space="preserve"> This remarkable show of independence may be explained by the local attachment to rules of decorum set under the last Ptolemies.</w:t>
      </w:r>
      <w:r w:rsidR="006C3E00" w:rsidRPr="00827CD4">
        <w:rPr>
          <w:rStyle w:val="EndnoteReference"/>
          <w:rFonts w:cs="Times New Roman"/>
          <w:szCs w:val="24"/>
          <w:lang w:val="en-US"/>
        </w:rPr>
        <w:endnoteReference w:id="19"/>
      </w:r>
      <w:r w:rsidR="00D86425" w:rsidRPr="00827CD4">
        <w:rPr>
          <w:lang w:val="en-US"/>
        </w:rPr>
        <w:t xml:space="preserve"> The temple decoration in the oases was thus provided with a reference to the Hellenistic kings, which must have enhanced the religious significance of the temple decoration with a historical dimension </w:t>
      </w:r>
      <w:r w:rsidR="000522A7" w:rsidRPr="00827CD4">
        <w:rPr>
          <w:lang w:val="en-US"/>
        </w:rPr>
        <w:t>in accordance with</w:t>
      </w:r>
      <w:r w:rsidR="00D86425" w:rsidRPr="00827CD4">
        <w:rPr>
          <w:lang w:val="en-US"/>
        </w:rPr>
        <w:t xml:space="preserve"> local tradition.</w:t>
      </w:r>
    </w:p>
    <w:p w14:paraId="1B082167" w14:textId="3BCED17D" w:rsidR="006C3E00" w:rsidRPr="00827CD4" w:rsidRDefault="000E07A3" w:rsidP="00B72341">
      <w:pPr>
        <w:rPr>
          <w:lang w:val="en-US"/>
        </w:rPr>
      </w:pPr>
      <w:r w:rsidRPr="009B0E02">
        <w:tab/>
      </w:r>
      <w:r w:rsidR="006C3E00" w:rsidRPr="00827CD4">
        <w:rPr>
          <w:lang w:val="en-US"/>
        </w:rPr>
        <w:t xml:space="preserve">The Kellis temple is one of the smallest temples known in Egypt, with only a few </w:t>
      </w:r>
      <w:r w:rsidR="000522A7" w:rsidRPr="00827CD4">
        <w:rPr>
          <w:lang w:val="en-US"/>
        </w:rPr>
        <w:t>tiny</w:t>
      </w:r>
      <w:r w:rsidR="006C3E00" w:rsidRPr="00827CD4">
        <w:rPr>
          <w:lang w:val="en-US"/>
        </w:rPr>
        <w:t xml:space="preserve"> rooms. Its small size may be explained by a scarcity of local funds in this village, which could not procure large amounts of stone from the local quarries</w:t>
      </w:r>
      <w:r w:rsidR="000522A7" w:rsidRPr="00827CD4">
        <w:rPr>
          <w:lang w:val="en-US"/>
        </w:rPr>
        <w:t xml:space="preserve"> and pay for the necessary stonemasons</w:t>
      </w:r>
      <w:r w:rsidR="006C3E00" w:rsidRPr="00827CD4">
        <w:rPr>
          <w:lang w:val="en-US"/>
        </w:rPr>
        <w:t xml:space="preserve">. The financing of local temple buildings in the villages of Roman Egypt probably did not involve the </w:t>
      </w:r>
      <w:r w:rsidR="008334FA" w:rsidRPr="00827CD4">
        <w:rPr>
          <w:lang w:val="en-US"/>
        </w:rPr>
        <w:t xml:space="preserve">central </w:t>
      </w:r>
      <w:r w:rsidR="006C3E00" w:rsidRPr="00827CD4">
        <w:rPr>
          <w:lang w:val="en-US"/>
        </w:rPr>
        <w:t>government at all, despite the practice of inscribing the name of the emperor on its walls.</w:t>
      </w:r>
      <w:r w:rsidR="006C3E00" w:rsidRPr="00827CD4">
        <w:rPr>
          <w:rStyle w:val="EndnoteReference"/>
          <w:rFonts w:cs="Times New Roman"/>
          <w:szCs w:val="24"/>
          <w:lang w:val="en-US"/>
        </w:rPr>
        <w:endnoteReference w:id="20"/>
      </w:r>
      <w:r w:rsidR="006C3E00" w:rsidRPr="00827CD4">
        <w:rPr>
          <w:lang w:val="en-US"/>
        </w:rPr>
        <w:t xml:space="preserve"> At the same time this small temple was set within a large enclosure that contained a wide array of buildings associated with the temple cult. Not much of this enclosure and its various subdivisions has been excavated, so its purpose remains subject to speculation.</w:t>
      </w:r>
    </w:p>
    <w:p w14:paraId="009D5A74" w14:textId="5F8156DD" w:rsidR="006C3E00" w:rsidRPr="00827CD4" w:rsidRDefault="000E07A3" w:rsidP="00B72341">
      <w:pPr>
        <w:rPr>
          <w:lang w:val="en-US"/>
        </w:rPr>
      </w:pPr>
      <w:r w:rsidRPr="009B0E02">
        <w:tab/>
      </w:r>
      <w:r w:rsidR="006C3E00" w:rsidRPr="00827CD4">
        <w:rPr>
          <w:lang w:val="en-US"/>
        </w:rPr>
        <w:t xml:space="preserve">Next to the stone temple, on a parallel axis, stands </w:t>
      </w:r>
      <w:r w:rsidR="00792D1D">
        <w:rPr>
          <w:lang w:val="en-US"/>
        </w:rPr>
        <w:t>the</w:t>
      </w:r>
      <w:r w:rsidR="006C3E00" w:rsidRPr="00827CD4">
        <w:rPr>
          <w:lang w:val="en-US"/>
        </w:rPr>
        <w:t xml:space="preserve"> </w:t>
      </w:r>
      <w:r w:rsidR="00ED4B4F" w:rsidRPr="00ED4B4F">
        <w:rPr>
          <w:lang w:val="en-US"/>
        </w:rPr>
        <w:t>mammisi</w:t>
      </w:r>
      <w:r w:rsidR="006C3E00" w:rsidRPr="00827CD4">
        <w:rPr>
          <w:lang w:val="en-US"/>
        </w:rPr>
        <w:t xml:space="preserve">. This </w:t>
      </w:r>
      <w:r w:rsidR="009F5EA7" w:rsidRPr="00827CD4">
        <w:rPr>
          <w:lang w:val="en-US"/>
        </w:rPr>
        <w:t xml:space="preserve">building </w:t>
      </w:r>
      <w:r w:rsidR="006C3E00" w:rsidRPr="00827CD4">
        <w:rPr>
          <w:lang w:val="en-US"/>
        </w:rPr>
        <w:t>consists of an inner room measuring 4.8 m</w:t>
      </w:r>
      <w:r w:rsidR="00954834" w:rsidRPr="00827CD4">
        <w:rPr>
          <w:lang w:val="en-US"/>
        </w:rPr>
        <w:t>eters</w:t>
      </w:r>
      <w:r w:rsidR="006C3E00" w:rsidRPr="00827CD4">
        <w:rPr>
          <w:lang w:val="en-US"/>
        </w:rPr>
        <w:t xml:space="preserve"> in width and 12 m</w:t>
      </w:r>
      <w:r w:rsidR="00954834" w:rsidRPr="00827CD4">
        <w:rPr>
          <w:lang w:val="en-US"/>
        </w:rPr>
        <w:t>eters</w:t>
      </w:r>
      <w:r w:rsidR="006C3E00" w:rsidRPr="00827CD4">
        <w:rPr>
          <w:lang w:val="en-US"/>
        </w:rPr>
        <w:t xml:space="preserve"> in depth, </w:t>
      </w:r>
      <w:r w:rsidR="00954834" w:rsidRPr="00827CD4">
        <w:rPr>
          <w:lang w:val="en-US"/>
        </w:rPr>
        <w:t>with</w:t>
      </w:r>
      <w:r w:rsidR="006C3E00" w:rsidRPr="00827CD4">
        <w:rPr>
          <w:lang w:val="en-US"/>
        </w:rPr>
        <w:t xml:space="preserve"> a slightly larger forecourt.</w:t>
      </w:r>
      <w:r w:rsidR="006C3E00" w:rsidRPr="00827CD4">
        <w:rPr>
          <w:rStyle w:val="EndnoteReference"/>
          <w:rFonts w:cs="Times New Roman"/>
          <w:szCs w:val="24"/>
          <w:lang w:val="en-US"/>
        </w:rPr>
        <w:endnoteReference w:id="21"/>
      </w:r>
      <w:r w:rsidR="006C3E00" w:rsidRPr="00827CD4">
        <w:rPr>
          <w:lang w:val="en-US"/>
        </w:rPr>
        <w:t xml:space="preserve"> This makes the </w:t>
      </w:r>
      <w:r w:rsidR="00ED4B4F" w:rsidRPr="00ED4B4F">
        <w:rPr>
          <w:lang w:val="en-US"/>
        </w:rPr>
        <w:t>mammisi</w:t>
      </w:r>
      <w:r w:rsidR="006C3E00" w:rsidRPr="00827CD4">
        <w:rPr>
          <w:lang w:val="en-US"/>
        </w:rPr>
        <w:t xml:space="preserve"> much larger than any room of the stone temple, but it was </w:t>
      </w:r>
      <w:r w:rsidR="006C3E00" w:rsidRPr="00827CD4">
        <w:rPr>
          <w:lang w:val="en-US"/>
        </w:rPr>
        <w:lastRenderedPageBreak/>
        <w:t>built of mud</w:t>
      </w:r>
      <w:r w:rsidR="00E9721B">
        <w:rPr>
          <w:lang w:val="en-US"/>
        </w:rPr>
        <w:t xml:space="preserve"> </w:t>
      </w:r>
      <w:r w:rsidR="006C3E00" w:rsidRPr="00827CD4">
        <w:rPr>
          <w:lang w:val="en-US"/>
        </w:rPr>
        <w:t>brick, which made it</w:t>
      </w:r>
      <w:r w:rsidR="00954834" w:rsidRPr="00827CD4">
        <w:rPr>
          <w:lang w:val="en-US"/>
        </w:rPr>
        <w:t>s construction</w:t>
      </w:r>
      <w:r w:rsidR="006C3E00" w:rsidRPr="00827CD4">
        <w:rPr>
          <w:lang w:val="en-US"/>
        </w:rPr>
        <w:t xml:space="preserve"> much less costly. In contrast to the stone temple, the </w:t>
      </w:r>
      <w:r w:rsidR="00ED4B4F" w:rsidRPr="00ED4B4F">
        <w:rPr>
          <w:lang w:val="en-US"/>
        </w:rPr>
        <w:t>mammisi</w:t>
      </w:r>
      <w:r w:rsidR="006C3E00" w:rsidRPr="00827CD4">
        <w:rPr>
          <w:lang w:val="en-US"/>
        </w:rPr>
        <w:t xml:space="preserve"> is preserved in its entirety, even though the vaulted roof collapsed in antiquity. The </w:t>
      </w:r>
      <w:r w:rsidR="008334FA" w:rsidRPr="00827CD4">
        <w:rPr>
          <w:lang w:val="en-US"/>
        </w:rPr>
        <w:t xml:space="preserve">inner room of the </w:t>
      </w:r>
      <w:r w:rsidR="006C3E00" w:rsidRPr="00827CD4">
        <w:rPr>
          <w:lang w:val="en-US"/>
        </w:rPr>
        <w:t xml:space="preserve">building was excavated between 1991 and 2004, and the fragments of its former painted plaster decoration </w:t>
      </w:r>
      <w:r w:rsidR="008B667E">
        <w:rPr>
          <w:lang w:val="en-US"/>
        </w:rPr>
        <w:t xml:space="preserve">were </w:t>
      </w:r>
      <w:r w:rsidR="006C3E00" w:rsidRPr="00827CD4">
        <w:rPr>
          <w:lang w:val="en-US"/>
        </w:rPr>
        <w:t xml:space="preserve">retrieved. </w:t>
      </w:r>
      <w:r w:rsidR="00686DE8">
        <w:rPr>
          <w:lang w:val="en-US"/>
        </w:rPr>
        <w:t>T</w:t>
      </w:r>
      <w:r w:rsidR="006C3E00" w:rsidRPr="00827CD4">
        <w:rPr>
          <w:lang w:val="en-US"/>
        </w:rPr>
        <w:t>he conservation and reconstruction</w:t>
      </w:r>
      <w:r w:rsidR="00486357">
        <w:rPr>
          <w:lang w:val="en-US"/>
        </w:rPr>
        <w:t xml:space="preserve"> of the paintings</w:t>
      </w:r>
      <w:r w:rsidR="004B60A1">
        <w:rPr>
          <w:lang w:val="en-US"/>
        </w:rPr>
        <w:t xml:space="preserve"> continued</w:t>
      </w:r>
      <w:r w:rsidR="00D468C8">
        <w:rPr>
          <w:lang w:val="en-US"/>
        </w:rPr>
        <w:t xml:space="preserve"> </w:t>
      </w:r>
      <w:r w:rsidR="00486357">
        <w:rPr>
          <w:lang w:val="en-US"/>
        </w:rPr>
        <w:t xml:space="preserve">between </w:t>
      </w:r>
      <w:r w:rsidR="00D468C8">
        <w:rPr>
          <w:lang w:val="en-US"/>
        </w:rPr>
        <w:t>2004</w:t>
      </w:r>
      <w:r w:rsidR="00486357">
        <w:rPr>
          <w:lang w:val="en-US"/>
        </w:rPr>
        <w:t xml:space="preserve"> and </w:t>
      </w:r>
      <w:r w:rsidR="00486357" w:rsidRPr="00486357">
        <w:rPr>
          <w:lang w:val="en-GB"/>
        </w:rPr>
        <w:t>2011</w:t>
      </w:r>
      <w:r w:rsidR="00486357">
        <w:rPr>
          <w:lang w:val="en-GB"/>
        </w:rPr>
        <w:t>, wh</w:t>
      </w:r>
      <w:r w:rsidR="00792D1D">
        <w:rPr>
          <w:lang w:val="en-GB"/>
        </w:rPr>
        <w:t>en</w:t>
      </w:r>
      <w:r w:rsidR="00486357">
        <w:rPr>
          <w:lang w:val="en-GB"/>
        </w:rPr>
        <w:t xml:space="preserve"> </w:t>
      </w:r>
      <w:r w:rsidR="00486357" w:rsidRPr="00486357">
        <w:rPr>
          <w:lang w:val="en-GB"/>
        </w:rPr>
        <w:t>work at the site</w:t>
      </w:r>
      <w:r w:rsidR="00486357">
        <w:rPr>
          <w:lang w:val="en-GB"/>
        </w:rPr>
        <w:t xml:space="preserve"> had to be interrupted</w:t>
      </w:r>
      <w:r w:rsidR="004B60A1">
        <w:rPr>
          <w:lang w:val="en-US"/>
        </w:rPr>
        <w:t>.</w:t>
      </w:r>
      <w:r w:rsidR="006C3E00" w:rsidRPr="00827CD4">
        <w:rPr>
          <w:rStyle w:val="EndnoteReference"/>
          <w:rFonts w:cs="Times New Roman"/>
          <w:szCs w:val="24"/>
          <w:lang w:val="en-US"/>
        </w:rPr>
        <w:endnoteReference w:id="22"/>
      </w:r>
      <w:r w:rsidR="006C3E00" w:rsidRPr="00827CD4">
        <w:rPr>
          <w:lang w:val="en-US"/>
        </w:rPr>
        <w:t xml:space="preserve"> </w:t>
      </w:r>
    </w:p>
    <w:p w14:paraId="4D6AEFE3" w14:textId="330B79DF" w:rsidR="00995893" w:rsidRPr="00827CD4" w:rsidRDefault="000E07A3" w:rsidP="00B72341">
      <w:pPr>
        <w:rPr>
          <w:lang w:val="en-US"/>
        </w:rPr>
      </w:pPr>
      <w:r w:rsidRPr="009B0E02">
        <w:tab/>
      </w:r>
      <w:r w:rsidR="006C3E00" w:rsidRPr="00827CD4">
        <w:rPr>
          <w:lang w:val="en-US"/>
        </w:rPr>
        <w:t xml:space="preserve">The walls of the </w:t>
      </w:r>
      <w:r w:rsidR="00ED4B4F" w:rsidRPr="00ED4B4F">
        <w:rPr>
          <w:lang w:val="en-US"/>
        </w:rPr>
        <w:t>mammisi</w:t>
      </w:r>
      <w:r w:rsidR="006C3E00" w:rsidRPr="00827CD4">
        <w:rPr>
          <w:lang w:val="en-US"/>
        </w:rPr>
        <w:t xml:space="preserve"> still stand up to 3.5 m</w:t>
      </w:r>
      <w:r w:rsidR="00954834" w:rsidRPr="00827CD4">
        <w:rPr>
          <w:lang w:val="en-US"/>
        </w:rPr>
        <w:t>eters</w:t>
      </w:r>
      <w:r w:rsidR="006C3E00" w:rsidRPr="00827CD4">
        <w:rPr>
          <w:lang w:val="en-US"/>
        </w:rPr>
        <w:t xml:space="preserve"> in its southwest corner </w:t>
      </w:r>
      <w:r w:rsidR="006C3E00" w:rsidRPr="00EE2EDB">
        <w:rPr>
          <w:highlight w:val="yellow"/>
          <w:lang w:val="en-US"/>
        </w:rPr>
        <w:t>(</w:t>
      </w:r>
      <w:r w:rsidR="00AC78C9" w:rsidRPr="00EE2EDB">
        <w:rPr>
          <w:highlight w:val="yellow"/>
          <w:lang w:val="en-US"/>
        </w:rPr>
        <w:t>f</w:t>
      </w:r>
      <w:r w:rsidR="006C3E00" w:rsidRPr="00EE2EDB">
        <w:rPr>
          <w:highlight w:val="yellow"/>
          <w:lang w:val="en-US"/>
        </w:rPr>
        <w:t>ig</w:t>
      </w:r>
      <w:r w:rsidR="00EE2EDB" w:rsidRPr="00EE2EDB">
        <w:rPr>
          <w:highlight w:val="yellow"/>
          <w:lang w:val="en-US"/>
        </w:rPr>
        <w:t>.</w:t>
      </w:r>
      <w:r w:rsidR="006C3E00" w:rsidRPr="00EE2EDB">
        <w:rPr>
          <w:highlight w:val="yellow"/>
          <w:lang w:val="en-US"/>
        </w:rPr>
        <w:t xml:space="preserve"> </w:t>
      </w:r>
      <w:r w:rsidR="007A483E">
        <w:rPr>
          <w:highlight w:val="yellow"/>
          <w:lang w:val="en-US"/>
        </w:rPr>
        <w:t>5.2</w:t>
      </w:r>
      <w:r w:rsidR="006C3E00" w:rsidRPr="00EE2EDB">
        <w:rPr>
          <w:highlight w:val="yellow"/>
          <w:lang w:val="en-US"/>
        </w:rPr>
        <w:t>)</w:t>
      </w:r>
      <w:r w:rsidR="006C3E00" w:rsidRPr="00827CD4">
        <w:rPr>
          <w:lang w:val="en-US"/>
        </w:rPr>
        <w:t>. Its decoration consists of paintings on a thin layer of plaster</w:t>
      </w:r>
      <w:r w:rsidR="00995893" w:rsidRPr="00827CD4">
        <w:rPr>
          <w:lang w:val="en-US"/>
        </w:rPr>
        <w:t>, which is still attached to the walls</w:t>
      </w:r>
      <w:r w:rsidR="00954834" w:rsidRPr="00827CD4">
        <w:rPr>
          <w:lang w:val="en-US"/>
        </w:rPr>
        <w:t>.</w:t>
      </w:r>
      <w:r w:rsidR="00995893" w:rsidRPr="00827CD4">
        <w:rPr>
          <w:lang w:val="en-US"/>
        </w:rPr>
        <w:t xml:space="preserve"> </w:t>
      </w:r>
      <w:r w:rsidR="00954834" w:rsidRPr="00827CD4">
        <w:rPr>
          <w:lang w:val="en-US"/>
        </w:rPr>
        <w:t>T</w:t>
      </w:r>
      <w:r w:rsidR="00995893" w:rsidRPr="00827CD4">
        <w:rPr>
          <w:lang w:val="en-US"/>
        </w:rPr>
        <w:t xml:space="preserve">he entire vaulted ceiling, which contains most of the figurative decoration, </w:t>
      </w:r>
      <w:r w:rsidR="006B0D15" w:rsidRPr="00827CD4">
        <w:rPr>
          <w:lang w:val="en-US"/>
        </w:rPr>
        <w:t>had become fragmented</w:t>
      </w:r>
      <w:r w:rsidR="00E9721B">
        <w:rPr>
          <w:lang w:val="en-US"/>
        </w:rPr>
        <w:t>,</w:t>
      </w:r>
      <w:r w:rsidR="006B0D15" w:rsidRPr="00827CD4">
        <w:rPr>
          <w:lang w:val="en-US"/>
        </w:rPr>
        <w:t xml:space="preserve"> and only small</w:t>
      </w:r>
      <w:r w:rsidR="00995893" w:rsidRPr="00827CD4">
        <w:rPr>
          <w:lang w:val="en-US"/>
        </w:rPr>
        <w:t xml:space="preserve"> part</w:t>
      </w:r>
      <w:r w:rsidR="006B0D15" w:rsidRPr="00827CD4">
        <w:rPr>
          <w:lang w:val="en-US"/>
        </w:rPr>
        <w:t>s</w:t>
      </w:r>
      <w:r w:rsidR="00995893" w:rsidRPr="00827CD4">
        <w:rPr>
          <w:lang w:val="en-US"/>
        </w:rPr>
        <w:t xml:space="preserve"> remained attached to clusters of bricks </w:t>
      </w:r>
      <w:r w:rsidR="008B667E">
        <w:rPr>
          <w:lang w:val="en-US"/>
        </w:rPr>
        <w:t>from</w:t>
      </w:r>
      <w:r w:rsidR="00995893" w:rsidRPr="00827CD4">
        <w:rPr>
          <w:lang w:val="en-US"/>
        </w:rPr>
        <w:t xml:space="preserve"> the collapsed vault</w:t>
      </w:r>
      <w:r w:rsidR="006C3E00" w:rsidRPr="00827CD4">
        <w:rPr>
          <w:lang w:val="en-US"/>
        </w:rPr>
        <w:t>.</w:t>
      </w:r>
      <w:r w:rsidR="00995893" w:rsidRPr="00827CD4">
        <w:rPr>
          <w:lang w:val="en-US"/>
        </w:rPr>
        <w:t xml:space="preserve"> In order to conserve and reconstruct the decoration, a system was devised by </w:t>
      </w:r>
      <w:r w:rsidR="00E9721B">
        <w:rPr>
          <w:lang w:val="en-US"/>
        </w:rPr>
        <w:t xml:space="preserve">the </w:t>
      </w:r>
      <w:r w:rsidR="007461D3" w:rsidRPr="00827CD4">
        <w:rPr>
          <w:lang w:val="en-US"/>
        </w:rPr>
        <w:t xml:space="preserve">conservators </w:t>
      </w:r>
      <w:r w:rsidR="00995893" w:rsidRPr="00827CD4">
        <w:rPr>
          <w:lang w:val="en-US"/>
        </w:rPr>
        <w:t xml:space="preserve">Michelle Berry and Laurence Blondaux by which the thin layer of plaster could be removed from its brick support and united with the loose fragments that </w:t>
      </w:r>
      <w:r w:rsidR="007461D3" w:rsidRPr="00827CD4">
        <w:rPr>
          <w:lang w:val="en-US"/>
        </w:rPr>
        <w:t>had been found</w:t>
      </w:r>
      <w:r w:rsidR="00995893" w:rsidRPr="00827CD4">
        <w:rPr>
          <w:lang w:val="en-US"/>
        </w:rPr>
        <w:t xml:space="preserve"> in its surroundings.</w:t>
      </w:r>
      <w:r w:rsidR="00995893" w:rsidRPr="00827CD4">
        <w:rPr>
          <w:rStyle w:val="EndnoteReference"/>
          <w:rFonts w:cs="Times New Roman"/>
          <w:szCs w:val="24"/>
          <w:lang w:val="en-US"/>
        </w:rPr>
        <w:endnoteReference w:id="23"/>
      </w:r>
      <w:r w:rsidR="00995893" w:rsidRPr="00827CD4">
        <w:rPr>
          <w:lang w:val="en-US"/>
        </w:rPr>
        <w:t xml:space="preserve"> Reconstructed scenes </w:t>
      </w:r>
      <w:r w:rsidR="007461D3" w:rsidRPr="00827CD4">
        <w:rPr>
          <w:lang w:val="en-US"/>
        </w:rPr>
        <w:t>could be</w:t>
      </w:r>
      <w:r w:rsidR="00995893" w:rsidRPr="00827CD4">
        <w:rPr>
          <w:lang w:val="en-US"/>
        </w:rPr>
        <w:t xml:space="preserve"> glued together and fixed on a wooden support, which allows handling and </w:t>
      </w:r>
      <w:r w:rsidR="00F440FC" w:rsidRPr="00827CD4">
        <w:rPr>
          <w:lang w:val="en-US"/>
        </w:rPr>
        <w:t>will</w:t>
      </w:r>
      <w:r w:rsidR="00995893" w:rsidRPr="00827CD4">
        <w:rPr>
          <w:lang w:val="en-US"/>
        </w:rPr>
        <w:t xml:space="preserve"> ultimately make it possible to display the scenes.</w:t>
      </w:r>
      <w:r w:rsidR="00995893" w:rsidRPr="00827CD4">
        <w:rPr>
          <w:rStyle w:val="EndnoteReference"/>
          <w:rFonts w:cs="Times New Roman"/>
          <w:szCs w:val="24"/>
          <w:lang w:val="en-US"/>
        </w:rPr>
        <w:endnoteReference w:id="24"/>
      </w:r>
      <w:r w:rsidR="00995893" w:rsidRPr="00827CD4">
        <w:rPr>
          <w:lang w:val="en-US"/>
        </w:rPr>
        <w:t xml:space="preserve"> The </w:t>
      </w:r>
      <w:r w:rsidR="00E9721B">
        <w:rPr>
          <w:lang w:val="en-US"/>
        </w:rPr>
        <w:t>illustration</w:t>
      </w:r>
      <w:r w:rsidR="00995893" w:rsidRPr="00827CD4">
        <w:rPr>
          <w:lang w:val="en-US"/>
        </w:rPr>
        <w:t xml:space="preserve">s </w:t>
      </w:r>
      <w:r w:rsidR="00954834" w:rsidRPr="00827CD4">
        <w:rPr>
          <w:lang w:val="en-US"/>
        </w:rPr>
        <w:t>in</w:t>
      </w:r>
      <w:r w:rsidR="00995893" w:rsidRPr="00827CD4">
        <w:rPr>
          <w:lang w:val="en-US"/>
        </w:rPr>
        <w:t xml:space="preserve"> the present </w:t>
      </w:r>
      <w:r w:rsidR="00954834" w:rsidRPr="00827CD4">
        <w:rPr>
          <w:lang w:val="en-US"/>
        </w:rPr>
        <w:t>essay</w:t>
      </w:r>
      <w:r w:rsidR="00995893" w:rsidRPr="00827CD4">
        <w:rPr>
          <w:lang w:val="en-US"/>
        </w:rPr>
        <w:t xml:space="preserve"> </w:t>
      </w:r>
      <w:r w:rsidR="007B6CD9">
        <w:rPr>
          <w:lang w:val="en-US"/>
        </w:rPr>
        <w:t>show</w:t>
      </w:r>
      <w:r w:rsidR="00995893" w:rsidRPr="00827CD4">
        <w:rPr>
          <w:lang w:val="en-US"/>
        </w:rPr>
        <w:t xml:space="preserve"> some of the results to date.</w:t>
      </w:r>
    </w:p>
    <w:p w14:paraId="48E8C2A1" w14:textId="5A07EF9C" w:rsidR="006C3E00" w:rsidRPr="00827CD4" w:rsidRDefault="000E07A3" w:rsidP="00B72341">
      <w:pPr>
        <w:rPr>
          <w:lang w:val="en-US"/>
        </w:rPr>
      </w:pPr>
      <w:r w:rsidRPr="009B0E02">
        <w:tab/>
      </w:r>
      <w:r w:rsidR="006C3E00" w:rsidRPr="00827CD4">
        <w:rPr>
          <w:lang w:val="en-US"/>
        </w:rPr>
        <w:t>The building is remarkable, and two aspects</w:t>
      </w:r>
      <w:r w:rsidR="00F440FC">
        <w:rPr>
          <w:lang w:val="en-US"/>
        </w:rPr>
        <w:t xml:space="preserve"> of the decoration make it unique</w:t>
      </w:r>
      <w:r w:rsidR="006C3E00" w:rsidRPr="00827CD4">
        <w:rPr>
          <w:lang w:val="en-US"/>
        </w:rPr>
        <w:t xml:space="preserve">. First, it is completely painted </w:t>
      </w:r>
      <w:r w:rsidR="00F440FC">
        <w:rPr>
          <w:lang w:val="en-US"/>
        </w:rPr>
        <w:t>using</w:t>
      </w:r>
      <w:r w:rsidR="006C3E00" w:rsidRPr="00827CD4">
        <w:rPr>
          <w:lang w:val="en-US"/>
        </w:rPr>
        <w:t xml:space="preserve"> two different </w:t>
      </w:r>
      <w:r w:rsidR="004B0912" w:rsidRPr="00827CD4">
        <w:rPr>
          <w:lang w:val="en-US"/>
        </w:rPr>
        <w:t>systems of representation</w:t>
      </w:r>
      <w:r w:rsidR="006C3E00" w:rsidRPr="00827CD4">
        <w:rPr>
          <w:lang w:val="en-US"/>
        </w:rPr>
        <w:t xml:space="preserve"> </w:t>
      </w:r>
      <w:r w:rsidR="004B0912" w:rsidRPr="00827CD4">
        <w:rPr>
          <w:lang w:val="en-US"/>
        </w:rPr>
        <w:t>(</w:t>
      </w:r>
      <w:r w:rsidR="006C3E00" w:rsidRPr="00827CD4">
        <w:rPr>
          <w:lang w:val="en-US"/>
        </w:rPr>
        <w:t>styles</w:t>
      </w:r>
      <w:r w:rsidR="004B0912" w:rsidRPr="00827CD4">
        <w:rPr>
          <w:lang w:val="en-US"/>
        </w:rPr>
        <w:t>)</w:t>
      </w:r>
      <w:r w:rsidR="006C3E00" w:rsidRPr="00827CD4">
        <w:rPr>
          <w:lang w:val="en-US"/>
        </w:rPr>
        <w:t xml:space="preserve">. A dado of classical paneling is painted below, </w:t>
      </w:r>
      <w:r w:rsidR="00FE7F6A" w:rsidRPr="00827CD4">
        <w:rPr>
          <w:lang w:val="en-US"/>
        </w:rPr>
        <w:t xml:space="preserve">surrounded by </w:t>
      </w:r>
      <w:r w:rsidR="006C3E00" w:rsidRPr="00827CD4">
        <w:rPr>
          <w:lang w:val="en-US"/>
        </w:rPr>
        <w:t xml:space="preserve">vines and </w:t>
      </w:r>
      <w:r w:rsidR="00FE7F6A" w:rsidRPr="00827CD4">
        <w:rPr>
          <w:lang w:val="en-US"/>
        </w:rPr>
        <w:t xml:space="preserve">with a series of different </w:t>
      </w:r>
      <w:r w:rsidR="006C3E00" w:rsidRPr="00827CD4">
        <w:rPr>
          <w:lang w:val="en-US"/>
        </w:rPr>
        <w:t>birds</w:t>
      </w:r>
      <w:r w:rsidR="00FE7F6A" w:rsidRPr="00827CD4">
        <w:rPr>
          <w:lang w:val="en-US"/>
        </w:rPr>
        <w:t xml:space="preserve"> depicted within each panel</w:t>
      </w:r>
      <w:r w:rsidR="00995893" w:rsidRPr="00827CD4">
        <w:rPr>
          <w:lang w:val="en-US"/>
        </w:rPr>
        <w:t>,</w:t>
      </w:r>
      <w:r w:rsidR="00FE7F6A" w:rsidRPr="00827CD4">
        <w:rPr>
          <w:lang w:val="en-US"/>
        </w:rPr>
        <w:t xml:space="preserve"> which </w:t>
      </w:r>
      <w:r w:rsidR="00995893" w:rsidRPr="00827CD4">
        <w:rPr>
          <w:lang w:val="en-US"/>
        </w:rPr>
        <w:t xml:space="preserve">also </w:t>
      </w:r>
      <w:r w:rsidR="00FE7F6A" w:rsidRPr="00827CD4">
        <w:rPr>
          <w:lang w:val="en-US"/>
        </w:rPr>
        <w:t xml:space="preserve">includes a </w:t>
      </w:r>
      <w:r w:rsidR="006C3E00" w:rsidRPr="00827CD4">
        <w:rPr>
          <w:lang w:val="en-US"/>
        </w:rPr>
        <w:t>(</w:t>
      </w:r>
      <w:r w:rsidR="00995893" w:rsidRPr="00827CD4">
        <w:rPr>
          <w:lang w:val="en-US"/>
        </w:rPr>
        <w:t xml:space="preserve">mostly </w:t>
      </w:r>
      <w:r w:rsidR="006C3E00" w:rsidRPr="00827CD4">
        <w:rPr>
          <w:lang w:val="en-US"/>
        </w:rPr>
        <w:t xml:space="preserve">vandalized) Medusa head in </w:t>
      </w:r>
      <w:r w:rsidR="00FE7F6A" w:rsidRPr="00827CD4">
        <w:rPr>
          <w:lang w:val="en-US"/>
        </w:rPr>
        <w:t xml:space="preserve">its </w:t>
      </w:r>
      <w:r w:rsidR="006C3E00" w:rsidRPr="00827CD4">
        <w:rPr>
          <w:lang w:val="en-US"/>
        </w:rPr>
        <w:t>center</w:t>
      </w:r>
      <w:r w:rsidR="00B51FD3" w:rsidRPr="00827CD4">
        <w:rPr>
          <w:lang w:val="en-US"/>
        </w:rPr>
        <w:t>.</w:t>
      </w:r>
      <w:r w:rsidR="000A3CF9" w:rsidRPr="00827CD4">
        <w:rPr>
          <w:rStyle w:val="EndnoteReference"/>
          <w:rFonts w:cs="Times New Roman"/>
          <w:szCs w:val="24"/>
          <w:lang w:val="en-US"/>
        </w:rPr>
        <w:endnoteReference w:id="25"/>
      </w:r>
      <w:r w:rsidR="006C3E00" w:rsidRPr="00827CD4">
        <w:rPr>
          <w:lang w:val="en-US"/>
        </w:rPr>
        <w:t xml:space="preserve"> Its dating is probably early second century</w:t>
      </w:r>
      <w:r w:rsidR="00954834" w:rsidRPr="00827CD4">
        <w:rPr>
          <w:lang w:val="en-US"/>
        </w:rPr>
        <w:t xml:space="preserve"> AD</w:t>
      </w:r>
      <w:r w:rsidR="006C3E00" w:rsidRPr="00827CD4">
        <w:rPr>
          <w:lang w:val="en-US"/>
        </w:rPr>
        <w:t xml:space="preserve">, based on the style </w:t>
      </w:r>
      <w:r w:rsidR="00E207F0" w:rsidRPr="00827CD4">
        <w:rPr>
          <w:lang w:val="en-US"/>
        </w:rPr>
        <w:t xml:space="preserve">and colors </w:t>
      </w:r>
      <w:r w:rsidR="006C3E00" w:rsidRPr="00827CD4">
        <w:rPr>
          <w:lang w:val="en-US"/>
        </w:rPr>
        <w:t>of the paintings,</w:t>
      </w:r>
      <w:r w:rsidR="006C3E00" w:rsidRPr="00827CD4">
        <w:rPr>
          <w:rStyle w:val="EndnoteReference"/>
          <w:rFonts w:cs="Times New Roman"/>
          <w:szCs w:val="24"/>
          <w:lang w:val="en-US"/>
        </w:rPr>
        <w:endnoteReference w:id="26"/>
      </w:r>
      <w:r w:rsidR="006B0D15" w:rsidRPr="00827CD4">
        <w:rPr>
          <w:lang w:val="en-US"/>
        </w:rPr>
        <w:t xml:space="preserve"> which resemble</w:t>
      </w:r>
      <w:r w:rsidR="006C3E00" w:rsidRPr="00827CD4">
        <w:rPr>
          <w:lang w:val="en-US"/>
        </w:rPr>
        <w:t xml:space="preserve"> those of the richer houses </w:t>
      </w:r>
      <w:r w:rsidR="006B0D15" w:rsidRPr="00827CD4">
        <w:rPr>
          <w:lang w:val="en-US"/>
        </w:rPr>
        <w:t xml:space="preserve">at Kellis </w:t>
      </w:r>
      <w:r w:rsidR="006C3E00" w:rsidRPr="00827CD4">
        <w:rPr>
          <w:lang w:val="en-US"/>
        </w:rPr>
        <w:t>from the early second century.</w:t>
      </w:r>
      <w:r w:rsidR="006C3E00" w:rsidRPr="00827CD4">
        <w:rPr>
          <w:rStyle w:val="EndnoteReference"/>
          <w:rFonts w:cs="Times New Roman"/>
          <w:szCs w:val="24"/>
          <w:lang w:val="en-US"/>
        </w:rPr>
        <w:endnoteReference w:id="27"/>
      </w:r>
      <w:r w:rsidR="001E1F84" w:rsidRPr="00827CD4">
        <w:rPr>
          <w:lang w:val="en-US"/>
        </w:rPr>
        <w:t xml:space="preserve"> The Medusa heads are a known feature of classical panel decoration</w:t>
      </w:r>
      <w:r w:rsidR="008B667E">
        <w:rPr>
          <w:lang w:val="en-US"/>
        </w:rPr>
        <w:t xml:space="preserve"> and are</w:t>
      </w:r>
      <w:r w:rsidR="001E1F84" w:rsidRPr="00827CD4">
        <w:rPr>
          <w:lang w:val="en-US"/>
        </w:rPr>
        <w:t xml:space="preserve"> also </w:t>
      </w:r>
      <w:r w:rsidR="008B667E">
        <w:rPr>
          <w:lang w:val="en-US"/>
        </w:rPr>
        <w:t>present in</w:t>
      </w:r>
      <w:r w:rsidR="001E1F84" w:rsidRPr="00827CD4">
        <w:rPr>
          <w:lang w:val="en-US"/>
        </w:rPr>
        <w:t xml:space="preserve"> Roman temples in Italy of the first century.</w:t>
      </w:r>
      <w:r w:rsidR="001E1F84" w:rsidRPr="00827CD4">
        <w:rPr>
          <w:rStyle w:val="EndnoteReference"/>
          <w:rFonts w:cs="Times New Roman"/>
          <w:szCs w:val="24"/>
          <w:lang w:val="en-US"/>
        </w:rPr>
        <w:endnoteReference w:id="28"/>
      </w:r>
    </w:p>
    <w:p w14:paraId="60C11804" w14:textId="3D0392FD" w:rsidR="00E207F0" w:rsidRPr="00827CD4" w:rsidRDefault="000E07A3" w:rsidP="00B72341">
      <w:pPr>
        <w:rPr>
          <w:lang w:val="en-US"/>
        </w:rPr>
      </w:pPr>
      <w:r w:rsidRPr="009B0E02">
        <w:lastRenderedPageBreak/>
        <w:tab/>
      </w:r>
      <w:r w:rsidR="00E207F0" w:rsidRPr="00827CD4">
        <w:rPr>
          <w:lang w:val="en-US"/>
        </w:rPr>
        <w:t>Greek influence was important in the oases already from an early time, and it is one of the distinguishing features of the local culture</w:t>
      </w:r>
      <w:r w:rsidR="00D02E01" w:rsidRPr="00827CD4">
        <w:rPr>
          <w:lang w:val="en-US"/>
        </w:rPr>
        <w:t>,</w:t>
      </w:r>
      <w:r w:rsidR="00E207F0" w:rsidRPr="00827CD4">
        <w:rPr>
          <w:lang w:val="en-US"/>
        </w:rPr>
        <w:t xml:space="preserve"> which </w:t>
      </w:r>
      <w:r w:rsidR="00CC1FDD" w:rsidRPr="00827CD4">
        <w:rPr>
          <w:lang w:val="en-US"/>
        </w:rPr>
        <w:t xml:space="preserve">is more dominant than in </w:t>
      </w:r>
      <w:r w:rsidR="00E207F0" w:rsidRPr="00827CD4">
        <w:rPr>
          <w:lang w:val="en-US"/>
        </w:rPr>
        <w:t>the Nile Valley.</w:t>
      </w:r>
      <w:r w:rsidR="00E207F0" w:rsidRPr="00827CD4">
        <w:rPr>
          <w:rStyle w:val="EndnoteReference"/>
          <w:rFonts w:cs="Times New Roman"/>
          <w:szCs w:val="24"/>
          <w:lang w:val="en-US"/>
        </w:rPr>
        <w:endnoteReference w:id="29"/>
      </w:r>
      <w:r w:rsidR="00E207F0" w:rsidRPr="00827CD4">
        <w:rPr>
          <w:lang w:val="en-US"/>
        </w:rPr>
        <w:t xml:space="preserve"> The</w:t>
      </w:r>
      <w:r w:rsidR="001E1F84" w:rsidRPr="00827CD4">
        <w:rPr>
          <w:lang w:val="en-US"/>
        </w:rPr>
        <w:t xml:space="preserve"> clearest indication in archaeology is the </w:t>
      </w:r>
      <w:r w:rsidR="00D02E01" w:rsidRPr="00827CD4">
        <w:rPr>
          <w:lang w:val="en-US"/>
        </w:rPr>
        <w:t>wide</w:t>
      </w:r>
      <w:r w:rsidR="00F440FC">
        <w:rPr>
          <w:lang w:val="en-US"/>
        </w:rPr>
        <w:t>spread</w:t>
      </w:r>
      <w:r w:rsidR="00D02E01" w:rsidRPr="00827CD4">
        <w:rPr>
          <w:lang w:val="en-US"/>
        </w:rPr>
        <w:t xml:space="preserve"> adoption of Greek ceramic forms </w:t>
      </w:r>
      <w:r w:rsidR="00F440FC" w:rsidRPr="00827CD4">
        <w:rPr>
          <w:lang w:val="en-US"/>
        </w:rPr>
        <w:t xml:space="preserve">in the oasis </w:t>
      </w:r>
      <w:r w:rsidR="00F440FC">
        <w:rPr>
          <w:lang w:val="en-US"/>
        </w:rPr>
        <w:t>during</w:t>
      </w:r>
      <w:r w:rsidR="00D02E01" w:rsidRPr="00827CD4">
        <w:rPr>
          <w:lang w:val="en-US"/>
        </w:rPr>
        <w:t xml:space="preserve"> the </w:t>
      </w:r>
      <w:r w:rsidR="001E1F84" w:rsidRPr="00827CD4">
        <w:rPr>
          <w:lang w:val="en-US"/>
        </w:rPr>
        <w:t>Ptolemaic period</w:t>
      </w:r>
      <w:r w:rsidR="00D02E01" w:rsidRPr="00827CD4">
        <w:rPr>
          <w:lang w:val="en-US"/>
        </w:rPr>
        <w:t>.</w:t>
      </w:r>
      <w:r w:rsidR="00D02E01" w:rsidRPr="00827CD4">
        <w:rPr>
          <w:rStyle w:val="EndnoteReference"/>
          <w:rFonts w:cs="Times New Roman"/>
          <w:szCs w:val="24"/>
          <w:lang w:val="en-US"/>
        </w:rPr>
        <w:endnoteReference w:id="30"/>
      </w:r>
      <w:r w:rsidR="00077675" w:rsidRPr="00827CD4">
        <w:rPr>
          <w:lang w:val="en-US"/>
        </w:rPr>
        <w:t xml:space="preserve"> The </w:t>
      </w:r>
      <w:r w:rsidR="0052657F" w:rsidRPr="00827CD4">
        <w:rPr>
          <w:lang w:val="en-US"/>
        </w:rPr>
        <w:t>widespread adoption</w:t>
      </w:r>
      <w:r w:rsidR="00077675" w:rsidRPr="00827CD4">
        <w:rPr>
          <w:lang w:val="en-US"/>
        </w:rPr>
        <w:t xml:space="preserve"> of Roman</w:t>
      </w:r>
      <w:r w:rsidR="00F440FC">
        <w:rPr>
          <w:lang w:val="en-US"/>
        </w:rPr>
        <w:t>-</w:t>
      </w:r>
      <w:r w:rsidR="00077675" w:rsidRPr="00827CD4">
        <w:rPr>
          <w:lang w:val="en-US"/>
        </w:rPr>
        <w:t>style wall paintings should not be a surprise, therefore</w:t>
      </w:r>
      <w:r w:rsidR="0052657F" w:rsidRPr="00827CD4">
        <w:rPr>
          <w:lang w:val="en-US"/>
        </w:rPr>
        <w:t xml:space="preserve">, even though </w:t>
      </w:r>
      <w:r w:rsidR="00F440FC">
        <w:rPr>
          <w:lang w:val="en-US"/>
        </w:rPr>
        <w:t>their</w:t>
      </w:r>
      <w:r w:rsidR="0052657F" w:rsidRPr="00827CD4">
        <w:rPr>
          <w:lang w:val="en-US"/>
        </w:rPr>
        <w:t xml:space="preserve"> appearance in an Egyptian temple is </w:t>
      </w:r>
      <w:r w:rsidR="00FA49D0" w:rsidRPr="00827CD4">
        <w:rPr>
          <w:lang w:val="en-US"/>
        </w:rPr>
        <w:t>totally unexpected</w:t>
      </w:r>
      <w:r w:rsidR="00077675" w:rsidRPr="00827CD4">
        <w:rPr>
          <w:lang w:val="en-US"/>
        </w:rPr>
        <w:t>.</w:t>
      </w:r>
    </w:p>
    <w:p w14:paraId="49D82BCC" w14:textId="485794ED" w:rsidR="006C3E00" w:rsidRPr="00827CD4" w:rsidRDefault="000E07A3" w:rsidP="00B72341">
      <w:pPr>
        <w:rPr>
          <w:lang w:val="en-US"/>
        </w:rPr>
      </w:pPr>
      <w:r w:rsidRPr="009B0E02">
        <w:tab/>
      </w:r>
      <w:r w:rsidR="006C3E00" w:rsidRPr="00827CD4">
        <w:rPr>
          <w:lang w:val="en-US"/>
        </w:rPr>
        <w:t>Above the classical paneling are four registers of Egyptian</w:t>
      </w:r>
      <w:r w:rsidR="00F440FC">
        <w:rPr>
          <w:lang w:val="en-US"/>
        </w:rPr>
        <w:t>-</w:t>
      </w:r>
      <w:r w:rsidR="006C3E00" w:rsidRPr="00827CD4">
        <w:rPr>
          <w:lang w:val="en-US"/>
        </w:rPr>
        <w:t xml:space="preserve">style images and hieroglyphs. The reconstruction of the vault is now </w:t>
      </w:r>
      <w:r w:rsidR="00A94D43" w:rsidRPr="00827CD4">
        <w:rPr>
          <w:lang w:val="en-US"/>
        </w:rPr>
        <w:t>largely</w:t>
      </w:r>
      <w:r w:rsidR="006C3E00" w:rsidRPr="00827CD4">
        <w:rPr>
          <w:lang w:val="en-US"/>
        </w:rPr>
        <w:t xml:space="preserve"> completed, and nearly every detail can be re</w:t>
      </w:r>
      <w:r w:rsidR="00843E32" w:rsidRPr="00827CD4">
        <w:rPr>
          <w:lang w:val="en-US"/>
        </w:rPr>
        <w:t xml:space="preserve">constructed from fragments </w:t>
      </w:r>
      <w:r w:rsidR="00843E32" w:rsidRPr="00EE2EDB">
        <w:rPr>
          <w:highlight w:val="yellow"/>
          <w:lang w:val="en-US"/>
        </w:rPr>
        <w:t>(</w:t>
      </w:r>
      <w:r w:rsidR="00EE2EDB" w:rsidRPr="00EE2EDB">
        <w:rPr>
          <w:highlight w:val="yellow"/>
          <w:lang w:val="en-US"/>
        </w:rPr>
        <w:t>f</w:t>
      </w:r>
      <w:r w:rsidR="00843E32" w:rsidRPr="00EE2EDB">
        <w:rPr>
          <w:highlight w:val="yellow"/>
          <w:lang w:val="en-US"/>
        </w:rPr>
        <w:t>ig</w:t>
      </w:r>
      <w:r w:rsidR="00EE2EDB" w:rsidRPr="00EE2EDB">
        <w:rPr>
          <w:highlight w:val="yellow"/>
          <w:lang w:val="en-US"/>
        </w:rPr>
        <w:t>.</w:t>
      </w:r>
      <w:r w:rsidR="006C3E00" w:rsidRPr="00EE2EDB">
        <w:rPr>
          <w:highlight w:val="yellow"/>
          <w:lang w:val="en-US"/>
        </w:rPr>
        <w:t xml:space="preserve"> </w:t>
      </w:r>
      <w:r w:rsidR="007A483E">
        <w:rPr>
          <w:highlight w:val="yellow"/>
          <w:lang w:val="en-US"/>
        </w:rPr>
        <w:t>5.3</w:t>
      </w:r>
      <w:r w:rsidR="006C3E00" w:rsidRPr="00EE2EDB">
        <w:rPr>
          <w:highlight w:val="yellow"/>
          <w:lang w:val="en-US"/>
        </w:rPr>
        <w:t>)</w:t>
      </w:r>
      <w:r w:rsidR="006C3E00" w:rsidRPr="00827CD4">
        <w:rPr>
          <w:lang w:val="en-US"/>
        </w:rPr>
        <w:t xml:space="preserve">. This twofold scheme is unconventional in an Egyptian temple, and it </w:t>
      </w:r>
      <w:r w:rsidR="006A6B42">
        <w:rPr>
          <w:lang w:val="en-US"/>
        </w:rPr>
        <w:t>requires</w:t>
      </w:r>
      <w:r w:rsidR="006C3E00" w:rsidRPr="00827CD4">
        <w:rPr>
          <w:lang w:val="en-US"/>
        </w:rPr>
        <w:t xml:space="preserve"> an explanation. I have argued elsewhere that there was a greater freedom from decorum in the oases,</w:t>
      </w:r>
      <w:r w:rsidR="006C3E00" w:rsidRPr="00827CD4">
        <w:rPr>
          <w:rStyle w:val="EndnoteReference"/>
          <w:rFonts w:cs="Times New Roman"/>
          <w:szCs w:val="24"/>
          <w:lang w:val="en-US"/>
        </w:rPr>
        <w:endnoteReference w:id="31"/>
      </w:r>
      <w:r w:rsidR="006C3E00" w:rsidRPr="00827CD4">
        <w:rPr>
          <w:lang w:val="en-US"/>
        </w:rPr>
        <w:t xml:space="preserve"> which may have </w:t>
      </w:r>
      <w:r w:rsidR="00DE1F20">
        <w:rPr>
          <w:lang w:val="en-US"/>
        </w:rPr>
        <w:t>fostered the creation of</w:t>
      </w:r>
      <w:r w:rsidR="006C3E00" w:rsidRPr="00827CD4">
        <w:rPr>
          <w:lang w:val="en-US"/>
        </w:rPr>
        <w:t xml:space="preserve"> this original shrine</w:t>
      </w:r>
      <w:r w:rsidR="000B459D" w:rsidRPr="00827CD4">
        <w:rPr>
          <w:lang w:val="en-US"/>
        </w:rPr>
        <w:t xml:space="preserve">, but </w:t>
      </w:r>
      <w:r w:rsidR="00FA49D0" w:rsidRPr="00827CD4">
        <w:rPr>
          <w:lang w:val="en-US"/>
        </w:rPr>
        <w:t xml:space="preserve">I am now convinced of a more </w:t>
      </w:r>
      <w:r w:rsidR="000B459D" w:rsidRPr="00827CD4">
        <w:rPr>
          <w:lang w:val="en-US"/>
        </w:rPr>
        <w:t xml:space="preserve">specific motivation for </w:t>
      </w:r>
      <w:r w:rsidR="00FA49D0" w:rsidRPr="00827CD4">
        <w:rPr>
          <w:lang w:val="en-US"/>
        </w:rPr>
        <w:t>its conception</w:t>
      </w:r>
      <w:r w:rsidR="006C3E00" w:rsidRPr="00827CD4">
        <w:rPr>
          <w:lang w:val="en-US"/>
        </w:rPr>
        <w:t>.</w:t>
      </w:r>
    </w:p>
    <w:p w14:paraId="3FC43763" w14:textId="49FD3E23" w:rsidR="006C3E00" w:rsidRPr="00827CD4" w:rsidRDefault="000E07A3" w:rsidP="00B72341">
      <w:pPr>
        <w:rPr>
          <w:lang w:val="en-US"/>
        </w:rPr>
      </w:pPr>
      <w:r w:rsidRPr="009B0E02">
        <w:tab/>
      </w:r>
      <w:r w:rsidR="006C3E00" w:rsidRPr="00827CD4">
        <w:rPr>
          <w:lang w:val="en-US"/>
        </w:rPr>
        <w:t xml:space="preserve">A cultic niche situated in the back wall of the </w:t>
      </w:r>
      <w:r w:rsidR="00ED4B4F" w:rsidRPr="00ED4B4F">
        <w:rPr>
          <w:lang w:val="en-US"/>
        </w:rPr>
        <w:t>mammisi</w:t>
      </w:r>
      <w:r w:rsidR="006C3E00" w:rsidRPr="00827CD4">
        <w:rPr>
          <w:lang w:val="en-US"/>
        </w:rPr>
        <w:t xml:space="preserve"> resembles the </w:t>
      </w:r>
      <w:r w:rsidR="006C3E00" w:rsidRPr="00B72341">
        <w:rPr>
          <w:i/>
          <w:lang w:val="en-US"/>
        </w:rPr>
        <w:t>lararium</w:t>
      </w:r>
      <w:r w:rsidR="006C3E00" w:rsidRPr="00827CD4">
        <w:rPr>
          <w:lang w:val="en-US"/>
        </w:rPr>
        <w:t xml:space="preserve"> niches</w:t>
      </w:r>
      <w:r w:rsidR="00F440FC">
        <w:rPr>
          <w:lang w:val="en-US"/>
        </w:rPr>
        <w:t>,</w:t>
      </w:r>
      <w:r w:rsidR="000B459D" w:rsidRPr="00827CD4">
        <w:rPr>
          <w:lang w:val="en-US"/>
        </w:rPr>
        <w:t xml:space="preserve"> or </w:t>
      </w:r>
      <w:r w:rsidR="000B459D" w:rsidRPr="00DE2317">
        <w:rPr>
          <w:iCs/>
          <w:lang w:val="en-US"/>
        </w:rPr>
        <w:t>aediculae</w:t>
      </w:r>
      <w:r w:rsidR="00F440FC">
        <w:rPr>
          <w:lang w:val="en-US"/>
        </w:rPr>
        <w:t>,</w:t>
      </w:r>
      <w:r w:rsidR="006C3E00" w:rsidRPr="00827CD4">
        <w:rPr>
          <w:lang w:val="en-US"/>
        </w:rPr>
        <w:t xml:space="preserve"> found in </w:t>
      </w:r>
      <w:r w:rsidR="007C5434" w:rsidRPr="00827CD4">
        <w:rPr>
          <w:lang w:val="en-US"/>
        </w:rPr>
        <w:t xml:space="preserve">Roman </w:t>
      </w:r>
      <w:r w:rsidR="006C3E00" w:rsidRPr="00827CD4">
        <w:rPr>
          <w:lang w:val="en-US"/>
        </w:rPr>
        <w:t>houses</w:t>
      </w:r>
      <w:r w:rsidR="007C5434" w:rsidRPr="00827CD4">
        <w:rPr>
          <w:lang w:val="en-US"/>
        </w:rPr>
        <w:t xml:space="preserve"> in Egypt as</w:t>
      </w:r>
      <w:r w:rsidR="000B459D" w:rsidRPr="00827CD4">
        <w:rPr>
          <w:lang w:val="en-US"/>
        </w:rPr>
        <w:t xml:space="preserve"> well as</w:t>
      </w:r>
      <w:r w:rsidR="007C5434" w:rsidRPr="00827CD4">
        <w:rPr>
          <w:lang w:val="en-US"/>
        </w:rPr>
        <w:t xml:space="preserve"> in Italy</w:t>
      </w:r>
      <w:r w:rsidR="006C3E00" w:rsidRPr="00827CD4">
        <w:rPr>
          <w:lang w:val="en-US"/>
        </w:rPr>
        <w:t>,</w:t>
      </w:r>
      <w:r w:rsidR="00EA5D37" w:rsidRPr="00827CD4">
        <w:rPr>
          <w:rStyle w:val="EndnoteReference"/>
          <w:rFonts w:cs="Times New Roman"/>
          <w:szCs w:val="24"/>
          <w:lang w:val="en-US"/>
        </w:rPr>
        <w:endnoteReference w:id="32"/>
      </w:r>
      <w:r w:rsidR="006C3E00" w:rsidRPr="00827CD4">
        <w:rPr>
          <w:lang w:val="en-US"/>
        </w:rPr>
        <w:t xml:space="preserve"> even though no examples of such niches </w:t>
      </w:r>
      <w:r w:rsidR="007C5434" w:rsidRPr="00827CD4">
        <w:rPr>
          <w:lang w:val="en-US"/>
        </w:rPr>
        <w:t xml:space="preserve">are as yet known from the houses of </w:t>
      </w:r>
      <w:r w:rsidR="006C3E00" w:rsidRPr="00827CD4">
        <w:rPr>
          <w:lang w:val="en-US"/>
        </w:rPr>
        <w:t>Kellis.</w:t>
      </w:r>
      <w:r w:rsidR="006C3E00" w:rsidRPr="00827CD4">
        <w:rPr>
          <w:rStyle w:val="EndnoteReference"/>
          <w:rFonts w:cs="Times New Roman"/>
          <w:szCs w:val="24"/>
          <w:lang w:val="en-US"/>
        </w:rPr>
        <w:endnoteReference w:id="33"/>
      </w:r>
      <w:r w:rsidR="00FA49D0" w:rsidRPr="00827CD4">
        <w:rPr>
          <w:lang w:val="en-US"/>
        </w:rPr>
        <w:t xml:space="preserve"> The niche in the </w:t>
      </w:r>
      <w:r w:rsidR="00ED4B4F" w:rsidRPr="00ED4B4F">
        <w:rPr>
          <w:lang w:val="en-US"/>
        </w:rPr>
        <w:t>mammisi</w:t>
      </w:r>
      <w:r w:rsidR="00FA49D0" w:rsidRPr="00827CD4">
        <w:rPr>
          <w:lang w:val="en-US"/>
        </w:rPr>
        <w:t xml:space="preserve"> had</w:t>
      </w:r>
      <w:r w:rsidR="006C3E00" w:rsidRPr="00827CD4">
        <w:rPr>
          <w:lang w:val="en-US"/>
        </w:rPr>
        <w:t xml:space="preserve"> modeled pilasters on either side and a plaster conch shell </w:t>
      </w:r>
      <w:r w:rsidR="00AC7C84" w:rsidRPr="00827CD4">
        <w:rPr>
          <w:lang w:val="en-US"/>
        </w:rPr>
        <w:t>with</w:t>
      </w:r>
      <w:r w:rsidR="006C3E00" w:rsidRPr="00827CD4">
        <w:rPr>
          <w:lang w:val="en-US"/>
        </w:rPr>
        <w:t xml:space="preserve">in </w:t>
      </w:r>
      <w:r w:rsidR="000B459D" w:rsidRPr="00827CD4">
        <w:rPr>
          <w:lang w:val="en-US"/>
        </w:rPr>
        <w:t xml:space="preserve">its </w:t>
      </w:r>
      <w:r w:rsidR="006C3E00" w:rsidRPr="00827CD4">
        <w:rPr>
          <w:lang w:val="en-US"/>
        </w:rPr>
        <w:t xml:space="preserve">arched upper part. This domestic element is striking and </w:t>
      </w:r>
      <w:r w:rsidR="00FA49D0" w:rsidRPr="00827CD4">
        <w:rPr>
          <w:lang w:val="en-US"/>
        </w:rPr>
        <w:t>unparalleled with</w:t>
      </w:r>
      <w:r w:rsidR="006C3E00" w:rsidRPr="00827CD4">
        <w:rPr>
          <w:lang w:val="en-US"/>
        </w:rPr>
        <w:t>in an Egyptian temple context.</w:t>
      </w:r>
      <w:r w:rsidR="00AC7C84" w:rsidRPr="00827CD4">
        <w:rPr>
          <w:rStyle w:val="EndnoteReference"/>
          <w:rFonts w:cs="Times New Roman"/>
          <w:szCs w:val="24"/>
          <w:lang w:val="en-US"/>
        </w:rPr>
        <w:endnoteReference w:id="34"/>
      </w:r>
      <w:r w:rsidR="006C3E00" w:rsidRPr="00827CD4">
        <w:rPr>
          <w:lang w:val="en-US"/>
        </w:rPr>
        <w:t xml:space="preserve"> Beneath the niche was an apron, a console with a projecting platform on which divine statues and other objects could be placed. This element had </w:t>
      </w:r>
      <w:r w:rsidR="000B459D" w:rsidRPr="00827CD4">
        <w:rPr>
          <w:lang w:val="en-US"/>
        </w:rPr>
        <w:t xml:space="preserve">originally </w:t>
      </w:r>
      <w:r w:rsidR="006C3E00" w:rsidRPr="00827CD4">
        <w:rPr>
          <w:lang w:val="en-US"/>
        </w:rPr>
        <w:t>been attached to the wall using wooden pegs, but it bec</w:t>
      </w:r>
      <w:r w:rsidR="006F3EBB">
        <w:rPr>
          <w:lang w:val="en-US"/>
        </w:rPr>
        <w:t>a</w:t>
      </w:r>
      <w:r w:rsidR="006C3E00" w:rsidRPr="00827CD4">
        <w:rPr>
          <w:lang w:val="en-US"/>
        </w:rPr>
        <w:t>me detached</w:t>
      </w:r>
      <w:r w:rsidR="00FA49D0" w:rsidRPr="00827CD4">
        <w:rPr>
          <w:lang w:val="en-US"/>
        </w:rPr>
        <w:t xml:space="preserve"> during the collapse of the vaulted roof</w:t>
      </w:r>
      <w:r w:rsidR="00F440FC">
        <w:rPr>
          <w:lang w:val="en-US"/>
        </w:rPr>
        <w:t>,</w:t>
      </w:r>
      <w:r w:rsidR="006C3E00" w:rsidRPr="00827CD4">
        <w:rPr>
          <w:lang w:val="en-US"/>
        </w:rPr>
        <w:t xml:space="preserve"> and its remnants were found on the floor underneath the niche. </w:t>
      </w:r>
      <w:r w:rsidR="00FA49D0" w:rsidRPr="00827CD4">
        <w:rPr>
          <w:lang w:val="en-US"/>
        </w:rPr>
        <w:t>The</w:t>
      </w:r>
      <w:r w:rsidR="006C3E00" w:rsidRPr="00827CD4">
        <w:rPr>
          <w:lang w:val="en-US"/>
        </w:rPr>
        <w:t xml:space="preserve"> apron </w:t>
      </w:r>
      <w:r w:rsidR="00B321DD">
        <w:rPr>
          <w:lang w:val="en-US"/>
        </w:rPr>
        <w:t>was</w:t>
      </w:r>
      <w:r w:rsidR="006C3E00" w:rsidRPr="00827CD4">
        <w:rPr>
          <w:lang w:val="en-US"/>
        </w:rPr>
        <w:t xml:space="preserve"> re</w:t>
      </w:r>
      <w:r w:rsidR="00843E32" w:rsidRPr="00827CD4">
        <w:rPr>
          <w:lang w:val="en-US"/>
        </w:rPr>
        <w:t>constructed from fragments</w:t>
      </w:r>
      <w:r w:rsidR="00DE2317">
        <w:rPr>
          <w:lang w:val="en-US"/>
        </w:rPr>
        <w:t>,</w:t>
      </w:r>
      <w:r w:rsidR="00843E32" w:rsidRPr="00827CD4">
        <w:rPr>
          <w:lang w:val="en-US"/>
        </w:rPr>
        <w:t xml:space="preserve"> </w:t>
      </w:r>
      <w:r w:rsidR="00E81FC2" w:rsidRPr="00827CD4">
        <w:rPr>
          <w:lang w:val="en-US"/>
        </w:rPr>
        <w:t>and its decoration is striking</w:t>
      </w:r>
      <w:r w:rsidR="00E81FC2" w:rsidRPr="00EE2EDB">
        <w:rPr>
          <w:highlight w:val="yellow"/>
          <w:lang w:val="en-US"/>
        </w:rPr>
        <w:t xml:space="preserve"> </w:t>
      </w:r>
      <w:r w:rsidR="00843E32" w:rsidRPr="00EE2EDB">
        <w:rPr>
          <w:highlight w:val="yellow"/>
          <w:lang w:val="en-US"/>
        </w:rPr>
        <w:t>(</w:t>
      </w:r>
      <w:r w:rsidR="00EE2EDB" w:rsidRPr="00EE2EDB">
        <w:rPr>
          <w:highlight w:val="yellow"/>
          <w:lang w:val="en-US"/>
        </w:rPr>
        <w:t>f</w:t>
      </w:r>
      <w:r w:rsidR="00843E32" w:rsidRPr="00EE2EDB">
        <w:rPr>
          <w:highlight w:val="yellow"/>
          <w:lang w:val="en-US"/>
        </w:rPr>
        <w:t>ig</w:t>
      </w:r>
      <w:r w:rsidR="00EE2EDB" w:rsidRPr="00EE2EDB">
        <w:rPr>
          <w:highlight w:val="yellow"/>
          <w:lang w:val="en-US"/>
        </w:rPr>
        <w:t>.</w:t>
      </w:r>
      <w:r w:rsidR="006C3E00" w:rsidRPr="00EE2EDB">
        <w:rPr>
          <w:highlight w:val="yellow"/>
          <w:lang w:val="en-US"/>
        </w:rPr>
        <w:t xml:space="preserve"> </w:t>
      </w:r>
      <w:r w:rsidR="007A483E">
        <w:rPr>
          <w:highlight w:val="yellow"/>
          <w:lang w:val="en-US"/>
        </w:rPr>
        <w:t>5.4</w:t>
      </w:r>
      <w:r w:rsidR="006C3E00" w:rsidRPr="00EE2EDB">
        <w:rPr>
          <w:highlight w:val="yellow"/>
          <w:lang w:val="en-US"/>
        </w:rPr>
        <w:t>)</w:t>
      </w:r>
      <w:r w:rsidR="006C3E00" w:rsidRPr="00827CD4">
        <w:rPr>
          <w:lang w:val="en-US"/>
        </w:rPr>
        <w:t xml:space="preserve">. It </w:t>
      </w:r>
      <w:r w:rsidR="006B0D15" w:rsidRPr="00827CD4">
        <w:rPr>
          <w:lang w:val="en-US"/>
        </w:rPr>
        <w:t xml:space="preserve">is known to </w:t>
      </w:r>
      <w:r w:rsidR="006F3EBB">
        <w:rPr>
          <w:lang w:val="en-US"/>
        </w:rPr>
        <w:t xml:space="preserve">have </w:t>
      </w:r>
      <w:r w:rsidR="006B0D15" w:rsidRPr="00827CD4">
        <w:rPr>
          <w:lang w:val="en-US"/>
        </w:rPr>
        <w:t>be</w:t>
      </w:r>
      <w:r w:rsidR="006F3EBB">
        <w:rPr>
          <w:lang w:val="en-US"/>
        </w:rPr>
        <w:t>en</w:t>
      </w:r>
      <w:r w:rsidR="006C3E00" w:rsidRPr="00827CD4">
        <w:rPr>
          <w:lang w:val="en-US"/>
        </w:rPr>
        <w:t xml:space="preserve"> symmetrical in shape and decoration, even though the left end of the apron is lost. The decoration shows a large central calyx of </w:t>
      </w:r>
      <w:r w:rsidR="00FA49D0" w:rsidRPr="00827CD4">
        <w:rPr>
          <w:lang w:val="en-US"/>
        </w:rPr>
        <w:t>an</w:t>
      </w:r>
      <w:r w:rsidR="006C3E00" w:rsidRPr="00827CD4">
        <w:rPr>
          <w:lang w:val="en-US"/>
        </w:rPr>
        <w:t xml:space="preserve"> acanthus leaf on a white </w:t>
      </w:r>
      <w:r w:rsidR="006C3E00" w:rsidRPr="00827CD4">
        <w:rPr>
          <w:lang w:val="en-US"/>
        </w:rPr>
        <w:lastRenderedPageBreak/>
        <w:t xml:space="preserve">background, with floral extensions on either side combined with </w:t>
      </w:r>
      <w:r w:rsidR="00543B69" w:rsidRPr="00827CD4">
        <w:rPr>
          <w:lang w:val="en-US"/>
        </w:rPr>
        <w:t xml:space="preserve">the figure of </w:t>
      </w:r>
      <w:r w:rsidR="006C3E00" w:rsidRPr="00827CD4">
        <w:rPr>
          <w:lang w:val="en-US"/>
        </w:rPr>
        <w:t>a</w:t>
      </w:r>
      <w:r w:rsidR="00543B69" w:rsidRPr="00827CD4">
        <w:rPr>
          <w:lang w:val="en-US"/>
        </w:rPr>
        <w:t xml:space="preserve"> winged</w:t>
      </w:r>
      <w:r w:rsidR="000B459D" w:rsidRPr="00827CD4">
        <w:rPr>
          <w:lang w:val="en-US"/>
        </w:rPr>
        <w:t xml:space="preserve"> naked</w:t>
      </w:r>
      <w:r w:rsidR="00543B69" w:rsidRPr="00827CD4">
        <w:rPr>
          <w:lang w:val="en-US"/>
        </w:rPr>
        <w:t xml:space="preserve"> youth (</w:t>
      </w:r>
      <w:r w:rsidR="006C3E00" w:rsidRPr="00827CD4">
        <w:rPr>
          <w:lang w:val="en-US"/>
        </w:rPr>
        <w:t>Eros</w:t>
      </w:r>
      <w:r w:rsidR="00543B69" w:rsidRPr="00827CD4">
        <w:rPr>
          <w:lang w:val="en-US"/>
        </w:rPr>
        <w:t>)</w:t>
      </w:r>
      <w:r w:rsidR="00FA49D0" w:rsidRPr="00827CD4">
        <w:rPr>
          <w:lang w:val="en-US"/>
        </w:rPr>
        <w:t xml:space="preserve"> </w:t>
      </w:r>
      <w:r w:rsidR="006C3E00" w:rsidRPr="00827CD4">
        <w:rPr>
          <w:lang w:val="en-US"/>
        </w:rPr>
        <w:t xml:space="preserve">holding bunches of grapes. </w:t>
      </w:r>
      <w:r w:rsidR="00034D07" w:rsidRPr="00827CD4">
        <w:rPr>
          <w:lang w:val="en-US"/>
        </w:rPr>
        <w:t xml:space="preserve">The presence of these putti has a parallel </w:t>
      </w:r>
      <w:r w:rsidR="00C334CB" w:rsidRPr="00827CD4">
        <w:rPr>
          <w:lang w:val="en-US"/>
        </w:rPr>
        <w:t xml:space="preserve">on the apron of </w:t>
      </w:r>
      <w:r w:rsidR="00034D07" w:rsidRPr="00827CD4">
        <w:rPr>
          <w:lang w:val="en-US"/>
        </w:rPr>
        <w:t xml:space="preserve">a domestic </w:t>
      </w:r>
      <w:r w:rsidR="00034D07" w:rsidRPr="00DE2317">
        <w:rPr>
          <w:iCs/>
          <w:lang w:val="en-US"/>
        </w:rPr>
        <w:t>aedicula</w:t>
      </w:r>
      <w:r w:rsidR="00034D07" w:rsidRPr="00827CD4">
        <w:rPr>
          <w:lang w:val="en-US"/>
        </w:rPr>
        <w:t xml:space="preserve"> found in a late Roman house in Amheida</w:t>
      </w:r>
      <w:r w:rsidR="00FF5736" w:rsidRPr="00827CD4">
        <w:rPr>
          <w:lang w:val="en-US"/>
        </w:rPr>
        <w:t>, Dakhla Oasis</w:t>
      </w:r>
      <w:r w:rsidR="00034D07" w:rsidRPr="00827CD4">
        <w:rPr>
          <w:lang w:val="en-US"/>
        </w:rPr>
        <w:t>.</w:t>
      </w:r>
      <w:r w:rsidR="00034D07" w:rsidRPr="00827CD4">
        <w:rPr>
          <w:rStyle w:val="EndnoteReference"/>
          <w:rFonts w:cs="Times New Roman"/>
          <w:szCs w:val="24"/>
          <w:lang w:val="en-US"/>
        </w:rPr>
        <w:endnoteReference w:id="35"/>
      </w:r>
      <w:r w:rsidR="00034D07" w:rsidRPr="00827CD4">
        <w:rPr>
          <w:lang w:val="en-US"/>
        </w:rPr>
        <w:t xml:space="preserve"> </w:t>
      </w:r>
      <w:r w:rsidR="00C334CB" w:rsidRPr="00827CD4">
        <w:rPr>
          <w:lang w:val="en-US"/>
        </w:rPr>
        <w:t xml:space="preserve">The parallel has two seated </w:t>
      </w:r>
      <w:r w:rsidR="00027A58" w:rsidRPr="00827CD4">
        <w:rPr>
          <w:lang w:val="en-US"/>
        </w:rPr>
        <w:t>E</w:t>
      </w:r>
      <w:r w:rsidR="00C334CB" w:rsidRPr="00827CD4">
        <w:rPr>
          <w:lang w:val="en-US"/>
        </w:rPr>
        <w:t>ros figures facing each other</w:t>
      </w:r>
      <w:r w:rsidR="00027A58" w:rsidRPr="00827CD4">
        <w:rPr>
          <w:lang w:val="en-US"/>
        </w:rPr>
        <w:t xml:space="preserve">, and their presence in a private house </w:t>
      </w:r>
      <w:r w:rsidR="001C63C4" w:rsidRPr="00827CD4">
        <w:rPr>
          <w:lang w:val="en-US"/>
        </w:rPr>
        <w:t>indicates</w:t>
      </w:r>
      <w:r w:rsidR="00027A58" w:rsidRPr="00827CD4">
        <w:rPr>
          <w:lang w:val="en-US"/>
        </w:rPr>
        <w:t xml:space="preserve"> that the Eros figures </w:t>
      </w:r>
      <w:r w:rsidR="006F3EBB">
        <w:rPr>
          <w:lang w:val="en-US"/>
        </w:rPr>
        <w:t>were</w:t>
      </w:r>
      <w:r w:rsidR="001C63C4" w:rsidRPr="00827CD4">
        <w:rPr>
          <w:lang w:val="en-US"/>
        </w:rPr>
        <w:t xml:space="preserve"> not </w:t>
      </w:r>
      <w:r w:rsidR="00027A58" w:rsidRPr="00827CD4">
        <w:rPr>
          <w:lang w:val="en-US"/>
        </w:rPr>
        <w:t>specific</w:t>
      </w:r>
      <w:r w:rsidR="001C63C4" w:rsidRPr="00827CD4">
        <w:rPr>
          <w:lang w:val="en-US"/>
        </w:rPr>
        <w:t>ally selected</w:t>
      </w:r>
      <w:r w:rsidR="00027A58" w:rsidRPr="00827CD4">
        <w:rPr>
          <w:lang w:val="en-US"/>
        </w:rPr>
        <w:t xml:space="preserve"> for the </w:t>
      </w:r>
      <w:r w:rsidR="00ED4B4F" w:rsidRPr="00ED4B4F">
        <w:rPr>
          <w:lang w:val="en-US"/>
        </w:rPr>
        <w:t>mammisi</w:t>
      </w:r>
      <w:r w:rsidR="00027A58" w:rsidRPr="00827CD4">
        <w:rPr>
          <w:lang w:val="en-US"/>
        </w:rPr>
        <w:t xml:space="preserve"> but </w:t>
      </w:r>
      <w:r w:rsidR="000B459D" w:rsidRPr="00827CD4">
        <w:rPr>
          <w:lang w:val="en-US"/>
        </w:rPr>
        <w:t xml:space="preserve">belong </w:t>
      </w:r>
      <w:r w:rsidR="00027A58" w:rsidRPr="00827CD4">
        <w:rPr>
          <w:lang w:val="en-US"/>
        </w:rPr>
        <w:t xml:space="preserve">to the </w:t>
      </w:r>
      <w:r w:rsidR="000B459D" w:rsidRPr="00827CD4">
        <w:rPr>
          <w:lang w:val="en-US"/>
        </w:rPr>
        <w:t>architectural form</w:t>
      </w:r>
      <w:r w:rsidR="001C63C4" w:rsidRPr="00827CD4">
        <w:rPr>
          <w:lang w:val="en-US"/>
        </w:rPr>
        <w:t xml:space="preserve"> and general significance</w:t>
      </w:r>
      <w:r w:rsidR="000B459D" w:rsidRPr="00827CD4">
        <w:rPr>
          <w:lang w:val="en-US"/>
        </w:rPr>
        <w:t xml:space="preserve"> of the </w:t>
      </w:r>
      <w:r w:rsidR="00027A58" w:rsidRPr="00DE2317">
        <w:rPr>
          <w:iCs/>
          <w:lang w:val="en-US"/>
        </w:rPr>
        <w:t>aedicula</w:t>
      </w:r>
      <w:r w:rsidR="00C334CB" w:rsidRPr="00827CD4">
        <w:rPr>
          <w:lang w:val="en-US"/>
        </w:rPr>
        <w:t xml:space="preserve">. </w:t>
      </w:r>
      <w:r w:rsidR="006C3E00" w:rsidRPr="00827CD4">
        <w:rPr>
          <w:lang w:val="en-US"/>
        </w:rPr>
        <w:t>Only the Eros on the right has been preserved</w:t>
      </w:r>
      <w:r w:rsidR="006B0D15" w:rsidRPr="00827CD4">
        <w:rPr>
          <w:lang w:val="en-US"/>
        </w:rPr>
        <w:t xml:space="preserve"> on the Kellis apron</w:t>
      </w:r>
      <w:r w:rsidR="006C3E00" w:rsidRPr="00827CD4">
        <w:rPr>
          <w:lang w:val="en-US"/>
        </w:rPr>
        <w:t>. The grapes in his hands echo the vines surrounding the dado panels on the same wall. On either side of the central acanthus leaf</w:t>
      </w:r>
      <w:r w:rsidR="006F3EBB">
        <w:rPr>
          <w:lang w:val="en-US"/>
        </w:rPr>
        <w:t>,</w:t>
      </w:r>
      <w:r w:rsidR="006C3E00" w:rsidRPr="00827CD4">
        <w:rPr>
          <w:lang w:val="en-US"/>
        </w:rPr>
        <w:t xml:space="preserve"> open lotus flowers</w:t>
      </w:r>
      <w:r w:rsidR="000B459D" w:rsidRPr="00827CD4">
        <w:rPr>
          <w:lang w:val="en-US"/>
        </w:rPr>
        <w:t xml:space="preserve"> are depicted</w:t>
      </w:r>
      <w:r w:rsidR="006C3E00" w:rsidRPr="00827CD4">
        <w:rPr>
          <w:lang w:val="en-US"/>
        </w:rPr>
        <w:t xml:space="preserve">, an Egyptian element that probably </w:t>
      </w:r>
      <w:r w:rsidR="001C63C4" w:rsidRPr="00827CD4">
        <w:rPr>
          <w:lang w:val="en-US"/>
        </w:rPr>
        <w:t>refers</w:t>
      </w:r>
      <w:r w:rsidR="006C3E00" w:rsidRPr="00827CD4">
        <w:rPr>
          <w:lang w:val="en-US"/>
        </w:rPr>
        <w:t xml:space="preserve"> to the statues to be placed on top of the platform. In accordance with the cultic function of the </w:t>
      </w:r>
      <w:r w:rsidR="00ED4B4F" w:rsidRPr="00ED4B4F">
        <w:rPr>
          <w:lang w:val="en-US"/>
        </w:rPr>
        <w:t>mammisi</w:t>
      </w:r>
      <w:r w:rsidR="006F3EBB">
        <w:rPr>
          <w:lang w:val="en-US"/>
        </w:rPr>
        <w:t>,</w:t>
      </w:r>
      <w:r w:rsidR="006C3E00" w:rsidRPr="00827CD4">
        <w:rPr>
          <w:lang w:val="en-US"/>
        </w:rPr>
        <w:t xml:space="preserve"> it is likely that statues </w:t>
      </w:r>
      <w:r w:rsidR="00DE1F20" w:rsidRPr="00827CD4">
        <w:rPr>
          <w:lang w:val="en-US"/>
        </w:rPr>
        <w:t xml:space="preserve">in Egyptian style </w:t>
      </w:r>
      <w:r w:rsidR="006C3E00" w:rsidRPr="00827CD4">
        <w:rPr>
          <w:lang w:val="en-US"/>
        </w:rPr>
        <w:t>of both Tutu and his mother</w:t>
      </w:r>
      <w:r w:rsidR="006F3EBB">
        <w:rPr>
          <w:lang w:val="en-US"/>
        </w:rPr>
        <w:t>,</w:t>
      </w:r>
      <w:r w:rsidR="006C3E00" w:rsidRPr="00827CD4">
        <w:rPr>
          <w:lang w:val="en-US"/>
        </w:rPr>
        <w:t xml:space="preserve"> Neith</w:t>
      </w:r>
      <w:r w:rsidR="006F3EBB">
        <w:rPr>
          <w:lang w:val="en-US"/>
        </w:rPr>
        <w:t>,</w:t>
      </w:r>
      <w:r w:rsidR="006C3E00" w:rsidRPr="00827CD4">
        <w:rPr>
          <w:lang w:val="en-US"/>
        </w:rPr>
        <w:t xml:space="preserve"> </w:t>
      </w:r>
      <w:r w:rsidR="000B459D" w:rsidRPr="00827CD4">
        <w:rPr>
          <w:lang w:val="en-US"/>
        </w:rPr>
        <w:t xml:space="preserve">were present, </w:t>
      </w:r>
      <w:r w:rsidR="001C63C4" w:rsidRPr="00827CD4">
        <w:rPr>
          <w:lang w:val="en-US"/>
        </w:rPr>
        <w:t>placed</w:t>
      </w:r>
      <w:r w:rsidR="006C3E00" w:rsidRPr="00827CD4">
        <w:rPr>
          <w:lang w:val="en-US"/>
        </w:rPr>
        <w:t xml:space="preserve"> above the two lotus flowers depicted on the apron.</w:t>
      </w:r>
      <w:r w:rsidR="006C3E00" w:rsidRPr="00827CD4">
        <w:rPr>
          <w:rStyle w:val="EndnoteReference"/>
          <w:rFonts w:cs="Times New Roman"/>
          <w:szCs w:val="24"/>
          <w:lang w:val="en-US"/>
        </w:rPr>
        <w:endnoteReference w:id="36"/>
      </w:r>
    </w:p>
    <w:p w14:paraId="4CFFE3B7" w14:textId="2A227F3F" w:rsidR="00150556" w:rsidRDefault="000E07A3" w:rsidP="00B72341">
      <w:pPr>
        <w:rPr>
          <w:lang w:val="en-US"/>
        </w:rPr>
      </w:pPr>
      <w:r w:rsidRPr="009B0E02">
        <w:tab/>
      </w:r>
      <w:r w:rsidR="006C3E00" w:rsidRPr="00827CD4">
        <w:rPr>
          <w:lang w:val="en-US"/>
        </w:rPr>
        <w:t>The combination of lotus flowers with classical</w:t>
      </w:r>
      <w:r w:rsidR="006F3EBB">
        <w:rPr>
          <w:lang w:val="en-US"/>
        </w:rPr>
        <w:t>-</w:t>
      </w:r>
      <w:r w:rsidR="006C3E00" w:rsidRPr="00827CD4">
        <w:rPr>
          <w:lang w:val="en-US"/>
        </w:rPr>
        <w:t xml:space="preserve">style decoration is also found at the bottom of the walls of the </w:t>
      </w:r>
      <w:r w:rsidR="00ED4B4F" w:rsidRPr="00ED4B4F">
        <w:rPr>
          <w:lang w:val="en-US"/>
        </w:rPr>
        <w:t>mammisi</w:t>
      </w:r>
      <w:r w:rsidR="006C3E00" w:rsidRPr="00827CD4">
        <w:rPr>
          <w:lang w:val="en-US"/>
        </w:rPr>
        <w:t>, where a serie</w:t>
      </w:r>
      <w:r w:rsidR="006B0D15" w:rsidRPr="00827CD4">
        <w:rPr>
          <w:lang w:val="en-US"/>
        </w:rPr>
        <w:t>s of broad</w:t>
      </w:r>
      <w:r w:rsidR="00150556">
        <w:rPr>
          <w:lang w:val="en-US"/>
        </w:rPr>
        <w:t>,</w:t>
      </w:r>
      <w:r w:rsidR="006B0D15" w:rsidRPr="00827CD4">
        <w:rPr>
          <w:lang w:val="en-US"/>
        </w:rPr>
        <w:t xml:space="preserve"> elongated panels </w:t>
      </w:r>
      <w:r w:rsidR="00A12E69" w:rsidRPr="00827CD4">
        <w:rPr>
          <w:lang w:val="en-US"/>
        </w:rPr>
        <w:t>were</w:t>
      </w:r>
      <w:r w:rsidR="006B0D15" w:rsidRPr="00827CD4">
        <w:rPr>
          <w:lang w:val="en-US"/>
        </w:rPr>
        <w:t xml:space="preserve"> painted, each </w:t>
      </w:r>
      <w:r w:rsidR="006C3E00" w:rsidRPr="00827CD4">
        <w:rPr>
          <w:lang w:val="en-US"/>
        </w:rPr>
        <w:t>separated by lotus flowers. Evidently the painters of these elements were familiar with Egyptian iconography. This</w:t>
      </w:r>
      <w:r w:rsidR="008B667E">
        <w:rPr>
          <w:lang w:val="en-US"/>
        </w:rPr>
        <w:t xml:space="preserve"> familiarity</w:t>
      </w:r>
      <w:r w:rsidR="006C3E00" w:rsidRPr="00827CD4">
        <w:rPr>
          <w:lang w:val="en-US"/>
        </w:rPr>
        <w:t xml:space="preserve"> is even more apparent from the </w:t>
      </w:r>
      <w:r w:rsidR="00F543D4" w:rsidRPr="00827CD4">
        <w:rPr>
          <w:lang w:val="en-US"/>
        </w:rPr>
        <w:t xml:space="preserve">paintings on the highest part of the </w:t>
      </w:r>
      <w:r w:rsidR="006B0D15" w:rsidRPr="00827CD4">
        <w:rPr>
          <w:lang w:val="en-US"/>
        </w:rPr>
        <w:t xml:space="preserve">vault of the </w:t>
      </w:r>
      <w:r w:rsidR="00ED4B4F" w:rsidRPr="00ED4B4F">
        <w:rPr>
          <w:lang w:val="en-US"/>
        </w:rPr>
        <w:t>mammisi</w:t>
      </w:r>
      <w:r w:rsidR="006B0D15" w:rsidRPr="00827CD4">
        <w:rPr>
          <w:lang w:val="en-US"/>
        </w:rPr>
        <w:t>,</w:t>
      </w:r>
      <w:r w:rsidR="006C3E00" w:rsidRPr="00827CD4">
        <w:rPr>
          <w:lang w:val="en-US"/>
        </w:rPr>
        <w:t xml:space="preserve"> a wide band that spanned the length of the room and that </w:t>
      </w:r>
      <w:r w:rsidR="004372EB" w:rsidRPr="00827CD4">
        <w:rPr>
          <w:lang w:val="en-US"/>
        </w:rPr>
        <w:t>wa</w:t>
      </w:r>
      <w:r w:rsidR="006C3E00" w:rsidRPr="00827CD4">
        <w:rPr>
          <w:lang w:val="en-US"/>
        </w:rPr>
        <w:t xml:space="preserve">s decorated </w:t>
      </w:r>
      <w:r w:rsidR="00150556" w:rsidRPr="00827CD4">
        <w:rPr>
          <w:lang w:val="en-US"/>
        </w:rPr>
        <w:t xml:space="preserve">largely </w:t>
      </w:r>
      <w:r w:rsidR="006C3E00" w:rsidRPr="00827CD4">
        <w:rPr>
          <w:lang w:val="en-US"/>
        </w:rPr>
        <w:t>with paintings in the Roman</w:t>
      </w:r>
      <w:r w:rsidR="00F543D4" w:rsidRPr="00827CD4">
        <w:rPr>
          <w:lang w:val="en-US"/>
        </w:rPr>
        <w:t xml:space="preserve"> tradition</w:t>
      </w:r>
      <w:r w:rsidR="006C3E00" w:rsidRPr="00827CD4">
        <w:rPr>
          <w:lang w:val="en-US"/>
        </w:rPr>
        <w:t xml:space="preserve">. </w:t>
      </w:r>
      <w:r w:rsidR="004449BE" w:rsidRPr="00827CD4">
        <w:rPr>
          <w:lang w:val="en-US"/>
        </w:rPr>
        <w:t>The</w:t>
      </w:r>
      <w:r w:rsidR="00F543D4" w:rsidRPr="00827CD4">
        <w:rPr>
          <w:lang w:val="en-US"/>
        </w:rPr>
        <w:t xml:space="preserve"> </w:t>
      </w:r>
      <w:r w:rsidR="006B0D15" w:rsidRPr="00827CD4">
        <w:rPr>
          <w:lang w:val="en-US"/>
        </w:rPr>
        <w:t>three large</w:t>
      </w:r>
      <w:r w:rsidR="004449BE" w:rsidRPr="00827CD4">
        <w:rPr>
          <w:lang w:val="en-US"/>
        </w:rPr>
        <w:t xml:space="preserve"> patterns </w:t>
      </w:r>
      <w:r w:rsidR="00F543D4" w:rsidRPr="00827CD4">
        <w:rPr>
          <w:lang w:val="en-US"/>
        </w:rPr>
        <w:t xml:space="preserve">on this band </w:t>
      </w:r>
      <w:r w:rsidR="004449BE" w:rsidRPr="00827CD4">
        <w:rPr>
          <w:lang w:val="en-US"/>
        </w:rPr>
        <w:t>are familiar from the classical repertoire</w:t>
      </w:r>
      <w:r w:rsidR="006B0D15" w:rsidRPr="00827CD4">
        <w:rPr>
          <w:lang w:val="en-US"/>
        </w:rPr>
        <w:t xml:space="preserve"> as</w:t>
      </w:r>
      <w:r w:rsidR="004449BE" w:rsidRPr="00827CD4">
        <w:rPr>
          <w:lang w:val="en-US"/>
        </w:rPr>
        <w:t xml:space="preserve"> known from </w:t>
      </w:r>
      <w:r w:rsidR="004372EB" w:rsidRPr="00827CD4">
        <w:rPr>
          <w:lang w:val="en-US"/>
        </w:rPr>
        <w:t xml:space="preserve">the walls of </w:t>
      </w:r>
      <w:r w:rsidR="004449BE" w:rsidRPr="00827CD4">
        <w:rPr>
          <w:lang w:val="en-US"/>
        </w:rPr>
        <w:t>houses and public buildings,</w:t>
      </w:r>
      <w:r w:rsidR="004449BE" w:rsidRPr="00827CD4">
        <w:rPr>
          <w:rStyle w:val="EndnoteReference"/>
          <w:rFonts w:cs="Times New Roman"/>
          <w:szCs w:val="24"/>
          <w:lang w:val="en-US"/>
        </w:rPr>
        <w:endnoteReference w:id="37"/>
      </w:r>
      <w:r w:rsidR="004449BE" w:rsidRPr="00827CD4">
        <w:rPr>
          <w:lang w:val="en-US"/>
        </w:rPr>
        <w:t xml:space="preserve"> but the </w:t>
      </w:r>
      <w:r w:rsidR="006C3E00" w:rsidRPr="00827CD4">
        <w:rPr>
          <w:lang w:val="en-US"/>
        </w:rPr>
        <w:t xml:space="preserve">central element </w:t>
      </w:r>
      <w:r w:rsidR="004449BE" w:rsidRPr="00827CD4">
        <w:rPr>
          <w:lang w:val="en-US"/>
        </w:rPr>
        <w:t xml:space="preserve">is </w:t>
      </w:r>
      <w:r w:rsidR="006B0D15" w:rsidRPr="00827CD4">
        <w:rPr>
          <w:lang w:val="en-US"/>
        </w:rPr>
        <w:t>more complicated</w:t>
      </w:r>
      <w:r w:rsidR="004449BE" w:rsidRPr="00827CD4">
        <w:rPr>
          <w:lang w:val="en-US"/>
        </w:rPr>
        <w:t xml:space="preserve">. This pattern </w:t>
      </w:r>
      <w:r w:rsidR="006C3E00" w:rsidRPr="00827CD4">
        <w:rPr>
          <w:lang w:val="en-US"/>
        </w:rPr>
        <w:t xml:space="preserve">was </w:t>
      </w:r>
      <w:r w:rsidR="004449BE" w:rsidRPr="00827CD4">
        <w:rPr>
          <w:lang w:val="en-US"/>
        </w:rPr>
        <w:t xml:space="preserve">constructed </w:t>
      </w:r>
      <w:r w:rsidR="004372EB" w:rsidRPr="00827CD4">
        <w:rPr>
          <w:lang w:val="en-US"/>
        </w:rPr>
        <w:t>around</w:t>
      </w:r>
      <w:r w:rsidR="004449BE" w:rsidRPr="00827CD4">
        <w:rPr>
          <w:lang w:val="en-US"/>
        </w:rPr>
        <w:t xml:space="preserve"> </w:t>
      </w:r>
      <w:r w:rsidR="006C3E00" w:rsidRPr="00827CD4">
        <w:rPr>
          <w:lang w:val="en-US"/>
        </w:rPr>
        <w:t xml:space="preserve">a large </w:t>
      </w:r>
      <w:r w:rsidR="004372EB" w:rsidRPr="00827CD4">
        <w:rPr>
          <w:lang w:val="en-US"/>
        </w:rPr>
        <w:t xml:space="preserve">circular </w:t>
      </w:r>
      <w:r w:rsidR="00225302" w:rsidRPr="00827CD4">
        <w:rPr>
          <w:lang w:val="en-US"/>
        </w:rPr>
        <w:t>element</w:t>
      </w:r>
      <w:r w:rsidR="006C3E00" w:rsidRPr="00827CD4">
        <w:rPr>
          <w:lang w:val="en-US"/>
        </w:rPr>
        <w:t xml:space="preserve"> of radiating scales or feathers, which is more familiar from mosaic floors.</w:t>
      </w:r>
      <w:r w:rsidR="006C3E00" w:rsidRPr="00827CD4">
        <w:rPr>
          <w:rStyle w:val="EndnoteReference"/>
          <w:rFonts w:cs="Times New Roman"/>
          <w:szCs w:val="24"/>
          <w:lang w:val="en-US"/>
        </w:rPr>
        <w:endnoteReference w:id="38"/>
      </w:r>
      <w:r w:rsidR="006C3E00" w:rsidRPr="00827CD4">
        <w:rPr>
          <w:lang w:val="en-US"/>
        </w:rPr>
        <w:t xml:space="preserve"> At the heart of this circular feature was probably a painted bust of Isis, of which </w:t>
      </w:r>
      <w:r w:rsidR="00843E32" w:rsidRPr="00827CD4">
        <w:rPr>
          <w:lang w:val="en-US"/>
        </w:rPr>
        <w:t>only a part</w:t>
      </w:r>
      <w:r w:rsidR="006C3E00" w:rsidRPr="00827CD4">
        <w:rPr>
          <w:lang w:val="en-US"/>
        </w:rPr>
        <w:t xml:space="preserve"> remain</w:t>
      </w:r>
      <w:r w:rsidR="00843E32" w:rsidRPr="00827CD4">
        <w:rPr>
          <w:lang w:val="en-US"/>
        </w:rPr>
        <w:t>s</w:t>
      </w:r>
      <w:r w:rsidR="006C3E00" w:rsidRPr="00827CD4">
        <w:rPr>
          <w:lang w:val="en-US"/>
        </w:rPr>
        <w:t xml:space="preserve">. The circle is </w:t>
      </w:r>
      <w:r w:rsidR="00225302" w:rsidRPr="00827CD4">
        <w:rPr>
          <w:lang w:val="en-US"/>
        </w:rPr>
        <w:t>surrounded</w:t>
      </w:r>
      <w:r w:rsidR="006C3E00" w:rsidRPr="00827CD4">
        <w:rPr>
          <w:lang w:val="en-US"/>
        </w:rPr>
        <w:t xml:space="preserve"> in the four corners </w:t>
      </w:r>
      <w:r w:rsidR="00225302" w:rsidRPr="00827CD4">
        <w:rPr>
          <w:lang w:val="en-US"/>
        </w:rPr>
        <w:t xml:space="preserve">of the pattern </w:t>
      </w:r>
      <w:r w:rsidR="00843E32" w:rsidRPr="00827CD4">
        <w:rPr>
          <w:lang w:val="en-US"/>
        </w:rPr>
        <w:t>by four</w:t>
      </w:r>
      <w:r w:rsidR="006C3E00" w:rsidRPr="00827CD4">
        <w:rPr>
          <w:lang w:val="en-US"/>
        </w:rPr>
        <w:t xml:space="preserve"> seated goddess</w:t>
      </w:r>
      <w:r w:rsidR="00843E32" w:rsidRPr="00827CD4">
        <w:rPr>
          <w:lang w:val="en-US"/>
        </w:rPr>
        <w:t>es</w:t>
      </w:r>
      <w:r w:rsidR="006C3E00" w:rsidRPr="00827CD4">
        <w:rPr>
          <w:lang w:val="en-US"/>
        </w:rPr>
        <w:t xml:space="preserve"> </w:t>
      </w:r>
      <w:r w:rsidR="00225302" w:rsidRPr="00827CD4">
        <w:rPr>
          <w:lang w:val="en-US"/>
        </w:rPr>
        <w:t xml:space="preserve">set amid a sprinkle of </w:t>
      </w:r>
      <w:r w:rsidR="006C3E00" w:rsidRPr="00827CD4">
        <w:rPr>
          <w:lang w:val="en-US"/>
        </w:rPr>
        <w:t>white flowers on a green ground that visually suggest</w:t>
      </w:r>
      <w:r w:rsidR="00843E32" w:rsidRPr="00827CD4">
        <w:rPr>
          <w:lang w:val="en-US"/>
        </w:rPr>
        <w:t xml:space="preserve">s a sky with stars </w:t>
      </w:r>
      <w:r w:rsidR="00843E32" w:rsidRPr="00EE2EDB">
        <w:rPr>
          <w:highlight w:val="yellow"/>
          <w:lang w:val="en-US"/>
        </w:rPr>
        <w:t>(</w:t>
      </w:r>
      <w:r w:rsidR="00EE2EDB" w:rsidRPr="00EE2EDB">
        <w:rPr>
          <w:highlight w:val="yellow"/>
          <w:lang w:val="en-US"/>
        </w:rPr>
        <w:t>f</w:t>
      </w:r>
      <w:r w:rsidR="00843E32" w:rsidRPr="00EE2EDB">
        <w:rPr>
          <w:highlight w:val="yellow"/>
          <w:lang w:val="en-US"/>
        </w:rPr>
        <w:t>ig</w:t>
      </w:r>
      <w:r w:rsidR="00EE2EDB" w:rsidRPr="00EE2EDB">
        <w:rPr>
          <w:highlight w:val="yellow"/>
          <w:lang w:val="en-US"/>
        </w:rPr>
        <w:t>.</w:t>
      </w:r>
      <w:r w:rsidR="006C3E00" w:rsidRPr="00EE2EDB">
        <w:rPr>
          <w:highlight w:val="yellow"/>
          <w:lang w:val="en-US"/>
        </w:rPr>
        <w:t xml:space="preserve"> </w:t>
      </w:r>
      <w:r w:rsidR="007A483E">
        <w:rPr>
          <w:highlight w:val="yellow"/>
          <w:lang w:val="en-US"/>
        </w:rPr>
        <w:t>5.5</w:t>
      </w:r>
      <w:r w:rsidR="006C3E00" w:rsidRPr="00EE2EDB">
        <w:rPr>
          <w:highlight w:val="yellow"/>
          <w:lang w:val="en-US"/>
        </w:rPr>
        <w:t>)</w:t>
      </w:r>
      <w:r w:rsidR="006C3E00" w:rsidRPr="00827CD4">
        <w:rPr>
          <w:lang w:val="en-US"/>
        </w:rPr>
        <w:t xml:space="preserve">. One </w:t>
      </w:r>
      <w:r w:rsidR="006C3E00" w:rsidRPr="00827CD4">
        <w:rPr>
          <w:lang w:val="en-US"/>
        </w:rPr>
        <w:lastRenderedPageBreak/>
        <w:t xml:space="preserve">of these </w:t>
      </w:r>
      <w:r w:rsidR="00225302" w:rsidRPr="00827CD4">
        <w:rPr>
          <w:lang w:val="en-US"/>
        </w:rPr>
        <w:t>corner</w:t>
      </w:r>
      <w:r w:rsidR="00843E32" w:rsidRPr="00827CD4">
        <w:rPr>
          <w:lang w:val="en-US"/>
        </w:rPr>
        <w:t xml:space="preserve"> figure</w:t>
      </w:r>
      <w:r w:rsidR="00225302" w:rsidRPr="00827CD4">
        <w:rPr>
          <w:lang w:val="en-US"/>
        </w:rPr>
        <w:t xml:space="preserve">s </w:t>
      </w:r>
      <w:r w:rsidR="006C3E00" w:rsidRPr="00827CD4">
        <w:rPr>
          <w:lang w:val="en-US"/>
        </w:rPr>
        <w:t>has been re</w:t>
      </w:r>
      <w:r w:rsidR="00843E32" w:rsidRPr="00827CD4">
        <w:rPr>
          <w:lang w:val="en-US"/>
        </w:rPr>
        <w:t xml:space="preserve">constructed from fragments </w:t>
      </w:r>
      <w:r w:rsidR="00843E32" w:rsidRPr="00EE2EDB">
        <w:rPr>
          <w:highlight w:val="yellow"/>
          <w:lang w:val="en-US"/>
        </w:rPr>
        <w:t>(</w:t>
      </w:r>
      <w:r w:rsidR="00EE2EDB" w:rsidRPr="00EE2EDB">
        <w:rPr>
          <w:highlight w:val="yellow"/>
          <w:lang w:val="en-US"/>
        </w:rPr>
        <w:t>f</w:t>
      </w:r>
      <w:r w:rsidR="00843E32" w:rsidRPr="00EE2EDB">
        <w:rPr>
          <w:highlight w:val="yellow"/>
          <w:lang w:val="en-US"/>
        </w:rPr>
        <w:t>ig</w:t>
      </w:r>
      <w:r w:rsidR="00EE2EDB" w:rsidRPr="00EE2EDB">
        <w:rPr>
          <w:highlight w:val="yellow"/>
          <w:lang w:val="en-US"/>
        </w:rPr>
        <w:t>.</w:t>
      </w:r>
      <w:r w:rsidR="006C3E00" w:rsidRPr="00EE2EDB">
        <w:rPr>
          <w:highlight w:val="yellow"/>
          <w:lang w:val="en-US"/>
        </w:rPr>
        <w:t xml:space="preserve"> </w:t>
      </w:r>
      <w:r w:rsidR="007A483E">
        <w:rPr>
          <w:highlight w:val="yellow"/>
          <w:lang w:val="en-US"/>
        </w:rPr>
        <w:t>5.6</w:t>
      </w:r>
      <w:r w:rsidR="006C3E00" w:rsidRPr="00EE2EDB">
        <w:rPr>
          <w:highlight w:val="yellow"/>
          <w:lang w:val="en-US"/>
        </w:rPr>
        <w:t>)</w:t>
      </w:r>
      <w:r w:rsidR="006C3E00" w:rsidRPr="00827CD4">
        <w:rPr>
          <w:lang w:val="en-US"/>
        </w:rPr>
        <w:t>.</w:t>
      </w:r>
      <w:r w:rsidR="006C3E00" w:rsidRPr="00827CD4">
        <w:rPr>
          <w:rStyle w:val="EndnoteReference"/>
          <w:rFonts w:cs="Times New Roman"/>
          <w:szCs w:val="24"/>
          <w:lang w:val="en-US"/>
        </w:rPr>
        <w:endnoteReference w:id="39"/>
      </w:r>
      <w:r w:rsidR="006C3E00" w:rsidRPr="00827CD4">
        <w:rPr>
          <w:lang w:val="en-US"/>
        </w:rPr>
        <w:t xml:space="preserve"> </w:t>
      </w:r>
      <w:r w:rsidR="00482CAE" w:rsidRPr="00827CD4">
        <w:rPr>
          <w:lang w:val="en-US"/>
        </w:rPr>
        <w:t xml:space="preserve">The </w:t>
      </w:r>
      <w:r w:rsidR="00843E32" w:rsidRPr="00827CD4">
        <w:rPr>
          <w:lang w:val="en-US"/>
        </w:rPr>
        <w:t>appearance and system of representation (style)</w:t>
      </w:r>
      <w:r w:rsidR="006C3E00" w:rsidRPr="00827CD4">
        <w:rPr>
          <w:lang w:val="en-US"/>
        </w:rPr>
        <w:t xml:space="preserve"> of the goddesses</w:t>
      </w:r>
      <w:r w:rsidR="00482CAE" w:rsidRPr="00827CD4">
        <w:rPr>
          <w:lang w:val="en-US"/>
        </w:rPr>
        <w:t xml:space="preserve"> is purely Egyptian</w:t>
      </w:r>
      <w:r w:rsidR="006C3E00" w:rsidRPr="00827CD4">
        <w:rPr>
          <w:lang w:val="en-US"/>
        </w:rPr>
        <w:t xml:space="preserve">, </w:t>
      </w:r>
      <w:r w:rsidR="006F3EBB">
        <w:rPr>
          <w:lang w:val="en-US"/>
        </w:rPr>
        <w:t>with</w:t>
      </w:r>
      <w:r w:rsidR="00482CAE" w:rsidRPr="00827CD4">
        <w:rPr>
          <w:lang w:val="en-US"/>
        </w:rPr>
        <w:t xml:space="preserve"> </w:t>
      </w:r>
      <w:r w:rsidR="004372EB" w:rsidRPr="00827CD4">
        <w:rPr>
          <w:lang w:val="en-US"/>
        </w:rPr>
        <w:t xml:space="preserve">tight </w:t>
      </w:r>
      <w:r w:rsidR="00482CAE" w:rsidRPr="00827CD4">
        <w:rPr>
          <w:lang w:val="en-US"/>
        </w:rPr>
        <w:t xml:space="preserve">red dresses and long black hair, but </w:t>
      </w:r>
      <w:r w:rsidR="006C3E00" w:rsidRPr="00827CD4">
        <w:rPr>
          <w:lang w:val="en-US"/>
        </w:rPr>
        <w:t xml:space="preserve">the </w:t>
      </w:r>
      <w:r w:rsidR="00225302" w:rsidRPr="00827CD4">
        <w:rPr>
          <w:lang w:val="en-US"/>
        </w:rPr>
        <w:t>circular</w:t>
      </w:r>
      <w:r w:rsidR="00482CAE" w:rsidRPr="00827CD4">
        <w:rPr>
          <w:lang w:val="en-US"/>
        </w:rPr>
        <w:t xml:space="preserve"> part </w:t>
      </w:r>
      <w:r w:rsidR="006C3E00" w:rsidRPr="00827CD4">
        <w:rPr>
          <w:lang w:val="en-US"/>
        </w:rPr>
        <w:t xml:space="preserve">of the painting is in the Roman </w:t>
      </w:r>
      <w:r w:rsidR="00225302" w:rsidRPr="00827CD4">
        <w:rPr>
          <w:lang w:val="en-US"/>
        </w:rPr>
        <w:t>system of representation</w:t>
      </w:r>
      <w:r w:rsidR="00482CAE" w:rsidRPr="00827CD4">
        <w:rPr>
          <w:lang w:val="en-US"/>
        </w:rPr>
        <w:t xml:space="preserve">, </w:t>
      </w:r>
      <w:r w:rsidR="00225302" w:rsidRPr="00827CD4">
        <w:rPr>
          <w:lang w:val="en-US"/>
        </w:rPr>
        <w:t>even</w:t>
      </w:r>
      <w:r w:rsidR="00482CAE" w:rsidRPr="00827CD4">
        <w:rPr>
          <w:lang w:val="en-US"/>
        </w:rPr>
        <w:t xml:space="preserve"> when it </w:t>
      </w:r>
      <w:r w:rsidR="00843E32" w:rsidRPr="00827CD4">
        <w:rPr>
          <w:lang w:val="en-US"/>
        </w:rPr>
        <w:t>includes</w:t>
      </w:r>
      <w:r w:rsidR="00482CAE" w:rsidRPr="00827CD4">
        <w:rPr>
          <w:lang w:val="en-US"/>
        </w:rPr>
        <w:t xml:space="preserve"> Isis as its </w:t>
      </w:r>
      <w:r w:rsidR="004372EB" w:rsidRPr="00827CD4">
        <w:rPr>
          <w:lang w:val="en-US"/>
        </w:rPr>
        <w:t xml:space="preserve">core </w:t>
      </w:r>
      <w:r w:rsidR="00482CAE" w:rsidRPr="00827CD4">
        <w:rPr>
          <w:lang w:val="en-US"/>
        </w:rPr>
        <w:t>image</w:t>
      </w:r>
      <w:r w:rsidR="006C3E00" w:rsidRPr="00827CD4">
        <w:rPr>
          <w:lang w:val="en-US"/>
        </w:rPr>
        <w:t>.</w:t>
      </w:r>
    </w:p>
    <w:p w14:paraId="19EA1A81" w14:textId="6B0107E9" w:rsidR="00E14E9B" w:rsidRPr="00827CD4" w:rsidRDefault="00150556" w:rsidP="00B72341">
      <w:pPr>
        <w:rPr>
          <w:lang w:val="en-US"/>
        </w:rPr>
      </w:pPr>
      <w:r w:rsidRPr="009B0E02">
        <w:tab/>
      </w:r>
      <w:r w:rsidR="008B399C" w:rsidRPr="00827CD4">
        <w:rPr>
          <w:lang w:val="en-US"/>
        </w:rPr>
        <w:t>The most remarkable aspect of this painting is the way that the ancient artist(s) took two familiar designs from two different artistic traditions and merged them into a new</w:t>
      </w:r>
      <w:r w:rsidR="00A12E69" w:rsidRPr="00827CD4">
        <w:rPr>
          <w:lang w:val="en-US"/>
        </w:rPr>
        <w:t>,</w:t>
      </w:r>
      <w:r w:rsidR="008B399C" w:rsidRPr="00827CD4">
        <w:rPr>
          <w:lang w:val="en-US"/>
        </w:rPr>
        <w:t xml:space="preserve"> powerful </w:t>
      </w:r>
      <w:r w:rsidR="004372EB" w:rsidRPr="00827CD4">
        <w:rPr>
          <w:lang w:val="en-US"/>
        </w:rPr>
        <w:t>image</w:t>
      </w:r>
      <w:r w:rsidR="008B399C" w:rsidRPr="00827CD4">
        <w:rPr>
          <w:lang w:val="en-US"/>
        </w:rPr>
        <w:t xml:space="preserve">. </w:t>
      </w:r>
      <w:r w:rsidR="006C3E00" w:rsidRPr="00827CD4">
        <w:rPr>
          <w:lang w:val="en-US"/>
        </w:rPr>
        <w:t xml:space="preserve">The juxtaposition of the two styles </w:t>
      </w:r>
      <w:r w:rsidR="004372EB" w:rsidRPr="00827CD4">
        <w:rPr>
          <w:lang w:val="en-US"/>
        </w:rPr>
        <w:t xml:space="preserve">has added </w:t>
      </w:r>
      <w:r w:rsidR="00843E32" w:rsidRPr="00827CD4">
        <w:rPr>
          <w:lang w:val="en-US"/>
        </w:rPr>
        <w:t xml:space="preserve">a new layer of </w:t>
      </w:r>
      <w:r w:rsidR="004372EB" w:rsidRPr="00827CD4">
        <w:rPr>
          <w:lang w:val="en-US"/>
        </w:rPr>
        <w:t xml:space="preserve">meaning to the </w:t>
      </w:r>
      <w:r w:rsidR="006C3E00" w:rsidRPr="00827CD4">
        <w:rPr>
          <w:lang w:val="en-US"/>
        </w:rPr>
        <w:t>circular mosaic pattern</w:t>
      </w:r>
      <w:r w:rsidR="004372EB" w:rsidRPr="00827CD4">
        <w:rPr>
          <w:lang w:val="en-US"/>
        </w:rPr>
        <w:t xml:space="preserve"> </w:t>
      </w:r>
      <w:r w:rsidR="00843E32" w:rsidRPr="00827CD4">
        <w:rPr>
          <w:lang w:val="en-US"/>
        </w:rPr>
        <w:t>by turning it into</w:t>
      </w:r>
      <w:r w:rsidR="004372EB" w:rsidRPr="00827CD4">
        <w:rPr>
          <w:lang w:val="en-US"/>
        </w:rPr>
        <w:t xml:space="preserve"> </w:t>
      </w:r>
      <w:r w:rsidR="006C3E00" w:rsidRPr="00827CD4">
        <w:rPr>
          <w:lang w:val="en-US"/>
        </w:rPr>
        <w:t>an image of the sky held up by the four supports of heaven. The latter are well</w:t>
      </w:r>
      <w:r w:rsidR="00A6057E">
        <w:rPr>
          <w:lang w:val="en-US"/>
        </w:rPr>
        <w:t xml:space="preserve"> </w:t>
      </w:r>
      <w:r w:rsidR="006C3E00" w:rsidRPr="00827CD4">
        <w:rPr>
          <w:lang w:val="en-US"/>
        </w:rPr>
        <w:t>known from circular images of the zodiac</w:t>
      </w:r>
      <w:r w:rsidR="004372EB" w:rsidRPr="00827CD4">
        <w:rPr>
          <w:lang w:val="en-US"/>
        </w:rPr>
        <w:t xml:space="preserve"> in Egypt</w:t>
      </w:r>
      <w:r w:rsidR="006C3E00" w:rsidRPr="00827CD4">
        <w:rPr>
          <w:lang w:val="en-US"/>
        </w:rPr>
        <w:t xml:space="preserve">, such as the one from Dendera now in the </w:t>
      </w:r>
      <w:r w:rsidR="00A12E69" w:rsidRPr="00A6057E">
        <w:rPr>
          <w:lang w:val="fr-FR"/>
        </w:rPr>
        <w:t xml:space="preserve">Musée du </w:t>
      </w:r>
      <w:r w:rsidR="006C3E00" w:rsidRPr="00A6057E">
        <w:rPr>
          <w:lang w:val="fr-FR"/>
        </w:rPr>
        <w:t>Louvre</w:t>
      </w:r>
      <w:r w:rsidR="00A53EB3">
        <w:rPr>
          <w:lang w:val="en-US"/>
        </w:rPr>
        <w:t xml:space="preserve">, </w:t>
      </w:r>
      <w:r w:rsidR="006F3EBB">
        <w:rPr>
          <w:lang w:val="en-US"/>
        </w:rPr>
        <w:t>Paris,</w:t>
      </w:r>
      <w:r w:rsidR="006C3E00" w:rsidRPr="00827CD4">
        <w:rPr>
          <w:rStyle w:val="EndnoteReference"/>
          <w:rFonts w:cs="Times New Roman"/>
          <w:szCs w:val="24"/>
          <w:lang w:val="en-US"/>
        </w:rPr>
        <w:endnoteReference w:id="40"/>
      </w:r>
      <w:r w:rsidR="006C3E00" w:rsidRPr="00827CD4">
        <w:rPr>
          <w:lang w:val="en-US"/>
        </w:rPr>
        <w:t xml:space="preserve"> and </w:t>
      </w:r>
      <w:r w:rsidR="008B399C" w:rsidRPr="00827CD4">
        <w:rPr>
          <w:lang w:val="en-US"/>
        </w:rPr>
        <w:t xml:space="preserve">the ceilings of </w:t>
      </w:r>
      <w:r w:rsidR="006C3E00" w:rsidRPr="00827CD4">
        <w:rPr>
          <w:lang w:val="en-US"/>
        </w:rPr>
        <w:t>two painted tomb</w:t>
      </w:r>
      <w:r w:rsidR="008B399C" w:rsidRPr="00827CD4">
        <w:rPr>
          <w:lang w:val="en-US"/>
        </w:rPr>
        <w:t>s</w:t>
      </w:r>
      <w:r w:rsidR="006C3E00" w:rsidRPr="00827CD4">
        <w:rPr>
          <w:lang w:val="en-US"/>
        </w:rPr>
        <w:t xml:space="preserve"> in </w:t>
      </w:r>
      <w:r w:rsidR="00A6057E">
        <w:rPr>
          <w:lang w:val="en-US"/>
        </w:rPr>
        <w:t>Qarat e</w:t>
      </w:r>
      <w:r w:rsidR="006C3E00" w:rsidRPr="00827CD4">
        <w:rPr>
          <w:lang w:val="en-US"/>
        </w:rPr>
        <w:t>l-Muzawwaqa</w:t>
      </w:r>
      <w:r w:rsidR="006F3EBB">
        <w:rPr>
          <w:lang w:val="en-US"/>
        </w:rPr>
        <w:t>,</w:t>
      </w:r>
      <w:r w:rsidR="006C3E00" w:rsidRPr="00827CD4">
        <w:rPr>
          <w:lang w:val="en-US"/>
        </w:rPr>
        <w:t xml:space="preserve"> in Dakhla Oasis.</w:t>
      </w:r>
      <w:r w:rsidR="006C3E00" w:rsidRPr="00827CD4">
        <w:rPr>
          <w:rStyle w:val="EndnoteReference"/>
          <w:rFonts w:cs="Times New Roman"/>
          <w:szCs w:val="24"/>
          <w:lang w:val="en-US"/>
        </w:rPr>
        <w:endnoteReference w:id="41"/>
      </w:r>
      <w:r w:rsidR="006C3E00" w:rsidRPr="00827CD4">
        <w:rPr>
          <w:lang w:val="en-US"/>
        </w:rPr>
        <w:t xml:space="preserve"> One of the latter, </w:t>
      </w:r>
      <w:r w:rsidR="00037C21">
        <w:rPr>
          <w:lang w:val="en-US"/>
        </w:rPr>
        <w:t xml:space="preserve">in </w:t>
      </w:r>
      <w:r w:rsidR="006C3E00" w:rsidRPr="00827CD4">
        <w:rPr>
          <w:lang w:val="en-US"/>
        </w:rPr>
        <w:t xml:space="preserve">the tomb of Petubastis, has the goddesses in the same posture as </w:t>
      </w:r>
      <w:r w:rsidR="00843E32" w:rsidRPr="00827CD4">
        <w:rPr>
          <w:lang w:val="en-US"/>
        </w:rPr>
        <w:t xml:space="preserve">in </w:t>
      </w:r>
      <w:r w:rsidR="006C3E00" w:rsidRPr="00827CD4">
        <w:rPr>
          <w:lang w:val="en-US"/>
        </w:rPr>
        <w:t>the Kellis painting</w:t>
      </w:r>
      <w:r w:rsidR="00843E32" w:rsidRPr="00827CD4">
        <w:rPr>
          <w:lang w:val="en-US"/>
        </w:rPr>
        <w:t xml:space="preserve"> and set against a background of stars</w:t>
      </w:r>
      <w:r w:rsidR="00B42937" w:rsidRPr="00827CD4">
        <w:rPr>
          <w:lang w:val="en-US"/>
        </w:rPr>
        <w:t xml:space="preserve">, but the circular zodiac they are supporting is rendered </w:t>
      </w:r>
      <w:r w:rsidR="00E14E9B" w:rsidRPr="00827CD4">
        <w:rPr>
          <w:lang w:val="en-US"/>
        </w:rPr>
        <w:t xml:space="preserve">according to </w:t>
      </w:r>
      <w:r w:rsidR="00B42937" w:rsidRPr="00827CD4">
        <w:rPr>
          <w:lang w:val="en-US"/>
        </w:rPr>
        <w:t xml:space="preserve">the Egyptian </w:t>
      </w:r>
      <w:r w:rsidR="00225302" w:rsidRPr="00827CD4">
        <w:rPr>
          <w:lang w:val="en-US"/>
        </w:rPr>
        <w:t>system of representation</w:t>
      </w:r>
      <w:r w:rsidR="006C3E00" w:rsidRPr="00827CD4">
        <w:rPr>
          <w:lang w:val="en-US"/>
        </w:rPr>
        <w:t>.</w:t>
      </w:r>
      <w:r w:rsidR="006C3E00" w:rsidRPr="00827CD4">
        <w:rPr>
          <w:rStyle w:val="EndnoteReference"/>
          <w:rFonts w:cs="Times New Roman"/>
          <w:szCs w:val="24"/>
          <w:lang w:val="en-US"/>
        </w:rPr>
        <w:endnoteReference w:id="42"/>
      </w:r>
    </w:p>
    <w:p w14:paraId="7ACB2F3F" w14:textId="7C851725" w:rsidR="00B42937" w:rsidRPr="00827CD4" w:rsidRDefault="000E07A3" w:rsidP="00B72341">
      <w:pPr>
        <w:rPr>
          <w:lang w:val="en-US"/>
        </w:rPr>
      </w:pPr>
      <w:r w:rsidRPr="009B0E02">
        <w:tab/>
      </w:r>
      <w:r w:rsidR="00B42937" w:rsidRPr="00827CD4">
        <w:rPr>
          <w:lang w:val="en-US"/>
        </w:rPr>
        <w:t>The Kellis painting demonstrates a high level of artistic freedom and an originality of design that is unparalleled in Egypt</w:t>
      </w:r>
      <w:r w:rsidR="00843E32" w:rsidRPr="00827CD4">
        <w:rPr>
          <w:lang w:val="en-US"/>
        </w:rPr>
        <w:t>ian temples</w:t>
      </w:r>
      <w:r w:rsidR="00B42937" w:rsidRPr="00827CD4">
        <w:rPr>
          <w:lang w:val="en-US"/>
        </w:rPr>
        <w:t xml:space="preserve">. The combination of two </w:t>
      </w:r>
      <w:r w:rsidR="00FC46C0" w:rsidRPr="00827CD4">
        <w:rPr>
          <w:lang w:val="en-US"/>
        </w:rPr>
        <w:t>systems of representation</w:t>
      </w:r>
      <w:r w:rsidR="00B42937" w:rsidRPr="00827CD4">
        <w:rPr>
          <w:lang w:val="en-US"/>
        </w:rPr>
        <w:t xml:space="preserve">, the Egyptian and the </w:t>
      </w:r>
      <w:r w:rsidR="00CE1608" w:rsidRPr="00827CD4">
        <w:rPr>
          <w:lang w:val="en-US"/>
        </w:rPr>
        <w:t>Hellenistic</w:t>
      </w:r>
      <w:r w:rsidR="00400419" w:rsidRPr="00827CD4">
        <w:rPr>
          <w:lang w:val="en-US"/>
        </w:rPr>
        <w:t xml:space="preserve"> or </w:t>
      </w:r>
      <w:r w:rsidR="00B42937" w:rsidRPr="00827CD4">
        <w:rPr>
          <w:lang w:val="en-US"/>
        </w:rPr>
        <w:t xml:space="preserve">Roman, </w:t>
      </w:r>
      <w:r w:rsidR="00566265" w:rsidRPr="00827CD4">
        <w:rPr>
          <w:lang w:val="en-US"/>
        </w:rPr>
        <w:t>is familiar from tomb decoration in Roman Egypt,</w:t>
      </w:r>
      <w:r w:rsidR="00566265" w:rsidRPr="00827CD4">
        <w:rPr>
          <w:rStyle w:val="EndnoteReference"/>
          <w:rFonts w:cs="Times New Roman"/>
          <w:szCs w:val="24"/>
          <w:lang w:val="en-US"/>
        </w:rPr>
        <w:endnoteReference w:id="43"/>
      </w:r>
      <w:r w:rsidR="00400419" w:rsidRPr="00827CD4">
        <w:rPr>
          <w:lang w:val="en-US"/>
        </w:rPr>
        <w:t xml:space="preserve"> in which the religious content of the tomb or </w:t>
      </w:r>
      <w:r w:rsidR="00E14E9B" w:rsidRPr="00827CD4">
        <w:rPr>
          <w:lang w:val="en-US"/>
        </w:rPr>
        <w:t xml:space="preserve">an </w:t>
      </w:r>
      <w:r w:rsidR="00400419" w:rsidRPr="00827CD4">
        <w:rPr>
          <w:lang w:val="en-US"/>
        </w:rPr>
        <w:t>item of tomb equipment</w:t>
      </w:r>
      <w:r w:rsidR="0075083F">
        <w:rPr>
          <w:lang w:val="en-US"/>
        </w:rPr>
        <w:t>,</w:t>
      </w:r>
      <w:r w:rsidR="00400419" w:rsidRPr="00827CD4">
        <w:rPr>
          <w:lang w:val="en-US"/>
        </w:rPr>
        <w:t xml:space="preserve"> such as a shroud or a coffin, was made according to Egyptian conventions, </w:t>
      </w:r>
      <w:r w:rsidR="00843E32" w:rsidRPr="00827CD4">
        <w:rPr>
          <w:lang w:val="en-US"/>
        </w:rPr>
        <w:t>whereas</w:t>
      </w:r>
      <w:r w:rsidR="00E14E9B" w:rsidRPr="00827CD4">
        <w:rPr>
          <w:lang w:val="en-US"/>
        </w:rPr>
        <w:t xml:space="preserve"> </w:t>
      </w:r>
      <w:r w:rsidR="00400419" w:rsidRPr="00827CD4">
        <w:rPr>
          <w:lang w:val="en-US"/>
        </w:rPr>
        <w:t xml:space="preserve">the individual </w:t>
      </w:r>
      <w:r w:rsidR="00E14E9B" w:rsidRPr="00827CD4">
        <w:rPr>
          <w:lang w:val="en-US"/>
        </w:rPr>
        <w:t>who was</w:t>
      </w:r>
      <w:r w:rsidR="00400419" w:rsidRPr="00827CD4">
        <w:rPr>
          <w:lang w:val="en-US"/>
        </w:rPr>
        <w:t xml:space="preserve"> the </w:t>
      </w:r>
      <w:r w:rsidR="00644486" w:rsidRPr="00827CD4">
        <w:rPr>
          <w:lang w:val="en-US"/>
        </w:rPr>
        <w:t xml:space="preserve">focal point of the </w:t>
      </w:r>
      <w:r w:rsidR="00E14E9B" w:rsidRPr="00827CD4">
        <w:rPr>
          <w:lang w:val="en-US"/>
        </w:rPr>
        <w:t>tomb</w:t>
      </w:r>
      <w:r w:rsidR="00B72341">
        <w:rPr>
          <w:lang w:val="en-US"/>
        </w:rPr>
        <w:t>’</w:t>
      </w:r>
      <w:r w:rsidR="00E14E9B" w:rsidRPr="00827CD4">
        <w:rPr>
          <w:lang w:val="en-US"/>
        </w:rPr>
        <w:t xml:space="preserve">s </w:t>
      </w:r>
      <w:r w:rsidR="00644486" w:rsidRPr="00827CD4">
        <w:rPr>
          <w:lang w:val="en-US"/>
        </w:rPr>
        <w:t xml:space="preserve">decoration was rendered in the more contemporary Hellenistic or Roman </w:t>
      </w:r>
      <w:r w:rsidR="006A01DC" w:rsidRPr="00827CD4">
        <w:rPr>
          <w:lang w:val="en-US"/>
        </w:rPr>
        <w:t>style</w:t>
      </w:r>
      <w:r w:rsidR="00644486" w:rsidRPr="00827CD4">
        <w:rPr>
          <w:lang w:val="en-US"/>
        </w:rPr>
        <w:t xml:space="preserve">. In this context, I </w:t>
      </w:r>
      <w:r w:rsidR="00320266" w:rsidRPr="00827CD4">
        <w:rPr>
          <w:lang w:val="en-US"/>
        </w:rPr>
        <w:t xml:space="preserve">employ </w:t>
      </w:r>
      <w:r w:rsidR="00644486" w:rsidRPr="00827CD4">
        <w:rPr>
          <w:lang w:val="en-US"/>
        </w:rPr>
        <w:t xml:space="preserve">the term </w:t>
      </w:r>
      <w:r w:rsidR="00644486" w:rsidRPr="00B72341">
        <w:rPr>
          <w:i/>
          <w:lang w:val="en-US"/>
        </w:rPr>
        <w:t>style</w:t>
      </w:r>
      <w:r w:rsidR="00644486" w:rsidRPr="00827CD4">
        <w:rPr>
          <w:lang w:val="en-US"/>
        </w:rPr>
        <w:t xml:space="preserve"> in a technical sense, </w:t>
      </w:r>
      <w:r w:rsidR="00843E32" w:rsidRPr="00827CD4">
        <w:rPr>
          <w:lang w:val="en-US"/>
        </w:rPr>
        <w:t xml:space="preserve">as a system of representation </w:t>
      </w:r>
      <w:r w:rsidR="00644486" w:rsidRPr="00827CD4">
        <w:rPr>
          <w:lang w:val="en-US"/>
        </w:rPr>
        <w:t xml:space="preserve">in </w:t>
      </w:r>
      <w:r w:rsidR="00843E32" w:rsidRPr="00827CD4">
        <w:rPr>
          <w:lang w:val="en-US"/>
        </w:rPr>
        <w:t xml:space="preserve">which the Egyptian artist worked according to </w:t>
      </w:r>
      <w:r w:rsidR="00644486" w:rsidRPr="00827CD4">
        <w:rPr>
          <w:lang w:val="en-US"/>
        </w:rPr>
        <w:t xml:space="preserve">a strict canon of proportions and </w:t>
      </w:r>
      <w:r w:rsidR="00843E32" w:rsidRPr="00827CD4">
        <w:rPr>
          <w:lang w:val="en-US"/>
        </w:rPr>
        <w:t>with</w:t>
      </w:r>
      <w:r w:rsidR="00644486" w:rsidRPr="00827CD4">
        <w:rPr>
          <w:lang w:val="en-US"/>
        </w:rPr>
        <w:t xml:space="preserve"> frontal</w:t>
      </w:r>
      <w:r w:rsidR="0075083F">
        <w:rPr>
          <w:lang w:val="en-US"/>
        </w:rPr>
        <w:t>, or “</w:t>
      </w:r>
      <w:r w:rsidR="0075083F" w:rsidRPr="00827CD4">
        <w:rPr>
          <w:lang w:val="en-US"/>
        </w:rPr>
        <w:t>aspective</w:t>
      </w:r>
      <w:r w:rsidR="0075083F">
        <w:rPr>
          <w:lang w:val="en-US"/>
        </w:rPr>
        <w:t>,”</w:t>
      </w:r>
      <w:r w:rsidR="00644486" w:rsidRPr="00827CD4">
        <w:rPr>
          <w:lang w:val="en-US"/>
        </w:rPr>
        <w:t xml:space="preserve"> images.</w:t>
      </w:r>
      <w:r w:rsidR="00644486" w:rsidRPr="00827CD4">
        <w:rPr>
          <w:rStyle w:val="EndnoteReference"/>
          <w:rFonts w:cs="Times New Roman"/>
          <w:szCs w:val="24"/>
          <w:lang w:val="en-US"/>
        </w:rPr>
        <w:endnoteReference w:id="44"/>
      </w:r>
      <w:r w:rsidR="00A843FE" w:rsidRPr="00827CD4">
        <w:rPr>
          <w:lang w:val="en-US"/>
        </w:rPr>
        <w:t xml:space="preserve"> In this </w:t>
      </w:r>
      <w:r w:rsidR="002624A7" w:rsidRPr="00827CD4">
        <w:rPr>
          <w:lang w:val="en-US"/>
        </w:rPr>
        <w:t>respect</w:t>
      </w:r>
      <w:r w:rsidR="00A843FE" w:rsidRPr="00827CD4">
        <w:rPr>
          <w:lang w:val="en-US"/>
        </w:rPr>
        <w:t xml:space="preserve"> the </w:t>
      </w:r>
      <w:r w:rsidR="002624A7" w:rsidRPr="00827CD4">
        <w:rPr>
          <w:lang w:val="en-US"/>
        </w:rPr>
        <w:t xml:space="preserve">Egyptian </w:t>
      </w:r>
      <w:r w:rsidR="00A843FE" w:rsidRPr="00827CD4">
        <w:rPr>
          <w:lang w:val="en-US"/>
        </w:rPr>
        <w:t xml:space="preserve">artists differed from those </w:t>
      </w:r>
      <w:r w:rsidR="002624A7" w:rsidRPr="00827CD4">
        <w:rPr>
          <w:lang w:val="en-US"/>
        </w:rPr>
        <w:t xml:space="preserve">of </w:t>
      </w:r>
      <w:r w:rsidR="00A843FE" w:rsidRPr="00827CD4">
        <w:rPr>
          <w:lang w:val="en-US"/>
        </w:rPr>
        <w:t>other c</w:t>
      </w:r>
      <w:r w:rsidR="00357AEE" w:rsidRPr="00827CD4">
        <w:rPr>
          <w:lang w:val="en-US"/>
        </w:rPr>
        <w:t>ultures</w:t>
      </w:r>
      <w:r w:rsidR="00A843FE" w:rsidRPr="00827CD4">
        <w:rPr>
          <w:lang w:val="en-US"/>
        </w:rPr>
        <w:t xml:space="preserve">, and it was a difference that was consciously applied </w:t>
      </w:r>
      <w:r w:rsidR="00CE1608" w:rsidRPr="00827CD4">
        <w:rPr>
          <w:lang w:val="en-US"/>
        </w:rPr>
        <w:t>on</w:t>
      </w:r>
      <w:r w:rsidR="00A843FE" w:rsidRPr="00827CD4">
        <w:rPr>
          <w:lang w:val="en-US"/>
        </w:rPr>
        <w:t xml:space="preserve"> funerary </w:t>
      </w:r>
      <w:r w:rsidR="00A843FE" w:rsidRPr="00827CD4">
        <w:rPr>
          <w:lang w:val="en-US"/>
        </w:rPr>
        <w:lastRenderedPageBreak/>
        <w:t>items and tomb walls</w:t>
      </w:r>
      <w:r w:rsidR="00CE1608" w:rsidRPr="00827CD4">
        <w:rPr>
          <w:lang w:val="en-US"/>
        </w:rPr>
        <w:t xml:space="preserve"> in the Roman period.</w:t>
      </w:r>
      <w:r w:rsidR="00A843FE" w:rsidRPr="00827CD4">
        <w:rPr>
          <w:lang w:val="en-US"/>
        </w:rPr>
        <w:t xml:space="preserve"> </w:t>
      </w:r>
      <w:r w:rsidR="00B65F79" w:rsidRPr="00827CD4">
        <w:rPr>
          <w:lang w:val="en-US"/>
        </w:rPr>
        <w:t>Only i</w:t>
      </w:r>
      <w:r w:rsidR="00A843FE" w:rsidRPr="00827CD4">
        <w:rPr>
          <w:lang w:val="en-US"/>
        </w:rPr>
        <w:t xml:space="preserve">n the Kellis </w:t>
      </w:r>
      <w:r w:rsidR="00ED4B4F" w:rsidRPr="00ED4B4F">
        <w:rPr>
          <w:lang w:val="en-US"/>
        </w:rPr>
        <w:t>mammisi</w:t>
      </w:r>
      <w:r w:rsidR="002624A7" w:rsidRPr="00827CD4">
        <w:rPr>
          <w:lang w:val="en-US"/>
        </w:rPr>
        <w:t xml:space="preserve"> </w:t>
      </w:r>
      <w:r w:rsidR="00842371" w:rsidRPr="00827CD4">
        <w:rPr>
          <w:lang w:val="en-US"/>
        </w:rPr>
        <w:t xml:space="preserve">were </w:t>
      </w:r>
      <w:r w:rsidR="00A843FE" w:rsidRPr="00827CD4">
        <w:rPr>
          <w:lang w:val="en-US"/>
        </w:rPr>
        <w:t xml:space="preserve">the two styles </w:t>
      </w:r>
      <w:r w:rsidR="002624A7" w:rsidRPr="00827CD4">
        <w:rPr>
          <w:lang w:val="en-US"/>
        </w:rPr>
        <w:t xml:space="preserve">equally </w:t>
      </w:r>
      <w:r w:rsidR="00A843FE" w:rsidRPr="00827CD4">
        <w:rPr>
          <w:lang w:val="en-US"/>
        </w:rPr>
        <w:t xml:space="preserve">divided over the walls and ceiling of </w:t>
      </w:r>
      <w:r w:rsidR="00B65F79" w:rsidRPr="00827CD4">
        <w:rPr>
          <w:lang w:val="en-US"/>
        </w:rPr>
        <w:t>a</w:t>
      </w:r>
      <w:r w:rsidR="00A843FE" w:rsidRPr="00827CD4">
        <w:rPr>
          <w:lang w:val="en-US"/>
        </w:rPr>
        <w:t xml:space="preserve"> </w:t>
      </w:r>
      <w:r w:rsidR="00CE1608" w:rsidRPr="00827CD4">
        <w:rPr>
          <w:lang w:val="en-US"/>
        </w:rPr>
        <w:t>shrine</w:t>
      </w:r>
      <w:r w:rsidR="00A843FE" w:rsidRPr="00827CD4">
        <w:rPr>
          <w:lang w:val="en-US"/>
        </w:rPr>
        <w:t>.</w:t>
      </w:r>
    </w:p>
    <w:p w14:paraId="796D11B4" w14:textId="41698D49" w:rsidR="006C3E00" w:rsidRPr="00827CD4" w:rsidRDefault="000E07A3" w:rsidP="00B72341">
      <w:pPr>
        <w:rPr>
          <w:lang w:val="en-US"/>
        </w:rPr>
      </w:pPr>
      <w:r w:rsidRPr="009B0E02">
        <w:tab/>
      </w:r>
      <w:r w:rsidR="006C3E00" w:rsidRPr="00827CD4">
        <w:rPr>
          <w:lang w:val="en-US"/>
        </w:rPr>
        <w:t xml:space="preserve">The integration of </w:t>
      </w:r>
      <w:r w:rsidR="00843E32" w:rsidRPr="00827CD4">
        <w:rPr>
          <w:lang w:val="en-US"/>
        </w:rPr>
        <w:t xml:space="preserve">the </w:t>
      </w:r>
      <w:r w:rsidR="006C3E00" w:rsidRPr="00827CD4">
        <w:rPr>
          <w:lang w:val="en-US"/>
        </w:rPr>
        <w:t xml:space="preserve">two </w:t>
      </w:r>
      <w:r w:rsidR="00CE1608" w:rsidRPr="00827CD4">
        <w:rPr>
          <w:lang w:val="en-US"/>
        </w:rPr>
        <w:t>systems of representation</w:t>
      </w:r>
      <w:r w:rsidR="006C3E00" w:rsidRPr="00827CD4">
        <w:rPr>
          <w:lang w:val="en-US"/>
        </w:rPr>
        <w:t xml:space="preserve"> in a single painting</w:t>
      </w:r>
      <w:r w:rsidR="002624A7" w:rsidRPr="00827CD4">
        <w:rPr>
          <w:lang w:val="en-US"/>
        </w:rPr>
        <w:t>, as on the Kellis chapel ceiling,</w:t>
      </w:r>
      <w:r w:rsidR="006C3E00" w:rsidRPr="00827CD4">
        <w:rPr>
          <w:lang w:val="en-US"/>
        </w:rPr>
        <w:t xml:space="preserve"> may indicate that the same painters were versed in two different styles, especially since there are also other locations in the </w:t>
      </w:r>
      <w:r w:rsidR="00ED4B4F" w:rsidRPr="00ED4B4F">
        <w:rPr>
          <w:lang w:val="en-US"/>
        </w:rPr>
        <w:t>mammisi</w:t>
      </w:r>
      <w:r w:rsidR="006C3E00" w:rsidRPr="00827CD4">
        <w:rPr>
          <w:lang w:val="en-US"/>
        </w:rPr>
        <w:t xml:space="preserve"> where the styles are found </w:t>
      </w:r>
      <w:r w:rsidR="002624A7" w:rsidRPr="00827CD4">
        <w:rPr>
          <w:lang w:val="en-US"/>
        </w:rPr>
        <w:t xml:space="preserve">juxtaposed </w:t>
      </w:r>
      <w:r w:rsidR="008C7275" w:rsidRPr="00827CD4">
        <w:rPr>
          <w:lang w:val="en-US"/>
        </w:rPr>
        <w:t>in a minor way.</w:t>
      </w:r>
      <w:r w:rsidR="006C3E00" w:rsidRPr="00827CD4">
        <w:rPr>
          <w:lang w:val="en-US"/>
        </w:rPr>
        <w:t xml:space="preserve"> </w:t>
      </w:r>
      <w:r w:rsidR="008C7275" w:rsidRPr="00827CD4">
        <w:rPr>
          <w:lang w:val="en-US"/>
        </w:rPr>
        <w:t>U</w:t>
      </w:r>
      <w:r w:rsidR="006C3E00" w:rsidRPr="00827CD4">
        <w:rPr>
          <w:lang w:val="en-US"/>
        </w:rPr>
        <w:t>nfortunately</w:t>
      </w:r>
      <w:r w:rsidR="008C7275" w:rsidRPr="00827CD4">
        <w:rPr>
          <w:lang w:val="en-US"/>
        </w:rPr>
        <w:t xml:space="preserve"> there is</w:t>
      </w:r>
      <w:r w:rsidR="006C3E00" w:rsidRPr="00827CD4">
        <w:rPr>
          <w:lang w:val="en-US"/>
        </w:rPr>
        <w:t xml:space="preserve"> no way </w:t>
      </w:r>
      <w:r w:rsidR="009C2A9C" w:rsidRPr="00827CD4">
        <w:rPr>
          <w:lang w:val="en-US"/>
        </w:rPr>
        <w:t>to be certain</w:t>
      </w:r>
      <w:r w:rsidR="006C3E00" w:rsidRPr="00827CD4">
        <w:rPr>
          <w:lang w:val="en-US"/>
        </w:rPr>
        <w:t xml:space="preserve"> about this. </w:t>
      </w:r>
      <w:r w:rsidR="002624A7" w:rsidRPr="00827CD4">
        <w:rPr>
          <w:lang w:val="en-US"/>
        </w:rPr>
        <w:t>W</w:t>
      </w:r>
      <w:r w:rsidR="006C3E00" w:rsidRPr="00827CD4">
        <w:rPr>
          <w:lang w:val="en-US"/>
        </w:rPr>
        <w:t xml:space="preserve">e </w:t>
      </w:r>
      <w:r w:rsidR="002624A7" w:rsidRPr="00827CD4">
        <w:rPr>
          <w:lang w:val="en-US"/>
        </w:rPr>
        <w:t xml:space="preserve">do not </w:t>
      </w:r>
      <w:r w:rsidR="006C3E00" w:rsidRPr="00827CD4">
        <w:rPr>
          <w:lang w:val="en-US"/>
        </w:rPr>
        <w:t xml:space="preserve">know anything about the persons responsible for the design of the </w:t>
      </w:r>
      <w:r w:rsidR="00ED4B4F" w:rsidRPr="00ED4B4F">
        <w:rPr>
          <w:lang w:val="en-US"/>
        </w:rPr>
        <w:t>mammisi</w:t>
      </w:r>
      <w:r w:rsidR="006C3E00" w:rsidRPr="00827CD4">
        <w:rPr>
          <w:lang w:val="en-US"/>
        </w:rPr>
        <w:t xml:space="preserve"> paintings</w:t>
      </w:r>
      <w:r w:rsidR="002624A7" w:rsidRPr="00827CD4">
        <w:rPr>
          <w:lang w:val="en-US"/>
        </w:rPr>
        <w:t xml:space="preserve"> or about the painters</w:t>
      </w:r>
      <w:r w:rsidR="008C7275" w:rsidRPr="00827CD4">
        <w:rPr>
          <w:lang w:val="en-US"/>
        </w:rPr>
        <w:t xml:space="preserve"> themselves</w:t>
      </w:r>
      <w:r w:rsidR="006C3E00" w:rsidRPr="00827CD4">
        <w:rPr>
          <w:lang w:val="en-US"/>
        </w:rPr>
        <w:t>.</w:t>
      </w:r>
      <w:r w:rsidR="00406B98" w:rsidRPr="00827CD4">
        <w:rPr>
          <w:lang w:val="en-US"/>
        </w:rPr>
        <w:t xml:space="preserve"> In general we do not know much about the organization of the work </w:t>
      </w:r>
      <w:r w:rsidR="001062FB" w:rsidRPr="00827CD4">
        <w:rPr>
          <w:lang w:val="en-US"/>
        </w:rPr>
        <w:t>o</w:t>
      </w:r>
      <w:r w:rsidR="002624A7" w:rsidRPr="00827CD4">
        <w:rPr>
          <w:lang w:val="en-US"/>
        </w:rPr>
        <w:t>f</w:t>
      </w:r>
      <w:r w:rsidR="001062FB" w:rsidRPr="00827CD4">
        <w:rPr>
          <w:lang w:val="en-US"/>
        </w:rPr>
        <w:t xml:space="preserve"> decorating temple walls. Each temple was different, and designing the layout and contents of each wall could involve much intricate planning, in ways that we a</w:t>
      </w:r>
      <w:r w:rsidR="008C7275" w:rsidRPr="00827CD4">
        <w:rPr>
          <w:lang w:val="en-US"/>
        </w:rPr>
        <w:t>re only beginning to understand</w:t>
      </w:r>
      <w:r w:rsidR="001062FB" w:rsidRPr="00827CD4">
        <w:rPr>
          <w:lang w:val="en-US"/>
        </w:rPr>
        <w:t>.</w:t>
      </w:r>
      <w:r w:rsidR="001062FB" w:rsidRPr="00827CD4">
        <w:rPr>
          <w:rStyle w:val="EndnoteReference"/>
          <w:rFonts w:cs="Times New Roman"/>
          <w:szCs w:val="24"/>
          <w:lang w:val="en-US"/>
        </w:rPr>
        <w:endnoteReference w:id="45"/>
      </w:r>
    </w:p>
    <w:p w14:paraId="5970DE6F" w14:textId="7C6F48F2" w:rsidR="006C3E00" w:rsidRPr="00827CD4" w:rsidRDefault="000E07A3" w:rsidP="00B72341">
      <w:pPr>
        <w:rPr>
          <w:lang w:val="en-US"/>
        </w:rPr>
      </w:pPr>
      <w:r w:rsidRPr="009B0E02">
        <w:tab/>
      </w:r>
      <w:r w:rsidR="006C3E00" w:rsidRPr="00827CD4">
        <w:rPr>
          <w:lang w:val="en-US"/>
        </w:rPr>
        <w:t>The Egyptian</w:t>
      </w:r>
      <w:r w:rsidR="0075083F">
        <w:rPr>
          <w:lang w:val="en-US"/>
        </w:rPr>
        <w:t>-</w:t>
      </w:r>
      <w:r w:rsidR="006C3E00" w:rsidRPr="00827CD4">
        <w:rPr>
          <w:lang w:val="en-US"/>
        </w:rPr>
        <w:t xml:space="preserve">style paintings of the </w:t>
      </w:r>
      <w:r w:rsidR="00ED4B4F" w:rsidRPr="00ED4B4F">
        <w:rPr>
          <w:lang w:val="en-US"/>
        </w:rPr>
        <w:t>mammisi</w:t>
      </w:r>
      <w:r w:rsidR="006C3E00" w:rsidRPr="00827CD4">
        <w:rPr>
          <w:lang w:val="en-US"/>
        </w:rPr>
        <w:t xml:space="preserve"> focus on religious themes with only little attention </w:t>
      </w:r>
      <w:r w:rsidR="0075083F">
        <w:rPr>
          <w:lang w:val="en-US"/>
        </w:rPr>
        <w:t>to</w:t>
      </w:r>
      <w:r w:rsidR="001062FB" w:rsidRPr="00827CD4">
        <w:rPr>
          <w:lang w:val="en-US"/>
        </w:rPr>
        <w:t xml:space="preserve"> </w:t>
      </w:r>
      <w:r w:rsidR="006C3E00" w:rsidRPr="00827CD4">
        <w:rPr>
          <w:lang w:val="en-US"/>
        </w:rPr>
        <w:t xml:space="preserve">cultic or historical information. The majority of scenes </w:t>
      </w:r>
      <w:r w:rsidR="0075083F">
        <w:rPr>
          <w:lang w:val="en-US"/>
        </w:rPr>
        <w:t>refer to the</w:t>
      </w:r>
      <w:r w:rsidR="006C3E00" w:rsidRPr="00827CD4">
        <w:rPr>
          <w:lang w:val="en-US"/>
        </w:rPr>
        <w:t xml:space="preserve"> cyclical rejuvenation of the gods </w:t>
      </w:r>
      <w:r w:rsidR="0075083F">
        <w:rPr>
          <w:lang w:val="en-US"/>
        </w:rPr>
        <w:t>through depictions of</w:t>
      </w:r>
      <w:r w:rsidR="006C3E00" w:rsidRPr="00827CD4">
        <w:rPr>
          <w:lang w:val="en-US"/>
        </w:rPr>
        <w:t xml:space="preserve"> the </w:t>
      </w:r>
      <w:r w:rsidR="00843E32" w:rsidRPr="00827CD4">
        <w:rPr>
          <w:lang w:val="en-US"/>
        </w:rPr>
        <w:t>subdivisions</w:t>
      </w:r>
      <w:r w:rsidR="006C3E00" w:rsidRPr="00827CD4">
        <w:rPr>
          <w:lang w:val="en-US"/>
        </w:rPr>
        <w:t xml:space="preserve"> of time. The scenes include divine personifications of the years, the twelve months</w:t>
      </w:r>
      <w:r w:rsidR="000935E1" w:rsidRPr="00827CD4">
        <w:rPr>
          <w:lang w:val="en-US"/>
        </w:rPr>
        <w:t xml:space="preserve"> of the year</w:t>
      </w:r>
      <w:r w:rsidR="006C3E00" w:rsidRPr="00827CD4">
        <w:rPr>
          <w:lang w:val="en-US"/>
        </w:rPr>
        <w:t>, the thirty days of the month, the twelve hours of the day</w:t>
      </w:r>
      <w:r w:rsidR="0075083F">
        <w:rPr>
          <w:lang w:val="en-US"/>
        </w:rPr>
        <w:t>,</w:t>
      </w:r>
      <w:r w:rsidR="006C3E00" w:rsidRPr="00827CD4">
        <w:rPr>
          <w:lang w:val="en-US"/>
        </w:rPr>
        <w:t xml:space="preserve"> and those of the night.</w:t>
      </w:r>
      <w:r w:rsidR="006C3E00" w:rsidRPr="00827CD4">
        <w:rPr>
          <w:rStyle w:val="EndnoteReference"/>
          <w:rFonts w:cs="Times New Roman"/>
          <w:szCs w:val="24"/>
          <w:lang w:val="en-US"/>
        </w:rPr>
        <w:endnoteReference w:id="46"/>
      </w:r>
      <w:r w:rsidR="006C3E00" w:rsidRPr="00827CD4">
        <w:rPr>
          <w:lang w:val="en-US"/>
        </w:rPr>
        <w:t xml:space="preserve"> Other scenes relate to the birth of the god Tutu, with images of the gods Ptah and Khnum </w:t>
      </w:r>
      <w:r w:rsidR="000935E1" w:rsidRPr="00827CD4">
        <w:rPr>
          <w:lang w:val="en-US"/>
        </w:rPr>
        <w:t xml:space="preserve">seated at </w:t>
      </w:r>
      <w:r w:rsidR="006C3E00" w:rsidRPr="00827CD4">
        <w:rPr>
          <w:lang w:val="en-US"/>
        </w:rPr>
        <w:t>potter</w:t>
      </w:r>
      <w:r w:rsidR="00B72341">
        <w:rPr>
          <w:lang w:val="en-US"/>
        </w:rPr>
        <w:t>’</w:t>
      </w:r>
      <w:r w:rsidR="006C3E00" w:rsidRPr="00827CD4">
        <w:rPr>
          <w:lang w:val="en-US"/>
        </w:rPr>
        <w:t>s wheel</w:t>
      </w:r>
      <w:r w:rsidR="000935E1" w:rsidRPr="00827CD4">
        <w:rPr>
          <w:lang w:val="en-US"/>
        </w:rPr>
        <w:t>s</w:t>
      </w:r>
      <w:r w:rsidR="006C3E00" w:rsidRPr="00827CD4">
        <w:rPr>
          <w:rStyle w:val="EndnoteReference"/>
          <w:rFonts w:cs="Times New Roman"/>
          <w:szCs w:val="24"/>
          <w:lang w:val="en-US"/>
        </w:rPr>
        <w:endnoteReference w:id="47"/>
      </w:r>
      <w:r w:rsidR="006C3E00" w:rsidRPr="00827CD4">
        <w:rPr>
          <w:lang w:val="en-US"/>
        </w:rPr>
        <w:t xml:space="preserve"> and </w:t>
      </w:r>
      <w:r w:rsidR="00D50983">
        <w:rPr>
          <w:lang w:val="en-US"/>
        </w:rPr>
        <w:t xml:space="preserve">of </w:t>
      </w:r>
      <w:r w:rsidR="006C3E00" w:rsidRPr="00827CD4">
        <w:rPr>
          <w:lang w:val="en-US"/>
        </w:rPr>
        <w:t>the Seven Hathors and Meskhenet goddesses.</w:t>
      </w:r>
      <w:r w:rsidR="006C3E00" w:rsidRPr="00827CD4">
        <w:rPr>
          <w:rStyle w:val="EndnoteReference"/>
          <w:rFonts w:cs="Times New Roman"/>
          <w:szCs w:val="24"/>
          <w:lang w:val="en-US"/>
        </w:rPr>
        <w:endnoteReference w:id="48"/>
      </w:r>
      <w:r w:rsidR="006C3E00" w:rsidRPr="00827CD4">
        <w:rPr>
          <w:lang w:val="en-US"/>
        </w:rPr>
        <w:t xml:space="preserve"> The scene of the Seven Hathors has been reconstructed from fragments </w:t>
      </w:r>
      <w:r w:rsidR="006C3E00" w:rsidRPr="00EE2EDB">
        <w:rPr>
          <w:highlight w:val="yellow"/>
          <w:lang w:val="en-US"/>
        </w:rPr>
        <w:t>(</w:t>
      </w:r>
      <w:r w:rsidR="00EE2EDB" w:rsidRPr="00EE2EDB">
        <w:rPr>
          <w:highlight w:val="yellow"/>
          <w:lang w:val="en-US"/>
        </w:rPr>
        <w:t>f</w:t>
      </w:r>
      <w:r w:rsidR="006C3E00" w:rsidRPr="00EE2EDB">
        <w:rPr>
          <w:highlight w:val="yellow"/>
          <w:lang w:val="en-US"/>
        </w:rPr>
        <w:t>ig</w:t>
      </w:r>
      <w:r w:rsidR="00EE2EDB" w:rsidRPr="00EE2EDB">
        <w:rPr>
          <w:highlight w:val="yellow"/>
          <w:lang w:val="en-US"/>
        </w:rPr>
        <w:t>.</w:t>
      </w:r>
      <w:r w:rsidR="006C3E00" w:rsidRPr="00EE2EDB">
        <w:rPr>
          <w:highlight w:val="yellow"/>
          <w:lang w:val="en-US"/>
        </w:rPr>
        <w:t xml:space="preserve"> </w:t>
      </w:r>
      <w:r w:rsidR="007A483E">
        <w:rPr>
          <w:highlight w:val="yellow"/>
          <w:lang w:val="en-US"/>
        </w:rPr>
        <w:t>5.7</w:t>
      </w:r>
      <w:r w:rsidR="006C3E00" w:rsidRPr="00EE2EDB">
        <w:rPr>
          <w:highlight w:val="yellow"/>
          <w:lang w:val="en-US"/>
        </w:rPr>
        <w:t>)</w:t>
      </w:r>
      <w:r w:rsidR="006C3E00" w:rsidRPr="00827CD4">
        <w:rPr>
          <w:lang w:val="en-US"/>
        </w:rPr>
        <w:t xml:space="preserve">, </w:t>
      </w:r>
      <w:r w:rsidR="0075083F">
        <w:rPr>
          <w:lang w:val="en-US"/>
        </w:rPr>
        <w:t xml:space="preserve">and </w:t>
      </w:r>
      <w:r w:rsidR="006C3E00" w:rsidRPr="00827CD4">
        <w:rPr>
          <w:lang w:val="en-US"/>
        </w:rPr>
        <w:t xml:space="preserve">a part of </w:t>
      </w:r>
      <w:r w:rsidR="0075083F">
        <w:rPr>
          <w:lang w:val="en-US"/>
        </w:rPr>
        <w:t>it</w:t>
      </w:r>
      <w:r w:rsidR="006C3E00" w:rsidRPr="00827CD4">
        <w:rPr>
          <w:lang w:val="en-US"/>
        </w:rPr>
        <w:t xml:space="preserve"> is shown separately in detail </w:t>
      </w:r>
      <w:r w:rsidR="0075083F">
        <w:rPr>
          <w:lang w:val="en-US"/>
        </w:rPr>
        <w:t xml:space="preserve">here </w:t>
      </w:r>
      <w:r w:rsidR="006C3E00" w:rsidRPr="00827CD4">
        <w:rPr>
          <w:lang w:val="en-US"/>
        </w:rPr>
        <w:t xml:space="preserve">in order to </w:t>
      </w:r>
      <w:r w:rsidR="00234180" w:rsidRPr="00827CD4">
        <w:rPr>
          <w:lang w:val="en-US"/>
        </w:rPr>
        <w:t>demonstrate</w:t>
      </w:r>
      <w:r w:rsidR="006C3E00" w:rsidRPr="00827CD4">
        <w:rPr>
          <w:lang w:val="en-US"/>
        </w:rPr>
        <w:t xml:space="preserve"> the high quality of the Egyptian</w:t>
      </w:r>
      <w:r w:rsidR="0075083F">
        <w:rPr>
          <w:lang w:val="en-US"/>
        </w:rPr>
        <w:t>-</w:t>
      </w:r>
      <w:r w:rsidR="006C3E00" w:rsidRPr="00827CD4">
        <w:rPr>
          <w:lang w:val="en-US"/>
        </w:rPr>
        <w:t>style paintings</w:t>
      </w:r>
      <w:r w:rsidR="00455B3E">
        <w:rPr>
          <w:lang w:val="en-US"/>
        </w:rPr>
        <w:t xml:space="preserve"> </w:t>
      </w:r>
      <w:r w:rsidR="00455B3E" w:rsidRPr="00EE2EDB">
        <w:rPr>
          <w:highlight w:val="yellow"/>
          <w:lang w:val="en-US"/>
        </w:rPr>
        <w:t xml:space="preserve">(fig. </w:t>
      </w:r>
      <w:r w:rsidR="007A483E">
        <w:rPr>
          <w:highlight w:val="yellow"/>
          <w:lang w:val="en-US"/>
        </w:rPr>
        <w:t>5.8</w:t>
      </w:r>
      <w:r w:rsidR="00455B3E" w:rsidRPr="00EE2EDB">
        <w:rPr>
          <w:highlight w:val="yellow"/>
          <w:lang w:val="en-US"/>
        </w:rPr>
        <w:t>)</w:t>
      </w:r>
      <w:r w:rsidR="006C3E00" w:rsidRPr="00827CD4">
        <w:rPr>
          <w:lang w:val="en-US"/>
        </w:rPr>
        <w:t>.</w:t>
      </w:r>
      <w:r w:rsidR="006C3E00" w:rsidRPr="00827CD4">
        <w:rPr>
          <w:rStyle w:val="EndnoteReference"/>
          <w:rFonts w:cs="Times New Roman"/>
          <w:szCs w:val="24"/>
          <w:lang w:val="en-US"/>
        </w:rPr>
        <w:endnoteReference w:id="49"/>
      </w:r>
      <w:r w:rsidR="006C3E00" w:rsidRPr="00827CD4">
        <w:rPr>
          <w:lang w:val="en-US"/>
        </w:rPr>
        <w:t xml:space="preserve"> Each figure </w:t>
      </w:r>
      <w:r w:rsidR="0075083F">
        <w:rPr>
          <w:lang w:val="en-US"/>
        </w:rPr>
        <w:t>w</w:t>
      </w:r>
      <w:r w:rsidR="006C3E00" w:rsidRPr="00827CD4">
        <w:rPr>
          <w:lang w:val="en-US"/>
        </w:rPr>
        <w:t>as rendered with the use of each of the seven colors available to the painters</w:t>
      </w:r>
      <w:r w:rsidR="000935E1" w:rsidRPr="00827CD4">
        <w:rPr>
          <w:lang w:val="en-US"/>
        </w:rPr>
        <w:t xml:space="preserve"> in this style</w:t>
      </w:r>
      <w:r w:rsidR="006C3E00" w:rsidRPr="00827CD4">
        <w:rPr>
          <w:lang w:val="en-US"/>
        </w:rPr>
        <w:t>: yellow, red, blue, green, pink, black</w:t>
      </w:r>
      <w:r w:rsidR="008A5A07" w:rsidRPr="00827CD4">
        <w:rPr>
          <w:lang w:val="en-US"/>
        </w:rPr>
        <w:t>,</w:t>
      </w:r>
      <w:r w:rsidR="006C3E00" w:rsidRPr="00827CD4">
        <w:rPr>
          <w:lang w:val="en-US"/>
        </w:rPr>
        <w:t xml:space="preserve"> and white. </w:t>
      </w:r>
      <w:r w:rsidR="0075083F">
        <w:rPr>
          <w:lang w:val="en-US"/>
        </w:rPr>
        <w:t>Each of t</w:t>
      </w:r>
      <w:r w:rsidR="006C3E00" w:rsidRPr="00827CD4">
        <w:rPr>
          <w:lang w:val="en-US"/>
        </w:rPr>
        <w:t>he Hathors wear</w:t>
      </w:r>
      <w:r w:rsidR="0075083F">
        <w:rPr>
          <w:lang w:val="en-US"/>
        </w:rPr>
        <w:t>s</w:t>
      </w:r>
      <w:r w:rsidR="006C3E00" w:rsidRPr="00827CD4">
        <w:rPr>
          <w:lang w:val="en-US"/>
        </w:rPr>
        <w:t xml:space="preserve"> a different elaborate crown</w:t>
      </w:r>
      <w:r w:rsidR="0075083F">
        <w:rPr>
          <w:lang w:val="en-US"/>
        </w:rPr>
        <w:t>,</w:t>
      </w:r>
      <w:r w:rsidR="006C3E00" w:rsidRPr="00827CD4">
        <w:rPr>
          <w:lang w:val="en-US"/>
        </w:rPr>
        <w:t xml:space="preserve"> and they hold objects in their hands as offering</w:t>
      </w:r>
      <w:r w:rsidR="00182CCD" w:rsidRPr="00827CD4">
        <w:rPr>
          <w:lang w:val="en-US"/>
        </w:rPr>
        <w:t>s</w:t>
      </w:r>
      <w:r w:rsidR="006C3E00" w:rsidRPr="00827CD4">
        <w:rPr>
          <w:lang w:val="en-US"/>
        </w:rPr>
        <w:t xml:space="preserve"> to Tapsais, </w:t>
      </w:r>
      <w:r w:rsidR="00A7326F" w:rsidRPr="00827CD4">
        <w:rPr>
          <w:lang w:val="en-US"/>
        </w:rPr>
        <w:t>consisting of</w:t>
      </w:r>
      <w:r w:rsidR="006C3E00" w:rsidRPr="00827CD4">
        <w:rPr>
          <w:lang w:val="en-US"/>
        </w:rPr>
        <w:t xml:space="preserve"> mirrors, floral collars, </w:t>
      </w:r>
      <w:r w:rsidR="006C3E00" w:rsidRPr="00ED4B4F">
        <w:rPr>
          <w:lang w:val="en-US"/>
        </w:rPr>
        <w:t>sistra</w:t>
      </w:r>
      <w:r w:rsidR="002624A7" w:rsidRPr="00827CD4">
        <w:rPr>
          <w:lang w:val="en-US"/>
        </w:rPr>
        <w:t>,</w:t>
      </w:r>
      <w:r w:rsidR="006C3E00" w:rsidRPr="00827CD4">
        <w:rPr>
          <w:lang w:val="en-US"/>
        </w:rPr>
        <w:t xml:space="preserve"> and </w:t>
      </w:r>
      <w:r w:rsidR="006C3E00" w:rsidRPr="000E1348">
        <w:rPr>
          <w:iCs/>
          <w:lang w:val="en-US"/>
        </w:rPr>
        <w:t>men</w:t>
      </w:r>
      <w:r w:rsidR="0057424E" w:rsidRPr="00897E2E">
        <w:rPr>
          <w:iCs/>
          <w:lang w:val="en-US"/>
        </w:rPr>
        <w:t>a</w:t>
      </w:r>
      <w:r w:rsidR="006C3E00" w:rsidRPr="00CC7A57">
        <w:rPr>
          <w:iCs/>
          <w:lang w:val="en-US"/>
        </w:rPr>
        <w:t>ts</w:t>
      </w:r>
      <w:r w:rsidR="006C3E00" w:rsidRPr="000E1348">
        <w:rPr>
          <w:lang w:val="en-US"/>
        </w:rPr>
        <w:t>.</w:t>
      </w:r>
      <w:r w:rsidR="006C3E00" w:rsidRPr="00827CD4">
        <w:rPr>
          <w:lang w:val="en-US"/>
        </w:rPr>
        <w:t xml:space="preserve"> The same objects are also shown on top of small tables set in front of each </w:t>
      </w:r>
      <w:r w:rsidR="006C3E00" w:rsidRPr="00827CD4">
        <w:rPr>
          <w:lang w:val="en-US"/>
        </w:rPr>
        <w:lastRenderedPageBreak/>
        <w:t>goddess. The amount of detail and the expert way of drawing each image are remarkable</w:t>
      </w:r>
      <w:r w:rsidR="006F530B">
        <w:rPr>
          <w:lang w:val="en-US"/>
        </w:rPr>
        <w:t>,</w:t>
      </w:r>
      <w:r w:rsidR="006C3E00" w:rsidRPr="00827CD4">
        <w:rPr>
          <w:lang w:val="en-US"/>
        </w:rPr>
        <w:t xml:space="preserve"> and it </w:t>
      </w:r>
      <w:r w:rsidR="006F530B">
        <w:rPr>
          <w:lang w:val="en-US"/>
        </w:rPr>
        <w:t>places</w:t>
      </w:r>
      <w:r w:rsidR="006C3E00" w:rsidRPr="00827CD4">
        <w:rPr>
          <w:lang w:val="en-US"/>
        </w:rPr>
        <w:t xml:space="preserve"> the decoration of this </w:t>
      </w:r>
      <w:r w:rsidR="00ED4B4F" w:rsidRPr="00ED4B4F">
        <w:rPr>
          <w:lang w:val="en-US"/>
        </w:rPr>
        <w:t>mammisi</w:t>
      </w:r>
      <w:r w:rsidR="006C3E00" w:rsidRPr="00827CD4">
        <w:rPr>
          <w:lang w:val="en-US"/>
        </w:rPr>
        <w:t xml:space="preserve"> </w:t>
      </w:r>
      <w:r w:rsidR="00F875C2" w:rsidRPr="00827CD4">
        <w:rPr>
          <w:lang w:val="en-US"/>
        </w:rPr>
        <w:t>on par with</w:t>
      </w:r>
      <w:r w:rsidR="006C3E00" w:rsidRPr="00827CD4">
        <w:rPr>
          <w:lang w:val="en-US"/>
        </w:rPr>
        <w:t xml:space="preserve"> the best relief work in the temples in the Nile Valley, notably that of Dendera from the reigns of Nero</w:t>
      </w:r>
      <w:r w:rsidR="0057424E">
        <w:rPr>
          <w:lang w:val="en-US"/>
        </w:rPr>
        <w:t xml:space="preserve"> </w:t>
      </w:r>
      <w:r w:rsidR="006C3E00" w:rsidRPr="00827CD4">
        <w:rPr>
          <w:lang w:val="en-US"/>
        </w:rPr>
        <w:t xml:space="preserve"> and Trajan</w:t>
      </w:r>
      <w:r w:rsidR="008A5A07" w:rsidRPr="00827CD4">
        <w:rPr>
          <w:lang w:val="en-US"/>
        </w:rPr>
        <w:t xml:space="preserve"> (r. </w:t>
      </w:r>
      <w:r w:rsidR="006F530B" w:rsidRPr="00827CD4">
        <w:rPr>
          <w:lang w:val="en-US"/>
        </w:rPr>
        <w:t xml:space="preserve">AD </w:t>
      </w:r>
      <w:r w:rsidR="008A5A07" w:rsidRPr="00827CD4">
        <w:rPr>
          <w:lang w:val="en-US"/>
        </w:rPr>
        <w:t>98</w:t>
      </w:r>
      <w:r w:rsidR="002D28A3">
        <w:rPr>
          <w:lang w:val="en-US"/>
        </w:rPr>
        <w:t>–</w:t>
      </w:r>
      <w:r w:rsidR="008A5A07" w:rsidRPr="00827CD4">
        <w:rPr>
          <w:lang w:val="en-US"/>
        </w:rPr>
        <w:t>117)</w:t>
      </w:r>
      <w:r w:rsidR="006C3E00" w:rsidRPr="00827CD4">
        <w:rPr>
          <w:lang w:val="en-US"/>
        </w:rPr>
        <w:t>.</w:t>
      </w:r>
      <w:r w:rsidR="006C3E00" w:rsidRPr="00827CD4">
        <w:rPr>
          <w:rStyle w:val="EndnoteReference"/>
          <w:rFonts w:cs="Times New Roman"/>
          <w:szCs w:val="24"/>
          <w:lang w:val="en-US"/>
        </w:rPr>
        <w:endnoteReference w:id="50"/>
      </w:r>
    </w:p>
    <w:p w14:paraId="0C41C460" w14:textId="6082217D" w:rsidR="00530C65" w:rsidRPr="00827CD4" w:rsidRDefault="00443A20" w:rsidP="00B72341">
      <w:pPr>
        <w:rPr>
          <w:lang w:val="en-US"/>
        </w:rPr>
      </w:pPr>
      <w:r>
        <w:rPr>
          <w:lang w:val="en-US"/>
        </w:rPr>
        <w:tab/>
      </w:r>
      <w:r w:rsidR="00CE08C9">
        <w:rPr>
          <w:lang w:val="en-US"/>
        </w:rPr>
        <w:t xml:space="preserve">The second unique aspect of the decoration of the </w:t>
      </w:r>
      <w:r w:rsidR="00ED4B4F" w:rsidRPr="00ED4B4F">
        <w:rPr>
          <w:lang w:val="en-US"/>
        </w:rPr>
        <w:t>mammisi</w:t>
      </w:r>
      <w:r w:rsidR="00CE08C9">
        <w:rPr>
          <w:lang w:val="en-US"/>
        </w:rPr>
        <w:t xml:space="preserve"> is the way in which the role of pharaoh is minimized within the decorative program. </w:t>
      </w:r>
      <w:r w:rsidR="006C3E00" w:rsidRPr="00827CD4">
        <w:rPr>
          <w:lang w:val="en-US"/>
        </w:rPr>
        <w:t xml:space="preserve">In total, there were more than </w:t>
      </w:r>
      <w:r w:rsidR="000804F1" w:rsidRPr="00827CD4">
        <w:rPr>
          <w:lang w:val="en-US"/>
        </w:rPr>
        <w:t>four hundred</w:t>
      </w:r>
      <w:r w:rsidR="006C3E00" w:rsidRPr="00827CD4">
        <w:rPr>
          <w:lang w:val="en-US"/>
        </w:rPr>
        <w:t xml:space="preserve"> gods depicted in</w:t>
      </w:r>
      <w:r w:rsidR="002624A7" w:rsidRPr="00827CD4">
        <w:rPr>
          <w:lang w:val="en-US"/>
        </w:rPr>
        <w:t>side</w:t>
      </w:r>
      <w:r w:rsidR="006C3E00" w:rsidRPr="00827CD4">
        <w:rPr>
          <w:lang w:val="en-US"/>
        </w:rPr>
        <w:t xml:space="preserve"> the </w:t>
      </w:r>
      <w:r w:rsidR="00ED4B4F" w:rsidRPr="00ED4B4F">
        <w:rPr>
          <w:lang w:val="en-US"/>
        </w:rPr>
        <w:t>mammisi</w:t>
      </w:r>
      <w:r w:rsidR="006C3E00" w:rsidRPr="00827CD4">
        <w:rPr>
          <w:lang w:val="en-US"/>
        </w:rPr>
        <w:t xml:space="preserve">, the name and titles of each designated in the </w:t>
      </w:r>
      <w:r w:rsidR="000804F1" w:rsidRPr="00827CD4">
        <w:rPr>
          <w:lang w:val="en-US"/>
        </w:rPr>
        <w:t xml:space="preserve">accompanying </w:t>
      </w:r>
      <w:r w:rsidR="006C3E00" w:rsidRPr="00827CD4">
        <w:rPr>
          <w:lang w:val="en-US"/>
        </w:rPr>
        <w:t xml:space="preserve">hieroglyphic legends. </w:t>
      </w:r>
      <w:r w:rsidR="00F875C2" w:rsidRPr="00827CD4">
        <w:rPr>
          <w:lang w:val="en-US"/>
        </w:rPr>
        <w:t>Remarkably</w:t>
      </w:r>
      <w:r w:rsidR="00853307" w:rsidRPr="00827CD4">
        <w:rPr>
          <w:lang w:val="en-US"/>
        </w:rPr>
        <w:t xml:space="preserve"> </w:t>
      </w:r>
      <w:r w:rsidR="00F875C2" w:rsidRPr="00827CD4">
        <w:rPr>
          <w:lang w:val="en-US"/>
        </w:rPr>
        <w:t xml:space="preserve">and </w:t>
      </w:r>
      <w:r w:rsidR="00853307" w:rsidRPr="00827CD4">
        <w:rPr>
          <w:lang w:val="en-US"/>
        </w:rPr>
        <w:t xml:space="preserve">in </w:t>
      </w:r>
      <w:r w:rsidR="000977C8" w:rsidRPr="00827CD4">
        <w:rPr>
          <w:lang w:val="en-US"/>
        </w:rPr>
        <w:t xml:space="preserve">another </w:t>
      </w:r>
      <w:r w:rsidR="002624A7" w:rsidRPr="00827CD4">
        <w:rPr>
          <w:lang w:val="en-US"/>
        </w:rPr>
        <w:t xml:space="preserve">divergence </w:t>
      </w:r>
      <w:r w:rsidR="00853307" w:rsidRPr="00827CD4">
        <w:rPr>
          <w:lang w:val="en-US"/>
        </w:rPr>
        <w:t>from regular practice, the gods are shown interacting among themselves</w:t>
      </w:r>
      <w:r w:rsidR="006F530B">
        <w:rPr>
          <w:lang w:val="en-US"/>
        </w:rPr>
        <w:t>,</w:t>
      </w:r>
      <w:r w:rsidR="00853307" w:rsidRPr="00827CD4">
        <w:rPr>
          <w:lang w:val="en-US"/>
        </w:rPr>
        <w:t xml:space="preserve"> and there is no king represented serving them or rendering them homage. Only a single representation of a nameless king appears at the entrance to the shrine, on the inner face of the south doorjamb, a generic image of a king</w:t>
      </w:r>
      <w:r w:rsidR="002A36CF" w:rsidRPr="00827CD4">
        <w:rPr>
          <w:lang w:val="en-US"/>
        </w:rPr>
        <w:t xml:space="preserve"> </w:t>
      </w:r>
      <w:r w:rsidR="00551A63" w:rsidRPr="00827CD4">
        <w:rPr>
          <w:lang w:val="en-US"/>
        </w:rPr>
        <w:t>consecrating</w:t>
      </w:r>
      <w:r w:rsidR="002A36CF" w:rsidRPr="00827CD4">
        <w:rPr>
          <w:lang w:val="en-US"/>
        </w:rPr>
        <w:t xml:space="preserve"> food offerings to the gods inside the </w:t>
      </w:r>
      <w:r w:rsidR="00ED4B4F" w:rsidRPr="00ED4B4F">
        <w:rPr>
          <w:lang w:val="en-US"/>
        </w:rPr>
        <w:t>mammisi</w:t>
      </w:r>
      <w:r w:rsidR="002A36CF" w:rsidRPr="00827CD4">
        <w:rPr>
          <w:lang w:val="en-US"/>
        </w:rPr>
        <w:t xml:space="preserve">. This is the only occurrence of </w:t>
      </w:r>
      <w:r w:rsidR="00206863">
        <w:rPr>
          <w:lang w:val="en-US"/>
        </w:rPr>
        <w:t xml:space="preserve">a representation of </w:t>
      </w:r>
      <w:r w:rsidR="002A36CF" w:rsidRPr="00827CD4">
        <w:rPr>
          <w:lang w:val="en-US"/>
        </w:rPr>
        <w:t xml:space="preserve">the </w:t>
      </w:r>
      <w:r w:rsidR="00C85FDD" w:rsidRPr="00827CD4">
        <w:rPr>
          <w:lang w:val="en-US"/>
        </w:rPr>
        <w:t xml:space="preserve">conventional </w:t>
      </w:r>
      <w:r w:rsidR="002A36CF" w:rsidRPr="00827CD4">
        <w:rPr>
          <w:lang w:val="en-US"/>
        </w:rPr>
        <w:t xml:space="preserve">role of </w:t>
      </w:r>
      <w:r w:rsidR="00C85FDD" w:rsidRPr="00827CD4">
        <w:rPr>
          <w:lang w:val="en-US"/>
        </w:rPr>
        <w:t xml:space="preserve">the </w:t>
      </w:r>
      <w:r w:rsidR="002A36CF" w:rsidRPr="00827CD4">
        <w:rPr>
          <w:lang w:val="en-US"/>
        </w:rPr>
        <w:t xml:space="preserve">pharaoh, interacting with the gods on behalf of </w:t>
      </w:r>
      <w:r w:rsidR="006F530B">
        <w:rPr>
          <w:lang w:val="en-US"/>
        </w:rPr>
        <w:t>hu</w:t>
      </w:r>
      <w:r w:rsidR="00F875C2" w:rsidRPr="00827CD4">
        <w:rPr>
          <w:lang w:val="en-US"/>
        </w:rPr>
        <w:t>mankind</w:t>
      </w:r>
      <w:r w:rsidR="00C85FDD" w:rsidRPr="00827CD4">
        <w:rPr>
          <w:lang w:val="en-US"/>
        </w:rPr>
        <w:t>.</w:t>
      </w:r>
    </w:p>
    <w:p w14:paraId="6FD7AD8B" w14:textId="17EC1191" w:rsidR="00551A63" w:rsidRPr="00827CD4" w:rsidRDefault="000E07A3" w:rsidP="00B72341">
      <w:pPr>
        <w:rPr>
          <w:lang w:val="en-US"/>
        </w:rPr>
      </w:pPr>
      <w:r w:rsidRPr="009B0E02">
        <w:tab/>
      </w:r>
      <w:r w:rsidR="000977C8" w:rsidRPr="00827CD4">
        <w:rPr>
          <w:lang w:val="en-US"/>
        </w:rPr>
        <w:t>T</w:t>
      </w:r>
      <w:r w:rsidR="002A36CF" w:rsidRPr="00827CD4">
        <w:rPr>
          <w:lang w:val="en-US"/>
        </w:rPr>
        <w:t xml:space="preserve">he Kellis </w:t>
      </w:r>
      <w:r w:rsidR="00ED4B4F" w:rsidRPr="00ED4B4F">
        <w:rPr>
          <w:lang w:val="en-US"/>
        </w:rPr>
        <w:t>mammisi</w:t>
      </w:r>
      <w:r w:rsidR="002A36CF" w:rsidRPr="00827CD4">
        <w:rPr>
          <w:lang w:val="en-US"/>
        </w:rPr>
        <w:t xml:space="preserve"> has suppressed the role of the king, and instead </w:t>
      </w:r>
      <w:r w:rsidR="006F530B">
        <w:rPr>
          <w:lang w:val="en-US"/>
        </w:rPr>
        <w:t>various</w:t>
      </w:r>
      <w:r w:rsidR="00D03682" w:rsidRPr="00827CD4">
        <w:rPr>
          <w:lang w:val="en-US"/>
        </w:rPr>
        <w:t xml:space="preserve"> </w:t>
      </w:r>
      <w:r w:rsidR="002A36CF" w:rsidRPr="00827CD4">
        <w:rPr>
          <w:lang w:val="en-US"/>
        </w:rPr>
        <w:t xml:space="preserve">minor gods </w:t>
      </w:r>
      <w:r w:rsidR="006F530B">
        <w:rPr>
          <w:lang w:val="en-US"/>
        </w:rPr>
        <w:t>play</w:t>
      </w:r>
      <w:r w:rsidR="002A36CF" w:rsidRPr="00827CD4">
        <w:rPr>
          <w:lang w:val="en-US"/>
        </w:rPr>
        <w:t xml:space="preserve"> his </w:t>
      </w:r>
      <w:r w:rsidR="006F530B">
        <w:rPr>
          <w:lang w:val="en-US"/>
        </w:rPr>
        <w:t>part</w:t>
      </w:r>
      <w:r w:rsidR="002A36CF" w:rsidRPr="00827CD4">
        <w:rPr>
          <w:lang w:val="en-US"/>
        </w:rPr>
        <w:t xml:space="preserve"> in the </w:t>
      </w:r>
      <w:r w:rsidR="000804F1" w:rsidRPr="00827CD4">
        <w:rPr>
          <w:lang w:val="en-US"/>
        </w:rPr>
        <w:t>decorative program</w:t>
      </w:r>
      <w:r w:rsidR="002A36CF" w:rsidRPr="00827CD4">
        <w:rPr>
          <w:lang w:val="en-US"/>
        </w:rPr>
        <w:t>, presenting offerings</w:t>
      </w:r>
      <w:r w:rsidR="00530C65" w:rsidRPr="00827CD4">
        <w:rPr>
          <w:lang w:val="en-US"/>
        </w:rPr>
        <w:t xml:space="preserve"> to the major gods</w:t>
      </w:r>
      <w:r w:rsidR="00551A63" w:rsidRPr="00827CD4">
        <w:rPr>
          <w:lang w:val="en-US"/>
        </w:rPr>
        <w:t xml:space="preserve">. At the same time, </w:t>
      </w:r>
      <w:r w:rsidR="008A2115" w:rsidRPr="00827CD4">
        <w:rPr>
          <w:lang w:val="en-US"/>
        </w:rPr>
        <w:t>two scenes</w:t>
      </w:r>
      <w:r w:rsidR="00551A63" w:rsidRPr="00827CD4">
        <w:rPr>
          <w:lang w:val="en-US"/>
        </w:rPr>
        <w:t xml:space="preserve"> </w:t>
      </w:r>
      <w:r w:rsidR="008A2115" w:rsidRPr="00827CD4">
        <w:rPr>
          <w:lang w:val="en-US"/>
        </w:rPr>
        <w:t>contain</w:t>
      </w:r>
      <w:r w:rsidR="00551A63" w:rsidRPr="00827CD4">
        <w:rPr>
          <w:lang w:val="en-US"/>
        </w:rPr>
        <w:t xml:space="preserve"> </w:t>
      </w:r>
      <w:r w:rsidR="008A2115" w:rsidRPr="00827CD4">
        <w:rPr>
          <w:lang w:val="en-US"/>
        </w:rPr>
        <w:t xml:space="preserve">groups of </w:t>
      </w:r>
      <w:r w:rsidR="00551A63" w:rsidRPr="00827CD4">
        <w:rPr>
          <w:lang w:val="en-US"/>
        </w:rPr>
        <w:t>priests performing offering rituals</w:t>
      </w:r>
      <w:r w:rsidR="008A2115" w:rsidRPr="00827CD4">
        <w:rPr>
          <w:lang w:val="en-US"/>
        </w:rPr>
        <w:t xml:space="preserve"> in front of the local deities</w:t>
      </w:r>
      <w:r w:rsidR="00551A63" w:rsidRPr="00827CD4">
        <w:rPr>
          <w:lang w:val="en-US"/>
        </w:rPr>
        <w:t xml:space="preserve">. </w:t>
      </w:r>
      <w:r w:rsidR="006F530B">
        <w:rPr>
          <w:lang w:val="en-US"/>
        </w:rPr>
        <w:t>O</w:t>
      </w:r>
      <w:r w:rsidR="00551A63" w:rsidRPr="00827CD4">
        <w:rPr>
          <w:lang w:val="en-US"/>
        </w:rPr>
        <w:t xml:space="preserve">n the north and south walls of the shrine, </w:t>
      </w:r>
      <w:r w:rsidR="000804F1" w:rsidRPr="00827CD4">
        <w:rPr>
          <w:lang w:val="en-US"/>
        </w:rPr>
        <w:t>twenty-seven</w:t>
      </w:r>
      <w:r w:rsidR="00551A63" w:rsidRPr="00827CD4">
        <w:rPr>
          <w:lang w:val="en-US"/>
        </w:rPr>
        <w:t xml:space="preserve"> and </w:t>
      </w:r>
      <w:r w:rsidR="000804F1" w:rsidRPr="00827CD4">
        <w:rPr>
          <w:lang w:val="en-US"/>
        </w:rPr>
        <w:t>thirty-seven</w:t>
      </w:r>
      <w:r w:rsidR="00551A63" w:rsidRPr="00827CD4">
        <w:rPr>
          <w:lang w:val="en-US"/>
        </w:rPr>
        <w:t xml:space="preserve"> priests</w:t>
      </w:r>
      <w:r w:rsidR="006F530B">
        <w:rPr>
          <w:lang w:val="en-US"/>
        </w:rPr>
        <w:t>,</w:t>
      </w:r>
      <w:r w:rsidR="00551A63" w:rsidRPr="00827CD4">
        <w:rPr>
          <w:lang w:val="en-US"/>
        </w:rPr>
        <w:t xml:space="preserve"> respectively</w:t>
      </w:r>
      <w:r w:rsidR="006F530B">
        <w:rPr>
          <w:lang w:val="en-US"/>
        </w:rPr>
        <w:t>,</w:t>
      </w:r>
      <w:r w:rsidR="00551A63" w:rsidRPr="00827CD4">
        <w:rPr>
          <w:lang w:val="en-US"/>
        </w:rPr>
        <w:t xml:space="preserve"> are shown bringing cultic items to the gods of the temple</w:t>
      </w:r>
      <w:r w:rsidR="008A2115" w:rsidRPr="00827CD4">
        <w:rPr>
          <w:lang w:val="en-US"/>
        </w:rPr>
        <w:t>: Tutu, Neith</w:t>
      </w:r>
      <w:r w:rsidR="000804F1" w:rsidRPr="00827CD4">
        <w:rPr>
          <w:lang w:val="en-US"/>
        </w:rPr>
        <w:t>,</w:t>
      </w:r>
      <w:r w:rsidR="008A2115" w:rsidRPr="00827CD4">
        <w:rPr>
          <w:lang w:val="en-US"/>
        </w:rPr>
        <w:t xml:space="preserve"> and Tapsais</w:t>
      </w:r>
      <w:r w:rsidR="00551A63" w:rsidRPr="00827CD4">
        <w:rPr>
          <w:lang w:val="en-US"/>
        </w:rPr>
        <w:t>.</w:t>
      </w:r>
      <w:r w:rsidR="00551A63" w:rsidRPr="00827CD4">
        <w:rPr>
          <w:rStyle w:val="EndnoteReference"/>
          <w:rFonts w:cs="Times New Roman"/>
          <w:szCs w:val="24"/>
          <w:lang w:val="en-US"/>
        </w:rPr>
        <w:endnoteReference w:id="51"/>
      </w:r>
      <w:r w:rsidR="00551A63" w:rsidRPr="00827CD4">
        <w:rPr>
          <w:lang w:val="en-US"/>
        </w:rPr>
        <w:t xml:space="preserve"> The first group of priest</w:t>
      </w:r>
      <w:r w:rsidR="00843E32" w:rsidRPr="00827CD4">
        <w:rPr>
          <w:lang w:val="en-US"/>
        </w:rPr>
        <w:t xml:space="preserve">s from the southern series </w:t>
      </w:r>
      <w:r w:rsidR="00551A63" w:rsidRPr="00827CD4">
        <w:rPr>
          <w:lang w:val="en-US"/>
        </w:rPr>
        <w:t xml:space="preserve">is shown performing the daily ritual for </w:t>
      </w:r>
      <w:r w:rsidR="008A2115" w:rsidRPr="00827CD4">
        <w:rPr>
          <w:lang w:val="en-US"/>
        </w:rPr>
        <w:t>Tutu</w:t>
      </w:r>
      <w:r w:rsidR="006F530B">
        <w:rPr>
          <w:lang w:val="en-US"/>
        </w:rPr>
        <w:t>,</w:t>
      </w:r>
      <w:r w:rsidR="00551A63" w:rsidRPr="00827CD4">
        <w:rPr>
          <w:lang w:val="en-US"/>
        </w:rPr>
        <w:t xml:space="preserve"> opening the shrine and bringing incense and libations</w:t>
      </w:r>
      <w:r w:rsidR="00206863">
        <w:rPr>
          <w:lang w:val="en-US"/>
        </w:rPr>
        <w:t xml:space="preserve"> </w:t>
      </w:r>
      <w:r w:rsidR="00206863" w:rsidRPr="00EE2EDB">
        <w:rPr>
          <w:highlight w:val="yellow"/>
          <w:lang w:val="en-US"/>
        </w:rPr>
        <w:t xml:space="preserve">(fig. </w:t>
      </w:r>
      <w:r w:rsidR="007A483E">
        <w:rPr>
          <w:highlight w:val="yellow"/>
          <w:lang w:val="en-US"/>
        </w:rPr>
        <w:t>5.9</w:t>
      </w:r>
      <w:bookmarkStart w:id="0" w:name="_GoBack"/>
      <w:bookmarkEnd w:id="0"/>
      <w:r w:rsidR="00206863" w:rsidRPr="00EE2EDB">
        <w:rPr>
          <w:highlight w:val="yellow"/>
          <w:lang w:val="en-US"/>
        </w:rPr>
        <w:t>)</w:t>
      </w:r>
      <w:r w:rsidR="00551A63" w:rsidRPr="00827CD4">
        <w:rPr>
          <w:lang w:val="en-US"/>
        </w:rPr>
        <w:t xml:space="preserve">. One of them is pouring oil on the floor </w:t>
      </w:r>
      <w:r w:rsidR="006F530B">
        <w:rPr>
          <w:lang w:val="en-US"/>
        </w:rPr>
        <w:t>from</w:t>
      </w:r>
      <w:r w:rsidR="00551A63" w:rsidRPr="00827CD4">
        <w:rPr>
          <w:lang w:val="en-US"/>
        </w:rPr>
        <w:t xml:space="preserve"> a </w:t>
      </w:r>
      <w:r w:rsidR="00551A63" w:rsidRPr="00ED4B4F">
        <w:rPr>
          <w:lang w:val="en-US"/>
        </w:rPr>
        <w:t>situla</w:t>
      </w:r>
      <w:r w:rsidR="00551A63" w:rsidRPr="00827CD4">
        <w:rPr>
          <w:lang w:val="en-US"/>
        </w:rPr>
        <w:t>, which is a ritual familiar from the archaeological remains of the Dakhla temples.</w:t>
      </w:r>
      <w:r w:rsidR="00551A63" w:rsidRPr="00827CD4">
        <w:rPr>
          <w:rStyle w:val="EndnoteReference"/>
          <w:rFonts w:cs="Times New Roman"/>
          <w:szCs w:val="24"/>
          <w:lang w:val="en-US"/>
        </w:rPr>
        <w:endnoteReference w:id="52"/>
      </w:r>
    </w:p>
    <w:p w14:paraId="55C9E97A" w14:textId="43FE2119" w:rsidR="006C3E00" w:rsidRPr="00827CD4" w:rsidRDefault="000E07A3" w:rsidP="00B72341">
      <w:pPr>
        <w:rPr>
          <w:lang w:val="en-US"/>
        </w:rPr>
      </w:pPr>
      <w:r w:rsidRPr="009B0E02">
        <w:tab/>
      </w:r>
      <w:r w:rsidR="009E69BD" w:rsidRPr="00827CD4">
        <w:rPr>
          <w:lang w:val="en-US"/>
        </w:rPr>
        <w:t xml:space="preserve">One </w:t>
      </w:r>
      <w:r w:rsidR="00FC7737" w:rsidRPr="00827CD4">
        <w:rPr>
          <w:lang w:val="en-US"/>
        </w:rPr>
        <w:t>factor that has to play a role</w:t>
      </w:r>
      <w:r w:rsidR="009E69BD" w:rsidRPr="00827CD4">
        <w:rPr>
          <w:lang w:val="en-US"/>
        </w:rPr>
        <w:t xml:space="preserve"> </w:t>
      </w:r>
      <w:r w:rsidR="00FC7737" w:rsidRPr="00827CD4">
        <w:rPr>
          <w:lang w:val="en-US"/>
        </w:rPr>
        <w:t xml:space="preserve">in </w:t>
      </w:r>
      <w:r w:rsidR="009E69BD" w:rsidRPr="00827CD4">
        <w:rPr>
          <w:lang w:val="en-US"/>
        </w:rPr>
        <w:t xml:space="preserve">this exceptional shift of emphasis away from the human king </w:t>
      </w:r>
      <w:r w:rsidR="00551A63" w:rsidRPr="00827CD4">
        <w:rPr>
          <w:lang w:val="en-US"/>
        </w:rPr>
        <w:t xml:space="preserve">can be found in the particular emphasis placed on </w:t>
      </w:r>
      <w:r w:rsidR="006C3E00" w:rsidRPr="00827CD4">
        <w:rPr>
          <w:lang w:val="en-US"/>
        </w:rPr>
        <w:t>the royal aspects of Tutu</w:t>
      </w:r>
      <w:r w:rsidR="008A2115" w:rsidRPr="00827CD4">
        <w:rPr>
          <w:lang w:val="en-US"/>
        </w:rPr>
        <w:t xml:space="preserve"> in th</w:t>
      </w:r>
      <w:r w:rsidR="00FC7737" w:rsidRPr="00827CD4">
        <w:rPr>
          <w:lang w:val="en-US"/>
        </w:rPr>
        <w:t>e</w:t>
      </w:r>
      <w:r w:rsidR="008A2115" w:rsidRPr="00827CD4">
        <w:rPr>
          <w:lang w:val="en-US"/>
        </w:rPr>
        <w:t xml:space="preserve"> </w:t>
      </w:r>
      <w:r w:rsidR="00ED4B4F" w:rsidRPr="00ED4B4F">
        <w:rPr>
          <w:lang w:val="en-US"/>
        </w:rPr>
        <w:lastRenderedPageBreak/>
        <w:t>mammisi</w:t>
      </w:r>
      <w:r w:rsidR="00551A63" w:rsidRPr="00827CD4">
        <w:rPr>
          <w:lang w:val="en-US"/>
        </w:rPr>
        <w:t>. T</w:t>
      </w:r>
      <w:r w:rsidR="006C3E00" w:rsidRPr="00827CD4">
        <w:rPr>
          <w:lang w:val="en-US"/>
        </w:rPr>
        <w:t>here are many references to kingship in the god</w:t>
      </w:r>
      <w:r w:rsidR="00B72341">
        <w:rPr>
          <w:lang w:val="en-US"/>
        </w:rPr>
        <w:t>’</w:t>
      </w:r>
      <w:r w:rsidR="006C3E00" w:rsidRPr="00827CD4">
        <w:rPr>
          <w:lang w:val="en-US"/>
        </w:rPr>
        <w:t>s titles and iconography. Tutu</w:t>
      </w:r>
      <w:r w:rsidR="00B72341">
        <w:rPr>
          <w:lang w:val="en-US"/>
        </w:rPr>
        <w:t>’</w:t>
      </w:r>
      <w:r w:rsidR="006C3E00" w:rsidRPr="00827CD4">
        <w:rPr>
          <w:lang w:val="en-US"/>
        </w:rPr>
        <w:t>s name may be preceded by the title King of Upper and Lower Egypt or by the title King of the Gods</w:t>
      </w:r>
      <w:r w:rsidR="0055505D" w:rsidRPr="00827CD4">
        <w:rPr>
          <w:lang w:val="en-US"/>
        </w:rPr>
        <w:t>,</w:t>
      </w:r>
      <w:r w:rsidR="006C3E00" w:rsidRPr="00827CD4">
        <w:rPr>
          <w:lang w:val="en-US"/>
        </w:rPr>
        <w:t xml:space="preserve"> which he shares with Amun-Re.</w:t>
      </w:r>
      <w:r w:rsidR="006C3E00" w:rsidRPr="00827CD4">
        <w:rPr>
          <w:rStyle w:val="EndnoteReference"/>
          <w:rFonts w:cs="Times New Roman"/>
          <w:szCs w:val="24"/>
          <w:lang w:val="en-US"/>
        </w:rPr>
        <w:endnoteReference w:id="53"/>
      </w:r>
      <w:r w:rsidR="006C3E00" w:rsidRPr="00827CD4">
        <w:rPr>
          <w:lang w:val="en-US"/>
        </w:rPr>
        <w:t xml:space="preserve"> In his iconography Tutu often wear</w:t>
      </w:r>
      <w:r w:rsidR="00AF56DC">
        <w:rPr>
          <w:lang w:val="en-US"/>
        </w:rPr>
        <w:t>s</w:t>
      </w:r>
      <w:r w:rsidR="006C3E00" w:rsidRPr="00827CD4">
        <w:rPr>
          <w:lang w:val="en-US"/>
        </w:rPr>
        <w:t xml:space="preserve"> the Double Crown, and he may be depicted subjugating the enemies of Egypt in the form of the Nine Bows.</w:t>
      </w:r>
      <w:r w:rsidR="006C3E00" w:rsidRPr="00827CD4">
        <w:rPr>
          <w:rStyle w:val="EndnoteReference"/>
          <w:rFonts w:cs="Times New Roman"/>
          <w:szCs w:val="24"/>
          <w:lang w:val="en-US"/>
        </w:rPr>
        <w:endnoteReference w:id="54"/>
      </w:r>
      <w:r w:rsidR="004A0B25" w:rsidRPr="00827CD4">
        <w:rPr>
          <w:lang w:val="en-US"/>
        </w:rPr>
        <w:t xml:space="preserve"> The emphasis on the royal traits of the god is a standard theological feature of the </w:t>
      </w:r>
      <w:r w:rsidR="00ED4B4F" w:rsidRPr="00ED4B4F">
        <w:rPr>
          <w:lang w:val="en-US"/>
        </w:rPr>
        <w:t>mammisi</w:t>
      </w:r>
      <w:r w:rsidR="004A0B25" w:rsidRPr="00827CD4">
        <w:rPr>
          <w:lang w:val="en-US"/>
        </w:rPr>
        <w:t xml:space="preserve"> in general.</w:t>
      </w:r>
      <w:r w:rsidR="004A0B25" w:rsidRPr="00827CD4">
        <w:rPr>
          <w:rStyle w:val="EndnoteReference"/>
          <w:rFonts w:cs="Times New Roman"/>
          <w:szCs w:val="24"/>
          <w:lang w:val="en-US"/>
        </w:rPr>
        <w:endnoteReference w:id="55"/>
      </w:r>
    </w:p>
    <w:p w14:paraId="6075AB9F" w14:textId="054DA030" w:rsidR="006C3E00" w:rsidRPr="00827CD4" w:rsidRDefault="000E07A3" w:rsidP="00B72341">
      <w:pPr>
        <w:rPr>
          <w:lang w:val="en-US"/>
        </w:rPr>
      </w:pPr>
      <w:r w:rsidRPr="009B0E02">
        <w:tab/>
      </w:r>
      <w:r w:rsidR="00A7326F" w:rsidRPr="00827CD4">
        <w:rPr>
          <w:lang w:val="en-US"/>
        </w:rPr>
        <w:t>I</w:t>
      </w:r>
      <w:r w:rsidR="006C3E00" w:rsidRPr="00827CD4">
        <w:rPr>
          <w:lang w:val="en-US"/>
        </w:rPr>
        <w:t>t is not surprising that th</w:t>
      </w:r>
      <w:r w:rsidR="00530C65" w:rsidRPr="00827CD4">
        <w:rPr>
          <w:lang w:val="en-US"/>
        </w:rPr>
        <w:t>e</w:t>
      </w:r>
      <w:r w:rsidR="006C3E00" w:rsidRPr="00827CD4">
        <w:rPr>
          <w:lang w:val="en-US"/>
        </w:rPr>
        <w:t xml:space="preserve"> king </w:t>
      </w:r>
      <w:r w:rsidR="00250AF9" w:rsidRPr="00827CD4">
        <w:rPr>
          <w:lang w:val="en-US"/>
        </w:rPr>
        <w:t xml:space="preserve">has been replaced </w:t>
      </w:r>
      <w:r w:rsidR="006C3E00" w:rsidRPr="00827CD4">
        <w:rPr>
          <w:lang w:val="en-US"/>
        </w:rPr>
        <w:t xml:space="preserve">by </w:t>
      </w:r>
      <w:r w:rsidR="00530C65" w:rsidRPr="00827CD4">
        <w:rPr>
          <w:lang w:val="en-US"/>
        </w:rPr>
        <w:t>minor gods</w:t>
      </w:r>
      <w:r w:rsidR="00A7326F" w:rsidRPr="00827CD4">
        <w:rPr>
          <w:lang w:val="en-US"/>
        </w:rPr>
        <w:t xml:space="preserve"> at Kellis, because </w:t>
      </w:r>
      <w:r w:rsidR="00ED4B4F" w:rsidRPr="00ED4B4F">
        <w:rPr>
          <w:lang w:val="en-US"/>
        </w:rPr>
        <w:t>mammisi</w:t>
      </w:r>
      <w:r w:rsidR="006C3E00" w:rsidRPr="00A6057E">
        <w:rPr>
          <w:iCs/>
          <w:lang w:val="en-US"/>
        </w:rPr>
        <w:t>s</w:t>
      </w:r>
      <w:r w:rsidR="006C3E00" w:rsidRPr="00827CD4">
        <w:rPr>
          <w:lang w:val="en-US"/>
        </w:rPr>
        <w:t xml:space="preserve"> always </w:t>
      </w:r>
      <w:r w:rsidR="00A7326F" w:rsidRPr="00827CD4">
        <w:rPr>
          <w:lang w:val="en-US"/>
        </w:rPr>
        <w:t>placed</w:t>
      </w:r>
      <w:r w:rsidR="00530C65" w:rsidRPr="00827CD4">
        <w:rPr>
          <w:lang w:val="en-US"/>
        </w:rPr>
        <w:t xml:space="preserve"> </w:t>
      </w:r>
      <w:r w:rsidR="006C3E00" w:rsidRPr="00827CD4">
        <w:rPr>
          <w:lang w:val="en-US"/>
        </w:rPr>
        <w:t>an emphasis on divine interaction in the scenes depicting the divine birth and its associated mythology.</w:t>
      </w:r>
      <w:r w:rsidR="006C3E00" w:rsidRPr="00827CD4">
        <w:rPr>
          <w:rStyle w:val="EndnoteReference"/>
          <w:rFonts w:cs="Times New Roman"/>
          <w:szCs w:val="24"/>
          <w:lang w:val="en-US"/>
        </w:rPr>
        <w:endnoteReference w:id="56"/>
      </w:r>
      <w:r w:rsidR="006C3E00" w:rsidRPr="00827CD4">
        <w:rPr>
          <w:lang w:val="en-US"/>
        </w:rPr>
        <w:t xml:space="preserve"> </w:t>
      </w:r>
      <w:r w:rsidR="00A7326F" w:rsidRPr="00827CD4">
        <w:rPr>
          <w:lang w:val="en-US"/>
        </w:rPr>
        <w:t>I</w:t>
      </w:r>
      <w:r w:rsidR="006C3E00" w:rsidRPr="00827CD4">
        <w:rPr>
          <w:lang w:val="en-US"/>
        </w:rPr>
        <w:t xml:space="preserve">t would </w:t>
      </w:r>
      <w:r w:rsidR="00A7326F" w:rsidRPr="00827CD4">
        <w:rPr>
          <w:lang w:val="en-US"/>
        </w:rPr>
        <w:t xml:space="preserve">certainly </w:t>
      </w:r>
      <w:r w:rsidR="006C3E00" w:rsidRPr="00827CD4">
        <w:rPr>
          <w:lang w:val="en-US"/>
        </w:rPr>
        <w:t xml:space="preserve">be </w:t>
      </w:r>
      <w:r w:rsidR="00A7326F" w:rsidRPr="00827CD4">
        <w:rPr>
          <w:lang w:val="en-US"/>
        </w:rPr>
        <w:t xml:space="preserve">a mistake </w:t>
      </w:r>
      <w:r w:rsidR="006C3E00" w:rsidRPr="00827CD4">
        <w:rPr>
          <w:lang w:val="en-US"/>
        </w:rPr>
        <w:t xml:space="preserve">to conclude that the </w:t>
      </w:r>
      <w:r w:rsidR="00530C65" w:rsidRPr="00827CD4">
        <w:rPr>
          <w:lang w:val="en-US"/>
        </w:rPr>
        <w:t>omission of the emperor</w:t>
      </w:r>
      <w:r w:rsidR="00B72341">
        <w:rPr>
          <w:lang w:val="en-US"/>
        </w:rPr>
        <w:t>’</w:t>
      </w:r>
      <w:r w:rsidR="00530C65" w:rsidRPr="00827CD4">
        <w:rPr>
          <w:lang w:val="en-US"/>
        </w:rPr>
        <w:t>s name</w:t>
      </w:r>
      <w:r w:rsidR="006C3E00" w:rsidRPr="00827CD4">
        <w:rPr>
          <w:lang w:val="en-US"/>
        </w:rPr>
        <w:t xml:space="preserve"> </w:t>
      </w:r>
      <w:r w:rsidR="00182CCD" w:rsidRPr="00827CD4">
        <w:rPr>
          <w:lang w:val="en-US"/>
        </w:rPr>
        <w:t xml:space="preserve">was </w:t>
      </w:r>
      <w:r w:rsidR="00FC42EC">
        <w:rPr>
          <w:lang w:val="en-US"/>
        </w:rPr>
        <w:t>intend</w:t>
      </w:r>
      <w:r w:rsidR="00182CCD" w:rsidRPr="00827CD4">
        <w:rPr>
          <w:lang w:val="en-US"/>
        </w:rPr>
        <w:t xml:space="preserve">ed as </w:t>
      </w:r>
      <w:r w:rsidR="006B6E10" w:rsidRPr="00827CD4">
        <w:rPr>
          <w:lang w:val="en-US"/>
        </w:rPr>
        <w:t xml:space="preserve">some kind of </w:t>
      </w:r>
      <w:r w:rsidR="00530C65" w:rsidRPr="00827CD4">
        <w:rPr>
          <w:lang w:val="en-US"/>
        </w:rPr>
        <w:t xml:space="preserve">subversive </w:t>
      </w:r>
      <w:r w:rsidR="006C3E00" w:rsidRPr="00827CD4">
        <w:rPr>
          <w:lang w:val="en-US"/>
        </w:rPr>
        <w:t xml:space="preserve">political statement. We need </w:t>
      </w:r>
      <w:r w:rsidR="00AF56DC" w:rsidRPr="00827CD4">
        <w:rPr>
          <w:lang w:val="en-US"/>
        </w:rPr>
        <w:t xml:space="preserve">only </w:t>
      </w:r>
      <w:r w:rsidR="006C3E00" w:rsidRPr="00827CD4">
        <w:rPr>
          <w:lang w:val="en-US"/>
        </w:rPr>
        <w:t>recall that the stone temple</w:t>
      </w:r>
      <w:r w:rsidR="00250AF9" w:rsidRPr="00827CD4">
        <w:rPr>
          <w:lang w:val="en-US"/>
        </w:rPr>
        <w:t xml:space="preserve"> of Kellis</w:t>
      </w:r>
      <w:r w:rsidR="006C3E00" w:rsidRPr="00827CD4">
        <w:rPr>
          <w:lang w:val="en-US"/>
        </w:rPr>
        <w:t xml:space="preserve"> mentions Pertinax among its cartouches. It is fair to say that the Kellis priests were highly loyal to the imperial authorities.</w:t>
      </w:r>
    </w:p>
    <w:p w14:paraId="1E1C8FB3" w14:textId="3EDE5079" w:rsidR="006C3E00" w:rsidRPr="00827CD4" w:rsidRDefault="000E07A3" w:rsidP="00B72341">
      <w:pPr>
        <w:rPr>
          <w:lang w:val="en-US"/>
        </w:rPr>
      </w:pPr>
      <w:r w:rsidRPr="009B0E02">
        <w:tab/>
      </w:r>
      <w:r w:rsidR="006C3E00" w:rsidRPr="00827CD4">
        <w:rPr>
          <w:lang w:val="en-US"/>
        </w:rPr>
        <w:t xml:space="preserve">The real significance of the Kellis </w:t>
      </w:r>
      <w:r w:rsidR="00ED4B4F" w:rsidRPr="00ED4B4F">
        <w:rPr>
          <w:lang w:val="en-US"/>
        </w:rPr>
        <w:t>mammisi</w:t>
      </w:r>
      <w:r w:rsidR="006C3E00" w:rsidRPr="00827CD4">
        <w:rPr>
          <w:lang w:val="en-US"/>
        </w:rPr>
        <w:t xml:space="preserve"> is that it shows a long</w:t>
      </w:r>
      <w:r w:rsidR="00380EDF">
        <w:rPr>
          <w:lang w:val="en-US"/>
        </w:rPr>
        <w:t>-</w:t>
      </w:r>
      <w:r w:rsidR="006C3E00" w:rsidRPr="00827CD4">
        <w:rPr>
          <w:lang w:val="en-US"/>
        </w:rPr>
        <w:t xml:space="preserve">overdue modernization of the </w:t>
      </w:r>
      <w:r w:rsidR="006B6E10" w:rsidRPr="00827CD4">
        <w:rPr>
          <w:lang w:val="en-US"/>
        </w:rPr>
        <w:t xml:space="preserve">content of </w:t>
      </w:r>
      <w:r w:rsidR="006C3E00" w:rsidRPr="00827CD4">
        <w:rPr>
          <w:lang w:val="en-US"/>
        </w:rPr>
        <w:t>Egyptian temple decoration, which better reflects current practices</w:t>
      </w:r>
      <w:r w:rsidR="00530C65" w:rsidRPr="00827CD4">
        <w:rPr>
          <w:lang w:val="en-US"/>
        </w:rPr>
        <w:t xml:space="preserve"> and ideas</w:t>
      </w:r>
      <w:r w:rsidR="006C3E00" w:rsidRPr="00827CD4">
        <w:rPr>
          <w:lang w:val="en-US"/>
        </w:rPr>
        <w:t>. The role of the pharaoh had already diminished under the Ptolemies</w:t>
      </w:r>
      <w:r w:rsidR="00380EDF">
        <w:rPr>
          <w:lang w:val="en-US"/>
        </w:rPr>
        <w:t>,</w:t>
      </w:r>
      <w:r w:rsidR="006C3E00" w:rsidRPr="00827CD4">
        <w:rPr>
          <w:lang w:val="en-US"/>
        </w:rPr>
        <w:t xml:space="preserve"> but in Roman times the head of state live</w:t>
      </w:r>
      <w:r w:rsidR="009C2A9C" w:rsidRPr="00827CD4">
        <w:rPr>
          <w:lang w:val="en-US"/>
        </w:rPr>
        <w:t>d</w:t>
      </w:r>
      <w:r w:rsidR="006C3E00" w:rsidRPr="00827CD4">
        <w:rPr>
          <w:lang w:val="en-US"/>
        </w:rPr>
        <w:t xml:space="preserve"> </w:t>
      </w:r>
      <w:r w:rsidR="00380EDF">
        <w:rPr>
          <w:lang w:val="en-US"/>
        </w:rPr>
        <w:t xml:space="preserve">not </w:t>
      </w:r>
      <w:r w:rsidR="006C3E00" w:rsidRPr="00827CD4">
        <w:rPr>
          <w:lang w:val="en-US"/>
        </w:rPr>
        <w:t>in Egypt but in Rome, and he took no active part in Egyptian religion</w:t>
      </w:r>
      <w:r w:rsidR="00530C65" w:rsidRPr="00827CD4">
        <w:rPr>
          <w:lang w:val="en-US"/>
        </w:rPr>
        <w:t xml:space="preserve"> and its cults</w:t>
      </w:r>
      <w:r w:rsidR="006C3E00" w:rsidRPr="00827CD4">
        <w:rPr>
          <w:lang w:val="en-US"/>
        </w:rPr>
        <w:t>.</w:t>
      </w:r>
      <w:r w:rsidR="006C3E00" w:rsidRPr="00827CD4">
        <w:rPr>
          <w:rStyle w:val="EndnoteReference"/>
          <w:rFonts w:cs="Times New Roman"/>
          <w:szCs w:val="24"/>
          <w:lang w:val="en-US"/>
        </w:rPr>
        <w:endnoteReference w:id="57"/>
      </w:r>
      <w:r w:rsidR="006C3E00" w:rsidRPr="00827CD4">
        <w:rPr>
          <w:lang w:val="en-US"/>
        </w:rPr>
        <w:t xml:space="preserve"> As a consequence the gods themselves took on more of the aspects of kingship. Already before the a</w:t>
      </w:r>
      <w:r w:rsidR="00202146" w:rsidRPr="00827CD4">
        <w:rPr>
          <w:lang w:val="en-US"/>
        </w:rPr>
        <w:t>rrival</w:t>
      </w:r>
      <w:r w:rsidR="006C3E00" w:rsidRPr="00827CD4">
        <w:rPr>
          <w:lang w:val="en-US"/>
        </w:rPr>
        <w:t xml:space="preserve"> of Alexander the Great, the gods could be shown </w:t>
      </w:r>
      <w:r w:rsidR="00202146" w:rsidRPr="00827CD4">
        <w:rPr>
          <w:lang w:val="en-US"/>
        </w:rPr>
        <w:t xml:space="preserve">wearing royal garments and </w:t>
      </w:r>
      <w:r w:rsidR="006C3E00" w:rsidRPr="00827CD4">
        <w:rPr>
          <w:lang w:val="en-US"/>
        </w:rPr>
        <w:t>with their names written in cartouches,</w:t>
      </w:r>
      <w:r w:rsidR="006C3E00" w:rsidRPr="00827CD4">
        <w:rPr>
          <w:rStyle w:val="EndnoteReference"/>
          <w:rFonts w:cs="Times New Roman"/>
          <w:szCs w:val="24"/>
          <w:lang w:val="en-US"/>
        </w:rPr>
        <w:endnoteReference w:id="58"/>
      </w:r>
      <w:r w:rsidR="006C3E00" w:rsidRPr="00827CD4">
        <w:rPr>
          <w:lang w:val="en-US"/>
        </w:rPr>
        <w:t xml:space="preserve"> but this tendency became more pronounced in Roman times.</w:t>
      </w:r>
    </w:p>
    <w:p w14:paraId="0E185977" w14:textId="503E7363" w:rsidR="006C3E00" w:rsidRPr="00827CD4" w:rsidRDefault="000E07A3" w:rsidP="00B72341">
      <w:pPr>
        <w:rPr>
          <w:lang w:val="en-US"/>
        </w:rPr>
      </w:pPr>
      <w:r w:rsidRPr="009B0E02">
        <w:tab/>
      </w:r>
      <w:r w:rsidR="006C3E00" w:rsidRPr="00827CD4">
        <w:rPr>
          <w:lang w:val="en-US"/>
        </w:rPr>
        <w:t xml:space="preserve">The omission of the pharaoh and his replacement by representations of priests is exactly what can be observed in the temples of Isis and Serapis </w:t>
      </w:r>
      <w:r w:rsidR="00FE278C">
        <w:rPr>
          <w:lang w:val="en-US"/>
        </w:rPr>
        <w:t xml:space="preserve">built </w:t>
      </w:r>
      <w:r w:rsidR="006C3E00" w:rsidRPr="00827CD4">
        <w:rPr>
          <w:lang w:val="en-US"/>
        </w:rPr>
        <w:t xml:space="preserve">outside Egypt. These temples, such as the one in Pompeii, had taken the step </w:t>
      </w:r>
      <w:r w:rsidR="00163A24">
        <w:rPr>
          <w:lang w:val="en-US"/>
        </w:rPr>
        <w:t>of</w:t>
      </w:r>
      <w:r w:rsidR="006C3E00" w:rsidRPr="00827CD4">
        <w:rPr>
          <w:lang w:val="en-US"/>
        </w:rPr>
        <w:t xml:space="preserve"> suppress</w:t>
      </w:r>
      <w:r w:rsidR="00163A24">
        <w:rPr>
          <w:lang w:val="en-US"/>
        </w:rPr>
        <w:t>ing</w:t>
      </w:r>
      <w:r w:rsidR="006C3E00" w:rsidRPr="00827CD4">
        <w:rPr>
          <w:lang w:val="en-US"/>
        </w:rPr>
        <w:t xml:space="preserve"> the role of the pharaoh earlier in the </w:t>
      </w:r>
      <w:r w:rsidR="006C3E00" w:rsidRPr="00827CD4">
        <w:rPr>
          <w:lang w:val="en-US"/>
        </w:rPr>
        <w:lastRenderedPageBreak/>
        <w:t>Roman period.</w:t>
      </w:r>
      <w:r w:rsidR="006C3E00" w:rsidRPr="00827CD4">
        <w:rPr>
          <w:rStyle w:val="EndnoteReference"/>
          <w:rFonts w:cs="Times New Roman"/>
          <w:szCs w:val="24"/>
          <w:lang w:val="en-US"/>
        </w:rPr>
        <w:endnoteReference w:id="59"/>
      </w:r>
      <w:r w:rsidR="006C3E00" w:rsidRPr="00827CD4">
        <w:rPr>
          <w:lang w:val="en-US"/>
        </w:rPr>
        <w:t xml:space="preserve"> </w:t>
      </w:r>
      <w:r w:rsidR="00A7326F" w:rsidRPr="00827CD4">
        <w:rPr>
          <w:lang w:val="en-US"/>
        </w:rPr>
        <w:t>Moreover,</w:t>
      </w:r>
      <w:r w:rsidR="007E50EC" w:rsidRPr="00827CD4">
        <w:rPr>
          <w:lang w:val="en-US"/>
        </w:rPr>
        <w:t xml:space="preserve"> the </w:t>
      </w:r>
      <w:r w:rsidR="00FE278C">
        <w:rPr>
          <w:lang w:val="en-US"/>
        </w:rPr>
        <w:t xml:space="preserve">temples to Egyptian gods </w:t>
      </w:r>
      <w:r w:rsidR="007E50EC" w:rsidRPr="00827CD4">
        <w:rPr>
          <w:lang w:val="en-US"/>
        </w:rPr>
        <w:t>outside Egypt</w:t>
      </w:r>
      <w:r w:rsidR="00A7326F" w:rsidRPr="00827CD4">
        <w:rPr>
          <w:lang w:val="en-US"/>
        </w:rPr>
        <w:t xml:space="preserve"> included </w:t>
      </w:r>
      <w:r w:rsidR="00821651" w:rsidRPr="00827CD4">
        <w:rPr>
          <w:lang w:val="en-US"/>
        </w:rPr>
        <w:t xml:space="preserve">images </w:t>
      </w:r>
      <w:r w:rsidR="007E50EC" w:rsidRPr="00827CD4">
        <w:rPr>
          <w:lang w:val="en-US"/>
        </w:rPr>
        <w:t xml:space="preserve">of priests in </w:t>
      </w:r>
      <w:r w:rsidR="00A7326F" w:rsidRPr="00827CD4">
        <w:rPr>
          <w:lang w:val="en-US"/>
        </w:rPr>
        <w:t xml:space="preserve">their </w:t>
      </w:r>
      <w:r w:rsidR="007E50EC" w:rsidRPr="00827CD4">
        <w:rPr>
          <w:lang w:val="en-US"/>
        </w:rPr>
        <w:t>depictions of ritual activities. At the same time the gods had taken on a distinct royal role, such as Isis in her role as Isis Regina.</w:t>
      </w:r>
      <w:r w:rsidR="007E50EC" w:rsidRPr="00827CD4">
        <w:rPr>
          <w:rStyle w:val="EndnoteReference"/>
          <w:rFonts w:cs="Times New Roman"/>
          <w:szCs w:val="24"/>
          <w:lang w:val="en-US"/>
        </w:rPr>
        <w:endnoteReference w:id="60"/>
      </w:r>
      <w:r w:rsidR="007E50EC" w:rsidRPr="00827CD4">
        <w:rPr>
          <w:lang w:val="en-US"/>
        </w:rPr>
        <w:t xml:space="preserve"> </w:t>
      </w:r>
      <w:r w:rsidR="00D148CA" w:rsidRPr="00827CD4">
        <w:rPr>
          <w:lang w:val="en-US"/>
        </w:rPr>
        <w:t xml:space="preserve">The Kellis </w:t>
      </w:r>
      <w:r w:rsidR="00ED4B4F" w:rsidRPr="00ED4B4F">
        <w:rPr>
          <w:lang w:val="en-US"/>
        </w:rPr>
        <w:t>mammisi</w:t>
      </w:r>
      <w:r w:rsidR="00D148CA" w:rsidRPr="00827CD4">
        <w:rPr>
          <w:lang w:val="en-US"/>
        </w:rPr>
        <w:t xml:space="preserve"> </w:t>
      </w:r>
      <w:r w:rsidR="00A7326F" w:rsidRPr="00827CD4">
        <w:rPr>
          <w:lang w:val="en-US"/>
        </w:rPr>
        <w:t>adopted</w:t>
      </w:r>
      <w:r w:rsidR="00F8381C" w:rsidRPr="00827CD4">
        <w:rPr>
          <w:lang w:val="en-US"/>
        </w:rPr>
        <w:t xml:space="preserve"> some of the</w:t>
      </w:r>
      <w:r w:rsidR="00A7326F" w:rsidRPr="00827CD4">
        <w:rPr>
          <w:lang w:val="en-US"/>
        </w:rPr>
        <w:t>se</w:t>
      </w:r>
      <w:r w:rsidR="00F8381C" w:rsidRPr="00827CD4">
        <w:rPr>
          <w:lang w:val="en-US"/>
        </w:rPr>
        <w:t xml:space="preserve"> new developments seen in</w:t>
      </w:r>
      <w:r w:rsidR="00D148CA" w:rsidRPr="00827CD4">
        <w:rPr>
          <w:lang w:val="en-US"/>
        </w:rPr>
        <w:t xml:space="preserve"> the temples of Isis outside Egypt, </w:t>
      </w:r>
      <w:r w:rsidR="005F225A" w:rsidRPr="00827CD4">
        <w:rPr>
          <w:lang w:val="en-US"/>
        </w:rPr>
        <w:t xml:space="preserve">combining </w:t>
      </w:r>
      <w:r w:rsidR="00D148CA" w:rsidRPr="00827CD4">
        <w:rPr>
          <w:lang w:val="en-US"/>
        </w:rPr>
        <w:t>Egyptian a</w:t>
      </w:r>
      <w:r w:rsidR="00F8381C" w:rsidRPr="00827CD4">
        <w:rPr>
          <w:lang w:val="en-US"/>
        </w:rPr>
        <w:t>nd foreign concepts of a temple</w:t>
      </w:r>
      <w:r w:rsidR="00D148CA" w:rsidRPr="00827CD4">
        <w:rPr>
          <w:lang w:val="en-US"/>
        </w:rPr>
        <w:t xml:space="preserve">. </w:t>
      </w:r>
      <w:r w:rsidR="006C3E00" w:rsidRPr="00827CD4">
        <w:rPr>
          <w:lang w:val="en-US"/>
        </w:rPr>
        <w:t>This was a big step, involving a rethinking of tradition</w:t>
      </w:r>
      <w:r w:rsidR="005F225A" w:rsidRPr="00827CD4">
        <w:rPr>
          <w:lang w:val="en-US"/>
        </w:rPr>
        <w:t xml:space="preserve"> with a revolutionary intent. We can appreciate the logic of the Kellis </w:t>
      </w:r>
      <w:r w:rsidR="00ED4B4F" w:rsidRPr="00ED4B4F">
        <w:rPr>
          <w:lang w:val="en-US"/>
        </w:rPr>
        <w:t>mammisi</w:t>
      </w:r>
      <w:r w:rsidR="005F225A" w:rsidRPr="00827CD4">
        <w:rPr>
          <w:lang w:val="en-US"/>
        </w:rPr>
        <w:t xml:space="preserve"> design because it </w:t>
      </w:r>
      <w:r w:rsidR="00937578" w:rsidRPr="00827CD4">
        <w:rPr>
          <w:lang w:val="en-US"/>
        </w:rPr>
        <w:t xml:space="preserve">reflects </w:t>
      </w:r>
      <w:r w:rsidR="006C3E00" w:rsidRPr="00827CD4">
        <w:rPr>
          <w:lang w:val="en-US"/>
        </w:rPr>
        <w:t>a</w:t>
      </w:r>
      <w:r w:rsidR="00937578" w:rsidRPr="00827CD4">
        <w:rPr>
          <w:lang w:val="en-US"/>
        </w:rPr>
        <w:t xml:space="preserve"> new</w:t>
      </w:r>
      <w:r w:rsidR="006C3E00" w:rsidRPr="00827CD4">
        <w:rPr>
          <w:lang w:val="en-US"/>
        </w:rPr>
        <w:t xml:space="preserve"> world </w:t>
      </w:r>
      <w:r w:rsidR="00937578" w:rsidRPr="00827CD4">
        <w:rPr>
          <w:lang w:val="en-US"/>
        </w:rPr>
        <w:t xml:space="preserve">in which </w:t>
      </w:r>
      <w:r w:rsidR="006C3E00" w:rsidRPr="00827CD4">
        <w:rPr>
          <w:lang w:val="en-US"/>
        </w:rPr>
        <w:t>there were no longer active pharaohs.</w:t>
      </w:r>
    </w:p>
    <w:p w14:paraId="669B5E66" w14:textId="6B3B01C0" w:rsidR="00684E8D" w:rsidRPr="00827CD4" w:rsidRDefault="000E07A3" w:rsidP="00B72341">
      <w:pPr>
        <w:rPr>
          <w:lang w:val="en-US"/>
        </w:rPr>
      </w:pPr>
      <w:r w:rsidRPr="009B0E02">
        <w:tab/>
      </w:r>
      <w:r w:rsidR="00345834" w:rsidRPr="00827CD4">
        <w:rPr>
          <w:lang w:val="en-US"/>
        </w:rPr>
        <w:t xml:space="preserve">Just like </w:t>
      </w:r>
      <w:r w:rsidR="006C3E00" w:rsidRPr="00827CD4">
        <w:rPr>
          <w:lang w:val="en-US"/>
        </w:rPr>
        <w:t xml:space="preserve">the temples </w:t>
      </w:r>
      <w:r w:rsidR="00345834" w:rsidRPr="00827CD4">
        <w:rPr>
          <w:lang w:val="en-US"/>
        </w:rPr>
        <w:t>outside Egypt</w:t>
      </w:r>
      <w:r w:rsidR="006C3E00" w:rsidRPr="00827CD4">
        <w:rPr>
          <w:lang w:val="en-US"/>
        </w:rPr>
        <w:t xml:space="preserve">, </w:t>
      </w:r>
      <w:r w:rsidR="00163A24">
        <w:rPr>
          <w:lang w:val="en-US"/>
        </w:rPr>
        <w:t>those</w:t>
      </w:r>
      <w:r w:rsidR="006C3E00" w:rsidRPr="00827CD4">
        <w:rPr>
          <w:lang w:val="en-US"/>
        </w:rPr>
        <w:t xml:space="preserve"> in the oases had more freedom to experiment</w:t>
      </w:r>
      <w:r w:rsidR="00345834" w:rsidRPr="00827CD4">
        <w:rPr>
          <w:lang w:val="en-US"/>
        </w:rPr>
        <w:t xml:space="preserve">. </w:t>
      </w:r>
      <w:r w:rsidR="00FE278C">
        <w:rPr>
          <w:lang w:val="en-US"/>
        </w:rPr>
        <w:t>Experimentation</w:t>
      </w:r>
      <w:r w:rsidR="006C3E00" w:rsidRPr="00827CD4">
        <w:rPr>
          <w:lang w:val="en-US"/>
        </w:rPr>
        <w:t xml:space="preserve"> is apparent also from the way the names of the Roman emperors</w:t>
      </w:r>
      <w:r w:rsidR="00FA7485">
        <w:rPr>
          <w:lang w:val="en-US"/>
        </w:rPr>
        <w:t xml:space="preserve"> were written</w:t>
      </w:r>
      <w:r w:rsidR="006C3E00" w:rsidRPr="00827CD4">
        <w:rPr>
          <w:lang w:val="en-US"/>
        </w:rPr>
        <w:t xml:space="preserve">, in the reverse order from the rest of Egypt. </w:t>
      </w:r>
      <w:r w:rsidR="009C2A9C" w:rsidRPr="00827CD4">
        <w:rPr>
          <w:lang w:val="en-US"/>
        </w:rPr>
        <w:t>The Kellis</w:t>
      </w:r>
      <w:r w:rsidR="006C3E00" w:rsidRPr="00827CD4">
        <w:rPr>
          <w:lang w:val="en-US"/>
        </w:rPr>
        <w:t xml:space="preserve"> </w:t>
      </w:r>
      <w:r w:rsidR="00ED4B4F" w:rsidRPr="00ED4B4F">
        <w:rPr>
          <w:lang w:val="en-US"/>
        </w:rPr>
        <w:t>mammisi</w:t>
      </w:r>
      <w:r w:rsidR="006C3E00" w:rsidRPr="00827CD4">
        <w:rPr>
          <w:lang w:val="en-US"/>
        </w:rPr>
        <w:t xml:space="preserve"> </w:t>
      </w:r>
      <w:r w:rsidR="00345834" w:rsidRPr="00827CD4">
        <w:rPr>
          <w:lang w:val="en-US"/>
        </w:rPr>
        <w:t>up</w:t>
      </w:r>
      <w:r w:rsidR="00163A24">
        <w:rPr>
          <w:lang w:val="en-US"/>
        </w:rPr>
        <w:t>end</w:t>
      </w:r>
      <w:r w:rsidR="00345834" w:rsidRPr="00827CD4">
        <w:rPr>
          <w:lang w:val="en-US"/>
        </w:rPr>
        <w:t xml:space="preserve">ed </w:t>
      </w:r>
      <w:r w:rsidR="00D148CA" w:rsidRPr="00827CD4">
        <w:rPr>
          <w:lang w:val="en-US"/>
        </w:rPr>
        <w:t>age-old traditions, reflect</w:t>
      </w:r>
      <w:r w:rsidR="00163A24">
        <w:rPr>
          <w:lang w:val="en-US"/>
        </w:rPr>
        <w:t>ing</w:t>
      </w:r>
      <w:r w:rsidR="00D148CA" w:rsidRPr="00827CD4">
        <w:rPr>
          <w:lang w:val="en-US"/>
        </w:rPr>
        <w:t xml:space="preserve"> </w:t>
      </w:r>
      <w:r w:rsidR="006C3E00" w:rsidRPr="00827CD4">
        <w:rPr>
          <w:lang w:val="en-US"/>
        </w:rPr>
        <w:t xml:space="preserve">the essence of Egyptian religion in </w:t>
      </w:r>
      <w:r w:rsidR="00D148CA" w:rsidRPr="00827CD4">
        <w:rPr>
          <w:lang w:val="en-US"/>
        </w:rPr>
        <w:t xml:space="preserve">these changing </w:t>
      </w:r>
      <w:r w:rsidR="006C3E00" w:rsidRPr="00827CD4">
        <w:rPr>
          <w:lang w:val="en-US"/>
        </w:rPr>
        <w:t>times.</w:t>
      </w:r>
      <w:r w:rsidR="00AA77E7" w:rsidRPr="00827CD4">
        <w:rPr>
          <w:lang w:val="en-US"/>
        </w:rPr>
        <w:t xml:space="preserve"> The early second century </w:t>
      </w:r>
      <w:r w:rsidR="009B62AC" w:rsidRPr="00827CD4">
        <w:rPr>
          <w:lang w:val="en-US"/>
        </w:rPr>
        <w:t>AD</w:t>
      </w:r>
      <w:r w:rsidR="00AA77E7" w:rsidRPr="00827CD4">
        <w:rPr>
          <w:lang w:val="en-US"/>
        </w:rPr>
        <w:t xml:space="preserve"> was still a time of temple building and artistic investment in religious institutions</w:t>
      </w:r>
      <w:r w:rsidR="009F2FCE" w:rsidRPr="00827CD4">
        <w:rPr>
          <w:lang w:val="en-US"/>
        </w:rPr>
        <w:t xml:space="preserve">, but in the course of the century </w:t>
      </w:r>
      <w:r w:rsidR="009B62AC" w:rsidRPr="00827CD4">
        <w:rPr>
          <w:lang w:val="en-US"/>
        </w:rPr>
        <w:t>a</w:t>
      </w:r>
      <w:r w:rsidR="009F2FCE" w:rsidRPr="00827CD4">
        <w:rPr>
          <w:lang w:val="en-US"/>
        </w:rPr>
        <w:t xml:space="preserve"> decline would set in</w:t>
      </w:r>
      <w:r w:rsidR="00AA77E7" w:rsidRPr="00827CD4">
        <w:rPr>
          <w:lang w:val="en-US"/>
        </w:rPr>
        <w:t>.</w:t>
      </w:r>
      <w:r w:rsidR="006C3E00" w:rsidRPr="00827CD4">
        <w:rPr>
          <w:lang w:val="en-US"/>
        </w:rPr>
        <w:t xml:space="preserve"> If the </w:t>
      </w:r>
      <w:r w:rsidR="009B62AC" w:rsidRPr="00827CD4">
        <w:rPr>
          <w:lang w:val="en-US"/>
        </w:rPr>
        <w:t xml:space="preserve">indigenous </w:t>
      </w:r>
      <w:r w:rsidR="006C3E00" w:rsidRPr="00827CD4">
        <w:rPr>
          <w:lang w:val="en-US"/>
        </w:rPr>
        <w:t xml:space="preserve">religion had </w:t>
      </w:r>
      <w:r w:rsidR="009F2FCE" w:rsidRPr="00827CD4">
        <w:rPr>
          <w:lang w:val="en-US"/>
        </w:rPr>
        <w:t>continued to thrive</w:t>
      </w:r>
      <w:r w:rsidR="00182CCD" w:rsidRPr="00827CD4">
        <w:rPr>
          <w:lang w:val="en-US"/>
        </w:rPr>
        <w:t>,</w:t>
      </w:r>
      <w:r w:rsidR="006C3E00" w:rsidRPr="00827CD4">
        <w:rPr>
          <w:lang w:val="en-US"/>
        </w:rPr>
        <w:t xml:space="preserve"> it is likely that </w:t>
      </w:r>
      <w:r w:rsidR="0014565E" w:rsidRPr="00827CD4">
        <w:rPr>
          <w:lang w:val="en-US"/>
        </w:rPr>
        <w:t>comparable</w:t>
      </w:r>
      <w:r w:rsidR="006C3E00" w:rsidRPr="00827CD4">
        <w:rPr>
          <w:lang w:val="en-US"/>
        </w:rPr>
        <w:t xml:space="preserve"> temple decoration</w:t>
      </w:r>
      <w:r w:rsidR="009C2A9C" w:rsidRPr="00827CD4">
        <w:rPr>
          <w:lang w:val="en-US"/>
        </w:rPr>
        <w:t xml:space="preserve"> would have</w:t>
      </w:r>
      <w:r w:rsidR="006C3E00" w:rsidRPr="00827CD4">
        <w:rPr>
          <w:lang w:val="en-US"/>
        </w:rPr>
        <w:t xml:space="preserve"> appear</w:t>
      </w:r>
      <w:r w:rsidR="009C2A9C" w:rsidRPr="00827CD4">
        <w:rPr>
          <w:lang w:val="en-US"/>
        </w:rPr>
        <w:t>ed</w:t>
      </w:r>
      <w:r w:rsidR="006C3E00" w:rsidRPr="00827CD4">
        <w:rPr>
          <w:lang w:val="en-US"/>
        </w:rPr>
        <w:t xml:space="preserve"> also in the Nile Valley. As it was, Egyptian religion became gradually more marginalized</w:t>
      </w:r>
      <w:r w:rsidR="00163A24">
        <w:rPr>
          <w:lang w:val="en-US"/>
        </w:rPr>
        <w:t>,</w:t>
      </w:r>
      <w:r w:rsidR="006C3E00" w:rsidRPr="00827CD4">
        <w:rPr>
          <w:lang w:val="en-US"/>
        </w:rPr>
        <w:t xml:space="preserve"> and such a daring step could no longer be taken by the priests of a religion that was under severe pressure.</w:t>
      </w:r>
      <w:r w:rsidR="0014565E" w:rsidRPr="00827CD4">
        <w:rPr>
          <w:lang w:val="en-US"/>
        </w:rPr>
        <w:t xml:space="preserve"> Political and economic </w:t>
      </w:r>
      <w:r w:rsidR="00A7326F" w:rsidRPr="00827CD4">
        <w:rPr>
          <w:lang w:val="en-US"/>
        </w:rPr>
        <w:t xml:space="preserve">measures taken by </w:t>
      </w:r>
      <w:r w:rsidR="0014565E" w:rsidRPr="00827CD4">
        <w:rPr>
          <w:lang w:val="en-US"/>
        </w:rPr>
        <w:t xml:space="preserve">the </w:t>
      </w:r>
      <w:r w:rsidR="00A04A90" w:rsidRPr="00827CD4">
        <w:rPr>
          <w:lang w:val="en-US"/>
        </w:rPr>
        <w:t xml:space="preserve">Roman </w:t>
      </w:r>
      <w:r w:rsidR="0014565E" w:rsidRPr="00827CD4">
        <w:rPr>
          <w:lang w:val="en-US"/>
        </w:rPr>
        <w:t xml:space="preserve">state had </w:t>
      </w:r>
      <w:r w:rsidR="00A04A90" w:rsidRPr="00827CD4">
        <w:rPr>
          <w:lang w:val="en-US"/>
        </w:rPr>
        <w:t>impoverished the temples by removing their land and closely monitoring their assets.</w:t>
      </w:r>
      <w:r w:rsidR="00A04A90" w:rsidRPr="00827CD4">
        <w:rPr>
          <w:rStyle w:val="EndnoteReference"/>
          <w:rFonts w:cs="Times New Roman"/>
          <w:szCs w:val="24"/>
          <w:lang w:val="en-US"/>
        </w:rPr>
        <w:endnoteReference w:id="61"/>
      </w:r>
      <w:r w:rsidR="0014565E" w:rsidRPr="00827CD4">
        <w:rPr>
          <w:lang w:val="en-US"/>
        </w:rPr>
        <w:t xml:space="preserve"> </w:t>
      </w:r>
      <w:r w:rsidR="00A04A90" w:rsidRPr="00827CD4">
        <w:rPr>
          <w:lang w:val="en-US"/>
        </w:rPr>
        <w:t xml:space="preserve">As a result the economic crisis of the third century </w:t>
      </w:r>
      <w:r w:rsidR="009B62AC" w:rsidRPr="00827CD4">
        <w:rPr>
          <w:lang w:val="en-US"/>
        </w:rPr>
        <w:t xml:space="preserve">AD </w:t>
      </w:r>
      <w:r w:rsidR="00A04A90" w:rsidRPr="00827CD4">
        <w:rPr>
          <w:lang w:val="en-US"/>
        </w:rPr>
        <w:t>had a</w:t>
      </w:r>
      <w:r w:rsidR="003958C9" w:rsidRPr="00827CD4">
        <w:rPr>
          <w:lang w:val="en-US"/>
        </w:rPr>
        <w:t>n</w:t>
      </w:r>
      <w:r w:rsidR="00A04A90" w:rsidRPr="00827CD4">
        <w:rPr>
          <w:lang w:val="en-US"/>
        </w:rPr>
        <w:t xml:space="preserve"> enormous impact on the temples, which </w:t>
      </w:r>
      <w:r w:rsidR="003958C9" w:rsidRPr="00827CD4">
        <w:rPr>
          <w:lang w:val="en-US"/>
        </w:rPr>
        <w:t xml:space="preserve">could, as a consequence, no </w:t>
      </w:r>
      <w:r w:rsidR="00A04A90" w:rsidRPr="00827CD4">
        <w:rPr>
          <w:lang w:val="en-US"/>
        </w:rPr>
        <w:t xml:space="preserve">longer </w:t>
      </w:r>
      <w:r w:rsidR="003958C9" w:rsidRPr="00827CD4">
        <w:rPr>
          <w:lang w:val="en-US"/>
        </w:rPr>
        <w:t xml:space="preserve">be </w:t>
      </w:r>
      <w:r w:rsidR="00A04A90" w:rsidRPr="00827CD4">
        <w:rPr>
          <w:lang w:val="en-US"/>
        </w:rPr>
        <w:t>maintained.</w:t>
      </w:r>
      <w:r w:rsidR="006C3E00" w:rsidRPr="00827CD4">
        <w:rPr>
          <w:lang w:val="en-US"/>
        </w:rPr>
        <w:t xml:space="preserve"> </w:t>
      </w:r>
      <w:r w:rsidR="003958C9" w:rsidRPr="00827CD4">
        <w:rPr>
          <w:lang w:val="en-US"/>
        </w:rPr>
        <w:t>Some</w:t>
      </w:r>
      <w:r w:rsidR="006C3E00" w:rsidRPr="00827CD4">
        <w:rPr>
          <w:lang w:val="en-US"/>
        </w:rPr>
        <w:t xml:space="preserve"> </w:t>
      </w:r>
      <w:r w:rsidR="003958C9" w:rsidRPr="00827CD4">
        <w:rPr>
          <w:lang w:val="en-US"/>
        </w:rPr>
        <w:t xml:space="preserve">rare </w:t>
      </w:r>
      <w:r w:rsidR="006C3E00" w:rsidRPr="00827CD4">
        <w:rPr>
          <w:lang w:val="en-US"/>
        </w:rPr>
        <w:t>temple</w:t>
      </w:r>
      <w:r w:rsidR="00163A24">
        <w:rPr>
          <w:lang w:val="en-US"/>
        </w:rPr>
        <w:t>-</w:t>
      </w:r>
      <w:r w:rsidR="006C3E00" w:rsidRPr="00827CD4">
        <w:rPr>
          <w:lang w:val="en-US"/>
        </w:rPr>
        <w:t>building project</w:t>
      </w:r>
      <w:r w:rsidR="0014565E" w:rsidRPr="00827CD4">
        <w:rPr>
          <w:lang w:val="en-US"/>
        </w:rPr>
        <w:t>s</w:t>
      </w:r>
      <w:r w:rsidR="006C3E00" w:rsidRPr="00827CD4">
        <w:rPr>
          <w:lang w:val="en-US"/>
        </w:rPr>
        <w:t xml:space="preserve"> in the Nile Valley, such as </w:t>
      </w:r>
      <w:r w:rsidR="0014565E" w:rsidRPr="00827CD4">
        <w:rPr>
          <w:lang w:val="en-US"/>
        </w:rPr>
        <w:t xml:space="preserve">that </w:t>
      </w:r>
      <w:r w:rsidR="006C3E00" w:rsidRPr="00827CD4">
        <w:rPr>
          <w:lang w:val="en-US"/>
        </w:rPr>
        <w:t xml:space="preserve">at Esna, were continued in accordance with tradition, </w:t>
      </w:r>
      <w:r w:rsidR="00E0776A" w:rsidRPr="00827CD4">
        <w:rPr>
          <w:lang w:val="en-US"/>
        </w:rPr>
        <w:t>even as late as the reign of Decius</w:t>
      </w:r>
      <w:r w:rsidR="003F70C1" w:rsidRPr="00827CD4">
        <w:rPr>
          <w:lang w:val="en-US"/>
        </w:rPr>
        <w:t xml:space="preserve"> (r. </w:t>
      </w:r>
      <w:r w:rsidR="00163A24" w:rsidRPr="00827CD4">
        <w:rPr>
          <w:lang w:val="en-US"/>
        </w:rPr>
        <w:t xml:space="preserve">AD </w:t>
      </w:r>
      <w:r w:rsidR="003F70C1" w:rsidRPr="00827CD4">
        <w:rPr>
          <w:lang w:val="en-US"/>
        </w:rPr>
        <w:t>249</w:t>
      </w:r>
      <w:r w:rsidR="002D28A3">
        <w:rPr>
          <w:lang w:val="en-US"/>
        </w:rPr>
        <w:t>–</w:t>
      </w:r>
      <w:r w:rsidR="003F70C1" w:rsidRPr="00827CD4">
        <w:rPr>
          <w:lang w:val="en-US"/>
        </w:rPr>
        <w:t>51)</w:t>
      </w:r>
      <w:r w:rsidR="00E0776A" w:rsidRPr="00827CD4">
        <w:rPr>
          <w:lang w:val="en-US"/>
        </w:rPr>
        <w:t xml:space="preserve">, </w:t>
      </w:r>
      <w:r w:rsidR="006C3E00" w:rsidRPr="00827CD4">
        <w:rPr>
          <w:lang w:val="en-US"/>
        </w:rPr>
        <w:t>but the</w:t>
      </w:r>
      <w:r w:rsidR="0014565E" w:rsidRPr="00827CD4">
        <w:rPr>
          <w:lang w:val="en-US"/>
        </w:rPr>
        <w:t xml:space="preserve"> priests and artists</w:t>
      </w:r>
      <w:r w:rsidR="006C3E00" w:rsidRPr="00827CD4">
        <w:rPr>
          <w:lang w:val="en-US"/>
        </w:rPr>
        <w:t xml:space="preserve"> were no longer capable of innovative and creative designs.</w:t>
      </w:r>
      <w:r w:rsidR="006C3E00" w:rsidRPr="00827CD4">
        <w:rPr>
          <w:rStyle w:val="EndnoteReference"/>
          <w:rFonts w:cs="Times New Roman"/>
          <w:szCs w:val="24"/>
          <w:lang w:val="en-US"/>
        </w:rPr>
        <w:endnoteReference w:id="62"/>
      </w:r>
      <w:r w:rsidR="006C3E00" w:rsidRPr="00827CD4">
        <w:rPr>
          <w:lang w:val="en-US"/>
        </w:rPr>
        <w:t xml:space="preserve"> </w:t>
      </w:r>
      <w:r w:rsidR="003958C9" w:rsidRPr="00827CD4">
        <w:rPr>
          <w:lang w:val="en-US"/>
        </w:rPr>
        <w:t xml:space="preserve">The Kellis </w:t>
      </w:r>
      <w:r w:rsidR="00ED4B4F" w:rsidRPr="00ED4B4F">
        <w:rPr>
          <w:lang w:val="en-US"/>
        </w:rPr>
        <w:lastRenderedPageBreak/>
        <w:t>mammisi</w:t>
      </w:r>
      <w:r w:rsidR="003958C9" w:rsidRPr="00827CD4">
        <w:rPr>
          <w:lang w:val="en-US"/>
        </w:rPr>
        <w:t xml:space="preserve"> was a brave</w:t>
      </w:r>
      <w:r w:rsidR="00942E45" w:rsidRPr="00827CD4">
        <w:rPr>
          <w:lang w:val="en-US"/>
        </w:rPr>
        <w:t xml:space="preserve"> attempt at innovation </w:t>
      </w:r>
      <w:r w:rsidR="009F2FCE" w:rsidRPr="00827CD4">
        <w:rPr>
          <w:lang w:val="en-US"/>
        </w:rPr>
        <w:t>of the</w:t>
      </w:r>
      <w:r w:rsidR="00942E45" w:rsidRPr="00827CD4">
        <w:rPr>
          <w:lang w:val="en-US"/>
        </w:rPr>
        <w:t xml:space="preserve"> </w:t>
      </w:r>
      <w:r w:rsidR="006830B2" w:rsidRPr="00827CD4">
        <w:rPr>
          <w:lang w:val="en-US"/>
        </w:rPr>
        <w:t>ancient religion</w:t>
      </w:r>
      <w:r w:rsidR="003958C9" w:rsidRPr="00827CD4">
        <w:rPr>
          <w:lang w:val="en-US"/>
        </w:rPr>
        <w:t xml:space="preserve">, but the times proved to be unfavorable for </w:t>
      </w:r>
      <w:r w:rsidR="00E85C6B">
        <w:rPr>
          <w:lang w:val="en-US"/>
        </w:rPr>
        <w:t xml:space="preserve">the </w:t>
      </w:r>
      <w:r w:rsidR="00E85C6B" w:rsidRPr="00827CD4">
        <w:rPr>
          <w:lang w:val="en-US"/>
        </w:rPr>
        <w:t>continu</w:t>
      </w:r>
      <w:r w:rsidR="00E85C6B">
        <w:rPr>
          <w:lang w:val="en-US"/>
        </w:rPr>
        <w:t xml:space="preserve">ation of </w:t>
      </w:r>
      <w:r w:rsidR="003958C9" w:rsidRPr="00827CD4">
        <w:rPr>
          <w:lang w:val="en-US"/>
        </w:rPr>
        <w:t>these ideas</w:t>
      </w:r>
      <w:r w:rsidR="006830B2" w:rsidRPr="00827CD4">
        <w:rPr>
          <w:lang w:val="en-US"/>
        </w:rPr>
        <w:t>.</w:t>
      </w:r>
    </w:p>
    <w:p w14:paraId="5994F67B" w14:textId="46D8601B" w:rsidR="00A20172" w:rsidRPr="00827CD4" w:rsidRDefault="00A20172" w:rsidP="00B72341">
      <w:pPr>
        <w:rPr>
          <w:lang w:val="en-US"/>
        </w:rPr>
      </w:pPr>
    </w:p>
    <w:p w14:paraId="42619306" w14:textId="2BFA8141" w:rsidR="001D6026" w:rsidRPr="00826D9D" w:rsidRDefault="00E569CB" w:rsidP="00B72341">
      <w:pPr>
        <w:rPr>
          <w:lang w:val="en-US"/>
        </w:rPr>
      </w:pPr>
      <w:r w:rsidRPr="00826D9D">
        <w:rPr>
          <w:lang w:val="en-US"/>
        </w:rPr>
        <w:t>Notes</w:t>
      </w:r>
    </w:p>
    <w:p w14:paraId="443D5236" w14:textId="320B0332" w:rsidR="00E569CB" w:rsidRPr="00826D9D" w:rsidRDefault="00E569CB" w:rsidP="00B72341">
      <w:pPr>
        <w:rPr>
          <w:lang w:val="en-US"/>
        </w:rPr>
      </w:pPr>
      <w:r w:rsidRPr="00457B12">
        <w:rPr>
          <w:highlight w:val="yellow"/>
          <w:lang w:val="en-US"/>
        </w:rPr>
        <w:t>[unnumbered note]</w:t>
      </w:r>
    </w:p>
    <w:p w14:paraId="6B8654DA" w14:textId="0E171EA2" w:rsidR="00E569CB" w:rsidRDefault="00E569CB" w:rsidP="00B72341">
      <w:r w:rsidRPr="00E569CB">
        <w:rPr>
          <w:lang w:val="en-US"/>
        </w:rPr>
        <w:t xml:space="preserve">I am most grateful to the Getty Research Institute for the </w:t>
      </w:r>
      <w:r w:rsidR="00C97057">
        <w:rPr>
          <w:lang w:val="en-US"/>
        </w:rPr>
        <w:t>fellowship</w:t>
      </w:r>
      <w:r w:rsidRPr="00E569CB">
        <w:rPr>
          <w:lang w:val="en-US"/>
        </w:rPr>
        <w:t xml:space="preserve"> I received in 2017, which allowed me to develop some of the ideas discussed in this paper.</w:t>
      </w:r>
    </w:p>
    <w:sectPr w:rsidR="00E569CB" w:rsidSect="000E07A3">
      <w:headerReference w:type="default" r:id="rId7"/>
      <w:footerReference w:type="even" r:id="rId8"/>
      <w:footerReference w:type="default" r:id="rId9"/>
      <w:footnotePr>
        <w:pos w:val="beneathText"/>
      </w:footnotePr>
      <w:endnotePr>
        <w:numFmt w:val="decimal"/>
      </w:endnotePr>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78EF5" w14:textId="77777777" w:rsidR="00245580" w:rsidRDefault="00245580" w:rsidP="009839E7">
      <w:pPr>
        <w:spacing w:line="240" w:lineRule="auto"/>
      </w:pPr>
      <w:r>
        <w:separator/>
      </w:r>
    </w:p>
  </w:endnote>
  <w:endnote w:type="continuationSeparator" w:id="0">
    <w:p w14:paraId="5011D3B9" w14:textId="77777777" w:rsidR="00245580" w:rsidRDefault="00245580" w:rsidP="009839E7">
      <w:pPr>
        <w:spacing w:line="240" w:lineRule="auto"/>
      </w:pPr>
      <w:r>
        <w:continuationSeparator/>
      </w:r>
    </w:p>
  </w:endnote>
  <w:endnote w:type="continuationNotice" w:id="1">
    <w:p w14:paraId="70F98053" w14:textId="77777777" w:rsidR="00245580" w:rsidRDefault="00245580">
      <w:pPr>
        <w:spacing w:line="240" w:lineRule="auto"/>
      </w:pPr>
    </w:p>
  </w:endnote>
  <w:endnote w:id="2">
    <w:p w14:paraId="0C016218" w14:textId="77425EB0"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On the Southern Oasis, </w:t>
      </w:r>
      <w:r w:rsidR="00431097" w:rsidRPr="00B0600A">
        <w:rPr>
          <w:rFonts w:cs="Times New Roman"/>
          <w:lang w:val="en-US"/>
        </w:rPr>
        <w:t>see</w:t>
      </w:r>
      <w:r w:rsidRPr="00B0600A">
        <w:rPr>
          <w:rFonts w:cs="Times New Roman"/>
          <w:lang w:val="en-US"/>
        </w:rPr>
        <w:t xml:space="preserve"> Bagnall and Tallet 2019.</w:t>
      </w:r>
    </w:p>
  </w:endnote>
  <w:endnote w:id="3">
    <w:p w14:paraId="73D31B20" w14:textId="48B99DE9"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Hope and Whitehouse 2006; Hope 2009; Hope 2015.</w:t>
      </w:r>
    </w:p>
  </w:endnote>
  <w:endnote w:id="4">
    <w:p w14:paraId="4D1D4717" w14:textId="2BA725CD"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On Kellis, </w:t>
      </w:r>
      <w:r w:rsidR="00431097" w:rsidRPr="00B0600A">
        <w:rPr>
          <w:rFonts w:cs="Times New Roman"/>
          <w:lang w:val="en-US"/>
        </w:rPr>
        <w:t>see</w:t>
      </w:r>
      <w:r w:rsidRPr="00B0600A">
        <w:rPr>
          <w:rFonts w:cs="Times New Roman"/>
          <w:lang w:val="en-US"/>
        </w:rPr>
        <w:t xml:space="preserve"> the references in Hope 2013. On the </w:t>
      </w:r>
      <w:r w:rsidRPr="002661C2">
        <w:rPr>
          <w:rFonts w:cs="Times New Roman"/>
          <w:i/>
          <w:iCs/>
          <w:lang w:val="en-US"/>
        </w:rPr>
        <w:t>nymphaeum</w:t>
      </w:r>
      <w:r w:rsidRPr="00B0600A">
        <w:rPr>
          <w:rFonts w:cs="Times New Roman"/>
          <w:lang w:val="en-US"/>
        </w:rPr>
        <w:t xml:space="preserve">, </w:t>
      </w:r>
      <w:r w:rsidR="00431097" w:rsidRPr="00B0600A">
        <w:rPr>
          <w:rFonts w:cs="Times New Roman"/>
          <w:lang w:val="en-US"/>
        </w:rPr>
        <w:t>see</w:t>
      </w:r>
      <w:r w:rsidRPr="00B0600A">
        <w:rPr>
          <w:rFonts w:cs="Times New Roman"/>
          <w:lang w:val="en-US"/>
        </w:rPr>
        <w:t xml:space="preserve"> </w:t>
      </w:r>
      <w:r w:rsidR="00B0600A" w:rsidRPr="00B0600A">
        <w:rPr>
          <w:rFonts w:cs="Times New Roman"/>
          <w:lang w:val="en-US"/>
        </w:rPr>
        <w:t xml:space="preserve">G. E. </w:t>
      </w:r>
      <w:r w:rsidRPr="00B0600A">
        <w:rPr>
          <w:rFonts w:cs="Times New Roman"/>
          <w:lang w:val="en-US"/>
        </w:rPr>
        <w:t>Bowen, in Bowen et al. 2007, 29</w:t>
      </w:r>
      <w:r w:rsidR="002D28A3" w:rsidRPr="00B0600A">
        <w:rPr>
          <w:rFonts w:cs="Times New Roman"/>
          <w:lang w:val="en-US"/>
        </w:rPr>
        <w:t>–</w:t>
      </w:r>
      <w:r w:rsidRPr="00B0600A">
        <w:rPr>
          <w:rFonts w:cs="Times New Roman"/>
          <w:lang w:val="en-US"/>
        </w:rPr>
        <w:t>33.</w:t>
      </w:r>
    </w:p>
  </w:endnote>
  <w:endnote w:id="5">
    <w:p w14:paraId="2C03640F" w14:textId="660DD42E"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Kaper 2003a, 139, 264 [R</w:t>
      </w:r>
      <w:r w:rsidR="002D28A3" w:rsidRPr="00B0600A">
        <w:rPr>
          <w:rFonts w:cs="Times New Roman"/>
          <w:lang w:val="en-US"/>
        </w:rPr>
        <w:t>–</w:t>
      </w:r>
      <w:r w:rsidRPr="00B0600A">
        <w:rPr>
          <w:rFonts w:cs="Times New Roman"/>
          <w:lang w:val="en-US"/>
        </w:rPr>
        <w:t>41].</w:t>
      </w:r>
    </w:p>
  </w:endnote>
  <w:endnote w:id="6">
    <w:p w14:paraId="575F3E78" w14:textId="302E5A42" w:rsidR="00843E32" w:rsidRPr="002661C2" w:rsidRDefault="00843E32" w:rsidP="002661C2">
      <w:r w:rsidRPr="00B0600A">
        <w:rPr>
          <w:rStyle w:val="EndnoteReference"/>
          <w:rFonts w:cs="Times New Roman"/>
          <w:lang w:val="en-US"/>
        </w:rPr>
        <w:endnoteRef/>
      </w:r>
      <w:r w:rsidRPr="00B0600A">
        <w:rPr>
          <w:rFonts w:cs="Times New Roman"/>
          <w:lang w:val="en-US"/>
        </w:rPr>
        <w:t xml:space="preserve"> On the various forms of Bes, </w:t>
      </w:r>
      <w:r w:rsidR="00431097" w:rsidRPr="00B0600A">
        <w:rPr>
          <w:rFonts w:cs="Times New Roman"/>
          <w:lang w:val="en-US"/>
        </w:rPr>
        <w:t>see</w:t>
      </w:r>
      <w:r w:rsidRPr="00B0600A">
        <w:rPr>
          <w:rFonts w:cs="Times New Roman"/>
          <w:lang w:val="en-US"/>
        </w:rPr>
        <w:t xml:space="preserve"> Volokhine 2017. There is no evidence for a temple cult for Bes, and also the evidence found in Bahariya </w:t>
      </w:r>
      <w:r w:rsidR="00B0600A" w:rsidRPr="00B0600A">
        <w:rPr>
          <w:rFonts w:cs="Times New Roman"/>
          <w:lang w:val="en-US"/>
        </w:rPr>
        <w:t>O</w:t>
      </w:r>
      <w:r w:rsidRPr="00B0600A">
        <w:rPr>
          <w:rFonts w:cs="Times New Roman"/>
          <w:lang w:val="en-US"/>
        </w:rPr>
        <w:t>asis, as reported in Hawass 2000, 168</w:t>
      </w:r>
      <w:r w:rsidR="002D28A3" w:rsidRPr="00B0600A">
        <w:rPr>
          <w:rFonts w:cs="Times New Roman"/>
          <w:lang w:val="en-US"/>
        </w:rPr>
        <w:t>–</w:t>
      </w:r>
      <w:r w:rsidRPr="00B0600A">
        <w:rPr>
          <w:rFonts w:cs="Times New Roman"/>
          <w:lang w:val="en-US"/>
        </w:rPr>
        <w:t>73</w:t>
      </w:r>
      <w:r w:rsidR="00FA7485">
        <w:rPr>
          <w:rFonts w:cs="Times New Roman"/>
          <w:lang w:val="en-US"/>
        </w:rPr>
        <w:t>,</w:t>
      </w:r>
      <w:r w:rsidRPr="00B0600A">
        <w:rPr>
          <w:rFonts w:cs="Times New Roman"/>
          <w:lang w:val="en-US"/>
        </w:rPr>
        <w:t xml:space="preserve"> is not conclusive. Only in late Roman times </w:t>
      </w:r>
      <w:r w:rsidR="00B0600A" w:rsidRPr="00B0600A">
        <w:rPr>
          <w:rFonts w:cs="Times New Roman"/>
          <w:lang w:val="en-US"/>
        </w:rPr>
        <w:t xml:space="preserve">was </w:t>
      </w:r>
      <w:r w:rsidRPr="00B0600A">
        <w:rPr>
          <w:rFonts w:cs="Times New Roman"/>
          <w:lang w:val="en-US"/>
        </w:rPr>
        <w:t>Bes venerated at Abydos</w:t>
      </w:r>
      <w:r w:rsidR="00431097" w:rsidRPr="00B0600A">
        <w:rPr>
          <w:rFonts w:cs="Times New Roman"/>
          <w:lang w:val="en-US"/>
        </w:rPr>
        <w:t xml:space="preserve"> </w:t>
      </w:r>
      <w:r w:rsidR="00B0600A" w:rsidRPr="00B0600A">
        <w:rPr>
          <w:rFonts w:cs="Times New Roman"/>
          <w:lang w:val="en-US"/>
        </w:rPr>
        <w:t>(</w:t>
      </w:r>
      <w:r w:rsidRPr="00B0600A">
        <w:rPr>
          <w:rFonts w:cs="Times New Roman"/>
          <w:lang w:val="en-US"/>
        </w:rPr>
        <w:t>Frankfurter 1998, 169–79; Effland and Effland 2013, 120–29; Effland 2014</w:t>
      </w:r>
      <w:r w:rsidR="00B0600A" w:rsidRPr="00B0600A">
        <w:rPr>
          <w:rFonts w:cs="Times New Roman"/>
          <w:lang w:val="en-US"/>
        </w:rPr>
        <w:t>),</w:t>
      </w:r>
      <w:r w:rsidRPr="00B0600A">
        <w:rPr>
          <w:rFonts w:cs="Times New Roman"/>
          <w:lang w:val="en-US"/>
        </w:rPr>
        <w:t xml:space="preserve"> and in </w:t>
      </w:r>
      <w:r w:rsidR="002661C2" w:rsidRPr="00E916E1">
        <w:rPr>
          <w:rFonts w:cs="Times New Roman"/>
        </w:rPr>
        <w:t>Antinoupolis</w:t>
      </w:r>
      <w:r w:rsidR="002661C2">
        <w:rPr>
          <w:rFonts w:cs="Times New Roman"/>
        </w:rPr>
        <w:t xml:space="preserve"> </w:t>
      </w:r>
      <w:r w:rsidRPr="00B0600A">
        <w:rPr>
          <w:rFonts w:cs="Times New Roman"/>
          <w:lang w:val="en-US"/>
        </w:rPr>
        <w:t xml:space="preserve">the god was assimilated to the divinized Antinous </w:t>
      </w:r>
      <w:r w:rsidR="00B0600A" w:rsidRPr="00B0600A">
        <w:rPr>
          <w:rFonts w:cs="Times New Roman"/>
          <w:lang w:val="en-US"/>
        </w:rPr>
        <w:t>(</w:t>
      </w:r>
      <w:r w:rsidRPr="00B0600A">
        <w:rPr>
          <w:rFonts w:cs="Times New Roman"/>
          <w:lang w:val="en-US"/>
        </w:rPr>
        <w:t>Kákosy 1995, 2921</w:t>
      </w:r>
      <w:r w:rsidR="00B0600A" w:rsidRPr="00B0600A">
        <w:rPr>
          <w:rFonts w:cs="Times New Roman"/>
          <w:lang w:val="en-US"/>
        </w:rPr>
        <w:t>)</w:t>
      </w:r>
      <w:r w:rsidRPr="00B0600A">
        <w:rPr>
          <w:rFonts w:cs="Times New Roman"/>
          <w:lang w:val="en-US"/>
        </w:rPr>
        <w:t>.</w:t>
      </w:r>
    </w:p>
  </w:endnote>
  <w:endnote w:id="7">
    <w:p w14:paraId="1435DD00" w14:textId="01574AD2"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Kaper 2003a, 129</w:t>
      </w:r>
      <w:r w:rsidR="002D28A3" w:rsidRPr="00B0600A">
        <w:rPr>
          <w:rFonts w:cs="Times New Roman"/>
          <w:lang w:val="en-US"/>
        </w:rPr>
        <w:t>–</w:t>
      </w:r>
      <w:r w:rsidRPr="00B0600A">
        <w:rPr>
          <w:rFonts w:cs="Times New Roman"/>
          <w:lang w:val="en-US"/>
        </w:rPr>
        <w:t>39</w:t>
      </w:r>
    </w:p>
  </w:endnote>
  <w:endnote w:id="8">
    <w:p w14:paraId="348E4AD0" w14:textId="2FE83EE3"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Kaper 2003a, 147.</w:t>
      </w:r>
    </w:p>
  </w:endnote>
  <w:endnote w:id="9">
    <w:p w14:paraId="3662B145" w14:textId="4140F49A"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Kaper 2003a, 152, 235.</w:t>
      </w:r>
    </w:p>
  </w:endnote>
  <w:endnote w:id="10">
    <w:p w14:paraId="15E18719" w14:textId="3020FC89"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Kaper 1998.</w:t>
      </w:r>
    </w:p>
  </w:endnote>
  <w:endnote w:id="11">
    <w:p w14:paraId="1106EABA" w14:textId="4410332F"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w:t>
      </w:r>
      <w:r w:rsidR="00B0600A" w:rsidRPr="00B0600A">
        <w:rPr>
          <w:rFonts w:cs="Times New Roman"/>
          <w:lang w:val="en-US"/>
        </w:rPr>
        <w:t>On</w:t>
      </w:r>
      <w:r w:rsidRPr="00B0600A">
        <w:rPr>
          <w:rFonts w:cs="Times New Roman"/>
          <w:lang w:val="en-US"/>
        </w:rPr>
        <w:t xml:space="preserve"> Tutu</w:t>
      </w:r>
      <w:r w:rsidR="00B72341">
        <w:rPr>
          <w:rFonts w:cs="Times New Roman"/>
          <w:lang w:val="en-US"/>
        </w:rPr>
        <w:t>’</w:t>
      </w:r>
      <w:r w:rsidRPr="00B0600A">
        <w:rPr>
          <w:rFonts w:cs="Times New Roman"/>
          <w:lang w:val="en-US"/>
        </w:rPr>
        <w:t>s iconography</w:t>
      </w:r>
      <w:r w:rsidR="00B0600A" w:rsidRPr="00B0600A">
        <w:rPr>
          <w:rFonts w:cs="Times New Roman"/>
          <w:lang w:val="en-US"/>
        </w:rPr>
        <w:t xml:space="preserve"> in general</w:t>
      </w:r>
      <w:r w:rsidRPr="00B0600A">
        <w:rPr>
          <w:rFonts w:cs="Times New Roman"/>
          <w:lang w:val="en-US"/>
        </w:rPr>
        <w:t xml:space="preserve">, </w:t>
      </w:r>
      <w:r w:rsidR="00431097" w:rsidRPr="00B0600A">
        <w:rPr>
          <w:rFonts w:cs="Times New Roman"/>
          <w:lang w:val="en-US"/>
        </w:rPr>
        <w:t>see</w:t>
      </w:r>
      <w:r w:rsidRPr="00B0600A">
        <w:rPr>
          <w:rFonts w:cs="Times New Roman"/>
          <w:lang w:val="en-US"/>
        </w:rPr>
        <w:t xml:space="preserve"> Kaper 2003a, 33</w:t>
      </w:r>
      <w:r w:rsidR="002D28A3" w:rsidRPr="00B0600A">
        <w:rPr>
          <w:rFonts w:cs="Times New Roman"/>
          <w:lang w:val="en-US"/>
        </w:rPr>
        <w:t>–</w:t>
      </w:r>
      <w:r w:rsidRPr="00B0600A">
        <w:rPr>
          <w:rFonts w:cs="Times New Roman"/>
          <w:lang w:val="en-US"/>
        </w:rPr>
        <w:t>52; on the Kellis images</w:t>
      </w:r>
      <w:r w:rsidR="00B0600A" w:rsidRPr="00B0600A">
        <w:rPr>
          <w:rFonts w:cs="Times New Roman"/>
          <w:lang w:val="en-US"/>
        </w:rPr>
        <w:t xml:space="preserve"> specifically</w:t>
      </w:r>
      <w:r w:rsidRPr="00B0600A">
        <w:rPr>
          <w:rFonts w:cs="Times New Roman"/>
          <w:lang w:val="en-US"/>
        </w:rPr>
        <w:t xml:space="preserve">, </w:t>
      </w:r>
      <w:r w:rsidR="00431097" w:rsidRPr="00B0600A">
        <w:rPr>
          <w:rFonts w:cs="Times New Roman"/>
          <w:lang w:val="en-US"/>
        </w:rPr>
        <w:t>see</w:t>
      </w:r>
      <w:r w:rsidRPr="00B0600A">
        <w:rPr>
          <w:rFonts w:cs="Times New Roman"/>
          <w:lang w:val="en-US"/>
        </w:rPr>
        <w:t xml:space="preserve"> Kaper 2003b.</w:t>
      </w:r>
    </w:p>
  </w:endnote>
  <w:endnote w:id="12">
    <w:p w14:paraId="34B7E8E3" w14:textId="76655E16"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On Nemesis in Egypt, </w:t>
      </w:r>
      <w:r w:rsidR="00431097" w:rsidRPr="00B0600A">
        <w:rPr>
          <w:rFonts w:cs="Times New Roman"/>
          <w:lang w:val="en-US"/>
        </w:rPr>
        <w:t>see</w:t>
      </w:r>
      <w:r w:rsidRPr="00B0600A">
        <w:rPr>
          <w:rFonts w:cs="Times New Roman"/>
          <w:lang w:val="en-US"/>
        </w:rPr>
        <w:t xml:space="preserve"> Lichocka 2004.</w:t>
      </w:r>
    </w:p>
  </w:endnote>
  <w:endnote w:id="13">
    <w:p w14:paraId="66E6676E" w14:textId="0CB2C3CA"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w:t>
      </w:r>
      <w:r w:rsidR="00B0600A" w:rsidRPr="00B0600A">
        <w:rPr>
          <w:rFonts w:cs="Times New Roman"/>
          <w:lang w:val="en-US"/>
        </w:rPr>
        <w:t>O</w:t>
      </w:r>
      <w:r w:rsidRPr="00B0600A">
        <w:rPr>
          <w:rFonts w:cs="Times New Roman"/>
          <w:lang w:val="en-US"/>
        </w:rPr>
        <w:t>n this phenomenon</w:t>
      </w:r>
      <w:r w:rsidR="00B0600A" w:rsidRPr="00B0600A">
        <w:rPr>
          <w:rFonts w:cs="Times New Roman"/>
          <w:lang w:val="en-US"/>
        </w:rPr>
        <w:t xml:space="preserve"> in general</w:t>
      </w:r>
      <w:r w:rsidRPr="00B0600A">
        <w:rPr>
          <w:rFonts w:cs="Times New Roman"/>
          <w:lang w:val="en-US"/>
        </w:rPr>
        <w:t xml:space="preserve">, </w:t>
      </w:r>
      <w:r w:rsidR="00431097" w:rsidRPr="00B0600A">
        <w:rPr>
          <w:rFonts w:cs="Times New Roman"/>
          <w:lang w:val="en-US"/>
        </w:rPr>
        <w:t xml:space="preserve">see </w:t>
      </w:r>
      <w:r w:rsidRPr="00B0600A">
        <w:rPr>
          <w:rFonts w:cs="Times New Roman"/>
          <w:lang w:val="en-US"/>
        </w:rPr>
        <w:t>Lieven 2010.</w:t>
      </w:r>
    </w:p>
  </w:endnote>
  <w:endnote w:id="14">
    <w:p w14:paraId="6CF58781" w14:textId="410DE31E"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Kaper and Worp 1995; Kaper 2003a, 107</w:t>
      </w:r>
      <w:r w:rsidR="002D28A3" w:rsidRPr="00B0600A">
        <w:rPr>
          <w:rFonts w:cs="Times New Roman"/>
          <w:lang w:val="en-US"/>
        </w:rPr>
        <w:t>–</w:t>
      </w:r>
      <w:r w:rsidRPr="00B0600A">
        <w:rPr>
          <w:rFonts w:cs="Times New Roman"/>
          <w:lang w:val="en-US"/>
        </w:rPr>
        <w:t>10.</w:t>
      </w:r>
    </w:p>
  </w:endnote>
  <w:endnote w:id="15">
    <w:p w14:paraId="7A13E212" w14:textId="57C6AF02"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Priests of Tutu are attested in the papyri into the 330s; </w:t>
      </w:r>
      <w:r w:rsidR="00B0600A" w:rsidRPr="00B0600A">
        <w:rPr>
          <w:rFonts w:cs="Times New Roman"/>
          <w:lang w:val="en-US"/>
        </w:rPr>
        <w:t>Kaper 2003</w:t>
      </w:r>
      <w:r w:rsidR="003033E0">
        <w:rPr>
          <w:rFonts w:cs="Times New Roman"/>
          <w:lang w:val="en-US"/>
        </w:rPr>
        <w:t>a</w:t>
      </w:r>
      <w:r w:rsidR="00B0600A" w:rsidRPr="00B0600A">
        <w:rPr>
          <w:rFonts w:cs="Times New Roman"/>
          <w:lang w:val="en-US"/>
        </w:rPr>
        <w:t>, 148–50</w:t>
      </w:r>
      <w:r w:rsidR="00B0600A">
        <w:rPr>
          <w:rFonts w:cs="Times New Roman"/>
          <w:lang w:val="en-US"/>
        </w:rPr>
        <w:t xml:space="preserve">; </w:t>
      </w:r>
      <w:r w:rsidRPr="00B0600A">
        <w:rPr>
          <w:rFonts w:cs="Times New Roman"/>
          <w:lang w:val="en-US"/>
        </w:rPr>
        <w:t>Hope 2004, 11</w:t>
      </w:r>
      <w:r w:rsidR="002D28A3" w:rsidRPr="00B0600A">
        <w:rPr>
          <w:rFonts w:cs="Times New Roman"/>
          <w:lang w:val="en-US"/>
        </w:rPr>
        <w:t>–</w:t>
      </w:r>
      <w:r w:rsidRPr="00B0600A">
        <w:rPr>
          <w:rFonts w:cs="Times New Roman"/>
          <w:lang w:val="en-US"/>
        </w:rPr>
        <w:t>13.</w:t>
      </w:r>
    </w:p>
  </w:endnote>
  <w:endnote w:id="16">
    <w:p w14:paraId="3371872A" w14:textId="6EB37D2F"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Bagnall and Worp 2002, 49–51.</w:t>
      </w:r>
    </w:p>
  </w:endnote>
  <w:endnote w:id="17">
    <w:p w14:paraId="00ED6E62" w14:textId="77B0098E" w:rsidR="00843E32" w:rsidRPr="002661C2" w:rsidRDefault="00843E32" w:rsidP="00F45032">
      <w:pPr>
        <w:pStyle w:val="EndnoteText"/>
        <w:spacing w:line="480" w:lineRule="auto"/>
        <w:rPr>
          <w:rFonts w:cs="Times New Roman"/>
          <w:b/>
          <w:bCs/>
          <w:color w:val="D883FF"/>
          <w:lang w:val="en-US"/>
        </w:rPr>
      </w:pPr>
      <w:r w:rsidRPr="00B0600A">
        <w:rPr>
          <w:rStyle w:val="EndnoteReference"/>
          <w:rFonts w:cs="Times New Roman"/>
          <w:lang w:val="en-US"/>
        </w:rPr>
        <w:endnoteRef/>
      </w:r>
      <w:r w:rsidRPr="00B0600A">
        <w:rPr>
          <w:rFonts w:cs="Times New Roman"/>
          <w:lang w:val="en-US"/>
        </w:rPr>
        <w:t xml:space="preserve"> Kaper 1997, 28</w:t>
      </w:r>
      <w:r w:rsidR="002D28A3" w:rsidRPr="00B0600A">
        <w:rPr>
          <w:rFonts w:cs="Times New Roman"/>
          <w:lang w:val="en-US"/>
        </w:rPr>
        <w:t>–</w:t>
      </w:r>
      <w:r w:rsidRPr="00B0600A">
        <w:rPr>
          <w:rFonts w:cs="Times New Roman"/>
          <w:lang w:val="en-US"/>
        </w:rPr>
        <w:t>31. The Pertinax block is shown in Hölbl 2005, 90</w:t>
      </w:r>
      <w:r w:rsidR="00FA7485">
        <w:rPr>
          <w:rFonts w:cs="Times New Roman"/>
          <w:lang w:val="en-US"/>
        </w:rPr>
        <w:t>,</w:t>
      </w:r>
      <w:r w:rsidRPr="00B0600A">
        <w:rPr>
          <w:rFonts w:cs="Times New Roman"/>
          <w:lang w:val="en-US"/>
        </w:rPr>
        <w:t xml:space="preserve"> </w:t>
      </w:r>
      <w:r w:rsidRPr="002661C2">
        <w:rPr>
          <w:rFonts w:cs="Times New Roman"/>
          <w:lang w:val="en-US"/>
        </w:rPr>
        <w:t>fig. 133; Kaper 2012</w:t>
      </w:r>
      <w:r w:rsidR="0031000E" w:rsidRPr="002661C2">
        <w:rPr>
          <w:rFonts w:cs="Times New Roman"/>
          <w:lang w:val="en-US"/>
        </w:rPr>
        <w:t>b</w:t>
      </w:r>
      <w:r w:rsidRPr="002661C2">
        <w:rPr>
          <w:rFonts w:cs="Times New Roman"/>
          <w:lang w:val="en-US"/>
        </w:rPr>
        <w:t>, 143, 162</w:t>
      </w:r>
      <w:r w:rsidR="00FA7485" w:rsidRPr="002661C2">
        <w:rPr>
          <w:rFonts w:cs="Times New Roman"/>
          <w:lang w:val="en-US"/>
        </w:rPr>
        <w:t>,</w:t>
      </w:r>
      <w:r w:rsidRPr="002661C2">
        <w:rPr>
          <w:rFonts w:cs="Times New Roman"/>
          <w:lang w:val="en-US"/>
        </w:rPr>
        <w:t xml:space="preserve"> fig. 4</w:t>
      </w:r>
      <w:r w:rsidR="0044624D" w:rsidRPr="002661C2">
        <w:rPr>
          <w:rFonts w:cs="Times New Roman"/>
          <w:lang w:val="en-US"/>
        </w:rPr>
        <w:t>.</w:t>
      </w:r>
    </w:p>
  </w:endnote>
  <w:endnote w:id="18">
    <w:p w14:paraId="59C783AB" w14:textId="376B71E4" w:rsidR="00843E32" w:rsidRPr="002661C2" w:rsidRDefault="00843E32" w:rsidP="00F45032">
      <w:pPr>
        <w:pStyle w:val="EndnoteText"/>
        <w:spacing w:line="480" w:lineRule="auto"/>
        <w:rPr>
          <w:rFonts w:cs="Times New Roman"/>
          <w:lang w:val="en-US"/>
        </w:rPr>
      </w:pPr>
      <w:r w:rsidRPr="002661C2">
        <w:rPr>
          <w:rStyle w:val="EndnoteReference"/>
          <w:rFonts w:cs="Times New Roman"/>
          <w:lang w:val="en-US"/>
        </w:rPr>
        <w:endnoteRef/>
      </w:r>
      <w:r w:rsidRPr="002661C2">
        <w:rPr>
          <w:rFonts w:cs="Times New Roman"/>
          <w:lang w:val="en-US"/>
        </w:rPr>
        <w:t xml:space="preserve"> Kaper 2012</w:t>
      </w:r>
      <w:r w:rsidR="0031000E" w:rsidRPr="002661C2">
        <w:rPr>
          <w:rFonts w:cs="Times New Roman"/>
          <w:lang w:val="en-US"/>
        </w:rPr>
        <w:t>b</w:t>
      </w:r>
      <w:r w:rsidRPr="002661C2">
        <w:rPr>
          <w:rFonts w:cs="Times New Roman"/>
          <w:lang w:val="en-US"/>
        </w:rPr>
        <w:t>, 143.</w:t>
      </w:r>
    </w:p>
  </w:endnote>
  <w:endnote w:id="19">
    <w:p w14:paraId="2AFD82C8" w14:textId="2FFD017C" w:rsidR="00843E32" w:rsidRPr="00B0600A" w:rsidRDefault="00843E32" w:rsidP="00F45032">
      <w:pPr>
        <w:pStyle w:val="EndnoteText"/>
        <w:spacing w:line="480" w:lineRule="auto"/>
        <w:rPr>
          <w:rFonts w:cs="Times New Roman"/>
          <w:lang w:val="en-US"/>
        </w:rPr>
      </w:pPr>
      <w:r w:rsidRPr="002661C2">
        <w:rPr>
          <w:rStyle w:val="EndnoteReference"/>
          <w:rFonts w:cs="Times New Roman"/>
          <w:lang w:val="en-US"/>
        </w:rPr>
        <w:endnoteRef/>
      </w:r>
      <w:r w:rsidRPr="002661C2">
        <w:rPr>
          <w:rFonts w:cs="Times New Roman"/>
          <w:lang w:val="en-US"/>
        </w:rPr>
        <w:t xml:space="preserve"> Kaper 2012</w:t>
      </w:r>
      <w:r w:rsidR="0031000E" w:rsidRPr="002661C2">
        <w:rPr>
          <w:rFonts w:cs="Times New Roman"/>
          <w:lang w:val="en-US"/>
        </w:rPr>
        <w:t>c</w:t>
      </w:r>
      <w:r w:rsidRPr="002661C2">
        <w:rPr>
          <w:rFonts w:cs="Times New Roman"/>
          <w:lang w:val="en-US"/>
        </w:rPr>
        <w:t>, 724</w:t>
      </w:r>
      <w:r w:rsidR="002D28A3" w:rsidRPr="002661C2">
        <w:rPr>
          <w:rFonts w:cs="Times New Roman"/>
          <w:lang w:val="en-US"/>
        </w:rPr>
        <w:t>–</w:t>
      </w:r>
      <w:r w:rsidRPr="002661C2">
        <w:rPr>
          <w:rFonts w:cs="Times New Roman"/>
          <w:lang w:val="en-US"/>
        </w:rPr>
        <w:t>25.</w:t>
      </w:r>
    </w:p>
  </w:endnote>
  <w:endnote w:id="20">
    <w:p w14:paraId="281C873C" w14:textId="182EBABB"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w:t>
      </w:r>
      <w:r w:rsidR="00D85599">
        <w:rPr>
          <w:rFonts w:cs="Times New Roman"/>
          <w:lang w:val="en-US"/>
        </w:rPr>
        <w:t>On</w:t>
      </w:r>
      <w:r w:rsidRPr="00B0600A">
        <w:rPr>
          <w:rFonts w:cs="Times New Roman"/>
          <w:lang w:val="en-US"/>
        </w:rPr>
        <w:t xml:space="preserve"> private involvement in temple building in name of the Roman emperor, </w:t>
      </w:r>
      <w:r w:rsidR="00431097" w:rsidRPr="00B0600A">
        <w:rPr>
          <w:rFonts w:cs="Times New Roman"/>
          <w:lang w:val="en-US"/>
        </w:rPr>
        <w:t>see</w:t>
      </w:r>
      <w:r w:rsidRPr="00B0600A">
        <w:rPr>
          <w:rFonts w:cs="Times New Roman"/>
          <w:lang w:val="en-US"/>
        </w:rPr>
        <w:t xml:space="preserve"> Kockelmann and Pfeiffer 2009, 93</w:t>
      </w:r>
      <w:r w:rsidR="002D28A3" w:rsidRPr="00B0600A">
        <w:rPr>
          <w:rFonts w:cs="Times New Roman"/>
          <w:lang w:val="en-US"/>
        </w:rPr>
        <w:t>–</w:t>
      </w:r>
      <w:r w:rsidRPr="00B0600A">
        <w:rPr>
          <w:rFonts w:cs="Times New Roman"/>
          <w:lang w:val="en-US"/>
        </w:rPr>
        <w:t>104.</w:t>
      </w:r>
    </w:p>
  </w:endnote>
  <w:endnote w:id="21">
    <w:p w14:paraId="75591571" w14:textId="2BCC867A" w:rsidR="00843E32" w:rsidRPr="00B72341" w:rsidRDefault="00843E32" w:rsidP="00F45032">
      <w:pPr>
        <w:pStyle w:val="EndnoteText"/>
        <w:spacing w:line="480" w:lineRule="auto"/>
        <w:rPr>
          <w:rFonts w:cs="Times New Roman"/>
          <w:i/>
          <w:lang w:val="en-US"/>
        </w:rPr>
      </w:pPr>
      <w:r w:rsidRPr="00B0600A">
        <w:rPr>
          <w:rStyle w:val="EndnoteReference"/>
          <w:rFonts w:cs="Times New Roman"/>
          <w:lang w:val="en-US"/>
        </w:rPr>
        <w:endnoteRef/>
      </w:r>
      <w:r w:rsidRPr="00B0600A">
        <w:rPr>
          <w:rFonts w:cs="Times New Roman"/>
          <w:lang w:val="en-US"/>
        </w:rPr>
        <w:t xml:space="preserve"> On the architecture of the temple and the </w:t>
      </w:r>
      <w:r w:rsidR="00ED4B4F" w:rsidRPr="00ED4B4F">
        <w:rPr>
          <w:rFonts w:cs="Times New Roman"/>
          <w:lang w:val="en-US"/>
        </w:rPr>
        <w:t>mammisi</w:t>
      </w:r>
      <w:r w:rsidRPr="00B0600A">
        <w:rPr>
          <w:rFonts w:cs="Times New Roman"/>
          <w:lang w:val="en-US"/>
        </w:rPr>
        <w:t xml:space="preserve">, </w:t>
      </w:r>
      <w:r w:rsidR="00431097" w:rsidRPr="00B0600A">
        <w:rPr>
          <w:rFonts w:cs="Times New Roman"/>
          <w:lang w:val="en-US"/>
        </w:rPr>
        <w:t>see</w:t>
      </w:r>
      <w:r w:rsidRPr="00B0600A">
        <w:rPr>
          <w:rFonts w:cs="Times New Roman"/>
          <w:lang w:val="en-US"/>
        </w:rPr>
        <w:t xml:space="preserve"> Dobrowolski 2002.</w:t>
      </w:r>
    </w:p>
  </w:endnote>
  <w:endnote w:id="22">
    <w:p w14:paraId="0213BE2E" w14:textId="12399096"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Funding for the conservation effort since 2004, directed by the present writer, was provided </w:t>
      </w:r>
      <w:r w:rsidR="00D85599" w:rsidRPr="00B0600A">
        <w:rPr>
          <w:rFonts w:cs="Times New Roman"/>
          <w:lang w:val="en-US"/>
        </w:rPr>
        <w:t xml:space="preserve">mainly </w:t>
      </w:r>
      <w:r w:rsidRPr="00B0600A">
        <w:rPr>
          <w:rFonts w:cs="Times New Roman"/>
          <w:lang w:val="en-US"/>
        </w:rPr>
        <w:t>by the Mellon Foundation through a Distinguished Achievement Award to R.</w:t>
      </w:r>
      <w:r w:rsidR="00D85599">
        <w:rPr>
          <w:rFonts w:cs="Times New Roman"/>
          <w:lang w:val="en-US"/>
        </w:rPr>
        <w:t xml:space="preserve"> </w:t>
      </w:r>
      <w:r w:rsidRPr="00B0600A">
        <w:rPr>
          <w:rFonts w:cs="Times New Roman"/>
          <w:lang w:val="en-US"/>
        </w:rPr>
        <w:t xml:space="preserve">S. Bagnall. One season was funded by an </w:t>
      </w:r>
      <w:r w:rsidR="00E33BCD">
        <w:rPr>
          <w:rFonts w:cs="Times New Roman"/>
          <w:lang w:val="en-US"/>
        </w:rPr>
        <w:t>e</w:t>
      </w:r>
      <w:r w:rsidRPr="00B0600A">
        <w:rPr>
          <w:rFonts w:cs="Times New Roman"/>
          <w:lang w:val="en-US"/>
        </w:rPr>
        <w:t xml:space="preserve">xcavation grant of the Egypt Exploration Society. </w:t>
      </w:r>
    </w:p>
  </w:endnote>
  <w:endnote w:id="23">
    <w:p w14:paraId="15AD81B3" w14:textId="40C0F959"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The conservation of the painted plaster was initiated by Michelle Berry, and the system was developed further by Laurence Blondaux, who worked for </w:t>
      </w:r>
      <w:r w:rsidR="00431097" w:rsidRPr="00B0600A">
        <w:rPr>
          <w:rFonts w:cs="Times New Roman"/>
          <w:lang w:val="en-US"/>
        </w:rPr>
        <w:t>fourteen</w:t>
      </w:r>
      <w:r w:rsidRPr="00B0600A">
        <w:rPr>
          <w:rFonts w:cs="Times New Roman"/>
          <w:lang w:val="en-US"/>
        </w:rPr>
        <w:t xml:space="preserve"> seasons on the material; described in Blondaux 2002</w:t>
      </w:r>
      <w:r w:rsidR="00431097" w:rsidRPr="00B0600A">
        <w:rPr>
          <w:rFonts w:cs="Times New Roman"/>
          <w:lang w:val="en-US"/>
        </w:rPr>
        <w:t>;</w:t>
      </w:r>
      <w:r w:rsidRPr="00B0600A">
        <w:rPr>
          <w:rFonts w:cs="Times New Roman"/>
          <w:lang w:val="en-US"/>
        </w:rPr>
        <w:t xml:space="preserve"> </w:t>
      </w:r>
      <w:r w:rsidR="00E33BCD" w:rsidRPr="00B0600A">
        <w:rPr>
          <w:rFonts w:cs="Times New Roman"/>
          <w:lang w:val="en-US"/>
        </w:rPr>
        <w:t xml:space="preserve">Blondaux </w:t>
      </w:r>
      <w:r w:rsidRPr="00B0600A">
        <w:rPr>
          <w:rFonts w:cs="Times New Roman"/>
          <w:lang w:val="en-US"/>
        </w:rPr>
        <w:t>2008</w:t>
      </w:r>
      <w:r w:rsidR="00431097" w:rsidRPr="00B0600A">
        <w:rPr>
          <w:rFonts w:cs="Times New Roman"/>
          <w:lang w:val="en-US"/>
        </w:rPr>
        <w:t>;</w:t>
      </w:r>
      <w:r w:rsidRPr="00B0600A">
        <w:rPr>
          <w:rFonts w:cs="Times New Roman"/>
          <w:lang w:val="en-US"/>
        </w:rPr>
        <w:t xml:space="preserve"> </w:t>
      </w:r>
      <w:r w:rsidR="00E33BCD" w:rsidRPr="00B0600A">
        <w:rPr>
          <w:rFonts w:cs="Times New Roman"/>
          <w:lang w:val="en-US"/>
        </w:rPr>
        <w:t xml:space="preserve">Blondaux </w:t>
      </w:r>
      <w:r w:rsidRPr="00B0600A">
        <w:rPr>
          <w:rFonts w:cs="Times New Roman"/>
          <w:lang w:val="en-US"/>
        </w:rPr>
        <w:t>2020.</w:t>
      </w:r>
    </w:p>
  </w:endnote>
  <w:endnote w:id="24">
    <w:p w14:paraId="5C0256D4" w14:textId="2F68D8AD"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The choice for wooden panels is explained in Blondaux 2020, 53</w:t>
      </w:r>
      <w:r w:rsidR="002D28A3" w:rsidRPr="00B0600A">
        <w:rPr>
          <w:rFonts w:cs="Times New Roman"/>
          <w:lang w:val="en-US"/>
        </w:rPr>
        <w:t>–</w:t>
      </w:r>
      <w:r w:rsidRPr="00B0600A">
        <w:rPr>
          <w:rFonts w:cs="Times New Roman"/>
          <w:lang w:val="en-US"/>
        </w:rPr>
        <w:t>55.</w:t>
      </w:r>
    </w:p>
  </w:endnote>
  <w:endnote w:id="25">
    <w:p w14:paraId="1A68C9CE" w14:textId="6E598470"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00921B37" w:rsidRPr="00B0600A">
        <w:rPr>
          <w:rFonts w:cs="Times New Roman"/>
          <w:lang w:val="en-US"/>
        </w:rPr>
        <w:t xml:space="preserve"> Whitehouse 2012, 385; Whitehouse 2015, 248</w:t>
      </w:r>
      <w:r w:rsidR="002D28A3" w:rsidRPr="00B0600A">
        <w:rPr>
          <w:rFonts w:cs="Times New Roman"/>
          <w:lang w:val="en-US"/>
        </w:rPr>
        <w:t>–</w:t>
      </w:r>
      <w:r w:rsidR="00921B37" w:rsidRPr="00B0600A">
        <w:rPr>
          <w:rFonts w:cs="Times New Roman"/>
          <w:lang w:val="en-US"/>
        </w:rPr>
        <w:t xml:space="preserve">50. The paintings in classical style are </w:t>
      </w:r>
      <w:r w:rsidR="00E33BCD">
        <w:rPr>
          <w:rFonts w:cs="Times New Roman"/>
          <w:lang w:val="en-US"/>
        </w:rPr>
        <w:t xml:space="preserve">being </w:t>
      </w:r>
      <w:r w:rsidR="00921B37" w:rsidRPr="00B0600A">
        <w:rPr>
          <w:rFonts w:cs="Times New Roman"/>
          <w:lang w:val="en-US"/>
        </w:rPr>
        <w:t xml:space="preserve">studied by Helen Whitehouse, who will participate in the publication of the </w:t>
      </w:r>
      <w:r w:rsidR="00ED4B4F" w:rsidRPr="00ED4B4F">
        <w:rPr>
          <w:rFonts w:cs="Times New Roman"/>
          <w:lang w:val="en-US"/>
        </w:rPr>
        <w:t>mammisi</w:t>
      </w:r>
      <w:r w:rsidR="00921B37" w:rsidRPr="00B0600A">
        <w:rPr>
          <w:rFonts w:cs="Times New Roman"/>
          <w:lang w:val="en-US"/>
        </w:rPr>
        <w:t>.</w:t>
      </w:r>
    </w:p>
  </w:endnote>
  <w:endnote w:id="26">
    <w:p w14:paraId="16B3AD3B" w14:textId="456C7E1E"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This dating was initially proposed in Kaper 2002, 221</w:t>
      </w:r>
      <w:r w:rsidR="002D28A3" w:rsidRPr="00B0600A">
        <w:rPr>
          <w:rFonts w:cs="Times New Roman"/>
          <w:lang w:val="en-US"/>
        </w:rPr>
        <w:t>–</w:t>
      </w:r>
      <w:r w:rsidRPr="00B0600A">
        <w:rPr>
          <w:rFonts w:cs="Times New Roman"/>
          <w:lang w:val="en-US"/>
        </w:rPr>
        <w:t>22</w:t>
      </w:r>
      <w:r w:rsidR="00E33BCD">
        <w:rPr>
          <w:rFonts w:cs="Times New Roman"/>
          <w:lang w:val="en-US"/>
        </w:rPr>
        <w:t>,</w:t>
      </w:r>
      <w:r w:rsidRPr="00B0600A">
        <w:rPr>
          <w:rFonts w:cs="Times New Roman"/>
          <w:lang w:val="en-US"/>
        </w:rPr>
        <w:t xml:space="preserve"> and confirmed in Moormann 2011, 117.</w:t>
      </w:r>
      <w:r w:rsidR="002E649B" w:rsidRPr="00B0600A">
        <w:rPr>
          <w:rFonts w:cs="Times New Roman"/>
          <w:lang w:val="en-US"/>
        </w:rPr>
        <w:t xml:space="preserve"> On the identification of the pigments used in the shrine, </w:t>
      </w:r>
      <w:r w:rsidR="00431097" w:rsidRPr="00B0600A">
        <w:rPr>
          <w:rFonts w:cs="Times New Roman"/>
          <w:lang w:val="en-US"/>
        </w:rPr>
        <w:t>see</w:t>
      </w:r>
      <w:r w:rsidR="002E649B" w:rsidRPr="00B0600A">
        <w:rPr>
          <w:rFonts w:cs="Times New Roman"/>
          <w:lang w:val="en-US"/>
        </w:rPr>
        <w:t xml:space="preserve"> Berry 2002.</w:t>
      </w:r>
    </w:p>
  </w:endnote>
  <w:endnote w:id="27">
    <w:p w14:paraId="758948DA" w14:textId="6F0398AB"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Whitehouse 2012. Medusa heads are also found in the paneling of a large Roman villa in Kellis</w:t>
      </w:r>
      <w:r w:rsidR="00431097" w:rsidRPr="00B0600A">
        <w:rPr>
          <w:rFonts w:cs="Times New Roman"/>
          <w:lang w:val="en-US"/>
        </w:rPr>
        <w:t>:</w:t>
      </w:r>
      <w:r w:rsidRPr="00B0600A">
        <w:rPr>
          <w:rFonts w:cs="Times New Roman"/>
          <w:lang w:val="en-US"/>
        </w:rPr>
        <w:t xml:space="preserve"> </w:t>
      </w:r>
      <w:r w:rsidR="00FA7485">
        <w:rPr>
          <w:rFonts w:cs="Times New Roman"/>
          <w:lang w:val="en-US"/>
        </w:rPr>
        <w:t xml:space="preserve">H. </w:t>
      </w:r>
      <w:r w:rsidRPr="00B0600A">
        <w:rPr>
          <w:rFonts w:cs="Times New Roman"/>
          <w:lang w:val="en-US"/>
        </w:rPr>
        <w:t>Whitehouse in Hope and Whitehouse 2006, 319</w:t>
      </w:r>
      <w:r w:rsidR="002D28A3" w:rsidRPr="00B0600A">
        <w:rPr>
          <w:rFonts w:cs="Times New Roman"/>
          <w:lang w:val="en-US"/>
        </w:rPr>
        <w:t>–</w:t>
      </w:r>
      <w:r w:rsidRPr="00B0600A">
        <w:rPr>
          <w:rFonts w:cs="Times New Roman"/>
          <w:lang w:val="en-US"/>
        </w:rPr>
        <w:t>20; Whitehouse 2015, 248</w:t>
      </w:r>
      <w:r w:rsidR="002D28A3" w:rsidRPr="00B0600A">
        <w:rPr>
          <w:rFonts w:cs="Times New Roman"/>
          <w:lang w:val="en-US"/>
        </w:rPr>
        <w:t>–</w:t>
      </w:r>
      <w:r w:rsidRPr="00B0600A">
        <w:rPr>
          <w:rFonts w:cs="Times New Roman"/>
          <w:lang w:val="en-US"/>
        </w:rPr>
        <w:t>49.</w:t>
      </w:r>
    </w:p>
  </w:endnote>
  <w:endnote w:id="28">
    <w:p w14:paraId="0D608C85" w14:textId="6DB611EC"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Moormann </w:t>
      </w:r>
      <w:r w:rsidR="00581511">
        <w:rPr>
          <w:rFonts w:cs="Times New Roman"/>
          <w:lang w:val="en-US"/>
        </w:rPr>
        <w:t>(</w:t>
      </w:r>
      <w:r w:rsidRPr="00B0600A">
        <w:rPr>
          <w:rFonts w:cs="Times New Roman"/>
          <w:lang w:val="en-US"/>
        </w:rPr>
        <w:t>2011, 68</w:t>
      </w:r>
      <w:r w:rsidR="00581511">
        <w:rPr>
          <w:rFonts w:cs="Times New Roman"/>
          <w:lang w:val="en-US"/>
        </w:rPr>
        <w:t>)</w:t>
      </w:r>
      <w:r w:rsidRPr="00B0600A">
        <w:rPr>
          <w:rFonts w:cs="Times New Roman"/>
          <w:lang w:val="en-US"/>
        </w:rPr>
        <w:t xml:space="preserve"> describes the sanctuary of Bona Dea at Ostia, from the first quarter of the first century AD</w:t>
      </w:r>
      <w:r w:rsidR="00E33BCD">
        <w:rPr>
          <w:rFonts w:cs="Times New Roman"/>
          <w:lang w:val="en-US"/>
        </w:rPr>
        <w:t>;</w:t>
      </w:r>
      <w:r w:rsidRPr="00B0600A">
        <w:rPr>
          <w:rFonts w:cs="Times New Roman"/>
          <w:lang w:val="en-US"/>
        </w:rPr>
        <w:t xml:space="preserve"> in its cella </w:t>
      </w:r>
      <w:r w:rsidR="00E33BCD">
        <w:rPr>
          <w:rFonts w:cs="Times New Roman"/>
          <w:lang w:val="en-US"/>
        </w:rPr>
        <w:t xml:space="preserve">is </w:t>
      </w:r>
      <w:r w:rsidRPr="00B0600A">
        <w:rPr>
          <w:rFonts w:cs="Times New Roman"/>
          <w:lang w:val="en-US"/>
        </w:rPr>
        <w:t>a black dado with paneling in which Medusa heads are one of the motifs.</w:t>
      </w:r>
    </w:p>
  </w:endnote>
  <w:endnote w:id="29">
    <w:p w14:paraId="6A3D5D1D" w14:textId="7CDA7CC6" w:rsidR="00843E32" w:rsidRPr="002661C2" w:rsidRDefault="00843E32" w:rsidP="00F45032">
      <w:pPr>
        <w:pStyle w:val="EndnoteText"/>
        <w:spacing w:line="480" w:lineRule="auto"/>
        <w:rPr>
          <w:rFonts w:cs="Times New Roman"/>
          <w:lang w:val="en-US"/>
        </w:rPr>
      </w:pPr>
      <w:r w:rsidRPr="002661C2">
        <w:rPr>
          <w:rStyle w:val="EndnoteReference"/>
          <w:rFonts w:cs="Times New Roman"/>
          <w:lang w:val="en-US"/>
        </w:rPr>
        <w:endnoteRef/>
      </w:r>
      <w:r w:rsidRPr="002661C2">
        <w:rPr>
          <w:rFonts w:cs="Times New Roman"/>
          <w:lang w:val="en-US"/>
        </w:rPr>
        <w:t xml:space="preserve"> Kaper 2012</w:t>
      </w:r>
      <w:r w:rsidR="0031000E" w:rsidRPr="002661C2">
        <w:rPr>
          <w:rFonts w:cs="Times New Roman"/>
          <w:lang w:val="en-US"/>
        </w:rPr>
        <w:t>c</w:t>
      </w:r>
      <w:r w:rsidRPr="002661C2">
        <w:rPr>
          <w:rFonts w:cs="Times New Roman"/>
          <w:lang w:val="en-US"/>
        </w:rPr>
        <w:t>, 729</w:t>
      </w:r>
      <w:r w:rsidR="002D28A3" w:rsidRPr="002661C2">
        <w:rPr>
          <w:rFonts w:cs="Times New Roman"/>
          <w:lang w:val="en-US"/>
        </w:rPr>
        <w:t>–</w:t>
      </w:r>
      <w:r w:rsidRPr="002661C2">
        <w:rPr>
          <w:rFonts w:cs="Times New Roman"/>
          <w:lang w:val="en-US"/>
        </w:rPr>
        <w:t>30.</w:t>
      </w:r>
    </w:p>
  </w:endnote>
  <w:endnote w:id="30">
    <w:p w14:paraId="6C93955C" w14:textId="3ABD1D68" w:rsidR="00843E32" w:rsidRPr="002661C2" w:rsidRDefault="00843E32" w:rsidP="00F45032">
      <w:pPr>
        <w:pStyle w:val="EndnoteText"/>
        <w:spacing w:line="480" w:lineRule="auto"/>
        <w:rPr>
          <w:rFonts w:cs="Times New Roman"/>
          <w:lang w:val="en-US"/>
        </w:rPr>
      </w:pPr>
      <w:r w:rsidRPr="002661C2">
        <w:rPr>
          <w:rStyle w:val="EndnoteReference"/>
          <w:rFonts w:cs="Times New Roman"/>
          <w:lang w:val="en-US"/>
        </w:rPr>
        <w:endnoteRef/>
      </w:r>
      <w:r w:rsidRPr="002661C2">
        <w:rPr>
          <w:rFonts w:cs="Times New Roman"/>
          <w:lang w:val="en-US"/>
        </w:rPr>
        <w:t xml:space="preserve"> Gill 2016.</w:t>
      </w:r>
    </w:p>
  </w:endnote>
  <w:endnote w:id="31">
    <w:p w14:paraId="09125D2D" w14:textId="251865CB" w:rsidR="00843E32" w:rsidRPr="00B0600A" w:rsidRDefault="00843E32" w:rsidP="00F45032">
      <w:pPr>
        <w:pStyle w:val="EndnoteText"/>
        <w:spacing w:line="480" w:lineRule="auto"/>
        <w:rPr>
          <w:rFonts w:cs="Times New Roman"/>
          <w:lang w:val="en-US"/>
        </w:rPr>
      </w:pPr>
      <w:r w:rsidRPr="002661C2">
        <w:rPr>
          <w:rStyle w:val="EndnoteReference"/>
          <w:rFonts w:cs="Times New Roman"/>
          <w:lang w:val="en-US"/>
        </w:rPr>
        <w:endnoteRef/>
      </w:r>
      <w:r w:rsidRPr="002661C2">
        <w:rPr>
          <w:rFonts w:cs="Times New Roman"/>
          <w:lang w:val="en-US"/>
        </w:rPr>
        <w:t xml:space="preserve"> Kaper 2010, 181</w:t>
      </w:r>
      <w:r w:rsidR="002D28A3" w:rsidRPr="002661C2">
        <w:rPr>
          <w:rFonts w:cs="Times New Roman"/>
          <w:lang w:val="en-US"/>
        </w:rPr>
        <w:t>–</w:t>
      </w:r>
      <w:r w:rsidRPr="002661C2">
        <w:rPr>
          <w:rFonts w:cs="Times New Roman"/>
          <w:lang w:val="en-US"/>
        </w:rPr>
        <w:t>201; Kaper 2012</w:t>
      </w:r>
      <w:r w:rsidR="0031000E" w:rsidRPr="002661C2">
        <w:rPr>
          <w:rFonts w:cs="Times New Roman"/>
          <w:lang w:val="en-US"/>
        </w:rPr>
        <w:t>c</w:t>
      </w:r>
      <w:r w:rsidRPr="002661C2">
        <w:rPr>
          <w:rFonts w:cs="Times New Roman"/>
          <w:lang w:val="en-US"/>
        </w:rPr>
        <w:t>, 723</w:t>
      </w:r>
      <w:r w:rsidR="002D28A3" w:rsidRPr="00B0600A">
        <w:rPr>
          <w:rFonts w:cs="Times New Roman"/>
          <w:lang w:val="en-US"/>
        </w:rPr>
        <w:t>–</w:t>
      </w:r>
      <w:r w:rsidRPr="00B0600A">
        <w:rPr>
          <w:rFonts w:cs="Times New Roman"/>
          <w:lang w:val="en-US"/>
        </w:rPr>
        <w:t>25</w:t>
      </w:r>
      <w:r w:rsidR="00E33BCD">
        <w:rPr>
          <w:rFonts w:cs="Times New Roman"/>
          <w:lang w:val="en-US"/>
        </w:rPr>
        <w:t>,</w:t>
      </w:r>
      <w:r w:rsidRPr="00B0600A">
        <w:rPr>
          <w:rFonts w:cs="Times New Roman"/>
          <w:lang w:val="en-US"/>
        </w:rPr>
        <w:t xml:space="preserve"> 729</w:t>
      </w:r>
      <w:r w:rsidR="002D28A3" w:rsidRPr="00B0600A">
        <w:rPr>
          <w:rFonts w:cs="Times New Roman"/>
          <w:lang w:val="en-US"/>
        </w:rPr>
        <w:t>–</w:t>
      </w:r>
      <w:r w:rsidRPr="00B0600A">
        <w:rPr>
          <w:rFonts w:cs="Times New Roman"/>
          <w:lang w:val="en-US"/>
        </w:rPr>
        <w:t>30.</w:t>
      </w:r>
    </w:p>
  </w:endnote>
  <w:endnote w:id="32">
    <w:p w14:paraId="1841CF1B" w14:textId="3405EF9E"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As in the houses of Karanis</w:t>
      </w:r>
      <w:r w:rsidR="00431097" w:rsidRPr="00B0600A">
        <w:rPr>
          <w:rFonts w:cs="Times New Roman"/>
          <w:lang w:val="en-US"/>
        </w:rPr>
        <w:t>:</w:t>
      </w:r>
      <w:r w:rsidRPr="00B0600A">
        <w:rPr>
          <w:rFonts w:cs="Times New Roman"/>
          <w:lang w:val="en-US"/>
        </w:rPr>
        <w:t xml:space="preserve"> Husselman 1979, 47</w:t>
      </w:r>
      <w:r w:rsidR="002D28A3" w:rsidRPr="00B0600A">
        <w:rPr>
          <w:rFonts w:cs="Times New Roman"/>
          <w:lang w:val="en-US"/>
        </w:rPr>
        <w:t>–</w:t>
      </w:r>
      <w:r w:rsidRPr="00B0600A">
        <w:rPr>
          <w:rFonts w:cs="Times New Roman"/>
          <w:lang w:val="en-US"/>
        </w:rPr>
        <w:t>48, pl</w:t>
      </w:r>
      <w:r w:rsidR="00E33BCD">
        <w:rPr>
          <w:rFonts w:cs="Times New Roman"/>
          <w:lang w:val="en-US"/>
        </w:rPr>
        <w:t>ate</w:t>
      </w:r>
      <w:r w:rsidRPr="00B0600A">
        <w:rPr>
          <w:rFonts w:cs="Times New Roman"/>
          <w:lang w:val="en-US"/>
        </w:rPr>
        <w:t>s 72</w:t>
      </w:r>
      <w:r w:rsidR="002D28A3" w:rsidRPr="00B0600A">
        <w:rPr>
          <w:rFonts w:cs="Times New Roman"/>
          <w:lang w:val="en-US"/>
        </w:rPr>
        <w:t>–</w:t>
      </w:r>
      <w:r w:rsidRPr="00B0600A">
        <w:rPr>
          <w:rFonts w:cs="Times New Roman"/>
          <w:lang w:val="en-US"/>
        </w:rPr>
        <w:t xml:space="preserve">74. For examples of </w:t>
      </w:r>
      <w:r w:rsidRPr="00ED4B4F">
        <w:rPr>
          <w:rFonts w:cs="Times New Roman"/>
          <w:lang w:val="en-US"/>
        </w:rPr>
        <w:t>aediculae</w:t>
      </w:r>
      <w:r w:rsidRPr="00B0600A">
        <w:rPr>
          <w:rFonts w:cs="Times New Roman"/>
          <w:lang w:val="en-US"/>
        </w:rPr>
        <w:t xml:space="preserve"> outside Egypt, </w:t>
      </w:r>
      <w:r w:rsidR="00431097" w:rsidRPr="00B0600A">
        <w:rPr>
          <w:rFonts w:cs="Times New Roman"/>
          <w:lang w:val="en-US"/>
        </w:rPr>
        <w:t>see</w:t>
      </w:r>
      <w:r w:rsidRPr="00B0600A">
        <w:rPr>
          <w:rFonts w:cs="Times New Roman"/>
          <w:lang w:val="en-US"/>
        </w:rPr>
        <w:t xml:space="preserve"> Clarke 2003, 75–81; Sofroniew 2015, 30</w:t>
      </w:r>
      <w:r w:rsidR="002D28A3" w:rsidRPr="00B0600A">
        <w:rPr>
          <w:rFonts w:cs="Times New Roman"/>
          <w:lang w:val="en-US"/>
        </w:rPr>
        <w:t>–</w:t>
      </w:r>
      <w:r w:rsidRPr="00B0600A">
        <w:rPr>
          <w:rFonts w:cs="Times New Roman"/>
          <w:lang w:val="en-US"/>
        </w:rPr>
        <w:t>33.</w:t>
      </w:r>
    </w:p>
  </w:endnote>
  <w:endnote w:id="33">
    <w:p w14:paraId="0AD9EB86" w14:textId="44BABBEB"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A good parallel is found in the house tomb M13/SS in Tuna el-Gebel</w:t>
      </w:r>
      <w:r w:rsidR="00431097" w:rsidRPr="00B0600A">
        <w:rPr>
          <w:rFonts w:cs="Times New Roman"/>
          <w:lang w:val="en-US"/>
        </w:rPr>
        <w:t>:</w:t>
      </w:r>
      <w:r w:rsidRPr="00B0600A">
        <w:rPr>
          <w:rFonts w:cs="Times New Roman"/>
          <w:lang w:val="en-US"/>
        </w:rPr>
        <w:t xml:space="preserve"> Gabra et al. 1941, pl</w:t>
      </w:r>
      <w:r w:rsidR="00E33BCD">
        <w:rPr>
          <w:rFonts w:cs="Times New Roman"/>
          <w:lang w:val="en-US"/>
        </w:rPr>
        <w:t>ate</w:t>
      </w:r>
      <w:r w:rsidRPr="00B0600A">
        <w:rPr>
          <w:rFonts w:cs="Times New Roman"/>
          <w:lang w:val="en-US"/>
        </w:rPr>
        <w:t xml:space="preserve"> 43.2. Another parallel, with a </w:t>
      </w:r>
      <w:r w:rsidRPr="00897E2E">
        <w:rPr>
          <w:rFonts w:cs="Times New Roman"/>
          <w:lang w:val="en-US"/>
        </w:rPr>
        <w:t>tympanon</w:t>
      </w:r>
      <w:r w:rsidRPr="00B0600A">
        <w:rPr>
          <w:rFonts w:cs="Times New Roman"/>
          <w:lang w:val="en-US"/>
        </w:rPr>
        <w:t>, is found in Marina el-Alamein</w:t>
      </w:r>
      <w:r w:rsidR="00431097" w:rsidRPr="00B0600A">
        <w:rPr>
          <w:rFonts w:cs="Times New Roman"/>
          <w:lang w:val="en-US"/>
        </w:rPr>
        <w:t>:</w:t>
      </w:r>
      <w:r w:rsidRPr="00B0600A">
        <w:rPr>
          <w:rFonts w:cs="Times New Roman"/>
          <w:lang w:val="en-US"/>
        </w:rPr>
        <w:t xml:space="preserve"> Medeksza 1999, 57</w:t>
      </w:r>
      <w:r w:rsidR="002D28A3" w:rsidRPr="00B0600A">
        <w:rPr>
          <w:rFonts w:cs="Times New Roman"/>
          <w:lang w:val="en-US"/>
        </w:rPr>
        <w:t>–</w:t>
      </w:r>
      <w:r w:rsidRPr="00B0600A">
        <w:rPr>
          <w:rFonts w:cs="Times New Roman"/>
          <w:lang w:val="en-US"/>
        </w:rPr>
        <w:t>58, fig. 5; Medeksza 2000, 52</w:t>
      </w:r>
      <w:r w:rsidR="002D28A3" w:rsidRPr="00B0600A">
        <w:rPr>
          <w:rFonts w:cs="Times New Roman"/>
          <w:lang w:val="en-US"/>
        </w:rPr>
        <w:t>–</w:t>
      </w:r>
      <w:r w:rsidRPr="00B0600A">
        <w:rPr>
          <w:rFonts w:cs="Times New Roman"/>
          <w:lang w:val="en-US"/>
        </w:rPr>
        <w:t>53, fig. 5</w:t>
      </w:r>
      <w:r w:rsidR="002D28A3" w:rsidRPr="00B0600A">
        <w:rPr>
          <w:rFonts w:cs="Times New Roman"/>
          <w:lang w:val="en-US"/>
        </w:rPr>
        <w:t>–</w:t>
      </w:r>
      <w:r w:rsidRPr="00B0600A">
        <w:rPr>
          <w:rFonts w:cs="Times New Roman"/>
          <w:lang w:val="en-US"/>
        </w:rPr>
        <w:t>6; Medeksza 2001, 68</w:t>
      </w:r>
      <w:r w:rsidR="002D28A3" w:rsidRPr="00B0600A">
        <w:rPr>
          <w:rFonts w:cs="Times New Roman"/>
          <w:lang w:val="en-US"/>
        </w:rPr>
        <w:t>–</w:t>
      </w:r>
      <w:r w:rsidRPr="00B0600A">
        <w:rPr>
          <w:rFonts w:cs="Times New Roman"/>
          <w:lang w:val="en-US"/>
        </w:rPr>
        <w:t>69, fig. 5.</w:t>
      </w:r>
    </w:p>
  </w:endnote>
  <w:endnote w:id="34">
    <w:p w14:paraId="752AC98A" w14:textId="746C986B"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A niche in the rear wall is known from several temple sanctuaries, but these always have the architectural form of an Egyptian </w:t>
      </w:r>
      <w:r w:rsidRPr="002661C2">
        <w:rPr>
          <w:rFonts w:cs="Times New Roman"/>
          <w:i/>
          <w:iCs/>
          <w:lang w:val="en-US"/>
        </w:rPr>
        <w:t>naos</w:t>
      </w:r>
      <w:r w:rsidRPr="00B0600A">
        <w:rPr>
          <w:rFonts w:cs="Times New Roman"/>
          <w:lang w:val="en-US"/>
        </w:rPr>
        <w:t xml:space="preserve"> shrine</w:t>
      </w:r>
      <w:r w:rsidR="00E33BCD">
        <w:rPr>
          <w:rFonts w:cs="Times New Roman"/>
          <w:lang w:val="en-US"/>
        </w:rPr>
        <w:t>.</w:t>
      </w:r>
      <w:r w:rsidRPr="00B0600A">
        <w:rPr>
          <w:rFonts w:cs="Times New Roman"/>
          <w:lang w:val="en-US"/>
        </w:rPr>
        <w:t xml:space="preserve"> Examples are the temple of Qasr Zayan (Hölbl 2005, 59</w:t>
      </w:r>
      <w:r w:rsidR="00E33BCD">
        <w:rPr>
          <w:rFonts w:cs="Times New Roman"/>
          <w:lang w:val="en-US"/>
        </w:rPr>
        <w:t>,</w:t>
      </w:r>
      <w:r w:rsidRPr="00B0600A">
        <w:rPr>
          <w:rFonts w:cs="Times New Roman"/>
          <w:lang w:val="en-US"/>
        </w:rPr>
        <w:t xml:space="preserve"> fig. 86), the temple of Isis at Tebtynis (Gallazzi and Hadji-Minaglou 2000, 43</w:t>
      </w:r>
      <w:r w:rsidR="00DC0CAC" w:rsidRPr="00B0600A">
        <w:rPr>
          <w:rFonts w:cs="Times New Roman"/>
          <w:lang w:val="en-US"/>
        </w:rPr>
        <w:t>–</w:t>
      </w:r>
      <w:r w:rsidRPr="00B0600A">
        <w:rPr>
          <w:rFonts w:cs="Times New Roman"/>
          <w:lang w:val="en-US"/>
        </w:rPr>
        <w:t>51</w:t>
      </w:r>
      <w:r w:rsidR="00E33BCD">
        <w:rPr>
          <w:rFonts w:cs="Times New Roman"/>
          <w:lang w:val="en-US"/>
        </w:rPr>
        <w:t>,</w:t>
      </w:r>
      <w:r w:rsidRPr="00B0600A">
        <w:rPr>
          <w:rFonts w:cs="Times New Roman"/>
          <w:lang w:val="en-US"/>
        </w:rPr>
        <w:t xml:space="preserve"> 142</w:t>
      </w:r>
      <w:r w:rsidR="00E33BCD">
        <w:rPr>
          <w:rFonts w:cs="Times New Roman"/>
          <w:lang w:val="en-US"/>
        </w:rPr>
        <w:t>,</w:t>
      </w:r>
      <w:r w:rsidRPr="00B0600A">
        <w:rPr>
          <w:rFonts w:cs="Times New Roman"/>
          <w:lang w:val="en-US"/>
        </w:rPr>
        <w:t xml:space="preserve"> photo 47), the contra temple at Medinet Madi (Bresciani and Giammarusti 2015, 161</w:t>
      </w:r>
      <w:r w:rsidR="00DC0CAC" w:rsidRPr="00B0600A">
        <w:rPr>
          <w:rFonts w:cs="Times New Roman"/>
          <w:lang w:val="en-US"/>
        </w:rPr>
        <w:t>–</w:t>
      </w:r>
      <w:r w:rsidRPr="00B0600A">
        <w:rPr>
          <w:rFonts w:cs="Times New Roman"/>
          <w:lang w:val="en-US"/>
        </w:rPr>
        <w:t>63, 166), and the northern temple of Taffeh (Schneider 1979, 95</w:t>
      </w:r>
      <w:r w:rsidR="00E33BCD">
        <w:rPr>
          <w:rFonts w:cs="Times New Roman"/>
          <w:lang w:val="en-US"/>
        </w:rPr>
        <w:t>,</w:t>
      </w:r>
      <w:r w:rsidRPr="00B0600A">
        <w:rPr>
          <w:rFonts w:cs="Times New Roman"/>
          <w:lang w:val="en-US"/>
        </w:rPr>
        <w:t xml:space="preserve"> fig. 101, 97</w:t>
      </w:r>
      <w:r w:rsidR="00E33BCD">
        <w:rPr>
          <w:rFonts w:cs="Times New Roman"/>
          <w:lang w:val="en-US"/>
        </w:rPr>
        <w:t>,</w:t>
      </w:r>
      <w:r w:rsidRPr="00B0600A">
        <w:rPr>
          <w:rFonts w:cs="Times New Roman"/>
          <w:lang w:val="en-US"/>
        </w:rPr>
        <w:t xml:space="preserve"> fig. 104).</w:t>
      </w:r>
    </w:p>
  </w:endnote>
  <w:endnote w:id="35">
    <w:p w14:paraId="03240425" w14:textId="68D7C345"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McFadden 2014, 365.</w:t>
      </w:r>
    </w:p>
  </w:endnote>
  <w:endnote w:id="36">
    <w:p w14:paraId="242C6760" w14:textId="164AF5B7"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On the symbolism of the god emerging from the lotus, </w:t>
      </w:r>
      <w:r w:rsidR="00431097" w:rsidRPr="00B0600A">
        <w:rPr>
          <w:rFonts w:cs="Times New Roman"/>
          <w:lang w:val="en-US"/>
        </w:rPr>
        <w:t>see</w:t>
      </w:r>
      <w:r w:rsidRPr="00B0600A">
        <w:rPr>
          <w:rFonts w:cs="Times New Roman"/>
          <w:lang w:val="en-US"/>
        </w:rPr>
        <w:t xml:space="preserve"> Schlögl 1977. This theme is central to the theology of the </w:t>
      </w:r>
      <w:r w:rsidR="00ED4B4F" w:rsidRPr="00ED4B4F">
        <w:rPr>
          <w:rFonts w:cs="Times New Roman"/>
          <w:lang w:val="en-US"/>
        </w:rPr>
        <w:t>mammisi</w:t>
      </w:r>
      <w:r w:rsidRPr="00B0600A">
        <w:rPr>
          <w:rFonts w:cs="Times New Roman"/>
          <w:lang w:val="en-US"/>
        </w:rPr>
        <w:t xml:space="preserve">; </w:t>
      </w:r>
      <w:r w:rsidR="00FA7485">
        <w:rPr>
          <w:rFonts w:cs="Times New Roman"/>
          <w:lang w:val="en-US"/>
        </w:rPr>
        <w:t>see</w:t>
      </w:r>
      <w:r w:rsidRPr="00B0600A">
        <w:rPr>
          <w:rFonts w:cs="Times New Roman"/>
          <w:lang w:val="en-US"/>
        </w:rPr>
        <w:t xml:space="preserve"> Kaper</w:t>
      </w:r>
      <w:r w:rsidR="00FA7485">
        <w:rPr>
          <w:rFonts w:cs="Times New Roman"/>
          <w:lang w:val="en-US"/>
        </w:rPr>
        <w:t>,</w:t>
      </w:r>
      <w:r w:rsidRPr="00B0600A">
        <w:rPr>
          <w:rFonts w:cs="Times New Roman"/>
          <w:lang w:val="en-US"/>
        </w:rPr>
        <w:t xml:space="preserve"> forthcoming.</w:t>
      </w:r>
    </w:p>
  </w:endnote>
  <w:endnote w:id="37">
    <w:p w14:paraId="488E65A1" w14:textId="3CA33AF2"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As confirmed for the painted decoration of temples in the classical world by Moormann 2011, 206: </w:t>
      </w:r>
      <w:r w:rsidR="00826D9D">
        <w:rPr>
          <w:rFonts w:cs="Times New Roman"/>
          <w:lang w:val="en-US"/>
        </w:rPr>
        <w:t>“</w:t>
      </w:r>
      <w:r w:rsidRPr="00B0600A">
        <w:rPr>
          <w:rFonts w:cs="Times New Roman"/>
          <w:lang w:val="en-US"/>
        </w:rPr>
        <w:t>As in private dwellings, figural elements were decorative and did not necessarily serve to emphasize the religious atmosphere.</w:t>
      </w:r>
      <w:r w:rsidR="00E33BCD">
        <w:rPr>
          <w:rFonts w:cs="Times New Roman"/>
          <w:lang w:val="en-US"/>
        </w:rPr>
        <w:t xml:space="preserve"> </w:t>
      </w:r>
      <w:r w:rsidRPr="00B0600A">
        <w:rPr>
          <w:rFonts w:cs="Times New Roman"/>
          <w:lang w:val="en-US"/>
        </w:rPr>
        <w:t>.</w:t>
      </w:r>
      <w:r w:rsidR="00E33BCD">
        <w:rPr>
          <w:rFonts w:cs="Times New Roman"/>
          <w:lang w:val="en-US"/>
        </w:rPr>
        <w:t xml:space="preserve"> </w:t>
      </w:r>
      <w:r w:rsidRPr="00B0600A">
        <w:rPr>
          <w:rFonts w:cs="Times New Roman"/>
          <w:lang w:val="en-US"/>
        </w:rPr>
        <w:t>.</w:t>
      </w:r>
      <w:r w:rsidR="00E33BCD">
        <w:rPr>
          <w:rFonts w:cs="Times New Roman"/>
          <w:lang w:val="en-US"/>
        </w:rPr>
        <w:t xml:space="preserve"> </w:t>
      </w:r>
      <w:r w:rsidRPr="00B0600A">
        <w:rPr>
          <w:rFonts w:cs="Times New Roman"/>
          <w:lang w:val="en-US"/>
        </w:rPr>
        <w:t>. Wall decorations in temples are akin to those in houses and public buildings.</w:t>
      </w:r>
      <w:r w:rsidR="00826D9D">
        <w:rPr>
          <w:rFonts w:cs="Times New Roman"/>
          <w:lang w:val="en-US"/>
        </w:rPr>
        <w:t>”</w:t>
      </w:r>
    </w:p>
  </w:endnote>
  <w:endnote w:id="38">
    <w:p w14:paraId="5D7B33A4" w14:textId="4EE0D2AC"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w:t>
      </w:r>
      <w:r w:rsidR="00431097" w:rsidRPr="00B0600A">
        <w:rPr>
          <w:rFonts w:cs="Times New Roman"/>
          <w:lang w:val="en-US"/>
        </w:rPr>
        <w:t>See</w:t>
      </w:r>
      <w:r w:rsidRPr="00B0600A">
        <w:rPr>
          <w:rFonts w:cs="Times New Roman"/>
          <w:lang w:val="en-US"/>
        </w:rPr>
        <w:t xml:space="preserve"> Guimier-Sorbets 1998, 120</w:t>
      </w:r>
      <w:r w:rsidR="00DC0CAC" w:rsidRPr="00B0600A">
        <w:rPr>
          <w:rFonts w:cs="Times New Roman"/>
          <w:lang w:val="en-US"/>
        </w:rPr>
        <w:t>–</w:t>
      </w:r>
      <w:r w:rsidRPr="00B0600A">
        <w:rPr>
          <w:rFonts w:cs="Times New Roman"/>
          <w:lang w:val="en-US"/>
        </w:rPr>
        <w:t>22; Whitehouse 2010, 1018</w:t>
      </w:r>
      <w:r w:rsidR="00DC0CAC" w:rsidRPr="00B0600A">
        <w:rPr>
          <w:rFonts w:cs="Times New Roman"/>
          <w:lang w:val="en-US"/>
        </w:rPr>
        <w:t>–</w:t>
      </w:r>
      <w:r w:rsidRPr="00B0600A">
        <w:rPr>
          <w:rFonts w:cs="Times New Roman"/>
          <w:lang w:val="en-US"/>
        </w:rPr>
        <w:t>20.</w:t>
      </w:r>
    </w:p>
  </w:endnote>
  <w:endnote w:id="39">
    <w:p w14:paraId="2CF291E6" w14:textId="77E521F3"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The restoration of this piece is illustrated in Kaper 2009, 7.</w:t>
      </w:r>
    </w:p>
  </w:endnote>
  <w:endnote w:id="40">
    <w:p w14:paraId="2B91A3F1" w14:textId="5D191B72"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w:t>
      </w:r>
      <w:r w:rsidR="00065BB6" w:rsidRPr="00EA4ACA">
        <w:rPr>
          <w:rFonts w:cs="Times New Roman"/>
          <w:lang w:val="fr-FR"/>
        </w:rPr>
        <w:t>Paris, Musée du Louvre, Département des Antiquités égyptiennes</w:t>
      </w:r>
      <w:r w:rsidR="00065BB6">
        <w:rPr>
          <w:rFonts w:cs="Times New Roman"/>
          <w:lang w:val="en-US"/>
        </w:rPr>
        <w:t xml:space="preserve">, D 38 (E 13482) </w:t>
      </w:r>
      <w:hyperlink r:id="rId1" w:history="1">
        <w:r w:rsidR="00065BB6" w:rsidRPr="00380FB3">
          <w:rPr>
            <w:rStyle w:val="Hyperlink"/>
            <w:rFonts w:cs="Times New Roman"/>
            <w:lang w:val="en-US"/>
          </w:rPr>
          <w:t>https://collections.louvre.fr/ark:/53355/cl010028871</w:t>
        </w:r>
      </w:hyperlink>
      <w:r w:rsidR="00065BB6">
        <w:rPr>
          <w:rFonts w:cs="Times New Roman"/>
          <w:lang w:val="en-US"/>
        </w:rPr>
        <w:t xml:space="preserve">; </w:t>
      </w:r>
      <w:r w:rsidRPr="00B0600A">
        <w:rPr>
          <w:rFonts w:cs="Times New Roman"/>
          <w:lang w:val="en-US"/>
        </w:rPr>
        <w:t xml:space="preserve">Cauville 1997. On the supports of </w:t>
      </w:r>
      <w:r w:rsidR="00FA7485">
        <w:rPr>
          <w:rFonts w:cs="Times New Roman"/>
          <w:lang w:val="en-US"/>
        </w:rPr>
        <w:t>h</w:t>
      </w:r>
      <w:r w:rsidRPr="00B0600A">
        <w:rPr>
          <w:rFonts w:cs="Times New Roman"/>
          <w:lang w:val="en-US"/>
        </w:rPr>
        <w:t xml:space="preserve">eaven, </w:t>
      </w:r>
      <w:r w:rsidR="00431097" w:rsidRPr="00B0600A">
        <w:rPr>
          <w:rFonts w:cs="Times New Roman"/>
          <w:lang w:val="en-US"/>
        </w:rPr>
        <w:t>see</w:t>
      </w:r>
      <w:r w:rsidRPr="00B0600A">
        <w:rPr>
          <w:rFonts w:cs="Times New Roman"/>
          <w:lang w:val="en-US"/>
        </w:rPr>
        <w:t xml:space="preserve"> Kurth 2016.</w:t>
      </w:r>
    </w:p>
  </w:endnote>
  <w:endnote w:id="41">
    <w:p w14:paraId="7C3AADDA" w14:textId="273ED3D6"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Osing et al. 1982, pl</w:t>
      </w:r>
      <w:r w:rsidR="00E33BCD">
        <w:rPr>
          <w:rFonts w:cs="Times New Roman"/>
          <w:lang w:val="en-US"/>
        </w:rPr>
        <w:t>ate</w:t>
      </w:r>
      <w:r w:rsidRPr="00B0600A">
        <w:rPr>
          <w:rFonts w:cs="Times New Roman"/>
          <w:lang w:val="en-US"/>
        </w:rPr>
        <w:t>s 36, 38</w:t>
      </w:r>
      <w:r w:rsidR="00DC0CAC" w:rsidRPr="00B0600A">
        <w:rPr>
          <w:rFonts w:cs="Times New Roman"/>
          <w:lang w:val="en-US"/>
        </w:rPr>
        <w:t>–</w:t>
      </w:r>
      <w:r w:rsidRPr="00B0600A">
        <w:rPr>
          <w:rFonts w:cs="Times New Roman"/>
          <w:lang w:val="en-US"/>
        </w:rPr>
        <w:t>44.</w:t>
      </w:r>
    </w:p>
  </w:endnote>
  <w:endnote w:id="42">
    <w:p w14:paraId="5DED57C6" w14:textId="3051700A"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Osing et al. 1982, pl</w:t>
      </w:r>
      <w:r w:rsidR="00E33BCD">
        <w:rPr>
          <w:rFonts w:cs="Times New Roman"/>
          <w:lang w:val="en-US"/>
        </w:rPr>
        <w:t>ate</w:t>
      </w:r>
      <w:r w:rsidRPr="00B0600A">
        <w:rPr>
          <w:rFonts w:cs="Times New Roman"/>
          <w:lang w:val="en-US"/>
        </w:rPr>
        <w:t>s 36, 42b.</w:t>
      </w:r>
    </w:p>
  </w:endnote>
  <w:endnote w:id="43">
    <w:p w14:paraId="4A864018" w14:textId="0A7D17EB"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Castiglione 1961, 211.</w:t>
      </w:r>
    </w:p>
  </w:endnote>
  <w:endnote w:id="44">
    <w:p w14:paraId="3B006B4A" w14:textId="151FCD53"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With Riggs 2005, 8</w:t>
      </w:r>
      <w:r w:rsidR="00DC0CAC" w:rsidRPr="00B0600A">
        <w:rPr>
          <w:rFonts w:cs="Times New Roman"/>
          <w:lang w:val="en-US"/>
        </w:rPr>
        <w:t>–</w:t>
      </w:r>
      <w:r w:rsidRPr="00B0600A">
        <w:rPr>
          <w:rFonts w:cs="Times New Roman"/>
          <w:lang w:val="en-US"/>
        </w:rPr>
        <w:t xml:space="preserve">9. On aspective, </w:t>
      </w:r>
      <w:r w:rsidR="00431097" w:rsidRPr="00B0600A">
        <w:rPr>
          <w:rFonts w:cs="Times New Roman"/>
          <w:lang w:val="en-US"/>
        </w:rPr>
        <w:t>see</w:t>
      </w:r>
      <w:r w:rsidRPr="00B0600A">
        <w:rPr>
          <w:rFonts w:cs="Times New Roman"/>
          <w:lang w:val="en-US"/>
        </w:rPr>
        <w:t xml:space="preserve"> Baines 1974</w:t>
      </w:r>
      <w:r w:rsidR="002E649B" w:rsidRPr="00B0600A">
        <w:rPr>
          <w:rFonts w:cs="Times New Roman"/>
          <w:lang w:val="en-US"/>
        </w:rPr>
        <w:t>, xvi-xvii</w:t>
      </w:r>
      <w:r w:rsidRPr="00B0600A">
        <w:rPr>
          <w:rFonts w:cs="Times New Roman"/>
          <w:lang w:val="en-US"/>
        </w:rPr>
        <w:t>; Brunner-Traut 1974; Hartwig 2015, 49.</w:t>
      </w:r>
    </w:p>
  </w:endnote>
  <w:endnote w:id="45">
    <w:p w14:paraId="33F487BF" w14:textId="4B6B82B6"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The potential levels of complexity </w:t>
      </w:r>
      <w:r w:rsidR="00431097" w:rsidRPr="00B0600A">
        <w:rPr>
          <w:rFonts w:cs="Times New Roman"/>
          <w:lang w:val="en-US"/>
        </w:rPr>
        <w:t>are</w:t>
      </w:r>
      <w:r w:rsidRPr="00B0600A">
        <w:rPr>
          <w:rFonts w:cs="Times New Roman"/>
          <w:lang w:val="en-US"/>
        </w:rPr>
        <w:t xml:space="preserve"> well illustrated by the inner sanctuary of the Dendera temple, as studied in Leitz 2001. A papyrus from Tanis </w:t>
      </w:r>
      <w:r w:rsidR="002E649B" w:rsidRPr="00B0600A">
        <w:rPr>
          <w:rFonts w:cs="Times New Roman"/>
          <w:lang w:val="en-US"/>
        </w:rPr>
        <w:t>is the only preserved document that contains</w:t>
      </w:r>
      <w:r w:rsidRPr="00B0600A">
        <w:rPr>
          <w:rFonts w:cs="Times New Roman"/>
          <w:lang w:val="en-US"/>
        </w:rPr>
        <w:t xml:space="preserve"> rules and templates for creating temple decoration</w:t>
      </w:r>
      <w:r w:rsidR="00431097" w:rsidRPr="00B0600A">
        <w:rPr>
          <w:rFonts w:cs="Times New Roman"/>
          <w:lang w:val="en-US"/>
        </w:rPr>
        <w:t>:</w:t>
      </w:r>
      <w:r w:rsidRPr="00B0600A">
        <w:rPr>
          <w:rFonts w:cs="Times New Roman"/>
          <w:lang w:val="en-US"/>
        </w:rPr>
        <w:t xml:space="preserve"> Quack 2014; Quack 2016, 103.</w:t>
      </w:r>
    </w:p>
  </w:endnote>
  <w:endnote w:id="46">
    <w:p w14:paraId="6F9406DF" w14:textId="4F01F098"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Kaper 2002, 217</w:t>
      </w:r>
      <w:r w:rsidR="00DC0CAC" w:rsidRPr="00B0600A">
        <w:rPr>
          <w:rFonts w:cs="Times New Roman"/>
          <w:lang w:val="en-US"/>
        </w:rPr>
        <w:t>–</w:t>
      </w:r>
      <w:r w:rsidRPr="00B0600A">
        <w:rPr>
          <w:rFonts w:cs="Times New Roman"/>
          <w:lang w:val="en-US"/>
        </w:rPr>
        <w:t>23; Kaper</w:t>
      </w:r>
      <w:r w:rsidR="00E33BCD">
        <w:rPr>
          <w:rFonts w:cs="Times New Roman"/>
          <w:lang w:val="en-US"/>
        </w:rPr>
        <w:t>,</w:t>
      </w:r>
      <w:r w:rsidRPr="00B0600A">
        <w:rPr>
          <w:rFonts w:cs="Times New Roman"/>
          <w:lang w:val="en-US"/>
        </w:rPr>
        <w:t xml:space="preserve"> forthcoming.</w:t>
      </w:r>
    </w:p>
  </w:endnote>
  <w:endnote w:id="47">
    <w:p w14:paraId="1B206CED" w14:textId="3855B178"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Bettles and Kaper 2011, 215</w:t>
      </w:r>
      <w:r w:rsidR="00DC0CAC" w:rsidRPr="00B0600A">
        <w:rPr>
          <w:rFonts w:cs="Times New Roman"/>
          <w:lang w:val="en-US"/>
        </w:rPr>
        <w:t>–</w:t>
      </w:r>
      <w:r w:rsidRPr="00B0600A">
        <w:rPr>
          <w:rFonts w:cs="Times New Roman"/>
          <w:lang w:val="en-US"/>
        </w:rPr>
        <w:t>51.</w:t>
      </w:r>
    </w:p>
  </w:endnote>
  <w:endnote w:id="48">
    <w:p w14:paraId="1B000B8B" w14:textId="11451B3B"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On the Seven Hathors, </w:t>
      </w:r>
      <w:r w:rsidR="00431097" w:rsidRPr="00B0600A">
        <w:rPr>
          <w:rFonts w:cs="Times New Roman"/>
          <w:lang w:val="en-US"/>
        </w:rPr>
        <w:t>see</w:t>
      </w:r>
      <w:r w:rsidRPr="00B0600A">
        <w:rPr>
          <w:rFonts w:cs="Times New Roman"/>
          <w:lang w:val="en-US"/>
        </w:rPr>
        <w:t xml:space="preserve"> Rochholz 2002, 44</w:t>
      </w:r>
      <w:r w:rsidR="00DC0CAC" w:rsidRPr="00B0600A">
        <w:rPr>
          <w:rFonts w:cs="Times New Roman"/>
          <w:lang w:val="en-US"/>
        </w:rPr>
        <w:t>–</w:t>
      </w:r>
      <w:r w:rsidRPr="00B0600A">
        <w:rPr>
          <w:rFonts w:cs="Times New Roman"/>
          <w:lang w:val="en-US"/>
        </w:rPr>
        <w:t>49, 64</w:t>
      </w:r>
      <w:r w:rsidR="00DC0CAC" w:rsidRPr="00B0600A">
        <w:rPr>
          <w:rFonts w:cs="Times New Roman"/>
          <w:lang w:val="en-US"/>
        </w:rPr>
        <w:t>–</w:t>
      </w:r>
      <w:r w:rsidRPr="00B0600A">
        <w:rPr>
          <w:rFonts w:cs="Times New Roman"/>
          <w:lang w:val="en-US"/>
        </w:rPr>
        <w:t xml:space="preserve">92; on the Meskhenet goddesses, </w:t>
      </w:r>
      <w:r w:rsidR="00431097" w:rsidRPr="00B0600A">
        <w:rPr>
          <w:rFonts w:cs="Times New Roman"/>
          <w:lang w:val="en-US"/>
        </w:rPr>
        <w:t>see</w:t>
      </w:r>
      <w:r w:rsidRPr="00B0600A">
        <w:rPr>
          <w:rFonts w:cs="Times New Roman"/>
          <w:lang w:val="en-US"/>
        </w:rPr>
        <w:t xml:space="preserve"> Spieser 2011, 63</w:t>
      </w:r>
      <w:r w:rsidR="00DC0CAC" w:rsidRPr="00B0600A">
        <w:rPr>
          <w:rFonts w:cs="Times New Roman"/>
          <w:lang w:val="en-US"/>
        </w:rPr>
        <w:t>–</w:t>
      </w:r>
      <w:r w:rsidRPr="00B0600A">
        <w:rPr>
          <w:rFonts w:cs="Times New Roman"/>
          <w:lang w:val="en-US"/>
        </w:rPr>
        <w:t>92.</w:t>
      </w:r>
      <w:r w:rsidR="002E649B" w:rsidRPr="00B0600A">
        <w:rPr>
          <w:rFonts w:cs="Times New Roman"/>
          <w:lang w:val="en-US"/>
        </w:rPr>
        <w:t xml:space="preserve"> On the significance of the scene in the Kellis </w:t>
      </w:r>
      <w:r w:rsidR="00ED4B4F" w:rsidRPr="00ED4B4F">
        <w:rPr>
          <w:rFonts w:cs="Times New Roman"/>
          <w:lang w:val="en-US"/>
        </w:rPr>
        <w:t>mammisi</w:t>
      </w:r>
      <w:r w:rsidR="002E649B" w:rsidRPr="00B0600A">
        <w:rPr>
          <w:rFonts w:cs="Times New Roman"/>
          <w:lang w:val="en-US"/>
        </w:rPr>
        <w:t xml:space="preserve">, </w:t>
      </w:r>
      <w:r w:rsidR="00431097" w:rsidRPr="00B0600A">
        <w:rPr>
          <w:rFonts w:cs="Times New Roman"/>
          <w:lang w:val="en-US"/>
        </w:rPr>
        <w:t>see</w:t>
      </w:r>
      <w:r w:rsidR="002E649B" w:rsidRPr="00B0600A">
        <w:rPr>
          <w:rFonts w:cs="Times New Roman"/>
          <w:lang w:val="en-US"/>
        </w:rPr>
        <w:t xml:space="preserve"> Kaper</w:t>
      </w:r>
      <w:r w:rsidR="00E33BCD">
        <w:rPr>
          <w:rFonts w:cs="Times New Roman"/>
          <w:lang w:val="en-US"/>
        </w:rPr>
        <w:t>,</w:t>
      </w:r>
      <w:r w:rsidR="002E649B" w:rsidRPr="00B0600A">
        <w:rPr>
          <w:rFonts w:cs="Times New Roman"/>
          <w:lang w:val="en-US"/>
        </w:rPr>
        <w:t xml:space="preserve"> forthcoming.</w:t>
      </w:r>
    </w:p>
  </w:endnote>
  <w:endnote w:id="49">
    <w:p w14:paraId="5A04908B" w14:textId="3076F545"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The restoration of this </w:t>
      </w:r>
      <w:r w:rsidRPr="002661C2">
        <w:rPr>
          <w:rFonts w:cs="Times New Roman"/>
          <w:lang w:val="en-US"/>
        </w:rPr>
        <w:t>panel is illustrated in Kaper 2012</w:t>
      </w:r>
      <w:r w:rsidR="0031000E" w:rsidRPr="002661C2">
        <w:rPr>
          <w:rFonts w:cs="Times New Roman"/>
          <w:lang w:val="en-US"/>
        </w:rPr>
        <w:t>a</w:t>
      </w:r>
      <w:r w:rsidRPr="002661C2">
        <w:rPr>
          <w:rFonts w:cs="Times New Roman"/>
          <w:lang w:val="en-US"/>
        </w:rPr>
        <w:t>, 10</w:t>
      </w:r>
      <w:r w:rsidR="00DC0CAC" w:rsidRPr="002661C2">
        <w:rPr>
          <w:rFonts w:cs="Times New Roman"/>
          <w:lang w:val="en-US"/>
        </w:rPr>
        <w:t>–</w:t>
      </w:r>
      <w:r w:rsidRPr="002661C2">
        <w:rPr>
          <w:rFonts w:cs="Times New Roman"/>
          <w:lang w:val="en-US"/>
        </w:rPr>
        <w:t>21; on the</w:t>
      </w:r>
      <w:r w:rsidRPr="00B0600A">
        <w:rPr>
          <w:rFonts w:cs="Times New Roman"/>
          <w:lang w:val="en-US"/>
        </w:rPr>
        <w:t xml:space="preserve"> use of color in this scene</w:t>
      </w:r>
      <w:r w:rsidR="00431097" w:rsidRPr="00B0600A">
        <w:rPr>
          <w:rFonts w:cs="Times New Roman"/>
          <w:lang w:val="en-US"/>
        </w:rPr>
        <w:t>, see</w:t>
      </w:r>
      <w:r w:rsidRPr="00B0600A">
        <w:rPr>
          <w:rFonts w:cs="Times New Roman"/>
          <w:lang w:val="en-US"/>
        </w:rPr>
        <w:t xml:space="preserve"> Bettles 2020, 26.</w:t>
      </w:r>
    </w:p>
  </w:endnote>
  <w:endnote w:id="50">
    <w:p w14:paraId="27C03161" w14:textId="3AB50DF0"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On the quality of these reliefs, </w:t>
      </w:r>
      <w:r w:rsidR="00431097" w:rsidRPr="00B0600A">
        <w:rPr>
          <w:rFonts w:cs="Times New Roman"/>
          <w:lang w:val="en-US"/>
        </w:rPr>
        <w:t>see</w:t>
      </w:r>
      <w:r w:rsidRPr="00B0600A">
        <w:rPr>
          <w:rFonts w:cs="Times New Roman"/>
          <w:lang w:val="en-US"/>
        </w:rPr>
        <w:t xml:space="preserve"> Hölbl 2000, 80, 86.</w:t>
      </w:r>
    </w:p>
  </w:endnote>
  <w:endnote w:id="51">
    <w:p w14:paraId="4029A18F" w14:textId="56D0E78C"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Kaper 1997, 87</w:t>
      </w:r>
      <w:r w:rsidR="00DC0CAC" w:rsidRPr="00B0600A">
        <w:rPr>
          <w:rFonts w:cs="Times New Roman"/>
          <w:lang w:val="en-US"/>
        </w:rPr>
        <w:t>–</w:t>
      </w:r>
      <w:r w:rsidRPr="00B0600A">
        <w:rPr>
          <w:rFonts w:cs="Times New Roman"/>
          <w:lang w:val="en-US"/>
        </w:rPr>
        <w:t>137.</w:t>
      </w:r>
    </w:p>
  </w:endnote>
  <w:endnote w:id="52">
    <w:p w14:paraId="1827D2BA" w14:textId="77777777"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Ross 2002.</w:t>
      </w:r>
    </w:p>
  </w:endnote>
  <w:endnote w:id="53">
    <w:p w14:paraId="314ADE20" w14:textId="39FB61E1"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Kaper 2003a, 59; Kaper 2003b, 319</w:t>
      </w:r>
      <w:r w:rsidR="00DC0CAC" w:rsidRPr="00B0600A">
        <w:rPr>
          <w:rFonts w:cs="Times New Roman"/>
          <w:lang w:val="en-US"/>
        </w:rPr>
        <w:t>–</w:t>
      </w:r>
      <w:r w:rsidRPr="00B0600A">
        <w:rPr>
          <w:rFonts w:cs="Times New Roman"/>
          <w:lang w:val="en-US"/>
        </w:rPr>
        <w:t>20.</w:t>
      </w:r>
    </w:p>
  </w:endnote>
  <w:endnote w:id="54">
    <w:p w14:paraId="60B54078" w14:textId="4B9E8461"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Kaper 2003a, 59</w:t>
      </w:r>
      <w:r w:rsidR="00DC0CAC" w:rsidRPr="00B0600A">
        <w:rPr>
          <w:rFonts w:cs="Times New Roman"/>
          <w:lang w:val="en-US"/>
        </w:rPr>
        <w:t>–</w:t>
      </w:r>
      <w:r w:rsidRPr="00B0600A">
        <w:rPr>
          <w:rFonts w:cs="Times New Roman"/>
          <w:lang w:val="en-US"/>
        </w:rPr>
        <w:t>60; Kaper 2003b, 314</w:t>
      </w:r>
      <w:r w:rsidR="00DC0CAC" w:rsidRPr="00B0600A">
        <w:rPr>
          <w:rFonts w:cs="Times New Roman"/>
          <w:lang w:val="en-US"/>
        </w:rPr>
        <w:t>–</w:t>
      </w:r>
      <w:r w:rsidRPr="00B0600A">
        <w:rPr>
          <w:rFonts w:cs="Times New Roman"/>
          <w:lang w:val="en-US"/>
        </w:rPr>
        <w:t>15.</w:t>
      </w:r>
    </w:p>
  </w:endnote>
  <w:endnote w:id="55">
    <w:p w14:paraId="4B51AE4D" w14:textId="4A005291"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Kaper</w:t>
      </w:r>
      <w:r w:rsidR="00E33BCD">
        <w:rPr>
          <w:rFonts w:cs="Times New Roman"/>
          <w:lang w:val="en-US"/>
        </w:rPr>
        <w:t>,</w:t>
      </w:r>
      <w:r w:rsidRPr="00B0600A">
        <w:rPr>
          <w:rFonts w:cs="Times New Roman"/>
          <w:lang w:val="en-US"/>
        </w:rPr>
        <w:t xml:space="preserve"> forthcoming.</w:t>
      </w:r>
    </w:p>
  </w:endnote>
  <w:endnote w:id="56">
    <w:p w14:paraId="093BBB4C" w14:textId="0BA1B6D9"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Kockelmann 2011, 5.</w:t>
      </w:r>
    </w:p>
  </w:endnote>
  <w:endnote w:id="57">
    <w:p w14:paraId="28042E0E" w14:textId="6930D9D4"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Hölbl 2000, 14</w:t>
      </w:r>
      <w:r w:rsidR="00DC0CAC" w:rsidRPr="00B0600A">
        <w:rPr>
          <w:rFonts w:cs="Times New Roman"/>
          <w:lang w:val="en-US"/>
        </w:rPr>
        <w:t>–</w:t>
      </w:r>
      <w:r w:rsidRPr="00B0600A">
        <w:rPr>
          <w:rFonts w:cs="Times New Roman"/>
          <w:lang w:val="en-US"/>
        </w:rPr>
        <w:t>46.</w:t>
      </w:r>
    </w:p>
  </w:endnote>
  <w:endnote w:id="58">
    <w:p w14:paraId="1A9052C5" w14:textId="69EE6197" w:rsidR="00843E32" w:rsidRPr="00E33BCD" w:rsidRDefault="00843E32" w:rsidP="00F45032">
      <w:pPr>
        <w:pStyle w:val="EndnoteText"/>
        <w:spacing w:line="480" w:lineRule="auto"/>
        <w:rPr>
          <w:rFonts w:cs="Times New Roman"/>
          <w:b/>
          <w:bCs/>
          <w:color w:val="D883FF"/>
          <w:lang w:val="en-US"/>
        </w:rPr>
      </w:pPr>
      <w:r w:rsidRPr="00B0600A">
        <w:rPr>
          <w:rStyle w:val="EndnoteReference"/>
          <w:rFonts w:cs="Times New Roman"/>
          <w:lang w:val="en-US"/>
        </w:rPr>
        <w:endnoteRef/>
      </w:r>
      <w:r w:rsidRPr="00B0600A">
        <w:rPr>
          <w:rFonts w:cs="Times New Roman"/>
          <w:lang w:val="en-US"/>
        </w:rPr>
        <w:t xml:space="preserve"> Kaper 2019, </w:t>
      </w:r>
      <w:r w:rsidR="00A00A34">
        <w:rPr>
          <w:rFonts w:cs="Times New Roman"/>
          <w:lang w:val="en-US"/>
        </w:rPr>
        <w:t>37</w:t>
      </w:r>
      <w:r w:rsidR="00A00A34" w:rsidRPr="00B0600A">
        <w:rPr>
          <w:rFonts w:cs="Times New Roman"/>
          <w:lang w:val="en-US"/>
        </w:rPr>
        <w:t>–</w:t>
      </w:r>
      <w:r w:rsidR="00A00A34">
        <w:rPr>
          <w:rFonts w:cs="Times New Roman"/>
          <w:lang w:val="en-US"/>
        </w:rPr>
        <w:t>39.</w:t>
      </w:r>
    </w:p>
  </w:endnote>
  <w:endnote w:id="59">
    <w:p w14:paraId="13C28DE0" w14:textId="57B8D96C"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Hölbl 2005, 93; Moormann 2016, 105</w:t>
      </w:r>
      <w:r w:rsidR="00DC0CAC" w:rsidRPr="00B0600A">
        <w:rPr>
          <w:rFonts w:cs="Times New Roman"/>
          <w:lang w:val="en-US"/>
        </w:rPr>
        <w:t>–</w:t>
      </w:r>
      <w:r w:rsidRPr="00B0600A">
        <w:rPr>
          <w:rFonts w:cs="Times New Roman"/>
          <w:lang w:val="en-US"/>
        </w:rPr>
        <w:t>11, 115</w:t>
      </w:r>
      <w:r w:rsidR="00DC0CAC" w:rsidRPr="00B0600A">
        <w:rPr>
          <w:rFonts w:cs="Times New Roman"/>
          <w:lang w:val="en-US"/>
        </w:rPr>
        <w:t>–</w:t>
      </w:r>
      <w:r w:rsidRPr="00B0600A">
        <w:rPr>
          <w:rFonts w:cs="Times New Roman"/>
          <w:lang w:val="en-US"/>
        </w:rPr>
        <w:t>18.</w:t>
      </w:r>
    </w:p>
  </w:endnote>
  <w:endnote w:id="60">
    <w:p w14:paraId="51C48C2C" w14:textId="671E9F49"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Nagel 2019, </w:t>
      </w:r>
      <w:r w:rsidR="002E649B" w:rsidRPr="00B0600A">
        <w:rPr>
          <w:rFonts w:cs="Times New Roman"/>
          <w:lang w:val="en-US"/>
        </w:rPr>
        <w:t>1178.</w:t>
      </w:r>
    </w:p>
  </w:endnote>
  <w:endnote w:id="61">
    <w:p w14:paraId="1504A382" w14:textId="03660F49"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Frankfurter</w:t>
      </w:r>
      <w:r w:rsidR="00AB10C4" w:rsidRPr="00B0600A">
        <w:rPr>
          <w:rFonts w:cs="Times New Roman"/>
          <w:lang w:val="en-US"/>
        </w:rPr>
        <w:t xml:space="preserve"> </w:t>
      </w:r>
      <w:r w:rsidRPr="00B0600A">
        <w:rPr>
          <w:rFonts w:cs="Times New Roman"/>
          <w:lang w:val="en-US"/>
        </w:rPr>
        <w:t>1998, 27</w:t>
      </w:r>
      <w:r w:rsidR="00DC0CAC" w:rsidRPr="00B0600A">
        <w:rPr>
          <w:rFonts w:cs="Times New Roman"/>
          <w:lang w:val="en-US"/>
        </w:rPr>
        <w:t>–</w:t>
      </w:r>
      <w:r w:rsidRPr="00B0600A">
        <w:rPr>
          <w:rFonts w:cs="Times New Roman"/>
          <w:lang w:val="en-US"/>
        </w:rPr>
        <w:t>30.</w:t>
      </w:r>
    </w:p>
  </w:endnote>
  <w:endnote w:id="62">
    <w:p w14:paraId="69719E4C" w14:textId="7922C913" w:rsidR="00843E32" w:rsidRPr="00B0600A" w:rsidRDefault="00843E32" w:rsidP="00F45032">
      <w:pPr>
        <w:pStyle w:val="EndnoteText"/>
        <w:spacing w:line="480" w:lineRule="auto"/>
        <w:rPr>
          <w:rFonts w:cs="Times New Roman"/>
          <w:lang w:val="en-US"/>
        </w:rPr>
      </w:pPr>
      <w:r w:rsidRPr="00B0600A">
        <w:rPr>
          <w:rStyle w:val="EndnoteReference"/>
          <w:rFonts w:cs="Times New Roman"/>
          <w:lang w:val="en-US"/>
        </w:rPr>
        <w:endnoteRef/>
      </w:r>
      <w:r w:rsidRPr="00B0600A">
        <w:rPr>
          <w:rFonts w:cs="Times New Roman"/>
          <w:lang w:val="en-US"/>
        </w:rPr>
        <w:t xml:space="preserve"> The Esna temple was finished only under Decius, but Sauneron </w:t>
      </w:r>
      <w:r w:rsidR="00AB10C4" w:rsidRPr="00B0600A">
        <w:rPr>
          <w:rFonts w:cs="Times New Roman"/>
          <w:lang w:val="en-US"/>
        </w:rPr>
        <w:t>(</w:t>
      </w:r>
      <w:r w:rsidRPr="00B0600A">
        <w:rPr>
          <w:rFonts w:cs="Times New Roman"/>
          <w:lang w:val="en-US"/>
        </w:rPr>
        <w:t>1959, 43</w:t>
      </w:r>
      <w:r w:rsidR="00DC0CAC" w:rsidRPr="00B0600A">
        <w:rPr>
          <w:rFonts w:cs="Times New Roman"/>
          <w:lang w:val="en-US"/>
        </w:rPr>
        <w:t>–</w:t>
      </w:r>
      <w:r w:rsidRPr="00B0600A">
        <w:rPr>
          <w:rFonts w:cs="Times New Roman"/>
          <w:lang w:val="en-US"/>
        </w:rPr>
        <w:t>44</w:t>
      </w:r>
      <w:r w:rsidR="00AB10C4" w:rsidRPr="00B0600A">
        <w:rPr>
          <w:rFonts w:cs="Times New Roman"/>
          <w:lang w:val="en-US"/>
        </w:rPr>
        <w:t>)</w:t>
      </w:r>
      <w:r w:rsidRPr="00B0600A">
        <w:rPr>
          <w:rFonts w:cs="Times New Roman"/>
          <w:lang w:val="en-US"/>
        </w:rPr>
        <w:t xml:space="preserve"> remarks on the marked deterioration of skill and inspiration </w:t>
      </w:r>
      <w:r w:rsidR="002E649B" w:rsidRPr="00B0600A">
        <w:rPr>
          <w:rFonts w:cs="Times New Roman"/>
          <w:lang w:val="en-US"/>
        </w:rPr>
        <w:t xml:space="preserve">that is apparent </w:t>
      </w:r>
      <w:r w:rsidRPr="00B0600A">
        <w:rPr>
          <w:rFonts w:cs="Times New Roman"/>
          <w:lang w:val="en-US"/>
        </w:rPr>
        <w:t xml:space="preserve">already during the second century </w:t>
      </w:r>
      <w:r w:rsidR="00AB10C4" w:rsidRPr="00B0600A">
        <w:rPr>
          <w:rFonts w:cs="Times New Roman"/>
          <w:lang w:val="en-US"/>
        </w:rPr>
        <w:t>AD</w:t>
      </w:r>
      <w:r w:rsidRPr="00B0600A">
        <w:rPr>
          <w:rFonts w:cs="Times New Roman"/>
          <w:lang w:val="en-US"/>
        </w:rPr>
        <w:t xml:space="preserve"> and progressively after that</w:t>
      </w:r>
      <w:r w:rsidR="002E649B" w:rsidRPr="00B0600A">
        <w:rPr>
          <w:rFonts w:cs="Times New Roman"/>
          <w:lang w:val="en-U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1686002"/>
      <w:docPartObj>
        <w:docPartGallery w:val="Page Numbers (Bottom of Page)"/>
        <w:docPartUnique/>
      </w:docPartObj>
    </w:sdtPr>
    <w:sdtEndPr>
      <w:rPr>
        <w:rStyle w:val="PageNumber"/>
      </w:rPr>
    </w:sdtEndPr>
    <w:sdtContent>
      <w:p w14:paraId="4394B8F9" w14:textId="12CDC7EA" w:rsidR="00827CD4" w:rsidRDefault="00827CD4" w:rsidP="00222A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BD2081" w14:textId="77777777" w:rsidR="00827CD4" w:rsidRDefault="00827CD4" w:rsidP="00827C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39030349"/>
      <w:docPartObj>
        <w:docPartGallery w:val="Page Numbers (Bottom of Page)"/>
        <w:docPartUnique/>
      </w:docPartObj>
    </w:sdtPr>
    <w:sdtEndPr>
      <w:rPr>
        <w:rStyle w:val="PageNumber"/>
      </w:rPr>
    </w:sdtEndPr>
    <w:sdtContent>
      <w:p w14:paraId="6573345C" w14:textId="2EF54112" w:rsidR="00827CD4" w:rsidRDefault="00827CD4" w:rsidP="00222A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52AAE8" w14:textId="77777777" w:rsidR="00827CD4" w:rsidRDefault="00827CD4" w:rsidP="00827CD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3F660" w14:textId="77777777" w:rsidR="00245580" w:rsidRDefault="00245580" w:rsidP="009839E7">
      <w:pPr>
        <w:spacing w:line="240" w:lineRule="auto"/>
      </w:pPr>
      <w:r>
        <w:separator/>
      </w:r>
    </w:p>
  </w:footnote>
  <w:footnote w:type="continuationSeparator" w:id="0">
    <w:p w14:paraId="0C7E017C" w14:textId="77777777" w:rsidR="00245580" w:rsidRDefault="00245580" w:rsidP="009839E7">
      <w:pPr>
        <w:spacing w:line="240" w:lineRule="auto"/>
      </w:pPr>
      <w:r>
        <w:continuationSeparator/>
      </w:r>
    </w:p>
  </w:footnote>
  <w:footnote w:type="continuationNotice" w:id="1">
    <w:p w14:paraId="310D3E01" w14:textId="77777777" w:rsidR="00245580" w:rsidRDefault="0024558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A7C63" w14:textId="77777777" w:rsidR="002E3A88" w:rsidRDefault="002E3A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08"/>
  <w:hyphenationZone w:val="425"/>
  <w:characterSpacingControl w:val="doNotCompress"/>
  <w:footnotePr>
    <w:pos w:val="beneathText"/>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048"/>
    <w:rsid w:val="00011140"/>
    <w:rsid w:val="00027A58"/>
    <w:rsid w:val="00034590"/>
    <w:rsid w:val="00034D07"/>
    <w:rsid w:val="00036150"/>
    <w:rsid w:val="00037B16"/>
    <w:rsid w:val="00037C21"/>
    <w:rsid w:val="00044CD7"/>
    <w:rsid w:val="000522A7"/>
    <w:rsid w:val="00053530"/>
    <w:rsid w:val="00055486"/>
    <w:rsid w:val="00055A68"/>
    <w:rsid w:val="00056378"/>
    <w:rsid w:val="00056F66"/>
    <w:rsid w:val="00065BB6"/>
    <w:rsid w:val="000761A0"/>
    <w:rsid w:val="00077675"/>
    <w:rsid w:val="000804F1"/>
    <w:rsid w:val="000935E1"/>
    <w:rsid w:val="00093FE8"/>
    <w:rsid w:val="000977C8"/>
    <w:rsid w:val="000A3CF9"/>
    <w:rsid w:val="000B0EFF"/>
    <w:rsid w:val="000B459D"/>
    <w:rsid w:val="000C4DFB"/>
    <w:rsid w:val="000D546A"/>
    <w:rsid w:val="000E07A3"/>
    <w:rsid w:val="000E1348"/>
    <w:rsid w:val="000E2DD0"/>
    <w:rsid w:val="000F55A3"/>
    <w:rsid w:val="001062FB"/>
    <w:rsid w:val="0011178F"/>
    <w:rsid w:val="00112142"/>
    <w:rsid w:val="0011540B"/>
    <w:rsid w:val="001326A2"/>
    <w:rsid w:val="0013629A"/>
    <w:rsid w:val="0014565E"/>
    <w:rsid w:val="0014652E"/>
    <w:rsid w:val="00150096"/>
    <w:rsid w:val="001501F2"/>
    <w:rsid w:val="00150556"/>
    <w:rsid w:val="00157AB9"/>
    <w:rsid w:val="0016032B"/>
    <w:rsid w:val="00163A24"/>
    <w:rsid w:val="00177C50"/>
    <w:rsid w:val="001802F0"/>
    <w:rsid w:val="00182CCD"/>
    <w:rsid w:val="0018567F"/>
    <w:rsid w:val="00186B25"/>
    <w:rsid w:val="00196515"/>
    <w:rsid w:val="001B068A"/>
    <w:rsid w:val="001B1BAB"/>
    <w:rsid w:val="001C33FF"/>
    <w:rsid w:val="001C4534"/>
    <w:rsid w:val="001C566B"/>
    <w:rsid w:val="001C63C4"/>
    <w:rsid w:val="001D05AF"/>
    <w:rsid w:val="001D1F66"/>
    <w:rsid w:val="001D4116"/>
    <w:rsid w:val="001D6026"/>
    <w:rsid w:val="001E1F84"/>
    <w:rsid w:val="001E288A"/>
    <w:rsid w:val="001E3EDD"/>
    <w:rsid w:val="001E558F"/>
    <w:rsid w:val="001E6DDA"/>
    <w:rsid w:val="001F4621"/>
    <w:rsid w:val="001F79E8"/>
    <w:rsid w:val="00202146"/>
    <w:rsid w:val="00202319"/>
    <w:rsid w:val="002056B6"/>
    <w:rsid w:val="0020591B"/>
    <w:rsid w:val="00206863"/>
    <w:rsid w:val="002070D0"/>
    <w:rsid w:val="00210130"/>
    <w:rsid w:val="00212779"/>
    <w:rsid w:val="00212EE9"/>
    <w:rsid w:val="00222BB3"/>
    <w:rsid w:val="00225302"/>
    <w:rsid w:val="00226B74"/>
    <w:rsid w:val="0023136E"/>
    <w:rsid w:val="00234180"/>
    <w:rsid w:val="002406D7"/>
    <w:rsid w:val="00245580"/>
    <w:rsid w:val="00246A81"/>
    <w:rsid w:val="00250AF9"/>
    <w:rsid w:val="002624A7"/>
    <w:rsid w:val="002661C2"/>
    <w:rsid w:val="002774B8"/>
    <w:rsid w:val="0028205A"/>
    <w:rsid w:val="00282F74"/>
    <w:rsid w:val="00283071"/>
    <w:rsid w:val="00290B55"/>
    <w:rsid w:val="00291BEC"/>
    <w:rsid w:val="00295C6A"/>
    <w:rsid w:val="002A36CF"/>
    <w:rsid w:val="002A5048"/>
    <w:rsid w:val="002B10F9"/>
    <w:rsid w:val="002B57FC"/>
    <w:rsid w:val="002D28A3"/>
    <w:rsid w:val="002E3A88"/>
    <w:rsid w:val="002E649B"/>
    <w:rsid w:val="00302748"/>
    <w:rsid w:val="003033E0"/>
    <w:rsid w:val="0031000E"/>
    <w:rsid w:val="00313725"/>
    <w:rsid w:val="003148A7"/>
    <w:rsid w:val="00320266"/>
    <w:rsid w:val="003251A3"/>
    <w:rsid w:val="00326EBD"/>
    <w:rsid w:val="003311AB"/>
    <w:rsid w:val="00332D4D"/>
    <w:rsid w:val="00332E57"/>
    <w:rsid w:val="003405D8"/>
    <w:rsid w:val="00345834"/>
    <w:rsid w:val="00352CE5"/>
    <w:rsid w:val="00357AEE"/>
    <w:rsid w:val="00362030"/>
    <w:rsid w:val="00365A38"/>
    <w:rsid w:val="00366F65"/>
    <w:rsid w:val="00367234"/>
    <w:rsid w:val="00372547"/>
    <w:rsid w:val="0037591B"/>
    <w:rsid w:val="00380EDF"/>
    <w:rsid w:val="00383622"/>
    <w:rsid w:val="00386F62"/>
    <w:rsid w:val="00391713"/>
    <w:rsid w:val="00391B33"/>
    <w:rsid w:val="003958C9"/>
    <w:rsid w:val="003A044A"/>
    <w:rsid w:val="003A6AF1"/>
    <w:rsid w:val="003A78DC"/>
    <w:rsid w:val="003A7D9C"/>
    <w:rsid w:val="003B0260"/>
    <w:rsid w:val="003B5F70"/>
    <w:rsid w:val="003D6A0B"/>
    <w:rsid w:val="003E2E79"/>
    <w:rsid w:val="003E5A96"/>
    <w:rsid w:val="003F70C1"/>
    <w:rsid w:val="00400419"/>
    <w:rsid w:val="00406B98"/>
    <w:rsid w:val="004128B8"/>
    <w:rsid w:val="00414657"/>
    <w:rsid w:val="0042263A"/>
    <w:rsid w:val="00431097"/>
    <w:rsid w:val="004372EB"/>
    <w:rsid w:val="00443A20"/>
    <w:rsid w:val="004449BE"/>
    <w:rsid w:val="0044624D"/>
    <w:rsid w:val="00455B3E"/>
    <w:rsid w:val="00457B12"/>
    <w:rsid w:val="00480A50"/>
    <w:rsid w:val="00481EDD"/>
    <w:rsid w:val="00482CAE"/>
    <w:rsid w:val="00486357"/>
    <w:rsid w:val="00495F55"/>
    <w:rsid w:val="004A0B25"/>
    <w:rsid w:val="004B0912"/>
    <w:rsid w:val="004B120C"/>
    <w:rsid w:val="004B1CB4"/>
    <w:rsid w:val="004B2B55"/>
    <w:rsid w:val="004B3A4F"/>
    <w:rsid w:val="004B60A1"/>
    <w:rsid w:val="004C0A16"/>
    <w:rsid w:val="004C1B1F"/>
    <w:rsid w:val="004C6571"/>
    <w:rsid w:val="004D06EA"/>
    <w:rsid w:val="004D539E"/>
    <w:rsid w:val="004D79BC"/>
    <w:rsid w:val="004F57B6"/>
    <w:rsid w:val="00505970"/>
    <w:rsid w:val="00512477"/>
    <w:rsid w:val="0052657F"/>
    <w:rsid w:val="00530C65"/>
    <w:rsid w:val="00537969"/>
    <w:rsid w:val="00537D53"/>
    <w:rsid w:val="00543B69"/>
    <w:rsid w:val="00551A63"/>
    <w:rsid w:val="0055505D"/>
    <w:rsid w:val="0055593F"/>
    <w:rsid w:val="005612CC"/>
    <w:rsid w:val="00566265"/>
    <w:rsid w:val="00570EE5"/>
    <w:rsid w:val="00573991"/>
    <w:rsid w:val="0057424E"/>
    <w:rsid w:val="00581511"/>
    <w:rsid w:val="005A17E8"/>
    <w:rsid w:val="005A7F6F"/>
    <w:rsid w:val="005B52A2"/>
    <w:rsid w:val="005D06CB"/>
    <w:rsid w:val="005D120F"/>
    <w:rsid w:val="005E3A61"/>
    <w:rsid w:val="005F225A"/>
    <w:rsid w:val="005F7E1F"/>
    <w:rsid w:val="00602AA8"/>
    <w:rsid w:val="00610242"/>
    <w:rsid w:val="006130D2"/>
    <w:rsid w:val="00622194"/>
    <w:rsid w:val="006222E3"/>
    <w:rsid w:val="00626E51"/>
    <w:rsid w:val="00632D83"/>
    <w:rsid w:val="00644486"/>
    <w:rsid w:val="00650F67"/>
    <w:rsid w:val="006562EA"/>
    <w:rsid w:val="00657568"/>
    <w:rsid w:val="0065790D"/>
    <w:rsid w:val="006636FB"/>
    <w:rsid w:val="00664770"/>
    <w:rsid w:val="0067079B"/>
    <w:rsid w:val="00673C3A"/>
    <w:rsid w:val="00674B5D"/>
    <w:rsid w:val="006830B2"/>
    <w:rsid w:val="00684E8D"/>
    <w:rsid w:val="00686DE8"/>
    <w:rsid w:val="006A01DC"/>
    <w:rsid w:val="006A51F3"/>
    <w:rsid w:val="006A6B42"/>
    <w:rsid w:val="006B0D15"/>
    <w:rsid w:val="006B41CE"/>
    <w:rsid w:val="006B6E10"/>
    <w:rsid w:val="006C1458"/>
    <w:rsid w:val="006C2577"/>
    <w:rsid w:val="006C3E00"/>
    <w:rsid w:val="006D76A8"/>
    <w:rsid w:val="006E6B6B"/>
    <w:rsid w:val="006E7115"/>
    <w:rsid w:val="006F2A0A"/>
    <w:rsid w:val="006F3EBB"/>
    <w:rsid w:val="006F530B"/>
    <w:rsid w:val="00702346"/>
    <w:rsid w:val="00704786"/>
    <w:rsid w:val="007073A5"/>
    <w:rsid w:val="00710401"/>
    <w:rsid w:val="007120C3"/>
    <w:rsid w:val="007163FE"/>
    <w:rsid w:val="00730422"/>
    <w:rsid w:val="0073206A"/>
    <w:rsid w:val="00742308"/>
    <w:rsid w:val="00745C3A"/>
    <w:rsid w:val="007461D3"/>
    <w:rsid w:val="0075083F"/>
    <w:rsid w:val="00751909"/>
    <w:rsid w:val="007566FA"/>
    <w:rsid w:val="00756926"/>
    <w:rsid w:val="00772666"/>
    <w:rsid w:val="00773D1A"/>
    <w:rsid w:val="00774CC4"/>
    <w:rsid w:val="0077522B"/>
    <w:rsid w:val="00776DE7"/>
    <w:rsid w:val="007877E0"/>
    <w:rsid w:val="00787D2A"/>
    <w:rsid w:val="0079124B"/>
    <w:rsid w:val="00792D1D"/>
    <w:rsid w:val="0079796F"/>
    <w:rsid w:val="007A483E"/>
    <w:rsid w:val="007B1A34"/>
    <w:rsid w:val="007B6CD9"/>
    <w:rsid w:val="007C5434"/>
    <w:rsid w:val="007D061A"/>
    <w:rsid w:val="007E1B52"/>
    <w:rsid w:val="007E1EF4"/>
    <w:rsid w:val="007E327D"/>
    <w:rsid w:val="007E50EC"/>
    <w:rsid w:val="007E679B"/>
    <w:rsid w:val="007F1222"/>
    <w:rsid w:val="007F1C44"/>
    <w:rsid w:val="00820C9B"/>
    <w:rsid w:val="00821651"/>
    <w:rsid w:val="0082238C"/>
    <w:rsid w:val="00826D9D"/>
    <w:rsid w:val="00827CD4"/>
    <w:rsid w:val="008334FA"/>
    <w:rsid w:val="00837051"/>
    <w:rsid w:val="00841D4D"/>
    <w:rsid w:val="00842371"/>
    <w:rsid w:val="00843E32"/>
    <w:rsid w:val="00844F40"/>
    <w:rsid w:val="00845A03"/>
    <w:rsid w:val="00853307"/>
    <w:rsid w:val="0085553A"/>
    <w:rsid w:val="00862015"/>
    <w:rsid w:val="008813E0"/>
    <w:rsid w:val="00897E2E"/>
    <w:rsid w:val="008A153A"/>
    <w:rsid w:val="008A2115"/>
    <w:rsid w:val="008A5A07"/>
    <w:rsid w:val="008B134B"/>
    <w:rsid w:val="008B399C"/>
    <w:rsid w:val="008B667E"/>
    <w:rsid w:val="008B704F"/>
    <w:rsid w:val="008B7B2B"/>
    <w:rsid w:val="008C6360"/>
    <w:rsid w:val="008C7275"/>
    <w:rsid w:val="008D374B"/>
    <w:rsid w:val="008E2507"/>
    <w:rsid w:val="008E6E3C"/>
    <w:rsid w:val="008F599E"/>
    <w:rsid w:val="00905EBC"/>
    <w:rsid w:val="00907314"/>
    <w:rsid w:val="00921B37"/>
    <w:rsid w:val="00922504"/>
    <w:rsid w:val="00936AD9"/>
    <w:rsid w:val="00937578"/>
    <w:rsid w:val="0094272C"/>
    <w:rsid w:val="00942E45"/>
    <w:rsid w:val="00950411"/>
    <w:rsid w:val="00954834"/>
    <w:rsid w:val="00955C89"/>
    <w:rsid w:val="00981E5B"/>
    <w:rsid w:val="009839E7"/>
    <w:rsid w:val="00987163"/>
    <w:rsid w:val="00990040"/>
    <w:rsid w:val="00990BD7"/>
    <w:rsid w:val="00990E35"/>
    <w:rsid w:val="00995893"/>
    <w:rsid w:val="00995D66"/>
    <w:rsid w:val="009963A7"/>
    <w:rsid w:val="009A3E13"/>
    <w:rsid w:val="009B5888"/>
    <w:rsid w:val="009B62AC"/>
    <w:rsid w:val="009B79B6"/>
    <w:rsid w:val="009C03CF"/>
    <w:rsid w:val="009C1C6C"/>
    <w:rsid w:val="009C2A9C"/>
    <w:rsid w:val="009E1D02"/>
    <w:rsid w:val="009E69BD"/>
    <w:rsid w:val="009F2FCE"/>
    <w:rsid w:val="009F5EA7"/>
    <w:rsid w:val="009F5F78"/>
    <w:rsid w:val="00A00A34"/>
    <w:rsid w:val="00A0113B"/>
    <w:rsid w:val="00A02000"/>
    <w:rsid w:val="00A03C54"/>
    <w:rsid w:val="00A04A90"/>
    <w:rsid w:val="00A04E46"/>
    <w:rsid w:val="00A10437"/>
    <w:rsid w:val="00A12E69"/>
    <w:rsid w:val="00A20172"/>
    <w:rsid w:val="00A34B90"/>
    <w:rsid w:val="00A4119F"/>
    <w:rsid w:val="00A47569"/>
    <w:rsid w:val="00A53EB3"/>
    <w:rsid w:val="00A55D3D"/>
    <w:rsid w:val="00A6046A"/>
    <w:rsid w:val="00A6057E"/>
    <w:rsid w:val="00A608EF"/>
    <w:rsid w:val="00A7326F"/>
    <w:rsid w:val="00A74A06"/>
    <w:rsid w:val="00A74F9E"/>
    <w:rsid w:val="00A82B19"/>
    <w:rsid w:val="00A843FE"/>
    <w:rsid w:val="00A8534F"/>
    <w:rsid w:val="00A86BD4"/>
    <w:rsid w:val="00A87B8A"/>
    <w:rsid w:val="00A94D43"/>
    <w:rsid w:val="00AA02AD"/>
    <w:rsid w:val="00AA77E7"/>
    <w:rsid w:val="00AB10C4"/>
    <w:rsid w:val="00AC49E4"/>
    <w:rsid w:val="00AC5268"/>
    <w:rsid w:val="00AC78C9"/>
    <w:rsid w:val="00AC7C84"/>
    <w:rsid w:val="00AC7F4B"/>
    <w:rsid w:val="00AD5D99"/>
    <w:rsid w:val="00AD66D1"/>
    <w:rsid w:val="00AE0A5F"/>
    <w:rsid w:val="00AE0BEE"/>
    <w:rsid w:val="00AF56DC"/>
    <w:rsid w:val="00B03026"/>
    <w:rsid w:val="00B0600A"/>
    <w:rsid w:val="00B07BD9"/>
    <w:rsid w:val="00B07BFD"/>
    <w:rsid w:val="00B12A30"/>
    <w:rsid w:val="00B1618D"/>
    <w:rsid w:val="00B163BF"/>
    <w:rsid w:val="00B321DD"/>
    <w:rsid w:val="00B42937"/>
    <w:rsid w:val="00B42BA0"/>
    <w:rsid w:val="00B51FD3"/>
    <w:rsid w:val="00B550F1"/>
    <w:rsid w:val="00B5562E"/>
    <w:rsid w:val="00B5749B"/>
    <w:rsid w:val="00B65F79"/>
    <w:rsid w:val="00B7074D"/>
    <w:rsid w:val="00B71C53"/>
    <w:rsid w:val="00B71C6A"/>
    <w:rsid w:val="00B72341"/>
    <w:rsid w:val="00B74532"/>
    <w:rsid w:val="00B76D2C"/>
    <w:rsid w:val="00B80FF7"/>
    <w:rsid w:val="00B90B66"/>
    <w:rsid w:val="00B92D7E"/>
    <w:rsid w:val="00B970AD"/>
    <w:rsid w:val="00BA0202"/>
    <w:rsid w:val="00BB7DF6"/>
    <w:rsid w:val="00BD435D"/>
    <w:rsid w:val="00BD7374"/>
    <w:rsid w:val="00BE1471"/>
    <w:rsid w:val="00BE2578"/>
    <w:rsid w:val="00BF2098"/>
    <w:rsid w:val="00BF5DE3"/>
    <w:rsid w:val="00C02107"/>
    <w:rsid w:val="00C113A7"/>
    <w:rsid w:val="00C140B6"/>
    <w:rsid w:val="00C229B3"/>
    <w:rsid w:val="00C24EE2"/>
    <w:rsid w:val="00C266A6"/>
    <w:rsid w:val="00C334CB"/>
    <w:rsid w:val="00C575D4"/>
    <w:rsid w:val="00C57D26"/>
    <w:rsid w:val="00C656A4"/>
    <w:rsid w:val="00C7217F"/>
    <w:rsid w:val="00C85FDD"/>
    <w:rsid w:val="00C97057"/>
    <w:rsid w:val="00CA3B9C"/>
    <w:rsid w:val="00CA5E4C"/>
    <w:rsid w:val="00CA5F7B"/>
    <w:rsid w:val="00CB2C65"/>
    <w:rsid w:val="00CB435D"/>
    <w:rsid w:val="00CC1FDD"/>
    <w:rsid w:val="00CC4FF5"/>
    <w:rsid w:val="00CC7A57"/>
    <w:rsid w:val="00CD50A8"/>
    <w:rsid w:val="00CD626F"/>
    <w:rsid w:val="00CE08C9"/>
    <w:rsid w:val="00CE1608"/>
    <w:rsid w:val="00CF0A3F"/>
    <w:rsid w:val="00D02E01"/>
    <w:rsid w:val="00D03682"/>
    <w:rsid w:val="00D075A0"/>
    <w:rsid w:val="00D148CA"/>
    <w:rsid w:val="00D2524D"/>
    <w:rsid w:val="00D255AA"/>
    <w:rsid w:val="00D378EC"/>
    <w:rsid w:val="00D44235"/>
    <w:rsid w:val="00D468C8"/>
    <w:rsid w:val="00D50983"/>
    <w:rsid w:val="00D62BC9"/>
    <w:rsid w:val="00D656B4"/>
    <w:rsid w:val="00D6638B"/>
    <w:rsid w:val="00D74C81"/>
    <w:rsid w:val="00D77647"/>
    <w:rsid w:val="00D81ACD"/>
    <w:rsid w:val="00D85599"/>
    <w:rsid w:val="00D86425"/>
    <w:rsid w:val="00DA046F"/>
    <w:rsid w:val="00DA2283"/>
    <w:rsid w:val="00DA6B3F"/>
    <w:rsid w:val="00DB3FEE"/>
    <w:rsid w:val="00DC0CAC"/>
    <w:rsid w:val="00DC60FE"/>
    <w:rsid w:val="00DC6282"/>
    <w:rsid w:val="00DD2A1C"/>
    <w:rsid w:val="00DD7905"/>
    <w:rsid w:val="00DE1F20"/>
    <w:rsid w:val="00DE2317"/>
    <w:rsid w:val="00DE652B"/>
    <w:rsid w:val="00DE6F85"/>
    <w:rsid w:val="00DF2929"/>
    <w:rsid w:val="00DF6507"/>
    <w:rsid w:val="00DF6DFE"/>
    <w:rsid w:val="00E0127B"/>
    <w:rsid w:val="00E01A6B"/>
    <w:rsid w:val="00E0776A"/>
    <w:rsid w:val="00E14E9B"/>
    <w:rsid w:val="00E16F60"/>
    <w:rsid w:val="00E207F0"/>
    <w:rsid w:val="00E218B7"/>
    <w:rsid w:val="00E2345D"/>
    <w:rsid w:val="00E254AD"/>
    <w:rsid w:val="00E33BCD"/>
    <w:rsid w:val="00E43478"/>
    <w:rsid w:val="00E53A18"/>
    <w:rsid w:val="00E54B48"/>
    <w:rsid w:val="00E569CB"/>
    <w:rsid w:val="00E6242E"/>
    <w:rsid w:val="00E63749"/>
    <w:rsid w:val="00E63EE8"/>
    <w:rsid w:val="00E654BF"/>
    <w:rsid w:val="00E707AE"/>
    <w:rsid w:val="00E81ADE"/>
    <w:rsid w:val="00E81FC2"/>
    <w:rsid w:val="00E84272"/>
    <w:rsid w:val="00E84423"/>
    <w:rsid w:val="00E85C6B"/>
    <w:rsid w:val="00E85CDD"/>
    <w:rsid w:val="00E954D2"/>
    <w:rsid w:val="00E9721B"/>
    <w:rsid w:val="00EA4ACA"/>
    <w:rsid w:val="00EA5A29"/>
    <w:rsid w:val="00EA5D37"/>
    <w:rsid w:val="00EB5E2E"/>
    <w:rsid w:val="00EC2E21"/>
    <w:rsid w:val="00EC3389"/>
    <w:rsid w:val="00EC6E10"/>
    <w:rsid w:val="00ED4B4F"/>
    <w:rsid w:val="00EE19BE"/>
    <w:rsid w:val="00EE2EDB"/>
    <w:rsid w:val="00EF1951"/>
    <w:rsid w:val="00EF3AD1"/>
    <w:rsid w:val="00EF41E5"/>
    <w:rsid w:val="00EF4814"/>
    <w:rsid w:val="00F0329C"/>
    <w:rsid w:val="00F049BD"/>
    <w:rsid w:val="00F167C8"/>
    <w:rsid w:val="00F27285"/>
    <w:rsid w:val="00F32B6E"/>
    <w:rsid w:val="00F3586F"/>
    <w:rsid w:val="00F4240C"/>
    <w:rsid w:val="00F440FC"/>
    <w:rsid w:val="00F45032"/>
    <w:rsid w:val="00F53CF9"/>
    <w:rsid w:val="00F543D4"/>
    <w:rsid w:val="00F61AA0"/>
    <w:rsid w:val="00F748A8"/>
    <w:rsid w:val="00F8381C"/>
    <w:rsid w:val="00F875C2"/>
    <w:rsid w:val="00F92EF7"/>
    <w:rsid w:val="00F97622"/>
    <w:rsid w:val="00F97EBC"/>
    <w:rsid w:val="00FA49D0"/>
    <w:rsid w:val="00FA7485"/>
    <w:rsid w:val="00FB567C"/>
    <w:rsid w:val="00FB664F"/>
    <w:rsid w:val="00FB793C"/>
    <w:rsid w:val="00FB7DC6"/>
    <w:rsid w:val="00FC42EC"/>
    <w:rsid w:val="00FC46C0"/>
    <w:rsid w:val="00FC4822"/>
    <w:rsid w:val="00FC7737"/>
    <w:rsid w:val="00FD28BB"/>
    <w:rsid w:val="00FD6E5A"/>
    <w:rsid w:val="00FD7D9C"/>
    <w:rsid w:val="00FE278C"/>
    <w:rsid w:val="00FE7F6A"/>
    <w:rsid w:val="00FF2FC6"/>
    <w:rsid w:val="00FF573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431634"/>
  <w15:docId w15:val="{2EA66708-CF53-D24C-A01B-C3FC3D5F8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2341"/>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839E7"/>
    <w:pPr>
      <w:spacing w:line="240" w:lineRule="auto"/>
    </w:pPr>
    <w:rPr>
      <w:szCs w:val="24"/>
    </w:rPr>
  </w:style>
  <w:style w:type="character" w:customStyle="1" w:styleId="FootnoteTextChar">
    <w:name w:val="Footnote Text Char"/>
    <w:basedOn w:val="DefaultParagraphFont"/>
    <w:link w:val="FootnoteText"/>
    <w:uiPriority w:val="99"/>
    <w:rsid w:val="009839E7"/>
    <w:rPr>
      <w:sz w:val="24"/>
      <w:szCs w:val="24"/>
    </w:rPr>
  </w:style>
  <w:style w:type="character" w:styleId="FootnoteReference">
    <w:name w:val="footnote reference"/>
    <w:basedOn w:val="DefaultParagraphFont"/>
    <w:uiPriority w:val="99"/>
    <w:unhideWhenUsed/>
    <w:rsid w:val="009839E7"/>
    <w:rPr>
      <w:vertAlign w:val="superscript"/>
    </w:rPr>
  </w:style>
  <w:style w:type="paragraph" w:styleId="EndnoteText">
    <w:name w:val="endnote text"/>
    <w:basedOn w:val="Normal"/>
    <w:link w:val="EndnoteTextChar"/>
    <w:uiPriority w:val="99"/>
    <w:unhideWhenUsed/>
    <w:rsid w:val="006C3E00"/>
    <w:pPr>
      <w:spacing w:line="240" w:lineRule="auto"/>
    </w:pPr>
    <w:rPr>
      <w:szCs w:val="24"/>
    </w:rPr>
  </w:style>
  <w:style w:type="character" w:customStyle="1" w:styleId="EndnoteTextChar">
    <w:name w:val="Endnote Text Char"/>
    <w:basedOn w:val="DefaultParagraphFont"/>
    <w:link w:val="EndnoteText"/>
    <w:uiPriority w:val="99"/>
    <w:rsid w:val="006C3E00"/>
    <w:rPr>
      <w:sz w:val="24"/>
      <w:szCs w:val="24"/>
    </w:rPr>
  </w:style>
  <w:style w:type="character" w:styleId="EndnoteReference">
    <w:name w:val="endnote reference"/>
    <w:basedOn w:val="DefaultParagraphFont"/>
    <w:uiPriority w:val="99"/>
    <w:unhideWhenUsed/>
    <w:rsid w:val="006C3E00"/>
    <w:rPr>
      <w:vertAlign w:val="superscript"/>
    </w:rPr>
  </w:style>
  <w:style w:type="character" w:styleId="CommentReference">
    <w:name w:val="annotation reference"/>
    <w:basedOn w:val="DefaultParagraphFont"/>
    <w:uiPriority w:val="99"/>
    <w:semiHidden/>
    <w:unhideWhenUsed/>
    <w:rsid w:val="00A94D43"/>
    <w:rPr>
      <w:sz w:val="16"/>
      <w:szCs w:val="16"/>
    </w:rPr>
  </w:style>
  <w:style w:type="paragraph" w:styleId="CommentText">
    <w:name w:val="annotation text"/>
    <w:basedOn w:val="Normal"/>
    <w:link w:val="CommentTextChar"/>
    <w:uiPriority w:val="99"/>
    <w:unhideWhenUsed/>
    <w:rsid w:val="00A94D43"/>
    <w:pPr>
      <w:spacing w:line="240" w:lineRule="auto"/>
    </w:pPr>
    <w:rPr>
      <w:sz w:val="20"/>
      <w:szCs w:val="20"/>
    </w:rPr>
  </w:style>
  <w:style w:type="character" w:customStyle="1" w:styleId="CommentTextChar">
    <w:name w:val="Comment Text Char"/>
    <w:basedOn w:val="DefaultParagraphFont"/>
    <w:link w:val="CommentText"/>
    <w:uiPriority w:val="99"/>
    <w:rsid w:val="00A94D43"/>
    <w:rPr>
      <w:sz w:val="20"/>
      <w:szCs w:val="20"/>
    </w:rPr>
  </w:style>
  <w:style w:type="paragraph" w:styleId="CommentSubject">
    <w:name w:val="annotation subject"/>
    <w:basedOn w:val="CommentText"/>
    <w:next w:val="CommentText"/>
    <w:link w:val="CommentSubjectChar"/>
    <w:uiPriority w:val="99"/>
    <w:semiHidden/>
    <w:unhideWhenUsed/>
    <w:rsid w:val="00A94D43"/>
    <w:rPr>
      <w:b/>
      <w:bCs/>
    </w:rPr>
  </w:style>
  <w:style w:type="character" w:customStyle="1" w:styleId="CommentSubjectChar">
    <w:name w:val="Comment Subject Char"/>
    <w:basedOn w:val="CommentTextChar"/>
    <w:link w:val="CommentSubject"/>
    <w:uiPriority w:val="99"/>
    <w:semiHidden/>
    <w:rsid w:val="00A94D43"/>
    <w:rPr>
      <w:b/>
      <w:bCs/>
      <w:sz w:val="20"/>
      <w:szCs w:val="20"/>
    </w:rPr>
  </w:style>
  <w:style w:type="paragraph" w:styleId="BalloonText">
    <w:name w:val="Balloon Text"/>
    <w:basedOn w:val="Normal"/>
    <w:link w:val="BalloonTextChar"/>
    <w:uiPriority w:val="99"/>
    <w:semiHidden/>
    <w:unhideWhenUsed/>
    <w:rsid w:val="00A94D43"/>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A94D43"/>
    <w:rPr>
      <w:rFonts w:ascii="Times New Roman" w:hAnsi="Times New Roman" w:cs="Times New Roman"/>
      <w:sz w:val="18"/>
      <w:szCs w:val="18"/>
    </w:rPr>
  </w:style>
  <w:style w:type="paragraph" w:styleId="Revision">
    <w:name w:val="Revision"/>
    <w:hidden/>
    <w:uiPriority w:val="99"/>
    <w:semiHidden/>
    <w:rsid w:val="00E01A6B"/>
    <w:pPr>
      <w:spacing w:after="0" w:line="240" w:lineRule="auto"/>
    </w:pPr>
  </w:style>
  <w:style w:type="paragraph" w:styleId="Footer">
    <w:name w:val="footer"/>
    <w:basedOn w:val="Normal"/>
    <w:link w:val="FooterChar"/>
    <w:uiPriority w:val="99"/>
    <w:unhideWhenUsed/>
    <w:rsid w:val="00827CD4"/>
    <w:pPr>
      <w:tabs>
        <w:tab w:val="center" w:pos="4680"/>
        <w:tab w:val="right" w:pos="9360"/>
      </w:tabs>
      <w:spacing w:line="240" w:lineRule="auto"/>
    </w:pPr>
  </w:style>
  <w:style w:type="character" w:customStyle="1" w:styleId="FooterChar">
    <w:name w:val="Footer Char"/>
    <w:basedOn w:val="DefaultParagraphFont"/>
    <w:link w:val="Footer"/>
    <w:uiPriority w:val="99"/>
    <w:rsid w:val="00827CD4"/>
  </w:style>
  <w:style w:type="character" w:styleId="PageNumber">
    <w:name w:val="page number"/>
    <w:basedOn w:val="DefaultParagraphFont"/>
    <w:uiPriority w:val="99"/>
    <w:semiHidden/>
    <w:unhideWhenUsed/>
    <w:rsid w:val="00827CD4"/>
  </w:style>
  <w:style w:type="paragraph" w:styleId="Header">
    <w:name w:val="header"/>
    <w:basedOn w:val="Normal"/>
    <w:link w:val="HeaderChar"/>
    <w:uiPriority w:val="99"/>
    <w:unhideWhenUsed/>
    <w:rsid w:val="002E3A88"/>
    <w:pPr>
      <w:tabs>
        <w:tab w:val="center" w:pos="4680"/>
        <w:tab w:val="right" w:pos="9360"/>
      </w:tabs>
      <w:spacing w:line="240" w:lineRule="auto"/>
    </w:pPr>
  </w:style>
  <w:style w:type="character" w:customStyle="1" w:styleId="HeaderChar">
    <w:name w:val="Header Char"/>
    <w:basedOn w:val="DefaultParagraphFont"/>
    <w:link w:val="Header"/>
    <w:uiPriority w:val="99"/>
    <w:rsid w:val="002E3A88"/>
    <w:rPr>
      <w:rFonts w:ascii="Times New Roman" w:hAnsi="Times New Roman"/>
      <w:sz w:val="24"/>
    </w:rPr>
  </w:style>
  <w:style w:type="character" w:styleId="Hyperlink">
    <w:name w:val="Hyperlink"/>
    <w:basedOn w:val="DefaultParagraphFont"/>
    <w:uiPriority w:val="99"/>
    <w:unhideWhenUsed/>
    <w:rsid w:val="00065BB6"/>
    <w:rPr>
      <w:color w:val="0000FF" w:themeColor="hyperlink"/>
      <w:u w:val="single"/>
    </w:rPr>
  </w:style>
  <w:style w:type="character" w:styleId="UnresolvedMention">
    <w:name w:val="Unresolved Mention"/>
    <w:basedOn w:val="DefaultParagraphFont"/>
    <w:uiPriority w:val="99"/>
    <w:semiHidden/>
    <w:unhideWhenUsed/>
    <w:rsid w:val="00065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412152">
      <w:bodyDiv w:val="1"/>
      <w:marLeft w:val="0"/>
      <w:marRight w:val="0"/>
      <w:marTop w:val="0"/>
      <w:marBottom w:val="0"/>
      <w:divBdr>
        <w:top w:val="none" w:sz="0" w:space="0" w:color="auto"/>
        <w:left w:val="none" w:sz="0" w:space="0" w:color="auto"/>
        <w:bottom w:val="none" w:sz="0" w:space="0" w:color="auto"/>
        <w:right w:val="none" w:sz="0" w:space="0" w:color="auto"/>
      </w:divBdr>
    </w:div>
    <w:div w:id="521671160">
      <w:bodyDiv w:val="1"/>
      <w:marLeft w:val="0"/>
      <w:marRight w:val="0"/>
      <w:marTop w:val="0"/>
      <w:marBottom w:val="0"/>
      <w:divBdr>
        <w:top w:val="none" w:sz="0" w:space="0" w:color="auto"/>
        <w:left w:val="none" w:sz="0" w:space="0" w:color="auto"/>
        <w:bottom w:val="none" w:sz="0" w:space="0" w:color="auto"/>
        <w:right w:val="none" w:sz="0" w:space="0" w:color="auto"/>
      </w:divBdr>
    </w:div>
    <w:div w:id="880090366">
      <w:bodyDiv w:val="1"/>
      <w:marLeft w:val="0"/>
      <w:marRight w:val="0"/>
      <w:marTop w:val="0"/>
      <w:marBottom w:val="0"/>
      <w:divBdr>
        <w:top w:val="none" w:sz="0" w:space="0" w:color="auto"/>
        <w:left w:val="none" w:sz="0" w:space="0" w:color="auto"/>
        <w:bottom w:val="none" w:sz="0" w:space="0" w:color="auto"/>
        <w:right w:val="none" w:sz="0" w:space="0" w:color="auto"/>
      </w:divBdr>
    </w:div>
    <w:div w:id="963658591">
      <w:bodyDiv w:val="1"/>
      <w:marLeft w:val="0"/>
      <w:marRight w:val="0"/>
      <w:marTop w:val="0"/>
      <w:marBottom w:val="0"/>
      <w:divBdr>
        <w:top w:val="none" w:sz="0" w:space="0" w:color="auto"/>
        <w:left w:val="none" w:sz="0" w:space="0" w:color="auto"/>
        <w:bottom w:val="none" w:sz="0" w:space="0" w:color="auto"/>
        <w:right w:val="none" w:sz="0" w:space="0" w:color="auto"/>
      </w:divBdr>
    </w:div>
    <w:div w:id="1043822900">
      <w:bodyDiv w:val="1"/>
      <w:marLeft w:val="0"/>
      <w:marRight w:val="0"/>
      <w:marTop w:val="0"/>
      <w:marBottom w:val="0"/>
      <w:divBdr>
        <w:top w:val="none" w:sz="0" w:space="0" w:color="auto"/>
        <w:left w:val="none" w:sz="0" w:space="0" w:color="auto"/>
        <w:bottom w:val="none" w:sz="0" w:space="0" w:color="auto"/>
        <w:right w:val="none" w:sz="0" w:space="0" w:color="auto"/>
      </w:divBdr>
    </w:div>
    <w:div w:id="1055086126">
      <w:bodyDiv w:val="1"/>
      <w:marLeft w:val="0"/>
      <w:marRight w:val="0"/>
      <w:marTop w:val="0"/>
      <w:marBottom w:val="0"/>
      <w:divBdr>
        <w:top w:val="none" w:sz="0" w:space="0" w:color="auto"/>
        <w:left w:val="none" w:sz="0" w:space="0" w:color="auto"/>
        <w:bottom w:val="none" w:sz="0" w:space="0" w:color="auto"/>
        <w:right w:val="none" w:sz="0" w:space="0" w:color="auto"/>
      </w:divBdr>
    </w:div>
    <w:div w:id="1608810196">
      <w:bodyDiv w:val="1"/>
      <w:marLeft w:val="0"/>
      <w:marRight w:val="0"/>
      <w:marTop w:val="0"/>
      <w:marBottom w:val="0"/>
      <w:divBdr>
        <w:top w:val="none" w:sz="0" w:space="0" w:color="auto"/>
        <w:left w:val="none" w:sz="0" w:space="0" w:color="auto"/>
        <w:bottom w:val="none" w:sz="0" w:space="0" w:color="auto"/>
        <w:right w:val="none" w:sz="0" w:space="0" w:color="auto"/>
      </w:divBdr>
    </w:div>
    <w:div w:id="1731808658">
      <w:bodyDiv w:val="1"/>
      <w:marLeft w:val="0"/>
      <w:marRight w:val="0"/>
      <w:marTop w:val="0"/>
      <w:marBottom w:val="0"/>
      <w:divBdr>
        <w:top w:val="none" w:sz="0" w:space="0" w:color="auto"/>
        <w:left w:val="none" w:sz="0" w:space="0" w:color="auto"/>
        <w:bottom w:val="none" w:sz="0" w:space="0" w:color="auto"/>
        <w:right w:val="none" w:sz="0" w:space="0" w:color="auto"/>
      </w:divBdr>
    </w:div>
    <w:div w:id="212233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endnotes.xml.rels><?xml version="1.0" encoding="UTF-8" standalone="yes"?>
<Relationships xmlns="http://schemas.openxmlformats.org/package/2006/relationships"><Relationship Id="rId1" Type="http://schemas.openxmlformats.org/officeDocument/2006/relationships/hyperlink" Target="https://collections.louvre.fr/ark:/53355/cl0100288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21A99-978C-A142-8A8C-A472AB427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3420</Words>
  <Characters>19495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Universiteit Leiden</Company>
  <LinksUpToDate>false</LinksUpToDate>
  <CharactersWithSpaces>22870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Kaper, O.E.</dc:creator>
  <cp:lastModifiedBy>Laura diZerega</cp:lastModifiedBy>
  <cp:revision>2</cp:revision>
  <cp:lastPrinted>2021-04-16T10:36:00Z</cp:lastPrinted>
  <dcterms:created xsi:type="dcterms:W3CDTF">2021-09-28T18:19:00Z</dcterms:created>
  <dcterms:modified xsi:type="dcterms:W3CDTF">2021-09-28T18:19:00Z</dcterms:modified>
</cp:coreProperties>
</file>