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727D" w14:textId="620FD271" w:rsidR="00966B64" w:rsidRDefault="00966B64"/>
    <w:p w14:paraId="14091943" w14:textId="16868CD7" w:rsidR="00966B64" w:rsidRDefault="00B110EE">
      <w:r>
        <w:t xml:space="preserve">Appendix: </w:t>
      </w:r>
      <w:r w:rsidR="00966B64">
        <w:t>Table 2</w:t>
      </w:r>
    </w:p>
    <w:p w14:paraId="11CA62DC" w14:textId="6C0D78BE" w:rsidR="00966B64" w:rsidRDefault="00966B64">
      <w:r>
        <w:t>XRF results for gilded surfaces</w:t>
      </w:r>
      <w:r w:rsidR="00DA18CD">
        <w:t>,</w:t>
      </w:r>
      <w:r>
        <w:t xml:space="preserve"> showing the amount of mercury remaining in the gold</w:t>
      </w:r>
    </w:p>
    <w:p w14:paraId="6D63DE98" w14:textId="2B5F5B4A" w:rsidR="00966B64" w:rsidRDefault="00966B64"/>
    <w:p w14:paraId="043DF948" w14:textId="77777777" w:rsidR="00966B64" w:rsidRDefault="00966B64"/>
    <w:tbl>
      <w:tblPr>
        <w:tblW w:w="8974" w:type="dxa"/>
        <w:tblLook w:val="04A0" w:firstRow="1" w:lastRow="0" w:firstColumn="1" w:lastColumn="0" w:noHBand="0" w:noVBand="1"/>
      </w:tblPr>
      <w:tblGrid>
        <w:gridCol w:w="3703"/>
        <w:gridCol w:w="1757"/>
        <w:gridCol w:w="1757"/>
        <w:gridCol w:w="1757"/>
      </w:tblGrid>
      <w:tr w:rsidR="00966B64" w:rsidRPr="00D56DEE" w14:paraId="4B3CD992" w14:textId="77777777" w:rsidTr="00DA18CD">
        <w:trPr>
          <w:trHeight w:val="362"/>
        </w:trPr>
        <w:tc>
          <w:tcPr>
            <w:tcW w:w="370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65BA5" w14:textId="0438439F" w:rsidR="00966B64" w:rsidRPr="00D56DEE" w:rsidRDefault="00966B64" w:rsidP="00D56D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56D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75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6B00B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b/>
                <w:bCs/>
                <w:color w:val="000000"/>
                <w:sz w:val="16"/>
                <w:szCs w:val="16"/>
              </w:rPr>
            </w:pPr>
            <w:r w:rsidRPr="00D56DEE">
              <w:rPr>
                <w:rFonts w:ascii="Avenir" w:eastAsia="Times New Roman" w:hAnsi="Avenir" w:cs="Calibri"/>
                <w:b/>
                <w:bCs/>
                <w:color w:val="000000"/>
                <w:sz w:val="16"/>
                <w:szCs w:val="16"/>
              </w:rPr>
              <w:t>Au-L</w:t>
            </w:r>
          </w:p>
        </w:tc>
        <w:tc>
          <w:tcPr>
            <w:tcW w:w="175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C8471" w14:textId="77777777" w:rsidR="00966B64" w:rsidRPr="00D56DEE" w:rsidRDefault="00966B64" w:rsidP="00381864">
            <w:pPr>
              <w:jc w:val="center"/>
              <w:rPr>
                <w:rFonts w:ascii="Avenir" w:eastAsia="Times New Roman" w:hAnsi="Avenir" w:cs="Calibri"/>
                <w:b/>
                <w:bCs/>
                <w:color w:val="000000"/>
                <w:sz w:val="16"/>
                <w:szCs w:val="16"/>
              </w:rPr>
            </w:pPr>
            <w:r w:rsidRPr="00D56DEE">
              <w:rPr>
                <w:rFonts w:ascii="Avenir" w:eastAsia="Times New Roman" w:hAnsi="Avenir" w:cs="Calibri"/>
                <w:b/>
                <w:bCs/>
                <w:color w:val="000000"/>
                <w:sz w:val="16"/>
                <w:szCs w:val="16"/>
              </w:rPr>
              <w:t>Hg-L</w:t>
            </w:r>
          </w:p>
        </w:tc>
        <w:tc>
          <w:tcPr>
            <w:tcW w:w="175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1B300" w14:textId="497A23DA" w:rsidR="00966B64" w:rsidRPr="00D56DEE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/>
                <w:sz w:val="16"/>
                <w:szCs w:val="16"/>
              </w:rPr>
            </w:pPr>
            <w:r w:rsidRPr="00966B64">
              <w:rPr>
                <w:rFonts w:ascii="Avenir" w:eastAsia="Times New Roman" w:hAnsi="Avenir" w:cs="Calibri"/>
                <w:color w:val="000000" w:themeColor="text1"/>
                <w:sz w:val="16"/>
                <w:szCs w:val="16"/>
              </w:rPr>
              <w:t>Estimated wt.% Hg in Au</w:t>
            </w:r>
          </w:p>
        </w:tc>
      </w:tr>
      <w:tr w:rsidR="00966B64" w:rsidRPr="00D56DEE" w14:paraId="7C49F542" w14:textId="77777777" w:rsidTr="00DA18CD">
        <w:trPr>
          <w:trHeight w:val="362"/>
        </w:trPr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AB14B" w14:textId="1C8EBC6C" w:rsidR="00966B64" w:rsidRPr="00D56DEE" w:rsidRDefault="00966B64" w:rsidP="00D56DEE">
            <w:pP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71.D</w:t>
            </w:r>
            <w:r w:rsidR="00AC7BE3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G</w:t>
            </w: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.</w:t>
            </w:r>
            <w:proofErr w:type="gramStart"/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77.a</w:t>
            </w:r>
            <w:proofErr w:type="gramEnd"/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Lid</w:t>
            </w:r>
            <w:r w:rsidR="00DA18CD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,</w:t>
            </w:r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exterior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03423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CC46F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8A620" w14:textId="77777777" w:rsidR="00966B64" w:rsidRPr="00D56DEE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1.2</w:t>
            </w:r>
          </w:p>
        </w:tc>
      </w:tr>
      <w:tr w:rsidR="00966B64" w:rsidRPr="00D56DEE" w14:paraId="4CE33150" w14:textId="77777777" w:rsidTr="00DA18CD">
        <w:trPr>
          <w:trHeight w:val="342"/>
        </w:trPr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67DD5" w14:textId="57500D55" w:rsidR="00966B64" w:rsidRPr="00D56DEE" w:rsidRDefault="00966B64" w:rsidP="00D56DEE">
            <w:pP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71.D</w:t>
            </w:r>
            <w:r w:rsidR="00AC7BE3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G</w:t>
            </w: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.</w:t>
            </w:r>
            <w:proofErr w:type="gramStart"/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77.a</w:t>
            </w:r>
            <w:proofErr w:type="gramEnd"/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Lid</w:t>
            </w:r>
            <w:r w:rsidR="00DA18CD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,</w:t>
            </w:r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interior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63989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9F87D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EA455" w14:textId="77777777" w:rsidR="00966B64" w:rsidRPr="00D56DEE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6.4</w:t>
            </w:r>
          </w:p>
        </w:tc>
      </w:tr>
      <w:tr w:rsidR="00966B64" w:rsidRPr="00D56DEE" w14:paraId="6171C1CE" w14:textId="77777777" w:rsidTr="00DA18CD">
        <w:trPr>
          <w:trHeight w:val="342"/>
        </w:trPr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755B8" w14:textId="40AD7A9C" w:rsidR="00966B64" w:rsidRPr="00D56DEE" w:rsidRDefault="00966B64" w:rsidP="00D56DEE">
            <w:pP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71.D</w:t>
            </w:r>
            <w:r w:rsidR="00AC7BE3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G</w:t>
            </w: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.</w:t>
            </w:r>
            <w:proofErr w:type="gramStart"/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77.b</w:t>
            </w:r>
            <w:proofErr w:type="gramEnd"/>
            <w:r w:rsidR="00E05525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Bowl</w:t>
            </w:r>
            <w:r w:rsidR="00DA18CD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,</w:t>
            </w:r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interior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0630A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3F64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0A11F" w14:textId="77777777" w:rsidR="00966B64" w:rsidRPr="00D56DEE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5.6</w:t>
            </w:r>
          </w:p>
        </w:tc>
      </w:tr>
      <w:tr w:rsidR="00966B64" w:rsidRPr="00D56DEE" w14:paraId="52647ECA" w14:textId="77777777" w:rsidTr="00DA18CD">
        <w:trPr>
          <w:trHeight w:val="342"/>
        </w:trPr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AF75A" w14:textId="53C2E587" w:rsidR="00966B64" w:rsidRPr="00D56DEE" w:rsidRDefault="00966B64" w:rsidP="00D56DEE">
            <w:pP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71.D</w:t>
            </w:r>
            <w:r w:rsidR="00AC7BE3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G</w:t>
            </w: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.</w:t>
            </w:r>
            <w:proofErr w:type="gramStart"/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77.b</w:t>
            </w:r>
            <w:proofErr w:type="gramEnd"/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Bowl</w:t>
            </w:r>
            <w:r w:rsidR="00DA18CD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,</w:t>
            </w:r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exterior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032A7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40D5B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129FC" w14:textId="77777777" w:rsidR="00966B64" w:rsidRPr="00D56DEE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1.5</w:t>
            </w:r>
          </w:p>
        </w:tc>
      </w:tr>
      <w:tr w:rsidR="00966B64" w:rsidRPr="00D56DEE" w14:paraId="726B7CB3" w14:textId="77777777" w:rsidTr="00DA18CD">
        <w:trPr>
          <w:trHeight w:val="342"/>
        </w:trPr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B28DA" w14:textId="1717B79A" w:rsidR="00966B64" w:rsidRPr="00D56DEE" w:rsidRDefault="00966B64" w:rsidP="00D56DEE">
            <w:pP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</w:pPr>
            <w:r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71.D</w:t>
            </w:r>
            <w:r w:rsidR="00AC7BE3"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G</w:t>
            </w:r>
            <w:r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.</w:t>
            </w:r>
            <w:proofErr w:type="gramStart"/>
            <w:r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77.b</w:t>
            </w:r>
            <w:proofErr w:type="gramEnd"/>
            <w:r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 xml:space="preserve"> Handle</w:t>
            </w:r>
            <w:r w:rsidR="00DA18CD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,</w:t>
            </w:r>
            <w:r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 xml:space="preserve"> </w:t>
            </w:r>
            <w:r w:rsidR="00E05525"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 xml:space="preserve">proper right </w:t>
            </w:r>
            <w:r w:rsidRPr="53914586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underside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B15DF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314AE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D3D0B" w14:textId="77777777" w:rsidR="00966B64" w:rsidRPr="00D56DEE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2.5</w:t>
            </w:r>
          </w:p>
        </w:tc>
      </w:tr>
      <w:tr w:rsidR="00966B64" w:rsidRPr="00D56DEE" w14:paraId="68952189" w14:textId="77777777" w:rsidTr="00DA18CD">
        <w:trPr>
          <w:trHeight w:val="342"/>
        </w:trPr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A7960" w14:textId="078CB0C6" w:rsidR="00966B64" w:rsidRPr="00D56DEE" w:rsidRDefault="00966B64" w:rsidP="00D56DEE">
            <w:pP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71.D</w:t>
            </w:r>
            <w:r w:rsidR="00AC7BE3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G</w:t>
            </w:r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.</w:t>
            </w:r>
            <w:proofErr w:type="gramStart"/>
            <w:r w:rsidRPr="00D56DEE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77.b</w:t>
            </w:r>
            <w:proofErr w:type="gramEnd"/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Handle</w:t>
            </w:r>
            <w:r w:rsidR="00DA18CD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,</w:t>
            </w:r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 </w:t>
            </w:r>
            <w:r w:rsidR="00E05525"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 xml:space="preserve">proper left </w:t>
            </w:r>
            <w:r>
              <w:rPr>
                <w:rFonts w:ascii="Avenir" w:eastAsia="Times New Roman" w:hAnsi="Avenir" w:cs="Calibri"/>
                <w:color w:val="000000"/>
                <w:sz w:val="15"/>
                <w:szCs w:val="15"/>
              </w:rPr>
              <w:t>underside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F1039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E24F7" w14:textId="77777777" w:rsidR="00966B64" w:rsidRPr="00D56DEE" w:rsidRDefault="00966B64" w:rsidP="00D56DEE">
            <w:pPr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CCB6E" w14:textId="77777777" w:rsidR="00966B64" w:rsidRPr="00D56DEE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/>
                <w:sz w:val="18"/>
                <w:szCs w:val="18"/>
              </w:rPr>
            </w:pPr>
            <w:r w:rsidRPr="00D56DEE">
              <w:rPr>
                <w:rFonts w:ascii="Avenir" w:eastAsia="Times New Roman" w:hAnsi="Avenir" w:cs="Calibri"/>
                <w:color w:val="000000"/>
                <w:sz w:val="18"/>
                <w:szCs w:val="18"/>
              </w:rPr>
              <w:t>2.5</w:t>
            </w:r>
          </w:p>
        </w:tc>
      </w:tr>
      <w:tr w:rsidR="00966B64" w:rsidRPr="00966B64" w14:paraId="3C2927FE" w14:textId="77777777" w:rsidTr="00DA18CD">
        <w:trPr>
          <w:trHeight w:val="342"/>
        </w:trPr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24ADA" w14:textId="49DFA50D" w:rsidR="00966B64" w:rsidRPr="00966B64" w:rsidRDefault="00966B64" w:rsidP="00D56DEE">
            <w:pPr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</w:pPr>
            <w:r w:rsidRPr="00966B64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 xml:space="preserve">71.DG.76.1 </w:t>
            </w:r>
            <w:r w:rsidR="00AC7BE3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Sauceboat</w:t>
            </w:r>
            <w:r w:rsidR="00DA18CD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>,</w:t>
            </w:r>
            <w:r w:rsidRPr="00966B64">
              <w:rPr>
                <w:rFonts w:ascii="Avenir" w:eastAsia="Times New Roman" w:hAnsi="Avenir" w:cs="Calibri"/>
                <w:color w:val="000000" w:themeColor="text1"/>
                <w:sz w:val="15"/>
                <w:szCs w:val="15"/>
              </w:rPr>
              <w:t xml:space="preserve"> interior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E677C" w14:textId="77777777" w:rsidR="00966B64" w:rsidRPr="00966B64" w:rsidRDefault="00966B64" w:rsidP="00D56DEE">
            <w:pPr>
              <w:jc w:val="center"/>
              <w:rPr>
                <w:rFonts w:ascii="Avenir" w:eastAsia="Times New Roman" w:hAnsi="Avenir" w:cs="Calibri"/>
                <w:color w:val="000000" w:themeColor="text1"/>
                <w:sz w:val="18"/>
                <w:szCs w:val="18"/>
              </w:rPr>
            </w:pPr>
            <w:r w:rsidRPr="00966B64">
              <w:rPr>
                <w:rFonts w:ascii="Avenir" w:eastAsia="Times New Roman" w:hAnsi="Avenir" w:cs="Calibri"/>
                <w:color w:val="000000" w:themeColor="text1"/>
                <w:sz w:val="18"/>
                <w:szCs w:val="18"/>
              </w:rPr>
              <w:t>34.1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4D52B" w14:textId="77777777" w:rsidR="00966B64" w:rsidRPr="00966B64" w:rsidRDefault="00966B64" w:rsidP="00D56DEE">
            <w:pPr>
              <w:jc w:val="center"/>
              <w:rPr>
                <w:rFonts w:ascii="Avenir" w:eastAsia="Times New Roman" w:hAnsi="Avenir" w:cs="Calibri"/>
                <w:color w:val="000000" w:themeColor="text1"/>
                <w:sz w:val="18"/>
                <w:szCs w:val="18"/>
              </w:rPr>
            </w:pPr>
            <w:r w:rsidRPr="00966B64">
              <w:rPr>
                <w:rFonts w:ascii="Avenir" w:eastAsia="Times New Roman" w:hAnsi="Avenir" w:cs="Calibri"/>
                <w:color w:val="000000" w:themeColor="text1"/>
                <w:sz w:val="18"/>
                <w:szCs w:val="18"/>
              </w:rPr>
              <w:t>0.87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29349" w14:textId="77777777" w:rsidR="00966B64" w:rsidRPr="00966B64" w:rsidRDefault="00966B64" w:rsidP="00381864">
            <w:pPr>
              <w:ind w:right="-159"/>
              <w:jc w:val="center"/>
              <w:rPr>
                <w:rFonts w:ascii="Avenir" w:eastAsia="Times New Roman" w:hAnsi="Avenir" w:cs="Calibri"/>
                <w:color w:val="000000" w:themeColor="text1"/>
                <w:sz w:val="18"/>
                <w:szCs w:val="18"/>
              </w:rPr>
            </w:pPr>
            <w:r w:rsidRPr="00966B64">
              <w:rPr>
                <w:rFonts w:ascii="Avenir" w:eastAsia="Times New Roman" w:hAnsi="Avenir" w:cs="Calibri"/>
                <w:color w:val="000000" w:themeColor="text1"/>
                <w:sz w:val="18"/>
                <w:szCs w:val="18"/>
              </w:rPr>
              <w:t>2.5</w:t>
            </w:r>
          </w:p>
        </w:tc>
      </w:tr>
    </w:tbl>
    <w:p w14:paraId="031FC456" w14:textId="0DC875B0" w:rsidR="00816FB4" w:rsidRDefault="00B110EE"/>
    <w:p w14:paraId="5E578BDF" w14:textId="5F9DC6EC" w:rsidR="00D56DEE" w:rsidRDefault="00D56DEE"/>
    <w:p w14:paraId="42E52E91" w14:textId="6E0A3B72" w:rsidR="00D56DEE" w:rsidRDefault="00D56DEE"/>
    <w:sectPr w:rsidR="00D56DEE" w:rsidSect="00BE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EE"/>
    <w:rsid w:val="001017D2"/>
    <w:rsid w:val="00381864"/>
    <w:rsid w:val="00382A98"/>
    <w:rsid w:val="00495886"/>
    <w:rsid w:val="006B0049"/>
    <w:rsid w:val="006D3B9C"/>
    <w:rsid w:val="00726AF5"/>
    <w:rsid w:val="007F1F59"/>
    <w:rsid w:val="00876D73"/>
    <w:rsid w:val="00966B64"/>
    <w:rsid w:val="00971DD0"/>
    <w:rsid w:val="00A63C56"/>
    <w:rsid w:val="00A97DF4"/>
    <w:rsid w:val="00AC7BE3"/>
    <w:rsid w:val="00B110EE"/>
    <w:rsid w:val="00BE2367"/>
    <w:rsid w:val="00C14D41"/>
    <w:rsid w:val="00CB5698"/>
    <w:rsid w:val="00D56DEE"/>
    <w:rsid w:val="00DA18CD"/>
    <w:rsid w:val="00E05525"/>
    <w:rsid w:val="00E15D27"/>
    <w:rsid w:val="5391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D3F7"/>
  <w15:chartTrackingRefBased/>
  <w15:docId w15:val="{D940088D-843F-D948-A4AF-D905DCAA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05525"/>
  </w:style>
  <w:style w:type="character" w:styleId="CommentReference">
    <w:name w:val="annotation reference"/>
    <w:basedOn w:val="DefaultParagraphFont"/>
    <w:uiPriority w:val="99"/>
    <w:semiHidden/>
    <w:unhideWhenUsed/>
    <w:rsid w:val="00E05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5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5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 Heginbotham</dc:creator>
  <cp:keywords/>
  <dc:description/>
  <cp:lastModifiedBy>zj29</cp:lastModifiedBy>
  <cp:revision>3</cp:revision>
  <dcterms:created xsi:type="dcterms:W3CDTF">2022-04-26T18:09:00Z</dcterms:created>
  <dcterms:modified xsi:type="dcterms:W3CDTF">2022-04-26T18:10:00Z</dcterms:modified>
</cp:coreProperties>
</file>