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BB09" w14:textId="3C059029" w:rsidR="008B1BE7" w:rsidRDefault="008B1BE7" w:rsidP="008B1BE7">
      <w:pPr>
        <w:rPr>
          <w:rStyle w:val="A1"/>
          <w:rFonts w:eastAsia="Times New Roman" w:cs="Times New Roman"/>
          <w:bCs/>
          <w:sz w:val="24"/>
          <w:szCs w:val="24"/>
        </w:rPr>
      </w:pPr>
      <w:bookmarkStart w:id="0" w:name="_Toc95825297"/>
      <w:r w:rsidRPr="008B1BE7">
        <w:rPr>
          <w:rStyle w:val="A1"/>
          <w:rFonts w:eastAsia="Times New Roman" w:cs="Times New Roman"/>
          <w:b/>
          <w:sz w:val="24"/>
          <w:szCs w:val="24"/>
        </w:rPr>
        <w:t>label:</w:t>
      </w:r>
      <w:r>
        <w:rPr>
          <w:rStyle w:val="A1"/>
          <w:rFonts w:eastAsia="Times New Roman" w:cs="Times New Roman"/>
          <w:bCs/>
          <w:sz w:val="24"/>
          <w:szCs w:val="24"/>
        </w:rPr>
        <w:t xml:space="preserve"> </w:t>
      </w:r>
      <w:r w:rsidR="000F2340" w:rsidRPr="008B1BE7">
        <w:rPr>
          <w:rStyle w:val="A1"/>
          <w:rFonts w:eastAsia="Times New Roman" w:cs="Times New Roman"/>
          <w:bCs/>
          <w:sz w:val="24"/>
          <w:szCs w:val="24"/>
        </w:rPr>
        <w:t xml:space="preserve">Part </w:t>
      </w:r>
      <w:r w:rsidR="00D35B0C">
        <w:rPr>
          <w:rStyle w:val="A1"/>
          <w:rFonts w:eastAsia="Times New Roman" w:cs="Times New Roman"/>
          <w:bCs/>
          <w:sz w:val="24"/>
          <w:szCs w:val="24"/>
        </w:rPr>
        <w:t>II</w:t>
      </w:r>
    </w:p>
    <w:p w14:paraId="5AF6D13A" w14:textId="4BC05BAD" w:rsidR="000F2340" w:rsidRDefault="008B1BE7" w:rsidP="008B1BE7">
      <w:pPr>
        <w:rPr>
          <w:rStyle w:val="Heading1Char"/>
          <w:rFonts w:eastAsia="Times New Roman" w:cs="Times New Roman"/>
          <w:bCs/>
          <w:szCs w:val="24"/>
        </w:rPr>
      </w:pPr>
      <w:r w:rsidRPr="008B1BE7">
        <w:rPr>
          <w:rStyle w:val="A1"/>
          <w:rFonts w:eastAsia="Times New Roman" w:cs="Times New Roman"/>
          <w:b/>
          <w:sz w:val="24"/>
          <w:szCs w:val="24"/>
        </w:rPr>
        <w:t>title</w:t>
      </w:r>
      <w:r w:rsidR="000F2340" w:rsidRPr="008B1BE7">
        <w:rPr>
          <w:rStyle w:val="A1"/>
          <w:rFonts w:eastAsia="Times New Roman" w:cs="Times New Roman"/>
          <w:b/>
          <w:sz w:val="24"/>
          <w:szCs w:val="24"/>
        </w:rPr>
        <w:t>:</w:t>
      </w:r>
      <w:r w:rsidR="000F2340" w:rsidRPr="008B1BE7">
        <w:rPr>
          <w:rStyle w:val="A1"/>
          <w:rFonts w:eastAsia="Times New Roman" w:cs="Times New Roman"/>
          <w:bCs/>
          <w:sz w:val="24"/>
          <w:szCs w:val="24"/>
        </w:rPr>
        <w:t xml:space="preserve"> </w:t>
      </w:r>
      <w:r w:rsidR="000F2340" w:rsidRPr="008B1BE7">
        <w:rPr>
          <w:rStyle w:val="Heading1Char"/>
          <w:rFonts w:eastAsia="Times New Roman" w:cs="Times New Roman"/>
          <w:bCs/>
          <w:szCs w:val="24"/>
        </w:rPr>
        <w:t>Heritage Surveys</w:t>
      </w:r>
      <w:bookmarkEnd w:id="0"/>
    </w:p>
    <w:p w14:paraId="72BF12D4" w14:textId="5619A2A3" w:rsidR="002346EC" w:rsidRDefault="000F2340" w:rsidP="00D35B0C">
      <w:r w:rsidRPr="42CE85C3">
        <w:t xml:space="preserve">Part </w:t>
      </w:r>
      <w:r w:rsidR="00D35B0C">
        <w:t>II</w:t>
      </w:r>
      <w:r w:rsidRPr="42CE85C3">
        <w:t xml:space="preserve"> </w:t>
      </w:r>
      <w:r w:rsidR="002346EC">
        <w:t xml:space="preserve">of this book </w:t>
      </w:r>
      <w:r w:rsidRPr="42CE85C3">
        <w:t xml:space="preserve">aims to provide a framework and practical guidance for planning, designing, and carrying out modern heritage surveys. </w:t>
      </w:r>
      <w:r w:rsidRPr="00D35B0C">
        <w:rPr>
          <w:i/>
          <w:iCs/>
        </w:rPr>
        <w:t>Modern</w:t>
      </w:r>
      <w:r w:rsidRPr="42CE85C3">
        <w:t xml:space="preserve"> in this context is meant to refer to survey practices that use the latest methods, technologies</w:t>
      </w:r>
      <w:r>
        <w:t xml:space="preserve"> (particularly digital)</w:t>
      </w:r>
      <w:r w:rsidRPr="42CE85C3">
        <w:t xml:space="preserve">, tools, and concepts in heritage </w:t>
      </w:r>
      <w:r>
        <w:t>conservation</w:t>
      </w:r>
      <w:r w:rsidR="00D35B0C">
        <w:t>.</w:t>
      </w:r>
    </w:p>
    <w:p w14:paraId="3AF170A6" w14:textId="15DA3628" w:rsidR="000F2340" w:rsidRPr="005F6BAB" w:rsidRDefault="000F2340" w:rsidP="00D35B0C">
      <w:r w:rsidRPr="42CE85C3">
        <w:t xml:space="preserve">This narrative includes recommendations, considerations, and pointers for surveys drawn largely </w:t>
      </w:r>
      <w:r w:rsidR="002346EC">
        <w:t>from</w:t>
      </w:r>
      <w:r w:rsidR="002346EC" w:rsidRPr="42CE85C3">
        <w:t xml:space="preserve"> </w:t>
      </w:r>
      <w:r w:rsidRPr="42CE85C3">
        <w:t xml:space="preserve">hands-on experiences and lessons learned </w:t>
      </w:r>
      <w:r w:rsidR="00057856">
        <w:t xml:space="preserve">in my role as </w:t>
      </w:r>
      <w:r w:rsidRPr="42CE85C3">
        <w:t>lead author and manager of SurveyLA, the citywide survey of Los Angeles, with contributions from city staff, consultants, and others directly involved in the project</w:t>
      </w:r>
      <w:r w:rsidR="00D35B0C">
        <w:t>.</w:t>
      </w:r>
    </w:p>
    <w:p w14:paraId="6867356F" w14:textId="5DDB4997" w:rsidR="002346EC" w:rsidRDefault="000F2340" w:rsidP="000F2340">
      <w:pPr>
        <w:rPr>
          <w:rFonts w:eastAsia="Times New Roman" w:cs="Times New Roman"/>
          <w:color w:val="000000" w:themeColor="text1"/>
        </w:rPr>
      </w:pPr>
      <w:r w:rsidRPr="69C4CC45">
        <w:rPr>
          <w:rFonts w:eastAsia="Times New Roman" w:cs="Times New Roman"/>
          <w:color w:val="000000" w:themeColor="text1"/>
        </w:rPr>
        <w:t xml:space="preserve">As described in </w:t>
      </w:r>
      <w:r w:rsidR="008B1BE7" w:rsidRPr="00676C3E">
        <w:rPr>
          <w:rFonts w:eastAsia="Times New Roman" w:cs="Times New Roman"/>
          <w:b/>
          <w:bCs/>
          <w:color w:val="000000" w:themeColor="text1"/>
        </w:rPr>
        <w:t>chapter 5</w:t>
      </w:r>
      <w:r w:rsidRPr="69C4CC45">
        <w:rPr>
          <w:rFonts w:eastAsia="Times New Roman" w:cs="Times New Roman"/>
          <w:color w:val="000000" w:themeColor="text1"/>
        </w:rPr>
        <w:t>, SurveyLA is the outgrowth of earlier research and study by the Getty Conservation Institute</w:t>
      </w:r>
      <w:r w:rsidR="002346EC">
        <w:rPr>
          <w:rFonts w:eastAsia="Times New Roman" w:cs="Times New Roman"/>
          <w:color w:val="000000" w:themeColor="text1"/>
        </w:rPr>
        <w:t xml:space="preserve"> (GCI)</w:t>
      </w:r>
      <w:r w:rsidRPr="69C4CC45">
        <w:rPr>
          <w:rFonts w:eastAsia="Times New Roman" w:cs="Times New Roman"/>
          <w:color w:val="000000" w:themeColor="text1"/>
        </w:rPr>
        <w:t xml:space="preserve"> to establish the need for and benefits of a survey of Los Angeles and to provide a blueprint for how it could be completed. This information served as an indispensable starting point for the city </w:t>
      </w:r>
      <w:r w:rsidR="002346EC">
        <w:rPr>
          <w:rFonts w:eastAsia="Times New Roman" w:cs="Times New Roman"/>
          <w:color w:val="000000" w:themeColor="text1"/>
        </w:rPr>
        <w:t>in</w:t>
      </w:r>
      <w:r w:rsidR="002346EC" w:rsidRPr="69C4CC45">
        <w:rPr>
          <w:rFonts w:eastAsia="Times New Roman" w:cs="Times New Roman"/>
          <w:color w:val="000000" w:themeColor="text1"/>
        </w:rPr>
        <w:t xml:space="preserve"> </w:t>
      </w:r>
      <w:r w:rsidRPr="69C4CC45">
        <w:rPr>
          <w:rFonts w:eastAsia="Times New Roman" w:cs="Times New Roman"/>
          <w:color w:val="000000" w:themeColor="text1"/>
        </w:rPr>
        <w:t>undertak</w:t>
      </w:r>
      <w:r w:rsidR="002346EC">
        <w:rPr>
          <w:rFonts w:eastAsia="Times New Roman" w:cs="Times New Roman"/>
          <w:color w:val="000000" w:themeColor="text1"/>
        </w:rPr>
        <w:t>ing</w:t>
      </w:r>
      <w:r w:rsidRPr="69C4CC45">
        <w:rPr>
          <w:rFonts w:eastAsia="Times New Roman" w:cs="Times New Roman"/>
          <w:color w:val="000000" w:themeColor="text1"/>
        </w:rPr>
        <w:t xml:space="preserve"> a survey of unprecedented size and scope and implement</w:t>
      </w:r>
      <w:r w:rsidR="002346EC">
        <w:rPr>
          <w:rFonts w:eastAsia="Times New Roman" w:cs="Times New Roman"/>
          <w:color w:val="000000" w:themeColor="text1"/>
        </w:rPr>
        <w:t>ing</w:t>
      </w:r>
      <w:r w:rsidRPr="69C4CC45">
        <w:rPr>
          <w:rFonts w:eastAsia="Times New Roman" w:cs="Times New Roman"/>
          <w:color w:val="000000" w:themeColor="text1"/>
        </w:rPr>
        <w:t xml:space="preserve"> innovative methodologies. Various strategies were tried, tested, and revised over the course of the multiyear survey. While in the end SurveyLA proved successful for Los Angeles</w:t>
      </w:r>
      <w:r w:rsidR="00676C3E">
        <w:rPr>
          <w:rFonts w:eastAsia="Times New Roman" w:cs="Times New Roman"/>
          <w:color w:val="000000" w:themeColor="text1"/>
        </w:rPr>
        <w:t>,</w:t>
      </w:r>
      <w:r w:rsidRPr="69C4CC45">
        <w:rPr>
          <w:rFonts w:eastAsia="Times New Roman" w:cs="Times New Roman"/>
          <w:color w:val="000000" w:themeColor="text1"/>
        </w:rPr>
        <w:t xml:space="preserve"> it has also gained ongoing international interest as a demonstration project for completing surveys. </w:t>
      </w:r>
    </w:p>
    <w:p w14:paraId="660938BC" w14:textId="4A770778" w:rsidR="000F2340" w:rsidRDefault="000F2340" w:rsidP="000F2340">
      <w:pPr>
        <w:rPr>
          <w:rFonts w:cs="Times New Roman"/>
        </w:rPr>
      </w:pPr>
      <w:r w:rsidRPr="69C4CC45">
        <w:rPr>
          <w:rFonts w:cs="Times New Roman"/>
        </w:rPr>
        <w:t xml:space="preserve">Using the experience of SurveyLA, </w:t>
      </w:r>
      <w:r w:rsidR="002346EC">
        <w:rPr>
          <w:rFonts w:cs="Times New Roman"/>
        </w:rPr>
        <w:t>p</w:t>
      </w:r>
      <w:r w:rsidRPr="69C4CC45">
        <w:rPr>
          <w:rFonts w:cs="Times New Roman"/>
        </w:rPr>
        <w:t xml:space="preserve">art </w:t>
      </w:r>
      <w:r w:rsidR="00D35B0C">
        <w:rPr>
          <w:rFonts w:cs="Times New Roman"/>
        </w:rPr>
        <w:t>II</w:t>
      </w:r>
      <w:r w:rsidRPr="69C4CC45">
        <w:rPr>
          <w:rFonts w:cs="Times New Roman"/>
        </w:rPr>
        <w:t xml:space="preserve"> presents the heritage survey process as a series of steps</w:t>
      </w:r>
      <w:r w:rsidR="008B1BE7">
        <w:rPr>
          <w:rFonts w:cs="Times New Roman"/>
        </w:rPr>
        <w:t xml:space="preserve"> </w:t>
      </w:r>
      <w:r w:rsidR="008B1BE7" w:rsidRPr="69C4CC45">
        <w:rPr>
          <w:rFonts w:cs="Times New Roman"/>
        </w:rPr>
        <w:t>(</w:t>
      </w:r>
      <w:r w:rsidR="008B1BE7" w:rsidRPr="00676C3E">
        <w:rPr>
          <w:rFonts w:cs="Times New Roman"/>
          <w:b/>
          <w:bCs/>
        </w:rPr>
        <w:t xml:space="preserve">fig. </w:t>
      </w:r>
      <w:r w:rsidR="00D35B0C" w:rsidRPr="00676C3E">
        <w:rPr>
          <w:rFonts w:cs="Times New Roman"/>
          <w:b/>
          <w:bCs/>
        </w:rPr>
        <w:t>II</w:t>
      </w:r>
      <w:r w:rsidR="008B1BE7" w:rsidRPr="00676C3E">
        <w:rPr>
          <w:rFonts w:cs="Times New Roman"/>
          <w:b/>
          <w:bCs/>
        </w:rPr>
        <w:t>.1</w:t>
      </w:r>
      <w:r w:rsidR="008B1BE7">
        <w:rPr>
          <w:rFonts w:cs="Times New Roman"/>
        </w:rPr>
        <w:t>)</w:t>
      </w:r>
      <w:r w:rsidRPr="69C4CC45">
        <w:rPr>
          <w:rFonts w:cs="Times New Roman"/>
        </w:rPr>
        <w:t xml:space="preserve"> that are summarized below and detailed in the chapters that follow</w:t>
      </w:r>
      <w:r w:rsidR="00676C3E">
        <w:rPr>
          <w:rFonts w:cs="Times New Roman"/>
        </w:rPr>
        <w:t>.</w:t>
      </w:r>
      <w:r w:rsidRPr="69C4CC45">
        <w:rPr>
          <w:rFonts w:cs="Times New Roman"/>
        </w:rPr>
        <w:t xml:space="preserve"> </w:t>
      </w:r>
    </w:p>
    <w:p w14:paraId="47F2E287" w14:textId="6E25FEC6" w:rsidR="000F2340" w:rsidRPr="008B1BE7" w:rsidRDefault="000F2340" w:rsidP="00D35B0C">
      <w:pPr>
        <w:pStyle w:val="ListParagraph"/>
        <w:numPr>
          <w:ilvl w:val="0"/>
          <w:numId w:val="2"/>
        </w:numPr>
        <w:rPr>
          <w:rFonts w:asciiTheme="minorHAnsi" w:eastAsiaTheme="minorEastAsia" w:hAnsiTheme="minorHAnsi"/>
        </w:rPr>
      </w:pPr>
      <w:r w:rsidRPr="00D35B0C">
        <w:rPr>
          <w:rFonts w:eastAsia="Calibri" w:cs="Arial"/>
          <w:b/>
          <w:bCs/>
        </w:rPr>
        <w:lastRenderedPageBreak/>
        <w:t>Establish the need for a survey</w:t>
      </w:r>
      <w:r w:rsidRPr="008B1BE7">
        <w:rPr>
          <w:rFonts w:eastAsia="Calibri" w:cs="Arial"/>
        </w:rPr>
        <w:t xml:space="preserve"> to assess the scope and type of </w:t>
      </w:r>
      <w:r w:rsidRPr="008B1BE7">
        <w:rPr>
          <w:rFonts w:cs="Times New Roman"/>
        </w:rPr>
        <w:t>information to be collected to meet survey goals and objectives, including the proposed uses of the resulting data and inventory to inform heritage management</w:t>
      </w:r>
      <w:r w:rsidR="008B1BE7" w:rsidRPr="008B1BE7">
        <w:rPr>
          <w:rFonts w:cs="Times New Roman"/>
        </w:rPr>
        <w:t xml:space="preserve"> (see </w:t>
      </w:r>
      <w:r w:rsidR="008B1BE7" w:rsidRPr="00676C3E">
        <w:rPr>
          <w:rFonts w:cs="Times New Roman"/>
          <w:b/>
          <w:bCs/>
        </w:rPr>
        <w:t>chapter 6</w:t>
      </w:r>
      <w:r w:rsidR="008B1BE7" w:rsidRPr="008B1BE7">
        <w:rPr>
          <w:rFonts w:cs="Times New Roman"/>
        </w:rPr>
        <w:t>)</w:t>
      </w:r>
      <w:r w:rsidRPr="008B1BE7">
        <w:rPr>
          <w:rFonts w:cs="Times New Roman"/>
        </w:rPr>
        <w:t xml:space="preserve">. </w:t>
      </w:r>
    </w:p>
    <w:p w14:paraId="4BE92B83" w14:textId="536673C3" w:rsidR="000F2340" w:rsidRPr="00D35B0C" w:rsidRDefault="000F2340" w:rsidP="00D35B0C">
      <w:pPr>
        <w:pStyle w:val="ListParagraph"/>
        <w:numPr>
          <w:ilvl w:val="0"/>
          <w:numId w:val="2"/>
        </w:numPr>
        <w:rPr>
          <w:rFonts w:eastAsia="Calibri" w:cs="Arial"/>
        </w:rPr>
      </w:pPr>
      <w:r w:rsidRPr="00D35B0C">
        <w:rPr>
          <w:rFonts w:eastAsia="Calibri" w:cs="Arial"/>
          <w:b/>
          <w:bCs/>
        </w:rPr>
        <w:t>Create a survey plan</w:t>
      </w:r>
      <w:r w:rsidRPr="00D35B0C">
        <w:rPr>
          <w:rFonts w:eastAsia="Calibri" w:cs="Arial"/>
        </w:rPr>
        <w:t xml:space="preserve"> to determine the elements of the survey and to provide a framework for how it will be carried out and administered</w:t>
      </w:r>
      <w:r w:rsidR="008B1BE7" w:rsidRPr="00D35B0C">
        <w:rPr>
          <w:rFonts w:eastAsia="Calibri" w:cs="Arial"/>
        </w:rPr>
        <w:t xml:space="preserve"> </w:t>
      </w:r>
      <w:r w:rsidR="008B1BE7" w:rsidRPr="008B1BE7">
        <w:rPr>
          <w:rFonts w:cs="Times New Roman"/>
        </w:rPr>
        <w:t xml:space="preserve">(see </w:t>
      </w:r>
      <w:r w:rsidR="008B1BE7" w:rsidRPr="00676C3E">
        <w:rPr>
          <w:rFonts w:cs="Times New Roman"/>
          <w:b/>
          <w:bCs/>
        </w:rPr>
        <w:t>chapter 7</w:t>
      </w:r>
      <w:r w:rsidR="008B1BE7" w:rsidRPr="008B1BE7">
        <w:rPr>
          <w:rFonts w:cs="Times New Roman"/>
        </w:rPr>
        <w:t>).</w:t>
      </w:r>
    </w:p>
    <w:p w14:paraId="4B370B98" w14:textId="6AB84736" w:rsidR="000F2340" w:rsidRPr="008B1BE7" w:rsidRDefault="000F2340" w:rsidP="00D35B0C">
      <w:pPr>
        <w:pStyle w:val="ListParagraph"/>
        <w:numPr>
          <w:ilvl w:val="0"/>
          <w:numId w:val="2"/>
        </w:numPr>
        <w:rPr>
          <w:rFonts w:asciiTheme="minorHAnsi" w:eastAsiaTheme="minorEastAsia" w:hAnsiTheme="minorHAnsi"/>
        </w:rPr>
      </w:pPr>
      <w:r w:rsidRPr="00D35B0C">
        <w:rPr>
          <w:rFonts w:eastAsia="Calibri" w:cs="Arial"/>
          <w:b/>
          <w:bCs/>
        </w:rPr>
        <w:t>Develop survey tools and methods</w:t>
      </w:r>
      <w:r w:rsidRPr="00D35B0C">
        <w:rPr>
          <w:rFonts w:eastAsia="Calibri" w:cs="Arial"/>
        </w:rPr>
        <w:t xml:space="preserve"> to guide data collection and recording processes and procedures</w:t>
      </w:r>
      <w:r w:rsidR="008B1BE7" w:rsidRPr="00D35B0C">
        <w:rPr>
          <w:rFonts w:eastAsia="Calibri" w:cs="Arial"/>
        </w:rPr>
        <w:t xml:space="preserve"> </w:t>
      </w:r>
      <w:r w:rsidR="008B1BE7" w:rsidRPr="008B1BE7">
        <w:rPr>
          <w:rFonts w:cs="Times New Roman"/>
        </w:rPr>
        <w:t xml:space="preserve">(see </w:t>
      </w:r>
      <w:r w:rsidR="008B1BE7" w:rsidRPr="00676C3E">
        <w:rPr>
          <w:rFonts w:cs="Times New Roman"/>
          <w:b/>
          <w:bCs/>
        </w:rPr>
        <w:t>chapter 8</w:t>
      </w:r>
      <w:r w:rsidR="008B1BE7" w:rsidRPr="008B1BE7">
        <w:rPr>
          <w:rFonts w:cs="Times New Roman"/>
        </w:rPr>
        <w:t>)</w:t>
      </w:r>
      <w:r w:rsidRPr="00D35B0C">
        <w:rPr>
          <w:rFonts w:eastAsia="Calibri" w:cs="Arial"/>
        </w:rPr>
        <w:t xml:space="preserve">. </w:t>
      </w:r>
    </w:p>
    <w:p w14:paraId="19C4993E" w14:textId="3A90E033" w:rsidR="000F2340" w:rsidRPr="008B1BE7" w:rsidRDefault="000F2340" w:rsidP="00D35B0C">
      <w:pPr>
        <w:pStyle w:val="ListParagraph"/>
        <w:numPr>
          <w:ilvl w:val="0"/>
          <w:numId w:val="2"/>
        </w:numPr>
        <w:rPr>
          <w:rFonts w:asciiTheme="minorHAnsi" w:eastAsiaTheme="minorEastAsia" w:hAnsiTheme="minorHAnsi"/>
        </w:rPr>
      </w:pPr>
      <w:r w:rsidRPr="00D35B0C">
        <w:rPr>
          <w:rFonts w:eastAsia="Calibri" w:cs="Arial"/>
          <w:b/>
          <w:bCs/>
        </w:rPr>
        <w:t>Complete a pilot survey program</w:t>
      </w:r>
      <w:r w:rsidRPr="00D35B0C">
        <w:rPr>
          <w:rFonts w:eastAsia="Calibri" w:cs="Arial"/>
        </w:rPr>
        <w:t xml:space="preserve"> to test, refine, and finalize survey tools and methods</w:t>
      </w:r>
      <w:r w:rsidR="008B1BE7" w:rsidRPr="00D35B0C">
        <w:rPr>
          <w:rFonts w:eastAsia="Calibri" w:cs="Arial"/>
        </w:rPr>
        <w:t xml:space="preserve"> </w:t>
      </w:r>
      <w:r w:rsidR="008B1BE7" w:rsidRPr="008B1BE7">
        <w:rPr>
          <w:rFonts w:cs="Times New Roman"/>
        </w:rPr>
        <w:t xml:space="preserve">(see </w:t>
      </w:r>
      <w:r w:rsidR="008B1BE7" w:rsidRPr="00676C3E">
        <w:rPr>
          <w:rFonts w:cs="Times New Roman"/>
          <w:b/>
          <w:bCs/>
        </w:rPr>
        <w:t>chapter 9</w:t>
      </w:r>
      <w:r w:rsidR="008B1BE7" w:rsidRPr="008B1BE7">
        <w:rPr>
          <w:rFonts w:cs="Times New Roman"/>
        </w:rPr>
        <w:t>)</w:t>
      </w:r>
      <w:r w:rsidRPr="00D35B0C">
        <w:rPr>
          <w:rFonts w:eastAsia="Calibri" w:cs="Arial"/>
        </w:rPr>
        <w:t xml:space="preserve">. </w:t>
      </w:r>
    </w:p>
    <w:p w14:paraId="26379CE4" w14:textId="62F5C87C" w:rsidR="000F2340" w:rsidRPr="008B1BE7" w:rsidRDefault="000F2340" w:rsidP="00D35B0C">
      <w:pPr>
        <w:pStyle w:val="ListParagraph"/>
        <w:numPr>
          <w:ilvl w:val="0"/>
          <w:numId w:val="2"/>
        </w:numPr>
        <w:rPr>
          <w:rFonts w:asciiTheme="minorHAnsi" w:eastAsiaTheme="minorEastAsia" w:hAnsiTheme="minorHAnsi"/>
        </w:rPr>
      </w:pPr>
      <w:r w:rsidRPr="00D35B0C">
        <w:rPr>
          <w:rFonts w:eastAsia="Calibri" w:cs="Arial"/>
          <w:b/>
          <w:bCs/>
        </w:rPr>
        <w:t>Conduct field surveys</w:t>
      </w:r>
      <w:r w:rsidRPr="00D35B0C">
        <w:rPr>
          <w:rFonts w:eastAsia="Calibri" w:cs="Arial"/>
        </w:rPr>
        <w:t xml:space="preserve"> to identify, evaluate, and document heritage resources that reflect the goals, objectives, and scope of the survey</w:t>
      </w:r>
      <w:r w:rsidR="008B1BE7" w:rsidRPr="00D35B0C">
        <w:rPr>
          <w:rFonts w:eastAsia="Calibri" w:cs="Arial"/>
        </w:rPr>
        <w:t xml:space="preserve"> </w:t>
      </w:r>
      <w:r w:rsidR="008B1BE7" w:rsidRPr="008B1BE7">
        <w:rPr>
          <w:rFonts w:cs="Times New Roman"/>
        </w:rPr>
        <w:t xml:space="preserve">(see </w:t>
      </w:r>
      <w:r w:rsidR="008B1BE7" w:rsidRPr="00676C3E">
        <w:rPr>
          <w:rFonts w:cs="Times New Roman"/>
          <w:b/>
          <w:bCs/>
        </w:rPr>
        <w:t>chapter 10</w:t>
      </w:r>
      <w:r w:rsidR="008B1BE7" w:rsidRPr="008B1BE7">
        <w:rPr>
          <w:rFonts w:cs="Times New Roman"/>
        </w:rPr>
        <w:t>)</w:t>
      </w:r>
      <w:r w:rsidRPr="00D35B0C">
        <w:rPr>
          <w:rFonts w:eastAsia="Calibri" w:cs="Arial"/>
        </w:rPr>
        <w:t xml:space="preserve">.  </w:t>
      </w:r>
    </w:p>
    <w:p w14:paraId="3E8AA79A" w14:textId="0A193396" w:rsidR="000F2340" w:rsidRPr="008B1BE7" w:rsidRDefault="000F2340" w:rsidP="00D35B0C">
      <w:pPr>
        <w:pStyle w:val="ListParagraph"/>
        <w:numPr>
          <w:ilvl w:val="0"/>
          <w:numId w:val="2"/>
        </w:numPr>
        <w:rPr>
          <w:rFonts w:asciiTheme="minorHAnsi" w:eastAsiaTheme="minorEastAsia" w:hAnsiTheme="minorHAnsi"/>
        </w:rPr>
      </w:pPr>
      <w:r w:rsidRPr="00D35B0C">
        <w:rPr>
          <w:rFonts w:eastAsia="Calibri" w:cs="Arial"/>
          <w:b/>
          <w:bCs/>
        </w:rPr>
        <w:t xml:space="preserve">Publish survey results </w:t>
      </w:r>
      <w:r w:rsidRPr="00D35B0C">
        <w:rPr>
          <w:rFonts w:eastAsia="Calibri" w:cs="Arial"/>
        </w:rPr>
        <w:t>through an associated heritage inventory system and other means (e.g., reports) that are accessible to a range of users</w:t>
      </w:r>
      <w:r w:rsidR="008B1BE7">
        <w:rPr>
          <w:rFonts w:eastAsia="Calibri" w:cs="Arial"/>
        </w:rPr>
        <w:t xml:space="preserve"> </w:t>
      </w:r>
      <w:r w:rsidR="008B1BE7">
        <w:rPr>
          <w:rFonts w:cs="Times New Roman"/>
        </w:rPr>
        <w:t xml:space="preserve">(see </w:t>
      </w:r>
      <w:r w:rsidR="008B1BE7" w:rsidRPr="00676C3E">
        <w:rPr>
          <w:rFonts w:cs="Times New Roman"/>
          <w:b/>
          <w:bCs/>
        </w:rPr>
        <w:t>chapter 11</w:t>
      </w:r>
      <w:r w:rsidR="008B1BE7">
        <w:rPr>
          <w:rFonts w:cs="Times New Roman"/>
        </w:rPr>
        <w:t>)</w:t>
      </w:r>
      <w:r w:rsidRPr="00D35B0C">
        <w:rPr>
          <w:rFonts w:eastAsia="Calibri" w:cs="Arial"/>
        </w:rPr>
        <w:t xml:space="preserve">.     </w:t>
      </w:r>
    </w:p>
    <w:p w14:paraId="684C9170" w14:textId="16717B9C" w:rsidR="000F2340" w:rsidRDefault="008B1BE7" w:rsidP="000F2340">
      <w:pPr>
        <w:rPr>
          <w:b/>
          <w:bCs/>
        </w:rPr>
      </w:pPr>
      <w:r>
        <w:rPr>
          <w:b/>
          <w:bCs/>
        </w:rPr>
        <w:t>[[fig-</w:t>
      </w:r>
      <w:r w:rsidR="00D35B0C">
        <w:rPr>
          <w:b/>
          <w:bCs/>
        </w:rPr>
        <w:t>II</w:t>
      </w:r>
      <w:r>
        <w:rPr>
          <w:b/>
          <w:bCs/>
        </w:rPr>
        <w:t>-1]]</w:t>
      </w:r>
    </w:p>
    <w:p w14:paraId="2E429F0E" w14:textId="09873CE7" w:rsidR="005F701C" w:rsidRPr="00E674B6" w:rsidRDefault="005F701C" w:rsidP="005F701C">
      <w:pPr>
        <w:rPr>
          <w:color w:val="211D1E"/>
          <w:vertAlign w:val="superscript"/>
        </w:rPr>
      </w:pPr>
      <w:bookmarkStart w:id="1" w:name="_Toc95825299"/>
      <w:r w:rsidRPr="42CE85C3">
        <w:t xml:space="preserve">While the Los Angeles survey focused on a large-scale urban environment, the authors </w:t>
      </w:r>
      <w:r>
        <w:t xml:space="preserve">of this publication have </w:t>
      </w:r>
      <w:r w:rsidRPr="42CE85C3">
        <w:t>sought to generalize th</w:t>
      </w:r>
      <w:r>
        <w:t>e</w:t>
      </w:r>
      <w:r w:rsidRPr="42CE85C3">
        <w:t xml:space="preserve"> guidance to be applicable to surveys in varying environments</w:t>
      </w:r>
      <w:r>
        <w:t>, cover a range of heritage typologies,</w:t>
      </w:r>
      <w:r w:rsidRPr="42CE85C3">
        <w:t xml:space="preserve"> and </w:t>
      </w:r>
      <w:r w:rsidR="00676C3E">
        <w:t xml:space="preserve">to </w:t>
      </w:r>
      <w:r>
        <w:t xml:space="preserve">encompass </w:t>
      </w:r>
      <w:r w:rsidRPr="42CE85C3">
        <w:t>geographic areas of differing sizes and complexities.</w:t>
      </w:r>
      <w:r w:rsidRPr="00DB4A84">
        <w:rPr>
          <w:rStyle w:val="EndnoteReference"/>
          <w:rFonts w:cs="Times New Roman"/>
        </w:rPr>
        <w:endnoteReference w:id="1"/>
      </w:r>
    </w:p>
    <w:p w14:paraId="5C74755D" w14:textId="22B496AF" w:rsidR="000F2340" w:rsidRPr="008B1BE7" w:rsidRDefault="000F2340" w:rsidP="008B1BE7">
      <w:pPr>
        <w:pStyle w:val="Heading2"/>
      </w:pPr>
      <w:r w:rsidRPr="008B1BE7">
        <w:t>Defining Characteristics of Modern Surveys</w:t>
      </w:r>
      <w:bookmarkEnd w:id="1"/>
    </w:p>
    <w:p w14:paraId="4D7D8BA8" w14:textId="0BFC02A0" w:rsidR="000F2340" w:rsidRPr="00F8235A" w:rsidRDefault="000F2340" w:rsidP="00D35B0C">
      <w:pPr>
        <w:pStyle w:val="Default"/>
      </w:pPr>
      <w:r w:rsidRPr="7E1EE992">
        <w:t>Surveys are essential to identify</w:t>
      </w:r>
      <w:r w:rsidR="00676C3E">
        <w:t>ing</w:t>
      </w:r>
      <w:r w:rsidRPr="7E1EE992">
        <w:t xml:space="preserve"> and understand</w:t>
      </w:r>
      <w:r w:rsidR="00676C3E">
        <w:t>ing</w:t>
      </w:r>
      <w:r w:rsidRPr="7E1EE992">
        <w:t xml:space="preserve"> an area’s heritage and have long been a key element of effective heritage planning and management. While modern surveys are generally </w:t>
      </w:r>
      <w:r w:rsidRPr="7E1EE992">
        <w:lastRenderedPageBreak/>
        <w:t>grounded in established standards and guidelines, they have several distinguishing characteristics that set them apart from those of the past; these characteristics are introduced below and discussed</w:t>
      </w:r>
      <w:r>
        <w:t xml:space="preserve"> in chapters</w:t>
      </w:r>
      <w:r w:rsidRPr="7E1EE992">
        <w:t xml:space="preserve"> throughout </w:t>
      </w:r>
      <w:r w:rsidR="008B1BE7">
        <w:t>p</w:t>
      </w:r>
      <w:r w:rsidRPr="7E1EE992">
        <w:t xml:space="preserve">art </w:t>
      </w:r>
      <w:r w:rsidR="00676C3E">
        <w:t>II</w:t>
      </w:r>
      <w:r w:rsidRPr="7E1EE992">
        <w:t>.</w:t>
      </w:r>
    </w:p>
    <w:p w14:paraId="56F725FF" w14:textId="1E0C4A36" w:rsidR="000F2340" w:rsidRPr="00F8235A" w:rsidRDefault="000F2340" w:rsidP="000F2340">
      <w:pPr>
        <w:pStyle w:val="Default"/>
        <w:rPr>
          <w:rFonts w:cs="Times New Roman"/>
        </w:rPr>
      </w:pPr>
      <w:r w:rsidRPr="7E6F9C28">
        <w:rPr>
          <w:rFonts w:eastAsia="Times New Roman" w:cs="Times New Roman"/>
        </w:rPr>
        <w:t>Perhaps the most important characteristic is the use of digital technologies</w:t>
      </w:r>
      <w:r w:rsidR="00767A01">
        <w:rPr>
          <w:rFonts w:eastAsia="Times New Roman" w:cs="Times New Roman"/>
        </w:rPr>
        <w:t>,</w:t>
      </w:r>
      <w:r w:rsidRPr="7E6F9C28">
        <w:rPr>
          <w:rFonts w:eastAsia="Times New Roman" w:cs="Times New Roman"/>
        </w:rPr>
        <w:t xml:space="preserve"> </w:t>
      </w:r>
      <w:r w:rsidR="00767A01">
        <w:rPr>
          <w:rFonts w:eastAsia="Times New Roman" w:cs="Times New Roman"/>
        </w:rPr>
        <w:t xml:space="preserve">which </w:t>
      </w:r>
      <w:r w:rsidRPr="7E6F9C28">
        <w:rPr>
          <w:rFonts w:eastAsia="Times New Roman" w:cs="Times New Roman"/>
        </w:rPr>
        <w:t xml:space="preserve">have fundamentally changed the way field surveys are completed. The practice of surveying with paper, pencil, and </w:t>
      </w:r>
      <w:r w:rsidRPr="7E6F9C28">
        <w:rPr>
          <w:rFonts w:cs="Times New Roman"/>
        </w:rPr>
        <w:t xml:space="preserve">film photography has been supplanted by the use of portable computer devices loaded with survey software, interactive digital maps, land use information, and other data. Surveyors can record precise geographic locations and document resource history, description, and significance using controlled vocabularies and drop-down menus. Digital technology also facilitates associated research activities as more and more sources become readily available on mobile and desktop computers. </w:t>
      </w:r>
      <w:r>
        <w:rPr>
          <w:rFonts w:cs="Times New Roman"/>
        </w:rPr>
        <w:t xml:space="preserve">But while digital </w:t>
      </w:r>
      <w:r w:rsidRPr="7E6F9C28">
        <w:rPr>
          <w:rFonts w:cs="Times New Roman"/>
        </w:rPr>
        <w:t>surveys</w:t>
      </w:r>
      <w:r>
        <w:rPr>
          <w:rFonts w:cs="Times New Roman"/>
        </w:rPr>
        <w:t xml:space="preserve"> may be more accurate and efficient than past surveys, they also require substantial upfront time to prepare data collection tools and methods and post</w:t>
      </w:r>
      <w:r w:rsidR="00767A01">
        <w:rPr>
          <w:rFonts w:cs="Times New Roman"/>
        </w:rPr>
        <w:t>-</w:t>
      </w:r>
      <w:r>
        <w:rPr>
          <w:rFonts w:cs="Times New Roman"/>
        </w:rPr>
        <w:t xml:space="preserve">field time for data integration and management.  </w:t>
      </w:r>
      <w:r w:rsidRPr="7E6F9C28">
        <w:rPr>
          <w:rFonts w:cs="Times New Roman"/>
        </w:rPr>
        <w:t xml:space="preserve"> </w:t>
      </w:r>
    </w:p>
    <w:p w14:paraId="6B772AD5" w14:textId="4B993BDF" w:rsidR="000F2340" w:rsidRDefault="000F2340" w:rsidP="000F2340">
      <w:pPr>
        <w:pStyle w:val="Default"/>
        <w:rPr>
          <w:rFonts w:cs="Times New Roman"/>
        </w:rPr>
      </w:pPr>
      <w:r w:rsidRPr="4226D5FB">
        <w:rPr>
          <w:rFonts w:cs="Times New Roman"/>
        </w:rPr>
        <w:t>Surveys today also go beyond the traditional focus on monumental buildings and architecture to cover a wide range of heritage themes and typologies that represent a more holistic and inclusive view of the history and development of an area. In countries including the U</w:t>
      </w:r>
      <w:r w:rsidR="00767A01">
        <w:rPr>
          <w:rFonts w:cs="Times New Roman"/>
        </w:rPr>
        <w:t xml:space="preserve">nited </w:t>
      </w:r>
      <w:r w:rsidRPr="4226D5FB">
        <w:rPr>
          <w:rFonts w:cs="Times New Roman"/>
        </w:rPr>
        <w:t>S</w:t>
      </w:r>
      <w:r w:rsidR="00767A01">
        <w:rPr>
          <w:rFonts w:cs="Times New Roman"/>
        </w:rPr>
        <w:t>tates</w:t>
      </w:r>
      <w:r w:rsidRPr="4226D5FB">
        <w:rPr>
          <w:rFonts w:cs="Times New Roman"/>
        </w:rPr>
        <w:t xml:space="preserve">, Canada, and Australia, thematic frameworks, theme studies, and historic context statements are being used to systematically guide resource identification and evaluation as part of survey work (see the </w:t>
      </w:r>
      <w:r w:rsidRPr="00D35B0C">
        <w:rPr>
          <w:rFonts w:cs="Times New Roman"/>
          <w:b/>
          <w:bCs/>
        </w:rPr>
        <w:t>sidebar</w:t>
      </w:r>
      <w:r w:rsidR="00767A01" w:rsidRPr="00D35B0C">
        <w:rPr>
          <w:rFonts w:cs="Times New Roman"/>
          <w:b/>
          <w:bCs/>
        </w:rPr>
        <w:t xml:space="preserve"> on this subject</w:t>
      </w:r>
      <w:r w:rsidR="00767A01" w:rsidRPr="00057856">
        <w:rPr>
          <w:rFonts w:cs="Times New Roman"/>
        </w:rPr>
        <w:t xml:space="preserve"> </w:t>
      </w:r>
      <w:r w:rsidR="00767A01" w:rsidRPr="00D35B0C">
        <w:rPr>
          <w:rFonts w:cs="Times New Roman"/>
        </w:rPr>
        <w:t xml:space="preserve">and related information </w:t>
      </w:r>
      <w:r w:rsidR="00767A01" w:rsidRPr="00767A01">
        <w:rPr>
          <w:rFonts w:cs="Times New Roman"/>
        </w:rPr>
        <w:t xml:space="preserve">in </w:t>
      </w:r>
      <w:r w:rsidR="00767A01" w:rsidRPr="00D35B0C">
        <w:rPr>
          <w:rFonts w:cs="Times New Roman"/>
          <w:b/>
          <w:bCs/>
        </w:rPr>
        <w:t>chapter 2</w:t>
      </w:r>
      <w:r w:rsidRPr="4226D5FB">
        <w:rPr>
          <w:rFonts w:cs="Times New Roman"/>
        </w:rPr>
        <w:t xml:space="preserve">). These mechanisms help ensure that surveys incorporate expanding definitions of heritage and heritage value and represent diverse populations and multiple narratives. They also provide a means to identify and consistently categorize and evaluate resources. Importantly, they can be designed for use in digital format and applied directly in the field. </w:t>
      </w:r>
    </w:p>
    <w:p w14:paraId="5547861E" w14:textId="4496A28D" w:rsidR="000F2340" w:rsidRDefault="00767A01" w:rsidP="000F2340">
      <w:pPr>
        <w:pStyle w:val="Default"/>
        <w:rPr>
          <w:rFonts w:cs="Times New Roman"/>
        </w:rPr>
      </w:pPr>
      <w:r>
        <w:rPr>
          <w:rFonts w:cs="Times New Roman"/>
        </w:rPr>
        <w:lastRenderedPageBreak/>
        <w:t>F</w:t>
      </w:r>
      <w:r w:rsidR="000F2340" w:rsidRPr="67E842A9">
        <w:rPr>
          <w:rFonts w:cs="Times New Roman"/>
        </w:rPr>
        <w:t xml:space="preserve">inally, an increasingly central feature of modern surveys </w:t>
      </w:r>
      <w:r>
        <w:rPr>
          <w:rFonts w:cs="Times New Roman"/>
        </w:rPr>
        <w:t>is</w:t>
      </w:r>
      <w:r w:rsidRPr="67E842A9">
        <w:rPr>
          <w:rFonts w:cs="Times New Roman"/>
        </w:rPr>
        <w:t xml:space="preserve"> </w:t>
      </w:r>
      <w:r w:rsidR="000F2340" w:rsidRPr="67E842A9">
        <w:rPr>
          <w:rFonts w:cs="Times New Roman"/>
        </w:rPr>
        <w:t>public outreach and</w:t>
      </w:r>
      <w:r>
        <w:rPr>
          <w:rFonts w:cs="Times New Roman"/>
        </w:rPr>
        <w:t xml:space="preserve"> the</w:t>
      </w:r>
      <w:r w:rsidR="000F2340" w:rsidRPr="67E842A9">
        <w:rPr>
          <w:rFonts w:cs="Times New Roman"/>
        </w:rPr>
        <w:t xml:space="preserve"> </w:t>
      </w:r>
      <w:r>
        <w:rPr>
          <w:rFonts w:cs="Times New Roman"/>
        </w:rPr>
        <w:t xml:space="preserve">associated </w:t>
      </w:r>
      <w:r w:rsidR="000F2340" w:rsidRPr="67E842A9">
        <w:rPr>
          <w:rFonts w:cs="Times New Roman"/>
        </w:rPr>
        <w:t>participation programs</w:t>
      </w:r>
      <w:r>
        <w:rPr>
          <w:rFonts w:cs="Times New Roman"/>
        </w:rPr>
        <w:t>. When effective, these efforts</w:t>
      </w:r>
      <w:r w:rsidR="000F2340" w:rsidRPr="67E842A9">
        <w:rPr>
          <w:rFonts w:cs="Times New Roman"/>
        </w:rPr>
        <w:t xml:space="preserve"> are far-reaching, diverse, and integral to all steps of the survey process </w:t>
      </w:r>
      <w:r w:rsidR="008B1BE7">
        <w:rPr>
          <w:rFonts w:cs="Times New Roman"/>
        </w:rPr>
        <w:t xml:space="preserve">(see </w:t>
      </w:r>
      <w:r w:rsidR="5C857340" w:rsidRPr="00676C3E">
        <w:rPr>
          <w:rFonts w:cs="Times New Roman"/>
          <w:b/>
          <w:bCs/>
        </w:rPr>
        <w:t>fig</w:t>
      </w:r>
      <w:r w:rsidR="008B1BE7" w:rsidRPr="00676C3E">
        <w:rPr>
          <w:rFonts w:cs="Times New Roman"/>
          <w:b/>
          <w:bCs/>
        </w:rPr>
        <w:t xml:space="preserve">. </w:t>
      </w:r>
      <w:r w:rsidR="00676C3E" w:rsidRPr="00676C3E">
        <w:rPr>
          <w:rFonts w:cs="Times New Roman"/>
          <w:b/>
          <w:bCs/>
        </w:rPr>
        <w:t>II</w:t>
      </w:r>
      <w:r w:rsidR="008B1BE7" w:rsidRPr="00676C3E">
        <w:rPr>
          <w:rFonts w:cs="Times New Roman"/>
          <w:b/>
          <w:bCs/>
        </w:rPr>
        <w:t>.1</w:t>
      </w:r>
      <w:r w:rsidR="008B1BE7">
        <w:rPr>
          <w:rFonts w:cs="Times New Roman"/>
        </w:rPr>
        <w:t>)</w:t>
      </w:r>
      <w:r w:rsidR="5C857340" w:rsidRPr="67E842A9">
        <w:rPr>
          <w:rFonts w:cs="Times New Roman"/>
        </w:rPr>
        <w:t>.</w:t>
      </w:r>
      <w:r w:rsidR="104DCF52" w:rsidRPr="67E842A9">
        <w:rPr>
          <w:rFonts w:cs="Times New Roman"/>
        </w:rPr>
        <w:t xml:space="preserve"> </w:t>
      </w:r>
      <w:r w:rsidR="000F2340" w:rsidRPr="67E842A9">
        <w:rPr>
          <w:rFonts w:cs="Times New Roman"/>
        </w:rPr>
        <w:t>Such programs may incorporate a range of strategies to directly involve communities in documenting their stories, foster partnerships and collaborations, and incite interest in a survey generally (</w:t>
      </w:r>
      <w:r>
        <w:rPr>
          <w:rFonts w:cs="Times New Roman"/>
        </w:rPr>
        <w:t>{{</w:t>
      </w:r>
      <w:r w:rsidR="000F2340" w:rsidRPr="67E842A9">
        <w:rPr>
          <w:rFonts w:cs="Times New Roman"/>
        </w:rPr>
        <w:t xml:space="preserve">Hansen and </w:t>
      </w:r>
      <w:r w:rsidR="00057856" w:rsidRPr="00057856">
        <w:rPr>
          <w:rFonts w:cs="Times New Roman"/>
        </w:rPr>
        <w:t xml:space="preserve">Delgadillo </w:t>
      </w:r>
      <w:r w:rsidR="000F2340" w:rsidRPr="67E842A9">
        <w:rPr>
          <w:rFonts w:cs="Times New Roman"/>
        </w:rPr>
        <w:t>Cruz 2019</w:t>
      </w:r>
      <w:r w:rsidR="00DD5166">
        <w:rPr>
          <w:rFonts w:cs="Times New Roman"/>
        </w:rPr>
        <w:t>}}</w:t>
      </w:r>
      <w:r w:rsidR="000F2340" w:rsidRPr="67E842A9">
        <w:rPr>
          <w:rFonts w:cs="Times New Roman"/>
        </w:rPr>
        <w:t>). Today, developing and implementing thoughtful and innovative approaches to survey outreach can be a substantial</w:t>
      </w:r>
      <w:r w:rsidR="00DD5166">
        <w:rPr>
          <w:rFonts w:cs="Times New Roman"/>
        </w:rPr>
        <w:t>,</w:t>
      </w:r>
      <w:r w:rsidR="000F2340" w:rsidRPr="67E842A9">
        <w:rPr>
          <w:rFonts w:cs="Times New Roman"/>
        </w:rPr>
        <w:t xml:space="preserve"> </w:t>
      </w:r>
      <w:r w:rsidR="00DD5166" w:rsidRPr="67E842A9">
        <w:rPr>
          <w:rFonts w:cs="Times New Roman"/>
        </w:rPr>
        <w:t>time</w:t>
      </w:r>
      <w:r w:rsidR="00DD5166">
        <w:rPr>
          <w:rFonts w:cs="Times New Roman"/>
        </w:rPr>
        <w:t>-</w:t>
      </w:r>
      <w:r w:rsidR="00DD5166" w:rsidRPr="67E842A9">
        <w:rPr>
          <w:rFonts w:cs="Times New Roman"/>
        </w:rPr>
        <w:t xml:space="preserve">intensive </w:t>
      </w:r>
      <w:r w:rsidR="000F2340" w:rsidRPr="67E842A9">
        <w:rPr>
          <w:rFonts w:cs="Times New Roman"/>
        </w:rPr>
        <w:t xml:space="preserve">effort that requires specialized expertise in community engagement.   </w:t>
      </w:r>
    </w:p>
    <w:p w14:paraId="41AD660C" w14:textId="77777777" w:rsidR="000F2340" w:rsidRPr="0044474A" w:rsidRDefault="000F2340" w:rsidP="008B1BE7">
      <w:pPr>
        <w:pStyle w:val="Heading2"/>
      </w:pPr>
      <w:bookmarkStart w:id="2" w:name="_Toc95825300"/>
      <w:r w:rsidRPr="49E1B16B">
        <w:t>Undertaking Heritage Surveys</w:t>
      </w:r>
      <w:bookmarkEnd w:id="2"/>
    </w:p>
    <w:p w14:paraId="4A3EC88E" w14:textId="69AFDF6F" w:rsidR="000F2340" w:rsidRDefault="000F2340" w:rsidP="000F2340">
      <w:pPr>
        <w:widowControl w:val="0"/>
        <w:rPr>
          <w:rFonts w:eastAsiaTheme="minorEastAsia" w:cs="Times New Roman"/>
          <w:color w:val="000000" w:themeColor="text1"/>
        </w:rPr>
      </w:pPr>
      <w:r w:rsidRPr="17D899DA">
        <w:rPr>
          <w:rFonts w:eastAsia="Times New Roman" w:cs="Times New Roman"/>
          <w:color w:val="000000" w:themeColor="text1"/>
        </w:rPr>
        <w:t xml:space="preserve">A </w:t>
      </w:r>
      <w:r>
        <w:rPr>
          <w:rFonts w:eastAsia="Times New Roman" w:cs="Times New Roman"/>
          <w:color w:val="000000" w:themeColor="text1"/>
        </w:rPr>
        <w:t xml:space="preserve">heritage </w:t>
      </w:r>
      <w:r w:rsidRPr="17D899DA">
        <w:rPr>
          <w:rFonts w:eastAsia="Times New Roman" w:cs="Times New Roman"/>
          <w:color w:val="000000" w:themeColor="text1"/>
        </w:rPr>
        <w:t>s</w:t>
      </w:r>
      <w:r w:rsidRPr="17D899DA">
        <w:rPr>
          <w:rFonts w:eastAsiaTheme="minorEastAsia" w:cs="Times New Roman"/>
          <w:color w:val="000000" w:themeColor="text1"/>
        </w:rPr>
        <w:t xml:space="preserve">urvey can be initiated by governmental agencies, </w:t>
      </w:r>
      <w:r w:rsidR="00DD5166">
        <w:rPr>
          <w:rFonts w:eastAsiaTheme="minorEastAsia" w:cs="Times New Roman"/>
          <w:color w:val="000000" w:themeColor="text1"/>
        </w:rPr>
        <w:t>NGOs</w:t>
      </w:r>
      <w:r w:rsidRPr="17D899DA">
        <w:rPr>
          <w:rFonts w:eastAsiaTheme="minorEastAsia" w:cs="Times New Roman"/>
          <w:color w:val="000000" w:themeColor="text1"/>
        </w:rPr>
        <w:t>, or partnerships between the two. Surveys are generally most impactful for heritage management when they are officially endorsed and managed by agencies charged with enforcing heritage legislation, such as local, regional, and national governments (</w:t>
      </w:r>
      <w:r w:rsidR="00DD5166">
        <w:rPr>
          <w:rFonts w:eastAsiaTheme="minorEastAsia" w:cs="Times New Roman"/>
          <w:color w:val="000000" w:themeColor="text1"/>
        </w:rPr>
        <w:t>{{</w:t>
      </w:r>
      <w:r w:rsidRPr="17D899DA">
        <w:rPr>
          <w:rFonts w:eastAsiaTheme="minorEastAsia" w:cs="Times New Roman"/>
          <w:color w:val="000000" w:themeColor="text1"/>
        </w:rPr>
        <w:t>Derry et al. 1985</w:t>
      </w:r>
      <w:r w:rsidR="00DD5166">
        <w:rPr>
          <w:rFonts w:eastAsiaTheme="minorEastAsia" w:cs="Times New Roman"/>
          <w:color w:val="000000" w:themeColor="text1"/>
        </w:rPr>
        <w:t>|</w:t>
      </w:r>
      <w:r w:rsidRPr="17D899DA">
        <w:rPr>
          <w:rFonts w:eastAsiaTheme="minorEastAsia" w:cs="Times New Roman"/>
          <w:color w:val="000000" w:themeColor="text1"/>
        </w:rPr>
        <w:t>8</w:t>
      </w:r>
      <w:r w:rsidR="00DD5166">
        <w:rPr>
          <w:rFonts w:eastAsiaTheme="minorEastAsia" w:cs="Times New Roman"/>
          <w:color w:val="000000" w:themeColor="text1"/>
        </w:rPr>
        <w:t>}}</w:t>
      </w:r>
      <w:r w:rsidRPr="17D899DA">
        <w:rPr>
          <w:rFonts w:eastAsiaTheme="minorEastAsia" w:cs="Times New Roman"/>
          <w:color w:val="000000" w:themeColor="text1"/>
        </w:rPr>
        <w:t xml:space="preserve">). In </w:t>
      </w:r>
      <w:r w:rsidR="00DD5166">
        <w:rPr>
          <w:rFonts w:eastAsiaTheme="minorEastAsia" w:cs="Times New Roman"/>
          <w:color w:val="000000" w:themeColor="text1"/>
        </w:rPr>
        <w:t xml:space="preserve">some </w:t>
      </w:r>
      <w:r w:rsidRPr="17D899DA">
        <w:rPr>
          <w:rFonts w:eastAsiaTheme="minorEastAsia" w:cs="Times New Roman"/>
          <w:color w:val="000000" w:themeColor="text1"/>
        </w:rPr>
        <w:t xml:space="preserve">cases, heritage surveys may originate from programs and activities led by local universities, museums, heritage organizations, </w:t>
      </w:r>
      <w:r w:rsidR="00DD5166">
        <w:rPr>
          <w:rFonts w:eastAsiaTheme="minorEastAsia" w:cs="Times New Roman"/>
          <w:color w:val="000000" w:themeColor="text1"/>
        </w:rPr>
        <w:t>or</w:t>
      </w:r>
      <w:r w:rsidR="00DD5166" w:rsidRPr="17D899DA">
        <w:rPr>
          <w:rFonts w:eastAsiaTheme="minorEastAsia" w:cs="Times New Roman"/>
          <w:color w:val="000000" w:themeColor="text1"/>
        </w:rPr>
        <w:t xml:space="preserve"> </w:t>
      </w:r>
      <w:r w:rsidRPr="17D899DA">
        <w:rPr>
          <w:rFonts w:eastAsiaTheme="minorEastAsia" w:cs="Times New Roman"/>
          <w:color w:val="000000" w:themeColor="text1"/>
        </w:rPr>
        <w:t xml:space="preserve">community </w:t>
      </w:r>
      <w:r>
        <w:rPr>
          <w:rFonts w:eastAsiaTheme="minorEastAsia" w:cs="Times New Roman"/>
          <w:color w:val="000000" w:themeColor="text1"/>
        </w:rPr>
        <w:t>groups</w:t>
      </w:r>
      <w:r w:rsidRPr="17D899DA">
        <w:rPr>
          <w:rFonts w:eastAsiaTheme="minorEastAsia" w:cs="Times New Roman"/>
          <w:color w:val="000000" w:themeColor="text1"/>
        </w:rPr>
        <w:t xml:space="preserve">, often working toward collaborations with governmental agencies. The concept for a citywide survey of Los Angeles, for example, started as a research project of the </w:t>
      </w:r>
      <w:r w:rsidR="002346EC">
        <w:rPr>
          <w:rFonts w:eastAsiaTheme="minorEastAsia" w:cs="Times New Roman"/>
          <w:color w:val="000000" w:themeColor="text1"/>
        </w:rPr>
        <w:t>GCI</w:t>
      </w:r>
      <w:r w:rsidRPr="17D899DA">
        <w:rPr>
          <w:rFonts w:eastAsiaTheme="minorEastAsia" w:cs="Times New Roman"/>
          <w:color w:val="000000" w:themeColor="text1"/>
        </w:rPr>
        <w:t>; SurveyLA subsequently became a public</w:t>
      </w:r>
      <w:r w:rsidR="00DD5166">
        <w:rPr>
          <w:rFonts w:eastAsiaTheme="minorEastAsia" w:cs="Times New Roman"/>
          <w:color w:val="000000" w:themeColor="text1"/>
        </w:rPr>
        <w:t>-</w:t>
      </w:r>
      <w:r w:rsidRPr="17D899DA">
        <w:rPr>
          <w:rFonts w:eastAsiaTheme="minorEastAsia" w:cs="Times New Roman"/>
          <w:color w:val="000000" w:themeColor="text1"/>
        </w:rPr>
        <w:t xml:space="preserve">private partnership between the city and the Getty. </w:t>
      </w:r>
    </w:p>
    <w:p w14:paraId="0D7EDE5A" w14:textId="4CF91AE3" w:rsidR="00A40C06" w:rsidRDefault="000F2340" w:rsidP="00D35B0C">
      <w:pPr>
        <w:widowControl w:val="0"/>
      </w:pPr>
      <w:r>
        <w:t xml:space="preserve">The commitment to undertake a survey is generally secured at the beginning or upon completion of </w:t>
      </w:r>
      <w:r w:rsidR="00DD5166">
        <w:t>s</w:t>
      </w:r>
      <w:r>
        <w:t>tep 1</w:t>
      </w:r>
      <w:r w:rsidR="00676C3E">
        <w:t xml:space="preserve"> o</w:t>
      </w:r>
      <w:r>
        <w:t>r 2 of the survey process</w:t>
      </w:r>
      <w:r w:rsidR="00DD5166">
        <w:t>,</w:t>
      </w:r>
      <w:r>
        <w:t xml:space="preserve"> and </w:t>
      </w:r>
      <w:r w:rsidR="00DD5166">
        <w:t xml:space="preserve">it </w:t>
      </w:r>
      <w:r>
        <w:t xml:space="preserve">may come in phases. For example, early interest in a survey may result in funding a needs assessment, the findings of which may then </w:t>
      </w:r>
      <w:r w:rsidRPr="6C33A7D1">
        <w:rPr>
          <w:rFonts w:cs="Times New Roman"/>
        </w:rPr>
        <w:t>provide the basis for securing a commitment to mov</w:t>
      </w:r>
      <w:r w:rsidR="00DD5166">
        <w:rPr>
          <w:rFonts w:cs="Times New Roman"/>
        </w:rPr>
        <w:t>e</w:t>
      </w:r>
      <w:r w:rsidRPr="6C33A7D1">
        <w:rPr>
          <w:rFonts w:cs="Times New Roman"/>
        </w:rPr>
        <w:t xml:space="preserve"> forward with survey planning.</w:t>
      </w:r>
      <w:r>
        <w:t xml:space="preserve"> The plan, in turn, can provide information to support allocating resources needed to complete a survey, often over a </w:t>
      </w:r>
      <w:r>
        <w:lastRenderedPageBreak/>
        <w:t>protracted period of time.</w:t>
      </w:r>
      <w:r w:rsidR="00676C3E">
        <w:t xml:space="preserve"> </w:t>
      </w:r>
      <w:r w:rsidR="00AE2B29">
        <w:t>The needs assessment and survey plan</w:t>
      </w:r>
      <w:r w:rsidR="00EC48AF">
        <w:t xml:space="preserve"> </w:t>
      </w:r>
      <w:r w:rsidR="00FA3BF2">
        <w:t>discussed</w:t>
      </w:r>
      <w:r w:rsidR="00EC48AF">
        <w:t xml:space="preserve"> </w:t>
      </w:r>
      <w:r w:rsidR="00FA3BF2">
        <w:t>further</w:t>
      </w:r>
      <w:r w:rsidR="00EC48AF">
        <w:t xml:space="preserve"> in the following chapters are foundational to</w:t>
      </w:r>
      <w:r w:rsidR="00FA3BF2">
        <w:t xml:space="preserve"> </w:t>
      </w:r>
      <w:r w:rsidR="00D4479C">
        <w:t>organizational buy</w:t>
      </w:r>
      <w:r w:rsidR="00676C3E">
        <w:t>-</w:t>
      </w:r>
      <w:r w:rsidR="00D4479C">
        <w:t>in</w:t>
      </w:r>
      <w:r w:rsidR="00E77F0B">
        <w:t xml:space="preserve"> for a survey.</w:t>
      </w:r>
      <w:r w:rsidR="00D4479C">
        <w:t xml:space="preserve"> </w:t>
      </w:r>
    </w:p>
    <w:sectPr w:rsidR="00A40C0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C6C62" w14:textId="77777777" w:rsidR="000321B2" w:rsidRDefault="000321B2" w:rsidP="000F2340">
      <w:pPr>
        <w:spacing w:line="240" w:lineRule="auto"/>
      </w:pPr>
      <w:r>
        <w:separator/>
      </w:r>
    </w:p>
  </w:endnote>
  <w:endnote w:type="continuationSeparator" w:id="0">
    <w:p w14:paraId="38B20A2A" w14:textId="77777777" w:rsidR="000321B2" w:rsidRDefault="000321B2" w:rsidP="000F2340">
      <w:pPr>
        <w:spacing w:line="240" w:lineRule="auto"/>
      </w:pPr>
      <w:r>
        <w:continuationSeparator/>
      </w:r>
    </w:p>
  </w:endnote>
  <w:endnote w:id="1">
    <w:p w14:paraId="129D85C6" w14:textId="594DD4EB" w:rsidR="005F701C" w:rsidRPr="006F7C2D" w:rsidRDefault="005F701C" w:rsidP="005F701C">
      <w:pPr>
        <w:pStyle w:val="EndnoteText"/>
        <w:spacing w:line="480" w:lineRule="auto"/>
        <w:ind w:left="187" w:hanging="187"/>
      </w:pPr>
      <w:r w:rsidRPr="00676C3E">
        <w:rPr>
          <w:sz w:val="24"/>
          <w:szCs w:val="24"/>
        </w:rPr>
        <w:endnoteRef/>
      </w:r>
      <w:r w:rsidR="00676C3E">
        <w:t>.</w:t>
      </w:r>
      <w:r w:rsidRPr="00A362B8">
        <w:t xml:space="preserve"> </w:t>
      </w:r>
      <w:r w:rsidRPr="00D35B0C">
        <w:rPr>
          <w:sz w:val="24"/>
          <w:szCs w:val="24"/>
        </w:rPr>
        <w:t>SurveyLA did not include archaeological resources or resources associated</w:t>
      </w:r>
      <w:r w:rsidRPr="00D35B0C">
        <w:rPr>
          <w:rFonts w:cs="Times New Roman"/>
          <w:sz w:val="24"/>
          <w:szCs w:val="24"/>
        </w:rPr>
        <w:t xml:space="preserve"> with indigenous peoples.</w:t>
      </w:r>
      <w:r>
        <w:rPr>
          <w:rFonts w:cs="Times New Roman"/>
          <w:sz w:val="24"/>
          <w:szCs w:val="24"/>
        </w:rPr>
        <w:t xml:space="preserve"> Though these topics, as well as intangible heritage, are not explored in detail in part </w:t>
      </w:r>
      <w:r w:rsidR="00D35B0C">
        <w:rPr>
          <w:rFonts w:cs="Times New Roman"/>
          <w:sz w:val="24"/>
          <w:szCs w:val="24"/>
        </w:rPr>
        <w:t>II</w:t>
      </w:r>
      <w:r>
        <w:rPr>
          <w:rFonts w:cs="Times New Roman"/>
          <w:sz w:val="24"/>
          <w:szCs w:val="24"/>
        </w:rPr>
        <w:t xml:space="preserve">, they are touched on throughout this publication. Archaeological resources are directly </w:t>
      </w:r>
      <w:r w:rsidRPr="00A362B8">
        <w:rPr>
          <w:sz w:val="24"/>
          <w:szCs w:val="24"/>
        </w:rPr>
        <w:t xml:space="preserve">addressed in </w:t>
      </w:r>
      <w:r w:rsidRPr="00D35B0C">
        <w:rPr>
          <w:b/>
          <w:bCs/>
          <w:sz w:val="24"/>
          <w:szCs w:val="24"/>
        </w:rPr>
        <w:t>chapter 13</w:t>
      </w:r>
      <w:r w:rsidRPr="00A362B8">
        <w:rPr>
          <w:sz w:val="24"/>
          <w:szCs w:val="24"/>
        </w:rPr>
        <w:t>,</w:t>
      </w:r>
      <w:r w:rsidRPr="00A362B8">
        <w:rPr>
          <w:sz w:val="26"/>
          <w:szCs w:val="26"/>
        </w:rPr>
        <w:t xml:space="preserve"> </w:t>
      </w:r>
      <w:r>
        <w:rPr>
          <w:rFonts w:cs="Times New Roman"/>
          <w:sz w:val="24"/>
          <w:szCs w:val="24"/>
        </w:rPr>
        <w:t xml:space="preserve">and an intangible heritage inventory is described </w:t>
      </w:r>
      <w:r w:rsidRPr="00A362B8">
        <w:t xml:space="preserve">in </w:t>
      </w:r>
      <w:r w:rsidRPr="00D35B0C">
        <w:rPr>
          <w:b/>
          <w:bCs/>
          <w:sz w:val="24"/>
          <w:szCs w:val="24"/>
        </w:rPr>
        <w:t>chapter 14</w:t>
      </w:r>
      <w:r>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inotypeSyntax">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06DC" w14:textId="77777777" w:rsidR="000321B2" w:rsidRDefault="000321B2" w:rsidP="000F2340">
      <w:pPr>
        <w:spacing w:line="240" w:lineRule="auto"/>
      </w:pPr>
      <w:r>
        <w:separator/>
      </w:r>
    </w:p>
  </w:footnote>
  <w:footnote w:type="continuationSeparator" w:id="0">
    <w:p w14:paraId="0B4FB2BF" w14:textId="77777777" w:rsidR="000321B2" w:rsidRDefault="000321B2" w:rsidP="000F23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51B"/>
    <w:multiLevelType w:val="hybridMultilevel"/>
    <w:tmpl w:val="6908D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DC2946"/>
    <w:multiLevelType w:val="hybridMultilevel"/>
    <w:tmpl w:val="28DE3D62"/>
    <w:lvl w:ilvl="0" w:tplc="2932E994">
      <w:start w:val="1"/>
      <w:numFmt w:val="bullet"/>
      <w:lvlText w:val=""/>
      <w:lvlJc w:val="left"/>
      <w:pPr>
        <w:ind w:left="720" w:hanging="360"/>
      </w:pPr>
      <w:rPr>
        <w:rFonts w:ascii="Symbol" w:hAnsi="Symbol" w:hint="default"/>
      </w:rPr>
    </w:lvl>
    <w:lvl w:ilvl="1" w:tplc="8BBE6C68">
      <w:start w:val="1"/>
      <w:numFmt w:val="bullet"/>
      <w:lvlText w:val="o"/>
      <w:lvlJc w:val="left"/>
      <w:pPr>
        <w:ind w:left="1440" w:hanging="360"/>
      </w:pPr>
      <w:rPr>
        <w:rFonts w:ascii="Courier New" w:hAnsi="Courier New" w:hint="default"/>
      </w:rPr>
    </w:lvl>
    <w:lvl w:ilvl="2" w:tplc="48369E74">
      <w:start w:val="1"/>
      <w:numFmt w:val="bullet"/>
      <w:lvlText w:val=""/>
      <w:lvlJc w:val="left"/>
      <w:pPr>
        <w:ind w:left="2160" w:hanging="360"/>
      </w:pPr>
      <w:rPr>
        <w:rFonts w:ascii="Wingdings" w:hAnsi="Wingdings" w:hint="default"/>
      </w:rPr>
    </w:lvl>
    <w:lvl w:ilvl="3" w:tplc="6F7AF5EE">
      <w:start w:val="1"/>
      <w:numFmt w:val="bullet"/>
      <w:lvlText w:val=""/>
      <w:lvlJc w:val="left"/>
      <w:pPr>
        <w:ind w:left="2880" w:hanging="360"/>
      </w:pPr>
      <w:rPr>
        <w:rFonts w:ascii="Symbol" w:hAnsi="Symbol" w:hint="default"/>
      </w:rPr>
    </w:lvl>
    <w:lvl w:ilvl="4" w:tplc="5B9262E8">
      <w:start w:val="1"/>
      <w:numFmt w:val="bullet"/>
      <w:lvlText w:val="o"/>
      <w:lvlJc w:val="left"/>
      <w:pPr>
        <w:ind w:left="3600" w:hanging="360"/>
      </w:pPr>
      <w:rPr>
        <w:rFonts w:ascii="Courier New" w:hAnsi="Courier New" w:hint="default"/>
      </w:rPr>
    </w:lvl>
    <w:lvl w:ilvl="5" w:tplc="BAF00878">
      <w:start w:val="1"/>
      <w:numFmt w:val="bullet"/>
      <w:lvlText w:val=""/>
      <w:lvlJc w:val="left"/>
      <w:pPr>
        <w:ind w:left="4320" w:hanging="360"/>
      </w:pPr>
      <w:rPr>
        <w:rFonts w:ascii="Wingdings" w:hAnsi="Wingdings" w:hint="default"/>
      </w:rPr>
    </w:lvl>
    <w:lvl w:ilvl="6" w:tplc="576E793E">
      <w:start w:val="1"/>
      <w:numFmt w:val="bullet"/>
      <w:lvlText w:val=""/>
      <w:lvlJc w:val="left"/>
      <w:pPr>
        <w:ind w:left="5040" w:hanging="360"/>
      </w:pPr>
      <w:rPr>
        <w:rFonts w:ascii="Symbol" w:hAnsi="Symbol" w:hint="default"/>
      </w:rPr>
    </w:lvl>
    <w:lvl w:ilvl="7" w:tplc="D010A4BA">
      <w:start w:val="1"/>
      <w:numFmt w:val="bullet"/>
      <w:lvlText w:val="o"/>
      <w:lvlJc w:val="left"/>
      <w:pPr>
        <w:ind w:left="5760" w:hanging="360"/>
      </w:pPr>
      <w:rPr>
        <w:rFonts w:ascii="Courier New" w:hAnsi="Courier New" w:hint="default"/>
      </w:rPr>
    </w:lvl>
    <w:lvl w:ilvl="8" w:tplc="EE944E90">
      <w:start w:val="1"/>
      <w:numFmt w:val="bullet"/>
      <w:lvlText w:val=""/>
      <w:lvlJc w:val="left"/>
      <w:pPr>
        <w:ind w:left="6480" w:hanging="360"/>
      </w:pPr>
      <w:rPr>
        <w:rFonts w:ascii="Wingdings" w:hAnsi="Wingdings" w:hint="default"/>
      </w:rPr>
    </w:lvl>
  </w:abstractNum>
  <w:num w:numId="1" w16cid:durableId="998072893">
    <w:abstractNumId w:val="1"/>
  </w:num>
  <w:num w:numId="2" w16cid:durableId="101928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40"/>
    <w:rsid w:val="0002571D"/>
    <w:rsid w:val="000321B2"/>
    <w:rsid w:val="00057856"/>
    <w:rsid w:val="000C16C5"/>
    <w:rsid w:val="000D298B"/>
    <w:rsid w:val="000D3CBC"/>
    <w:rsid w:val="000D5965"/>
    <w:rsid w:val="000E7272"/>
    <w:rsid w:val="000F2340"/>
    <w:rsid w:val="00103E7C"/>
    <w:rsid w:val="001074DA"/>
    <w:rsid w:val="00135BC4"/>
    <w:rsid w:val="001453AB"/>
    <w:rsid w:val="001D77B3"/>
    <w:rsid w:val="002011D9"/>
    <w:rsid w:val="002346EC"/>
    <w:rsid w:val="00300A8D"/>
    <w:rsid w:val="003B31F0"/>
    <w:rsid w:val="003E1C27"/>
    <w:rsid w:val="00461A58"/>
    <w:rsid w:val="0051611D"/>
    <w:rsid w:val="005501EA"/>
    <w:rsid w:val="00573EBE"/>
    <w:rsid w:val="0057428C"/>
    <w:rsid w:val="005E631A"/>
    <w:rsid w:val="005F6BAB"/>
    <w:rsid w:val="005F701C"/>
    <w:rsid w:val="00656A37"/>
    <w:rsid w:val="006648B2"/>
    <w:rsid w:val="00676C3E"/>
    <w:rsid w:val="006813B1"/>
    <w:rsid w:val="006F52A2"/>
    <w:rsid w:val="007473C4"/>
    <w:rsid w:val="00767A01"/>
    <w:rsid w:val="00797804"/>
    <w:rsid w:val="007CFFD5"/>
    <w:rsid w:val="007D30E6"/>
    <w:rsid w:val="0080117D"/>
    <w:rsid w:val="00816985"/>
    <w:rsid w:val="008169E8"/>
    <w:rsid w:val="00885D39"/>
    <w:rsid w:val="008B1BE7"/>
    <w:rsid w:val="008D0940"/>
    <w:rsid w:val="008E3857"/>
    <w:rsid w:val="008E4826"/>
    <w:rsid w:val="009034D1"/>
    <w:rsid w:val="00914F10"/>
    <w:rsid w:val="00931E22"/>
    <w:rsid w:val="009D7850"/>
    <w:rsid w:val="00A40C06"/>
    <w:rsid w:val="00A827EA"/>
    <w:rsid w:val="00A86BBD"/>
    <w:rsid w:val="00A9282A"/>
    <w:rsid w:val="00AB7355"/>
    <w:rsid w:val="00AE2B29"/>
    <w:rsid w:val="00B92E1E"/>
    <w:rsid w:val="00BE5542"/>
    <w:rsid w:val="00BF52EF"/>
    <w:rsid w:val="00CD46C5"/>
    <w:rsid w:val="00D04CDE"/>
    <w:rsid w:val="00D35B0C"/>
    <w:rsid w:val="00D4479C"/>
    <w:rsid w:val="00D5605E"/>
    <w:rsid w:val="00D61E3D"/>
    <w:rsid w:val="00DD5166"/>
    <w:rsid w:val="00E26847"/>
    <w:rsid w:val="00E64DC5"/>
    <w:rsid w:val="00E77F0B"/>
    <w:rsid w:val="00EC48AF"/>
    <w:rsid w:val="00FA3BF2"/>
    <w:rsid w:val="00FF42BB"/>
    <w:rsid w:val="104DCF52"/>
    <w:rsid w:val="16C3BAE2"/>
    <w:rsid w:val="28A62D06"/>
    <w:rsid w:val="37EB496C"/>
    <w:rsid w:val="3E589491"/>
    <w:rsid w:val="4A0B19C4"/>
    <w:rsid w:val="4EDF6E45"/>
    <w:rsid w:val="5C670B6C"/>
    <w:rsid w:val="5C857340"/>
    <w:rsid w:val="67E842A9"/>
    <w:rsid w:val="69C4CC45"/>
    <w:rsid w:val="69CD32D4"/>
    <w:rsid w:val="73C70B50"/>
    <w:rsid w:val="76FEAC12"/>
    <w:rsid w:val="7FBE4B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4F16"/>
  <w15:chartTrackingRefBased/>
  <w15:docId w15:val="{E7A7E122-23A3-CB4B-9BD1-FEB9D3A1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EC"/>
    <w:pPr>
      <w:spacing w:after="120" w:line="480" w:lineRule="auto"/>
    </w:pPr>
    <w:rPr>
      <w:rFonts w:ascii="Times New Roman" w:hAnsi="Times New Roman"/>
      <w:szCs w:val="22"/>
    </w:rPr>
  </w:style>
  <w:style w:type="paragraph" w:styleId="Heading1">
    <w:name w:val="heading 1"/>
    <w:basedOn w:val="Normal"/>
    <w:next w:val="Normal"/>
    <w:link w:val="Heading1Char"/>
    <w:uiPriority w:val="9"/>
    <w:qFormat/>
    <w:rsid w:val="000F2340"/>
    <w:pPr>
      <w:keepNext/>
      <w:keepLines/>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1BE7"/>
    <w:pPr>
      <w:keepNext/>
      <w:keepLines/>
      <w:spacing w:before="120" w:after="240"/>
      <w:outlineLvl w:val="1"/>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340"/>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8B1BE7"/>
    <w:rPr>
      <w:rFonts w:ascii="Times New Roman" w:eastAsiaTheme="majorEastAsia" w:hAnsi="Times New Roman" w:cstheme="majorBidi"/>
      <w:b/>
      <w:bCs/>
      <w:sz w:val="28"/>
      <w:szCs w:val="28"/>
    </w:rPr>
  </w:style>
  <w:style w:type="paragraph" w:customStyle="1" w:styleId="Default">
    <w:name w:val="Default"/>
    <w:rsid w:val="00931E22"/>
    <w:pPr>
      <w:autoSpaceDE w:val="0"/>
      <w:autoSpaceDN w:val="0"/>
      <w:adjustRightInd w:val="0"/>
      <w:spacing w:after="120" w:line="480" w:lineRule="auto"/>
    </w:pPr>
    <w:rPr>
      <w:rFonts w:ascii="Times New Roman" w:eastAsiaTheme="minorEastAsia" w:hAnsi="Times New Roman" w:cs="LinotypeSyntax"/>
      <w:color w:val="000000"/>
    </w:rPr>
  </w:style>
  <w:style w:type="character" w:customStyle="1" w:styleId="A1">
    <w:name w:val="A1"/>
    <w:uiPriority w:val="99"/>
    <w:rsid w:val="000F2340"/>
    <w:rPr>
      <w:rFonts w:cs="LinotypeSyntax"/>
      <w:color w:val="211D1E"/>
      <w:sz w:val="16"/>
      <w:szCs w:val="16"/>
    </w:rPr>
  </w:style>
  <w:style w:type="paragraph" w:styleId="ListParagraph">
    <w:name w:val="List Paragraph"/>
    <w:basedOn w:val="Normal"/>
    <w:uiPriority w:val="34"/>
    <w:qFormat/>
    <w:rsid w:val="000F2340"/>
    <w:pPr>
      <w:ind w:left="720"/>
    </w:pPr>
  </w:style>
  <w:style w:type="paragraph" w:styleId="EndnoteText">
    <w:name w:val="endnote text"/>
    <w:basedOn w:val="Normal"/>
    <w:link w:val="EndnoteTextChar"/>
    <w:uiPriority w:val="99"/>
    <w:unhideWhenUsed/>
    <w:rsid w:val="000F2340"/>
    <w:pPr>
      <w:spacing w:line="240" w:lineRule="auto"/>
    </w:pPr>
    <w:rPr>
      <w:sz w:val="20"/>
      <w:szCs w:val="20"/>
    </w:rPr>
  </w:style>
  <w:style w:type="character" w:customStyle="1" w:styleId="EndnoteTextChar">
    <w:name w:val="Endnote Text Char"/>
    <w:basedOn w:val="DefaultParagraphFont"/>
    <w:link w:val="EndnoteText"/>
    <w:uiPriority w:val="99"/>
    <w:rsid w:val="000F2340"/>
    <w:rPr>
      <w:rFonts w:ascii="Times New Roman" w:hAnsi="Times New Roman"/>
      <w:sz w:val="20"/>
      <w:szCs w:val="20"/>
    </w:rPr>
  </w:style>
  <w:style w:type="character" w:styleId="EndnoteReference">
    <w:name w:val="endnote reference"/>
    <w:basedOn w:val="DefaultParagraphFont"/>
    <w:uiPriority w:val="99"/>
    <w:unhideWhenUsed/>
    <w:rsid w:val="000F2340"/>
    <w:rPr>
      <w:vertAlign w:val="superscript"/>
    </w:rPr>
  </w:style>
  <w:style w:type="paragraph" w:styleId="Revision">
    <w:name w:val="Revision"/>
    <w:hidden/>
    <w:uiPriority w:val="99"/>
    <w:semiHidden/>
    <w:rsid w:val="00797804"/>
    <w:rPr>
      <w:rFonts w:ascii="Times New Roman" w:hAnsi="Times New Roman"/>
      <w:szCs w:val="22"/>
    </w:rPr>
  </w:style>
  <w:style w:type="character" w:styleId="CommentReference">
    <w:name w:val="annotation reference"/>
    <w:basedOn w:val="DefaultParagraphFont"/>
    <w:uiPriority w:val="99"/>
    <w:semiHidden/>
    <w:unhideWhenUsed/>
    <w:rsid w:val="008B1BE7"/>
    <w:rPr>
      <w:sz w:val="16"/>
      <w:szCs w:val="16"/>
    </w:rPr>
  </w:style>
  <w:style w:type="paragraph" w:styleId="CommentText">
    <w:name w:val="annotation text"/>
    <w:basedOn w:val="Normal"/>
    <w:link w:val="CommentTextChar"/>
    <w:uiPriority w:val="99"/>
    <w:unhideWhenUsed/>
    <w:rsid w:val="008B1BE7"/>
    <w:pPr>
      <w:spacing w:line="240" w:lineRule="auto"/>
    </w:pPr>
    <w:rPr>
      <w:sz w:val="20"/>
      <w:szCs w:val="20"/>
    </w:rPr>
  </w:style>
  <w:style w:type="character" w:customStyle="1" w:styleId="CommentTextChar">
    <w:name w:val="Comment Text Char"/>
    <w:basedOn w:val="DefaultParagraphFont"/>
    <w:link w:val="CommentText"/>
    <w:uiPriority w:val="99"/>
    <w:rsid w:val="008B1BE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B1BE7"/>
    <w:rPr>
      <w:b/>
      <w:bCs/>
    </w:rPr>
  </w:style>
  <w:style w:type="character" w:customStyle="1" w:styleId="CommentSubjectChar">
    <w:name w:val="Comment Subject Char"/>
    <w:basedOn w:val="CommentTextChar"/>
    <w:link w:val="CommentSubject"/>
    <w:uiPriority w:val="99"/>
    <w:semiHidden/>
    <w:rsid w:val="008B1BE7"/>
    <w:rPr>
      <w:rFonts w:ascii="Times New Roman" w:hAnsi="Times New Roman"/>
      <w:b/>
      <w:bCs/>
      <w:sz w:val="20"/>
      <w:szCs w:val="20"/>
    </w:rPr>
  </w:style>
  <w:style w:type="paragraph" w:styleId="TOC1">
    <w:name w:val="toc 1"/>
    <w:basedOn w:val="Normal"/>
    <w:next w:val="Normal"/>
    <w:autoRedefine/>
    <w:uiPriority w:val="39"/>
    <w:unhideWhenUsed/>
    <w:rsid w:val="005F6BAB"/>
    <w:pPr>
      <w:spacing w:after="100"/>
    </w:pPr>
  </w:style>
  <w:style w:type="paragraph" w:styleId="TOC2">
    <w:name w:val="toc 2"/>
    <w:basedOn w:val="Normal"/>
    <w:next w:val="Normal"/>
    <w:autoRedefine/>
    <w:uiPriority w:val="39"/>
    <w:unhideWhenUsed/>
    <w:rsid w:val="005F6BA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C5FC4-7367-4D54-A150-F74AE8A4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44</cp:revision>
  <dcterms:created xsi:type="dcterms:W3CDTF">2023-06-19T20:09:00Z</dcterms:created>
  <dcterms:modified xsi:type="dcterms:W3CDTF">2023-08-22T01:52:00Z</dcterms:modified>
</cp:coreProperties>
</file>