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EB30B" w14:textId="29E6AD18" w:rsidR="00DF06AF" w:rsidRDefault="00DF06AF" w:rsidP="00DF06AF">
      <w:bookmarkStart w:id="0" w:name="_Toc95825382"/>
      <w:r w:rsidRPr="00DF06AF">
        <w:rPr>
          <w:b/>
          <w:bCs/>
        </w:rPr>
        <w:t>label:</w:t>
      </w:r>
      <w:r>
        <w:t xml:space="preserve"> </w:t>
      </w:r>
      <w:r w:rsidR="00511044">
        <w:t>11</w:t>
      </w:r>
    </w:p>
    <w:p w14:paraId="796992BD" w14:textId="259E3A43" w:rsidR="00FD727C" w:rsidRDefault="00DF06AF" w:rsidP="00DF06AF">
      <w:r w:rsidRPr="00DF06AF">
        <w:rPr>
          <w:b/>
          <w:bCs/>
        </w:rPr>
        <w:t>title:</w:t>
      </w:r>
      <w:r>
        <w:t xml:space="preserve"> </w:t>
      </w:r>
      <w:r w:rsidR="00FD727C">
        <w:t>Publish Survey</w:t>
      </w:r>
      <w:bookmarkEnd w:id="0"/>
      <w:r w:rsidR="00FD727C">
        <w:t xml:space="preserve"> Results</w:t>
      </w:r>
    </w:p>
    <w:p w14:paraId="067321F9" w14:textId="236D0008" w:rsidR="00DF06AF" w:rsidRDefault="00DF06AF" w:rsidP="00DF06AF">
      <w:r w:rsidRPr="00DF06AF">
        <w:rPr>
          <w:b/>
          <w:bCs/>
        </w:rPr>
        <w:t>contributor:</w:t>
      </w:r>
      <w:r>
        <w:t xml:space="preserve"> Janet </w:t>
      </w:r>
      <w:r w:rsidRPr="00DF06AF">
        <w:t>Hansen</w:t>
      </w:r>
      <w:r>
        <w:t>,</w:t>
      </w:r>
      <w:r w:rsidRPr="00DF06AF">
        <w:t xml:space="preserve"> Sara Delgadillo</w:t>
      </w:r>
      <w:r>
        <w:t xml:space="preserve"> </w:t>
      </w:r>
    </w:p>
    <w:p w14:paraId="708D1746" w14:textId="762394ED" w:rsidR="00F24C37" w:rsidRDefault="00097EE9" w:rsidP="00A954DF">
      <w:r>
        <w:t>T</w:t>
      </w:r>
      <w:r w:rsidR="002221EE" w:rsidRPr="002221EE">
        <w:t xml:space="preserve">he publication of survey </w:t>
      </w:r>
      <w:r w:rsidR="008534C1">
        <w:t>results</w:t>
      </w:r>
      <w:r w:rsidR="0071062F">
        <w:t xml:space="preserve"> </w:t>
      </w:r>
      <w:r w:rsidR="00FF52B9">
        <w:t xml:space="preserve">marks the </w:t>
      </w:r>
      <w:r w:rsidR="00837603">
        <w:t xml:space="preserve">final </w:t>
      </w:r>
      <w:r w:rsidR="00A1686C">
        <w:t>step</w:t>
      </w:r>
      <w:r w:rsidR="0000264D">
        <w:t xml:space="preserve"> in the heritage </w:t>
      </w:r>
      <w:r w:rsidR="00BF24D4">
        <w:t>survey</w:t>
      </w:r>
      <w:r w:rsidR="00837603">
        <w:t xml:space="preserve"> </w:t>
      </w:r>
      <w:r w:rsidR="00BF24D4">
        <w:t>pro</w:t>
      </w:r>
      <w:r w:rsidR="0000264D">
        <w:t>cess</w:t>
      </w:r>
      <w:r w:rsidR="00A8646D">
        <w:t xml:space="preserve">. </w:t>
      </w:r>
      <w:r w:rsidR="00C47E72">
        <w:t>While d</w:t>
      </w:r>
      <w:r w:rsidR="00006D9D">
        <w:t>igital s</w:t>
      </w:r>
      <w:r w:rsidR="00A00545">
        <w:t>urvey</w:t>
      </w:r>
      <w:r w:rsidR="00006D9D">
        <w:t xml:space="preserve"> data </w:t>
      </w:r>
      <w:r w:rsidR="001A5C69">
        <w:t xml:space="preserve">are </w:t>
      </w:r>
      <w:r w:rsidR="00F4762E">
        <w:t>publi</w:t>
      </w:r>
      <w:r w:rsidR="0091778C">
        <w:t xml:space="preserve">shed </w:t>
      </w:r>
      <w:r w:rsidR="00F4762E">
        <w:t xml:space="preserve">in an </w:t>
      </w:r>
      <w:r w:rsidR="00443DBE">
        <w:t>associated</w:t>
      </w:r>
      <w:r w:rsidR="00F4762E">
        <w:t xml:space="preserve"> inven</w:t>
      </w:r>
      <w:r w:rsidR="00006D9D">
        <w:t>tory</w:t>
      </w:r>
      <w:r w:rsidR="00FB65BF">
        <w:t>, s</w:t>
      </w:r>
      <w:r w:rsidR="00226C32">
        <w:t xml:space="preserve">urvey results can </w:t>
      </w:r>
      <w:r w:rsidR="00F4762E">
        <w:t xml:space="preserve">also be </w:t>
      </w:r>
      <w:r w:rsidR="00A00545">
        <w:t>publi</w:t>
      </w:r>
      <w:r w:rsidR="00F24C37">
        <w:t>shed</w:t>
      </w:r>
      <w:r w:rsidR="00A00545">
        <w:t xml:space="preserve"> </w:t>
      </w:r>
      <w:r w:rsidR="00681936">
        <w:t xml:space="preserve">in </w:t>
      </w:r>
      <w:r w:rsidR="00F4762E">
        <w:t xml:space="preserve">the </w:t>
      </w:r>
      <w:r w:rsidR="0091778C">
        <w:t xml:space="preserve">form of </w:t>
      </w:r>
      <w:r w:rsidR="00006D9D">
        <w:t xml:space="preserve">a </w:t>
      </w:r>
      <w:r w:rsidR="00C34A12">
        <w:t>written report or reports</w:t>
      </w:r>
      <w:r w:rsidR="008D1322">
        <w:t xml:space="preserve">. </w:t>
      </w:r>
      <w:r w:rsidR="00443DBE">
        <w:t>This chapter discusses both of these publishing formats.</w:t>
      </w:r>
    </w:p>
    <w:p w14:paraId="4ACBA17B" w14:textId="2AA3821B" w:rsidR="00FD727C" w:rsidRDefault="00FD727C" w:rsidP="00243D98">
      <w:pPr>
        <w:pStyle w:val="Heading2"/>
      </w:pPr>
      <w:r w:rsidRPr="49E1B16B">
        <w:t>Data Integration</w:t>
      </w:r>
    </w:p>
    <w:p w14:paraId="56216EF6" w14:textId="39E8F0B5" w:rsidR="00C20A0A" w:rsidRDefault="00543BE5" w:rsidP="00C20A0A">
      <w:r>
        <w:t>Data integration</w:t>
      </w:r>
      <w:r w:rsidR="004B5B3F">
        <w:t>,</w:t>
      </w:r>
      <w:r>
        <w:t xml:space="preserve"> </w:t>
      </w:r>
      <w:r w:rsidR="004B5B3F">
        <w:t xml:space="preserve">as it relates to heritage inventories, </w:t>
      </w:r>
      <w:r>
        <w:t xml:space="preserve">is the process of </w:t>
      </w:r>
      <w:r w:rsidR="00D07FBD">
        <w:t xml:space="preserve">adding or </w:t>
      </w:r>
      <w:r w:rsidR="00464351">
        <w:t>merging</w:t>
      </w:r>
      <w:r w:rsidR="004B5B3F">
        <w:t xml:space="preserve"> </w:t>
      </w:r>
      <w:r w:rsidR="00C62805">
        <w:t xml:space="preserve">data from multiple sources </w:t>
      </w:r>
      <w:r w:rsidR="00D07FBD">
        <w:t>in</w:t>
      </w:r>
      <w:r w:rsidR="00C62805">
        <w:t xml:space="preserve">to </w:t>
      </w:r>
      <w:r w:rsidR="00D07FBD">
        <w:t xml:space="preserve">an inventory to publish </w:t>
      </w:r>
      <w:r w:rsidR="000C7743">
        <w:t xml:space="preserve">it </w:t>
      </w:r>
      <w:r w:rsidR="00D07FBD">
        <w:t xml:space="preserve">and </w:t>
      </w:r>
      <w:r w:rsidR="00C62805">
        <w:t xml:space="preserve">provide </w:t>
      </w:r>
      <w:r w:rsidR="004B5B3F">
        <w:t xml:space="preserve">users </w:t>
      </w:r>
      <w:r w:rsidR="000C7743">
        <w:t xml:space="preserve">with </w:t>
      </w:r>
      <w:r w:rsidR="004B5B3F">
        <w:t>a unified view</w:t>
      </w:r>
      <w:r w:rsidR="00D07FBD">
        <w:t xml:space="preserve"> of the data</w:t>
      </w:r>
      <w:r w:rsidR="004B5B3F">
        <w:t xml:space="preserve">. </w:t>
      </w:r>
      <w:r w:rsidR="00D07FBD">
        <w:t xml:space="preserve">When </w:t>
      </w:r>
      <w:r w:rsidR="00C20A0A">
        <w:t>the same software</w:t>
      </w:r>
      <w:r w:rsidR="00A974D0">
        <w:t xml:space="preserve">, </w:t>
      </w:r>
      <w:r w:rsidR="00775AEE">
        <w:t xml:space="preserve">data structure and </w:t>
      </w:r>
      <w:r w:rsidR="00B829E3">
        <w:t>content</w:t>
      </w:r>
      <w:r w:rsidR="00063A55">
        <w:t xml:space="preserve"> (e.g., terminology)</w:t>
      </w:r>
      <w:r w:rsidR="00B829E3">
        <w:t xml:space="preserve">, </w:t>
      </w:r>
      <w:r w:rsidR="00134113" w:rsidRPr="00D47849">
        <w:t xml:space="preserve">and </w:t>
      </w:r>
      <w:r w:rsidR="00A974D0" w:rsidRPr="00D47849">
        <w:t>methodolog</w:t>
      </w:r>
      <w:r w:rsidR="00134113" w:rsidRPr="00674205">
        <w:t>ical app</w:t>
      </w:r>
      <w:r w:rsidR="00AA2109" w:rsidRPr="00674205">
        <w:t>roach</w:t>
      </w:r>
      <w:r w:rsidR="00D65E1C">
        <w:t>es</w:t>
      </w:r>
      <w:r w:rsidR="00252CF9">
        <w:t xml:space="preserve"> </w:t>
      </w:r>
      <w:r w:rsidR="00D65E1C">
        <w:t>are</w:t>
      </w:r>
      <w:r w:rsidR="00C20A0A">
        <w:t xml:space="preserve"> used </w:t>
      </w:r>
      <w:r w:rsidR="00D07FBD">
        <w:t>to</w:t>
      </w:r>
      <w:r w:rsidR="00C20A0A">
        <w:t xml:space="preserve"> </w:t>
      </w:r>
      <w:r w:rsidR="00986DC3">
        <w:t xml:space="preserve">both </w:t>
      </w:r>
      <w:r w:rsidR="00C20A0A">
        <w:t>collect and publish survey data</w:t>
      </w:r>
      <w:r w:rsidR="00D07FBD">
        <w:t>, the integration process is ongoing as data is collected</w:t>
      </w:r>
      <w:r w:rsidR="00C20A0A">
        <w:t>.</w:t>
      </w:r>
      <w:r w:rsidR="00C20A0A" w:rsidRPr="002221EE">
        <w:t xml:space="preserve"> In </w:t>
      </w:r>
      <w:r w:rsidR="00A974D0">
        <w:t>cases where the</w:t>
      </w:r>
      <w:r w:rsidR="00171284">
        <w:t xml:space="preserve">se factors differ </w:t>
      </w:r>
      <w:r w:rsidR="00976D44">
        <w:t>from</w:t>
      </w:r>
      <w:r w:rsidR="00EB2F64">
        <w:t xml:space="preserve"> </w:t>
      </w:r>
      <w:r w:rsidR="00A974D0">
        <w:t>th</w:t>
      </w:r>
      <w:r w:rsidR="00094E4F">
        <w:t>ose</w:t>
      </w:r>
      <w:r w:rsidR="00482030">
        <w:t xml:space="preserve"> </w:t>
      </w:r>
      <w:r w:rsidR="00A974D0">
        <w:t xml:space="preserve">used to publish </w:t>
      </w:r>
      <w:r w:rsidR="000C7743">
        <w:t>the data</w:t>
      </w:r>
      <w:r w:rsidR="00A974D0">
        <w:t xml:space="preserve">, data migration </w:t>
      </w:r>
      <w:r w:rsidR="00482030">
        <w:t xml:space="preserve">is necessary </w:t>
      </w:r>
      <w:r w:rsidR="00FC350C">
        <w:t xml:space="preserve">– a </w:t>
      </w:r>
      <w:r w:rsidR="00C20A0A">
        <w:t xml:space="preserve">process through which </w:t>
      </w:r>
      <w:r w:rsidR="0040767F">
        <w:t xml:space="preserve">data is verified and </w:t>
      </w:r>
      <w:r w:rsidR="00C20A0A">
        <w:t xml:space="preserve">changes are made to </w:t>
      </w:r>
      <w:r w:rsidR="00A7594A">
        <w:t>ensure</w:t>
      </w:r>
      <w:r w:rsidR="0040767F">
        <w:t xml:space="preserve"> the </w:t>
      </w:r>
      <w:r w:rsidR="00141227">
        <w:t xml:space="preserve">data </w:t>
      </w:r>
      <w:r w:rsidR="0040767F">
        <w:t xml:space="preserve">content and format </w:t>
      </w:r>
      <w:r w:rsidR="000C7743">
        <w:t>are</w:t>
      </w:r>
      <w:r w:rsidR="000C7743">
        <w:t xml:space="preserve"> </w:t>
      </w:r>
      <w:r w:rsidR="0040767F">
        <w:t xml:space="preserve">compatible, </w:t>
      </w:r>
      <w:r w:rsidR="00C20A0A" w:rsidRPr="002221EE">
        <w:t>readable</w:t>
      </w:r>
      <w:r w:rsidR="0040767F">
        <w:t>,</w:t>
      </w:r>
      <w:r w:rsidR="00C20A0A" w:rsidRPr="002221EE">
        <w:t xml:space="preserve"> and</w:t>
      </w:r>
      <w:r w:rsidR="00C20A0A">
        <w:t>/or</w:t>
      </w:r>
      <w:r w:rsidR="00C20A0A" w:rsidRPr="002221EE">
        <w:t xml:space="preserve"> interoperable </w:t>
      </w:r>
      <w:r w:rsidR="00C20A0A">
        <w:t xml:space="preserve">for </w:t>
      </w:r>
      <w:r w:rsidR="009367D6">
        <w:t xml:space="preserve">successful integration into </w:t>
      </w:r>
      <w:r w:rsidR="00C20A0A">
        <w:t xml:space="preserve">the software </w:t>
      </w:r>
      <w:r w:rsidR="00D309F0">
        <w:t xml:space="preserve">that </w:t>
      </w:r>
      <w:r w:rsidR="00C20A0A">
        <w:t>will be used to publish it.</w:t>
      </w:r>
    </w:p>
    <w:p w14:paraId="7CFA20CF" w14:textId="68B37DE3" w:rsidR="00E54B07" w:rsidRDefault="00A954DF" w:rsidP="00FD727C">
      <w:pPr>
        <w:rPr>
          <w:rFonts w:eastAsia="Times New Roman" w:cs="Times New Roman"/>
          <w:color w:val="000000" w:themeColor="text1"/>
        </w:rPr>
      </w:pPr>
      <w:r>
        <w:rPr>
          <w:rFonts w:eastAsia="Times New Roman" w:cs="Times New Roman"/>
          <w:color w:val="000000" w:themeColor="text1"/>
        </w:rPr>
        <w:t>The procedures to achieve d</w:t>
      </w:r>
      <w:r w:rsidR="00FD727C" w:rsidRPr="03A15B2E">
        <w:rPr>
          <w:rFonts w:eastAsia="Times New Roman" w:cs="Times New Roman"/>
          <w:color w:val="000000" w:themeColor="text1"/>
        </w:rPr>
        <w:t xml:space="preserve">ata integration can vary in complexity and time required, depending on the amount of data and the degree of compatibility between the survey and inventory systems. </w:t>
      </w:r>
      <w:r w:rsidR="000C7743">
        <w:rPr>
          <w:rFonts w:eastAsia="Times New Roman" w:cs="Times New Roman"/>
          <w:color w:val="000000" w:themeColor="text1"/>
        </w:rPr>
        <w:t>For this reason</w:t>
      </w:r>
      <w:r w:rsidR="000C7743" w:rsidRPr="03A15B2E">
        <w:rPr>
          <w:rFonts w:eastAsia="Times New Roman" w:cs="Times New Roman"/>
          <w:color w:val="000000" w:themeColor="text1"/>
        </w:rPr>
        <w:t xml:space="preserve"> </w:t>
      </w:r>
      <w:r w:rsidR="00FD727C" w:rsidRPr="03A15B2E">
        <w:rPr>
          <w:rFonts w:eastAsia="Times New Roman" w:cs="Times New Roman"/>
          <w:color w:val="000000" w:themeColor="text1"/>
        </w:rPr>
        <w:t>it is strongly urged that survey planning give due attention to ensuring compatibility between field data collection and associated inventory information systems</w:t>
      </w:r>
      <w:r w:rsidR="00A66937">
        <w:rPr>
          <w:rFonts w:eastAsia="Times New Roman" w:cs="Times New Roman"/>
          <w:color w:val="000000" w:themeColor="text1"/>
        </w:rPr>
        <w:t xml:space="preserve"> regarding </w:t>
      </w:r>
      <w:r w:rsidR="004A2BDD">
        <w:rPr>
          <w:rFonts w:eastAsia="Times New Roman" w:cs="Times New Roman"/>
          <w:color w:val="000000" w:themeColor="text1"/>
        </w:rPr>
        <w:t>software,</w:t>
      </w:r>
      <w:r w:rsidR="00914D03">
        <w:rPr>
          <w:rFonts w:eastAsia="Times New Roman" w:cs="Times New Roman"/>
          <w:color w:val="000000" w:themeColor="text1"/>
        </w:rPr>
        <w:t xml:space="preserve"> </w:t>
      </w:r>
      <w:r w:rsidR="009367D6">
        <w:rPr>
          <w:rFonts w:eastAsia="Times New Roman" w:cs="Times New Roman"/>
          <w:color w:val="000000" w:themeColor="text1"/>
        </w:rPr>
        <w:t>methodologies</w:t>
      </w:r>
      <w:r w:rsidR="004A2BDD">
        <w:rPr>
          <w:rFonts w:eastAsia="Times New Roman" w:cs="Times New Roman"/>
          <w:color w:val="000000" w:themeColor="text1"/>
        </w:rPr>
        <w:t>,</w:t>
      </w:r>
      <w:r w:rsidR="0093309C">
        <w:rPr>
          <w:rFonts w:eastAsia="Times New Roman" w:cs="Times New Roman"/>
          <w:color w:val="000000" w:themeColor="text1"/>
        </w:rPr>
        <w:t xml:space="preserve"> and terminologies </w:t>
      </w:r>
      <w:r w:rsidR="009367D6">
        <w:rPr>
          <w:rFonts w:eastAsia="Times New Roman" w:cs="Times New Roman"/>
          <w:color w:val="000000" w:themeColor="text1"/>
        </w:rPr>
        <w:t xml:space="preserve">to be used </w:t>
      </w:r>
      <w:r w:rsidR="00FD727C" w:rsidRPr="03A15B2E">
        <w:rPr>
          <w:rFonts w:eastAsia="Times New Roman" w:cs="Times New Roman"/>
          <w:color w:val="000000" w:themeColor="text1"/>
        </w:rPr>
        <w:t>before survey work begins</w:t>
      </w:r>
      <w:r w:rsidR="00E54B07">
        <w:rPr>
          <w:rFonts w:eastAsia="Times New Roman" w:cs="Times New Roman"/>
          <w:color w:val="000000" w:themeColor="text1"/>
        </w:rPr>
        <w:t xml:space="preserve"> (see </w:t>
      </w:r>
      <w:r w:rsidR="00E54B07" w:rsidRPr="00243D98">
        <w:rPr>
          <w:rFonts w:eastAsia="Times New Roman" w:cs="Times New Roman"/>
          <w:b/>
          <w:bCs/>
          <w:color w:val="000000" w:themeColor="text1"/>
        </w:rPr>
        <w:t>chapter</w:t>
      </w:r>
      <w:r w:rsidR="00657681" w:rsidRPr="00243D98">
        <w:rPr>
          <w:rFonts w:eastAsia="Times New Roman" w:cs="Times New Roman"/>
          <w:b/>
          <w:bCs/>
          <w:color w:val="000000" w:themeColor="text1"/>
        </w:rPr>
        <w:t>s</w:t>
      </w:r>
      <w:r w:rsidR="00E54B07" w:rsidRPr="00243D98">
        <w:rPr>
          <w:rFonts w:eastAsia="Times New Roman" w:cs="Times New Roman"/>
          <w:b/>
          <w:bCs/>
          <w:color w:val="000000" w:themeColor="text1"/>
        </w:rPr>
        <w:t xml:space="preserve"> 7</w:t>
      </w:r>
      <w:r w:rsidR="00657681">
        <w:rPr>
          <w:rFonts w:eastAsia="Times New Roman" w:cs="Times New Roman"/>
          <w:color w:val="000000" w:themeColor="text1"/>
        </w:rPr>
        <w:t xml:space="preserve"> and </w:t>
      </w:r>
      <w:r w:rsidR="00657681" w:rsidRPr="00243D98">
        <w:rPr>
          <w:rFonts w:eastAsia="Times New Roman" w:cs="Times New Roman"/>
          <w:b/>
          <w:bCs/>
          <w:color w:val="000000" w:themeColor="text1"/>
        </w:rPr>
        <w:t>8</w:t>
      </w:r>
      <w:r w:rsidR="00E54B07">
        <w:rPr>
          <w:rFonts w:eastAsia="Times New Roman" w:cs="Times New Roman"/>
          <w:color w:val="000000" w:themeColor="text1"/>
        </w:rPr>
        <w:t>)</w:t>
      </w:r>
      <w:r w:rsidR="00FD727C" w:rsidRPr="03A15B2E">
        <w:rPr>
          <w:rFonts w:eastAsia="Times New Roman" w:cs="Times New Roman"/>
          <w:color w:val="000000" w:themeColor="text1"/>
        </w:rPr>
        <w:t xml:space="preserve">. </w:t>
      </w:r>
    </w:p>
    <w:p w14:paraId="4C6C6D07" w14:textId="70F7CB91" w:rsidR="004D088A" w:rsidRDefault="00FD727C" w:rsidP="00FD727C">
      <w:pPr>
        <w:rPr>
          <w:rFonts w:eastAsia="Times New Roman" w:cs="Times New Roman"/>
          <w:color w:val="000000" w:themeColor="text1"/>
        </w:rPr>
      </w:pPr>
      <w:r w:rsidRPr="03A15B2E">
        <w:rPr>
          <w:rFonts w:eastAsia="Times New Roman" w:cs="Times New Roman"/>
          <w:color w:val="000000" w:themeColor="text1"/>
        </w:rPr>
        <w:lastRenderedPageBreak/>
        <w:t>While quality control review and data validation take time regardless of the data collection system, it is far more complex and time consuming to introduce to an inventory data that was recorded through a separate system not associated with the inventory</w:t>
      </w:r>
      <w:r w:rsidR="00A954DF">
        <w:rPr>
          <w:rFonts w:eastAsia="Times New Roman" w:cs="Times New Roman"/>
          <w:color w:val="000000" w:themeColor="text1"/>
        </w:rPr>
        <w:t>. SurveyLA data</w:t>
      </w:r>
      <w:r w:rsidR="004F7648">
        <w:rPr>
          <w:rFonts w:eastAsia="Times New Roman" w:cs="Times New Roman"/>
          <w:color w:val="000000" w:themeColor="text1"/>
        </w:rPr>
        <w:t>, for example,</w:t>
      </w:r>
      <w:r w:rsidR="00A954DF">
        <w:rPr>
          <w:rFonts w:eastAsia="Times New Roman" w:cs="Times New Roman"/>
          <w:color w:val="000000" w:themeColor="text1"/>
        </w:rPr>
        <w:t xml:space="preserve"> was collected through a separate </w:t>
      </w:r>
      <w:r w:rsidR="00F50571">
        <w:rPr>
          <w:rFonts w:eastAsia="Times New Roman" w:cs="Times New Roman"/>
          <w:color w:val="000000" w:themeColor="text1"/>
        </w:rPr>
        <w:t>application not associated</w:t>
      </w:r>
      <w:r w:rsidR="002739A8">
        <w:rPr>
          <w:rFonts w:eastAsia="Times New Roman" w:cs="Times New Roman"/>
          <w:color w:val="000000" w:themeColor="text1"/>
        </w:rPr>
        <w:t xml:space="preserve"> with</w:t>
      </w:r>
      <w:r w:rsidR="00827558">
        <w:rPr>
          <w:rFonts w:eastAsia="Times New Roman" w:cs="Times New Roman"/>
          <w:color w:val="000000" w:themeColor="text1"/>
        </w:rPr>
        <w:t xml:space="preserve"> HistoricPlacesLA,</w:t>
      </w:r>
      <w:r w:rsidR="004F7648">
        <w:rPr>
          <w:rFonts w:eastAsia="Times New Roman" w:cs="Times New Roman"/>
          <w:color w:val="000000" w:themeColor="text1"/>
        </w:rPr>
        <w:t xml:space="preserve"> the city’s </w:t>
      </w:r>
      <w:r w:rsidR="009B0607">
        <w:rPr>
          <w:rFonts w:eastAsia="Times New Roman" w:cs="Times New Roman"/>
          <w:color w:val="000000" w:themeColor="text1"/>
        </w:rPr>
        <w:t xml:space="preserve">heritage </w:t>
      </w:r>
      <w:r w:rsidR="004F7648">
        <w:rPr>
          <w:rFonts w:eastAsia="Times New Roman" w:cs="Times New Roman"/>
          <w:color w:val="000000" w:themeColor="text1"/>
        </w:rPr>
        <w:t>inventory system</w:t>
      </w:r>
      <w:r w:rsidR="009B0607">
        <w:rPr>
          <w:rFonts w:eastAsia="Times New Roman" w:cs="Times New Roman"/>
          <w:color w:val="000000" w:themeColor="text1"/>
        </w:rPr>
        <w:t>, which was in development at the time of SurveyLA</w:t>
      </w:r>
      <w:r w:rsidR="00BC585F">
        <w:rPr>
          <w:rFonts w:eastAsia="Times New Roman" w:cs="Times New Roman"/>
          <w:color w:val="000000" w:themeColor="text1"/>
        </w:rPr>
        <w:t xml:space="preserve"> (see </w:t>
      </w:r>
      <w:r w:rsidR="000C7743" w:rsidRPr="00243D98">
        <w:rPr>
          <w:rFonts w:eastAsia="Times New Roman" w:cs="Times New Roman"/>
          <w:b/>
          <w:bCs/>
          <w:color w:val="000000" w:themeColor="text1"/>
        </w:rPr>
        <w:t>c</w:t>
      </w:r>
      <w:r w:rsidR="00BC585F" w:rsidRPr="00243D98">
        <w:rPr>
          <w:rFonts w:eastAsia="Times New Roman" w:cs="Times New Roman"/>
          <w:b/>
          <w:bCs/>
          <w:color w:val="000000" w:themeColor="text1"/>
        </w:rPr>
        <w:t>hapter 5</w:t>
      </w:r>
      <w:r w:rsidR="00BC585F">
        <w:rPr>
          <w:rFonts w:eastAsia="Times New Roman" w:cs="Times New Roman"/>
          <w:color w:val="000000" w:themeColor="text1"/>
        </w:rPr>
        <w:t>)</w:t>
      </w:r>
      <w:r w:rsidR="000C7743">
        <w:rPr>
          <w:rFonts w:eastAsia="Times New Roman" w:cs="Times New Roman"/>
          <w:color w:val="000000" w:themeColor="text1"/>
        </w:rPr>
        <w:t>, consequently,</w:t>
      </w:r>
      <w:r w:rsidRPr="03A15B2E">
        <w:rPr>
          <w:rFonts w:eastAsia="Times New Roman" w:cs="Times New Roman"/>
          <w:color w:val="000000" w:themeColor="text1"/>
        </w:rPr>
        <w:t xml:space="preserve"> </w:t>
      </w:r>
      <w:r w:rsidR="00D62321">
        <w:rPr>
          <w:rFonts w:eastAsia="Times New Roman" w:cs="Times New Roman"/>
          <w:color w:val="000000" w:themeColor="text1"/>
        </w:rPr>
        <w:t>S</w:t>
      </w:r>
      <w:r w:rsidR="00D62321" w:rsidRPr="00D62321">
        <w:rPr>
          <w:rFonts w:eastAsia="Times New Roman" w:cs="Times New Roman"/>
          <w:color w:val="000000" w:themeColor="text1"/>
        </w:rPr>
        <w:t>urvey</w:t>
      </w:r>
      <w:r w:rsidR="00F834E2">
        <w:rPr>
          <w:rFonts w:eastAsia="Times New Roman" w:cs="Times New Roman"/>
          <w:color w:val="000000" w:themeColor="text1"/>
        </w:rPr>
        <w:t>LA</w:t>
      </w:r>
      <w:r w:rsidR="00D62321" w:rsidRPr="00D62321">
        <w:rPr>
          <w:rFonts w:eastAsia="Times New Roman" w:cs="Times New Roman"/>
          <w:color w:val="000000" w:themeColor="text1"/>
        </w:rPr>
        <w:t xml:space="preserve"> data include</w:t>
      </w:r>
      <w:r w:rsidR="00D62321">
        <w:rPr>
          <w:rFonts w:eastAsia="Times New Roman" w:cs="Times New Roman"/>
          <w:color w:val="000000" w:themeColor="text1"/>
        </w:rPr>
        <w:t>d</w:t>
      </w:r>
      <w:r w:rsidR="00D62321" w:rsidRPr="00D62321">
        <w:rPr>
          <w:rFonts w:eastAsia="Times New Roman" w:cs="Times New Roman"/>
          <w:color w:val="000000" w:themeColor="text1"/>
        </w:rPr>
        <w:t xml:space="preserve"> </w:t>
      </w:r>
      <w:r w:rsidR="00D62321">
        <w:rPr>
          <w:rFonts w:eastAsia="Times New Roman" w:cs="Times New Roman"/>
          <w:color w:val="000000" w:themeColor="text1"/>
        </w:rPr>
        <w:t xml:space="preserve">different </w:t>
      </w:r>
      <w:r w:rsidR="00D62321" w:rsidRPr="00D62321">
        <w:rPr>
          <w:rFonts w:eastAsia="Times New Roman" w:cs="Times New Roman"/>
          <w:color w:val="000000" w:themeColor="text1"/>
        </w:rPr>
        <w:t xml:space="preserve">terminology </w:t>
      </w:r>
      <w:r w:rsidR="00D62321">
        <w:rPr>
          <w:rFonts w:eastAsia="Times New Roman" w:cs="Times New Roman"/>
          <w:color w:val="000000" w:themeColor="text1"/>
        </w:rPr>
        <w:t xml:space="preserve">than </w:t>
      </w:r>
      <w:r w:rsidR="00D62321" w:rsidRPr="00D62321">
        <w:rPr>
          <w:rFonts w:eastAsia="Times New Roman" w:cs="Times New Roman"/>
          <w:color w:val="000000" w:themeColor="text1"/>
        </w:rPr>
        <w:t xml:space="preserve">that </w:t>
      </w:r>
      <w:r w:rsidR="000C7743">
        <w:rPr>
          <w:rFonts w:eastAsia="Times New Roman" w:cs="Times New Roman"/>
          <w:color w:val="000000" w:themeColor="text1"/>
        </w:rPr>
        <w:t xml:space="preserve">used </w:t>
      </w:r>
      <w:r w:rsidR="00D62321" w:rsidRPr="00D62321">
        <w:rPr>
          <w:rFonts w:eastAsia="Times New Roman" w:cs="Times New Roman"/>
          <w:color w:val="000000" w:themeColor="text1"/>
        </w:rPr>
        <w:t>in the inventory. To integrate</w:t>
      </w:r>
      <w:r w:rsidR="00B3582E">
        <w:rPr>
          <w:rFonts w:eastAsia="Times New Roman" w:cs="Times New Roman"/>
          <w:color w:val="000000" w:themeColor="text1"/>
        </w:rPr>
        <w:t xml:space="preserve"> and publish </w:t>
      </w:r>
      <w:r w:rsidR="00D62321" w:rsidRPr="00D62321">
        <w:rPr>
          <w:rFonts w:eastAsia="Times New Roman" w:cs="Times New Roman"/>
          <w:color w:val="000000" w:themeColor="text1"/>
        </w:rPr>
        <w:t xml:space="preserve">the survey data </w:t>
      </w:r>
      <w:r w:rsidR="00B3582E">
        <w:rPr>
          <w:rFonts w:eastAsia="Times New Roman" w:cs="Times New Roman"/>
          <w:color w:val="000000" w:themeColor="text1"/>
        </w:rPr>
        <w:t xml:space="preserve">in HistoricPlacesLA, </w:t>
      </w:r>
      <w:r w:rsidR="00D62321" w:rsidRPr="00D62321">
        <w:rPr>
          <w:rFonts w:eastAsia="Times New Roman" w:cs="Times New Roman"/>
          <w:color w:val="000000" w:themeColor="text1"/>
        </w:rPr>
        <w:t xml:space="preserve">the terminology </w:t>
      </w:r>
      <w:r w:rsidR="00D62321">
        <w:rPr>
          <w:rFonts w:eastAsia="Times New Roman" w:cs="Times New Roman"/>
          <w:color w:val="000000" w:themeColor="text1"/>
        </w:rPr>
        <w:t>needed t</w:t>
      </w:r>
      <w:r w:rsidR="00D62321" w:rsidRPr="00D62321">
        <w:rPr>
          <w:rFonts w:eastAsia="Times New Roman" w:cs="Times New Roman"/>
          <w:color w:val="000000" w:themeColor="text1"/>
        </w:rPr>
        <w:t>o be reconciled as part of the data migration process</w:t>
      </w:r>
      <w:r w:rsidR="00330342">
        <w:rPr>
          <w:rFonts w:eastAsia="Times New Roman" w:cs="Times New Roman"/>
          <w:color w:val="000000" w:themeColor="text1"/>
        </w:rPr>
        <w:t xml:space="preserve">. </w:t>
      </w:r>
      <w:r w:rsidR="00E072B7">
        <w:rPr>
          <w:rFonts w:eastAsia="Times New Roman" w:cs="Times New Roman"/>
          <w:color w:val="000000" w:themeColor="text1"/>
        </w:rPr>
        <w:t>T</w:t>
      </w:r>
      <w:r w:rsidR="000F1F70">
        <w:rPr>
          <w:rFonts w:eastAsia="Times New Roman" w:cs="Times New Roman"/>
          <w:color w:val="000000" w:themeColor="text1"/>
        </w:rPr>
        <w:t>his</w:t>
      </w:r>
      <w:r w:rsidR="000C7743">
        <w:rPr>
          <w:rFonts w:eastAsia="Times New Roman" w:cs="Times New Roman"/>
          <w:color w:val="000000" w:themeColor="text1"/>
        </w:rPr>
        <w:t xml:space="preserve"> process</w:t>
      </w:r>
      <w:r w:rsidR="000F1F70">
        <w:rPr>
          <w:rFonts w:eastAsia="Times New Roman" w:cs="Times New Roman"/>
          <w:color w:val="000000" w:themeColor="text1"/>
        </w:rPr>
        <w:t xml:space="preserve"> included conversion of existing data and the limited creation of supplemental data to match the underlying methodologies of the inventory system</w:t>
      </w:r>
      <w:r w:rsidR="00D62321" w:rsidRPr="00D62321">
        <w:rPr>
          <w:rFonts w:eastAsia="Times New Roman" w:cs="Times New Roman"/>
          <w:color w:val="000000" w:themeColor="text1"/>
        </w:rPr>
        <w:t>.</w:t>
      </w:r>
      <w:r w:rsidR="00D62321">
        <w:rPr>
          <w:rFonts w:eastAsia="Times New Roman" w:cs="Times New Roman"/>
          <w:color w:val="000000" w:themeColor="text1"/>
        </w:rPr>
        <w:t xml:space="preserve"> </w:t>
      </w:r>
      <w:r w:rsidR="000F1F70">
        <w:rPr>
          <w:rFonts w:eastAsia="Times New Roman" w:cs="Times New Roman"/>
          <w:color w:val="000000" w:themeColor="text1"/>
        </w:rPr>
        <w:t>For reason</w:t>
      </w:r>
      <w:r w:rsidR="00120642">
        <w:rPr>
          <w:rFonts w:eastAsia="Times New Roman" w:cs="Times New Roman"/>
          <w:color w:val="000000" w:themeColor="text1"/>
        </w:rPr>
        <w:t xml:space="preserve">s such as </w:t>
      </w:r>
      <w:r w:rsidR="0024738B">
        <w:rPr>
          <w:rFonts w:eastAsia="Times New Roman" w:cs="Times New Roman"/>
          <w:color w:val="000000" w:themeColor="text1"/>
        </w:rPr>
        <w:t>this</w:t>
      </w:r>
      <w:r w:rsidR="000F1F70">
        <w:rPr>
          <w:rFonts w:eastAsia="Times New Roman" w:cs="Times New Roman"/>
          <w:color w:val="000000" w:themeColor="text1"/>
        </w:rPr>
        <w:t>, i</w:t>
      </w:r>
      <w:r w:rsidRPr="03A15B2E">
        <w:rPr>
          <w:rFonts w:eastAsia="Times New Roman" w:cs="Times New Roman"/>
          <w:color w:val="000000" w:themeColor="text1"/>
        </w:rPr>
        <w:t xml:space="preserve">t is a less troublesome path to record data through a system directly associated </w:t>
      </w:r>
      <w:r w:rsidR="000C7743">
        <w:rPr>
          <w:rFonts w:eastAsia="Times New Roman" w:cs="Times New Roman"/>
          <w:color w:val="000000" w:themeColor="text1"/>
        </w:rPr>
        <w:t xml:space="preserve">with </w:t>
      </w:r>
      <w:r w:rsidRPr="03A15B2E">
        <w:rPr>
          <w:rFonts w:eastAsia="Times New Roman" w:cs="Times New Roman"/>
          <w:color w:val="000000" w:themeColor="text1"/>
        </w:rPr>
        <w:t xml:space="preserve">or built into the inventory. </w:t>
      </w:r>
    </w:p>
    <w:p w14:paraId="4B33FD19" w14:textId="6D496BCA" w:rsidR="00FD727C" w:rsidRPr="00F8235A" w:rsidRDefault="00FD727C" w:rsidP="00FD727C">
      <w:pPr>
        <w:rPr>
          <w:rFonts w:eastAsia="Times New Roman" w:cs="Times New Roman"/>
          <w:color w:val="000000"/>
        </w:rPr>
      </w:pPr>
      <w:r w:rsidRPr="03A15B2E">
        <w:rPr>
          <w:rFonts w:eastAsia="Times New Roman" w:cs="Times New Roman"/>
          <w:color w:val="000000" w:themeColor="text1"/>
        </w:rPr>
        <w:t>The ongoing experiences of the author</w:t>
      </w:r>
      <w:r w:rsidR="00DF06AF">
        <w:rPr>
          <w:rFonts w:eastAsia="Times New Roman" w:cs="Times New Roman"/>
          <w:color w:val="000000" w:themeColor="text1"/>
        </w:rPr>
        <w:t>s</w:t>
      </w:r>
      <w:r w:rsidRPr="03A15B2E">
        <w:rPr>
          <w:rFonts w:eastAsia="Times New Roman" w:cs="Times New Roman"/>
          <w:color w:val="000000" w:themeColor="text1"/>
        </w:rPr>
        <w:t xml:space="preserve"> provide thoughts and recommendations for others charged with data integration and management</w:t>
      </w:r>
      <w:r w:rsidR="00FC2319">
        <w:rPr>
          <w:rFonts w:eastAsia="Times New Roman" w:cs="Times New Roman"/>
          <w:color w:val="000000" w:themeColor="text1"/>
        </w:rPr>
        <w:t>:</w:t>
      </w:r>
      <w:r w:rsidRPr="03A15B2E">
        <w:rPr>
          <w:rFonts w:eastAsia="Times New Roman" w:cs="Times New Roman"/>
          <w:color w:val="000000" w:themeColor="text1"/>
        </w:rPr>
        <w:t xml:space="preserve"> </w:t>
      </w:r>
    </w:p>
    <w:p w14:paraId="186D6BD8" w14:textId="3852F44C" w:rsidR="00FD727C" w:rsidRPr="00B1350C" w:rsidRDefault="00FD727C" w:rsidP="00FD727C">
      <w:pPr>
        <w:pStyle w:val="Default"/>
        <w:numPr>
          <w:ilvl w:val="0"/>
          <w:numId w:val="1"/>
        </w:numPr>
        <w:spacing w:line="480" w:lineRule="auto"/>
        <w:ind w:hanging="270"/>
        <w:rPr>
          <w:rFonts w:ascii="Times New Roman" w:hAnsi="Times New Roman" w:cs="Times New Roman"/>
        </w:rPr>
      </w:pPr>
      <w:r w:rsidRPr="00B1350C">
        <w:rPr>
          <w:rFonts w:ascii="Times New Roman" w:hAnsi="Times New Roman" w:cs="Times New Roman"/>
        </w:rPr>
        <w:t xml:space="preserve">Data integration will take considerable time, particularly if the data collection system has not been designed with inventory data upload or integration in mind. However, a data collection system independent of the inventory system can be designed or configured to facilitate easier data integration. </w:t>
      </w:r>
      <w:r w:rsidR="00F50F76">
        <w:rPr>
          <w:rFonts w:ascii="Times New Roman" w:hAnsi="Times New Roman" w:cs="Times New Roman"/>
        </w:rPr>
        <w:t>Be sure to allow sufficient time and resources for either approach.</w:t>
      </w:r>
    </w:p>
    <w:p w14:paraId="38CF0F37" w14:textId="6AD02621" w:rsidR="00FD727C" w:rsidRPr="00B1350C" w:rsidRDefault="00FD727C" w:rsidP="00FD727C">
      <w:pPr>
        <w:pStyle w:val="Default"/>
        <w:numPr>
          <w:ilvl w:val="0"/>
          <w:numId w:val="1"/>
        </w:numPr>
        <w:spacing w:line="480" w:lineRule="auto"/>
        <w:ind w:hanging="270"/>
        <w:rPr>
          <w:rFonts w:ascii="Times New Roman" w:hAnsi="Times New Roman" w:cs="Times New Roman"/>
        </w:rPr>
      </w:pPr>
      <w:r w:rsidRPr="00B1350C">
        <w:rPr>
          <w:rFonts w:ascii="Times New Roman" w:hAnsi="Times New Roman" w:cs="Times New Roman"/>
        </w:rPr>
        <w:t xml:space="preserve">For quality control reasons, limit the number of people involved with data integration. Ideally, one person – a data manager – </w:t>
      </w:r>
      <w:r w:rsidR="00E072B7">
        <w:rPr>
          <w:rFonts w:ascii="Times New Roman" w:hAnsi="Times New Roman" w:cs="Times New Roman"/>
        </w:rPr>
        <w:t>will</w:t>
      </w:r>
      <w:r w:rsidRPr="00B1350C">
        <w:rPr>
          <w:rFonts w:ascii="Times New Roman" w:hAnsi="Times New Roman" w:cs="Times New Roman"/>
        </w:rPr>
        <w:t xml:space="preserve"> perform and oversee data integration.</w:t>
      </w:r>
    </w:p>
    <w:p w14:paraId="7A879156" w14:textId="4E53BEFE" w:rsidR="00FD727C" w:rsidRPr="00B1350C" w:rsidRDefault="00FD727C" w:rsidP="00FD727C">
      <w:pPr>
        <w:pStyle w:val="Default"/>
        <w:numPr>
          <w:ilvl w:val="0"/>
          <w:numId w:val="1"/>
        </w:numPr>
        <w:spacing w:line="480" w:lineRule="auto"/>
        <w:ind w:hanging="270"/>
        <w:rPr>
          <w:rFonts w:ascii="Times New Roman" w:hAnsi="Times New Roman" w:cs="Times New Roman"/>
        </w:rPr>
      </w:pPr>
      <w:r w:rsidRPr="00B1350C">
        <w:rPr>
          <w:rFonts w:ascii="Times New Roman" w:hAnsi="Times New Roman" w:cs="Times New Roman"/>
        </w:rPr>
        <w:t xml:space="preserve">Additional support personnel for data review and editing </w:t>
      </w:r>
      <w:r w:rsidR="00E54B07">
        <w:rPr>
          <w:rFonts w:ascii="Times New Roman" w:hAnsi="Times New Roman" w:cs="Times New Roman"/>
        </w:rPr>
        <w:t>will help</w:t>
      </w:r>
      <w:r w:rsidRPr="00B1350C">
        <w:rPr>
          <w:rFonts w:ascii="Times New Roman" w:hAnsi="Times New Roman" w:cs="Times New Roman"/>
        </w:rPr>
        <w:t xml:space="preserve"> to facilitate faster data processing and formatting. For example, detail-oriented interns with relevant experience can help prepare records for integration under the direction of the data manager. </w:t>
      </w:r>
    </w:p>
    <w:p w14:paraId="3DDF80B6" w14:textId="364CCA11" w:rsidR="00FD727C" w:rsidRPr="00B1350C" w:rsidRDefault="00FD727C" w:rsidP="00FD727C">
      <w:pPr>
        <w:pStyle w:val="Default"/>
        <w:numPr>
          <w:ilvl w:val="0"/>
          <w:numId w:val="1"/>
        </w:numPr>
        <w:spacing w:line="480" w:lineRule="auto"/>
        <w:ind w:hanging="270"/>
        <w:rPr>
          <w:rFonts w:cs="Times New Roman" w:hint="eastAsia"/>
        </w:rPr>
      </w:pPr>
      <w:r w:rsidRPr="00B1350C">
        <w:rPr>
          <w:rFonts w:ascii="Times New Roman" w:hAnsi="Times New Roman" w:cs="Times New Roman"/>
        </w:rPr>
        <w:lastRenderedPageBreak/>
        <w:t xml:space="preserve">For new inventories, </w:t>
      </w:r>
      <w:r w:rsidR="00F50571">
        <w:rPr>
          <w:rFonts w:ascii="Times New Roman" w:hAnsi="Times New Roman" w:cs="Times New Roman"/>
        </w:rPr>
        <w:t xml:space="preserve">the initial </w:t>
      </w:r>
      <w:r w:rsidR="00D249AF">
        <w:rPr>
          <w:rFonts w:ascii="Times New Roman" w:hAnsi="Times New Roman" w:cs="Times New Roman"/>
        </w:rPr>
        <w:t xml:space="preserve">process </w:t>
      </w:r>
      <w:r w:rsidR="007E24CB">
        <w:rPr>
          <w:rFonts w:ascii="Times New Roman" w:hAnsi="Times New Roman" w:cs="Times New Roman"/>
        </w:rPr>
        <w:t xml:space="preserve">of </w:t>
      </w:r>
      <w:r w:rsidR="00D249AF">
        <w:rPr>
          <w:rFonts w:ascii="Times New Roman" w:hAnsi="Times New Roman" w:cs="Times New Roman"/>
        </w:rPr>
        <w:t xml:space="preserve">adding </w:t>
      </w:r>
      <w:r w:rsidR="007E24CB">
        <w:rPr>
          <w:rFonts w:ascii="Times New Roman" w:hAnsi="Times New Roman" w:cs="Times New Roman"/>
        </w:rPr>
        <w:t>data</w:t>
      </w:r>
      <w:r w:rsidR="00F50571">
        <w:rPr>
          <w:rFonts w:ascii="Times New Roman" w:hAnsi="Times New Roman" w:cs="Times New Roman"/>
        </w:rPr>
        <w:t xml:space="preserve"> </w:t>
      </w:r>
      <w:r w:rsidRPr="00B1350C">
        <w:rPr>
          <w:rFonts w:ascii="Times New Roman" w:hAnsi="Times New Roman" w:cs="Times New Roman"/>
        </w:rPr>
        <w:t xml:space="preserve">can help establish </w:t>
      </w:r>
      <w:r w:rsidR="00F50571">
        <w:rPr>
          <w:rFonts w:ascii="Times New Roman" w:hAnsi="Times New Roman" w:cs="Times New Roman"/>
        </w:rPr>
        <w:t>a workflow</w:t>
      </w:r>
      <w:r w:rsidR="00D249AF">
        <w:rPr>
          <w:rFonts w:ascii="Times New Roman" w:hAnsi="Times New Roman" w:cs="Times New Roman"/>
        </w:rPr>
        <w:t xml:space="preserve"> and specific </w:t>
      </w:r>
      <w:r w:rsidRPr="00B1350C">
        <w:rPr>
          <w:rFonts w:ascii="Times New Roman" w:hAnsi="Times New Roman" w:cs="Times New Roman"/>
        </w:rPr>
        <w:t>protocols for data entry, review, validation, and editing</w:t>
      </w:r>
      <w:r w:rsidR="007E24CB">
        <w:rPr>
          <w:rFonts w:ascii="Times New Roman" w:hAnsi="Times New Roman" w:cs="Times New Roman"/>
        </w:rPr>
        <w:t xml:space="preserve"> during the survey process</w:t>
      </w:r>
      <w:r w:rsidR="00452747">
        <w:rPr>
          <w:rFonts w:ascii="Times New Roman" w:hAnsi="Times New Roman" w:cs="Times New Roman"/>
        </w:rPr>
        <w:t xml:space="preserve"> (see </w:t>
      </w:r>
      <w:r w:rsidR="00452747" w:rsidRPr="00243D98">
        <w:rPr>
          <w:rFonts w:ascii="Times New Roman" w:hAnsi="Times New Roman" w:cs="Times New Roman"/>
          <w:b/>
          <w:bCs/>
        </w:rPr>
        <w:t>chapter 8</w:t>
      </w:r>
      <w:r w:rsidR="00452747">
        <w:rPr>
          <w:rFonts w:ascii="Times New Roman" w:hAnsi="Times New Roman" w:cs="Times New Roman"/>
        </w:rPr>
        <w:t>)</w:t>
      </w:r>
      <w:r w:rsidR="00F50F76">
        <w:rPr>
          <w:rFonts w:ascii="Times New Roman" w:hAnsi="Times New Roman" w:cs="Times New Roman"/>
        </w:rPr>
        <w:t>,</w:t>
      </w:r>
      <w:r w:rsidRPr="00B1350C">
        <w:rPr>
          <w:rFonts w:ascii="Times New Roman" w:hAnsi="Times New Roman" w:cs="Times New Roman"/>
        </w:rPr>
        <w:t xml:space="preserve"> as well as processes for data entry and editing </w:t>
      </w:r>
      <w:r w:rsidR="00D249AF">
        <w:rPr>
          <w:rFonts w:ascii="Times New Roman" w:hAnsi="Times New Roman" w:cs="Times New Roman"/>
        </w:rPr>
        <w:t xml:space="preserve">within the inventory </w:t>
      </w:r>
      <w:r w:rsidR="007E24CB">
        <w:rPr>
          <w:rFonts w:ascii="Times New Roman" w:hAnsi="Times New Roman" w:cs="Times New Roman"/>
        </w:rPr>
        <w:t>after survey data is published</w:t>
      </w:r>
      <w:r w:rsidRPr="00B1350C">
        <w:rPr>
          <w:rFonts w:ascii="Times New Roman" w:hAnsi="Times New Roman" w:cs="Times New Roman"/>
        </w:rPr>
        <w:t xml:space="preserve">. </w:t>
      </w:r>
    </w:p>
    <w:p w14:paraId="42599252" w14:textId="1B0BA162" w:rsidR="00FD727C" w:rsidRPr="00F8235A" w:rsidRDefault="00FD727C" w:rsidP="00FD727C">
      <w:pPr>
        <w:pStyle w:val="Default"/>
        <w:numPr>
          <w:ilvl w:val="0"/>
          <w:numId w:val="1"/>
        </w:numPr>
        <w:spacing w:line="480" w:lineRule="auto"/>
        <w:ind w:hanging="270"/>
        <w:rPr>
          <w:rFonts w:ascii="Times New Roman" w:eastAsia="Times New Roman" w:hAnsi="Times New Roman" w:cs="Times New Roman"/>
        </w:rPr>
      </w:pPr>
      <w:r w:rsidRPr="4226D5FB">
        <w:rPr>
          <w:rFonts w:ascii="Times New Roman" w:eastAsia="Times New Roman" w:hAnsi="Times New Roman" w:cs="Times New Roman"/>
        </w:rPr>
        <w:t xml:space="preserve">For established inventories, </w:t>
      </w:r>
      <w:r w:rsidR="00D249AF">
        <w:rPr>
          <w:rFonts w:ascii="Times New Roman" w:eastAsia="Times New Roman" w:hAnsi="Times New Roman" w:cs="Times New Roman"/>
        </w:rPr>
        <w:t xml:space="preserve">the overall process of data integration to the inventory serves as </w:t>
      </w:r>
      <w:r w:rsidR="00CB7251">
        <w:rPr>
          <w:rFonts w:ascii="Times New Roman" w:eastAsia="Times New Roman" w:hAnsi="Times New Roman" w:cs="Times New Roman"/>
        </w:rPr>
        <w:t>an opportunity to examine the</w:t>
      </w:r>
      <w:r w:rsidR="00CB7251" w:rsidRPr="00CB7251">
        <w:t xml:space="preserve"> </w:t>
      </w:r>
      <w:r w:rsidR="002D415C">
        <w:rPr>
          <w:rFonts w:ascii="Times New Roman" w:eastAsia="Times New Roman" w:hAnsi="Times New Roman" w:cs="Times New Roman"/>
        </w:rPr>
        <w:t>content compatibility</w:t>
      </w:r>
      <w:r w:rsidR="00CB7251">
        <w:rPr>
          <w:rFonts w:ascii="Times New Roman" w:eastAsia="Times New Roman" w:hAnsi="Times New Roman" w:cs="Times New Roman"/>
        </w:rPr>
        <w:t xml:space="preserve"> and </w:t>
      </w:r>
      <w:r w:rsidR="002D415C">
        <w:rPr>
          <w:rFonts w:ascii="Times New Roman" w:eastAsia="Times New Roman" w:hAnsi="Times New Roman" w:cs="Times New Roman"/>
        </w:rPr>
        <w:t>uniformity</w:t>
      </w:r>
      <w:r w:rsidR="00CB7251">
        <w:rPr>
          <w:rFonts w:ascii="Times New Roman" w:eastAsia="Times New Roman" w:hAnsi="Times New Roman" w:cs="Times New Roman"/>
        </w:rPr>
        <w:t xml:space="preserve"> of the data </w:t>
      </w:r>
      <w:r w:rsidR="002D415C">
        <w:rPr>
          <w:rFonts w:ascii="Times New Roman" w:eastAsia="Times New Roman" w:hAnsi="Times New Roman" w:cs="Times New Roman"/>
        </w:rPr>
        <w:t xml:space="preserve">that is being migrated into the </w:t>
      </w:r>
      <w:r w:rsidR="00CB7251">
        <w:rPr>
          <w:rFonts w:ascii="Times New Roman" w:eastAsia="Times New Roman" w:hAnsi="Times New Roman" w:cs="Times New Roman"/>
        </w:rPr>
        <w:t xml:space="preserve">inventory. While </w:t>
      </w:r>
      <w:bookmarkStart w:id="1" w:name="_Hlk143167808"/>
      <w:r w:rsidR="00CB7251">
        <w:rPr>
          <w:rFonts w:ascii="Times New Roman" w:eastAsia="Times New Roman" w:hAnsi="Times New Roman" w:cs="Times New Roman"/>
        </w:rPr>
        <w:t>time</w:t>
      </w:r>
      <w:r w:rsidR="00F50F76">
        <w:rPr>
          <w:rFonts w:ascii="Times New Roman" w:eastAsia="Times New Roman" w:hAnsi="Times New Roman" w:cs="Times New Roman"/>
        </w:rPr>
        <w:t>-</w:t>
      </w:r>
      <w:r w:rsidR="00CB7251">
        <w:rPr>
          <w:rFonts w:ascii="Times New Roman" w:eastAsia="Times New Roman" w:hAnsi="Times New Roman" w:cs="Times New Roman"/>
        </w:rPr>
        <w:t>consuming</w:t>
      </w:r>
      <w:bookmarkEnd w:id="1"/>
      <w:r w:rsidR="00CB7251">
        <w:rPr>
          <w:rFonts w:ascii="Times New Roman" w:eastAsia="Times New Roman" w:hAnsi="Times New Roman" w:cs="Times New Roman"/>
        </w:rPr>
        <w:t xml:space="preserve">, this step ultimately </w:t>
      </w:r>
      <w:r w:rsidRPr="4226D5FB">
        <w:rPr>
          <w:rFonts w:ascii="Times New Roman" w:eastAsia="Times New Roman" w:hAnsi="Times New Roman" w:cs="Times New Roman"/>
        </w:rPr>
        <w:t>help</w:t>
      </w:r>
      <w:r w:rsidR="00786A29">
        <w:rPr>
          <w:rFonts w:ascii="Times New Roman" w:eastAsia="Times New Roman" w:hAnsi="Times New Roman" w:cs="Times New Roman"/>
        </w:rPr>
        <w:t>s</w:t>
      </w:r>
      <w:r w:rsidRPr="4226D5FB">
        <w:rPr>
          <w:rFonts w:ascii="Times New Roman" w:eastAsia="Times New Roman" w:hAnsi="Times New Roman" w:cs="Times New Roman"/>
        </w:rPr>
        <w:t xml:space="preserve"> refine existing procedures and protocols to best serve data quality and </w:t>
      </w:r>
      <w:r w:rsidR="00CB7251">
        <w:rPr>
          <w:rFonts w:ascii="Times New Roman" w:eastAsia="Times New Roman" w:hAnsi="Times New Roman" w:cs="Times New Roman"/>
        </w:rPr>
        <w:t xml:space="preserve">the </w:t>
      </w:r>
      <w:r w:rsidRPr="4226D5FB">
        <w:rPr>
          <w:rFonts w:ascii="Times New Roman" w:eastAsia="Times New Roman" w:hAnsi="Times New Roman" w:cs="Times New Roman"/>
        </w:rPr>
        <w:t>growth of the inventory.</w:t>
      </w:r>
      <w:r w:rsidR="002D415C">
        <w:rPr>
          <w:rFonts w:ascii="Times New Roman" w:eastAsia="Times New Roman" w:hAnsi="Times New Roman" w:cs="Times New Roman"/>
        </w:rPr>
        <w:t xml:space="preserve"> </w:t>
      </w:r>
      <w:r w:rsidR="00786A29">
        <w:rPr>
          <w:rFonts w:ascii="Times New Roman" w:eastAsia="Times New Roman" w:hAnsi="Times New Roman" w:cs="Times New Roman"/>
        </w:rPr>
        <w:t xml:space="preserve">It can </w:t>
      </w:r>
      <w:r w:rsidR="00B02B8D">
        <w:rPr>
          <w:rFonts w:ascii="Times New Roman" w:eastAsia="Times New Roman" w:hAnsi="Times New Roman" w:cs="Times New Roman"/>
        </w:rPr>
        <w:t xml:space="preserve">also </w:t>
      </w:r>
      <w:r w:rsidR="00786A29">
        <w:rPr>
          <w:rFonts w:ascii="Times New Roman" w:eastAsia="Times New Roman" w:hAnsi="Times New Roman" w:cs="Times New Roman"/>
        </w:rPr>
        <w:t>help define which data is necessary to constitute a complete record in the inventory and</w:t>
      </w:r>
      <w:r w:rsidR="00F50F76">
        <w:rPr>
          <w:rFonts w:ascii="Times New Roman" w:eastAsia="Times New Roman" w:hAnsi="Times New Roman" w:cs="Times New Roman"/>
        </w:rPr>
        <w:t>,</w:t>
      </w:r>
      <w:r w:rsidR="00786A29">
        <w:rPr>
          <w:rFonts w:ascii="Times New Roman" w:eastAsia="Times New Roman" w:hAnsi="Times New Roman" w:cs="Times New Roman"/>
        </w:rPr>
        <w:t xml:space="preserve"> </w:t>
      </w:r>
      <w:r w:rsidR="00F50F76">
        <w:rPr>
          <w:rFonts w:ascii="Times New Roman" w:eastAsia="Times New Roman" w:hAnsi="Times New Roman" w:cs="Times New Roman"/>
        </w:rPr>
        <w:t>co</w:t>
      </w:r>
      <w:r w:rsidR="00786A29">
        <w:rPr>
          <w:rFonts w:ascii="Times New Roman" w:eastAsia="Times New Roman" w:hAnsi="Times New Roman" w:cs="Times New Roman"/>
        </w:rPr>
        <w:t>nversely</w:t>
      </w:r>
      <w:r w:rsidR="00F50F76">
        <w:rPr>
          <w:rFonts w:ascii="Times New Roman" w:eastAsia="Times New Roman" w:hAnsi="Times New Roman" w:cs="Times New Roman"/>
        </w:rPr>
        <w:t>,</w:t>
      </w:r>
      <w:r w:rsidR="00786A29">
        <w:rPr>
          <w:rFonts w:ascii="Times New Roman" w:eastAsia="Times New Roman" w:hAnsi="Times New Roman" w:cs="Times New Roman"/>
        </w:rPr>
        <w:t xml:space="preserve"> what data may not be pertinent within the inventory.</w:t>
      </w:r>
      <w:r w:rsidR="00387C58">
        <w:rPr>
          <w:rFonts w:ascii="Times New Roman" w:eastAsia="Times New Roman" w:hAnsi="Times New Roman" w:cs="Times New Roman"/>
        </w:rPr>
        <w:t xml:space="preserve"> </w:t>
      </w:r>
      <w:r w:rsidR="0071062F">
        <w:rPr>
          <w:rFonts w:ascii="Times New Roman" w:eastAsia="Times New Roman" w:hAnsi="Times New Roman" w:cs="Times New Roman"/>
        </w:rPr>
        <w:t xml:space="preserve"> </w:t>
      </w:r>
      <w:r w:rsidRPr="4226D5FB">
        <w:rPr>
          <w:rFonts w:ascii="Times New Roman" w:eastAsia="Times New Roman" w:hAnsi="Times New Roman" w:cs="Times New Roman"/>
        </w:rPr>
        <w:t xml:space="preserve"> </w:t>
      </w:r>
    </w:p>
    <w:p w14:paraId="014F2338" w14:textId="245181C8" w:rsidR="00FD727C" w:rsidRPr="00F8235A" w:rsidRDefault="00FD727C" w:rsidP="00FD727C">
      <w:pPr>
        <w:pStyle w:val="Default"/>
        <w:numPr>
          <w:ilvl w:val="0"/>
          <w:numId w:val="1"/>
        </w:numPr>
        <w:spacing w:line="480" w:lineRule="auto"/>
        <w:ind w:hanging="270"/>
        <w:rPr>
          <w:rFonts w:ascii="Times New Roman" w:eastAsia="Times New Roman" w:hAnsi="Times New Roman" w:cs="Times New Roman"/>
          <w:color w:val="000000" w:themeColor="text1"/>
        </w:rPr>
      </w:pPr>
      <w:r w:rsidRPr="4226D5FB">
        <w:rPr>
          <w:rFonts w:ascii="Times New Roman" w:eastAsia="Times New Roman" w:hAnsi="Times New Roman" w:cs="Times New Roman"/>
          <w:color w:val="000000" w:themeColor="text1"/>
        </w:rPr>
        <w:t xml:space="preserve">Preparing survey data for inventory integration requires </w:t>
      </w:r>
      <w:r w:rsidR="00FD21D8">
        <w:rPr>
          <w:rFonts w:ascii="Times New Roman" w:eastAsia="Times New Roman" w:hAnsi="Times New Roman" w:cs="Times New Roman"/>
          <w:color w:val="000000" w:themeColor="text1"/>
        </w:rPr>
        <w:t xml:space="preserve">a detailed and </w:t>
      </w:r>
      <w:r w:rsidRPr="4226D5FB">
        <w:rPr>
          <w:rFonts w:ascii="Times New Roman" w:eastAsia="Times New Roman" w:hAnsi="Times New Roman" w:cs="Times New Roman"/>
          <w:color w:val="000000" w:themeColor="text1"/>
        </w:rPr>
        <w:t>cautious review by the data manager</w:t>
      </w:r>
      <w:r w:rsidR="00E54B07">
        <w:rPr>
          <w:rFonts w:ascii="Times New Roman" w:eastAsia="Times New Roman" w:hAnsi="Times New Roman" w:cs="Times New Roman"/>
          <w:color w:val="000000" w:themeColor="text1"/>
        </w:rPr>
        <w:t>,</w:t>
      </w:r>
      <w:r w:rsidRPr="4226D5FB">
        <w:rPr>
          <w:rFonts w:ascii="Times New Roman" w:eastAsia="Times New Roman" w:hAnsi="Times New Roman" w:cs="Times New Roman"/>
          <w:color w:val="000000" w:themeColor="text1"/>
        </w:rPr>
        <w:t xml:space="preserve"> who must identify any </w:t>
      </w:r>
      <w:r w:rsidR="00FD21D8">
        <w:rPr>
          <w:rFonts w:ascii="Times New Roman" w:eastAsia="Times New Roman" w:hAnsi="Times New Roman" w:cs="Times New Roman"/>
          <w:color w:val="000000" w:themeColor="text1"/>
        </w:rPr>
        <w:t>commonalities and differences</w:t>
      </w:r>
      <w:r w:rsidRPr="4226D5FB">
        <w:rPr>
          <w:rFonts w:ascii="Times New Roman" w:eastAsia="Times New Roman" w:hAnsi="Times New Roman" w:cs="Times New Roman"/>
          <w:color w:val="000000" w:themeColor="text1"/>
        </w:rPr>
        <w:t xml:space="preserve"> between the inventory system data structure and </w:t>
      </w:r>
      <w:r w:rsidR="00FD21D8">
        <w:rPr>
          <w:rFonts w:ascii="Times New Roman" w:eastAsia="Times New Roman" w:hAnsi="Times New Roman" w:cs="Times New Roman"/>
          <w:color w:val="000000" w:themeColor="text1"/>
        </w:rPr>
        <w:t xml:space="preserve">that of the </w:t>
      </w:r>
      <w:r w:rsidRPr="4226D5FB">
        <w:rPr>
          <w:rFonts w:ascii="Times New Roman" w:eastAsia="Times New Roman" w:hAnsi="Times New Roman" w:cs="Times New Roman"/>
          <w:color w:val="000000" w:themeColor="text1"/>
        </w:rPr>
        <w:t>survey</w:t>
      </w:r>
      <w:r w:rsidR="00FD21D8">
        <w:rPr>
          <w:rFonts w:ascii="Times New Roman" w:eastAsia="Times New Roman" w:hAnsi="Times New Roman" w:cs="Times New Roman"/>
          <w:color w:val="000000" w:themeColor="text1"/>
        </w:rPr>
        <w:t xml:space="preserve">. </w:t>
      </w:r>
      <w:commentRangeStart w:id="2"/>
      <w:commentRangeStart w:id="3"/>
      <w:r w:rsidR="00FD21D8">
        <w:rPr>
          <w:rFonts w:ascii="Times New Roman" w:eastAsia="Times New Roman" w:hAnsi="Times New Roman" w:cs="Times New Roman"/>
          <w:color w:val="000000" w:themeColor="text1"/>
        </w:rPr>
        <w:t>Most often these can be found in the</w:t>
      </w:r>
      <w:r w:rsidRPr="4226D5FB">
        <w:rPr>
          <w:rFonts w:ascii="Times New Roman" w:eastAsia="Times New Roman" w:hAnsi="Times New Roman" w:cs="Times New Roman"/>
          <w:color w:val="000000" w:themeColor="text1"/>
        </w:rPr>
        <w:t xml:space="preserve"> controlled vocabularies</w:t>
      </w:r>
      <w:commentRangeEnd w:id="2"/>
      <w:commentRangeEnd w:id="3"/>
      <w:r w:rsidR="00FD21D8">
        <w:rPr>
          <w:rFonts w:ascii="Times New Roman" w:eastAsia="Times New Roman" w:hAnsi="Times New Roman" w:cs="Times New Roman"/>
          <w:color w:val="000000" w:themeColor="text1"/>
        </w:rPr>
        <w:t xml:space="preserve"> used for the organization of data</w:t>
      </w:r>
      <w:r w:rsidR="00E54B07">
        <w:rPr>
          <w:rStyle w:val="CommentReference"/>
          <w:rFonts w:ascii="Times New Roman" w:eastAsiaTheme="minorHAnsi" w:hAnsi="Times New Roman" w:cstheme="minorBidi"/>
          <w:color w:val="auto"/>
        </w:rPr>
        <w:commentReference w:id="2"/>
      </w:r>
      <w:r w:rsidR="008D3895">
        <w:rPr>
          <w:rStyle w:val="CommentReference"/>
          <w:rFonts w:ascii="Times New Roman" w:eastAsiaTheme="minorHAnsi" w:hAnsi="Times New Roman" w:cstheme="minorBidi"/>
          <w:color w:val="auto"/>
        </w:rPr>
        <w:commentReference w:id="3"/>
      </w:r>
      <w:r w:rsidRPr="4226D5FB">
        <w:rPr>
          <w:rFonts w:ascii="Times New Roman" w:eastAsia="Times New Roman" w:hAnsi="Times New Roman" w:cs="Times New Roman"/>
          <w:color w:val="000000" w:themeColor="text1"/>
        </w:rPr>
        <w:t xml:space="preserve">. </w:t>
      </w:r>
      <w:r w:rsidR="00FD21D8" w:rsidRPr="0031567B">
        <w:rPr>
          <w:rFonts w:ascii="Times New Roman" w:eastAsia="Times New Roman" w:hAnsi="Times New Roman" w:cs="Times New Roman"/>
          <w:color w:val="000000" w:themeColor="text1"/>
        </w:rPr>
        <w:t xml:space="preserve">For example, the survey data in review for integration may </w:t>
      </w:r>
      <w:r w:rsidR="00D06EB0" w:rsidRPr="0031567B">
        <w:rPr>
          <w:rFonts w:ascii="Times New Roman" w:eastAsia="Times New Roman" w:hAnsi="Times New Roman" w:cs="Times New Roman"/>
          <w:color w:val="000000" w:themeColor="text1"/>
        </w:rPr>
        <w:t xml:space="preserve">include the </w:t>
      </w:r>
      <w:r w:rsidR="00FD21D8" w:rsidRPr="0031567B">
        <w:rPr>
          <w:rFonts w:ascii="Times New Roman" w:eastAsia="Times New Roman" w:hAnsi="Times New Roman" w:cs="Times New Roman"/>
          <w:color w:val="000000" w:themeColor="text1"/>
        </w:rPr>
        <w:t xml:space="preserve">use </w:t>
      </w:r>
      <w:r w:rsidR="00A9289F" w:rsidRPr="00F90407">
        <w:rPr>
          <w:rFonts w:ascii="Times New Roman" w:eastAsia="Times New Roman" w:hAnsi="Times New Roman" w:cs="Times New Roman"/>
          <w:color w:val="000000" w:themeColor="text1"/>
        </w:rPr>
        <w:t xml:space="preserve">of </w:t>
      </w:r>
      <w:r w:rsidR="00D06EB0" w:rsidRPr="0031567B">
        <w:rPr>
          <w:rFonts w:ascii="Times New Roman" w:eastAsia="Times New Roman" w:hAnsi="Times New Roman" w:cs="Times New Roman"/>
          <w:color w:val="000000" w:themeColor="text1"/>
        </w:rPr>
        <w:t>different</w:t>
      </w:r>
      <w:r w:rsidR="00F50F76">
        <w:rPr>
          <w:rFonts w:ascii="Times New Roman" w:eastAsia="Times New Roman" w:hAnsi="Times New Roman" w:cs="Times New Roman"/>
          <w:color w:val="000000" w:themeColor="text1"/>
        </w:rPr>
        <w:t>, yet parallel,</w:t>
      </w:r>
      <w:r w:rsidR="00D06EB0" w:rsidRPr="0031567B">
        <w:rPr>
          <w:rFonts w:ascii="Times New Roman" w:eastAsia="Times New Roman" w:hAnsi="Times New Roman" w:cs="Times New Roman"/>
          <w:color w:val="000000" w:themeColor="text1"/>
        </w:rPr>
        <w:t xml:space="preserve"> </w:t>
      </w:r>
      <w:r w:rsidR="0031228E" w:rsidRPr="00F90407">
        <w:rPr>
          <w:rFonts w:ascii="Times New Roman" w:eastAsia="Times New Roman" w:hAnsi="Times New Roman" w:cs="Times New Roman"/>
          <w:color w:val="000000" w:themeColor="text1"/>
        </w:rPr>
        <w:t>terminology</w:t>
      </w:r>
      <w:r w:rsidR="00FD21D8" w:rsidRPr="0031567B">
        <w:rPr>
          <w:rFonts w:ascii="Times New Roman" w:eastAsia="Times New Roman" w:hAnsi="Times New Roman" w:cs="Times New Roman"/>
          <w:color w:val="000000" w:themeColor="text1"/>
        </w:rPr>
        <w:t xml:space="preserve"> tha</w:t>
      </w:r>
      <w:r w:rsidR="00D06EB0" w:rsidRPr="0031567B">
        <w:rPr>
          <w:rFonts w:ascii="Times New Roman" w:eastAsia="Times New Roman" w:hAnsi="Times New Roman" w:cs="Times New Roman"/>
          <w:color w:val="000000" w:themeColor="text1"/>
        </w:rPr>
        <w:t>n th</w:t>
      </w:r>
      <w:r w:rsidR="0031228E" w:rsidRPr="00F90407">
        <w:rPr>
          <w:rFonts w:ascii="Times New Roman" w:eastAsia="Times New Roman" w:hAnsi="Times New Roman" w:cs="Times New Roman"/>
          <w:color w:val="000000" w:themeColor="text1"/>
        </w:rPr>
        <w:t>at established for</w:t>
      </w:r>
      <w:r w:rsidR="00D06EB0" w:rsidRPr="0031567B">
        <w:rPr>
          <w:rFonts w:ascii="Times New Roman" w:eastAsia="Times New Roman" w:hAnsi="Times New Roman" w:cs="Times New Roman"/>
          <w:color w:val="000000" w:themeColor="text1"/>
        </w:rPr>
        <w:t xml:space="preserve"> the inventory. Alternatively, the survey data in review for integration may include </w:t>
      </w:r>
      <w:r w:rsidR="0031228E" w:rsidRPr="00F90407">
        <w:rPr>
          <w:rFonts w:ascii="Times New Roman" w:eastAsia="Times New Roman" w:hAnsi="Times New Roman" w:cs="Times New Roman"/>
          <w:color w:val="000000" w:themeColor="text1"/>
        </w:rPr>
        <w:t xml:space="preserve">terminology </w:t>
      </w:r>
      <w:r w:rsidR="00A9289F" w:rsidRPr="00F90407">
        <w:rPr>
          <w:rFonts w:ascii="Times New Roman" w:eastAsia="Times New Roman" w:hAnsi="Times New Roman" w:cs="Times New Roman"/>
          <w:color w:val="000000" w:themeColor="text1"/>
        </w:rPr>
        <w:t xml:space="preserve">for which an equivalent term is </w:t>
      </w:r>
      <w:r w:rsidR="00F50F76">
        <w:rPr>
          <w:rFonts w:ascii="Times New Roman" w:eastAsia="Times New Roman" w:hAnsi="Times New Roman" w:cs="Times New Roman"/>
          <w:color w:val="000000" w:themeColor="text1"/>
        </w:rPr>
        <w:t>lacking</w:t>
      </w:r>
      <w:r w:rsidR="00A9289F" w:rsidRPr="00F90407">
        <w:rPr>
          <w:rFonts w:ascii="Times New Roman" w:eastAsia="Times New Roman" w:hAnsi="Times New Roman" w:cs="Times New Roman"/>
          <w:color w:val="000000" w:themeColor="text1"/>
        </w:rPr>
        <w:t xml:space="preserve"> in the </w:t>
      </w:r>
      <w:r w:rsidR="00D06EB0" w:rsidRPr="0031567B">
        <w:rPr>
          <w:rFonts w:ascii="Times New Roman" w:eastAsia="Times New Roman" w:hAnsi="Times New Roman" w:cs="Times New Roman"/>
          <w:color w:val="000000" w:themeColor="text1"/>
        </w:rPr>
        <w:t>inventory.</w:t>
      </w:r>
      <w:r w:rsidRPr="4226D5FB">
        <w:rPr>
          <w:rFonts w:ascii="Times New Roman" w:eastAsia="Times New Roman" w:hAnsi="Times New Roman" w:cs="Times New Roman"/>
          <w:color w:val="000000" w:themeColor="text1"/>
        </w:rPr>
        <w:t xml:space="preserve"> </w:t>
      </w:r>
      <w:r w:rsidR="00C63FCE">
        <w:rPr>
          <w:rFonts w:ascii="Times New Roman" w:eastAsia="Times New Roman" w:hAnsi="Times New Roman" w:cs="Times New Roman"/>
          <w:color w:val="000000" w:themeColor="text1"/>
        </w:rPr>
        <w:t>It</w:t>
      </w:r>
      <w:r w:rsidR="004C5292">
        <w:rPr>
          <w:rFonts w:ascii="Times New Roman" w:eastAsia="Times New Roman" w:hAnsi="Times New Roman" w:cs="Times New Roman"/>
          <w:color w:val="000000" w:themeColor="text1"/>
        </w:rPr>
        <w:t xml:space="preserve"> </w:t>
      </w:r>
      <w:r w:rsidR="00C63FCE">
        <w:rPr>
          <w:rFonts w:ascii="Times New Roman" w:eastAsia="Times New Roman" w:hAnsi="Times New Roman" w:cs="Times New Roman"/>
          <w:color w:val="000000" w:themeColor="text1"/>
        </w:rPr>
        <w:t>is critical to reconcile d</w:t>
      </w:r>
      <w:r w:rsidRPr="4226D5FB">
        <w:rPr>
          <w:rFonts w:ascii="Times New Roman" w:eastAsia="Times New Roman" w:hAnsi="Times New Roman" w:cs="Times New Roman"/>
          <w:color w:val="000000" w:themeColor="text1"/>
        </w:rPr>
        <w:t xml:space="preserve">iscrepancies </w:t>
      </w:r>
      <w:r w:rsidR="00D06EB0">
        <w:rPr>
          <w:rFonts w:ascii="Times New Roman" w:eastAsia="Times New Roman" w:hAnsi="Times New Roman" w:cs="Times New Roman"/>
          <w:color w:val="000000" w:themeColor="text1"/>
        </w:rPr>
        <w:t>such as</w:t>
      </w:r>
      <w:r w:rsidR="004C5292">
        <w:rPr>
          <w:rFonts w:ascii="Times New Roman" w:eastAsia="Times New Roman" w:hAnsi="Times New Roman" w:cs="Times New Roman"/>
          <w:color w:val="000000" w:themeColor="text1"/>
        </w:rPr>
        <w:t xml:space="preserve"> these</w:t>
      </w:r>
      <w:r w:rsidR="00D06EB0">
        <w:rPr>
          <w:rFonts w:ascii="Times New Roman" w:eastAsia="Times New Roman" w:hAnsi="Times New Roman" w:cs="Times New Roman"/>
          <w:color w:val="000000" w:themeColor="text1"/>
        </w:rPr>
        <w:t xml:space="preserve"> </w:t>
      </w:r>
      <w:r w:rsidR="00E54B07">
        <w:rPr>
          <w:rFonts w:ascii="Times New Roman" w:eastAsia="Times New Roman" w:hAnsi="Times New Roman" w:cs="Times New Roman"/>
          <w:color w:val="000000" w:themeColor="text1"/>
        </w:rPr>
        <w:t>before</w:t>
      </w:r>
      <w:r w:rsidR="00E54B07" w:rsidRPr="4226D5FB">
        <w:rPr>
          <w:rFonts w:ascii="Times New Roman" w:eastAsia="Times New Roman" w:hAnsi="Times New Roman" w:cs="Times New Roman"/>
          <w:color w:val="000000" w:themeColor="text1"/>
        </w:rPr>
        <w:t xml:space="preserve"> </w:t>
      </w:r>
      <w:r w:rsidRPr="4226D5FB">
        <w:rPr>
          <w:rFonts w:ascii="Times New Roman" w:eastAsia="Times New Roman" w:hAnsi="Times New Roman" w:cs="Times New Roman"/>
          <w:color w:val="000000" w:themeColor="text1"/>
        </w:rPr>
        <w:t xml:space="preserve">survey data </w:t>
      </w:r>
      <w:r w:rsidR="00E54B07">
        <w:rPr>
          <w:rFonts w:ascii="Times New Roman" w:eastAsia="Times New Roman" w:hAnsi="Times New Roman" w:cs="Times New Roman"/>
          <w:color w:val="000000" w:themeColor="text1"/>
        </w:rPr>
        <w:t xml:space="preserve">is </w:t>
      </w:r>
      <w:r w:rsidRPr="4226D5FB">
        <w:rPr>
          <w:rFonts w:ascii="Times New Roman" w:eastAsia="Times New Roman" w:hAnsi="Times New Roman" w:cs="Times New Roman"/>
          <w:color w:val="000000" w:themeColor="text1"/>
        </w:rPr>
        <w:t xml:space="preserve">integrated into the inventory. In cases when it is not possible to </w:t>
      </w:r>
      <w:r>
        <w:rPr>
          <w:rFonts w:ascii="Times New Roman" w:eastAsia="Times New Roman" w:hAnsi="Times New Roman" w:cs="Times New Roman"/>
          <w:color w:val="000000" w:themeColor="text1"/>
        </w:rPr>
        <w:t xml:space="preserve">import or </w:t>
      </w:r>
      <w:r w:rsidRPr="4226D5FB">
        <w:rPr>
          <w:rFonts w:ascii="Times New Roman" w:eastAsia="Times New Roman" w:hAnsi="Times New Roman" w:cs="Times New Roman"/>
          <w:color w:val="000000" w:themeColor="text1"/>
        </w:rPr>
        <w:t>merge records simply, it may be necessary to edit the existing inventory</w:t>
      </w:r>
      <w:r w:rsidR="00E54B07">
        <w:rPr>
          <w:rFonts w:ascii="Times New Roman" w:eastAsia="Times New Roman" w:hAnsi="Times New Roman" w:cs="Times New Roman"/>
          <w:color w:val="000000" w:themeColor="text1"/>
        </w:rPr>
        <w:t>,</w:t>
      </w:r>
      <w:r w:rsidRPr="4226D5FB">
        <w:rPr>
          <w:rFonts w:ascii="Times New Roman" w:eastAsia="Times New Roman" w:hAnsi="Times New Roman" w:cs="Times New Roman"/>
          <w:color w:val="000000" w:themeColor="text1"/>
        </w:rPr>
        <w:t xml:space="preserve"> </w:t>
      </w:r>
      <w:r w:rsidR="00E54B07">
        <w:rPr>
          <w:rFonts w:ascii="Times New Roman" w:eastAsia="Times New Roman" w:hAnsi="Times New Roman" w:cs="Times New Roman"/>
          <w:color w:val="000000" w:themeColor="text1"/>
        </w:rPr>
        <w:t xml:space="preserve">the </w:t>
      </w:r>
      <w:r w:rsidRPr="4226D5FB">
        <w:rPr>
          <w:rFonts w:ascii="Times New Roman" w:eastAsia="Times New Roman" w:hAnsi="Times New Roman" w:cs="Times New Roman"/>
          <w:color w:val="000000" w:themeColor="text1"/>
        </w:rPr>
        <w:t>survey data structure</w:t>
      </w:r>
      <w:r w:rsidR="00E54B07">
        <w:rPr>
          <w:rFonts w:ascii="Times New Roman" w:eastAsia="Times New Roman" w:hAnsi="Times New Roman" w:cs="Times New Roman"/>
          <w:color w:val="000000" w:themeColor="text1"/>
        </w:rPr>
        <w:t>,</w:t>
      </w:r>
      <w:r w:rsidRPr="4226D5FB">
        <w:rPr>
          <w:rFonts w:ascii="Times New Roman" w:eastAsia="Times New Roman" w:hAnsi="Times New Roman" w:cs="Times New Roman"/>
          <w:color w:val="000000" w:themeColor="text1"/>
        </w:rPr>
        <w:t xml:space="preserve"> or </w:t>
      </w:r>
      <w:r w:rsidR="00E54B07">
        <w:rPr>
          <w:rFonts w:ascii="Times New Roman" w:eastAsia="Times New Roman" w:hAnsi="Times New Roman" w:cs="Times New Roman"/>
          <w:color w:val="000000" w:themeColor="text1"/>
        </w:rPr>
        <w:t xml:space="preserve">the </w:t>
      </w:r>
      <w:r w:rsidRPr="4226D5FB">
        <w:rPr>
          <w:rFonts w:ascii="Times New Roman" w:eastAsia="Times New Roman" w:hAnsi="Times New Roman" w:cs="Times New Roman"/>
          <w:color w:val="000000" w:themeColor="text1"/>
        </w:rPr>
        <w:t xml:space="preserve">controlled vocabularies to support </w:t>
      </w:r>
      <w:r w:rsidR="00D06EB0">
        <w:rPr>
          <w:rFonts w:ascii="Times New Roman" w:eastAsia="Times New Roman" w:hAnsi="Times New Roman" w:cs="Times New Roman"/>
          <w:color w:val="000000" w:themeColor="text1"/>
        </w:rPr>
        <w:t xml:space="preserve">the </w:t>
      </w:r>
      <w:r w:rsidRPr="4226D5FB">
        <w:rPr>
          <w:rFonts w:ascii="Times New Roman" w:eastAsia="Times New Roman" w:hAnsi="Times New Roman" w:cs="Times New Roman"/>
          <w:color w:val="000000" w:themeColor="text1"/>
        </w:rPr>
        <w:t>data</w:t>
      </w:r>
      <w:r w:rsidR="00D06EB0">
        <w:rPr>
          <w:rFonts w:ascii="Times New Roman" w:eastAsia="Times New Roman" w:hAnsi="Times New Roman" w:cs="Times New Roman"/>
          <w:color w:val="000000" w:themeColor="text1"/>
        </w:rPr>
        <w:t xml:space="preserve"> being</w:t>
      </w:r>
      <w:r w:rsidRPr="4226D5FB">
        <w:rPr>
          <w:rFonts w:ascii="Times New Roman" w:eastAsia="Times New Roman" w:hAnsi="Times New Roman" w:cs="Times New Roman"/>
          <w:color w:val="000000" w:themeColor="text1"/>
        </w:rPr>
        <w:t xml:space="preserve"> integrat</w:t>
      </w:r>
      <w:r w:rsidR="00D06EB0">
        <w:rPr>
          <w:rFonts w:ascii="Times New Roman" w:eastAsia="Times New Roman" w:hAnsi="Times New Roman" w:cs="Times New Roman"/>
          <w:color w:val="000000" w:themeColor="text1"/>
        </w:rPr>
        <w:t>ed</w:t>
      </w:r>
      <w:r w:rsidRPr="4226D5FB">
        <w:rPr>
          <w:rFonts w:ascii="Times New Roman" w:eastAsia="Times New Roman" w:hAnsi="Times New Roman" w:cs="Times New Roman"/>
          <w:color w:val="000000" w:themeColor="text1"/>
        </w:rPr>
        <w:t xml:space="preserve">. </w:t>
      </w:r>
    </w:p>
    <w:p w14:paraId="2192BE7C" w14:textId="0084A261" w:rsidR="00FD727C" w:rsidRDefault="00FD727C" w:rsidP="00FD727C">
      <w:pPr>
        <w:pStyle w:val="Default"/>
        <w:spacing w:line="480" w:lineRule="auto"/>
        <w:ind w:left="90"/>
        <w:rPr>
          <w:rFonts w:ascii="Times New Roman" w:eastAsia="Times New Roman" w:hAnsi="Times New Roman" w:cs="Times New Roman"/>
          <w:color w:val="000000" w:themeColor="text1"/>
        </w:rPr>
      </w:pPr>
      <w:r w:rsidRPr="00243D98">
        <w:rPr>
          <w:rFonts w:ascii="Times New Roman" w:eastAsia="Times New Roman" w:hAnsi="Times New Roman" w:cs="Times New Roman"/>
          <w:b/>
          <w:bCs/>
          <w:color w:val="000000" w:themeColor="text1"/>
        </w:rPr>
        <w:t xml:space="preserve">Figure </w:t>
      </w:r>
      <w:r w:rsidR="49C4A5E4" w:rsidRPr="00243D98">
        <w:rPr>
          <w:rFonts w:ascii="Times New Roman" w:eastAsia="Times New Roman" w:hAnsi="Times New Roman" w:cs="Times New Roman"/>
          <w:b/>
          <w:bCs/>
          <w:color w:val="000000" w:themeColor="text1"/>
        </w:rPr>
        <w:t>11.1</w:t>
      </w:r>
      <w:r w:rsidRPr="12499943">
        <w:rPr>
          <w:rFonts w:ascii="Times New Roman" w:eastAsia="Times New Roman" w:hAnsi="Times New Roman" w:cs="Times New Roman"/>
          <w:color w:val="000000" w:themeColor="text1"/>
        </w:rPr>
        <w:t xml:space="preserve"> illustrates the steps necessary to integrate survey data </w:t>
      </w:r>
      <w:r w:rsidR="00E54B07">
        <w:rPr>
          <w:rFonts w:ascii="Times New Roman" w:eastAsia="Times New Roman" w:hAnsi="Times New Roman" w:cs="Times New Roman"/>
          <w:color w:val="000000" w:themeColor="text1"/>
        </w:rPr>
        <w:t xml:space="preserve">that is </w:t>
      </w:r>
      <w:r w:rsidRPr="12499943">
        <w:rPr>
          <w:rFonts w:ascii="Times New Roman" w:eastAsia="Times New Roman" w:hAnsi="Times New Roman" w:cs="Times New Roman"/>
          <w:color w:val="000000" w:themeColor="text1"/>
        </w:rPr>
        <w:t xml:space="preserve">not recorded directly into an inventory system. </w:t>
      </w:r>
    </w:p>
    <w:p w14:paraId="25A90E98" w14:textId="62575467" w:rsidR="00DF06AF" w:rsidRPr="00F90407" w:rsidRDefault="00DF06AF" w:rsidP="00FD727C">
      <w:pPr>
        <w:pStyle w:val="Default"/>
        <w:spacing w:line="480" w:lineRule="auto"/>
        <w:ind w:left="90"/>
        <w:rPr>
          <w:rFonts w:ascii="Times New Roman" w:eastAsia="Times New Roman" w:hAnsi="Times New Roman" w:cs="Times New Roman"/>
          <w:b/>
          <w:bCs/>
        </w:rPr>
      </w:pPr>
      <w:r>
        <w:rPr>
          <w:rFonts w:ascii="Times New Roman" w:eastAsia="Times New Roman" w:hAnsi="Times New Roman" w:cs="Times New Roman"/>
          <w:b/>
          <w:bCs/>
          <w:color w:val="000000" w:themeColor="text1"/>
        </w:rPr>
        <w:lastRenderedPageBreak/>
        <w:t>[[fig-11-1]]</w:t>
      </w:r>
    </w:p>
    <w:p w14:paraId="12573211" w14:textId="647E1935" w:rsidR="00FD727C" w:rsidRPr="00056E3A" w:rsidRDefault="00FD727C" w:rsidP="00DF06AF">
      <w:pPr>
        <w:pStyle w:val="Heading2"/>
      </w:pPr>
      <w:bookmarkStart w:id="4" w:name="_Toc95825383"/>
      <w:r>
        <w:t xml:space="preserve">Final </w:t>
      </w:r>
      <w:r w:rsidR="00E54B07">
        <w:t>Survey Reports</w:t>
      </w:r>
      <w:bookmarkEnd w:id="4"/>
    </w:p>
    <w:p w14:paraId="1C3FE203" w14:textId="65ECA587" w:rsidR="00183219" w:rsidRDefault="00FD727C" w:rsidP="00243D98">
      <w:pPr>
        <w:rPr>
          <w:rFonts w:cs="Times New Roman"/>
        </w:rPr>
      </w:pPr>
      <w:r w:rsidRPr="229A1E0A">
        <w:t xml:space="preserve">The jurisdictional survey standards and guidelines adopted for a survey may include detailed final reporting requirements to follow once a survey is complete. Final reports may also be required by an agency or organization that partnered in the survey or that provided funding for the survey. In addition to </w:t>
      </w:r>
      <w:r w:rsidR="008D3902">
        <w:t>a</w:t>
      </w:r>
      <w:r w:rsidR="00605329">
        <w:t>n</w:t>
      </w:r>
      <w:r w:rsidR="008D3902">
        <w:t>y</w:t>
      </w:r>
      <w:r w:rsidRPr="229A1E0A">
        <w:t xml:space="preserve"> technical requirements</w:t>
      </w:r>
      <w:r w:rsidR="008241B2">
        <w:t>,</w:t>
      </w:r>
      <w:r w:rsidR="006C7000">
        <w:t xml:space="preserve"> </w:t>
      </w:r>
      <w:r w:rsidR="00437556">
        <w:t xml:space="preserve">it is important that </w:t>
      </w:r>
      <w:r w:rsidR="0086140D">
        <w:t xml:space="preserve">survey </w:t>
      </w:r>
      <w:r w:rsidR="006C7000">
        <w:t xml:space="preserve">reports </w:t>
      </w:r>
      <w:r w:rsidR="008241B2">
        <w:t>be</w:t>
      </w:r>
      <w:r w:rsidR="008241B2">
        <w:t xml:space="preserve"> </w:t>
      </w:r>
      <w:r w:rsidR="006C7000" w:rsidRPr="229A1E0A">
        <w:t xml:space="preserve">understandable </w:t>
      </w:r>
      <w:r w:rsidR="00556CB3">
        <w:t xml:space="preserve">and accessible </w:t>
      </w:r>
      <w:r w:rsidR="00220F74">
        <w:t>to</w:t>
      </w:r>
      <w:r w:rsidR="006C7000">
        <w:t xml:space="preserve"> the public</w:t>
      </w:r>
      <w:r w:rsidR="003C6839">
        <w:t>.</w:t>
      </w:r>
      <w:r w:rsidRPr="229A1E0A">
        <w:t xml:space="preserve"> </w:t>
      </w:r>
    </w:p>
    <w:p w14:paraId="2765F427" w14:textId="748CEF05" w:rsidR="00DF06AF" w:rsidRDefault="00FD727C" w:rsidP="00F90407">
      <w:pPr>
        <w:rPr>
          <w:rFonts w:hint="eastAsia"/>
        </w:rPr>
      </w:pPr>
      <w:r w:rsidRPr="12499943">
        <w:t>Public reports are an important source of information describ</w:t>
      </w:r>
      <w:r w:rsidR="008241B2">
        <w:t>ing</w:t>
      </w:r>
      <w:r w:rsidRPr="12499943">
        <w:t xml:space="preserve"> and explain</w:t>
      </w:r>
      <w:r w:rsidR="008241B2">
        <w:t>ing</w:t>
      </w:r>
      <w:r w:rsidRPr="12499943">
        <w:t xml:space="preserve"> the survey project and summariz</w:t>
      </w:r>
      <w:r w:rsidR="008241B2">
        <w:t>ing</w:t>
      </w:r>
      <w:r w:rsidRPr="12499943">
        <w:t xml:space="preserve"> findings. For smaller surveys, a single report may be completed; for larger scale surveys, a series of reports may be needed</w:t>
      </w:r>
      <w:r w:rsidR="00A92949">
        <w:t xml:space="preserve">, </w:t>
      </w:r>
      <w:r w:rsidR="008241B2">
        <w:t>perhaps</w:t>
      </w:r>
      <w:r w:rsidR="00A92949">
        <w:t xml:space="preserve"> </w:t>
      </w:r>
      <w:r w:rsidRPr="12499943">
        <w:t xml:space="preserve">to coordinate with a survey phasing plan. Where multiple reports are prepared over time, it is recommended that a report template be developed so that each report is consistent in format and content and </w:t>
      </w:r>
      <w:r w:rsidR="00E54B07">
        <w:t>can be</w:t>
      </w:r>
      <w:r w:rsidRPr="12499943">
        <w:t xml:space="preserve"> easily recognized </w:t>
      </w:r>
      <w:r w:rsidR="008241B2">
        <w:t>part of</w:t>
      </w:r>
      <w:r w:rsidRPr="12499943">
        <w:t xml:space="preserve"> the survey. </w:t>
      </w:r>
    </w:p>
    <w:p w14:paraId="73E3890A" w14:textId="77777777" w:rsidR="00E54B07" w:rsidRDefault="00FD727C" w:rsidP="00FD727C">
      <w:pPr>
        <w:pStyle w:val="Default"/>
        <w:spacing w:line="480" w:lineRule="auto"/>
        <w:rPr>
          <w:rFonts w:ascii="Times New Roman" w:hAnsi="Times New Roman" w:cs="Times New Roman"/>
        </w:rPr>
      </w:pPr>
      <w:r w:rsidRPr="12499943">
        <w:rPr>
          <w:rFonts w:ascii="Times New Roman" w:hAnsi="Times New Roman" w:cs="Times New Roman"/>
        </w:rPr>
        <w:t>It is also recommended that reports describe aspects of a survey project with respect to</w:t>
      </w:r>
      <w:r w:rsidR="00E54B07">
        <w:rPr>
          <w:rFonts w:ascii="Times New Roman" w:hAnsi="Times New Roman" w:cs="Times New Roman"/>
        </w:rPr>
        <w:t>:</w:t>
      </w:r>
    </w:p>
    <w:p w14:paraId="0E82D68A" w14:textId="6563B2FC" w:rsidR="00E54B07" w:rsidRDefault="00E54B07" w:rsidP="00E54B07">
      <w:pPr>
        <w:pStyle w:val="Default"/>
        <w:numPr>
          <w:ilvl w:val="0"/>
          <w:numId w:val="2"/>
        </w:numPr>
        <w:spacing w:line="480" w:lineRule="auto"/>
        <w:rPr>
          <w:rFonts w:ascii="Times New Roman" w:hAnsi="Times New Roman" w:cs="Times New Roman"/>
        </w:rPr>
      </w:pPr>
      <w:r w:rsidRPr="00243D98">
        <w:rPr>
          <w:rFonts w:ascii="Times New Roman" w:hAnsi="Times New Roman" w:cs="Times New Roman"/>
        </w:rPr>
        <w:t>Who</w:t>
      </w:r>
      <w:r w:rsidRPr="12499943">
        <w:rPr>
          <w:rFonts w:ascii="Times New Roman" w:hAnsi="Times New Roman" w:cs="Times New Roman"/>
        </w:rPr>
        <w:t xml:space="preserve"> </w:t>
      </w:r>
      <w:r w:rsidR="00FD727C" w:rsidRPr="12499943">
        <w:rPr>
          <w:rFonts w:ascii="Times New Roman" w:hAnsi="Times New Roman" w:cs="Times New Roman"/>
        </w:rPr>
        <w:t>commissioned, carried out, and supported the survey</w:t>
      </w:r>
    </w:p>
    <w:p w14:paraId="0E156D03" w14:textId="060CD527" w:rsidR="00E54B07" w:rsidRDefault="00E54B07" w:rsidP="00E54B07">
      <w:pPr>
        <w:pStyle w:val="Default"/>
        <w:numPr>
          <w:ilvl w:val="0"/>
          <w:numId w:val="2"/>
        </w:numPr>
        <w:spacing w:line="480" w:lineRule="auto"/>
        <w:rPr>
          <w:rFonts w:ascii="Times New Roman" w:hAnsi="Times New Roman" w:cs="Times New Roman"/>
        </w:rPr>
      </w:pPr>
      <w:r w:rsidRPr="00243D98">
        <w:rPr>
          <w:rFonts w:ascii="Times New Roman" w:hAnsi="Times New Roman" w:cs="Times New Roman"/>
        </w:rPr>
        <w:t>What</w:t>
      </w:r>
      <w:r w:rsidRPr="12499943">
        <w:rPr>
          <w:rFonts w:ascii="Times New Roman" w:hAnsi="Times New Roman" w:cs="Times New Roman"/>
        </w:rPr>
        <w:t xml:space="preserve"> </w:t>
      </w:r>
      <w:r w:rsidR="00FD727C" w:rsidRPr="12499943">
        <w:rPr>
          <w:rFonts w:ascii="Times New Roman" w:hAnsi="Times New Roman" w:cs="Times New Roman"/>
        </w:rPr>
        <w:t xml:space="preserve">characteristics of heritage resources </w:t>
      </w:r>
      <w:r>
        <w:rPr>
          <w:rFonts w:ascii="Times New Roman" w:hAnsi="Times New Roman" w:cs="Times New Roman"/>
        </w:rPr>
        <w:t xml:space="preserve">were </w:t>
      </w:r>
      <w:r w:rsidR="00FD727C" w:rsidRPr="12499943">
        <w:rPr>
          <w:rFonts w:ascii="Times New Roman" w:hAnsi="Times New Roman" w:cs="Times New Roman"/>
        </w:rPr>
        <w:t>surveyed</w:t>
      </w:r>
    </w:p>
    <w:p w14:paraId="42A7B08E" w14:textId="2F865654" w:rsidR="00E54B07" w:rsidRDefault="00E54B07" w:rsidP="00E54B07">
      <w:pPr>
        <w:pStyle w:val="Default"/>
        <w:numPr>
          <w:ilvl w:val="0"/>
          <w:numId w:val="2"/>
        </w:numPr>
        <w:spacing w:line="480" w:lineRule="auto"/>
        <w:rPr>
          <w:rFonts w:ascii="Times New Roman" w:hAnsi="Times New Roman" w:cs="Times New Roman"/>
        </w:rPr>
      </w:pPr>
      <w:r w:rsidRPr="00243D98">
        <w:rPr>
          <w:rFonts w:ascii="Times New Roman" w:hAnsi="Times New Roman" w:cs="Times New Roman"/>
        </w:rPr>
        <w:t>When</w:t>
      </w:r>
      <w:r w:rsidRPr="12499943">
        <w:rPr>
          <w:rFonts w:ascii="Times New Roman" w:hAnsi="Times New Roman" w:cs="Times New Roman"/>
        </w:rPr>
        <w:t xml:space="preserve"> </w:t>
      </w:r>
      <w:r w:rsidR="00FD727C" w:rsidRPr="12499943">
        <w:rPr>
          <w:rFonts w:ascii="Times New Roman" w:hAnsi="Times New Roman" w:cs="Times New Roman"/>
        </w:rPr>
        <w:t>survey activities</w:t>
      </w:r>
      <w:r>
        <w:rPr>
          <w:rFonts w:ascii="Times New Roman" w:hAnsi="Times New Roman" w:cs="Times New Roman"/>
        </w:rPr>
        <w:t xml:space="preserve"> were carried out – the overall </w:t>
      </w:r>
      <w:r w:rsidRPr="12499943">
        <w:rPr>
          <w:rFonts w:ascii="Times New Roman" w:hAnsi="Times New Roman" w:cs="Times New Roman"/>
        </w:rPr>
        <w:t>timeframe</w:t>
      </w:r>
    </w:p>
    <w:p w14:paraId="491C74D3" w14:textId="7E30DB96" w:rsidR="00E54B07" w:rsidRDefault="00E54B07" w:rsidP="00E54B07">
      <w:pPr>
        <w:pStyle w:val="Default"/>
        <w:numPr>
          <w:ilvl w:val="0"/>
          <w:numId w:val="2"/>
        </w:numPr>
        <w:spacing w:line="480" w:lineRule="auto"/>
        <w:rPr>
          <w:rFonts w:ascii="Times New Roman" w:hAnsi="Times New Roman" w:cs="Times New Roman"/>
        </w:rPr>
      </w:pPr>
      <w:r w:rsidRPr="00243D98">
        <w:rPr>
          <w:rFonts w:ascii="Times New Roman" w:hAnsi="Times New Roman" w:cs="Times New Roman"/>
        </w:rPr>
        <w:t>Where</w:t>
      </w:r>
      <w:r w:rsidRPr="12499943">
        <w:rPr>
          <w:rFonts w:ascii="Times New Roman" w:hAnsi="Times New Roman" w:cs="Times New Roman"/>
        </w:rPr>
        <w:t xml:space="preserve"> </w:t>
      </w:r>
      <w:r w:rsidR="00FD727C" w:rsidRPr="12499943">
        <w:rPr>
          <w:rFonts w:ascii="Times New Roman" w:hAnsi="Times New Roman" w:cs="Times New Roman"/>
        </w:rPr>
        <w:t>survey activities</w:t>
      </w:r>
      <w:r>
        <w:rPr>
          <w:rFonts w:ascii="Times New Roman" w:hAnsi="Times New Roman" w:cs="Times New Roman"/>
        </w:rPr>
        <w:t xml:space="preserve"> occurred – the </w:t>
      </w:r>
      <w:r w:rsidRPr="12499943">
        <w:rPr>
          <w:rFonts w:ascii="Times New Roman" w:hAnsi="Times New Roman" w:cs="Times New Roman"/>
        </w:rPr>
        <w:t>geographic extent</w:t>
      </w:r>
      <w:r w:rsidR="00FD727C" w:rsidRPr="12499943">
        <w:rPr>
          <w:rFonts w:ascii="Times New Roman" w:hAnsi="Times New Roman" w:cs="Times New Roman"/>
        </w:rPr>
        <w:t xml:space="preserve"> </w:t>
      </w:r>
    </w:p>
    <w:p w14:paraId="435804FE" w14:textId="47CCD0FE" w:rsidR="00E54B07" w:rsidRDefault="00E54B07" w:rsidP="00F90407">
      <w:pPr>
        <w:pStyle w:val="Default"/>
        <w:numPr>
          <w:ilvl w:val="0"/>
          <w:numId w:val="2"/>
        </w:numPr>
        <w:spacing w:line="480" w:lineRule="auto"/>
        <w:rPr>
          <w:rFonts w:ascii="Times New Roman" w:hAnsi="Times New Roman" w:cs="Times New Roman"/>
        </w:rPr>
      </w:pPr>
      <w:r w:rsidRPr="00243D98">
        <w:rPr>
          <w:rFonts w:ascii="Times New Roman" w:hAnsi="Times New Roman" w:cs="Times New Roman"/>
        </w:rPr>
        <w:t>How</w:t>
      </w:r>
      <w:r w:rsidRPr="12499943">
        <w:rPr>
          <w:rFonts w:ascii="Times New Roman" w:hAnsi="Times New Roman" w:cs="Times New Roman"/>
        </w:rPr>
        <w:t xml:space="preserve"> </w:t>
      </w:r>
      <w:r>
        <w:rPr>
          <w:rFonts w:ascii="Times New Roman" w:hAnsi="Times New Roman" w:cs="Times New Roman"/>
        </w:rPr>
        <w:t xml:space="preserve">the survey was done – the </w:t>
      </w:r>
      <w:r w:rsidR="00FD727C" w:rsidRPr="12499943">
        <w:rPr>
          <w:rFonts w:ascii="Times New Roman" w:hAnsi="Times New Roman" w:cs="Times New Roman"/>
        </w:rPr>
        <w:t>methodology and standards followed</w:t>
      </w:r>
    </w:p>
    <w:p w14:paraId="7E399E55" w14:textId="5C584950" w:rsidR="008241B2" w:rsidRDefault="00FD727C" w:rsidP="00FD727C">
      <w:pPr>
        <w:pStyle w:val="Default"/>
        <w:spacing w:line="480" w:lineRule="auto"/>
        <w:rPr>
          <w:rFonts w:ascii="Times New Roman" w:hAnsi="Times New Roman" w:cs="Times New Roman"/>
        </w:rPr>
      </w:pPr>
      <w:r w:rsidRPr="12499943">
        <w:rPr>
          <w:rFonts w:ascii="Times New Roman" w:hAnsi="Times New Roman" w:cs="Times New Roman"/>
        </w:rPr>
        <w:t xml:space="preserve">For SurveyLA, </w:t>
      </w:r>
      <w:r w:rsidR="00DF06AF">
        <w:rPr>
          <w:rFonts w:ascii="Times New Roman" w:hAnsi="Times New Roman" w:cs="Times New Roman"/>
        </w:rPr>
        <w:t>thirty-five</w:t>
      </w:r>
      <w:r w:rsidRPr="12499943">
        <w:rPr>
          <w:rFonts w:ascii="Times New Roman" w:hAnsi="Times New Roman" w:cs="Times New Roman"/>
        </w:rPr>
        <w:t xml:space="preserve"> separate reports </w:t>
      </w:r>
      <w:r w:rsidR="00DF06AF">
        <w:rPr>
          <w:rFonts w:ascii="Times New Roman" w:hAnsi="Times New Roman" w:cs="Times New Roman"/>
        </w:rPr>
        <w:t xml:space="preserve">were </w:t>
      </w:r>
      <w:r w:rsidR="00DF06AF" w:rsidRPr="12499943">
        <w:rPr>
          <w:rFonts w:ascii="Times New Roman" w:hAnsi="Times New Roman" w:cs="Times New Roman"/>
        </w:rPr>
        <w:t xml:space="preserve">prepared by </w:t>
      </w:r>
      <w:r w:rsidR="004A2B5B">
        <w:rPr>
          <w:rFonts w:ascii="Times New Roman" w:hAnsi="Times New Roman" w:cs="Times New Roman"/>
        </w:rPr>
        <w:t xml:space="preserve">survey </w:t>
      </w:r>
      <w:r w:rsidR="00DF06AF" w:rsidRPr="12499943">
        <w:rPr>
          <w:rFonts w:ascii="Times New Roman" w:hAnsi="Times New Roman" w:cs="Times New Roman"/>
        </w:rPr>
        <w:t>consultant teams</w:t>
      </w:r>
      <w:r w:rsidR="00DF06AF">
        <w:rPr>
          <w:rFonts w:ascii="Times New Roman" w:hAnsi="Times New Roman" w:cs="Times New Roman"/>
        </w:rPr>
        <w:t>, corresponding</w:t>
      </w:r>
      <w:r w:rsidR="00DF06AF" w:rsidRPr="12499943">
        <w:rPr>
          <w:rFonts w:ascii="Times New Roman" w:hAnsi="Times New Roman" w:cs="Times New Roman"/>
        </w:rPr>
        <w:t xml:space="preserve"> </w:t>
      </w:r>
      <w:r w:rsidRPr="12499943">
        <w:rPr>
          <w:rFonts w:ascii="Times New Roman" w:hAnsi="Times New Roman" w:cs="Times New Roman"/>
        </w:rPr>
        <w:t xml:space="preserve">with the </w:t>
      </w:r>
      <w:r w:rsidR="00DF06AF">
        <w:rPr>
          <w:rFonts w:ascii="Times New Roman" w:hAnsi="Times New Roman" w:cs="Times New Roman"/>
        </w:rPr>
        <w:t>thirty-five</w:t>
      </w:r>
      <w:r w:rsidR="00DF06AF" w:rsidRPr="12499943" w:rsidDel="00DF06AF">
        <w:rPr>
          <w:rFonts w:ascii="Times New Roman" w:hAnsi="Times New Roman" w:cs="Times New Roman"/>
        </w:rPr>
        <w:t xml:space="preserve"> </w:t>
      </w:r>
      <w:r w:rsidRPr="12499943">
        <w:rPr>
          <w:rFonts w:ascii="Times New Roman" w:hAnsi="Times New Roman" w:cs="Times New Roman"/>
        </w:rPr>
        <w:t>community plan areas surveyed</w:t>
      </w:r>
      <w:r w:rsidR="00F90407">
        <w:rPr>
          <w:rFonts w:ascii="Times New Roman" w:hAnsi="Times New Roman" w:cs="Times New Roman"/>
        </w:rPr>
        <w:t xml:space="preserve"> ({{</w:t>
      </w:r>
      <w:r w:rsidR="00F90407" w:rsidRPr="00F90407">
        <w:rPr>
          <w:rFonts w:ascii="Times New Roman" w:hAnsi="Times New Roman" w:cs="Times New Roman"/>
        </w:rPr>
        <w:t>Los Angeles City Planning n.d.b</w:t>
      </w:r>
      <w:r w:rsidR="00F90407">
        <w:rPr>
          <w:rFonts w:ascii="Times New Roman" w:hAnsi="Times New Roman" w:cs="Times New Roman"/>
        </w:rPr>
        <w:t>}}</w:t>
      </w:r>
      <w:r w:rsidR="00DF06AF">
        <w:rPr>
          <w:rFonts w:ascii="Times New Roman" w:hAnsi="Times New Roman" w:cs="Times New Roman"/>
        </w:rPr>
        <w:t>.</w:t>
      </w:r>
      <w:r w:rsidR="00242E28">
        <w:rPr>
          <w:rFonts w:ascii="Times New Roman" w:hAnsi="Times New Roman" w:cs="Times New Roman"/>
        </w:rPr>
        <w:t xml:space="preserve"> The report for each area </w:t>
      </w:r>
      <w:r w:rsidR="00242E28" w:rsidRPr="00242E28">
        <w:rPr>
          <w:rFonts w:ascii="Times New Roman" w:hAnsi="Times New Roman" w:cs="Times New Roman"/>
        </w:rPr>
        <w:t>include</w:t>
      </w:r>
      <w:r w:rsidR="00242E28">
        <w:rPr>
          <w:rFonts w:ascii="Times New Roman" w:hAnsi="Times New Roman" w:cs="Times New Roman"/>
        </w:rPr>
        <w:t>d</w:t>
      </w:r>
      <w:r w:rsidR="00242E28" w:rsidRPr="00242E28">
        <w:rPr>
          <w:rFonts w:ascii="Times New Roman" w:hAnsi="Times New Roman" w:cs="Times New Roman"/>
        </w:rPr>
        <w:t xml:space="preserve"> appendices summarizing survey findings by </w:t>
      </w:r>
      <w:r w:rsidR="00CA0640">
        <w:rPr>
          <w:rFonts w:ascii="Times New Roman" w:hAnsi="Times New Roman" w:cs="Times New Roman"/>
        </w:rPr>
        <w:t>reso</w:t>
      </w:r>
      <w:r w:rsidR="00587339">
        <w:rPr>
          <w:rFonts w:ascii="Times New Roman" w:hAnsi="Times New Roman" w:cs="Times New Roman"/>
        </w:rPr>
        <w:t xml:space="preserve">urce </w:t>
      </w:r>
      <w:r w:rsidR="00587339">
        <w:rPr>
          <w:rFonts w:ascii="Times New Roman" w:hAnsi="Times New Roman" w:cs="Times New Roman"/>
        </w:rPr>
        <w:lastRenderedPageBreak/>
        <w:t>categor</w:t>
      </w:r>
      <w:r w:rsidR="0030531D">
        <w:rPr>
          <w:rFonts w:ascii="Times New Roman" w:hAnsi="Times New Roman" w:cs="Times New Roman"/>
        </w:rPr>
        <w:t>y</w:t>
      </w:r>
      <w:r w:rsidR="00587339">
        <w:rPr>
          <w:rFonts w:ascii="Times New Roman" w:hAnsi="Times New Roman" w:cs="Times New Roman"/>
        </w:rPr>
        <w:t xml:space="preserve"> </w:t>
      </w:r>
      <w:r w:rsidR="00833B6B">
        <w:rPr>
          <w:rFonts w:ascii="Times New Roman" w:hAnsi="Times New Roman" w:cs="Times New Roman"/>
        </w:rPr>
        <w:t>used for Survey</w:t>
      </w:r>
      <w:r w:rsidR="00587339">
        <w:rPr>
          <w:rFonts w:ascii="Times New Roman" w:hAnsi="Times New Roman" w:cs="Times New Roman"/>
        </w:rPr>
        <w:t>LA</w:t>
      </w:r>
      <w:r w:rsidR="0030531D">
        <w:rPr>
          <w:rFonts w:ascii="Times New Roman" w:hAnsi="Times New Roman" w:cs="Times New Roman"/>
        </w:rPr>
        <w:t xml:space="preserve"> (</w:t>
      </w:r>
      <w:r w:rsidR="00833B6B">
        <w:rPr>
          <w:rFonts w:ascii="Times New Roman" w:hAnsi="Times New Roman" w:cs="Times New Roman"/>
        </w:rPr>
        <w:t>e.g.,</w:t>
      </w:r>
      <w:r w:rsidR="001706A0">
        <w:rPr>
          <w:rFonts w:ascii="Times New Roman" w:hAnsi="Times New Roman" w:cs="Times New Roman"/>
        </w:rPr>
        <w:t xml:space="preserve"> individual properties, historic districts</w:t>
      </w:r>
      <w:r w:rsidR="000A2397">
        <w:rPr>
          <w:rFonts w:ascii="Times New Roman" w:hAnsi="Times New Roman" w:cs="Times New Roman"/>
        </w:rPr>
        <w:t>, etc.)</w:t>
      </w:r>
      <w:r w:rsidR="0071062F">
        <w:rPr>
          <w:rFonts w:ascii="Times New Roman" w:hAnsi="Times New Roman" w:cs="Times New Roman"/>
        </w:rPr>
        <w:t xml:space="preserve"> </w:t>
      </w:r>
      <w:r w:rsidR="00603F8C">
        <w:rPr>
          <w:rFonts w:ascii="Times New Roman" w:hAnsi="Times New Roman" w:cs="Times New Roman"/>
        </w:rPr>
        <w:t xml:space="preserve">and </w:t>
      </w:r>
      <w:r w:rsidR="00E615BF">
        <w:rPr>
          <w:rFonts w:ascii="Times New Roman" w:hAnsi="Times New Roman" w:cs="Times New Roman"/>
        </w:rPr>
        <w:t>t</w:t>
      </w:r>
      <w:r w:rsidR="00DF06AF">
        <w:rPr>
          <w:rFonts w:ascii="Times New Roman" w:hAnsi="Times New Roman" w:cs="Times New Roman"/>
        </w:rPr>
        <w:t xml:space="preserve">hey were </w:t>
      </w:r>
      <w:r w:rsidRPr="12499943">
        <w:rPr>
          <w:rFonts w:ascii="Times New Roman" w:hAnsi="Times New Roman" w:cs="Times New Roman"/>
        </w:rPr>
        <w:t xml:space="preserve">published sequentially as the surveys were completed. </w:t>
      </w:r>
      <w:r w:rsidR="008241B2">
        <w:rPr>
          <w:rFonts w:ascii="Times New Roman" w:hAnsi="Times New Roman" w:cs="Times New Roman"/>
        </w:rPr>
        <w:t>The</w:t>
      </w:r>
      <w:r w:rsidR="00870655">
        <w:rPr>
          <w:rFonts w:ascii="Times New Roman" w:hAnsi="Times New Roman" w:cs="Times New Roman"/>
        </w:rPr>
        <w:t xml:space="preserve"> </w:t>
      </w:r>
      <w:r w:rsidR="00712FDA" w:rsidRPr="00243D98">
        <w:rPr>
          <w:rFonts w:ascii="Times New Roman" w:hAnsi="Times New Roman" w:cs="Times New Roman"/>
          <w:i/>
          <w:iCs/>
        </w:rPr>
        <w:t xml:space="preserve">Field Survey Results </w:t>
      </w:r>
      <w:r w:rsidR="00870655" w:rsidRPr="00243D98">
        <w:rPr>
          <w:rFonts w:ascii="Times New Roman" w:hAnsi="Times New Roman" w:cs="Times New Roman"/>
          <w:i/>
          <w:iCs/>
        </w:rPr>
        <w:t>Master Report</w:t>
      </w:r>
      <w:r w:rsidR="00870655">
        <w:rPr>
          <w:rFonts w:ascii="Times New Roman" w:hAnsi="Times New Roman" w:cs="Times New Roman"/>
        </w:rPr>
        <w:t xml:space="preserve"> was also developed </w:t>
      </w:r>
      <w:r w:rsidR="00E615BF">
        <w:rPr>
          <w:rFonts w:ascii="Times New Roman" w:hAnsi="Times New Roman" w:cs="Times New Roman"/>
        </w:rPr>
        <w:t xml:space="preserve">to function as </w:t>
      </w:r>
      <w:r w:rsidR="00870655" w:rsidRPr="001966BF">
        <w:rPr>
          <w:rFonts w:ascii="Times New Roman" w:hAnsi="Times New Roman" w:cs="Times New Roman"/>
        </w:rPr>
        <w:t>a cover document for the plan area reports</w:t>
      </w:r>
      <w:r w:rsidR="00F90407">
        <w:rPr>
          <w:rFonts w:ascii="Times New Roman" w:hAnsi="Times New Roman" w:cs="Times New Roman"/>
        </w:rPr>
        <w:t xml:space="preserve"> ({{</w:t>
      </w:r>
      <w:r w:rsidR="0071062F" w:rsidRPr="0071062F">
        <w:rPr>
          <w:rFonts w:ascii="Times New Roman" w:hAnsi="Times New Roman" w:cs="Times New Roman"/>
        </w:rPr>
        <w:t>Los Angeles City Planning 2016b</w:t>
      </w:r>
      <w:r w:rsidR="0071062F">
        <w:rPr>
          <w:rFonts w:ascii="Times New Roman" w:hAnsi="Times New Roman" w:cs="Times New Roman"/>
        </w:rPr>
        <w:t>}})</w:t>
      </w:r>
      <w:r w:rsidR="00870655" w:rsidRPr="001966BF">
        <w:rPr>
          <w:rFonts w:ascii="Times New Roman" w:hAnsi="Times New Roman" w:cs="Times New Roman"/>
        </w:rPr>
        <w:t>. It explain</w:t>
      </w:r>
      <w:r w:rsidR="00195D65">
        <w:rPr>
          <w:rFonts w:ascii="Times New Roman" w:hAnsi="Times New Roman" w:cs="Times New Roman"/>
        </w:rPr>
        <w:t>s</w:t>
      </w:r>
      <w:r w:rsidR="00870655" w:rsidRPr="001966BF">
        <w:rPr>
          <w:rFonts w:ascii="Times New Roman" w:hAnsi="Times New Roman" w:cs="Times New Roman"/>
        </w:rPr>
        <w:t xml:space="preserve"> </w:t>
      </w:r>
      <w:r w:rsidR="00B15A43">
        <w:rPr>
          <w:rFonts w:ascii="Times New Roman" w:hAnsi="Times New Roman" w:cs="Times New Roman"/>
        </w:rPr>
        <w:t>the surve</w:t>
      </w:r>
      <w:r w:rsidR="00A82DB0">
        <w:rPr>
          <w:rFonts w:ascii="Times New Roman" w:hAnsi="Times New Roman" w:cs="Times New Roman"/>
        </w:rPr>
        <w:t>y</w:t>
      </w:r>
      <w:r w:rsidR="00B15A43">
        <w:rPr>
          <w:rFonts w:ascii="Times New Roman" w:hAnsi="Times New Roman" w:cs="Times New Roman"/>
        </w:rPr>
        <w:t xml:space="preserve"> </w:t>
      </w:r>
      <w:r w:rsidR="00DF2A73">
        <w:rPr>
          <w:rFonts w:ascii="Times New Roman" w:hAnsi="Times New Roman" w:cs="Times New Roman"/>
        </w:rPr>
        <w:t xml:space="preserve">data collection </w:t>
      </w:r>
      <w:r w:rsidR="008C4E9E">
        <w:rPr>
          <w:rFonts w:ascii="Times New Roman" w:hAnsi="Times New Roman" w:cs="Times New Roman"/>
        </w:rPr>
        <w:t xml:space="preserve">tools and methods, </w:t>
      </w:r>
      <w:r w:rsidR="00870655" w:rsidRPr="001966BF">
        <w:rPr>
          <w:rFonts w:ascii="Times New Roman" w:hAnsi="Times New Roman" w:cs="Times New Roman"/>
        </w:rPr>
        <w:t>introduce</w:t>
      </w:r>
      <w:r w:rsidR="001F0D87">
        <w:rPr>
          <w:rFonts w:ascii="Times New Roman" w:hAnsi="Times New Roman" w:cs="Times New Roman"/>
        </w:rPr>
        <w:t>s</w:t>
      </w:r>
      <w:r w:rsidR="00870655" w:rsidRPr="001966BF">
        <w:rPr>
          <w:rFonts w:ascii="Times New Roman" w:hAnsi="Times New Roman" w:cs="Times New Roman"/>
        </w:rPr>
        <w:t xml:space="preserve"> the citywide historic context statement</w:t>
      </w:r>
      <w:r w:rsidR="007872B3">
        <w:rPr>
          <w:rFonts w:ascii="Times New Roman" w:hAnsi="Times New Roman" w:cs="Times New Roman"/>
        </w:rPr>
        <w:t xml:space="preserve">, </w:t>
      </w:r>
      <w:r w:rsidR="00870655" w:rsidRPr="001966BF">
        <w:rPr>
          <w:rFonts w:ascii="Times New Roman" w:hAnsi="Times New Roman" w:cs="Times New Roman"/>
        </w:rPr>
        <w:t>and outline</w:t>
      </w:r>
      <w:r w:rsidR="001F0D87">
        <w:rPr>
          <w:rFonts w:ascii="Times New Roman" w:hAnsi="Times New Roman" w:cs="Times New Roman"/>
        </w:rPr>
        <w:t>s</w:t>
      </w:r>
      <w:r w:rsidR="00870655" w:rsidRPr="001966BF">
        <w:rPr>
          <w:rFonts w:ascii="Times New Roman" w:hAnsi="Times New Roman" w:cs="Times New Roman"/>
        </w:rPr>
        <w:t xml:space="preserve"> the resource evaluation and documentation process. </w:t>
      </w:r>
    </w:p>
    <w:p w14:paraId="5025278B" w14:textId="5B6712C2" w:rsidR="00DF06AF" w:rsidRPr="00F90407" w:rsidRDefault="00FD727C" w:rsidP="00FD727C">
      <w:pPr>
        <w:pStyle w:val="Default"/>
        <w:spacing w:line="480" w:lineRule="auto"/>
        <w:rPr>
          <w:rFonts w:ascii="Times New Roman" w:hAnsi="Times New Roman" w:cs="Times New Roman"/>
          <w:b/>
          <w:bCs/>
        </w:rPr>
      </w:pPr>
      <w:r w:rsidRPr="12499943">
        <w:rPr>
          <w:rFonts w:ascii="Times New Roman" w:hAnsi="Times New Roman" w:cs="Times New Roman"/>
        </w:rPr>
        <w:t>The report format</w:t>
      </w:r>
      <w:r w:rsidR="00732D69">
        <w:rPr>
          <w:rFonts w:ascii="Times New Roman" w:hAnsi="Times New Roman" w:cs="Times New Roman"/>
        </w:rPr>
        <w:t>s</w:t>
      </w:r>
      <w:r w:rsidRPr="12499943">
        <w:rPr>
          <w:rFonts w:ascii="Times New Roman" w:hAnsi="Times New Roman" w:cs="Times New Roman"/>
        </w:rPr>
        <w:t xml:space="preserve"> developed for SurveyLA may serve as useful reference</w:t>
      </w:r>
      <w:r w:rsidR="00732D69">
        <w:rPr>
          <w:rFonts w:ascii="Times New Roman" w:hAnsi="Times New Roman" w:cs="Times New Roman"/>
        </w:rPr>
        <w:t>s</w:t>
      </w:r>
      <w:r w:rsidRPr="12499943">
        <w:rPr>
          <w:rFonts w:ascii="Times New Roman" w:hAnsi="Times New Roman" w:cs="Times New Roman"/>
        </w:rPr>
        <w:t xml:space="preserve"> or template</w:t>
      </w:r>
      <w:r w:rsidR="00732D69">
        <w:rPr>
          <w:rFonts w:ascii="Times New Roman" w:hAnsi="Times New Roman" w:cs="Times New Roman"/>
        </w:rPr>
        <w:t>s</w:t>
      </w:r>
      <w:r w:rsidRPr="12499943">
        <w:rPr>
          <w:rFonts w:ascii="Times New Roman" w:hAnsi="Times New Roman" w:cs="Times New Roman"/>
        </w:rPr>
        <w:t xml:space="preserve">. </w:t>
      </w:r>
      <w:r w:rsidR="00F90407" w:rsidRPr="0071062F">
        <w:rPr>
          <w:rFonts w:ascii="Times New Roman" w:hAnsi="Times New Roman" w:cs="Times New Roman"/>
        </w:rPr>
        <w:t xml:space="preserve">A sample report is </w:t>
      </w:r>
      <w:r w:rsidR="00F90407" w:rsidRPr="00243D98">
        <w:rPr>
          <w:rFonts w:ascii="Times New Roman" w:hAnsi="Times New Roman" w:cs="Times New Roman"/>
          <w:b/>
          <w:bCs/>
        </w:rPr>
        <w:t>shown below</w:t>
      </w:r>
      <w:r w:rsidR="00F90407" w:rsidRPr="0071062F">
        <w:rPr>
          <w:rFonts w:ascii="Times New Roman" w:hAnsi="Times New Roman" w:cs="Times New Roman"/>
        </w:rPr>
        <w:t>.</w:t>
      </w:r>
    </w:p>
    <w:p w14:paraId="43CCA4D8" w14:textId="0F6A21CB" w:rsidR="00A40C06" w:rsidRDefault="00A40C06" w:rsidP="00DF06AF">
      <w:pPr>
        <w:pStyle w:val="Default"/>
        <w:spacing w:line="480" w:lineRule="auto"/>
        <w:rPr>
          <w:rFonts w:ascii="Times New Roman" w:hAnsi="Times New Roman" w:cs="Times New Roman"/>
          <w:b/>
          <w:bCs/>
        </w:rPr>
      </w:pPr>
    </w:p>
    <w:p w14:paraId="4B3397F3" w14:textId="0C04789E" w:rsidR="00F90407" w:rsidRDefault="00F90407" w:rsidP="00DF06AF">
      <w:pPr>
        <w:pStyle w:val="Default"/>
        <w:spacing w:line="480" w:lineRule="auto"/>
        <w:rPr>
          <w:rFonts w:ascii="Times New Roman" w:hAnsi="Times New Roman" w:cs="Times New Roman"/>
          <w:b/>
          <w:bCs/>
        </w:rPr>
      </w:pPr>
      <w:r>
        <w:rPr>
          <w:rFonts w:ascii="Times New Roman" w:hAnsi="Times New Roman" w:cs="Times New Roman"/>
          <w:b/>
          <w:bCs/>
        </w:rPr>
        <w:t>[[Begin Box]]</w:t>
      </w:r>
    </w:p>
    <w:p w14:paraId="30EA135E" w14:textId="7CA56DB8" w:rsidR="00F90407" w:rsidRPr="00F90407" w:rsidRDefault="00F90407" w:rsidP="00F90407">
      <w:pPr>
        <w:pStyle w:val="Default"/>
        <w:rPr>
          <w:rFonts w:ascii="Times New Roman" w:hAnsi="Times New Roman" w:cs="Times New Roman"/>
          <w:b/>
          <w:bCs/>
        </w:rPr>
      </w:pPr>
      <w:r w:rsidRPr="00243D98">
        <w:rPr>
          <w:rFonts w:ascii="Times New Roman" w:hAnsi="Times New Roman" w:cs="Times New Roman"/>
          <w:b/>
          <w:bCs/>
        </w:rPr>
        <w:t xml:space="preserve">SurveyLA </w:t>
      </w:r>
      <w:r w:rsidRPr="00F90407">
        <w:rPr>
          <w:rFonts w:ascii="Times New Roman" w:hAnsi="Times New Roman" w:cs="Times New Roman"/>
          <w:b/>
          <w:bCs/>
        </w:rPr>
        <w:t>Historic Resources Survey Report</w:t>
      </w:r>
      <w:r>
        <w:rPr>
          <w:rFonts w:ascii="Times New Roman" w:hAnsi="Times New Roman" w:cs="Times New Roman"/>
          <w:b/>
          <w:bCs/>
        </w:rPr>
        <w:t>:</w:t>
      </w:r>
    </w:p>
    <w:p w14:paraId="6224B8BD" w14:textId="1EF5C96E" w:rsidR="00F90407" w:rsidRDefault="00F90407" w:rsidP="00F90407">
      <w:pPr>
        <w:pStyle w:val="Default"/>
        <w:spacing w:line="480" w:lineRule="auto"/>
        <w:rPr>
          <w:rFonts w:ascii="Times New Roman" w:hAnsi="Times New Roman" w:cs="Times New Roman"/>
          <w:b/>
          <w:bCs/>
        </w:rPr>
      </w:pPr>
      <w:r w:rsidRPr="00F90407">
        <w:rPr>
          <w:rFonts w:ascii="Times New Roman" w:hAnsi="Times New Roman" w:cs="Times New Roman"/>
          <w:b/>
          <w:bCs/>
        </w:rPr>
        <w:t>Northeast Los Angeles Community Plan Area</w:t>
      </w:r>
    </w:p>
    <w:p w14:paraId="342665AA" w14:textId="746BD387" w:rsidR="00F90407" w:rsidRDefault="00F90407" w:rsidP="00DF06AF">
      <w:pPr>
        <w:pStyle w:val="Default"/>
        <w:spacing w:line="480" w:lineRule="auto"/>
        <w:rPr>
          <w:rFonts w:ascii="Times New Roman" w:hAnsi="Times New Roman" w:cs="Times New Roman"/>
        </w:rPr>
      </w:pPr>
      <w:r>
        <w:rPr>
          <w:rFonts w:ascii="Times New Roman" w:hAnsi="Times New Roman" w:cs="Times New Roman"/>
        </w:rPr>
        <w:t xml:space="preserve">Source: </w:t>
      </w:r>
      <w:r w:rsidR="008241B2" w:rsidRPr="008241B2">
        <w:rPr>
          <w:rFonts w:ascii="Times New Roman" w:hAnsi="Times New Roman" w:cs="Times New Roman"/>
        </w:rPr>
        <w:t>Los Angeles City Planning, Office of Historic Resources</w:t>
      </w:r>
    </w:p>
    <w:p w14:paraId="2CA43F04" w14:textId="437190AA" w:rsidR="00F90407" w:rsidRDefault="00F90407" w:rsidP="00DF06AF">
      <w:pPr>
        <w:pStyle w:val="Default"/>
        <w:spacing w:line="480" w:lineRule="auto"/>
        <w:rPr>
          <w:rFonts w:ascii="Times New Roman" w:hAnsi="Times New Roman" w:cs="Times New Roman"/>
        </w:rPr>
      </w:pPr>
      <w:r>
        <w:rPr>
          <w:rFonts w:ascii="Times New Roman" w:hAnsi="Times New Roman" w:cs="Times New Roman"/>
        </w:rPr>
        <w:t>Download Report</w:t>
      </w:r>
    </w:p>
    <w:p w14:paraId="5A6AE1EC" w14:textId="6E2B421E" w:rsidR="00F90407" w:rsidRPr="00243D98" w:rsidRDefault="00F90407" w:rsidP="00DF06AF">
      <w:pPr>
        <w:pStyle w:val="Default"/>
        <w:spacing w:line="480" w:lineRule="auto"/>
        <w:rPr>
          <w:rFonts w:ascii="Times New Roman" w:hAnsi="Times New Roman" w:cs="Times New Roman"/>
        </w:rPr>
      </w:pPr>
      <w:r w:rsidRPr="00243D98">
        <w:rPr>
          <w:rFonts w:ascii="Times New Roman" w:hAnsi="Times New Roman" w:cs="Times New Roman"/>
        </w:rPr>
        <w:t>Table of Contents</w:t>
      </w:r>
    </w:p>
    <w:p w14:paraId="61133C78" w14:textId="4FCDEDE3" w:rsidR="001966BF" w:rsidRPr="00243D98" w:rsidRDefault="008241B2" w:rsidP="00DF06AF">
      <w:pPr>
        <w:pStyle w:val="Default"/>
        <w:spacing w:line="480" w:lineRule="auto"/>
        <w:rPr>
          <w:rFonts w:ascii="Times New Roman" w:hAnsi="Times New Roman" w:cs="Times New Roman"/>
          <w:b/>
          <w:bCs/>
        </w:rPr>
      </w:pPr>
      <w:r w:rsidRPr="00243D98">
        <w:rPr>
          <w:rFonts w:ascii="Times New Roman" w:hAnsi="Times New Roman" w:cs="Times New Roman"/>
          <w:b/>
          <w:bCs/>
        </w:rPr>
        <w:t>[[end box]]</w:t>
      </w:r>
    </w:p>
    <w:p w14:paraId="2CA20B52" w14:textId="361F9545" w:rsidR="001966BF" w:rsidRPr="00F90407" w:rsidRDefault="001966BF" w:rsidP="00243D98">
      <w:pPr>
        <w:pStyle w:val="Heading2"/>
      </w:pPr>
      <w:r w:rsidRPr="00F90407">
        <w:t>Publishing Survey Reports</w:t>
      </w:r>
    </w:p>
    <w:p w14:paraId="7BE333D6" w14:textId="4D6CA73A" w:rsidR="001966BF" w:rsidRDefault="003D66EE" w:rsidP="00243D98">
      <w:r>
        <w:t xml:space="preserve">Survey reports can be published </w:t>
      </w:r>
      <w:r w:rsidR="008033EA">
        <w:t xml:space="preserve">to serve </w:t>
      </w:r>
      <w:r w:rsidR="003B4EC7">
        <w:t xml:space="preserve">a range of users and </w:t>
      </w:r>
      <w:r w:rsidR="008033EA">
        <w:t xml:space="preserve">uses. </w:t>
      </w:r>
      <w:r w:rsidR="00CB4311">
        <w:t>Public website</w:t>
      </w:r>
      <w:r w:rsidR="003529FB">
        <w:t>s</w:t>
      </w:r>
      <w:r w:rsidR="00CB4311">
        <w:t xml:space="preserve"> are </w:t>
      </w:r>
      <w:r w:rsidR="00F06429">
        <w:t xml:space="preserve">a primary </w:t>
      </w:r>
      <w:r w:rsidR="00375371">
        <w:t xml:space="preserve">venue </w:t>
      </w:r>
      <w:r w:rsidR="00673259">
        <w:t xml:space="preserve">for publication as they </w:t>
      </w:r>
      <w:r w:rsidR="007E54CA">
        <w:t xml:space="preserve">are widely accessible. </w:t>
      </w:r>
      <w:r w:rsidR="0012415A">
        <w:t xml:space="preserve">SurveyLA </w:t>
      </w:r>
      <w:r w:rsidR="001966BF" w:rsidRPr="00015523">
        <w:t>reports</w:t>
      </w:r>
      <w:r w:rsidR="00243D98">
        <w:t>, for example,</w:t>
      </w:r>
      <w:r w:rsidR="001966BF" w:rsidRPr="00015523">
        <w:t xml:space="preserve"> </w:t>
      </w:r>
      <w:r w:rsidR="00C67FA8">
        <w:t>are</w:t>
      </w:r>
      <w:r w:rsidR="001966BF" w:rsidRPr="00015523">
        <w:t xml:space="preserve"> published </w:t>
      </w:r>
      <w:r w:rsidR="00C67FA8">
        <w:t xml:space="preserve">on </w:t>
      </w:r>
      <w:r w:rsidR="004E7619">
        <w:t>Los Angeles</w:t>
      </w:r>
      <w:r w:rsidR="00C67FA8">
        <w:t xml:space="preserve"> City Planning</w:t>
      </w:r>
      <w:r w:rsidR="004E7619">
        <w:t>’s</w:t>
      </w:r>
      <w:r w:rsidR="00C67FA8">
        <w:t xml:space="preserve"> </w:t>
      </w:r>
      <w:r w:rsidR="00B81FA9">
        <w:t>His</w:t>
      </w:r>
      <w:r w:rsidR="004933ED">
        <w:t>t</w:t>
      </w:r>
      <w:r w:rsidR="00B81FA9">
        <w:t>oric Preser</w:t>
      </w:r>
      <w:r w:rsidR="004933ED">
        <w:t>v</w:t>
      </w:r>
      <w:r w:rsidR="00B81FA9">
        <w:t>ation</w:t>
      </w:r>
      <w:r w:rsidR="004E7619">
        <w:t>, Historic Resources Surveys</w:t>
      </w:r>
      <w:r w:rsidR="00B81FA9">
        <w:t xml:space="preserve"> webpage</w:t>
      </w:r>
      <w:r w:rsidR="008241B2">
        <w:t>,</w:t>
      </w:r>
      <w:r w:rsidR="0063004F">
        <w:t xml:space="preserve"> where they are</w:t>
      </w:r>
      <w:r w:rsidR="0071062F">
        <w:t xml:space="preserve"> </w:t>
      </w:r>
      <w:r w:rsidR="00EA215D">
        <w:t>accessible via a</w:t>
      </w:r>
      <w:r w:rsidR="000F5DBB">
        <w:t xml:space="preserve">n interactive map </w:t>
      </w:r>
      <w:r w:rsidR="00EA215D">
        <w:t xml:space="preserve">featuring all </w:t>
      </w:r>
      <w:r w:rsidR="004E7619">
        <w:t xml:space="preserve">of </w:t>
      </w:r>
      <w:r w:rsidR="000F5DBB">
        <w:t xml:space="preserve">the </w:t>
      </w:r>
      <w:r w:rsidR="00C84C6A">
        <w:t xml:space="preserve">city’s </w:t>
      </w:r>
      <w:r w:rsidR="000F5DBB">
        <w:t>community plan areas</w:t>
      </w:r>
      <w:r w:rsidR="008241B2">
        <w:t xml:space="preserve"> ({{</w:t>
      </w:r>
      <w:r w:rsidR="00981456" w:rsidRPr="00981456">
        <w:t>Los Angeles City Planning</w:t>
      </w:r>
      <w:r w:rsidR="00981456">
        <w:t xml:space="preserve"> n.d.b}})</w:t>
      </w:r>
      <w:r w:rsidR="00EA215D">
        <w:t>.</w:t>
      </w:r>
      <w:r w:rsidR="000C23E5">
        <w:t xml:space="preserve"> </w:t>
      </w:r>
      <w:r w:rsidR="00EA215D">
        <w:t xml:space="preserve">Selecting and clicking on any one area </w:t>
      </w:r>
      <w:r w:rsidR="00A349A8">
        <w:t xml:space="preserve">on the map navigates to a list of hyperlinks corresponding to the </w:t>
      </w:r>
      <w:r w:rsidR="00EA215D">
        <w:t xml:space="preserve">survey report and appendices </w:t>
      </w:r>
      <w:r w:rsidR="00A349A8">
        <w:t xml:space="preserve">for that </w:t>
      </w:r>
      <w:r w:rsidR="00A349A8">
        <w:lastRenderedPageBreak/>
        <w:t>area.</w:t>
      </w:r>
      <w:r w:rsidR="0071062F">
        <w:t xml:space="preserve"> </w:t>
      </w:r>
      <w:r w:rsidR="00A349A8">
        <w:t xml:space="preserve">SurveyLA </w:t>
      </w:r>
      <w:r w:rsidR="00E04F3F">
        <w:t>reports are also accessible through</w:t>
      </w:r>
      <w:r w:rsidR="001B4D31">
        <w:t xml:space="preserve"> the</w:t>
      </w:r>
      <w:r w:rsidR="00426AA3">
        <w:t xml:space="preserve"> </w:t>
      </w:r>
      <w:r w:rsidR="001B4D31">
        <w:t>online inventory,</w:t>
      </w:r>
      <w:r w:rsidR="00E04F3F">
        <w:t xml:space="preserve"> </w:t>
      </w:r>
      <w:r w:rsidR="00251EC6">
        <w:t>HistoricPla</w:t>
      </w:r>
      <w:r w:rsidR="00A60EA0">
        <w:t>c</w:t>
      </w:r>
      <w:r w:rsidR="00251EC6">
        <w:t>esLA</w:t>
      </w:r>
      <w:r w:rsidR="0071062F">
        <w:t xml:space="preserve"> ({{</w:t>
      </w:r>
      <w:r w:rsidR="0071062F" w:rsidRPr="0071062F">
        <w:t>City of Los Angeles n.d.</w:t>
      </w:r>
      <w:r w:rsidR="0071062F">
        <w:t>}})</w:t>
      </w:r>
      <w:r w:rsidR="005876F9">
        <w:t>,</w:t>
      </w:r>
      <w:r w:rsidR="00E04F3F">
        <w:t xml:space="preserve"> </w:t>
      </w:r>
      <w:r w:rsidR="001A3DEF">
        <w:t>where</w:t>
      </w:r>
      <w:r w:rsidR="001455DE">
        <w:t xml:space="preserve"> t</w:t>
      </w:r>
      <w:r w:rsidR="00426AA3">
        <w:t xml:space="preserve">he </w:t>
      </w:r>
      <w:r w:rsidR="009743AB">
        <w:t xml:space="preserve">profile </w:t>
      </w:r>
      <w:r w:rsidR="00E04F3F">
        <w:t xml:space="preserve">for each </w:t>
      </w:r>
      <w:r w:rsidR="00A349A8">
        <w:t xml:space="preserve">SurveyLA-recorded </w:t>
      </w:r>
      <w:r w:rsidR="00E04F3F">
        <w:t>resource</w:t>
      </w:r>
      <w:r w:rsidR="009743AB">
        <w:t xml:space="preserve"> </w:t>
      </w:r>
      <w:r w:rsidR="00A349A8">
        <w:t xml:space="preserve">includes a hyperlink to the </w:t>
      </w:r>
      <w:r w:rsidR="0071062F">
        <w:t xml:space="preserve">corresponding </w:t>
      </w:r>
      <w:r w:rsidR="00A349A8">
        <w:t>report</w:t>
      </w:r>
      <w:r w:rsidR="00E04F3F">
        <w:t>.</w:t>
      </w:r>
    </w:p>
    <w:p w14:paraId="7DC9C758" w14:textId="31BF7A0F" w:rsidR="00137CB2" w:rsidRDefault="00127AF3" w:rsidP="00243D98">
      <w:r>
        <w:t>Ultimately, published surve</w:t>
      </w:r>
      <w:r w:rsidR="00FF29F6">
        <w:t>y</w:t>
      </w:r>
      <w:r>
        <w:t xml:space="preserve"> findings, </w:t>
      </w:r>
      <w:r w:rsidR="00FF29F6">
        <w:t xml:space="preserve">both </w:t>
      </w:r>
      <w:r>
        <w:t xml:space="preserve">in the inventory </w:t>
      </w:r>
      <w:r w:rsidR="00FF29F6">
        <w:t>and</w:t>
      </w:r>
      <w:r>
        <w:t xml:space="preserve"> in report format, </w:t>
      </w:r>
      <w:r w:rsidR="00FF29F6">
        <w:t>provide information t</w:t>
      </w:r>
      <w:r w:rsidR="00634DD1">
        <w:t xml:space="preserve">o </w:t>
      </w:r>
      <w:r w:rsidR="00DF342A">
        <w:t xml:space="preserve">support preservation </w:t>
      </w:r>
      <w:r w:rsidR="00FF29F6">
        <w:t xml:space="preserve">programs and </w:t>
      </w:r>
      <w:r w:rsidR="003206F4">
        <w:t>init</w:t>
      </w:r>
      <w:r w:rsidR="00FF29F6">
        <w:t>iatives by p</w:t>
      </w:r>
      <w:r w:rsidR="008C06AF">
        <w:t xml:space="preserve">ublic agencies, </w:t>
      </w:r>
      <w:r w:rsidR="007041BA">
        <w:t xml:space="preserve">heritage organizations, and </w:t>
      </w:r>
      <w:r w:rsidR="00DF342A">
        <w:t>c</w:t>
      </w:r>
      <w:r w:rsidR="00B94F15">
        <w:t>ommunity members</w:t>
      </w:r>
      <w:r w:rsidR="00981456">
        <w:t>,</w:t>
      </w:r>
      <w:r w:rsidR="00FF29F6">
        <w:t xml:space="preserve"> as explored further in </w:t>
      </w:r>
      <w:r w:rsidR="00FF29F6" w:rsidRPr="00243D98">
        <w:rPr>
          <w:b/>
          <w:bCs/>
        </w:rPr>
        <w:t>chapter 12</w:t>
      </w:r>
      <w:r w:rsidR="00FF29F6">
        <w:t>.</w:t>
      </w:r>
      <w:r w:rsidR="0071062F">
        <w:t xml:space="preserve">  </w:t>
      </w:r>
      <w:r w:rsidR="00BD5F53">
        <w:t xml:space="preserve"> </w:t>
      </w:r>
    </w:p>
    <w:p w14:paraId="15D74B4E" w14:textId="77777777" w:rsidR="001966BF" w:rsidRPr="001966BF" w:rsidRDefault="001966BF" w:rsidP="00DF06AF">
      <w:pPr>
        <w:pStyle w:val="Default"/>
        <w:spacing w:line="480" w:lineRule="auto"/>
        <w:rPr>
          <w:rFonts w:hint="eastAsia"/>
        </w:rPr>
      </w:pPr>
    </w:p>
    <w:sectPr w:rsidR="001966BF" w:rsidRPr="001966BF">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lestill@comcast.net" w:date="2023-06-27T16:50:00Z" w:initials="l">
    <w:p w14:paraId="06842D4D" w14:textId="0941AB88" w:rsidR="00E54B07" w:rsidRDefault="00E54B07" w:rsidP="0032369E">
      <w:pPr>
        <w:pStyle w:val="CommentText"/>
      </w:pPr>
      <w:r>
        <w:rPr>
          <w:rStyle w:val="CommentReference"/>
        </w:rPr>
        <w:annotationRef/>
      </w:r>
      <w:r>
        <w:t>Does this mean discrepancies between the controlled vocabularies and the survey data? Please clarify.</w:t>
      </w:r>
    </w:p>
  </w:comment>
  <w:comment w:id="3" w:author="Sara Delgadillo" w:date="2023-07-28T11:13:00Z" w:initials="SD">
    <w:p w14:paraId="330C1193" w14:textId="77777777" w:rsidR="008D3895" w:rsidRDefault="008D3895" w:rsidP="001E2340">
      <w:pPr>
        <w:pStyle w:val="CommentText"/>
      </w:pPr>
      <w:r>
        <w:rPr>
          <w:rStyle w:val="CommentReference"/>
        </w:rPr>
        <w:annotationRef/>
      </w:r>
      <w:r>
        <w:t>See edit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842D4D" w15:done="0"/>
  <w15:commentEx w15:paraId="330C1193" w15:paraIdParent="06842D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591B9" w16cex:dateUtc="2023-06-27T23:50:00Z"/>
  <w16cex:commentExtensible w16cex:durableId="286E2143" w16cex:dateUtc="2023-07-28T1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842D4D" w16cid:durableId="284591B9"/>
  <w16cid:commentId w16cid:paraId="330C1193" w16cid:durableId="286E21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78ABE" w14:textId="77777777" w:rsidR="00553248" w:rsidRDefault="00553248">
      <w:pPr>
        <w:spacing w:line="240" w:lineRule="auto"/>
      </w:pPr>
      <w:r>
        <w:separator/>
      </w:r>
    </w:p>
  </w:endnote>
  <w:endnote w:type="continuationSeparator" w:id="0">
    <w:p w14:paraId="5B088844" w14:textId="77777777" w:rsidR="00553248" w:rsidRDefault="005532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LinotypeSyntax">
    <w:altName w:val="Cambria"/>
    <w:panose1 w:val="00000000000000000000"/>
    <w:charset w:val="00"/>
    <w:family w:val="swiss"/>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7291022"/>
      <w:docPartObj>
        <w:docPartGallery w:val="Page Numbers (Bottom of Page)"/>
        <w:docPartUnique/>
      </w:docPartObj>
    </w:sdtPr>
    <w:sdtEndPr>
      <w:rPr>
        <w:noProof/>
      </w:rPr>
    </w:sdtEndPr>
    <w:sdtContent>
      <w:p w14:paraId="75FC8576" w14:textId="77777777" w:rsidR="00130BEF" w:rsidRDefault="009743AB">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14:paraId="739905D6" w14:textId="77777777" w:rsidR="00130BEF" w:rsidRDefault="00130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85E33" w14:textId="77777777" w:rsidR="00553248" w:rsidRDefault="00553248">
      <w:pPr>
        <w:spacing w:line="240" w:lineRule="auto"/>
      </w:pPr>
      <w:r>
        <w:separator/>
      </w:r>
    </w:p>
  </w:footnote>
  <w:footnote w:type="continuationSeparator" w:id="0">
    <w:p w14:paraId="70D9A016" w14:textId="77777777" w:rsidR="00553248" w:rsidRDefault="005532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D7A89"/>
    <w:multiLevelType w:val="hybridMultilevel"/>
    <w:tmpl w:val="6DD4CC3E"/>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 w15:restartNumberingAfterBreak="0">
    <w:nsid w:val="78482AAF"/>
    <w:multiLevelType w:val="hybridMultilevel"/>
    <w:tmpl w:val="C4EE77F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7226885">
    <w:abstractNumId w:val="1"/>
  </w:num>
  <w:num w:numId="2" w16cid:durableId="135765675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still@comcast.net">
    <w15:presenceInfo w15:providerId="Windows Live" w15:userId="13a4ae281ba684f1"/>
  </w15:person>
  <w15:person w15:author="Sara Delgadillo">
    <w15:presenceInfo w15:providerId="AD" w15:userId="S::sara.delgadillo@plan4la.org::249c4c9f-05ef-4c53-bd45-8be0e26162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27C"/>
    <w:rsid w:val="0000264D"/>
    <w:rsid w:val="00006D9D"/>
    <w:rsid w:val="00026694"/>
    <w:rsid w:val="00063A55"/>
    <w:rsid w:val="00070741"/>
    <w:rsid w:val="00071D61"/>
    <w:rsid w:val="00073ADC"/>
    <w:rsid w:val="00094E4F"/>
    <w:rsid w:val="00095204"/>
    <w:rsid w:val="00097A4B"/>
    <w:rsid w:val="00097D69"/>
    <w:rsid w:val="00097EE9"/>
    <w:rsid w:val="000A2397"/>
    <w:rsid w:val="000A63DD"/>
    <w:rsid w:val="000C181B"/>
    <w:rsid w:val="000C23E5"/>
    <w:rsid w:val="000C6611"/>
    <w:rsid w:val="000C7743"/>
    <w:rsid w:val="000F1F70"/>
    <w:rsid w:val="000F5DBB"/>
    <w:rsid w:val="000F6EDA"/>
    <w:rsid w:val="001113C6"/>
    <w:rsid w:val="00112461"/>
    <w:rsid w:val="00120642"/>
    <w:rsid w:val="00123077"/>
    <w:rsid w:val="0012415A"/>
    <w:rsid w:val="00127AF3"/>
    <w:rsid w:val="00130069"/>
    <w:rsid w:val="00130BEF"/>
    <w:rsid w:val="00134113"/>
    <w:rsid w:val="00135524"/>
    <w:rsid w:val="00137CB2"/>
    <w:rsid w:val="00141227"/>
    <w:rsid w:val="00142AA1"/>
    <w:rsid w:val="001455DE"/>
    <w:rsid w:val="00146F62"/>
    <w:rsid w:val="00155436"/>
    <w:rsid w:val="001706A0"/>
    <w:rsid w:val="00171284"/>
    <w:rsid w:val="00180E5D"/>
    <w:rsid w:val="00183219"/>
    <w:rsid w:val="001839F4"/>
    <w:rsid w:val="00194AC1"/>
    <w:rsid w:val="00195D65"/>
    <w:rsid w:val="001966BF"/>
    <w:rsid w:val="001A0767"/>
    <w:rsid w:val="001A3935"/>
    <w:rsid w:val="001A3DEF"/>
    <w:rsid w:val="001A5C69"/>
    <w:rsid w:val="001B4D31"/>
    <w:rsid w:val="001B5953"/>
    <w:rsid w:val="001B6EF9"/>
    <w:rsid w:val="001C04E6"/>
    <w:rsid w:val="001D084A"/>
    <w:rsid w:val="001D130D"/>
    <w:rsid w:val="001E237C"/>
    <w:rsid w:val="001E56B5"/>
    <w:rsid w:val="001E56E4"/>
    <w:rsid w:val="001E7B62"/>
    <w:rsid w:val="001F0D87"/>
    <w:rsid w:val="00215076"/>
    <w:rsid w:val="00220F74"/>
    <w:rsid w:val="002221EE"/>
    <w:rsid w:val="00226C32"/>
    <w:rsid w:val="00227D17"/>
    <w:rsid w:val="00242E28"/>
    <w:rsid w:val="00243D98"/>
    <w:rsid w:val="0024738B"/>
    <w:rsid w:val="00251EC6"/>
    <w:rsid w:val="00252CF9"/>
    <w:rsid w:val="002739A8"/>
    <w:rsid w:val="002809ED"/>
    <w:rsid w:val="00283F72"/>
    <w:rsid w:val="002D415C"/>
    <w:rsid w:val="002D67AF"/>
    <w:rsid w:val="00302D0D"/>
    <w:rsid w:val="0030531D"/>
    <w:rsid w:val="0031228E"/>
    <w:rsid w:val="0031259E"/>
    <w:rsid w:val="0031567B"/>
    <w:rsid w:val="003206F4"/>
    <w:rsid w:val="00322C41"/>
    <w:rsid w:val="00323995"/>
    <w:rsid w:val="00330342"/>
    <w:rsid w:val="00345801"/>
    <w:rsid w:val="00347CE4"/>
    <w:rsid w:val="003529FB"/>
    <w:rsid w:val="003745D0"/>
    <w:rsid w:val="00375371"/>
    <w:rsid w:val="00387C58"/>
    <w:rsid w:val="003938B4"/>
    <w:rsid w:val="00394AC9"/>
    <w:rsid w:val="00395488"/>
    <w:rsid w:val="003A69DE"/>
    <w:rsid w:val="003B4EC7"/>
    <w:rsid w:val="003B5F8A"/>
    <w:rsid w:val="003C6839"/>
    <w:rsid w:val="003D66EE"/>
    <w:rsid w:val="003D7EA3"/>
    <w:rsid w:val="003E68BA"/>
    <w:rsid w:val="003F3A5A"/>
    <w:rsid w:val="003F5217"/>
    <w:rsid w:val="0040767F"/>
    <w:rsid w:val="0041672E"/>
    <w:rsid w:val="004175A6"/>
    <w:rsid w:val="0042109B"/>
    <w:rsid w:val="00426AA3"/>
    <w:rsid w:val="00426E4E"/>
    <w:rsid w:val="00437556"/>
    <w:rsid w:val="00443DBE"/>
    <w:rsid w:val="0045036F"/>
    <w:rsid w:val="00451456"/>
    <w:rsid w:val="00452747"/>
    <w:rsid w:val="00463446"/>
    <w:rsid w:val="00464351"/>
    <w:rsid w:val="0047739B"/>
    <w:rsid w:val="004806B7"/>
    <w:rsid w:val="00482030"/>
    <w:rsid w:val="0048247D"/>
    <w:rsid w:val="004933ED"/>
    <w:rsid w:val="004A2B5B"/>
    <w:rsid w:val="004A2BDD"/>
    <w:rsid w:val="004A30EE"/>
    <w:rsid w:val="004B2466"/>
    <w:rsid w:val="004B5B3F"/>
    <w:rsid w:val="004C5292"/>
    <w:rsid w:val="004D088A"/>
    <w:rsid w:val="004D74DF"/>
    <w:rsid w:val="004E7619"/>
    <w:rsid w:val="004F4789"/>
    <w:rsid w:val="004F7648"/>
    <w:rsid w:val="00500974"/>
    <w:rsid w:val="00503ED3"/>
    <w:rsid w:val="00511044"/>
    <w:rsid w:val="00521BC4"/>
    <w:rsid w:val="00543BE5"/>
    <w:rsid w:val="005473D6"/>
    <w:rsid w:val="005477C9"/>
    <w:rsid w:val="00553248"/>
    <w:rsid w:val="00556CB3"/>
    <w:rsid w:val="00577587"/>
    <w:rsid w:val="005857AA"/>
    <w:rsid w:val="00586D85"/>
    <w:rsid w:val="00587339"/>
    <w:rsid w:val="005876F9"/>
    <w:rsid w:val="00591EF2"/>
    <w:rsid w:val="005A135E"/>
    <w:rsid w:val="005B4082"/>
    <w:rsid w:val="00603F8C"/>
    <w:rsid w:val="00605329"/>
    <w:rsid w:val="00606405"/>
    <w:rsid w:val="0063004F"/>
    <w:rsid w:val="00632435"/>
    <w:rsid w:val="006348CD"/>
    <w:rsid w:val="00634DD1"/>
    <w:rsid w:val="006534B8"/>
    <w:rsid w:val="006534CE"/>
    <w:rsid w:val="00657681"/>
    <w:rsid w:val="00673259"/>
    <w:rsid w:val="00674205"/>
    <w:rsid w:val="006813B1"/>
    <w:rsid w:val="00681936"/>
    <w:rsid w:val="00684FE7"/>
    <w:rsid w:val="00686348"/>
    <w:rsid w:val="006B318D"/>
    <w:rsid w:val="006B797C"/>
    <w:rsid w:val="006C7000"/>
    <w:rsid w:val="006D240B"/>
    <w:rsid w:val="007041BA"/>
    <w:rsid w:val="0070792E"/>
    <w:rsid w:val="0071062F"/>
    <w:rsid w:val="00710E63"/>
    <w:rsid w:val="00712FDA"/>
    <w:rsid w:val="007140AD"/>
    <w:rsid w:val="00732A6F"/>
    <w:rsid w:val="00732D69"/>
    <w:rsid w:val="00734C4C"/>
    <w:rsid w:val="00775AEE"/>
    <w:rsid w:val="007842F9"/>
    <w:rsid w:val="00786A29"/>
    <w:rsid w:val="007872B3"/>
    <w:rsid w:val="00791A2B"/>
    <w:rsid w:val="007B0633"/>
    <w:rsid w:val="007B4D39"/>
    <w:rsid w:val="007B6B0D"/>
    <w:rsid w:val="007D7340"/>
    <w:rsid w:val="007E24CB"/>
    <w:rsid w:val="007E2D3F"/>
    <w:rsid w:val="007E4F88"/>
    <w:rsid w:val="007E54CA"/>
    <w:rsid w:val="007E68F1"/>
    <w:rsid w:val="008033EA"/>
    <w:rsid w:val="008241B2"/>
    <w:rsid w:val="00827558"/>
    <w:rsid w:val="008339A2"/>
    <w:rsid w:val="00833B6B"/>
    <w:rsid w:val="00837603"/>
    <w:rsid w:val="008534C1"/>
    <w:rsid w:val="0086140D"/>
    <w:rsid w:val="00870655"/>
    <w:rsid w:val="00882873"/>
    <w:rsid w:val="00890C83"/>
    <w:rsid w:val="008B276A"/>
    <w:rsid w:val="008B4DD5"/>
    <w:rsid w:val="008C06AF"/>
    <w:rsid w:val="008C4E9E"/>
    <w:rsid w:val="008C6601"/>
    <w:rsid w:val="008D1322"/>
    <w:rsid w:val="008D226D"/>
    <w:rsid w:val="008D3895"/>
    <w:rsid w:val="008D3902"/>
    <w:rsid w:val="00901636"/>
    <w:rsid w:val="00904A77"/>
    <w:rsid w:val="00914D03"/>
    <w:rsid w:val="0091778C"/>
    <w:rsid w:val="0092643D"/>
    <w:rsid w:val="0093309C"/>
    <w:rsid w:val="009367D6"/>
    <w:rsid w:val="009743AB"/>
    <w:rsid w:val="00976D44"/>
    <w:rsid w:val="00981456"/>
    <w:rsid w:val="00986DC3"/>
    <w:rsid w:val="00995EAC"/>
    <w:rsid w:val="009B0607"/>
    <w:rsid w:val="009B7E2C"/>
    <w:rsid w:val="009C53C2"/>
    <w:rsid w:val="009D013D"/>
    <w:rsid w:val="00A00545"/>
    <w:rsid w:val="00A03A82"/>
    <w:rsid w:val="00A1686C"/>
    <w:rsid w:val="00A16F9A"/>
    <w:rsid w:val="00A3004A"/>
    <w:rsid w:val="00A320EC"/>
    <w:rsid w:val="00A34218"/>
    <w:rsid w:val="00A349A8"/>
    <w:rsid w:val="00A40C06"/>
    <w:rsid w:val="00A4794D"/>
    <w:rsid w:val="00A532EF"/>
    <w:rsid w:val="00A53F99"/>
    <w:rsid w:val="00A55613"/>
    <w:rsid w:val="00A60EA0"/>
    <w:rsid w:val="00A63DBF"/>
    <w:rsid w:val="00A66937"/>
    <w:rsid w:val="00A7594A"/>
    <w:rsid w:val="00A8200D"/>
    <w:rsid w:val="00A82DB0"/>
    <w:rsid w:val="00A8646D"/>
    <w:rsid w:val="00A9289F"/>
    <w:rsid w:val="00A92949"/>
    <w:rsid w:val="00A954DF"/>
    <w:rsid w:val="00A974D0"/>
    <w:rsid w:val="00AA1BFE"/>
    <w:rsid w:val="00AA2109"/>
    <w:rsid w:val="00AA2C6B"/>
    <w:rsid w:val="00AA7DD2"/>
    <w:rsid w:val="00AB0156"/>
    <w:rsid w:val="00AC08D7"/>
    <w:rsid w:val="00AC2C1A"/>
    <w:rsid w:val="00AE01E3"/>
    <w:rsid w:val="00AE3CD3"/>
    <w:rsid w:val="00B020B4"/>
    <w:rsid w:val="00B02B8D"/>
    <w:rsid w:val="00B15A43"/>
    <w:rsid w:val="00B16D65"/>
    <w:rsid w:val="00B3582E"/>
    <w:rsid w:val="00B40B88"/>
    <w:rsid w:val="00B42419"/>
    <w:rsid w:val="00B52361"/>
    <w:rsid w:val="00B7037A"/>
    <w:rsid w:val="00B81FA9"/>
    <w:rsid w:val="00B829E3"/>
    <w:rsid w:val="00B92E1E"/>
    <w:rsid w:val="00B94F15"/>
    <w:rsid w:val="00BC585F"/>
    <w:rsid w:val="00BD2A8E"/>
    <w:rsid w:val="00BD5F53"/>
    <w:rsid w:val="00BD6BFD"/>
    <w:rsid w:val="00BE3199"/>
    <w:rsid w:val="00BE3809"/>
    <w:rsid w:val="00BF24D4"/>
    <w:rsid w:val="00C012CF"/>
    <w:rsid w:val="00C040CF"/>
    <w:rsid w:val="00C06059"/>
    <w:rsid w:val="00C101AA"/>
    <w:rsid w:val="00C132EA"/>
    <w:rsid w:val="00C14FF8"/>
    <w:rsid w:val="00C20A0A"/>
    <w:rsid w:val="00C260EE"/>
    <w:rsid w:val="00C263DD"/>
    <w:rsid w:val="00C30685"/>
    <w:rsid w:val="00C30DEB"/>
    <w:rsid w:val="00C30F4C"/>
    <w:rsid w:val="00C34A12"/>
    <w:rsid w:val="00C47CD2"/>
    <w:rsid w:val="00C47E72"/>
    <w:rsid w:val="00C53101"/>
    <w:rsid w:val="00C53E1C"/>
    <w:rsid w:val="00C62805"/>
    <w:rsid w:val="00C63734"/>
    <w:rsid w:val="00C63FCE"/>
    <w:rsid w:val="00C64B82"/>
    <w:rsid w:val="00C67C35"/>
    <w:rsid w:val="00C67FA8"/>
    <w:rsid w:val="00C817C5"/>
    <w:rsid w:val="00C84C6A"/>
    <w:rsid w:val="00C90A11"/>
    <w:rsid w:val="00C911C7"/>
    <w:rsid w:val="00CA0640"/>
    <w:rsid w:val="00CB4311"/>
    <w:rsid w:val="00CB51A4"/>
    <w:rsid w:val="00CB7251"/>
    <w:rsid w:val="00CB7A4E"/>
    <w:rsid w:val="00CD01AD"/>
    <w:rsid w:val="00CD16B0"/>
    <w:rsid w:val="00CF03EA"/>
    <w:rsid w:val="00CF35AB"/>
    <w:rsid w:val="00D06EB0"/>
    <w:rsid w:val="00D07FBD"/>
    <w:rsid w:val="00D21A39"/>
    <w:rsid w:val="00D249AF"/>
    <w:rsid w:val="00D309F0"/>
    <w:rsid w:val="00D320BE"/>
    <w:rsid w:val="00D33F72"/>
    <w:rsid w:val="00D47849"/>
    <w:rsid w:val="00D62321"/>
    <w:rsid w:val="00D65E1C"/>
    <w:rsid w:val="00D752BB"/>
    <w:rsid w:val="00D76E56"/>
    <w:rsid w:val="00D85D5E"/>
    <w:rsid w:val="00D87236"/>
    <w:rsid w:val="00DB4548"/>
    <w:rsid w:val="00DF06AF"/>
    <w:rsid w:val="00DF0A8B"/>
    <w:rsid w:val="00DF2A73"/>
    <w:rsid w:val="00DF342A"/>
    <w:rsid w:val="00E04F3F"/>
    <w:rsid w:val="00E0629B"/>
    <w:rsid w:val="00E072B7"/>
    <w:rsid w:val="00E54B07"/>
    <w:rsid w:val="00E565AF"/>
    <w:rsid w:val="00E57ACC"/>
    <w:rsid w:val="00E615BF"/>
    <w:rsid w:val="00E77151"/>
    <w:rsid w:val="00E812FF"/>
    <w:rsid w:val="00E86045"/>
    <w:rsid w:val="00E95E09"/>
    <w:rsid w:val="00E97174"/>
    <w:rsid w:val="00EA215D"/>
    <w:rsid w:val="00EB2F64"/>
    <w:rsid w:val="00EB5422"/>
    <w:rsid w:val="00EC03A6"/>
    <w:rsid w:val="00EC4EE3"/>
    <w:rsid w:val="00EC684A"/>
    <w:rsid w:val="00ED0337"/>
    <w:rsid w:val="00ED1ED4"/>
    <w:rsid w:val="00ED5864"/>
    <w:rsid w:val="00ED7D37"/>
    <w:rsid w:val="00F0627D"/>
    <w:rsid w:val="00F06429"/>
    <w:rsid w:val="00F145AF"/>
    <w:rsid w:val="00F24C37"/>
    <w:rsid w:val="00F367D2"/>
    <w:rsid w:val="00F4762E"/>
    <w:rsid w:val="00F50571"/>
    <w:rsid w:val="00F50F76"/>
    <w:rsid w:val="00F52603"/>
    <w:rsid w:val="00F5738C"/>
    <w:rsid w:val="00F63880"/>
    <w:rsid w:val="00F81E73"/>
    <w:rsid w:val="00F834E2"/>
    <w:rsid w:val="00F90407"/>
    <w:rsid w:val="00F90F6E"/>
    <w:rsid w:val="00FB65BF"/>
    <w:rsid w:val="00FB7B9D"/>
    <w:rsid w:val="00FC1A32"/>
    <w:rsid w:val="00FC2319"/>
    <w:rsid w:val="00FC350C"/>
    <w:rsid w:val="00FC421A"/>
    <w:rsid w:val="00FD21D8"/>
    <w:rsid w:val="00FD727C"/>
    <w:rsid w:val="00FE057F"/>
    <w:rsid w:val="00FE0B9C"/>
    <w:rsid w:val="00FE5CFC"/>
    <w:rsid w:val="00FF273E"/>
    <w:rsid w:val="00FF29F6"/>
    <w:rsid w:val="00FF52B9"/>
    <w:rsid w:val="00FF53C7"/>
    <w:rsid w:val="00FF7173"/>
    <w:rsid w:val="12499943"/>
    <w:rsid w:val="24325EC1"/>
    <w:rsid w:val="4479DBC7"/>
    <w:rsid w:val="44A07776"/>
    <w:rsid w:val="49C4A5E4"/>
    <w:rsid w:val="5396E2B7"/>
    <w:rsid w:val="57779E81"/>
    <w:rsid w:val="743FF41F"/>
    <w:rsid w:val="779709E0"/>
    <w:rsid w:val="7FF292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098CE"/>
  <w15:chartTrackingRefBased/>
  <w15:docId w15:val="{8C677D72-8335-DA48-B28C-D54E8E6F7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6AF"/>
    <w:pPr>
      <w:spacing w:after="120" w:line="480" w:lineRule="auto"/>
    </w:pPr>
    <w:rPr>
      <w:rFonts w:ascii="Times New Roman" w:hAnsi="Times New Roman"/>
      <w:szCs w:val="22"/>
    </w:rPr>
  </w:style>
  <w:style w:type="paragraph" w:styleId="Heading2">
    <w:name w:val="heading 2"/>
    <w:basedOn w:val="Normal"/>
    <w:next w:val="Normal"/>
    <w:link w:val="Heading2Char"/>
    <w:uiPriority w:val="9"/>
    <w:unhideWhenUsed/>
    <w:qFormat/>
    <w:rsid w:val="00DF06AF"/>
    <w:pPr>
      <w:keepNext/>
      <w:keepLines/>
      <w:spacing w:before="120" w:after="2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D727C"/>
    <w:pPr>
      <w:keepNext/>
      <w:keepLines/>
      <w:outlineLvl w:val="2"/>
    </w:pPr>
    <w:rPr>
      <w:rFonts w:eastAsiaTheme="majorEastAsia" w:cstheme="majorBid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06A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D727C"/>
    <w:rPr>
      <w:rFonts w:ascii="Times New Roman" w:eastAsiaTheme="majorEastAsia" w:hAnsi="Times New Roman" w:cstheme="majorBidi"/>
      <w:u w:val="single"/>
    </w:rPr>
  </w:style>
  <w:style w:type="paragraph" w:customStyle="1" w:styleId="Default">
    <w:name w:val="Default"/>
    <w:rsid w:val="00FD727C"/>
    <w:pPr>
      <w:widowControl w:val="0"/>
      <w:autoSpaceDE w:val="0"/>
      <w:autoSpaceDN w:val="0"/>
      <w:adjustRightInd w:val="0"/>
    </w:pPr>
    <w:rPr>
      <w:rFonts w:ascii="LinotypeSyntax" w:eastAsiaTheme="minorEastAsia" w:hAnsi="LinotypeSyntax" w:cs="LinotypeSyntax"/>
      <w:color w:val="000000"/>
    </w:rPr>
  </w:style>
  <w:style w:type="paragraph" w:styleId="Footer">
    <w:name w:val="footer"/>
    <w:basedOn w:val="Normal"/>
    <w:link w:val="FooterChar"/>
    <w:uiPriority w:val="99"/>
    <w:unhideWhenUsed/>
    <w:rsid w:val="00FD727C"/>
    <w:pPr>
      <w:tabs>
        <w:tab w:val="center" w:pos="4680"/>
        <w:tab w:val="right" w:pos="9360"/>
      </w:tabs>
      <w:spacing w:line="240" w:lineRule="auto"/>
    </w:pPr>
  </w:style>
  <w:style w:type="character" w:customStyle="1" w:styleId="FooterChar">
    <w:name w:val="Footer Char"/>
    <w:basedOn w:val="DefaultParagraphFont"/>
    <w:link w:val="Footer"/>
    <w:uiPriority w:val="99"/>
    <w:rsid w:val="00FD727C"/>
    <w:rPr>
      <w:rFonts w:ascii="Times New Roman" w:hAnsi="Times New Roman"/>
      <w:szCs w:val="22"/>
    </w:rPr>
  </w:style>
  <w:style w:type="paragraph" w:styleId="Revision">
    <w:name w:val="Revision"/>
    <w:hidden/>
    <w:uiPriority w:val="99"/>
    <w:semiHidden/>
    <w:rsid w:val="00511044"/>
    <w:rPr>
      <w:rFonts w:ascii="Times New Roman" w:hAnsi="Times New Roman"/>
      <w:szCs w:val="22"/>
    </w:rPr>
  </w:style>
  <w:style w:type="character" w:styleId="CommentReference">
    <w:name w:val="annotation reference"/>
    <w:basedOn w:val="DefaultParagraphFont"/>
    <w:uiPriority w:val="99"/>
    <w:semiHidden/>
    <w:unhideWhenUsed/>
    <w:rsid w:val="00DF06AF"/>
    <w:rPr>
      <w:sz w:val="16"/>
      <w:szCs w:val="16"/>
    </w:rPr>
  </w:style>
  <w:style w:type="paragraph" w:styleId="CommentText">
    <w:name w:val="annotation text"/>
    <w:basedOn w:val="Normal"/>
    <w:link w:val="CommentTextChar"/>
    <w:uiPriority w:val="99"/>
    <w:unhideWhenUsed/>
    <w:rsid w:val="00DF06AF"/>
    <w:pPr>
      <w:spacing w:line="240" w:lineRule="auto"/>
    </w:pPr>
    <w:rPr>
      <w:sz w:val="20"/>
      <w:szCs w:val="20"/>
    </w:rPr>
  </w:style>
  <w:style w:type="character" w:customStyle="1" w:styleId="CommentTextChar">
    <w:name w:val="Comment Text Char"/>
    <w:basedOn w:val="DefaultParagraphFont"/>
    <w:link w:val="CommentText"/>
    <w:uiPriority w:val="99"/>
    <w:rsid w:val="00DF06A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F06AF"/>
    <w:rPr>
      <w:b/>
      <w:bCs/>
    </w:rPr>
  </w:style>
  <w:style w:type="character" w:customStyle="1" w:styleId="CommentSubjectChar">
    <w:name w:val="Comment Subject Char"/>
    <w:basedOn w:val="CommentTextChar"/>
    <w:link w:val="CommentSubject"/>
    <w:uiPriority w:val="99"/>
    <w:semiHidden/>
    <w:rsid w:val="00DF06AF"/>
    <w:rPr>
      <w:rFonts w:ascii="Times New Roman" w:hAnsi="Times New Roman"/>
      <w:b/>
      <w:bCs/>
      <w:sz w:val="20"/>
      <w:szCs w:val="20"/>
    </w:rPr>
  </w:style>
  <w:style w:type="character" w:styleId="Hyperlink">
    <w:name w:val="Hyperlink"/>
    <w:basedOn w:val="DefaultParagraphFont"/>
    <w:uiPriority w:val="99"/>
    <w:unhideWhenUsed/>
    <w:rsid w:val="00B7037A"/>
    <w:rPr>
      <w:color w:val="0563C1" w:themeColor="hyperlink"/>
      <w:u w:val="single"/>
    </w:rPr>
  </w:style>
  <w:style w:type="character" w:styleId="UnresolvedMention">
    <w:name w:val="Unresolved Mention"/>
    <w:basedOn w:val="DefaultParagraphFont"/>
    <w:uiPriority w:val="99"/>
    <w:semiHidden/>
    <w:unhideWhenUsed/>
    <w:rsid w:val="00B7037A"/>
    <w:rPr>
      <w:color w:val="605E5C"/>
      <w:shd w:val="clear" w:color="auto" w:fill="E1DFDD"/>
    </w:rPr>
  </w:style>
  <w:style w:type="paragraph" w:styleId="FootnoteText">
    <w:name w:val="footnote text"/>
    <w:basedOn w:val="Normal"/>
    <w:link w:val="FootnoteTextChar"/>
    <w:uiPriority w:val="99"/>
    <w:semiHidden/>
    <w:unhideWhenUsed/>
    <w:rsid w:val="006C70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7000"/>
    <w:rPr>
      <w:rFonts w:ascii="Times New Roman" w:hAnsi="Times New Roman"/>
      <w:sz w:val="20"/>
      <w:szCs w:val="20"/>
    </w:rPr>
  </w:style>
  <w:style w:type="character" w:styleId="FootnoteReference">
    <w:name w:val="footnote reference"/>
    <w:basedOn w:val="DefaultParagraphFont"/>
    <w:uiPriority w:val="99"/>
    <w:semiHidden/>
    <w:unhideWhenUsed/>
    <w:rsid w:val="006C7000"/>
    <w:rPr>
      <w:vertAlign w:val="superscript"/>
    </w:rPr>
  </w:style>
  <w:style w:type="character" w:styleId="FollowedHyperlink">
    <w:name w:val="FollowedHyperlink"/>
    <w:basedOn w:val="DefaultParagraphFont"/>
    <w:uiPriority w:val="99"/>
    <w:semiHidden/>
    <w:unhideWhenUsed/>
    <w:rsid w:val="007106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7AD9A-9FE4-4169-B76A-97B01103E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Millhauser</dc:creator>
  <cp:keywords/>
  <dc:description/>
  <cp:lastModifiedBy>lestill@comcast.net</cp:lastModifiedBy>
  <cp:revision>2</cp:revision>
  <dcterms:created xsi:type="dcterms:W3CDTF">2023-08-17T19:55:00Z</dcterms:created>
  <dcterms:modified xsi:type="dcterms:W3CDTF">2023-08-17T19:55:00Z</dcterms:modified>
</cp:coreProperties>
</file>