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4271" w14:textId="42ED9944" w:rsidR="00763208" w:rsidRPr="00763208" w:rsidRDefault="00763208" w:rsidP="00763208">
      <w:pPr>
        <w:pStyle w:val="Heading1"/>
        <w:rPr>
          <w:b w:val="0"/>
          <w:color w:val="000000" w:themeColor="text1"/>
          <w:sz w:val="24"/>
          <w:szCs w:val="24"/>
        </w:rPr>
      </w:pPr>
      <w:r w:rsidRPr="00763208">
        <w:rPr>
          <w:b w:val="0"/>
          <w:color w:val="000000" w:themeColor="text1"/>
          <w:sz w:val="24"/>
          <w:szCs w:val="24"/>
        </w:rPr>
        <w:t>label: </w:t>
      </w:r>
      <w:r>
        <w:rPr>
          <w:b w:val="0"/>
          <w:color w:val="000000" w:themeColor="text1"/>
          <w:sz w:val="24"/>
          <w:szCs w:val="24"/>
        </w:rPr>
        <w:t>3</w:t>
      </w:r>
    </w:p>
    <w:p w14:paraId="25F5A31F" w14:textId="42C6892E" w:rsidR="00763208" w:rsidRPr="00763208" w:rsidRDefault="00763208" w:rsidP="00763208">
      <w:pPr>
        <w:pStyle w:val="Heading1"/>
        <w:rPr>
          <w:b w:val="0"/>
          <w:color w:val="000000" w:themeColor="text1"/>
          <w:sz w:val="24"/>
          <w:szCs w:val="24"/>
        </w:rPr>
      </w:pPr>
      <w:r w:rsidRPr="00763208">
        <w:rPr>
          <w:b w:val="0"/>
          <w:color w:val="000000" w:themeColor="text1"/>
          <w:sz w:val="24"/>
          <w:szCs w:val="24"/>
        </w:rPr>
        <w:t>title: </w:t>
      </w:r>
      <w:r>
        <w:rPr>
          <w:b w:val="0"/>
          <w:color w:val="000000" w:themeColor="text1"/>
          <w:sz w:val="24"/>
          <w:szCs w:val="24"/>
        </w:rPr>
        <w:t>Legal Perspectives on Acquisitions of Mediterranean Antiquities</w:t>
      </w:r>
    </w:p>
    <w:p w14:paraId="5B7FAD55" w14:textId="55898FD6" w:rsidR="00763208" w:rsidRPr="00763208" w:rsidRDefault="00763208" w:rsidP="00763208">
      <w:pPr>
        <w:pStyle w:val="Heading1"/>
        <w:rPr>
          <w:b w:val="0"/>
          <w:color w:val="000000" w:themeColor="text1"/>
          <w:sz w:val="24"/>
          <w:szCs w:val="24"/>
        </w:rPr>
      </w:pPr>
      <w:r w:rsidRPr="00763208">
        <w:rPr>
          <w:b w:val="0"/>
          <w:color w:val="000000" w:themeColor="text1"/>
          <w:sz w:val="24"/>
          <w:szCs w:val="24"/>
        </w:rPr>
        <w:t>subtitle: </w:t>
      </w:r>
    </w:p>
    <w:p w14:paraId="4C29843F" w14:textId="16BD569C" w:rsidR="00763208" w:rsidRPr="00763208" w:rsidRDefault="00763208" w:rsidP="00763208">
      <w:pPr>
        <w:pStyle w:val="Heading1"/>
        <w:rPr>
          <w:b w:val="0"/>
          <w:color w:val="000000" w:themeColor="text1"/>
          <w:sz w:val="24"/>
          <w:szCs w:val="24"/>
        </w:rPr>
      </w:pPr>
      <w:proofErr w:type="spellStart"/>
      <w:r w:rsidRPr="00763208">
        <w:rPr>
          <w:b w:val="0"/>
          <w:color w:val="000000" w:themeColor="text1"/>
          <w:sz w:val="24"/>
          <w:szCs w:val="24"/>
        </w:rPr>
        <w:t>short_title</w:t>
      </w:r>
      <w:proofErr w:type="spellEnd"/>
      <w:r w:rsidRPr="00763208">
        <w:rPr>
          <w:b w:val="0"/>
          <w:color w:val="000000" w:themeColor="text1"/>
          <w:sz w:val="24"/>
          <w:szCs w:val="24"/>
        </w:rPr>
        <w:t>: </w:t>
      </w:r>
      <w:r>
        <w:rPr>
          <w:b w:val="0"/>
          <w:color w:val="000000" w:themeColor="text1"/>
          <w:sz w:val="24"/>
          <w:szCs w:val="24"/>
        </w:rPr>
        <w:t>Legal Perspectives</w:t>
      </w:r>
    </w:p>
    <w:p w14:paraId="6FC35414" w14:textId="77777777" w:rsidR="00763208" w:rsidRPr="00763208" w:rsidRDefault="00763208" w:rsidP="00763208">
      <w:pPr>
        <w:pStyle w:val="Heading1"/>
        <w:rPr>
          <w:b w:val="0"/>
          <w:color w:val="000000" w:themeColor="text1"/>
          <w:sz w:val="24"/>
          <w:szCs w:val="24"/>
        </w:rPr>
      </w:pPr>
      <w:r w:rsidRPr="00763208">
        <w:rPr>
          <w:b w:val="0"/>
          <w:color w:val="000000" w:themeColor="text1"/>
          <w:sz w:val="24"/>
          <w:szCs w:val="24"/>
        </w:rPr>
        <w:t>abstract: </w:t>
      </w:r>
    </w:p>
    <w:p w14:paraId="337D7263" w14:textId="71589545" w:rsidR="00763208" w:rsidRPr="00763208" w:rsidRDefault="00763208" w:rsidP="00763208">
      <w:pPr>
        <w:pStyle w:val="Heading1"/>
        <w:rPr>
          <w:b w:val="0"/>
          <w:color w:val="000000" w:themeColor="text1"/>
          <w:sz w:val="24"/>
          <w:szCs w:val="24"/>
        </w:rPr>
      </w:pPr>
      <w:r w:rsidRPr="00763208">
        <w:rPr>
          <w:b w:val="0"/>
          <w:color w:val="000000" w:themeColor="text1"/>
          <w:sz w:val="24"/>
          <w:szCs w:val="24"/>
        </w:rPr>
        <w:t>name: </w:t>
      </w:r>
      <w:r>
        <w:rPr>
          <w:b w:val="0"/>
          <w:color w:val="000000" w:themeColor="text1"/>
          <w:sz w:val="24"/>
          <w:szCs w:val="24"/>
        </w:rPr>
        <w:t>Stephen W. Clark</w:t>
      </w:r>
    </w:p>
    <w:p w14:paraId="6E9A01D3" w14:textId="4D0DB9E7" w:rsidR="00763208" w:rsidRPr="00763208" w:rsidRDefault="00763208" w:rsidP="00763208">
      <w:pPr>
        <w:pStyle w:val="Heading1"/>
        <w:rPr>
          <w:b w:val="0"/>
          <w:color w:val="000000" w:themeColor="text1"/>
          <w:sz w:val="24"/>
          <w:szCs w:val="24"/>
        </w:rPr>
      </w:pPr>
      <w:r w:rsidRPr="00763208">
        <w:rPr>
          <w:b w:val="0"/>
          <w:color w:val="000000" w:themeColor="text1"/>
          <w:sz w:val="24"/>
          <w:szCs w:val="24"/>
        </w:rPr>
        <w:t>name: </w:t>
      </w:r>
      <w:r>
        <w:rPr>
          <w:b w:val="0"/>
          <w:color w:val="000000" w:themeColor="text1"/>
          <w:sz w:val="24"/>
          <w:szCs w:val="24"/>
        </w:rPr>
        <w:t>Stephen K. Urice</w:t>
      </w:r>
    </w:p>
    <w:p w14:paraId="77C523A4" w14:textId="77777777" w:rsidR="00D2024F" w:rsidRDefault="00D2024F" w:rsidP="00D2024F"/>
    <w:p w14:paraId="2EB17053" w14:textId="77777777" w:rsidR="00763208" w:rsidRDefault="00763208" w:rsidP="00D2024F"/>
    <w:p w14:paraId="1C3D1B91" w14:textId="77777777" w:rsidR="00D2024F" w:rsidRPr="00D2024F" w:rsidRDefault="00D2024F" w:rsidP="00D2024F"/>
    <w:p w14:paraId="60025C95" w14:textId="09AA3B8C" w:rsidR="006D2C86" w:rsidRPr="00763208" w:rsidRDefault="00D2024F" w:rsidP="00763208">
      <w:pPr>
        <w:pStyle w:val="Heading2"/>
        <w:rPr>
          <w:b w:val="0"/>
          <w:bCs/>
          <w:i w:val="0"/>
          <w:iCs/>
          <w:color w:val="000000" w:themeColor="text1"/>
        </w:rPr>
      </w:pPr>
      <w:r w:rsidRPr="00763208">
        <w:rPr>
          <w:b w:val="0"/>
          <w:bCs/>
          <w:i w:val="0"/>
          <w:iCs/>
          <w:color w:val="000000" w:themeColor="text1"/>
        </w:rPr>
        <w:t>Introduction</w:t>
      </w:r>
    </w:p>
    <w:p w14:paraId="785A8784" w14:textId="77777777" w:rsidR="00F557B4" w:rsidRPr="00F557B4" w:rsidRDefault="00F557B4" w:rsidP="00F557B4"/>
    <w:p w14:paraId="55A6AE7F" w14:textId="5CE29419" w:rsidR="00A75023" w:rsidRDefault="00373490" w:rsidP="00D2024F">
      <w:pPr>
        <w:spacing w:before="120" w:after="120" w:line="480" w:lineRule="auto"/>
      </w:pPr>
      <w:r>
        <w:t xml:space="preserve">In considering </w:t>
      </w:r>
      <w:r w:rsidR="00E82818" w:rsidRPr="00596836">
        <w:t>the</w:t>
      </w:r>
      <w:r w:rsidR="00A65247" w:rsidRPr="00596836">
        <w:t xml:space="preserve"> acquisition </w:t>
      </w:r>
      <w:r w:rsidR="00E82818" w:rsidRPr="00596836">
        <w:t xml:space="preserve">of any antiquity </w:t>
      </w:r>
      <w:r w:rsidR="00A65247" w:rsidRPr="00596836">
        <w:t xml:space="preserve">there are two fundamental </w:t>
      </w:r>
      <w:r w:rsidR="009E5887" w:rsidRPr="5449AF1D">
        <w:rPr>
          <w:i/>
          <w:iCs/>
        </w:rPr>
        <w:t xml:space="preserve">legal </w:t>
      </w:r>
      <w:r w:rsidR="00A65247" w:rsidRPr="00596836">
        <w:t>questions: is the object authentic and does the seller</w:t>
      </w:r>
      <w:r w:rsidR="00A75023">
        <w:rPr>
          <w:rStyle w:val="EndnoteReference"/>
        </w:rPr>
        <w:endnoteReference w:id="2"/>
      </w:r>
      <w:r w:rsidR="00A75023">
        <w:t xml:space="preserve"> </w:t>
      </w:r>
      <w:r w:rsidR="00A75023" w:rsidRPr="00596836">
        <w:t>have</w:t>
      </w:r>
      <w:r w:rsidR="00A75023">
        <w:t xml:space="preserve"> (</w:t>
      </w:r>
      <w:r w:rsidR="00A75023" w:rsidRPr="00596836">
        <w:t>and have the authority to convey</w:t>
      </w:r>
      <w:r w:rsidR="00A75023">
        <w:t>)</w:t>
      </w:r>
      <w:r w:rsidR="00A75023" w:rsidRPr="00596836">
        <w:t xml:space="preserve"> good title to the work?</w:t>
      </w:r>
      <w:r w:rsidR="00D2024F">
        <w:t xml:space="preserve"> </w:t>
      </w:r>
      <w:r w:rsidR="00A75023" w:rsidRPr="00596836">
        <w:t>A</w:t>
      </w:r>
      <w:r w:rsidR="00A75023">
        <w:t>lthough a</w:t>
      </w:r>
      <w:r w:rsidR="00A75023" w:rsidRPr="00596836">
        <w:t>n object’s provenance</w:t>
      </w:r>
      <w:r w:rsidR="00EF0783">
        <w:rPr>
          <w:rStyle w:val="EndnoteReference"/>
        </w:rPr>
        <w:endnoteReference w:id="3"/>
      </w:r>
      <w:r w:rsidR="00EF0783">
        <w:t xml:space="preserve"> </w:t>
      </w:r>
      <w:r w:rsidR="00A75023" w:rsidRPr="00596836">
        <w:t>is critical to both inquiries</w:t>
      </w:r>
      <w:r w:rsidR="00A75023">
        <w:t xml:space="preserve">, this chapter focuses </w:t>
      </w:r>
      <w:r w:rsidR="00A75023" w:rsidRPr="00596836">
        <w:t xml:space="preserve">on documentation </w:t>
      </w:r>
      <w:r w:rsidR="00A75023">
        <w:t>helpful in assuring</w:t>
      </w:r>
      <w:r w:rsidR="00A75023" w:rsidRPr="00596836">
        <w:t xml:space="preserve"> </w:t>
      </w:r>
      <w:r w:rsidR="00A75023">
        <w:t xml:space="preserve">that </w:t>
      </w:r>
      <w:r w:rsidR="00A75023" w:rsidRPr="00596836">
        <w:t xml:space="preserve">good title </w:t>
      </w:r>
      <w:r w:rsidR="00A75023">
        <w:t xml:space="preserve">to the object </w:t>
      </w:r>
      <w:r w:rsidR="00A75023" w:rsidRPr="00596836">
        <w:t xml:space="preserve">can be acquired and that possession of the object will not expose </w:t>
      </w:r>
      <w:r w:rsidR="00A75023">
        <w:t>it</w:t>
      </w:r>
      <w:r w:rsidR="00A75023" w:rsidRPr="00596836">
        <w:rPr>
          <w:rStyle w:val="EndnoteReference"/>
        </w:rPr>
        <w:endnoteReference w:id="4"/>
      </w:r>
      <w:r w:rsidR="00A75023">
        <w:t xml:space="preserve"> or its acquirer to legal liability. Although t</w:t>
      </w:r>
      <w:r w:rsidR="00A75023" w:rsidRPr="5449AF1D">
        <w:t>he “acquirer” could be, among others, an individual, an art investment fund, or a for</w:t>
      </w:r>
      <w:r w:rsidR="00184C5B">
        <w:t>-</w:t>
      </w:r>
      <w:r w:rsidR="00A75023" w:rsidRPr="5449AF1D">
        <w:t>profit corporation</w:t>
      </w:r>
      <w:r w:rsidR="00A75023">
        <w:t>,</w:t>
      </w:r>
      <w:r w:rsidR="00A75023" w:rsidRPr="5449AF1D">
        <w:t xml:space="preserve"> for purposes here we assume the acquiring party is a charitable, nonprofit museum</w:t>
      </w:r>
      <w:r w:rsidR="00A75023">
        <w:t xml:space="preserve"> organized and operated</w:t>
      </w:r>
      <w:r w:rsidR="00A75023" w:rsidRPr="5449AF1D">
        <w:t xml:space="preserve"> under U.S. </w:t>
      </w:r>
      <w:r w:rsidR="00A9488C">
        <w:t xml:space="preserve">federal and </w:t>
      </w:r>
      <w:r w:rsidR="00A75023" w:rsidRPr="5449AF1D">
        <w:t>state law.</w:t>
      </w:r>
    </w:p>
    <w:p w14:paraId="4097D900" w14:textId="79DB1B42" w:rsidR="00A75023" w:rsidRPr="00F82543" w:rsidRDefault="00A75023" w:rsidP="00D2024F">
      <w:pPr>
        <w:tabs>
          <w:tab w:val="left" w:pos="720"/>
        </w:tabs>
        <w:spacing w:after="120" w:line="480" w:lineRule="auto"/>
        <w:ind w:firstLine="720"/>
      </w:pPr>
      <w:r>
        <w:t>Rigorous research increases the likelihood of discovering verifiable documentation on which a reliable provenance can be constructed. However, there are times when even the most talented individuals and the most diligent efforts yield little or no dependable information.</w:t>
      </w:r>
      <w:r w:rsidR="00D2024F">
        <w:t xml:space="preserve"> </w:t>
      </w:r>
      <w:r>
        <w:t>Unlike recently created works of art, whose provenance can often be documented from the moment of creation, the history of many archaeological objects is simply unknowable:</w:t>
      </w:r>
      <w:r w:rsidR="00E46F8E">
        <w:t xml:space="preserve"> </w:t>
      </w:r>
      <w:r>
        <w:t xml:space="preserve">they were </w:t>
      </w:r>
      <w:r w:rsidR="00B116B9">
        <w:lastRenderedPageBreak/>
        <w:t xml:space="preserve">most often </w:t>
      </w:r>
      <w:r>
        <w:t>made by unknown individuals</w:t>
      </w:r>
      <w:r w:rsidR="0055381C">
        <w:t>,</w:t>
      </w:r>
      <w:r w:rsidR="00B116B9">
        <w:t xml:space="preserve"> </w:t>
      </w:r>
      <w:r>
        <w:t>at unknown times and places</w:t>
      </w:r>
      <w:r w:rsidR="00B116B9">
        <w:t>,</w:t>
      </w:r>
      <w:r>
        <w:t xml:space="preserve"> and </w:t>
      </w:r>
      <w:r w:rsidR="00853191">
        <w:t>usually</w:t>
      </w:r>
      <w:r w:rsidR="00B116B9">
        <w:t xml:space="preserve"> </w:t>
      </w:r>
      <w:r>
        <w:t xml:space="preserve">transported elsewhere before disappearing underground or at sea for millennia prior to modern discovery. </w:t>
      </w:r>
      <w:proofErr w:type="gramStart"/>
      <w:r>
        <w:t>Therefore</w:t>
      </w:r>
      <w:proofErr w:type="gramEnd"/>
      <w:r>
        <w:t xml:space="preserve"> it is not</w:t>
      </w:r>
      <w:r w:rsidR="00B116B9">
        <w:t xml:space="preserve"> surprising that</w:t>
      </w:r>
      <w:r w:rsidR="00A9488C">
        <w:t xml:space="preserve">, except for antiquities discovered by archaeologists </w:t>
      </w:r>
      <w:proofErr w:type="gramStart"/>
      <w:r w:rsidR="00A9488C">
        <w:t>in the course of</w:t>
      </w:r>
      <w:proofErr w:type="gramEnd"/>
      <w:r w:rsidR="00A9488C">
        <w:t xml:space="preserve"> scientific excavations, provenance</w:t>
      </w:r>
      <w:r w:rsidR="0055381C">
        <w:t xml:space="preserve"> </w:t>
      </w:r>
      <w:r w:rsidR="00104C66">
        <w:t>is frequently</w:t>
      </w:r>
      <w:r>
        <w:t xml:space="preserve"> incomplete or altogether lacking. </w:t>
      </w:r>
    </w:p>
    <w:p w14:paraId="563BB907" w14:textId="16C8B1D8" w:rsidR="00A75023" w:rsidRPr="00F82543" w:rsidRDefault="00A75023" w:rsidP="00D2024F">
      <w:pPr>
        <w:tabs>
          <w:tab w:val="left" w:pos="720"/>
        </w:tabs>
        <w:spacing w:after="120" w:line="480" w:lineRule="auto"/>
        <w:ind w:firstLine="720"/>
      </w:pPr>
      <w:r>
        <w:t>It would be a mistake, however, to place the entire burden of diligence on a provenance researcher’s shoulders. Most museums lack resources for staff devoted solely to provenance research, and, more importantly, a decision to acquire an object and the ability to provide accurate information about a work’s background are shared responsibilities. Every acquisition of an antiquity must comply with applicable law and ethical standards, meaning everyone involved</w:t>
      </w:r>
      <w:r w:rsidR="00D2024F">
        <w:t>—</w:t>
      </w:r>
      <w:r>
        <w:t>researchers, curators, directors, trustees, and perhaps lawyers</w:t>
      </w:r>
      <w:r w:rsidR="00D2024F">
        <w:t>—</w:t>
      </w:r>
      <w:r>
        <w:t>must make informed, good</w:t>
      </w:r>
      <w:r w:rsidR="001E13FE">
        <w:t xml:space="preserve"> </w:t>
      </w:r>
      <w:r>
        <w:t>faith decisions based on whatever reliable information is available</w:t>
      </w:r>
      <w:r w:rsidRPr="00B116B9">
        <w:t>.</w:t>
      </w:r>
    </w:p>
    <w:p w14:paraId="013258EC" w14:textId="1D98823B" w:rsidR="00A75023" w:rsidRPr="00F82543" w:rsidRDefault="00A75023" w:rsidP="00D2024F">
      <w:pPr>
        <w:tabs>
          <w:tab w:val="left" w:pos="720"/>
        </w:tabs>
        <w:spacing w:after="120" w:line="480" w:lineRule="auto"/>
        <w:ind w:firstLine="720"/>
      </w:pPr>
      <w:r w:rsidRPr="00596836">
        <w:t>The inherent character</w:t>
      </w:r>
      <w:r>
        <w:t>istics</w:t>
      </w:r>
      <w:r w:rsidRPr="00596836">
        <w:t xml:space="preserve"> of antiquities make provenance research especially challenging. Antiquities are often small (or, </w:t>
      </w:r>
      <w:r>
        <w:t>in</w:t>
      </w:r>
      <w:r w:rsidRPr="00596836">
        <w:t xml:space="preserve"> the hands of looters, able to be made small</w:t>
      </w:r>
      <w:r w:rsidR="00D2024F">
        <w:t>—</w:t>
      </w:r>
      <w:r>
        <w:t>for example, breaking large sculptures into pieces</w:t>
      </w:r>
      <w:r w:rsidRPr="00596836">
        <w:t xml:space="preserve">) and easily transportable; </w:t>
      </w:r>
      <w:r w:rsidR="00712625">
        <w:t xml:space="preserve">are </w:t>
      </w:r>
      <w:r w:rsidRPr="00596836">
        <w:t xml:space="preserve">of enduring cultural, historical, and monetary value and thus often carefully guarded rather than exhibited or published; </w:t>
      </w:r>
      <w:r w:rsidR="00712625">
        <w:t xml:space="preserve">are </w:t>
      </w:r>
      <w:r w:rsidRPr="00596836">
        <w:t>frequently made of durable materials (such as stone or fired clay</w:t>
      </w:r>
      <w:r w:rsidR="00712625">
        <w:t>, which is why they have survived</w:t>
      </w:r>
      <w:r w:rsidRPr="00596836">
        <w:t>), meaning their longevity is potentially perpetual. Mediterranean antiquities</w:t>
      </w:r>
      <w:r>
        <w:t xml:space="preserve"> present additional difficulties:</w:t>
      </w:r>
      <w:r w:rsidR="00E46F8E">
        <w:t xml:space="preserve"> </w:t>
      </w:r>
      <w:r>
        <w:t>they</w:t>
      </w:r>
      <w:r w:rsidRPr="00596836">
        <w:t xml:space="preserve"> </w:t>
      </w:r>
      <w:r>
        <w:t>span</w:t>
      </w:r>
      <w:r w:rsidRPr="00596836">
        <w:t xml:space="preserve"> a</w:t>
      </w:r>
      <w:r>
        <w:t>n</w:t>
      </w:r>
      <w:r w:rsidRPr="00596836">
        <w:t xml:space="preserve"> </w:t>
      </w:r>
      <w:r w:rsidR="00712625">
        <w:t>eight-thousand</w:t>
      </w:r>
      <w:r>
        <w:t xml:space="preserve">-year </w:t>
      </w:r>
      <w:r w:rsidRPr="00596836">
        <w:t>timeline</w:t>
      </w:r>
      <w:r>
        <w:t xml:space="preserve"> and a vast geographic distribution.</w:t>
      </w:r>
    </w:p>
    <w:p w14:paraId="740E4BE6" w14:textId="62E5956B" w:rsidR="00A75023" w:rsidRPr="00596836" w:rsidRDefault="00A75023" w:rsidP="00D2024F">
      <w:pPr>
        <w:spacing w:after="120" w:line="480" w:lineRule="auto"/>
        <w:ind w:firstLine="720"/>
      </w:pPr>
      <w:r w:rsidRPr="00596836">
        <w:t>Other than architectural works</w:t>
      </w:r>
      <w:r>
        <w:t>, such as</w:t>
      </w:r>
      <w:r w:rsidRPr="00596836">
        <w:t xml:space="preserve"> bas-reliefs</w:t>
      </w:r>
      <w:r>
        <w:t>, floor mosaics, and wall frescoes,</w:t>
      </w:r>
      <w:r w:rsidRPr="00596836">
        <w:t xml:space="preserve"> </w:t>
      </w:r>
      <w:r>
        <w:t xml:space="preserve">antiquities are rarely </w:t>
      </w:r>
      <w:r w:rsidRPr="00596836">
        <w:t xml:space="preserve">discovered </w:t>
      </w:r>
      <w:r>
        <w:t xml:space="preserve">exactly </w:t>
      </w:r>
      <w:r w:rsidRPr="00596836">
        <w:t>where they were made</w:t>
      </w:r>
      <w:r>
        <w:t>.</w:t>
      </w:r>
      <w:r>
        <w:rPr>
          <w:rStyle w:val="EndnoteReference"/>
        </w:rPr>
        <w:endnoteReference w:id="5"/>
      </w:r>
      <w:r>
        <w:t xml:space="preserve"> I</w:t>
      </w:r>
      <w:r w:rsidRPr="00596836">
        <w:t xml:space="preserve">n antiquity as today, objects were bought and sold, moved, and </w:t>
      </w:r>
      <w:r>
        <w:t>shipped around the Mediterranean, especially if they were utilitarian (</w:t>
      </w:r>
      <w:r w:rsidR="00DA172B">
        <w:t>such as</w:t>
      </w:r>
      <w:r>
        <w:t xml:space="preserve"> transport amphorae) or of great artistic or inherent value</w:t>
      </w:r>
      <w:r w:rsidRPr="00596836">
        <w:t xml:space="preserve">. </w:t>
      </w:r>
      <w:r w:rsidRPr="7A011E2E">
        <w:t>For example, i</w:t>
      </w:r>
      <w:r w:rsidRPr="00596836">
        <w:t xml:space="preserve">n the </w:t>
      </w:r>
      <w:r w:rsidR="00DA172B">
        <w:lastRenderedPageBreak/>
        <w:t xml:space="preserve">sixth </w:t>
      </w:r>
      <w:r w:rsidRPr="00596836">
        <w:t xml:space="preserve">and </w:t>
      </w:r>
      <w:r w:rsidR="00DA172B">
        <w:t xml:space="preserve">fifth </w:t>
      </w:r>
      <w:r w:rsidRPr="00596836">
        <w:t xml:space="preserve">centuries BCE, pottery made in </w:t>
      </w:r>
      <w:r>
        <w:t>Athens</w:t>
      </w:r>
      <w:r w:rsidRPr="00596836">
        <w:t xml:space="preserve"> found a strong market </w:t>
      </w:r>
      <w:r w:rsidR="00DA172B">
        <w:t xml:space="preserve">twelve hundred </w:t>
      </w:r>
      <w:r w:rsidRPr="00596836">
        <w:t xml:space="preserve">kilometers to the west, in </w:t>
      </w:r>
      <w:r w:rsidRPr="00FF06C9">
        <w:t>Etruria</w:t>
      </w:r>
      <w:r>
        <w:t xml:space="preserve"> (today, central Italy)</w:t>
      </w:r>
      <w:r w:rsidRPr="00596836">
        <w:t>, where the</w:t>
      </w:r>
      <w:r>
        <w:t xml:space="preserve">y </w:t>
      </w:r>
      <w:r w:rsidRPr="00596836">
        <w:t xml:space="preserve">were often buried </w:t>
      </w:r>
      <w:r>
        <w:t>as grave goods</w:t>
      </w:r>
      <w:r w:rsidRPr="00596836">
        <w:t>. By the end of the</w:t>
      </w:r>
      <w:r w:rsidR="00DA172B">
        <w:t xml:space="preserve"> fourth</w:t>
      </w:r>
      <w:r w:rsidRPr="00596836">
        <w:t xml:space="preserve"> century BCE, Hellenistic works could be found </w:t>
      </w:r>
      <w:r>
        <w:t>from the Adriatic Sea to the Himalaya</w:t>
      </w:r>
      <w:r w:rsidR="00DA172B">
        <w:t>s</w:t>
      </w:r>
      <w:r>
        <w:t xml:space="preserve">. </w:t>
      </w:r>
      <w:r w:rsidRPr="00596836">
        <w:t xml:space="preserve">Roman collectors </w:t>
      </w:r>
      <w:r>
        <w:t>transported</w:t>
      </w:r>
      <w:r w:rsidRPr="00596836">
        <w:t xml:space="preserve"> Greek sculpture</w:t>
      </w:r>
      <w:r>
        <w:t>s</w:t>
      </w:r>
      <w:r w:rsidR="00DA172B">
        <w:t>, and</w:t>
      </w:r>
      <w:r w:rsidRPr="00596836">
        <w:t xml:space="preserve"> inevitable shipwrecks</w:t>
      </w:r>
      <w:r w:rsidR="00DA172B">
        <w:t xml:space="preserve"> left</w:t>
      </w:r>
      <w:r w:rsidRPr="00596836">
        <w:t xml:space="preserve"> some on the seabed. </w:t>
      </w:r>
      <w:r>
        <w:t>And c</w:t>
      </w:r>
      <w:r w:rsidRPr="00596836">
        <w:t>oins</w:t>
      </w:r>
      <w:r>
        <w:t>, inherently intended to be transferable,</w:t>
      </w:r>
      <w:r w:rsidRPr="00596836">
        <w:t xml:space="preserve"> </w:t>
      </w:r>
      <w:r>
        <w:t xml:space="preserve">frequently </w:t>
      </w:r>
      <w:r w:rsidRPr="00596836">
        <w:t>changed hands and locations.</w:t>
      </w:r>
      <w:r w:rsidR="00BD3E66">
        <w:t xml:space="preserve"> </w:t>
      </w:r>
      <w:r w:rsidRPr="00596836">
        <w:t xml:space="preserve"> </w:t>
      </w:r>
    </w:p>
    <w:p w14:paraId="6382B867" w14:textId="11959D70" w:rsidR="00A75023" w:rsidRDefault="00DA172B" w:rsidP="00D2024F">
      <w:pPr>
        <w:spacing w:after="120" w:line="480" w:lineRule="auto"/>
        <w:ind w:firstLine="360"/>
      </w:pPr>
      <w:r>
        <w:t>T</w:t>
      </w:r>
      <w:r w:rsidR="00A75023" w:rsidRPr="00596836">
        <w:t xml:space="preserve">he </w:t>
      </w:r>
      <w:r>
        <w:t xml:space="preserve">unearthing of the </w:t>
      </w:r>
      <w:r w:rsidR="00A75023" w:rsidRPr="00596836">
        <w:t>Laocoön sculpture in Rome</w:t>
      </w:r>
      <w:r>
        <w:t xml:space="preserve"> in 1506 CE</w:t>
      </w:r>
      <w:r w:rsidR="00A75023" w:rsidRPr="002B1FCD">
        <w:rPr>
          <w:rStyle w:val="EndnoteReference"/>
        </w:rPr>
        <w:endnoteReference w:id="6"/>
      </w:r>
      <w:r>
        <w:t xml:space="preserve"> set off an era of relentless searching by </w:t>
      </w:r>
      <w:r w:rsidR="00A75023">
        <w:t>collectors</w:t>
      </w:r>
      <w:r w:rsidR="00A75023" w:rsidRPr="00596836">
        <w:t xml:space="preserve"> for antiquities throughout the Mediterranean. That search has never abated, leading to a centuries-old, international market </w:t>
      </w:r>
      <w:r w:rsidR="00A75023">
        <w:t>in antiquities</w:t>
      </w:r>
      <w:r w:rsidR="00A75023" w:rsidRPr="00596836">
        <w:t xml:space="preserve">. </w:t>
      </w:r>
      <w:r w:rsidR="00A75023">
        <w:t xml:space="preserve">In the </w:t>
      </w:r>
      <w:r>
        <w:t xml:space="preserve">twentieth </w:t>
      </w:r>
      <w:r w:rsidR="00A75023">
        <w:t>century and today</w:t>
      </w:r>
      <w:r w:rsidR="00A75023" w:rsidRPr="00596836">
        <w:t xml:space="preserve">, the looting </w:t>
      </w:r>
      <w:r w:rsidR="00A75023">
        <w:t>of archaeological sites in search of</w:t>
      </w:r>
      <w:r w:rsidR="00DC4398">
        <w:t xml:space="preserve"> ancient artifacts</w:t>
      </w:r>
      <w:r w:rsidR="00A75023">
        <w:t xml:space="preserve"> </w:t>
      </w:r>
      <w:r w:rsidR="00A75023" w:rsidRPr="00596836">
        <w:t xml:space="preserve">has increased dramatically </w:t>
      </w:r>
      <w:proofErr w:type="gramStart"/>
      <w:r w:rsidR="00A75023" w:rsidRPr="00596836">
        <w:t>as a result of</w:t>
      </w:r>
      <w:proofErr w:type="gramEnd"/>
      <w:r w:rsidR="00A75023" w:rsidRPr="00596836">
        <w:t xml:space="preserve"> armed conflict, under-resourced policing </w:t>
      </w:r>
      <w:r w:rsidR="00A75023">
        <w:t>and</w:t>
      </w:r>
      <w:r w:rsidR="00A75023" w:rsidRPr="00596836">
        <w:t xml:space="preserve"> other protective measures, and a burgeoning demand </w:t>
      </w:r>
      <w:r w:rsidR="00A75023">
        <w:t xml:space="preserve">from internet sales </w:t>
      </w:r>
      <w:r w:rsidR="00A75023" w:rsidRPr="00596836">
        <w:t xml:space="preserve">augmenting the traditional market. In short, provenance research into Mediterranean antiquities confronts </w:t>
      </w:r>
      <w:r w:rsidR="00A75023">
        <w:t xml:space="preserve">remarkably </w:t>
      </w:r>
      <w:r w:rsidR="00A75023" w:rsidRPr="00596836">
        <w:t>complex</w:t>
      </w:r>
      <w:r w:rsidR="00D2024F">
        <w:t>—</w:t>
      </w:r>
      <w:r w:rsidR="00A75023">
        <w:t>yet interesting</w:t>
      </w:r>
      <w:r w:rsidR="00D2024F">
        <w:t>—</w:t>
      </w:r>
      <w:r w:rsidR="00A75023" w:rsidRPr="00596836">
        <w:t>challenges.</w:t>
      </w:r>
    </w:p>
    <w:p w14:paraId="3A4BA8E2" w14:textId="77777777" w:rsidR="00D2024F" w:rsidRDefault="00D2024F" w:rsidP="00D2024F">
      <w:pPr>
        <w:spacing w:after="120" w:line="480" w:lineRule="auto"/>
        <w:ind w:firstLine="360"/>
      </w:pPr>
    </w:p>
    <w:p w14:paraId="61F7715D" w14:textId="440DD09C" w:rsidR="00A75023" w:rsidRPr="00763208" w:rsidRDefault="00D2024F" w:rsidP="00763208">
      <w:pPr>
        <w:pStyle w:val="Heading2"/>
        <w:rPr>
          <w:b w:val="0"/>
          <w:bCs/>
          <w:i w:val="0"/>
          <w:iCs/>
          <w:color w:val="000000" w:themeColor="text1"/>
        </w:rPr>
      </w:pPr>
      <w:r w:rsidRPr="00763208">
        <w:rPr>
          <w:b w:val="0"/>
          <w:bCs/>
          <w:i w:val="0"/>
          <w:iCs/>
          <w:color w:val="000000" w:themeColor="text1"/>
        </w:rPr>
        <w:t>Basic Legal Terminology</w:t>
      </w:r>
    </w:p>
    <w:p w14:paraId="2714AEDF" w14:textId="77777777" w:rsidR="00F557B4" w:rsidRPr="00F557B4" w:rsidRDefault="00F557B4" w:rsidP="00F557B4"/>
    <w:p w14:paraId="60F7C505" w14:textId="3ABF4E64" w:rsidR="00A75023" w:rsidRPr="00812CD5" w:rsidRDefault="00A75023" w:rsidP="00D2024F">
      <w:pPr>
        <w:spacing w:before="120" w:after="120" w:line="480" w:lineRule="auto"/>
      </w:pPr>
      <w:r w:rsidRPr="00596836">
        <w:t xml:space="preserve">It </w:t>
      </w:r>
      <w:r>
        <w:t>will be</w:t>
      </w:r>
      <w:r w:rsidRPr="00596836">
        <w:t xml:space="preserve"> helpful for </w:t>
      </w:r>
      <w:r>
        <w:t xml:space="preserve">anyone involved in the acquisition of an </w:t>
      </w:r>
      <w:r w:rsidRPr="00E82650">
        <w:t>antiquity</w:t>
      </w:r>
      <w:r>
        <w:t xml:space="preserve"> </w:t>
      </w:r>
      <w:r w:rsidRPr="00596836">
        <w:t xml:space="preserve">to understand a few legal terms pertaining to ownership. In </w:t>
      </w:r>
      <w:r>
        <w:t>establishing</w:t>
      </w:r>
      <w:r w:rsidRPr="00596836">
        <w:t xml:space="preserve"> a work’s provenance, a key question is whether previous owners held </w:t>
      </w:r>
      <w:r>
        <w:t>(</w:t>
      </w:r>
      <w:r w:rsidRPr="00596836">
        <w:t>and had the authority to transfer</w:t>
      </w:r>
      <w:r>
        <w:t>)</w:t>
      </w:r>
      <w:r w:rsidRPr="00596836">
        <w:t xml:space="preserve"> good title to th</w:t>
      </w:r>
      <w:r>
        <w:t xml:space="preserve">at </w:t>
      </w:r>
      <w:r w:rsidRPr="00596836">
        <w:t>work. Under both common and civil law regimes,</w:t>
      </w:r>
      <w:r w:rsidRPr="002B1FCD">
        <w:rPr>
          <w:rStyle w:val="EndnoteReference"/>
        </w:rPr>
        <w:endnoteReference w:id="7"/>
      </w:r>
      <w:r w:rsidRPr="00596836">
        <w:t xml:space="preserve"> </w:t>
      </w:r>
      <w:r w:rsidRPr="00E57048">
        <w:rPr>
          <w:i/>
          <w:iCs/>
        </w:rPr>
        <w:t>good title</w:t>
      </w:r>
      <w:r w:rsidRPr="00596836">
        <w:t xml:space="preserve"> is the maximum ownership interest in property. Good title provides </w:t>
      </w:r>
      <w:r>
        <w:t xml:space="preserve">the holder with </w:t>
      </w:r>
      <w:r w:rsidRPr="00596836">
        <w:t xml:space="preserve">complete dominion </w:t>
      </w:r>
      <w:r>
        <w:t xml:space="preserve">and control of the </w:t>
      </w:r>
      <w:r w:rsidRPr="00596836">
        <w:t>property,</w:t>
      </w:r>
      <w:r w:rsidRPr="002B1FCD">
        <w:rPr>
          <w:rStyle w:val="EndnoteReference"/>
        </w:rPr>
        <w:endnoteReference w:id="8"/>
      </w:r>
      <w:r w:rsidR="009B7674">
        <w:t xml:space="preserve"> </w:t>
      </w:r>
      <w:r w:rsidRPr="00596836">
        <w:t xml:space="preserve">including the right to transfer </w:t>
      </w:r>
      <w:r>
        <w:t>that title by lifetime gift, sale, exchange, testamentary devise, or otherwise.</w:t>
      </w:r>
      <w:r w:rsidRPr="002B1FCD">
        <w:rPr>
          <w:rStyle w:val="EndnoteReference"/>
        </w:rPr>
        <w:endnoteReference w:id="9"/>
      </w:r>
    </w:p>
    <w:p w14:paraId="5E3D7A18" w14:textId="6E406B80" w:rsidR="00A75023" w:rsidRPr="00596836" w:rsidRDefault="00A75023" w:rsidP="00D2024F">
      <w:pPr>
        <w:spacing w:before="120" w:after="120" w:line="480" w:lineRule="auto"/>
        <w:ind w:firstLine="720"/>
      </w:pPr>
      <w:r w:rsidRPr="00E57048">
        <w:rPr>
          <w:i/>
          <w:iCs/>
        </w:rPr>
        <w:lastRenderedPageBreak/>
        <w:t>Void title</w:t>
      </w:r>
      <w:r w:rsidRPr="00596836">
        <w:t xml:space="preserve"> is the quality of title held by a thief in stolen property</w:t>
      </w:r>
      <w:r>
        <w:t>: it is an absence of ownership rights</w:t>
      </w:r>
      <w:r w:rsidRPr="00596836">
        <w:t>.</w:t>
      </w:r>
      <w:r w:rsidRPr="002B1FCD">
        <w:rPr>
          <w:rStyle w:val="EndnoteReference"/>
        </w:rPr>
        <w:endnoteReference w:id="10"/>
      </w:r>
      <w:r w:rsidRPr="0072186C">
        <w:rPr>
          <w:rStyle w:val="EndnoteReference"/>
        </w:rPr>
        <w:t xml:space="preserve"> </w:t>
      </w:r>
      <w:r w:rsidRPr="00596836">
        <w:t xml:space="preserve">An object may have what is known as a </w:t>
      </w:r>
      <w:r w:rsidRPr="00E57048">
        <w:rPr>
          <w:i/>
          <w:iCs/>
        </w:rPr>
        <w:t>cloud on title</w:t>
      </w:r>
      <w:r w:rsidRPr="00596836">
        <w:t>, which is less a legal concept and more of a descriptive one referring to a possessor whose good title may be susceptible to a challenge.</w:t>
      </w:r>
      <w:r w:rsidRPr="002B1FCD">
        <w:rPr>
          <w:rStyle w:val="EndnoteReference"/>
        </w:rPr>
        <w:endnoteReference w:id="11"/>
      </w:r>
      <w:r w:rsidR="00E46F8E">
        <w:t xml:space="preserve"> </w:t>
      </w:r>
    </w:p>
    <w:p w14:paraId="7EF2FD2F" w14:textId="50B9847F" w:rsidR="00A75023" w:rsidRDefault="00A75023" w:rsidP="00D2024F">
      <w:pPr>
        <w:spacing w:after="120" w:line="480" w:lineRule="auto"/>
        <w:ind w:firstLine="360"/>
      </w:pPr>
      <w:r w:rsidRPr="00596836">
        <w:t xml:space="preserve">Finally, </w:t>
      </w:r>
      <w:r>
        <w:t xml:space="preserve">in civil law jurisdictions, a </w:t>
      </w:r>
      <w:r w:rsidRPr="00E57048">
        <w:rPr>
          <w:i/>
          <w:iCs/>
        </w:rPr>
        <w:t>good faith</w:t>
      </w:r>
      <w:r>
        <w:t xml:space="preserve"> (</w:t>
      </w:r>
      <w:r w:rsidR="001E13FE">
        <w:t xml:space="preserve">or </w:t>
      </w:r>
      <w:r w:rsidRPr="00E57048">
        <w:rPr>
          <w:i/>
          <w:iCs/>
        </w:rPr>
        <w:t>bona fide</w:t>
      </w:r>
      <w:r>
        <w:t xml:space="preserve">) purchaser can obtain good title even to a stolen object. These ownership rights arise according to statute and are referred to as </w:t>
      </w:r>
      <w:r>
        <w:rPr>
          <w:i/>
        </w:rPr>
        <w:t xml:space="preserve">prescriptive </w:t>
      </w:r>
      <w:r w:rsidRPr="00D135F7">
        <w:rPr>
          <w:i/>
        </w:rPr>
        <w:t>title</w:t>
      </w:r>
      <w:r>
        <w:t xml:space="preserve"> (or </w:t>
      </w:r>
      <w:r>
        <w:rPr>
          <w:i/>
        </w:rPr>
        <w:t>title by prescription</w:t>
      </w:r>
      <w:r>
        <w:t>).</w:t>
      </w:r>
      <w:r w:rsidR="00E46F8E">
        <w:t xml:space="preserve"> </w:t>
      </w:r>
    </w:p>
    <w:p w14:paraId="5B86430C" w14:textId="64D46343" w:rsidR="00A75023" w:rsidRPr="00596836" w:rsidRDefault="00A75023" w:rsidP="00D2024F">
      <w:pPr>
        <w:spacing w:after="120" w:line="480" w:lineRule="auto"/>
        <w:ind w:firstLine="360"/>
      </w:pPr>
      <w:r w:rsidRPr="00596836">
        <w:t xml:space="preserve">A fundamental distinction between the civil and common law systems </w:t>
      </w:r>
      <w:r>
        <w:t>is</w:t>
      </w:r>
      <w:r w:rsidRPr="00596836">
        <w:t xml:space="preserve"> the relative protection </w:t>
      </w:r>
      <w:r>
        <w:t>provided</w:t>
      </w:r>
      <w:r w:rsidRPr="00596836">
        <w:t xml:space="preserve"> to theft victim</w:t>
      </w:r>
      <w:r>
        <w:t>s</w:t>
      </w:r>
      <w:r w:rsidRPr="00596836">
        <w:t xml:space="preserve"> and good faith purchaser</w:t>
      </w:r>
      <w:r>
        <w:t>s.</w:t>
      </w:r>
      <w:r w:rsidRPr="00596836">
        <w:t xml:space="preserve"> </w:t>
      </w:r>
      <w:r>
        <w:t>Theft</w:t>
      </w:r>
      <w:r w:rsidRPr="00596836">
        <w:t xml:space="preserve"> victim</w:t>
      </w:r>
      <w:r>
        <w:t>s</w:t>
      </w:r>
      <w:r w:rsidRPr="00596836">
        <w:t xml:space="preserve"> and good faith purchaser</w:t>
      </w:r>
      <w:r>
        <w:t>s</w:t>
      </w:r>
      <w:r w:rsidRPr="00596836">
        <w:t xml:space="preserve"> are innocent parties. In a court of law, only one of them can prevail, and the question is how the law favors one innocent party over the other.</w:t>
      </w:r>
      <w:r>
        <w:t xml:space="preserve"> </w:t>
      </w:r>
    </w:p>
    <w:p w14:paraId="48C710E8" w14:textId="1BEC12D5" w:rsidR="00A75023" w:rsidRDefault="00A75023" w:rsidP="00D2024F">
      <w:pPr>
        <w:spacing w:after="120" w:line="480" w:lineRule="auto"/>
        <w:ind w:firstLine="360"/>
      </w:pPr>
      <w:r w:rsidRPr="00596836">
        <w:t xml:space="preserve">Under the common law doctrine of </w:t>
      </w:r>
      <w:r w:rsidRPr="7E6EBFD4">
        <w:rPr>
          <w:i/>
          <w:iCs/>
        </w:rPr>
        <w:t xml:space="preserve">nemo </w:t>
      </w:r>
      <w:proofErr w:type="spellStart"/>
      <w:r w:rsidRPr="7E6EBFD4">
        <w:rPr>
          <w:i/>
          <w:iCs/>
        </w:rPr>
        <w:t>dat</w:t>
      </w:r>
      <w:proofErr w:type="spellEnd"/>
      <w:r w:rsidRPr="7E6EBFD4">
        <w:rPr>
          <w:i/>
          <w:iCs/>
        </w:rPr>
        <w:t xml:space="preserve"> </w:t>
      </w:r>
      <w:proofErr w:type="spellStart"/>
      <w:r w:rsidRPr="7E6EBFD4">
        <w:rPr>
          <w:i/>
          <w:iCs/>
        </w:rPr>
        <w:t>quod</w:t>
      </w:r>
      <w:proofErr w:type="spellEnd"/>
      <w:r w:rsidRPr="7E6EBFD4">
        <w:rPr>
          <w:i/>
          <w:iCs/>
        </w:rPr>
        <w:t xml:space="preserve"> non </w:t>
      </w:r>
      <w:proofErr w:type="spellStart"/>
      <w:r w:rsidRPr="7E6EBFD4">
        <w:rPr>
          <w:i/>
          <w:iCs/>
        </w:rPr>
        <w:t>habet</w:t>
      </w:r>
      <w:proofErr w:type="spellEnd"/>
      <w:r>
        <w:t>,</w:t>
      </w:r>
      <w:r w:rsidRPr="00F72213">
        <w:rPr>
          <w:rStyle w:val="EndnoteReference"/>
        </w:rPr>
        <w:endnoteReference w:id="12"/>
      </w:r>
      <w:r>
        <w:t xml:space="preserve"> a</w:t>
      </w:r>
      <w:r w:rsidRPr="00596836">
        <w:t xml:space="preserve"> thief cannot transfer more than what the thief has: void title. </w:t>
      </w:r>
      <w:r>
        <w:t>Accordingly</w:t>
      </w:r>
      <w:r w:rsidR="001E13FE">
        <w:t>,</w:t>
      </w:r>
      <w:r>
        <w:t xml:space="preserve"> no one </w:t>
      </w:r>
      <w:r w:rsidRPr="00596836">
        <w:t>who</w:t>
      </w:r>
      <w:r>
        <w:t xml:space="preserve">se putative title descends </w:t>
      </w:r>
      <w:r w:rsidRPr="00596836">
        <w:t>from a thief</w:t>
      </w:r>
      <w:r>
        <w:t xml:space="preserve"> can obtain good title to a stolen work</w:t>
      </w:r>
      <w:r w:rsidRPr="00596836">
        <w:t xml:space="preserve">. Thus, the </w:t>
      </w:r>
      <w:r>
        <w:t xml:space="preserve">common law </w:t>
      </w:r>
      <w:r w:rsidRPr="7E6EBFD4">
        <w:rPr>
          <w:i/>
          <w:iCs/>
        </w:rPr>
        <w:t xml:space="preserve">nemo </w:t>
      </w:r>
      <w:proofErr w:type="spellStart"/>
      <w:r w:rsidRPr="7E6EBFD4">
        <w:rPr>
          <w:i/>
          <w:iCs/>
        </w:rPr>
        <w:t>dat</w:t>
      </w:r>
      <w:proofErr w:type="spellEnd"/>
      <w:r w:rsidRPr="00596836">
        <w:t xml:space="preserve"> rule tips the balance </w:t>
      </w:r>
      <w:r>
        <w:t xml:space="preserve">in favor </w:t>
      </w:r>
      <w:r w:rsidRPr="00596836">
        <w:t>of theft victim</w:t>
      </w:r>
      <w:r>
        <w:t>s</w:t>
      </w:r>
      <w:r w:rsidRPr="00596836">
        <w:t xml:space="preserve"> as against subsequent good faith purchaser</w:t>
      </w:r>
      <w:r>
        <w:t>s</w:t>
      </w:r>
      <w:r w:rsidRPr="00596836">
        <w:t xml:space="preserve">. </w:t>
      </w:r>
      <w:r>
        <w:t>The civil law, h</w:t>
      </w:r>
      <w:r w:rsidRPr="00596836">
        <w:t xml:space="preserve">owever, as a means of maintaining commercial certainty and </w:t>
      </w:r>
      <w:r>
        <w:t xml:space="preserve">the </w:t>
      </w:r>
      <w:r w:rsidRPr="00596836">
        <w:t>smooth functioning of markets, favor</w:t>
      </w:r>
      <w:r>
        <w:t>s</w:t>
      </w:r>
      <w:r w:rsidRPr="00596836">
        <w:t xml:space="preserve"> good faith purchaser</w:t>
      </w:r>
      <w:r>
        <w:t>s. I</w:t>
      </w:r>
      <w:r w:rsidRPr="00596836">
        <w:t>n civil law jurisdictions, good faith purchaser</w:t>
      </w:r>
      <w:r>
        <w:t>s</w:t>
      </w:r>
      <w:r w:rsidRPr="00596836">
        <w:t xml:space="preserve"> </w:t>
      </w:r>
      <w:r>
        <w:t xml:space="preserve">can </w:t>
      </w:r>
      <w:r w:rsidRPr="00596836">
        <w:t>acquire good title by prescription</w:t>
      </w:r>
      <w:r>
        <w:t>, even to stolen property,</w:t>
      </w:r>
      <w:r w:rsidRPr="00596836">
        <w:t xml:space="preserve"> </w:t>
      </w:r>
      <w:r>
        <w:t xml:space="preserve">either </w:t>
      </w:r>
      <w:r w:rsidRPr="00596836">
        <w:t xml:space="preserve">at the time of purchase or </w:t>
      </w:r>
      <w:r>
        <w:t>following</w:t>
      </w:r>
      <w:r w:rsidRPr="00596836">
        <w:t xml:space="preserve"> a relatively short </w:t>
      </w:r>
      <w:proofErr w:type="gramStart"/>
      <w:r w:rsidRPr="00596836">
        <w:t>period</w:t>
      </w:r>
      <w:proofErr w:type="gramEnd"/>
      <w:r w:rsidRPr="00596836">
        <w:t xml:space="preserve"> </w:t>
      </w:r>
      <w:r>
        <w:t>thereafter,</w:t>
      </w:r>
      <w:r w:rsidR="00E46F8E">
        <w:t xml:space="preserve"> </w:t>
      </w:r>
      <w:r w:rsidRPr="00596836">
        <w:t xml:space="preserve">depending on the jurisdiction. </w:t>
      </w:r>
      <w:proofErr w:type="gramStart"/>
      <w:r>
        <w:t>As a general rule</w:t>
      </w:r>
      <w:proofErr w:type="gramEnd"/>
      <w:r>
        <w:t>, o</w:t>
      </w:r>
      <w:r w:rsidRPr="00596836">
        <w:t>nce title arises by prescription, rights of the theft victim to reclaim the stolen property terminate.</w:t>
      </w:r>
      <w:r>
        <w:t xml:space="preserve"> </w:t>
      </w:r>
    </w:p>
    <w:p w14:paraId="74893FC5" w14:textId="77777777" w:rsidR="00D2024F" w:rsidRPr="00596836" w:rsidRDefault="00D2024F" w:rsidP="00D2024F">
      <w:pPr>
        <w:spacing w:after="120" w:line="480" w:lineRule="auto"/>
        <w:ind w:firstLine="360"/>
      </w:pPr>
    </w:p>
    <w:p w14:paraId="17E05D30" w14:textId="55AED570" w:rsidR="00A75023" w:rsidRPr="00763208" w:rsidRDefault="00D2024F" w:rsidP="00763208">
      <w:pPr>
        <w:pStyle w:val="Heading2"/>
        <w:rPr>
          <w:b w:val="0"/>
          <w:bCs/>
          <w:i w:val="0"/>
          <w:iCs/>
          <w:color w:val="000000" w:themeColor="text1"/>
        </w:rPr>
      </w:pPr>
      <w:bookmarkStart w:id="0" w:name="_Toc95566541"/>
      <w:r w:rsidRPr="00763208">
        <w:rPr>
          <w:b w:val="0"/>
          <w:bCs/>
          <w:i w:val="0"/>
          <w:iCs/>
          <w:color w:val="000000" w:themeColor="text1"/>
        </w:rPr>
        <w:t xml:space="preserve">Legal Status </w:t>
      </w:r>
      <w:r w:rsidR="00247DDF" w:rsidRPr="00763208">
        <w:rPr>
          <w:b w:val="0"/>
          <w:bCs/>
          <w:i w:val="0"/>
          <w:iCs/>
          <w:color w:val="000000" w:themeColor="text1"/>
        </w:rPr>
        <w:t xml:space="preserve">under </w:t>
      </w:r>
      <w:r w:rsidRPr="00763208">
        <w:rPr>
          <w:b w:val="0"/>
          <w:bCs/>
          <w:i w:val="0"/>
          <w:iCs/>
          <w:color w:val="000000" w:themeColor="text1"/>
        </w:rPr>
        <w:t>U</w:t>
      </w:r>
      <w:r w:rsidR="001E13FE" w:rsidRPr="00763208">
        <w:rPr>
          <w:b w:val="0"/>
          <w:bCs/>
          <w:i w:val="0"/>
          <w:iCs/>
          <w:color w:val="000000" w:themeColor="text1"/>
        </w:rPr>
        <w:t xml:space="preserve">nited </w:t>
      </w:r>
      <w:r w:rsidRPr="00763208">
        <w:rPr>
          <w:b w:val="0"/>
          <w:bCs/>
          <w:i w:val="0"/>
          <w:iCs/>
          <w:color w:val="000000" w:themeColor="text1"/>
        </w:rPr>
        <w:t>S</w:t>
      </w:r>
      <w:r w:rsidR="001E13FE" w:rsidRPr="00763208">
        <w:rPr>
          <w:b w:val="0"/>
          <w:bCs/>
          <w:i w:val="0"/>
          <w:iCs/>
          <w:color w:val="000000" w:themeColor="text1"/>
        </w:rPr>
        <w:t>tates</w:t>
      </w:r>
      <w:r w:rsidRPr="00763208">
        <w:rPr>
          <w:b w:val="0"/>
          <w:bCs/>
          <w:i w:val="0"/>
          <w:iCs/>
          <w:color w:val="000000" w:themeColor="text1"/>
        </w:rPr>
        <w:t xml:space="preserve"> Law</w:t>
      </w:r>
      <w:bookmarkEnd w:id="0"/>
    </w:p>
    <w:p w14:paraId="1B75C597" w14:textId="77777777" w:rsidR="00F557B4" w:rsidRPr="00F557B4" w:rsidRDefault="00F557B4" w:rsidP="00F557B4"/>
    <w:p w14:paraId="1563CA2A" w14:textId="3F3FB05E" w:rsidR="00A75023" w:rsidRPr="00596836" w:rsidRDefault="00A75023" w:rsidP="00D2024F">
      <w:pPr>
        <w:spacing w:before="120" w:line="480" w:lineRule="auto"/>
      </w:pPr>
      <w:r w:rsidRPr="00596836">
        <w:lastRenderedPageBreak/>
        <w:t xml:space="preserve">To determine the legal status of an antiquity under U.S. law </w:t>
      </w:r>
      <w:r>
        <w:t>requires the discovery of demonstrably reliable, authentic documentation as to</w:t>
      </w:r>
      <w:r w:rsidRPr="00596836">
        <w:t>:</w:t>
      </w:r>
    </w:p>
    <w:p w14:paraId="304F6AED" w14:textId="6DD65330" w:rsidR="00A75023" w:rsidRPr="00596836" w:rsidRDefault="00A75023" w:rsidP="00D2024F">
      <w:pPr>
        <w:spacing w:line="480" w:lineRule="auto"/>
        <w:ind w:left="360" w:right="720"/>
      </w:pPr>
      <w:r w:rsidRPr="00596836">
        <w:t xml:space="preserve">(a) when, where, and under what circumstances the object </w:t>
      </w:r>
      <w:r>
        <w:t xml:space="preserve">was </w:t>
      </w:r>
      <w:proofErr w:type="gramStart"/>
      <w:r w:rsidRPr="00596836">
        <w:t>discovered;</w:t>
      </w:r>
      <w:proofErr w:type="gramEnd"/>
    </w:p>
    <w:p w14:paraId="71C5CC61" w14:textId="61AD7560" w:rsidR="00A75023" w:rsidRPr="00596836" w:rsidRDefault="00A75023" w:rsidP="00D2024F">
      <w:pPr>
        <w:spacing w:line="480" w:lineRule="auto"/>
        <w:ind w:left="360" w:right="720"/>
      </w:pPr>
      <w:r w:rsidRPr="00596836">
        <w:t xml:space="preserve">(b) when and under what circumstances the object </w:t>
      </w:r>
      <w:r>
        <w:t xml:space="preserve">was exported from its country of modern discovery and from any other country through which it traveled; </w:t>
      </w:r>
      <w:r w:rsidRPr="00596836">
        <w:t>and</w:t>
      </w:r>
    </w:p>
    <w:p w14:paraId="4C3E8D9D" w14:textId="6CF5B5DE" w:rsidR="00A75023" w:rsidRPr="00596836" w:rsidRDefault="00A75023" w:rsidP="00D2024F">
      <w:pPr>
        <w:spacing w:after="120" w:line="480" w:lineRule="auto"/>
        <w:ind w:left="360" w:right="720"/>
      </w:pPr>
      <w:r w:rsidRPr="00596836">
        <w:t xml:space="preserve">(c) when and under what circumstances the object </w:t>
      </w:r>
      <w:r>
        <w:t xml:space="preserve">was </w:t>
      </w:r>
      <w:r w:rsidRPr="00596836">
        <w:t>imported into the U</w:t>
      </w:r>
      <w:r w:rsidR="001E13FE">
        <w:t xml:space="preserve">nited </w:t>
      </w:r>
      <w:r w:rsidRPr="00596836">
        <w:t>S</w:t>
      </w:r>
      <w:r w:rsidR="001E13FE">
        <w:t>tates</w:t>
      </w:r>
      <w:r w:rsidRPr="00596836">
        <w:t>.</w:t>
      </w:r>
      <w:r w:rsidR="00E46F8E">
        <w:t xml:space="preserve"> </w:t>
      </w:r>
    </w:p>
    <w:p w14:paraId="42448838" w14:textId="3924EAFE" w:rsidR="00A75023" w:rsidRDefault="00A75023" w:rsidP="001E13FE">
      <w:pPr>
        <w:spacing w:after="120" w:line="480" w:lineRule="auto"/>
      </w:pPr>
      <w:r>
        <w:t>The significance of these factors will become apparent with the following description of applicable U.S. law.</w:t>
      </w:r>
      <w:r w:rsidR="00E46F8E">
        <w:t xml:space="preserve"> </w:t>
      </w:r>
      <w:r>
        <w:t>T</w:t>
      </w:r>
      <w:r w:rsidRPr="00596836">
        <w:t xml:space="preserve">he hierarchy of </w:t>
      </w:r>
      <w:r>
        <w:t xml:space="preserve">U.S. </w:t>
      </w:r>
      <w:r w:rsidRPr="00596836">
        <w:t xml:space="preserve">law descends from </w:t>
      </w:r>
      <w:r>
        <w:t xml:space="preserve">constitutional law to international </w:t>
      </w:r>
      <w:r w:rsidRPr="00596836">
        <w:t>treaty law</w:t>
      </w:r>
      <w:r>
        <w:t>,</w:t>
      </w:r>
      <w:r w:rsidRPr="00596836">
        <w:t xml:space="preserve"> federal law</w:t>
      </w:r>
      <w:r>
        <w:t>,</w:t>
      </w:r>
      <w:r w:rsidRPr="00596836">
        <w:t xml:space="preserve"> state</w:t>
      </w:r>
      <w:r>
        <w:t xml:space="preserve"> law, and local law. Rights to property generally are</w:t>
      </w:r>
      <w:r w:rsidRPr="00596836">
        <w:t xml:space="preserve"> determined under state law unless an international treaty provision or federal statute applies. The U</w:t>
      </w:r>
      <w:r w:rsidR="001E13FE">
        <w:t xml:space="preserve">nited </w:t>
      </w:r>
      <w:r>
        <w:t>S</w:t>
      </w:r>
      <w:r w:rsidR="001E13FE">
        <w:t>tates</w:t>
      </w:r>
      <w:r w:rsidRPr="00596836">
        <w:t xml:space="preserve"> is a State Party</w:t>
      </w:r>
      <w:r>
        <w:rPr>
          <w:rStyle w:val="EndnoteReference"/>
        </w:rPr>
        <w:endnoteReference w:id="13"/>
      </w:r>
      <w:r w:rsidRPr="00596836">
        <w:t xml:space="preserve"> to bilateral and multilateral international treaties that </w:t>
      </w:r>
      <w:r>
        <w:t>may</w:t>
      </w:r>
      <w:r w:rsidRPr="00596836">
        <w:t xml:space="preserve"> affect title to an antiquity. </w:t>
      </w:r>
      <w:r>
        <w:t xml:space="preserve">The most important of these is the 1970 </w:t>
      </w:r>
      <w:r w:rsidRPr="00596836">
        <w:t>UNESCO Convention on the Means of Prohibiting and Preventing the Illicit Import, Export and Transfer of Ownership of Cultural Property</w:t>
      </w:r>
      <w:r>
        <w:t xml:space="preserve"> and its</w:t>
      </w:r>
      <w:r w:rsidR="00E46F8E">
        <w:t xml:space="preserve"> </w:t>
      </w:r>
      <w:r>
        <w:t>implementing statute, the Convention on Cultural Property Implementation Act of 1983</w:t>
      </w:r>
      <w:r w:rsidR="0002113B">
        <w:t>, discussed below</w:t>
      </w:r>
      <w:r>
        <w:t xml:space="preserve">. </w:t>
      </w:r>
      <w:r w:rsidRPr="00596836">
        <w:t>Additionally</w:t>
      </w:r>
      <w:r>
        <w:t xml:space="preserve">, </w:t>
      </w:r>
      <w:r w:rsidRPr="00596836">
        <w:t>long-standing federal law</w:t>
      </w:r>
      <w:r>
        <w:t>s (such as</w:t>
      </w:r>
      <w:r w:rsidRPr="00596836">
        <w:t xml:space="preserve"> the National Stolen Property Act </w:t>
      </w:r>
      <w:r>
        <w:t xml:space="preserve">and </w:t>
      </w:r>
      <w:r w:rsidRPr="00596836">
        <w:t xml:space="preserve">customs </w:t>
      </w:r>
      <w:r>
        <w:t>statutes)</w:t>
      </w:r>
      <w:r w:rsidRPr="00596836">
        <w:t xml:space="preserve"> require verifiable documentation to assure that a museum can obtain good title to an antiquity</w:t>
      </w:r>
      <w:r>
        <w:t>, avoid potential civil or criminal liability for possessing the object, and safeguard it from civil or criminal seizure and forfeiture actions</w:t>
      </w:r>
      <w:r w:rsidRPr="00596836">
        <w:t>.</w:t>
      </w:r>
      <w:r w:rsidR="00E46F8E">
        <w:t xml:space="preserve"> </w:t>
      </w:r>
    </w:p>
    <w:p w14:paraId="0C0B650E" w14:textId="77777777" w:rsidR="00D2024F" w:rsidRPr="00596836" w:rsidRDefault="00D2024F" w:rsidP="00D2024F">
      <w:pPr>
        <w:spacing w:after="120" w:line="480" w:lineRule="auto"/>
        <w:ind w:firstLine="360"/>
      </w:pPr>
    </w:p>
    <w:p w14:paraId="1108A926" w14:textId="5921C129" w:rsidR="00A75023" w:rsidRPr="00763208" w:rsidRDefault="00320E07" w:rsidP="00763208">
      <w:pPr>
        <w:pStyle w:val="Heading3"/>
        <w:rPr>
          <w:b w:val="0"/>
          <w:bCs/>
          <w:i/>
          <w:iCs/>
        </w:rPr>
      </w:pPr>
      <w:bookmarkStart w:id="1" w:name="_Toc95566542"/>
      <w:r w:rsidRPr="00763208">
        <w:rPr>
          <w:b w:val="0"/>
          <w:bCs/>
          <w:i/>
          <w:iCs/>
        </w:rPr>
        <w:t xml:space="preserve">Treaty Law: UNESCO </w:t>
      </w:r>
      <w:r w:rsidR="00A75023" w:rsidRPr="00763208">
        <w:rPr>
          <w:b w:val="0"/>
          <w:bCs/>
          <w:i/>
          <w:iCs/>
        </w:rPr>
        <w:t xml:space="preserve">1970 </w:t>
      </w:r>
      <w:r w:rsidRPr="00763208">
        <w:rPr>
          <w:b w:val="0"/>
          <w:bCs/>
          <w:i/>
          <w:iCs/>
        </w:rPr>
        <w:t>and the</w:t>
      </w:r>
      <w:r w:rsidR="00A75023" w:rsidRPr="00763208">
        <w:rPr>
          <w:b w:val="0"/>
          <w:bCs/>
          <w:i/>
          <w:iCs/>
        </w:rPr>
        <w:t xml:space="preserve"> </w:t>
      </w:r>
      <w:r w:rsidRPr="00763208">
        <w:rPr>
          <w:b w:val="0"/>
          <w:bCs/>
          <w:i/>
          <w:iCs/>
        </w:rPr>
        <w:t>Convention on Cultural Property Implementation Act</w:t>
      </w:r>
      <w:bookmarkEnd w:id="1"/>
    </w:p>
    <w:p w14:paraId="737FBAC7" w14:textId="77777777" w:rsidR="00F557B4" w:rsidRPr="00F557B4" w:rsidRDefault="00F557B4" w:rsidP="00F557B4"/>
    <w:p w14:paraId="5A2A9FD0" w14:textId="293BE228" w:rsidR="00A75023" w:rsidRPr="00596836" w:rsidRDefault="00A75023" w:rsidP="00320E07">
      <w:pPr>
        <w:spacing w:before="120" w:after="120" w:line="480" w:lineRule="auto"/>
      </w:pPr>
      <w:r w:rsidRPr="00596836">
        <w:lastRenderedPageBreak/>
        <w:t>In 1970 the U</w:t>
      </w:r>
      <w:r w:rsidR="006161E3">
        <w:t xml:space="preserve">nited </w:t>
      </w:r>
      <w:r w:rsidRPr="00596836">
        <w:t>S</w:t>
      </w:r>
      <w:r w:rsidR="006161E3">
        <w:t>tates</w:t>
      </w:r>
      <w:r w:rsidRPr="00596836">
        <w:t xml:space="preserve"> and Mexico signed a bilateral treaty under which each country obligated itself to assist the other in the recovery of certain kinds of stolen cultural property.</w:t>
      </w:r>
      <w:r w:rsidRPr="00F72213">
        <w:rPr>
          <w:rStyle w:val="EndnoteReference"/>
        </w:rPr>
        <w:endnoteReference w:id="14"/>
      </w:r>
      <w:r w:rsidRPr="00F72213">
        <w:rPr>
          <w:rStyle w:val="EndnoteReference"/>
        </w:rPr>
        <w:t xml:space="preserve"> </w:t>
      </w:r>
      <w:r w:rsidRPr="00596836">
        <w:t>The treaty did not define “stolen</w:t>
      </w:r>
      <w:r w:rsidR="001C4647">
        <w:t>,</w:t>
      </w:r>
      <w:r w:rsidRPr="00596836">
        <w:t xml:space="preserve">” and </w:t>
      </w:r>
      <w:r w:rsidR="001C4647">
        <w:t xml:space="preserve">in fact </w:t>
      </w:r>
      <w:r w:rsidRPr="00596836">
        <w:t>has not been instrumental in the return of cultural property from one country to the other. Nevertheless, the treaty reflect</w:t>
      </w:r>
      <w:r>
        <w:t>s</w:t>
      </w:r>
      <w:r w:rsidRPr="00596836">
        <w:t xml:space="preserve"> concerns that arose in the 1960s over </w:t>
      </w:r>
      <w:r>
        <w:t>the increasing number of well-documented examples of</w:t>
      </w:r>
      <w:r w:rsidRPr="00596836">
        <w:t xml:space="preserve"> illicit excavation</w:t>
      </w:r>
      <w:r>
        <w:t xml:space="preserve"> and subsequent</w:t>
      </w:r>
      <w:r w:rsidRPr="00596836">
        <w:t xml:space="preserve"> </w:t>
      </w:r>
      <w:r>
        <w:t xml:space="preserve">illicit </w:t>
      </w:r>
      <w:r w:rsidRPr="00596836">
        <w:t>export</w:t>
      </w:r>
      <w:r>
        <w:t xml:space="preserve"> of antiquities from “source” nations to “market” nations</w:t>
      </w:r>
      <w:r w:rsidRPr="00596836">
        <w:t>.</w:t>
      </w:r>
      <w:r>
        <w:rPr>
          <w:rStyle w:val="EndnoteReference"/>
        </w:rPr>
        <w:endnoteReference w:id="15"/>
      </w:r>
      <w:r w:rsidR="00E46F8E">
        <w:t xml:space="preserve"> </w:t>
      </w:r>
    </w:p>
    <w:p w14:paraId="73E75DA5" w14:textId="6AB079DF" w:rsidR="00A75023" w:rsidRDefault="00A75023" w:rsidP="00D2024F">
      <w:pPr>
        <w:spacing w:after="120" w:line="480" w:lineRule="auto"/>
        <w:ind w:firstLine="360"/>
      </w:pPr>
      <w:r w:rsidRPr="00596836">
        <w:t xml:space="preserve">Those concerns eventually led to the adoption of the most important, multilateral treaty addressing these issues, the 1970 UNESCO Convention on the Means of Prohibiting and Preventing the Illicit Import, Export and Transfer of Ownership of Cultural Property (“UNESCO 1970” or the </w:t>
      </w:r>
      <w:r>
        <w:t>“</w:t>
      </w:r>
      <w:r w:rsidRPr="00596836">
        <w:t>Convention”).</w:t>
      </w:r>
      <w:r w:rsidRPr="00F72213">
        <w:rPr>
          <w:rStyle w:val="EndnoteReference"/>
        </w:rPr>
        <w:endnoteReference w:id="16"/>
      </w:r>
      <w:r w:rsidRPr="00596836">
        <w:t xml:space="preserve"> As of 202</w:t>
      </w:r>
      <w:r>
        <w:t>1</w:t>
      </w:r>
      <w:r w:rsidRPr="00596836">
        <w:t xml:space="preserve">, 140 </w:t>
      </w:r>
      <w:r>
        <w:t xml:space="preserve">countries were </w:t>
      </w:r>
      <w:r w:rsidRPr="00596836">
        <w:t>States Parties to the Convention.</w:t>
      </w:r>
      <w:r w:rsidR="00E46F8E">
        <w:t xml:space="preserve"> </w:t>
      </w:r>
      <w:r w:rsidRPr="00596836">
        <w:t>Although the United States ratified the Convention in 1972, it was not until passage of the</w:t>
      </w:r>
      <w:r w:rsidR="00814C46">
        <w:t xml:space="preserve"> </w:t>
      </w:r>
      <w:r w:rsidRPr="00596836">
        <w:t>Convention on Cultural Property Implementation Act (CCPIA)</w:t>
      </w:r>
      <w:r w:rsidRPr="00F72213">
        <w:rPr>
          <w:rStyle w:val="EndnoteReference"/>
        </w:rPr>
        <w:endnoteReference w:id="17"/>
      </w:r>
      <w:r w:rsidRPr="00596836">
        <w:t xml:space="preserve"> in 1983 that </w:t>
      </w:r>
      <w:r>
        <w:t>the Convention had legal effect in the U.S.</w:t>
      </w:r>
      <w:r>
        <w:rPr>
          <w:rStyle w:val="EndnoteReference"/>
        </w:rPr>
        <w:endnoteReference w:id="18"/>
      </w:r>
      <w:r>
        <w:t xml:space="preserve"> The CCPIA gave force of law in the U</w:t>
      </w:r>
      <w:r w:rsidR="001C4647">
        <w:t xml:space="preserve">nited </w:t>
      </w:r>
      <w:r>
        <w:t>S</w:t>
      </w:r>
      <w:r w:rsidR="001C4647">
        <w:t>tates</w:t>
      </w:r>
      <w:r>
        <w:t xml:space="preserve"> to only </w:t>
      </w:r>
      <w:r w:rsidRPr="00596836">
        <w:t>two provisions of the Convention</w:t>
      </w:r>
      <w:r>
        <w:t>: Articles 7(b) and Article 9.</w:t>
      </w:r>
    </w:p>
    <w:p w14:paraId="107B5B3F" w14:textId="77777777" w:rsidR="00F557B4" w:rsidRDefault="00F557B4" w:rsidP="00D2024F">
      <w:pPr>
        <w:spacing w:after="120" w:line="480" w:lineRule="auto"/>
        <w:ind w:firstLine="360"/>
      </w:pPr>
    </w:p>
    <w:p w14:paraId="1FFDD9EF" w14:textId="5EE548AD" w:rsidR="00A75023" w:rsidRPr="00763208" w:rsidRDefault="00A75023" w:rsidP="00763208">
      <w:pPr>
        <w:pStyle w:val="Heading4"/>
        <w:rPr>
          <w:i w:val="0"/>
          <w:iCs w:val="0"/>
          <w:color w:val="000000" w:themeColor="text1"/>
        </w:rPr>
      </w:pPr>
      <w:bookmarkStart w:id="3" w:name="_Toc95566543"/>
      <w:r w:rsidRPr="00763208">
        <w:rPr>
          <w:i w:val="0"/>
          <w:iCs w:val="0"/>
          <w:color w:val="000000" w:themeColor="text1"/>
        </w:rPr>
        <w:t xml:space="preserve">UNESCO 1970, </w:t>
      </w:r>
      <w:r w:rsidR="00E46F8E" w:rsidRPr="00763208">
        <w:rPr>
          <w:i w:val="0"/>
          <w:iCs w:val="0"/>
          <w:color w:val="000000" w:themeColor="text1"/>
        </w:rPr>
        <w:t xml:space="preserve">Article </w:t>
      </w:r>
      <w:r w:rsidRPr="00763208">
        <w:rPr>
          <w:i w:val="0"/>
          <w:iCs w:val="0"/>
          <w:color w:val="000000" w:themeColor="text1"/>
        </w:rPr>
        <w:t>7(b)</w:t>
      </w:r>
      <w:bookmarkEnd w:id="3"/>
    </w:p>
    <w:p w14:paraId="77FF3957" w14:textId="23DF077C" w:rsidR="00A75023" w:rsidRDefault="00A75023" w:rsidP="00D2024F">
      <w:pPr>
        <w:spacing w:after="120" w:line="480" w:lineRule="auto"/>
        <w:ind w:firstLine="360"/>
      </w:pPr>
      <w:r w:rsidRPr="00596836">
        <w:t xml:space="preserve">Article </w:t>
      </w:r>
      <w:r>
        <w:t>7(b) states, in pertinent part, as follows:</w:t>
      </w:r>
    </w:p>
    <w:p w14:paraId="1283DBEA" w14:textId="77777777" w:rsidR="00A75023" w:rsidRDefault="00A75023" w:rsidP="00D2024F">
      <w:pPr>
        <w:spacing w:line="480" w:lineRule="auto"/>
        <w:ind w:left="720" w:right="720"/>
        <w:rPr>
          <w:color w:val="000000"/>
          <w:shd w:val="clear" w:color="auto" w:fill="FFFFFF"/>
        </w:rPr>
      </w:pPr>
      <w:r w:rsidRPr="00ED030F">
        <w:rPr>
          <w:color w:val="000000"/>
          <w:shd w:val="clear" w:color="auto" w:fill="FFFFFF"/>
        </w:rPr>
        <w:t>The States Parties to this Convention undertake:</w:t>
      </w:r>
    </w:p>
    <w:p w14:paraId="3CBC5E50" w14:textId="2C30AC19" w:rsidR="00A75023" w:rsidRDefault="00814C46" w:rsidP="00D2024F">
      <w:pPr>
        <w:spacing w:line="480" w:lineRule="auto"/>
        <w:ind w:left="720" w:right="720"/>
        <w:rPr>
          <w:color w:val="000000"/>
          <w:shd w:val="clear" w:color="auto" w:fill="FFFFFF"/>
        </w:rPr>
      </w:pPr>
      <w:r>
        <w:rPr>
          <w:color w:val="000000"/>
          <w:shd w:val="clear" w:color="auto" w:fill="FFFFFF"/>
        </w:rPr>
        <w:t>[. . . .]</w:t>
      </w:r>
    </w:p>
    <w:p w14:paraId="217AE873" w14:textId="15F0F14D" w:rsidR="00A75023" w:rsidRDefault="00A75023" w:rsidP="00D2024F">
      <w:pPr>
        <w:spacing w:line="480" w:lineRule="auto"/>
        <w:ind w:left="720" w:right="720"/>
        <w:rPr>
          <w:color w:val="000000"/>
          <w:shd w:val="clear" w:color="auto" w:fill="FFFFFF"/>
        </w:rPr>
      </w:pPr>
      <w:r w:rsidRPr="00ED030F">
        <w:rPr>
          <w:color w:val="000000"/>
          <w:shd w:val="clear" w:color="auto" w:fill="FFFFFF"/>
        </w:rPr>
        <w:t>(b)(</w:t>
      </w:r>
      <w:proofErr w:type="spellStart"/>
      <w:r w:rsidRPr="00ED030F">
        <w:rPr>
          <w:color w:val="000000"/>
          <w:shd w:val="clear" w:color="auto" w:fill="FFFFFF"/>
        </w:rPr>
        <w:t>i</w:t>
      </w:r>
      <w:proofErr w:type="spellEnd"/>
      <w:r w:rsidRPr="00ED030F">
        <w:rPr>
          <w:color w:val="000000"/>
          <w:shd w:val="clear" w:color="auto" w:fill="FFFFFF"/>
        </w:rPr>
        <w:t xml:space="preserve">) to prohibit the import of cultural property stolen from a museum or a religious or secular public monument or similar institution in another State Party to this Convention </w:t>
      </w:r>
      <w:r w:rsidRPr="00A441C7">
        <w:rPr>
          <w:color w:val="000000"/>
          <w:shd w:val="clear" w:color="auto" w:fill="FFFFFF"/>
        </w:rPr>
        <w:t>after the entry into force of this Convention</w:t>
      </w:r>
      <w:r w:rsidRPr="00ED030F">
        <w:rPr>
          <w:color w:val="000000"/>
          <w:shd w:val="clear" w:color="auto" w:fill="FFFFFF"/>
        </w:rPr>
        <w:t xml:space="preserve"> for the States </w:t>
      </w:r>
      <w:r w:rsidRPr="00ED030F">
        <w:rPr>
          <w:color w:val="000000"/>
          <w:shd w:val="clear" w:color="auto" w:fill="FFFFFF"/>
        </w:rPr>
        <w:lastRenderedPageBreak/>
        <w:t xml:space="preserve">concerned, provided that such property is </w:t>
      </w:r>
      <w:r w:rsidRPr="009D5C58">
        <w:rPr>
          <w:i/>
          <w:iCs/>
          <w:color w:val="000000"/>
          <w:shd w:val="clear" w:color="auto" w:fill="FFFFFF"/>
        </w:rPr>
        <w:t>documented as appertaining to the inventory of that institution</w:t>
      </w:r>
      <w:r w:rsidRPr="00E34275">
        <w:rPr>
          <w:color w:val="000000"/>
          <w:shd w:val="clear" w:color="auto" w:fill="FFFFFF"/>
        </w:rPr>
        <w:t>;</w:t>
      </w:r>
      <w:r>
        <w:rPr>
          <w:rStyle w:val="EndnoteReference"/>
          <w:color w:val="000000"/>
          <w:shd w:val="clear" w:color="auto" w:fill="FFFFFF"/>
        </w:rPr>
        <w:endnoteReference w:id="19"/>
      </w:r>
    </w:p>
    <w:p w14:paraId="7D621C3A" w14:textId="14129752" w:rsidR="00A75023" w:rsidRDefault="00A75023" w:rsidP="00320E07">
      <w:pPr>
        <w:spacing w:after="120" w:line="480" w:lineRule="auto"/>
        <w:ind w:left="720" w:right="720"/>
        <w:rPr>
          <w:color w:val="000000"/>
          <w:shd w:val="clear" w:color="auto" w:fill="FFFFFF"/>
        </w:rPr>
      </w:pPr>
      <w:r>
        <w:rPr>
          <w:color w:val="000000"/>
          <w:shd w:val="clear" w:color="auto" w:fill="FFFFFF"/>
        </w:rPr>
        <w:t>(ii)</w:t>
      </w:r>
      <w:r w:rsidRPr="0034284C">
        <w:t xml:space="preserve"> </w:t>
      </w:r>
      <w:r w:rsidRPr="0034284C">
        <w:rPr>
          <w:color w:val="000000"/>
          <w:shd w:val="clear" w:color="auto" w:fill="FFFFFF"/>
        </w:rPr>
        <w:t>at the request of the State Party of origin, to take appropriate steps to recover and return any such cultural property imported after the entry into force of this Convention in both States concerned, provided, however, that the requesting State shall pay just compensation to an innocent purchaser or to a person who has valid title to that property. Requests for recovery and return shall be made through diplomatic offices. The requesting Party shall furnish, at its expense, the documentation and other evidence necessary to establish its claim for recovery and return. The Parties shall impose no customs duties or other charges upon cultural property returned pursuant to this Article. All expenses incident to the return and delivery of the cultural property shall be borne by the requesting Party.</w:t>
      </w:r>
    </w:p>
    <w:p w14:paraId="19ADC49D" w14:textId="77777777" w:rsidR="00320E07" w:rsidRDefault="00320E07" w:rsidP="00320E07">
      <w:pPr>
        <w:spacing w:after="120" w:line="480" w:lineRule="auto"/>
        <w:ind w:left="720" w:right="720"/>
        <w:rPr>
          <w:color w:val="000000"/>
          <w:shd w:val="clear" w:color="auto" w:fill="FFFFFF"/>
        </w:rPr>
      </w:pPr>
    </w:p>
    <w:p w14:paraId="31C07FE0" w14:textId="7A56DC03" w:rsidR="00A75023" w:rsidRPr="0072186C" w:rsidRDefault="00A75023" w:rsidP="00D2024F">
      <w:pPr>
        <w:spacing w:after="120" w:line="480" w:lineRule="auto"/>
        <w:rPr>
          <w:highlight w:val="yellow"/>
        </w:rPr>
      </w:pPr>
      <w:r>
        <w:t>The</w:t>
      </w:r>
      <w:r w:rsidR="00E46F8E">
        <w:t xml:space="preserve"> </w:t>
      </w:r>
      <w:r>
        <w:t>CCPIA gave force of law to Article 7(b): Article 7(b)(ii) is codified in 19 U.S.C. § 2609 and Article 7(b)(</w:t>
      </w:r>
      <w:proofErr w:type="spellStart"/>
      <w:r>
        <w:t>i</w:t>
      </w:r>
      <w:proofErr w:type="spellEnd"/>
      <w:r>
        <w:t>), as follows, in 19 U.S.C. § 2607:</w:t>
      </w:r>
    </w:p>
    <w:p w14:paraId="26A0C32C" w14:textId="77777777" w:rsidR="00A75023" w:rsidRPr="00814C46" w:rsidRDefault="00A75023" w:rsidP="00D2024F">
      <w:pPr>
        <w:spacing w:after="120" w:line="480" w:lineRule="auto"/>
        <w:ind w:left="720" w:right="720"/>
        <w:rPr>
          <w:bCs/>
        </w:rPr>
      </w:pPr>
      <w:r w:rsidRPr="00814C46">
        <w:rPr>
          <w:bCs/>
        </w:rPr>
        <w:t>§ 2607. Stolen cultural property</w:t>
      </w:r>
    </w:p>
    <w:p w14:paraId="4A39CE00" w14:textId="7587DFBA" w:rsidR="00A75023" w:rsidRDefault="00A75023" w:rsidP="00D2024F">
      <w:pPr>
        <w:spacing w:after="120" w:line="480" w:lineRule="auto"/>
        <w:ind w:left="720" w:right="720"/>
      </w:pPr>
      <w:bookmarkStart w:id="4" w:name="Document1zzDO_AR7"/>
      <w:bookmarkEnd w:id="4"/>
      <w:r w:rsidRPr="00651370">
        <w:t>No article of cultural property documented as appertaining to the inventory of a museum or religious or secular public monument or similar institution in any Sta</w:t>
      </w:r>
      <w:r w:rsidRPr="00E958A5">
        <w:t>te Party which is stolen from such institution after the effective date of this chapter, or after the date of entry into force of the Convention for the State Party, whichever date is later, may be imported into the United States</w:t>
      </w:r>
      <w:r>
        <w:t>.</w:t>
      </w:r>
    </w:p>
    <w:p w14:paraId="460DA069" w14:textId="1C40C20D" w:rsidR="00A75023" w:rsidRDefault="00A75023" w:rsidP="00D2024F">
      <w:pPr>
        <w:spacing w:after="120" w:line="480" w:lineRule="auto"/>
      </w:pPr>
      <w:r>
        <w:lastRenderedPageBreak/>
        <w:t>Importantly, the CCPIA’s enactment of Article 7(b) tracks the Convention’s narrow definition of stolen cultural property, which includes only objects “appertaining to [an] inventory</w:t>
      </w:r>
      <w:proofErr w:type="gramStart"/>
      <w:r w:rsidR="00EA03E0">
        <w:t>.</w:t>
      </w:r>
      <w:r w:rsidR="00320E07">
        <w:t xml:space="preserve"> . . .</w:t>
      </w:r>
      <w:proofErr w:type="gramEnd"/>
      <w:r>
        <w:t>” Accordingly, it applies only to known, documented objects.</w:t>
      </w:r>
      <w:r w:rsidR="00E46F8E">
        <w:t xml:space="preserve"> </w:t>
      </w:r>
    </w:p>
    <w:p w14:paraId="29664D05" w14:textId="74C0AC3A" w:rsidR="00A75023" w:rsidRPr="00255CD5" w:rsidRDefault="00A75023" w:rsidP="00D2024F">
      <w:pPr>
        <w:spacing w:after="120" w:line="480" w:lineRule="auto"/>
        <w:ind w:firstLine="360"/>
      </w:pPr>
      <w:r w:rsidRPr="006E066B">
        <w:t>To comply with</w:t>
      </w:r>
      <w:r w:rsidRPr="00255CD5">
        <w:t xml:space="preserve"> </w:t>
      </w:r>
      <w:r>
        <w:t xml:space="preserve">the CCPIA’s implementation of </w:t>
      </w:r>
      <w:r w:rsidRPr="00255CD5">
        <w:t>Article 7(b)</w:t>
      </w:r>
      <w:r>
        <w:t xml:space="preserve"> </w:t>
      </w:r>
      <w:r w:rsidRPr="00255CD5">
        <w:t xml:space="preserve">requires </w:t>
      </w:r>
      <w:r w:rsidRPr="006E066B">
        <w:t xml:space="preserve">determining </w:t>
      </w:r>
      <w:r w:rsidRPr="00255CD5">
        <w:t xml:space="preserve">whether </w:t>
      </w:r>
      <w:r>
        <w:t>the</w:t>
      </w:r>
      <w:r w:rsidRPr="00255CD5">
        <w:t xml:space="preserve"> antiquity appears in the inventory of a museum, public monument, or similar institution in another State Party, and, if so, whether the original owner voluntarily transferred title to the work (for example, by deaccessioning)</w:t>
      </w:r>
      <w:r w:rsidRPr="006E066B">
        <w:t>.</w:t>
      </w:r>
      <w:r w:rsidR="00E46F8E">
        <w:t xml:space="preserve"> </w:t>
      </w:r>
      <w:r w:rsidRPr="006E066B">
        <w:t>I</w:t>
      </w:r>
      <w:r w:rsidRPr="00255CD5">
        <w:t>f the work was stolen</w:t>
      </w:r>
      <w:r>
        <w:t>, research must determine</w:t>
      </w:r>
      <w:r w:rsidRPr="006E066B">
        <w:t xml:space="preserve"> both</w:t>
      </w:r>
      <w:r w:rsidRPr="00255CD5">
        <w:t xml:space="preserve"> the date of the theft and the date when the Convention entered into force in the other State Party.</w:t>
      </w:r>
      <w:r>
        <w:rPr>
          <w:rStyle w:val="EndnoteReference"/>
        </w:rPr>
        <w:endnoteReference w:id="20"/>
      </w:r>
      <w:r w:rsidRPr="00255CD5">
        <w:t xml:space="preserve"> </w:t>
      </w:r>
    </w:p>
    <w:p w14:paraId="629CBF52" w14:textId="39877B90" w:rsidR="00A75023" w:rsidRDefault="00A75023" w:rsidP="00D2024F">
      <w:pPr>
        <w:spacing w:after="120" w:line="480" w:lineRule="auto"/>
        <w:ind w:firstLine="360"/>
      </w:pPr>
      <w:r>
        <w:t xml:space="preserve">Implementation of Article 7(b) effected only minor </w:t>
      </w:r>
      <w:r w:rsidRPr="00596836">
        <w:t>change</w:t>
      </w:r>
      <w:r>
        <w:t>s</w:t>
      </w:r>
      <w:r w:rsidRPr="00596836">
        <w:t xml:space="preserve"> in U.S. law</w:t>
      </w:r>
      <w:r>
        <w:t>. F</w:t>
      </w:r>
      <w:r w:rsidRPr="00596836">
        <w:t>ederal customs statutes have long prohibited the importation of stolen property</w:t>
      </w:r>
      <w:r>
        <w:t>, subjecting them to potential seizure and forfeiture.</w:t>
      </w:r>
      <w:r>
        <w:rPr>
          <w:rStyle w:val="EndnoteReference"/>
        </w:rPr>
        <w:endnoteReference w:id="21"/>
      </w:r>
      <w:r>
        <w:t xml:space="preserve"> More importantly, </w:t>
      </w:r>
      <w:r w:rsidRPr="00596836">
        <w:t>theft victims—in</w:t>
      </w:r>
      <w:r>
        <w:t>cluding foreign countries</w:t>
      </w:r>
      <w:r w:rsidRPr="00596836">
        <w:t>—have always had</w:t>
      </w:r>
      <w:r>
        <w:t xml:space="preserve"> access to U.S.</w:t>
      </w:r>
      <w:r w:rsidRPr="00596836">
        <w:t xml:space="preserve"> federal and state courts to </w:t>
      </w:r>
      <w:r>
        <w:t>seek recovery of</w:t>
      </w:r>
      <w:r w:rsidRPr="00596836">
        <w:t xml:space="preserve"> </w:t>
      </w:r>
      <w:r>
        <w:t xml:space="preserve">their </w:t>
      </w:r>
      <w:r w:rsidRPr="00596836">
        <w:t>stolen property.</w:t>
      </w:r>
      <w:r w:rsidR="00E46F8E">
        <w:t xml:space="preserve"> </w:t>
      </w:r>
      <w:r>
        <w:t>What t</w:t>
      </w:r>
      <w:r w:rsidRPr="00596836">
        <w:t xml:space="preserve">he CCPIA </w:t>
      </w:r>
      <w:r>
        <w:t>does achieve,</w:t>
      </w:r>
      <w:r w:rsidR="00EA03E0">
        <w:t xml:space="preserve"> however,</w:t>
      </w:r>
      <w:r>
        <w:t xml:space="preserve"> is to allow the U</w:t>
      </w:r>
      <w:r w:rsidR="00EA03E0">
        <w:t xml:space="preserve">nited </w:t>
      </w:r>
      <w:r>
        <w:t>S</w:t>
      </w:r>
      <w:r w:rsidR="00EA03E0">
        <w:t>tates</w:t>
      </w:r>
      <w:r>
        <w:t xml:space="preserve"> to initiate an action for return of the object thereby </w:t>
      </w:r>
      <w:r w:rsidRPr="00596836">
        <w:t>obviat</w:t>
      </w:r>
      <w:r>
        <w:t>ing</w:t>
      </w:r>
      <w:r w:rsidRPr="00596836">
        <w:t xml:space="preserve"> the need for</w:t>
      </w:r>
      <w:r>
        <w:t xml:space="preserve"> other</w:t>
      </w:r>
      <w:r w:rsidRPr="00596836">
        <w:t xml:space="preserve"> </w:t>
      </w:r>
      <w:r>
        <w:t xml:space="preserve">States Parties </w:t>
      </w:r>
      <w:r w:rsidRPr="00596836">
        <w:t xml:space="preserve">to </w:t>
      </w:r>
      <w:r>
        <w:t>sue in U.S. courts.</w:t>
      </w:r>
      <w:r>
        <w:rPr>
          <w:rStyle w:val="EndnoteReference"/>
        </w:rPr>
        <w:endnoteReference w:id="22"/>
      </w:r>
    </w:p>
    <w:p w14:paraId="4E7F5923" w14:textId="77777777" w:rsidR="00F557B4" w:rsidRDefault="00F557B4" w:rsidP="00D2024F">
      <w:pPr>
        <w:spacing w:after="120" w:line="480" w:lineRule="auto"/>
        <w:ind w:firstLine="360"/>
      </w:pPr>
    </w:p>
    <w:p w14:paraId="73BF7561" w14:textId="29A45591" w:rsidR="00A75023" w:rsidRPr="00763208" w:rsidRDefault="00A75023" w:rsidP="00763208">
      <w:pPr>
        <w:pStyle w:val="Heading4"/>
        <w:rPr>
          <w:i w:val="0"/>
          <w:iCs w:val="0"/>
          <w:color w:val="000000" w:themeColor="text1"/>
        </w:rPr>
      </w:pPr>
      <w:bookmarkStart w:id="5" w:name="_Toc95566544"/>
      <w:r w:rsidRPr="00763208">
        <w:rPr>
          <w:i w:val="0"/>
          <w:iCs w:val="0"/>
          <w:color w:val="000000" w:themeColor="text1"/>
        </w:rPr>
        <w:t>UNESCO 1970, Article 9</w:t>
      </w:r>
      <w:bookmarkEnd w:id="5"/>
    </w:p>
    <w:p w14:paraId="12795F8C" w14:textId="3F28C4C7" w:rsidR="00814C46" w:rsidRDefault="00A75023" w:rsidP="00D2024F">
      <w:pPr>
        <w:spacing w:after="120" w:line="480" w:lineRule="auto"/>
        <w:ind w:firstLine="360"/>
      </w:pPr>
      <w:r>
        <w:t>As we have seen, the CCPIA’s implementation of Article 7(b) augmented, but did not significantly alter, existing rights under U.S. law. However, t</w:t>
      </w:r>
      <w:r w:rsidRPr="00596836">
        <w:t xml:space="preserve">he CCPIA’s enactment of </w:t>
      </w:r>
      <w:r>
        <w:t xml:space="preserve">Article 9 effected a major change </w:t>
      </w:r>
      <w:r w:rsidRPr="00596836">
        <w:t>in U.S.</w:t>
      </w:r>
      <w:r>
        <w:t xml:space="preserve"> cultural</w:t>
      </w:r>
      <w:r w:rsidRPr="00596836">
        <w:t xml:space="preserve"> policy</w:t>
      </w:r>
      <w:r w:rsidRPr="00E461E0">
        <w:t>.</w:t>
      </w:r>
      <w:r w:rsidRPr="00E461E0">
        <w:rPr>
          <w:rStyle w:val="EndnoteReference"/>
        </w:rPr>
        <w:endnoteReference w:id="23"/>
      </w:r>
    </w:p>
    <w:p w14:paraId="7F3D9148" w14:textId="12240460" w:rsidR="00A75023" w:rsidRPr="00596836" w:rsidRDefault="00A75023" w:rsidP="00D2024F">
      <w:pPr>
        <w:spacing w:after="120" w:line="480" w:lineRule="auto"/>
        <w:ind w:firstLine="360"/>
      </w:pPr>
      <w:r w:rsidRPr="00596836">
        <w:t>At least since the Civil War, the U</w:t>
      </w:r>
      <w:r w:rsidR="00493760">
        <w:t xml:space="preserve">nited </w:t>
      </w:r>
      <w:r w:rsidRPr="00596836">
        <w:t>S</w:t>
      </w:r>
      <w:r w:rsidR="00493760">
        <w:t>tates</w:t>
      </w:r>
      <w:r w:rsidRPr="00596836">
        <w:t xml:space="preserve"> </w:t>
      </w:r>
      <w:r w:rsidR="00814C46">
        <w:t xml:space="preserve">has </w:t>
      </w:r>
      <w:r>
        <w:t>promoted</w:t>
      </w:r>
      <w:r w:rsidRPr="00596836">
        <w:t xml:space="preserve"> </w:t>
      </w:r>
      <w:r>
        <w:t xml:space="preserve">the </w:t>
      </w:r>
      <w:r w:rsidRPr="00596836">
        <w:t>essentially unrestricted import</w:t>
      </w:r>
      <w:r>
        <w:t>ation</w:t>
      </w:r>
      <w:r w:rsidRPr="00596836">
        <w:t xml:space="preserve"> of </w:t>
      </w:r>
      <w:r>
        <w:t xml:space="preserve">works of art, antiquities, and other forms of </w:t>
      </w:r>
      <w:r w:rsidRPr="00596836">
        <w:t xml:space="preserve">cultural property. Typically, the only requirement for legally importing </w:t>
      </w:r>
      <w:r>
        <w:t>such</w:t>
      </w:r>
      <w:r w:rsidRPr="00596836">
        <w:t xml:space="preserve"> property was </w:t>
      </w:r>
      <w:r>
        <w:t xml:space="preserve">to make an accurate, written customs </w:t>
      </w:r>
      <w:r w:rsidRPr="00596836">
        <w:t xml:space="preserve">declaration </w:t>
      </w:r>
      <w:r>
        <w:t>upon the property’s importation</w:t>
      </w:r>
      <w:r w:rsidRPr="00596836">
        <w:t>.</w:t>
      </w:r>
      <w:r w:rsidRPr="00F72213">
        <w:rPr>
          <w:rStyle w:val="EndnoteReference"/>
        </w:rPr>
        <w:endnoteReference w:id="24"/>
      </w:r>
      <w:r w:rsidRPr="00F72213">
        <w:rPr>
          <w:rStyle w:val="EndnoteReference"/>
        </w:rPr>
        <w:t xml:space="preserve"> </w:t>
      </w:r>
      <w:r w:rsidRPr="00596836">
        <w:t xml:space="preserve">By implementing Article </w:t>
      </w:r>
      <w:r>
        <w:t>9</w:t>
      </w:r>
      <w:r w:rsidRPr="00596836">
        <w:t xml:space="preserve"> Congress created an </w:t>
      </w:r>
      <w:r w:rsidRPr="00596836">
        <w:lastRenderedPageBreak/>
        <w:t xml:space="preserve">exception to that open-door policy, an exception that the </w:t>
      </w:r>
      <w:r>
        <w:t>CCPIA</w:t>
      </w:r>
      <w:r w:rsidRPr="00596836">
        <w:t xml:space="preserve"> itself refers to as a “drastic” measure.</w:t>
      </w:r>
      <w:r w:rsidRPr="00F72213">
        <w:rPr>
          <w:rStyle w:val="EndnoteReference"/>
        </w:rPr>
        <w:endnoteReference w:id="25"/>
      </w:r>
      <w:r w:rsidRPr="00F72213">
        <w:rPr>
          <w:rStyle w:val="EndnoteReference"/>
        </w:rPr>
        <w:t xml:space="preserve"> </w:t>
      </w:r>
      <w:r w:rsidRPr="00596836">
        <w:t xml:space="preserve">Under </w:t>
      </w:r>
      <w:r>
        <w:t xml:space="preserve">provisions of </w:t>
      </w:r>
      <w:r w:rsidRPr="00596836">
        <w:t>the CCPIA</w:t>
      </w:r>
      <w:r>
        <w:t xml:space="preserve"> that give force of law to Article 9</w:t>
      </w:r>
      <w:r w:rsidRPr="00596836">
        <w:t>, the U</w:t>
      </w:r>
      <w:r w:rsidR="00493760">
        <w:t xml:space="preserve">nited </w:t>
      </w:r>
      <w:r w:rsidRPr="00596836">
        <w:t>S</w:t>
      </w:r>
      <w:r w:rsidR="00493760">
        <w:t>tates</w:t>
      </w:r>
      <w:r w:rsidRPr="00596836">
        <w:t xml:space="preserve"> may impose import restrictions on cultural property originating in other States Parties if precise statutory requirements are met. The legislation sets out two basic approaches for </w:t>
      </w:r>
      <w:r>
        <w:t>imposing such import</w:t>
      </w:r>
      <w:r w:rsidRPr="00596836">
        <w:t xml:space="preserve"> restr</w:t>
      </w:r>
      <w:r w:rsidRPr="004D327D">
        <w:t>ictions.</w:t>
      </w:r>
      <w:r w:rsidRPr="004D327D">
        <w:rPr>
          <w:rStyle w:val="EndnoteReference"/>
        </w:rPr>
        <w:endnoteReference w:id="26"/>
      </w:r>
      <w:r w:rsidR="00BD3E66">
        <w:t xml:space="preserve"> </w:t>
      </w:r>
    </w:p>
    <w:p w14:paraId="5DE10E5A" w14:textId="3ED392E7" w:rsidR="00A75023" w:rsidRPr="00596836" w:rsidRDefault="00A75023" w:rsidP="00D2024F">
      <w:pPr>
        <w:spacing w:after="120" w:line="480" w:lineRule="auto"/>
        <w:ind w:firstLine="360"/>
      </w:pPr>
      <w:r w:rsidRPr="00596836">
        <w:t xml:space="preserve">The first, </w:t>
      </w:r>
      <w:r>
        <w:t>codified at</w:t>
      </w:r>
      <w:r w:rsidRPr="00596836">
        <w:t xml:space="preserve"> 19 U.S.C. § 2602, requires a request for assistance from another State Party stating that its “cultural patrimony</w:t>
      </w:r>
      <w:r w:rsidR="00320E07">
        <w:t xml:space="preserve"> . . . </w:t>
      </w:r>
      <w:r w:rsidRPr="00596836">
        <w:t>is in jeopardy from the pillage of archaeological or ethnological materials.”</w:t>
      </w:r>
      <w:r w:rsidRPr="00F72213">
        <w:rPr>
          <w:rStyle w:val="EndnoteReference"/>
        </w:rPr>
        <w:endnoteReference w:id="27"/>
      </w:r>
      <w:r w:rsidRPr="00596836">
        <w:t xml:space="preserve"> If the </w:t>
      </w:r>
      <w:r w:rsidR="004D327D" w:rsidRPr="004D327D">
        <w:t>United States</w:t>
      </w:r>
      <w:r w:rsidRPr="00596836">
        <w:t xml:space="preserve"> determines that the request meets the CCPIA’s statutory requirements,</w:t>
      </w:r>
      <w:r w:rsidRPr="00F72213">
        <w:rPr>
          <w:rStyle w:val="EndnoteReference"/>
        </w:rPr>
        <w:endnoteReference w:id="28"/>
      </w:r>
      <w:r w:rsidRPr="00596836">
        <w:t xml:space="preserve"> the U.S. may enter into a</w:t>
      </w:r>
      <w:r>
        <w:t>n</w:t>
      </w:r>
      <w:r w:rsidRPr="00596836">
        <w:t xml:space="preserve"> agreement (</w:t>
      </w:r>
      <w:r>
        <w:t xml:space="preserve">generally </w:t>
      </w:r>
      <w:r w:rsidRPr="00596836">
        <w:t xml:space="preserve">referred to as a “Memorandum of Understanding” or, </w:t>
      </w:r>
      <w:r>
        <w:t xml:space="preserve">more commonly, </w:t>
      </w:r>
      <w:r w:rsidRPr="00596836">
        <w:t>MOU) with the requesting State Party</w:t>
      </w:r>
      <w:r>
        <w:t xml:space="preserve"> blocking importation into the U.S. of antiquities from the other State Party</w:t>
      </w:r>
      <w:r w:rsidRPr="00596836">
        <w:t>.</w:t>
      </w:r>
      <w:r w:rsidRPr="00F72213">
        <w:rPr>
          <w:rStyle w:val="EndnoteReference"/>
        </w:rPr>
        <w:endnoteReference w:id="29"/>
      </w:r>
      <w:r w:rsidRPr="00F72213">
        <w:rPr>
          <w:rStyle w:val="EndnoteReference"/>
        </w:rPr>
        <w:t xml:space="preserve"> </w:t>
      </w:r>
      <w:r w:rsidRPr="00596836">
        <w:t>These agreements are effective for five years and may be extended for additional five-year periods. The second is the “emergency” or “crisis” provision in 19 U.S.C. § 2603. Following a request from another State Party</w:t>
      </w:r>
      <w:r>
        <w:t>,</w:t>
      </w:r>
      <w:r w:rsidRPr="00596836">
        <w:t xml:space="preserve"> under 19 U.S.C. § 260</w:t>
      </w:r>
      <w:r>
        <w:t>3</w:t>
      </w:r>
      <w:r w:rsidRPr="00596836">
        <w:t>, the U.S. may unilaterally bar importation of cultural property f</w:t>
      </w:r>
      <w:r>
        <w:t>rom a State Party f</w:t>
      </w:r>
      <w:r w:rsidRPr="00596836">
        <w:t>or a three-year period.</w:t>
      </w:r>
    </w:p>
    <w:p w14:paraId="4A76B9B4" w14:textId="2D473739" w:rsidR="00A75023" w:rsidRPr="00596836" w:rsidRDefault="00A75023" w:rsidP="00D2024F">
      <w:pPr>
        <w:spacing w:line="480" w:lineRule="auto"/>
        <w:ind w:firstLine="360"/>
      </w:pPr>
      <w:r w:rsidRPr="00596836">
        <w:t xml:space="preserve">If the </w:t>
      </w:r>
      <w:r w:rsidR="00A31272" w:rsidRPr="00A31272">
        <w:t>United States</w:t>
      </w:r>
      <w:r w:rsidRPr="00596836">
        <w:t xml:space="preserve"> </w:t>
      </w:r>
      <w:proofErr w:type="gramStart"/>
      <w:r w:rsidRPr="00596836">
        <w:t>takes action</w:t>
      </w:r>
      <w:proofErr w:type="gramEnd"/>
      <w:r w:rsidRPr="00596836">
        <w:t xml:space="preserve"> under either </w:t>
      </w:r>
      <w:r>
        <w:t>19 U.S.C. §§ 2602 or 2603</w:t>
      </w:r>
      <w:r w:rsidRPr="00596836">
        <w:t xml:space="preserve">, it must publish a </w:t>
      </w:r>
      <w:r>
        <w:t xml:space="preserve">“designated </w:t>
      </w:r>
      <w:r w:rsidRPr="00596836">
        <w:t>list</w:t>
      </w:r>
      <w:r>
        <w:t>”</w:t>
      </w:r>
      <w:r w:rsidRPr="00596836">
        <w:t xml:space="preserve"> of works subject to import restrictions</w:t>
      </w:r>
      <w:r>
        <w:t xml:space="preserve"> in the Code of Federal Regulations (commonly referred to simply as CFR.)</w:t>
      </w:r>
      <w:r w:rsidRPr="00596836">
        <w:t>. The effect of publication of the designated list is straightforward:</w:t>
      </w:r>
      <w:r w:rsidR="00E46F8E">
        <w:t xml:space="preserve"> </w:t>
      </w:r>
    </w:p>
    <w:p w14:paraId="1A0B4073" w14:textId="2111D375" w:rsidR="00A75023" w:rsidRPr="00596836" w:rsidRDefault="00A75023" w:rsidP="00D2024F">
      <w:pPr>
        <w:spacing w:after="120" w:line="480" w:lineRule="auto"/>
        <w:ind w:left="720" w:right="720"/>
      </w:pPr>
      <w:r w:rsidRPr="00596836">
        <w:t>No designated archaeological or ethnological material that is exported (</w:t>
      </w:r>
      <w:proofErr w:type="gramStart"/>
      <w:r w:rsidRPr="00596836">
        <w:rPr>
          <w:i/>
          <w:iCs/>
        </w:rPr>
        <w:t>whether or not</w:t>
      </w:r>
      <w:proofErr w:type="gramEnd"/>
      <w:r w:rsidRPr="00596836">
        <w:rPr>
          <w:i/>
          <w:iCs/>
        </w:rPr>
        <w:t xml:space="preserve"> such exportation is to the United States</w:t>
      </w:r>
      <w:r w:rsidRPr="00596836">
        <w:t xml:space="preserve">) from the State Party after [publication of the designated list] may be imported into the United States unless </w:t>
      </w:r>
      <w:r w:rsidRPr="00596836">
        <w:lastRenderedPageBreak/>
        <w:t>the State Party issues a certification or other documentation which certifies that such exportation was not in violation of the laws of the State Party.</w:t>
      </w:r>
      <w:r w:rsidRPr="00596836">
        <w:rPr>
          <w:rStyle w:val="EndnoteReference"/>
        </w:rPr>
        <w:endnoteReference w:id="30"/>
      </w:r>
    </w:p>
    <w:p w14:paraId="77FB61B4" w14:textId="196E35B9" w:rsidR="00A75023" w:rsidRDefault="00A75023" w:rsidP="00D2024F">
      <w:pPr>
        <w:spacing w:after="120" w:line="480" w:lineRule="auto"/>
        <w:ind w:firstLine="360"/>
      </w:pPr>
      <w:r w:rsidRPr="00596836">
        <w:t>Accordingly, determin</w:t>
      </w:r>
      <w:r>
        <w:t>ing</w:t>
      </w:r>
      <w:r w:rsidRPr="00596836">
        <w:t xml:space="preserve"> </w:t>
      </w:r>
      <w:r>
        <w:t xml:space="preserve">if an antiquity is subject to </w:t>
      </w:r>
      <w:r w:rsidRPr="00596836">
        <w:t xml:space="preserve">U.S. import restrictions under </w:t>
      </w:r>
      <w:r>
        <w:t>19 U.S.C. §§ 2602</w:t>
      </w:r>
      <w:r w:rsidR="00A31272">
        <w:t>–</w:t>
      </w:r>
      <w:r>
        <w:t>2603</w:t>
      </w:r>
      <w:r w:rsidRPr="00596836">
        <w:t xml:space="preserve"> </w:t>
      </w:r>
      <w:r>
        <w:t xml:space="preserve">requires reference </w:t>
      </w:r>
      <w:r w:rsidRPr="00596836">
        <w:t xml:space="preserve">to </w:t>
      </w:r>
      <w:r>
        <w:t>current</w:t>
      </w:r>
      <w:r w:rsidRPr="00596836">
        <w:t xml:space="preserve"> </w:t>
      </w:r>
      <w:r>
        <w:t>MOUs and their respective designated l</w:t>
      </w:r>
      <w:r w:rsidRPr="00596836">
        <w:t>ist</w:t>
      </w:r>
      <w:r>
        <w:t>s.</w:t>
      </w:r>
      <w:r w:rsidRPr="00F72213">
        <w:rPr>
          <w:rStyle w:val="EndnoteReference"/>
        </w:rPr>
        <w:endnoteReference w:id="31"/>
      </w:r>
      <w:r w:rsidR="00E46F8E">
        <w:rPr>
          <w:rStyle w:val="EndnoteReference"/>
        </w:rPr>
        <w:t xml:space="preserve"> </w:t>
      </w:r>
      <w:r>
        <w:t xml:space="preserve">If an antiquity fits within the description of works </w:t>
      </w:r>
      <w:r w:rsidRPr="00596836">
        <w:t xml:space="preserve">on a </w:t>
      </w:r>
      <w:r>
        <w:t>“</w:t>
      </w:r>
      <w:r w:rsidRPr="00596836">
        <w:t>designated list,</w:t>
      </w:r>
      <w:r>
        <w:t>”</w:t>
      </w:r>
      <w:r w:rsidRPr="00596836">
        <w:t xml:space="preserve"> </w:t>
      </w:r>
      <w:r>
        <w:t xml:space="preserve">it must then be determined </w:t>
      </w:r>
      <w:r w:rsidR="00AF2231">
        <w:t xml:space="preserve">whether </w:t>
      </w:r>
      <w:r>
        <w:t xml:space="preserve">the antiquity </w:t>
      </w:r>
      <w:r w:rsidRPr="00596836">
        <w:t xml:space="preserve">was exported from </w:t>
      </w:r>
      <w:r>
        <w:t xml:space="preserve">the other State Party </w:t>
      </w:r>
      <w:r w:rsidRPr="00596836">
        <w:t>before</w:t>
      </w:r>
      <w:r>
        <w:t xml:space="preserve"> or after</w:t>
      </w:r>
      <w:r w:rsidRPr="00596836">
        <w:t xml:space="preserve"> </w:t>
      </w:r>
      <w:r>
        <w:t xml:space="preserve">publication of the list. If before, the work is not subject to these import restrictions. However, if the antiquity was exported after publication, it cannot legally be imported into the </w:t>
      </w:r>
      <w:r w:rsidR="00AF2231" w:rsidRPr="00AF2231">
        <w:t>United States</w:t>
      </w:r>
      <w:r>
        <w:t xml:space="preserve"> without an export license from the other State Party. </w:t>
      </w:r>
      <w:r w:rsidRPr="00596836">
        <w:t xml:space="preserve">An </w:t>
      </w:r>
      <w:r>
        <w:t>antiquity</w:t>
      </w:r>
      <w:r w:rsidRPr="00596836">
        <w:t xml:space="preserve"> imported in violation of these restrictions is subject to seizure and forfeiture.</w:t>
      </w:r>
      <w:r w:rsidRPr="00F72213">
        <w:rPr>
          <w:rStyle w:val="EndnoteReference"/>
        </w:rPr>
        <w:endnoteReference w:id="32"/>
      </w:r>
      <w:r w:rsidR="00320E07">
        <w:t xml:space="preserve"> </w:t>
      </w:r>
      <w:r>
        <w:t>I</w:t>
      </w:r>
      <w:r w:rsidRPr="00596836">
        <w:t xml:space="preserve">t is not enough to document the country from which the object was exported immediately prior to </w:t>
      </w:r>
      <w:r>
        <w:t xml:space="preserve">entry into </w:t>
      </w:r>
      <w:r w:rsidRPr="00596836">
        <w:t>the U.S.</w:t>
      </w:r>
      <w:r>
        <w:t>: t</w:t>
      </w:r>
      <w:r w:rsidRPr="00596836">
        <w:t xml:space="preserve">hese restrictions apply </w:t>
      </w:r>
      <w:r>
        <w:t xml:space="preserve">to works exported from the other State Party after publication of the designated list even if the object passed through other countries prior to importation into the U.S. </w:t>
      </w:r>
    </w:p>
    <w:p w14:paraId="2B3C5B91" w14:textId="77777777" w:rsidR="00893E88" w:rsidRPr="00596836" w:rsidRDefault="00893E88" w:rsidP="00D2024F">
      <w:pPr>
        <w:spacing w:after="120" w:line="480" w:lineRule="auto"/>
        <w:ind w:firstLine="360"/>
      </w:pPr>
    </w:p>
    <w:p w14:paraId="01E01B9F" w14:textId="42AAE51F" w:rsidR="00A75023" w:rsidRPr="00763208" w:rsidRDefault="00F557B4" w:rsidP="00763208">
      <w:pPr>
        <w:pStyle w:val="Heading3"/>
        <w:rPr>
          <w:b w:val="0"/>
          <w:bCs/>
          <w:i/>
          <w:iCs/>
        </w:rPr>
      </w:pPr>
      <w:bookmarkStart w:id="6" w:name="_Toc95566545"/>
      <w:r w:rsidRPr="00763208">
        <w:rPr>
          <w:b w:val="0"/>
          <w:bCs/>
          <w:i/>
          <w:iCs/>
        </w:rPr>
        <w:t>Other Federal Law</w:t>
      </w:r>
      <w:bookmarkEnd w:id="6"/>
    </w:p>
    <w:p w14:paraId="4DB04A0C" w14:textId="77777777" w:rsidR="00F557B4" w:rsidRPr="00F557B4" w:rsidRDefault="00F557B4" w:rsidP="00F557B4"/>
    <w:p w14:paraId="5C2D1A00" w14:textId="22A8D928" w:rsidR="00A75023" w:rsidRPr="00763208" w:rsidRDefault="00A75023" w:rsidP="00763208">
      <w:pPr>
        <w:pStyle w:val="Heading4"/>
        <w:rPr>
          <w:rFonts w:ascii="Times New Roman" w:hAnsi="Times New Roman" w:cs="Times New Roman"/>
          <w:i w:val="0"/>
          <w:iCs w:val="0"/>
          <w:color w:val="000000" w:themeColor="text1"/>
        </w:rPr>
      </w:pPr>
      <w:bookmarkStart w:id="7" w:name="_Toc95566546"/>
      <w:r w:rsidRPr="00763208">
        <w:rPr>
          <w:i w:val="0"/>
          <w:iCs w:val="0"/>
          <w:color w:val="000000" w:themeColor="text1"/>
        </w:rPr>
        <w:t>Customs Laws</w:t>
      </w:r>
      <w:bookmarkEnd w:id="7"/>
    </w:p>
    <w:p w14:paraId="494B56EE" w14:textId="4169513C" w:rsidR="00A75023" w:rsidRDefault="00AF2231" w:rsidP="00893E88">
      <w:pPr>
        <w:spacing w:before="120" w:after="120" w:line="480" w:lineRule="auto"/>
      </w:pPr>
      <w:r>
        <w:t xml:space="preserve">U.S. </w:t>
      </w:r>
      <w:r w:rsidR="00F64010">
        <w:t>f</w:t>
      </w:r>
      <w:r w:rsidR="00A75023" w:rsidRPr="00596836">
        <w:t xml:space="preserve">ederal law </w:t>
      </w:r>
      <w:r w:rsidR="00A75023">
        <w:t xml:space="preserve">has long </w:t>
      </w:r>
      <w:r w:rsidR="00A75023" w:rsidRPr="00596836">
        <w:t>prohibit</w:t>
      </w:r>
      <w:r w:rsidR="00A75023">
        <w:t>ed</w:t>
      </w:r>
      <w:r w:rsidR="00A75023" w:rsidRPr="00596836">
        <w:t xml:space="preserve"> the importation of goods “contrary to law” and provides for </w:t>
      </w:r>
      <w:r w:rsidR="00A75023">
        <w:t>any such</w:t>
      </w:r>
      <w:r w:rsidR="00A75023" w:rsidRPr="00596836">
        <w:t xml:space="preserve"> goods to be seized and forfeited.</w:t>
      </w:r>
      <w:r w:rsidR="00A75023" w:rsidRPr="5449AF1D">
        <w:rPr>
          <w:rStyle w:val="EndnoteReference"/>
        </w:rPr>
        <w:endnoteReference w:id="33"/>
      </w:r>
      <w:r w:rsidR="00A75023" w:rsidRPr="00596836">
        <w:t xml:space="preserve"> Accordingly, </w:t>
      </w:r>
      <w:r w:rsidR="00A75023">
        <w:t xml:space="preserve">verifiable </w:t>
      </w:r>
      <w:r w:rsidR="00A75023" w:rsidRPr="0072186C">
        <w:t xml:space="preserve">documentation of an antiquity’s importation into the </w:t>
      </w:r>
      <w:r w:rsidR="00F64010" w:rsidRPr="00F64010">
        <w:t>United States</w:t>
      </w:r>
      <w:r w:rsidR="00A75023" w:rsidRPr="0072186C">
        <w:t xml:space="preserve"> is essential for determining its legal status in the U.S</w:t>
      </w:r>
      <w:r w:rsidR="00A75023" w:rsidRPr="00E30D65">
        <w:t>.</w:t>
      </w:r>
      <w:r w:rsidR="00A75023" w:rsidRPr="00596836">
        <w:t xml:space="preserve"> An object is imported contrary to law if the work is stolen,</w:t>
      </w:r>
      <w:r w:rsidR="00A75023">
        <w:rPr>
          <w:rStyle w:val="EndnoteReference"/>
        </w:rPr>
        <w:endnoteReference w:id="34"/>
      </w:r>
      <w:r w:rsidR="00A75023" w:rsidRPr="00596836">
        <w:t xml:space="preserve"> </w:t>
      </w:r>
      <w:r w:rsidR="00A75023">
        <w:t>violates an import restriction under the CCPIA or other cultural property import restriction,</w:t>
      </w:r>
      <w:r w:rsidR="00A75023">
        <w:rPr>
          <w:rStyle w:val="EndnoteReference"/>
        </w:rPr>
        <w:endnoteReference w:id="35"/>
      </w:r>
      <w:r w:rsidR="00A75023">
        <w:t xml:space="preserve"> is not declared at the border,</w:t>
      </w:r>
      <w:r w:rsidR="00A75023">
        <w:rPr>
          <w:rStyle w:val="EndnoteReference"/>
        </w:rPr>
        <w:endnoteReference w:id="36"/>
      </w:r>
      <w:r w:rsidR="00A75023">
        <w:t xml:space="preserve"> or is declared with information that misstates </w:t>
      </w:r>
      <w:r w:rsidR="00A75023" w:rsidRPr="00596836">
        <w:t>the object’s fair market value or country of origin.</w:t>
      </w:r>
      <w:r w:rsidR="00A75023" w:rsidRPr="00F72213">
        <w:rPr>
          <w:rStyle w:val="EndnoteReference"/>
        </w:rPr>
        <w:endnoteReference w:id="37"/>
      </w:r>
      <w:r w:rsidR="00E46F8E">
        <w:t xml:space="preserve"> </w:t>
      </w:r>
      <w:r w:rsidR="00A75023" w:rsidRPr="00596836">
        <w:t xml:space="preserve">Accordingly, </w:t>
      </w:r>
      <w:r w:rsidR="00A75023">
        <w:t>in addition to authenticating an antiquity’s</w:t>
      </w:r>
      <w:r w:rsidR="00A75023" w:rsidRPr="00596836">
        <w:t xml:space="preserve"> </w:t>
      </w:r>
      <w:r w:rsidR="00A75023">
        <w:t xml:space="preserve">U.S. </w:t>
      </w:r>
      <w:r w:rsidR="00F64010">
        <w:t>C</w:t>
      </w:r>
      <w:r w:rsidR="00A75023" w:rsidRPr="00596836">
        <w:t xml:space="preserve">ustoms </w:t>
      </w:r>
      <w:r w:rsidR="00F64010">
        <w:t>D</w:t>
      </w:r>
      <w:r w:rsidR="00A75023" w:rsidRPr="00596836">
        <w:t>eclaration form</w:t>
      </w:r>
      <w:r w:rsidR="00A75023">
        <w:t xml:space="preserve">, an </w:t>
      </w:r>
      <w:r w:rsidR="00A75023">
        <w:lastRenderedPageBreak/>
        <w:t>assessment is required to determine if</w:t>
      </w:r>
      <w:r w:rsidR="00E46F8E">
        <w:t xml:space="preserve"> </w:t>
      </w:r>
      <w:r w:rsidR="00A75023">
        <w:t xml:space="preserve">the form accurately stated the work’s fair market value and its country of origin. That determination requires reference to verifiable documentation such as bills of sale, </w:t>
      </w:r>
      <w:r w:rsidR="00A75023" w:rsidRPr="00596836">
        <w:t xml:space="preserve">invoices, </w:t>
      </w:r>
      <w:r w:rsidR="00A75023">
        <w:t xml:space="preserve">deeds of gift, correspondence, </w:t>
      </w:r>
      <w:r w:rsidR="00A75023" w:rsidRPr="00596836">
        <w:t>shipment records, insurance</w:t>
      </w:r>
      <w:r w:rsidR="00A75023">
        <w:t xml:space="preserve"> policies, and the like.</w:t>
      </w:r>
      <w:r w:rsidR="00A75023" w:rsidRPr="00596836">
        <w:t xml:space="preserve"> </w:t>
      </w:r>
    </w:p>
    <w:p w14:paraId="2CFF4843" w14:textId="77777777" w:rsidR="00893E88" w:rsidRPr="00596836" w:rsidRDefault="00893E88" w:rsidP="00D2024F">
      <w:pPr>
        <w:spacing w:before="120" w:after="120" w:line="480" w:lineRule="auto"/>
        <w:ind w:firstLine="360"/>
      </w:pPr>
    </w:p>
    <w:p w14:paraId="693B368D" w14:textId="771108DA" w:rsidR="00A75023" w:rsidRPr="00763208" w:rsidRDefault="00A75023" w:rsidP="00763208">
      <w:pPr>
        <w:pStyle w:val="Heading4"/>
        <w:rPr>
          <w:i w:val="0"/>
          <w:iCs w:val="0"/>
          <w:color w:val="000000" w:themeColor="text1"/>
        </w:rPr>
      </w:pPr>
      <w:bookmarkStart w:id="8" w:name="_Toc95566547"/>
      <w:r w:rsidRPr="00763208">
        <w:rPr>
          <w:i w:val="0"/>
          <w:iCs w:val="0"/>
          <w:color w:val="000000" w:themeColor="text1"/>
        </w:rPr>
        <w:t>The National Stolen Property Act</w:t>
      </w:r>
      <w:bookmarkEnd w:id="8"/>
    </w:p>
    <w:p w14:paraId="6FED217D" w14:textId="77777777" w:rsidR="00F557B4" w:rsidRPr="00F557B4" w:rsidRDefault="00F557B4" w:rsidP="00F557B4"/>
    <w:p w14:paraId="0D906587" w14:textId="4C5D57E3" w:rsidR="00A75023" w:rsidRPr="00596836" w:rsidRDefault="00A75023" w:rsidP="00893E88">
      <w:pPr>
        <w:spacing w:before="120" w:after="120" w:line="480" w:lineRule="auto"/>
      </w:pPr>
      <w:r w:rsidRPr="00596836">
        <w:t>The National Stolen Property Act</w:t>
      </w:r>
      <w:r w:rsidRPr="00F72213">
        <w:rPr>
          <w:rStyle w:val="EndnoteReference"/>
        </w:rPr>
        <w:endnoteReference w:id="38"/>
      </w:r>
      <w:r w:rsidRPr="00F72213">
        <w:rPr>
          <w:rStyle w:val="EndnoteReference"/>
        </w:rPr>
        <w:t xml:space="preserve"> </w:t>
      </w:r>
      <w:r w:rsidRPr="006108EB">
        <w:t>(NSPA) has a long</w:t>
      </w:r>
      <w:r>
        <w:t xml:space="preserve">, </w:t>
      </w:r>
      <w:r w:rsidRPr="00596836">
        <w:t>colorful history. In the early 20th century, automobiles became the target of theft and a means of escape</w:t>
      </w:r>
      <w:r w:rsidR="00F64010">
        <w:t>.</w:t>
      </w:r>
      <w:r w:rsidRPr="00596836">
        <w:t xml:space="preserve"> </w:t>
      </w:r>
      <w:r w:rsidR="00F64010">
        <w:t>S</w:t>
      </w:r>
      <w:r w:rsidRPr="00596836">
        <w:t>o long as thieves could outrun police in the state where the theft occurred and reach a neighboring state, they could avoid immediate consequences</w:t>
      </w:r>
      <w:r>
        <w:t>: the jurisdiction of state police did not extend beyond a state’s border</w:t>
      </w:r>
      <w:r w:rsidRPr="00596836">
        <w:t>. Congress took note and in 1919 enacted the National Motor Vehicle Theft Act making such thefts federal crimes. Since federal prosecutors are not limited by state boundaries</w:t>
      </w:r>
      <w:r>
        <w:t>,</w:t>
      </w:r>
      <w:r w:rsidRPr="00596836">
        <w:t xml:space="preserve"> a run for the border no longer provided </w:t>
      </w:r>
      <w:proofErr w:type="gramStart"/>
      <w:r w:rsidRPr="00596836">
        <w:t>a</w:t>
      </w:r>
      <w:r>
        <w:t xml:space="preserve"> safe haven</w:t>
      </w:r>
      <w:proofErr w:type="gramEnd"/>
      <w:r>
        <w:t xml:space="preserve"> for car thieves</w:t>
      </w:r>
      <w:r w:rsidRPr="00596836">
        <w:t xml:space="preserve">. In 1934 Congress extended the </w:t>
      </w:r>
      <w:r w:rsidR="00F64010">
        <w:t>a</w:t>
      </w:r>
      <w:r w:rsidRPr="00596836">
        <w:t xml:space="preserve">ct to </w:t>
      </w:r>
      <w:r w:rsidR="00F64010">
        <w:t xml:space="preserve">cover </w:t>
      </w:r>
      <w:r w:rsidRPr="00596836">
        <w:t>other kinds of stolen property and renam</w:t>
      </w:r>
      <w:r>
        <w:t>ed it</w:t>
      </w:r>
      <w:r w:rsidRPr="00596836">
        <w:t xml:space="preserve"> the National Stolen Property Act</w:t>
      </w:r>
      <w:r>
        <w:t xml:space="preserve"> (NSPA)</w:t>
      </w:r>
      <w:r w:rsidRPr="00596836">
        <w:t>.</w:t>
      </w:r>
      <w:r w:rsidR="00FA7F9B">
        <w:t xml:space="preserve"> </w:t>
      </w:r>
      <w:r w:rsidRPr="00596836">
        <w:t xml:space="preserve">Today, </w:t>
      </w:r>
      <w:r>
        <w:t xml:space="preserve">NSPA </w:t>
      </w:r>
      <w:r w:rsidRPr="00596836">
        <w:t>violation</w:t>
      </w:r>
      <w:r>
        <w:t>s</w:t>
      </w:r>
      <w:r w:rsidRPr="00596836">
        <w:t xml:space="preserve"> can lead to civil or criminal liability </w:t>
      </w:r>
      <w:r>
        <w:t xml:space="preserve">for individuals (or institutions) </w:t>
      </w:r>
      <w:r w:rsidRPr="00596836">
        <w:t>and to civil or criminal seizure and forfeiture actions against the stolen property.</w:t>
      </w:r>
      <w:r w:rsidR="00E46F8E">
        <w:t xml:space="preserve"> </w:t>
      </w:r>
    </w:p>
    <w:p w14:paraId="77939973" w14:textId="1F0476AF" w:rsidR="00A75023" w:rsidRPr="00596836" w:rsidRDefault="00A75023" w:rsidP="00D2024F">
      <w:pPr>
        <w:spacing w:line="480" w:lineRule="auto"/>
        <w:ind w:firstLine="360"/>
      </w:pPr>
      <w:r>
        <w:t>The two operative provisions</w:t>
      </w:r>
      <w:r w:rsidRPr="00596836">
        <w:t xml:space="preserve"> of the NSPA are </w:t>
      </w:r>
      <w:r>
        <w:t xml:space="preserve">set out in 18 U.S.C. §§ 2314 and 2315, which state in pertinent part: </w:t>
      </w:r>
    </w:p>
    <w:p w14:paraId="459F597E" w14:textId="77777777" w:rsidR="00BF5586" w:rsidRPr="00BF5586" w:rsidRDefault="00A75023" w:rsidP="00D2024F">
      <w:pPr>
        <w:spacing w:after="120" w:line="480" w:lineRule="auto"/>
        <w:ind w:left="720" w:right="720"/>
        <w:rPr>
          <w:bCs/>
        </w:rPr>
      </w:pPr>
      <w:r w:rsidRPr="00BF5586">
        <w:rPr>
          <w:bCs/>
        </w:rPr>
        <w:t>§ 2314. Transportation of stolen goods</w:t>
      </w:r>
    </w:p>
    <w:p w14:paraId="7472C477" w14:textId="106425DD" w:rsidR="00A75023" w:rsidRPr="00596836" w:rsidRDefault="00BF5586" w:rsidP="00D2024F">
      <w:pPr>
        <w:spacing w:after="120" w:line="480" w:lineRule="auto"/>
        <w:ind w:left="720" w:right="720"/>
        <w:rPr>
          <w:bCs/>
        </w:rPr>
      </w:pPr>
      <w:r>
        <w:rPr>
          <w:bCs/>
          <w:u w:val="single"/>
        </w:rPr>
        <w:t>[</w:t>
      </w:r>
      <w:r w:rsidR="00F64010">
        <w:rPr>
          <w:bCs/>
        </w:rPr>
        <w:t>. . .</w:t>
      </w:r>
      <w:r>
        <w:rPr>
          <w:bCs/>
        </w:rPr>
        <w:t>]</w:t>
      </w:r>
      <w:r w:rsidR="00F64010">
        <w:rPr>
          <w:bCs/>
        </w:rPr>
        <w:t xml:space="preserve"> </w:t>
      </w:r>
      <w:r w:rsidR="00A75023" w:rsidRPr="00596836">
        <w:rPr>
          <w:bCs/>
        </w:rPr>
        <w:t>Whoever transports, transmits, or transfers in interstate or foreign commerce any goods, wares, merchandise</w:t>
      </w:r>
      <w:r w:rsidR="00FA7F9B">
        <w:rPr>
          <w:bCs/>
        </w:rPr>
        <w:t xml:space="preserve"> . . . </w:t>
      </w:r>
      <w:r w:rsidR="00A75023" w:rsidRPr="00596836">
        <w:rPr>
          <w:bCs/>
        </w:rPr>
        <w:t xml:space="preserve">of the value of $5,000 or more, knowing the </w:t>
      </w:r>
      <w:r w:rsidR="00A75023" w:rsidRPr="00596836">
        <w:rPr>
          <w:bCs/>
        </w:rPr>
        <w:lastRenderedPageBreak/>
        <w:t>same to have been stolen, converted or taken by fraud</w:t>
      </w:r>
      <w:r w:rsidR="00A75023">
        <w:rPr>
          <w:bCs/>
        </w:rPr>
        <w:t xml:space="preserve"> . . . </w:t>
      </w:r>
      <w:r w:rsidRPr="00293325">
        <w:rPr>
          <w:bCs/>
        </w:rPr>
        <w:t xml:space="preserve">Shall </w:t>
      </w:r>
      <w:r w:rsidR="00A75023" w:rsidRPr="00293325">
        <w:rPr>
          <w:bCs/>
        </w:rPr>
        <w:t>be fined under this title or imprisoned not more than ten years, or both</w:t>
      </w:r>
      <w:proofErr w:type="gramStart"/>
      <w:r w:rsidR="00A75023">
        <w:rPr>
          <w:bCs/>
        </w:rPr>
        <w:t>. . . .</w:t>
      </w:r>
      <w:proofErr w:type="gramEnd"/>
      <w:r w:rsidR="00A75023">
        <w:rPr>
          <w:bCs/>
        </w:rPr>
        <w:t xml:space="preserve"> </w:t>
      </w:r>
    </w:p>
    <w:p w14:paraId="67A6C509" w14:textId="77777777" w:rsidR="00BF5586" w:rsidRPr="00BF5586" w:rsidRDefault="00A75023" w:rsidP="00D2024F">
      <w:pPr>
        <w:spacing w:after="120" w:line="480" w:lineRule="auto"/>
        <w:ind w:left="720" w:right="720"/>
        <w:rPr>
          <w:bCs/>
        </w:rPr>
      </w:pPr>
      <w:r w:rsidRPr="00BF5586">
        <w:rPr>
          <w:bCs/>
        </w:rPr>
        <w:t>§ 2315. Sale or receipt of stolen goods</w:t>
      </w:r>
    </w:p>
    <w:p w14:paraId="71E7F473" w14:textId="0CDDB187" w:rsidR="00A75023" w:rsidRPr="00596836" w:rsidRDefault="00BF5586" w:rsidP="00D2024F">
      <w:pPr>
        <w:spacing w:after="120" w:line="480" w:lineRule="auto"/>
        <w:ind w:left="720" w:right="720"/>
        <w:rPr>
          <w:bCs/>
        </w:rPr>
      </w:pPr>
      <w:r>
        <w:rPr>
          <w:bCs/>
          <w:u w:val="single"/>
        </w:rPr>
        <w:t>[</w:t>
      </w:r>
      <w:r w:rsidR="0008449C" w:rsidRPr="0008449C">
        <w:rPr>
          <w:bCs/>
        </w:rPr>
        <w:t>. . .</w:t>
      </w:r>
      <w:r>
        <w:rPr>
          <w:bCs/>
        </w:rPr>
        <w:t>]</w:t>
      </w:r>
      <w:r w:rsidR="0008449C">
        <w:rPr>
          <w:bCs/>
        </w:rPr>
        <w:t xml:space="preserve"> </w:t>
      </w:r>
      <w:r w:rsidR="00A75023" w:rsidRPr="00596836">
        <w:rPr>
          <w:bCs/>
        </w:rPr>
        <w:t>Whoever receives, possesses, conceals, stores, barters, sells, or disposes of any goods, wares, or merchandise</w:t>
      </w:r>
      <w:r w:rsidR="00FA7F9B">
        <w:rPr>
          <w:bCs/>
        </w:rPr>
        <w:t xml:space="preserve"> . . . </w:t>
      </w:r>
      <w:r w:rsidR="00A75023" w:rsidRPr="00596836">
        <w:rPr>
          <w:bCs/>
        </w:rPr>
        <w:t>of the value of $5,000 or more</w:t>
      </w:r>
      <w:r w:rsidR="00FA7F9B">
        <w:rPr>
          <w:bCs/>
        </w:rPr>
        <w:t xml:space="preserve"> . . . </w:t>
      </w:r>
      <w:r w:rsidR="00A75023" w:rsidRPr="00596836">
        <w:rPr>
          <w:bCs/>
        </w:rPr>
        <w:t>which have crossed a State or United States boundary after being stolen, unlawfully converted, or taken, knowing the same to have been stolen, unlawfully converted, or take</w:t>
      </w:r>
      <w:r w:rsidR="00A75023">
        <w:rPr>
          <w:bCs/>
        </w:rPr>
        <w:t xml:space="preserve">n . . . </w:t>
      </w:r>
      <w:r w:rsidR="00A75023" w:rsidRPr="00E7709D">
        <w:rPr>
          <w:bCs/>
        </w:rPr>
        <w:t>Shall be fined under this title or imprisoned not more than ten years, or both</w:t>
      </w:r>
      <w:r w:rsidR="00A75023">
        <w:rPr>
          <w:bCs/>
        </w:rPr>
        <w:t xml:space="preserve">. . . . </w:t>
      </w:r>
    </w:p>
    <w:p w14:paraId="2BCAF696" w14:textId="469D7C47" w:rsidR="00A75023" w:rsidRPr="00596836" w:rsidRDefault="00A75023" w:rsidP="00D2024F">
      <w:pPr>
        <w:spacing w:after="120" w:line="480" w:lineRule="auto"/>
      </w:pPr>
      <w:r w:rsidRPr="5449AF1D">
        <w:t>Additionally, violation of the NSPA subject</w:t>
      </w:r>
      <w:r>
        <w:t>s</w:t>
      </w:r>
      <w:r>
        <w:rPr>
          <w:bCs/>
        </w:rPr>
        <w:t xml:space="preserve"> </w:t>
      </w:r>
      <w:r w:rsidRPr="5449AF1D">
        <w:t>the stolen goods to seizure and forfeiture.</w:t>
      </w:r>
      <w:r w:rsidRPr="5449AF1D">
        <w:rPr>
          <w:rStyle w:val="EndnoteReference"/>
        </w:rPr>
        <w:endnoteReference w:id="39"/>
      </w:r>
      <w:r>
        <w:rPr>
          <w:bCs/>
        </w:rPr>
        <w:t xml:space="preserve"> </w:t>
      </w:r>
    </w:p>
    <w:p w14:paraId="7996D617" w14:textId="2C82DD67" w:rsidR="00A75023" w:rsidRDefault="00A75023" w:rsidP="00D2024F">
      <w:pPr>
        <w:spacing w:after="120" w:line="480" w:lineRule="auto"/>
        <w:ind w:firstLine="360"/>
      </w:pPr>
      <w:r w:rsidRPr="00596836">
        <w:t>Notice that the NSPA includes what the law calls a “scienter” requirement:</w:t>
      </w:r>
      <w:r w:rsidR="00E46F8E">
        <w:t xml:space="preserve"> </w:t>
      </w:r>
      <w:r w:rsidRPr="00596836">
        <w:t xml:space="preserve">a person cannot be held liable under the NSPA </w:t>
      </w:r>
      <w:r>
        <w:t>absent knowledge that</w:t>
      </w:r>
      <w:r w:rsidRPr="00596836">
        <w:t xml:space="preserve"> the goods were stolen. </w:t>
      </w:r>
      <w:r>
        <w:t>However, in the context of antiquities, at least one federal Circuit Court of Appeals has held that conscious avoidance of information that would reveal whether the work is stolen constitutes actual knowledge sufficient to satisfy the scienter requirement.</w:t>
      </w:r>
      <w:r>
        <w:rPr>
          <w:rStyle w:val="EndnoteReference"/>
        </w:rPr>
        <w:endnoteReference w:id="40"/>
      </w:r>
      <w:r>
        <w:t xml:space="preserve"> </w:t>
      </w:r>
      <w:r w:rsidRPr="00596836">
        <w:t>Notice, too, that</w:t>
      </w:r>
      <w:r>
        <w:t xml:space="preserve"> </w:t>
      </w:r>
      <w:r w:rsidRPr="006108EB">
        <w:rPr>
          <w:i/>
          <w:iCs/>
        </w:rPr>
        <w:t xml:space="preserve">possession </w:t>
      </w:r>
      <w:r w:rsidRPr="00596836">
        <w:t xml:space="preserve">of property </w:t>
      </w:r>
      <w:r>
        <w:t xml:space="preserve">that is </w:t>
      </w:r>
      <w:r w:rsidRPr="00596836">
        <w:t>known to be stolen</w:t>
      </w:r>
      <w:r>
        <w:t>,</w:t>
      </w:r>
      <w:r w:rsidRPr="00596836">
        <w:t xml:space="preserve"> valued at more than $5,000</w:t>
      </w:r>
      <w:r>
        <w:t xml:space="preserve">, and </w:t>
      </w:r>
      <w:r w:rsidRPr="00596836">
        <w:t xml:space="preserve">has “crossed a State or United States boundary” violates </w:t>
      </w:r>
      <w:r>
        <w:t>18 U.S.C. § 2315</w:t>
      </w:r>
      <w:r w:rsidRPr="00596836">
        <w:t xml:space="preserve">. </w:t>
      </w:r>
      <w:r>
        <w:t>Because p</w:t>
      </w:r>
      <w:r w:rsidRPr="00596836">
        <w:t xml:space="preserve">ossession is a continuing crime, </w:t>
      </w:r>
      <w:r>
        <w:t>arguably</w:t>
      </w:r>
      <w:r w:rsidRPr="00596836">
        <w:t xml:space="preserve"> no statute of limitations is available as a defense</w:t>
      </w:r>
      <w:r>
        <w:t>:</w:t>
      </w:r>
      <w:r w:rsidRPr="00596836">
        <w:t xml:space="preserve"> each moment of possession constitutes a new violation.</w:t>
      </w:r>
    </w:p>
    <w:p w14:paraId="58ED28A4" w14:textId="62DC6217" w:rsidR="00A75023" w:rsidRDefault="00A75023" w:rsidP="00D2024F">
      <w:pPr>
        <w:spacing w:after="120" w:line="480" w:lineRule="auto"/>
        <w:ind w:firstLine="360"/>
      </w:pPr>
      <w:r>
        <w:t xml:space="preserve">The NSPA applies to a much broader category of stolen property than the CCPIA, which is limited to inventoried works stolen from a “museum, or religious or secular public monument or </w:t>
      </w:r>
      <w:r>
        <w:lastRenderedPageBreak/>
        <w:t>similar institution.”</w:t>
      </w:r>
      <w:r>
        <w:rPr>
          <w:rStyle w:val="EndnoteReference"/>
        </w:rPr>
        <w:endnoteReference w:id="41"/>
      </w:r>
      <w:r>
        <w:t xml:space="preserve"> The NSPA applies to </w:t>
      </w:r>
      <w:r w:rsidRPr="5449AF1D">
        <w:rPr>
          <w:i/>
          <w:iCs/>
        </w:rPr>
        <w:t>any</w:t>
      </w:r>
      <w:r>
        <w:t xml:space="preserve"> stolen goods within its statutory language.</w:t>
      </w:r>
      <w:r w:rsidR="00FA7F9B">
        <w:t xml:space="preserve"> </w:t>
      </w:r>
      <w:r>
        <w:t>Moreover, courts applying the NSPA have interpreted the word “stolen” broadly.</w:t>
      </w:r>
      <w:r w:rsidRPr="5449AF1D">
        <w:rPr>
          <w:rStyle w:val="EndnoteReference"/>
        </w:rPr>
        <w:endnoteReference w:id="42"/>
      </w:r>
      <w:r w:rsidR="00102E2B">
        <w:t xml:space="preserve"> </w:t>
      </w:r>
    </w:p>
    <w:p w14:paraId="70D644A9" w14:textId="77777777" w:rsidR="00893E88" w:rsidRPr="00596836" w:rsidRDefault="00893E88" w:rsidP="00D2024F">
      <w:pPr>
        <w:spacing w:after="120" w:line="480" w:lineRule="auto"/>
        <w:ind w:firstLine="360"/>
      </w:pPr>
    </w:p>
    <w:p w14:paraId="23195D37" w14:textId="6CFC30CF" w:rsidR="00A75023" w:rsidRPr="00763208" w:rsidRDefault="00A75023" w:rsidP="00763208">
      <w:pPr>
        <w:pStyle w:val="Heading4"/>
        <w:rPr>
          <w:i w:val="0"/>
          <w:iCs w:val="0"/>
          <w:color w:val="000000" w:themeColor="text1"/>
        </w:rPr>
      </w:pPr>
      <w:bookmarkStart w:id="9" w:name="_Toc95566548"/>
      <w:r w:rsidRPr="00763208">
        <w:rPr>
          <w:i w:val="0"/>
          <w:iCs w:val="0"/>
          <w:color w:val="000000" w:themeColor="text1"/>
        </w:rPr>
        <w:t>Foreign Countries’ Laws and the U.S. National Stolen Property Act</w:t>
      </w:r>
      <w:bookmarkEnd w:id="9"/>
    </w:p>
    <w:p w14:paraId="4B64576B" w14:textId="77777777" w:rsidR="00F557B4" w:rsidRPr="00F557B4" w:rsidRDefault="00F557B4" w:rsidP="00F557B4"/>
    <w:p w14:paraId="5E26131D" w14:textId="3EF62206" w:rsidR="00A75023" w:rsidRPr="00596836" w:rsidRDefault="00A75023" w:rsidP="00893E88">
      <w:pPr>
        <w:spacing w:before="120" w:after="120" w:line="480" w:lineRule="auto"/>
      </w:pPr>
      <w:r w:rsidRPr="00596836">
        <w:t xml:space="preserve">Starting in the 19th century and with increased frequency following World War II, antiquities-rich countries enacted what are </w:t>
      </w:r>
      <w:r>
        <w:t xml:space="preserve">generally </w:t>
      </w:r>
      <w:r w:rsidRPr="00596836">
        <w:t xml:space="preserve">referred to as </w:t>
      </w:r>
      <w:r w:rsidRPr="00BF5586">
        <w:rPr>
          <w:i/>
          <w:iCs/>
        </w:rPr>
        <w:t>patrimony statutes</w:t>
      </w:r>
      <w:r w:rsidRPr="00596836">
        <w:t xml:space="preserve">. </w:t>
      </w:r>
      <w:r>
        <w:t xml:space="preserve">These laws typically </w:t>
      </w:r>
      <w:r w:rsidRPr="00596836">
        <w:t xml:space="preserve">address three issues: </w:t>
      </w:r>
      <w:r>
        <w:t xml:space="preserve">requirements for </w:t>
      </w:r>
      <w:r w:rsidRPr="00596836">
        <w:t xml:space="preserve">archaeological excavations, ownership of and trade in antiquities, and exportation of </w:t>
      </w:r>
      <w:r>
        <w:t xml:space="preserve">antiquities and other </w:t>
      </w:r>
      <w:r w:rsidRPr="00596836">
        <w:t>cultural property.</w:t>
      </w:r>
      <w:r w:rsidR="00E46F8E">
        <w:t xml:space="preserve"> </w:t>
      </w:r>
    </w:p>
    <w:p w14:paraId="75B8151A" w14:textId="35BBFC60" w:rsidR="00A75023" w:rsidRPr="00596836" w:rsidRDefault="00A75023" w:rsidP="00D2024F">
      <w:pPr>
        <w:spacing w:after="120" w:line="480" w:lineRule="auto"/>
        <w:ind w:firstLine="360"/>
      </w:pPr>
      <w:r>
        <w:t>Most patrimony statutes nationalize</w:t>
      </w:r>
      <w:r w:rsidR="00FA7F9B">
        <w:t>—</w:t>
      </w:r>
      <w:r>
        <w:t>that is, d</w:t>
      </w:r>
      <w:r w:rsidRPr="00596836">
        <w:t xml:space="preserve">eclare the </w:t>
      </w:r>
      <w:r>
        <w:t>country</w:t>
      </w:r>
      <w:r w:rsidRPr="00596836">
        <w:t xml:space="preserve"> to be the owner o</w:t>
      </w:r>
      <w:r>
        <w:t>f</w:t>
      </w:r>
      <w:r w:rsidR="00FA7F9B">
        <w:t>—</w:t>
      </w:r>
      <w:r>
        <w:t>a</w:t>
      </w:r>
      <w:r w:rsidRPr="00596836">
        <w:t>ntiquities located within the country’s borders</w:t>
      </w:r>
      <w:r>
        <w:t>.</w:t>
      </w:r>
      <w:r w:rsidRPr="00596836">
        <w:t xml:space="preserve"> </w:t>
      </w:r>
      <w:r>
        <w:t xml:space="preserve">These </w:t>
      </w:r>
      <w:r w:rsidRPr="00BF5586">
        <w:rPr>
          <w:i/>
          <w:iCs/>
        </w:rPr>
        <w:t>vesting statutes</w:t>
      </w:r>
      <w:r>
        <w:t xml:space="preserve"> generally</w:t>
      </w:r>
      <w:r w:rsidRPr="00596836">
        <w:t xml:space="preserve"> permit </w:t>
      </w:r>
      <w:r>
        <w:t xml:space="preserve">continued </w:t>
      </w:r>
      <w:r w:rsidRPr="00596836">
        <w:t xml:space="preserve">private ownership of antiquities </w:t>
      </w:r>
      <w:r>
        <w:t xml:space="preserve">that were privately owned prior to their enactment </w:t>
      </w:r>
      <w:r w:rsidRPr="00596836">
        <w:t>but require owners to register th</w:t>
      </w:r>
      <w:r>
        <w:t>os</w:t>
      </w:r>
      <w:r w:rsidRPr="00596836">
        <w:t>e objects with a governmental agency</w:t>
      </w:r>
      <w:r>
        <w:t xml:space="preserve">. </w:t>
      </w:r>
      <w:r w:rsidRPr="00596836">
        <w:t xml:space="preserve">A major goal of vesting statutes is to </w:t>
      </w:r>
      <w:r>
        <w:t xml:space="preserve">vest title to </w:t>
      </w:r>
      <w:r w:rsidRPr="00596836">
        <w:t>unknow</w:t>
      </w:r>
      <w:r>
        <w:t>n</w:t>
      </w:r>
      <w:r w:rsidR="00FA7F9B">
        <w:t>—</w:t>
      </w:r>
      <w:r>
        <w:t>that is,</w:t>
      </w:r>
      <w:r w:rsidRPr="00596836">
        <w:t xml:space="preserve"> unearthe</w:t>
      </w:r>
      <w:r>
        <w:t>d</w:t>
      </w:r>
      <w:r w:rsidR="00FA7F9B">
        <w:t>—</w:t>
      </w:r>
      <w:r>
        <w:t>a</w:t>
      </w:r>
      <w:r w:rsidRPr="00596836">
        <w:t xml:space="preserve">ntiquities </w:t>
      </w:r>
      <w:r>
        <w:t xml:space="preserve">to deter the </w:t>
      </w:r>
      <w:r w:rsidRPr="00596836">
        <w:t xml:space="preserve">looting </w:t>
      </w:r>
      <w:r>
        <w:t xml:space="preserve">of archaeological sites and the resulting destruction </w:t>
      </w:r>
      <w:r w:rsidRPr="00596836">
        <w:t xml:space="preserve">of </w:t>
      </w:r>
      <w:r>
        <w:t xml:space="preserve">the site’s </w:t>
      </w:r>
      <w:r w:rsidRPr="00596836">
        <w:t xml:space="preserve">archaeological </w:t>
      </w:r>
      <w:r>
        <w:t>record</w:t>
      </w:r>
      <w:r w:rsidRPr="00596836">
        <w:t xml:space="preserve">. Vesting statutes create property rights: the nation becomes the </w:t>
      </w:r>
      <w:r>
        <w:t>legal</w:t>
      </w:r>
      <w:r w:rsidRPr="00596836">
        <w:t xml:space="preserve"> owner of antiquities within </w:t>
      </w:r>
      <w:r>
        <w:t>their</w:t>
      </w:r>
      <w:r w:rsidRPr="00596836">
        <w:t xml:space="preserve"> ambit.</w:t>
      </w:r>
    </w:p>
    <w:p w14:paraId="6F7F36AF" w14:textId="490640A9" w:rsidR="00A75023" w:rsidRPr="00596836" w:rsidRDefault="00A75023" w:rsidP="00D2024F">
      <w:pPr>
        <w:spacing w:after="120" w:line="480" w:lineRule="auto"/>
        <w:ind w:firstLine="360"/>
      </w:pPr>
      <w:r w:rsidRPr="00596836">
        <w:t>Export laws, on the other hand, are regulatory: they do not create property rights but merely describe the circumstances under which an object may lawfully be exported. Export laws range (either at law or in effect) from near</w:t>
      </w:r>
      <w:r w:rsidR="005B55ED">
        <w:t xml:space="preserve"> </w:t>
      </w:r>
      <w:r w:rsidRPr="00596836">
        <w:t xml:space="preserve">complete bans on the export of antiquities to schemes allowing some antiquities (typically those of lesser importance) to be granted an export permit and, thus, </w:t>
      </w:r>
      <w:r>
        <w:t xml:space="preserve">be </w:t>
      </w:r>
      <w:r w:rsidRPr="00596836">
        <w:t>export</w:t>
      </w:r>
      <w:r>
        <w:t>ed lawfully</w:t>
      </w:r>
      <w:r w:rsidRPr="00596836">
        <w:t>. It is a general rule of international law that the regulatory laws of one country are not enforceable in another country</w:t>
      </w:r>
      <w:r>
        <w:t xml:space="preserve"> absent a treaty obligation to the contrary.</w:t>
      </w:r>
      <w:r>
        <w:rPr>
          <w:rStyle w:val="EndnoteReference"/>
        </w:rPr>
        <w:endnoteReference w:id="43"/>
      </w:r>
      <w:r w:rsidR="00FA7F9B">
        <w:t xml:space="preserve"> </w:t>
      </w:r>
      <w:r>
        <w:lastRenderedPageBreak/>
        <w:t xml:space="preserve">Thus, violations of a country’s export laws are generally </w:t>
      </w:r>
      <w:r w:rsidRPr="00596836">
        <w:t>actionable only in that country</w:t>
      </w:r>
      <w:r>
        <w:t>.</w:t>
      </w:r>
      <w:r w:rsidRPr="00596836">
        <w:t xml:space="preserve"> Property rights differ</w:t>
      </w:r>
      <w:r>
        <w:t>: a theft victim (whether an individual, institution, or country) generally can sue to recover stolen property wherever that property is discovered.</w:t>
      </w:r>
      <w:r w:rsidR="00BD3E66">
        <w:t xml:space="preserve"> </w:t>
      </w:r>
    </w:p>
    <w:p w14:paraId="24BDBECA" w14:textId="2D6329B1" w:rsidR="00A75023" w:rsidRPr="00596836" w:rsidRDefault="00A75023" w:rsidP="00D2024F">
      <w:pPr>
        <w:spacing w:after="120" w:line="480" w:lineRule="auto"/>
        <w:ind w:firstLine="360"/>
      </w:pPr>
      <w:r w:rsidRPr="00596836">
        <w:t>The question then arises whether illegal export of an antiquity from a country that has enacted a vesting statute constitute</w:t>
      </w:r>
      <w:r>
        <w:t>s</w:t>
      </w:r>
      <w:r w:rsidRPr="00596836">
        <w:t xml:space="preserve"> theft</w:t>
      </w:r>
      <w:r w:rsidR="005B55ED">
        <w:t>.</w:t>
      </w:r>
      <w:r w:rsidRPr="00596836">
        <w:t xml:space="preserve"> In 1977 a federal </w:t>
      </w:r>
      <w:r>
        <w:t>Circuit Court of Appeals</w:t>
      </w:r>
      <w:r w:rsidRPr="00596836">
        <w:t xml:space="preserve"> </w:t>
      </w:r>
      <w:r>
        <w:t>first addressed</w:t>
      </w:r>
      <w:r w:rsidRPr="00596836">
        <w:t xml:space="preserve"> that question. </w:t>
      </w:r>
      <w:r>
        <w:t>I</w:t>
      </w:r>
      <w:r w:rsidRPr="00596836">
        <w:t>n the landmark ca</w:t>
      </w:r>
      <w:r w:rsidRPr="00CF258E">
        <w:t xml:space="preserve">se, </w:t>
      </w:r>
      <w:r w:rsidRPr="00CF258E">
        <w:rPr>
          <w:i/>
          <w:iCs/>
        </w:rPr>
        <w:t>U</w:t>
      </w:r>
      <w:r w:rsidR="00B854C9" w:rsidRPr="00CF258E">
        <w:rPr>
          <w:i/>
          <w:iCs/>
        </w:rPr>
        <w:t xml:space="preserve">nited </w:t>
      </w:r>
      <w:r w:rsidRPr="00CF258E">
        <w:rPr>
          <w:i/>
          <w:iCs/>
        </w:rPr>
        <w:t>S</w:t>
      </w:r>
      <w:r w:rsidR="00B854C9" w:rsidRPr="00CF258E">
        <w:rPr>
          <w:i/>
          <w:iCs/>
        </w:rPr>
        <w:t>tates</w:t>
      </w:r>
      <w:r w:rsidRPr="00CF258E">
        <w:rPr>
          <w:i/>
          <w:iCs/>
        </w:rPr>
        <w:t xml:space="preserve"> v. McClain</w:t>
      </w:r>
      <w:r w:rsidRPr="00CF258E">
        <w:t>,</w:t>
      </w:r>
      <w:r>
        <w:t xml:space="preserve"> </w:t>
      </w:r>
      <w:r w:rsidRPr="00596836">
        <w:t>a federal judge began his opinion with th</w:t>
      </w:r>
      <w:r>
        <w:t>is</w:t>
      </w:r>
      <w:r w:rsidRPr="00596836">
        <w:t xml:space="preserve"> </w:t>
      </w:r>
      <w:r>
        <w:t xml:space="preserve">remarkable sentence: </w:t>
      </w:r>
      <w:r w:rsidRPr="00596836">
        <w:t>“Museum directors, art dealers, and innumerable private collectors throughout this country must have been in a state of shock when they read the news</w:t>
      </w:r>
      <w:r w:rsidR="00FA7F9B">
        <w:t>—</w:t>
      </w:r>
      <w:r w:rsidRPr="00596836">
        <w:t>if they did</w:t>
      </w:r>
      <w:r w:rsidR="00FA7F9B">
        <w:t>—</w:t>
      </w:r>
      <w:r w:rsidRPr="00596836">
        <w:t>of the convictions of the five defendants in this case.”</w:t>
      </w:r>
      <w:r w:rsidRPr="00F72213">
        <w:rPr>
          <w:rStyle w:val="EndnoteReference"/>
        </w:rPr>
        <w:endnoteReference w:id="44"/>
      </w:r>
      <w:r w:rsidRPr="00F72213">
        <w:rPr>
          <w:rStyle w:val="EndnoteReference"/>
        </w:rPr>
        <w:t xml:space="preserve"> </w:t>
      </w:r>
      <w:r w:rsidRPr="00596836">
        <w:t>The shock derived from the U.S. government’s novel application of the NSPA.</w:t>
      </w:r>
      <w:r w:rsidR="00E46F8E">
        <w:t xml:space="preserve"> </w:t>
      </w:r>
    </w:p>
    <w:p w14:paraId="1E4D1BEF" w14:textId="3A3B58BF" w:rsidR="00A75023" w:rsidRPr="00596836" w:rsidRDefault="00A75023" w:rsidP="00D2024F">
      <w:pPr>
        <w:spacing w:after="120" w:line="480" w:lineRule="auto"/>
        <w:ind w:firstLine="360"/>
      </w:pPr>
      <w:r w:rsidRPr="00596836">
        <w:t xml:space="preserve">The case involved recently looted (and therefore unprovenanced), pre-Columbian antiquities exported from Mexico without an export license. The </w:t>
      </w:r>
      <w:r>
        <w:t xml:space="preserve">Fifth Circuit Court of Appeals affirmed the </w:t>
      </w:r>
      <w:r w:rsidRPr="00596836">
        <w:t>trial court</w:t>
      </w:r>
      <w:r>
        <w:t>’s</w:t>
      </w:r>
      <w:r w:rsidRPr="00596836">
        <w:t xml:space="preserve"> determin</w:t>
      </w:r>
      <w:r>
        <w:t xml:space="preserve">ation </w:t>
      </w:r>
      <w:r w:rsidRPr="00596836">
        <w:t xml:space="preserve">that illicit export </w:t>
      </w:r>
      <w:r>
        <w:t xml:space="preserve">of the antiquities </w:t>
      </w:r>
      <w:r w:rsidRPr="00596836">
        <w:t>after Mexico had enacted legislation nationalizing the</w:t>
      </w:r>
      <w:r>
        <w:t xml:space="preserve">m permitted the antiquities to be characterized as </w:t>
      </w:r>
      <w:r w:rsidRPr="00596836">
        <w:t xml:space="preserve">stolen </w:t>
      </w:r>
      <w:r>
        <w:t xml:space="preserve">within the meaning </w:t>
      </w:r>
      <w:r w:rsidRPr="00596836">
        <w:t>of the NSPA</w:t>
      </w:r>
      <w:r>
        <w:t>.</w:t>
      </w:r>
      <w:r w:rsidRPr="00F72213">
        <w:rPr>
          <w:rStyle w:val="EndnoteReference"/>
        </w:rPr>
        <w:endnoteReference w:id="45"/>
      </w:r>
      <w:r w:rsidRPr="00596836">
        <w:t xml:space="preserve"> A later opinion in the long history of the case summarized what has come to be known as the “McClain Doctrine</w:t>
      </w:r>
      <w:r w:rsidR="00FA7F9B">
        <w:t>”</w:t>
      </w:r>
      <w:r w:rsidRPr="00596836">
        <w:t>:</w:t>
      </w:r>
    </w:p>
    <w:p w14:paraId="0F355D6B" w14:textId="6A484302" w:rsidR="00A75023" w:rsidRPr="00596836" w:rsidRDefault="00A75023" w:rsidP="00D2024F">
      <w:pPr>
        <w:spacing w:after="120" w:line="480" w:lineRule="auto"/>
        <w:ind w:left="720" w:right="720"/>
        <w:rPr>
          <w:bCs/>
        </w:rPr>
      </w:pPr>
      <w:r w:rsidRPr="00596836">
        <w:rPr>
          <w:bCs/>
        </w:rPr>
        <w:t>The legal theory under which the case was tried was that the artifacts were “stolen” only in the sense that Mexico generally has declared itself owner of all pre-Columbian artifacts found within its borders. Thus, anyone who digs up or finds such an item and deals in it without governmental permission has unlawfully converted the item from its proper owner.</w:t>
      </w:r>
      <w:r w:rsidRPr="00596836">
        <w:rPr>
          <w:rStyle w:val="EndnoteReference"/>
          <w:bCs/>
        </w:rPr>
        <w:endnoteReference w:id="46"/>
      </w:r>
    </w:p>
    <w:p w14:paraId="0D4D9130" w14:textId="42E50D41" w:rsidR="00A75023" w:rsidRPr="00596836" w:rsidRDefault="00A75023" w:rsidP="00D2024F">
      <w:pPr>
        <w:spacing w:after="120" w:line="480" w:lineRule="auto"/>
      </w:pPr>
      <w:r w:rsidRPr="00596836">
        <w:t>Nevertheless, the convictions under the NSPA were reversed on grounds that the Mexican law</w:t>
      </w:r>
      <w:r w:rsidR="00FF32EF">
        <w:t xml:space="preserve"> (prior to 1972)</w:t>
      </w:r>
      <w:r w:rsidRPr="00596836">
        <w:t xml:space="preserve"> had not expressed Mexico’s ownership “with sufficient clarity to survive </w:t>
      </w:r>
      <w:r w:rsidRPr="00596836">
        <w:lastRenderedPageBreak/>
        <w:t>translation into terms understandable by and binding upon American citizens.”</w:t>
      </w:r>
      <w:r w:rsidRPr="00F72213">
        <w:rPr>
          <w:rStyle w:val="EndnoteReference"/>
        </w:rPr>
        <w:endnoteReference w:id="47"/>
      </w:r>
      <w:r w:rsidRPr="00596836">
        <w:t xml:space="preserve"> The court did not address how clear a foreign vesting statute must be to be “understandable by and binding upon” U.S. citizens. Twenty years later in a case involving important Egyptian antiquities, </w:t>
      </w:r>
      <w:bookmarkStart w:id="11" w:name="_Hlk192154864"/>
      <w:r w:rsidRPr="5449AF1D">
        <w:rPr>
          <w:i/>
          <w:iCs/>
        </w:rPr>
        <w:t>United States v. Schultz</w:t>
      </w:r>
      <w:bookmarkEnd w:id="11"/>
      <w:r w:rsidRPr="00596836">
        <w:t xml:space="preserve">, the Second Circuit Court of Appeals ratified the basic McClain </w:t>
      </w:r>
      <w:r>
        <w:t>D</w:t>
      </w:r>
      <w:r w:rsidRPr="00596836">
        <w:t>octrine with an important modification.</w:t>
      </w:r>
      <w:r w:rsidRPr="00F72213">
        <w:rPr>
          <w:rStyle w:val="EndnoteReference"/>
        </w:rPr>
        <w:endnoteReference w:id="48"/>
      </w:r>
      <w:r w:rsidR="00E46F8E">
        <w:t xml:space="preserve"> </w:t>
      </w:r>
    </w:p>
    <w:p w14:paraId="73C7A491" w14:textId="3417F09B" w:rsidR="00A75023" w:rsidRPr="00596836" w:rsidRDefault="00A75023" w:rsidP="00D2024F">
      <w:pPr>
        <w:spacing w:after="120" w:line="480" w:lineRule="auto"/>
        <w:ind w:firstLine="360"/>
      </w:pPr>
      <w:r>
        <w:t>Frederick Schultz, a New York</w:t>
      </w:r>
      <w:r w:rsidR="005B55ED">
        <w:t>–</w:t>
      </w:r>
      <w:r>
        <w:t xml:space="preserve">based antiquities dealer, was convicted of violating the National Stolen Property Act for importing Egyptian antiquities in violation of Egypt’s </w:t>
      </w:r>
      <w:proofErr w:type="spellStart"/>
      <w:r>
        <w:t>partrimony</w:t>
      </w:r>
      <w:proofErr w:type="spellEnd"/>
      <w:r>
        <w:t xml:space="preserve"> statute that, inter alia, vested title to the antiquities in the nation. The </w:t>
      </w:r>
      <w:r w:rsidRPr="5449AF1D">
        <w:rPr>
          <w:i/>
          <w:iCs/>
        </w:rPr>
        <w:t>Schultz</w:t>
      </w:r>
      <w:r>
        <w:t xml:space="preserve"> court</w:t>
      </w:r>
      <w:r w:rsidRPr="00596836">
        <w:t xml:space="preserve"> found that Egypt’s vesting statute was “clear and unambiguous, and that the antiquities that were the subject of the conspiracy in [th</w:t>
      </w:r>
      <w:r>
        <w:t>is</w:t>
      </w:r>
      <w:r w:rsidRPr="00596836">
        <w:t>] case were owned by the Egyptian government.”</w:t>
      </w:r>
      <w:r w:rsidRPr="00F72213">
        <w:rPr>
          <w:rStyle w:val="EndnoteReference"/>
        </w:rPr>
        <w:endnoteReference w:id="49"/>
      </w:r>
      <w:r w:rsidRPr="00596836">
        <w:t xml:space="preserve"> But the court added a</w:t>
      </w:r>
      <w:r>
        <w:t xml:space="preserve"> new requirement</w:t>
      </w:r>
      <w:r w:rsidRPr="00596836">
        <w:t xml:space="preserve"> to the McClain Doctrine: the foreign country must assert </w:t>
      </w:r>
      <w:r>
        <w:t xml:space="preserve">actual </w:t>
      </w:r>
      <w:r w:rsidRPr="00596836">
        <w:t xml:space="preserve">ownership over the antiquities </w:t>
      </w:r>
      <w:r>
        <w:t>that its vesting statute nationalizes. Put another way,</w:t>
      </w:r>
      <w:r w:rsidR="00E46F8E">
        <w:t xml:space="preserve"> </w:t>
      </w:r>
      <w:r>
        <w:t xml:space="preserve">the </w:t>
      </w:r>
      <w:r w:rsidRPr="5449AF1D">
        <w:rPr>
          <w:i/>
          <w:iCs/>
        </w:rPr>
        <w:t>Schultz</w:t>
      </w:r>
      <w:r>
        <w:t xml:space="preserve"> court found that a mere declaration of national ownership, even if clear, was insufficient: there must also be evidence that the foreign country makes efforts to assert its property rights in those antiquities.</w:t>
      </w:r>
      <w:r>
        <w:rPr>
          <w:rStyle w:val="EndnoteReference"/>
        </w:rPr>
        <w:endnoteReference w:id="50"/>
      </w:r>
      <w:r>
        <w:t xml:space="preserve"> </w:t>
      </w:r>
      <w:r w:rsidRPr="00596836">
        <w:t xml:space="preserve">The court had no difficulty finding that Egypt </w:t>
      </w:r>
      <w:r>
        <w:t xml:space="preserve">met that requirement. The court noted that Egypt </w:t>
      </w:r>
      <w:r w:rsidRPr="00596836">
        <w:t>enforced its patrimony statute domestically, primarily through a specialized antiquities police force.</w:t>
      </w:r>
      <w:r w:rsidR="00E46F8E">
        <w:t xml:space="preserve"> </w:t>
      </w:r>
    </w:p>
    <w:p w14:paraId="4D014F7A" w14:textId="0DA03194" w:rsidR="00A75023" w:rsidRPr="00596836" w:rsidRDefault="00A75023" w:rsidP="00D2024F">
      <w:pPr>
        <w:spacing w:line="480" w:lineRule="auto"/>
        <w:ind w:firstLine="360"/>
      </w:pPr>
      <w:r w:rsidRPr="00596836">
        <w:t xml:space="preserve">What then does the McClain Doctrine </w:t>
      </w:r>
      <w:r>
        <w:t>(</w:t>
      </w:r>
      <w:r w:rsidRPr="00596836">
        <w:t xml:space="preserve">as modified by </w:t>
      </w:r>
      <w:r w:rsidRPr="009D5C58">
        <w:rPr>
          <w:i/>
          <w:iCs/>
        </w:rPr>
        <w:t>Schultz</w:t>
      </w:r>
      <w:r>
        <w:t>)</w:t>
      </w:r>
      <w:r w:rsidRPr="00596836">
        <w:t xml:space="preserve"> mean for provenance </w:t>
      </w:r>
      <w:r>
        <w:t>purposes</w:t>
      </w:r>
      <w:r w:rsidRPr="00596836">
        <w:t xml:space="preserve">? A great deal. It requires: </w:t>
      </w:r>
    </w:p>
    <w:p w14:paraId="4652DE73" w14:textId="2A536E53" w:rsidR="00A75023" w:rsidRPr="00596836" w:rsidRDefault="00C61B9E" w:rsidP="00D2024F">
      <w:pPr>
        <w:pStyle w:val="ListParagraph"/>
        <w:numPr>
          <w:ilvl w:val="0"/>
          <w:numId w:val="3"/>
        </w:numPr>
        <w:spacing w:line="480" w:lineRule="auto"/>
        <w:contextualSpacing w:val="0"/>
        <w:rPr>
          <w:rFonts w:ascii="Times New Roman" w:hAnsi="Times New Roman" w:cs="Times New Roman"/>
          <w:bCs/>
        </w:rPr>
      </w:pPr>
      <w:r>
        <w:rPr>
          <w:rFonts w:ascii="Times New Roman" w:hAnsi="Times New Roman" w:cs="Times New Roman"/>
          <w:bCs/>
        </w:rPr>
        <w:t>d</w:t>
      </w:r>
      <w:r w:rsidR="00A75023" w:rsidRPr="00596836">
        <w:rPr>
          <w:rFonts w:ascii="Times New Roman" w:hAnsi="Times New Roman" w:cs="Times New Roman"/>
          <w:bCs/>
        </w:rPr>
        <w:t xml:space="preserve">etermining when and in which country </w:t>
      </w:r>
      <w:r w:rsidR="00A75023">
        <w:rPr>
          <w:rFonts w:ascii="Times New Roman" w:hAnsi="Times New Roman" w:cs="Times New Roman"/>
          <w:bCs/>
        </w:rPr>
        <w:t>an</w:t>
      </w:r>
      <w:r w:rsidR="00A75023" w:rsidRPr="00596836">
        <w:rPr>
          <w:rFonts w:ascii="Times New Roman" w:hAnsi="Times New Roman" w:cs="Times New Roman"/>
          <w:bCs/>
        </w:rPr>
        <w:t xml:space="preserve"> antiquity was discovered in modern </w:t>
      </w:r>
      <w:proofErr w:type="gramStart"/>
      <w:r w:rsidR="00A75023" w:rsidRPr="00596836">
        <w:rPr>
          <w:rFonts w:ascii="Times New Roman" w:hAnsi="Times New Roman" w:cs="Times New Roman"/>
          <w:bCs/>
        </w:rPr>
        <w:t>times;</w:t>
      </w:r>
      <w:proofErr w:type="gramEnd"/>
    </w:p>
    <w:p w14:paraId="545F3A96" w14:textId="5DBC2B3C" w:rsidR="00A75023" w:rsidRPr="00596836" w:rsidRDefault="00C61B9E" w:rsidP="00D2024F">
      <w:pPr>
        <w:pStyle w:val="ListParagraph"/>
        <w:numPr>
          <w:ilvl w:val="0"/>
          <w:numId w:val="3"/>
        </w:numPr>
        <w:spacing w:line="480" w:lineRule="auto"/>
        <w:contextualSpacing w:val="0"/>
        <w:rPr>
          <w:rFonts w:ascii="Times New Roman" w:hAnsi="Times New Roman" w:cs="Times New Roman"/>
          <w:bCs/>
        </w:rPr>
      </w:pPr>
      <w:r>
        <w:rPr>
          <w:rFonts w:ascii="Times New Roman" w:hAnsi="Times New Roman" w:cs="Times New Roman"/>
          <w:bCs/>
        </w:rPr>
        <w:t>i</w:t>
      </w:r>
      <w:r w:rsidR="00A75023" w:rsidRPr="00596836">
        <w:rPr>
          <w:rFonts w:ascii="Times New Roman" w:hAnsi="Times New Roman" w:cs="Times New Roman"/>
          <w:bCs/>
        </w:rPr>
        <w:t xml:space="preserve">dentifying the laws of that country in effect </w:t>
      </w:r>
      <w:r w:rsidR="00A75023">
        <w:rPr>
          <w:rFonts w:ascii="Times New Roman" w:hAnsi="Times New Roman" w:cs="Times New Roman"/>
          <w:bCs/>
        </w:rPr>
        <w:t>when</w:t>
      </w:r>
      <w:r w:rsidR="00A75023" w:rsidRPr="00596836">
        <w:rPr>
          <w:rFonts w:ascii="Times New Roman" w:hAnsi="Times New Roman" w:cs="Times New Roman"/>
          <w:bCs/>
        </w:rPr>
        <w:t xml:space="preserve"> the antiquity was discovered and </w:t>
      </w:r>
      <w:r w:rsidR="00A75023">
        <w:rPr>
          <w:rFonts w:ascii="Times New Roman" w:hAnsi="Times New Roman" w:cs="Times New Roman"/>
          <w:bCs/>
        </w:rPr>
        <w:t>when</w:t>
      </w:r>
      <w:r w:rsidR="00A75023" w:rsidRPr="00596836">
        <w:rPr>
          <w:rFonts w:ascii="Times New Roman" w:hAnsi="Times New Roman" w:cs="Times New Roman"/>
          <w:bCs/>
        </w:rPr>
        <w:t xml:space="preserve"> it was </w:t>
      </w:r>
      <w:proofErr w:type="gramStart"/>
      <w:r w:rsidR="00A75023" w:rsidRPr="00596836">
        <w:rPr>
          <w:rFonts w:ascii="Times New Roman" w:hAnsi="Times New Roman" w:cs="Times New Roman"/>
          <w:bCs/>
        </w:rPr>
        <w:t>exported;</w:t>
      </w:r>
      <w:proofErr w:type="gramEnd"/>
    </w:p>
    <w:p w14:paraId="742CC787" w14:textId="16D388C5" w:rsidR="00A75023" w:rsidRPr="00596836" w:rsidRDefault="00C61B9E" w:rsidP="00D2024F">
      <w:pPr>
        <w:pStyle w:val="ListParagraph"/>
        <w:numPr>
          <w:ilvl w:val="0"/>
          <w:numId w:val="3"/>
        </w:numPr>
        <w:spacing w:line="480" w:lineRule="auto"/>
        <w:contextualSpacing w:val="0"/>
        <w:rPr>
          <w:rFonts w:ascii="Times New Roman" w:hAnsi="Times New Roman" w:cs="Times New Roman"/>
          <w:bCs/>
        </w:rPr>
      </w:pPr>
      <w:r>
        <w:rPr>
          <w:rFonts w:ascii="Times New Roman" w:hAnsi="Times New Roman" w:cs="Times New Roman"/>
          <w:bCs/>
        </w:rPr>
        <w:lastRenderedPageBreak/>
        <w:t>i</w:t>
      </w:r>
      <w:r w:rsidR="00A75023" w:rsidRPr="00A076E7">
        <w:rPr>
          <w:rFonts w:ascii="Times New Roman" w:hAnsi="Times New Roman" w:cs="Times New Roman"/>
          <w:bCs/>
        </w:rPr>
        <w:t xml:space="preserve">f at the time of </w:t>
      </w:r>
      <w:proofErr w:type="gramStart"/>
      <w:r w:rsidR="00A75023" w:rsidRPr="00A076E7">
        <w:rPr>
          <w:rFonts w:ascii="Times New Roman" w:hAnsi="Times New Roman" w:cs="Times New Roman"/>
          <w:bCs/>
        </w:rPr>
        <w:t>di</w:t>
      </w:r>
      <w:r w:rsidR="00A75023" w:rsidRPr="00DA382D">
        <w:rPr>
          <w:rFonts w:ascii="Times New Roman" w:hAnsi="Times New Roman" w:cs="Times New Roman"/>
          <w:bCs/>
        </w:rPr>
        <w:t>scovery</w:t>
      </w:r>
      <w:proofErr w:type="gramEnd"/>
      <w:r w:rsidR="00A75023" w:rsidRPr="00A076E7">
        <w:rPr>
          <w:rFonts w:ascii="Times New Roman" w:hAnsi="Times New Roman" w:cs="Times New Roman"/>
          <w:bCs/>
        </w:rPr>
        <w:t xml:space="preserve"> the country had nationalized antiquities</w:t>
      </w:r>
      <w:r w:rsidR="00A75023">
        <w:rPr>
          <w:rFonts w:ascii="Times New Roman" w:hAnsi="Times New Roman" w:cs="Times New Roman"/>
          <w:bCs/>
        </w:rPr>
        <w:t xml:space="preserve"> (that is, had enacted a vesting statute)</w:t>
      </w:r>
      <w:r w:rsidR="00A75023" w:rsidRPr="00A076E7">
        <w:rPr>
          <w:rFonts w:ascii="Times New Roman" w:hAnsi="Times New Roman" w:cs="Times New Roman"/>
          <w:bCs/>
        </w:rPr>
        <w:t xml:space="preserve">, assessing how clearly </w:t>
      </w:r>
      <w:r w:rsidR="00A75023">
        <w:rPr>
          <w:rFonts w:ascii="Times New Roman" w:hAnsi="Times New Roman" w:cs="Times New Roman"/>
          <w:bCs/>
        </w:rPr>
        <w:t>the</w:t>
      </w:r>
      <w:r w:rsidR="00A75023" w:rsidRPr="00A076E7">
        <w:rPr>
          <w:rFonts w:ascii="Times New Roman" w:hAnsi="Times New Roman" w:cs="Times New Roman"/>
          <w:bCs/>
        </w:rPr>
        <w:t xml:space="preserve"> declaration</w:t>
      </w:r>
      <w:r w:rsidR="00A75023" w:rsidRPr="00596836">
        <w:rPr>
          <w:rFonts w:ascii="Times New Roman" w:hAnsi="Times New Roman" w:cs="Times New Roman"/>
          <w:bCs/>
        </w:rPr>
        <w:t xml:space="preserve"> of national ownership is </w:t>
      </w:r>
      <w:r w:rsidR="00A75023">
        <w:rPr>
          <w:rFonts w:ascii="Times New Roman" w:hAnsi="Times New Roman" w:cs="Times New Roman"/>
          <w:bCs/>
        </w:rPr>
        <w:t xml:space="preserve">expressed </w:t>
      </w:r>
      <w:r w:rsidR="00A75023" w:rsidRPr="00596836">
        <w:rPr>
          <w:rFonts w:ascii="Times New Roman" w:hAnsi="Times New Roman" w:cs="Times New Roman"/>
          <w:bCs/>
        </w:rPr>
        <w:t>and wh</w:t>
      </w:r>
      <w:r w:rsidR="00A75023">
        <w:rPr>
          <w:rFonts w:ascii="Times New Roman" w:hAnsi="Times New Roman" w:cs="Times New Roman"/>
          <w:bCs/>
        </w:rPr>
        <w:t xml:space="preserve">ether the law has </w:t>
      </w:r>
      <w:proofErr w:type="gramStart"/>
      <w:r w:rsidR="00A75023" w:rsidRPr="00596836">
        <w:rPr>
          <w:rFonts w:ascii="Times New Roman" w:hAnsi="Times New Roman" w:cs="Times New Roman"/>
          <w:bCs/>
        </w:rPr>
        <w:t>exceptions</w:t>
      </w:r>
      <w:r w:rsidR="00A75023">
        <w:rPr>
          <w:rFonts w:ascii="Times New Roman" w:hAnsi="Times New Roman" w:cs="Times New Roman"/>
          <w:bCs/>
        </w:rPr>
        <w:t>;</w:t>
      </w:r>
      <w:proofErr w:type="gramEnd"/>
      <w:r w:rsidR="00E46F8E">
        <w:rPr>
          <w:rFonts w:ascii="Times New Roman" w:hAnsi="Times New Roman" w:cs="Times New Roman"/>
          <w:bCs/>
        </w:rPr>
        <w:t xml:space="preserve"> </w:t>
      </w:r>
    </w:p>
    <w:p w14:paraId="74EF7981" w14:textId="4C32BD97" w:rsidR="00A75023" w:rsidRPr="00596836" w:rsidRDefault="00C61B9E" w:rsidP="00D2024F">
      <w:pPr>
        <w:pStyle w:val="ListParagraph"/>
        <w:numPr>
          <w:ilvl w:val="0"/>
          <w:numId w:val="3"/>
        </w:numPr>
        <w:spacing w:line="480" w:lineRule="auto"/>
        <w:contextualSpacing w:val="0"/>
        <w:rPr>
          <w:rFonts w:ascii="Times New Roman" w:hAnsi="Times New Roman" w:cs="Times New Roman"/>
          <w:bCs/>
        </w:rPr>
      </w:pPr>
      <w:r>
        <w:rPr>
          <w:rFonts w:ascii="Times New Roman" w:hAnsi="Times New Roman" w:cs="Times New Roman"/>
          <w:bCs/>
        </w:rPr>
        <w:t>a</w:t>
      </w:r>
      <w:r w:rsidR="00A75023" w:rsidRPr="00596836">
        <w:rPr>
          <w:rFonts w:ascii="Times New Roman" w:hAnsi="Times New Roman" w:cs="Times New Roman"/>
          <w:bCs/>
        </w:rPr>
        <w:t>ssessing whether that country has enforced its antiquities laws within its own borders;</w:t>
      </w:r>
      <w:r w:rsidR="00893E88">
        <w:rPr>
          <w:rFonts w:ascii="Times New Roman" w:hAnsi="Times New Roman" w:cs="Times New Roman"/>
          <w:bCs/>
        </w:rPr>
        <w:t xml:space="preserve"> </w:t>
      </w:r>
      <w:r w:rsidR="00A75023" w:rsidRPr="00596836">
        <w:rPr>
          <w:rFonts w:ascii="Times New Roman" w:hAnsi="Times New Roman" w:cs="Times New Roman"/>
          <w:bCs/>
        </w:rPr>
        <w:t>and</w:t>
      </w:r>
    </w:p>
    <w:p w14:paraId="2215469F" w14:textId="01F55918" w:rsidR="00A75023" w:rsidRPr="00596836" w:rsidRDefault="00C61B9E" w:rsidP="00D2024F">
      <w:pPr>
        <w:pStyle w:val="ListParagraph"/>
        <w:numPr>
          <w:ilvl w:val="0"/>
          <w:numId w:val="3"/>
        </w:numPr>
        <w:spacing w:after="120" w:line="480" w:lineRule="auto"/>
        <w:rPr>
          <w:rFonts w:ascii="Times New Roman" w:hAnsi="Times New Roman" w:cs="Times New Roman"/>
          <w:bCs/>
        </w:rPr>
      </w:pPr>
      <w:r>
        <w:rPr>
          <w:rFonts w:ascii="Times New Roman" w:hAnsi="Times New Roman" w:cs="Times New Roman"/>
          <w:bCs/>
        </w:rPr>
        <w:t>o</w:t>
      </w:r>
      <w:r w:rsidR="00A75023" w:rsidRPr="00596836">
        <w:rPr>
          <w:rFonts w:ascii="Times New Roman" w:hAnsi="Times New Roman" w:cs="Times New Roman"/>
          <w:bCs/>
        </w:rPr>
        <w:t xml:space="preserve">btaining </w:t>
      </w:r>
      <w:r w:rsidR="00A75023">
        <w:rPr>
          <w:rFonts w:ascii="Times New Roman" w:hAnsi="Times New Roman" w:cs="Times New Roman"/>
          <w:bCs/>
        </w:rPr>
        <w:t xml:space="preserve">verifiable </w:t>
      </w:r>
      <w:r w:rsidR="00A75023" w:rsidRPr="00596836">
        <w:rPr>
          <w:rFonts w:ascii="Times New Roman" w:hAnsi="Times New Roman" w:cs="Times New Roman"/>
          <w:bCs/>
        </w:rPr>
        <w:t xml:space="preserve">documentation showing the antiquity was </w:t>
      </w:r>
      <w:r w:rsidR="00A75023">
        <w:rPr>
          <w:rFonts w:ascii="Times New Roman" w:hAnsi="Times New Roman" w:cs="Times New Roman"/>
          <w:bCs/>
        </w:rPr>
        <w:t xml:space="preserve">either </w:t>
      </w:r>
      <w:r w:rsidR="00A75023" w:rsidRPr="00596836">
        <w:rPr>
          <w:rFonts w:ascii="Times New Roman" w:hAnsi="Times New Roman" w:cs="Times New Roman"/>
          <w:bCs/>
        </w:rPr>
        <w:t>legally exported from that country</w:t>
      </w:r>
      <w:r w:rsidR="00A75023">
        <w:rPr>
          <w:rFonts w:ascii="Times New Roman" w:hAnsi="Times New Roman" w:cs="Times New Roman"/>
          <w:bCs/>
        </w:rPr>
        <w:t xml:space="preserve"> or exported prior to enactment of the applicable vesting statute</w:t>
      </w:r>
      <w:r w:rsidR="00A75023" w:rsidRPr="00596836">
        <w:rPr>
          <w:rFonts w:ascii="Times New Roman" w:hAnsi="Times New Roman" w:cs="Times New Roman"/>
          <w:bCs/>
        </w:rPr>
        <w:t>.</w:t>
      </w:r>
    </w:p>
    <w:p w14:paraId="2B1B507F" w14:textId="5B0F2B89" w:rsidR="00A75023" w:rsidRDefault="00A75023" w:rsidP="00D2024F">
      <w:pPr>
        <w:spacing w:after="120" w:line="480" w:lineRule="auto"/>
      </w:pPr>
      <w:r w:rsidRPr="00596836">
        <w:t>Failure to ascertain any of these factors means that the antiquity is potentially subject to seizure and forfeiture and that its possessor is at risk of civil and criminal liability under the NSPA.</w:t>
      </w:r>
      <w:r w:rsidR="00E46F8E">
        <w:t xml:space="preserve"> </w:t>
      </w:r>
    </w:p>
    <w:p w14:paraId="5B2EB9A3" w14:textId="78E895B6" w:rsidR="00A75023" w:rsidRDefault="00A75023" w:rsidP="00D2024F">
      <w:pPr>
        <w:spacing w:after="120" w:line="480" w:lineRule="auto"/>
        <w:ind w:firstLine="360"/>
      </w:pPr>
      <w:r w:rsidRPr="00596836">
        <w:t xml:space="preserve">Unfortunately, each of these factors poses significant research challenges: </w:t>
      </w:r>
      <w:r w:rsidR="00C61B9E">
        <w:t>t</w:t>
      </w:r>
      <w:r w:rsidRPr="5449AF1D">
        <w:t xml:space="preserve">ypically, it is difficult </w:t>
      </w:r>
      <w:r>
        <w:rPr>
          <w:bCs/>
        </w:rPr>
        <w:t>(</w:t>
      </w:r>
      <w:r w:rsidRPr="5449AF1D">
        <w:t>if not impossible</w:t>
      </w:r>
      <w:r>
        <w:rPr>
          <w:bCs/>
        </w:rPr>
        <w:t>)</w:t>
      </w:r>
      <w:r w:rsidRPr="005761C7">
        <w:rPr>
          <w:bCs/>
        </w:rPr>
        <w:t xml:space="preserve"> </w:t>
      </w:r>
      <w:r w:rsidRPr="5449AF1D">
        <w:t>to determine where and when an unprovenanced antiquity was discovered.</w:t>
      </w:r>
      <w:r>
        <w:rPr>
          <w:rStyle w:val="EndnoteReference"/>
          <w:bCs/>
        </w:rPr>
        <w:endnoteReference w:id="51"/>
      </w:r>
      <w:r w:rsidRPr="005761C7">
        <w:rPr>
          <w:bCs/>
        </w:rPr>
        <w:t xml:space="preserve"> </w:t>
      </w:r>
      <w:r w:rsidRPr="005761C7">
        <w:t>Recall that at its height in the early 2</w:t>
      </w:r>
      <w:r w:rsidRPr="00FA7F9B">
        <w:t>nd</w:t>
      </w:r>
      <w:r w:rsidRPr="005761C7">
        <w:t xml:space="preserve"> century CE, the Roman Empire covered territory that today comprises part or </w:t>
      </w:r>
      <w:proofErr w:type="gramStart"/>
      <w:r w:rsidRPr="005761C7">
        <w:t>all of</w:t>
      </w:r>
      <w:proofErr w:type="gramEnd"/>
      <w:r w:rsidRPr="005761C7">
        <w:t xml:space="preserve"> nearly </w:t>
      </w:r>
      <w:r w:rsidR="00FA7F9B">
        <w:t>fifty</w:t>
      </w:r>
      <w:r w:rsidRPr="005761C7">
        <w:t xml:space="preserve"> </w:t>
      </w:r>
      <w:r>
        <w:t>countries</w:t>
      </w:r>
      <w:r w:rsidRPr="005761C7">
        <w:t xml:space="preserve">. </w:t>
      </w:r>
      <w:r w:rsidRPr="5449AF1D">
        <w:t>There is no</w:t>
      </w:r>
      <w:r w:rsidRPr="005761C7">
        <w:rPr>
          <w:bCs/>
        </w:rPr>
        <w:t xml:space="preserve"> </w:t>
      </w:r>
      <w:r w:rsidRPr="5449AF1D">
        <w:t>easily accessible, comprehensive database of foreign countries’ patrimony statutes, and the laws themselves are often available only in their original language</w:t>
      </w:r>
      <w:r w:rsidRPr="005761C7">
        <w:rPr>
          <w:bCs/>
        </w:rPr>
        <w:t>.</w:t>
      </w:r>
      <w:r w:rsidRPr="00596836">
        <w:rPr>
          <w:vertAlign w:val="superscript"/>
        </w:rPr>
        <w:endnoteReference w:id="52"/>
      </w:r>
      <w:r w:rsidRPr="5449AF1D">
        <w:t xml:space="preserve"> Translation can be time</w:t>
      </w:r>
      <w:r w:rsidR="00C61B9E">
        <w:t xml:space="preserve"> </w:t>
      </w:r>
      <w:r w:rsidRPr="5449AF1D">
        <w:t>consuming and expensive</w:t>
      </w:r>
      <w:r w:rsidRPr="005761C7">
        <w:rPr>
          <w:bCs/>
        </w:rPr>
        <w:t>,</w:t>
      </w:r>
      <w:r w:rsidRPr="5449AF1D">
        <w:t xml:space="preserve"> and interpretation of the law may require an opinion of an attorney in that country.</w:t>
      </w:r>
      <w:r w:rsidR="00FA7F9B">
        <w:t xml:space="preserve"> </w:t>
      </w:r>
      <w:r w:rsidRPr="5449AF1D">
        <w:t xml:space="preserve">Determining a foreign country’s domestic enforcement of its </w:t>
      </w:r>
      <w:proofErr w:type="gramStart"/>
      <w:r w:rsidRPr="5449AF1D">
        <w:t>antiquities</w:t>
      </w:r>
      <w:proofErr w:type="gramEnd"/>
      <w:r w:rsidRPr="5449AF1D">
        <w:t xml:space="preserve"> laws (i.e., that country’s assertion of actual ownership) is a subjective analysis. Finally, an export license, if there is one, must be </w:t>
      </w:r>
      <w:proofErr w:type="gramStart"/>
      <w:r w:rsidRPr="5449AF1D">
        <w:t>carefully scrutinized</w:t>
      </w:r>
      <w:proofErr w:type="gramEnd"/>
      <w:r w:rsidRPr="5449AF1D">
        <w:t xml:space="preserve"> to assure that it is authentic</w:t>
      </w:r>
      <w:r w:rsidRPr="005761C7">
        <w:rPr>
          <w:bCs/>
        </w:rPr>
        <w:t xml:space="preserve"> </w:t>
      </w:r>
      <w:r w:rsidRPr="5449AF1D">
        <w:t xml:space="preserve">and applies to the antiquity under consideration. </w:t>
      </w:r>
    </w:p>
    <w:p w14:paraId="7CBCAD55" w14:textId="77777777" w:rsidR="00893E88" w:rsidRPr="005761C7" w:rsidRDefault="00893E88" w:rsidP="00D2024F">
      <w:pPr>
        <w:spacing w:after="120" w:line="480" w:lineRule="auto"/>
        <w:ind w:firstLine="360"/>
      </w:pPr>
    </w:p>
    <w:p w14:paraId="0854F3F3" w14:textId="6A3D847C" w:rsidR="00A75023" w:rsidRPr="00763208" w:rsidRDefault="00E46F8E" w:rsidP="00763208">
      <w:pPr>
        <w:pStyle w:val="Heading2"/>
        <w:rPr>
          <w:i w:val="0"/>
          <w:iCs/>
          <w:color w:val="000000" w:themeColor="text1"/>
        </w:rPr>
      </w:pPr>
      <w:bookmarkStart w:id="12" w:name="_Toc95566549"/>
      <w:r w:rsidRPr="00763208">
        <w:rPr>
          <w:i w:val="0"/>
          <w:iCs/>
          <w:color w:val="000000" w:themeColor="text1"/>
        </w:rPr>
        <w:t>Ethics</w:t>
      </w:r>
      <w:bookmarkEnd w:id="12"/>
      <w:r w:rsidRPr="00763208">
        <w:rPr>
          <w:i w:val="0"/>
          <w:iCs/>
          <w:color w:val="000000" w:themeColor="text1"/>
        </w:rPr>
        <w:t xml:space="preserve"> </w:t>
      </w:r>
    </w:p>
    <w:p w14:paraId="70BC879D" w14:textId="77777777" w:rsidR="00F557B4" w:rsidRPr="00F557B4" w:rsidRDefault="00F557B4" w:rsidP="00F557B4"/>
    <w:p w14:paraId="1084E667" w14:textId="63C4D7C5" w:rsidR="00A75023" w:rsidRDefault="00A75023" w:rsidP="00893E88">
      <w:pPr>
        <w:spacing w:before="120" w:after="120" w:line="480" w:lineRule="auto"/>
      </w:pPr>
      <w:r>
        <w:lastRenderedPageBreak/>
        <w:t>Satisfying the law does not equate to ethical behavior. As a pioneer in the field of museum law put it: “</w:t>
      </w:r>
      <w:r w:rsidRPr="00501E6E">
        <w:t>The law is not designed to make us honorable, only bearable.</w:t>
      </w:r>
      <w:r>
        <w:t>”</w:t>
      </w:r>
      <w:r>
        <w:rPr>
          <w:rStyle w:val="EndnoteReference"/>
        </w:rPr>
        <w:endnoteReference w:id="53"/>
      </w:r>
      <w:r w:rsidRPr="00501E6E">
        <w:t xml:space="preserve"> </w:t>
      </w:r>
      <w:r>
        <w:t>Legal compliance avoids the possibility of criminal or civil liability but falls short of adhering to the higher standards established in professional codes of ethics and in statements of best practices. The American Alliance of Museums (AAM)</w:t>
      </w:r>
      <w:r>
        <w:rPr>
          <w:rStyle w:val="EndnoteReference"/>
        </w:rPr>
        <w:endnoteReference w:id="54"/>
      </w:r>
      <w:r>
        <w:t xml:space="preserve"> and the Association of Art Museum Directors (AAMD)</w:t>
      </w:r>
      <w:r>
        <w:rPr>
          <w:rStyle w:val="EndnoteReference"/>
        </w:rPr>
        <w:endnoteReference w:id="55"/>
      </w:r>
      <w:r>
        <w:t xml:space="preserve"> address the unique issues raised by the acquisition of antiquities in their respective statements of professional practices. </w:t>
      </w:r>
    </w:p>
    <w:p w14:paraId="45C1FC11" w14:textId="25CD04E9" w:rsidR="00A75023" w:rsidRPr="00596836" w:rsidRDefault="00A75023" w:rsidP="00D2024F">
      <w:pPr>
        <w:spacing w:after="120" w:line="480" w:lineRule="auto"/>
        <w:ind w:firstLine="360"/>
      </w:pPr>
      <w:r>
        <w:t xml:space="preserve">In July 2008 the </w:t>
      </w:r>
      <w:r w:rsidRPr="00596836">
        <w:t xml:space="preserve">AAM </w:t>
      </w:r>
      <w:r>
        <w:t xml:space="preserve">board of directors approved as a component of its Core Standards the following guidelines </w:t>
      </w:r>
      <w:r w:rsidRPr="00596836">
        <w:t>regarding acquisitions of archaeological material and ancient art:</w:t>
      </w:r>
    </w:p>
    <w:p w14:paraId="3DF0025A" w14:textId="77777777" w:rsidR="00A75023" w:rsidRPr="00596836" w:rsidRDefault="00A75023" w:rsidP="00D2024F">
      <w:pPr>
        <w:pStyle w:val="NormalWeb"/>
        <w:shd w:val="clear" w:color="auto" w:fill="FFFFFF"/>
        <w:spacing w:before="0" w:beforeAutospacing="0" w:after="0" w:afterAutospacing="0" w:line="480" w:lineRule="auto"/>
        <w:ind w:left="720" w:right="720"/>
        <w:rPr>
          <w:color w:val="000000"/>
          <w:spacing w:val="-4"/>
        </w:rPr>
      </w:pPr>
      <w:r w:rsidRPr="00596836">
        <w:rPr>
          <w:color w:val="000000"/>
          <w:spacing w:val="-4"/>
        </w:rPr>
        <w:t>Museums should:</w:t>
      </w:r>
    </w:p>
    <w:p w14:paraId="3B96F8EF" w14:textId="6F2AE866" w:rsidR="00A75023" w:rsidRPr="00596836" w:rsidRDefault="000247CC" w:rsidP="00D2024F">
      <w:pPr>
        <w:numPr>
          <w:ilvl w:val="0"/>
          <w:numId w:val="16"/>
        </w:numPr>
        <w:shd w:val="clear" w:color="auto" w:fill="FFFFFF"/>
        <w:spacing w:line="480" w:lineRule="auto"/>
        <w:ind w:right="720"/>
        <w:rPr>
          <w:color w:val="000000"/>
          <w:spacing w:val="-4"/>
        </w:rPr>
      </w:pPr>
      <w:r>
        <w:rPr>
          <w:color w:val="000000"/>
          <w:spacing w:val="-4"/>
        </w:rPr>
        <w:t>r</w:t>
      </w:r>
      <w:r w:rsidR="00A75023" w:rsidRPr="00596836">
        <w:rPr>
          <w:color w:val="000000"/>
          <w:spacing w:val="-4"/>
        </w:rPr>
        <w:t xml:space="preserve">igorously research the provenance of an object prior to </w:t>
      </w:r>
      <w:proofErr w:type="gramStart"/>
      <w:r w:rsidR="00A75023" w:rsidRPr="00596836">
        <w:rPr>
          <w:color w:val="000000"/>
          <w:spacing w:val="-4"/>
        </w:rPr>
        <w:t>acquisition</w:t>
      </w:r>
      <w:r w:rsidR="00CF258E">
        <w:rPr>
          <w:color w:val="000000"/>
          <w:spacing w:val="-4"/>
        </w:rPr>
        <w:t>;</w:t>
      </w:r>
      <w:proofErr w:type="gramEnd"/>
    </w:p>
    <w:p w14:paraId="29D8B22E" w14:textId="47E32359" w:rsidR="00A75023" w:rsidRPr="00596836" w:rsidRDefault="000247CC" w:rsidP="00D2024F">
      <w:pPr>
        <w:numPr>
          <w:ilvl w:val="0"/>
          <w:numId w:val="16"/>
        </w:numPr>
        <w:shd w:val="clear" w:color="auto" w:fill="FFFFFF"/>
        <w:spacing w:line="480" w:lineRule="auto"/>
        <w:ind w:right="720"/>
        <w:rPr>
          <w:color w:val="000000"/>
          <w:spacing w:val="-4"/>
        </w:rPr>
      </w:pPr>
      <w:r>
        <w:rPr>
          <w:color w:val="000000"/>
          <w:spacing w:val="-4"/>
        </w:rPr>
        <w:t>m</w:t>
      </w:r>
      <w:r w:rsidR="00A75023" w:rsidRPr="00596836">
        <w:rPr>
          <w:color w:val="000000"/>
          <w:spacing w:val="-4"/>
        </w:rPr>
        <w:t>ake a concerted effort to obtain accurate written documentation with respect to the history of the object, including export and import documents</w:t>
      </w:r>
      <w:r w:rsidR="00CF258E">
        <w:rPr>
          <w:color w:val="000000"/>
          <w:spacing w:val="-4"/>
        </w:rPr>
        <w:t>;</w:t>
      </w:r>
      <w:r w:rsidR="00A75023" w:rsidRPr="00596836">
        <w:rPr>
          <w:color w:val="000000"/>
          <w:spacing w:val="-4"/>
        </w:rPr>
        <w:t xml:space="preserve"> and</w:t>
      </w:r>
    </w:p>
    <w:p w14:paraId="793861E1" w14:textId="54173F0F" w:rsidR="00A75023" w:rsidRPr="00596836" w:rsidRDefault="000247CC" w:rsidP="00D2024F">
      <w:pPr>
        <w:numPr>
          <w:ilvl w:val="0"/>
          <w:numId w:val="16"/>
        </w:numPr>
        <w:shd w:val="clear" w:color="auto" w:fill="FFFFFF"/>
        <w:spacing w:after="120" w:line="480" w:lineRule="auto"/>
        <w:ind w:right="720"/>
        <w:rPr>
          <w:color w:val="000000"/>
          <w:spacing w:val="-4"/>
        </w:rPr>
      </w:pPr>
      <w:r>
        <w:rPr>
          <w:color w:val="000000"/>
          <w:spacing w:val="-4"/>
        </w:rPr>
        <w:t>r</w:t>
      </w:r>
      <w:r w:rsidR="00A75023" w:rsidRPr="00596836">
        <w:rPr>
          <w:color w:val="000000"/>
          <w:spacing w:val="-4"/>
        </w:rPr>
        <w:t>equire sellers, donors, and their representatives to provide all available information and documentation.</w:t>
      </w:r>
    </w:p>
    <w:p w14:paraId="030FE669" w14:textId="77777777" w:rsidR="00A75023" w:rsidRPr="00596836" w:rsidRDefault="00A75023" w:rsidP="00D2024F">
      <w:pPr>
        <w:pStyle w:val="NormalWeb"/>
        <w:shd w:val="clear" w:color="auto" w:fill="FFFFFF"/>
        <w:spacing w:before="0" w:beforeAutospacing="0" w:after="120" w:afterAutospacing="0" w:line="480" w:lineRule="auto"/>
        <w:ind w:left="720" w:right="720"/>
        <w:rPr>
          <w:color w:val="000000"/>
          <w:spacing w:val="-4"/>
        </w:rPr>
      </w:pPr>
      <w:r w:rsidRPr="00596836">
        <w:rPr>
          <w:color w:val="000000"/>
          <w:spacing w:val="-4"/>
        </w:rPr>
        <w:t>Museums must comply with all applicable U.S. law, including treaties and international conventions of which the U.S. is a party, governing ownership and title, import and other issues critical to acquisitions decisions.</w:t>
      </w:r>
    </w:p>
    <w:p w14:paraId="1406EC64" w14:textId="77777777" w:rsidR="00A75023" w:rsidRPr="00596836" w:rsidRDefault="00A75023" w:rsidP="00D2024F">
      <w:pPr>
        <w:pStyle w:val="NormalWeb"/>
        <w:shd w:val="clear" w:color="auto" w:fill="FFFFFF"/>
        <w:spacing w:before="0" w:beforeAutospacing="0" w:after="120" w:afterAutospacing="0" w:line="480" w:lineRule="auto"/>
        <w:ind w:left="720" w:right="720"/>
        <w:rPr>
          <w:color w:val="000000"/>
          <w:spacing w:val="-4"/>
        </w:rPr>
      </w:pPr>
      <w:r w:rsidRPr="00596836">
        <w:rPr>
          <w:color w:val="000000"/>
          <w:spacing w:val="-4"/>
        </w:rPr>
        <w:t>Beyond the requirements of U.S. law, museums should not acquire any object that, to the knowledge of the museum, has been illegally exported from its country of modern discovery or the country where it was last legally owned.</w:t>
      </w:r>
    </w:p>
    <w:p w14:paraId="68A76C2E" w14:textId="2BC5A94B" w:rsidR="00A75023" w:rsidRDefault="00A75023" w:rsidP="00D2024F">
      <w:pPr>
        <w:pStyle w:val="NormalWeb"/>
        <w:shd w:val="clear" w:color="auto" w:fill="FFFFFF"/>
        <w:spacing w:before="0" w:beforeAutospacing="0" w:after="120" w:afterAutospacing="0" w:line="480" w:lineRule="auto"/>
        <w:ind w:left="720" w:right="720"/>
        <w:rPr>
          <w:color w:val="000000"/>
          <w:spacing w:val="-4"/>
        </w:rPr>
      </w:pPr>
      <w:r w:rsidRPr="00596836">
        <w:rPr>
          <w:i/>
          <w:iCs/>
          <w:color w:val="000000"/>
          <w:spacing w:val="-4"/>
        </w:rPr>
        <w:lastRenderedPageBreak/>
        <w:t>In addition, the Alliance recommends that museums require documentation that the object was out of its probable country of modern discovery by November 17, 1970</w:t>
      </w:r>
      <w:r w:rsidR="00A314F5">
        <w:rPr>
          <w:i/>
          <w:iCs/>
          <w:color w:val="000000"/>
          <w:spacing w:val="-4"/>
        </w:rPr>
        <w:t>.</w:t>
      </w:r>
      <w:r>
        <w:rPr>
          <w:rStyle w:val="EndnoteReference"/>
          <w:color w:val="000000"/>
          <w:spacing w:val="-4"/>
        </w:rPr>
        <w:endnoteReference w:id="56"/>
      </w:r>
      <w:r w:rsidRPr="00596836">
        <w:rPr>
          <w:color w:val="000000"/>
          <w:spacing w:val="-4"/>
        </w:rPr>
        <w:t xml:space="preserve"> </w:t>
      </w:r>
    </w:p>
    <w:p w14:paraId="7E7A5C60" w14:textId="4B6F0AF0" w:rsidR="00893E88" w:rsidRPr="00893E88" w:rsidRDefault="00380544" w:rsidP="00D2024F">
      <w:pPr>
        <w:pStyle w:val="NormalWeb"/>
        <w:shd w:val="clear" w:color="auto" w:fill="FFFFFF"/>
        <w:spacing w:before="0" w:beforeAutospacing="0" w:after="120" w:afterAutospacing="0" w:line="480" w:lineRule="auto"/>
        <w:ind w:left="720" w:right="720"/>
        <w:rPr>
          <w:color w:val="000000"/>
          <w:spacing w:val="-4"/>
        </w:rPr>
      </w:pPr>
      <w:r>
        <w:rPr>
          <w:color w:val="000000"/>
          <w:spacing w:val="-4"/>
        </w:rPr>
        <w:t>[</w:t>
      </w:r>
      <w:r w:rsidR="00893E88" w:rsidRPr="00893E88">
        <w:rPr>
          <w:color w:val="000000"/>
          <w:spacing w:val="-4"/>
        </w:rPr>
        <w:t>. . .</w:t>
      </w:r>
      <w:r>
        <w:rPr>
          <w:color w:val="000000"/>
          <w:spacing w:val="-4"/>
        </w:rPr>
        <w:t xml:space="preserve"> .]</w:t>
      </w:r>
    </w:p>
    <w:p w14:paraId="79EE05DC" w14:textId="1B41B48E" w:rsidR="00A75023" w:rsidRPr="00596836" w:rsidRDefault="00A75023" w:rsidP="00D2024F">
      <w:pPr>
        <w:pStyle w:val="NormalWeb"/>
        <w:shd w:val="clear" w:color="auto" w:fill="FFFFFF"/>
        <w:spacing w:before="0" w:beforeAutospacing="0" w:after="120" w:afterAutospacing="0" w:line="480" w:lineRule="auto"/>
        <w:ind w:left="720" w:right="720"/>
        <w:rPr>
          <w:color w:val="000000"/>
          <w:spacing w:val="-4"/>
        </w:rPr>
      </w:pPr>
      <w:r w:rsidRPr="00596836">
        <w:rPr>
          <w:color w:val="000000"/>
          <w:spacing w:val="-4"/>
        </w:rPr>
        <w:t>For objects exported from their country of modern discovery after November 17, 1970,</w:t>
      </w:r>
      <w:r>
        <w:rPr>
          <w:color w:val="000000"/>
          <w:spacing w:val="-4"/>
        </w:rPr>
        <w:t xml:space="preserve"> </w:t>
      </w:r>
      <w:r w:rsidRPr="00596836">
        <w:rPr>
          <w:color w:val="000000"/>
          <w:spacing w:val="-4"/>
        </w:rPr>
        <w:t>the Alliance</w:t>
      </w:r>
      <w:r>
        <w:rPr>
          <w:color w:val="000000"/>
          <w:spacing w:val="-4"/>
        </w:rPr>
        <w:t xml:space="preserve"> </w:t>
      </w:r>
      <w:r w:rsidRPr="00596836">
        <w:rPr>
          <w:color w:val="000000"/>
          <w:spacing w:val="-4"/>
        </w:rPr>
        <w:t xml:space="preserve">recommends that museums require documentation that the object has been or will be legally exported from its country of modern </w:t>
      </w:r>
      <w:proofErr w:type="gramStart"/>
      <w:r w:rsidRPr="00596836">
        <w:rPr>
          <w:color w:val="000000"/>
          <w:spacing w:val="-4"/>
        </w:rPr>
        <w:t>discovery, and</w:t>
      </w:r>
      <w:proofErr w:type="gramEnd"/>
      <w:r w:rsidRPr="00596836">
        <w:rPr>
          <w:color w:val="000000"/>
          <w:spacing w:val="-4"/>
        </w:rPr>
        <w:t xml:space="preserve"> legally imported into the United States.</w:t>
      </w:r>
    </w:p>
    <w:p w14:paraId="3B63D15E" w14:textId="77777777" w:rsidR="00A75023" w:rsidRPr="00596836" w:rsidRDefault="00A75023" w:rsidP="00D2024F">
      <w:pPr>
        <w:pStyle w:val="NormalWeb"/>
        <w:shd w:val="clear" w:color="auto" w:fill="FFFFFF"/>
        <w:spacing w:before="0" w:beforeAutospacing="0" w:after="120" w:afterAutospacing="0" w:line="480" w:lineRule="auto"/>
        <w:ind w:left="720" w:right="720"/>
        <w:rPr>
          <w:color w:val="000000"/>
          <w:spacing w:val="-4"/>
        </w:rPr>
      </w:pPr>
      <w:r w:rsidRPr="00596836">
        <w:rPr>
          <w:i/>
          <w:iCs/>
          <w:color w:val="000000"/>
          <w:spacing w:val="-4"/>
        </w:rPr>
        <w:t>The Alliance recognizes that there are cases in which it may be in the public’s interest for a museum to acquire an object, thus bringing it into the public domain, when there is substantial but not full documentation that the provenance meets the conditions outlined above. If a museum accepts material in such cases, it should be transparent about why this is an appropriate decision in alignment with the institution’s collections policy and applicable ethical codes</w:t>
      </w:r>
      <w:r w:rsidRPr="00596836">
        <w:rPr>
          <w:color w:val="000000"/>
          <w:spacing w:val="-4"/>
        </w:rPr>
        <w:t>.</w:t>
      </w:r>
      <w:r w:rsidRPr="00596836">
        <w:rPr>
          <w:rStyle w:val="EndnoteReference"/>
          <w:color w:val="000000"/>
          <w:spacing w:val="-4"/>
        </w:rPr>
        <w:endnoteReference w:id="57"/>
      </w:r>
    </w:p>
    <w:p w14:paraId="7F63D424" w14:textId="21823368" w:rsidR="00A75023" w:rsidRPr="00596836" w:rsidRDefault="00A75023" w:rsidP="00D2024F">
      <w:pPr>
        <w:spacing w:line="480" w:lineRule="auto"/>
        <w:ind w:firstLine="360"/>
      </w:pPr>
      <w:r w:rsidRPr="00596836">
        <w:t xml:space="preserve">To comply with </w:t>
      </w:r>
      <w:r>
        <w:t xml:space="preserve">AAM’s </w:t>
      </w:r>
      <w:r w:rsidRPr="00596836">
        <w:t>guideline</w:t>
      </w:r>
      <w:r>
        <w:t>s</w:t>
      </w:r>
      <w:r w:rsidRPr="00596836">
        <w:t xml:space="preserve">, one of three conditions </w:t>
      </w:r>
      <w:r>
        <w:t>must be</w:t>
      </w:r>
      <w:r w:rsidRPr="00596836">
        <w:t xml:space="preserve"> met:</w:t>
      </w:r>
    </w:p>
    <w:p w14:paraId="33CE76D8" w14:textId="7C19FEFD" w:rsidR="00A75023" w:rsidRPr="00AD10DB" w:rsidRDefault="00A75023" w:rsidP="00D2024F">
      <w:pPr>
        <w:pStyle w:val="ListParagraph"/>
        <w:numPr>
          <w:ilvl w:val="0"/>
          <w:numId w:val="18"/>
        </w:numPr>
        <w:spacing w:after="120" w:line="480" w:lineRule="auto"/>
        <w:rPr>
          <w:rFonts w:ascii="Times New Roman" w:hAnsi="Times New Roman" w:cs="Times New Roman"/>
        </w:rPr>
      </w:pPr>
      <w:r w:rsidRPr="00596836">
        <w:rPr>
          <w:rFonts w:ascii="Times New Roman" w:hAnsi="Times New Roman" w:cs="Times New Roman"/>
        </w:rPr>
        <w:t>The</w:t>
      </w:r>
      <w:r>
        <w:rPr>
          <w:rFonts w:ascii="Times New Roman" w:hAnsi="Times New Roman" w:cs="Times New Roman"/>
        </w:rPr>
        <w:t>re is documentation that the</w:t>
      </w:r>
      <w:r w:rsidRPr="00596836">
        <w:rPr>
          <w:rFonts w:ascii="Times New Roman" w:hAnsi="Times New Roman" w:cs="Times New Roman"/>
        </w:rPr>
        <w:t xml:space="preserve"> object was out of its probabl</w:t>
      </w:r>
      <w:r>
        <w:rPr>
          <w:rFonts w:ascii="Times New Roman" w:hAnsi="Times New Roman" w:cs="Times New Roman"/>
        </w:rPr>
        <w:t>e</w:t>
      </w:r>
      <w:r w:rsidRPr="00596836">
        <w:rPr>
          <w:rFonts w:ascii="Times New Roman" w:hAnsi="Times New Roman" w:cs="Times New Roman"/>
        </w:rPr>
        <w:t xml:space="preserve"> country of modern discovery by November 17, 1970</w:t>
      </w:r>
      <w:r>
        <w:rPr>
          <w:rFonts w:ascii="Times New Roman" w:hAnsi="Times New Roman" w:cs="Times New Roman"/>
        </w:rPr>
        <w:t>; or</w:t>
      </w:r>
    </w:p>
    <w:p w14:paraId="12B2096C" w14:textId="7011EDC9" w:rsidR="00A75023" w:rsidRPr="00596836" w:rsidRDefault="00A75023" w:rsidP="00D2024F">
      <w:pPr>
        <w:pStyle w:val="ListParagraph"/>
        <w:numPr>
          <w:ilvl w:val="0"/>
          <w:numId w:val="18"/>
        </w:numPr>
        <w:spacing w:after="120" w:line="480" w:lineRule="auto"/>
        <w:rPr>
          <w:rFonts w:ascii="Times New Roman" w:hAnsi="Times New Roman" w:cs="Times New Roman"/>
        </w:rPr>
      </w:pPr>
      <w:r w:rsidRPr="00596836">
        <w:rPr>
          <w:rFonts w:ascii="Times New Roman" w:hAnsi="Times New Roman" w:cs="Times New Roman"/>
        </w:rPr>
        <w:t>If the object was exported after that date, there is documentation that the object was or will be legally exported from its country of modern discovery and legally imported into the United States; or</w:t>
      </w:r>
    </w:p>
    <w:p w14:paraId="53203C9D" w14:textId="2BA094E2" w:rsidR="00A75023" w:rsidRPr="00596836" w:rsidRDefault="00A75023" w:rsidP="00D2024F">
      <w:pPr>
        <w:pStyle w:val="ListParagraph"/>
        <w:numPr>
          <w:ilvl w:val="0"/>
          <w:numId w:val="18"/>
        </w:numPr>
        <w:spacing w:after="120" w:line="480" w:lineRule="auto"/>
        <w:rPr>
          <w:rFonts w:ascii="Times New Roman" w:hAnsi="Times New Roman" w:cs="Times New Roman"/>
        </w:rPr>
      </w:pPr>
      <w:r>
        <w:rPr>
          <w:rFonts w:ascii="Times New Roman" w:hAnsi="Times New Roman" w:cs="Times New Roman"/>
        </w:rPr>
        <w:t>In the absence of full documentation, there should be “substantial” documentation satisfying one of those two requirements and, in such situations, the museum should be transparent in explaining the circumstances of its decision to acquire the object.</w:t>
      </w:r>
      <w:r w:rsidRPr="00612AC3">
        <w:rPr>
          <w:rFonts w:ascii="Times New Roman" w:hAnsi="Times New Roman" w:cs="Times New Roman"/>
        </w:rPr>
        <w:t xml:space="preserve"> </w:t>
      </w:r>
    </w:p>
    <w:p w14:paraId="16C23EB6" w14:textId="04FEA4D0" w:rsidR="00A75023" w:rsidRPr="00596836" w:rsidRDefault="00A75023" w:rsidP="00D2024F">
      <w:pPr>
        <w:spacing w:line="480" w:lineRule="auto"/>
        <w:ind w:firstLine="360"/>
      </w:pPr>
      <w:r w:rsidRPr="00596836">
        <w:lastRenderedPageBreak/>
        <w:t xml:space="preserve">AAMD provides the following guidance </w:t>
      </w:r>
      <w:r>
        <w:t xml:space="preserve">for acquiring </w:t>
      </w:r>
      <w:r w:rsidRPr="00596836">
        <w:t>archaeological material and ancient art:</w:t>
      </w:r>
      <w:r>
        <w:rPr>
          <w:rStyle w:val="EndnoteReference"/>
        </w:rPr>
        <w:endnoteReference w:id="58"/>
      </w:r>
    </w:p>
    <w:p w14:paraId="34EC8045" w14:textId="337A1984" w:rsidR="00A75023" w:rsidRPr="00D11886" w:rsidRDefault="00A75023" w:rsidP="00D2024F">
      <w:pPr>
        <w:spacing w:after="120" w:line="480" w:lineRule="auto"/>
        <w:ind w:left="720" w:right="720"/>
      </w:pPr>
      <w:r w:rsidRPr="00D11886">
        <w:t>E.</w:t>
      </w:r>
      <w:r w:rsidR="00E46F8E">
        <w:t xml:space="preserve"> </w:t>
      </w:r>
      <w:r w:rsidRPr="00D11886">
        <w:t xml:space="preserve">Member museums normally should not acquire a Work unless provenance research substantiates that the Work was outside its country of probable modern discovery before 1970 or was legally exported from its probable country of modern discovery after 1970. </w:t>
      </w:r>
    </w:p>
    <w:p w14:paraId="70019AB9" w14:textId="77777777" w:rsidR="00A75023" w:rsidRPr="00D11886" w:rsidRDefault="00A75023" w:rsidP="00D2024F">
      <w:pPr>
        <w:spacing w:after="120" w:line="480" w:lineRule="auto"/>
        <w:ind w:left="720" w:right="720"/>
      </w:pPr>
      <w:r w:rsidRPr="00D11886">
        <w:t xml:space="preserve">F. The AAMD recognizes that even after the most extensive research, many Works will lack a complete documented ownership history. Member museums may acquire such Works if: </w:t>
      </w:r>
    </w:p>
    <w:p w14:paraId="0899AC3D" w14:textId="77777777" w:rsidR="00A75023" w:rsidRPr="00D11886" w:rsidRDefault="00A75023" w:rsidP="00D2024F">
      <w:pPr>
        <w:spacing w:after="120" w:line="480" w:lineRule="auto"/>
        <w:ind w:left="1440" w:right="720"/>
      </w:pPr>
      <w:r w:rsidRPr="00D11886">
        <w:t xml:space="preserve">1. Based on the results of provenance research, the museum can make an informed judgment that the Work was outside its probable country of modern discovery before 1970 or legally exported from its probable country of modern discovery after 1970, or </w:t>
      </w:r>
    </w:p>
    <w:p w14:paraId="0A714B8C" w14:textId="1AFAE04B" w:rsidR="00A75023" w:rsidRPr="00D11886" w:rsidRDefault="00A75023" w:rsidP="00D2024F">
      <w:pPr>
        <w:spacing w:after="120" w:line="480" w:lineRule="auto"/>
        <w:ind w:left="1440" w:right="720"/>
      </w:pPr>
      <w:r w:rsidRPr="00D11886">
        <w:t xml:space="preserve">2. The cumulative facts and circumstances known to the museum after compliance with [guidelines </w:t>
      </w:r>
      <w:r>
        <w:t>omitted here</w:t>
      </w:r>
      <w:r w:rsidRPr="00D11886">
        <w:t>] allow it to make an informed judgment to acquire the Work, consistent with the Statement of Principles above.</w:t>
      </w:r>
    </w:p>
    <w:p w14:paraId="03C53CE0" w14:textId="16C88075" w:rsidR="00A75023" w:rsidRPr="00FB4E47" w:rsidRDefault="00A75023" w:rsidP="00D2024F">
      <w:pPr>
        <w:spacing w:line="480" w:lineRule="auto"/>
      </w:pPr>
      <w:r w:rsidRPr="00FB4E47">
        <w:t xml:space="preserve">To comply with AAMD’s guidelines, one of the following conditions </w:t>
      </w:r>
      <w:r w:rsidRPr="00656866">
        <w:t>must be</w:t>
      </w:r>
      <w:r w:rsidRPr="00FB4E47">
        <w:t xml:space="preserve"> met:</w:t>
      </w:r>
    </w:p>
    <w:p w14:paraId="7B9D19F4" w14:textId="77777777" w:rsidR="00A75023" w:rsidRPr="00FB4E47" w:rsidRDefault="00A75023" w:rsidP="00D2024F">
      <w:pPr>
        <w:pStyle w:val="ListParagraph"/>
        <w:numPr>
          <w:ilvl w:val="0"/>
          <w:numId w:val="20"/>
        </w:numPr>
        <w:spacing w:after="120" w:line="480" w:lineRule="auto"/>
        <w:rPr>
          <w:rFonts w:ascii="Times New Roman" w:hAnsi="Times New Roman" w:cs="Times New Roman"/>
        </w:rPr>
      </w:pPr>
      <w:r w:rsidRPr="00FB4E47">
        <w:rPr>
          <w:rFonts w:ascii="Times New Roman" w:hAnsi="Times New Roman" w:cs="Times New Roman"/>
        </w:rPr>
        <w:t>There is documentation that the object was:</w:t>
      </w:r>
    </w:p>
    <w:p w14:paraId="40BD1220" w14:textId="04C12345" w:rsidR="00A75023" w:rsidRPr="0072186C" w:rsidRDefault="00A75023" w:rsidP="00D2024F">
      <w:pPr>
        <w:pStyle w:val="ListParagraph"/>
        <w:numPr>
          <w:ilvl w:val="0"/>
          <w:numId w:val="24"/>
        </w:numPr>
        <w:spacing w:after="120" w:line="480" w:lineRule="auto"/>
        <w:rPr>
          <w:rFonts w:ascii="Times New Roman" w:hAnsi="Times New Roman" w:cs="Times New Roman"/>
        </w:rPr>
      </w:pPr>
      <w:r w:rsidRPr="0072186C">
        <w:rPr>
          <w:rFonts w:ascii="Times New Roman" w:hAnsi="Times New Roman" w:cs="Times New Roman"/>
        </w:rPr>
        <w:t>outside its country of probable modern discovery by November 17, 1970</w:t>
      </w:r>
      <w:r w:rsidR="00942EF8">
        <w:rPr>
          <w:rFonts w:ascii="Times New Roman" w:hAnsi="Times New Roman" w:cs="Times New Roman"/>
        </w:rPr>
        <w:t>,</w:t>
      </w:r>
      <w:r w:rsidRPr="0072186C">
        <w:rPr>
          <w:rFonts w:ascii="Times New Roman" w:hAnsi="Times New Roman" w:cs="Times New Roman"/>
        </w:rPr>
        <w:t xml:space="preserve"> or</w:t>
      </w:r>
    </w:p>
    <w:p w14:paraId="306D2AAB" w14:textId="06742D3C" w:rsidR="00A75023" w:rsidRPr="0072186C" w:rsidRDefault="00A75023" w:rsidP="00D2024F">
      <w:pPr>
        <w:pStyle w:val="ListParagraph"/>
        <w:numPr>
          <w:ilvl w:val="0"/>
          <w:numId w:val="24"/>
        </w:numPr>
        <w:spacing w:after="120" w:line="480" w:lineRule="auto"/>
        <w:rPr>
          <w:rFonts w:ascii="Times New Roman" w:hAnsi="Times New Roman" w:cs="Times New Roman"/>
        </w:rPr>
      </w:pPr>
      <w:r w:rsidRPr="0072186C">
        <w:rPr>
          <w:rFonts w:ascii="Times New Roman" w:hAnsi="Times New Roman" w:cs="Times New Roman"/>
        </w:rPr>
        <w:t xml:space="preserve">legally exported from that country after 1970; or </w:t>
      </w:r>
    </w:p>
    <w:p w14:paraId="5EF03E1D" w14:textId="31F81D61" w:rsidR="00A75023" w:rsidRPr="0072186C" w:rsidRDefault="00A75023" w:rsidP="00D2024F">
      <w:pPr>
        <w:pStyle w:val="ListParagraph"/>
        <w:numPr>
          <w:ilvl w:val="0"/>
          <w:numId w:val="23"/>
        </w:numPr>
        <w:spacing w:after="120" w:line="480" w:lineRule="auto"/>
        <w:rPr>
          <w:rFonts w:ascii="Times New Roman" w:hAnsi="Times New Roman" w:cs="Times New Roman"/>
        </w:rPr>
      </w:pPr>
      <w:r w:rsidRPr="0072186C">
        <w:rPr>
          <w:rFonts w:ascii="Times New Roman" w:hAnsi="Times New Roman" w:cs="Times New Roman"/>
        </w:rPr>
        <w:t xml:space="preserve">Based on provenance research, the museum can make an informed judgment that the work met the first requirement; or </w:t>
      </w:r>
    </w:p>
    <w:p w14:paraId="670AC22D" w14:textId="14EB6E35" w:rsidR="00A75023" w:rsidRPr="0072186C" w:rsidRDefault="00A75023" w:rsidP="00D2024F">
      <w:pPr>
        <w:pStyle w:val="ListParagraph"/>
        <w:numPr>
          <w:ilvl w:val="0"/>
          <w:numId w:val="23"/>
        </w:numPr>
        <w:spacing w:after="120" w:line="480" w:lineRule="auto"/>
        <w:rPr>
          <w:rFonts w:ascii="Times New Roman" w:hAnsi="Times New Roman" w:cs="Times New Roman"/>
        </w:rPr>
      </w:pPr>
      <w:r w:rsidRPr="0072186C">
        <w:rPr>
          <w:rFonts w:ascii="Times New Roman" w:hAnsi="Times New Roman" w:cs="Times New Roman"/>
        </w:rPr>
        <w:lastRenderedPageBreak/>
        <w:t xml:space="preserve">Based on facts and circumstances the museum can make an informed judgement that its acquisition is consistent with AAMD’s Statement of Principles. </w:t>
      </w:r>
    </w:p>
    <w:p w14:paraId="34C1D76F" w14:textId="54419474" w:rsidR="00A75023" w:rsidRDefault="00A75023" w:rsidP="00D2024F">
      <w:pPr>
        <w:spacing w:after="120" w:line="480" w:lineRule="auto"/>
        <w:ind w:firstLine="360"/>
      </w:pPr>
      <w:r w:rsidRPr="009810AD">
        <w:t xml:space="preserve">The effect of </w:t>
      </w:r>
      <w:r>
        <w:t>AAM’s and AAMD’s guidelines</w:t>
      </w:r>
      <w:r w:rsidRPr="009810AD">
        <w:t xml:space="preserve"> </w:t>
      </w:r>
      <w:r>
        <w:t xml:space="preserve">leads inevitably to a simple question: </w:t>
      </w:r>
      <w:r w:rsidRPr="009810AD">
        <w:t xml:space="preserve">if an antiquity’s </w:t>
      </w:r>
      <w:r w:rsidRPr="5449AF1D">
        <w:rPr>
          <w:i/>
          <w:iCs/>
        </w:rPr>
        <w:t>only</w:t>
      </w:r>
      <w:r w:rsidRPr="009810AD">
        <w:t xml:space="preserve"> verifiable provenance is its appearance in the market, </w:t>
      </w:r>
      <w:r>
        <w:t xml:space="preserve">how can </w:t>
      </w:r>
      <w:r w:rsidRPr="009810AD">
        <w:t>the work</w:t>
      </w:r>
      <w:r>
        <w:t xml:space="preserve"> </w:t>
      </w:r>
      <w:r w:rsidRPr="009810AD">
        <w:t xml:space="preserve">meet AAM’s “substantial documentation” requirement </w:t>
      </w:r>
      <w:r>
        <w:t>or</w:t>
      </w:r>
      <w:r w:rsidRPr="009810AD">
        <w:t xml:space="preserve"> AAMD’s “informed judgement” standard</w:t>
      </w:r>
      <w:r>
        <w:t>?</w:t>
      </w:r>
      <w:r w:rsidR="00893E88">
        <w:t xml:space="preserve"> </w:t>
      </w:r>
      <w:r w:rsidRPr="00596836">
        <w:t xml:space="preserve">In short, </w:t>
      </w:r>
      <w:r>
        <w:t>as a matter of law, ethics, and best practices, a work about which nothing more is known than its availability in the marketplace</w:t>
      </w:r>
      <w:r w:rsidRPr="00596836">
        <w:t xml:space="preserve"> </w:t>
      </w:r>
      <w:r>
        <w:t>should not</w:t>
      </w:r>
      <w:r w:rsidRPr="00596836">
        <w:t xml:space="preserve"> be acquired </w:t>
      </w:r>
      <w:r>
        <w:t xml:space="preserve">until </w:t>
      </w:r>
      <w:r w:rsidRPr="00596836">
        <w:t xml:space="preserve">additional, </w:t>
      </w:r>
      <w:r>
        <w:t xml:space="preserve">credible </w:t>
      </w:r>
      <w:r w:rsidRPr="00596836">
        <w:t xml:space="preserve">information </w:t>
      </w:r>
      <w:r>
        <w:t>is discovered.</w:t>
      </w:r>
      <w:r w:rsidRPr="00F72213">
        <w:rPr>
          <w:rStyle w:val="EndnoteReference"/>
        </w:rPr>
        <w:endnoteReference w:id="59"/>
      </w:r>
    </w:p>
    <w:p w14:paraId="48EBA656" w14:textId="77777777" w:rsidR="00763208" w:rsidRPr="006520D7" w:rsidRDefault="00763208" w:rsidP="00D2024F">
      <w:pPr>
        <w:spacing w:after="120" w:line="480" w:lineRule="auto"/>
        <w:ind w:firstLine="360"/>
      </w:pPr>
    </w:p>
    <w:p w14:paraId="3A44D46B" w14:textId="465536F4" w:rsidR="00A75023" w:rsidRPr="00763208" w:rsidRDefault="00E46F8E" w:rsidP="00763208">
      <w:pPr>
        <w:pStyle w:val="Heading2"/>
        <w:rPr>
          <w:i w:val="0"/>
          <w:iCs/>
          <w:color w:val="000000" w:themeColor="text1"/>
        </w:rPr>
      </w:pPr>
      <w:bookmarkStart w:id="14" w:name="_Toc95566550"/>
      <w:r w:rsidRPr="00763208">
        <w:rPr>
          <w:i w:val="0"/>
          <w:iCs/>
          <w:color w:val="000000" w:themeColor="text1"/>
        </w:rPr>
        <w:t>Policy and Documentation</w:t>
      </w:r>
      <w:bookmarkEnd w:id="14"/>
    </w:p>
    <w:p w14:paraId="4F86465F" w14:textId="77777777" w:rsidR="00F557B4" w:rsidRPr="00F557B4" w:rsidRDefault="00F557B4" w:rsidP="00F557B4"/>
    <w:p w14:paraId="7D95CFB4" w14:textId="785DB2F7" w:rsidR="00A75023" w:rsidRPr="00596836" w:rsidRDefault="00A75023" w:rsidP="00893E88">
      <w:pPr>
        <w:spacing w:before="120" w:after="120" w:line="480" w:lineRule="auto"/>
      </w:pPr>
      <w:r>
        <w:t>T</w:t>
      </w:r>
      <w:r w:rsidRPr="00596836">
        <w:t xml:space="preserve">he challenge for </w:t>
      </w:r>
      <w:r>
        <w:t>U.S. museums</w:t>
      </w:r>
      <w:r w:rsidRPr="00596836">
        <w:t xml:space="preserve"> </w:t>
      </w:r>
      <w:r>
        <w:t>that acquire antiquities</w:t>
      </w:r>
      <w:r w:rsidRPr="00596836">
        <w:rPr>
          <w:rStyle w:val="EndnoteReference"/>
        </w:rPr>
        <w:endnoteReference w:id="60"/>
      </w:r>
      <w:r>
        <w:t xml:space="preserve"> </w:t>
      </w:r>
      <w:r w:rsidRPr="00596836">
        <w:t xml:space="preserve">is to chart a </w:t>
      </w:r>
      <w:r>
        <w:t xml:space="preserve">course consistent with </w:t>
      </w:r>
      <w:r w:rsidRPr="00596836">
        <w:t xml:space="preserve">legal and ethical </w:t>
      </w:r>
      <w:r>
        <w:t xml:space="preserve">requirements while </w:t>
      </w:r>
      <w:r w:rsidRPr="00596836">
        <w:t>fulfilling their educational</w:t>
      </w:r>
      <w:r>
        <w:t xml:space="preserve"> </w:t>
      </w:r>
      <w:r w:rsidRPr="00596836">
        <w:t>mission to preserve, study, and present humanity’s shared cultural heritage</w:t>
      </w:r>
      <w:r>
        <w:t xml:space="preserve"> for public benefit</w:t>
      </w:r>
      <w:r w:rsidRPr="00596836">
        <w:t>.</w:t>
      </w:r>
      <w:r w:rsidRPr="00596836">
        <w:rPr>
          <w:rStyle w:val="EndnoteReference"/>
        </w:rPr>
        <w:t xml:space="preserve"> </w:t>
      </w:r>
    </w:p>
    <w:p w14:paraId="7B25BF6B" w14:textId="54B5A39C" w:rsidR="00A75023" w:rsidRDefault="00A75023" w:rsidP="00D2024F">
      <w:pPr>
        <w:spacing w:after="120" w:line="480" w:lineRule="auto"/>
        <w:ind w:firstLine="360"/>
      </w:pPr>
      <w:r>
        <w:t xml:space="preserve">To meet that challenge, due diligence is essential, meaning museums must take reasonable and appropriate steps to assure they are acting responsibly in acquiring an antiquity. </w:t>
      </w:r>
      <w:bookmarkStart w:id="15" w:name="_Hlk192156235"/>
      <w:r w:rsidRPr="00942EF8">
        <w:rPr>
          <w:i/>
          <w:iCs/>
        </w:rPr>
        <w:t>Due diligence</w:t>
      </w:r>
      <w:r>
        <w:t xml:space="preserve"> is a flexible concept, but, at a minimum, it requires</w:t>
      </w:r>
      <w:bookmarkEnd w:id="15"/>
      <w:r>
        <w:t xml:space="preserve"> a thorough, candid examination and investigation of known facts about the work’s provenance prior to acquiring it. Written documentation of all efforts undertaken and information derived from those efforts comprises an important component of diligence. This inquiry should be guided by standards promulgated by professional organizations (such as AAM and AAMD) and by clear, written acquisition policies adopted (and regularly reviewed) by the museum’s governing board.</w:t>
      </w:r>
      <w:r w:rsidR="00E46F8E">
        <w:t xml:space="preserve"> </w:t>
      </w:r>
    </w:p>
    <w:p w14:paraId="2BB48483" w14:textId="421F7D00" w:rsidR="00A75023" w:rsidRDefault="00A75023" w:rsidP="00D2024F">
      <w:pPr>
        <w:spacing w:after="120" w:line="480" w:lineRule="auto"/>
        <w:ind w:firstLine="360"/>
      </w:pPr>
      <w:r>
        <w:lastRenderedPageBreak/>
        <w:t>Although U.S. museums generally follow the AAM and AAMD guidelines described above, some build in additional safeguards. For example, t</w:t>
      </w:r>
      <w:r w:rsidRPr="00596836">
        <w:t xml:space="preserve">he </w:t>
      </w:r>
      <w:r w:rsidR="003F38F2">
        <w:t xml:space="preserve">J. Paul </w:t>
      </w:r>
      <w:r w:rsidRPr="00596836">
        <w:t>Getty Museum insists that all proposed acquisitions of ancient art and archaeological material</w:t>
      </w:r>
      <w:r w:rsidR="00893E88">
        <w:t>—</w:t>
      </w:r>
      <w:r w:rsidRPr="00596836">
        <w:t>irrespective of financial value</w:t>
      </w:r>
      <w:r w:rsidR="00893E88">
        <w:t>—</w:t>
      </w:r>
      <w:r w:rsidRPr="00596836">
        <w:t xml:space="preserve">be reviewed for compliance with the museum’s Collection Policy, and </w:t>
      </w:r>
      <w:r w:rsidR="0082525C">
        <w:t>disclosed to the</w:t>
      </w:r>
      <w:r w:rsidRPr="00596836">
        <w:t xml:space="preserve"> Board </w:t>
      </w:r>
      <w:r w:rsidR="003F38F2">
        <w:t xml:space="preserve">of Trustees </w:t>
      </w:r>
      <w:r w:rsidRPr="00596836">
        <w:t>prior to acquisition.</w:t>
      </w:r>
      <w:r w:rsidRPr="00596836">
        <w:rPr>
          <w:rStyle w:val="EndnoteReference"/>
        </w:rPr>
        <w:endnoteReference w:id="61"/>
      </w:r>
      <w:r w:rsidRPr="00596836">
        <w:t xml:space="preserve"> In practice, this policy means that curators proposing an acquisition (by purchase, gift, or </w:t>
      </w:r>
      <w:r>
        <w:t>devise</w:t>
      </w:r>
      <w:r w:rsidRPr="00596836">
        <w:t>) must demonstrate that the object satisfies a high evidentiary standard.</w:t>
      </w:r>
      <w:r w:rsidR="00893E88">
        <w:t xml:space="preserve"> </w:t>
      </w:r>
      <w:r w:rsidRPr="00596836">
        <w:t>The written acquisition proposal must include all known information about where the object originated in antiquity, where it was discovered in modern times or whether it is documented in a collection that may be decades (or centuries) old, and its ownership history since at least 1970.</w:t>
      </w:r>
      <w:r w:rsidR="00E46F8E">
        <w:t xml:space="preserve"> </w:t>
      </w:r>
    </w:p>
    <w:p w14:paraId="0F83282D" w14:textId="2D7E6ACF" w:rsidR="00A75023" w:rsidRPr="00596836" w:rsidRDefault="00A75023" w:rsidP="00D2024F">
      <w:pPr>
        <w:spacing w:after="120" w:line="480" w:lineRule="auto"/>
        <w:ind w:firstLine="360"/>
      </w:pPr>
      <w:r>
        <w:t>Museums and their professional organizations generally have adopted 1970 as a convenient rule of thumb in their acquisitions policies and codes of ethics, respectively.</w:t>
      </w:r>
      <w:r>
        <w:rPr>
          <w:rStyle w:val="EndnoteReference"/>
        </w:rPr>
        <w:endnoteReference w:id="62"/>
      </w:r>
      <w:r>
        <w:t xml:space="preserve"> Thus, although </w:t>
      </w:r>
      <w:r w:rsidRPr="00F82543">
        <w:t xml:space="preserve">1970 </w:t>
      </w:r>
      <w:r>
        <w:t xml:space="preserve">has no direct legal significance, it has become </w:t>
      </w:r>
      <w:r w:rsidRPr="00F82543">
        <w:t xml:space="preserve">a </w:t>
      </w:r>
      <w:r>
        <w:t>generally accepted standard not only for analyzing the risk of a potential acquisition but also as an ethical bright line. Countries and law enforcement agencies, can, and sometimes do, assert ownership of objects in circulation before 1970,</w:t>
      </w:r>
      <w:r>
        <w:rPr>
          <w:rStyle w:val="EndnoteReference"/>
        </w:rPr>
        <w:endnoteReference w:id="63"/>
      </w:r>
      <w:r>
        <w:t xml:space="preserve"> but generally devote their energy to materials that have appeared in the market more rece</w:t>
      </w:r>
      <w:r w:rsidRPr="00F1182E">
        <w:t>ntly.</w:t>
      </w:r>
      <w:r w:rsidR="00E46F8E">
        <w:t xml:space="preserve"> </w:t>
      </w:r>
    </w:p>
    <w:p w14:paraId="3066B86A" w14:textId="0476BFC5" w:rsidR="00A75023" w:rsidRPr="00596836" w:rsidRDefault="007B7401" w:rsidP="00D2024F">
      <w:pPr>
        <w:spacing w:after="120" w:line="480" w:lineRule="auto"/>
        <w:ind w:firstLine="360"/>
      </w:pPr>
      <w:r>
        <w:t xml:space="preserve">As considered by </w:t>
      </w:r>
      <w:hyperlink r:id="rId8" w:history="1">
        <w:r w:rsidRPr="007B2FCF">
          <w:rPr>
            <w:rStyle w:val="Hyperlink"/>
          </w:rPr>
          <w:t>Barr and Budrovich</w:t>
        </w:r>
      </w:hyperlink>
      <w:r>
        <w:t xml:space="preserve"> in this volume, many</w:t>
      </w:r>
      <w:r w:rsidR="00A75023">
        <w:t xml:space="preserve"> kinds of evidence can document an object’s pre-1970 whereabouts. Examples include an entry in an auction catalogue, a dealer’s receipt for the work, or an exhibition checklist or catalogue indicating that the object was publicly exhibited. Photographs or descriptions with specific dimensions also can help to establish that the object was documented prior to 1970. Other evidence might be potentially useful, for example, mention of the work in a previous owner’s will, an appraisal report, or an </w:t>
      </w:r>
      <w:r w:rsidR="00A75023">
        <w:lastRenderedPageBreak/>
        <w:t>inventory of a business or private collection. Import or export records have great probative value.</w:t>
      </w:r>
      <w:r w:rsidR="00893E88">
        <w:t xml:space="preserve"> </w:t>
      </w:r>
      <w:r w:rsidR="00A75023">
        <w:t>Less formal information, such as a dealer’s business records or an individual’s correspondence or diary entries can also be helpful.</w:t>
      </w:r>
      <w:r w:rsidR="00E46F8E">
        <w:t xml:space="preserve"> </w:t>
      </w:r>
    </w:p>
    <w:p w14:paraId="2F53DC04" w14:textId="31FAA2E6" w:rsidR="00A75023" w:rsidRPr="00596836" w:rsidRDefault="00F1182E" w:rsidP="00D2024F">
      <w:pPr>
        <w:spacing w:after="120" w:line="480" w:lineRule="auto"/>
        <w:ind w:firstLine="360"/>
        <w:rPr>
          <w:b/>
          <w:bCs/>
        </w:rPr>
      </w:pPr>
      <w:r>
        <w:t>T</w:t>
      </w:r>
      <w:r w:rsidR="00A75023" w:rsidRPr="00596836">
        <w:t xml:space="preserve">he reliability of the evidence is crucial, and determining the authenticity and credibility of documentary material is essential. Hard questions must be asked: Who is the purported author? Under what circumstances was the document created? Did the author </w:t>
      </w:r>
      <w:r w:rsidR="00A75023">
        <w:t xml:space="preserve">(or the person offering) the documentation </w:t>
      </w:r>
      <w:r w:rsidR="00A75023" w:rsidRPr="00596836">
        <w:t>have an interest, financial or otherwise, in the object? Where has the document been since its purported creation, and how and why has it come to light?</w:t>
      </w:r>
      <w:r w:rsidR="00893E88">
        <w:t xml:space="preserve"> </w:t>
      </w:r>
      <w:r w:rsidR="00A75023" w:rsidRPr="00596836">
        <w:t xml:space="preserve">Obviously, a letter found through scholarly research in an established archive is more credible than one proffered by a would-be seller, without clear indication of </w:t>
      </w:r>
      <w:r w:rsidR="00A75023">
        <w:t>the letter’s</w:t>
      </w:r>
      <w:r w:rsidR="00A75023" w:rsidRPr="00596836">
        <w:t xml:space="preserve"> chain of custody.</w:t>
      </w:r>
      <w:r w:rsidR="00A75023" w:rsidRPr="00596836">
        <w:rPr>
          <w:rStyle w:val="EndnoteReference"/>
        </w:rPr>
        <w:endnoteReference w:id="64"/>
      </w:r>
    </w:p>
    <w:p w14:paraId="5F6F029B" w14:textId="724D1956" w:rsidR="00E82818" w:rsidRPr="00596836" w:rsidRDefault="00A75023" w:rsidP="00D2024F">
      <w:pPr>
        <w:spacing w:after="120" w:line="480" w:lineRule="auto"/>
        <w:ind w:firstLine="360"/>
      </w:pPr>
      <w:r w:rsidRPr="00596836">
        <w:t>Checking potential acquisitions against databases sounds more helpful than it is in practice.</w:t>
      </w:r>
      <w:r w:rsidR="00893E88">
        <w:t xml:space="preserve"> </w:t>
      </w:r>
      <w:r w:rsidRPr="00596836">
        <w:t>The International Council of Museums (ICOM) maintains a “Red List” identif</w:t>
      </w:r>
      <w:r>
        <w:t>ying</w:t>
      </w:r>
      <w:r w:rsidRPr="00596836">
        <w:t xml:space="preserve"> categories of objects at risk</w:t>
      </w:r>
      <w:r>
        <w:t>,</w:t>
      </w:r>
      <w:r w:rsidRPr="00FE05D2">
        <w:rPr>
          <w:rStyle w:val="EndnoteReference"/>
        </w:rPr>
        <w:endnoteReference w:id="65"/>
      </w:r>
      <w:r w:rsidRPr="00FE05D2">
        <w:rPr>
          <w:rStyle w:val="EndnoteReference"/>
        </w:rPr>
        <w:t xml:space="preserve"> </w:t>
      </w:r>
      <w:r>
        <w:t xml:space="preserve">and </w:t>
      </w:r>
      <w:r w:rsidRPr="00596836">
        <w:t>Interpol maintains a list of objects said to be stolen or illegally excavated</w:t>
      </w:r>
      <w:r>
        <w:t>.</w:t>
      </w:r>
      <w:r w:rsidRPr="00FE05D2">
        <w:rPr>
          <w:rStyle w:val="EndnoteReference"/>
        </w:rPr>
        <w:endnoteReference w:id="66"/>
      </w:r>
      <w:r w:rsidR="00893E88">
        <w:rPr>
          <w:rStyle w:val="EndnoteReference"/>
        </w:rPr>
        <w:t xml:space="preserve"> </w:t>
      </w:r>
      <w:r>
        <w:t xml:space="preserve">The Art Loss Register maintains what it describes as </w:t>
      </w:r>
      <w:r w:rsidRPr="00FE05D2">
        <w:t>“</w:t>
      </w:r>
      <w:r w:rsidRPr="003C5F8D">
        <w:t>the world’s largest private database of lost, stolen and looted art, antiques and collectibles</w:t>
      </w:r>
      <w:r w:rsidR="00F1182E">
        <w:t>.</w:t>
      </w:r>
      <w:r w:rsidR="00893E88">
        <w:t xml:space="preserve"> . . .</w:t>
      </w:r>
      <w:r w:rsidRPr="00FE05D2">
        <w:t>”</w:t>
      </w:r>
      <w:r>
        <w:rPr>
          <w:rStyle w:val="EndnoteReference"/>
        </w:rPr>
        <w:endnoteReference w:id="67"/>
      </w:r>
      <w:r>
        <w:t xml:space="preserve"> </w:t>
      </w:r>
      <w:r w:rsidR="00FE05D2">
        <w:t>V</w:t>
      </w:r>
      <w:r w:rsidR="00E82818" w:rsidRPr="00596836">
        <w:t>arious universities, law schools</w:t>
      </w:r>
      <w:r w:rsidR="00153EA2">
        <w:t xml:space="preserve">, </w:t>
      </w:r>
      <w:r w:rsidR="00E82818" w:rsidRPr="00596836">
        <w:t>nonprofits</w:t>
      </w:r>
      <w:r w:rsidR="00153EA2">
        <w:t>, and web sites</w:t>
      </w:r>
      <w:r w:rsidR="00E82818" w:rsidRPr="00596836">
        <w:t xml:space="preserve"> episodically try to assemble lists of potentially problematic objects.</w:t>
      </w:r>
      <w:r w:rsidR="00261A2C" w:rsidRPr="00596836">
        <w:t xml:space="preserve"> </w:t>
      </w:r>
      <w:r w:rsidR="00E82818" w:rsidRPr="00596836">
        <w:t xml:space="preserve">But none of these efforts </w:t>
      </w:r>
      <w:r w:rsidR="00727D23" w:rsidRPr="00596836">
        <w:t>has</w:t>
      </w:r>
      <w:r w:rsidR="00E82818" w:rsidRPr="00596836">
        <w:t xml:space="preserve"> created a </w:t>
      </w:r>
      <w:r w:rsidR="00FE05D2">
        <w:t xml:space="preserve">completely </w:t>
      </w:r>
      <w:r w:rsidR="00E82818" w:rsidRPr="00596836">
        <w:t>reliable, comprehensive, up-to-date source of information. As a result, these databases, even to the extent that one is aware of the</w:t>
      </w:r>
      <w:r w:rsidR="00F06317">
        <w:t>m</w:t>
      </w:r>
      <w:r w:rsidR="00E82818" w:rsidRPr="00596836">
        <w:t>, are of limited utility.</w:t>
      </w:r>
      <w:r w:rsidR="00E46F8E">
        <w:t xml:space="preserve"> </w:t>
      </w:r>
    </w:p>
    <w:p w14:paraId="36CD6B2E" w14:textId="0AF61902" w:rsidR="00E3795D" w:rsidRDefault="00E82818" w:rsidP="00D2024F">
      <w:pPr>
        <w:spacing w:after="120" w:line="480" w:lineRule="auto"/>
        <w:ind w:firstLine="360"/>
      </w:pPr>
      <w:r w:rsidRPr="00596836">
        <w:t xml:space="preserve">Another </w:t>
      </w:r>
      <w:r w:rsidR="00F06317">
        <w:t>potential</w:t>
      </w:r>
      <w:r w:rsidR="00F06317" w:rsidRPr="00596836">
        <w:t xml:space="preserve"> </w:t>
      </w:r>
      <w:r w:rsidRPr="00596836">
        <w:t>source of information is direct contact with the country of origin, if known, or the country of modern discovery</w:t>
      </w:r>
      <w:r w:rsidR="00727D23" w:rsidRPr="00596836">
        <w:t xml:space="preserve">, </w:t>
      </w:r>
      <w:r w:rsidRPr="00596836">
        <w:t xml:space="preserve">if different </w:t>
      </w:r>
      <w:r w:rsidR="00727D23" w:rsidRPr="00596836">
        <w:t>from the</w:t>
      </w:r>
      <w:r w:rsidRPr="00596836">
        <w:t xml:space="preserve"> country of origin. An inquiry addressed to the </w:t>
      </w:r>
      <w:r w:rsidR="00F1182E">
        <w:t>c</w:t>
      </w:r>
      <w:r w:rsidRPr="00596836">
        <w:t xml:space="preserve">ulture </w:t>
      </w:r>
      <w:r w:rsidR="00F1182E">
        <w:t>m</w:t>
      </w:r>
      <w:r w:rsidRPr="00596836">
        <w:t xml:space="preserve">inistry of a country </w:t>
      </w:r>
      <w:r w:rsidR="00727D23" w:rsidRPr="00596836">
        <w:t xml:space="preserve">that </w:t>
      </w:r>
      <w:r w:rsidR="00E3795D" w:rsidRPr="00596836">
        <w:t>m</w:t>
      </w:r>
      <w:r w:rsidRPr="00596836">
        <w:t>ight possibly assert ownership of an object has superficial appeal: if the</w:t>
      </w:r>
      <w:r w:rsidR="00E3795D" w:rsidRPr="00596836">
        <w:t xml:space="preserve"> country</w:t>
      </w:r>
      <w:r w:rsidRPr="00596836">
        <w:t xml:space="preserve"> </w:t>
      </w:r>
      <w:r w:rsidR="00E3795D" w:rsidRPr="00596836">
        <w:t xml:space="preserve">possesses </w:t>
      </w:r>
      <w:r w:rsidRPr="00596836">
        <w:t xml:space="preserve">any evidence that the object was stolen or illegally </w:t>
      </w:r>
      <w:r w:rsidRPr="00596836">
        <w:lastRenderedPageBreak/>
        <w:t>excavated, they can simply say so</w:t>
      </w:r>
      <w:r w:rsidR="00701CE2" w:rsidRPr="00596836">
        <w:t xml:space="preserve"> and save</w:t>
      </w:r>
      <w:r w:rsidRPr="00596836">
        <w:t xml:space="preserve"> all parties (other than the</w:t>
      </w:r>
      <w:r w:rsidR="00202769" w:rsidRPr="00596836">
        <w:t xml:space="preserve"> current</w:t>
      </w:r>
      <w:r w:rsidRPr="00596836">
        <w:t xml:space="preserve"> </w:t>
      </w:r>
      <w:r w:rsidR="00701CE2" w:rsidRPr="00596836">
        <w:t>possessor</w:t>
      </w:r>
      <w:r w:rsidRPr="00596836">
        <w:t>) from future headaches</w:t>
      </w:r>
      <w:r w:rsidR="00701CE2" w:rsidRPr="00596836">
        <w:t>.</w:t>
      </w:r>
      <w:r w:rsidR="00701CE2" w:rsidRPr="00596836" w:rsidDel="00701CE2">
        <w:t xml:space="preserve"> </w:t>
      </w:r>
      <w:r w:rsidR="00701CE2" w:rsidRPr="00596836">
        <w:t>Yet i</w:t>
      </w:r>
      <w:r w:rsidRPr="00596836">
        <w:t xml:space="preserve">t </w:t>
      </w:r>
      <w:r w:rsidR="00261A2C" w:rsidRPr="00596836">
        <w:t xml:space="preserve">rarely </w:t>
      </w:r>
      <w:r w:rsidRPr="00596836">
        <w:t>work</w:t>
      </w:r>
      <w:r w:rsidR="00261A2C" w:rsidRPr="00596836">
        <w:t>s</w:t>
      </w:r>
      <w:r w:rsidRPr="00596836">
        <w:t xml:space="preserve">. Governments are ill-equipped to offer advisory opinions on the legitimacy of </w:t>
      </w:r>
      <w:proofErr w:type="gramStart"/>
      <w:r w:rsidRPr="00596836">
        <w:t>particular objects</w:t>
      </w:r>
      <w:proofErr w:type="gramEnd"/>
      <w:r w:rsidRPr="00596836">
        <w:t xml:space="preserve">, and even the most hard-working, knowledgeable bureaucrats have little incentive to warn (or reassure) foreign collectors or institutions about potential pitfalls. At best, any such inquiry is likely to produce a neutral response that the </w:t>
      </w:r>
      <w:r w:rsidR="00F1182E">
        <w:t>m</w:t>
      </w:r>
      <w:r w:rsidRPr="00596836">
        <w:t xml:space="preserve">inistry cannot confirm whether an object </w:t>
      </w:r>
      <w:r w:rsidR="00153EA2">
        <w:t>is problematic</w:t>
      </w:r>
      <w:r w:rsidRPr="00596836">
        <w:t>.</w:t>
      </w:r>
      <w:r w:rsidR="00E46F8E">
        <w:t xml:space="preserve"> </w:t>
      </w:r>
    </w:p>
    <w:p w14:paraId="14E582BC" w14:textId="4E45CB87" w:rsidR="0082525C" w:rsidRPr="00596836" w:rsidRDefault="0082525C" w:rsidP="00D2024F">
      <w:pPr>
        <w:spacing w:after="120" w:line="480" w:lineRule="auto"/>
        <w:ind w:firstLine="360"/>
      </w:pPr>
      <w:r w:rsidRPr="0082525C">
        <w:t xml:space="preserve">Reasonable people can differ about the probative value of evidence discovered during provenance research. A few years ago, </w:t>
      </w:r>
      <w:r w:rsidR="00C76618">
        <w:t xml:space="preserve">a </w:t>
      </w:r>
      <w:proofErr w:type="gramStart"/>
      <w:r w:rsidR="00C76618">
        <w:t xml:space="preserve">U.S. </w:t>
      </w:r>
      <w:r w:rsidRPr="0082525C">
        <w:t>museum</w:t>
      </w:r>
      <w:proofErr w:type="gramEnd"/>
      <w:r w:rsidRPr="0082525C">
        <w:t xml:space="preserve"> was offered an opportunity to acquire a significant Roman statue. The country of origin was unknown, as was the location and date of modern discovery. The seller offered as evidence that the work was documented before 1970 a faxed photocopy of a letter stating that the writer had seen the object in a home in Switzerland in or around 1969. Concluding that the letter lacked probative value, the museum declined to proceed with the acquisition; another institution, applying similar policy criteria, later acquired the work.</w:t>
      </w:r>
    </w:p>
    <w:p w14:paraId="2F7DB5F2" w14:textId="15F43E20" w:rsidR="00BA7D44" w:rsidRDefault="00BA7D44" w:rsidP="00D2024F">
      <w:pPr>
        <w:spacing w:after="120" w:line="480" w:lineRule="auto"/>
        <w:ind w:firstLine="360"/>
      </w:pPr>
      <w:r w:rsidRPr="00596836">
        <w:t xml:space="preserve">Judgment, tempered by good faith, is imperative. The point of provenance research in the context of acquisitions, and the purpose of rigorous acquisition standards, is to assure that </w:t>
      </w:r>
      <w:r>
        <w:t>museums</w:t>
      </w:r>
      <w:r w:rsidRPr="00596836">
        <w:t xml:space="preserve"> act responsibly as member</w:t>
      </w:r>
      <w:r>
        <w:t>s</w:t>
      </w:r>
      <w:r w:rsidRPr="00596836">
        <w:t xml:space="preserve"> of a global community that values objects both as works of art and as part of the archaeological record. It is not enough to establish a plausible narrative for an object’s provenance to justify its acquisition. The goal must be to take seriously a shared responsibility to act in good faith, based on </w:t>
      </w:r>
      <w:r>
        <w:t xml:space="preserve">verifiable </w:t>
      </w:r>
      <w:r w:rsidRPr="00596836">
        <w:t xml:space="preserve">documentary information or on reasonable inferences drawn from the facts and circumstances of a particular </w:t>
      </w:r>
      <w:r>
        <w:t>situation</w:t>
      </w:r>
      <w:r w:rsidRPr="00596836">
        <w:t>.</w:t>
      </w:r>
    </w:p>
    <w:p w14:paraId="67903DDD" w14:textId="44264975" w:rsidR="00BA7D44" w:rsidRDefault="00BA7D44" w:rsidP="00D2024F">
      <w:pPr>
        <w:spacing w:after="120" w:line="480" w:lineRule="auto"/>
        <w:ind w:firstLine="360"/>
      </w:pPr>
      <w:r>
        <w:t xml:space="preserve">In this regard, meticulous provenance research is invaluable. Curators define the importance of an object for a collection. Lawyers weigh evidence and determine whether legal and policy </w:t>
      </w:r>
      <w:r>
        <w:lastRenderedPageBreak/>
        <w:t xml:space="preserve">standards have been met. </w:t>
      </w:r>
      <w:r w:rsidR="00EF77AE">
        <w:t>As fiduciaries, t</w:t>
      </w:r>
      <w:r>
        <w:t>rustees ensure that a</w:t>
      </w:r>
      <w:r w:rsidR="00EF77AE">
        <w:t xml:space="preserve"> museum’s </w:t>
      </w:r>
      <w:r>
        <w:t xml:space="preserve">educational purposes are furthered by each acquisition and </w:t>
      </w:r>
      <w:r w:rsidR="00EF77AE">
        <w:t xml:space="preserve">must </w:t>
      </w:r>
      <w:r>
        <w:t xml:space="preserve">balance the benefit of continued acquisitions against the legal and reputational risks of poor judgment. Good researchers know where to find information and </w:t>
      </w:r>
      <w:r w:rsidR="0082525C">
        <w:t>discover relevant</w:t>
      </w:r>
      <w:r>
        <w:t xml:space="preserve"> facts, circumstances, and relationships</w:t>
      </w:r>
      <w:r w:rsidR="0082525C">
        <w:t xml:space="preserve"> that can guide museum professionals and counsel in </w:t>
      </w:r>
      <w:r w:rsidR="00652AA3">
        <w:t>forming</w:t>
      </w:r>
      <w:r w:rsidR="0082525C">
        <w:t xml:space="preserve"> legal conclusions</w:t>
      </w:r>
      <w:r w:rsidR="00EF77AE">
        <w:t>.</w:t>
      </w:r>
      <w:r w:rsidR="00893E88">
        <w:t xml:space="preserve"> </w:t>
      </w:r>
      <w:r w:rsidR="00EF77AE">
        <w:t>S</w:t>
      </w:r>
      <w:r>
        <w:t xml:space="preserve">cholarship, judgment, and dogged persistence are irreplaceable contributions of provenance research. </w:t>
      </w:r>
    </w:p>
    <w:p w14:paraId="111F16C9" w14:textId="77777777" w:rsidR="00763208" w:rsidRPr="00596836" w:rsidRDefault="00763208" w:rsidP="00D2024F">
      <w:pPr>
        <w:spacing w:after="120" w:line="480" w:lineRule="auto"/>
        <w:ind w:firstLine="360"/>
      </w:pPr>
    </w:p>
    <w:p w14:paraId="6AA304AA" w14:textId="00D90510" w:rsidR="00647394" w:rsidRPr="00763208" w:rsidRDefault="00E46F8E" w:rsidP="00763208">
      <w:pPr>
        <w:pStyle w:val="Heading2"/>
        <w:rPr>
          <w:i w:val="0"/>
          <w:iCs/>
          <w:color w:val="000000" w:themeColor="text1"/>
        </w:rPr>
      </w:pPr>
      <w:bookmarkStart w:id="16" w:name="_Toc95566551"/>
      <w:r w:rsidRPr="00763208">
        <w:rPr>
          <w:i w:val="0"/>
          <w:iCs/>
          <w:color w:val="000000" w:themeColor="text1"/>
        </w:rPr>
        <w:t>Conclusion</w:t>
      </w:r>
      <w:bookmarkEnd w:id="16"/>
    </w:p>
    <w:p w14:paraId="486C7E8B" w14:textId="77777777" w:rsidR="00F557B4" w:rsidRPr="00F557B4" w:rsidRDefault="00F557B4" w:rsidP="00F557B4"/>
    <w:p w14:paraId="1FA1CC23" w14:textId="0BDCDFC7" w:rsidR="003F02A1" w:rsidRDefault="003F02A1" w:rsidP="00893E88">
      <w:pPr>
        <w:spacing w:before="120" w:after="120" w:line="480" w:lineRule="auto"/>
      </w:pPr>
      <w:r>
        <w:t xml:space="preserve">Finally, it </w:t>
      </w:r>
      <w:r w:rsidR="00D34949">
        <w:t>must be</w:t>
      </w:r>
      <w:r>
        <w:t xml:space="preserve"> emphasize</w:t>
      </w:r>
      <w:r w:rsidR="00D34949">
        <w:t>d</w:t>
      </w:r>
      <w:r>
        <w:t xml:space="preserve"> that provenance research </w:t>
      </w:r>
      <w:r w:rsidR="0014757A">
        <w:t xml:space="preserve">is </w:t>
      </w:r>
      <w:r w:rsidR="001E4757">
        <w:t>rarely complete</w:t>
      </w:r>
      <w:r>
        <w:t xml:space="preserve">. </w:t>
      </w:r>
      <w:r w:rsidR="00A0388B">
        <w:t>To the extent possible given institutional resources</w:t>
      </w:r>
      <w:r w:rsidR="001E4757">
        <w:t>,</w:t>
      </w:r>
      <w:r w:rsidR="00A0388B">
        <w:t xml:space="preserve"> provenance research should </w:t>
      </w:r>
      <w:r w:rsidR="0014757A">
        <w:t xml:space="preserve">not end </w:t>
      </w:r>
      <w:r w:rsidR="00D34949">
        <w:t xml:space="preserve">when </w:t>
      </w:r>
      <w:r w:rsidR="0014757A">
        <w:t xml:space="preserve">an antiquity has been accessioned. Ongoing research adds to understanding of the work and can help </w:t>
      </w:r>
      <w:r w:rsidR="00A0388B">
        <w:t>address</w:t>
      </w:r>
      <w:r w:rsidR="0014757A">
        <w:t xml:space="preserve"> </w:t>
      </w:r>
      <w:r w:rsidR="00A0388B">
        <w:t>legal or ethical issues arising from later-acquired knowledge</w:t>
      </w:r>
      <w:r w:rsidR="00F33B50">
        <w:t>. Willingness to lea</w:t>
      </w:r>
      <w:r w:rsidR="005E2E82">
        <w:t>rn</w:t>
      </w:r>
      <w:r w:rsidR="00F33B50">
        <w:t xml:space="preserve"> and act on new </w:t>
      </w:r>
      <w:r w:rsidR="000C5A21">
        <w:t xml:space="preserve">information </w:t>
      </w:r>
      <w:r w:rsidR="00F33B50">
        <w:t>is essential</w:t>
      </w:r>
      <w:r w:rsidR="005945E2">
        <w:t xml:space="preserve"> and</w:t>
      </w:r>
      <w:r w:rsidR="0014757A">
        <w:t xml:space="preserve"> hinges on the skills, diligence, and tireless work of provenance research</w:t>
      </w:r>
      <w:r w:rsidR="00783811">
        <w:t>.</w:t>
      </w:r>
    </w:p>
    <w:p w14:paraId="183A5BED" w14:textId="77777777" w:rsidR="00893E88" w:rsidRDefault="00893E88" w:rsidP="00893E88">
      <w:pPr>
        <w:spacing w:before="120" w:after="120" w:line="480" w:lineRule="auto"/>
      </w:pPr>
    </w:p>
    <w:p w14:paraId="518CBD31" w14:textId="77777777" w:rsidR="00763208" w:rsidRPr="00763208" w:rsidRDefault="00763208" w:rsidP="00763208">
      <w:pPr>
        <w:pStyle w:val="Heading2"/>
        <w:rPr>
          <w:i w:val="0"/>
          <w:iCs/>
          <w:color w:val="000000" w:themeColor="text1"/>
        </w:rPr>
      </w:pPr>
    </w:p>
    <w:p w14:paraId="654B9A69" w14:textId="094704B5" w:rsidR="00763208" w:rsidRPr="00763208" w:rsidRDefault="00763208" w:rsidP="00763208">
      <w:pPr>
        <w:pStyle w:val="Heading2"/>
        <w:rPr>
          <w:i w:val="0"/>
          <w:iCs/>
          <w:color w:val="000000" w:themeColor="text1"/>
        </w:rPr>
      </w:pPr>
      <w:r w:rsidRPr="00763208">
        <w:rPr>
          <w:i w:val="0"/>
          <w:iCs/>
          <w:color w:val="000000" w:themeColor="text1"/>
        </w:rPr>
        <w:t>Notes</w:t>
      </w:r>
    </w:p>
    <w:sectPr w:rsidR="00763208" w:rsidRPr="00763208" w:rsidSect="00DD4124">
      <w:footerReference w:type="default" r:id="rId9"/>
      <w:headerReference w:type="first" r:id="rId10"/>
      <w:footerReference w:type="first" r:id="rId11"/>
      <w:endnotePr>
        <w:numFmt w:val="decimal"/>
      </w:endnotePr>
      <w:pgSz w:w="12240" w:h="15840"/>
      <w:pgMar w:top="1440" w:right="144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E5EED" w14:textId="77777777" w:rsidR="001235D4" w:rsidRDefault="001235D4" w:rsidP="00EE65BC">
      <w:r>
        <w:separator/>
      </w:r>
    </w:p>
  </w:endnote>
  <w:endnote w:type="continuationSeparator" w:id="0">
    <w:p w14:paraId="36B823BD" w14:textId="77777777" w:rsidR="001235D4" w:rsidRDefault="001235D4" w:rsidP="00EE65BC">
      <w:r>
        <w:continuationSeparator/>
      </w:r>
    </w:p>
  </w:endnote>
  <w:endnote w:type="continuationNotice" w:id="1">
    <w:p w14:paraId="1C3DE935" w14:textId="77777777" w:rsidR="001235D4" w:rsidRDefault="001235D4"/>
  </w:endnote>
  <w:endnote w:id="2">
    <w:p w14:paraId="20901C5D" w14:textId="04FE493F"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The legal aspects of provenance research described in this chapter apply equally to works acquired by purchase, lifetime gift, or testamentary devise. For convenience, we refer only to a “seller,” rather than to “a seller or a donor.”</w:t>
      </w:r>
      <w:r w:rsidR="00E46F8E" w:rsidRPr="006D44BB">
        <w:t xml:space="preserve"> </w:t>
      </w:r>
    </w:p>
    <w:p w14:paraId="0D072D8F" w14:textId="77777777" w:rsidR="007B2FCF" w:rsidRPr="006D44BB" w:rsidRDefault="007B2FCF" w:rsidP="00893E88">
      <w:pPr>
        <w:pStyle w:val="EndnoteText"/>
        <w:spacing w:after="120" w:line="480" w:lineRule="auto"/>
      </w:pPr>
    </w:p>
  </w:endnote>
  <w:endnote w:id="3">
    <w:p w14:paraId="1CD2761F" w14:textId="19B7D876" w:rsidR="00EF0783" w:rsidRPr="006D44BB" w:rsidRDefault="00EF0783" w:rsidP="00A26785">
      <w:pPr>
        <w:pStyle w:val="EndnoteText"/>
        <w:spacing w:line="480" w:lineRule="auto"/>
      </w:pPr>
      <w:r w:rsidRPr="006D44BB">
        <w:rPr>
          <w:rStyle w:val="EndnoteReference"/>
        </w:rPr>
        <w:endnoteRef/>
      </w:r>
      <w:r w:rsidRPr="006D44BB">
        <w:t xml:space="preserve"> We use “provenance” to mean an object’s history of ownership and distinguish that term from “provenience,” which refers to an object’s findspot, its place of modern discovery. </w:t>
      </w:r>
      <w:r w:rsidR="00184C5B" w:rsidRPr="006D44BB">
        <w:t xml:space="preserve">See the </w:t>
      </w:r>
      <w:hyperlink r:id="rId1" w:history="1">
        <w:r w:rsidR="00184C5B" w:rsidRPr="006D44BB">
          <w:rPr>
            <w:rStyle w:val="Hyperlink"/>
          </w:rPr>
          <w:t>Introduction</w:t>
        </w:r>
      </w:hyperlink>
      <w:r w:rsidR="00184C5B" w:rsidRPr="006D44BB">
        <w:t>.</w:t>
      </w:r>
      <w:r w:rsidRPr="006D44BB">
        <w:t xml:space="preserve"> </w:t>
      </w:r>
    </w:p>
    <w:p w14:paraId="1FE5C90D" w14:textId="77777777" w:rsidR="007B2FCF" w:rsidRPr="006D44BB" w:rsidRDefault="007B2FCF" w:rsidP="00A26785">
      <w:pPr>
        <w:pStyle w:val="EndnoteText"/>
        <w:spacing w:line="480" w:lineRule="auto"/>
      </w:pPr>
    </w:p>
  </w:endnote>
  <w:endnote w:id="4">
    <w:p w14:paraId="6E0217FE" w14:textId="01CE48CC" w:rsidR="00A75023" w:rsidRPr="006D44BB" w:rsidRDefault="00A75023" w:rsidP="00893E88">
      <w:pPr>
        <w:pStyle w:val="EndnoteText"/>
        <w:spacing w:after="120" w:line="480" w:lineRule="auto"/>
        <w:rPr>
          <w:bCs/>
        </w:rPr>
      </w:pPr>
      <w:r w:rsidRPr="006D44BB">
        <w:rPr>
          <w:rStyle w:val="EndnoteReference"/>
        </w:rPr>
        <w:endnoteRef/>
      </w:r>
      <w:r w:rsidR="00893E88" w:rsidRPr="006D44BB">
        <w:t xml:space="preserve"> </w:t>
      </w:r>
      <w:r w:rsidRPr="006D44BB">
        <w:t xml:space="preserve">Under U.S. law, an object can become a defendant in a lawsuit pursuant to what is referred to as </w:t>
      </w:r>
      <w:r w:rsidRPr="006D44BB">
        <w:rPr>
          <w:i/>
          <w:iCs/>
        </w:rPr>
        <w:t>in rem</w:t>
      </w:r>
      <w:r w:rsidRPr="006D44BB">
        <w:t xml:space="preserve"> jurisdiction</w:t>
      </w:r>
      <w:r w:rsidR="006D3828" w:rsidRPr="006D44BB">
        <w:t>—</w:t>
      </w:r>
      <w:r w:rsidRPr="006D44BB">
        <w:t>that is, jurisdiction “against the thing.” If the federal government has probable cause to believe an antiquity has been stolen or illegally imported, the government can initiate proceedings to seize and forfeit the object, in which case the object itself is named as the defendant.</w:t>
      </w:r>
      <w:r w:rsidR="00893E88" w:rsidRPr="006D44BB">
        <w:t xml:space="preserve"> </w:t>
      </w:r>
      <w:r w:rsidRPr="006D44BB">
        <w:t xml:space="preserve">An example of </w:t>
      </w:r>
      <w:r w:rsidRPr="006D44BB">
        <w:rPr>
          <w:i/>
        </w:rPr>
        <w:t>in rem</w:t>
      </w:r>
      <w:r w:rsidRPr="006D44BB">
        <w:t xml:space="preserve"> jurisdiction involving a Mediterranean antiquity is the 1997 case </w:t>
      </w:r>
      <w:r w:rsidRPr="006D44BB">
        <w:rPr>
          <w:i/>
        </w:rPr>
        <w:t xml:space="preserve">United States v. An Antique Platter of Gold, Known as a Gold Phiale </w:t>
      </w:r>
      <w:proofErr w:type="spellStart"/>
      <w:r w:rsidRPr="006D44BB">
        <w:rPr>
          <w:i/>
        </w:rPr>
        <w:t>Mesomphalos</w:t>
      </w:r>
      <w:proofErr w:type="spellEnd"/>
      <w:r w:rsidRPr="006D44BB">
        <w:rPr>
          <w:i/>
          <w:iCs/>
        </w:rPr>
        <w:t>, c. 400 B.C.</w:t>
      </w:r>
      <w:r w:rsidRPr="006D44BB">
        <w:t xml:space="preserve">, 991 F. Supp. 222 (S.D.N.Y. 1997), </w:t>
      </w:r>
      <w:r w:rsidRPr="006D44BB">
        <w:rPr>
          <w:i/>
          <w:iCs/>
        </w:rPr>
        <w:t>aff’d on other grounds</w:t>
      </w:r>
      <w:r w:rsidRPr="006D44BB">
        <w:t>, 184 F.3d 131 (2d Cir. 1999)</w:t>
      </w:r>
      <w:r w:rsidRPr="006D44BB">
        <w:rPr>
          <w:bCs/>
        </w:rPr>
        <w:t>.</w:t>
      </w:r>
    </w:p>
    <w:p w14:paraId="44648EFE" w14:textId="77777777" w:rsidR="007B2FCF" w:rsidRPr="006D44BB" w:rsidRDefault="007B2FCF" w:rsidP="00893E88">
      <w:pPr>
        <w:pStyle w:val="EndnoteText"/>
        <w:spacing w:after="120" w:line="480" w:lineRule="auto"/>
        <w:rPr>
          <w:bCs/>
        </w:rPr>
      </w:pPr>
    </w:p>
  </w:endnote>
  <w:endnote w:id="5">
    <w:p w14:paraId="41E5E82C" w14:textId="60ED0FB6"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 xml:space="preserve">The bust of Nefertiti in Berlin’s </w:t>
      </w:r>
      <w:proofErr w:type="spellStart"/>
      <w:r w:rsidRPr="006D44BB">
        <w:t>Neues</w:t>
      </w:r>
      <w:proofErr w:type="spellEnd"/>
      <w:r w:rsidRPr="006D44BB">
        <w:t xml:space="preserve"> Museum is a rare exception. Archaeologists working with the German Orient Society (</w:t>
      </w:r>
      <w:proofErr w:type="spellStart"/>
      <w:r w:rsidRPr="006D44BB">
        <w:t>Deutschen</w:t>
      </w:r>
      <w:proofErr w:type="spellEnd"/>
      <w:r w:rsidRPr="006D44BB">
        <w:t xml:space="preserve"> Orient-Gesellschaft) at the site of Tel </w:t>
      </w:r>
      <w:proofErr w:type="spellStart"/>
      <w:r w:rsidRPr="006D44BB">
        <w:t>el</w:t>
      </w:r>
      <w:proofErr w:type="spellEnd"/>
      <w:r w:rsidRPr="006D44BB">
        <w:t>-Amarna discovered the bust on December 6, 1912</w:t>
      </w:r>
      <w:r w:rsidR="006D3828" w:rsidRPr="006D44BB">
        <w:t>,</w:t>
      </w:r>
      <w:r w:rsidRPr="006D44BB">
        <w:t xml:space="preserve"> in the remains of the combined studio-residence of a sculptor named Thutmose. See </w:t>
      </w:r>
      <w:r w:rsidR="007B2FCF" w:rsidRPr="006D44BB">
        <w:t>$$</w:t>
      </w:r>
      <w:r w:rsidRPr="006D44BB">
        <w:t>Urice</w:t>
      </w:r>
      <w:r w:rsidR="00FE321F" w:rsidRPr="006D44BB">
        <w:t xml:space="preserve"> 2006</w:t>
      </w:r>
      <w:r w:rsidR="006D44BB">
        <w:t xml:space="preserve"> </w:t>
      </w:r>
      <w:r w:rsidR="007B2FCF" w:rsidRPr="006D44BB">
        <w:t>|</w:t>
      </w:r>
      <w:r w:rsidR="006D44BB">
        <w:t xml:space="preserve"> </w:t>
      </w:r>
      <w:r w:rsidRPr="006D44BB">
        <w:t>135</w:t>
      </w:r>
      <w:r w:rsidR="007B2FCF" w:rsidRPr="006D44BB">
        <w:t>$$</w:t>
      </w:r>
      <w:r w:rsidRPr="006D44BB">
        <w:t xml:space="preserve">, </w:t>
      </w:r>
      <w:r w:rsidR="007B2FCF" w:rsidRPr="006D44BB">
        <w:t>$$Urice 2006</w:t>
      </w:r>
      <w:r w:rsidR="006D44BB">
        <w:t xml:space="preserve"> </w:t>
      </w:r>
      <w:r w:rsidR="007B2FCF" w:rsidRPr="006D44BB">
        <w:t>|</w:t>
      </w:r>
      <w:r w:rsidR="006D44BB">
        <w:t xml:space="preserve">| </w:t>
      </w:r>
      <w:r w:rsidRPr="006D44BB">
        <w:t>139</w:t>
      </w:r>
      <w:r w:rsidR="007B2FCF" w:rsidRPr="006D44BB">
        <w:t>$$</w:t>
      </w:r>
      <w:r w:rsidRPr="006D44BB">
        <w:t>.</w:t>
      </w:r>
    </w:p>
    <w:p w14:paraId="24C8F5BD" w14:textId="77777777" w:rsidR="007B2FCF" w:rsidRPr="006D44BB" w:rsidRDefault="007B2FCF" w:rsidP="00893E88">
      <w:pPr>
        <w:pStyle w:val="EndnoteText"/>
        <w:spacing w:after="120" w:line="480" w:lineRule="auto"/>
      </w:pPr>
    </w:p>
  </w:endnote>
  <w:endnote w:id="6">
    <w:p w14:paraId="59FC734F" w14:textId="3E58BE3E" w:rsidR="00A75023" w:rsidRPr="006D44BB" w:rsidRDefault="00A75023" w:rsidP="00A75023">
      <w:pPr>
        <w:spacing w:after="120" w:line="480" w:lineRule="auto"/>
        <w:rPr>
          <w:rStyle w:val="EndnoteTextChar"/>
        </w:rPr>
      </w:pPr>
      <w:r w:rsidRPr="006D44BB">
        <w:rPr>
          <w:rStyle w:val="EndnoteReference"/>
          <w:sz w:val="20"/>
          <w:szCs w:val="20"/>
        </w:rPr>
        <w:endnoteRef/>
      </w:r>
      <w:r w:rsidR="00893E88" w:rsidRPr="006D44BB">
        <w:rPr>
          <w:sz w:val="20"/>
          <w:szCs w:val="20"/>
        </w:rPr>
        <w:t xml:space="preserve"> </w:t>
      </w:r>
      <w:r w:rsidRPr="006D44BB">
        <w:rPr>
          <w:rStyle w:val="EndnoteTextChar"/>
        </w:rPr>
        <w:t xml:space="preserve">For a description of its discovery, see </w:t>
      </w:r>
      <w:r w:rsidR="007B2FCF" w:rsidRPr="006D44BB">
        <w:rPr>
          <w:rStyle w:val="EndnoteTextChar"/>
        </w:rPr>
        <w:t>$$</w:t>
      </w:r>
      <w:r w:rsidRPr="006D44BB">
        <w:rPr>
          <w:rStyle w:val="EndnoteTextChar"/>
        </w:rPr>
        <w:t>Barkan</w:t>
      </w:r>
      <w:r w:rsidR="00C4625F" w:rsidRPr="006D44BB">
        <w:rPr>
          <w:rStyle w:val="EndnoteTextChar"/>
        </w:rPr>
        <w:t xml:space="preserve"> 1999</w:t>
      </w:r>
      <w:r w:rsidR="006D44BB">
        <w:rPr>
          <w:rStyle w:val="EndnoteTextChar"/>
        </w:rPr>
        <w:t xml:space="preserve"> </w:t>
      </w:r>
      <w:r w:rsidR="007B2FCF" w:rsidRPr="006D44BB">
        <w:rPr>
          <w:rStyle w:val="EndnoteTextChar"/>
        </w:rPr>
        <w:t>|</w:t>
      </w:r>
      <w:r w:rsidR="006D44BB">
        <w:rPr>
          <w:rStyle w:val="EndnoteTextChar"/>
        </w:rPr>
        <w:t xml:space="preserve"> </w:t>
      </w:r>
      <w:r w:rsidRPr="006D44BB">
        <w:rPr>
          <w:rStyle w:val="EndnoteTextChar"/>
        </w:rPr>
        <w:t>2</w:t>
      </w:r>
      <w:r w:rsidR="00893E88" w:rsidRPr="006D44BB">
        <w:rPr>
          <w:rStyle w:val="EndnoteTextChar"/>
        </w:rPr>
        <w:t>–</w:t>
      </w:r>
      <w:r w:rsidRPr="006D44BB">
        <w:rPr>
          <w:rStyle w:val="EndnoteTextChar"/>
        </w:rPr>
        <w:t>3</w:t>
      </w:r>
      <w:r w:rsidR="007B2FCF" w:rsidRPr="006D44BB">
        <w:rPr>
          <w:rStyle w:val="EndnoteTextChar"/>
        </w:rPr>
        <w:t>$$</w:t>
      </w:r>
      <w:r w:rsidRPr="006D44BB">
        <w:rPr>
          <w:rStyle w:val="EndnoteTextChar"/>
        </w:rPr>
        <w:t>.</w:t>
      </w:r>
    </w:p>
    <w:p w14:paraId="1A4732B9" w14:textId="77777777" w:rsidR="007B2FCF" w:rsidRPr="006D44BB" w:rsidRDefault="007B2FCF" w:rsidP="00A75023">
      <w:pPr>
        <w:spacing w:after="120" w:line="480" w:lineRule="auto"/>
        <w:rPr>
          <w:rStyle w:val="EndnoteTextChar"/>
        </w:rPr>
      </w:pPr>
    </w:p>
  </w:endnote>
  <w:endnote w:id="7">
    <w:p w14:paraId="235D5836" w14:textId="1E9A8312"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The civil and common law regimes are the primary legal systems in the contemporary world.</w:t>
      </w:r>
      <w:r w:rsidR="00893E88" w:rsidRPr="006D44BB">
        <w:t xml:space="preserve"> </w:t>
      </w:r>
      <w:r w:rsidRPr="006D44BB">
        <w:t>Other legal systems include, for example, canon law, Sharia law, and socialist law. Civil law derives from the</w:t>
      </w:r>
      <w:r w:rsidR="00DC4398" w:rsidRPr="006D44BB">
        <w:t xml:space="preserve"> sixth-</w:t>
      </w:r>
      <w:r w:rsidRPr="006D44BB">
        <w:t>century CE Code of Justinian and is said (not entirely accurately) to be based solely on written codifications of the law. European and many other countries throughout the world follow the civil law. Common law developed in medieval England and is followed today in countries that were British colonies (including the United States) or are still part of the British Commonwealth. The common law is said (not entirely accurately) to be predicated on judicial interpretation of statutory provisions or, where no statute applies, on how judges have decided prior cases with similar facts</w:t>
      </w:r>
      <w:r w:rsidR="00DC4398" w:rsidRPr="006D44BB">
        <w:t>—</w:t>
      </w:r>
      <w:r w:rsidRPr="006D44BB">
        <w:t>that is, by following “precedent.” For what many consider the best introduction to the civil law</w:t>
      </w:r>
      <w:r w:rsidR="00DC4398" w:rsidRPr="006D44BB">
        <w:t>,</w:t>
      </w:r>
      <w:r w:rsidRPr="006D44BB">
        <w:t xml:space="preserve"> see </w:t>
      </w:r>
      <w:r w:rsidR="007B2FCF" w:rsidRPr="006D44BB">
        <w:t>$$</w:t>
      </w:r>
      <w:r w:rsidRPr="006D44BB">
        <w:t>Merryman</w:t>
      </w:r>
      <w:r w:rsidR="00A73597" w:rsidRPr="006D44BB">
        <w:t xml:space="preserve"> 1969</w:t>
      </w:r>
      <w:r w:rsidR="007B2FCF" w:rsidRPr="006D44BB">
        <w:t>$$</w:t>
      </w:r>
      <w:r w:rsidR="00A73597" w:rsidRPr="006D44BB">
        <w:t>.</w:t>
      </w:r>
      <w:r w:rsidRPr="006D44BB">
        <w:t xml:space="preserve"> For an accessible (albeit extensive) introduction to the common law</w:t>
      </w:r>
      <w:r w:rsidR="00DC4398" w:rsidRPr="006D44BB">
        <w:t>,</w:t>
      </w:r>
      <w:r w:rsidRPr="006D44BB">
        <w:t xml:space="preserve"> see </w:t>
      </w:r>
      <w:r w:rsidR="007B2FCF" w:rsidRPr="006D44BB">
        <w:t>$$</w:t>
      </w:r>
      <w:r w:rsidRPr="006D44BB">
        <w:t>Langbein, Lettow Lerner</w:t>
      </w:r>
      <w:r w:rsidR="00316C6B" w:rsidRPr="006D44BB">
        <w:t>,</w:t>
      </w:r>
      <w:r w:rsidRPr="006D44BB">
        <w:t xml:space="preserve"> and Smith</w:t>
      </w:r>
      <w:r w:rsidR="007F69C0" w:rsidRPr="006D44BB">
        <w:t xml:space="preserve"> </w:t>
      </w:r>
      <w:r w:rsidRPr="006D44BB">
        <w:t>2009</w:t>
      </w:r>
      <w:r w:rsidR="007B2FCF" w:rsidRPr="006D44BB">
        <w:t>$$</w:t>
      </w:r>
      <w:r w:rsidRPr="006D44BB">
        <w:t>.</w:t>
      </w:r>
    </w:p>
    <w:p w14:paraId="13830994" w14:textId="77777777" w:rsidR="007B2FCF" w:rsidRPr="006D44BB" w:rsidRDefault="007B2FCF" w:rsidP="00893E88">
      <w:pPr>
        <w:pStyle w:val="EndnoteText"/>
        <w:spacing w:after="120" w:line="480" w:lineRule="auto"/>
      </w:pPr>
    </w:p>
  </w:endnote>
  <w:endnote w:id="8">
    <w:p w14:paraId="77FE2BA7" w14:textId="4F1647CF"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 xml:space="preserve">“Dominion and control” </w:t>
      </w:r>
      <w:proofErr w:type="gramStart"/>
      <w:r w:rsidRPr="006D44BB">
        <w:t>is</w:t>
      </w:r>
      <w:proofErr w:type="gramEnd"/>
      <w:r w:rsidRPr="006D44BB">
        <w:t xml:space="preserve"> not, however, unlimited. Even possessors holding good title to an object are subject to limits imposed by law (for example, copyright statutes, tax laws, or artists’ moral rights) or by administrative regulations (such as zoning restrictions and export regulations).</w:t>
      </w:r>
    </w:p>
    <w:p w14:paraId="6E665F63" w14:textId="77777777" w:rsidR="007B2FCF" w:rsidRPr="006D44BB" w:rsidRDefault="007B2FCF" w:rsidP="00893E88">
      <w:pPr>
        <w:pStyle w:val="EndnoteText"/>
        <w:spacing w:after="120" w:line="480" w:lineRule="auto"/>
      </w:pPr>
    </w:p>
  </w:endnote>
  <w:endnote w:id="9">
    <w:p w14:paraId="4F0DCBC9" w14:textId="2C5E7606"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 xml:space="preserve">The ability to transfer title is referred to as </w:t>
      </w:r>
      <w:r w:rsidRPr="006D44BB">
        <w:rPr>
          <w:i/>
          <w:iCs/>
        </w:rPr>
        <w:t>alienability</w:t>
      </w:r>
      <w:r w:rsidRPr="006D44BB">
        <w:t xml:space="preserve">. If an object is given to a museum with a legally enforceable, donor-imposed restriction that it “never be sold,” that restriction would not affect the museum’s good title in the work; it would merely be a “restriction on alienability.” Some foreign countries limit the alienability of </w:t>
      </w:r>
      <w:r w:rsidRPr="006D44BB">
        <w:rPr>
          <w:iCs/>
        </w:rPr>
        <w:t xml:space="preserve">antiquities </w:t>
      </w:r>
      <w:r w:rsidRPr="006D44BB">
        <w:t xml:space="preserve">even if the owner has good title. </w:t>
      </w:r>
    </w:p>
    <w:p w14:paraId="36331DED" w14:textId="77777777" w:rsidR="007B2FCF" w:rsidRPr="006D44BB" w:rsidRDefault="007B2FCF" w:rsidP="00893E88">
      <w:pPr>
        <w:pStyle w:val="EndnoteText"/>
        <w:spacing w:after="120" w:line="480" w:lineRule="auto"/>
      </w:pPr>
    </w:p>
  </w:endnote>
  <w:endnote w:id="10">
    <w:p w14:paraId="5F4FB263" w14:textId="035CA63F" w:rsidR="00A75023" w:rsidRPr="006D44BB" w:rsidRDefault="00A75023" w:rsidP="006D3828">
      <w:pPr>
        <w:pStyle w:val="EndnoteText"/>
        <w:spacing w:line="480" w:lineRule="auto"/>
      </w:pPr>
      <w:r w:rsidRPr="006D44BB">
        <w:rPr>
          <w:rStyle w:val="EndnoteReference"/>
        </w:rPr>
        <w:endnoteRef/>
      </w:r>
      <w:r w:rsidR="00893E88" w:rsidRPr="006D44BB">
        <w:t xml:space="preserve"> </w:t>
      </w:r>
      <w:r w:rsidRPr="006D44BB">
        <w:t xml:space="preserve">The term </w:t>
      </w:r>
      <w:r w:rsidRPr="006D44BB">
        <w:rPr>
          <w:i/>
          <w:iCs/>
        </w:rPr>
        <w:t>voidable title</w:t>
      </w:r>
      <w:r w:rsidRPr="006D44BB">
        <w:t xml:space="preserve"> is occasionally referenced. Voidable title is the quality of title held by a purchaser who fraudulently came into possession of a work from an owner with good title who, with the intention of transferring title to a work, delivered it to the putative purchaser. Fraudulent possession occurs when, for example, the purchaser paid by a bank check knowing that the account held insufficient funds for the bank to honor the check. Under U.S. law a person with voidable title can transfer good title to a good faith purchaser for value. UCC § 2-403(1) (Am. L. Inst. &amp; </w:t>
      </w:r>
      <w:proofErr w:type="spellStart"/>
      <w:r w:rsidRPr="006D44BB">
        <w:t>Unif</w:t>
      </w:r>
      <w:proofErr w:type="spellEnd"/>
      <w:r w:rsidRPr="006D44BB">
        <w:t>. L. Comm’n 2002).</w:t>
      </w:r>
    </w:p>
    <w:p w14:paraId="18886670" w14:textId="77777777" w:rsidR="007B2FCF" w:rsidRPr="006D44BB" w:rsidRDefault="007B2FCF" w:rsidP="006D3828">
      <w:pPr>
        <w:pStyle w:val="EndnoteText"/>
        <w:spacing w:line="480" w:lineRule="auto"/>
      </w:pPr>
    </w:p>
  </w:endnote>
  <w:endnote w:id="11">
    <w:p w14:paraId="63F0D418" w14:textId="3732D658"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 xml:space="preserve">An example arose in 1973 when a Swiss art dealer unquestionably acquired good title to a Matisse painting purchased in the United States from its Italian owner. Subsequently, a question arose as to whether the painting had been legally exported from Italy. That question cast a “cloud on title,” which prevented the purchaser from reselling the work in the art market. </w:t>
      </w:r>
      <w:r w:rsidRPr="006D44BB">
        <w:rPr>
          <w:i/>
          <w:iCs/>
        </w:rPr>
        <w:t xml:space="preserve">Jeanneret v. </w:t>
      </w:r>
      <w:proofErr w:type="spellStart"/>
      <w:r w:rsidRPr="006D44BB">
        <w:rPr>
          <w:i/>
          <w:iCs/>
        </w:rPr>
        <w:t>Vichey</w:t>
      </w:r>
      <w:proofErr w:type="spellEnd"/>
      <w:r w:rsidRPr="006D44BB">
        <w:t xml:space="preserve">, 541 F. Supp. 80 (S.D.N.Y. 1982), </w:t>
      </w:r>
      <w:proofErr w:type="spellStart"/>
      <w:r w:rsidRPr="006D44BB">
        <w:rPr>
          <w:i/>
          <w:iCs/>
        </w:rPr>
        <w:t>rev’d</w:t>
      </w:r>
      <w:proofErr w:type="spellEnd"/>
      <w:r w:rsidRPr="006D44BB">
        <w:t xml:space="preserve">, 693 F.2d 259 (2d Cir. 1982). </w:t>
      </w:r>
    </w:p>
    <w:p w14:paraId="67940809" w14:textId="77777777" w:rsidR="007B2FCF" w:rsidRPr="006D44BB" w:rsidRDefault="007B2FCF" w:rsidP="00893E88">
      <w:pPr>
        <w:pStyle w:val="EndnoteText"/>
        <w:spacing w:after="120" w:line="480" w:lineRule="auto"/>
      </w:pPr>
    </w:p>
  </w:endnote>
  <w:endnote w:id="12">
    <w:p w14:paraId="2905835F" w14:textId="5C25DE14"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 xml:space="preserve">“One cannot give what one does not have.” I.e., since a thief has void title, the thief cannot convey good title. The concept is often referred to simply as the </w:t>
      </w:r>
      <w:r w:rsidRPr="006D44BB">
        <w:rPr>
          <w:i/>
          <w:iCs/>
        </w:rPr>
        <w:t xml:space="preserve">nemo </w:t>
      </w:r>
      <w:proofErr w:type="spellStart"/>
      <w:r w:rsidRPr="006D44BB">
        <w:rPr>
          <w:i/>
          <w:iCs/>
        </w:rPr>
        <w:t>dat</w:t>
      </w:r>
      <w:proofErr w:type="spellEnd"/>
      <w:r w:rsidRPr="006D44BB">
        <w:t xml:space="preserve"> rule.</w:t>
      </w:r>
    </w:p>
    <w:p w14:paraId="25883250" w14:textId="77777777" w:rsidR="007B2FCF" w:rsidRPr="006D44BB" w:rsidRDefault="007B2FCF" w:rsidP="00893E88">
      <w:pPr>
        <w:pStyle w:val="EndnoteText"/>
        <w:spacing w:after="120" w:line="480" w:lineRule="auto"/>
      </w:pPr>
    </w:p>
  </w:endnote>
  <w:endnote w:id="13">
    <w:p w14:paraId="4042230A" w14:textId="34174F7F"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rPr>
          <w:i/>
          <w:iCs/>
        </w:rPr>
        <w:t>State Party</w:t>
      </w:r>
      <w:r w:rsidRPr="006D44BB">
        <w:t xml:space="preserve"> (pl</w:t>
      </w:r>
      <w:r w:rsidR="001E13FE" w:rsidRPr="006D44BB">
        <w:t>.</w:t>
      </w:r>
      <w:r w:rsidRPr="006D44BB">
        <w:t xml:space="preserve"> </w:t>
      </w:r>
      <w:r w:rsidRPr="006D44BB">
        <w:rPr>
          <w:i/>
          <w:iCs/>
        </w:rPr>
        <w:t>States Parties</w:t>
      </w:r>
      <w:r w:rsidRPr="006D44BB">
        <w:t xml:space="preserve">) refers to a country that has, under its law, agreed to be bound by the terms of a treaty. Some multilateral international treaties are </w:t>
      </w:r>
      <w:r w:rsidRPr="006D44BB">
        <w:rPr>
          <w:i/>
          <w:iCs/>
        </w:rPr>
        <w:t>self-implementing</w:t>
      </w:r>
      <w:r w:rsidRPr="006D44BB">
        <w:t>, meaning that the treaty has legal effect in a State Party when that State Party ratifies it. Others are not self-implementing, meaning that States Parties must not only ratify the treaty but also enact national legislation to give legal effect to the treaty’s provisions in that State Party.</w:t>
      </w:r>
      <w:r w:rsidR="00E46F8E" w:rsidRPr="006D44BB">
        <w:t xml:space="preserve"> </w:t>
      </w:r>
      <w:r w:rsidRPr="006D44BB">
        <w:t>Additionally, treaties state the circumstances under which they enter into force. For example, the 1970 UNESCO Convention on the Means of Prohibiting and Preventing the Illicit Import, Export and Transfer of Ownership of Cultural Property (</w:t>
      </w:r>
      <w:r w:rsidR="001E13FE" w:rsidRPr="006D44BB">
        <w:t xml:space="preserve">further </w:t>
      </w:r>
      <w:r w:rsidRPr="006D44BB">
        <w:t>described below) states in Article 21:</w:t>
      </w:r>
    </w:p>
    <w:p w14:paraId="11BD3383" w14:textId="6B1180BD" w:rsidR="00A75023" w:rsidRPr="006D44BB" w:rsidRDefault="00A75023" w:rsidP="00893E88">
      <w:pPr>
        <w:pStyle w:val="EndnoteText"/>
        <w:spacing w:after="120" w:line="480" w:lineRule="auto"/>
        <w:ind w:left="720" w:right="720"/>
      </w:pPr>
      <w:r w:rsidRPr="006D44BB">
        <w:t xml:space="preserve">This Convention shall enter into force three months after the date of the deposit of the third instrument of ratification, acceptance or accession, but only with respect to those States which have deposited their respective instruments on or before that date. It shall enter into force with respect to any other State three months after the deposit of its instrument of ratification, acceptance or accession. </w:t>
      </w:r>
    </w:p>
    <w:p w14:paraId="01511632" w14:textId="14CDDBBA" w:rsidR="00A75023" w:rsidRPr="006D44BB" w:rsidRDefault="00A75023" w:rsidP="00893E88">
      <w:pPr>
        <w:pStyle w:val="EndnoteText"/>
        <w:spacing w:after="120" w:line="480" w:lineRule="auto"/>
      </w:pPr>
      <w:r w:rsidRPr="006D44BB">
        <w:t>The date when a treaty entered into force can be a significant factor. For example, see the discussion below on Article 7(b) of the 1970 UNESCO Convention.</w:t>
      </w:r>
      <w:r w:rsidR="00E46F8E" w:rsidRPr="006D44BB">
        <w:t xml:space="preserve"> </w:t>
      </w:r>
    </w:p>
    <w:p w14:paraId="0C39998D" w14:textId="129E66FF" w:rsidR="00A75023" w:rsidRPr="006D44BB" w:rsidRDefault="00A75023" w:rsidP="00893E88">
      <w:pPr>
        <w:pStyle w:val="EndnoteText"/>
        <w:spacing w:after="120" w:line="480" w:lineRule="auto"/>
      </w:pPr>
      <w:r w:rsidRPr="006D44BB">
        <w:t xml:space="preserve">Finally, for purposes here, we use the term </w:t>
      </w:r>
      <w:r w:rsidRPr="006D44BB">
        <w:rPr>
          <w:i/>
          <w:iCs/>
        </w:rPr>
        <w:t>ratify</w:t>
      </w:r>
      <w:r w:rsidRPr="006D44BB">
        <w:t xml:space="preserve"> to include the effectively similar terms </w:t>
      </w:r>
      <w:r w:rsidRPr="006D44BB">
        <w:rPr>
          <w:i/>
          <w:iCs/>
        </w:rPr>
        <w:t>accept</w:t>
      </w:r>
      <w:r w:rsidRPr="006D44BB">
        <w:t xml:space="preserve">, </w:t>
      </w:r>
      <w:r w:rsidRPr="006D44BB">
        <w:rPr>
          <w:i/>
          <w:iCs/>
        </w:rPr>
        <w:t>accede</w:t>
      </w:r>
      <w:r w:rsidRPr="006D44BB">
        <w:t xml:space="preserve">, and </w:t>
      </w:r>
      <w:r w:rsidRPr="006D44BB">
        <w:rPr>
          <w:i/>
          <w:iCs/>
        </w:rPr>
        <w:t>approve</w:t>
      </w:r>
      <w:r w:rsidRPr="006D44BB">
        <w:t>. For a guide to treaty terminology, see</w:t>
      </w:r>
      <w:r w:rsidR="001E13FE" w:rsidRPr="006D44BB">
        <w:t xml:space="preserve"> </w:t>
      </w:r>
      <w:r w:rsidR="001E13FE" w:rsidRPr="006D44BB">
        <w:rPr>
          <w:i/>
          <w:iCs/>
        </w:rPr>
        <w:t>United Nations Treaty Collection</w:t>
      </w:r>
      <w:r w:rsidR="001E13FE" w:rsidRPr="006D44BB">
        <w:t>,</w:t>
      </w:r>
      <w:r w:rsidRPr="006D44BB">
        <w:t xml:space="preserve"> </w:t>
      </w:r>
      <w:r w:rsidR="001E13FE" w:rsidRPr="006D44BB">
        <w:t>“</w:t>
      </w:r>
      <w:r w:rsidRPr="006D44BB">
        <w:rPr>
          <w:iCs/>
        </w:rPr>
        <w:t>Glossary of Terms Relating to Treaty Actions</w:t>
      </w:r>
      <w:r w:rsidRPr="006D44BB">
        <w:t>,</w:t>
      </w:r>
      <w:r w:rsidR="001E13FE" w:rsidRPr="006D44BB">
        <w:t>”</w:t>
      </w:r>
      <w:r w:rsidRPr="006D44BB">
        <w:t xml:space="preserve"> </w:t>
      </w:r>
      <w:hyperlink r:id="rId2" w:history="1">
        <w:r w:rsidRPr="006D44BB">
          <w:rPr>
            <w:rStyle w:val="Hyperlink"/>
          </w:rPr>
          <w:t>https://treaties.un.org/pages/Overview.aspx?path=overview/glossary/page1_en.xml</w:t>
        </w:r>
      </w:hyperlink>
      <w:r w:rsidRPr="006D44BB">
        <w:t>.</w:t>
      </w:r>
      <w:r w:rsidR="00E46F8E" w:rsidRPr="006D44BB">
        <w:t xml:space="preserve"> </w:t>
      </w:r>
    </w:p>
    <w:p w14:paraId="7248F853" w14:textId="77777777" w:rsidR="007B2FCF" w:rsidRPr="006D44BB" w:rsidRDefault="007B2FCF" w:rsidP="00893E88">
      <w:pPr>
        <w:pStyle w:val="EndnoteText"/>
        <w:spacing w:after="120" w:line="480" w:lineRule="auto"/>
      </w:pPr>
    </w:p>
  </w:endnote>
  <w:endnote w:id="14">
    <w:p w14:paraId="7C5FF174" w14:textId="3E1A858A"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Treaty of Cooperation Between the United States of America and the United Mexican States Providing for the Recovery and Return of Stolen Archaeological, Historical, and Cultural Properties, Mex</w:t>
      </w:r>
      <w:r w:rsidR="00986380" w:rsidRPr="006D44BB">
        <w:t>.</w:t>
      </w:r>
      <w:r w:rsidRPr="006D44BB">
        <w:t>-U.S., July 17, 1970, T.I.A.S. No</w:t>
      </w:r>
      <w:r w:rsidR="00AC1FF4" w:rsidRPr="006D44BB">
        <w:t>.</w:t>
      </w:r>
      <w:r w:rsidRPr="006D44BB">
        <w:t xml:space="preserve"> 7088 (entered into force March 24, 1971).</w:t>
      </w:r>
    </w:p>
    <w:p w14:paraId="5B5DE82F" w14:textId="77777777" w:rsidR="007B2FCF" w:rsidRPr="006D44BB" w:rsidRDefault="007B2FCF" w:rsidP="00893E88">
      <w:pPr>
        <w:pStyle w:val="EndnoteText"/>
        <w:spacing w:after="120" w:line="480" w:lineRule="auto"/>
      </w:pPr>
    </w:p>
  </w:endnote>
  <w:endnote w:id="15">
    <w:p w14:paraId="6DE604B1" w14:textId="44F57BD5"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 xml:space="preserve">References in the literature to “source,” “transit,” and “market” nations are frequent. </w:t>
      </w:r>
      <w:r w:rsidRPr="006D44BB">
        <w:rPr>
          <w:i/>
          <w:iCs/>
        </w:rPr>
        <w:t>Source nations</w:t>
      </w:r>
      <w:r w:rsidRPr="006D44BB">
        <w:t xml:space="preserve"> are rich in archaeological sites and antiquities; </w:t>
      </w:r>
      <w:r w:rsidRPr="006D44BB">
        <w:rPr>
          <w:i/>
          <w:iCs/>
        </w:rPr>
        <w:t>market nations</w:t>
      </w:r>
      <w:r w:rsidRPr="006D44BB">
        <w:t xml:space="preserve"> generally have robust art and antiquities markets and collectors; </w:t>
      </w:r>
      <w:r w:rsidRPr="006D44BB">
        <w:rPr>
          <w:i/>
          <w:iCs/>
        </w:rPr>
        <w:t>transit nations</w:t>
      </w:r>
      <w:r w:rsidRPr="006D44BB">
        <w:t xml:space="preserve"> serve as intermediaries where licitly and illicitly obtained objects are often held in freeports as they move from source to market countries.</w:t>
      </w:r>
      <w:r w:rsidR="00893E88" w:rsidRPr="006D44BB">
        <w:t xml:space="preserve"> </w:t>
      </w:r>
      <w:r w:rsidRPr="006D44BB">
        <w:t>Unfortunately, this terminology paints with a broad brush. For example, Switzerland is often cited as a classic example of a transit nation, but it also has active art and antiquities markets and collectors and is appropriately considered a market nation. The U</w:t>
      </w:r>
      <w:r w:rsidR="00A4523E" w:rsidRPr="006D44BB">
        <w:t xml:space="preserve">nited </w:t>
      </w:r>
      <w:r w:rsidRPr="006D44BB">
        <w:t>S</w:t>
      </w:r>
      <w:r w:rsidR="00A4523E" w:rsidRPr="006D44BB">
        <w:t>tates</w:t>
      </w:r>
      <w:r w:rsidRPr="006D44BB">
        <w:t xml:space="preserve"> is characterized as a market nation for Mediterranean antiquities but as a source nation for Native American cultural objects.</w:t>
      </w:r>
    </w:p>
    <w:p w14:paraId="11DCB54C" w14:textId="77777777" w:rsidR="007B2FCF" w:rsidRPr="006D44BB" w:rsidRDefault="007B2FCF" w:rsidP="00893E88">
      <w:pPr>
        <w:pStyle w:val="EndnoteText"/>
        <w:spacing w:after="120" w:line="480" w:lineRule="auto"/>
      </w:pPr>
    </w:p>
  </w:endnote>
  <w:endnote w:id="16">
    <w:p w14:paraId="07BED712" w14:textId="40AF93A4"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007F33EA" w:rsidRPr="006D44BB">
        <w:t xml:space="preserve">See </w:t>
      </w:r>
      <w:r w:rsidR="007B2FCF" w:rsidRPr="006D44BB">
        <w:t>$$</w:t>
      </w:r>
      <w:r w:rsidR="007F33EA" w:rsidRPr="006D44BB">
        <w:t>UNESCO 1970</w:t>
      </w:r>
      <w:r w:rsidR="007B2FCF" w:rsidRPr="006D44BB">
        <w:t>$$</w:t>
      </w:r>
      <w:r w:rsidR="0002113B" w:rsidRPr="006D44BB">
        <w:t>.</w:t>
      </w:r>
      <w:r w:rsidRPr="006D44BB">
        <w:t xml:space="preserve"> The single most comprehensive and readily available secondary source on the 1970 Convention is </w:t>
      </w:r>
      <w:r w:rsidR="007B2FCF" w:rsidRPr="006D44BB">
        <w:t>$$</w:t>
      </w:r>
      <w:r w:rsidRPr="006D44BB">
        <w:t>O’Keefe</w:t>
      </w:r>
      <w:r w:rsidR="007F225B" w:rsidRPr="006D44BB">
        <w:t xml:space="preserve"> 2007</w:t>
      </w:r>
      <w:r w:rsidR="007B2FCF" w:rsidRPr="006D44BB">
        <w:t>$$</w:t>
      </w:r>
      <w:r w:rsidR="00893E88" w:rsidRPr="006D44BB">
        <w:t>.</w:t>
      </w:r>
    </w:p>
    <w:p w14:paraId="1D39338D" w14:textId="77777777" w:rsidR="007B2FCF" w:rsidRPr="006D44BB" w:rsidRDefault="007B2FCF" w:rsidP="00893E88">
      <w:pPr>
        <w:pStyle w:val="EndnoteText"/>
        <w:spacing w:after="120" w:line="480" w:lineRule="auto"/>
      </w:pPr>
    </w:p>
  </w:endnote>
  <w:endnote w:id="17">
    <w:p w14:paraId="4AF48700" w14:textId="093EC2E6" w:rsidR="00A75023" w:rsidRPr="006D44BB" w:rsidRDefault="00A75023" w:rsidP="00893E88">
      <w:pPr>
        <w:spacing w:after="120" w:line="480" w:lineRule="auto"/>
        <w:jc w:val="both"/>
        <w:rPr>
          <w:sz w:val="20"/>
          <w:szCs w:val="20"/>
        </w:rPr>
      </w:pPr>
      <w:r w:rsidRPr="006D44BB">
        <w:rPr>
          <w:rStyle w:val="EndnoteReference"/>
          <w:sz w:val="20"/>
          <w:szCs w:val="20"/>
        </w:rPr>
        <w:endnoteRef/>
      </w:r>
      <w:r w:rsidR="00893E88" w:rsidRPr="006D44BB">
        <w:rPr>
          <w:sz w:val="20"/>
          <w:szCs w:val="20"/>
        </w:rPr>
        <w:t xml:space="preserve"> </w:t>
      </w:r>
      <w:r w:rsidRPr="006D44BB">
        <w:rPr>
          <w:sz w:val="20"/>
          <w:szCs w:val="20"/>
        </w:rPr>
        <w:t xml:space="preserve">Convention on Cultural Property Implementation Act, Pub. L. No. 97-446, 96 Stat. 2329 (1983) (codified at 19 U.S.C. </w:t>
      </w:r>
      <w:bookmarkStart w:id="2" w:name="_Hlk194914332"/>
      <w:r w:rsidRPr="006D44BB">
        <w:rPr>
          <w:sz w:val="20"/>
          <w:szCs w:val="20"/>
        </w:rPr>
        <w:t>§</w:t>
      </w:r>
      <w:bookmarkEnd w:id="2"/>
      <w:r w:rsidRPr="006D44BB">
        <w:rPr>
          <w:sz w:val="20"/>
          <w:szCs w:val="20"/>
        </w:rPr>
        <w:t>§ 2601</w:t>
      </w:r>
      <w:r w:rsidR="00B85A1F" w:rsidRPr="006D44BB">
        <w:rPr>
          <w:sz w:val="20"/>
          <w:szCs w:val="20"/>
        </w:rPr>
        <w:t>–</w:t>
      </w:r>
      <w:r w:rsidRPr="006D44BB">
        <w:rPr>
          <w:sz w:val="20"/>
          <w:szCs w:val="20"/>
        </w:rPr>
        <w:t>2613) (amended 1987).</w:t>
      </w:r>
    </w:p>
    <w:p w14:paraId="3A679AED" w14:textId="77777777" w:rsidR="007B2FCF" w:rsidRPr="006D44BB" w:rsidRDefault="007B2FCF" w:rsidP="00893E88">
      <w:pPr>
        <w:spacing w:after="120" w:line="480" w:lineRule="auto"/>
        <w:jc w:val="both"/>
        <w:rPr>
          <w:sz w:val="20"/>
          <w:szCs w:val="20"/>
        </w:rPr>
      </w:pPr>
    </w:p>
  </w:endnote>
  <w:endnote w:id="18">
    <w:p w14:paraId="45DEB6F7" w14:textId="75880DE2" w:rsidR="00A75023" w:rsidRPr="006D44BB" w:rsidRDefault="00A75023" w:rsidP="00A75023">
      <w:pPr>
        <w:spacing w:after="120" w:line="480" w:lineRule="auto"/>
        <w:rPr>
          <w:rStyle w:val="EndnoteTextChar"/>
        </w:rPr>
      </w:pPr>
      <w:r w:rsidRPr="006D44BB">
        <w:rPr>
          <w:rStyle w:val="EndnoteReference"/>
          <w:sz w:val="20"/>
          <w:szCs w:val="20"/>
        </w:rPr>
        <w:endnoteRef/>
      </w:r>
      <w:r w:rsidR="00893E88" w:rsidRPr="006D44BB">
        <w:rPr>
          <w:rStyle w:val="EndnoteTextChar"/>
        </w:rPr>
        <w:t xml:space="preserve"> </w:t>
      </w:r>
      <w:r w:rsidRPr="006D44BB">
        <w:rPr>
          <w:rStyle w:val="EndnoteTextChar"/>
        </w:rPr>
        <w:t xml:space="preserve">The U.S. and many other States Parties took the position that the 1970 Convention was not self-implementing, meaning that even after the Convention was ratified, it would not have force of law until a State Party enacted what is referred to as implementing legislation. Other States Parties, Australia, for example, treated the Convention as self-implementing, meaning that the Convention had force of law when Australia ratified it. See </w:t>
      </w:r>
      <w:r w:rsidR="007B2FCF" w:rsidRPr="006D44BB">
        <w:rPr>
          <w:rStyle w:val="EndnoteTextChar"/>
        </w:rPr>
        <w:t>$$</w:t>
      </w:r>
      <w:r w:rsidRPr="006D44BB">
        <w:rPr>
          <w:rStyle w:val="EndnoteTextChar"/>
        </w:rPr>
        <w:t>O’Keefe</w:t>
      </w:r>
      <w:r w:rsidR="000D0193" w:rsidRPr="006D44BB">
        <w:rPr>
          <w:rStyle w:val="EndnoteTextChar"/>
        </w:rPr>
        <w:t xml:space="preserve"> 2007</w:t>
      </w:r>
      <w:r w:rsidR="006D44BB">
        <w:rPr>
          <w:rStyle w:val="EndnoteTextChar"/>
        </w:rPr>
        <w:t xml:space="preserve"> </w:t>
      </w:r>
      <w:r w:rsidR="007B2FCF" w:rsidRPr="006D44BB">
        <w:rPr>
          <w:rStyle w:val="EndnoteTextChar"/>
        </w:rPr>
        <w:t>|</w:t>
      </w:r>
      <w:r w:rsidR="006D44BB">
        <w:rPr>
          <w:rStyle w:val="EndnoteTextChar"/>
        </w:rPr>
        <w:t xml:space="preserve"> </w:t>
      </w:r>
      <w:r w:rsidRPr="006D44BB">
        <w:rPr>
          <w:rStyle w:val="EndnoteTextChar"/>
        </w:rPr>
        <w:t>98</w:t>
      </w:r>
      <w:r w:rsidR="00893E88" w:rsidRPr="006D44BB">
        <w:rPr>
          <w:rStyle w:val="EndnoteTextChar"/>
        </w:rPr>
        <w:t>–</w:t>
      </w:r>
      <w:r w:rsidRPr="006D44BB">
        <w:rPr>
          <w:rStyle w:val="EndnoteTextChar"/>
        </w:rPr>
        <w:t>99</w:t>
      </w:r>
      <w:r w:rsidR="007B2FCF" w:rsidRPr="006D44BB">
        <w:rPr>
          <w:rStyle w:val="EndnoteTextChar"/>
        </w:rPr>
        <w:t>$$</w:t>
      </w:r>
      <w:r w:rsidRPr="006D44BB">
        <w:rPr>
          <w:rStyle w:val="EndnoteTextChar"/>
        </w:rPr>
        <w:t>.</w:t>
      </w:r>
      <w:r w:rsidR="00E46F8E" w:rsidRPr="006D44BB">
        <w:rPr>
          <w:rStyle w:val="EndnoteTextChar"/>
        </w:rPr>
        <w:t xml:space="preserve"> </w:t>
      </w:r>
    </w:p>
    <w:p w14:paraId="5DC6D202" w14:textId="77777777" w:rsidR="007B2FCF" w:rsidRPr="006D44BB" w:rsidRDefault="007B2FCF" w:rsidP="00A75023">
      <w:pPr>
        <w:spacing w:after="120" w:line="480" w:lineRule="auto"/>
        <w:rPr>
          <w:rStyle w:val="EndnoteTextChar"/>
        </w:rPr>
      </w:pPr>
    </w:p>
  </w:endnote>
  <w:endnote w:id="19">
    <w:p w14:paraId="57627FFC" w14:textId="0CB2E031" w:rsidR="00A75023" w:rsidRPr="006D44BB" w:rsidRDefault="00A75023" w:rsidP="00A75023">
      <w:pPr>
        <w:pStyle w:val="EndnoteText"/>
        <w:spacing w:after="120" w:line="480" w:lineRule="auto"/>
      </w:pPr>
      <w:r w:rsidRPr="006D44BB">
        <w:rPr>
          <w:rStyle w:val="EndnoteReference"/>
        </w:rPr>
        <w:endnoteRef/>
      </w:r>
      <w:r w:rsidR="00893E88" w:rsidRPr="006D44BB">
        <w:t xml:space="preserve"> </w:t>
      </w:r>
      <w:r w:rsidR="00FA58EC" w:rsidRPr="006D44BB">
        <w:t xml:space="preserve">Italics </w:t>
      </w:r>
      <w:r w:rsidRPr="006D44BB">
        <w:t>added</w:t>
      </w:r>
      <w:r w:rsidR="005111BB" w:rsidRPr="006D44BB">
        <w:t xml:space="preserve"> for emphasis</w:t>
      </w:r>
      <w:r w:rsidRPr="006D44BB">
        <w:t>.</w:t>
      </w:r>
    </w:p>
    <w:p w14:paraId="7ACC1B2E" w14:textId="77777777" w:rsidR="007B2FCF" w:rsidRPr="006D44BB" w:rsidRDefault="007B2FCF" w:rsidP="00A75023">
      <w:pPr>
        <w:pStyle w:val="EndnoteText"/>
        <w:spacing w:after="120" w:line="480" w:lineRule="auto"/>
      </w:pPr>
    </w:p>
  </w:endnote>
  <w:endnote w:id="20">
    <w:p w14:paraId="54A57BCD" w14:textId="7E62F01E" w:rsidR="00A75023" w:rsidRPr="006D44BB" w:rsidRDefault="00A75023" w:rsidP="00893E88">
      <w:pPr>
        <w:pStyle w:val="EndnoteText"/>
        <w:spacing w:after="120" w:line="480" w:lineRule="auto"/>
      </w:pPr>
      <w:r w:rsidRPr="006D44BB">
        <w:rPr>
          <w:rStyle w:val="EndnoteReference"/>
        </w:rPr>
        <w:endnoteRef/>
      </w:r>
      <w:r w:rsidRPr="006D44BB">
        <w:t xml:space="preserve"> See 19 U.S.C. § 2610(2).</w:t>
      </w:r>
      <w:r w:rsidR="00E46F8E" w:rsidRPr="006D44BB">
        <w:t xml:space="preserve"> </w:t>
      </w:r>
    </w:p>
    <w:p w14:paraId="24918842" w14:textId="77777777" w:rsidR="007B2FCF" w:rsidRPr="006D44BB" w:rsidRDefault="007B2FCF" w:rsidP="00893E88">
      <w:pPr>
        <w:pStyle w:val="EndnoteText"/>
        <w:spacing w:after="120" w:line="480" w:lineRule="auto"/>
      </w:pPr>
    </w:p>
  </w:endnote>
  <w:endnote w:id="21">
    <w:p w14:paraId="1E1FFCBD" w14:textId="6F2A9FB5"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 xml:space="preserve">See discussion below. </w:t>
      </w:r>
    </w:p>
    <w:p w14:paraId="710C1867" w14:textId="77777777" w:rsidR="007B2FCF" w:rsidRPr="006D44BB" w:rsidRDefault="007B2FCF" w:rsidP="00893E88">
      <w:pPr>
        <w:pStyle w:val="EndnoteText"/>
        <w:spacing w:after="120" w:line="480" w:lineRule="auto"/>
      </w:pPr>
    </w:p>
  </w:endnote>
  <w:endnote w:id="22">
    <w:p w14:paraId="1B2D9ED3" w14:textId="56B23150" w:rsidR="00A75023" w:rsidRPr="006D44BB" w:rsidRDefault="00A75023" w:rsidP="00A75023">
      <w:pPr>
        <w:pStyle w:val="EndnoteText"/>
        <w:spacing w:after="120" w:line="480" w:lineRule="auto"/>
      </w:pPr>
      <w:r w:rsidRPr="006D44BB">
        <w:rPr>
          <w:rStyle w:val="EndnoteReference"/>
        </w:rPr>
        <w:endnoteRef/>
      </w:r>
      <w:r w:rsidR="00893E88" w:rsidRPr="006D44BB">
        <w:t xml:space="preserve"> </w:t>
      </w:r>
      <w:r w:rsidRPr="006D44BB">
        <w:t>This change may not be as significant as it appears. Under the National Stolen Property Act, discussed below, the U</w:t>
      </w:r>
      <w:r w:rsidR="00EA03E0" w:rsidRPr="006D44BB">
        <w:t xml:space="preserve">nited </w:t>
      </w:r>
      <w:r w:rsidRPr="006D44BB">
        <w:t>S</w:t>
      </w:r>
      <w:r w:rsidR="00EA03E0" w:rsidRPr="006D44BB">
        <w:t>tates</w:t>
      </w:r>
      <w:r w:rsidRPr="006D44BB">
        <w:t xml:space="preserve"> has long had authority to pursue stolen property</w:t>
      </w:r>
      <w:r w:rsidR="00893E88" w:rsidRPr="006D44BB">
        <w:t>—</w:t>
      </w:r>
      <w:r w:rsidRPr="006D44BB">
        <w:t>not merely stolen property within the narrow definition of Article 7(b)(</w:t>
      </w:r>
      <w:proofErr w:type="spellStart"/>
      <w:r w:rsidRPr="006D44BB">
        <w:t>i</w:t>
      </w:r>
      <w:proofErr w:type="spellEnd"/>
      <w:r w:rsidRPr="006D44BB">
        <w:t>) and 19 U.S.C. § 2607. Additionally, the CCPIA created an important exception to the general common law rule that bona fide purchasers of stolen property are not entitled to compensation from theft victims if ordered to return stolen works. Under the CCPIA, good faith purchasers are potentially entitled to compensation from the State Party to which the work is returned. 19 U.S.C. § 2609(c).</w:t>
      </w:r>
    </w:p>
    <w:p w14:paraId="41A3391E" w14:textId="77777777" w:rsidR="007B2FCF" w:rsidRPr="006D44BB" w:rsidRDefault="007B2FCF" w:rsidP="00A75023">
      <w:pPr>
        <w:pStyle w:val="EndnoteText"/>
        <w:spacing w:after="120" w:line="480" w:lineRule="auto"/>
      </w:pPr>
    </w:p>
  </w:endnote>
  <w:endnote w:id="23">
    <w:p w14:paraId="78169CFE" w14:textId="50C9FA42"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Article 9 of the Convention states:</w:t>
      </w:r>
    </w:p>
    <w:p w14:paraId="1691C518" w14:textId="77777777" w:rsidR="00A75023" w:rsidRPr="006D44BB" w:rsidRDefault="00A75023" w:rsidP="00893E88">
      <w:pPr>
        <w:pStyle w:val="EndnoteText"/>
        <w:spacing w:after="120" w:line="480" w:lineRule="auto"/>
        <w:ind w:left="720" w:right="720"/>
      </w:pPr>
      <w:r w:rsidRPr="006D44BB">
        <w:t>Any State Party to this Convention whose cultural patrimony is in jeopardy from pillage of archaeological or ethnological materials may call upon other States Parties who are affected. The States Parties to this Convention undertake, in these circumstances, to participate in a concerted international effort to determine and to carry out the necessary concrete measures, including the control of exports and imports and international commerce in the specific materials concerned. Pending agreement each State concerned shall take provisional measures to the extent feasible to prevent irremediable injury to the cultural heritage of the requesting State.</w:t>
      </w:r>
    </w:p>
    <w:p w14:paraId="143323CD" w14:textId="77777777" w:rsidR="007B2FCF" w:rsidRPr="006D44BB" w:rsidRDefault="007B2FCF" w:rsidP="00893E88">
      <w:pPr>
        <w:pStyle w:val="EndnoteText"/>
        <w:spacing w:after="120" w:line="480" w:lineRule="auto"/>
        <w:ind w:left="720" w:right="720"/>
      </w:pPr>
    </w:p>
  </w:endnote>
  <w:endnote w:id="24">
    <w:p w14:paraId="4F1D9083" w14:textId="5C60F909" w:rsidR="00A75023" w:rsidRPr="006D44BB" w:rsidRDefault="00A75023" w:rsidP="00A75023">
      <w:pPr>
        <w:spacing w:after="120" w:line="480" w:lineRule="auto"/>
        <w:rPr>
          <w:sz w:val="20"/>
          <w:szCs w:val="20"/>
        </w:rPr>
      </w:pPr>
      <w:r w:rsidRPr="006D44BB">
        <w:rPr>
          <w:rStyle w:val="EndnoteReference"/>
          <w:sz w:val="20"/>
          <w:szCs w:val="20"/>
        </w:rPr>
        <w:endnoteRef/>
      </w:r>
      <w:r w:rsidR="00893E88" w:rsidRPr="006D44BB">
        <w:rPr>
          <w:rStyle w:val="EndnoteTextChar"/>
        </w:rPr>
        <w:t xml:space="preserve"> </w:t>
      </w:r>
      <w:r w:rsidRPr="006D44BB">
        <w:rPr>
          <w:rStyle w:val="EndnoteTextChar"/>
        </w:rPr>
        <w:t>Beginning in 1909 works of art could be imported without payment of a tariff. See Payne-Aldrich Tariff Act, Pub. L. No. 61-5</w:t>
      </w:r>
      <w:r w:rsidR="00A4696B" w:rsidRPr="006D44BB">
        <w:rPr>
          <w:rStyle w:val="EndnoteTextChar"/>
        </w:rPr>
        <w:t xml:space="preserve"> </w:t>
      </w:r>
      <w:r w:rsidRPr="006D44BB">
        <w:rPr>
          <w:rStyle w:val="EndnoteTextChar"/>
        </w:rPr>
        <w:t>§</w:t>
      </w:r>
      <w:r w:rsidR="005111BB" w:rsidRPr="006D44BB">
        <w:rPr>
          <w:rStyle w:val="EndnoteTextChar"/>
        </w:rPr>
        <w:t xml:space="preserve"> </w:t>
      </w:r>
      <w:r w:rsidRPr="006D44BB">
        <w:rPr>
          <w:rStyle w:val="EndnoteTextChar"/>
        </w:rPr>
        <w:t>470 36 Stat. 11, 70 (1909). For a discussion on tariffs imposed on works of art imported into the U</w:t>
      </w:r>
      <w:r w:rsidR="00EA03E0" w:rsidRPr="006D44BB">
        <w:rPr>
          <w:rStyle w:val="EndnoteTextChar"/>
        </w:rPr>
        <w:t xml:space="preserve">nited </w:t>
      </w:r>
      <w:r w:rsidRPr="006D44BB">
        <w:rPr>
          <w:rStyle w:val="EndnoteTextChar"/>
        </w:rPr>
        <w:t>S</w:t>
      </w:r>
      <w:r w:rsidR="00EA03E0" w:rsidRPr="006D44BB">
        <w:rPr>
          <w:rStyle w:val="EndnoteTextChar"/>
        </w:rPr>
        <w:t>tates</w:t>
      </w:r>
      <w:r w:rsidRPr="006D44BB">
        <w:rPr>
          <w:rStyle w:val="EndnoteTextChar"/>
        </w:rPr>
        <w:t xml:space="preserve"> prior to 1909 and efforts to repeal the tariffs, see </w:t>
      </w:r>
      <w:r w:rsidR="007B2FCF" w:rsidRPr="006D44BB">
        <w:rPr>
          <w:rStyle w:val="EndnoteTextChar"/>
        </w:rPr>
        <w:t>$$</w:t>
      </w:r>
      <w:r w:rsidRPr="006D44BB">
        <w:rPr>
          <w:rStyle w:val="EndnoteTextChar"/>
        </w:rPr>
        <w:t>May</w:t>
      </w:r>
      <w:r w:rsidR="003262CC" w:rsidRPr="006D44BB">
        <w:rPr>
          <w:rStyle w:val="EndnoteTextChar"/>
        </w:rPr>
        <w:t xml:space="preserve"> 2010</w:t>
      </w:r>
      <w:r w:rsidR="007B2FCF" w:rsidRPr="006D44BB">
        <w:rPr>
          <w:rStyle w:val="EndnoteTextChar"/>
        </w:rPr>
        <w:t>|</w:t>
      </w:r>
      <w:r w:rsidRPr="006D44BB">
        <w:rPr>
          <w:rStyle w:val="EndnoteTextChar"/>
        </w:rPr>
        <w:t>9</w:t>
      </w:r>
      <w:r w:rsidR="007B2FCF" w:rsidRPr="006D44BB">
        <w:rPr>
          <w:rStyle w:val="EndnoteTextChar"/>
        </w:rPr>
        <w:t>$$</w:t>
      </w:r>
      <w:r w:rsidRPr="006D44BB">
        <w:rPr>
          <w:rStyle w:val="EndnoteTextChar"/>
        </w:rPr>
        <w:t>.</w:t>
      </w:r>
      <w:r w:rsidR="001E1828" w:rsidRPr="006D44BB">
        <w:rPr>
          <w:sz w:val="20"/>
          <w:szCs w:val="20"/>
        </w:rPr>
        <w:t xml:space="preserve"> </w:t>
      </w:r>
      <w:r w:rsidR="007B2FCF" w:rsidRPr="006D44BB">
        <w:rPr>
          <w:sz w:val="20"/>
          <w:szCs w:val="20"/>
        </w:rPr>
        <w:t xml:space="preserve">AUTHORS: the </w:t>
      </w:r>
      <w:r w:rsidR="001E1828" w:rsidRPr="006D44BB">
        <w:rPr>
          <w:sz w:val="20"/>
          <w:szCs w:val="20"/>
        </w:rPr>
        <w:t xml:space="preserve">page range in </w:t>
      </w:r>
      <w:proofErr w:type="spellStart"/>
      <w:r w:rsidR="001E1828" w:rsidRPr="006D44BB">
        <w:rPr>
          <w:sz w:val="20"/>
          <w:szCs w:val="20"/>
        </w:rPr>
        <w:t>Bibliog</w:t>
      </w:r>
      <w:proofErr w:type="spellEnd"/>
      <w:r w:rsidR="001E1828" w:rsidRPr="006D44BB">
        <w:rPr>
          <w:sz w:val="20"/>
          <w:szCs w:val="20"/>
        </w:rPr>
        <w:t xml:space="preserve"> is 37–91</w:t>
      </w:r>
      <w:r w:rsidR="002937F1" w:rsidRPr="006D44BB">
        <w:rPr>
          <w:sz w:val="20"/>
          <w:szCs w:val="20"/>
        </w:rPr>
        <w:t>—please check page number</w:t>
      </w:r>
      <w:r w:rsidR="007B2FCF" w:rsidRPr="006D44BB">
        <w:rPr>
          <w:sz w:val="20"/>
          <w:szCs w:val="20"/>
        </w:rPr>
        <w:t>.</w:t>
      </w:r>
    </w:p>
    <w:p w14:paraId="2E5FC75B" w14:textId="77777777" w:rsidR="0003620A" w:rsidRPr="006D44BB" w:rsidRDefault="0003620A" w:rsidP="00A75023">
      <w:pPr>
        <w:spacing w:after="120" w:line="480" w:lineRule="auto"/>
        <w:rPr>
          <w:rStyle w:val="EndnoteTextChar"/>
        </w:rPr>
      </w:pPr>
    </w:p>
  </w:endnote>
  <w:endnote w:id="25">
    <w:p w14:paraId="3C3DDA31" w14:textId="486B8554"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See</w:t>
      </w:r>
      <w:r w:rsidRPr="006D44BB">
        <w:rPr>
          <w:i/>
          <w:iCs/>
        </w:rPr>
        <w:t xml:space="preserve"> </w:t>
      </w:r>
      <w:r w:rsidRPr="006D44BB">
        <w:t xml:space="preserve">19 U.S.C. § 2602 (allowing the </w:t>
      </w:r>
      <w:r w:rsidR="00493760" w:rsidRPr="006D44BB">
        <w:t xml:space="preserve">U.S. </w:t>
      </w:r>
      <w:r w:rsidRPr="006D44BB">
        <w:t xml:space="preserve">President to </w:t>
      </w:r>
      <w:proofErr w:type="gramStart"/>
      <w:r w:rsidRPr="006D44BB">
        <w:t>enter into</w:t>
      </w:r>
      <w:proofErr w:type="gramEnd"/>
      <w:r w:rsidRPr="006D44BB">
        <w:t xml:space="preserve"> bilateral and multilateral treaties to protect the cultural patrimony of a requesting state by implementing import restrictions if “remedies less drastic . . . are not available.”).</w:t>
      </w:r>
    </w:p>
    <w:p w14:paraId="78D6456C" w14:textId="77777777" w:rsidR="0003620A" w:rsidRPr="006D44BB" w:rsidRDefault="0003620A" w:rsidP="00893E88">
      <w:pPr>
        <w:pStyle w:val="EndnoteText"/>
        <w:spacing w:after="120" w:line="480" w:lineRule="auto"/>
      </w:pPr>
    </w:p>
  </w:endnote>
  <w:endnote w:id="26">
    <w:p w14:paraId="7095894D" w14:textId="3C31A2CB"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 xml:space="preserve">19 U.S.C. §§ 2602 and 2603 describe </w:t>
      </w:r>
      <w:proofErr w:type="gramStart"/>
      <w:r w:rsidRPr="006D44BB">
        <w:t>the means by which</w:t>
      </w:r>
      <w:proofErr w:type="gramEnd"/>
      <w:r w:rsidRPr="006D44BB">
        <w:t xml:space="preserve"> the Executive Branch may restrict importation of cultural property from other States Parties. A detailed explanation of those sections of the CCPIA is beyond the scope of this chapter. But see generally</w:t>
      </w:r>
      <w:r w:rsidR="001E1828" w:rsidRPr="006D44BB">
        <w:t xml:space="preserve"> “Cultural Heritage Center,”</w:t>
      </w:r>
      <w:r w:rsidRPr="006D44BB">
        <w:rPr>
          <w:i/>
          <w:iCs/>
        </w:rPr>
        <w:t xml:space="preserve"> Bureau of Education and </w:t>
      </w:r>
      <w:proofErr w:type="spellStart"/>
      <w:r w:rsidRPr="006D44BB">
        <w:rPr>
          <w:i/>
          <w:iCs/>
        </w:rPr>
        <w:t>Culutral</w:t>
      </w:r>
      <w:proofErr w:type="spellEnd"/>
      <w:r w:rsidRPr="006D44BB">
        <w:rPr>
          <w:i/>
          <w:iCs/>
        </w:rPr>
        <w:t xml:space="preserve"> Affairs</w:t>
      </w:r>
      <w:r w:rsidRPr="006D44BB">
        <w:t xml:space="preserve">, </w:t>
      </w:r>
      <w:hyperlink r:id="rId3" w:history="1">
        <w:r w:rsidRPr="006D44BB">
          <w:rPr>
            <w:rStyle w:val="Hyperlink"/>
          </w:rPr>
          <w:t>https://eca.state.gov/cultural-heritage-center</w:t>
        </w:r>
      </w:hyperlink>
      <w:r w:rsidRPr="006D44BB">
        <w:t xml:space="preserve"> (providing more information on §§ 2602 and 2603). </w:t>
      </w:r>
    </w:p>
    <w:p w14:paraId="57742820" w14:textId="77777777" w:rsidR="0003620A" w:rsidRPr="006D44BB" w:rsidRDefault="0003620A" w:rsidP="00893E88">
      <w:pPr>
        <w:pStyle w:val="EndnoteText"/>
        <w:spacing w:after="120" w:line="480" w:lineRule="auto"/>
      </w:pPr>
    </w:p>
  </w:endnote>
  <w:endnote w:id="27">
    <w:p w14:paraId="7A5B0058" w14:textId="21E8D0FA" w:rsidR="00A75023" w:rsidRPr="006D44BB" w:rsidRDefault="00A75023" w:rsidP="00893E88">
      <w:pPr>
        <w:pStyle w:val="EndnoteText"/>
        <w:spacing w:after="120" w:line="480" w:lineRule="auto"/>
      </w:pPr>
      <w:r w:rsidRPr="006D44BB">
        <w:rPr>
          <w:rStyle w:val="EndnoteReference"/>
        </w:rPr>
        <w:endnoteRef/>
      </w:r>
      <w:r w:rsidR="00893E88" w:rsidRPr="006D44BB">
        <w:t xml:space="preserve"> </w:t>
      </w:r>
      <w:r w:rsidRPr="006D44BB">
        <w:t>19 U.S.C. § 2602(a)(1).</w:t>
      </w:r>
    </w:p>
    <w:p w14:paraId="51D82A60" w14:textId="77777777" w:rsidR="0003620A" w:rsidRPr="006D44BB" w:rsidRDefault="0003620A" w:rsidP="00893E88">
      <w:pPr>
        <w:pStyle w:val="EndnoteText"/>
        <w:spacing w:after="120" w:line="480" w:lineRule="auto"/>
      </w:pPr>
    </w:p>
  </w:endnote>
  <w:endnote w:id="28">
    <w:p w14:paraId="48497861" w14:textId="7BA5C66E" w:rsidR="00A75023" w:rsidRPr="006D44BB" w:rsidRDefault="00A75023" w:rsidP="00105E8C">
      <w:pPr>
        <w:pStyle w:val="EndnoteText"/>
        <w:spacing w:line="480" w:lineRule="auto"/>
      </w:pPr>
      <w:r w:rsidRPr="006D44BB">
        <w:rPr>
          <w:rStyle w:val="EndnoteReference"/>
        </w:rPr>
        <w:endnoteRef/>
      </w:r>
      <w:r w:rsidR="00893E88" w:rsidRPr="006D44BB">
        <w:t xml:space="preserve"> </w:t>
      </w:r>
      <w:r w:rsidRPr="006D44BB">
        <w:t>The four-prong test for assessing the State Party’s request is set out in 19 U.S.C. § 2602(a)(1)(A)-(D). The statute requires the requesting State Party to demonstrate that:</w:t>
      </w:r>
    </w:p>
    <w:p w14:paraId="1EEF90B5" w14:textId="7B507D82" w:rsidR="00A75023" w:rsidRPr="006D44BB" w:rsidRDefault="00A75023" w:rsidP="00105E8C">
      <w:pPr>
        <w:pStyle w:val="EndnoteText"/>
        <w:numPr>
          <w:ilvl w:val="0"/>
          <w:numId w:val="5"/>
        </w:numPr>
        <w:spacing w:line="480" w:lineRule="auto"/>
        <w:ind w:right="720"/>
      </w:pPr>
      <w:r w:rsidRPr="006D44BB">
        <w:t>its “cultural patrimony</w:t>
      </w:r>
      <w:r w:rsidR="00105E8C" w:rsidRPr="006D44BB">
        <w:t xml:space="preserve"> . . . </w:t>
      </w:r>
      <w:r w:rsidRPr="006D44BB">
        <w:t>is in jeopardy from the pillage of archaeological or ethnological materials</w:t>
      </w:r>
      <w:proofErr w:type="gramStart"/>
      <w:r w:rsidRPr="006D44BB">
        <w:t>”;</w:t>
      </w:r>
      <w:proofErr w:type="gramEnd"/>
    </w:p>
    <w:p w14:paraId="6B3F44D2" w14:textId="4638808D" w:rsidR="00A75023" w:rsidRPr="006D44BB" w:rsidRDefault="00A75023" w:rsidP="00105E8C">
      <w:pPr>
        <w:pStyle w:val="EndnoteText"/>
        <w:numPr>
          <w:ilvl w:val="0"/>
          <w:numId w:val="5"/>
        </w:numPr>
        <w:spacing w:line="480" w:lineRule="auto"/>
        <w:ind w:right="720"/>
      </w:pPr>
      <w:r w:rsidRPr="006D44BB">
        <w:t xml:space="preserve"> it “has taken measures</w:t>
      </w:r>
      <w:r w:rsidR="00105E8C" w:rsidRPr="006D44BB">
        <w:t xml:space="preserve"> . . . </w:t>
      </w:r>
      <w:r w:rsidRPr="006D44BB">
        <w:t>to protect its cultural property</w:t>
      </w:r>
      <w:proofErr w:type="gramStart"/>
      <w:r w:rsidRPr="006D44BB">
        <w:t>”;</w:t>
      </w:r>
      <w:proofErr w:type="gramEnd"/>
    </w:p>
    <w:p w14:paraId="6B92F748" w14:textId="555D1ECD" w:rsidR="00A75023" w:rsidRPr="006D44BB" w:rsidRDefault="00A75023" w:rsidP="00105E8C">
      <w:pPr>
        <w:pStyle w:val="EndnoteText"/>
        <w:numPr>
          <w:ilvl w:val="0"/>
          <w:numId w:val="5"/>
        </w:numPr>
        <w:spacing w:line="480" w:lineRule="auto"/>
        <w:ind w:right="720"/>
      </w:pPr>
      <w:r w:rsidRPr="006D44BB">
        <w:t>the U.S.’s “import restrictions</w:t>
      </w:r>
      <w:r w:rsidR="005111BB" w:rsidRPr="006D44BB">
        <w:t>,</w:t>
      </w:r>
      <w:r w:rsidR="00105E8C" w:rsidRPr="006D44BB">
        <w:t xml:space="preserve"> . . .</w:t>
      </w:r>
      <w:r w:rsidRPr="006D44BB">
        <w:t xml:space="preserve"> if applied in concert with similar restrictions implemented</w:t>
      </w:r>
      <w:r w:rsidR="00105E8C" w:rsidRPr="006D44BB">
        <w:t xml:space="preserve"> . . . </w:t>
      </w:r>
      <w:r w:rsidRPr="006D44BB">
        <w:t>by those nations</w:t>
      </w:r>
      <w:r w:rsidR="00105E8C" w:rsidRPr="006D44BB">
        <w:t xml:space="preserve"> . . . </w:t>
      </w:r>
      <w:r w:rsidRPr="006D44BB">
        <w:t>having a significant import trade in such material, would be of substantial benefit” to the requesting State Party and that there are no “remedies less drastic” other than import restrictions; and</w:t>
      </w:r>
    </w:p>
    <w:p w14:paraId="2238410B" w14:textId="57FE5028" w:rsidR="00A75023" w:rsidRPr="006D44BB" w:rsidRDefault="00A75023" w:rsidP="00105E8C">
      <w:pPr>
        <w:pStyle w:val="EndnoteText"/>
        <w:numPr>
          <w:ilvl w:val="0"/>
          <w:numId w:val="5"/>
        </w:numPr>
        <w:spacing w:after="120" w:line="480" w:lineRule="auto"/>
        <w:ind w:right="720"/>
        <w:rPr>
          <w:i/>
          <w:iCs/>
        </w:rPr>
      </w:pPr>
      <w:r w:rsidRPr="006D44BB">
        <w:t xml:space="preserve">the import restrictions do not contravene “the general interest of the international community in the interchange of cultural property among nations for scientific, cultural, and educational purposes.” </w:t>
      </w:r>
    </w:p>
    <w:p w14:paraId="32A6B680" w14:textId="77777777" w:rsidR="0003620A" w:rsidRPr="006D44BB" w:rsidRDefault="0003620A" w:rsidP="0003620A">
      <w:pPr>
        <w:pStyle w:val="EndnoteText"/>
        <w:spacing w:after="120" w:line="480" w:lineRule="auto"/>
        <w:ind w:left="720" w:right="720"/>
        <w:rPr>
          <w:i/>
          <w:iCs/>
        </w:rPr>
      </w:pPr>
    </w:p>
  </w:endnote>
  <w:endnote w:id="29">
    <w:p w14:paraId="4C86D1B5" w14:textId="0AD0F147"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The statute also foresees that the U.S. may enter into multilateral agreements. See 19 U.S.C. § 2602.</w:t>
      </w:r>
    </w:p>
    <w:p w14:paraId="5A97249F" w14:textId="77777777" w:rsidR="0003620A" w:rsidRPr="006D44BB" w:rsidRDefault="0003620A" w:rsidP="00105E8C">
      <w:pPr>
        <w:pStyle w:val="EndnoteText"/>
        <w:spacing w:after="120" w:line="480" w:lineRule="auto"/>
      </w:pPr>
    </w:p>
  </w:endnote>
  <w:endnote w:id="30">
    <w:p w14:paraId="43E9E7DA" w14:textId="69821D7C"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19 U.S.C. § 2606(a) (italics </w:t>
      </w:r>
      <w:r w:rsidR="00A31272" w:rsidRPr="006D44BB">
        <w:t>added</w:t>
      </w:r>
      <w:r w:rsidR="005111BB" w:rsidRPr="006D44BB">
        <w:t xml:space="preserve"> for emphasis</w:t>
      </w:r>
      <w:r w:rsidRPr="006D44BB">
        <w:t>).</w:t>
      </w:r>
      <w:r w:rsidR="00E46F8E" w:rsidRPr="006D44BB">
        <w:t xml:space="preserve"> </w:t>
      </w:r>
    </w:p>
    <w:p w14:paraId="602FAAAD" w14:textId="77777777" w:rsidR="0003620A" w:rsidRPr="006D44BB" w:rsidRDefault="0003620A" w:rsidP="00105E8C">
      <w:pPr>
        <w:pStyle w:val="EndnoteText"/>
        <w:spacing w:after="120" w:line="480" w:lineRule="auto"/>
      </w:pPr>
    </w:p>
  </w:endnote>
  <w:endnote w:id="31">
    <w:p w14:paraId="0ACAF8B5" w14:textId="41EF819C"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See</w:t>
      </w:r>
      <w:r w:rsidR="001E1828" w:rsidRPr="006D44BB">
        <w:t xml:space="preserve"> “Current Agreements and Import Restrictions,”</w:t>
      </w:r>
      <w:r w:rsidR="00BC7357" w:rsidRPr="006D44BB">
        <w:t xml:space="preserve"> Cultural Heritage Center,</w:t>
      </w:r>
      <w:r w:rsidRPr="006D44BB">
        <w:rPr>
          <w:i/>
          <w:iCs/>
        </w:rPr>
        <w:t xml:space="preserve"> Bureau of Education and Cul</w:t>
      </w:r>
      <w:r w:rsidR="00A31272" w:rsidRPr="006D44BB">
        <w:rPr>
          <w:i/>
          <w:iCs/>
        </w:rPr>
        <w:t>tu</w:t>
      </w:r>
      <w:r w:rsidRPr="006D44BB">
        <w:rPr>
          <w:i/>
          <w:iCs/>
        </w:rPr>
        <w:t>ral Affairs</w:t>
      </w:r>
      <w:r w:rsidR="001E1828" w:rsidRPr="006D44BB">
        <w:t xml:space="preserve">, </w:t>
      </w:r>
      <w:hyperlink r:id="rId4" w:history="1">
        <w:r w:rsidR="001E1828" w:rsidRPr="006D44BB">
          <w:rPr>
            <w:rStyle w:val="Hyperlink"/>
          </w:rPr>
          <w:t>https://eca.state.gov/cultural-heritage-center/cultural-property-advisory-committee/current-import-restrictions</w:t>
        </w:r>
      </w:hyperlink>
      <w:r w:rsidRPr="006D44BB">
        <w:rPr>
          <w:rStyle w:val="Hyperlink"/>
          <w:color w:val="auto"/>
          <w:u w:val="none"/>
        </w:rPr>
        <w:t xml:space="preserve">. </w:t>
      </w:r>
      <w:r w:rsidRPr="006D44BB">
        <w:t xml:space="preserve">As of summer 2022, U.S. import restrictions were in place for several Mediterranean countries including Albania, Algeria, Cyprus, Egypt, Greece, Italy, Jordan, Libya, Morocco, and </w:t>
      </w:r>
      <w:r w:rsidR="00A31272" w:rsidRPr="006D44BB">
        <w:t>Türkiye</w:t>
      </w:r>
      <w:r w:rsidRPr="006D44BB">
        <w:t>. Additionally, under special statutory provisions, the U.S. has restricted importation of antiquities from Syria and Iraq. See generally</w:t>
      </w:r>
      <w:r w:rsidRPr="006D44BB">
        <w:rPr>
          <w:i/>
          <w:iCs/>
        </w:rPr>
        <w:t xml:space="preserve"> </w:t>
      </w:r>
      <w:r w:rsidRPr="006D44BB">
        <w:t>Protect and Preserve International Cultural Property Act, Pub. L. No. 114-151</w:t>
      </w:r>
      <w:r w:rsidR="005111BB" w:rsidRPr="006D44BB">
        <w:t xml:space="preserve"> </w:t>
      </w:r>
      <w:r w:rsidRPr="006D44BB">
        <w:t>130 Stat. 369 (2016); Emergency Protection for Iraqi Cultural Antiquities Act of 2004, Pub. L. No. 108-429</w:t>
      </w:r>
      <w:r w:rsidR="005111BB" w:rsidRPr="006D44BB">
        <w:t xml:space="preserve"> </w:t>
      </w:r>
      <w:r w:rsidRPr="006D44BB">
        <w:t>118 Stat. 2599 (2004).</w:t>
      </w:r>
    </w:p>
    <w:p w14:paraId="47AEE12B" w14:textId="77777777" w:rsidR="0003620A" w:rsidRPr="006D44BB" w:rsidRDefault="0003620A" w:rsidP="00105E8C">
      <w:pPr>
        <w:pStyle w:val="EndnoteText"/>
        <w:spacing w:after="120" w:line="480" w:lineRule="auto"/>
        <w:rPr>
          <w:i/>
          <w:iCs/>
        </w:rPr>
      </w:pPr>
    </w:p>
  </w:endnote>
  <w:endnote w:id="32">
    <w:p w14:paraId="67CA0776" w14:textId="7705C1F4"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19 U.S.C. §§ 2606, 2609. </w:t>
      </w:r>
    </w:p>
    <w:p w14:paraId="0FDF9D5D" w14:textId="77777777" w:rsidR="0003620A" w:rsidRPr="006D44BB" w:rsidRDefault="0003620A" w:rsidP="00105E8C">
      <w:pPr>
        <w:pStyle w:val="EndnoteText"/>
        <w:spacing w:after="120" w:line="480" w:lineRule="auto"/>
      </w:pPr>
    </w:p>
  </w:endnote>
  <w:endnote w:id="33">
    <w:p w14:paraId="020F0B81" w14:textId="07206DAE"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See, e.g., 18 U.S.C. § 545; 19 U.S.C. § 1595a(c); see also, e.g., 18 U.S.C. § 981(a)(1)(c) (stating violations of, inter alia, 18 U.S.C. § 545 “or any offense constituting ‘specified unlawful activity’” as grounds for forfeiture). Making a false declaration on the importation of goods into the</w:t>
      </w:r>
      <w:r w:rsidR="00745349" w:rsidRPr="006D44BB">
        <w:t xml:space="preserve"> U.S.</w:t>
      </w:r>
      <w:r w:rsidRPr="006D44BB">
        <w:t xml:space="preserve"> is considered an importation contrary to law. 18 U.S.C. § 542. Importations of stolen property or property restricted by the CCPIA are also considered “contrary to law.”</w:t>
      </w:r>
    </w:p>
    <w:p w14:paraId="43B22F97" w14:textId="77777777" w:rsidR="0003620A" w:rsidRPr="006D44BB" w:rsidRDefault="0003620A" w:rsidP="00105E8C">
      <w:pPr>
        <w:pStyle w:val="EndnoteText"/>
        <w:spacing w:after="120" w:line="480" w:lineRule="auto"/>
      </w:pPr>
    </w:p>
  </w:endnote>
  <w:endnote w:id="34">
    <w:p w14:paraId="4BFB3644" w14:textId="5F943D35"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19 U.S.C. § 1595a(c)(1)(A) (declaring that merchandise that is “stolen, smuggled, or clandestinely imported” is introduced into the</w:t>
      </w:r>
      <w:r w:rsidR="00745349" w:rsidRPr="006D44BB">
        <w:t xml:space="preserve"> U.S.</w:t>
      </w:r>
      <w:r w:rsidRPr="006D44BB">
        <w:t xml:space="preserve"> “contrary to law” and “shall be seized and forfeited”). </w:t>
      </w:r>
    </w:p>
    <w:p w14:paraId="00AC6CBC" w14:textId="77777777" w:rsidR="0003620A" w:rsidRPr="006D44BB" w:rsidRDefault="0003620A" w:rsidP="00105E8C">
      <w:pPr>
        <w:pStyle w:val="EndnoteText"/>
        <w:spacing w:after="120" w:line="480" w:lineRule="auto"/>
      </w:pPr>
    </w:p>
  </w:endnote>
  <w:endnote w:id="35">
    <w:p w14:paraId="4A554546" w14:textId="57BE1FA7"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19 U.S.C. § 2609 (providing that</w:t>
      </w:r>
      <w:r w:rsidR="007D4CA9" w:rsidRPr="006D44BB">
        <w:t>:</w:t>
      </w:r>
      <w:r w:rsidRPr="006D44BB">
        <w:t xml:space="preserve"> “Any designated archaeological or ethnological material or article of cultural property, as the case may be, which is imported into the United States in violation of [the CCPIA]</w:t>
      </w:r>
      <w:r w:rsidR="00105E8C" w:rsidRPr="006D44BB">
        <w:t xml:space="preserve"> . . . </w:t>
      </w:r>
      <w:r w:rsidRPr="006D44BB">
        <w:t>shall be subject to seizure and forfeiture.”) and 19 U.S.C § 2093 (requiring seizure and forfeiture of unlawfully imported pre-Columbian monumental or architectural sculptures and murals).</w:t>
      </w:r>
    </w:p>
    <w:p w14:paraId="7242C0B4" w14:textId="77777777" w:rsidR="0003620A" w:rsidRPr="006D44BB" w:rsidRDefault="0003620A" w:rsidP="00105E8C">
      <w:pPr>
        <w:pStyle w:val="EndnoteText"/>
        <w:spacing w:after="120" w:line="480" w:lineRule="auto"/>
      </w:pPr>
    </w:p>
  </w:endnote>
  <w:endnote w:id="36">
    <w:p w14:paraId="21CC1FB9" w14:textId="49AC3CC2" w:rsidR="00A75023" w:rsidRPr="006D44BB" w:rsidRDefault="00A75023" w:rsidP="00A75023">
      <w:pPr>
        <w:spacing w:after="120" w:line="480" w:lineRule="auto"/>
        <w:rPr>
          <w:sz w:val="20"/>
          <w:szCs w:val="20"/>
        </w:rPr>
      </w:pPr>
      <w:r w:rsidRPr="006D44BB">
        <w:rPr>
          <w:rStyle w:val="EndnoteReference"/>
          <w:color w:val="000000" w:themeColor="text1"/>
          <w:sz w:val="20"/>
          <w:szCs w:val="20"/>
        </w:rPr>
        <w:endnoteRef/>
      </w:r>
      <w:r w:rsidR="00105E8C" w:rsidRPr="006D44BB">
        <w:rPr>
          <w:sz w:val="20"/>
          <w:szCs w:val="20"/>
        </w:rPr>
        <w:t xml:space="preserve"> </w:t>
      </w:r>
      <w:r w:rsidRPr="006D44BB">
        <w:rPr>
          <w:sz w:val="20"/>
          <w:szCs w:val="20"/>
        </w:rPr>
        <w:t>18 U.S.C. § 542 (“Entry of goods by means of false statements”) and 18 U.S.C. § 545 (“Smuggling goods into the United States”). Both are federal criminal statutes. Violations subject the importer to fines and imprisonment and the imported goods to seizure and forfeiture under 18 U.S.C. § 981 and 19 U.S.C. § 1497 (“Penalties for failure to declare”).</w:t>
      </w:r>
    </w:p>
    <w:p w14:paraId="225DF548" w14:textId="77777777" w:rsidR="0003620A" w:rsidRPr="006D44BB" w:rsidRDefault="0003620A" w:rsidP="00A75023">
      <w:pPr>
        <w:spacing w:after="120" w:line="480" w:lineRule="auto"/>
        <w:rPr>
          <w:sz w:val="20"/>
          <w:szCs w:val="20"/>
        </w:rPr>
      </w:pPr>
    </w:p>
  </w:endnote>
  <w:endnote w:id="37">
    <w:p w14:paraId="16390CD0" w14:textId="35A2C8E9"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18 U.S.C. § 545 (See </w:t>
      </w:r>
      <w:r w:rsidRPr="006D44BB">
        <w:rPr>
          <w:i/>
          <w:iCs/>
        </w:rPr>
        <w:t>United States v. An Antique Platter of Gold</w:t>
      </w:r>
      <w:r w:rsidRPr="006D44BB">
        <w:t xml:space="preserve">, 991 F. Supp. 222 (S.D.N.Y. 1997), </w:t>
      </w:r>
      <w:r w:rsidRPr="006D44BB">
        <w:rPr>
          <w:i/>
          <w:iCs/>
        </w:rPr>
        <w:t>aff’d on other grounds</w:t>
      </w:r>
      <w:r w:rsidRPr="006D44BB">
        <w:t>, 184 F.3d 131</w:t>
      </w:r>
      <w:r w:rsidRPr="006D44BB">
        <w:rPr>
          <w:color w:val="FF0000"/>
        </w:rPr>
        <w:t xml:space="preserve"> </w:t>
      </w:r>
      <w:r w:rsidRPr="006D44BB">
        <w:t>(2d Cir. 1999).</w:t>
      </w:r>
    </w:p>
    <w:p w14:paraId="18A1C7D2" w14:textId="77777777" w:rsidR="0003620A" w:rsidRPr="006D44BB" w:rsidRDefault="0003620A" w:rsidP="00105E8C">
      <w:pPr>
        <w:pStyle w:val="EndnoteText"/>
        <w:spacing w:after="120" w:line="480" w:lineRule="auto"/>
      </w:pPr>
    </w:p>
  </w:endnote>
  <w:endnote w:id="38">
    <w:p w14:paraId="27B3DCB2" w14:textId="22B3A69E" w:rsidR="00A75023" w:rsidRDefault="00A75023" w:rsidP="00105E8C">
      <w:pPr>
        <w:pStyle w:val="EndnoteText"/>
        <w:spacing w:after="120" w:line="480" w:lineRule="auto"/>
      </w:pPr>
      <w:r w:rsidRPr="006D44BB">
        <w:rPr>
          <w:rStyle w:val="EndnoteReference"/>
        </w:rPr>
        <w:endnoteRef/>
      </w:r>
      <w:r w:rsidR="00105E8C" w:rsidRPr="006D44BB">
        <w:t xml:space="preserve"> </w:t>
      </w:r>
      <w:r w:rsidRPr="006D44BB">
        <w:t>Pub. L. No. 73-246</w:t>
      </w:r>
      <w:r w:rsidR="00A42D7E" w:rsidRPr="006D44BB">
        <w:t xml:space="preserve"> </w:t>
      </w:r>
      <w:r w:rsidRPr="006D44BB">
        <w:t>48 Stat. 794 (1934).</w:t>
      </w:r>
    </w:p>
    <w:p w14:paraId="5C0B6241" w14:textId="77777777" w:rsidR="006D44BB" w:rsidRPr="006D44BB" w:rsidRDefault="006D44BB" w:rsidP="00105E8C">
      <w:pPr>
        <w:pStyle w:val="EndnoteText"/>
        <w:spacing w:after="120" w:line="480" w:lineRule="auto"/>
      </w:pPr>
    </w:p>
  </w:endnote>
  <w:endnote w:id="39">
    <w:p w14:paraId="3A266132" w14:textId="184CCC00"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The NSPA itself has no forfeiture provision. </w:t>
      </w:r>
      <w:proofErr w:type="gramStart"/>
      <w:r w:rsidRPr="006D44BB">
        <w:t>However</w:t>
      </w:r>
      <w:proofErr w:type="gramEnd"/>
      <w:r w:rsidRPr="006D44BB">
        <w:t xml:space="preserve"> 18 U.S.C. § 981(a) and (c) provide for civil forfeiture of personal property constituting or traceable to a violation of illicit activities described in 18 U.S.C. § 1956(c)(7). That statute includes any offense provided for in 18 U.S.C. § 1961(1), which includes violations of the NSPA.</w:t>
      </w:r>
    </w:p>
    <w:p w14:paraId="4BAFCA89" w14:textId="77777777" w:rsidR="0003620A" w:rsidRPr="006D44BB" w:rsidRDefault="0003620A" w:rsidP="00105E8C">
      <w:pPr>
        <w:pStyle w:val="EndnoteText"/>
        <w:spacing w:after="120" w:line="480" w:lineRule="auto"/>
      </w:pPr>
    </w:p>
  </w:endnote>
  <w:endnote w:id="40">
    <w:p w14:paraId="1585EA34" w14:textId="15A74C83"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rPr>
          <w:i/>
          <w:iCs/>
        </w:rPr>
        <w:t>United States v. Schultz</w:t>
      </w:r>
      <w:r w:rsidRPr="006D44BB">
        <w:t xml:space="preserve">, 333 F.3d 393, 412-13 (2d Cir. 2003), </w:t>
      </w:r>
      <w:r w:rsidRPr="006D44BB">
        <w:rPr>
          <w:i/>
          <w:iCs/>
        </w:rPr>
        <w:t>cert. denied</w:t>
      </w:r>
      <w:r w:rsidRPr="006D44BB">
        <w:t>, 540 U.S. 1106 (2004).</w:t>
      </w:r>
    </w:p>
    <w:p w14:paraId="54AFB668" w14:textId="77777777" w:rsidR="0003620A" w:rsidRPr="006D44BB" w:rsidRDefault="0003620A" w:rsidP="00105E8C">
      <w:pPr>
        <w:pStyle w:val="EndnoteText"/>
        <w:spacing w:after="120" w:line="480" w:lineRule="auto"/>
      </w:pPr>
    </w:p>
  </w:endnote>
  <w:endnote w:id="41">
    <w:p w14:paraId="6AD6934C" w14:textId="4E2EEA65" w:rsidR="00A75023" w:rsidRPr="006D44BB" w:rsidRDefault="00A75023" w:rsidP="00A75023">
      <w:pPr>
        <w:pStyle w:val="EndnoteText"/>
        <w:spacing w:after="120" w:line="480" w:lineRule="auto"/>
      </w:pPr>
      <w:r w:rsidRPr="006D44BB">
        <w:rPr>
          <w:rStyle w:val="EndnoteReference"/>
        </w:rPr>
        <w:endnoteRef/>
      </w:r>
      <w:r w:rsidR="00105E8C" w:rsidRPr="006D44BB">
        <w:t xml:space="preserve"> </w:t>
      </w:r>
      <w:r w:rsidRPr="006D44BB">
        <w:t>19 U.S.C. § 2607.</w:t>
      </w:r>
    </w:p>
    <w:p w14:paraId="2D58492B" w14:textId="77777777" w:rsidR="0003620A" w:rsidRPr="006D44BB" w:rsidRDefault="0003620A" w:rsidP="00A75023">
      <w:pPr>
        <w:pStyle w:val="EndnoteText"/>
        <w:spacing w:after="120" w:line="480" w:lineRule="auto"/>
      </w:pPr>
    </w:p>
  </w:endnote>
  <w:endnote w:id="42">
    <w:p w14:paraId="5A63C601" w14:textId="58CCC5CF"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In a case applying the predecessor statute to the NSPA, the U.S. Supreme Court stated</w:t>
      </w:r>
      <w:r w:rsidR="00135605" w:rsidRPr="006D44BB">
        <w:t>:</w:t>
      </w:r>
      <w:r w:rsidRPr="006D44BB">
        <w:t xml:space="preserve"> “‘</w:t>
      </w:r>
      <w:r w:rsidR="00135605" w:rsidRPr="006D44BB">
        <w:t>S</w:t>
      </w:r>
      <w:r w:rsidRPr="006D44BB">
        <w:t>tolen’ as used in [the statute] includes all felonious takings</w:t>
      </w:r>
      <w:r w:rsidR="00105E8C" w:rsidRPr="006D44BB">
        <w:t xml:space="preserve"> . . . </w:t>
      </w:r>
      <w:r w:rsidRPr="006D44BB">
        <w:t xml:space="preserve">with intent to deprive the owner of the rights and benefits of ownership, regardless of </w:t>
      </w:r>
      <w:proofErr w:type="gramStart"/>
      <w:r w:rsidRPr="006D44BB">
        <w:t>whether or not</w:t>
      </w:r>
      <w:proofErr w:type="gramEnd"/>
      <w:r w:rsidRPr="006D44BB">
        <w:t xml:space="preserve"> the theft </w:t>
      </w:r>
      <w:proofErr w:type="spellStart"/>
      <w:r w:rsidRPr="006D44BB">
        <w:t>consititu</w:t>
      </w:r>
      <w:r w:rsidR="00135605" w:rsidRPr="006D44BB">
        <w:t>t</w:t>
      </w:r>
      <w:r w:rsidRPr="006D44BB">
        <w:t>es</w:t>
      </w:r>
      <w:proofErr w:type="spellEnd"/>
      <w:r w:rsidRPr="006D44BB">
        <w:t xml:space="preserve"> common-law larceny.”</w:t>
      </w:r>
      <w:r w:rsidR="00555C3B" w:rsidRPr="006D44BB">
        <w:t xml:space="preserve"> </w:t>
      </w:r>
      <w:r w:rsidRPr="006D44BB">
        <w:rPr>
          <w:i/>
          <w:iCs/>
        </w:rPr>
        <w:t>United States v. Turley</w:t>
      </w:r>
      <w:r w:rsidRPr="006D44BB">
        <w:t>, 352 U.S. 407, 417 (1957). Since then, federal courts have consistently applied this expansive definition of “stolen” in applying the NSPA.</w:t>
      </w:r>
      <w:r w:rsidR="00BD3E66" w:rsidRPr="006D44BB">
        <w:t xml:space="preserve"> </w:t>
      </w:r>
    </w:p>
    <w:p w14:paraId="0CEF16C0" w14:textId="77777777" w:rsidR="0003620A" w:rsidRPr="006D44BB" w:rsidRDefault="0003620A" w:rsidP="00105E8C">
      <w:pPr>
        <w:pStyle w:val="EndnoteText"/>
        <w:spacing w:after="120" w:line="480" w:lineRule="auto"/>
        <w:rPr>
          <w:highlight w:val="yellow"/>
        </w:rPr>
      </w:pPr>
    </w:p>
  </w:endnote>
  <w:endnote w:id="43">
    <w:p w14:paraId="5A858522" w14:textId="64512F45"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In a highly influential article from the relatively early development of cultural property law as a distinct discipline, Professor Paul M. Bator stated this “general rule” as it applies to the</w:t>
      </w:r>
      <w:r w:rsidR="00745349" w:rsidRPr="006D44BB">
        <w:t xml:space="preserve"> U.S.</w:t>
      </w:r>
      <w:r w:rsidRPr="006D44BB">
        <w:t xml:space="preserve"> as follows:</w:t>
      </w:r>
    </w:p>
    <w:p w14:paraId="6A7F173F" w14:textId="421D6B41" w:rsidR="00A75023" w:rsidRPr="006D44BB" w:rsidRDefault="00A75023" w:rsidP="00105E8C">
      <w:pPr>
        <w:pStyle w:val="EndnoteText"/>
        <w:spacing w:after="120" w:line="480" w:lineRule="auto"/>
        <w:ind w:left="720" w:right="720"/>
      </w:pPr>
      <w:r w:rsidRPr="006D44BB">
        <w:t xml:space="preserve">The fundamental general rule is clear: </w:t>
      </w:r>
      <w:r w:rsidRPr="006D44BB">
        <w:rPr>
          <w:i/>
          <w:iCs/>
        </w:rPr>
        <w:t>The fact that an art object has been illegally exported does not in itself bar it from lawful importation into the United States; illegal export does not itself render the importer (or one who took from him) in any way actionable in a U.S. court; the possession of an art object cannot be lawfully disturbed in the United States solely because it was illegally exported from another country</w:t>
      </w:r>
      <w:r w:rsidRPr="006D44BB">
        <w:t>.</w:t>
      </w:r>
    </w:p>
    <w:p w14:paraId="5F0F7F10" w14:textId="19B8E1C7" w:rsidR="00A75023" w:rsidRPr="006D44BB" w:rsidRDefault="0003620A" w:rsidP="00105E8C">
      <w:pPr>
        <w:pStyle w:val="EndnoteText"/>
        <w:spacing w:after="120" w:line="480" w:lineRule="auto"/>
      </w:pPr>
      <w:r w:rsidRPr="006D44BB">
        <w:t>$$</w:t>
      </w:r>
      <w:r w:rsidR="00A75023" w:rsidRPr="006D44BB">
        <w:t>Bator</w:t>
      </w:r>
      <w:r w:rsidR="00A42D82" w:rsidRPr="006D44BB">
        <w:t xml:space="preserve"> 1982</w:t>
      </w:r>
      <w:r w:rsidR="006D44BB">
        <w:t xml:space="preserve"> </w:t>
      </w:r>
      <w:r w:rsidRPr="006D44BB">
        <w:t>|</w:t>
      </w:r>
      <w:r w:rsidR="006D44BB">
        <w:t xml:space="preserve"> </w:t>
      </w:r>
      <w:r w:rsidR="00A75023" w:rsidRPr="006D44BB">
        <w:t>287</w:t>
      </w:r>
      <w:r w:rsidRPr="006D44BB">
        <w:t>$$</w:t>
      </w:r>
      <w:r w:rsidR="00135605" w:rsidRPr="006D44BB">
        <w:t xml:space="preserve"> (italics original)</w:t>
      </w:r>
      <w:r w:rsidR="00A75023" w:rsidRPr="006D44BB">
        <w:t>.</w:t>
      </w:r>
    </w:p>
    <w:p w14:paraId="6B6FA84C" w14:textId="77777777" w:rsidR="0003620A" w:rsidRPr="006D44BB" w:rsidRDefault="0003620A" w:rsidP="00105E8C">
      <w:pPr>
        <w:pStyle w:val="EndnoteText"/>
        <w:spacing w:after="120" w:line="480" w:lineRule="auto"/>
      </w:pPr>
    </w:p>
  </w:endnote>
  <w:endnote w:id="44">
    <w:p w14:paraId="3F4D1A85" w14:textId="1209E00B" w:rsidR="00A75023" w:rsidRPr="006D44BB" w:rsidRDefault="00A75023" w:rsidP="00105E8C">
      <w:pPr>
        <w:pStyle w:val="EndnoteText"/>
        <w:spacing w:after="120" w:line="480" w:lineRule="auto"/>
      </w:pPr>
      <w:r w:rsidRPr="006D44BB">
        <w:rPr>
          <w:rStyle w:val="EndnoteReference"/>
        </w:rPr>
        <w:endnoteRef/>
      </w:r>
      <w:bookmarkStart w:id="10" w:name="_Hlk194915417"/>
      <w:r w:rsidR="00105E8C" w:rsidRPr="006D44BB">
        <w:rPr>
          <w:i/>
          <w:iCs/>
        </w:rPr>
        <w:t xml:space="preserve"> </w:t>
      </w:r>
      <w:r w:rsidRPr="006D44BB">
        <w:rPr>
          <w:i/>
          <w:iCs/>
        </w:rPr>
        <w:t>United States v. McClain</w:t>
      </w:r>
      <w:bookmarkEnd w:id="10"/>
      <w:r w:rsidRPr="006D44BB">
        <w:t>, 545 F.2d 988, 991 (5th Cir. 1977).</w:t>
      </w:r>
      <w:r w:rsidR="0077743B" w:rsidRPr="006D44BB">
        <w:t xml:space="preserve"> (“</w:t>
      </w:r>
      <w:r w:rsidR="0077743B" w:rsidRPr="006D44BB">
        <w:rPr>
          <w:i/>
          <w:iCs/>
        </w:rPr>
        <w:t>McClain</w:t>
      </w:r>
      <w:r w:rsidR="0077743B" w:rsidRPr="006D44BB">
        <w:t>”).</w:t>
      </w:r>
    </w:p>
    <w:p w14:paraId="31701320" w14:textId="77777777" w:rsidR="0003620A" w:rsidRPr="006D44BB" w:rsidRDefault="0003620A" w:rsidP="00105E8C">
      <w:pPr>
        <w:pStyle w:val="EndnoteText"/>
        <w:spacing w:after="120" w:line="480" w:lineRule="auto"/>
      </w:pPr>
    </w:p>
  </w:endnote>
  <w:endnote w:id="45">
    <w:p w14:paraId="1D403675" w14:textId="364DDED9"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“We hold that a declaration of national ownership is necessary before illegal exportation of an article can be considered theft, and the exported article considered </w:t>
      </w:r>
      <w:r w:rsidR="00135605" w:rsidRPr="006D44BB">
        <w:t>‘</w:t>
      </w:r>
      <w:r w:rsidRPr="006D44BB">
        <w:t>stolen</w:t>
      </w:r>
      <w:r w:rsidR="00105E8C" w:rsidRPr="006D44BB">
        <w:t>,</w:t>
      </w:r>
      <w:r w:rsidR="00135605" w:rsidRPr="006D44BB">
        <w:t>’</w:t>
      </w:r>
      <w:r w:rsidRPr="006D44BB">
        <w:t xml:space="preserve"> within the meaning of the National Stolen Property Act. Such a declaration combined with a restriction on exportation without consent of the owner (Mexico) is sufficient to bring the NSPA into play.”</w:t>
      </w:r>
      <w:r w:rsidR="001228E6" w:rsidRPr="006D44BB">
        <w:t xml:space="preserve"> </w:t>
      </w:r>
      <w:r w:rsidR="001228E6" w:rsidRPr="006D44BB">
        <w:rPr>
          <w:i/>
          <w:iCs/>
        </w:rPr>
        <w:t>McClain</w:t>
      </w:r>
      <w:r w:rsidR="001228E6" w:rsidRPr="006D44BB">
        <w:t xml:space="preserve"> 545 F.2d at 1000–1.</w:t>
      </w:r>
    </w:p>
    <w:p w14:paraId="4B0E62C6" w14:textId="77777777" w:rsidR="0003620A" w:rsidRPr="006D44BB" w:rsidRDefault="0003620A" w:rsidP="00105E8C">
      <w:pPr>
        <w:pStyle w:val="EndnoteText"/>
        <w:spacing w:after="120" w:line="480" w:lineRule="auto"/>
      </w:pPr>
    </w:p>
  </w:endnote>
  <w:endnote w:id="46">
    <w:p w14:paraId="0BFF26FA" w14:textId="529184E2"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rPr>
          <w:i/>
          <w:iCs/>
        </w:rPr>
        <w:t>McClain</w:t>
      </w:r>
      <w:r w:rsidRPr="006D44BB">
        <w:t>, 593 F.2d 658, 659 (5th Cir. 1979)</w:t>
      </w:r>
      <w:r w:rsidR="00105E8C" w:rsidRPr="006D44BB">
        <w:t>.</w:t>
      </w:r>
    </w:p>
    <w:p w14:paraId="73504220" w14:textId="77777777" w:rsidR="0003620A" w:rsidRPr="006D44BB" w:rsidRDefault="0003620A" w:rsidP="00105E8C">
      <w:pPr>
        <w:pStyle w:val="EndnoteText"/>
        <w:spacing w:after="120" w:line="480" w:lineRule="auto"/>
      </w:pPr>
    </w:p>
  </w:endnote>
  <w:endnote w:id="47">
    <w:p w14:paraId="2803C837" w14:textId="5F75341D" w:rsidR="00A75023" w:rsidRPr="006D44BB" w:rsidRDefault="00A75023" w:rsidP="00105E8C">
      <w:pPr>
        <w:pStyle w:val="EndnoteText"/>
        <w:spacing w:after="120" w:line="480" w:lineRule="auto"/>
      </w:pPr>
      <w:r w:rsidRPr="006D44BB">
        <w:rPr>
          <w:rStyle w:val="EndnoteReference"/>
        </w:rPr>
        <w:endnoteRef/>
      </w:r>
      <w:r w:rsidR="00BD3E66" w:rsidRPr="006D44BB">
        <w:rPr>
          <w:i/>
          <w:iCs/>
        </w:rPr>
        <w:t xml:space="preserve"> </w:t>
      </w:r>
      <w:r w:rsidR="001228E6" w:rsidRPr="006D44BB">
        <w:rPr>
          <w:i/>
          <w:iCs/>
        </w:rPr>
        <w:t>McClain</w:t>
      </w:r>
      <w:r w:rsidR="00690569" w:rsidRPr="006D44BB">
        <w:rPr>
          <w:i/>
          <w:iCs/>
        </w:rPr>
        <w:t>,</w:t>
      </w:r>
      <w:r w:rsidR="001228E6" w:rsidRPr="006D44BB">
        <w:t xml:space="preserve"> 545 F.2d at 670.</w:t>
      </w:r>
    </w:p>
    <w:p w14:paraId="1ADFBD02" w14:textId="77777777" w:rsidR="0003620A" w:rsidRPr="006D44BB" w:rsidRDefault="0003620A" w:rsidP="00105E8C">
      <w:pPr>
        <w:pStyle w:val="EndnoteText"/>
        <w:spacing w:after="120" w:line="480" w:lineRule="auto"/>
      </w:pPr>
    </w:p>
  </w:endnote>
  <w:endnote w:id="48">
    <w:p w14:paraId="5687034F" w14:textId="473315B3" w:rsidR="00A75023" w:rsidRPr="006D44BB" w:rsidRDefault="00A75023" w:rsidP="00105E8C">
      <w:pPr>
        <w:pStyle w:val="EndnoteText"/>
        <w:spacing w:after="120" w:line="480" w:lineRule="auto"/>
      </w:pPr>
      <w:r w:rsidRPr="006D44BB">
        <w:rPr>
          <w:rStyle w:val="EndnoteReference"/>
        </w:rPr>
        <w:endnoteRef/>
      </w:r>
      <w:r w:rsidRPr="006D44BB">
        <w:t xml:space="preserve"> </w:t>
      </w:r>
      <w:r w:rsidRPr="006D44BB">
        <w:rPr>
          <w:i/>
          <w:iCs/>
        </w:rPr>
        <w:t>U</w:t>
      </w:r>
      <w:r w:rsidR="00537DFD" w:rsidRPr="006D44BB">
        <w:rPr>
          <w:i/>
          <w:iCs/>
        </w:rPr>
        <w:t xml:space="preserve">nited </w:t>
      </w:r>
      <w:r w:rsidRPr="006D44BB">
        <w:rPr>
          <w:i/>
          <w:iCs/>
        </w:rPr>
        <w:t>S</w:t>
      </w:r>
      <w:r w:rsidR="00537DFD" w:rsidRPr="006D44BB">
        <w:rPr>
          <w:i/>
          <w:iCs/>
        </w:rPr>
        <w:t>tates</w:t>
      </w:r>
      <w:r w:rsidRPr="006D44BB">
        <w:rPr>
          <w:i/>
          <w:iCs/>
        </w:rPr>
        <w:t xml:space="preserve"> v. Schultz</w:t>
      </w:r>
      <w:r w:rsidRPr="006D44BB">
        <w:t xml:space="preserve">, 333 F.3d 393 (2d Cir. 2003), </w:t>
      </w:r>
      <w:r w:rsidRPr="006D44BB">
        <w:rPr>
          <w:i/>
          <w:iCs/>
        </w:rPr>
        <w:t>cert. denied</w:t>
      </w:r>
      <w:r w:rsidRPr="006D44BB">
        <w:t>, 540 U.S. 1106 (2004)</w:t>
      </w:r>
      <w:r w:rsidR="00804280" w:rsidRPr="006D44BB">
        <w:t xml:space="preserve"> (“</w:t>
      </w:r>
      <w:r w:rsidR="00804280" w:rsidRPr="006D44BB">
        <w:rPr>
          <w:i/>
          <w:iCs/>
        </w:rPr>
        <w:t>Schultz</w:t>
      </w:r>
      <w:r w:rsidR="00804280" w:rsidRPr="006D44BB">
        <w:t>”).</w:t>
      </w:r>
    </w:p>
    <w:p w14:paraId="2CB0ABA3" w14:textId="77777777" w:rsidR="0003620A" w:rsidRPr="006D44BB" w:rsidRDefault="0003620A" w:rsidP="00105E8C">
      <w:pPr>
        <w:pStyle w:val="EndnoteText"/>
        <w:spacing w:after="120" w:line="480" w:lineRule="auto"/>
      </w:pPr>
    </w:p>
  </w:endnote>
  <w:endnote w:id="49">
    <w:p w14:paraId="1496DA46" w14:textId="63648A82"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rPr>
          <w:i/>
          <w:iCs/>
        </w:rPr>
        <w:t>Schultz</w:t>
      </w:r>
      <w:r w:rsidRPr="006D44BB">
        <w:t xml:space="preserve">, 333 F.3d at 402. Schultz was sentenced to </w:t>
      </w:r>
      <w:r w:rsidR="0003620A" w:rsidRPr="006D44BB">
        <w:t>thirty-three</w:t>
      </w:r>
      <w:r w:rsidRPr="006D44BB">
        <w:t xml:space="preserve"> months in federal prison and a fine of $50,000.</w:t>
      </w:r>
    </w:p>
    <w:p w14:paraId="1575CE2C" w14:textId="77777777" w:rsidR="0003620A" w:rsidRPr="006D44BB" w:rsidRDefault="0003620A" w:rsidP="00105E8C">
      <w:pPr>
        <w:pStyle w:val="EndnoteText"/>
        <w:spacing w:after="120" w:line="480" w:lineRule="auto"/>
      </w:pPr>
    </w:p>
  </w:endnote>
  <w:endnote w:id="50">
    <w:p w14:paraId="43D8D689" w14:textId="10EE37DB"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“We conclude that the NSPA applies to property that is stolen from a foreign government, where that government asserts actual ownership of the property pursuant to a valid patrimony law.” </w:t>
      </w:r>
      <w:r w:rsidRPr="006D44BB">
        <w:rPr>
          <w:i/>
          <w:iCs/>
        </w:rPr>
        <w:t>Schultz</w:t>
      </w:r>
      <w:r w:rsidRPr="006D44BB">
        <w:t>, 333 F.3d at 416.</w:t>
      </w:r>
    </w:p>
    <w:p w14:paraId="7E4121B2" w14:textId="77777777" w:rsidR="0003620A" w:rsidRPr="006D44BB" w:rsidRDefault="0003620A" w:rsidP="00105E8C">
      <w:pPr>
        <w:pStyle w:val="EndnoteText"/>
        <w:spacing w:after="120" w:line="480" w:lineRule="auto"/>
      </w:pPr>
    </w:p>
  </w:endnote>
  <w:endnote w:id="51">
    <w:p w14:paraId="47B867B6" w14:textId="03BD2992" w:rsidR="00A75023" w:rsidRPr="006D44BB" w:rsidRDefault="00A75023" w:rsidP="00A75023">
      <w:pPr>
        <w:pStyle w:val="EndnoteText"/>
        <w:spacing w:line="480" w:lineRule="auto"/>
      </w:pPr>
      <w:r w:rsidRPr="006D44BB">
        <w:rPr>
          <w:rStyle w:val="EndnoteReference"/>
        </w:rPr>
        <w:endnoteRef/>
      </w:r>
      <w:r w:rsidR="00105E8C" w:rsidRPr="006D44BB">
        <w:t xml:space="preserve"> </w:t>
      </w:r>
      <w:r w:rsidRPr="006D44BB">
        <w:t xml:space="preserve">In a recent case, </w:t>
      </w:r>
      <w:r w:rsidR="00AE4A14" w:rsidRPr="006D44BB">
        <w:t>Türkiye</w:t>
      </w:r>
      <w:r w:rsidRPr="006D44BB">
        <w:t xml:space="preserve"> asserted ownership of the </w:t>
      </w:r>
      <w:proofErr w:type="spellStart"/>
      <w:r w:rsidRPr="006D44BB">
        <w:t>Guennol</w:t>
      </w:r>
      <w:proofErr w:type="spellEnd"/>
      <w:r w:rsidRPr="006D44BB">
        <w:t xml:space="preserve"> Stargazer, a nine-inch</w:t>
      </w:r>
      <w:r w:rsidR="00C61B9E" w:rsidRPr="006D44BB">
        <w:t>-</w:t>
      </w:r>
      <w:r w:rsidRPr="006D44BB">
        <w:t xml:space="preserve">tall, marble figurine (referred to by the court as </w:t>
      </w:r>
      <w:r w:rsidR="00C61B9E" w:rsidRPr="006D44BB">
        <w:t>“</w:t>
      </w:r>
      <w:r w:rsidRPr="006D44BB">
        <w:t xml:space="preserve">the Idol”) pursuant to a 1906 law that asserts ownership by </w:t>
      </w:r>
      <w:r w:rsidR="00C61B9E" w:rsidRPr="006D44BB">
        <w:t>Türkiye</w:t>
      </w:r>
      <w:r w:rsidRPr="006D44BB">
        <w:t xml:space="preserve"> to all antiquities located in that country. The court held that although the Idol was “undoubtedly manufactured in what is now modern-day Turkey, the Court cannot conclude</w:t>
      </w:r>
      <w:r w:rsidR="00105E8C" w:rsidRPr="006D44BB">
        <w:t xml:space="preserve"> . . . </w:t>
      </w:r>
      <w:r w:rsidRPr="006D44BB">
        <w:t>that it was excavated from Turkey after 1906</w:t>
      </w:r>
      <w:r w:rsidR="00105E8C" w:rsidRPr="006D44BB">
        <w:t xml:space="preserve"> . . .</w:t>
      </w:r>
      <w:r w:rsidRPr="006D44BB">
        <w:t>” when the statute came into force.</w:t>
      </w:r>
      <w:r w:rsidR="00105E8C" w:rsidRPr="006D44BB">
        <w:t xml:space="preserve"> </w:t>
      </w:r>
      <w:r w:rsidRPr="006D44BB">
        <w:t xml:space="preserve">Put another way, although the court found that modern-day </w:t>
      </w:r>
      <w:r w:rsidR="00C61B9E" w:rsidRPr="006D44BB">
        <w:t>Türkiye</w:t>
      </w:r>
      <w:r w:rsidRPr="006D44BB">
        <w:t xml:space="preserve"> is where the Idol originated, there was no evidence that </w:t>
      </w:r>
      <w:r w:rsidR="00C61B9E" w:rsidRPr="006D44BB">
        <w:t>Türkiye</w:t>
      </w:r>
      <w:r w:rsidRPr="006D44BB">
        <w:t xml:space="preserve"> was the country where the Idol was discovered. </w:t>
      </w:r>
      <w:r w:rsidRPr="006D44BB">
        <w:rPr>
          <w:i/>
          <w:iCs/>
        </w:rPr>
        <w:t>Republic of Turkey v. Christies, Inc.</w:t>
      </w:r>
      <w:r w:rsidRPr="006D44BB">
        <w:t>, No. 17-CV-3086, 2021 WL 4060357 (S.D.N.Y. 2021).</w:t>
      </w:r>
    </w:p>
    <w:p w14:paraId="303DEB3B" w14:textId="77777777" w:rsidR="0003620A" w:rsidRPr="006D44BB" w:rsidRDefault="0003620A" w:rsidP="00A75023">
      <w:pPr>
        <w:pStyle w:val="EndnoteText"/>
        <w:spacing w:line="480" w:lineRule="auto"/>
      </w:pPr>
    </w:p>
  </w:endnote>
  <w:endnote w:id="52">
    <w:p w14:paraId="0F93653B" w14:textId="26AC3155"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The lack of a comprehensive, regularly updated compendium of national cultural property legislation presents a challenge for provenance research. UNESCO’s database is incomplete, often out of date, and generally provides legislation in a country’s native language. See </w:t>
      </w:r>
      <w:r w:rsidRPr="006D44BB">
        <w:rPr>
          <w:rStyle w:val="Hyperlink"/>
        </w:rPr>
        <w:t>https://en.unesco.org/cultnatlaws</w:t>
      </w:r>
      <w:r w:rsidRPr="006D44BB">
        <w:t xml:space="preserve">. An alternative compilation is the International Cultural Property/Ownership &amp; Export Legislation database (ICPOEL) created and maintained by the International Foundation for Art Research (IFAR). ICPOEL provides unofficial, English translations of national legislation. See </w:t>
      </w:r>
      <w:hyperlink r:id="rId5" w:history="1">
        <w:r w:rsidR="00AF1289" w:rsidRPr="006D44BB">
          <w:rPr>
            <w:rStyle w:val="Hyperlink"/>
          </w:rPr>
          <w:t>https://www.ifar.org/icpoel.php</w:t>
        </w:r>
      </w:hyperlink>
      <w:r w:rsidRPr="006D44BB">
        <w:t>.</w:t>
      </w:r>
    </w:p>
    <w:p w14:paraId="11C37400" w14:textId="77777777" w:rsidR="0003620A" w:rsidRPr="006D44BB" w:rsidRDefault="0003620A" w:rsidP="00105E8C">
      <w:pPr>
        <w:pStyle w:val="EndnoteText"/>
        <w:spacing w:after="120" w:line="480" w:lineRule="auto"/>
      </w:pPr>
    </w:p>
  </w:endnote>
  <w:endnote w:id="53">
    <w:p w14:paraId="752BB31F" w14:textId="59D10387" w:rsidR="00A75023" w:rsidRPr="006D44BB" w:rsidRDefault="00A75023" w:rsidP="00A75023">
      <w:pPr>
        <w:pStyle w:val="EndnoteText"/>
        <w:spacing w:after="120" w:line="480" w:lineRule="auto"/>
      </w:pPr>
      <w:r w:rsidRPr="006D44BB">
        <w:rPr>
          <w:rStyle w:val="EndnoteReference"/>
        </w:rPr>
        <w:endnoteRef/>
      </w:r>
      <w:r w:rsidR="00105E8C" w:rsidRPr="006D44BB">
        <w:t xml:space="preserve"> </w:t>
      </w:r>
      <w:r w:rsidR="0003620A" w:rsidRPr="006D44BB">
        <w:t>$$</w:t>
      </w:r>
      <w:proofErr w:type="spellStart"/>
      <w:r w:rsidRPr="006D44BB">
        <w:t>Malaro</w:t>
      </w:r>
      <w:proofErr w:type="spellEnd"/>
      <w:r w:rsidR="00E9163E" w:rsidRPr="006D44BB">
        <w:t xml:space="preserve"> 1994</w:t>
      </w:r>
      <w:r w:rsidR="006D44BB">
        <w:t xml:space="preserve"> </w:t>
      </w:r>
      <w:r w:rsidR="0003620A" w:rsidRPr="006D44BB">
        <w:t>|</w:t>
      </w:r>
      <w:r w:rsidR="006D44BB">
        <w:t xml:space="preserve"> </w:t>
      </w:r>
      <w:r w:rsidRPr="006D44BB">
        <w:t>17</w:t>
      </w:r>
      <w:r w:rsidR="0003620A" w:rsidRPr="006D44BB">
        <w:t>$$</w:t>
      </w:r>
      <w:r w:rsidRPr="006D44BB">
        <w:t>.</w:t>
      </w:r>
    </w:p>
    <w:p w14:paraId="43043AE1" w14:textId="77777777" w:rsidR="0003620A" w:rsidRPr="006D44BB" w:rsidRDefault="0003620A" w:rsidP="00A75023">
      <w:pPr>
        <w:pStyle w:val="EndnoteText"/>
        <w:spacing w:after="120" w:line="480" w:lineRule="auto"/>
      </w:pPr>
    </w:p>
  </w:endnote>
  <w:endnote w:id="54">
    <w:p w14:paraId="07B9E954" w14:textId="114C7F5E"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The American Association of Museums, founded in 1906, is the largest museum professional organization in the U.S. Its membership comprises institutions and individuals working in a broad range of museums, from aquariums and art museums to zoos and history museums. In 2012 the organization changed its name to the American Alliance of Museums. </w:t>
      </w:r>
    </w:p>
    <w:p w14:paraId="6904A76F" w14:textId="77777777" w:rsidR="0003620A" w:rsidRPr="006D44BB" w:rsidRDefault="0003620A" w:rsidP="00105E8C">
      <w:pPr>
        <w:pStyle w:val="EndnoteText"/>
        <w:spacing w:after="120" w:line="480" w:lineRule="auto"/>
      </w:pPr>
    </w:p>
  </w:endnote>
  <w:endnote w:id="55">
    <w:p w14:paraId="5A0B4F06" w14:textId="07618A8F"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The Association of Art Museum Directors, founded in 1916, represents</w:t>
      </w:r>
      <w:r w:rsidR="00E46F8E" w:rsidRPr="006D44BB">
        <w:t xml:space="preserve"> </w:t>
      </w:r>
      <w:r w:rsidRPr="006D44BB">
        <w:t>directors of approximately 230 art museums in Canada, the United States, and Mexico. It is generally considered the most influential organization representing the directors of North American art museums.</w:t>
      </w:r>
    </w:p>
    <w:p w14:paraId="552B6503" w14:textId="77777777" w:rsidR="0003620A" w:rsidRPr="006D44BB" w:rsidRDefault="0003620A" w:rsidP="00105E8C">
      <w:pPr>
        <w:pStyle w:val="EndnoteText"/>
        <w:spacing w:after="120" w:line="480" w:lineRule="auto"/>
      </w:pPr>
    </w:p>
  </w:endnote>
  <w:endnote w:id="56">
    <w:p w14:paraId="5131DB5D" w14:textId="2D7E445C" w:rsidR="00A75023" w:rsidRPr="006D44BB" w:rsidRDefault="00A75023" w:rsidP="00A75023">
      <w:pPr>
        <w:pStyle w:val="EndnoteText"/>
        <w:spacing w:after="120" w:line="480" w:lineRule="auto"/>
      </w:pPr>
      <w:r w:rsidRPr="006D44BB">
        <w:rPr>
          <w:rStyle w:val="EndnoteReference"/>
        </w:rPr>
        <w:endnoteRef/>
      </w:r>
      <w:r w:rsidR="00105E8C" w:rsidRPr="006D44BB">
        <w:t xml:space="preserve"> </w:t>
      </w:r>
      <w:r w:rsidRPr="006D44BB">
        <w:t>The 1970 UNESCO Convention was finalized and signed in Paris on that date. The significance of 1970 in the context of the acquisition of antiquities is discussed below.</w:t>
      </w:r>
      <w:r w:rsidR="008A5EE8" w:rsidRPr="006D44BB">
        <w:t xml:space="preserve"> </w:t>
      </w:r>
      <w:bookmarkStart w:id="13" w:name="_Hlk194913590"/>
      <w:r w:rsidR="00942EF8" w:rsidRPr="006D44BB">
        <w:t>Italics added for emphasis.</w:t>
      </w:r>
      <w:bookmarkEnd w:id="13"/>
    </w:p>
    <w:p w14:paraId="2BD9662B" w14:textId="77777777" w:rsidR="0003620A" w:rsidRPr="006D44BB" w:rsidRDefault="0003620A" w:rsidP="00A75023">
      <w:pPr>
        <w:pStyle w:val="EndnoteText"/>
        <w:spacing w:after="120" w:line="480" w:lineRule="auto"/>
      </w:pPr>
    </w:p>
  </w:endnote>
  <w:endnote w:id="57">
    <w:p w14:paraId="4376E2AA" w14:textId="40D13E15"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0003620A" w:rsidRPr="006D44BB">
        <w:t>$$</w:t>
      </w:r>
      <w:r w:rsidR="00A41ED9" w:rsidRPr="006D44BB">
        <w:t>American Alliance of Museums 20</w:t>
      </w:r>
      <w:r w:rsidR="001818B9" w:rsidRPr="006D44BB">
        <w:t>08</w:t>
      </w:r>
      <w:r w:rsidR="0003620A" w:rsidRPr="006D44BB">
        <w:t>$$</w:t>
      </w:r>
      <w:r w:rsidR="00942EF8" w:rsidRPr="006D44BB">
        <w:t>. Italics added for emphasis.</w:t>
      </w:r>
    </w:p>
    <w:p w14:paraId="72EEC635" w14:textId="77777777" w:rsidR="0003620A" w:rsidRPr="006D44BB" w:rsidRDefault="0003620A" w:rsidP="00105E8C">
      <w:pPr>
        <w:pStyle w:val="EndnoteText"/>
        <w:spacing w:after="120" w:line="480" w:lineRule="auto"/>
      </w:pPr>
    </w:p>
  </w:endnote>
  <w:endnote w:id="58">
    <w:p w14:paraId="380577E9" w14:textId="3D3BF0B9" w:rsidR="00A75023" w:rsidRPr="006D44BB" w:rsidRDefault="00A75023" w:rsidP="00A75023">
      <w:pPr>
        <w:pStyle w:val="EndnoteText"/>
        <w:spacing w:line="480" w:lineRule="auto"/>
      </w:pPr>
      <w:r w:rsidRPr="006D44BB">
        <w:rPr>
          <w:rStyle w:val="EndnoteReference"/>
        </w:rPr>
        <w:endnoteRef/>
      </w:r>
      <w:r w:rsidR="00105E8C" w:rsidRPr="006D44BB">
        <w:t xml:space="preserve"> </w:t>
      </w:r>
      <w:r w:rsidRPr="006D44BB">
        <w:t xml:space="preserve">The paragraphs </w:t>
      </w:r>
      <w:r w:rsidR="001F688F" w:rsidRPr="006D44BB">
        <w:t xml:space="preserve">quoted here </w:t>
      </w:r>
      <w:r w:rsidRPr="006D44BB">
        <w:t xml:space="preserve">represent only a portion of AAMD’s Guidelines, which are themselves preceded by a Statement of Principles and other materials. The complete document is available at </w:t>
      </w:r>
      <w:hyperlink r:id="rId6" w:history="1">
        <w:r w:rsidRPr="006D44BB">
          <w:rPr>
            <w:rStyle w:val="Hyperlink"/>
          </w:rPr>
          <w:t>https://aamd.org/sites/default/files/document/AAMD%20Guidelines%202013.pdf</w:t>
        </w:r>
      </w:hyperlink>
      <w:r w:rsidRPr="006D44BB">
        <w:t xml:space="preserve">. Additionally, AAMD maintains an Object Registry of acquisitions, starting in June 2008, of archaeological material and works of ancient art that lack a complete provenance after November 1970. Information on the </w:t>
      </w:r>
      <w:r w:rsidR="00A314F5" w:rsidRPr="006D44BB">
        <w:t xml:space="preserve">Object </w:t>
      </w:r>
      <w:r w:rsidRPr="006D44BB">
        <w:t xml:space="preserve">Registry is available at </w:t>
      </w:r>
      <w:hyperlink r:id="rId7" w:history="1">
        <w:r w:rsidRPr="006D44BB">
          <w:rPr>
            <w:rStyle w:val="Hyperlink"/>
          </w:rPr>
          <w:t>https://aamd.org/object-registry/new-acquisitions-of-archaeological-material-and-works-of-ancient-art/more-info</w:t>
        </w:r>
      </w:hyperlink>
      <w:r w:rsidRPr="006D44BB">
        <w:t>.</w:t>
      </w:r>
      <w:r w:rsidR="00491E12" w:rsidRPr="006D44BB">
        <w:t xml:space="preserve"> See further </w:t>
      </w:r>
      <w:r w:rsidR="0003620A" w:rsidRPr="006D44BB">
        <w:t>$$</w:t>
      </w:r>
      <w:proofErr w:type="spellStart"/>
      <w:r w:rsidR="00491E12" w:rsidRPr="006D44BB">
        <w:t>Gerstenblith</w:t>
      </w:r>
      <w:proofErr w:type="spellEnd"/>
      <w:r w:rsidR="00491E12" w:rsidRPr="006D44BB">
        <w:t xml:space="preserve"> </w:t>
      </w:r>
      <w:r w:rsidR="00613C21" w:rsidRPr="006D44BB">
        <w:t>2019</w:t>
      </w:r>
      <w:r w:rsidR="0003620A" w:rsidRPr="006D44BB">
        <w:t>$$</w:t>
      </w:r>
      <w:r w:rsidR="00613C21" w:rsidRPr="006D44BB">
        <w:t>.</w:t>
      </w:r>
    </w:p>
    <w:p w14:paraId="607650B5" w14:textId="77777777" w:rsidR="0003620A" w:rsidRPr="006D44BB" w:rsidRDefault="0003620A" w:rsidP="00A75023">
      <w:pPr>
        <w:pStyle w:val="EndnoteText"/>
        <w:spacing w:line="480" w:lineRule="auto"/>
      </w:pPr>
    </w:p>
  </w:endnote>
  <w:endnote w:id="59">
    <w:p w14:paraId="01854FED" w14:textId="2D715F72"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Such works also raise red flags as to authenticity. The world of modern art learned that lesson with the collapse in 2011 of New York’s venerable Knoedler </w:t>
      </w:r>
      <w:r w:rsidR="0003620A" w:rsidRPr="006D44BB">
        <w:t>G</w:t>
      </w:r>
      <w:r w:rsidRPr="006D44BB">
        <w:t>allery, founded in the 1840s.</w:t>
      </w:r>
      <w:r w:rsidR="00105E8C" w:rsidRPr="006D44BB">
        <w:t xml:space="preserve"> </w:t>
      </w:r>
      <w:r w:rsidRPr="006D44BB">
        <w:t xml:space="preserve">Starting in 1994 Knoedler sold works it attributed to modern abstract expressionist masters (such as Mark Rothko, Willem de Kooning, Robert Motherwell, and Jackson Pollock) for millions of dollars. </w:t>
      </w:r>
      <w:proofErr w:type="gramStart"/>
      <w:r w:rsidRPr="006D44BB">
        <w:t>All of</w:t>
      </w:r>
      <w:proofErr w:type="gramEnd"/>
      <w:r w:rsidRPr="006D44BB">
        <w:t xml:space="preserve"> the works were recent forgeries. The only documented provenance for the works was their appearance on the market at Knoedler. The story of the gallery’s collapse has been extensively reported in the media and is the subject of at least two documentary films.</w:t>
      </w:r>
    </w:p>
    <w:p w14:paraId="246F6923" w14:textId="77777777" w:rsidR="0003620A" w:rsidRPr="006D44BB" w:rsidRDefault="0003620A" w:rsidP="00105E8C">
      <w:pPr>
        <w:pStyle w:val="EndnoteText"/>
        <w:spacing w:after="120" w:line="480" w:lineRule="auto"/>
      </w:pPr>
    </w:p>
  </w:endnote>
  <w:endnote w:id="60">
    <w:p w14:paraId="40D10492" w14:textId="2111D639"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The discussion </w:t>
      </w:r>
      <w:r w:rsidR="001F688F" w:rsidRPr="006D44BB">
        <w:t xml:space="preserve">of </w:t>
      </w:r>
      <w:r w:rsidRPr="006D44BB">
        <w:t xml:space="preserve">whether strategies other than acquisition (such as long-term loans and exchanges) could achieve similar goals is outside the scope of this chapter. </w:t>
      </w:r>
    </w:p>
    <w:p w14:paraId="51BC53D8" w14:textId="77777777" w:rsidR="0003620A" w:rsidRPr="006D44BB" w:rsidRDefault="0003620A" w:rsidP="00105E8C">
      <w:pPr>
        <w:pStyle w:val="EndnoteText"/>
        <w:spacing w:after="120" w:line="480" w:lineRule="auto"/>
      </w:pPr>
    </w:p>
  </w:endnote>
  <w:endnote w:id="61">
    <w:p w14:paraId="3740F19E" w14:textId="18254F5C"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The J. Paul Getty Museum is an operating program of The J. Paul Getty Trust. Its Collection Policy is available at</w:t>
      </w:r>
      <w:r w:rsidR="00545569" w:rsidRPr="006D44BB">
        <w:t xml:space="preserve"> </w:t>
      </w:r>
      <w:hyperlink r:id="rId8" w:history="1">
        <w:r w:rsidR="00545569" w:rsidRPr="006D44BB">
          <w:rPr>
            <w:rStyle w:val="Hyperlink"/>
          </w:rPr>
          <w:t>https://media.getty.edu/Text/00ae0cba-827f-5f1a-877e-86468937f24a.pdf</w:t>
        </w:r>
      </w:hyperlink>
      <w:r w:rsidR="00545569" w:rsidRPr="006D44BB">
        <w:t>).</w:t>
      </w:r>
      <w:r w:rsidRPr="006D44BB">
        <w:t xml:space="preserve"> </w:t>
      </w:r>
    </w:p>
    <w:p w14:paraId="5769C3CC" w14:textId="77777777" w:rsidR="0003620A" w:rsidRPr="006D44BB" w:rsidRDefault="0003620A" w:rsidP="00105E8C">
      <w:pPr>
        <w:pStyle w:val="EndnoteText"/>
        <w:spacing w:after="120" w:line="480" w:lineRule="auto"/>
      </w:pPr>
    </w:p>
  </w:endnote>
  <w:endnote w:id="62">
    <w:p w14:paraId="474AE582" w14:textId="2BD025D2" w:rsidR="00A75023" w:rsidRPr="006D44BB" w:rsidRDefault="00A75023" w:rsidP="00A75023">
      <w:pPr>
        <w:pStyle w:val="EndnoteText"/>
        <w:spacing w:line="480" w:lineRule="auto"/>
      </w:pPr>
      <w:r w:rsidRPr="006D44BB">
        <w:rPr>
          <w:rStyle w:val="EndnoteReference"/>
        </w:rPr>
        <w:endnoteRef/>
      </w:r>
      <w:r w:rsidR="00105E8C" w:rsidRPr="006D44BB">
        <w:t xml:space="preserve"> </w:t>
      </w:r>
      <w:r w:rsidRPr="006D44BB">
        <w:t xml:space="preserve">For a helpful discussion, see </w:t>
      </w:r>
      <w:r w:rsidR="0003620A" w:rsidRPr="006D44BB">
        <w:t>$$</w:t>
      </w:r>
      <w:proofErr w:type="spellStart"/>
      <w:r w:rsidRPr="006D44BB">
        <w:t>Gerstenblith</w:t>
      </w:r>
      <w:proofErr w:type="spellEnd"/>
      <w:r w:rsidR="000961E7" w:rsidRPr="006D44BB">
        <w:t xml:space="preserve"> 2013</w:t>
      </w:r>
      <w:r w:rsidR="0003620A" w:rsidRPr="006D44BB">
        <w:t>|</w:t>
      </w:r>
      <w:r w:rsidRPr="006D44BB">
        <w:t>365</w:t>
      </w:r>
      <w:r w:rsidR="0003620A" w:rsidRPr="006D44BB">
        <w:t>$$</w:t>
      </w:r>
      <w:r w:rsidRPr="006D44BB">
        <w:t xml:space="preserve">. In the paper’s </w:t>
      </w:r>
      <w:r w:rsidR="000961E7" w:rsidRPr="006D44BB">
        <w:t>a</w:t>
      </w:r>
      <w:r w:rsidRPr="006D44BB">
        <w:t xml:space="preserve">bstract </w:t>
      </w:r>
      <w:proofErr w:type="spellStart"/>
      <w:r w:rsidRPr="006D44BB">
        <w:t>Gerstenblith</w:t>
      </w:r>
      <w:proofErr w:type="spellEnd"/>
      <w:r w:rsidRPr="006D44BB">
        <w:t xml:space="preserve"> comments:</w:t>
      </w:r>
    </w:p>
    <w:p w14:paraId="50962CD5" w14:textId="6A624B95" w:rsidR="00A75023" w:rsidRPr="006D44BB" w:rsidRDefault="00A75023" w:rsidP="00A75023">
      <w:pPr>
        <w:pStyle w:val="EndnoteText"/>
        <w:spacing w:after="120" w:line="480" w:lineRule="auto"/>
        <w:ind w:left="720" w:right="720"/>
      </w:pPr>
      <w:r w:rsidRPr="006D44BB">
        <w:t>Many museum and professional associations, particularly in the United States, have adopted a 1970 standard for the acquisition of archaeological materials–that is, in recognition of the 1970 UNESCO Convention</w:t>
      </w:r>
      <w:r w:rsidR="00105E8C" w:rsidRPr="006D44BB">
        <w:t xml:space="preserve"> . . . </w:t>
      </w:r>
      <w:r w:rsidRPr="006D44BB">
        <w:t>archaeological objects should be documented has</w:t>
      </w:r>
      <w:r w:rsidR="000B443E" w:rsidRPr="006D44BB">
        <w:t xml:space="preserve"> [</w:t>
      </w:r>
      <w:r w:rsidR="000B443E" w:rsidRPr="006D44BB">
        <w:rPr>
          <w:i/>
          <w:iCs/>
        </w:rPr>
        <w:t>sic</w:t>
      </w:r>
      <w:r w:rsidR="000B443E" w:rsidRPr="006D44BB">
        <w:t>]</w:t>
      </w:r>
      <w:r w:rsidRPr="006D44BB">
        <w:t xml:space="preserve"> outside of their country of origin before 1970 or have been exported legally after 1970. This article explores the extent to which this standard has been adopted, its influence on restitutions and claims for restitution of archaeological objects, and the policies that </w:t>
      </w:r>
      <w:proofErr w:type="gramStart"/>
      <w:r w:rsidRPr="006D44BB">
        <w:t>this standard attempts</w:t>
      </w:r>
      <w:proofErr w:type="gramEnd"/>
      <w:r w:rsidRPr="006D44BB">
        <w:t xml:space="preserve"> to promote.</w:t>
      </w:r>
    </w:p>
    <w:p w14:paraId="388ED7C2" w14:textId="77777777" w:rsidR="0003620A" w:rsidRPr="006D44BB" w:rsidRDefault="0003620A" w:rsidP="00A75023">
      <w:pPr>
        <w:pStyle w:val="EndnoteText"/>
        <w:spacing w:after="120" w:line="480" w:lineRule="auto"/>
        <w:ind w:left="720" w:right="720"/>
      </w:pPr>
    </w:p>
  </w:endnote>
  <w:endnote w:id="63">
    <w:p w14:paraId="5C6592FF" w14:textId="5D046C19" w:rsidR="00A75023" w:rsidRPr="006D44BB" w:rsidRDefault="00A75023" w:rsidP="00105E8C">
      <w:pPr>
        <w:pStyle w:val="EndnoteText"/>
        <w:spacing w:after="120" w:line="480" w:lineRule="auto"/>
      </w:pPr>
      <w:r w:rsidRPr="006D44BB">
        <w:rPr>
          <w:rStyle w:val="EndnoteReference"/>
        </w:rPr>
        <w:endnoteRef/>
      </w:r>
      <w:r w:rsidR="00105E8C" w:rsidRPr="006D44BB">
        <w:t xml:space="preserve"> </w:t>
      </w:r>
      <w:r w:rsidRPr="006D44BB">
        <w:t xml:space="preserve">For example, in 2017, the Republic of </w:t>
      </w:r>
      <w:r w:rsidR="000B443E" w:rsidRPr="006D44BB">
        <w:t>Türkiye</w:t>
      </w:r>
      <w:r w:rsidRPr="006D44BB">
        <w:t xml:space="preserve"> claimed ownership of a millennia-old Anatolian object (the </w:t>
      </w:r>
      <w:proofErr w:type="spellStart"/>
      <w:r w:rsidRPr="006D44BB">
        <w:t>Guennol</w:t>
      </w:r>
      <w:proofErr w:type="spellEnd"/>
      <w:r w:rsidRPr="006D44BB">
        <w:t xml:space="preserve"> Stargazer</w:t>
      </w:r>
      <w:r w:rsidR="004F404D" w:rsidRPr="006D44BB">
        <w:t>)</w:t>
      </w:r>
      <w:r w:rsidRPr="006D44BB">
        <w:t xml:space="preserve"> that appeared on the market in New York in 1961 and was prominently exhibited and published for more than </w:t>
      </w:r>
      <w:r w:rsidR="0003620A" w:rsidRPr="006D44BB">
        <w:t>fifty</w:t>
      </w:r>
      <w:r w:rsidRPr="006D44BB">
        <w:t xml:space="preserve"> years before </w:t>
      </w:r>
      <w:r w:rsidR="00673175" w:rsidRPr="006D44BB">
        <w:t>Türkiye</w:t>
      </w:r>
      <w:r w:rsidRPr="006D44BB">
        <w:t xml:space="preserve"> asserted its claim.</w:t>
      </w:r>
      <w:r w:rsidR="00E46F8E" w:rsidRPr="006D44BB">
        <w:t xml:space="preserve"> </w:t>
      </w:r>
      <w:r w:rsidR="004F404D" w:rsidRPr="006D44BB">
        <w:t>See</w:t>
      </w:r>
      <w:r w:rsidR="00280F4D" w:rsidRPr="006D44BB">
        <w:t xml:space="preserve"> above,</w:t>
      </w:r>
      <w:r w:rsidR="004F404D" w:rsidRPr="006D44BB">
        <w:t xml:space="preserve"> n. 5</w:t>
      </w:r>
      <w:r w:rsidR="00333210" w:rsidRPr="006D44BB">
        <w:t>0</w:t>
      </w:r>
      <w:r w:rsidR="004F404D" w:rsidRPr="006D44BB">
        <w:t>.</w:t>
      </w:r>
    </w:p>
    <w:p w14:paraId="48CAFE96" w14:textId="77777777" w:rsidR="0003620A" w:rsidRPr="006D44BB" w:rsidRDefault="0003620A" w:rsidP="00105E8C">
      <w:pPr>
        <w:pStyle w:val="EndnoteText"/>
        <w:spacing w:after="120" w:line="480" w:lineRule="auto"/>
      </w:pPr>
    </w:p>
  </w:endnote>
  <w:endnote w:id="64">
    <w:p w14:paraId="1CF9EFBF" w14:textId="15B90474" w:rsidR="00A75023" w:rsidRPr="006D44BB" w:rsidRDefault="00A75023" w:rsidP="00105E8C">
      <w:pPr>
        <w:pStyle w:val="EndnoteText"/>
        <w:spacing w:after="120" w:line="480" w:lineRule="auto"/>
        <w:rPr>
          <w:bCs/>
        </w:rPr>
      </w:pPr>
      <w:r w:rsidRPr="006D44BB">
        <w:rPr>
          <w:rStyle w:val="EndnoteReference"/>
        </w:rPr>
        <w:endnoteRef/>
      </w:r>
      <w:r w:rsidR="00105E8C" w:rsidRPr="006D44BB">
        <w:rPr>
          <w:bCs/>
        </w:rPr>
        <w:t xml:space="preserve"> </w:t>
      </w:r>
      <w:r w:rsidRPr="006D44BB">
        <w:rPr>
          <w:bCs/>
        </w:rPr>
        <w:t>Although unlikely, even professionally maintained archival sources can be corrupted. For a lively account of a modern art forgery scheme that involved introducing false documents into archival records to create the appearance of reliable provenance,</w:t>
      </w:r>
      <w:r w:rsidRPr="006D44BB">
        <w:rPr>
          <w:bCs/>
          <w:i/>
        </w:rPr>
        <w:t xml:space="preserve"> </w:t>
      </w:r>
      <w:r w:rsidRPr="006D44BB">
        <w:rPr>
          <w:bCs/>
          <w:iCs/>
        </w:rPr>
        <w:t>see</w:t>
      </w:r>
      <w:r w:rsidRPr="006D44BB">
        <w:rPr>
          <w:bCs/>
        </w:rPr>
        <w:t xml:space="preserve"> </w:t>
      </w:r>
      <w:r w:rsidR="0003620A" w:rsidRPr="006D44BB">
        <w:rPr>
          <w:bCs/>
        </w:rPr>
        <w:t>$$</w:t>
      </w:r>
      <w:r w:rsidRPr="006D44BB">
        <w:rPr>
          <w:bCs/>
        </w:rPr>
        <w:t>Salisbury</w:t>
      </w:r>
      <w:r w:rsidR="001F4EEB" w:rsidRPr="006D44BB">
        <w:rPr>
          <w:bCs/>
        </w:rPr>
        <w:t xml:space="preserve"> and Sujo 2009</w:t>
      </w:r>
      <w:r w:rsidR="0003620A" w:rsidRPr="006D44BB">
        <w:rPr>
          <w:bCs/>
        </w:rPr>
        <w:t>$$</w:t>
      </w:r>
      <w:r w:rsidR="001F4EEB" w:rsidRPr="006D44BB">
        <w:rPr>
          <w:bCs/>
        </w:rPr>
        <w:t>.</w:t>
      </w:r>
    </w:p>
    <w:p w14:paraId="1167C18B" w14:textId="77777777" w:rsidR="0003620A" w:rsidRPr="006D44BB" w:rsidRDefault="0003620A" w:rsidP="00105E8C">
      <w:pPr>
        <w:pStyle w:val="EndnoteText"/>
        <w:spacing w:after="120" w:line="480" w:lineRule="auto"/>
      </w:pPr>
    </w:p>
  </w:endnote>
  <w:endnote w:id="65">
    <w:p w14:paraId="030C2825" w14:textId="55D0069F" w:rsidR="00A75023" w:rsidRPr="006D44BB" w:rsidRDefault="00A75023" w:rsidP="00105E8C">
      <w:pPr>
        <w:pStyle w:val="EndnoteText"/>
        <w:spacing w:after="120" w:line="480" w:lineRule="auto"/>
      </w:pPr>
      <w:r w:rsidRPr="006D44BB">
        <w:rPr>
          <w:rStyle w:val="EndnoteReference"/>
        </w:rPr>
        <w:endnoteRef/>
      </w:r>
      <w:r w:rsidR="00105E8C" w:rsidRPr="006D44BB">
        <w:rPr>
          <w:i/>
          <w:iCs/>
        </w:rPr>
        <w:t xml:space="preserve"> </w:t>
      </w:r>
      <w:r w:rsidRPr="006D44BB">
        <w:rPr>
          <w:i/>
          <w:iCs/>
        </w:rPr>
        <w:t>International Council of Museums, Red Lists Database</w:t>
      </w:r>
      <w:r w:rsidRPr="006D44BB">
        <w:t>,</w:t>
      </w:r>
      <w:r w:rsidRPr="006D44BB">
        <w:rPr>
          <w:i/>
          <w:iCs/>
        </w:rPr>
        <w:t xml:space="preserve"> </w:t>
      </w:r>
      <w:hyperlink r:id="rId9" w:history="1">
        <w:r w:rsidR="0003620A" w:rsidRPr="006D44BB">
          <w:rPr>
            <w:rStyle w:val="Hyperlink"/>
          </w:rPr>
          <w:t>https://icom.museum/en/resources/red-lists</w:t>
        </w:r>
      </w:hyperlink>
      <w:r w:rsidRPr="006D44BB">
        <w:t>.</w:t>
      </w:r>
    </w:p>
    <w:p w14:paraId="3523E1B2" w14:textId="77777777" w:rsidR="0003620A" w:rsidRPr="006D44BB" w:rsidRDefault="0003620A" w:rsidP="00105E8C">
      <w:pPr>
        <w:pStyle w:val="EndnoteText"/>
        <w:spacing w:after="120" w:line="480" w:lineRule="auto"/>
      </w:pPr>
    </w:p>
  </w:endnote>
  <w:endnote w:id="66">
    <w:p w14:paraId="39AC1764" w14:textId="3FC2AD84" w:rsidR="00A75023" w:rsidRPr="006D44BB" w:rsidRDefault="00A75023" w:rsidP="00FA64CB">
      <w:pPr>
        <w:pStyle w:val="EndnoteText"/>
        <w:spacing w:after="120" w:line="480" w:lineRule="auto"/>
      </w:pPr>
      <w:r w:rsidRPr="006D44BB">
        <w:rPr>
          <w:rStyle w:val="EndnoteReference"/>
        </w:rPr>
        <w:endnoteRef/>
      </w:r>
      <w:r w:rsidR="00FA64CB" w:rsidRPr="006D44BB">
        <w:rPr>
          <w:i/>
          <w:iCs/>
        </w:rPr>
        <w:t xml:space="preserve"> </w:t>
      </w:r>
      <w:r w:rsidRPr="006D44BB">
        <w:rPr>
          <w:i/>
          <w:iCs/>
        </w:rPr>
        <w:t>Interpol, Stolen Works of Art Database</w:t>
      </w:r>
      <w:r w:rsidRPr="006D44BB">
        <w:t xml:space="preserve">, </w:t>
      </w:r>
      <w:hyperlink r:id="rId10" w:history="1">
        <w:r w:rsidR="0003620A" w:rsidRPr="006D44BB">
          <w:rPr>
            <w:rStyle w:val="Hyperlink"/>
          </w:rPr>
          <w:t>https://www.interpol.int/en/Crimes/Cultural-heritage-crime/Stolen-Works-of-Art-Database</w:t>
        </w:r>
      </w:hyperlink>
      <w:r w:rsidRPr="006D44BB">
        <w:t>.</w:t>
      </w:r>
    </w:p>
    <w:p w14:paraId="58FB6833" w14:textId="77777777" w:rsidR="0003620A" w:rsidRPr="006D44BB" w:rsidRDefault="0003620A" w:rsidP="00FA64CB">
      <w:pPr>
        <w:pStyle w:val="EndnoteText"/>
        <w:spacing w:after="120" w:line="480" w:lineRule="auto"/>
      </w:pPr>
    </w:p>
  </w:endnote>
  <w:endnote w:id="67">
    <w:p w14:paraId="7CA1242A" w14:textId="173CD956" w:rsidR="00A75023" w:rsidRPr="006D44BB" w:rsidRDefault="00A75023" w:rsidP="00A75023">
      <w:pPr>
        <w:pStyle w:val="EndnoteText"/>
        <w:spacing w:line="480" w:lineRule="auto"/>
      </w:pPr>
      <w:r w:rsidRPr="006D44BB">
        <w:rPr>
          <w:rStyle w:val="EndnoteReference"/>
        </w:rPr>
        <w:endnoteRef/>
      </w:r>
      <w:r w:rsidR="00FA64CB" w:rsidRPr="006D44BB">
        <w:t xml:space="preserve"> </w:t>
      </w:r>
      <w:r w:rsidRPr="006D44BB">
        <w:rPr>
          <w:rStyle w:val="Hyperlink"/>
        </w:rPr>
        <w:t>https://www.artloss.com/about-us/</w:t>
      </w:r>
      <w:r w:rsidRPr="006D44BB">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E9C0"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A0F9" w14:textId="18632418" w:rsidR="00A031F4" w:rsidRPr="00E82818" w:rsidRDefault="00A031F4" w:rsidP="5449AF1D">
    <w:pPr>
      <w:pStyle w:val="Footer"/>
      <w:ind w:left="-720" w:right="-720"/>
      <w:rPr>
        <w:rFonts w:ascii="Times New Roman" w:hAnsi="Times New Roman" w:cs="Times New Roman"/>
        <w:noProo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9717" w14:textId="77777777" w:rsidR="001235D4" w:rsidRDefault="001235D4" w:rsidP="00EE65BC">
      <w:r>
        <w:separator/>
      </w:r>
    </w:p>
  </w:footnote>
  <w:footnote w:type="continuationSeparator" w:id="0">
    <w:p w14:paraId="138BF62F" w14:textId="77777777" w:rsidR="001235D4" w:rsidRDefault="001235D4" w:rsidP="00EE65BC">
      <w:r>
        <w:continuationSeparator/>
      </w:r>
    </w:p>
  </w:footnote>
  <w:footnote w:type="continuationNotice" w:id="1">
    <w:p w14:paraId="17B656E1" w14:textId="77777777" w:rsidR="001235D4" w:rsidRDefault="001235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1648E" w14:textId="07D4E286" w:rsidR="00A031F4" w:rsidRPr="00E82818" w:rsidRDefault="00A031F4" w:rsidP="5449AF1D">
    <w:pPr>
      <w:pStyle w:val="Header"/>
      <w:jc w:val="center"/>
      <w:rPr>
        <w:b/>
        <w:bCs/>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9AA55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644CA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930385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D32B9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09A1CC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946E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C4CBAD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0F78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9BA54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6AF2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B15CA"/>
    <w:multiLevelType w:val="multilevel"/>
    <w:tmpl w:val="53B6C68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062E4B35"/>
    <w:multiLevelType w:val="hybridMultilevel"/>
    <w:tmpl w:val="081691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C36AF5"/>
    <w:multiLevelType w:val="hybridMultilevel"/>
    <w:tmpl w:val="EC1A4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5D423D"/>
    <w:multiLevelType w:val="hybridMultilevel"/>
    <w:tmpl w:val="BF362862"/>
    <w:lvl w:ilvl="0" w:tplc="5DC0E9E2">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0D5772"/>
    <w:multiLevelType w:val="hybridMultilevel"/>
    <w:tmpl w:val="B0EE11B4"/>
    <w:lvl w:ilvl="0" w:tplc="A30463A8">
      <w:start w:val="2"/>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3355086"/>
    <w:multiLevelType w:val="hybridMultilevel"/>
    <w:tmpl w:val="D2CA3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042BEB"/>
    <w:multiLevelType w:val="hybridMultilevel"/>
    <w:tmpl w:val="29D071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C30E1F"/>
    <w:multiLevelType w:val="hybridMultilevel"/>
    <w:tmpl w:val="CA2EC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BA419D"/>
    <w:multiLevelType w:val="hybridMultilevel"/>
    <w:tmpl w:val="40CEAA6A"/>
    <w:lvl w:ilvl="0" w:tplc="188AE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B3540"/>
    <w:multiLevelType w:val="hybridMultilevel"/>
    <w:tmpl w:val="40CEAA6A"/>
    <w:lvl w:ilvl="0" w:tplc="188AE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C65B84"/>
    <w:multiLevelType w:val="hybridMultilevel"/>
    <w:tmpl w:val="40CEAA6A"/>
    <w:lvl w:ilvl="0" w:tplc="188AE2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8775CF7"/>
    <w:multiLevelType w:val="hybridMultilevel"/>
    <w:tmpl w:val="5A1C7A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E70126C"/>
    <w:multiLevelType w:val="hybridMultilevel"/>
    <w:tmpl w:val="F4E47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382439"/>
    <w:multiLevelType w:val="hybridMultilevel"/>
    <w:tmpl w:val="AB880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6087593">
    <w:abstractNumId w:val="16"/>
  </w:num>
  <w:num w:numId="2" w16cid:durableId="1084181491">
    <w:abstractNumId w:val="21"/>
  </w:num>
  <w:num w:numId="3" w16cid:durableId="818766095">
    <w:abstractNumId w:val="15"/>
  </w:num>
  <w:num w:numId="4" w16cid:durableId="400174843">
    <w:abstractNumId w:val="22"/>
  </w:num>
  <w:num w:numId="5" w16cid:durableId="1049577045">
    <w:abstractNumId w:val="23"/>
  </w:num>
  <w:num w:numId="6" w16cid:durableId="616765149">
    <w:abstractNumId w:val="0"/>
  </w:num>
  <w:num w:numId="7" w16cid:durableId="1798328077">
    <w:abstractNumId w:val="1"/>
  </w:num>
  <w:num w:numId="8" w16cid:durableId="1061904182">
    <w:abstractNumId w:val="2"/>
  </w:num>
  <w:num w:numId="9" w16cid:durableId="308172448">
    <w:abstractNumId w:val="3"/>
  </w:num>
  <w:num w:numId="10" w16cid:durableId="1629168072">
    <w:abstractNumId w:val="8"/>
  </w:num>
  <w:num w:numId="11" w16cid:durableId="271206139">
    <w:abstractNumId w:val="4"/>
  </w:num>
  <w:num w:numId="12" w16cid:durableId="785539115">
    <w:abstractNumId w:val="5"/>
  </w:num>
  <w:num w:numId="13" w16cid:durableId="338967677">
    <w:abstractNumId w:val="6"/>
  </w:num>
  <w:num w:numId="14" w16cid:durableId="2250548">
    <w:abstractNumId w:val="7"/>
  </w:num>
  <w:num w:numId="15" w16cid:durableId="906184727">
    <w:abstractNumId w:val="9"/>
  </w:num>
  <w:num w:numId="16" w16cid:durableId="194276861">
    <w:abstractNumId w:val="10"/>
  </w:num>
  <w:num w:numId="17" w16cid:durableId="1665431806">
    <w:abstractNumId w:val="17"/>
  </w:num>
  <w:num w:numId="18" w16cid:durableId="1761677067">
    <w:abstractNumId w:val="20"/>
  </w:num>
  <w:num w:numId="19" w16cid:durableId="61296671">
    <w:abstractNumId w:val="11"/>
  </w:num>
  <w:num w:numId="20" w16cid:durableId="2055694109">
    <w:abstractNumId w:val="18"/>
  </w:num>
  <w:num w:numId="21" w16cid:durableId="593437469">
    <w:abstractNumId w:val="19"/>
  </w:num>
  <w:num w:numId="22" w16cid:durableId="1795710290">
    <w:abstractNumId w:val="12"/>
  </w:num>
  <w:num w:numId="23" w16cid:durableId="456798430">
    <w:abstractNumId w:val="14"/>
  </w:num>
  <w:num w:numId="24" w16cid:durableId="3173485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hideGrammaticalError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3NzI2M7QwMTKwMLdU0lEKTi0uzszPAykwqgUAQm6MkywAAAA="/>
  </w:docVars>
  <w:rsids>
    <w:rsidRoot w:val="006D2C86"/>
    <w:rsid w:val="00001422"/>
    <w:rsid w:val="00004D29"/>
    <w:rsid w:val="00006C25"/>
    <w:rsid w:val="00006C34"/>
    <w:rsid w:val="000117F9"/>
    <w:rsid w:val="00012DE2"/>
    <w:rsid w:val="00016D72"/>
    <w:rsid w:val="000202F3"/>
    <w:rsid w:val="0002113B"/>
    <w:rsid w:val="000247CC"/>
    <w:rsid w:val="0002522D"/>
    <w:rsid w:val="0002611D"/>
    <w:rsid w:val="000305E6"/>
    <w:rsid w:val="00031148"/>
    <w:rsid w:val="00032031"/>
    <w:rsid w:val="00033C4F"/>
    <w:rsid w:val="0003417E"/>
    <w:rsid w:val="00034A95"/>
    <w:rsid w:val="000359DB"/>
    <w:rsid w:val="0003620A"/>
    <w:rsid w:val="00036718"/>
    <w:rsid w:val="000464C6"/>
    <w:rsid w:val="000512FB"/>
    <w:rsid w:val="00053A1C"/>
    <w:rsid w:val="000572E9"/>
    <w:rsid w:val="00060E52"/>
    <w:rsid w:val="00060F30"/>
    <w:rsid w:val="000762D2"/>
    <w:rsid w:val="00076594"/>
    <w:rsid w:val="00077374"/>
    <w:rsid w:val="00077E01"/>
    <w:rsid w:val="0008449C"/>
    <w:rsid w:val="00087BCB"/>
    <w:rsid w:val="00091D20"/>
    <w:rsid w:val="000952A5"/>
    <w:rsid w:val="000961E7"/>
    <w:rsid w:val="00096D17"/>
    <w:rsid w:val="000A2596"/>
    <w:rsid w:val="000A2790"/>
    <w:rsid w:val="000B443E"/>
    <w:rsid w:val="000C0D29"/>
    <w:rsid w:val="000C2CD7"/>
    <w:rsid w:val="000C5480"/>
    <w:rsid w:val="000C5A21"/>
    <w:rsid w:val="000C6849"/>
    <w:rsid w:val="000D0193"/>
    <w:rsid w:val="000D5B28"/>
    <w:rsid w:val="000E5825"/>
    <w:rsid w:val="000E705F"/>
    <w:rsid w:val="000F14C6"/>
    <w:rsid w:val="000F38BD"/>
    <w:rsid w:val="00102E2B"/>
    <w:rsid w:val="0010373D"/>
    <w:rsid w:val="00103BA8"/>
    <w:rsid w:val="00104C66"/>
    <w:rsid w:val="00105B71"/>
    <w:rsid w:val="00105E8C"/>
    <w:rsid w:val="00120662"/>
    <w:rsid w:val="00121134"/>
    <w:rsid w:val="001228E6"/>
    <w:rsid w:val="001235D4"/>
    <w:rsid w:val="00135605"/>
    <w:rsid w:val="00142CFF"/>
    <w:rsid w:val="00143447"/>
    <w:rsid w:val="00144606"/>
    <w:rsid w:val="00145E70"/>
    <w:rsid w:val="001468E3"/>
    <w:rsid w:val="0014757A"/>
    <w:rsid w:val="00147C52"/>
    <w:rsid w:val="00153EA2"/>
    <w:rsid w:val="00154D0B"/>
    <w:rsid w:val="00156332"/>
    <w:rsid w:val="00156AC3"/>
    <w:rsid w:val="001577E7"/>
    <w:rsid w:val="00162B6F"/>
    <w:rsid w:val="00166C62"/>
    <w:rsid w:val="001715BB"/>
    <w:rsid w:val="00175203"/>
    <w:rsid w:val="00175D82"/>
    <w:rsid w:val="0018114E"/>
    <w:rsid w:val="001818B9"/>
    <w:rsid w:val="00181C51"/>
    <w:rsid w:val="001821C9"/>
    <w:rsid w:val="00182780"/>
    <w:rsid w:val="00183338"/>
    <w:rsid w:val="00183972"/>
    <w:rsid w:val="00184C5B"/>
    <w:rsid w:val="001856BC"/>
    <w:rsid w:val="001877C4"/>
    <w:rsid w:val="00195E0D"/>
    <w:rsid w:val="00197553"/>
    <w:rsid w:val="001A1489"/>
    <w:rsid w:val="001A4E2F"/>
    <w:rsid w:val="001A5860"/>
    <w:rsid w:val="001A5F3A"/>
    <w:rsid w:val="001A793E"/>
    <w:rsid w:val="001B2ED5"/>
    <w:rsid w:val="001C4038"/>
    <w:rsid w:val="001C4647"/>
    <w:rsid w:val="001C4731"/>
    <w:rsid w:val="001C4E86"/>
    <w:rsid w:val="001D5790"/>
    <w:rsid w:val="001D6693"/>
    <w:rsid w:val="001E13FE"/>
    <w:rsid w:val="001E1828"/>
    <w:rsid w:val="001E3C30"/>
    <w:rsid w:val="001E4757"/>
    <w:rsid w:val="001E64C4"/>
    <w:rsid w:val="001E7391"/>
    <w:rsid w:val="001F1185"/>
    <w:rsid w:val="001F1430"/>
    <w:rsid w:val="001F4EEB"/>
    <w:rsid w:val="001F636E"/>
    <w:rsid w:val="001F688F"/>
    <w:rsid w:val="001F6FE2"/>
    <w:rsid w:val="00201D70"/>
    <w:rsid w:val="00202769"/>
    <w:rsid w:val="00203CAA"/>
    <w:rsid w:val="00204F3C"/>
    <w:rsid w:val="0020583F"/>
    <w:rsid w:val="00205FF7"/>
    <w:rsid w:val="00211F5B"/>
    <w:rsid w:val="002120A9"/>
    <w:rsid w:val="002125E3"/>
    <w:rsid w:val="002140C2"/>
    <w:rsid w:val="00221FB5"/>
    <w:rsid w:val="00221FCD"/>
    <w:rsid w:val="00222DF8"/>
    <w:rsid w:val="00223629"/>
    <w:rsid w:val="00226473"/>
    <w:rsid w:val="00226B30"/>
    <w:rsid w:val="00230274"/>
    <w:rsid w:val="0024208A"/>
    <w:rsid w:val="002429D4"/>
    <w:rsid w:val="002457FC"/>
    <w:rsid w:val="002458C2"/>
    <w:rsid w:val="00247DDF"/>
    <w:rsid w:val="00250E19"/>
    <w:rsid w:val="00251DB2"/>
    <w:rsid w:val="00255CD5"/>
    <w:rsid w:val="0026101E"/>
    <w:rsid w:val="0026174C"/>
    <w:rsid w:val="00261A2C"/>
    <w:rsid w:val="0026205A"/>
    <w:rsid w:val="00262AE8"/>
    <w:rsid w:val="002656CC"/>
    <w:rsid w:val="00265D57"/>
    <w:rsid w:val="00267526"/>
    <w:rsid w:val="002706D0"/>
    <w:rsid w:val="002733AA"/>
    <w:rsid w:val="00276849"/>
    <w:rsid w:val="00276873"/>
    <w:rsid w:val="002772F3"/>
    <w:rsid w:val="00277873"/>
    <w:rsid w:val="0028085C"/>
    <w:rsid w:val="00280F4D"/>
    <w:rsid w:val="002829A4"/>
    <w:rsid w:val="00283CA2"/>
    <w:rsid w:val="00285141"/>
    <w:rsid w:val="00285F24"/>
    <w:rsid w:val="00291E7C"/>
    <w:rsid w:val="00293325"/>
    <w:rsid w:val="002937F1"/>
    <w:rsid w:val="002960F5"/>
    <w:rsid w:val="002A2AEE"/>
    <w:rsid w:val="002A3A2C"/>
    <w:rsid w:val="002A52A1"/>
    <w:rsid w:val="002A790A"/>
    <w:rsid w:val="002B0349"/>
    <w:rsid w:val="002B1FCD"/>
    <w:rsid w:val="002B60E7"/>
    <w:rsid w:val="002B6646"/>
    <w:rsid w:val="002B6DA5"/>
    <w:rsid w:val="002C1A98"/>
    <w:rsid w:val="002D3462"/>
    <w:rsid w:val="002E418E"/>
    <w:rsid w:val="002E6447"/>
    <w:rsid w:val="002F0BA6"/>
    <w:rsid w:val="002F12CE"/>
    <w:rsid w:val="002F2092"/>
    <w:rsid w:val="00301063"/>
    <w:rsid w:val="00301923"/>
    <w:rsid w:val="0030649C"/>
    <w:rsid w:val="00306D4F"/>
    <w:rsid w:val="00314736"/>
    <w:rsid w:val="00314E2B"/>
    <w:rsid w:val="00315B44"/>
    <w:rsid w:val="00316C6B"/>
    <w:rsid w:val="00320E07"/>
    <w:rsid w:val="00322CC3"/>
    <w:rsid w:val="00324946"/>
    <w:rsid w:val="003255CB"/>
    <w:rsid w:val="003262CC"/>
    <w:rsid w:val="00331E2A"/>
    <w:rsid w:val="00332827"/>
    <w:rsid w:val="00333210"/>
    <w:rsid w:val="003332B9"/>
    <w:rsid w:val="00334ECF"/>
    <w:rsid w:val="003353DC"/>
    <w:rsid w:val="003355DB"/>
    <w:rsid w:val="00335BEF"/>
    <w:rsid w:val="003363AD"/>
    <w:rsid w:val="00336E7A"/>
    <w:rsid w:val="0034284C"/>
    <w:rsid w:val="00344AD0"/>
    <w:rsid w:val="00347101"/>
    <w:rsid w:val="003503B1"/>
    <w:rsid w:val="00355B51"/>
    <w:rsid w:val="0035729A"/>
    <w:rsid w:val="00364532"/>
    <w:rsid w:val="00367815"/>
    <w:rsid w:val="00371389"/>
    <w:rsid w:val="00371585"/>
    <w:rsid w:val="00371B55"/>
    <w:rsid w:val="00371F3F"/>
    <w:rsid w:val="00373490"/>
    <w:rsid w:val="00380544"/>
    <w:rsid w:val="00380961"/>
    <w:rsid w:val="003816E1"/>
    <w:rsid w:val="0038408B"/>
    <w:rsid w:val="003863DC"/>
    <w:rsid w:val="00387ECD"/>
    <w:rsid w:val="00390787"/>
    <w:rsid w:val="0039375F"/>
    <w:rsid w:val="003940A4"/>
    <w:rsid w:val="0039412B"/>
    <w:rsid w:val="0039600B"/>
    <w:rsid w:val="00397396"/>
    <w:rsid w:val="003A0030"/>
    <w:rsid w:val="003A0C3E"/>
    <w:rsid w:val="003A3172"/>
    <w:rsid w:val="003A4786"/>
    <w:rsid w:val="003A520C"/>
    <w:rsid w:val="003B1F06"/>
    <w:rsid w:val="003B2762"/>
    <w:rsid w:val="003B3E70"/>
    <w:rsid w:val="003C055E"/>
    <w:rsid w:val="003C3695"/>
    <w:rsid w:val="003C5B68"/>
    <w:rsid w:val="003D063F"/>
    <w:rsid w:val="003D0FE7"/>
    <w:rsid w:val="003D469A"/>
    <w:rsid w:val="003D4D33"/>
    <w:rsid w:val="003D7D15"/>
    <w:rsid w:val="003E12B0"/>
    <w:rsid w:val="003E5811"/>
    <w:rsid w:val="003F02A1"/>
    <w:rsid w:val="003F0770"/>
    <w:rsid w:val="003F0F9C"/>
    <w:rsid w:val="003F1FD4"/>
    <w:rsid w:val="003F2C7C"/>
    <w:rsid w:val="003F389D"/>
    <w:rsid w:val="003F38F2"/>
    <w:rsid w:val="003F3EBB"/>
    <w:rsid w:val="003F7736"/>
    <w:rsid w:val="00401EF8"/>
    <w:rsid w:val="00416CDC"/>
    <w:rsid w:val="0042125D"/>
    <w:rsid w:val="00422A4E"/>
    <w:rsid w:val="0042382F"/>
    <w:rsid w:val="00433ABE"/>
    <w:rsid w:val="00436AC4"/>
    <w:rsid w:val="00441540"/>
    <w:rsid w:val="00442047"/>
    <w:rsid w:val="0045098C"/>
    <w:rsid w:val="00453628"/>
    <w:rsid w:val="004537C0"/>
    <w:rsid w:val="004578F9"/>
    <w:rsid w:val="00457E93"/>
    <w:rsid w:val="00463DAB"/>
    <w:rsid w:val="00464735"/>
    <w:rsid w:val="00466F17"/>
    <w:rsid w:val="00481A75"/>
    <w:rsid w:val="00482BC9"/>
    <w:rsid w:val="00483955"/>
    <w:rsid w:val="004842A3"/>
    <w:rsid w:val="00484D84"/>
    <w:rsid w:val="0048585D"/>
    <w:rsid w:val="0048767A"/>
    <w:rsid w:val="00491135"/>
    <w:rsid w:val="00491E12"/>
    <w:rsid w:val="00493760"/>
    <w:rsid w:val="004959B1"/>
    <w:rsid w:val="004973DA"/>
    <w:rsid w:val="00497B0C"/>
    <w:rsid w:val="004A0B15"/>
    <w:rsid w:val="004A188F"/>
    <w:rsid w:val="004A3EF9"/>
    <w:rsid w:val="004A5459"/>
    <w:rsid w:val="004A582F"/>
    <w:rsid w:val="004A676E"/>
    <w:rsid w:val="004B0C70"/>
    <w:rsid w:val="004B2A06"/>
    <w:rsid w:val="004B3CD6"/>
    <w:rsid w:val="004B5077"/>
    <w:rsid w:val="004C06C6"/>
    <w:rsid w:val="004C0EBA"/>
    <w:rsid w:val="004C4C3D"/>
    <w:rsid w:val="004C4CAC"/>
    <w:rsid w:val="004C71E6"/>
    <w:rsid w:val="004D06BF"/>
    <w:rsid w:val="004D2527"/>
    <w:rsid w:val="004D2C8E"/>
    <w:rsid w:val="004D327D"/>
    <w:rsid w:val="004D5D9D"/>
    <w:rsid w:val="004E065B"/>
    <w:rsid w:val="004E334D"/>
    <w:rsid w:val="004E5DC5"/>
    <w:rsid w:val="004F07A3"/>
    <w:rsid w:val="004F0A8A"/>
    <w:rsid w:val="004F27F4"/>
    <w:rsid w:val="004F29EE"/>
    <w:rsid w:val="004F3E96"/>
    <w:rsid w:val="004F404D"/>
    <w:rsid w:val="004F5A84"/>
    <w:rsid w:val="00500EB5"/>
    <w:rsid w:val="00501E6E"/>
    <w:rsid w:val="005111BB"/>
    <w:rsid w:val="00520A8A"/>
    <w:rsid w:val="005220C6"/>
    <w:rsid w:val="0052231F"/>
    <w:rsid w:val="0052462C"/>
    <w:rsid w:val="00531951"/>
    <w:rsid w:val="00532A09"/>
    <w:rsid w:val="00534765"/>
    <w:rsid w:val="0053589C"/>
    <w:rsid w:val="00536948"/>
    <w:rsid w:val="00537DFD"/>
    <w:rsid w:val="0054152E"/>
    <w:rsid w:val="005428DA"/>
    <w:rsid w:val="00543284"/>
    <w:rsid w:val="00543390"/>
    <w:rsid w:val="00544D2C"/>
    <w:rsid w:val="00545569"/>
    <w:rsid w:val="00547C51"/>
    <w:rsid w:val="0055381C"/>
    <w:rsid w:val="0055460D"/>
    <w:rsid w:val="00555B76"/>
    <w:rsid w:val="00555C3B"/>
    <w:rsid w:val="00562773"/>
    <w:rsid w:val="005709A8"/>
    <w:rsid w:val="00571557"/>
    <w:rsid w:val="005751F0"/>
    <w:rsid w:val="005761C7"/>
    <w:rsid w:val="00581924"/>
    <w:rsid w:val="0058599F"/>
    <w:rsid w:val="00590643"/>
    <w:rsid w:val="005909EA"/>
    <w:rsid w:val="005922A7"/>
    <w:rsid w:val="00592B47"/>
    <w:rsid w:val="005945E2"/>
    <w:rsid w:val="00595D9C"/>
    <w:rsid w:val="00596836"/>
    <w:rsid w:val="005A53B8"/>
    <w:rsid w:val="005B15EC"/>
    <w:rsid w:val="005B2006"/>
    <w:rsid w:val="005B219D"/>
    <w:rsid w:val="005B550A"/>
    <w:rsid w:val="005B55ED"/>
    <w:rsid w:val="005B59F4"/>
    <w:rsid w:val="005B7167"/>
    <w:rsid w:val="005C0E93"/>
    <w:rsid w:val="005C70B4"/>
    <w:rsid w:val="005C7CDB"/>
    <w:rsid w:val="005D0ACE"/>
    <w:rsid w:val="005D1AEB"/>
    <w:rsid w:val="005D3818"/>
    <w:rsid w:val="005D3A6A"/>
    <w:rsid w:val="005D45ED"/>
    <w:rsid w:val="005D7460"/>
    <w:rsid w:val="005D7F39"/>
    <w:rsid w:val="005E1164"/>
    <w:rsid w:val="005E15C8"/>
    <w:rsid w:val="005E2E82"/>
    <w:rsid w:val="005E54B4"/>
    <w:rsid w:val="005F0C4F"/>
    <w:rsid w:val="005F72EC"/>
    <w:rsid w:val="00600663"/>
    <w:rsid w:val="00600858"/>
    <w:rsid w:val="0060403B"/>
    <w:rsid w:val="006061F1"/>
    <w:rsid w:val="006108EB"/>
    <w:rsid w:val="00612AC3"/>
    <w:rsid w:val="00613C21"/>
    <w:rsid w:val="00613E92"/>
    <w:rsid w:val="006161E3"/>
    <w:rsid w:val="0062064E"/>
    <w:rsid w:val="00620A2A"/>
    <w:rsid w:val="00623BD0"/>
    <w:rsid w:val="006265B1"/>
    <w:rsid w:val="0063069B"/>
    <w:rsid w:val="00633DA1"/>
    <w:rsid w:val="00642995"/>
    <w:rsid w:val="00646133"/>
    <w:rsid w:val="006465C4"/>
    <w:rsid w:val="00647394"/>
    <w:rsid w:val="00651370"/>
    <w:rsid w:val="006520D7"/>
    <w:rsid w:val="00652AA3"/>
    <w:rsid w:val="006546E8"/>
    <w:rsid w:val="00656866"/>
    <w:rsid w:val="00660AC9"/>
    <w:rsid w:val="006621E0"/>
    <w:rsid w:val="00662F18"/>
    <w:rsid w:val="00663815"/>
    <w:rsid w:val="006702CB"/>
    <w:rsid w:val="00671948"/>
    <w:rsid w:val="00673175"/>
    <w:rsid w:val="006739B6"/>
    <w:rsid w:val="006744AE"/>
    <w:rsid w:val="006749DC"/>
    <w:rsid w:val="00676173"/>
    <w:rsid w:val="00676FF7"/>
    <w:rsid w:val="0067780D"/>
    <w:rsid w:val="00677C91"/>
    <w:rsid w:val="00680641"/>
    <w:rsid w:val="00681BAE"/>
    <w:rsid w:val="006841E9"/>
    <w:rsid w:val="00684DF4"/>
    <w:rsid w:val="0068529A"/>
    <w:rsid w:val="00685456"/>
    <w:rsid w:val="00685FC2"/>
    <w:rsid w:val="00690569"/>
    <w:rsid w:val="0069096C"/>
    <w:rsid w:val="00692588"/>
    <w:rsid w:val="0069329C"/>
    <w:rsid w:val="006A5E75"/>
    <w:rsid w:val="006B18B8"/>
    <w:rsid w:val="006B43CD"/>
    <w:rsid w:val="006B4E60"/>
    <w:rsid w:val="006B71C4"/>
    <w:rsid w:val="006C1931"/>
    <w:rsid w:val="006C25FD"/>
    <w:rsid w:val="006C4AC6"/>
    <w:rsid w:val="006D006E"/>
    <w:rsid w:val="006D2C86"/>
    <w:rsid w:val="006D3828"/>
    <w:rsid w:val="006D44BB"/>
    <w:rsid w:val="006D6558"/>
    <w:rsid w:val="006D6C39"/>
    <w:rsid w:val="006E135A"/>
    <w:rsid w:val="006E1F1C"/>
    <w:rsid w:val="006E21CB"/>
    <w:rsid w:val="006E3067"/>
    <w:rsid w:val="006E34E3"/>
    <w:rsid w:val="006F05FC"/>
    <w:rsid w:val="006F153C"/>
    <w:rsid w:val="006F1F6D"/>
    <w:rsid w:val="006F549C"/>
    <w:rsid w:val="0070123D"/>
    <w:rsid w:val="00701CE2"/>
    <w:rsid w:val="0070209A"/>
    <w:rsid w:val="00702776"/>
    <w:rsid w:val="007056BE"/>
    <w:rsid w:val="0071067D"/>
    <w:rsid w:val="00712625"/>
    <w:rsid w:val="00713F53"/>
    <w:rsid w:val="00715DA4"/>
    <w:rsid w:val="00716C5A"/>
    <w:rsid w:val="0072186C"/>
    <w:rsid w:val="007241F3"/>
    <w:rsid w:val="00724889"/>
    <w:rsid w:val="00726AB2"/>
    <w:rsid w:val="00727341"/>
    <w:rsid w:val="00727D23"/>
    <w:rsid w:val="00731B39"/>
    <w:rsid w:val="0073400A"/>
    <w:rsid w:val="007370A9"/>
    <w:rsid w:val="00737437"/>
    <w:rsid w:val="00737A54"/>
    <w:rsid w:val="00741D93"/>
    <w:rsid w:val="007439C4"/>
    <w:rsid w:val="00744C53"/>
    <w:rsid w:val="00745349"/>
    <w:rsid w:val="00746250"/>
    <w:rsid w:val="00750644"/>
    <w:rsid w:val="00750E37"/>
    <w:rsid w:val="0076063A"/>
    <w:rsid w:val="00762E02"/>
    <w:rsid w:val="00763208"/>
    <w:rsid w:val="007656ED"/>
    <w:rsid w:val="007670C3"/>
    <w:rsid w:val="0076795F"/>
    <w:rsid w:val="00770FE0"/>
    <w:rsid w:val="00775C93"/>
    <w:rsid w:val="0077743B"/>
    <w:rsid w:val="0078037C"/>
    <w:rsid w:val="00781D0A"/>
    <w:rsid w:val="007829D5"/>
    <w:rsid w:val="00783811"/>
    <w:rsid w:val="007838BC"/>
    <w:rsid w:val="00784DF3"/>
    <w:rsid w:val="007879D6"/>
    <w:rsid w:val="007951DC"/>
    <w:rsid w:val="007A04A4"/>
    <w:rsid w:val="007A1DFA"/>
    <w:rsid w:val="007A6F6C"/>
    <w:rsid w:val="007A7DD1"/>
    <w:rsid w:val="007B0AB6"/>
    <w:rsid w:val="007B1C42"/>
    <w:rsid w:val="007B24C4"/>
    <w:rsid w:val="007B2FCF"/>
    <w:rsid w:val="007B3BBC"/>
    <w:rsid w:val="007B45FC"/>
    <w:rsid w:val="007B4CFE"/>
    <w:rsid w:val="007B7401"/>
    <w:rsid w:val="007C03C9"/>
    <w:rsid w:val="007C24A4"/>
    <w:rsid w:val="007C54BD"/>
    <w:rsid w:val="007D3EB5"/>
    <w:rsid w:val="007D4340"/>
    <w:rsid w:val="007D4CA9"/>
    <w:rsid w:val="007D6842"/>
    <w:rsid w:val="007E0512"/>
    <w:rsid w:val="007F225B"/>
    <w:rsid w:val="007F24A0"/>
    <w:rsid w:val="007F33EA"/>
    <w:rsid w:val="007F36E1"/>
    <w:rsid w:val="007F45CF"/>
    <w:rsid w:val="007F69C0"/>
    <w:rsid w:val="007F72D5"/>
    <w:rsid w:val="008038B7"/>
    <w:rsid w:val="00804280"/>
    <w:rsid w:val="0080776B"/>
    <w:rsid w:val="00807EAE"/>
    <w:rsid w:val="00812CD5"/>
    <w:rsid w:val="00812E81"/>
    <w:rsid w:val="008145FE"/>
    <w:rsid w:val="00814C46"/>
    <w:rsid w:val="00816FC6"/>
    <w:rsid w:val="00820A9F"/>
    <w:rsid w:val="008210A8"/>
    <w:rsid w:val="00824174"/>
    <w:rsid w:val="0082525C"/>
    <w:rsid w:val="00834B7F"/>
    <w:rsid w:val="0083572B"/>
    <w:rsid w:val="00836B49"/>
    <w:rsid w:val="00841831"/>
    <w:rsid w:val="00845F16"/>
    <w:rsid w:val="00847BE1"/>
    <w:rsid w:val="00853191"/>
    <w:rsid w:val="008532E4"/>
    <w:rsid w:val="0085486F"/>
    <w:rsid w:val="008555FA"/>
    <w:rsid w:val="00856FF3"/>
    <w:rsid w:val="008579F8"/>
    <w:rsid w:val="008602C0"/>
    <w:rsid w:val="0086583C"/>
    <w:rsid w:val="00865BF9"/>
    <w:rsid w:val="00875128"/>
    <w:rsid w:val="008832D7"/>
    <w:rsid w:val="00883BB0"/>
    <w:rsid w:val="00885D36"/>
    <w:rsid w:val="00893E88"/>
    <w:rsid w:val="00896DAE"/>
    <w:rsid w:val="008973EE"/>
    <w:rsid w:val="008A2471"/>
    <w:rsid w:val="008A45CF"/>
    <w:rsid w:val="008A5EE8"/>
    <w:rsid w:val="008A6FEF"/>
    <w:rsid w:val="008B27AB"/>
    <w:rsid w:val="008B7510"/>
    <w:rsid w:val="008B75B5"/>
    <w:rsid w:val="008C03D9"/>
    <w:rsid w:val="008C29E9"/>
    <w:rsid w:val="008C603E"/>
    <w:rsid w:val="008C61E5"/>
    <w:rsid w:val="008C721C"/>
    <w:rsid w:val="008D5470"/>
    <w:rsid w:val="008D5A36"/>
    <w:rsid w:val="008D7C8B"/>
    <w:rsid w:val="008E3831"/>
    <w:rsid w:val="008E4A4D"/>
    <w:rsid w:val="008E5988"/>
    <w:rsid w:val="008E783D"/>
    <w:rsid w:val="008F05C7"/>
    <w:rsid w:val="008F2F99"/>
    <w:rsid w:val="008F3019"/>
    <w:rsid w:val="008F50C8"/>
    <w:rsid w:val="0090522A"/>
    <w:rsid w:val="00907BB3"/>
    <w:rsid w:val="009110C0"/>
    <w:rsid w:val="00914697"/>
    <w:rsid w:val="009162DB"/>
    <w:rsid w:val="0092088B"/>
    <w:rsid w:val="00924C06"/>
    <w:rsid w:val="00926309"/>
    <w:rsid w:val="0093254E"/>
    <w:rsid w:val="00933DBC"/>
    <w:rsid w:val="00934063"/>
    <w:rsid w:val="00934909"/>
    <w:rsid w:val="00940E28"/>
    <w:rsid w:val="00942EF8"/>
    <w:rsid w:val="00943D42"/>
    <w:rsid w:val="00953688"/>
    <w:rsid w:val="0095685B"/>
    <w:rsid w:val="00957720"/>
    <w:rsid w:val="00977D39"/>
    <w:rsid w:val="009810AD"/>
    <w:rsid w:val="00981CC0"/>
    <w:rsid w:val="00982CA6"/>
    <w:rsid w:val="009833F1"/>
    <w:rsid w:val="00985D58"/>
    <w:rsid w:val="00986380"/>
    <w:rsid w:val="009903C6"/>
    <w:rsid w:val="009907A2"/>
    <w:rsid w:val="00990E14"/>
    <w:rsid w:val="00997B02"/>
    <w:rsid w:val="009A1979"/>
    <w:rsid w:val="009A4D62"/>
    <w:rsid w:val="009A52E4"/>
    <w:rsid w:val="009B5F93"/>
    <w:rsid w:val="009B7674"/>
    <w:rsid w:val="009D2FFA"/>
    <w:rsid w:val="009D31F4"/>
    <w:rsid w:val="009D3605"/>
    <w:rsid w:val="009D52D0"/>
    <w:rsid w:val="009D5376"/>
    <w:rsid w:val="009D5C58"/>
    <w:rsid w:val="009D63FD"/>
    <w:rsid w:val="009D65E0"/>
    <w:rsid w:val="009E333A"/>
    <w:rsid w:val="009E3B94"/>
    <w:rsid w:val="009E4642"/>
    <w:rsid w:val="009E5887"/>
    <w:rsid w:val="009F0B38"/>
    <w:rsid w:val="00A0006E"/>
    <w:rsid w:val="00A02B59"/>
    <w:rsid w:val="00A03199"/>
    <w:rsid w:val="00A031F4"/>
    <w:rsid w:val="00A0388B"/>
    <w:rsid w:val="00A03AFE"/>
    <w:rsid w:val="00A076E7"/>
    <w:rsid w:val="00A11028"/>
    <w:rsid w:val="00A11631"/>
    <w:rsid w:val="00A13533"/>
    <w:rsid w:val="00A26785"/>
    <w:rsid w:val="00A31272"/>
    <w:rsid w:val="00A314F5"/>
    <w:rsid w:val="00A33443"/>
    <w:rsid w:val="00A404EF"/>
    <w:rsid w:val="00A41ED9"/>
    <w:rsid w:val="00A42D7E"/>
    <w:rsid w:val="00A42D82"/>
    <w:rsid w:val="00A441C7"/>
    <w:rsid w:val="00A4523E"/>
    <w:rsid w:val="00A459B3"/>
    <w:rsid w:val="00A4696B"/>
    <w:rsid w:val="00A56853"/>
    <w:rsid w:val="00A57258"/>
    <w:rsid w:val="00A577B2"/>
    <w:rsid w:val="00A618AD"/>
    <w:rsid w:val="00A62A9A"/>
    <w:rsid w:val="00A65247"/>
    <w:rsid w:val="00A6788D"/>
    <w:rsid w:val="00A720A6"/>
    <w:rsid w:val="00A73597"/>
    <w:rsid w:val="00A73ACB"/>
    <w:rsid w:val="00A75023"/>
    <w:rsid w:val="00A77903"/>
    <w:rsid w:val="00A81A2C"/>
    <w:rsid w:val="00A82683"/>
    <w:rsid w:val="00A84774"/>
    <w:rsid w:val="00A87013"/>
    <w:rsid w:val="00A906DD"/>
    <w:rsid w:val="00A91EB9"/>
    <w:rsid w:val="00A932FF"/>
    <w:rsid w:val="00A9488C"/>
    <w:rsid w:val="00A95E67"/>
    <w:rsid w:val="00A97649"/>
    <w:rsid w:val="00AA3406"/>
    <w:rsid w:val="00AA4768"/>
    <w:rsid w:val="00AB1250"/>
    <w:rsid w:val="00AB7393"/>
    <w:rsid w:val="00AB7EBA"/>
    <w:rsid w:val="00AC1FF4"/>
    <w:rsid w:val="00AC2481"/>
    <w:rsid w:val="00AC70B6"/>
    <w:rsid w:val="00AC72FC"/>
    <w:rsid w:val="00AD10DB"/>
    <w:rsid w:val="00AD3D90"/>
    <w:rsid w:val="00AE4A14"/>
    <w:rsid w:val="00AE544B"/>
    <w:rsid w:val="00AE787D"/>
    <w:rsid w:val="00AF1289"/>
    <w:rsid w:val="00AF1CA5"/>
    <w:rsid w:val="00AF2231"/>
    <w:rsid w:val="00AF61AC"/>
    <w:rsid w:val="00AF6364"/>
    <w:rsid w:val="00B010A6"/>
    <w:rsid w:val="00B03BD1"/>
    <w:rsid w:val="00B066C4"/>
    <w:rsid w:val="00B07F1B"/>
    <w:rsid w:val="00B116B9"/>
    <w:rsid w:val="00B12DDA"/>
    <w:rsid w:val="00B169CC"/>
    <w:rsid w:val="00B21819"/>
    <w:rsid w:val="00B223B4"/>
    <w:rsid w:val="00B23BA1"/>
    <w:rsid w:val="00B37B91"/>
    <w:rsid w:val="00B43F7B"/>
    <w:rsid w:val="00B444D9"/>
    <w:rsid w:val="00B462A8"/>
    <w:rsid w:val="00B46981"/>
    <w:rsid w:val="00B512E7"/>
    <w:rsid w:val="00B5351A"/>
    <w:rsid w:val="00B54418"/>
    <w:rsid w:val="00B56B02"/>
    <w:rsid w:val="00B6235E"/>
    <w:rsid w:val="00B6390C"/>
    <w:rsid w:val="00B63B8A"/>
    <w:rsid w:val="00B647D7"/>
    <w:rsid w:val="00B67D82"/>
    <w:rsid w:val="00B70DEE"/>
    <w:rsid w:val="00B73135"/>
    <w:rsid w:val="00B74041"/>
    <w:rsid w:val="00B82519"/>
    <w:rsid w:val="00B826C9"/>
    <w:rsid w:val="00B839BD"/>
    <w:rsid w:val="00B852F0"/>
    <w:rsid w:val="00B854C9"/>
    <w:rsid w:val="00B85A1F"/>
    <w:rsid w:val="00B85D54"/>
    <w:rsid w:val="00B86790"/>
    <w:rsid w:val="00B97C70"/>
    <w:rsid w:val="00B97F0C"/>
    <w:rsid w:val="00BA064B"/>
    <w:rsid w:val="00BA42D7"/>
    <w:rsid w:val="00BA699A"/>
    <w:rsid w:val="00BA7D44"/>
    <w:rsid w:val="00BB2879"/>
    <w:rsid w:val="00BC116E"/>
    <w:rsid w:val="00BC7357"/>
    <w:rsid w:val="00BD0768"/>
    <w:rsid w:val="00BD3E66"/>
    <w:rsid w:val="00BD7A22"/>
    <w:rsid w:val="00BE2312"/>
    <w:rsid w:val="00BE4B1A"/>
    <w:rsid w:val="00BE5EE9"/>
    <w:rsid w:val="00BF15E3"/>
    <w:rsid w:val="00BF1C28"/>
    <w:rsid w:val="00BF271A"/>
    <w:rsid w:val="00BF2D58"/>
    <w:rsid w:val="00BF4A63"/>
    <w:rsid w:val="00BF5586"/>
    <w:rsid w:val="00C0451F"/>
    <w:rsid w:val="00C047D8"/>
    <w:rsid w:val="00C1385E"/>
    <w:rsid w:val="00C21B94"/>
    <w:rsid w:val="00C22BA7"/>
    <w:rsid w:val="00C22C56"/>
    <w:rsid w:val="00C279E9"/>
    <w:rsid w:val="00C30092"/>
    <w:rsid w:val="00C32E9A"/>
    <w:rsid w:val="00C34A32"/>
    <w:rsid w:val="00C412F7"/>
    <w:rsid w:val="00C42865"/>
    <w:rsid w:val="00C4341E"/>
    <w:rsid w:val="00C45B08"/>
    <w:rsid w:val="00C4625F"/>
    <w:rsid w:val="00C469E1"/>
    <w:rsid w:val="00C61B9E"/>
    <w:rsid w:val="00C6294D"/>
    <w:rsid w:val="00C63E41"/>
    <w:rsid w:val="00C6462C"/>
    <w:rsid w:val="00C647BD"/>
    <w:rsid w:val="00C67491"/>
    <w:rsid w:val="00C74F8D"/>
    <w:rsid w:val="00C764DF"/>
    <w:rsid w:val="00C76618"/>
    <w:rsid w:val="00C77CAF"/>
    <w:rsid w:val="00C81F87"/>
    <w:rsid w:val="00C82872"/>
    <w:rsid w:val="00C854D0"/>
    <w:rsid w:val="00C9015A"/>
    <w:rsid w:val="00C91705"/>
    <w:rsid w:val="00C93514"/>
    <w:rsid w:val="00C95377"/>
    <w:rsid w:val="00CA2823"/>
    <w:rsid w:val="00CB3445"/>
    <w:rsid w:val="00CB42E9"/>
    <w:rsid w:val="00CB5E43"/>
    <w:rsid w:val="00CC5761"/>
    <w:rsid w:val="00CC7161"/>
    <w:rsid w:val="00CD19E3"/>
    <w:rsid w:val="00CD514A"/>
    <w:rsid w:val="00CE07E2"/>
    <w:rsid w:val="00CE2BA5"/>
    <w:rsid w:val="00CE40E6"/>
    <w:rsid w:val="00CE5358"/>
    <w:rsid w:val="00CF258E"/>
    <w:rsid w:val="00CF3060"/>
    <w:rsid w:val="00CF3A5A"/>
    <w:rsid w:val="00CF74CC"/>
    <w:rsid w:val="00D00A44"/>
    <w:rsid w:val="00D03AD8"/>
    <w:rsid w:val="00D04092"/>
    <w:rsid w:val="00D059F4"/>
    <w:rsid w:val="00D06D8A"/>
    <w:rsid w:val="00D10297"/>
    <w:rsid w:val="00D11886"/>
    <w:rsid w:val="00D135F7"/>
    <w:rsid w:val="00D13761"/>
    <w:rsid w:val="00D150A5"/>
    <w:rsid w:val="00D17F7C"/>
    <w:rsid w:val="00D2024F"/>
    <w:rsid w:val="00D25823"/>
    <w:rsid w:val="00D264C3"/>
    <w:rsid w:val="00D27FF1"/>
    <w:rsid w:val="00D331F5"/>
    <w:rsid w:val="00D34949"/>
    <w:rsid w:val="00D34D62"/>
    <w:rsid w:val="00D40058"/>
    <w:rsid w:val="00D412C5"/>
    <w:rsid w:val="00D41C58"/>
    <w:rsid w:val="00D43445"/>
    <w:rsid w:val="00D45FF3"/>
    <w:rsid w:val="00D5347C"/>
    <w:rsid w:val="00D6296F"/>
    <w:rsid w:val="00D634DF"/>
    <w:rsid w:val="00D63719"/>
    <w:rsid w:val="00D65735"/>
    <w:rsid w:val="00D70CB4"/>
    <w:rsid w:val="00D72C9C"/>
    <w:rsid w:val="00D74F14"/>
    <w:rsid w:val="00D75F47"/>
    <w:rsid w:val="00D7721F"/>
    <w:rsid w:val="00D80DAE"/>
    <w:rsid w:val="00D8230E"/>
    <w:rsid w:val="00D83E45"/>
    <w:rsid w:val="00D8558B"/>
    <w:rsid w:val="00D85B2E"/>
    <w:rsid w:val="00D85E4A"/>
    <w:rsid w:val="00D873B2"/>
    <w:rsid w:val="00D87677"/>
    <w:rsid w:val="00D91F51"/>
    <w:rsid w:val="00D92F16"/>
    <w:rsid w:val="00D957DF"/>
    <w:rsid w:val="00D9641F"/>
    <w:rsid w:val="00D969D0"/>
    <w:rsid w:val="00DA172B"/>
    <w:rsid w:val="00DA1A8A"/>
    <w:rsid w:val="00DA382D"/>
    <w:rsid w:val="00DA41D3"/>
    <w:rsid w:val="00DA4CBA"/>
    <w:rsid w:val="00DA5563"/>
    <w:rsid w:val="00DA59B4"/>
    <w:rsid w:val="00DB1551"/>
    <w:rsid w:val="00DB1750"/>
    <w:rsid w:val="00DB77B9"/>
    <w:rsid w:val="00DC3789"/>
    <w:rsid w:val="00DC3DFF"/>
    <w:rsid w:val="00DC4398"/>
    <w:rsid w:val="00DC488F"/>
    <w:rsid w:val="00DC64A1"/>
    <w:rsid w:val="00DC6F91"/>
    <w:rsid w:val="00DD0ADF"/>
    <w:rsid w:val="00DD4124"/>
    <w:rsid w:val="00DD724C"/>
    <w:rsid w:val="00DE2FB0"/>
    <w:rsid w:val="00DE39A7"/>
    <w:rsid w:val="00DF7C34"/>
    <w:rsid w:val="00E01231"/>
    <w:rsid w:val="00E02B45"/>
    <w:rsid w:val="00E04DBE"/>
    <w:rsid w:val="00E05DBB"/>
    <w:rsid w:val="00E06248"/>
    <w:rsid w:val="00E16B35"/>
    <w:rsid w:val="00E20EAB"/>
    <w:rsid w:val="00E21427"/>
    <w:rsid w:val="00E23000"/>
    <w:rsid w:val="00E255F7"/>
    <w:rsid w:val="00E25C8D"/>
    <w:rsid w:val="00E30D65"/>
    <w:rsid w:val="00E312A1"/>
    <w:rsid w:val="00E321C8"/>
    <w:rsid w:val="00E34275"/>
    <w:rsid w:val="00E3795D"/>
    <w:rsid w:val="00E409F6"/>
    <w:rsid w:val="00E44A1C"/>
    <w:rsid w:val="00E461E0"/>
    <w:rsid w:val="00E4680F"/>
    <w:rsid w:val="00E46F8E"/>
    <w:rsid w:val="00E53B7B"/>
    <w:rsid w:val="00E57048"/>
    <w:rsid w:val="00E57229"/>
    <w:rsid w:val="00E579A0"/>
    <w:rsid w:val="00E57E36"/>
    <w:rsid w:val="00E61116"/>
    <w:rsid w:val="00E65F7F"/>
    <w:rsid w:val="00E66036"/>
    <w:rsid w:val="00E7426F"/>
    <w:rsid w:val="00E7709D"/>
    <w:rsid w:val="00E82650"/>
    <w:rsid w:val="00E82818"/>
    <w:rsid w:val="00E82EB6"/>
    <w:rsid w:val="00E84270"/>
    <w:rsid w:val="00E86E30"/>
    <w:rsid w:val="00E873F9"/>
    <w:rsid w:val="00E9163E"/>
    <w:rsid w:val="00E927F2"/>
    <w:rsid w:val="00E94729"/>
    <w:rsid w:val="00E958A5"/>
    <w:rsid w:val="00E97197"/>
    <w:rsid w:val="00E97A7D"/>
    <w:rsid w:val="00EA03E0"/>
    <w:rsid w:val="00EA2E23"/>
    <w:rsid w:val="00EA3506"/>
    <w:rsid w:val="00EA4823"/>
    <w:rsid w:val="00EB2CE6"/>
    <w:rsid w:val="00EB30F7"/>
    <w:rsid w:val="00EB3276"/>
    <w:rsid w:val="00EC2F7E"/>
    <w:rsid w:val="00EC6545"/>
    <w:rsid w:val="00EC657D"/>
    <w:rsid w:val="00EC7EC1"/>
    <w:rsid w:val="00ED52F2"/>
    <w:rsid w:val="00EE0780"/>
    <w:rsid w:val="00EE17ED"/>
    <w:rsid w:val="00EE206F"/>
    <w:rsid w:val="00EE65BC"/>
    <w:rsid w:val="00EE734F"/>
    <w:rsid w:val="00EF0713"/>
    <w:rsid w:val="00EF0783"/>
    <w:rsid w:val="00EF5028"/>
    <w:rsid w:val="00EF58AA"/>
    <w:rsid w:val="00EF7034"/>
    <w:rsid w:val="00EF77AE"/>
    <w:rsid w:val="00EF7A6D"/>
    <w:rsid w:val="00F030B0"/>
    <w:rsid w:val="00F0371B"/>
    <w:rsid w:val="00F03C08"/>
    <w:rsid w:val="00F06317"/>
    <w:rsid w:val="00F067AA"/>
    <w:rsid w:val="00F1182E"/>
    <w:rsid w:val="00F13039"/>
    <w:rsid w:val="00F137AB"/>
    <w:rsid w:val="00F13DD3"/>
    <w:rsid w:val="00F15419"/>
    <w:rsid w:val="00F20010"/>
    <w:rsid w:val="00F23666"/>
    <w:rsid w:val="00F2675F"/>
    <w:rsid w:val="00F26F0A"/>
    <w:rsid w:val="00F26FA4"/>
    <w:rsid w:val="00F30CBA"/>
    <w:rsid w:val="00F32056"/>
    <w:rsid w:val="00F33B50"/>
    <w:rsid w:val="00F3458A"/>
    <w:rsid w:val="00F3548D"/>
    <w:rsid w:val="00F357BE"/>
    <w:rsid w:val="00F43AC5"/>
    <w:rsid w:val="00F464DB"/>
    <w:rsid w:val="00F475A7"/>
    <w:rsid w:val="00F47B5D"/>
    <w:rsid w:val="00F50703"/>
    <w:rsid w:val="00F54DF6"/>
    <w:rsid w:val="00F557B4"/>
    <w:rsid w:val="00F6263A"/>
    <w:rsid w:val="00F6381B"/>
    <w:rsid w:val="00F64010"/>
    <w:rsid w:val="00F656A8"/>
    <w:rsid w:val="00F6586B"/>
    <w:rsid w:val="00F71E85"/>
    <w:rsid w:val="00F72213"/>
    <w:rsid w:val="00F724B5"/>
    <w:rsid w:val="00F72FF1"/>
    <w:rsid w:val="00F73616"/>
    <w:rsid w:val="00F7597A"/>
    <w:rsid w:val="00F769A0"/>
    <w:rsid w:val="00F76CA3"/>
    <w:rsid w:val="00F80D03"/>
    <w:rsid w:val="00F82543"/>
    <w:rsid w:val="00F87526"/>
    <w:rsid w:val="00F87CAE"/>
    <w:rsid w:val="00F907F5"/>
    <w:rsid w:val="00F919B7"/>
    <w:rsid w:val="00F92F06"/>
    <w:rsid w:val="00F949EF"/>
    <w:rsid w:val="00F97641"/>
    <w:rsid w:val="00F97DBB"/>
    <w:rsid w:val="00F97FF1"/>
    <w:rsid w:val="00FA0CE4"/>
    <w:rsid w:val="00FA58EC"/>
    <w:rsid w:val="00FA64CB"/>
    <w:rsid w:val="00FA7F9B"/>
    <w:rsid w:val="00FB1D5E"/>
    <w:rsid w:val="00FB25B2"/>
    <w:rsid w:val="00FB487E"/>
    <w:rsid w:val="00FB4ABA"/>
    <w:rsid w:val="00FB4E47"/>
    <w:rsid w:val="00FC0B95"/>
    <w:rsid w:val="00FC2B95"/>
    <w:rsid w:val="00FC73B5"/>
    <w:rsid w:val="00FD05F5"/>
    <w:rsid w:val="00FD266D"/>
    <w:rsid w:val="00FD51F5"/>
    <w:rsid w:val="00FD7EF7"/>
    <w:rsid w:val="00FE05D2"/>
    <w:rsid w:val="00FE0C8E"/>
    <w:rsid w:val="00FE1CDA"/>
    <w:rsid w:val="00FE23AC"/>
    <w:rsid w:val="00FE321F"/>
    <w:rsid w:val="00FE618E"/>
    <w:rsid w:val="00FF06C9"/>
    <w:rsid w:val="00FF0C87"/>
    <w:rsid w:val="00FF32EF"/>
    <w:rsid w:val="091F336C"/>
    <w:rsid w:val="0B125B10"/>
    <w:rsid w:val="0B330393"/>
    <w:rsid w:val="1470990C"/>
    <w:rsid w:val="1491A21D"/>
    <w:rsid w:val="1553642B"/>
    <w:rsid w:val="1889B56B"/>
    <w:rsid w:val="1CA3D8EC"/>
    <w:rsid w:val="204E50BA"/>
    <w:rsid w:val="207F3C48"/>
    <w:rsid w:val="20807895"/>
    <w:rsid w:val="24BB86F7"/>
    <w:rsid w:val="2552A473"/>
    <w:rsid w:val="2652A086"/>
    <w:rsid w:val="269CE5BF"/>
    <w:rsid w:val="299CF38D"/>
    <w:rsid w:val="2CF14656"/>
    <w:rsid w:val="2D61ACF7"/>
    <w:rsid w:val="2E1B5517"/>
    <w:rsid w:val="32919FEC"/>
    <w:rsid w:val="383545BA"/>
    <w:rsid w:val="38FD1018"/>
    <w:rsid w:val="3DB2A06A"/>
    <w:rsid w:val="403A7748"/>
    <w:rsid w:val="41ACC6BD"/>
    <w:rsid w:val="461EF169"/>
    <w:rsid w:val="47405A53"/>
    <w:rsid w:val="4E332278"/>
    <w:rsid w:val="4EDED2CF"/>
    <w:rsid w:val="506AFEB8"/>
    <w:rsid w:val="53F1DDD5"/>
    <w:rsid w:val="5449AF1D"/>
    <w:rsid w:val="545F325A"/>
    <w:rsid w:val="56BCD842"/>
    <w:rsid w:val="5A8DC4BC"/>
    <w:rsid w:val="5CCDB114"/>
    <w:rsid w:val="5FCED675"/>
    <w:rsid w:val="67F37B9D"/>
    <w:rsid w:val="683017DD"/>
    <w:rsid w:val="6B39CB84"/>
    <w:rsid w:val="6EBEF0A4"/>
    <w:rsid w:val="6FCF552B"/>
    <w:rsid w:val="7A011E2E"/>
    <w:rsid w:val="7AB11922"/>
    <w:rsid w:val="7E6EBF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0D1C97"/>
  <w14:defaultImageDpi w14:val="330"/>
  <w15:chartTrackingRefBased/>
  <w15:docId w15:val="{27308066-3CA5-45B1-9F21-590B439CC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828"/>
    <w:rPr>
      <w:rFonts w:ascii="Times New Roman" w:eastAsia="Times New Roman" w:hAnsi="Times New Roman" w:cs="Times New Roman"/>
    </w:rPr>
  </w:style>
  <w:style w:type="paragraph" w:styleId="Heading1">
    <w:name w:val="heading 1"/>
    <w:basedOn w:val="Normal"/>
    <w:next w:val="Normal"/>
    <w:link w:val="Heading1Char"/>
    <w:uiPriority w:val="9"/>
    <w:qFormat/>
    <w:rsid w:val="00E46F8E"/>
    <w:pPr>
      <w:spacing w:before="240"/>
      <w:outlineLvl w:val="0"/>
    </w:pPr>
    <w:rPr>
      <w:rFonts w:ascii="Calibri" w:eastAsiaTheme="majorEastAsia" w:hAnsi="Calibr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F557B4"/>
    <w:pPr>
      <w:keepNext/>
      <w:keepLines/>
      <w:spacing w:before="120" w:after="120"/>
      <w:outlineLvl w:val="1"/>
    </w:pPr>
    <w:rPr>
      <w:rFonts w:ascii="Calibri" w:eastAsiaTheme="majorEastAsia" w:hAnsi="Calibri" w:cstheme="majorBidi"/>
      <w:b/>
      <w:i/>
      <w:color w:val="2F5496" w:themeColor="accent1" w:themeShade="BF"/>
      <w:sz w:val="28"/>
      <w:szCs w:val="26"/>
    </w:rPr>
  </w:style>
  <w:style w:type="paragraph" w:styleId="Heading3">
    <w:name w:val="heading 3"/>
    <w:basedOn w:val="Normal"/>
    <w:next w:val="Normal"/>
    <w:link w:val="Heading3Char"/>
    <w:uiPriority w:val="9"/>
    <w:unhideWhenUsed/>
    <w:qFormat/>
    <w:rsid w:val="00F557B4"/>
    <w:pPr>
      <w:keepNext/>
      <w:keepLines/>
      <w:spacing w:before="120"/>
      <w:outlineLvl w:val="2"/>
    </w:pPr>
    <w:rPr>
      <w:rFonts w:asciiTheme="majorHAnsi" w:eastAsiaTheme="majorEastAsia" w:hAnsiTheme="majorHAnsi" w:cstheme="majorBidi"/>
      <w:b/>
      <w:color w:val="000000" w:themeColor="text1"/>
      <w:sz w:val="28"/>
    </w:rPr>
  </w:style>
  <w:style w:type="paragraph" w:styleId="Heading4">
    <w:name w:val="heading 4"/>
    <w:basedOn w:val="Normal"/>
    <w:next w:val="Normal"/>
    <w:link w:val="Heading4Char"/>
    <w:uiPriority w:val="9"/>
    <w:unhideWhenUsed/>
    <w:qFormat/>
    <w:rsid w:val="0076320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8AD"/>
    <w:pPr>
      <w:ind w:left="720"/>
      <w:contextualSpacing/>
    </w:pPr>
    <w:rPr>
      <w:rFonts w:asciiTheme="minorHAnsi" w:eastAsiaTheme="minorHAnsi" w:hAnsiTheme="minorHAnsi" w:cstheme="minorBidi"/>
    </w:rPr>
  </w:style>
  <w:style w:type="paragraph" w:customStyle="1" w:styleId="LEVA6ArticlesCases">
    <w:name w:val="LEVA6 Articles Cases"/>
    <w:basedOn w:val="Normal"/>
    <w:qFormat/>
    <w:rsid w:val="005B15EC"/>
    <w:pPr>
      <w:spacing w:after="120"/>
      <w:ind w:firstLine="360"/>
    </w:pPr>
    <w:rPr>
      <w:szCs w:val="20"/>
    </w:rPr>
  </w:style>
  <w:style w:type="paragraph" w:customStyle="1" w:styleId="LEVA6ORIGINAL">
    <w:name w:val="LEVA6 ORIGINAL"/>
    <w:basedOn w:val="BodyText"/>
    <w:qFormat/>
    <w:rsid w:val="005B15EC"/>
    <w:pPr>
      <w:spacing w:line="360" w:lineRule="auto"/>
      <w:ind w:firstLine="360"/>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5B15EC"/>
    <w:pPr>
      <w:spacing w:after="120"/>
    </w:pPr>
    <w:rPr>
      <w:rFonts w:asciiTheme="minorHAnsi" w:eastAsiaTheme="minorHAnsi" w:hAnsiTheme="minorHAnsi" w:cstheme="minorBidi"/>
    </w:rPr>
  </w:style>
  <w:style w:type="character" w:customStyle="1" w:styleId="BodyTextChar">
    <w:name w:val="Body Text Char"/>
    <w:basedOn w:val="DefaultParagraphFont"/>
    <w:link w:val="BodyText"/>
    <w:uiPriority w:val="99"/>
    <w:semiHidden/>
    <w:rsid w:val="005B15EC"/>
  </w:style>
  <w:style w:type="paragraph" w:styleId="FootnoteText">
    <w:name w:val="footnote text"/>
    <w:basedOn w:val="Normal"/>
    <w:link w:val="FootnoteTextChar"/>
    <w:uiPriority w:val="99"/>
    <w:unhideWhenUsed/>
    <w:rsid w:val="006520D7"/>
    <w:rPr>
      <w:rFonts w:eastAsiaTheme="minorHAnsi" w:cstheme="minorBidi"/>
      <w:sz w:val="22"/>
      <w:szCs w:val="20"/>
    </w:rPr>
  </w:style>
  <w:style w:type="character" w:customStyle="1" w:styleId="FootnoteTextChar">
    <w:name w:val="Footnote Text Char"/>
    <w:basedOn w:val="DefaultParagraphFont"/>
    <w:link w:val="FootnoteText"/>
    <w:uiPriority w:val="99"/>
    <w:rsid w:val="006520D7"/>
    <w:rPr>
      <w:rFonts w:ascii="Times New Roman" w:hAnsi="Times New Roman"/>
      <w:sz w:val="22"/>
      <w:szCs w:val="20"/>
    </w:rPr>
  </w:style>
  <w:style w:type="character" w:styleId="FootnoteReference">
    <w:name w:val="footnote reference"/>
    <w:basedOn w:val="DefaultParagraphFont"/>
    <w:uiPriority w:val="99"/>
    <w:unhideWhenUsed/>
    <w:rsid w:val="008F50C8"/>
    <w:rPr>
      <w:rFonts w:ascii="Times New Roman" w:hAnsi="Times New Roman"/>
      <w:vertAlign w:val="superscript"/>
    </w:rPr>
  </w:style>
  <w:style w:type="paragraph" w:styleId="Header">
    <w:name w:val="header"/>
    <w:basedOn w:val="Normal"/>
    <w:link w:val="HeaderChar"/>
    <w:uiPriority w:val="99"/>
    <w:unhideWhenUsed/>
    <w:rsid w:val="00784DF3"/>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84DF3"/>
  </w:style>
  <w:style w:type="paragraph" w:styleId="Footer">
    <w:name w:val="footer"/>
    <w:basedOn w:val="Normal"/>
    <w:link w:val="FooterChar"/>
    <w:uiPriority w:val="99"/>
    <w:unhideWhenUsed/>
    <w:rsid w:val="00784DF3"/>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84DF3"/>
  </w:style>
  <w:style w:type="character" w:customStyle="1" w:styleId="Heading1Char">
    <w:name w:val="Heading 1 Char"/>
    <w:basedOn w:val="DefaultParagraphFont"/>
    <w:link w:val="Heading1"/>
    <w:uiPriority w:val="9"/>
    <w:rsid w:val="00E46F8E"/>
    <w:rPr>
      <w:rFonts w:ascii="Calibri" w:eastAsiaTheme="majorEastAsia" w:hAnsi="Calibri" w:cstheme="majorBidi"/>
      <w:b/>
      <w:color w:val="2F5496" w:themeColor="accent1" w:themeShade="BF"/>
      <w:sz w:val="32"/>
      <w:szCs w:val="32"/>
    </w:rPr>
  </w:style>
  <w:style w:type="character" w:styleId="Hyperlink">
    <w:name w:val="Hyperlink"/>
    <w:basedOn w:val="DefaultParagraphFont"/>
    <w:uiPriority w:val="99"/>
    <w:unhideWhenUsed/>
    <w:rsid w:val="00F357BE"/>
    <w:rPr>
      <w:color w:val="0563C1" w:themeColor="hyperlink"/>
      <w:u w:val="single"/>
    </w:rPr>
  </w:style>
  <w:style w:type="character" w:customStyle="1" w:styleId="UnresolvedMention1">
    <w:name w:val="Unresolved Mention1"/>
    <w:basedOn w:val="DefaultParagraphFont"/>
    <w:uiPriority w:val="99"/>
    <w:rsid w:val="00F357BE"/>
    <w:rPr>
      <w:color w:val="605E5C"/>
      <w:shd w:val="clear" w:color="auto" w:fill="E1DFDD"/>
    </w:rPr>
  </w:style>
  <w:style w:type="character" w:styleId="FollowedHyperlink">
    <w:name w:val="FollowedHyperlink"/>
    <w:basedOn w:val="DefaultParagraphFont"/>
    <w:uiPriority w:val="99"/>
    <w:semiHidden/>
    <w:unhideWhenUsed/>
    <w:rsid w:val="00680641"/>
    <w:rPr>
      <w:color w:val="954F72" w:themeColor="followedHyperlink"/>
      <w:u w:val="single"/>
    </w:rPr>
  </w:style>
  <w:style w:type="table" w:styleId="TableGrid">
    <w:name w:val="Table Grid"/>
    <w:basedOn w:val="TableNormal"/>
    <w:uiPriority w:val="39"/>
    <w:rsid w:val="00E82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F2F99"/>
    <w:rPr>
      <w:rFonts w:eastAsiaTheme="minorHAnsi"/>
      <w:sz w:val="18"/>
      <w:szCs w:val="18"/>
    </w:rPr>
  </w:style>
  <w:style w:type="character" w:customStyle="1" w:styleId="BalloonTextChar">
    <w:name w:val="Balloon Text Char"/>
    <w:basedOn w:val="DefaultParagraphFont"/>
    <w:link w:val="BalloonText"/>
    <w:uiPriority w:val="99"/>
    <w:semiHidden/>
    <w:rsid w:val="008F2F9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05DBB"/>
    <w:rPr>
      <w:sz w:val="16"/>
      <w:szCs w:val="16"/>
    </w:rPr>
  </w:style>
  <w:style w:type="paragraph" w:styleId="CommentText">
    <w:name w:val="annotation text"/>
    <w:basedOn w:val="Normal"/>
    <w:link w:val="CommentTextChar"/>
    <w:uiPriority w:val="99"/>
    <w:unhideWhenUsed/>
    <w:rsid w:val="00E05DBB"/>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E05DBB"/>
    <w:rPr>
      <w:sz w:val="20"/>
      <w:szCs w:val="20"/>
    </w:rPr>
  </w:style>
  <w:style w:type="paragraph" w:styleId="CommentSubject">
    <w:name w:val="annotation subject"/>
    <w:basedOn w:val="CommentText"/>
    <w:next w:val="CommentText"/>
    <w:link w:val="CommentSubjectChar"/>
    <w:uiPriority w:val="99"/>
    <w:semiHidden/>
    <w:unhideWhenUsed/>
    <w:rsid w:val="00E05DBB"/>
    <w:rPr>
      <w:b/>
      <w:bCs/>
    </w:rPr>
  </w:style>
  <w:style w:type="character" w:customStyle="1" w:styleId="CommentSubjectChar">
    <w:name w:val="Comment Subject Char"/>
    <w:basedOn w:val="CommentTextChar"/>
    <w:link w:val="CommentSubject"/>
    <w:uiPriority w:val="99"/>
    <w:semiHidden/>
    <w:rsid w:val="00E05DBB"/>
    <w:rPr>
      <w:b/>
      <w:bCs/>
      <w:sz w:val="20"/>
      <w:szCs w:val="20"/>
    </w:rPr>
  </w:style>
  <w:style w:type="character" w:customStyle="1" w:styleId="UnresolvedMention2">
    <w:name w:val="Unresolved Mention2"/>
    <w:basedOn w:val="DefaultParagraphFont"/>
    <w:uiPriority w:val="99"/>
    <w:semiHidden/>
    <w:unhideWhenUsed/>
    <w:rsid w:val="00B010A6"/>
    <w:rPr>
      <w:color w:val="605E5C"/>
      <w:shd w:val="clear" w:color="auto" w:fill="E1DFDD"/>
    </w:rPr>
  </w:style>
  <w:style w:type="paragraph" w:styleId="Revision">
    <w:name w:val="Revision"/>
    <w:hidden/>
    <w:uiPriority w:val="99"/>
    <w:semiHidden/>
    <w:rsid w:val="00C63E41"/>
  </w:style>
  <w:style w:type="paragraph" w:styleId="Title">
    <w:name w:val="Title"/>
    <w:basedOn w:val="Normal"/>
    <w:next w:val="Normal"/>
    <w:link w:val="TitleChar"/>
    <w:uiPriority w:val="10"/>
    <w:qFormat/>
    <w:rsid w:val="0064739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9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557B4"/>
    <w:rPr>
      <w:rFonts w:ascii="Calibri" w:eastAsiaTheme="majorEastAsia" w:hAnsi="Calibri" w:cstheme="majorBidi"/>
      <w:b/>
      <w:i/>
      <w:color w:val="2F5496" w:themeColor="accent1" w:themeShade="BF"/>
      <w:sz w:val="28"/>
      <w:szCs w:val="26"/>
    </w:rPr>
  </w:style>
  <w:style w:type="character" w:customStyle="1" w:styleId="Heading3Char">
    <w:name w:val="Heading 3 Char"/>
    <w:basedOn w:val="DefaultParagraphFont"/>
    <w:link w:val="Heading3"/>
    <w:uiPriority w:val="9"/>
    <w:rsid w:val="00F557B4"/>
    <w:rPr>
      <w:rFonts w:asciiTheme="majorHAnsi" w:eastAsiaTheme="majorEastAsia" w:hAnsiTheme="majorHAnsi" w:cstheme="majorBidi"/>
      <w:b/>
      <w:color w:val="000000" w:themeColor="text1"/>
      <w:sz w:val="28"/>
    </w:rPr>
  </w:style>
  <w:style w:type="paragraph" w:styleId="TOC1">
    <w:name w:val="toc 1"/>
    <w:basedOn w:val="Normal"/>
    <w:next w:val="Normal"/>
    <w:autoRedefine/>
    <w:uiPriority w:val="39"/>
    <w:unhideWhenUsed/>
    <w:rsid w:val="00647394"/>
    <w:pPr>
      <w:spacing w:after="100"/>
    </w:pPr>
    <w:rPr>
      <w:rFonts w:asciiTheme="minorHAnsi" w:eastAsiaTheme="minorHAnsi" w:hAnsiTheme="minorHAnsi" w:cstheme="minorBidi"/>
    </w:rPr>
  </w:style>
  <w:style w:type="paragraph" w:styleId="TOC2">
    <w:name w:val="toc 2"/>
    <w:basedOn w:val="Normal"/>
    <w:next w:val="Normal"/>
    <w:autoRedefine/>
    <w:uiPriority w:val="39"/>
    <w:unhideWhenUsed/>
    <w:rsid w:val="00647394"/>
    <w:pPr>
      <w:spacing w:after="100"/>
      <w:ind w:left="240"/>
    </w:pPr>
    <w:rPr>
      <w:rFonts w:asciiTheme="minorHAnsi" w:eastAsiaTheme="minorHAnsi" w:hAnsiTheme="minorHAnsi" w:cstheme="minorBidi"/>
    </w:rPr>
  </w:style>
  <w:style w:type="paragraph" w:styleId="TOC3">
    <w:name w:val="toc 3"/>
    <w:basedOn w:val="Normal"/>
    <w:next w:val="Normal"/>
    <w:autoRedefine/>
    <w:uiPriority w:val="39"/>
    <w:unhideWhenUsed/>
    <w:rsid w:val="00647394"/>
    <w:pPr>
      <w:spacing w:after="100"/>
      <w:ind w:left="480"/>
    </w:pPr>
    <w:rPr>
      <w:rFonts w:asciiTheme="minorHAnsi" w:eastAsiaTheme="minorHAnsi" w:hAnsiTheme="minorHAnsi" w:cstheme="minorBidi"/>
    </w:rPr>
  </w:style>
  <w:style w:type="paragraph" w:styleId="NormalWeb">
    <w:name w:val="Normal (Web)"/>
    <w:basedOn w:val="Normal"/>
    <w:uiPriority w:val="99"/>
    <w:semiHidden/>
    <w:unhideWhenUsed/>
    <w:rsid w:val="00F13DD3"/>
    <w:pPr>
      <w:spacing w:before="100" w:beforeAutospacing="1" w:after="100" w:afterAutospacing="1"/>
    </w:pPr>
  </w:style>
  <w:style w:type="character" w:customStyle="1" w:styleId="UnresolvedMention3">
    <w:name w:val="Unresolved Mention3"/>
    <w:basedOn w:val="DefaultParagraphFont"/>
    <w:uiPriority w:val="99"/>
    <w:semiHidden/>
    <w:unhideWhenUsed/>
    <w:rsid w:val="004E5DC5"/>
    <w:rPr>
      <w:color w:val="605E5C"/>
      <w:shd w:val="clear" w:color="auto" w:fill="E1DFDD"/>
    </w:rPr>
  </w:style>
  <w:style w:type="character" w:styleId="UnresolvedMention">
    <w:name w:val="Unresolved Mention"/>
    <w:basedOn w:val="DefaultParagraphFont"/>
    <w:uiPriority w:val="99"/>
    <w:semiHidden/>
    <w:unhideWhenUsed/>
    <w:rsid w:val="006F1F6D"/>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EndnoteText">
    <w:name w:val="endnote text"/>
    <w:basedOn w:val="Normal"/>
    <w:link w:val="EndnoteTextChar"/>
    <w:uiPriority w:val="99"/>
    <w:unhideWhenUsed/>
    <w:rsid w:val="00A75023"/>
    <w:rPr>
      <w:sz w:val="20"/>
      <w:szCs w:val="20"/>
    </w:rPr>
  </w:style>
  <w:style w:type="character" w:customStyle="1" w:styleId="EndnoteTextChar">
    <w:name w:val="Endnote Text Char"/>
    <w:basedOn w:val="DefaultParagraphFont"/>
    <w:link w:val="EndnoteText"/>
    <w:uiPriority w:val="99"/>
    <w:rsid w:val="00A75023"/>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75023"/>
    <w:rPr>
      <w:vertAlign w:val="superscript"/>
    </w:rPr>
  </w:style>
  <w:style w:type="character" w:customStyle="1" w:styleId="Heading4Char">
    <w:name w:val="Heading 4 Char"/>
    <w:basedOn w:val="DefaultParagraphFont"/>
    <w:link w:val="Heading4"/>
    <w:uiPriority w:val="9"/>
    <w:rsid w:val="0076320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73861">
      <w:bodyDiv w:val="1"/>
      <w:marLeft w:val="0"/>
      <w:marRight w:val="0"/>
      <w:marTop w:val="0"/>
      <w:marBottom w:val="0"/>
      <w:divBdr>
        <w:top w:val="none" w:sz="0" w:space="0" w:color="auto"/>
        <w:left w:val="none" w:sz="0" w:space="0" w:color="auto"/>
        <w:bottom w:val="none" w:sz="0" w:space="0" w:color="auto"/>
        <w:right w:val="none" w:sz="0" w:space="0" w:color="auto"/>
      </w:divBdr>
    </w:div>
    <w:div w:id="209926834">
      <w:bodyDiv w:val="1"/>
      <w:marLeft w:val="0"/>
      <w:marRight w:val="0"/>
      <w:marTop w:val="0"/>
      <w:marBottom w:val="0"/>
      <w:divBdr>
        <w:top w:val="none" w:sz="0" w:space="0" w:color="auto"/>
        <w:left w:val="none" w:sz="0" w:space="0" w:color="auto"/>
        <w:bottom w:val="none" w:sz="0" w:space="0" w:color="auto"/>
        <w:right w:val="none" w:sz="0" w:space="0" w:color="auto"/>
      </w:divBdr>
      <w:divsChild>
        <w:div w:id="1705866168">
          <w:marLeft w:val="0"/>
          <w:marRight w:val="0"/>
          <w:marTop w:val="0"/>
          <w:marBottom w:val="0"/>
          <w:divBdr>
            <w:top w:val="none" w:sz="0" w:space="0" w:color="auto"/>
            <w:left w:val="none" w:sz="0" w:space="0" w:color="auto"/>
            <w:bottom w:val="none" w:sz="0" w:space="0" w:color="auto"/>
            <w:right w:val="none" w:sz="0" w:space="0" w:color="auto"/>
          </w:divBdr>
          <w:divsChild>
            <w:div w:id="942807214">
              <w:marLeft w:val="0"/>
              <w:marRight w:val="0"/>
              <w:marTop w:val="0"/>
              <w:marBottom w:val="0"/>
              <w:divBdr>
                <w:top w:val="none" w:sz="0" w:space="0" w:color="auto"/>
                <w:left w:val="none" w:sz="0" w:space="0" w:color="auto"/>
                <w:bottom w:val="none" w:sz="0" w:space="0" w:color="auto"/>
                <w:right w:val="none" w:sz="0" w:space="0" w:color="auto"/>
              </w:divBdr>
              <w:divsChild>
                <w:div w:id="1950814204">
                  <w:marLeft w:val="0"/>
                  <w:marRight w:val="0"/>
                  <w:marTop w:val="0"/>
                  <w:marBottom w:val="0"/>
                  <w:divBdr>
                    <w:top w:val="none" w:sz="0" w:space="0" w:color="auto"/>
                    <w:left w:val="none" w:sz="0" w:space="0" w:color="auto"/>
                    <w:bottom w:val="none" w:sz="0" w:space="0" w:color="auto"/>
                    <w:right w:val="none" w:sz="0" w:space="0" w:color="auto"/>
                  </w:divBdr>
                  <w:divsChild>
                    <w:div w:id="9744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08366">
              <w:marLeft w:val="0"/>
              <w:marRight w:val="0"/>
              <w:marTop w:val="0"/>
              <w:marBottom w:val="0"/>
              <w:divBdr>
                <w:top w:val="none" w:sz="0" w:space="0" w:color="auto"/>
                <w:left w:val="none" w:sz="0" w:space="0" w:color="auto"/>
                <w:bottom w:val="none" w:sz="0" w:space="0" w:color="auto"/>
                <w:right w:val="none" w:sz="0" w:space="0" w:color="auto"/>
              </w:divBdr>
              <w:divsChild>
                <w:div w:id="953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78883">
          <w:marLeft w:val="0"/>
          <w:marRight w:val="0"/>
          <w:marTop w:val="0"/>
          <w:marBottom w:val="0"/>
          <w:divBdr>
            <w:top w:val="none" w:sz="0" w:space="0" w:color="auto"/>
            <w:left w:val="none" w:sz="0" w:space="0" w:color="auto"/>
            <w:bottom w:val="none" w:sz="0" w:space="0" w:color="auto"/>
            <w:right w:val="none" w:sz="0" w:space="0" w:color="auto"/>
          </w:divBdr>
          <w:divsChild>
            <w:div w:id="18203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7536">
      <w:bodyDiv w:val="1"/>
      <w:marLeft w:val="0"/>
      <w:marRight w:val="0"/>
      <w:marTop w:val="0"/>
      <w:marBottom w:val="0"/>
      <w:divBdr>
        <w:top w:val="none" w:sz="0" w:space="0" w:color="auto"/>
        <w:left w:val="none" w:sz="0" w:space="0" w:color="auto"/>
        <w:bottom w:val="none" w:sz="0" w:space="0" w:color="auto"/>
        <w:right w:val="none" w:sz="0" w:space="0" w:color="auto"/>
      </w:divBdr>
    </w:div>
    <w:div w:id="571544625">
      <w:bodyDiv w:val="1"/>
      <w:marLeft w:val="0"/>
      <w:marRight w:val="0"/>
      <w:marTop w:val="0"/>
      <w:marBottom w:val="0"/>
      <w:divBdr>
        <w:top w:val="none" w:sz="0" w:space="0" w:color="auto"/>
        <w:left w:val="none" w:sz="0" w:space="0" w:color="auto"/>
        <w:bottom w:val="none" w:sz="0" w:space="0" w:color="auto"/>
        <w:right w:val="none" w:sz="0" w:space="0" w:color="auto"/>
      </w:divBdr>
    </w:div>
    <w:div w:id="812791415">
      <w:bodyDiv w:val="1"/>
      <w:marLeft w:val="0"/>
      <w:marRight w:val="0"/>
      <w:marTop w:val="0"/>
      <w:marBottom w:val="0"/>
      <w:divBdr>
        <w:top w:val="none" w:sz="0" w:space="0" w:color="auto"/>
        <w:left w:val="none" w:sz="0" w:space="0" w:color="auto"/>
        <w:bottom w:val="none" w:sz="0" w:space="0" w:color="auto"/>
        <w:right w:val="none" w:sz="0" w:space="0" w:color="auto"/>
      </w:divBdr>
    </w:div>
    <w:div w:id="841359677">
      <w:bodyDiv w:val="1"/>
      <w:marLeft w:val="0"/>
      <w:marRight w:val="0"/>
      <w:marTop w:val="0"/>
      <w:marBottom w:val="0"/>
      <w:divBdr>
        <w:top w:val="none" w:sz="0" w:space="0" w:color="auto"/>
        <w:left w:val="none" w:sz="0" w:space="0" w:color="auto"/>
        <w:bottom w:val="none" w:sz="0" w:space="0" w:color="auto"/>
        <w:right w:val="none" w:sz="0" w:space="0" w:color="auto"/>
      </w:divBdr>
    </w:div>
    <w:div w:id="874578911">
      <w:bodyDiv w:val="1"/>
      <w:marLeft w:val="0"/>
      <w:marRight w:val="0"/>
      <w:marTop w:val="0"/>
      <w:marBottom w:val="0"/>
      <w:divBdr>
        <w:top w:val="none" w:sz="0" w:space="0" w:color="auto"/>
        <w:left w:val="none" w:sz="0" w:space="0" w:color="auto"/>
        <w:bottom w:val="none" w:sz="0" w:space="0" w:color="auto"/>
        <w:right w:val="none" w:sz="0" w:space="0" w:color="auto"/>
      </w:divBdr>
    </w:div>
    <w:div w:id="879394676">
      <w:bodyDiv w:val="1"/>
      <w:marLeft w:val="0"/>
      <w:marRight w:val="0"/>
      <w:marTop w:val="0"/>
      <w:marBottom w:val="0"/>
      <w:divBdr>
        <w:top w:val="none" w:sz="0" w:space="0" w:color="auto"/>
        <w:left w:val="none" w:sz="0" w:space="0" w:color="auto"/>
        <w:bottom w:val="none" w:sz="0" w:space="0" w:color="auto"/>
        <w:right w:val="none" w:sz="0" w:space="0" w:color="auto"/>
      </w:divBdr>
    </w:div>
    <w:div w:id="985166252">
      <w:bodyDiv w:val="1"/>
      <w:marLeft w:val="0"/>
      <w:marRight w:val="0"/>
      <w:marTop w:val="0"/>
      <w:marBottom w:val="0"/>
      <w:divBdr>
        <w:top w:val="none" w:sz="0" w:space="0" w:color="auto"/>
        <w:left w:val="none" w:sz="0" w:space="0" w:color="auto"/>
        <w:bottom w:val="none" w:sz="0" w:space="0" w:color="auto"/>
        <w:right w:val="none" w:sz="0" w:space="0" w:color="auto"/>
      </w:divBdr>
    </w:div>
    <w:div w:id="1001349563">
      <w:bodyDiv w:val="1"/>
      <w:marLeft w:val="0"/>
      <w:marRight w:val="0"/>
      <w:marTop w:val="0"/>
      <w:marBottom w:val="0"/>
      <w:divBdr>
        <w:top w:val="none" w:sz="0" w:space="0" w:color="auto"/>
        <w:left w:val="none" w:sz="0" w:space="0" w:color="auto"/>
        <w:bottom w:val="none" w:sz="0" w:space="0" w:color="auto"/>
        <w:right w:val="none" w:sz="0" w:space="0" w:color="auto"/>
      </w:divBdr>
    </w:div>
    <w:div w:id="1253735654">
      <w:bodyDiv w:val="1"/>
      <w:marLeft w:val="0"/>
      <w:marRight w:val="0"/>
      <w:marTop w:val="0"/>
      <w:marBottom w:val="0"/>
      <w:divBdr>
        <w:top w:val="none" w:sz="0" w:space="0" w:color="auto"/>
        <w:left w:val="none" w:sz="0" w:space="0" w:color="auto"/>
        <w:bottom w:val="none" w:sz="0" w:space="0" w:color="auto"/>
        <w:right w:val="none" w:sz="0" w:space="0" w:color="auto"/>
      </w:divBdr>
    </w:div>
    <w:div w:id="1307466221">
      <w:bodyDiv w:val="1"/>
      <w:marLeft w:val="0"/>
      <w:marRight w:val="0"/>
      <w:marTop w:val="0"/>
      <w:marBottom w:val="0"/>
      <w:divBdr>
        <w:top w:val="none" w:sz="0" w:space="0" w:color="auto"/>
        <w:left w:val="none" w:sz="0" w:space="0" w:color="auto"/>
        <w:bottom w:val="none" w:sz="0" w:space="0" w:color="auto"/>
        <w:right w:val="none" w:sz="0" w:space="0" w:color="auto"/>
      </w:divBdr>
    </w:div>
    <w:div w:id="1343050771">
      <w:bodyDiv w:val="1"/>
      <w:marLeft w:val="0"/>
      <w:marRight w:val="0"/>
      <w:marTop w:val="0"/>
      <w:marBottom w:val="0"/>
      <w:divBdr>
        <w:top w:val="none" w:sz="0" w:space="0" w:color="auto"/>
        <w:left w:val="none" w:sz="0" w:space="0" w:color="auto"/>
        <w:bottom w:val="none" w:sz="0" w:space="0" w:color="auto"/>
        <w:right w:val="none" w:sz="0" w:space="0" w:color="auto"/>
      </w:divBdr>
    </w:div>
    <w:div w:id="1450320876">
      <w:bodyDiv w:val="1"/>
      <w:marLeft w:val="0"/>
      <w:marRight w:val="0"/>
      <w:marTop w:val="0"/>
      <w:marBottom w:val="0"/>
      <w:divBdr>
        <w:top w:val="none" w:sz="0" w:space="0" w:color="auto"/>
        <w:left w:val="none" w:sz="0" w:space="0" w:color="auto"/>
        <w:bottom w:val="none" w:sz="0" w:space="0" w:color="auto"/>
        <w:right w:val="none" w:sz="0" w:space="0" w:color="auto"/>
      </w:divBdr>
    </w:div>
    <w:div w:id="1553153436">
      <w:bodyDiv w:val="1"/>
      <w:marLeft w:val="0"/>
      <w:marRight w:val="0"/>
      <w:marTop w:val="0"/>
      <w:marBottom w:val="0"/>
      <w:divBdr>
        <w:top w:val="none" w:sz="0" w:space="0" w:color="auto"/>
        <w:left w:val="none" w:sz="0" w:space="0" w:color="auto"/>
        <w:bottom w:val="none" w:sz="0" w:space="0" w:color="auto"/>
        <w:right w:val="none" w:sz="0" w:space="0" w:color="auto"/>
      </w:divBdr>
    </w:div>
    <w:div w:id="1690640873">
      <w:bodyDiv w:val="1"/>
      <w:marLeft w:val="0"/>
      <w:marRight w:val="0"/>
      <w:marTop w:val="0"/>
      <w:marBottom w:val="0"/>
      <w:divBdr>
        <w:top w:val="none" w:sz="0" w:space="0" w:color="auto"/>
        <w:left w:val="none" w:sz="0" w:space="0" w:color="auto"/>
        <w:bottom w:val="none" w:sz="0" w:space="0" w:color="auto"/>
        <w:right w:val="none" w:sz="0" w:space="0" w:color="auto"/>
      </w:divBdr>
    </w:div>
    <w:div w:id="1794790347">
      <w:bodyDiv w:val="1"/>
      <w:marLeft w:val="0"/>
      <w:marRight w:val="0"/>
      <w:marTop w:val="0"/>
      <w:marBottom w:val="0"/>
      <w:divBdr>
        <w:top w:val="none" w:sz="0" w:space="0" w:color="auto"/>
        <w:left w:val="none" w:sz="0" w:space="0" w:color="auto"/>
        <w:bottom w:val="none" w:sz="0" w:space="0" w:color="auto"/>
        <w:right w:val="none" w:sz="0" w:space="0" w:color="auto"/>
      </w:divBdr>
    </w:div>
    <w:div w:id="1889999304">
      <w:bodyDiv w:val="1"/>
      <w:marLeft w:val="0"/>
      <w:marRight w:val="0"/>
      <w:marTop w:val="0"/>
      <w:marBottom w:val="0"/>
      <w:divBdr>
        <w:top w:val="none" w:sz="0" w:space="0" w:color="auto"/>
        <w:left w:val="none" w:sz="0" w:space="0" w:color="auto"/>
        <w:bottom w:val="none" w:sz="0" w:space="0" w:color="auto"/>
        <w:right w:val="none" w:sz="0" w:space="0" w:color="auto"/>
      </w:divBdr>
    </w:div>
    <w:div w:id="1915624444">
      <w:bodyDiv w:val="1"/>
      <w:marLeft w:val="0"/>
      <w:marRight w:val="0"/>
      <w:marTop w:val="0"/>
      <w:marBottom w:val="0"/>
      <w:divBdr>
        <w:top w:val="none" w:sz="0" w:space="0" w:color="auto"/>
        <w:left w:val="none" w:sz="0" w:space="0" w:color="auto"/>
        <w:bottom w:val="none" w:sz="0" w:space="0" w:color="auto"/>
        <w:right w:val="none" w:sz="0" w:space="0" w:color="auto"/>
      </w:divBdr>
    </w:div>
    <w:div w:id="1922984409">
      <w:bodyDiv w:val="1"/>
      <w:marLeft w:val="0"/>
      <w:marRight w:val="0"/>
      <w:marTop w:val="0"/>
      <w:marBottom w:val="0"/>
      <w:divBdr>
        <w:top w:val="none" w:sz="0" w:space="0" w:color="auto"/>
        <w:left w:val="none" w:sz="0" w:space="0" w:color="auto"/>
        <w:bottom w:val="none" w:sz="0" w:space="0" w:color="auto"/>
        <w:right w:val="none" w:sz="0" w:space="0" w:color="auto"/>
      </w:divBdr>
    </w:div>
    <w:div w:id="1926110090">
      <w:bodyDiv w:val="1"/>
      <w:marLeft w:val="0"/>
      <w:marRight w:val="0"/>
      <w:marTop w:val="0"/>
      <w:marBottom w:val="0"/>
      <w:divBdr>
        <w:top w:val="none" w:sz="0" w:space="0" w:color="auto"/>
        <w:left w:val="none" w:sz="0" w:space="0" w:color="auto"/>
        <w:bottom w:val="none" w:sz="0" w:space="0" w:color="auto"/>
        <w:right w:val="none" w:sz="0" w:space="0" w:color="auto"/>
      </w:divBdr>
      <w:divsChild>
        <w:div w:id="58136000">
          <w:marLeft w:val="0"/>
          <w:marRight w:val="0"/>
          <w:marTop w:val="0"/>
          <w:marBottom w:val="0"/>
          <w:divBdr>
            <w:top w:val="none" w:sz="0" w:space="0" w:color="auto"/>
            <w:left w:val="none" w:sz="0" w:space="0" w:color="auto"/>
            <w:bottom w:val="none" w:sz="0" w:space="0" w:color="auto"/>
            <w:right w:val="none" w:sz="0" w:space="0" w:color="auto"/>
          </w:divBdr>
          <w:divsChild>
            <w:div w:id="471824883">
              <w:marLeft w:val="0"/>
              <w:marRight w:val="0"/>
              <w:marTop w:val="0"/>
              <w:marBottom w:val="0"/>
              <w:divBdr>
                <w:top w:val="none" w:sz="0" w:space="0" w:color="auto"/>
                <w:left w:val="none" w:sz="0" w:space="0" w:color="auto"/>
                <w:bottom w:val="none" w:sz="0" w:space="0" w:color="auto"/>
                <w:right w:val="none" w:sz="0" w:space="0" w:color="auto"/>
              </w:divBdr>
              <w:divsChild>
                <w:div w:id="2034764311">
                  <w:marLeft w:val="0"/>
                  <w:marRight w:val="0"/>
                  <w:marTop w:val="0"/>
                  <w:marBottom w:val="0"/>
                  <w:divBdr>
                    <w:top w:val="none" w:sz="0" w:space="0" w:color="auto"/>
                    <w:left w:val="none" w:sz="0" w:space="0" w:color="auto"/>
                    <w:bottom w:val="none" w:sz="0" w:space="0" w:color="auto"/>
                    <w:right w:val="none" w:sz="0" w:space="0" w:color="auto"/>
                  </w:divBdr>
                  <w:divsChild>
                    <w:div w:id="11976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85841">
              <w:marLeft w:val="0"/>
              <w:marRight w:val="0"/>
              <w:marTop w:val="0"/>
              <w:marBottom w:val="0"/>
              <w:divBdr>
                <w:top w:val="none" w:sz="0" w:space="0" w:color="auto"/>
                <w:left w:val="none" w:sz="0" w:space="0" w:color="auto"/>
                <w:bottom w:val="none" w:sz="0" w:space="0" w:color="auto"/>
                <w:right w:val="none" w:sz="0" w:space="0" w:color="auto"/>
              </w:divBdr>
              <w:divsChild>
                <w:div w:id="5084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65900">
          <w:marLeft w:val="0"/>
          <w:marRight w:val="0"/>
          <w:marTop w:val="0"/>
          <w:marBottom w:val="0"/>
          <w:divBdr>
            <w:top w:val="none" w:sz="0" w:space="0" w:color="auto"/>
            <w:left w:val="none" w:sz="0" w:space="0" w:color="auto"/>
            <w:bottom w:val="none" w:sz="0" w:space="0" w:color="auto"/>
            <w:right w:val="none" w:sz="0" w:space="0" w:color="auto"/>
          </w:divBdr>
          <w:divsChild>
            <w:div w:id="942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26382">
      <w:bodyDiv w:val="1"/>
      <w:marLeft w:val="0"/>
      <w:marRight w:val="0"/>
      <w:marTop w:val="0"/>
      <w:marBottom w:val="0"/>
      <w:divBdr>
        <w:top w:val="none" w:sz="0" w:space="0" w:color="auto"/>
        <w:left w:val="none" w:sz="0" w:space="0" w:color="auto"/>
        <w:bottom w:val="none" w:sz="0" w:space="0" w:color="auto"/>
        <w:right w:val="none" w:sz="0" w:space="0" w:color="auto"/>
      </w:divBdr>
    </w:div>
    <w:div w:id="1967201109">
      <w:bodyDiv w:val="1"/>
      <w:marLeft w:val="0"/>
      <w:marRight w:val="0"/>
      <w:marTop w:val="0"/>
      <w:marBottom w:val="0"/>
      <w:divBdr>
        <w:top w:val="none" w:sz="0" w:space="0" w:color="auto"/>
        <w:left w:val="none" w:sz="0" w:space="0" w:color="auto"/>
        <w:bottom w:val="none" w:sz="0" w:space="0" w:color="auto"/>
        <w:right w:val="none" w:sz="0" w:space="0" w:color="auto"/>
      </w:divBdr>
    </w:div>
    <w:div w:id="2005278602">
      <w:bodyDiv w:val="1"/>
      <w:marLeft w:val="0"/>
      <w:marRight w:val="0"/>
      <w:marTop w:val="0"/>
      <w:marBottom w:val="0"/>
      <w:divBdr>
        <w:top w:val="none" w:sz="0" w:space="0" w:color="auto"/>
        <w:left w:val="none" w:sz="0" w:space="0" w:color="auto"/>
        <w:bottom w:val="none" w:sz="0" w:space="0" w:color="auto"/>
        <w:right w:val="none" w:sz="0" w:space="0" w:color="auto"/>
      </w:divBdr>
    </w:div>
    <w:div w:id="2060976155">
      <w:bodyDiv w:val="1"/>
      <w:marLeft w:val="0"/>
      <w:marRight w:val="0"/>
      <w:marTop w:val="0"/>
      <w:marBottom w:val="0"/>
      <w:divBdr>
        <w:top w:val="none" w:sz="0" w:space="0" w:color="auto"/>
        <w:left w:val="none" w:sz="0" w:space="0" w:color="auto"/>
        <w:bottom w:val="none" w:sz="0" w:space="0" w:color="auto"/>
        <w:right w:val="none" w:sz="0" w:space="0" w:color="auto"/>
      </w:divBdr>
    </w:div>
    <w:div w:id="211020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p2-BarrBudrovi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8" Type="http://schemas.openxmlformats.org/officeDocument/2006/relationships/hyperlink" Target="https://media.getty.edu/Text/00ae0cba-827f-5f1a-877e-86468937f24a.pdf" TargetMode="External"/><Relationship Id="rId3" Type="http://schemas.openxmlformats.org/officeDocument/2006/relationships/hyperlink" Target="https://eca.state.gov/cultural-heritage-center" TargetMode="External"/><Relationship Id="rId7" Type="http://schemas.openxmlformats.org/officeDocument/2006/relationships/hyperlink" Target="https://aamd.org/object-registry/new-acquisitions-of-archaeological-material-and-works-of-ancient-art/more-info" TargetMode="External"/><Relationship Id="rId2" Type="http://schemas.openxmlformats.org/officeDocument/2006/relationships/hyperlink" Target="https://treaties.un.org/pages/Overview.aspx?path=overview/glossary/page1_en.xml" TargetMode="External"/><Relationship Id="rId1" Type="http://schemas.openxmlformats.org/officeDocument/2006/relationships/hyperlink" Target="intro" TargetMode="External"/><Relationship Id="rId6" Type="http://schemas.openxmlformats.org/officeDocument/2006/relationships/hyperlink" Target="https://aamd.org/sites/default/files/document/AAMD%20Guidelines%202013.pdf" TargetMode="External"/><Relationship Id="rId5" Type="http://schemas.openxmlformats.org/officeDocument/2006/relationships/hyperlink" Target="https://www.ifar.org/icpoel.php" TargetMode="External"/><Relationship Id="rId10" Type="http://schemas.openxmlformats.org/officeDocument/2006/relationships/hyperlink" Target="https://www.interpol.int/en/Crimes/Cultural-heritage-crime/Stolen-Works-of-Art-Database" TargetMode="External"/><Relationship Id="rId4" Type="http://schemas.openxmlformats.org/officeDocument/2006/relationships/hyperlink" Target="https://eca.state.gov/cultural-heritage-center/cultural-property-advisory-committee/current-import-restrictions" TargetMode="External"/><Relationship Id="rId9" Type="http://schemas.openxmlformats.org/officeDocument/2006/relationships/hyperlink" Target="https://icom.museum/en/resources/red-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EA45D-FF5C-654A-9930-FC47FDEF0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37</Pages>
  <Words>6367</Words>
  <Characters>34706</Characters>
  <Application>Microsoft Office Word</Application>
  <DocSecurity>0</DocSecurity>
  <Lines>542</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Urice, Stephen K</dc:creator>
  <cp:keywords/>
  <dc:description/>
  <cp:lastModifiedBy>Rachel Barth</cp:lastModifiedBy>
  <cp:revision>4</cp:revision>
  <cp:lastPrinted>2024-10-09T21:00:00Z</cp:lastPrinted>
  <dcterms:created xsi:type="dcterms:W3CDTF">2025-07-10T19:34:00Z</dcterms:created>
  <dcterms:modified xsi:type="dcterms:W3CDTF">2025-07-10T22:00:00Z</dcterms:modified>
  <cp:category/>
</cp:coreProperties>
</file>