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12F45" w14:textId="77777777" w:rsidR="00810041" w:rsidRDefault="008100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380" w:lineRule="atLeast"/>
        <w:rPr>
          <w:sz w:val="24"/>
          <w:szCs w:val="24"/>
        </w:rPr>
      </w:pPr>
      <w:r>
        <w:rPr>
          <w:sz w:val="24"/>
          <w:szCs w:val="24"/>
        </w:rPr>
        <w:t>Cat.</w:t>
      </w:r>
      <w:r w:rsidR="00057057">
        <w:rPr>
          <w:sz w:val="24"/>
          <w:szCs w:val="24"/>
        </w:rPr>
        <w:t xml:space="preserve"> </w:t>
      </w:r>
      <w:r w:rsidR="00CB73D9">
        <w:rPr>
          <w:sz w:val="24"/>
          <w:szCs w:val="24"/>
        </w:rPr>
        <w:t>N</w:t>
      </w:r>
      <w:r>
        <w:rPr>
          <w:sz w:val="24"/>
          <w:szCs w:val="24"/>
        </w:rPr>
        <w:t>o</w:t>
      </w:r>
      <w:r w:rsidR="009B7EB6">
        <w:rPr>
          <w:sz w:val="24"/>
          <w:szCs w:val="24"/>
        </w:rPr>
        <w:t>.</w:t>
      </w:r>
      <w:r w:rsidR="00BB1A5B">
        <w:rPr>
          <w:sz w:val="24"/>
          <w:szCs w:val="24"/>
        </w:rPr>
        <w:t xml:space="preserve"> 4</w:t>
      </w:r>
      <w:r w:rsidR="00722A58">
        <w:rPr>
          <w:sz w:val="24"/>
          <w:szCs w:val="24"/>
        </w:rPr>
        <w:t>, Gillian Wilson</w:t>
      </w:r>
    </w:p>
    <w:p w14:paraId="760F4E18" w14:textId="77777777" w:rsidR="00810041" w:rsidRDefault="008100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380" w:lineRule="atLeast"/>
        <w:rPr>
          <w:sz w:val="24"/>
          <w:szCs w:val="24"/>
        </w:rPr>
      </w:pPr>
    </w:p>
    <w:p w14:paraId="4433DB71" w14:textId="77777777" w:rsidR="00D71224" w:rsidRDefault="00D71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380" w:lineRule="atLeast"/>
        <w:rPr>
          <w:sz w:val="24"/>
          <w:szCs w:val="24"/>
        </w:rPr>
      </w:pPr>
    </w:p>
    <w:p w14:paraId="1476471C" w14:textId="614C475F" w:rsidR="00810041" w:rsidRDefault="00A26CDB" w:rsidP="00EF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 xml:space="preserve">title: </w:t>
      </w:r>
      <w:r w:rsidR="00810041">
        <w:rPr>
          <w:sz w:val="24"/>
          <w:szCs w:val="24"/>
        </w:rPr>
        <w:t>Pair of corner cupboards</w:t>
      </w:r>
    </w:p>
    <w:p w14:paraId="1892B479" w14:textId="5A25A3E9" w:rsidR="00810041" w:rsidRDefault="00A26CDB" w:rsidP="00EF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 xml:space="preserve">place_date: </w:t>
      </w:r>
      <w:r w:rsidR="00D71224">
        <w:rPr>
          <w:sz w:val="24"/>
          <w:szCs w:val="24"/>
        </w:rPr>
        <w:t>French (Paris),</w:t>
      </w:r>
      <w:r w:rsidR="00CF2B2F">
        <w:rPr>
          <w:sz w:val="24"/>
          <w:szCs w:val="24"/>
        </w:rPr>
        <w:t xml:space="preserve"> about</w:t>
      </w:r>
      <w:r w:rsidR="00AA0D8B">
        <w:rPr>
          <w:sz w:val="24"/>
          <w:szCs w:val="24"/>
        </w:rPr>
        <w:t xml:space="preserve"> </w:t>
      </w:r>
      <w:r w:rsidR="00810041">
        <w:rPr>
          <w:sz w:val="24"/>
          <w:szCs w:val="24"/>
        </w:rPr>
        <w:t>1740</w:t>
      </w:r>
    </w:p>
    <w:p w14:paraId="4F223B61" w14:textId="6BAFDD4D" w:rsidR="00810041" w:rsidRDefault="00A26CDB" w:rsidP="00EF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 xml:space="preserve">attribution: </w:t>
      </w:r>
      <w:r w:rsidR="00810041">
        <w:rPr>
          <w:sz w:val="24"/>
          <w:szCs w:val="24"/>
        </w:rPr>
        <w:t xml:space="preserve">By Bernard </w:t>
      </w:r>
      <w:r w:rsidR="00AA0D8B">
        <w:rPr>
          <w:sz w:val="24"/>
          <w:szCs w:val="24"/>
        </w:rPr>
        <w:t xml:space="preserve">II </w:t>
      </w:r>
      <w:r w:rsidR="00810041">
        <w:rPr>
          <w:sz w:val="24"/>
          <w:szCs w:val="24"/>
        </w:rPr>
        <w:t xml:space="preserve">van Risenburgh </w:t>
      </w:r>
      <w:r w:rsidR="00090853">
        <w:rPr>
          <w:sz w:val="24"/>
          <w:szCs w:val="24"/>
        </w:rPr>
        <w:t>(French, after 1696</w:t>
      </w:r>
      <w:r w:rsidR="00A53A71">
        <w:rPr>
          <w:sz w:val="24"/>
          <w:szCs w:val="24"/>
        </w:rPr>
        <w:t>–ca.</w:t>
      </w:r>
      <w:r w:rsidR="00090853">
        <w:rPr>
          <w:sz w:val="24"/>
          <w:szCs w:val="24"/>
        </w:rPr>
        <w:t xml:space="preserve"> 1766, master before 1730)</w:t>
      </w:r>
    </w:p>
    <w:p w14:paraId="6F4CE5A2" w14:textId="19360F5B" w:rsidR="00D71224" w:rsidRDefault="00A26CDB" w:rsidP="00EF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 xml:space="preserve">materials: </w:t>
      </w:r>
      <w:r w:rsidR="009B7EB6">
        <w:rPr>
          <w:sz w:val="24"/>
          <w:szCs w:val="24"/>
        </w:rPr>
        <w:t>White o</w:t>
      </w:r>
      <w:r w:rsidR="00D71224">
        <w:rPr>
          <w:sz w:val="24"/>
          <w:szCs w:val="24"/>
        </w:rPr>
        <w:t>ak</w:t>
      </w:r>
      <w:r w:rsidR="00D00BE6">
        <w:rPr>
          <w:sz w:val="24"/>
          <w:szCs w:val="24"/>
        </w:rPr>
        <w:t>*</w:t>
      </w:r>
      <w:r w:rsidR="00D71224">
        <w:rPr>
          <w:sz w:val="24"/>
          <w:szCs w:val="24"/>
        </w:rPr>
        <w:t xml:space="preserve"> veneered with amaranth</w:t>
      </w:r>
      <w:r w:rsidR="00D00BE6">
        <w:rPr>
          <w:sz w:val="24"/>
          <w:szCs w:val="24"/>
        </w:rPr>
        <w:t>*</w:t>
      </w:r>
      <w:r w:rsidR="00D71224">
        <w:rPr>
          <w:sz w:val="24"/>
          <w:szCs w:val="24"/>
        </w:rPr>
        <w:t>, cherry</w:t>
      </w:r>
      <w:r w:rsidR="00D00BE6">
        <w:rPr>
          <w:sz w:val="24"/>
          <w:szCs w:val="24"/>
        </w:rPr>
        <w:t>*</w:t>
      </w:r>
      <w:r w:rsidR="00D71224">
        <w:rPr>
          <w:sz w:val="24"/>
          <w:szCs w:val="24"/>
        </w:rPr>
        <w:t>, and sycamore maple</w:t>
      </w:r>
      <w:r w:rsidR="00D00BE6">
        <w:rPr>
          <w:sz w:val="24"/>
          <w:szCs w:val="24"/>
        </w:rPr>
        <w:t>*</w:t>
      </w:r>
      <w:r w:rsidR="00D71224">
        <w:rPr>
          <w:sz w:val="24"/>
          <w:szCs w:val="24"/>
        </w:rPr>
        <w:t xml:space="preserve">, set with panels of black Japanese lacquer on Japanese </w:t>
      </w:r>
      <w:r w:rsidR="00D71224" w:rsidRPr="00D705AB">
        <w:rPr>
          <w:iCs/>
          <w:sz w:val="24"/>
          <w:szCs w:val="24"/>
        </w:rPr>
        <w:t>arborvitae</w:t>
      </w:r>
      <w:r w:rsidR="00D00BE6">
        <w:rPr>
          <w:i/>
          <w:sz w:val="24"/>
          <w:szCs w:val="24"/>
        </w:rPr>
        <w:t>*</w:t>
      </w:r>
      <w:r w:rsidR="00D71224" w:rsidRPr="00A26CDB">
        <w:rPr>
          <w:iCs/>
          <w:sz w:val="24"/>
          <w:szCs w:val="24"/>
        </w:rPr>
        <w:t xml:space="preserve">, </w:t>
      </w:r>
      <w:r w:rsidR="00D71224">
        <w:rPr>
          <w:sz w:val="24"/>
          <w:szCs w:val="24"/>
        </w:rPr>
        <w:t xml:space="preserve">and </w:t>
      </w:r>
      <w:r w:rsidR="00D71224" w:rsidRPr="00496866">
        <w:rPr>
          <w:sz w:val="24"/>
          <w:szCs w:val="24"/>
        </w:rPr>
        <w:t>painted with</w:t>
      </w:r>
      <w:r w:rsidR="00D71224" w:rsidRPr="00496866">
        <w:rPr>
          <w:i/>
          <w:sz w:val="24"/>
          <w:szCs w:val="24"/>
        </w:rPr>
        <w:t xml:space="preserve"> </w:t>
      </w:r>
      <w:r w:rsidR="00496866">
        <w:rPr>
          <w:sz w:val="24"/>
          <w:szCs w:val="24"/>
        </w:rPr>
        <w:t>European lacquer</w:t>
      </w:r>
      <w:r w:rsidR="00D71224">
        <w:rPr>
          <w:sz w:val="24"/>
          <w:szCs w:val="24"/>
        </w:rPr>
        <w:t xml:space="preserve">; gilt bronze mounts; brass and iron hardware and lock; </w:t>
      </w:r>
      <w:r w:rsidR="00D71224">
        <w:rPr>
          <w:i/>
          <w:sz w:val="24"/>
          <w:szCs w:val="24"/>
        </w:rPr>
        <w:t>sarrancolin</w:t>
      </w:r>
      <w:r w:rsidR="00D71224">
        <w:rPr>
          <w:sz w:val="24"/>
          <w:szCs w:val="24"/>
        </w:rPr>
        <w:t xml:space="preserve"> marble tops</w:t>
      </w:r>
    </w:p>
    <w:p w14:paraId="7412592E" w14:textId="001841C1" w:rsidR="00810041" w:rsidRDefault="00A26CDB" w:rsidP="00EF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 xml:space="preserve">dimensions: </w:t>
      </w:r>
      <w:r w:rsidR="00810041">
        <w:rPr>
          <w:sz w:val="24"/>
          <w:szCs w:val="24"/>
        </w:rPr>
        <w:t xml:space="preserve">H: 3 ft. 3 </w:t>
      </w:r>
      <w:r w:rsidR="00AA0D8B">
        <w:rPr>
          <w:sz w:val="24"/>
          <w:szCs w:val="24"/>
        </w:rPr>
        <w:t xml:space="preserve">1/8 </w:t>
      </w:r>
      <w:r w:rsidR="00810041">
        <w:rPr>
          <w:sz w:val="24"/>
          <w:szCs w:val="24"/>
        </w:rPr>
        <w:t>in., W: 2 ft. 10 3/4 in., D: 2 ft. 1/</w:t>
      </w:r>
      <w:r w:rsidR="00AA0D8B">
        <w:rPr>
          <w:sz w:val="24"/>
          <w:szCs w:val="24"/>
        </w:rPr>
        <w:t>8</w:t>
      </w:r>
      <w:r w:rsidR="00810041">
        <w:rPr>
          <w:sz w:val="24"/>
          <w:szCs w:val="24"/>
        </w:rPr>
        <w:t xml:space="preserve"> in. (99.4 x 88.3 x 61.</w:t>
      </w:r>
      <w:r w:rsidR="00AA0D8B">
        <w:rPr>
          <w:sz w:val="24"/>
          <w:szCs w:val="24"/>
        </w:rPr>
        <w:t>3</w:t>
      </w:r>
      <w:r w:rsidR="00810041">
        <w:rPr>
          <w:sz w:val="24"/>
          <w:szCs w:val="24"/>
        </w:rPr>
        <w:t xml:space="preserve"> cm).</w:t>
      </w:r>
    </w:p>
    <w:p w14:paraId="7EF4381D" w14:textId="3AF5CA36" w:rsidR="00810041" w:rsidRDefault="00A26CDB" w:rsidP="00EF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 xml:space="preserve">accession_number: </w:t>
      </w:r>
      <w:r w:rsidR="00810041">
        <w:rPr>
          <w:sz w:val="24"/>
          <w:szCs w:val="24"/>
        </w:rPr>
        <w:t>72.DA.44</w:t>
      </w:r>
      <w:r w:rsidR="00AA0D8B">
        <w:rPr>
          <w:sz w:val="24"/>
          <w:szCs w:val="24"/>
        </w:rPr>
        <w:t xml:space="preserve">.1 </w:t>
      </w:r>
      <w:r>
        <w:rPr>
          <w:sz w:val="24"/>
          <w:szCs w:val="24"/>
        </w:rPr>
        <w:t>and</w:t>
      </w:r>
      <w:r w:rsidR="00AA0D8B">
        <w:rPr>
          <w:sz w:val="24"/>
          <w:szCs w:val="24"/>
        </w:rPr>
        <w:t xml:space="preserve"> .2</w:t>
      </w:r>
    </w:p>
    <w:p w14:paraId="7A199ADB" w14:textId="77777777" w:rsidR="00810041" w:rsidRDefault="008100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380" w:lineRule="atLeast"/>
        <w:rPr>
          <w:sz w:val="24"/>
          <w:szCs w:val="24"/>
        </w:rPr>
      </w:pPr>
    </w:p>
    <w:p w14:paraId="4356BA2C" w14:textId="77777777" w:rsidR="00810041" w:rsidRPr="00A26CDB" w:rsidRDefault="00810041" w:rsidP="00556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b/>
          <w:bCs/>
          <w:i/>
          <w:iCs/>
          <w:sz w:val="24"/>
          <w:szCs w:val="24"/>
        </w:rPr>
      </w:pPr>
      <w:r w:rsidRPr="00A26CDB">
        <w:rPr>
          <w:b/>
          <w:bCs/>
          <w:i/>
          <w:iCs/>
          <w:sz w:val="24"/>
          <w:szCs w:val="24"/>
        </w:rPr>
        <w:t>Description</w:t>
      </w:r>
    </w:p>
    <w:p w14:paraId="7130F223" w14:textId="6C528407" w:rsidR="00810041" w:rsidRDefault="00810041" w:rsidP="00556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Each rectangular corner cupboard has a bowed front and is supported on four short legs. The top</w:t>
      </w:r>
      <w:r w:rsidR="00D71224">
        <w:rPr>
          <w:sz w:val="24"/>
          <w:szCs w:val="24"/>
        </w:rPr>
        <w:t>s</w:t>
      </w:r>
      <w:r>
        <w:rPr>
          <w:sz w:val="24"/>
          <w:szCs w:val="24"/>
        </w:rPr>
        <w:t xml:space="preserve"> </w:t>
      </w:r>
      <w:r w:rsidR="00D71224">
        <w:rPr>
          <w:sz w:val="24"/>
          <w:szCs w:val="24"/>
        </w:rPr>
        <w:t>are</w:t>
      </w:r>
      <w:r>
        <w:rPr>
          <w:sz w:val="24"/>
          <w:szCs w:val="24"/>
        </w:rPr>
        <w:t xml:space="preserve"> of </w:t>
      </w:r>
      <w:r w:rsidRPr="00D71224">
        <w:rPr>
          <w:i/>
          <w:sz w:val="24"/>
          <w:szCs w:val="24"/>
        </w:rPr>
        <w:t>sarrancolin</w:t>
      </w:r>
      <w:r>
        <w:rPr>
          <w:sz w:val="24"/>
          <w:szCs w:val="24"/>
        </w:rPr>
        <w:t xml:space="preserve"> marble and </w:t>
      </w:r>
      <w:r w:rsidR="00D71224">
        <w:rPr>
          <w:sz w:val="24"/>
          <w:szCs w:val="24"/>
        </w:rPr>
        <w:t>are</w:t>
      </w:r>
      <w:r>
        <w:rPr>
          <w:sz w:val="24"/>
          <w:szCs w:val="24"/>
        </w:rPr>
        <w:t xml:space="preserve"> cut to conforming shape and </w:t>
      </w:r>
      <w:r w:rsidR="00D71224">
        <w:rPr>
          <w:sz w:val="24"/>
          <w:szCs w:val="24"/>
        </w:rPr>
        <w:t>have</w:t>
      </w:r>
      <w:r>
        <w:rPr>
          <w:sz w:val="24"/>
          <w:szCs w:val="24"/>
        </w:rPr>
        <w:t xml:space="preserve"> a molded fore edge. The facade</w:t>
      </w:r>
      <w:r w:rsidR="00450938">
        <w:rPr>
          <w:sz w:val="24"/>
          <w:szCs w:val="24"/>
        </w:rPr>
        <w:t>s</w:t>
      </w:r>
      <w:r>
        <w:rPr>
          <w:sz w:val="24"/>
          <w:szCs w:val="24"/>
        </w:rPr>
        <w:t xml:space="preserve"> of the corner cupboard</w:t>
      </w:r>
      <w:r w:rsidR="00D71224">
        <w:rPr>
          <w:sz w:val="24"/>
          <w:szCs w:val="24"/>
        </w:rPr>
        <w:t>s</w:t>
      </w:r>
      <w:r>
        <w:rPr>
          <w:sz w:val="24"/>
          <w:szCs w:val="24"/>
        </w:rPr>
        <w:t xml:space="preserve"> </w:t>
      </w:r>
      <w:r w:rsidR="00D71224">
        <w:rPr>
          <w:sz w:val="24"/>
          <w:szCs w:val="24"/>
        </w:rPr>
        <w:t>are</w:t>
      </w:r>
      <w:r>
        <w:rPr>
          <w:sz w:val="24"/>
          <w:szCs w:val="24"/>
        </w:rPr>
        <w:t xml:space="preserve"> occupied by two doors, </w:t>
      </w:r>
      <w:r w:rsidR="00CB73D9">
        <w:rPr>
          <w:sz w:val="24"/>
          <w:szCs w:val="24"/>
        </w:rPr>
        <w:t xml:space="preserve">with </w:t>
      </w:r>
      <w:r>
        <w:rPr>
          <w:sz w:val="24"/>
          <w:szCs w:val="24"/>
        </w:rPr>
        <w:t>the lock</w:t>
      </w:r>
      <w:r w:rsidR="00BD3AD2">
        <w:rPr>
          <w:sz w:val="24"/>
          <w:szCs w:val="24"/>
        </w:rPr>
        <w:t xml:space="preserve"> on the right door</w:t>
      </w:r>
      <w:r>
        <w:rPr>
          <w:sz w:val="24"/>
          <w:szCs w:val="24"/>
        </w:rPr>
        <w:t>.</w:t>
      </w:r>
    </w:p>
    <w:p w14:paraId="7DC625D7" w14:textId="33BBFE05" w:rsidR="00810041" w:rsidRDefault="00810041" w:rsidP="00556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ab/>
        <w:t xml:space="preserve">Each door carries a large mount </w:t>
      </w:r>
      <w:r w:rsidR="00CB73D9">
        <w:rPr>
          <w:sz w:val="24"/>
          <w:szCs w:val="24"/>
        </w:rPr>
        <w:t xml:space="preserve">that </w:t>
      </w:r>
      <w:r>
        <w:rPr>
          <w:sz w:val="24"/>
          <w:szCs w:val="24"/>
        </w:rPr>
        <w:t xml:space="preserve">frames the lacquer panel with which it is veneered. </w:t>
      </w:r>
      <w:r w:rsidR="00782C2E">
        <w:rPr>
          <w:sz w:val="24"/>
          <w:szCs w:val="24"/>
        </w:rPr>
        <w:t xml:space="preserve">The mount </w:t>
      </w:r>
      <w:r>
        <w:rPr>
          <w:sz w:val="24"/>
          <w:szCs w:val="24"/>
        </w:rPr>
        <w:t>consists of flat interlocking C</w:t>
      </w:r>
      <w:r w:rsidR="00CB73D9">
        <w:rPr>
          <w:sz w:val="24"/>
          <w:szCs w:val="24"/>
        </w:rPr>
        <w:t>-</w:t>
      </w:r>
      <w:r>
        <w:rPr>
          <w:sz w:val="24"/>
          <w:szCs w:val="24"/>
        </w:rPr>
        <w:t xml:space="preserve"> and S-scrolls bordered by flame motifs and smaller inner C-scrolls above, a climbing plant bearing berried stems emerging from leafy corollas</w:t>
      </w:r>
      <w:r w:rsidR="00CB73D9">
        <w:rPr>
          <w:sz w:val="24"/>
          <w:szCs w:val="24"/>
        </w:rPr>
        <w:t>,</w:t>
      </w:r>
      <w:r>
        <w:rPr>
          <w:sz w:val="24"/>
          <w:szCs w:val="24"/>
        </w:rPr>
        <w:t xml:space="preserve"> and a twining branch below. The right</w:t>
      </w:r>
      <w:r w:rsidR="00450938">
        <w:rPr>
          <w:sz w:val="24"/>
          <w:szCs w:val="24"/>
        </w:rPr>
        <w:t>-</w:t>
      </w:r>
      <w:r>
        <w:rPr>
          <w:sz w:val="24"/>
          <w:szCs w:val="24"/>
        </w:rPr>
        <w:t>hand door</w:t>
      </w:r>
      <w:r w:rsidR="00D71224">
        <w:rPr>
          <w:sz w:val="24"/>
          <w:szCs w:val="24"/>
        </w:rPr>
        <w:t>s carry</w:t>
      </w:r>
      <w:r>
        <w:rPr>
          <w:sz w:val="24"/>
          <w:szCs w:val="24"/>
        </w:rPr>
        <w:t xml:space="preserve"> the overlapping central mounts of the lower and upper frame. The mount above consists of a central cabochon topped by five feathers, all set on a stippled ground and framed by foliate C</w:t>
      </w:r>
      <w:r w:rsidR="00CB73D9">
        <w:rPr>
          <w:sz w:val="24"/>
          <w:szCs w:val="24"/>
        </w:rPr>
        <w:t>-</w:t>
      </w:r>
      <w:r>
        <w:rPr>
          <w:sz w:val="24"/>
          <w:szCs w:val="24"/>
        </w:rPr>
        <w:t>scrolls. Below hangs a berry</w:t>
      </w:r>
      <w:r w:rsidR="00CB73D9">
        <w:rPr>
          <w:sz w:val="24"/>
          <w:szCs w:val="24"/>
        </w:rPr>
        <w:t>-</w:t>
      </w:r>
      <w:r>
        <w:rPr>
          <w:sz w:val="24"/>
          <w:szCs w:val="24"/>
        </w:rPr>
        <w:t>filled leaf cup. The mount at the center of the lower frame consists of a large trilobed cabochon surrounded by flame motifs and flanked by foliate scrolls.</w:t>
      </w:r>
    </w:p>
    <w:p w14:paraId="35A6B67F" w14:textId="01226945" w:rsidR="00810041" w:rsidRDefault="00810041" w:rsidP="00556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lastRenderedPageBreak/>
        <w:tab/>
        <w:t>The upper corners of the frame are set, between ad</w:t>
      </w:r>
      <w:r w:rsidR="00D705AB">
        <w:rPr>
          <w:sz w:val="24"/>
          <w:szCs w:val="24"/>
        </w:rPr>
        <w:t>d</w:t>
      </w:r>
      <w:r>
        <w:rPr>
          <w:sz w:val="24"/>
          <w:szCs w:val="24"/>
        </w:rPr>
        <w:t xml:space="preserve">orsed C-scrolls, with foliate mounts that extend toward the corners of the doors. Each consists of a leafy corolla bearing a seedpod and leafy twigs. </w:t>
      </w:r>
      <w:r w:rsidR="00CB73D9">
        <w:rPr>
          <w:sz w:val="24"/>
          <w:szCs w:val="24"/>
        </w:rPr>
        <w:t>Carrying berries and leaves</w:t>
      </w:r>
      <w:r>
        <w:rPr>
          <w:sz w:val="24"/>
          <w:szCs w:val="24"/>
        </w:rPr>
        <w:t>, a</w:t>
      </w:r>
      <w:r w:rsidR="00CB73D9">
        <w:rPr>
          <w:sz w:val="24"/>
          <w:szCs w:val="24"/>
        </w:rPr>
        <w:t>nother</w:t>
      </w:r>
      <w:r>
        <w:rPr>
          <w:sz w:val="24"/>
          <w:szCs w:val="24"/>
        </w:rPr>
        <w:t xml:space="preserve"> corolla extends</w:t>
      </w:r>
      <w:r w:rsidR="00CB73D9">
        <w:rPr>
          <w:sz w:val="24"/>
          <w:szCs w:val="24"/>
        </w:rPr>
        <w:t xml:space="preserve"> from below</w:t>
      </w:r>
      <w:r>
        <w:rPr>
          <w:sz w:val="24"/>
          <w:szCs w:val="24"/>
        </w:rPr>
        <w:t>. The keyhole is surrounded by a large pierced escutcheon backed by a shaped extension of the edge of the right door. It consists of a curved cabochon held between leafy scrolls, topped by a fan o</w:t>
      </w:r>
      <w:r w:rsidR="00CB73D9">
        <w:rPr>
          <w:sz w:val="24"/>
          <w:szCs w:val="24"/>
        </w:rPr>
        <w:t>r</w:t>
      </w:r>
      <w:r>
        <w:rPr>
          <w:sz w:val="24"/>
          <w:szCs w:val="24"/>
        </w:rPr>
        <w:t xml:space="preserve"> shell motif. Below hangs a pendant of corollas of diminishing size between two pierced C-scrolls that are edged with cartilaginous </w:t>
      </w:r>
      <w:r w:rsidR="00450938">
        <w:rPr>
          <w:sz w:val="24"/>
          <w:szCs w:val="24"/>
        </w:rPr>
        <w:t>shellwork</w:t>
      </w:r>
      <w:r>
        <w:rPr>
          <w:sz w:val="24"/>
          <w:szCs w:val="24"/>
        </w:rPr>
        <w:t>. The arrangement terminates in a curled leaf.</w:t>
      </w:r>
    </w:p>
    <w:p w14:paraId="57B3F6AF" w14:textId="3F1C1E5F" w:rsidR="00810041" w:rsidRDefault="00810041" w:rsidP="00556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ab/>
      </w:r>
      <w:r w:rsidR="00CB73D9">
        <w:rPr>
          <w:sz w:val="24"/>
          <w:szCs w:val="24"/>
        </w:rPr>
        <w:t>Serving as a central foot, t</w:t>
      </w:r>
      <w:r>
        <w:rPr>
          <w:sz w:val="24"/>
          <w:szCs w:val="24"/>
        </w:rPr>
        <w:t xml:space="preserve">he apron is set with a large pierced mount consisting of a central rising leafy branch flanked by large C-scrolls supported by </w:t>
      </w:r>
      <w:r w:rsidR="00CB73D9">
        <w:rPr>
          <w:sz w:val="24"/>
          <w:szCs w:val="24"/>
        </w:rPr>
        <w:t xml:space="preserve">more </w:t>
      </w:r>
      <w:r>
        <w:rPr>
          <w:sz w:val="24"/>
          <w:szCs w:val="24"/>
        </w:rPr>
        <w:t>foliate C</w:t>
      </w:r>
      <w:r w:rsidR="00CB73D9">
        <w:rPr>
          <w:sz w:val="24"/>
          <w:szCs w:val="24"/>
        </w:rPr>
        <w:t>-</w:t>
      </w:r>
      <w:r>
        <w:rPr>
          <w:sz w:val="24"/>
          <w:szCs w:val="24"/>
        </w:rPr>
        <w:t xml:space="preserve"> and S-scrolls. The outer surfaces of the short legs are also set with pierced mounts. Each takes the form of a large C-scroll set on its outer edge with a shell-like border, all set against a vertical S-scroll. The inner edge of the foot mount consists of foliate scrolls above a double C-scroll, which together frame the inner profile of the leg.</w:t>
      </w:r>
    </w:p>
    <w:p w14:paraId="2E0B7B88" w14:textId="6944F69E" w:rsidR="00810041" w:rsidRDefault="00810041" w:rsidP="00556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ab/>
        <w:t>The vertical gap between the doors is covered by a gilt</w:t>
      </w:r>
      <w:r w:rsidR="00450938">
        <w:rPr>
          <w:sz w:val="24"/>
          <w:szCs w:val="24"/>
        </w:rPr>
        <w:t xml:space="preserve"> </w:t>
      </w:r>
      <w:r>
        <w:rPr>
          <w:sz w:val="24"/>
          <w:szCs w:val="24"/>
        </w:rPr>
        <w:t>bronze strip attached to the edge of the right</w:t>
      </w:r>
      <w:r w:rsidR="00450938">
        <w:rPr>
          <w:sz w:val="24"/>
          <w:szCs w:val="24"/>
        </w:rPr>
        <w:t>-</w:t>
      </w:r>
      <w:r>
        <w:rPr>
          <w:sz w:val="24"/>
          <w:szCs w:val="24"/>
        </w:rPr>
        <w:t>hand door. The edges of the strip undulate and carry a short flame motif border. The center of the strip is set with a repeating arrangement of two cabochons between small leafy twigs, all set on a rippled</w:t>
      </w:r>
      <w:r w:rsidR="00CB73D9">
        <w:rPr>
          <w:sz w:val="24"/>
          <w:szCs w:val="24"/>
        </w:rPr>
        <w:t>,</w:t>
      </w:r>
      <w:r>
        <w:rPr>
          <w:sz w:val="24"/>
          <w:szCs w:val="24"/>
        </w:rPr>
        <w:t xml:space="preserve"> shell-like ground. A simple gilt</w:t>
      </w:r>
      <w:r w:rsidR="00250740">
        <w:rPr>
          <w:sz w:val="24"/>
          <w:szCs w:val="24"/>
        </w:rPr>
        <w:t xml:space="preserve"> </w:t>
      </w:r>
      <w:r>
        <w:rPr>
          <w:sz w:val="24"/>
          <w:szCs w:val="24"/>
        </w:rPr>
        <w:t>bronze molding runs horizontally above the doors and down the outer edges of the front. A wider molding runs below the doors. The panel of lacquer on the left</w:t>
      </w:r>
      <w:r w:rsidR="00450938">
        <w:rPr>
          <w:sz w:val="24"/>
          <w:szCs w:val="24"/>
        </w:rPr>
        <w:t>-</w:t>
      </w:r>
      <w:r>
        <w:rPr>
          <w:sz w:val="24"/>
          <w:szCs w:val="24"/>
        </w:rPr>
        <w:t xml:space="preserve">hand door of .1 </w:t>
      </w:r>
      <w:r w:rsidR="0097392C">
        <w:rPr>
          <w:sz w:val="24"/>
          <w:szCs w:val="24"/>
        </w:rPr>
        <w:t>depicts</w:t>
      </w:r>
      <w:r>
        <w:rPr>
          <w:sz w:val="24"/>
          <w:szCs w:val="24"/>
        </w:rPr>
        <w:t xml:space="preserve"> in the foreground and the middle ground a rocky shoreline against which waves break. In the background a temple stands on a rocky mountain planted with trees and bushes. Below is a series of low buildings</w:t>
      </w:r>
      <w:r w:rsidR="00CB73D9">
        <w:rPr>
          <w:sz w:val="24"/>
          <w:szCs w:val="24"/>
        </w:rPr>
        <w:t xml:space="preserve">; </w:t>
      </w:r>
      <w:r>
        <w:rPr>
          <w:sz w:val="24"/>
          <w:szCs w:val="24"/>
        </w:rPr>
        <w:t>two buildings with thatched roofs stand on the shore.</w:t>
      </w:r>
    </w:p>
    <w:p w14:paraId="3236EB99" w14:textId="77777777" w:rsidR="00C42DFE" w:rsidRDefault="00810041" w:rsidP="00556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ab/>
        <w:t xml:space="preserve">The scene continues, with a slight gap, on the door on the right. Waves break on a similarly </w:t>
      </w:r>
      <w:r>
        <w:rPr>
          <w:sz w:val="24"/>
          <w:szCs w:val="24"/>
        </w:rPr>
        <w:lastRenderedPageBreak/>
        <w:t>rocky shore, planted with grasses, bamboo, various coniferous trees</w:t>
      </w:r>
      <w:r w:rsidR="003B372F">
        <w:rPr>
          <w:sz w:val="24"/>
          <w:szCs w:val="24"/>
        </w:rPr>
        <w:t>,</w:t>
      </w:r>
      <w:r>
        <w:rPr>
          <w:sz w:val="24"/>
          <w:szCs w:val="24"/>
        </w:rPr>
        <w:t xml:space="preserve"> and a shrub bearing red berries. Two </w:t>
      </w:r>
      <w:r w:rsidRPr="00496866">
        <w:rPr>
          <w:sz w:val="24"/>
          <w:szCs w:val="24"/>
        </w:rPr>
        <w:t>pheasants</w:t>
      </w:r>
      <w:r>
        <w:rPr>
          <w:sz w:val="24"/>
          <w:szCs w:val="24"/>
        </w:rPr>
        <w:t xml:space="preserve"> are perched on the top of the highest rock. The background is empty. </w:t>
      </w:r>
    </w:p>
    <w:p w14:paraId="098ECFB9" w14:textId="7FF914CF" w:rsidR="00810041" w:rsidRDefault="00C42DFE" w:rsidP="00556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ab/>
      </w:r>
      <w:r w:rsidR="00810041">
        <w:rPr>
          <w:sz w:val="24"/>
          <w:szCs w:val="24"/>
        </w:rPr>
        <w:t>The panel of lacquer on the left</w:t>
      </w:r>
      <w:r w:rsidR="003B372F">
        <w:rPr>
          <w:sz w:val="24"/>
          <w:szCs w:val="24"/>
        </w:rPr>
        <w:t>-</w:t>
      </w:r>
      <w:r w:rsidR="00810041">
        <w:rPr>
          <w:sz w:val="24"/>
          <w:szCs w:val="24"/>
        </w:rPr>
        <w:t xml:space="preserve">hand door of .2 </w:t>
      </w:r>
      <w:r w:rsidR="00D71224">
        <w:rPr>
          <w:sz w:val="24"/>
          <w:szCs w:val="24"/>
        </w:rPr>
        <w:t xml:space="preserve">shows </w:t>
      </w:r>
      <w:r w:rsidR="00810041">
        <w:rPr>
          <w:sz w:val="24"/>
          <w:szCs w:val="24"/>
        </w:rPr>
        <w:t xml:space="preserve">waves breaking on a hilly shore, planted with grasses and leafy shrubs. A magnolia tree spreads its branches to either side of a dead willow. Spotted deer, a buck and a doe, stand below the tree. </w:t>
      </w:r>
      <w:r w:rsidR="00D71224">
        <w:rPr>
          <w:sz w:val="24"/>
          <w:szCs w:val="24"/>
        </w:rPr>
        <w:t>The background is empty</w:t>
      </w:r>
      <w:r w:rsidR="00810041">
        <w:rPr>
          <w:sz w:val="24"/>
          <w:szCs w:val="24"/>
        </w:rPr>
        <w:t>.</w:t>
      </w:r>
    </w:p>
    <w:p w14:paraId="46C3B257" w14:textId="7137BEC1" w:rsidR="00810041" w:rsidRDefault="00810041" w:rsidP="00556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ab/>
        <w:t>Th</w:t>
      </w:r>
      <w:r w:rsidR="00D71224">
        <w:rPr>
          <w:sz w:val="24"/>
          <w:szCs w:val="24"/>
        </w:rPr>
        <w:t>e right</w:t>
      </w:r>
      <w:r w:rsidR="003B372F">
        <w:rPr>
          <w:sz w:val="24"/>
          <w:szCs w:val="24"/>
        </w:rPr>
        <w:t>-</w:t>
      </w:r>
      <w:r w:rsidR="00D71224">
        <w:rPr>
          <w:sz w:val="24"/>
          <w:szCs w:val="24"/>
        </w:rPr>
        <w:t xml:space="preserve">hand door illustrates </w:t>
      </w:r>
      <w:r>
        <w:rPr>
          <w:sz w:val="24"/>
          <w:szCs w:val="24"/>
        </w:rPr>
        <w:t>waves breaking in an inlet, which is set with three low</w:t>
      </w:r>
      <w:r w:rsidR="003B372F">
        <w:rPr>
          <w:sz w:val="24"/>
          <w:szCs w:val="24"/>
        </w:rPr>
        <w:t>,</w:t>
      </w:r>
      <w:r>
        <w:rPr>
          <w:sz w:val="24"/>
          <w:szCs w:val="24"/>
        </w:rPr>
        <w:t xml:space="preserve"> roofed buildings backed by trees. In the middle ground a temple stands on a high rock backed by trees of various species. In front of the building stand two stags and a doe. In the background is a higher mountain, painted with both gnarled and flowering trees.</w:t>
      </w:r>
    </w:p>
    <w:p w14:paraId="5C9D8E0B" w14:textId="77777777" w:rsidR="00810041" w:rsidRDefault="00810041" w:rsidP="00556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ab/>
        <w:t xml:space="preserve">The remaining surfaces of the facades of each corner cupboard are painted with black </w:t>
      </w:r>
      <w:r w:rsidR="00496866">
        <w:rPr>
          <w:sz w:val="24"/>
          <w:szCs w:val="24"/>
        </w:rPr>
        <w:t>European lacquer</w:t>
      </w:r>
      <w:r>
        <w:rPr>
          <w:sz w:val="24"/>
          <w:szCs w:val="24"/>
        </w:rPr>
        <w:t>. The upper friezes are outlined by frames of gold pa</w:t>
      </w:r>
      <w:r w:rsidR="00D71224">
        <w:rPr>
          <w:sz w:val="24"/>
          <w:szCs w:val="24"/>
        </w:rPr>
        <w:t xml:space="preserve">int. </w:t>
      </w:r>
      <w:r>
        <w:rPr>
          <w:sz w:val="24"/>
          <w:szCs w:val="24"/>
        </w:rPr>
        <w:t>Similar borders outline the entire lower sections of the corner cupboards, consisting of the feet and the aprons.</w:t>
      </w:r>
    </w:p>
    <w:p w14:paraId="235F1F0E" w14:textId="573076B6" w:rsidR="00810041" w:rsidRDefault="00810041" w:rsidP="00556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ab/>
        <w:t xml:space="preserve">The inside surfaces of the doors are veneered with cherry </w:t>
      </w:r>
      <w:r w:rsidR="001862C8">
        <w:rPr>
          <w:sz w:val="24"/>
          <w:szCs w:val="24"/>
        </w:rPr>
        <w:t xml:space="preserve">and </w:t>
      </w:r>
      <w:r>
        <w:rPr>
          <w:sz w:val="24"/>
          <w:szCs w:val="24"/>
        </w:rPr>
        <w:t>set with frames of amaranth. Each interior is fitted with two fixed shelves</w:t>
      </w:r>
      <w:r w:rsidR="00FB20DA">
        <w:rPr>
          <w:sz w:val="24"/>
          <w:szCs w:val="24"/>
        </w:rPr>
        <w:t xml:space="preserve"> (</w:t>
      </w:r>
      <w:hyperlink w:anchor="fig-4-1" w:history="1">
        <w:r w:rsidR="00A26CDB" w:rsidRPr="00095E4A">
          <w:rPr>
            <w:rStyle w:val="Hyperlink"/>
            <w:sz w:val="24"/>
            <w:szCs w:val="24"/>
          </w:rPr>
          <w:t>f</w:t>
        </w:r>
        <w:r w:rsidR="00FB20DA" w:rsidRPr="00095E4A">
          <w:rPr>
            <w:rStyle w:val="Hyperlink"/>
            <w:sz w:val="24"/>
            <w:szCs w:val="24"/>
          </w:rPr>
          <w:t>ig. 4-1</w:t>
        </w:r>
      </w:hyperlink>
      <w:r w:rsidR="00FB20DA">
        <w:rPr>
          <w:sz w:val="24"/>
          <w:szCs w:val="24"/>
        </w:rPr>
        <w:t>)</w:t>
      </w:r>
      <w:r>
        <w:rPr>
          <w:sz w:val="24"/>
          <w:szCs w:val="24"/>
        </w:rPr>
        <w:t>.</w:t>
      </w:r>
    </w:p>
    <w:p w14:paraId="13371483" w14:textId="77777777" w:rsidR="00810041" w:rsidRDefault="00810041" w:rsidP="00556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p>
    <w:p w14:paraId="431A9073" w14:textId="77777777" w:rsidR="00CB73D9" w:rsidRPr="00CD2343" w:rsidRDefault="00CB73D9" w:rsidP="00556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b/>
          <w:bCs/>
          <w:i/>
          <w:iCs/>
          <w:sz w:val="24"/>
          <w:szCs w:val="24"/>
        </w:rPr>
      </w:pPr>
      <w:r w:rsidRPr="00CD2343">
        <w:rPr>
          <w:b/>
          <w:bCs/>
          <w:i/>
          <w:iCs/>
          <w:sz w:val="24"/>
          <w:szCs w:val="24"/>
        </w:rPr>
        <w:t>Marks</w:t>
      </w:r>
    </w:p>
    <w:p w14:paraId="6D2461B8" w14:textId="21D7C812" w:rsidR="00CB73D9" w:rsidRDefault="0055699B" w:rsidP="00556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 xml:space="preserve">Each </w:t>
      </w:r>
      <w:r w:rsidR="00CB73D9">
        <w:rPr>
          <w:sz w:val="24"/>
          <w:szCs w:val="24"/>
        </w:rPr>
        <w:t>cupboard</w:t>
      </w:r>
      <w:r w:rsidR="00AC6F1B">
        <w:rPr>
          <w:sz w:val="24"/>
          <w:szCs w:val="24"/>
        </w:rPr>
        <w:t xml:space="preserve"> is</w:t>
      </w:r>
      <w:r w:rsidR="00CB73D9">
        <w:rPr>
          <w:sz w:val="24"/>
          <w:szCs w:val="24"/>
        </w:rPr>
        <w:t xml:space="preserve"> stamped </w:t>
      </w:r>
      <w:r>
        <w:rPr>
          <w:sz w:val="24"/>
          <w:szCs w:val="24"/>
        </w:rPr>
        <w:t>“</w:t>
      </w:r>
      <w:r w:rsidR="00CB73D9">
        <w:rPr>
          <w:sz w:val="24"/>
          <w:szCs w:val="24"/>
        </w:rPr>
        <w:t>B</w:t>
      </w:r>
      <w:r w:rsidR="00A26CDB">
        <w:rPr>
          <w:sz w:val="24"/>
          <w:szCs w:val="24"/>
        </w:rPr>
        <w:t>.</w:t>
      </w:r>
      <w:r w:rsidR="00CB73D9">
        <w:rPr>
          <w:sz w:val="24"/>
          <w:szCs w:val="24"/>
        </w:rPr>
        <w:t>V</w:t>
      </w:r>
      <w:r w:rsidR="00A26CDB">
        <w:rPr>
          <w:sz w:val="24"/>
          <w:szCs w:val="24"/>
        </w:rPr>
        <w:t>.</w:t>
      </w:r>
      <w:r w:rsidR="00CB73D9">
        <w:rPr>
          <w:sz w:val="24"/>
          <w:szCs w:val="24"/>
        </w:rPr>
        <w:t>R</w:t>
      </w:r>
      <w:r w:rsidR="00A26CDB">
        <w:rPr>
          <w:sz w:val="24"/>
          <w:szCs w:val="24"/>
        </w:rPr>
        <w:t>.</w:t>
      </w:r>
      <w:r w:rsidR="00CB73D9">
        <w:rPr>
          <w:sz w:val="24"/>
          <w:szCs w:val="24"/>
        </w:rPr>
        <w:t>B</w:t>
      </w:r>
      <w:r w:rsidR="00A26CDB">
        <w:rPr>
          <w:sz w:val="24"/>
          <w:szCs w:val="24"/>
        </w:rPr>
        <w:t>.</w:t>
      </w:r>
      <w:r>
        <w:rPr>
          <w:sz w:val="24"/>
          <w:szCs w:val="24"/>
        </w:rPr>
        <w:t>”</w:t>
      </w:r>
      <w:r w:rsidR="00CB73D9">
        <w:rPr>
          <w:sz w:val="24"/>
          <w:szCs w:val="24"/>
        </w:rPr>
        <w:t xml:space="preserve"> </w:t>
      </w:r>
      <w:r>
        <w:rPr>
          <w:sz w:val="24"/>
          <w:szCs w:val="24"/>
        </w:rPr>
        <w:t>twice on the top of the carcass</w:t>
      </w:r>
      <w:r w:rsidR="007210D4">
        <w:rPr>
          <w:sz w:val="24"/>
          <w:szCs w:val="24"/>
        </w:rPr>
        <w:t xml:space="preserve"> (</w:t>
      </w:r>
      <w:hyperlink w:anchor="fig-4-2" w:history="1">
        <w:r w:rsidR="00A26CDB" w:rsidRPr="00095E4A">
          <w:rPr>
            <w:rStyle w:val="Hyperlink"/>
            <w:sz w:val="24"/>
            <w:szCs w:val="24"/>
          </w:rPr>
          <w:t>f</w:t>
        </w:r>
        <w:r w:rsidR="00FB20DA" w:rsidRPr="00095E4A">
          <w:rPr>
            <w:rStyle w:val="Hyperlink"/>
            <w:sz w:val="24"/>
            <w:szCs w:val="24"/>
          </w:rPr>
          <w:t>ig</w:t>
        </w:r>
        <w:r w:rsidR="007210D4" w:rsidRPr="00095E4A">
          <w:rPr>
            <w:rStyle w:val="Hyperlink"/>
            <w:sz w:val="24"/>
            <w:szCs w:val="24"/>
          </w:rPr>
          <w:t xml:space="preserve">. </w:t>
        </w:r>
        <w:r w:rsidR="00BB1A5B" w:rsidRPr="00095E4A">
          <w:rPr>
            <w:rStyle w:val="Hyperlink"/>
            <w:sz w:val="24"/>
            <w:szCs w:val="24"/>
          </w:rPr>
          <w:t>4</w:t>
        </w:r>
        <w:r w:rsidR="00FB20DA" w:rsidRPr="00095E4A">
          <w:rPr>
            <w:rStyle w:val="Hyperlink"/>
            <w:sz w:val="24"/>
            <w:szCs w:val="24"/>
          </w:rPr>
          <w:t>-2</w:t>
        </w:r>
      </w:hyperlink>
      <w:r w:rsidR="007210D4">
        <w:rPr>
          <w:sz w:val="24"/>
          <w:szCs w:val="24"/>
        </w:rPr>
        <w:t>)</w:t>
      </w:r>
      <w:r>
        <w:rPr>
          <w:sz w:val="24"/>
          <w:szCs w:val="24"/>
        </w:rPr>
        <w:t xml:space="preserve">. </w:t>
      </w:r>
    </w:p>
    <w:p w14:paraId="27C5B6CC" w14:textId="77777777" w:rsidR="0055699B" w:rsidRDefault="0055699B" w:rsidP="00556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p>
    <w:p w14:paraId="670279C3" w14:textId="77777777" w:rsidR="00057057" w:rsidRPr="00CD2343" w:rsidRDefault="00810041" w:rsidP="00556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b/>
          <w:bCs/>
          <w:i/>
          <w:iCs/>
          <w:sz w:val="24"/>
          <w:szCs w:val="24"/>
        </w:rPr>
      </w:pPr>
      <w:r w:rsidRPr="00CD2343">
        <w:rPr>
          <w:b/>
          <w:bCs/>
          <w:i/>
          <w:iCs/>
          <w:sz w:val="24"/>
          <w:szCs w:val="24"/>
        </w:rPr>
        <w:t>Commentary</w:t>
      </w:r>
    </w:p>
    <w:p w14:paraId="368EEB49" w14:textId="15086A11" w:rsidR="00496866" w:rsidRDefault="00810041" w:rsidP="00556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 xml:space="preserve">The corner cupboards are stamped </w:t>
      </w:r>
      <w:r w:rsidR="00A26CDB">
        <w:rPr>
          <w:sz w:val="24"/>
          <w:szCs w:val="24"/>
        </w:rPr>
        <w:t>“</w:t>
      </w:r>
      <w:r>
        <w:rPr>
          <w:sz w:val="24"/>
          <w:szCs w:val="24"/>
        </w:rPr>
        <w:t>B</w:t>
      </w:r>
      <w:r w:rsidR="00A26CDB">
        <w:rPr>
          <w:sz w:val="24"/>
          <w:szCs w:val="24"/>
        </w:rPr>
        <w:t>.</w:t>
      </w:r>
      <w:r>
        <w:rPr>
          <w:sz w:val="24"/>
          <w:szCs w:val="24"/>
        </w:rPr>
        <w:t>V</w:t>
      </w:r>
      <w:r w:rsidR="00A26CDB">
        <w:rPr>
          <w:sz w:val="24"/>
          <w:szCs w:val="24"/>
        </w:rPr>
        <w:t>.</w:t>
      </w:r>
      <w:r>
        <w:rPr>
          <w:sz w:val="24"/>
          <w:szCs w:val="24"/>
        </w:rPr>
        <w:t>R</w:t>
      </w:r>
      <w:r w:rsidR="00A26CDB">
        <w:rPr>
          <w:sz w:val="24"/>
          <w:szCs w:val="24"/>
        </w:rPr>
        <w:t>.</w:t>
      </w:r>
      <w:r>
        <w:rPr>
          <w:sz w:val="24"/>
          <w:szCs w:val="24"/>
        </w:rPr>
        <w:t>B</w:t>
      </w:r>
      <w:r w:rsidR="00A26CDB">
        <w:rPr>
          <w:sz w:val="24"/>
          <w:szCs w:val="24"/>
        </w:rPr>
        <w:t>.,”</w:t>
      </w:r>
      <w:r>
        <w:rPr>
          <w:sz w:val="24"/>
          <w:szCs w:val="24"/>
        </w:rPr>
        <w:t xml:space="preserve"> for Bernard </w:t>
      </w:r>
      <w:r w:rsidR="0055699B">
        <w:rPr>
          <w:sz w:val="24"/>
          <w:szCs w:val="24"/>
        </w:rPr>
        <w:t xml:space="preserve">II </w:t>
      </w:r>
      <w:r w:rsidR="00057057">
        <w:rPr>
          <w:sz w:val="24"/>
          <w:szCs w:val="24"/>
        </w:rPr>
        <w:t>van Risen</w:t>
      </w:r>
      <w:r>
        <w:rPr>
          <w:sz w:val="24"/>
          <w:szCs w:val="24"/>
        </w:rPr>
        <w:t>burgh.</w:t>
      </w:r>
      <w:r w:rsidR="00496866">
        <w:rPr>
          <w:rStyle w:val="FootnoteCharacters"/>
          <w:sz w:val="24"/>
          <w:szCs w:val="24"/>
        </w:rPr>
        <w:endnoteReference w:id="1"/>
      </w:r>
      <w:r w:rsidR="00496866">
        <w:rPr>
          <w:sz w:val="24"/>
          <w:szCs w:val="24"/>
        </w:rPr>
        <w:t xml:space="preserve"> They are of similar form and carry mounts of the same model as a number of other corner cupboards stamped with his initials or attributed to him:</w:t>
      </w:r>
      <w:r w:rsidR="00496866">
        <w:rPr>
          <w:rStyle w:val="FootnoteCharacters"/>
          <w:sz w:val="24"/>
          <w:szCs w:val="24"/>
        </w:rPr>
        <w:endnoteReference w:id="2"/>
      </w:r>
      <w:r w:rsidR="003B372F">
        <w:rPr>
          <w:sz w:val="24"/>
          <w:szCs w:val="24"/>
        </w:rPr>
        <w:t xml:space="preserve"> a</w:t>
      </w:r>
      <w:r w:rsidR="00496866">
        <w:rPr>
          <w:sz w:val="24"/>
          <w:szCs w:val="24"/>
        </w:rPr>
        <w:t xml:space="preserve"> pair, stamped and veneered with end cut floral marquetry is at the Residenz, Munich;</w:t>
      </w:r>
      <w:r w:rsidR="00496866">
        <w:rPr>
          <w:rStyle w:val="FootnoteCharacters"/>
          <w:sz w:val="24"/>
          <w:szCs w:val="24"/>
        </w:rPr>
        <w:endnoteReference w:id="3"/>
      </w:r>
      <w:r w:rsidR="00496866">
        <w:rPr>
          <w:sz w:val="24"/>
          <w:szCs w:val="24"/>
        </w:rPr>
        <w:t xml:space="preserve"> </w:t>
      </w:r>
      <w:r w:rsidR="003B372F">
        <w:rPr>
          <w:sz w:val="24"/>
          <w:szCs w:val="24"/>
        </w:rPr>
        <w:t>a</w:t>
      </w:r>
      <w:r w:rsidR="00496866">
        <w:rPr>
          <w:sz w:val="24"/>
          <w:szCs w:val="24"/>
        </w:rPr>
        <w:t xml:space="preserve"> pair, stamped and veneered with Coromandel lacquer, the gilt </w:t>
      </w:r>
      <w:r w:rsidR="00496866">
        <w:rPr>
          <w:sz w:val="24"/>
          <w:szCs w:val="24"/>
        </w:rPr>
        <w:lastRenderedPageBreak/>
        <w:t>bronze mounts struck with the crowned C, is in the Metropolitan Museum of Art, New York</w:t>
      </w:r>
      <w:r w:rsidR="00A26CDB">
        <w:rPr>
          <w:sz w:val="24"/>
          <w:szCs w:val="24"/>
        </w:rPr>
        <w:t>,</w:t>
      </w:r>
      <w:r w:rsidR="00496866">
        <w:rPr>
          <w:sz w:val="24"/>
          <w:szCs w:val="24"/>
        </w:rPr>
        <w:t xml:space="preserve"> in the Wrightsman collection (</w:t>
      </w:r>
      <w:hyperlink w:anchor="fig-4-3" w:history="1">
        <w:r w:rsidR="00A26CDB" w:rsidRPr="00095E4A">
          <w:rPr>
            <w:rStyle w:val="Hyperlink"/>
            <w:sz w:val="24"/>
            <w:szCs w:val="24"/>
          </w:rPr>
          <w:t>f</w:t>
        </w:r>
        <w:r w:rsidR="00496866" w:rsidRPr="00095E4A">
          <w:rPr>
            <w:rStyle w:val="Hyperlink"/>
            <w:sz w:val="24"/>
            <w:szCs w:val="24"/>
          </w:rPr>
          <w:t xml:space="preserve">ig. </w:t>
        </w:r>
        <w:r w:rsidR="00BB1A5B" w:rsidRPr="00095E4A">
          <w:rPr>
            <w:rStyle w:val="Hyperlink"/>
            <w:sz w:val="24"/>
            <w:szCs w:val="24"/>
          </w:rPr>
          <w:t>4</w:t>
        </w:r>
        <w:r w:rsidR="00FB20DA" w:rsidRPr="00095E4A">
          <w:rPr>
            <w:rStyle w:val="Hyperlink"/>
            <w:sz w:val="24"/>
            <w:szCs w:val="24"/>
          </w:rPr>
          <w:t>-3</w:t>
        </w:r>
      </w:hyperlink>
      <w:r w:rsidR="00496866">
        <w:rPr>
          <w:sz w:val="24"/>
          <w:szCs w:val="24"/>
        </w:rPr>
        <w:t>);</w:t>
      </w:r>
      <w:r w:rsidR="00496866">
        <w:rPr>
          <w:rStyle w:val="FootnoteCharacters"/>
          <w:sz w:val="24"/>
          <w:szCs w:val="24"/>
        </w:rPr>
        <w:endnoteReference w:id="4"/>
      </w:r>
      <w:r w:rsidR="00496866">
        <w:rPr>
          <w:sz w:val="24"/>
          <w:szCs w:val="24"/>
        </w:rPr>
        <w:t xml:space="preserve"> </w:t>
      </w:r>
      <w:r w:rsidR="003B372F">
        <w:rPr>
          <w:sz w:val="24"/>
          <w:szCs w:val="24"/>
        </w:rPr>
        <w:t>a</w:t>
      </w:r>
      <w:r w:rsidR="00496866">
        <w:rPr>
          <w:sz w:val="24"/>
          <w:szCs w:val="24"/>
        </w:rPr>
        <w:t xml:space="preserve"> pair, unstamped and veneered with end cut floral marquetry</w:t>
      </w:r>
      <w:r w:rsidR="00A26CDB">
        <w:rPr>
          <w:sz w:val="24"/>
          <w:szCs w:val="24"/>
        </w:rPr>
        <w:t>,</w:t>
      </w:r>
      <w:r w:rsidR="00496866">
        <w:rPr>
          <w:sz w:val="24"/>
          <w:szCs w:val="24"/>
        </w:rPr>
        <w:t xml:space="preserve"> appeared on the art market in the 1990s.</w:t>
      </w:r>
      <w:r w:rsidR="00496866">
        <w:rPr>
          <w:rStyle w:val="EndnoteReference"/>
          <w:sz w:val="24"/>
          <w:szCs w:val="24"/>
        </w:rPr>
        <w:endnoteReference w:id="5"/>
      </w:r>
    </w:p>
    <w:p w14:paraId="23E5198D" w14:textId="2A6AAFA1" w:rsidR="00496866" w:rsidRDefault="00496866" w:rsidP="00556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ab/>
        <w:t xml:space="preserve">The Wrightsman pair, which can be dated to between 1745 and 1749, have bombé profiles and lack the central escutcheon mount. The mount on the central leg is a modern addition. None of the corner cupboards listed above or noted have mounts on their feet. The central mount is of the same model as that found on the aprons of a pair of corner cupboards stamped by </w:t>
      </w:r>
      <w:r w:rsidR="003B372F">
        <w:rPr>
          <w:sz w:val="24"/>
          <w:szCs w:val="24"/>
        </w:rPr>
        <w:t>V</w:t>
      </w:r>
      <w:r>
        <w:rPr>
          <w:sz w:val="24"/>
          <w:szCs w:val="24"/>
        </w:rPr>
        <w:t>an Risenburgh that were formerly part of a suite that included a pair of commodes in the colle</w:t>
      </w:r>
      <w:r w:rsidR="00BB1A5B">
        <w:rPr>
          <w:sz w:val="24"/>
          <w:szCs w:val="24"/>
        </w:rPr>
        <w:t>ction of the Museum (</w:t>
      </w:r>
      <w:r w:rsidR="00B06891">
        <w:rPr>
          <w:sz w:val="24"/>
          <w:szCs w:val="24"/>
        </w:rPr>
        <w:t xml:space="preserve">see </w:t>
      </w:r>
      <w:hyperlink r:id="rId8" w:history="1">
        <w:r w:rsidR="00A26CDB" w:rsidRPr="00250740">
          <w:rPr>
            <w:rStyle w:val="Hyperlink"/>
            <w:sz w:val="24"/>
            <w:szCs w:val="24"/>
          </w:rPr>
          <w:t>c</w:t>
        </w:r>
        <w:r w:rsidR="00BB1A5B" w:rsidRPr="00250740">
          <w:rPr>
            <w:rStyle w:val="Hyperlink"/>
            <w:sz w:val="24"/>
            <w:szCs w:val="24"/>
          </w:rPr>
          <w:t xml:space="preserve">at. </w:t>
        </w:r>
        <w:r w:rsidR="00A26CDB" w:rsidRPr="00250740">
          <w:rPr>
            <w:rStyle w:val="Hyperlink"/>
            <w:sz w:val="24"/>
            <w:szCs w:val="24"/>
          </w:rPr>
          <w:t>n</w:t>
        </w:r>
        <w:r w:rsidR="00BB1A5B" w:rsidRPr="00250740">
          <w:rPr>
            <w:rStyle w:val="Hyperlink"/>
            <w:sz w:val="24"/>
            <w:szCs w:val="24"/>
          </w:rPr>
          <w:t>o. 7</w:t>
        </w:r>
      </w:hyperlink>
      <w:r>
        <w:rPr>
          <w:sz w:val="24"/>
          <w:szCs w:val="24"/>
        </w:rPr>
        <w:t>) but were unfortunately destroyed in Dresden during World War II.</w:t>
      </w:r>
      <w:r>
        <w:rPr>
          <w:rStyle w:val="FootnoteCharacters"/>
          <w:sz w:val="24"/>
          <w:szCs w:val="24"/>
        </w:rPr>
        <w:endnoteReference w:id="6"/>
      </w:r>
      <w:r>
        <w:rPr>
          <w:sz w:val="24"/>
          <w:szCs w:val="24"/>
        </w:rPr>
        <w:t xml:space="preserve"> It is also found at the center of the plinth of a clock and cabinet at Waddesdon Manor.</w:t>
      </w:r>
      <w:r>
        <w:rPr>
          <w:color w:val="FF0000"/>
          <w:sz w:val="24"/>
          <w:szCs w:val="24"/>
        </w:rPr>
        <w:t xml:space="preserve"> </w:t>
      </w:r>
      <w:r>
        <w:rPr>
          <w:sz w:val="24"/>
          <w:szCs w:val="24"/>
        </w:rPr>
        <w:t>The cabinet, dated by Geoffrey de Bellaigue to about 1761</w:t>
      </w:r>
      <w:r w:rsidR="00A26CDB">
        <w:rPr>
          <w:sz w:val="24"/>
          <w:szCs w:val="24"/>
        </w:rPr>
        <w:t>–</w:t>
      </w:r>
      <w:r>
        <w:rPr>
          <w:sz w:val="24"/>
          <w:szCs w:val="24"/>
        </w:rPr>
        <w:t xml:space="preserve">65, is stamped </w:t>
      </w:r>
      <w:r w:rsidR="00A26CDB">
        <w:rPr>
          <w:sz w:val="24"/>
          <w:szCs w:val="24"/>
        </w:rPr>
        <w:t>“</w:t>
      </w:r>
      <w:r>
        <w:rPr>
          <w:sz w:val="24"/>
          <w:szCs w:val="24"/>
        </w:rPr>
        <w:t>B. Durand</w:t>
      </w:r>
      <w:r w:rsidR="00A26CDB">
        <w:rPr>
          <w:sz w:val="24"/>
          <w:szCs w:val="24"/>
        </w:rPr>
        <w:t>,”</w:t>
      </w:r>
      <w:r>
        <w:rPr>
          <w:sz w:val="24"/>
          <w:szCs w:val="24"/>
        </w:rPr>
        <w:t xml:space="preserve"> for Bon Durand</w:t>
      </w:r>
      <w:r w:rsidR="00A26CDB">
        <w:rPr>
          <w:sz w:val="24"/>
          <w:szCs w:val="24"/>
        </w:rPr>
        <w:t>,</w:t>
      </w:r>
      <w:r>
        <w:rPr>
          <w:sz w:val="24"/>
          <w:szCs w:val="24"/>
        </w:rPr>
        <w:t xml:space="preserve"> but bears other mounts associated with the work of </w:t>
      </w:r>
      <w:r w:rsidR="00A26CDB">
        <w:rPr>
          <w:sz w:val="24"/>
          <w:szCs w:val="24"/>
        </w:rPr>
        <w:t>V</w:t>
      </w:r>
      <w:r>
        <w:rPr>
          <w:sz w:val="24"/>
          <w:szCs w:val="24"/>
        </w:rPr>
        <w:t xml:space="preserve">an Risenburgh; the cabinet may in fact be by </w:t>
      </w:r>
      <w:r w:rsidR="00A26CDB">
        <w:rPr>
          <w:sz w:val="24"/>
          <w:szCs w:val="24"/>
        </w:rPr>
        <w:t>V</w:t>
      </w:r>
      <w:r>
        <w:rPr>
          <w:sz w:val="24"/>
          <w:szCs w:val="24"/>
        </w:rPr>
        <w:t>an Risenburgh</w:t>
      </w:r>
      <w:r w:rsidDel="007D7CC1">
        <w:rPr>
          <w:sz w:val="24"/>
          <w:szCs w:val="24"/>
        </w:rPr>
        <w:t xml:space="preserve"> </w:t>
      </w:r>
      <w:r>
        <w:rPr>
          <w:sz w:val="24"/>
          <w:szCs w:val="24"/>
        </w:rPr>
        <w:t xml:space="preserve">but stamped by Durand as a </w:t>
      </w:r>
      <w:r>
        <w:rPr>
          <w:i/>
          <w:sz w:val="24"/>
          <w:szCs w:val="24"/>
        </w:rPr>
        <w:t>marchand</w:t>
      </w:r>
      <w:r w:rsidR="00A26CDB">
        <w:rPr>
          <w:iCs/>
          <w:sz w:val="24"/>
          <w:szCs w:val="24"/>
        </w:rPr>
        <w:t>,</w:t>
      </w:r>
      <w:r>
        <w:rPr>
          <w:sz w:val="24"/>
          <w:szCs w:val="24"/>
        </w:rPr>
        <w:t xml:space="preserve"> or restorer.</w:t>
      </w:r>
      <w:r>
        <w:rPr>
          <w:rStyle w:val="FootnoteCharacters"/>
          <w:sz w:val="24"/>
          <w:szCs w:val="24"/>
        </w:rPr>
        <w:endnoteReference w:id="7"/>
      </w:r>
      <w:r>
        <w:rPr>
          <w:sz w:val="24"/>
          <w:szCs w:val="24"/>
        </w:rPr>
        <w:t xml:space="preserve"> Beneath these mounts on the Museum’s cupboards, the profile of the feet and the lower edge of each cup</w:t>
      </w:r>
      <w:r w:rsidR="00FB20DA">
        <w:rPr>
          <w:sz w:val="24"/>
          <w:szCs w:val="24"/>
        </w:rPr>
        <w:t xml:space="preserve">board </w:t>
      </w:r>
      <w:r w:rsidR="003B372F">
        <w:rPr>
          <w:sz w:val="24"/>
          <w:szCs w:val="24"/>
        </w:rPr>
        <w:t>are</w:t>
      </w:r>
      <w:r w:rsidR="00FB20DA">
        <w:rPr>
          <w:sz w:val="24"/>
          <w:szCs w:val="24"/>
        </w:rPr>
        <w:t xml:space="preserve"> edged with gold paint</w:t>
      </w:r>
      <w:r>
        <w:rPr>
          <w:sz w:val="24"/>
          <w:szCs w:val="24"/>
        </w:rPr>
        <w:t xml:space="preserve">. This now partly hidden decoration is also found on a pair of slightly later corner cupboards by </w:t>
      </w:r>
      <w:r w:rsidR="003B372F">
        <w:rPr>
          <w:sz w:val="24"/>
          <w:szCs w:val="24"/>
        </w:rPr>
        <w:t>V</w:t>
      </w:r>
      <w:r>
        <w:rPr>
          <w:sz w:val="24"/>
          <w:szCs w:val="24"/>
        </w:rPr>
        <w:t>an Risenburgh previously in the possession of Bernard Steinitz.</w:t>
      </w:r>
      <w:r>
        <w:rPr>
          <w:rStyle w:val="FootnoteCharacters"/>
          <w:sz w:val="24"/>
          <w:szCs w:val="24"/>
        </w:rPr>
        <w:endnoteReference w:id="8"/>
      </w:r>
      <w:r>
        <w:rPr>
          <w:sz w:val="24"/>
          <w:szCs w:val="24"/>
        </w:rPr>
        <w:t xml:space="preserve"> The large framing mounts are also found on two</w:t>
      </w:r>
      <w:r>
        <w:rPr>
          <w:i/>
          <w:sz w:val="24"/>
          <w:szCs w:val="24"/>
        </w:rPr>
        <w:t xml:space="preserve"> bouts de bureau </w:t>
      </w:r>
      <w:r>
        <w:rPr>
          <w:sz w:val="24"/>
          <w:szCs w:val="24"/>
        </w:rPr>
        <w:t xml:space="preserve">by </w:t>
      </w:r>
      <w:r w:rsidR="00A26CDB">
        <w:rPr>
          <w:sz w:val="24"/>
          <w:szCs w:val="24"/>
        </w:rPr>
        <w:t>V</w:t>
      </w:r>
      <w:r>
        <w:rPr>
          <w:sz w:val="24"/>
          <w:szCs w:val="24"/>
        </w:rPr>
        <w:t>an Risenburgh, one in the State Hermitage in Saint Petersburg and the</w:t>
      </w:r>
      <w:r w:rsidR="00BB1A5B">
        <w:rPr>
          <w:sz w:val="24"/>
          <w:szCs w:val="24"/>
        </w:rPr>
        <w:t xml:space="preserve"> other in the Museum (</w:t>
      </w:r>
      <w:r w:rsidR="00B06891">
        <w:rPr>
          <w:sz w:val="24"/>
          <w:szCs w:val="24"/>
        </w:rPr>
        <w:t xml:space="preserve">see </w:t>
      </w:r>
      <w:hyperlink r:id="rId9" w:history="1">
        <w:r w:rsidR="00A26CDB" w:rsidRPr="003B372F">
          <w:rPr>
            <w:rStyle w:val="Hyperlink"/>
            <w:sz w:val="24"/>
            <w:szCs w:val="24"/>
          </w:rPr>
          <w:t>cat. no.</w:t>
        </w:r>
        <w:r w:rsidR="00BB1A5B" w:rsidRPr="003B372F">
          <w:rPr>
            <w:rStyle w:val="Hyperlink"/>
            <w:sz w:val="24"/>
            <w:szCs w:val="24"/>
          </w:rPr>
          <w:t xml:space="preserve"> 3</w:t>
        </w:r>
      </w:hyperlink>
      <w:r>
        <w:rPr>
          <w:sz w:val="24"/>
          <w:szCs w:val="24"/>
        </w:rPr>
        <w:t>).</w:t>
      </w:r>
      <w:r>
        <w:rPr>
          <w:rStyle w:val="EndnoteReference"/>
          <w:sz w:val="24"/>
          <w:szCs w:val="24"/>
        </w:rPr>
        <w:endnoteReference w:id="9"/>
      </w:r>
      <w:r>
        <w:rPr>
          <w:sz w:val="24"/>
          <w:szCs w:val="24"/>
        </w:rPr>
        <w:t xml:space="preserve"> </w:t>
      </w:r>
    </w:p>
    <w:p w14:paraId="2711FB62" w14:textId="29B646F0" w:rsidR="00496866" w:rsidRDefault="00496866" w:rsidP="00556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ab/>
        <w:t>Van Risenburgh appears to have made only two pairs of two-door corner cupboards and a single one veneered with lacquer.</w:t>
      </w:r>
      <w:r>
        <w:rPr>
          <w:rStyle w:val="FootnoteCharacters"/>
          <w:sz w:val="24"/>
          <w:szCs w:val="24"/>
        </w:rPr>
        <w:endnoteReference w:id="10"/>
      </w:r>
      <w:r>
        <w:rPr>
          <w:sz w:val="24"/>
          <w:szCs w:val="24"/>
        </w:rPr>
        <w:t xml:space="preserve"> He seems to have had a problem with the meeting of the doors, and there is a noticeable gap on the Coromandel pair formerly in the Wrightsman collection discussed above. A </w:t>
      </w:r>
      <w:r w:rsidR="00250740">
        <w:rPr>
          <w:sz w:val="24"/>
          <w:szCs w:val="24"/>
        </w:rPr>
        <w:t>larger</w:t>
      </w:r>
      <w:r>
        <w:rPr>
          <w:sz w:val="24"/>
          <w:szCs w:val="24"/>
        </w:rPr>
        <w:t xml:space="preserve"> gap between the doors of the </w:t>
      </w:r>
      <w:r w:rsidR="003B372F">
        <w:rPr>
          <w:sz w:val="24"/>
          <w:szCs w:val="24"/>
        </w:rPr>
        <w:t>M</w:t>
      </w:r>
      <w:r>
        <w:rPr>
          <w:sz w:val="24"/>
          <w:szCs w:val="24"/>
        </w:rPr>
        <w:t>useum</w:t>
      </w:r>
      <w:r w:rsidR="00250740">
        <w:rPr>
          <w:sz w:val="24"/>
          <w:szCs w:val="24"/>
        </w:rPr>
        <w:t>’</w:t>
      </w:r>
      <w:r>
        <w:rPr>
          <w:sz w:val="24"/>
          <w:szCs w:val="24"/>
        </w:rPr>
        <w:t xml:space="preserve">s pieces has been masked by the application of a vertical strip of gilt bronze. This mount does not appear </w:t>
      </w:r>
      <w:r>
        <w:rPr>
          <w:sz w:val="24"/>
          <w:szCs w:val="24"/>
        </w:rPr>
        <w:lastRenderedPageBreak/>
        <w:t xml:space="preserve">elsewhere in </w:t>
      </w:r>
      <w:r w:rsidR="00250740">
        <w:rPr>
          <w:sz w:val="24"/>
          <w:szCs w:val="24"/>
        </w:rPr>
        <w:t>V</w:t>
      </w:r>
      <w:r>
        <w:rPr>
          <w:sz w:val="24"/>
          <w:szCs w:val="24"/>
        </w:rPr>
        <w:t>an Risenburgh</w:t>
      </w:r>
      <w:r w:rsidR="00250740">
        <w:rPr>
          <w:sz w:val="24"/>
          <w:szCs w:val="24"/>
        </w:rPr>
        <w:t>’</w:t>
      </w:r>
      <w:r>
        <w:rPr>
          <w:sz w:val="24"/>
          <w:szCs w:val="24"/>
        </w:rPr>
        <w:t xml:space="preserve">s </w:t>
      </w:r>
      <w:r w:rsidRPr="00D705AB">
        <w:rPr>
          <w:iCs/>
          <w:sz w:val="24"/>
          <w:szCs w:val="24"/>
        </w:rPr>
        <w:t>oeuvre</w:t>
      </w:r>
      <w:r>
        <w:rPr>
          <w:sz w:val="24"/>
          <w:szCs w:val="24"/>
        </w:rPr>
        <w:t xml:space="preserve"> and is believed to be an eighteenth</w:t>
      </w:r>
      <w:r w:rsidR="00250740">
        <w:rPr>
          <w:sz w:val="24"/>
          <w:szCs w:val="24"/>
        </w:rPr>
        <w:t>-</w:t>
      </w:r>
      <w:r>
        <w:rPr>
          <w:sz w:val="24"/>
          <w:szCs w:val="24"/>
        </w:rPr>
        <w:t>century replacement (</w:t>
      </w:r>
      <w:r w:rsidR="00B06891">
        <w:rPr>
          <w:sz w:val="24"/>
          <w:szCs w:val="24"/>
        </w:rPr>
        <w:t>s</w:t>
      </w:r>
      <w:r>
        <w:rPr>
          <w:sz w:val="24"/>
          <w:szCs w:val="24"/>
        </w:rPr>
        <w:t xml:space="preserve">ee </w:t>
      </w:r>
      <w:r w:rsidR="00B06891">
        <w:rPr>
          <w:sz w:val="24"/>
          <w:szCs w:val="24"/>
        </w:rPr>
        <w:t>“</w:t>
      </w:r>
      <w:r>
        <w:rPr>
          <w:sz w:val="24"/>
          <w:szCs w:val="24"/>
        </w:rPr>
        <w:t xml:space="preserve">Technical </w:t>
      </w:r>
      <w:r w:rsidR="0009459F">
        <w:rPr>
          <w:sz w:val="24"/>
          <w:szCs w:val="24"/>
        </w:rPr>
        <w:t>Description</w:t>
      </w:r>
      <w:r w:rsidR="00B06891">
        <w:rPr>
          <w:sz w:val="24"/>
          <w:szCs w:val="24"/>
        </w:rPr>
        <w:t>”</w:t>
      </w:r>
      <w:r w:rsidR="0009459F">
        <w:rPr>
          <w:sz w:val="24"/>
          <w:szCs w:val="24"/>
        </w:rPr>
        <w:t xml:space="preserve"> below</w:t>
      </w:r>
      <w:r>
        <w:rPr>
          <w:sz w:val="24"/>
          <w:szCs w:val="24"/>
        </w:rPr>
        <w:t xml:space="preserve">). </w:t>
      </w:r>
    </w:p>
    <w:p w14:paraId="77E5AB2D" w14:textId="559DDFEE" w:rsidR="00496866" w:rsidRDefault="00496866" w:rsidP="00556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ab/>
        <w:t>The four fine panels of Japanese export lacquer have been cut from the doors of two fairly large cabinets that were not a matched pair (</w:t>
      </w:r>
      <w:r w:rsidR="00B06891">
        <w:rPr>
          <w:sz w:val="24"/>
          <w:szCs w:val="24"/>
        </w:rPr>
        <w:t>s</w:t>
      </w:r>
      <w:r>
        <w:rPr>
          <w:sz w:val="24"/>
          <w:szCs w:val="24"/>
        </w:rPr>
        <w:t xml:space="preserve">ee </w:t>
      </w:r>
      <w:r w:rsidR="00B06891">
        <w:rPr>
          <w:sz w:val="24"/>
          <w:szCs w:val="24"/>
        </w:rPr>
        <w:t>“</w:t>
      </w:r>
      <w:r>
        <w:rPr>
          <w:sz w:val="24"/>
          <w:szCs w:val="24"/>
        </w:rPr>
        <w:t xml:space="preserve">Technical </w:t>
      </w:r>
      <w:r w:rsidR="003B372F">
        <w:rPr>
          <w:sz w:val="24"/>
          <w:szCs w:val="24"/>
        </w:rPr>
        <w:t>Description</w:t>
      </w:r>
      <w:r w:rsidR="00B06891">
        <w:rPr>
          <w:sz w:val="24"/>
          <w:szCs w:val="24"/>
        </w:rPr>
        <w:t>”</w:t>
      </w:r>
      <w:r w:rsidR="003B372F">
        <w:rPr>
          <w:sz w:val="24"/>
          <w:szCs w:val="24"/>
        </w:rPr>
        <w:t xml:space="preserve"> below</w:t>
      </w:r>
      <w:r>
        <w:rPr>
          <w:sz w:val="24"/>
          <w:szCs w:val="24"/>
        </w:rPr>
        <w:t>). Oliver Impey dated the lacquer to the 1650s. Documents from the Dutch East India Company record the acquisition of paired cabinets up to 1640, but none were imported between that date and 1660</w:t>
      </w:r>
      <w:r w:rsidR="00250740">
        <w:rPr>
          <w:sz w:val="24"/>
          <w:szCs w:val="24"/>
        </w:rPr>
        <w:t>,</w:t>
      </w:r>
      <w:r>
        <w:rPr>
          <w:sz w:val="24"/>
          <w:szCs w:val="24"/>
        </w:rPr>
        <w:t xml:space="preserve"> when they appear again. It is of course possible that they were imported later as old lacquer by the French East Indies Company.</w:t>
      </w:r>
      <w:r>
        <w:rPr>
          <w:rStyle w:val="FootnoteCharacters"/>
          <w:sz w:val="24"/>
          <w:szCs w:val="24"/>
        </w:rPr>
        <w:endnoteReference w:id="11"/>
      </w:r>
      <w:r>
        <w:rPr>
          <w:sz w:val="24"/>
          <w:szCs w:val="24"/>
        </w:rPr>
        <w:t xml:space="preserve"> Filled pinholes beneath the gilt bronze framing mount can be seen clearly near the outer edge where the straps of the original hinges were positioned. Ghosts of the metal hinge tab impressed on the lacquer can also be seen (</w:t>
      </w:r>
      <w:hyperlink w:anchor="fig-4-4" w:history="1">
        <w:r w:rsidRPr="00095E4A">
          <w:rPr>
            <w:rStyle w:val="Hyperlink"/>
            <w:sz w:val="24"/>
            <w:szCs w:val="24"/>
          </w:rPr>
          <w:t xml:space="preserve">fig. </w:t>
        </w:r>
        <w:r w:rsidR="00BB1A5B" w:rsidRPr="00095E4A">
          <w:rPr>
            <w:rStyle w:val="Hyperlink"/>
            <w:sz w:val="24"/>
            <w:szCs w:val="24"/>
          </w:rPr>
          <w:t>4</w:t>
        </w:r>
        <w:r w:rsidR="00FB20DA" w:rsidRPr="00095E4A">
          <w:rPr>
            <w:rStyle w:val="Hyperlink"/>
            <w:sz w:val="24"/>
            <w:szCs w:val="24"/>
          </w:rPr>
          <w:t>-4</w:t>
        </w:r>
      </w:hyperlink>
      <w:r>
        <w:rPr>
          <w:sz w:val="24"/>
          <w:szCs w:val="24"/>
        </w:rPr>
        <w:t xml:space="preserve">). The original cabinets possessed six hinges </w:t>
      </w:r>
      <w:r w:rsidR="00D408E8">
        <w:rPr>
          <w:sz w:val="24"/>
          <w:szCs w:val="24"/>
        </w:rPr>
        <w:t>on</w:t>
      </w:r>
      <w:r>
        <w:rPr>
          <w:sz w:val="24"/>
          <w:szCs w:val="24"/>
        </w:rPr>
        <w:t xml:space="preserve"> each door, whereas five was the normal number.</w:t>
      </w:r>
      <w:r>
        <w:rPr>
          <w:rStyle w:val="FootnoteCharacters"/>
          <w:sz w:val="24"/>
          <w:szCs w:val="24"/>
        </w:rPr>
        <w:endnoteReference w:id="12"/>
      </w:r>
      <w:r>
        <w:rPr>
          <w:sz w:val="24"/>
          <w:szCs w:val="24"/>
        </w:rPr>
        <w:t xml:space="preserve"> A lacquer cabinet on a French giltwood stand in the Bibliothèque de l</w:t>
      </w:r>
      <w:r w:rsidR="00250740">
        <w:rPr>
          <w:sz w:val="24"/>
          <w:szCs w:val="24"/>
        </w:rPr>
        <w:t>’</w:t>
      </w:r>
      <w:r>
        <w:rPr>
          <w:sz w:val="24"/>
          <w:szCs w:val="24"/>
        </w:rPr>
        <w:t xml:space="preserve">Arsenal is of the type that would have been provided to </w:t>
      </w:r>
      <w:r w:rsidR="00250740">
        <w:rPr>
          <w:sz w:val="24"/>
          <w:szCs w:val="24"/>
        </w:rPr>
        <w:t>V</w:t>
      </w:r>
      <w:r>
        <w:rPr>
          <w:sz w:val="24"/>
          <w:szCs w:val="24"/>
        </w:rPr>
        <w:t>an Risenburgh by a</w:t>
      </w:r>
      <w:r>
        <w:rPr>
          <w:i/>
          <w:sz w:val="24"/>
          <w:szCs w:val="24"/>
        </w:rPr>
        <w:t xml:space="preserve"> marchand</w:t>
      </w:r>
      <w:r w:rsidR="00B06891">
        <w:rPr>
          <w:i/>
          <w:sz w:val="24"/>
          <w:szCs w:val="24"/>
        </w:rPr>
        <w:t>-</w:t>
      </w:r>
      <w:r>
        <w:rPr>
          <w:i/>
          <w:sz w:val="24"/>
          <w:szCs w:val="24"/>
        </w:rPr>
        <w:t>mercier</w:t>
      </w:r>
      <w:r w:rsidR="00B06891">
        <w:rPr>
          <w:iCs/>
          <w:sz w:val="24"/>
          <w:szCs w:val="24"/>
        </w:rPr>
        <w:t>;</w:t>
      </w:r>
      <w:r w:rsidRPr="00722A58">
        <w:rPr>
          <w:rStyle w:val="FootnoteCharacters"/>
          <w:sz w:val="24"/>
          <w:szCs w:val="24"/>
        </w:rPr>
        <w:endnoteReference w:id="13"/>
      </w:r>
      <w:r w:rsidRPr="00722A58">
        <w:rPr>
          <w:sz w:val="24"/>
          <w:szCs w:val="24"/>
        </w:rPr>
        <w:t xml:space="preserve"> </w:t>
      </w:r>
      <w:r>
        <w:rPr>
          <w:sz w:val="24"/>
          <w:szCs w:val="24"/>
        </w:rPr>
        <w:t>a similar cabinet passed through the French market in 1993.</w:t>
      </w:r>
      <w:r>
        <w:rPr>
          <w:rStyle w:val="FootnoteCharacters"/>
          <w:sz w:val="24"/>
          <w:szCs w:val="24"/>
        </w:rPr>
        <w:endnoteReference w:id="14"/>
      </w:r>
      <w:r>
        <w:rPr>
          <w:sz w:val="24"/>
          <w:szCs w:val="24"/>
        </w:rPr>
        <w:t xml:space="preserve"> One of this form appears in the 1740 trade card of Gersaint, drawn by François Boucher.</w:t>
      </w:r>
      <w:r>
        <w:rPr>
          <w:rStyle w:val="FootnoteCharacters"/>
          <w:sz w:val="24"/>
          <w:szCs w:val="24"/>
        </w:rPr>
        <w:endnoteReference w:id="15"/>
      </w:r>
      <w:r>
        <w:rPr>
          <w:color w:val="FF0000"/>
          <w:sz w:val="24"/>
          <w:szCs w:val="24"/>
        </w:rPr>
        <w:t xml:space="preserve"> </w:t>
      </w:r>
      <w:r>
        <w:rPr>
          <w:sz w:val="24"/>
          <w:szCs w:val="24"/>
        </w:rPr>
        <w:t>However</w:t>
      </w:r>
      <w:r w:rsidR="00250740">
        <w:rPr>
          <w:sz w:val="24"/>
          <w:szCs w:val="24"/>
        </w:rPr>
        <w:t>,</w:t>
      </w:r>
      <w:r>
        <w:rPr>
          <w:sz w:val="24"/>
          <w:szCs w:val="24"/>
        </w:rPr>
        <w:t xml:space="preserve"> it seems certain that by this date </w:t>
      </w:r>
      <w:r w:rsidR="00250740">
        <w:rPr>
          <w:sz w:val="24"/>
          <w:szCs w:val="24"/>
        </w:rPr>
        <w:t>V</w:t>
      </w:r>
      <w:r>
        <w:rPr>
          <w:sz w:val="24"/>
          <w:szCs w:val="24"/>
        </w:rPr>
        <w:t xml:space="preserve">an Risenburgh would have received the four doors from the </w:t>
      </w:r>
      <w:r>
        <w:rPr>
          <w:i/>
          <w:sz w:val="24"/>
          <w:szCs w:val="24"/>
        </w:rPr>
        <w:t>marchand</w:t>
      </w:r>
      <w:r w:rsidR="00250740">
        <w:rPr>
          <w:i/>
          <w:sz w:val="24"/>
          <w:szCs w:val="24"/>
        </w:rPr>
        <w:t>-</w:t>
      </w:r>
      <w:r>
        <w:rPr>
          <w:i/>
          <w:sz w:val="24"/>
          <w:szCs w:val="24"/>
        </w:rPr>
        <w:t>mercier</w:t>
      </w:r>
      <w:r>
        <w:rPr>
          <w:sz w:val="24"/>
          <w:szCs w:val="24"/>
        </w:rPr>
        <w:t xml:space="preserve"> Hébert, for whom he worked.</w:t>
      </w:r>
      <w:r>
        <w:rPr>
          <w:rStyle w:val="FootnoteCharacters"/>
          <w:sz w:val="24"/>
          <w:szCs w:val="24"/>
        </w:rPr>
        <w:endnoteReference w:id="16"/>
      </w:r>
    </w:p>
    <w:p w14:paraId="40E4CF9D" w14:textId="77777777" w:rsidR="00810041" w:rsidRPr="00DC03B6" w:rsidRDefault="00810041" w:rsidP="00DC03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p>
    <w:p w14:paraId="24FD9407" w14:textId="6C4DBD69" w:rsidR="00810041" w:rsidRPr="00CD2343" w:rsidRDefault="00EF7A5C" w:rsidP="00DC03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b/>
          <w:bCs/>
          <w:i/>
          <w:iCs/>
          <w:sz w:val="24"/>
          <w:szCs w:val="24"/>
        </w:rPr>
      </w:pPr>
      <w:r w:rsidRPr="00CD2343">
        <w:rPr>
          <w:b/>
          <w:bCs/>
          <w:i/>
          <w:iCs/>
          <w:sz w:val="24"/>
          <w:szCs w:val="24"/>
        </w:rPr>
        <w:t>Provenance</w:t>
      </w:r>
    </w:p>
    <w:p w14:paraId="531AD74F" w14:textId="561B4FD3" w:rsidR="00D96C7B" w:rsidRPr="000968EE" w:rsidRDefault="005D73F8" w:rsidP="000968EE">
      <w:pPr>
        <w:widowControl w:val="0"/>
        <w:tabs>
          <w:tab w:val="right" w:pos="3240"/>
          <w:tab w:val="left" w:pos="3360"/>
          <w:tab w:val="left" w:pos="4920"/>
        </w:tabs>
        <w:spacing w:line="480" w:lineRule="auto"/>
        <w:rPr>
          <w:color w:val="000000"/>
          <w:sz w:val="24"/>
          <w:szCs w:val="24"/>
        </w:rPr>
      </w:pPr>
      <w:r>
        <w:rPr>
          <w:color w:val="000000"/>
          <w:sz w:val="24"/>
          <w:szCs w:val="24"/>
        </w:rPr>
        <w:t xml:space="preserve"> –</w:t>
      </w:r>
      <w:r w:rsidR="00DC03B6" w:rsidRPr="00DC03B6">
        <w:rPr>
          <w:color w:val="000000"/>
          <w:sz w:val="24"/>
          <w:szCs w:val="24"/>
        </w:rPr>
        <w:t>1972</w:t>
      </w:r>
      <w:r>
        <w:rPr>
          <w:color w:val="000000"/>
          <w:sz w:val="24"/>
          <w:szCs w:val="24"/>
        </w:rPr>
        <w:t xml:space="preserve">: </w:t>
      </w:r>
      <w:r w:rsidR="00DC03B6" w:rsidRPr="00DC03B6">
        <w:rPr>
          <w:color w:val="000000"/>
          <w:sz w:val="24"/>
          <w:szCs w:val="24"/>
        </w:rPr>
        <w:t>Kraemer et Cie (Paris, France), sold through French and Company to the J. Paul Getty Museum, 1972.</w:t>
      </w:r>
      <w:r w:rsidR="00B06891">
        <w:rPr>
          <w:rStyle w:val="EndnoteReference"/>
          <w:color w:val="000000"/>
          <w:sz w:val="24"/>
          <w:szCs w:val="24"/>
        </w:rPr>
        <w:endnoteReference w:id="17"/>
      </w:r>
    </w:p>
    <w:p w14:paraId="47C2E131" w14:textId="77777777" w:rsidR="00EF7A5C" w:rsidRPr="00DC03B6" w:rsidRDefault="00EF7A5C" w:rsidP="00DC03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p>
    <w:p w14:paraId="1A45F96F" w14:textId="27B7D9B5" w:rsidR="00EF7A5C" w:rsidRPr="00250740" w:rsidRDefault="00EF7A5C" w:rsidP="00DC03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b/>
          <w:bCs/>
          <w:i/>
          <w:iCs/>
          <w:sz w:val="24"/>
          <w:szCs w:val="24"/>
        </w:rPr>
      </w:pPr>
      <w:r w:rsidRPr="00250740">
        <w:rPr>
          <w:b/>
          <w:bCs/>
          <w:i/>
          <w:iCs/>
          <w:sz w:val="24"/>
          <w:szCs w:val="24"/>
        </w:rPr>
        <w:t>Bibliography</w:t>
      </w:r>
    </w:p>
    <w:p w14:paraId="4CBBA612" w14:textId="188D1BE9" w:rsidR="00A53A71" w:rsidRPr="00A53A71" w:rsidRDefault="00A53A71" w:rsidP="00A53A71">
      <w:pPr>
        <w:widowControl w:val="0"/>
        <w:tabs>
          <w:tab w:val="left" w:pos="3360"/>
        </w:tabs>
        <w:spacing w:line="480" w:lineRule="auto"/>
        <w:rPr>
          <w:color w:val="000000"/>
          <w:sz w:val="24"/>
          <w:szCs w:val="24"/>
        </w:rPr>
      </w:pPr>
      <w:r w:rsidRPr="00A53A71">
        <w:rPr>
          <w:color w:val="000000"/>
          <w:sz w:val="24"/>
          <w:szCs w:val="24"/>
          <w:shd w:val="clear" w:color="auto" w:fill="FFFFFF"/>
        </w:rPr>
        <w:t>{{</w:t>
      </w:r>
      <w:r w:rsidRPr="00A53A71">
        <w:rPr>
          <w:color w:val="000000"/>
          <w:sz w:val="24"/>
          <w:szCs w:val="24"/>
        </w:rPr>
        <w:t>Kjellberg 1989</w:t>
      </w:r>
      <w:r w:rsidRPr="00A53A71">
        <w:rPr>
          <w:color w:val="000000"/>
          <w:sz w:val="24"/>
          <w:szCs w:val="24"/>
          <w:shd w:val="clear" w:color="auto" w:fill="FFFFFF"/>
        </w:rPr>
        <w:t>}}</w:t>
      </w:r>
      <w:r w:rsidRPr="00A53A71">
        <w:rPr>
          <w:color w:val="000000"/>
          <w:sz w:val="24"/>
          <w:szCs w:val="24"/>
        </w:rPr>
        <w:t xml:space="preserve">, 139; </w:t>
      </w:r>
      <w:r w:rsidRPr="00A53A71">
        <w:rPr>
          <w:color w:val="000000"/>
          <w:sz w:val="24"/>
          <w:szCs w:val="24"/>
          <w:shd w:val="clear" w:color="auto" w:fill="FFFFFF"/>
        </w:rPr>
        <w:t>{{</w:t>
      </w:r>
      <w:r w:rsidRPr="00A53A71">
        <w:rPr>
          <w:color w:val="000000"/>
          <w:sz w:val="24"/>
          <w:szCs w:val="24"/>
        </w:rPr>
        <w:t>Bremer</w:t>
      </w:r>
      <w:r w:rsidRPr="00A53A71">
        <w:rPr>
          <w:color w:val="000000"/>
          <w:sz w:val="24"/>
          <w:szCs w:val="24"/>
        </w:rPr>
        <w:noBreakHyphen/>
        <w:t>David et al.</w:t>
      </w:r>
      <w:r w:rsidRPr="00A53A71">
        <w:rPr>
          <w:color w:val="000000"/>
          <w:sz w:val="24"/>
          <w:szCs w:val="24"/>
          <w:shd w:val="clear" w:color="auto" w:fill="FFFFFF"/>
        </w:rPr>
        <w:t xml:space="preserve"> 1993}}</w:t>
      </w:r>
      <w:r w:rsidRPr="00A53A71">
        <w:rPr>
          <w:color w:val="000000"/>
          <w:sz w:val="24"/>
          <w:szCs w:val="24"/>
        </w:rPr>
        <w:t xml:space="preserve">, 30, no. 33; </w:t>
      </w:r>
      <w:r w:rsidRPr="00A53A71">
        <w:rPr>
          <w:color w:val="000000"/>
          <w:sz w:val="24"/>
          <w:szCs w:val="24"/>
          <w:shd w:val="clear" w:color="auto" w:fill="FFFFFF"/>
        </w:rPr>
        <w:t>{{</w:t>
      </w:r>
      <w:r w:rsidRPr="00A53A71">
        <w:rPr>
          <w:color w:val="000000"/>
          <w:sz w:val="24"/>
          <w:szCs w:val="24"/>
        </w:rPr>
        <w:t>Wolvesperges 2000</w:t>
      </w:r>
      <w:r w:rsidRPr="00A53A71">
        <w:rPr>
          <w:color w:val="000000"/>
          <w:sz w:val="24"/>
          <w:szCs w:val="24"/>
          <w:shd w:val="clear" w:color="auto" w:fill="FFFFFF"/>
        </w:rPr>
        <w:t>}}</w:t>
      </w:r>
      <w:r w:rsidRPr="00A53A71">
        <w:rPr>
          <w:color w:val="000000"/>
          <w:sz w:val="24"/>
          <w:szCs w:val="24"/>
        </w:rPr>
        <w:t xml:space="preserve">, </w:t>
      </w:r>
      <w:r w:rsidRPr="00A53A71">
        <w:rPr>
          <w:color w:val="000000"/>
          <w:sz w:val="24"/>
          <w:szCs w:val="24"/>
        </w:rPr>
        <w:lastRenderedPageBreak/>
        <w:t xml:space="preserve">263, fig. 132; </w:t>
      </w:r>
      <w:r w:rsidRPr="00A53A71">
        <w:rPr>
          <w:color w:val="000000"/>
          <w:sz w:val="24"/>
          <w:szCs w:val="24"/>
          <w:shd w:val="clear" w:color="auto" w:fill="FFFFFF"/>
        </w:rPr>
        <w:t>{{</w:t>
      </w:r>
      <w:r w:rsidRPr="00A53A71">
        <w:rPr>
          <w:color w:val="000000"/>
          <w:sz w:val="24"/>
          <w:szCs w:val="24"/>
        </w:rPr>
        <w:t>Wilson and Hess 2001</w:t>
      </w:r>
      <w:r w:rsidRPr="00A53A71">
        <w:rPr>
          <w:color w:val="000000"/>
          <w:sz w:val="24"/>
          <w:szCs w:val="24"/>
          <w:shd w:val="clear" w:color="auto" w:fill="FFFFFF"/>
        </w:rPr>
        <w:t>}}</w:t>
      </w:r>
      <w:r w:rsidRPr="00A53A71">
        <w:rPr>
          <w:color w:val="000000"/>
          <w:sz w:val="24"/>
          <w:szCs w:val="24"/>
        </w:rPr>
        <w:t xml:space="preserve">, 19, no. 33; </w:t>
      </w:r>
      <w:r w:rsidRPr="00A53A71">
        <w:rPr>
          <w:color w:val="000000"/>
          <w:sz w:val="24"/>
          <w:szCs w:val="24"/>
          <w:shd w:val="clear" w:color="auto" w:fill="FFFFFF"/>
        </w:rPr>
        <w:t>{{</w:t>
      </w:r>
      <w:r w:rsidRPr="00A53A71">
        <w:rPr>
          <w:color w:val="000000"/>
          <w:sz w:val="24"/>
          <w:szCs w:val="24"/>
        </w:rPr>
        <w:t>Heginbotham and Schilling 2011</w:t>
      </w:r>
      <w:r w:rsidRPr="00A53A71">
        <w:rPr>
          <w:color w:val="000000"/>
          <w:sz w:val="24"/>
          <w:szCs w:val="24"/>
          <w:shd w:val="clear" w:color="auto" w:fill="FFFFFF"/>
        </w:rPr>
        <w:t>}}</w:t>
      </w:r>
      <w:r w:rsidRPr="00A53A71">
        <w:rPr>
          <w:color w:val="000000"/>
          <w:sz w:val="24"/>
          <w:szCs w:val="24"/>
        </w:rPr>
        <w:t>, 94, 96, figs. 3–4, 7–8.</w:t>
      </w:r>
    </w:p>
    <w:p w14:paraId="3FEED30D" w14:textId="77777777" w:rsidR="005D73F8" w:rsidRPr="005D73F8" w:rsidRDefault="005D73F8" w:rsidP="0079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b/>
          <w:bCs/>
          <w:sz w:val="24"/>
          <w:szCs w:val="24"/>
        </w:rPr>
      </w:pPr>
    </w:p>
    <w:p w14:paraId="1B8AA84A" w14:textId="77777777" w:rsidR="0079107B" w:rsidRPr="00250740" w:rsidRDefault="0079107B" w:rsidP="0079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b/>
          <w:bCs/>
          <w:i/>
          <w:iCs/>
          <w:sz w:val="24"/>
          <w:szCs w:val="24"/>
        </w:rPr>
      </w:pPr>
      <w:r w:rsidRPr="00250740">
        <w:rPr>
          <w:b/>
          <w:bCs/>
          <w:i/>
          <w:iCs/>
          <w:sz w:val="24"/>
          <w:szCs w:val="24"/>
        </w:rPr>
        <w:t>Exhibition History</w:t>
      </w:r>
    </w:p>
    <w:p w14:paraId="726F5C4A" w14:textId="70D24317" w:rsidR="0079107B" w:rsidRPr="0079107B" w:rsidRDefault="0079107B" w:rsidP="0079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sidRPr="005D73F8">
        <w:rPr>
          <w:i/>
          <w:sz w:val="24"/>
          <w:szCs w:val="24"/>
        </w:rPr>
        <w:t>The J. Paul Getty Collection of French Decorative Arts</w:t>
      </w:r>
      <w:r w:rsidR="005D73F8" w:rsidRPr="005D73F8">
        <w:rPr>
          <w:iCs/>
          <w:sz w:val="24"/>
          <w:szCs w:val="24"/>
        </w:rPr>
        <w:t xml:space="preserve">, </w:t>
      </w:r>
      <w:r w:rsidRPr="0079107B">
        <w:rPr>
          <w:sz w:val="24"/>
          <w:szCs w:val="24"/>
        </w:rPr>
        <w:t>Detroit Institute of Arts (Detroit), October 3, 1972</w:t>
      </w:r>
      <w:r w:rsidR="005D73F8">
        <w:rPr>
          <w:sz w:val="24"/>
          <w:szCs w:val="24"/>
        </w:rPr>
        <w:t>–</w:t>
      </w:r>
      <w:r w:rsidRPr="0079107B">
        <w:rPr>
          <w:sz w:val="24"/>
          <w:szCs w:val="24"/>
        </w:rPr>
        <w:t>August 31, 1973.</w:t>
      </w:r>
    </w:p>
    <w:p w14:paraId="3584060D" w14:textId="77777777" w:rsidR="00BA0DD9" w:rsidRPr="0079107B" w:rsidRDefault="00BA0DD9" w:rsidP="0079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p>
    <w:p w14:paraId="65286186" w14:textId="2457AD43" w:rsidR="00D00BE6" w:rsidRPr="00250740" w:rsidRDefault="00D00BE6" w:rsidP="00D00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b/>
          <w:bCs/>
          <w:i/>
          <w:iCs/>
          <w:sz w:val="24"/>
          <w:szCs w:val="24"/>
        </w:rPr>
      </w:pPr>
      <w:r w:rsidRPr="00250740">
        <w:rPr>
          <w:b/>
          <w:bCs/>
          <w:i/>
          <w:iCs/>
          <w:sz w:val="24"/>
          <w:szCs w:val="24"/>
        </w:rPr>
        <w:t>Technical Description</w:t>
      </w:r>
    </w:p>
    <w:p w14:paraId="59325062" w14:textId="0849AA6E" w:rsidR="00D00BE6" w:rsidRPr="00D00BE6" w:rsidRDefault="00D00BE6" w:rsidP="00250740">
      <w:pPr>
        <w:spacing w:after="0" w:line="480" w:lineRule="auto"/>
        <w:rPr>
          <w:sz w:val="24"/>
          <w:szCs w:val="24"/>
        </w:rPr>
      </w:pPr>
      <w:r w:rsidRPr="00D00BE6">
        <w:rPr>
          <w:sz w:val="24"/>
          <w:szCs w:val="24"/>
        </w:rPr>
        <w:t>The carcasses of the two cabinets are made of white oak and are very nearly identical in construction. The two front corner posts run from the floor to the top of the case and are shaped from single blocks measuring approximately 5.5 cm</w:t>
      </w:r>
      <w:r w:rsidR="005D73F8">
        <w:rPr>
          <w:sz w:val="24"/>
          <w:szCs w:val="24"/>
        </w:rPr>
        <w:t xml:space="preserve"> wide</w:t>
      </w:r>
      <w:r w:rsidRPr="00D00BE6">
        <w:rPr>
          <w:sz w:val="24"/>
          <w:szCs w:val="24"/>
        </w:rPr>
        <w:t xml:space="preserve"> x 7 cm</w:t>
      </w:r>
      <w:r w:rsidR="005D73F8">
        <w:rPr>
          <w:sz w:val="24"/>
          <w:szCs w:val="24"/>
        </w:rPr>
        <w:t xml:space="preserve"> deep</w:t>
      </w:r>
      <w:r w:rsidRPr="00D00BE6">
        <w:rPr>
          <w:sz w:val="24"/>
          <w:szCs w:val="24"/>
        </w:rPr>
        <w:t xml:space="preserve"> in section. Above and below the doors, the posts are connected with curved, compound rails, each of which is composed of three pieces of wood. The upper portion of these compound rails is a single bow-shaped horizontal board approximately 1.5 cm thick and 17 cm deep at its widest point </w:t>
      </w:r>
      <w:r>
        <w:rPr>
          <w:sz w:val="24"/>
          <w:szCs w:val="24"/>
        </w:rPr>
        <w:t>(</w:t>
      </w:r>
      <w:hyperlink w:anchor="fig-4-5" w:history="1">
        <w:r w:rsidR="005D73F8" w:rsidRPr="00095E4A">
          <w:rPr>
            <w:rStyle w:val="Hyperlink"/>
            <w:sz w:val="24"/>
            <w:szCs w:val="24"/>
          </w:rPr>
          <w:t>f</w:t>
        </w:r>
        <w:r w:rsidR="00FB20DA" w:rsidRPr="00095E4A">
          <w:rPr>
            <w:rStyle w:val="Hyperlink"/>
            <w:sz w:val="24"/>
            <w:szCs w:val="24"/>
          </w:rPr>
          <w:t>ig. 4-5</w:t>
        </w:r>
      </w:hyperlink>
      <w:r>
        <w:rPr>
          <w:sz w:val="24"/>
          <w:szCs w:val="24"/>
        </w:rPr>
        <w:t>)</w:t>
      </w:r>
      <w:r w:rsidRPr="00D00BE6">
        <w:rPr>
          <w:sz w:val="24"/>
          <w:szCs w:val="24"/>
        </w:rPr>
        <w:t>. In the upper rail, the transverse board is joined to the posts with single</w:t>
      </w:r>
      <w:r w:rsidR="001F4181">
        <w:rPr>
          <w:sz w:val="24"/>
          <w:szCs w:val="24"/>
        </w:rPr>
        <w:t>,</w:t>
      </w:r>
      <w:r w:rsidRPr="00D00BE6">
        <w:rPr>
          <w:sz w:val="24"/>
          <w:szCs w:val="24"/>
        </w:rPr>
        <w:t xml:space="preserve"> </w:t>
      </w:r>
      <w:r w:rsidR="001F4181">
        <w:rPr>
          <w:sz w:val="24"/>
          <w:szCs w:val="24"/>
        </w:rPr>
        <w:t xml:space="preserve">angled </w:t>
      </w:r>
      <w:r w:rsidRPr="00D00BE6">
        <w:rPr>
          <w:sz w:val="24"/>
          <w:szCs w:val="24"/>
        </w:rPr>
        <w:t>dovetails; in the lower rail, it is attached with sliding dovetails that run parallel to the case sides</w:t>
      </w:r>
      <w:r w:rsidR="001F4181">
        <w:rPr>
          <w:sz w:val="24"/>
          <w:szCs w:val="24"/>
        </w:rPr>
        <w:t xml:space="preserve"> (</w:t>
      </w:r>
      <w:hyperlink w:anchor="fig-4-6" w:history="1">
        <w:r w:rsidR="001F4181" w:rsidRPr="00095E4A">
          <w:rPr>
            <w:rStyle w:val="Hyperlink"/>
            <w:sz w:val="24"/>
            <w:szCs w:val="24"/>
          </w:rPr>
          <w:t>fig. 4-6</w:t>
        </w:r>
      </w:hyperlink>
      <w:r w:rsidR="001F4181">
        <w:rPr>
          <w:sz w:val="24"/>
          <w:szCs w:val="24"/>
        </w:rPr>
        <w:t>)</w:t>
      </w:r>
      <w:r w:rsidRPr="00D00BE6">
        <w:rPr>
          <w:sz w:val="24"/>
          <w:szCs w:val="24"/>
        </w:rPr>
        <w:t>. The lower portion of each upper and lower compound rail is formed of two blocks, joined end</w:t>
      </w:r>
      <w:r w:rsidR="00250740">
        <w:rPr>
          <w:sz w:val="24"/>
          <w:szCs w:val="24"/>
        </w:rPr>
        <w:t xml:space="preserve"> </w:t>
      </w:r>
      <w:r w:rsidRPr="00D00BE6">
        <w:rPr>
          <w:sz w:val="24"/>
          <w:szCs w:val="24"/>
        </w:rPr>
        <w:t>to</w:t>
      </w:r>
      <w:r w:rsidR="00250740">
        <w:rPr>
          <w:sz w:val="24"/>
          <w:szCs w:val="24"/>
        </w:rPr>
        <w:t xml:space="preserve"> </w:t>
      </w:r>
      <w:r w:rsidRPr="00D00BE6">
        <w:rPr>
          <w:sz w:val="24"/>
          <w:szCs w:val="24"/>
        </w:rPr>
        <w:t xml:space="preserve">end at the center, that follow the curved contour of the case front. These two blocks are approximately 4 cm thick and are glued to the underside of the transverse board. In the upper rail, the blocks are joined to each other at the center with a slip joint and joined to the posts with sliding dovetails that run parallel to the case sides; in the lower rail, the blocks appear to be glued in place only, without any joinery at either end. </w:t>
      </w:r>
    </w:p>
    <w:p w14:paraId="7A429F5B" w14:textId="3CF90060" w:rsidR="00D00BE6" w:rsidRPr="00D00BE6" w:rsidRDefault="00D00BE6" w:rsidP="00250740">
      <w:pPr>
        <w:spacing w:after="0" w:line="480" w:lineRule="auto"/>
        <w:ind w:firstLine="720"/>
        <w:rPr>
          <w:sz w:val="24"/>
          <w:szCs w:val="24"/>
        </w:rPr>
      </w:pPr>
      <w:r w:rsidRPr="00D00BE6">
        <w:rPr>
          <w:sz w:val="24"/>
          <w:szCs w:val="24"/>
        </w:rPr>
        <w:lastRenderedPageBreak/>
        <w:t xml:space="preserve">The rear leg is made from two thin vertical boards joined in an L-shape with a tongue-and-groove joint running along their entire length. Below the level of the bottom shelf, the back leg is reinforced with a large corner block of oak. The rear leg assembly is joined to the front posts with rails at top and bottom </w:t>
      </w:r>
      <w:r w:rsidR="00250740">
        <w:rPr>
          <w:sz w:val="24"/>
          <w:szCs w:val="24"/>
        </w:rPr>
        <w:t>that</w:t>
      </w:r>
      <w:r w:rsidRPr="00D00BE6">
        <w:rPr>
          <w:sz w:val="24"/>
          <w:szCs w:val="24"/>
        </w:rPr>
        <w:t xml:space="preserve"> are attached with unpinned </w:t>
      </w:r>
      <w:bookmarkStart w:id="0" w:name="_Hlk37234051"/>
      <w:r w:rsidRPr="00D00BE6">
        <w:rPr>
          <w:sz w:val="24"/>
          <w:szCs w:val="24"/>
        </w:rPr>
        <w:t>mortise</w:t>
      </w:r>
      <w:r w:rsidR="00250740">
        <w:rPr>
          <w:sz w:val="24"/>
          <w:szCs w:val="24"/>
        </w:rPr>
        <w:t>-</w:t>
      </w:r>
      <w:r w:rsidRPr="00D00BE6">
        <w:rPr>
          <w:sz w:val="24"/>
          <w:szCs w:val="24"/>
        </w:rPr>
        <w:t>and</w:t>
      </w:r>
      <w:r w:rsidR="00250740">
        <w:rPr>
          <w:sz w:val="24"/>
          <w:szCs w:val="24"/>
        </w:rPr>
        <w:t>-</w:t>
      </w:r>
      <w:r w:rsidRPr="00D00BE6">
        <w:rPr>
          <w:sz w:val="24"/>
          <w:szCs w:val="24"/>
        </w:rPr>
        <w:t>tenon joints</w:t>
      </w:r>
      <w:bookmarkEnd w:id="0"/>
      <w:r w:rsidR="001F4181">
        <w:rPr>
          <w:sz w:val="24"/>
          <w:szCs w:val="24"/>
        </w:rPr>
        <w:t xml:space="preserve"> (</w:t>
      </w:r>
      <w:hyperlink w:anchor="fig-4-7" w:history="1">
        <w:r w:rsidR="001F4181" w:rsidRPr="0009459F">
          <w:rPr>
            <w:rStyle w:val="Hyperlink"/>
            <w:sz w:val="24"/>
            <w:szCs w:val="24"/>
          </w:rPr>
          <w:t>fig. 4-7</w:t>
        </w:r>
      </w:hyperlink>
      <w:r w:rsidR="001F4181">
        <w:rPr>
          <w:sz w:val="24"/>
          <w:szCs w:val="24"/>
        </w:rPr>
        <w:t>)</w:t>
      </w:r>
      <w:r w:rsidRPr="00D00BE6">
        <w:rPr>
          <w:sz w:val="24"/>
          <w:szCs w:val="24"/>
        </w:rPr>
        <w:t>. At the front, where the rails join the heavy posts, the tenons are single</w:t>
      </w:r>
      <w:r w:rsidR="005A191C">
        <w:rPr>
          <w:sz w:val="24"/>
          <w:szCs w:val="24"/>
        </w:rPr>
        <w:t xml:space="preserve"> </w:t>
      </w:r>
      <w:r w:rsidRPr="00D00BE6">
        <w:rPr>
          <w:sz w:val="24"/>
          <w:szCs w:val="24"/>
        </w:rPr>
        <w:t>shouldered; at the rear</w:t>
      </w:r>
      <w:r w:rsidR="00250740">
        <w:rPr>
          <w:sz w:val="24"/>
          <w:szCs w:val="24"/>
        </w:rPr>
        <w:t>,</w:t>
      </w:r>
      <w:r w:rsidRPr="00D00BE6">
        <w:rPr>
          <w:sz w:val="24"/>
          <w:szCs w:val="24"/>
        </w:rPr>
        <w:t xml:space="preserve"> the tenons are double</w:t>
      </w:r>
      <w:r w:rsidR="005A191C">
        <w:rPr>
          <w:sz w:val="24"/>
          <w:szCs w:val="24"/>
        </w:rPr>
        <w:t xml:space="preserve"> </w:t>
      </w:r>
      <w:r w:rsidRPr="00D00BE6">
        <w:rPr>
          <w:sz w:val="24"/>
          <w:szCs w:val="24"/>
        </w:rPr>
        <w:t>shouldered where they join the much thinner back leg. The rails and posts frame a single panel on each case side. The panels are made of from three to four boards, butt</w:t>
      </w:r>
      <w:r w:rsidR="00250740">
        <w:rPr>
          <w:sz w:val="24"/>
          <w:szCs w:val="24"/>
        </w:rPr>
        <w:t xml:space="preserve"> </w:t>
      </w:r>
      <w:r w:rsidRPr="00D00BE6">
        <w:rPr>
          <w:sz w:val="24"/>
          <w:szCs w:val="24"/>
        </w:rPr>
        <w:t>joined</w:t>
      </w:r>
      <w:r w:rsidR="00C94D98">
        <w:rPr>
          <w:sz w:val="24"/>
          <w:szCs w:val="24"/>
        </w:rPr>
        <w:t>,</w:t>
      </w:r>
      <w:r w:rsidRPr="00D00BE6">
        <w:rPr>
          <w:sz w:val="24"/>
          <w:szCs w:val="24"/>
        </w:rPr>
        <w:t xml:space="preserve"> with the grain oriented vertically; they have been simply chamfered along the outer edges and are flat on their inner surfaces. </w:t>
      </w:r>
    </w:p>
    <w:p w14:paraId="68E86B81" w14:textId="39B89237" w:rsidR="00D00BE6" w:rsidRPr="00D00BE6" w:rsidRDefault="00D00BE6" w:rsidP="00250740">
      <w:pPr>
        <w:spacing w:after="0" w:line="480" w:lineRule="auto"/>
        <w:ind w:firstLine="720"/>
        <w:rPr>
          <w:sz w:val="24"/>
          <w:szCs w:val="24"/>
        </w:rPr>
      </w:pPr>
      <w:r w:rsidRPr="00D00BE6">
        <w:rPr>
          <w:sz w:val="24"/>
          <w:szCs w:val="24"/>
        </w:rPr>
        <w:t xml:space="preserve">The case tops </w:t>
      </w:r>
      <w:r w:rsidR="00FB20DA">
        <w:rPr>
          <w:sz w:val="24"/>
          <w:szCs w:val="24"/>
        </w:rPr>
        <w:t xml:space="preserve"> </w:t>
      </w:r>
      <w:r w:rsidRPr="00D00BE6">
        <w:rPr>
          <w:sz w:val="24"/>
          <w:szCs w:val="24"/>
        </w:rPr>
        <w:t>are made in frame and panel construction; two side rails are attached to the front posts with single dovetails and are joined to each other at the rear with mit</w:t>
      </w:r>
      <w:r w:rsidR="00250740">
        <w:rPr>
          <w:sz w:val="24"/>
          <w:szCs w:val="24"/>
        </w:rPr>
        <w:t>e</w:t>
      </w:r>
      <w:r w:rsidRPr="00D00BE6">
        <w:rPr>
          <w:sz w:val="24"/>
          <w:szCs w:val="24"/>
        </w:rPr>
        <w:t>red half-lap joints. The side rails of the top are attached to the upper rails of the case sides with long tongue</w:t>
      </w:r>
      <w:r w:rsidR="00250740">
        <w:rPr>
          <w:sz w:val="24"/>
          <w:szCs w:val="24"/>
        </w:rPr>
        <w:t>-</w:t>
      </w:r>
      <w:r w:rsidRPr="00D00BE6">
        <w:rPr>
          <w:sz w:val="24"/>
          <w:szCs w:val="24"/>
        </w:rPr>
        <w:t>and</w:t>
      </w:r>
      <w:r w:rsidR="00250740">
        <w:rPr>
          <w:sz w:val="24"/>
          <w:szCs w:val="24"/>
        </w:rPr>
        <w:t>-</w:t>
      </w:r>
      <w:r w:rsidRPr="00D00BE6">
        <w:rPr>
          <w:sz w:val="24"/>
          <w:szCs w:val="24"/>
        </w:rPr>
        <w:t>groove joints. The panels of the tops are made of three boards each, butt</w:t>
      </w:r>
      <w:r w:rsidR="00250740">
        <w:rPr>
          <w:sz w:val="24"/>
          <w:szCs w:val="24"/>
        </w:rPr>
        <w:t xml:space="preserve"> </w:t>
      </w:r>
      <w:r w:rsidRPr="00D00BE6">
        <w:rPr>
          <w:sz w:val="24"/>
          <w:szCs w:val="24"/>
        </w:rPr>
        <w:t>joined</w:t>
      </w:r>
      <w:r w:rsidR="00C94D98">
        <w:rPr>
          <w:sz w:val="24"/>
          <w:szCs w:val="24"/>
        </w:rPr>
        <w:t>,</w:t>
      </w:r>
      <w:r w:rsidRPr="00D00BE6">
        <w:rPr>
          <w:sz w:val="24"/>
          <w:szCs w:val="24"/>
        </w:rPr>
        <w:t xml:space="preserve"> with the grain oriented parallel to the case front; they have been chamfered along the bottom edges and are flat on their upper surfaces. The triangular case bottom panels</w:t>
      </w:r>
      <w:r w:rsidR="00FB20DA">
        <w:rPr>
          <w:sz w:val="24"/>
          <w:szCs w:val="24"/>
        </w:rPr>
        <w:t xml:space="preserve"> </w:t>
      </w:r>
      <w:r w:rsidRPr="00D00BE6">
        <w:rPr>
          <w:sz w:val="24"/>
          <w:szCs w:val="24"/>
        </w:rPr>
        <w:t>are formed of four butt-joined boards; they are held in place with tongue</w:t>
      </w:r>
      <w:r w:rsidR="00250740">
        <w:rPr>
          <w:sz w:val="24"/>
          <w:szCs w:val="24"/>
        </w:rPr>
        <w:t>-</w:t>
      </w:r>
      <w:r w:rsidRPr="00D00BE6">
        <w:rPr>
          <w:sz w:val="24"/>
          <w:szCs w:val="24"/>
        </w:rPr>
        <w:t>and</w:t>
      </w:r>
      <w:r w:rsidR="00250740">
        <w:rPr>
          <w:sz w:val="24"/>
          <w:szCs w:val="24"/>
        </w:rPr>
        <w:t>-</w:t>
      </w:r>
      <w:r w:rsidRPr="00D00BE6">
        <w:rPr>
          <w:sz w:val="24"/>
          <w:szCs w:val="24"/>
        </w:rPr>
        <w:t>groove joints along all three sides. The front center feet of the cabinets</w:t>
      </w:r>
      <w:r w:rsidR="00250740">
        <w:rPr>
          <w:sz w:val="24"/>
          <w:szCs w:val="24"/>
        </w:rPr>
        <w:t>,</w:t>
      </w:r>
      <w:r w:rsidRPr="00D00BE6">
        <w:rPr>
          <w:sz w:val="24"/>
          <w:szCs w:val="24"/>
        </w:rPr>
        <w:t xml:space="preserve"> as well as the corner brackets of the side feet, have been assembled simply by gluing blocks of wood to the bottom of the case to create the desired profile; this has been done without joinery.</w:t>
      </w:r>
    </w:p>
    <w:p w14:paraId="37712109" w14:textId="4A436699" w:rsidR="00D00BE6" w:rsidRPr="00D00BE6" w:rsidRDefault="00D00BE6" w:rsidP="00250740">
      <w:pPr>
        <w:spacing w:after="0" w:line="480" w:lineRule="auto"/>
        <w:ind w:firstLine="720"/>
        <w:rPr>
          <w:sz w:val="24"/>
          <w:szCs w:val="24"/>
        </w:rPr>
      </w:pPr>
      <w:r w:rsidRPr="00D00BE6">
        <w:rPr>
          <w:sz w:val="24"/>
          <w:szCs w:val="24"/>
        </w:rPr>
        <w:t>The shelves are each made of from four to five butt</w:t>
      </w:r>
      <w:r w:rsidR="00592FF3">
        <w:rPr>
          <w:sz w:val="24"/>
          <w:szCs w:val="24"/>
        </w:rPr>
        <w:t>-</w:t>
      </w:r>
      <w:r w:rsidRPr="00D00BE6">
        <w:rPr>
          <w:sz w:val="24"/>
          <w:szCs w:val="24"/>
        </w:rPr>
        <w:t xml:space="preserve">joined boards. They are loose-fitting and rest on transverse battens </w:t>
      </w:r>
      <w:r w:rsidR="00250740">
        <w:rPr>
          <w:sz w:val="24"/>
          <w:szCs w:val="24"/>
        </w:rPr>
        <w:t>that</w:t>
      </w:r>
      <w:r w:rsidRPr="00D00BE6">
        <w:rPr>
          <w:sz w:val="24"/>
          <w:szCs w:val="24"/>
        </w:rPr>
        <w:t xml:space="preserve"> are mortise</w:t>
      </w:r>
      <w:r w:rsidR="00250740">
        <w:rPr>
          <w:sz w:val="24"/>
          <w:szCs w:val="24"/>
        </w:rPr>
        <w:t xml:space="preserve"> </w:t>
      </w:r>
      <w:r w:rsidRPr="00D00BE6">
        <w:rPr>
          <w:sz w:val="24"/>
          <w:szCs w:val="24"/>
        </w:rPr>
        <w:t>and</w:t>
      </w:r>
      <w:r w:rsidR="00250740">
        <w:rPr>
          <w:sz w:val="24"/>
          <w:szCs w:val="24"/>
        </w:rPr>
        <w:t xml:space="preserve"> </w:t>
      </w:r>
      <w:r w:rsidRPr="00D00BE6">
        <w:rPr>
          <w:sz w:val="24"/>
          <w:szCs w:val="24"/>
        </w:rPr>
        <w:t>tenoned to the front posts and nailed to the rear leg assembly.</w:t>
      </w:r>
    </w:p>
    <w:p w14:paraId="0A0D22B3" w14:textId="7F722D6F" w:rsidR="00D00BE6" w:rsidRPr="00D00BE6" w:rsidRDefault="00D00BE6" w:rsidP="00250740">
      <w:pPr>
        <w:spacing w:after="0" w:line="480" w:lineRule="auto"/>
        <w:rPr>
          <w:sz w:val="24"/>
          <w:szCs w:val="24"/>
        </w:rPr>
      </w:pPr>
      <w:r>
        <w:rPr>
          <w:sz w:val="24"/>
          <w:szCs w:val="24"/>
        </w:rPr>
        <w:lastRenderedPageBreak/>
        <w:t xml:space="preserve"> </w:t>
      </w:r>
      <w:r>
        <w:rPr>
          <w:sz w:val="24"/>
          <w:szCs w:val="24"/>
        </w:rPr>
        <w:tab/>
      </w:r>
      <w:r w:rsidRPr="00D00BE6">
        <w:rPr>
          <w:sz w:val="24"/>
          <w:szCs w:val="24"/>
        </w:rPr>
        <w:t xml:space="preserve">The construction of the doors was determined with the aid of </w:t>
      </w:r>
      <w:r w:rsidR="00250740">
        <w:rPr>
          <w:sz w:val="24"/>
          <w:szCs w:val="24"/>
        </w:rPr>
        <w:t>X</w:t>
      </w:r>
      <w:r w:rsidRPr="00D00BE6">
        <w:rPr>
          <w:sz w:val="24"/>
          <w:szCs w:val="24"/>
        </w:rPr>
        <w:t>-radiograph</w:t>
      </w:r>
      <w:r w:rsidR="001F4181">
        <w:rPr>
          <w:sz w:val="24"/>
          <w:szCs w:val="24"/>
        </w:rPr>
        <w:t>y</w:t>
      </w:r>
      <w:r w:rsidRPr="00D00BE6">
        <w:rPr>
          <w:sz w:val="24"/>
          <w:szCs w:val="24"/>
        </w:rPr>
        <w:t>. All the doors are constructed in a similar fashion with between five and seven vertically oriented narrow boards butt</w:t>
      </w:r>
      <w:r w:rsidR="005D73F8">
        <w:rPr>
          <w:sz w:val="24"/>
          <w:szCs w:val="24"/>
        </w:rPr>
        <w:t xml:space="preserve"> </w:t>
      </w:r>
      <w:r w:rsidRPr="00D00BE6">
        <w:rPr>
          <w:sz w:val="24"/>
          <w:szCs w:val="24"/>
        </w:rPr>
        <w:t>joined to each other, forming the core of the door; battens are attached at the top and bottom with tongue</w:t>
      </w:r>
      <w:r w:rsidR="00250740">
        <w:rPr>
          <w:sz w:val="24"/>
          <w:szCs w:val="24"/>
        </w:rPr>
        <w:t>-</w:t>
      </w:r>
      <w:r w:rsidRPr="00D00BE6">
        <w:rPr>
          <w:sz w:val="24"/>
          <w:szCs w:val="24"/>
        </w:rPr>
        <w:t>and</w:t>
      </w:r>
      <w:r w:rsidR="00250740">
        <w:rPr>
          <w:sz w:val="24"/>
          <w:szCs w:val="24"/>
        </w:rPr>
        <w:t>-</w:t>
      </w:r>
      <w:r w:rsidRPr="00D00BE6">
        <w:rPr>
          <w:sz w:val="24"/>
          <w:szCs w:val="24"/>
        </w:rPr>
        <w:t>groove joints</w:t>
      </w:r>
      <w:r w:rsidR="005D73F8">
        <w:rPr>
          <w:sz w:val="24"/>
          <w:szCs w:val="24"/>
        </w:rPr>
        <w:t>,</w:t>
      </w:r>
      <w:r w:rsidRPr="00D00BE6">
        <w:rPr>
          <w:sz w:val="24"/>
          <w:szCs w:val="24"/>
        </w:rPr>
        <w:t xml:space="preserve"> so-called breadboard ends. The protruding section of the proper left door on each cabinet, which houses the lock mechanism and is covered by the central gilded escutcheon, is a separate piece of wood with its grain oriented horizontally; this has been mortise</w:t>
      </w:r>
      <w:r w:rsidR="00250740">
        <w:rPr>
          <w:sz w:val="24"/>
          <w:szCs w:val="24"/>
        </w:rPr>
        <w:t xml:space="preserve"> </w:t>
      </w:r>
      <w:r w:rsidRPr="00D00BE6">
        <w:rPr>
          <w:sz w:val="24"/>
          <w:szCs w:val="24"/>
        </w:rPr>
        <w:t>and</w:t>
      </w:r>
      <w:r w:rsidR="00250740">
        <w:rPr>
          <w:sz w:val="24"/>
          <w:szCs w:val="24"/>
        </w:rPr>
        <w:t xml:space="preserve"> </w:t>
      </w:r>
      <w:r w:rsidRPr="00D00BE6">
        <w:rPr>
          <w:sz w:val="24"/>
          <w:szCs w:val="24"/>
        </w:rPr>
        <w:t>tenoned into the edge of the assembled door. This was presumably done for added strength.</w:t>
      </w:r>
    </w:p>
    <w:p w14:paraId="34F8EAFE" w14:textId="4AF74E8B" w:rsidR="00D00BE6" w:rsidRPr="00D00BE6" w:rsidRDefault="00D00BE6" w:rsidP="00695687">
      <w:pPr>
        <w:spacing w:after="0" w:line="480" w:lineRule="auto"/>
        <w:ind w:firstLine="720"/>
        <w:rPr>
          <w:sz w:val="24"/>
          <w:szCs w:val="24"/>
        </w:rPr>
      </w:pPr>
      <w:r w:rsidRPr="00D00BE6">
        <w:rPr>
          <w:sz w:val="24"/>
          <w:szCs w:val="24"/>
        </w:rPr>
        <w:t xml:space="preserve">The exterior of the cabinets has been veneered with sycamore maple wherever Japanese lacquer is not present; this veneer covers the joints of the cases, reducing the chance that the European lacquer would crack along glue </w:t>
      </w:r>
      <w:r w:rsidR="00FB20DA">
        <w:rPr>
          <w:sz w:val="24"/>
          <w:szCs w:val="24"/>
        </w:rPr>
        <w:t>lines</w:t>
      </w:r>
      <w:r w:rsidRPr="00EF473D">
        <w:rPr>
          <w:sz w:val="24"/>
          <w:szCs w:val="24"/>
        </w:rPr>
        <w:t>.</w:t>
      </w:r>
      <w:r w:rsidRPr="00D00BE6">
        <w:rPr>
          <w:sz w:val="24"/>
          <w:szCs w:val="24"/>
        </w:rPr>
        <w:t xml:space="preserve"> It also raises the surface of the cabinets to be flush with the applied Japanese lacquer panels and provides a smooth and less porous base for the subsequent lacquering. The interior of the doors has been veneered with a combination of cherry and amaranth veneers in a pattern nearly identical to that found on the interior of the doors of the </w:t>
      </w:r>
      <w:r w:rsidR="004562EC">
        <w:rPr>
          <w:sz w:val="24"/>
          <w:szCs w:val="24"/>
        </w:rPr>
        <w:t>Van Risenburgh</w:t>
      </w:r>
      <w:r w:rsidR="004562EC" w:rsidRPr="00D00BE6">
        <w:rPr>
          <w:sz w:val="24"/>
          <w:szCs w:val="24"/>
        </w:rPr>
        <w:t xml:space="preserve"> </w:t>
      </w:r>
      <w:r w:rsidRPr="00D00BE6">
        <w:rPr>
          <w:sz w:val="24"/>
          <w:szCs w:val="24"/>
        </w:rPr>
        <w:t>commode 65.DA.4 (</w:t>
      </w:r>
      <w:r w:rsidR="00F65261">
        <w:rPr>
          <w:sz w:val="24"/>
          <w:szCs w:val="24"/>
        </w:rPr>
        <w:t xml:space="preserve">see </w:t>
      </w:r>
      <w:hyperlink r:id="rId10" w:history="1">
        <w:r w:rsidR="00F65261" w:rsidRPr="00695687">
          <w:rPr>
            <w:rStyle w:val="Hyperlink"/>
            <w:sz w:val="24"/>
            <w:szCs w:val="24"/>
          </w:rPr>
          <w:t>cat. no.</w:t>
        </w:r>
        <w:r w:rsidRPr="00695687">
          <w:rPr>
            <w:rStyle w:val="Hyperlink"/>
            <w:sz w:val="24"/>
            <w:szCs w:val="24"/>
          </w:rPr>
          <w:t xml:space="preserve"> 5</w:t>
        </w:r>
      </w:hyperlink>
      <w:r w:rsidRPr="00D00BE6">
        <w:rPr>
          <w:sz w:val="24"/>
          <w:szCs w:val="24"/>
        </w:rPr>
        <w:t>).</w:t>
      </w:r>
    </w:p>
    <w:p w14:paraId="4C5BF46E" w14:textId="09594054" w:rsidR="00D00BE6" w:rsidRPr="00D00BE6" w:rsidRDefault="00D00BE6" w:rsidP="00695687">
      <w:pPr>
        <w:spacing w:after="0" w:line="480" w:lineRule="auto"/>
        <w:ind w:firstLine="720"/>
        <w:rPr>
          <w:sz w:val="24"/>
          <w:szCs w:val="24"/>
        </w:rPr>
      </w:pPr>
      <w:r w:rsidRPr="00D00BE6">
        <w:rPr>
          <w:sz w:val="24"/>
          <w:szCs w:val="24"/>
        </w:rPr>
        <w:t>The lacquer panels on the doors of the cabinets are almost certainly taken from the exterior of the front doors of two Japanese cabinets; the lacquer work can be dated stylistically to the period between about 1650 and 1660</w:t>
      </w:r>
      <w:r w:rsidR="00F65261">
        <w:rPr>
          <w:sz w:val="24"/>
          <w:szCs w:val="24"/>
        </w:rPr>
        <w:t>.</w:t>
      </w:r>
      <w:r w:rsidRPr="00D00BE6">
        <w:rPr>
          <w:rStyle w:val="EndnoteReference"/>
          <w:sz w:val="24"/>
          <w:szCs w:val="24"/>
        </w:rPr>
        <w:endnoteReference w:id="18"/>
      </w:r>
      <w:r w:rsidRPr="00D00BE6">
        <w:rPr>
          <w:sz w:val="24"/>
          <w:szCs w:val="24"/>
        </w:rPr>
        <w:t xml:space="preserve"> An intact Japanese </w:t>
      </w:r>
      <w:r w:rsidR="00F65261">
        <w:rPr>
          <w:sz w:val="24"/>
          <w:szCs w:val="24"/>
        </w:rPr>
        <w:t>c</w:t>
      </w:r>
      <w:r w:rsidRPr="00D00BE6">
        <w:rPr>
          <w:sz w:val="24"/>
          <w:szCs w:val="24"/>
        </w:rPr>
        <w:t xml:space="preserve">abinet in the collections of the </w:t>
      </w:r>
      <w:r w:rsidR="00FB20DA">
        <w:rPr>
          <w:sz w:val="24"/>
          <w:szCs w:val="24"/>
        </w:rPr>
        <w:t>Schloss Rosenb</w:t>
      </w:r>
      <w:r w:rsidR="006F12D6">
        <w:rPr>
          <w:sz w:val="24"/>
          <w:szCs w:val="24"/>
        </w:rPr>
        <w:t>o</w:t>
      </w:r>
      <w:r w:rsidR="00FB20DA">
        <w:rPr>
          <w:sz w:val="24"/>
          <w:szCs w:val="24"/>
        </w:rPr>
        <w:t>rg</w:t>
      </w:r>
      <w:r w:rsidRPr="00D00BE6">
        <w:rPr>
          <w:sz w:val="24"/>
          <w:szCs w:val="24"/>
        </w:rPr>
        <w:t xml:space="preserve"> in </w:t>
      </w:r>
      <w:r w:rsidR="00604EF2">
        <w:rPr>
          <w:sz w:val="24"/>
          <w:szCs w:val="24"/>
        </w:rPr>
        <w:t>Copenhagen</w:t>
      </w:r>
      <w:r w:rsidRPr="00D00BE6">
        <w:rPr>
          <w:sz w:val="24"/>
          <w:szCs w:val="24"/>
        </w:rPr>
        <w:t xml:space="preserve"> bears a likely resemblance to the original source of these panels </w:t>
      </w:r>
      <w:r w:rsidR="00EF473D">
        <w:rPr>
          <w:sz w:val="24"/>
          <w:szCs w:val="24"/>
        </w:rPr>
        <w:t>(</w:t>
      </w:r>
      <w:r w:rsidR="007075A2" w:rsidRPr="00D705AB">
        <w:t>fi</w:t>
      </w:r>
      <w:r w:rsidR="007075A2">
        <w:rPr>
          <w:sz w:val="24"/>
          <w:szCs w:val="24"/>
        </w:rPr>
        <w:t>g. 4-8</w:t>
      </w:r>
      <w:r w:rsidR="00EF473D">
        <w:rPr>
          <w:sz w:val="24"/>
          <w:szCs w:val="24"/>
        </w:rPr>
        <w:t>)</w:t>
      </w:r>
      <w:r w:rsidRPr="00EF473D">
        <w:rPr>
          <w:sz w:val="24"/>
          <w:szCs w:val="24"/>
        </w:rPr>
        <w:t>.</w:t>
      </w:r>
      <w:r w:rsidRPr="00D00BE6">
        <w:rPr>
          <w:sz w:val="24"/>
          <w:szCs w:val="24"/>
        </w:rPr>
        <w:t xml:space="preserve">  </w:t>
      </w:r>
    </w:p>
    <w:p w14:paraId="7EBCF7D9" w14:textId="36F7CC80" w:rsidR="00D00BE6" w:rsidRPr="00D00BE6" w:rsidRDefault="00D00BE6" w:rsidP="00695687">
      <w:pPr>
        <w:spacing w:after="0" w:line="480" w:lineRule="auto"/>
        <w:ind w:firstLine="720"/>
        <w:rPr>
          <w:sz w:val="24"/>
          <w:szCs w:val="24"/>
        </w:rPr>
      </w:pPr>
      <w:r w:rsidRPr="00D00BE6">
        <w:rPr>
          <w:sz w:val="24"/>
          <w:szCs w:val="24"/>
        </w:rPr>
        <w:t xml:space="preserve">The lacquer decoration is executed in a wide variety of decorative techniques, including </w:t>
      </w:r>
      <w:bookmarkStart w:id="1" w:name="_Hlk37235157"/>
      <w:r w:rsidRPr="00D00BE6">
        <w:rPr>
          <w:i/>
          <w:sz w:val="24"/>
          <w:szCs w:val="24"/>
        </w:rPr>
        <w:t>hiramakie</w:t>
      </w:r>
      <w:r w:rsidRPr="00D00BE6">
        <w:rPr>
          <w:sz w:val="24"/>
          <w:szCs w:val="24"/>
        </w:rPr>
        <w:t xml:space="preserve"> (flat designs of sprinkled metal powder), </w:t>
      </w:r>
      <w:r w:rsidRPr="00D00BE6">
        <w:rPr>
          <w:i/>
          <w:sz w:val="24"/>
          <w:szCs w:val="24"/>
        </w:rPr>
        <w:t>takamakie</w:t>
      </w:r>
      <w:r w:rsidRPr="00D00BE6">
        <w:rPr>
          <w:sz w:val="24"/>
          <w:szCs w:val="24"/>
        </w:rPr>
        <w:t xml:space="preserve"> (similar designs in relief), </w:t>
      </w:r>
      <w:r w:rsidRPr="00D00BE6">
        <w:rPr>
          <w:i/>
          <w:sz w:val="24"/>
          <w:szCs w:val="24"/>
        </w:rPr>
        <w:t>nashiji</w:t>
      </w:r>
      <w:r w:rsidRPr="00D00BE6">
        <w:rPr>
          <w:sz w:val="24"/>
          <w:szCs w:val="24"/>
        </w:rPr>
        <w:t xml:space="preserve"> (evenly sprinkled metal flakes used as a background texture), </w:t>
      </w:r>
      <w:r w:rsidRPr="00D00BE6">
        <w:rPr>
          <w:i/>
          <w:sz w:val="24"/>
          <w:szCs w:val="24"/>
        </w:rPr>
        <w:t>keuchi</w:t>
      </w:r>
      <w:r w:rsidRPr="00D00BE6">
        <w:rPr>
          <w:sz w:val="24"/>
          <w:szCs w:val="24"/>
        </w:rPr>
        <w:t xml:space="preserve"> (or </w:t>
      </w:r>
      <w:r w:rsidRPr="00D00BE6">
        <w:rPr>
          <w:i/>
          <w:sz w:val="24"/>
          <w:szCs w:val="24"/>
        </w:rPr>
        <w:t>tsukegaki</w:t>
      </w:r>
      <w:r w:rsidRPr="00D00BE6">
        <w:rPr>
          <w:sz w:val="24"/>
          <w:szCs w:val="24"/>
        </w:rPr>
        <w:t>; fine, low</w:t>
      </w:r>
      <w:r w:rsidR="00C94D98">
        <w:rPr>
          <w:sz w:val="24"/>
          <w:szCs w:val="24"/>
        </w:rPr>
        <w:t>-</w:t>
      </w:r>
      <w:r w:rsidRPr="00D00BE6">
        <w:rPr>
          <w:sz w:val="24"/>
          <w:szCs w:val="24"/>
        </w:rPr>
        <w:lastRenderedPageBreak/>
        <w:t xml:space="preserve">relief lines of gold defining the detailed features of floral and architectural elements), and </w:t>
      </w:r>
      <w:r w:rsidRPr="00D00BE6">
        <w:rPr>
          <w:i/>
          <w:sz w:val="24"/>
          <w:szCs w:val="24"/>
        </w:rPr>
        <w:t>kakiwari</w:t>
      </w:r>
      <w:r w:rsidRPr="00D00BE6">
        <w:rPr>
          <w:sz w:val="24"/>
          <w:szCs w:val="24"/>
        </w:rPr>
        <w:t xml:space="preserve"> (black lines on a gold ground formed by allowing the substrate to show through)</w:t>
      </w:r>
      <w:bookmarkEnd w:id="1"/>
      <w:r w:rsidR="00E840C5">
        <w:rPr>
          <w:sz w:val="24"/>
          <w:szCs w:val="24"/>
        </w:rPr>
        <w:t>.</w:t>
      </w:r>
      <w:r w:rsidRPr="00D00BE6">
        <w:rPr>
          <w:rStyle w:val="EndnoteReference"/>
          <w:sz w:val="24"/>
          <w:szCs w:val="24"/>
        </w:rPr>
        <w:endnoteReference w:id="19"/>
      </w:r>
      <w:r w:rsidRPr="00D00BE6">
        <w:rPr>
          <w:sz w:val="24"/>
          <w:szCs w:val="24"/>
        </w:rPr>
        <w:t xml:space="preserve">  Cross</w:t>
      </w:r>
      <w:r w:rsidR="00E840C5">
        <w:rPr>
          <w:sz w:val="24"/>
          <w:szCs w:val="24"/>
        </w:rPr>
        <w:t>-</w:t>
      </w:r>
      <w:r w:rsidRPr="00D00BE6">
        <w:rPr>
          <w:sz w:val="24"/>
          <w:szCs w:val="24"/>
        </w:rPr>
        <w:t>section sampling reveals that both the Japanese panels were thinned to between 0.75</w:t>
      </w:r>
      <w:r w:rsidR="00095E4A">
        <w:rPr>
          <w:sz w:val="24"/>
          <w:szCs w:val="24"/>
        </w:rPr>
        <w:t xml:space="preserve"> </w:t>
      </w:r>
      <w:r w:rsidRPr="00D00BE6">
        <w:rPr>
          <w:sz w:val="24"/>
          <w:szCs w:val="24"/>
        </w:rPr>
        <w:t>and 1.</w:t>
      </w:r>
      <w:r w:rsidR="007075A2">
        <w:rPr>
          <w:sz w:val="24"/>
          <w:szCs w:val="24"/>
        </w:rPr>
        <w:t>3</w:t>
      </w:r>
      <w:r w:rsidR="007075A2" w:rsidRPr="00D00BE6">
        <w:rPr>
          <w:sz w:val="24"/>
          <w:szCs w:val="24"/>
        </w:rPr>
        <w:t xml:space="preserve"> </w:t>
      </w:r>
      <w:r w:rsidRPr="00D00BE6">
        <w:rPr>
          <w:sz w:val="24"/>
          <w:szCs w:val="24"/>
        </w:rPr>
        <w:t>mm in thickness (excluding the relief decoration</w:t>
      </w:r>
      <w:r w:rsidR="00F65261">
        <w:rPr>
          <w:sz w:val="24"/>
          <w:szCs w:val="24"/>
        </w:rPr>
        <w:t>,</w:t>
      </w:r>
      <w:r w:rsidRPr="00D00BE6">
        <w:rPr>
          <w:sz w:val="24"/>
          <w:szCs w:val="24"/>
        </w:rPr>
        <w:t xml:space="preserve"> or </w:t>
      </w:r>
      <w:r w:rsidRPr="00D00BE6">
        <w:rPr>
          <w:i/>
          <w:sz w:val="24"/>
          <w:szCs w:val="24"/>
        </w:rPr>
        <w:t>takamakie</w:t>
      </w:r>
      <w:r w:rsidRPr="00D00BE6">
        <w:rPr>
          <w:sz w:val="24"/>
          <w:szCs w:val="24"/>
        </w:rPr>
        <w:t xml:space="preserve">) and that the original wooden substrate for both cabinets </w:t>
      </w:r>
      <w:r w:rsidR="007075A2">
        <w:rPr>
          <w:sz w:val="24"/>
          <w:szCs w:val="24"/>
        </w:rPr>
        <w:t>is</w:t>
      </w:r>
      <w:r w:rsidR="007075A2" w:rsidRPr="00D00BE6">
        <w:rPr>
          <w:sz w:val="24"/>
          <w:szCs w:val="24"/>
        </w:rPr>
        <w:t xml:space="preserve"> </w:t>
      </w:r>
      <w:r w:rsidRPr="00D00BE6">
        <w:rPr>
          <w:sz w:val="24"/>
          <w:szCs w:val="24"/>
        </w:rPr>
        <w:t xml:space="preserve">Japanese </w:t>
      </w:r>
      <w:bookmarkStart w:id="2" w:name="_Hlk37235325"/>
      <w:r w:rsidRPr="00EF473D">
        <w:rPr>
          <w:sz w:val="24"/>
          <w:szCs w:val="24"/>
        </w:rPr>
        <w:t>arborvitae</w:t>
      </w:r>
      <w:bookmarkEnd w:id="2"/>
      <w:r w:rsidRPr="00EF473D">
        <w:rPr>
          <w:sz w:val="24"/>
          <w:szCs w:val="24"/>
        </w:rPr>
        <w:t xml:space="preserve"> </w:t>
      </w:r>
      <w:r w:rsidR="00EF473D">
        <w:rPr>
          <w:sz w:val="24"/>
          <w:szCs w:val="24"/>
        </w:rPr>
        <w:t>(</w:t>
      </w:r>
      <w:hyperlink w:anchor="fig-4-9" w:history="1">
        <w:r w:rsidR="00F65261" w:rsidRPr="00095E4A">
          <w:rPr>
            <w:rStyle w:val="Hyperlink"/>
            <w:sz w:val="24"/>
            <w:szCs w:val="24"/>
          </w:rPr>
          <w:t>f</w:t>
        </w:r>
        <w:r w:rsidR="00FB20DA" w:rsidRPr="00095E4A">
          <w:rPr>
            <w:rStyle w:val="Hyperlink"/>
            <w:sz w:val="24"/>
            <w:szCs w:val="24"/>
          </w:rPr>
          <w:t>ig. 4-9</w:t>
        </w:r>
      </w:hyperlink>
      <w:r w:rsidR="00EF473D">
        <w:rPr>
          <w:sz w:val="24"/>
          <w:szCs w:val="24"/>
        </w:rPr>
        <w:t>).</w:t>
      </w:r>
    </w:p>
    <w:p w14:paraId="327D4282" w14:textId="23E5BFB8" w:rsidR="00D00BE6" w:rsidRPr="00D00BE6" w:rsidRDefault="00D00BE6" w:rsidP="00695687">
      <w:pPr>
        <w:spacing w:after="0" w:line="480" w:lineRule="auto"/>
        <w:ind w:firstLine="720"/>
        <w:rPr>
          <w:sz w:val="24"/>
          <w:szCs w:val="24"/>
        </w:rPr>
      </w:pPr>
      <w:r w:rsidRPr="00D00BE6">
        <w:rPr>
          <w:sz w:val="24"/>
          <w:szCs w:val="24"/>
        </w:rPr>
        <w:t>X-radiographs reveal patterns of nail holes along the outer edges of the panels where the original Japanese ca</w:t>
      </w:r>
      <w:r w:rsidR="00EF473D">
        <w:rPr>
          <w:sz w:val="24"/>
          <w:szCs w:val="24"/>
        </w:rPr>
        <w:t>binet hinges were once fastened (</w:t>
      </w:r>
      <w:r w:rsidR="00F65261" w:rsidRPr="00D705AB">
        <w:rPr>
          <w:sz w:val="24"/>
          <w:szCs w:val="24"/>
        </w:rPr>
        <w:t>f</w:t>
      </w:r>
      <w:r w:rsidR="00FB20DA" w:rsidRPr="00D705AB">
        <w:rPr>
          <w:sz w:val="24"/>
          <w:szCs w:val="24"/>
        </w:rPr>
        <w:t>ig</w:t>
      </w:r>
      <w:r w:rsidR="00F65261" w:rsidRPr="00D705AB">
        <w:rPr>
          <w:sz w:val="24"/>
          <w:szCs w:val="24"/>
        </w:rPr>
        <w:t>s</w:t>
      </w:r>
      <w:r w:rsidR="00FB20DA" w:rsidRPr="00D705AB">
        <w:rPr>
          <w:sz w:val="24"/>
          <w:szCs w:val="24"/>
        </w:rPr>
        <w:t>.</w:t>
      </w:r>
      <w:r w:rsidR="00FB20DA">
        <w:rPr>
          <w:color w:val="FF0000"/>
          <w:sz w:val="24"/>
          <w:szCs w:val="24"/>
        </w:rPr>
        <w:t xml:space="preserve"> </w:t>
      </w:r>
      <w:hyperlink w:anchor="fig-4-10" w:history="1">
        <w:r w:rsidR="00FB20DA" w:rsidRPr="00095E4A">
          <w:rPr>
            <w:rStyle w:val="Hyperlink"/>
            <w:sz w:val="24"/>
            <w:szCs w:val="24"/>
          </w:rPr>
          <w:t>4-10</w:t>
        </w:r>
      </w:hyperlink>
      <w:r w:rsidR="00FB20DA" w:rsidRPr="00D705AB">
        <w:rPr>
          <w:sz w:val="24"/>
          <w:szCs w:val="24"/>
        </w:rPr>
        <w:t>,</w:t>
      </w:r>
      <w:hyperlink w:anchor="fig-4-11" w:history="1">
        <w:r w:rsidR="00FB20DA" w:rsidRPr="00095E4A">
          <w:rPr>
            <w:rStyle w:val="Hyperlink"/>
            <w:sz w:val="24"/>
            <w:szCs w:val="24"/>
          </w:rPr>
          <w:t xml:space="preserve"> 4-11</w:t>
        </w:r>
      </w:hyperlink>
      <w:r w:rsidR="007075A2" w:rsidRPr="00D705AB">
        <w:rPr>
          <w:sz w:val="24"/>
          <w:szCs w:val="24"/>
        </w:rPr>
        <w:t>)</w:t>
      </w:r>
      <w:r w:rsidR="00EF473D">
        <w:rPr>
          <w:sz w:val="24"/>
          <w:szCs w:val="24"/>
        </w:rPr>
        <w:t xml:space="preserve">. </w:t>
      </w:r>
      <w:r w:rsidRPr="00D00BE6">
        <w:rPr>
          <w:sz w:val="24"/>
          <w:szCs w:val="24"/>
        </w:rPr>
        <w:t xml:space="preserve">Careful study of the nail hole patterns shows that both Japanese cabinets had six hinges per door but that the patterns are of distinctly different shape from one to the other. This suggests that the two original Japanese cabinets were not a matched pair but rather were brought together for </w:t>
      </w:r>
      <w:r w:rsidR="00E840C5">
        <w:rPr>
          <w:sz w:val="24"/>
          <w:szCs w:val="24"/>
        </w:rPr>
        <w:t>reuse</w:t>
      </w:r>
      <w:r w:rsidRPr="00D00BE6">
        <w:rPr>
          <w:sz w:val="24"/>
          <w:szCs w:val="24"/>
        </w:rPr>
        <w:t xml:space="preserve"> in this pair of corner cabinets, based on their similar style and size. Several other observations confirm this postulation. For example, the lacquerwork on cabinet .2 uses a very pale greenish</w:t>
      </w:r>
      <w:r w:rsidR="00E840C5">
        <w:rPr>
          <w:sz w:val="24"/>
          <w:szCs w:val="24"/>
        </w:rPr>
        <w:t>-</w:t>
      </w:r>
      <w:r w:rsidRPr="00D00BE6">
        <w:rPr>
          <w:sz w:val="24"/>
          <w:szCs w:val="24"/>
        </w:rPr>
        <w:t xml:space="preserve">gold powder, particularly in certain areas of </w:t>
      </w:r>
      <w:r w:rsidRPr="00D00BE6">
        <w:rPr>
          <w:i/>
          <w:sz w:val="24"/>
          <w:szCs w:val="24"/>
        </w:rPr>
        <w:t>keuchi</w:t>
      </w:r>
      <w:r w:rsidRPr="00D00BE6">
        <w:rPr>
          <w:sz w:val="24"/>
          <w:szCs w:val="24"/>
        </w:rPr>
        <w:t xml:space="preserve"> detail; this color of powder, made with a high percentage of silver</w:t>
      </w:r>
      <w:r w:rsidR="00E840C5">
        <w:rPr>
          <w:sz w:val="24"/>
          <w:szCs w:val="24"/>
        </w:rPr>
        <w:t>,</w:t>
      </w:r>
      <w:r w:rsidRPr="00D00BE6">
        <w:rPr>
          <w:rStyle w:val="EndnoteReference"/>
          <w:sz w:val="24"/>
          <w:szCs w:val="24"/>
        </w:rPr>
        <w:endnoteReference w:id="20"/>
      </w:r>
      <w:r w:rsidRPr="00D00BE6">
        <w:rPr>
          <w:sz w:val="24"/>
          <w:szCs w:val="24"/>
        </w:rPr>
        <w:t xml:space="preserve"> is conspicuously absent from cabinet .1. In addition, cross-section analysis shows that the lacquer of cabinet .1 uses a black clay ground material that is not present in cabinet .2</w:t>
      </w:r>
      <w:r w:rsidR="00EF473D">
        <w:rPr>
          <w:sz w:val="24"/>
          <w:szCs w:val="24"/>
        </w:rPr>
        <w:t xml:space="preserve"> (</w:t>
      </w:r>
      <w:r w:rsidR="00F65261" w:rsidRPr="00095E4A">
        <w:rPr>
          <w:sz w:val="24"/>
          <w:szCs w:val="24"/>
        </w:rPr>
        <w:t>f</w:t>
      </w:r>
      <w:r w:rsidR="00FB20DA" w:rsidRPr="00095E4A">
        <w:rPr>
          <w:sz w:val="24"/>
          <w:szCs w:val="24"/>
        </w:rPr>
        <w:t>ig</w:t>
      </w:r>
      <w:r w:rsidR="00F65261" w:rsidRPr="00095E4A">
        <w:rPr>
          <w:sz w:val="24"/>
          <w:szCs w:val="24"/>
        </w:rPr>
        <w:t>s</w:t>
      </w:r>
      <w:r w:rsidR="00FB20DA" w:rsidRPr="00095E4A">
        <w:rPr>
          <w:sz w:val="24"/>
          <w:szCs w:val="24"/>
        </w:rPr>
        <w:t>.</w:t>
      </w:r>
      <w:r w:rsidR="00FB20DA">
        <w:rPr>
          <w:color w:val="FF0000"/>
          <w:sz w:val="24"/>
          <w:szCs w:val="24"/>
        </w:rPr>
        <w:t xml:space="preserve"> </w:t>
      </w:r>
      <w:hyperlink w:anchor="fig-4-12" w:history="1">
        <w:r w:rsidR="00FB20DA" w:rsidRPr="00095E4A">
          <w:rPr>
            <w:rStyle w:val="Hyperlink"/>
            <w:sz w:val="24"/>
            <w:szCs w:val="24"/>
          </w:rPr>
          <w:t>4-12</w:t>
        </w:r>
      </w:hyperlink>
      <w:r w:rsidR="00095E4A" w:rsidRPr="00095E4A">
        <w:rPr>
          <w:sz w:val="24"/>
          <w:szCs w:val="24"/>
        </w:rPr>
        <w:t>,</w:t>
      </w:r>
      <w:r w:rsidR="00FB20DA">
        <w:rPr>
          <w:color w:val="FF0000"/>
          <w:sz w:val="24"/>
          <w:szCs w:val="24"/>
        </w:rPr>
        <w:t xml:space="preserve"> </w:t>
      </w:r>
      <w:hyperlink w:anchor="fig-4-13" w:history="1">
        <w:r w:rsidR="00FB20DA" w:rsidRPr="00095E4A">
          <w:rPr>
            <w:rStyle w:val="Hyperlink"/>
            <w:sz w:val="24"/>
            <w:szCs w:val="24"/>
          </w:rPr>
          <w:t>4-13</w:t>
        </w:r>
      </w:hyperlink>
      <w:r w:rsidR="00F65261" w:rsidRPr="00095E4A">
        <w:rPr>
          <w:sz w:val="24"/>
          <w:szCs w:val="24"/>
        </w:rPr>
        <w:t>,</w:t>
      </w:r>
      <w:r w:rsidR="00FB20DA" w:rsidRPr="00095E4A">
        <w:rPr>
          <w:sz w:val="24"/>
          <w:szCs w:val="24"/>
        </w:rPr>
        <w:t xml:space="preserve"> </w:t>
      </w:r>
      <w:hyperlink w:anchor="fig-4-14" w:history="1">
        <w:r w:rsidR="00FB20DA" w:rsidRPr="00095E4A">
          <w:rPr>
            <w:rStyle w:val="Hyperlink"/>
            <w:sz w:val="24"/>
            <w:szCs w:val="24"/>
          </w:rPr>
          <w:t>4-14</w:t>
        </w:r>
      </w:hyperlink>
      <w:r w:rsidR="00EF473D">
        <w:rPr>
          <w:sz w:val="24"/>
          <w:szCs w:val="24"/>
        </w:rPr>
        <w:t>)</w:t>
      </w:r>
      <w:r w:rsidRPr="00EF473D">
        <w:rPr>
          <w:sz w:val="24"/>
          <w:szCs w:val="24"/>
        </w:rPr>
        <w:t>.</w:t>
      </w:r>
      <w:r w:rsidRPr="00D00BE6">
        <w:rPr>
          <w:sz w:val="24"/>
          <w:szCs w:val="24"/>
        </w:rPr>
        <w:t xml:space="preserve"> The layer structure observed on </w:t>
      </w:r>
      <w:r w:rsidR="00E840C5">
        <w:rPr>
          <w:sz w:val="24"/>
          <w:szCs w:val="24"/>
        </w:rPr>
        <w:t>c</w:t>
      </w:r>
      <w:r w:rsidRPr="00D00BE6">
        <w:rPr>
          <w:sz w:val="24"/>
          <w:szCs w:val="24"/>
        </w:rPr>
        <w:t>abinet .2 resembles a relatively typical layer structure for Japanese export lacquer.</w:t>
      </w:r>
      <w:r w:rsidRPr="00D00BE6">
        <w:rPr>
          <w:rStyle w:val="EndnoteReference"/>
          <w:sz w:val="24"/>
          <w:szCs w:val="24"/>
        </w:rPr>
        <w:endnoteReference w:id="21"/>
      </w:r>
      <w:r w:rsidRPr="00D00BE6">
        <w:rPr>
          <w:sz w:val="24"/>
          <w:szCs w:val="24"/>
        </w:rPr>
        <w:t xml:space="preserve"> This layering includes a thick ground, a thin black layer, two </w:t>
      </w:r>
      <w:r w:rsidR="00906AC1">
        <w:rPr>
          <w:sz w:val="24"/>
          <w:szCs w:val="24"/>
        </w:rPr>
        <w:t>dark translucent</w:t>
      </w:r>
      <w:r w:rsidR="00906AC1" w:rsidRPr="00D00BE6">
        <w:rPr>
          <w:sz w:val="24"/>
          <w:szCs w:val="24"/>
        </w:rPr>
        <w:t xml:space="preserve"> </w:t>
      </w:r>
      <w:r w:rsidRPr="00D00BE6">
        <w:rPr>
          <w:sz w:val="24"/>
          <w:szCs w:val="24"/>
        </w:rPr>
        <w:t>lacquer layers, and decorative layers. Cabinet .1 deviates from this commonly observed structure as it has two ground layers, one black and one beige</w:t>
      </w:r>
      <w:r w:rsidR="00E840C5">
        <w:rPr>
          <w:sz w:val="24"/>
          <w:szCs w:val="24"/>
        </w:rPr>
        <w:t>,</w:t>
      </w:r>
      <w:r w:rsidRPr="00D00BE6">
        <w:rPr>
          <w:sz w:val="24"/>
          <w:szCs w:val="24"/>
        </w:rPr>
        <w:t xml:space="preserve"> that are separated by an intermediate layer of what appears to be lacquer. </w:t>
      </w:r>
    </w:p>
    <w:p w14:paraId="0A6D46AD" w14:textId="496E4B33" w:rsidR="00D00BE6" w:rsidRPr="00D00BE6" w:rsidRDefault="00D00BE6" w:rsidP="00695687">
      <w:pPr>
        <w:spacing w:after="0" w:line="480" w:lineRule="auto"/>
        <w:ind w:firstLine="720"/>
        <w:rPr>
          <w:sz w:val="24"/>
          <w:szCs w:val="24"/>
        </w:rPr>
      </w:pPr>
      <w:r w:rsidRPr="00D00BE6">
        <w:rPr>
          <w:sz w:val="24"/>
          <w:szCs w:val="24"/>
        </w:rPr>
        <w:t xml:space="preserve">Organic analysis by </w:t>
      </w:r>
      <w:bookmarkStart w:id="3" w:name="_Hlk37235574"/>
      <w:r w:rsidRPr="00D00BE6">
        <w:rPr>
          <w:sz w:val="24"/>
          <w:szCs w:val="24"/>
        </w:rPr>
        <w:t>Fourier transform infrared spectroscopy (FTIR)</w:t>
      </w:r>
      <w:bookmarkEnd w:id="3"/>
      <w:r w:rsidRPr="00D00BE6">
        <w:rPr>
          <w:sz w:val="24"/>
          <w:szCs w:val="24"/>
        </w:rPr>
        <w:t xml:space="preserve"> and pyrolysis gas chromatography</w:t>
      </w:r>
      <w:r w:rsidR="00F65261">
        <w:rPr>
          <w:sz w:val="24"/>
          <w:szCs w:val="24"/>
        </w:rPr>
        <w:t>–</w:t>
      </w:r>
      <w:r w:rsidRPr="00D00BE6">
        <w:rPr>
          <w:sz w:val="24"/>
          <w:szCs w:val="24"/>
        </w:rPr>
        <w:t>mass spectrometry (</w:t>
      </w:r>
      <w:r w:rsidR="00A63339">
        <w:rPr>
          <w:sz w:val="24"/>
          <w:szCs w:val="24"/>
        </w:rPr>
        <w:t>p</w:t>
      </w:r>
      <w:r w:rsidRPr="00D00BE6">
        <w:rPr>
          <w:sz w:val="24"/>
          <w:szCs w:val="24"/>
        </w:rPr>
        <w:t xml:space="preserve">y/GC-MS) emphasizes the differences in the Japanese cabinets further indicating that they were not a matched pair. The black clay ground material in </w:t>
      </w:r>
      <w:r w:rsidRPr="00D00BE6">
        <w:rPr>
          <w:sz w:val="24"/>
          <w:szCs w:val="24"/>
        </w:rPr>
        <w:lastRenderedPageBreak/>
        <w:t xml:space="preserve">cabinet .1 is bound predominantly with glue with minor contributions of drying oil and lacquer, whereas the beige ground material used in cabinet .2 contains no glue and is bound primarily with drying oil and lacquer with minor amounts of starch. Unexpectedly, the ground layers from both samples appear to contain small amounts of marker compounds associated with cedar oil. These compounds have been reported in </w:t>
      </w:r>
      <w:r w:rsidR="00906AC1">
        <w:rPr>
          <w:sz w:val="24"/>
          <w:szCs w:val="24"/>
        </w:rPr>
        <w:t xml:space="preserve">substantial amounts in </w:t>
      </w:r>
      <w:r w:rsidRPr="00D00BE6">
        <w:rPr>
          <w:sz w:val="24"/>
          <w:szCs w:val="24"/>
        </w:rPr>
        <w:t xml:space="preserve">many examples of southern Chinese export lacquer where they are thought to be linked to the intentional addition of distilled cedar oil derived primarily from Chinese </w:t>
      </w:r>
      <w:r w:rsidR="00F65261">
        <w:rPr>
          <w:sz w:val="24"/>
          <w:szCs w:val="24"/>
        </w:rPr>
        <w:t>w</w:t>
      </w:r>
      <w:r w:rsidRPr="00D00BE6">
        <w:rPr>
          <w:sz w:val="24"/>
          <w:szCs w:val="24"/>
        </w:rPr>
        <w:t xml:space="preserve">eeping </w:t>
      </w:r>
      <w:r w:rsidR="00F65261">
        <w:rPr>
          <w:sz w:val="24"/>
          <w:szCs w:val="24"/>
        </w:rPr>
        <w:t>c</w:t>
      </w:r>
      <w:r w:rsidRPr="00D00BE6">
        <w:rPr>
          <w:sz w:val="24"/>
          <w:szCs w:val="24"/>
        </w:rPr>
        <w:t>ypress (</w:t>
      </w:r>
      <w:r w:rsidRPr="00D00BE6">
        <w:rPr>
          <w:i/>
          <w:sz w:val="24"/>
          <w:szCs w:val="24"/>
        </w:rPr>
        <w:t>Cupressus funebris</w:t>
      </w:r>
      <w:r w:rsidRPr="00D00BE6">
        <w:rPr>
          <w:sz w:val="24"/>
          <w:szCs w:val="24"/>
        </w:rPr>
        <w:t>).</w:t>
      </w:r>
      <w:r w:rsidRPr="00D00BE6">
        <w:rPr>
          <w:rStyle w:val="EndnoteReference"/>
          <w:sz w:val="24"/>
          <w:szCs w:val="24"/>
        </w:rPr>
        <w:endnoteReference w:id="22"/>
      </w:r>
      <w:r w:rsidRPr="00D00BE6">
        <w:rPr>
          <w:sz w:val="24"/>
          <w:szCs w:val="24"/>
        </w:rPr>
        <w:t xml:space="preserve"> No </w:t>
      </w:r>
      <w:r w:rsidR="00906AC1">
        <w:rPr>
          <w:sz w:val="24"/>
          <w:szCs w:val="24"/>
        </w:rPr>
        <w:t xml:space="preserve">intentional </w:t>
      </w:r>
      <w:r w:rsidRPr="00D00BE6">
        <w:rPr>
          <w:sz w:val="24"/>
          <w:szCs w:val="24"/>
        </w:rPr>
        <w:t xml:space="preserve">use of cedar oil in seventeenth-century Japan has been </w:t>
      </w:r>
      <w:r w:rsidR="00906AC1" w:rsidRPr="00D00BE6">
        <w:rPr>
          <w:sz w:val="24"/>
          <w:szCs w:val="24"/>
        </w:rPr>
        <w:t xml:space="preserve">documented </w:t>
      </w:r>
      <w:r w:rsidR="00906AC1">
        <w:rPr>
          <w:sz w:val="24"/>
          <w:szCs w:val="24"/>
        </w:rPr>
        <w:t>to date</w:t>
      </w:r>
      <w:r w:rsidRPr="00D00BE6">
        <w:rPr>
          <w:sz w:val="24"/>
          <w:szCs w:val="24"/>
        </w:rPr>
        <w:t xml:space="preserve">; it may be more likely, in this case, that the source of these markers compounds may instead </w:t>
      </w:r>
      <w:r w:rsidR="00906AC1">
        <w:rPr>
          <w:sz w:val="24"/>
          <w:szCs w:val="24"/>
        </w:rPr>
        <w:t>be</w:t>
      </w:r>
      <w:r w:rsidRPr="00D00BE6">
        <w:rPr>
          <w:sz w:val="24"/>
          <w:szCs w:val="24"/>
        </w:rPr>
        <w:t xml:space="preserve"> in the underlying wood substrate</w:t>
      </w:r>
      <w:r w:rsidR="00F65261">
        <w:rPr>
          <w:sz w:val="24"/>
          <w:szCs w:val="24"/>
        </w:rPr>
        <w:t>.</w:t>
      </w:r>
      <w:r w:rsidRPr="00D00BE6">
        <w:rPr>
          <w:rStyle w:val="EndnoteReference"/>
          <w:sz w:val="24"/>
          <w:szCs w:val="24"/>
        </w:rPr>
        <w:endnoteReference w:id="23"/>
      </w:r>
      <w:r w:rsidRPr="00D00BE6">
        <w:rPr>
          <w:sz w:val="24"/>
          <w:szCs w:val="24"/>
        </w:rPr>
        <w:t xml:space="preserve"> Japanese arborvitae wood is, like Chinese </w:t>
      </w:r>
      <w:r w:rsidR="00F65261">
        <w:rPr>
          <w:sz w:val="24"/>
          <w:szCs w:val="24"/>
        </w:rPr>
        <w:t>w</w:t>
      </w:r>
      <w:r w:rsidRPr="00D00BE6">
        <w:rPr>
          <w:sz w:val="24"/>
          <w:szCs w:val="24"/>
        </w:rPr>
        <w:t xml:space="preserve">eeping </w:t>
      </w:r>
      <w:r w:rsidR="00F65261">
        <w:rPr>
          <w:sz w:val="24"/>
          <w:szCs w:val="24"/>
        </w:rPr>
        <w:t>c</w:t>
      </w:r>
      <w:r w:rsidRPr="00D00BE6">
        <w:rPr>
          <w:sz w:val="24"/>
          <w:szCs w:val="24"/>
        </w:rPr>
        <w:t xml:space="preserve">ypress, a member of the Cupressaceae family and is known to contain a similar range of volatile compounds. Over time, small amounts of these compounds may have migrated into the porous ground layer from the wood substrate. </w:t>
      </w:r>
    </w:p>
    <w:p w14:paraId="1D3D1F56" w14:textId="7496B8FC" w:rsidR="00D00BE6" w:rsidRPr="00D00BE6" w:rsidRDefault="00D00BE6" w:rsidP="00695687">
      <w:pPr>
        <w:spacing w:after="0" w:line="480" w:lineRule="auto"/>
        <w:ind w:firstLine="720"/>
        <w:rPr>
          <w:sz w:val="24"/>
          <w:szCs w:val="24"/>
        </w:rPr>
      </w:pPr>
      <w:r w:rsidRPr="00D00BE6">
        <w:rPr>
          <w:sz w:val="24"/>
          <w:szCs w:val="24"/>
        </w:rPr>
        <w:t xml:space="preserve">The </w:t>
      </w:r>
      <w:r w:rsidR="00A63339">
        <w:rPr>
          <w:sz w:val="24"/>
          <w:szCs w:val="24"/>
        </w:rPr>
        <w:t>p</w:t>
      </w:r>
      <w:r w:rsidRPr="00A63339">
        <w:rPr>
          <w:sz w:val="24"/>
          <w:szCs w:val="24"/>
        </w:rPr>
        <w:t>y/GC-MS</w:t>
      </w:r>
      <w:r w:rsidRPr="00D00BE6">
        <w:rPr>
          <w:sz w:val="24"/>
          <w:szCs w:val="24"/>
        </w:rPr>
        <w:t xml:space="preserve"> analysis confirmed that the lacquer in both panels is not pure </w:t>
      </w:r>
      <w:r w:rsidRPr="00D00BE6">
        <w:rPr>
          <w:i/>
          <w:sz w:val="24"/>
          <w:szCs w:val="24"/>
        </w:rPr>
        <w:t>urushi</w:t>
      </w:r>
      <w:r w:rsidRPr="00D00BE6">
        <w:rPr>
          <w:sz w:val="24"/>
          <w:szCs w:val="24"/>
        </w:rPr>
        <w:t xml:space="preserve"> but rather a combination of </w:t>
      </w:r>
      <w:r w:rsidRPr="00D00BE6">
        <w:rPr>
          <w:i/>
          <w:sz w:val="24"/>
          <w:szCs w:val="24"/>
        </w:rPr>
        <w:t>thitsi</w:t>
      </w:r>
      <w:r w:rsidRPr="00D00BE6">
        <w:rPr>
          <w:sz w:val="24"/>
          <w:szCs w:val="24"/>
        </w:rPr>
        <w:t xml:space="preserve"> lacquer and </w:t>
      </w:r>
      <w:r w:rsidRPr="00D00BE6">
        <w:rPr>
          <w:i/>
          <w:sz w:val="24"/>
          <w:szCs w:val="24"/>
        </w:rPr>
        <w:t>urushi</w:t>
      </w:r>
      <w:r w:rsidRPr="00D00BE6">
        <w:rPr>
          <w:sz w:val="24"/>
          <w:szCs w:val="24"/>
        </w:rPr>
        <w:t xml:space="preserve"> with a significant amount of drying oil mixed into all layers. </w:t>
      </w:r>
      <w:r w:rsidRPr="00D00BE6">
        <w:rPr>
          <w:i/>
          <w:sz w:val="24"/>
          <w:szCs w:val="24"/>
        </w:rPr>
        <w:t xml:space="preserve">Thitsi, </w:t>
      </w:r>
      <w:r w:rsidRPr="00D00BE6">
        <w:rPr>
          <w:sz w:val="24"/>
          <w:szCs w:val="24"/>
        </w:rPr>
        <w:t xml:space="preserve">imported from Southeast Asia by Dutch and Chinese traders in the </w:t>
      </w:r>
      <w:r w:rsidR="00E840C5">
        <w:rPr>
          <w:sz w:val="24"/>
          <w:szCs w:val="24"/>
        </w:rPr>
        <w:t>seventeenth</w:t>
      </w:r>
      <w:r w:rsidRPr="00D00BE6">
        <w:rPr>
          <w:sz w:val="24"/>
          <w:szCs w:val="24"/>
        </w:rPr>
        <w:t xml:space="preserve"> century, was significantly cheaper than domestically produced </w:t>
      </w:r>
      <w:r w:rsidRPr="00D00BE6">
        <w:rPr>
          <w:i/>
          <w:sz w:val="24"/>
          <w:szCs w:val="24"/>
        </w:rPr>
        <w:t>urushi</w:t>
      </w:r>
      <w:r w:rsidRPr="00D705AB">
        <w:rPr>
          <w:iCs/>
          <w:sz w:val="24"/>
          <w:szCs w:val="24"/>
        </w:rPr>
        <w:t>;</w:t>
      </w:r>
      <w:r w:rsidRPr="00D00BE6">
        <w:rPr>
          <w:i/>
          <w:sz w:val="24"/>
          <w:szCs w:val="24"/>
        </w:rPr>
        <w:t xml:space="preserve"> </w:t>
      </w:r>
      <w:r w:rsidRPr="00D00BE6">
        <w:rPr>
          <w:sz w:val="24"/>
          <w:szCs w:val="24"/>
        </w:rPr>
        <w:t xml:space="preserve">however, it was more viscous, softer when dry, darker, and slower to cure than the more expensive </w:t>
      </w:r>
      <w:r w:rsidRPr="00D00BE6">
        <w:rPr>
          <w:i/>
          <w:sz w:val="24"/>
          <w:szCs w:val="24"/>
        </w:rPr>
        <w:t>urushi</w:t>
      </w:r>
      <w:r w:rsidRPr="00F65261">
        <w:rPr>
          <w:iCs/>
          <w:sz w:val="24"/>
          <w:szCs w:val="24"/>
        </w:rPr>
        <w:t>.</w:t>
      </w:r>
      <w:r w:rsidRPr="00F65261">
        <w:rPr>
          <w:rStyle w:val="EndnoteReference"/>
          <w:iCs/>
          <w:sz w:val="24"/>
          <w:szCs w:val="24"/>
        </w:rPr>
        <w:endnoteReference w:id="24"/>
      </w:r>
      <w:r w:rsidR="00F65261">
        <w:rPr>
          <w:iCs/>
          <w:sz w:val="24"/>
          <w:szCs w:val="24"/>
        </w:rPr>
        <w:t xml:space="preserve"> </w:t>
      </w:r>
      <w:r w:rsidRPr="00D00BE6">
        <w:rPr>
          <w:sz w:val="24"/>
          <w:szCs w:val="24"/>
        </w:rPr>
        <w:t>The practice of adding oil to the lacquer is typical of Asian export lacquers of the period as it allowed layers to be built up more quickly and adds gloss without laborious polishing but was eschewed in high</w:t>
      </w:r>
      <w:r w:rsidR="00E840C5">
        <w:rPr>
          <w:sz w:val="24"/>
          <w:szCs w:val="24"/>
        </w:rPr>
        <w:t>-</w:t>
      </w:r>
      <w:r w:rsidRPr="00D00BE6">
        <w:rPr>
          <w:sz w:val="24"/>
          <w:szCs w:val="24"/>
        </w:rPr>
        <w:t xml:space="preserve">quality Japanese domestic wares because it reduced the durability of the final product. It is possible that the transparent lacquer layers on cabinet .2 and the </w:t>
      </w:r>
      <w:r w:rsidRPr="00D00BE6">
        <w:rPr>
          <w:i/>
          <w:sz w:val="24"/>
          <w:szCs w:val="24"/>
        </w:rPr>
        <w:t xml:space="preserve">takamakie </w:t>
      </w:r>
      <w:r w:rsidRPr="00D00BE6">
        <w:rPr>
          <w:sz w:val="24"/>
          <w:szCs w:val="24"/>
        </w:rPr>
        <w:t xml:space="preserve">ground and lacquer layer on .1 also include small amounts of </w:t>
      </w:r>
      <w:r w:rsidR="00AD7542">
        <w:rPr>
          <w:sz w:val="24"/>
          <w:szCs w:val="24"/>
        </w:rPr>
        <w:t>“</w:t>
      </w:r>
      <w:r w:rsidRPr="00D00BE6">
        <w:rPr>
          <w:sz w:val="24"/>
          <w:szCs w:val="24"/>
        </w:rPr>
        <w:t>wood oil,</w:t>
      </w:r>
      <w:r w:rsidR="00AD7542">
        <w:rPr>
          <w:sz w:val="24"/>
          <w:szCs w:val="24"/>
        </w:rPr>
        <w:t>”</w:t>
      </w:r>
      <w:r w:rsidRPr="00D00BE6">
        <w:rPr>
          <w:rStyle w:val="EndnoteReference"/>
          <w:sz w:val="24"/>
          <w:szCs w:val="24"/>
        </w:rPr>
        <w:endnoteReference w:id="25"/>
      </w:r>
      <w:r w:rsidRPr="00D00BE6">
        <w:rPr>
          <w:sz w:val="24"/>
          <w:szCs w:val="24"/>
        </w:rPr>
        <w:t xml:space="preserve"> perhaps added to the </w:t>
      </w:r>
      <w:r w:rsidRPr="00D00BE6">
        <w:rPr>
          <w:i/>
          <w:sz w:val="24"/>
          <w:szCs w:val="24"/>
        </w:rPr>
        <w:t xml:space="preserve">thitsi </w:t>
      </w:r>
      <w:r w:rsidRPr="00D00BE6">
        <w:rPr>
          <w:sz w:val="24"/>
          <w:szCs w:val="24"/>
        </w:rPr>
        <w:lastRenderedPageBreak/>
        <w:t>lacquer as a diluent to improve the working properties during application or as an adulterant by unscrupulous traders.</w:t>
      </w:r>
      <w:r w:rsidRPr="00D00BE6">
        <w:rPr>
          <w:rStyle w:val="EndnoteReference"/>
          <w:sz w:val="24"/>
          <w:szCs w:val="24"/>
        </w:rPr>
        <w:endnoteReference w:id="26"/>
      </w:r>
      <w:r w:rsidRPr="00D00BE6">
        <w:rPr>
          <w:sz w:val="24"/>
          <w:szCs w:val="24"/>
        </w:rPr>
        <w:t xml:space="preserve"> </w:t>
      </w:r>
    </w:p>
    <w:p w14:paraId="4CE7DA77" w14:textId="6FEBC904" w:rsidR="00D00BE6" w:rsidRPr="00D00BE6" w:rsidRDefault="00D00BE6" w:rsidP="00695687">
      <w:pPr>
        <w:spacing w:after="0" w:line="480" w:lineRule="auto"/>
        <w:ind w:firstLine="720"/>
        <w:rPr>
          <w:sz w:val="24"/>
          <w:szCs w:val="24"/>
        </w:rPr>
      </w:pPr>
      <w:r w:rsidRPr="00D00BE6">
        <w:rPr>
          <w:sz w:val="24"/>
          <w:szCs w:val="24"/>
        </w:rPr>
        <w:t xml:space="preserve">From cross-section analysis along with further organic analysis and electron microscopy, it is also possible to garner a better understanding of the </w:t>
      </w:r>
      <w:r w:rsidRPr="00D00BE6">
        <w:rPr>
          <w:i/>
          <w:sz w:val="24"/>
          <w:szCs w:val="24"/>
        </w:rPr>
        <w:t xml:space="preserve">takamakie </w:t>
      </w:r>
      <w:r w:rsidRPr="00D00BE6">
        <w:rPr>
          <w:sz w:val="24"/>
          <w:szCs w:val="24"/>
        </w:rPr>
        <w:t>decoration on cabinet .1. This decorative scheme was buil</w:t>
      </w:r>
      <w:r w:rsidR="00B1209C">
        <w:rPr>
          <w:sz w:val="24"/>
          <w:szCs w:val="24"/>
        </w:rPr>
        <w:t>t</w:t>
      </w:r>
      <w:r w:rsidRPr="00D00BE6">
        <w:rPr>
          <w:sz w:val="24"/>
          <w:szCs w:val="24"/>
        </w:rPr>
        <w:t xml:space="preserve"> up in a complex series of layers applied on the lacquer surface and likely incorporates multiple campains of decorations </w:t>
      </w:r>
      <w:r w:rsidR="00EF473D">
        <w:rPr>
          <w:sz w:val="24"/>
          <w:szCs w:val="24"/>
        </w:rPr>
        <w:t>(</w:t>
      </w:r>
      <w:hyperlink w:anchor="fig-4-15" w:history="1">
        <w:r w:rsidR="00F65261" w:rsidRPr="00095E4A">
          <w:rPr>
            <w:rStyle w:val="Hyperlink"/>
            <w:sz w:val="24"/>
            <w:szCs w:val="24"/>
          </w:rPr>
          <w:t>f</w:t>
        </w:r>
        <w:r w:rsidR="00FB20DA" w:rsidRPr="00095E4A">
          <w:rPr>
            <w:rStyle w:val="Hyperlink"/>
            <w:sz w:val="24"/>
            <w:szCs w:val="24"/>
          </w:rPr>
          <w:t>ig. 4-15</w:t>
        </w:r>
      </w:hyperlink>
      <w:r w:rsidR="00EF473D">
        <w:rPr>
          <w:sz w:val="24"/>
          <w:szCs w:val="24"/>
        </w:rPr>
        <w:t>)</w:t>
      </w:r>
      <w:r w:rsidRPr="00D00BE6">
        <w:rPr>
          <w:sz w:val="24"/>
          <w:szCs w:val="24"/>
        </w:rPr>
        <w:t xml:space="preserve">. The </w:t>
      </w:r>
      <w:r w:rsidRPr="00D00BE6">
        <w:rPr>
          <w:i/>
          <w:sz w:val="24"/>
          <w:szCs w:val="24"/>
        </w:rPr>
        <w:t>takamakie</w:t>
      </w:r>
      <w:r w:rsidRPr="00D00BE6">
        <w:rPr>
          <w:sz w:val="24"/>
          <w:szCs w:val="24"/>
        </w:rPr>
        <w:t xml:space="preserve"> relief was created with </w:t>
      </w:r>
      <w:r w:rsidRPr="00D00BE6">
        <w:rPr>
          <w:i/>
          <w:sz w:val="24"/>
          <w:szCs w:val="24"/>
        </w:rPr>
        <w:t xml:space="preserve">urushi </w:t>
      </w:r>
      <w:r w:rsidRPr="00D00BE6">
        <w:rPr>
          <w:sz w:val="24"/>
          <w:szCs w:val="24"/>
        </w:rPr>
        <w:t xml:space="preserve">and </w:t>
      </w:r>
      <w:r w:rsidRPr="00D00BE6">
        <w:rPr>
          <w:i/>
          <w:sz w:val="24"/>
          <w:szCs w:val="24"/>
        </w:rPr>
        <w:t xml:space="preserve">thitsi </w:t>
      </w:r>
      <w:r w:rsidRPr="00D00BE6">
        <w:rPr>
          <w:sz w:val="24"/>
          <w:szCs w:val="24"/>
        </w:rPr>
        <w:t xml:space="preserve">lacquer with drying oil mixed with clay, a small amount of glue, and possibly wood oil. The layer, measuring </w:t>
      </w:r>
      <w:r w:rsidR="009A6946">
        <w:rPr>
          <w:sz w:val="24"/>
          <w:szCs w:val="24"/>
        </w:rPr>
        <w:t>more than</w:t>
      </w:r>
      <w:r w:rsidR="009A6946" w:rsidRPr="00D00BE6">
        <w:rPr>
          <w:sz w:val="24"/>
          <w:szCs w:val="24"/>
        </w:rPr>
        <w:t xml:space="preserve"> </w:t>
      </w:r>
      <w:r w:rsidRPr="00D00BE6">
        <w:rPr>
          <w:sz w:val="24"/>
          <w:szCs w:val="24"/>
        </w:rPr>
        <w:t>0.5</w:t>
      </w:r>
      <w:r w:rsidR="00B1209C">
        <w:rPr>
          <w:sz w:val="24"/>
          <w:szCs w:val="24"/>
        </w:rPr>
        <w:t xml:space="preserve"> </w:t>
      </w:r>
      <w:r w:rsidRPr="00D00BE6">
        <w:rPr>
          <w:sz w:val="24"/>
          <w:szCs w:val="24"/>
        </w:rPr>
        <w:t xml:space="preserve">mm thick in this sample, was applied to the polished lacquer surface to create the area of relief within the landscape design. The </w:t>
      </w:r>
      <w:r w:rsidR="009A6946">
        <w:rPr>
          <w:sz w:val="24"/>
          <w:szCs w:val="24"/>
        </w:rPr>
        <w:t>thick</w:t>
      </w:r>
      <w:r w:rsidR="009A6946" w:rsidRPr="00D00BE6">
        <w:rPr>
          <w:sz w:val="24"/>
          <w:szCs w:val="24"/>
        </w:rPr>
        <w:t xml:space="preserve"> </w:t>
      </w:r>
      <w:r w:rsidRPr="00D00BE6">
        <w:rPr>
          <w:sz w:val="24"/>
          <w:szCs w:val="24"/>
        </w:rPr>
        <w:t>ground layer was coated with a layer of lacquer pigmented with carbon black</w:t>
      </w:r>
      <w:r w:rsidR="00B1209C">
        <w:rPr>
          <w:sz w:val="24"/>
          <w:szCs w:val="24"/>
        </w:rPr>
        <w:t>,</w:t>
      </w:r>
      <w:r w:rsidRPr="00D00BE6">
        <w:rPr>
          <w:sz w:val="24"/>
          <w:szCs w:val="24"/>
        </w:rPr>
        <w:t xml:space="preserve"> followed by a second transparent lacquer layer</w:t>
      </w:r>
      <w:r w:rsidR="00AD71D1" w:rsidRPr="00B1209C">
        <w:rPr>
          <w:iCs/>
          <w:sz w:val="24"/>
          <w:szCs w:val="24"/>
        </w:rPr>
        <w:t xml:space="preserve"> </w:t>
      </w:r>
      <w:r w:rsidR="00AD71D1" w:rsidRPr="00D00BE6">
        <w:rPr>
          <w:sz w:val="24"/>
          <w:szCs w:val="24"/>
        </w:rPr>
        <w:t>onto which the spinkled decoration was created in gold and vermilion</w:t>
      </w:r>
      <w:r w:rsidR="00AD71D1">
        <w:rPr>
          <w:sz w:val="24"/>
          <w:szCs w:val="24"/>
        </w:rPr>
        <w:t>.</w:t>
      </w:r>
      <w:r w:rsidRPr="00B1209C">
        <w:rPr>
          <w:rStyle w:val="EndnoteReference"/>
          <w:iCs/>
          <w:sz w:val="24"/>
          <w:szCs w:val="24"/>
        </w:rPr>
        <w:endnoteReference w:id="27"/>
      </w:r>
      <w:r w:rsidRPr="00D00BE6">
        <w:rPr>
          <w:sz w:val="24"/>
          <w:szCs w:val="24"/>
        </w:rPr>
        <w:t xml:space="preserve"> A second decorative campaign was applied above the </w:t>
      </w:r>
      <w:r w:rsidRPr="00D00BE6">
        <w:rPr>
          <w:i/>
          <w:sz w:val="24"/>
          <w:szCs w:val="24"/>
        </w:rPr>
        <w:t xml:space="preserve">takamakie </w:t>
      </w:r>
      <w:r w:rsidRPr="00D00BE6">
        <w:rPr>
          <w:sz w:val="24"/>
          <w:szCs w:val="24"/>
        </w:rPr>
        <w:t>decoration and depicts the fine foliage in lacquer mixed with vermilion and covered with</w:t>
      </w:r>
      <w:r w:rsidR="00EF473D">
        <w:rPr>
          <w:sz w:val="24"/>
          <w:szCs w:val="24"/>
        </w:rPr>
        <w:t xml:space="preserve"> gold leaf</w:t>
      </w:r>
      <w:r w:rsidRPr="00EF473D">
        <w:rPr>
          <w:sz w:val="24"/>
          <w:szCs w:val="24"/>
        </w:rPr>
        <w:t>.</w:t>
      </w:r>
      <w:r w:rsidRPr="00D00BE6">
        <w:rPr>
          <w:sz w:val="24"/>
          <w:szCs w:val="24"/>
        </w:rPr>
        <w:t xml:space="preserve"> </w:t>
      </w:r>
    </w:p>
    <w:p w14:paraId="75B4F838" w14:textId="24AF955F" w:rsidR="00D00BE6" w:rsidRPr="00D00BE6" w:rsidRDefault="00D00BE6" w:rsidP="00695687">
      <w:pPr>
        <w:spacing w:after="0" w:line="480" w:lineRule="auto"/>
        <w:ind w:firstLine="720"/>
        <w:rPr>
          <w:sz w:val="24"/>
          <w:szCs w:val="24"/>
        </w:rPr>
      </w:pPr>
      <w:r w:rsidRPr="00D00BE6">
        <w:rPr>
          <w:sz w:val="24"/>
          <w:szCs w:val="24"/>
        </w:rPr>
        <w:t xml:space="preserve">The Japanese </w:t>
      </w:r>
      <w:r w:rsidR="009A6946">
        <w:rPr>
          <w:sz w:val="24"/>
          <w:szCs w:val="24"/>
        </w:rPr>
        <w:t xml:space="preserve">lacquer </w:t>
      </w:r>
      <w:r w:rsidRPr="00D00BE6">
        <w:rPr>
          <w:sz w:val="24"/>
          <w:szCs w:val="24"/>
        </w:rPr>
        <w:t xml:space="preserve">panels </w:t>
      </w:r>
      <w:r w:rsidR="009A6946">
        <w:rPr>
          <w:sz w:val="24"/>
          <w:szCs w:val="24"/>
        </w:rPr>
        <w:t>were</w:t>
      </w:r>
      <w:r w:rsidRPr="00D00BE6">
        <w:rPr>
          <w:sz w:val="24"/>
          <w:szCs w:val="24"/>
        </w:rPr>
        <w:t xml:space="preserve"> overcleaned in the course of restorations prior to their acquisition by the </w:t>
      </w:r>
      <w:r w:rsidR="00AD71D1">
        <w:rPr>
          <w:sz w:val="24"/>
          <w:szCs w:val="24"/>
        </w:rPr>
        <w:t>M</w:t>
      </w:r>
      <w:r w:rsidRPr="00D00BE6">
        <w:rPr>
          <w:sz w:val="24"/>
          <w:szCs w:val="24"/>
        </w:rPr>
        <w:t xml:space="preserve">useum. This caused abrasion and loss to some areas of the decoration; this damage has been largely retouched, as have several long vertical cracks, particularly in the areas of high relief. The surface has also been heavily coated with restoration varnishes, at least one of which consists of shellac (as identified by </w:t>
      </w:r>
      <w:r w:rsidR="00A63339">
        <w:rPr>
          <w:sz w:val="24"/>
          <w:szCs w:val="24"/>
        </w:rPr>
        <w:t>p</w:t>
      </w:r>
      <w:r w:rsidRPr="00A63339">
        <w:rPr>
          <w:sz w:val="24"/>
          <w:szCs w:val="24"/>
        </w:rPr>
        <w:t>y/GC-MS</w:t>
      </w:r>
      <w:r w:rsidRPr="00D00BE6">
        <w:rPr>
          <w:sz w:val="24"/>
          <w:szCs w:val="24"/>
        </w:rPr>
        <w:t xml:space="preserve"> and confirmed by the characteristic orange fluorescence of the surface in ultraviolet illumination)</w:t>
      </w:r>
      <w:r w:rsidR="00EF473D">
        <w:rPr>
          <w:sz w:val="24"/>
          <w:szCs w:val="24"/>
        </w:rPr>
        <w:t xml:space="preserve"> (</w:t>
      </w:r>
      <w:hyperlink w:anchor="fig-4-16" w:history="1">
        <w:r w:rsidR="00F65261" w:rsidRPr="00095E4A">
          <w:rPr>
            <w:rStyle w:val="Hyperlink"/>
            <w:sz w:val="24"/>
            <w:szCs w:val="24"/>
          </w:rPr>
          <w:t>f</w:t>
        </w:r>
        <w:r w:rsidR="00FB20DA" w:rsidRPr="00095E4A">
          <w:rPr>
            <w:rStyle w:val="Hyperlink"/>
            <w:sz w:val="24"/>
            <w:szCs w:val="24"/>
          </w:rPr>
          <w:t>ig. 4-16</w:t>
        </w:r>
      </w:hyperlink>
      <w:r w:rsidR="00EF473D">
        <w:rPr>
          <w:sz w:val="24"/>
          <w:szCs w:val="24"/>
        </w:rPr>
        <w:t>).</w:t>
      </w:r>
    </w:p>
    <w:p w14:paraId="3AA37940" w14:textId="2E571F03" w:rsidR="00D00BE6" w:rsidRPr="00D00BE6" w:rsidRDefault="00D00BE6" w:rsidP="00695687">
      <w:pPr>
        <w:spacing w:after="0" w:line="480" w:lineRule="auto"/>
        <w:ind w:firstLine="720"/>
        <w:rPr>
          <w:b/>
          <w:sz w:val="24"/>
          <w:szCs w:val="24"/>
        </w:rPr>
      </w:pPr>
      <w:r w:rsidRPr="00D00BE6">
        <w:rPr>
          <w:sz w:val="24"/>
          <w:szCs w:val="24"/>
        </w:rPr>
        <w:t>The French imitation black lacquer surrounding the Asian panels has been repainted at least two times; however, the original material does seem to be present below the repaint</w:t>
      </w:r>
      <w:r w:rsidR="00AD71D1">
        <w:rPr>
          <w:sz w:val="24"/>
          <w:szCs w:val="24"/>
        </w:rPr>
        <w:t>ing</w:t>
      </w:r>
      <w:r w:rsidRPr="00D00BE6">
        <w:rPr>
          <w:sz w:val="24"/>
          <w:szCs w:val="24"/>
        </w:rPr>
        <w:t xml:space="preserve"> in many areas. Organic analysis along with scanning electron microscopy with energy dispersive </w:t>
      </w:r>
      <w:r w:rsidR="00F65261">
        <w:rPr>
          <w:sz w:val="24"/>
          <w:szCs w:val="24"/>
        </w:rPr>
        <w:t>X</w:t>
      </w:r>
      <w:r w:rsidRPr="00D00BE6">
        <w:rPr>
          <w:sz w:val="24"/>
          <w:szCs w:val="24"/>
        </w:rPr>
        <w:t xml:space="preserve">-ray spectroscopy (SEM-EDS) suggests that the original French lacquer was executed in three </w:t>
      </w:r>
      <w:r w:rsidRPr="00D00BE6">
        <w:rPr>
          <w:sz w:val="24"/>
          <w:szCs w:val="24"/>
        </w:rPr>
        <w:lastRenderedPageBreak/>
        <w:t>basic steps. First, a white chalk filler or putty containing a mixture of drying oil, resins</w:t>
      </w:r>
      <w:r w:rsidR="00AD71D1">
        <w:rPr>
          <w:sz w:val="24"/>
          <w:szCs w:val="24"/>
        </w:rPr>
        <w:t>,</w:t>
      </w:r>
      <w:r w:rsidRPr="00D00BE6">
        <w:rPr>
          <w:sz w:val="24"/>
          <w:szCs w:val="24"/>
        </w:rPr>
        <w:t xml:space="preserve"> and glue was likely locally applied to select areas of the wood to smooth the transition between the Asian lacquer and the European veneer</w:t>
      </w:r>
      <w:r w:rsidR="00D705AB">
        <w:rPr>
          <w:sz w:val="24"/>
          <w:szCs w:val="24"/>
        </w:rPr>
        <w:t>.</w:t>
      </w:r>
      <w:r w:rsidR="009A6946" w:rsidRPr="00D00BE6">
        <w:rPr>
          <w:rStyle w:val="EndnoteReference"/>
          <w:sz w:val="24"/>
          <w:szCs w:val="24"/>
        </w:rPr>
        <w:endnoteReference w:id="28"/>
      </w:r>
      <w:r w:rsidRPr="00D00BE6">
        <w:rPr>
          <w:sz w:val="24"/>
          <w:szCs w:val="24"/>
        </w:rPr>
        <w:t xml:space="preserve"> The resin fraction appears to be a mixture of pine resin, shellac, gum benzoin, and a polycommunic diterpenoid resin (likely sandarac based on its use in the layers above). While this layer appears to be a continuous ground layer when viewed in cross</w:t>
      </w:r>
      <w:r w:rsidR="00AD71D1">
        <w:rPr>
          <w:sz w:val="24"/>
          <w:szCs w:val="24"/>
        </w:rPr>
        <w:t xml:space="preserve"> </w:t>
      </w:r>
      <w:r w:rsidRPr="00D00BE6">
        <w:rPr>
          <w:sz w:val="24"/>
          <w:szCs w:val="24"/>
        </w:rPr>
        <w:t>section, its unusual organic composition, proximity to joins, and variable thickness between samples set it apart from traditional eighteenth-century preparation techniques for European lacquer. Typically, a close-grained veneer served to provide a smooth substrate to lacquer directly, not requiring the use of a calcium carbonate ground</w:t>
      </w:r>
      <w:r w:rsidR="00F65261">
        <w:rPr>
          <w:sz w:val="24"/>
          <w:szCs w:val="24"/>
        </w:rPr>
        <w:t xml:space="preserve"> </w:t>
      </w:r>
      <w:r w:rsidR="00F65261" w:rsidRPr="00D00BE6">
        <w:rPr>
          <w:sz w:val="24"/>
          <w:szCs w:val="24"/>
        </w:rPr>
        <w:t>(see 78.DA.119</w:t>
      </w:r>
      <w:r w:rsidR="00F65261">
        <w:rPr>
          <w:sz w:val="24"/>
          <w:szCs w:val="24"/>
        </w:rPr>
        <w:t>,</w:t>
      </w:r>
      <w:r w:rsidR="00F65261" w:rsidRPr="00D00BE6">
        <w:rPr>
          <w:sz w:val="24"/>
          <w:szCs w:val="24"/>
        </w:rPr>
        <w:t xml:space="preserve"> Dubois </w:t>
      </w:r>
      <w:r w:rsidR="00F65261">
        <w:rPr>
          <w:sz w:val="24"/>
          <w:szCs w:val="24"/>
        </w:rPr>
        <w:t>c</w:t>
      </w:r>
      <w:r w:rsidR="00F65261" w:rsidRPr="00D00BE6">
        <w:rPr>
          <w:sz w:val="24"/>
          <w:szCs w:val="24"/>
        </w:rPr>
        <w:t xml:space="preserve">orner </w:t>
      </w:r>
      <w:r w:rsidR="00F65261">
        <w:rPr>
          <w:sz w:val="24"/>
          <w:szCs w:val="24"/>
        </w:rPr>
        <w:t>c</w:t>
      </w:r>
      <w:r w:rsidR="00F65261" w:rsidRPr="00D00BE6">
        <w:rPr>
          <w:sz w:val="24"/>
          <w:szCs w:val="24"/>
        </w:rPr>
        <w:t>upboards</w:t>
      </w:r>
      <w:r w:rsidR="00AD71D1">
        <w:rPr>
          <w:sz w:val="24"/>
          <w:szCs w:val="24"/>
        </w:rPr>
        <w:t>;</w:t>
      </w:r>
      <w:hyperlink r:id="rId11" w:history="1">
        <w:r w:rsidR="00AD71D1" w:rsidRPr="00434C5A">
          <w:rPr>
            <w:rStyle w:val="Hyperlink"/>
            <w:sz w:val="24"/>
            <w:szCs w:val="24"/>
          </w:rPr>
          <w:t xml:space="preserve"> cat. no. 12</w:t>
        </w:r>
      </w:hyperlink>
      <w:r w:rsidR="00F65261" w:rsidRPr="00D00BE6">
        <w:rPr>
          <w:sz w:val="24"/>
          <w:szCs w:val="24"/>
        </w:rPr>
        <w:t>).</w:t>
      </w:r>
      <w:r w:rsidRPr="00D00BE6">
        <w:rPr>
          <w:rStyle w:val="EndnoteReference"/>
          <w:sz w:val="24"/>
          <w:szCs w:val="24"/>
        </w:rPr>
        <w:endnoteReference w:id="29"/>
      </w:r>
      <w:r w:rsidRPr="00D00BE6">
        <w:rPr>
          <w:sz w:val="24"/>
          <w:szCs w:val="24"/>
        </w:rPr>
        <w:t xml:space="preserve"> Period sources indicate that a chalk putty consisting of calcium carbonate mixed with varnish could be used to cover cracks and joints in the wood</w:t>
      </w:r>
      <w:r w:rsidR="00F65261">
        <w:rPr>
          <w:sz w:val="24"/>
          <w:szCs w:val="24"/>
        </w:rPr>
        <w:t>.</w:t>
      </w:r>
      <w:r w:rsidRPr="00D00BE6">
        <w:rPr>
          <w:rStyle w:val="EndnoteReference"/>
          <w:sz w:val="24"/>
          <w:szCs w:val="24"/>
        </w:rPr>
        <w:endnoteReference w:id="30"/>
      </w:r>
      <w:r w:rsidRPr="00D00BE6">
        <w:rPr>
          <w:sz w:val="24"/>
          <w:szCs w:val="24"/>
        </w:rPr>
        <w:t xml:space="preserve"> </w:t>
      </w:r>
      <w:r w:rsidR="00AD71D1">
        <w:rPr>
          <w:sz w:val="24"/>
          <w:szCs w:val="24"/>
        </w:rPr>
        <w:t>As</w:t>
      </w:r>
      <w:r w:rsidRPr="00D00BE6">
        <w:rPr>
          <w:sz w:val="24"/>
          <w:szCs w:val="24"/>
        </w:rPr>
        <w:t xml:space="preserve"> the sample comes from an area near where the European lacquer meets the Asian panel, it was likely necessary for the craftsman to use a filler to seamlessly merge the two in this location. Following the preparatory layer</w:t>
      </w:r>
      <w:r w:rsidR="00AD71D1">
        <w:rPr>
          <w:sz w:val="24"/>
          <w:szCs w:val="24"/>
        </w:rPr>
        <w:t>,</w:t>
      </w:r>
      <w:r w:rsidRPr="00D00BE6">
        <w:rPr>
          <w:sz w:val="24"/>
          <w:szCs w:val="24"/>
        </w:rPr>
        <w:t xml:space="preserve"> a black paint layer was applied; this was composed of bone (or ivory) black pigment bound in a spirit-resin varnish that contains a mixture of shellac, pine resin, sandarac, larch turpentine, and a small amount of drying oil. The use of sandarac, shellac, and larch turpentine is indicative of a high</w:t>
      </w:r>
      <w:r w:rsidR="00AD71D1">
        <w:rPr>
          <w:sz w:val="24"/>
          <w:szCs w:val="24"/>
        </w:rPr>
        <w:t>-</w:t>
      </w:r>
      <w:r w:rsidRPr="00D00BE6">
        <w:rPr>
          <w:sz w:val="24"/>
          <w:szCs w:val="24"/>
        </w:rPr>
        <w:t>quality eighteenth-century varnish. Last, the pigmented layer was followed by one or more coats of transparent varnish with composition</w:t>
      </w:r>
      <w:r w:rsidR="00AD71D1">
        <w:rPr>
          <w:sz w:val="24"/>
          <w:szCs w:val="24"/>
        </w:rPr>
        <w:t xml:space="preserve"> similar</w:t>
      </w:r>
      <w:r w:rsidRPr="00D00BE6">
        <w:rPr>
          <w:sz w:val="24"/>
          <w:szCs w:val="24"/>
        </w:rPr>
        <w:t xml:space="preserve"> to that of the pigmented layer underneath</w:t>
      </w:r>
      <w:r w:rsidR="00EF473D">
        <w:rPr>
          <w:sz w:val="24"/>
          <w:szCs w:val="24"/>
        </w:rPr>
        <w:t>.</w:t>
      </w:r>
    </w:p>
    <w:p w14:paraId="2C6F5E4C" w14:textId="16C8A2C3" w:rsidR="00D00BE6" w:rsidRPr="00D00BE6" w:rsidRDefault="00D00BE6" w:rsidP="00695687">
      <w:pPr>
        <w:spacing w:after="0" w:line="480" w:lineRule="auto"/>
        <w:ind w:firstLine="720"/>
        <w:rPr>
          <w:rStyle w:val="CommentReference"/>
          <w:vanish/>
          <w:sz w:val="24"/>
          <w:szCs w:val="24"/>
        </w:rPr>
      </w:pPr>
      <w:r w:rsidRPr="00D00BE6">
        <w:rPr>
          <w:sz w:val="24"/>
          <w:szCs w:val="24"/>
        </w:rPr>
        <w:t>The gilt bronze mounts on the cabinets appear to be largely original. The only exception seems to be the two vertical mounts on each cabinet that cover the joint between the doors, above and below the central escutcheon. These mounts do not match the others stylistically</w:t>
      </w:r>
      <w:r w:rsidR="00AD71D1">
        <w:rPr>
          <w:sz w:val="24"/>
          <w:szCs w:val="24"/>
        </w:rPr>
        <w:t>;</w:t>
      </w:r>
      <w:r w:rsidRPr="00D00BE6">
        <w:rPr>
          <w:sz w:val="24"/>
          <w:szCs w:val="24"/>
        </w:rPr>
        <w:t xml:space="preserve"> they are slightly more greenish in tone, and they are </w:t>
      </w:r>
      <w:r w:rsidR="00AD71D1">
        <w:rPr>
          <w:sz w:val="24"/>
          <w:szCs w:val="24"/>
        </w:rPr>
        <w:t>in</w:t>
      </w:r>
      <w:r w:rsidRPr="00D00BE6">
        <w:rPr>
          <w:sz w:val="24"/>
          <w:szCs w:val="24"/>
        </w:rPr>
        <w:t xml:space="preserve">expertly fitted with adjacent mounts. The alloy </w:t>
      </w:r>
      <w:r w:rsidRPr="00D00BE6">
        <w:rPr>
          <w:sz w:val="24"/>
          <w:szCs w:val="24"/>
        </w:rPr>
        <w:lastRenderedPageBreak/>
        <w:t xml:space="preserve">composition of the metal (as determined by X-ray fluorescence spectroscopy </w:t>
      </w:r>
      <w:r w:rsidR="00AD71D1">
        <w:rPr>
          <w:sz w:val="24"/>
          <w:szCs w:val="24"/>
        </w:rPr>
        <w:t>[</w:t>
      </w:r>
      <w:r w:rsidRPr="00D00BE6">
        <w:rPr>
          <w:sz w:val="24"/>
          <w:szCs w:val="24"/>
        </w:rPr>
        <w:t>XRF</w:t>
      </w:r>
      <w:r w:rsidR="00AD71D1">
        <w:rPr>
          <w:sz w:val="24"/>
          <w:szCs w:val="24"/>
        </w:rPr>
        <w:t>]</w:t>
      </w:r>
      <w:r w:rsidRPr="00D00BE6">
        <w:rPr>
          <w:sz w:val="24"/>
          <w:szCs w:val="24"/>
        </w:rPr>
        <w:t xml:space="preserve">) is distinctly different </w:t>
      </w:r>
      <w:r w:rsidR="00AD71D1">
        <w:rPr>
          <w:sz w:val="24"/>
          <w:szCs w:val="24"/>
        </w:rPr>
        <w:t>from</w:t>
      </w:r>
      <w:r w:rsidRPr="00D00BE6">
        <w:rPr>
          <w:sz w:val="24"/>
          <w:szCs w:val="24"/>
        </w:rPr>
        <w:t xml:space="preserve"> that of the other mounts, though it can </w:t>
      </w:r>
      <w:r w:rsidR="00A57EFD">
        <w:rPr>
          <w:sz w:val="24"/>
          <w:szCs w:val="24"/>
        </w:rPr>
        <w:t xml:space="preserve">still </w:t>
      </w:r>
      <w:r w:rsidRPr="00D00BE6">
        <w:rPr>
          <w:sz w:val="24"/>
          <w:szCs w:val="24"/>
        </w:rPr>
        <w:t xml:space="preserve">be considered typical of </w:t>
      </w:r>
      <w:r w:rsidR="00AD71D1">
        <w:rPr>
          <w:sz w:val="24"/>
          <w:szCs w:val="24"/>
        </w:rPr>
        <w:t>eighteenth-century</w:t>
      </w:r>
      <w:r w:rsidRPr="00D00BE6">
        <w:rPr>
          <w:sz w:val="24"/>
          <w:szCs w:val="24"/>
        </w:rPr>
        <w:t xml:space="preserve"> casting brass. X-radiography reveals an additional set of filled screw holes below the vertical mounts, suggesting that there is likely to have been a different set of mounts covering the joint between the doors in the past. All of the other mounts on the commodes are finely and consistently chased and neatly fitted. The composition of the brass is very consistent between mounts and is typical of period alloys with respect to most elements; only the zinc levels are unusually high, at an average of about 25%, compared to the more usual 13 to 23%. The zinc content of all four measured samples of brazing metal is also unusual, averaging around 36%. This almost certainly implies the use of expensive spelter brass</w:t>
      </w:r>
      <w:r w:rsidR="00AD71D1">
        <w:rPr>
          <w:sz w:val="24"/>
          <w:szCs w:val="24"/>
        </w:rPr>
        <w:t>,</w:t>
      </w:r>
      <w:r w:rsidRPr="00D00BE6">
        <w:rPr>
          <w:sz w:val="24"/>
          <w:szCs w:val="24"/>
        </w:rPr>
        <w:t xml:space="preserve"> which was rare though not unknown in mid</w:t>
      </w:r>
      <w:r w:rsidR="00AD71D1">
        <w:rPr>
          <w:sz w:val="24"/>
          <w:szCs w:val="24"/>
        </w:rPr>
        <w:t>-eighteenth-century</w:t>
      </w:r>
      <w:r w:rsidRPr="00D00BE6">
        <w:rPr>
          <w:sz w:val="24"/>
          <w:szCs w:val="24"/>
        </w:rPr>
        <w:t xml:space="preserve"> France</w:t>
      </w:r>
      <w:r w:rsidR="00EF473D">
        <w:rPr>
          <w:sz w:val="24"/>
          <w:szCs w:val="24"/>
        </w:rPr>
        <w:t>.</w:t>
      </w:r>
      <w:r w:rsidR="00EF473D" w:rsidRPr="00D00BE6">
        <w:rPr>
          <w:rStyle w:val="EndnoteReference"/>
          <w:sz w:val="24"/>
          <w:szCs w:val="24"/>
        </w:rPr>
        <w:endnoteReference w:id="31"/>
      </w:r>
    </w:p>
    <w:p w14:paraId="47815F7A" w14:textId="77777777" w:rsidR="00D00BE6" w:rsidRPr="00D00BE6" w:rsidRDefault="00D00BE6" w:rsidP="00695687">
      <w:pPr>
        <w:spacing w:after="0" w:line="480" w:lineRule="auto"/>
        <w:rPr>
          <w:color w:val="999999"/>
          <w:sz w:val="24"/>
          <w:szCs w:val="24"/>
        </w:rPr>
      </w:pPr>
    </w:p>
    <w:p w14:paraId="4938AB4E" w14:textId="160C810B" w:rsidR="00D00BE6" w:rsidRPr="00D00BE6" w:rsidRDefault="00D00BE6" w:rsidP="00695687">
      <w:pPr>
        <w:spacing w:after="0" w:line="480" w:lineRule="auto"/>
        <w:ind w:firstLine="720"/>
        <w:rPr>
          <w:sz w:val="24"/>
          <w:szCs w:val="24"/>
        </w:rPr>
      </w:pPr>
      <w:r w:rsidRPr="00D00BE6">
        <w:rPr>
          <w:sz w:val="24"/>
          <w:szCs w:val="24"/>
        </w:rPr>
        <w:t>The stone tops are 3.5 cm thick and are made of a marble (metamorphic limestone) known as</w:t>
      </w:r>
      <w:r w:rsidRPr="00D705AB">
        <w:rPr>
          <w:i/>
          <w:iCs/>
          <w:sz w:val="24"/>
          <w:szCs w:val="24"/>
        </w:rPr>
        <w:t xml:space="preserve"> </w:t>
      </w:r>
      <w:r w:rsidR="00171247" w:rsidRPr="00D705AB">
        <w:rPr>
          <w:i/>
          <w:iCs/>
          <w:sz w:val="24"/>
          <w:szCs w:val="24"/>
        </w:rPr>
        <w:t>s</w:t>
      </w:r>
      <w:r w:rsidRPr="00D705AB">
        <w:rPr>
          <w:i/>
          <w:iCs/>
          <w:sz w:val="24"/>
          <w:szCs w:val="24"/>
        </w:rPr>
        <w:t>arrancolin</w:t>
      </w:r>
      <w:r w:rsidRPr="00D00BE6">
        <w:rPr>
          <w:sz w:val="24"/>
          <w:szCs w:val="24"/>
        </w:rPr>
        <w:t xml:space="preserve">; this has a </w:t>
      </w:r>
      <w:r w:rsidR="00171247">
        <w:rPr>
          <w:sz w:val="24"/>
          <w:szCs w:val="24"/>
        </w:rPr>
        <w:t>multi</w:t>
      </w:r>
      <w:r w:rsidRPr="00D00BE6">
        <w:rPr>
          <w:sz w:val="24"/>
          <w:szCs w:val="24"/>
        </w:rPr>
        <w:t>colored brecciated pattern, with large (up to 30 cm) chunks of striated cream, and granular gr</w:t>
      </w:r>
      <w:r w:rsidR="00171247">
        <w:rPr>
          <w:sz w:val="24"/>
          <w:szCs w:val="24"/>
        </w:rPr>
        <w:t>a</w:t>
      </w:r>
      <w:r w:rsidRPr="00D00BE6">
        <w:rPr>
          <w:sz w:val="24"/>
          <w:szCs w:val="24"/>
        </w:rPr>
        <w:t xml:space="preserve">y fragments in a red-to-orange smooth-textured matrix. White and tan veins cross through the breccia pattern. </w:t>
      </w:r>
      <w:r w:rsidRPr="00D705AB">
        <w:rPr>
          <w:i/>
          <w:iCs/>
          <w:sz w:val="24"/>
          <w:szCs w:val="24"/>
        </w:rPr>
        <w:t>Sarrancolin</w:t>
      </w:r>
      <w:r w:rsidRPr="00D00BE6">
        <w:rPr>
          <w:sz w:val="24"/>
          <w:szCs w:val="24"/>
        </w:rPr>
        <w:t xml:space="preserve"> marble is very similar to</w:t>
      </w:r>
      <w:r w:rsidRPr="00171247">
        <w:rPr>
          <w:sz w:val="24"/>
          <w:szCs w:val="24"/>
        </w:rPr>
        <w:t xml:space="preserve"> Marmor Chium</w:t>
      </w:r>
      <w:r w:rsidRPr="00D00BE6">
        <w:rPr>
          <w:sz w:val="24"/>
          <w:szCs w:val="24"/>
        </w:rPr>
        <w:t xml:space="preserve"> (also known as Portasanta) from Greece. Marmor Chium, however, was mainly quarried in ancient Roman times, and only small pieces made it beyond Italy </w:t>
      </w:r>
      <w:r w:rsidR="00171247">
        <w:rPr>
          <w:sz w:val="24"/>
          <w:szCs w:val="24"/>
        </w:rPr>
        <w:t>during</w:t>
      </w:r>
      <w:r w:rsidRPr="00D00BE6">
        <w:rPr>
          <w:sz w:val="24"/>
          <w:szCs w:val="24"/>
        </w:rPr>
        <w:t xml:space="preserve"> the Renaissance. The two can be distinguished base</w:t>
      </w:r>
      <w:r w:rsidR="00171247">
        <w:rPr>
          <w:sz w:val="24"/>
          <w:szCs w:val="24"/>
        </w:rPr>
        <w:t>d</w:t>
      </w:r>
      <w:r w:rsidRPr="00D00BE6">
        <w:rPr>
          <w:sz w:val="24"/>
          <w:szCs w:val="24"/>
        </w:rPr>
        <w:t xml:space="preserve"> on their fossil inclusions; </w:t>
      </w:r>
      <w:r w:rsidR="00171247" w:rsidRPr="00D705AB">
        <w:rPr>
          <w:i/>
          <w:iCs/>
          <w:sz w:val="24"/>
          <w:szCs w:val="24"/>
        </w:rPr>
        <w:t>s</w:t>
      </w:r>
      <w:r w:rsidRPr="00D705AB">
        <w:rPr>
          <w:i/>
          <w:iCs/>
          <w:sz w:val="24"/>
          <w:szCs w:val="24"/>
        </w:rPr>
        <w:t xml:space="preserve">arrancolin </w:t>
      </w:r>
      <w:r w:rsidRPr="00D00BE6">
        <w:rPr>
          <w:sz w:val="24"/>
          <w:szCs w:val="24"/>
        </w:rPr>
        <w:t>often contains rudist bivalves within the gr</w:t>
      </w:r>
      <w:r w:rsidR="00171247">
        <w:rPr>
          <w:sz w:val="24"/>
          <w:szCs w:val="24"/>
        </w:rPr>
        <w:t>a</w:t>
      </w:r>
      <w:r w:rsidRPr="00D00BE6">
        <w:rPr>
          <w:sz w:val="24"/>
          <w:szCs w:val="24"/>
        </w:rPr>
        <w:t xml:space="preserve">y and in the reddish matrix dating to the Cretaceous period, while Marmor Chium contains fossils of Triassic echinoderms. </w:t>
      </w:r>
      <w:r w:rsidRPr="00D705AB">
        <w:rPr>
          <w:i/>
          <w:iCs/>
          <w:sz w:val="24"/>
          <w:szCs w:val="24"/>
        </w:rPr>
        <w:t>Sarrancolin</w:t>
      </w:r>
      <w:r w:rsidRPr="00D00BE6">
        <w:rPr>
          <w:sz w:val="24"/>
          <w:szCs w:val="24"/>
        </w:rPr>
        <w:t xml:space="preserve"> marble comes from the Pyrenees Mountains, and was actively quarried in the </w:t>
      </w:r>
      <w:r w:rsidR="00F65261">
        <w:rPr>
          <w:sz w:val="24"/>
          <w:szCs w:val="24"/>
        </w:rPr>
        <w:t>seventeenth, eighteenth, and nineteenth</w:t>
      </w:r>
      <w:r w:rsidRPr="00D00BE6">
        <w:rPr>
          <w:sz w:val="24"/>
          <w:szCs w:val="24"/>
        </w:rPr>
        <w:t xml:space="preserve"> </w:t>
      </w:r>
      <w:r w:rsidR="00F65261">
        <w:rPr>
          <w:sz w:val="24"/>
          <w:szCs w:val="24"/>
        </w:rPr>
        <w:t>c</w:t>
      </w:r>
      <w:r w:rsidRPr="00D00BE6">
        <w:rPr>
          <w:sz w:val="24"/>
          <w:szCs w:val="24"/>
        </w:rPr>
        <w:t>enturies. There are several types of</w:t>
      </w:r>
      <w:r w:rsidRPr="00D705AB">
        <w:rPr>
          <w:i/>
          <w:iCs/>
          <w:sz w:val="24"/>
          <w:szCs w:val="24"/>
        </w:rPr>
        <w:t xml:space="preserve"> </w:t>
      </w:r>
      <w:r w:rsidR="00F65261" w:rsidRPr="00D705AB">
        <w:rPr>
          <w:i/>
          <w:iCs/>
          <w:sz w:val="24"/>
          <w:szCs w:val="24"/>
        </w:rPr>
        <w:t>s</w:t>
      </w:r>
      <w:r w:rsidRPr="00D705AB">
        <w:rPr>
          <w:i/>
          <w:iCs/>
          <w:sz w:val="24"/>
          <w:szCs w:val="24"/>
        </w:rPr>
        <w:t xml:space="preserve">arrancolin </w:t>
      </w:r>
      <w:r w:rsidRPr="00D00BE6">
        <w:rPr>
          <w:sz w:val="24"/>
          <w:szCs w:val="24"/>
        </w:rPr>
        <w:t xml:space="preserve">marble; </w:t>
      </w:r>
      <w:r w:rsidR="00171247">
        <w:rPr>
          <w:sz w:val="24"/>
          <w:szCs w:val="24"/>
        </w:rPr>
        <w:t>they</w:t>
      </w:r>
      <w:r w:rsidRPr="00D00BE6">
        <w:rPr>
          <w:sz w:val="24"/>
          <w:szCs w:val="24"/>
        </w:rPr>
        <w:t xml:space="preserve"> are most similar to stone from the </w:t>
      </w:r>
      <w:r w:rsidR="00171247">
        <w:rPr>
          <w:sz w:val="24"/>
          <w:szCs w:val="24"/>
        </w:rPr>
        <w:t>e</w:t>
      </w:r>
      <w:r w:rsidRPr="00D00BE6">
        <w:rPr>
          <w:sz w:val="24"/>
          <w:szCs w:val="24"/>
        </w:rPr>
        <w:t>astern slopes of the Aure Valley, near Beyrede-Jumet, in the Hautes-</w:t>
      </w:r>
      <w:r w:rsidR="00053FB3">
        <w:rPr>
          <w:sz w:val="24"/>
          <w:szCs w:val="24"/>
        </w:rPr>
        <w:t>Pyrénées</w:t>
      </w:r>
      <w:r w:rsidRPr="00D00BE6">
        <w:rPr>
          <w:sz w:val="24"/>
          <w:szCs w:val="24"/>
        </w:rPr>
        <w:t>, France.</w:t>
      </w:r>
    </w:p>
    <w:sectPr w:rsidR="00D00BE6" w:rsidRPr="00D00BE6">
      <w:footerReference w:type="default" r:id="rId12"/>
      <w:endnotePr>
        <w:numFmt w:val="decimal"/>
      </w:endnotePr>
      <w:pgSz w:w="12240" w:h="15840"/>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45D23" w14:textId="77777777" w:rsidR="001D0651" w:rsidRDefault="001D0651">
      <w:pPr>
        <w:spacing w:after="0" w:line="240" w:lineRule="auto"/>
      </w:pPr>
      <w:r>
        <w:separator/>
      </w:r>
    </w:p>
  </w:endnote>
  <w:endnote w:type="continuationSeparator" w:id="0">
    <w:p w14:paraId="6EFB2B87" w14:textId="77777777" w:rsidR="001D0651" w:rsidRDefault="001D0651">
      <w:pPr>
        <w:spacing w:after="0" w:line="240" w:lineRule="auto"/>
      </w:pPr>
      <w:r>
        <w:continuationSeparator/>
      </w:r>
    </w:p>
  </w:endnote>
  <w:endnote w:id="1">
    <w:p w14:paraId="7E79BB83" w14:textId="031CEA0F" w:rsidR="00A41750" w:rsidRPr="00D00BE6" w:rsidRDefault="00496866" w:rsidP="00D00BE6">
      <w:pPr>
        <w:pStyle w:val="Style"/>
        <w:spacing w:line="480" w:lineRule="auto"/>
        <w:ind w:right="28"/>
        <w:rPr>
          <w:rFonts w:ascii="Times New Roman" w:hAnsi="Times New Roman" w:cs="Times New Roman"/>
        </w:rPr>
      </w:pPr>
      <w:r w:rsidRPr="00EF473D">
        <w:rPr>
          <w:rStyle w:val="FootnoteCharacters"/>
          <w:rFonts w:ascii="Times New Roman" w:hAnsi="Times New Roman" w:cs="Times New Roman"/>
          <w:sz w:val="20"/>
          <w:szCs w:val="20"/>
        </w:rPr>
        <w:endnoteRef/>
      </w:r>
      <w:r w:rsidRPr="00B47AAA">
        <w:rPr>
          <w:rFonts w:ascii="Times New Roman" w:hAnsi="Times New Roman" w:cs="Times New Roman"/>
        </w:rPr>
        <w:t xml:space="preserve">  For more information on Bernard II van Risenburgh, see primarily </w:t>
      </w:r>
      <w:r w:rsidR="005968ED">
        <w:rPr>
          <w:rFonts w:ascii="Times New Roman" w:hAnsi="Times New Roman" w:cs="Times New Roman"/>
        </w:rPr>
        <w:t>{{</w:t>
      </w:r>
      <w:r w:rsidRPr="00B47AAA">
        <w:rPr>
          <w:rFonts w:ascii="Times New Roman" w:hAnsi="Times New Roman" w:cs="Times New Roman"/>
        </w:rPr>
        <w:t>Pradère 1989</w:t>
      </w:r>
      <w:r w:rsidR="00217DD4">
        <w:rPr>
          <w:rFonts w:ascii="Times New Roman" w:hAnsi="Times New Roman" w:cs="Times New Roman"/>
        </w:rPr>
        <w:t>a</w:t>
      </w:r>
      <w:r w:rsidR="005968ED">
        <w:rPr>
          <w:rFonts w:ascii="Times New Roman" w:hAnsi="Times New Roman" w:cs="Times New Roman"/>
        </w:rPr>
        <w:t>}}</w:t>
      </w:r>
      <w:r w:rsidRPr="00B47AAA">
        <w:rPr>
          <w:rFonts w:ascii="Times New Roman" w:hAnsi="Times New Roman" w:cs="Times New Roman"/>
        </w:rPr>
        <w:t>, 183</w:t>
      </w:r>
      <w:r w:rsidR="00053FB3">
        <w:rPr>
          <w:rFonts w:ascii="Times New Roman" w:hAnsi="Times New Roman" w:cs="Times New Roman"/>
        </w:rPr>
        <w:t>–</w:t>
      </w:r>
      <w:r w:rsidRPr="00B47AAA">
        <w:rPr>
          <w:rFonts w:ascii="Times New Roman" w:hAnsi="Times New Roman" w:cs="Times New Roman"/>
        </w:rPr>
        <w:t xml:space="preserve">99; </w:t>
      </w:r>
      <w:r w:rsidR="005968ED">
        <w:rPr>
          <w:rFonts w:ascii="Times New Roman" w:hAnsi="Times New Roman" w:cs="Times New Roman"/>
        </w:rPr>
        <w:t>{{</w:t>
      </w:r>
      <w:r w:rsidRPr="00B47AAA">
        <w:rPr>
          <w:rFonts w:ascii="Times New Roman" w:hAnsi="Times New Roman" w:cs="Times New Roman"/>
        </w:rPr>
        <w:t>Baroli 1957</w:t>
      </w:r>
      <w:r w:rsidR="005968ED">
        <w:rPr>
          <w:rFonts w:ascii="Times New Roman" w:hAnsi="Times New Roman" w:cs="Times New Roman"/>
        </w:rPr>
        <w:t>}}</w:t>
      </w:r>
      <w:r w:rsidRPr="00B47AAA">
        <w:rPr>
          <w:rFonts w:ascii="Times New Roman" w:hAnsi="Times New Roman" w:cs="Times New Roman"/>
        </w:rPr>
        <w:t>, 56</w:t>
      </w:r>
      <w:r w:rsidR="00053FB3">
        <w:rPr>
          <w:rFonts w:ascii="Times New Roman" w:hAnsi="Times New Roman" w:cs="Times New Roman"/>
        </w:rPr>
        <w:t>–</w:t>
      </w:r>
      <w:r w:rsidRPr="00B47AAA">
        <w:rPr>
          <w:rFonts w:ascii="Times New Roman" w:hAnsi="Times New Roman" w:cs="Times New Roman"/>
        </w:rPr>
        <w:t>63. Se</w:t>
      </w:r>
      <w:r w:rsidR="00D00BE6">
        <w:rPr>
          <w:rFonts w:ascii="Times New Roman" w:hAnsi="Times New Roman" w:cs="Times New Roman"/>
        </w:rPr>
        <w:t xml:space="preserve">e also </w:t>
      </w:r>
      <w:r w:rsidR="005968ED">
        <w:rPr>
          <w:rFonts w:ascii="Times New Roman" w:hAnsi="Times New Roman" w:cs="Times New Roman"/>
        </w:rPr>
        <w:t>{{</w:t>
      </w:r>
      <w:r w:rsidR="00D00BE6">
        <w:rPr>
          <w:rFonts w:ascii="Times New Roman" w:hAnsi="Times New Roman" w:cs="Times New Roman"/>
        </w:rPr>
        <w:t>Alcouffe 1974</w:t>
      </w:r>
      <w:r w:rsidR="005968ED">
        <w:rPr>
          <w:rFonts w:ascii="Times New Roman" w:hAnsi="Times New Roman" w:cs="Times New Roman"/>
        </w:rPr>
        <w:t>}}</w:t>
      </w:r>
      <w:r w:rsidR="00D00BE6">
        <w:rPr>
          <w:rFonts w:ascii="Times New Roman" w:hAnsi="Times New Roman" w:cs="Times New Roman"/>
        </w:rPr>
        <w:t>, 323</w:t>
      </w:r>
      <w:r w:rsidR="00053FB3">
        <w:rPr>
          <w:rFonts w:ascii="Times New Roman" w:hAnsi="Times New Roman" w:cs="Times New Roman"/>
        </w:rPr>
        <w:t>–</w:t>
      </w:r>
      <w:r w:rsidR="00D00BE6">
        <w:rPr>
          <w:rFonts w:ascii="Times New Roman" w:hAnsi="Times New Roman" w:cs="Times New Roman"/>
        </w:rPr>
        <w:t>24.</w:t>
      </w:r>
    </w:p>
  </w:endnote>
  <w:endnote w:id="2">
    <w:p w14:paraId="4B355565" w14:textId="22D2CBE2" w:rsidR="00A41750" w:rsidRDefault="00496866" w:rsidP="00A417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sidRPr="00B47AAA">
        <w:rPr>
          <w:rStyle w:val="EndnoteReference"/>
        </w:rPr>
        <w:endnoteRef/>
      </w:r>
      <w:r w:rsidRPr="00B47AAA">
        <w:t xml:space="preserve"> </w:t>
      </w:r>
      <w:r w:rsidRPr="00B47AAA">
        <w:rPr>
          <w:sz w:val="24"/>
          <w:szCs w:val="24"/>
        </w:rPr>
        <w:t>Other examples exist of the same size and form but lacking some or all of the mounts</w:t>
      </w:r>
      <w:r w:rsidR="00053FB3">
        <w:rPr>
          <w:sz w:val="24"/>
          <w:szCs w:val="24"/>
        </w:rPr>
        <w:t>:</w:t>
      </w:r>
      <w:r w:rsidRPr="00B47AAA">
        <w:rPr>
          <w:sz w:val="24"/>
          <w:szCs w:val="24"/>
        </w:rPr>
        <w:t xml:space="preserve"> </w:t>
      </w:r>
    </w:p>
    <w:p w14:paraId="6F11B9DC" w14:textId="0778DFDB" w:rsidR="00496866" w:rsidRPr="00A41750" w:rsidRDefault="00A41750" w:rsidP="00053F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ind w:left="720"/>
        <w:rPr>
          <w:sz w:val="24"/>
          <w:szCs w:val="24"/>
        </w:rPr>
      </w:pPr>
      <w:r>
        <w:rPr>
          <w:sz w:val="24"/>
          <w:szCs w:val="24"/>
        </w:rPr>
        <w:t>a. A</w:t>
      </w:r>
      <w:r w:rsidR="00496866" w:rsidRPr="00B47AAA">
        <w:rPr>
          <w:sz w:val="24"/>
          <w:szCs w:val="24"/>
        </w:rPr>
        <w:t xml:space="preserve"> pair sold at </w:t>
      </w:r>
      <w:r w:rsidR="00A26A54" w:rsidRPr="00853E2F">
        <w:rPr>
          <w:sz w:val="24"/>
          <w:szCs w:val="24"/>
        </w:rPr>
        <w:t>Sotheby</w:t>
      </w:r>
      <w:r>
        <w:rPr>
          <w:sz w:val="24"/>
          <w:szCs w:val="24"/>
        </w:rPr>
        <w:t>’</w:t>
      </w:r>
      <w:r w:rsidR="00A26A54" w:rsidRPr="00853E2F">
        <w:rPr>
          <w:sz w:val="24"/>
          <w:szCs w:val="24"/>
        </w:rPr>
        <w:t>s</w:t>
      </w:r>
      <w:r w:rsidR="00A26A54">
        <w:rPr>
          <w:sz w:val="24"/>
          <w:szCs w:val="24"/>
        </w:rPr>
        <w:t xml:space="preserve">, </w:t>
      </w:r>
      <w:r w:rsidR="00A26A54" w:rsidRPr="00A41750">
        <w:rPr>
          <w:i/>
          <w:sz w:val="24"/>
          <w:szCs w:val="24"/>
        </w:rPr>
        <w:t>The Distinguished Collection of a Lady, December 9-11, 1997</w:t>
      </w:r>
      <w:r w:rsidR="00A26A54" w:rsidRPr="00853E2F">
        <w:rPr>
          <w:sz w:val="24"/>
          <w:szCs w:val="24"/>
        </w:rPr>
        <w:t xml:space="preserve"> </w:t>
      </w:r>
      <w:r w:rsidR="00A26A54">
        <w:rPr>
          <w:sz w:val="24"/>
          <w:szCs w:val="24"/>
        </w:rPr>
        <w:t>(</w:t>
      </w:r>
      <w:r w:rsidR="00A26A54" w:rsidRPr="00853E2F">
        <w:rPr>
          <w:sz w:val="24"/>
          <w:szCs w:val="24"/>
        </w:rPr>
        <w:t>Zurich: Sotheby’s, 1997</w:t>
      </w:r>
      <w:r w:rsidR="00A26A54">
        <w:rPr>
          <w:sz w:val="24"/>
          <w:szCs w:val="24"/>
        </w:rPr>
        <w:t xml:space="preserve">), </w:t>
      </w:r>
      <w:r w:rsidR="00496866" w:rsidRPr="00B47AAA">
        <w:rPr>
          <w:sz w:val="24"/>
          <w:szCs w:val="24"/>
        </w:rPr>
        <w:t>lot 315</w:t>
      </w:r>
      <w:r w:rsidR="00053FB3">
        <w:rPr>
          <w:sz w:val="24"/>
          <w:szCs w:val="24"/>
        </w:rPr>
        <w:t>,</w:t>
      </w:r>
      <w:r w:rsidR="00496866" w:rsidRPr="00B47AAA">
        <w:rPr>
          <w:sz w:val="24"/>
          <w:szCs w:val="24"/>
        </w:rPr>
        <w:t xml:space="preserve"> </w:t>
      </w:r>
      <w:r w:rsidR="00053FB3">
        <w:rPr>
          <w:sz w:val="24"/>
          <w:szCs w:val="24"/>
        </w:rPr>
        <w:t>s</w:t>
      </w:r>
      <w:r w:rsidR="00496866" w:rsidRPr="00B47AAA">
        <w:rPr>
          <w:sz w:val="24"/>
          <w:szCs w:val="24"/>
        </w:rPr>
        <w:t xml:space="preserve">tamped </w:t>
      </w:r>
      <w:r w:rsidR="00053FB3">
        <w:rPr>
          <w:sz w:val="24"/>
          <w:szCs w:val="24"/>
        </w:rPr>
        <w:t>“</w:t>
      </w:r>
      <w:r w:rsidR="00496866" w:rsidRPr="00B47AAA">
        <w:rPr>
          <w:sz w:val="24"/>
          <w:szCs w:val="24"/>
        </w:rPr>
        <w:t>B</w:t>
      </w:r>
      <w:r w:rsidR="00053FB3">
        <w:rPr>
          <w:sz w:val="24"/>
          <w:szCs w:val="24"/>
        </w:rPr>
        <w:t>.</w:t>
      </w:r>
      <w:r w:rsidR="00496866" w:rsidRPr="00B47AAA">
        <w:rPr>
          <w:sz w:val="24"/>
          <w:szCs w:val="24"/>
        </w:rPr>
        <w:t>V</w:t>
      </w:r>
      <w:r w:rsidR="00053FB3">
        <w:rPr>
          <w:sz w:val="24"/>
          <w:szCs w:val="24"/>
        </w:rPr>
        <w:t>.</w:t>
      </w:r>
      <w:r w:rsidR="00496866" w:rsidRPr="00B47AAA">
        <w:rPr>
          <w:sz w:val="24"/>
          <w:szCs w:val="24"/>
        </w:rPr>
        <w:t>R</w:t>
      </w:r>
      <w:r w:rsidR="00053FB3">
        <w:rPr>
          <w:sz w:val="24"/>
          <w:szCs w:val="24"/>
        </w:rPr>
        <w:t>.</w:t>
      </w:r>
      <w:r w:rsidR="00496866" w:rsidRPr="00B47AAA">
        <w:rPr>
          <w:sz w:val="24"/>
          <w:szCs w:val="24"/>
        </w:rPr>
        <w:t>B</w:t>
      </w:r>
      <w:r w:rsidR="00053FB3">
        <w:rPr>
          <w:sz w:val="24"/>
          <w:szCs w:val="24"/>
        </w:rPr>
        <w:t>.,”</w:t>
      </w:r>
      <w:r w:rsidR="00496866" w:rsidRPr="00B47AAA">
        <w:rPr>
          <w:sz w:val="24"/>
          <w:szCs w:val="24"/>
        </w:rPr>
        <w:t xml:space="preserve"> veneered with plain veneers and banding. The elaborate central escutcheon is present, but the framing mount is an adapt</w:t>
      </w:r>
      <w:r w:rsidR="00053FB3">
        <w:rPr>
          <w:sz w:val="24"/>
          <w:szCs w:val="24"/>
        </w:rPr>
        <w:t>at</w:t>
      </w:r>
      <w:r w:rsidR="00496866" w:rsidRPr="00B47AAA">
        <w:rPr>
          <w:sz w:val="24"/>
          <w:szCs w:val="24"/>
        </w:rPr>
        <w:t>ion of that found on</w:t>
      </w:r>
      <w:r w:rsidR="00BB1A5B" w:rsidRPr="00B47AAA">
        <w:rPr>
          <w:sz w:val="24"/>
          <w:szCs w:val="24"/>
        </w:rPr>
        <w:t xml:space="preserve"> the </w:t>
      </w:r>
      <w:r w:rsidR="00053FB3">
        <w:rPr>
          <w:sz w:val="24"/>
          <w:szCs w:val="24"/>
        </w:rPr>
        <w:t>M</w:t>
      </w:r>
      <w:r w:rsidR="00BB1A5B" w:rsidRPr="00B47AAA">
        <w:rPr>
          <w:sz w:val="24"/>
          <w:szCs w:val="24"/>
        </w:rPr>
        <w:t>useum</w:t>
      </w:r>
      <w:r w:rsidR="00053FB3">
        <w:rPr>
          <w:sz w:val="24"/>
          <w:szCs w:val="24"/>
        </w:rPr>
        <w:t>’</w:t>
      </w:r>
      <w:r w:rsidR="00BB1A5B" w:rsidRPr="00B47AAA">
        <w:rPr>
          <w:sz w:val="24"/>
          <w:szCs w:val="24"/>
        </w:rPr>
        <w:t>s commode</w:t>
      </w:r>
      <w:r w:rsidR="00053FB3">
        <w:rPr>
          <w:sz w:val="24"/>
          <w:szCs w:val="24"/>
        </w:rPr>
        <w:t>,</w:t>
      </w:r>
      <w:r w:rsidR="00BB1A5B" w:rsidRPr="00B47AAA">
        <w:rPr>
          <w:sz w:val="24"/>
          <w:szCs w:val="24"/>
        </w:rPr>
        <w:t xml:space="preserve"> </w:t>
      </w:r>
      <w:hyperlink r:id="rId1" w:history="1">
        <w:r w:rsidR="00053FB3" w:rsidRPr="00053FB3">
          <w:rPr>
            <w:rStyle w:val="Hyperlink"/>
            <w:sz w:val="24"/>
            <w:szCs w:val="24"/>
          </w:rPr>
          <w:t>c</w:t>
        </w:r>
        <w:r w:rsidR="00BB1A5B" w:rsidRPr="00053FB3">
          <w:rPr>
            <w:rStyle w:val="Hyperlink"/>
            <w:sz w:val="24"/>
            <w:szCs w:val="24"/>
          </w:rPr>
          <w:t>at. no. 5</w:t>
        </w:r>
      </w:hyperlink>
      <w:r w:rsidR="00496866" w:rsidRPr="00B47AAA">
        <w:rPr>
          <w:sz w:val="24"/>
          <w:szCs w:val="24"/>
        </w:rPr>
        <w:t xml:space="preserve"> (84 x 75 x 54 cm)</w:t>
      </w:r>
      <w:r w:rsidR="00053FB3">
        <w:rPr>
          <w:sz w:val="24"/>
          <w:szCs w:val="24"/>
        </w:rPr>
        <w:t>;</w:t>
      </w:r>
      <w:r w:rsidR="00496866" w:rsidRPr="00B47AAA">
        <w:rPr>
          <w:sz w:val="24"/>
          <w:szCs w:val="24"/>
        </w:rPr>
        <w:t xml:space="preserve"> </w:t>
      </w:r>
      <w:r w:rsidR="00ED3540">
        <w:rPr>
          <w:sz w:val="24"/>
          <w:szCs w:val="24"/>
        </w:rPr>
        <w:t>e</w:t>
      </w:r>
      <w:r w:rsidR="00496866" w:rsidRPr="00B47AAA">
        <w:rPr>
          <w:sz w:val="24"/>
          <w:szCs w:val="24"/>
        </w:rPr>
        <w:t>x. coll.</w:t>
      </w:r>
      <w:r w:rsidR="00A61AC3">
        <w:rPr>
          <w:b/>
          <w:bCs/>
          <w:sz w:val="24"/>
          <w:szCs w:val="24"/>
        </w:rPr>
        <w:t xml:space="preserve"> </w:t>
      </w:r>
      <w:r w:rsidR="00496866" w:rsidRPr="00B47AAA">
        <w:rPr>
          <w:sz w:val="24"/>
          <w:szCs w:val="24"/>
        </w:rPr>
        <w:t xml:space="preserve">Ernest Cronier, sold, </w:t>
      </w:r>
      <w:r w:rsidR="00A26A54" w:rsidRPr="00853E2F">
        <w:rPr>
          <w:sz w:val="24"/>
          <w:szCs w:val="24"/>
        </w:rPr>
        <w:t>Galerie Georges Petit</w:t>
      </w:r>
      <w:r w:rsidR="00A26A54">
        <w:rPr>
          <w:sz w:val="24"/>
          <w:szCs w:val="24"/>
        </w:rPr>
        <w:t>,</w:t>
      </w:r>
      <w:r w:rsidR="00A26A54" w:rsidRPr="00853E2F">
        <w:rPr>
          <w:sz w:val="24"/>
          <w:szCs w:val="24"/>
        </w:rPr>
        <w:t xml:space="preserve"> </w:t>
      </w:r>
      <w:r w:rsidR="00A26A54" w:rsidRPr="00A41750">
        <w:rPr>
          <w:i/>
          <w:sz w:val="24"/>
          <w:szCs w:val="24"/>
        </w:rPr>
        <w:t>Tableaux anciens et modernes, December 4</w:t>
      </w:r>
      <w:r>
        <w:rPr>
          <w:i/>
          <w:sz w:val="24"/>
          <w:szCs w:val="24"/>
        </w:rPr>
        <w:t>–</w:t>
      </w:r>
      <w:r w:rsidR="00A26A54" w:rsidRPr="00A41750">
        <w:rPr>
          <w:i/>
          <w:sz w:val="24"/>
          <w:szCs w:val="24"/>
        </w:rPr>
        <w:t>5, 1905</w:t>
      </w:r>
      <w:r w:rsidR="00A26A54">
        <w:rPr>
          <w:sz w:val="24"/>
          <w:szCs w:val="24"/>
        </w:rPr>
        <w:t xml:space="preserve"> (</w:t>
      </w:r>
      <w:r w:rsidR="00A26A54" w:rsidRPr="00853E2F">
        <w:rPr>
          <w:sz w:val="24"/>
          <w:szCs w:val="24"/>
        </w:rPr>
        <w:t>Paris: Galerie Georges Petit, 1905</w:t>
      </w:r>
      <w:r w:rsidR="00A26A54">
        <w:rPr>
          <w:sz w:val="24"/>
          <w:szCs w:val="24"/>
        </w:rPr>
        <w:t>)</w:t>
      </w:r>
      <w:r w:rsidR="00496866" w:rsidRPr="00B47AAA">
        <w:rPr>
          <w:sz w:val="24"/>
          <w:szCs w:val="24"/>
        </w:rPr>
        <w:t xml:space="preserve">, lot 145; </w:t>
      </w:r>
      <w:r w:rsidR="00A26A54">
        <w:rPr>
          <w:sz w:val="24"/>
          <w:szCs w:val="24"/>
        </w:rPr>
        <w:t>e</w:t>
      </w:r>
      <w:r w:rsidR="00496866" w:rsidRPr="00B47AAA">
        <w:rPr>
          <w:sz w:val="24"/>
          <w:szCs w:val="24"/>
        </w:rPr>
        <w:t>x. coll. Bloch-Levalois, sold, Paris, May 25</w:t>
      </w:r>
      <w:r w:rsidR="00053FB3">
        <w:rPr>
          <w:sz w:val="24"/>
          <w:szCs w:val="24"/>
        </w:rPr>
        <w:t>–</w:t>
      </w:r>
      <w:r w:rsidR="00496866" w:rsidRPr="00B47AAA">
        <w:rPr>
          <w:sz w:val="24"/>
          <w:szCs w:val="24"/>
        </w:rPr>
        <w:t>26, 1924, lot 128</w:t>
      </w:r>
      <w:r w:rsidR="00053FB3">
        <w:rPr>
          <w:sz w:val="24"/>
          <w:szCs w:val="24"/>
        </w:rPr>
        <w:t>;</w:t>
      </w:r>
      <w:r w:rsidR="00496866" w:rsidRPr="00B47AAA">
        <w:rPr>
          <w:sz w:val="24"/>
          <w:szCs w:val="24"/>
        </w:rPr>
        <w:t xml:space="preserve"> </w:t>
      </w:r>
      <w:r w:rsidR="00053FB3">
        <w:rPr>
          <w:sz w:val="24"/>
          <w:szCs w:val="24"/>
        </w:rPr>
        <w:t>s</w:t>
      </w:r>
      <w:r w:rsidR="00496866" w:rsidRPr="00B47AAA">
        <w:rPr>
          <w:sz w:val="24"/>
          <w:szCs w:val="24"/>
        </w:rPr>
        <w:t xml:space="preserve">old again, </w:t>
      </w:r>
      <w:r w:rsidR="00A26A54" w:rsidRPr="00853E2F">
        <w:rPr>
          <w:sz w:val="24"/>
          <w:szCs w:val="24"/>
        </w:rPr>
        <w:t>Sotheby</w:t>
      </w:r>
      <w:r>
        <w:rPr>
          <w:sz w:val="24"/>
          <w:szCs w:val="24"/>
        </w:rPr>
        <w:t>’</w:t>
      </w:r>
      <w:r w:rsidR="00A26A54" w:rsidRPr="00853E2F">
        <w:rPr>
          <w:sz w:val="24"/>
          <w:szCs w:val="24"/>
        </w:rPr>
        <w:t>s</w:t>
      </w:r>
      <w:r w:rsidR="00A26A54">
        <w:rPr>
          <w:sz w:val="24"/>
          <w:szCs w:val="24"/>
        </w:rPr>
        <w:t xml:space="preserve">, </w:t>
      </w:r>
      <w:r w:rsidR="00A26A54" w:rsidRPr="00A41750">
        <w:rPr>
          <w:i/>
          <w:sz w:val="24"/>
          <w:szCs w:val="24"/>
        </w:rPr>
        <w:t>Important mobilier, sculpture et objets d’art, April 16, 2013</w:t>
      </w:r>
      <w:r w:rsidR="00A26A54">
        <w:rPr>
          <w:sz w:val="24"/>
          <w:szCs w:val="24"/>
        </w:rPr>
        <w:t xml:space="preserve"> (</w:t>
      </w:r>
      <w:r w:rsidR="00A26A54" w:rsidRPr="00853E2F">
        <w:rPr>
          <w:sz w:val="24"/>
          <w:szCs w:val="24"/>
        </w:rPr>
        <w:t>Paris: Sotheby’s, 2013</w:t>
      </w:r>
      <w:r w:rsidR="00A26A54">
        <w:rPr>
          <w:sz w:val="24"/>
          <w:szCs w:val="24"/>
        </w:rPr>
        <w:t>)</w:t>
      </w:r>
      <w:r w:rsidR="00496866" w:rsidRPr="00B47AAA">
        <w:rPr>
          <w:sz w:val="24"/>
          <w:szCs w:val="24"/>
        </w:rPr>
        <w:t>,</w:t>
      </w:r>
      <w:r w:rsidR="00496866" w:rsidRPr="00B47AAA">
        <w:rPr>
          <w:i/>
          <w:sz w:val="24"/>
          <w:szCs w:val="24"/>
        </w:rPr>
        <w:t xml:space="preserve"> </w:t>
      </w:r>
      <w:r w:rsidR="00496866" w:rsidRPr="00B47AAA">
        <w:rPr>
          <w:sz w:val="24"/>
          <w:szCs w:val="24"/>
        </w:rPr>
        <w:t>lot 79.</w:t>
      </w:r>
    </w:p>
    <w:p w14:paraId="161413BA" w14:textId="77777777" w:rsidR="00496866" w:rsidRPr="00B47AAA" w:rsidRDefault="00496866" w:rsidP="00053F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ind w:left="720"/>
        <w:rPr>
          <w:sz w:val="24"/>
          <w:szCs w:val="24"/>
        </w:rPr>
      </w:pPr>
      <w:r w:rsidRPr="00B47AAA">
        <w:rPr>
          <w:sz w:val="24"/>
          <w:szCs w:val="24"/>
        </w:rPr>
        <w:t>b. A pair in the salon of the château de Champs-sur-Marne. Of the same profile and central escutcheon in end cut floral marquetry but lacking the framing mounts. Stamps unknown. Documents consulted at the archives of the Centre de Recherche Historique sur les Maîtres Ébénistes.</w:t>
      </w:r>
    </w:p>
    <w:p w14:paraId="1B458224" w14:textId="077D41EE" w:rsidR="00496866" w:rsidRPr="00D00BE6" w:rsidRDefault="00496866" w:rsidP="00053F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ind w:left="720"/>
        <w:rPr>
          <w:sz w:val="24"/>
          <w:szCs w:val="24"/>
        </w:rPr>
      </w:pPr>
      <w:r w:rsidRPr="00B47AAA">
        <w:rPr>
          <w:sz w:val="24"/>
          <w:szCs w:val="24"/>
        </w:rPr>
        <w:t xml:space="preserve">c. A single corner cupboard, sold </w:t>
      </w:r>
      <w:r w:rsidR="00B81901" w:rsidRPr="00476E50">
        <w:rPr>
          <w:sz w:val="24"/>
          <w:szCs w:val="24"/>
        </w:rPr>
        <w:t>Parke-Bernet Galleries</w:t>
      </w:r>
      <w:r w:rsidR="00B81901">
        <w:rPr>
          <w:sz w:val="24"/>
          <w:szCs w:val="24"/>
        </w:rPr>
        <w:t>,</w:t>
      </w:r>
      <w:r w:rsidR="00B81901" w:rsidRPr="00476E50">
        <w:rPr>
          <w:sz w:val="24"/>
          <w:szCs w:val="24"/>
        </w:rPr>
        <w:t xml:space="preserve"> </w:t>
      </w:r>
      <w:r w:rsidR="00B81901" w:rsidRPr="00476E50">
        <w:rPr>
          <w:i/>
          <w:sz w:val="24"/>
          <w:szCs w:val="24"/>
        </w:rPr>
        <w:t>English and French XVIII Century Furniture, Parke Bernet Galleries, May 28</w:t>
      </w:r>
      <w:r w:rsidR="00A41750">
        <w:rPr>
          <w:i/>
          <w:sz w:val="24"/>
          <w:szCs w:val="24"/>
        </w:rPr>
        <w:t>–</w:t>
      </w:r>
      <w:r w:rsidR="00B81901" w:rsidRPr="00476E50">
        <w:rPr>
          <w:i/>
          <w:sz w:val="24"/>
          <w:szCs w:val="24"/>
        </w:rPr>
        <w:t>29, 1941</w:t>
      </w:r>
      <w:r w:rsidR="00B81901" w:rsidRPr="00476E50">
        <w:rPr>
          <w:sz w:val="24"/>
          <w:szCs w:val="24"/>
        </w:rPr>
        <w:t xml:space="preserve"> </w:t>
      </w:r>
      <w:r w:rsidR="00B81901">
        <w:rPr>
          <w:sz w:val="24"/>
          <w:szCs w:val="24"/>
        </w:rPr>
        <w:t>(</w:t>
      </w:r>
      <w:r w:rsidR="00B81901" w:rsidRPr="00476E50">
        <w:rPr>
          <w:sz w:val="24"/>
          <w:szCs w:val="24"/>
        </w:rPr>
        <w:t>New York: Parke-Bernet Galleries, 1941</w:t>
      </w:r>
      <w:r w:rsidR="00B81901">
        <w:rPr>
          <w:sz w:val="24"/>
          <w:szCs w:val="24"/>
        </w:rPr>
        <w:t>)</w:t>
      </w:r>
      <w:r w:rsidR="00A26A54">
        <w:rPr>
          <w:sz w:val="24"/>
          <w:szCs w:val="24"/>
        </w:rPr>
        <w:t>, lot 432</w:t>
      </w:r>
      <w:r w:rsidR="00B81901" w:rsidRPr="00476E50">
        <w:rPr>
          <w:sz w:val="24"/>
          <w:szCs w:val="24"/>
        </w:rPr>
        <w:t>.</w:t>
      </w:r>
      <w:r w:rsidR="00B81901">
        <w:rPr>
          <w:sz w:val="24"/>
          <w:szCs w:val="24"/>
        </w:rPr>
        <w:t xml:space="preserve"> </w:t>
      </w:r>
      <w:r w:rsidRPr="00B47AAA">
        <w:rPr>
          <w:sz w:val="24"/>
          <w:szCs w:val="24"/>
        </w:rPr>
        <w:t>Apparently unstamped. Same form and profile, veneered with trellis marquetry surrounded by banding and a shaped frame of wood veneer that would have served as a background to the now</w:t>
      </w:r>
      <w:r w:rsidR="00053FB3">
        <w:rPr>
          <w:sz w:val="24"/>
          <w:szCs w:val="24"/>
        </w:rPr>
        <w:t>-</w:t>
      </w:r>
      <w:r w:rsidRPr="00B47AAA">
        <w:rPr>
          <w:sz w:val="24"/>
          <w:szCs w:val="24"/>
        </w:rPr>
        <w:t>missing framin</w:t>
      </w:r>
      <w:r w:rsidR="00D00BE6">
        <w:rPr>
          <w:sz w:val="24"/>
          <w:szCs w:val="24"/>
        </w:rPr>
        <w:t>g mount. No mounts (</w:t>
      </w:r>
      <w:r w:rsidR="00053FB3">
        <w:rPr>
          <w:sz w:val="24"/>
          <w:szCs w:val="24"/>
        </w:rPr>
        <w:t>3 ft.</w:t>
      </w:r>
      <w:r w:rsidR="00D00BE6">
        <w:rPr>
          <w:sz w:val="24"/>
          <w:szCs w:val="24"/>
        </w:rPr>
        <w:t xml:space="preserve"> x </w:t>
      </w:r>
      <w:r w:rsidR="00053FB3">
        <w:rPr>
          <w:sz w:val="24"/>
          <w:szCs w:val="24"/>
        </w:rPr>
        <w:t>2 ft. 7 in.</w:t>
      </w:r>
      <w:r w:rsidR="00D00BE6">
        <w:rPr>
          <w:sz w:val="24"/>
          <w:szCs w:val="24"/>
        </w:rPr>
        <w:t>).</w:t>
      </w:r>
    </w:p>
  </w:endnote>
  <w:endnote w:id="3">
    <w:p w14:paraId="549E6210" w14:textId="2844AF1F" w:rsidR="00496866" w:rsidRPr="00B47AAA" w:rsidRDefault="00496866" w:rsidP="009B7EB6">
      <w:pPr>
        <w:pStyle w:val="EndnoteText"/>
        <w:spacing w:line="480" w:lineRule="auto"/>
      </w:pPr>
      <w:r w:rsidRPr="00B47AAA">
        <w:rPr>
          <w:rStyle w:val="FootnoteCharacters"/>
        </w:rPr>
        <w:endnoteRef/>
      </w:r>
      <w:r w:rsidRPr="00B47AAA">
        <w:t xml:space="preserve"> </w:t>
      </w:r>
      <w:r w:rsidRPr="00B47AAA">
        <w:rPr>
          <w:sz w:val="24"/>
          <w:szCs w:val="24"/>
        </w:rPr>
        <w:t xml:space="preserve"> Acc. no. Res. Mü. M 23, 24 (89.5 x 76 x 53.5 cm). </w:t>
      </w:r>
      <w:r w:rsidR="005968ED">
        <w:rPr>
          <w:sz w:val="24"/>
          <w:szCs w:val="24"/>
        </w:rPr>
        <w:t>{{</w:t>
      </w:r>
      <w:r w:rsidRPr="00B47AAA">
        <w:rPr>
          <w:sz w:val="24"/>
          <w:szCs w:val="24"/>
        </w:rPr>
        <w:t>Langer and Ottomeyer 1995</w:t>
      </w:r>
      <w:r w:rsidR="005968ED">
        <w:rPr>
          <w:sz w:val="24"/>
          <w:szCs w:val="24"/>
        </w:rPr>
        <w:t>}}</w:t>
      </w:r>
      <w:r w:rsidRPr="00B47AAA">
        <w:rPr>
          <w:sz w:val="24"/>
          <w:szCs w:val="24"/>
        </w:rPr>
        <w:t>, 111</w:t>
      </w:r>
      <w:r w:rsidR="00053FB3">
        <w:rPr>
          <w:sz w:val="24"/>
          <w:szCs w:val="24"/>
        </w:rPr>
        <w:t>–</w:t>
      </w:r>
      <w:r w:rsidRPr="00B47AAA">
        <w:rPr>
          <w:sz w:val="24"/>
          <w:szCs w:val="24"/>
        </w:rPr>
        <w:t>13, no. 20.</w:t>
      </w:r>
    </w:p>
  </w:endnote>
  <w:endnote w:id="4">
    <w:p w14:paraId="5B24E87C" w14:textId="295B7F34" w:rsidR="00496866" w:rsidRPr="00B47AAA" w:rsidRDefault="00496866" w:rsidP="009B7EB6">
      <w:pPr>
        <w:pStyle w:val="EndnoteText"/>
        <w:spacing w:line="480" w:lineRule="auto"/>
      </w:pPr>
      <w:r w:rsidRPr="00B47AAA">
        <w:rPr>
          <w:rStyle w:val="FootnoteCharacters"/>
        </w:rPr>
        <w:endnoteRef/>
      </w:r>
      <w:r w:rsidRPr="00B47AAA">
        <w:t xml:space="preserve"> </w:t>
      </w:r>
      <w:r w:rsidRPr="00B47AAA">
        <w:rPr>
          <w:sz w:val="24"/>
          <w:szCs w:val="24"/>
        </w:rPr>
        <w:t>Acc. no. 1983.185.1a, b, .2a, b</w:t>
      </w:r>
      <w:r w:rsidR="00A41750">
        <w:rPr>
          <w:sz w:val="24"/>
          <w:szCs w:val="24"/>
        </w:rPr>
        <w:t xml:space="preserve"> (2 ft. 11 7/8 in. x 2 ft. 9 7/8 in. x 2 ft. 2 1/8 in.</w:t>
      </w:r>
      <w:r w:rsidR="00FE1460">
        <w:rPr>
          <w:sz w:val="24"/>
          <w:szCs w:val="24"/>
        </w:rPr>
        <w:t>;</w:t>
      </w:r>
      <w:r w:rsidRPr="00B47AAA">
        <w:rPr>
          <w:sz w:val="24"/>
          <w:szCs w:val="24"/>
        </w:rPr>
        <w:t xml:space="preserve"> </w:t>
      </w:r>
      <w:r w:rsidRPr="00A41750">
        <w:rPr>
          <w:sz w:val="24"/>
          <w:szCs w:val="24"/>
        </w:rPr>
        <w:t>91 x 86 x 66.4 cm)</w:t>
      </w:r>
      <w:r w:rsidRPr="00B47AAA">
        <w:rPr>
          <w:sz w:val="24"/>
          <w:szCs w:val="24"/>
        </w:rPr>
        <w:t xml:space="preserve">. </w:t>
      </w:r>
      <w:r w:rsidR="005968ED">
        <w:rPr>
          <w:sz w:val="24"/>
          <w:szCs w:val="24"/>
        </w:rPr>
        <w:t>{{</w:t>
      </w:r>
      <w:r w:rsidRPr="00B47AAA">
        <w:rPr>
          <w:sz w:val="24"/>
          <w:szCs w:val="24"/>
        </w:rPr>
        <w:t>Watson 1966</w:t>
      </w:r>
      <w:r w:rsidR="005968ED">
        <w:rPr>
          <w:sz w:val="24"/>
          <w:szCs w:val="24"/>
        </w:rPr>
        <w:t>}}</w:t>
      </w:r>
      <w:r w:rsidRPr="00B47AAA">
        <w:rPr>
          <w:sz w:val="24"/>
          <w:szCs w:val="24"/>
        </w:rPr>
        <w:t>, vol. 1, 170</w:t>
      </w:r>
      <w:r w:rsidR="00053FB3">
        <w:rPr>
          <w:sz w:val="24"/>
          <w:szCs w:val="24"/>
        </w:rPr>
        <w:t>–</w:t>
      </w:r>
      <w:r w:rsidRPr="00B47AAA">
        <w:rPr>
          <w:sz w:val="24"/>
          <w:szCs w:val="24"/>
        </w:rPr>
        <w:t xml:space="preserve">73, nos. 100A and 100B. Now in the Metropolitan Museum of Art, New York, gift of Mr. </w:t>
      </w:r>
      <w:r w:rsidR="00053FB3">
        <w:rPr>
          <w:sz w:val="24"/>
          <w:szCs w:val="24"/>
        </w:rPr>
        <w:t>a</w:t>
      </w:r>
      <w:r w:rsidRPr="00B47AAA">
        <w:rPr>
          <w:sz w:val="24"/>
          <w:szCs w:val="24"/>
        </w:rPr>
        <w:t>nd Mrs. Charles Wrightsman.</w:t>
      </w:r>
    </w:p>
  </w:endnote>
  <w:endnote w:id="5">
    <w:p w14:paraId="31F7D3BC" w14:textId="362BC110" w:rsidR="00496866" w:rsidRPr="00B47AAA" w:rsidRDefault="00496866" w:rsidP="009B7EB6">
      <w:pPr>
        <w:pStyle w:val="EndnoteText"/>
        <w:spacing w:line="480" w:lineRule="auto"/>
      </w:pPr>
      <w:r w:rsidRPr="00B47AAA">
        <w:rPr>
          <w:rStyle w:val="EndnoteReference"/>
        </w:rPr>
        <w:endnoteRef/>
      </w:r>
      <w:r w:rsidRPr="00B47AAA">
        <w:t xml:space="preserve"> </w:t>
      </w:r>
      <w:r w:rsidRPr="00B47AAA">
        <w:rPr>
          <w:sz w:val="24"/>
          <w:szCs w:val="24"/>
        </w:rPr>
        <w:t xml:space="preserve">Sold, </w:t>
      </w:r>
      <w:r w:rsidR="00A26A54" w:rsidRPr="00853E2F">
        <w:rPr>
          <w:sz w:val="24"/>
          <w:szCs w:val="24"/>
        </w:rPr>
        <w:t>Christie</w:t>
      </w:r>
      <w:r w:rsidR="00A41750">
        <w:rPr>
          <w:sz w:val="24"/>
          <w:szCs w:val="24"/>
        </w:rPr>
        <w:t>’</w:t>
      </w:r>
      <w:r w:rsidR="00A26A54" w:rsidRPr="00853E2F">
        <w:rPr>
          <w:sz w:val="24"/>
          <w:szCs w:val="24"/>
        </w:rPr>
        <w:t>s</w:t>
      </w:r>
      <w:r w:rsidR="00A26A54">
        <w:rPr>
          <w:sz w:val="24"/>
          <w:szCs w:val="24"/>
        </w:rPr>
        <w:t>,</w:t>
      </w:r>
      <w:r w:rsidR="00A26A54" w:rsidRPr="00853E2F">
        <w:rPr>
          <w:sz w:val="24"/>
          <w:szCs w:val="24"/>
        </w:rPr>
        <w:t xml:space="preserve"> </w:t>
      </w:r>
      <w:r w:rsidR="00A26A54" w:rsidRPr="00A41750">
        <w:rPr>
          <w:i/>
          <w:sz w:val="24"/>
          <w:szCs w:val="24"/>
        </w:rPr>
        <w:t>Important Furniture, Porcelain, Clocks and Carpets, April 26, 1994</w:t>
      </w:r>
      <w:r w:rsidR="00A26A54">
        <w:rPr>
          <w:sz w:val="24"/>
          <w:szCs w:val="24"/>
        </w:rPr>
        <w:t xml:space="preserve"> (</w:t>
      </w:r>
      <w:r w:rsidR="00A26A54" w:rsidRPr="00853E2F">
        <w:rPr>
          <w:sz w:val="24"/>
          <w:szCs w:val="24"/>
        </w:rPr>
        <w:t>New York: Christie’s, 1994</w:t>
      </w:r>
      <w:r w:rsidR="00A26A54">
        <w:rPr>
          <w:sz w:val="24"/>
          <w:szCs w:val="24"/>
        </w:rPr>
        <w:t>)</w:t>
      </w:r>
      <w:r w:rsidRPr="00B47AAA">
        <w:rPr>
          <w:sz w:val="24"/>
          <w:szCs w:val="24"/>
        </w:rPr>
        <w:t>, lot 297; also sold,</w:t>
      </w:r>
      <w:r w:rsidR="00A26A54">
        <w:rPr>
          <w:sz w:val="24"/>
          <w:szCs w:val="24"/>
        </w:rPr>
        <w:t xml:space="preserve"> </w:t>
      </w:r>
      <w:r w:rsidR="00A26A54" w:rsidRPr="00853E2F">
        <w:rPr>
          <w:sz w:val="24"/>
          <w:szCs w:val="24"/>
        </w:rPr>
        <w:t>Christie</w:t>
      </w:r>
      <w:r w:rsidR="00A41750">
        <w:rPr>
          <w:sz w:val="24"/>
          <w:szCs w:val="24"/>
        </w:rPr>
        <w:t>’</w:t>
      </w:r>
      <w:r w:rsidR="00A26A54" w:rsidRPr="00853E2F">
        <w:rPr>
          <w:sz w:val="24"/>
          <w:szCs w:val="24"/>
        </w:rPr>
        <w:t>s</w:t>
      </w:r>
      <w:r w:rsidR="00A26A54">
        <w:rPr>
          <w:sz w:val="24"/>
          <w:szCs w:val="24"/>
        </w:rPr>
        <w:t>,</w:t>
      </w:r>
      <w:r w:rsidR="00A26A54" w:rsidRPr="00853E2F">
        <w:rPr>
          <w:sz w:val="24"/>
          <w:szCs w:val="24"/>
        </w:rPr>
        <w:t xml:space="preserve"> </w:t>
      </w:r>
      <w:r w:rsidR="00A26A54" w:rsidRPr="00A41750">
        <w:rPr>
          <w:i/>
          <w:sz w:val="24"/>
          <w:szCs w:val="24"/>
        </w:rPr>
        <w:t>Important French Furniture, Objects of Art and Sculpture, October 26, 1994</w:t>
      </w:r>
      <w:r w:rsidR="00A26A54">
        <w:rPr>
          <w:sz w:val="24"/>
          <w:szCs w:val="24"/>
        </w:rPr>
        <w:t xml:space="preserve"> (</w:t>
      </w:r>
      <w:r w:rsidR="00A26A54" w:rsidRPr="00853E2F">
        <w:rPr>
          <w:sz w:val="24"/>
          <w:szCs w:val="24"/>
        </w:rPr>
        <w:t>New York: Christie</w:t>
      </w:r>
      <w:r w:rsidR="00A41750">
        <w:rPr>
          <w:sz w:val="24"/>
          <w:szCs w:val="24"/>
        </w:rPr>
        <w:t>’</w:t>
      </w:r>
      <w:r w:rsidR="00A26A54" w:rsidRPr="00853E2F">
        <w:rPr>
          <w:sz w:val="24"/>
          <w:szCs w:val="24"/>
        </w:rPr>
        <w:t>s, 1994</w:t>
      </w:r>
      <w:r w:rsidR="00A26A54">
        <w:rPr>
          <w:sz w:val="24"/>
          <w:szCs w:val="24"/>
        </w:rPr>
        <w:t>)</w:t>
      </w:r>
      <w:r w:rsidRPr="00B47AAA">
        <w:rPr>
          <w:sz w:val="24"/>
          <w:szCs w:val="24"/>
        </w:rPr>
        <w:t xml:space="preserve">, lot 85; and with the dealer </w:t>
      </w:r>
      <w:r w:rsidRPr="00B47AAA">
        <w:rPr>
          <w:color w:val="32322F"/>
          <w:sz w:val="24"/>
          <w:szCs w:val="24"/>
          <w:lang w:val="en"/>
        </w:rPr>
        <w:t>Röbbig-München in 1996</w:t>
      </w:r>
      <w:r w:rsidR="00A26A54">
        <w:rPr>
          <w:color w:val="32322F"/>
          <w:sz w:val="24"/>
          <w:szCs w:val="24"/>
          <w:lang w:val="en"/>
        </w:rPr>
        <w:t>, p</w:t>
      </w:r>
      <w:r w:rsidRPr="00B47AAA">
        <w:rPr>
          <w:color w:val="32322F"/>
          <w:sz w:val="24"/>
          <w:szCs w:val="24"/>
          <w:lang w:val="en"/>
        </w:rPr>
        <w:t xml:space="preserve">ublished in their catalogue, </w:t>
      </w:r>
      <w:r w:rsidR="00A26A54" w:rsidRPr="00A41750">
        <w:rPr>
          <w:i/>
          <w:sz w:val="24"/>
          <w:szCs w:val="24"/>
        </w:rPr>
        <w:t>Frühe deutsche Porzellane, Einrichtungen und Objekte des 18. Jahrhunderts</w:t>
      </w:r>
      <w:r w:rsidR="00A26A54">
        <w:rPr>
          <w:sz w:val="24"/>
          <w:szCs w:val="24"/>
        </w:rPr>
        <w:t xml:space="preserve"> (</w:t>
      </w:r>
      <w:r w:rsidR="00A26A54" w:rsidRPr="00853E2F">
        <w:rPr>
          <w:sz w:val="24"/>
          <w:szCs w:val="24"/>
        </w:rPr>
        <w:t>Munich: Röbbig-München, 1996</w:t>
      </w:r>
      <w:r w:rsidR="00A26A54">
        <w:rPr>
          <w:sz w:val="24"/>
          <w:szCs w:val="24"/>
        </w:rPr>
        <w:t>)</w:t>
      </w:r>
      <w:r w:rsidRPr="00B47AAA">
        <w:rPr>
          <w:color w:val="32322F"/>
          <w:sz w:val="24"/>
          <w:szCs w:val="24"/>
          <w:lang w:val="en"/>
        </w:rPr>
        <w:t>, 38</w:t>
      </w:r>
      <w:r w:rsidR="00F65261">
        <w:rPr>
          <w:color w:val="32322F"/>
          <w:sz w:val="24"/>
          <w:szCs w:val="24"/>
          <w:lang w:val="en"/>
        </w:rPr>
        <w:t>–</w:t>
      </w:r>
      <w:r w:rsidRPr="00B47AAA">
        <w:rPr>
          <w:color w:val="32322F"/>
          <w:sz w:val="24"/>
          <w:szCs w:val="24"/>
          <w:lang w:val="en"/>
        </w:rPr>
        <w:t xml:space="preserve">39. </w:t>
      </w:r>
      <w:r w:rsidR="00F65261">
        <w:rPr>
          <w:sz w:val="24"/>
          <w:szCs w:val="24"/>
        </w:rPr>
        <w:t>2 ft. 11 in.</w:t>
      </w:r>
      <w:r w:rsidRPr="00B47AAA">
        <w:rPr>
          <w:sz w:val="24"/>
          <w:szCs w:val="24"/>
        </w:rPr>
        <w:t xml:space="preserve"> x </w:t>
      </w:r>
      <w:r w:rsidR="00F65261">
        <w:rPr>
          <w:sz w:val="24"/>
          <w:szCs w:val="24"/>
        </w:rPr>
        <w:t>2 ft. 7 in.</w:t>
      </w:r>
      <w:r w:rsidRPr="00B47AAA">
        <w:rPr>
          <w:sz w:val="24"/>
          <w:szCs w:val="24"/>
        </w:rPr>
        <w:t xml:space="preserve"> x </w:t>
      </w:r>
      <w:r w:rsidR="00F65261">
        <w:rPr>
          <w:sz w:val="24"/>
          <w:szCs w:val="24"/>
        </w:rPr>
        <w:t>1 ft. 10 3/4 in.</w:t>
      </w:r>
      <w:r w:rsidR="00053FB3">
        <w:rPr>
          <w:sz w:val="24"/>
          <w:szCs w:val="24"/>
        </w:rPr>
        <w:t xml:space="preserve"> (89 x 78.7 x 58 cm)</w:t>
      </w:r>
      <w:r w:rsidRPr="00B47AAA">
        <w:rPr>
          <w:sz w:val="24"/>
          <w:szCs w:val="24"/>
        </w:rPr>
        <w:t>.</w:t>
      </w:r>
    </w:p>
  </w:endnote>
  <w:endnote w:id="6">
    <w:p w14:paraId="0B82A25A" w14:textId="3846F997" w:rsidR="00496866" w:rsidRPr="00FB20DA" w:rsidRDefault="00496866" w:rsidP="009B7EB6">
      <w:pPr>
        <w:pStyle w:val="EndnoteText"/>
        <w:spacing w:line="480" w:lineRule="auto"/>
        <w:rPr>
          <w:lang w:val="es-MX"/>
        </w:rPr>
      </w:pPr>
      <w:r w:rsidRPr="00B47AAA">
        <w:rPr>
          <w:rStyle w:val="FootnoteCharacters"/>
        </w:rPr>
        <w:endnoteRef/>
      </w:r>
      <w:r w:rsidRPr="00FB20DA">
        <w:rPr>
          <w:lang w:val="es-MX"/>
        </w:rPr>
        <w:t xml:space="preserve"> </w:t>
      </w:r>
      <w:r w:rsidR="005968ED" w:rsidRPr="00FB20DA">
        <w:rPr>
          <w:color w:val="32322F"/>
          <w:sz w:val="24"/>
          <w:szCs w:val="24"/>
          <w:lang w:val="es-MX"/>
        </w:rPr>
        <w:t>{{</w:t>
      </w:r>
      <w:r w:rsidRPr="00FB20DA">
        <w:rPr>
          <w:sz w:val="24"/>
          <w:szCs w:val="24"/>
          <w:lang w:val="es-MX"/>
        </w:rPr>
        <w:t>Feulner 1927</w:t>
      </w:r>
      <w:r w:rsidR="005968ED" w:rsidRPr="00FB20DA">
        <w:rPr>
          <w:sz w:val="24"/>
          <w:szCs w:val="24"/>
          <w:lang w:val="es-MX"/>
        </w:rPr>
        <w:t>}}</w:t>
      </w:r>
      <w:r w:rsidRPr="00FB20DA">
        <w:rPr>
          <w:sz w:val="24"/>
          <w:szCs w:val="24"/>
          <w:lang w:val="es-MX"/>
        </w:rPr>
        <w:t>, 325, fig. 277.</w:t>
      </w:r>
      <w:r w:rsidRPr="00FB20DA">
        <w:rPr>
          <w:color w:val="FF0000"/>
          <w:sz w:val="24"/>
          <w:szCs w:val="24"/>
          <w:lang w:val="es-MX"/>
        </w:rPr>
        <w:t xml:space="preserve"> </w:t>
      </w:r>
    </w:p>
  </w:endnote>
  <w:endnote w:id="7">
    <w:p w14:paraId="2D9AFC03" w14:textId="703D5593" w:rsidR="00496866" w:rsidRPr="00FB20DA" w:rsidRDefault="00496866" w:rsidP="009B7EB6">
      <w:pPr>
        <w:pStyle w:val="EndnoteText"/>
        <w:spacing w:line="480" w:lineRule="auto"/>
        <w:rPr>
          <w:lang w:val="es-MX"/>
        </w:rPr>
      </w:pPr>
      <w:r w:rsidRPr="00B47AAA">
        <w:rPr>
          <w:rStyle w:val="FootnoteCharacters"/>
        </w:rPr>
        <w:endnoteRef/>
      </w:r>
      <w:r w:rsidRPr="00FB20DA">
        <w:rPr>
          <w:lang w:val="es-MX"/>
        </w:rPr>
        <w:t xml:space="preserve"> </w:t>
      </w:r>
      <w:r w:rsidR="005968ED" w:rsidRPr="00FB20DA">
        <w:rPr>
          <w:color w:val="32322F"/>
          <w:sz w:val="24"/>
          <w:szCs w:val="24"/>
          <w:lang w:val="es-MX"/>
        </w:rPr>
        <w:t>{{</w:t>
      </w:r>
      <w:r w:rsidRPr="00FB20DA">
        <w:rPr>
          <w:sz w:val="24"/>
          <w:szCs w:val="24"/>
          <w:lang w:val="es-MX"/>
        </w:rPr>
        <w:t>de Bellaigue 1974</w:t>
      </w:r>
      <w:r w:rsidR="005968ED" w:rsidRPr="00FB20DA">
        <w:rPr>
          <w:sz w:val="24"/>
          <w:szCs w:val="24"/>
          <w:lang w:val="es-MX"/>
        </w:rPr>
        <w:t>}}</w:t>
      </w:r>
      <w:r w:rsidRPr="00FB20DA">
        <w:rPr>
          <w:sz w:val="24"/>
          <w:szCs w:val="24"/>
          <w:lang w:val="es-MX"/>
        </w:rPr>
        <w:t>, vol. 1, 186</w:t>
      </w:r>
      <w:r w:rsidR="00F65261">
        <w:rPr>
          <w:sz w:val="24"/>
          <w:szCs w:val="24"/>
          <w:lang w:val="es-MX"/>
        </w:rPr>
        <w:t>–</w:t>
      </w:r>
      <w:r w:rsidRPr="00FB20DA">
        <w:rPr>
          <w:sz w:val="24"/>
          <w:szCs w:val="24"/>
          <w:lang w:val="es-MX"/>
        </w:rPr>
        <w:t>88, no. 39.</w:t>
      </w:r>
    </w:p>
  </w:endnote>
  <w:endnote w:id="8">
    <w:p w14:paraId="2DC2C41A" w14:textId="0AE8BFC2" w:rsidR="00496866" w:rsidRPr="00D00BE6" w:rsidRDefault="00496866" w:rsidP="009B7E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sidRPr="00B47AAA">
        <w:rPr>
          <w:rStyle w:val="FootnoteCharacters"/>
        </w:rPr>
        <w:endnoteRef/>
      </w:r>
      <w:r w:rsidRPr="00B47AAA">
        <w:t xml:space="preserve"> </w:t>
      </w:r>
      <w:r w:rsidR="005968ED">
        <w:rPr>
          <w:color w:val="32322F"/>
          <w:sz w:val="24"/>
          <w:szCs w:val="24"/>
          <w:lang w:val="en"/>
        </w:rPr>
        <w:t>{{</w:t>
      </w:r>
      <w:r w:rsidR="00D00BE6">
        <w:rPr>
          <w:sz w:val="24"/>
          <w:szCs w:val="24"/>
        </w:rPr>
        <w:t>Wolvesperges 2000</w:t>
      </w:r>
      <w:r w:rsidR="005968ED">
        <w:rPr>
          <w:sz w:val="24"/>
          <w:szCs w:val="24"/>
        </w:rPr>
        <w:t>}}</w:t>
      </w:r>
      <w:r w:rsidR="00D00BE6">
        <w:rPr>
          <w:sz w:val="24"/>
          <w:szCs w:val="24"/>
        </w:rPr>
        <w:t xml:space="preserve">, 12, fig. 4. </w:t>
      </w:r>
    </w:p>
  </w:endnote>
  <w:endnote w:id="9">
    <w:p w14:paraId="23E9D816" w14:textId="5C561E62" w:rsidR="00496866" w:rsidRPr="00B47AAA" w:rsidRDefault="00496866" w:rsidP="009B7EB6">
      <w:pPr>
        <w:pStyle w:val="EndnoteText"/>
        <w:spacing w:line="480" w:lineRule="auto"/>
        <w:rPr>
          <w:sz w:val="24"/>
          <w:szCs w:val="24"/>
        </w:rPr>
      </w:pPr>
      <w:r w:rsidRPr="00B47AAA">
        <w:rPr>
          <w:rStyle w:val="EndnoteReference"/>
        </w:rPr>
        <w:endnoteRef/>
      </w:r>
      <w:r w:rsidRPr="00B47AAA">
        <w:t xml:space="preserve"> </w:t>
      </w:r>
      <w:r w:rsidR="005968ED">
        <w:rPr>
          <w:color w:val="32322F"/>
          <w:sz w:val="24"/>
          <w:szCs w:val="24"/>
          <w:lang w:val="en"/>
        </w:rPr>
        <w:t>{{</w:t>
      </w:r>
      <w:r w:rsidRPr="00B47AAA">
        <w:rPr>
          <w:sz w:val="24"/>
          <w:szCs w:val="24"/>
        </w:rPr>
        <w:t>Birioukova 1974</w:t>
      </w:r>
      <w:r w:rsidR="005968ED">
        <w:rPr>
          <w:sz w:val="24"/>
          <w:szCs w:val="24"/>
        </w:rPr>
        <w:t>}}</w:t>
      </w:r>
      <w:r w:rsidRPr="00B47AAA">
        <w:rPr>
          <w:sz w:val="24"/>
          <w:szCs w:val="24"/>
        </w:rPr>
        <w:t xml:space="preserve">, 189, no. 93 (inv. no. MB 434). </w:t>
      </w:r>
      <w:r w:rsidR="005968ED" w:rsidRPr="00217DD4">
        <w:rPr>
          <w:sz w:val="24"/>
          <w:szCs w:val="24"/>
        </w:rPr>
        <w:t>{{</w:t>
      </w:r>
      <w:r w:rsidR="00217DD4">
        <w:rPr>
          <w:sz w:val="24"/>
          <w:szCs w:val="24"/>
        </w:rPr>
        <w:t>Rappe</w:t>
      </w:r>
      <w:r w:rsidRPr="00B47AAA">
        <w:rPr>
          <w:i/>
          <w:iCs/>
          <w:sz w:val="24"/>
          <w:szCs w:val="24"/>
        </w:rPr>
        <w:t xml:space="preserve"> </w:t>
      </w:r>
      <w:r w:rsidRPr="00B47AAA">
        <w:rPr>
          <w:iCs/>
          <w:sz w:val="24"/>
          <w:szCs w:val="24"/>
        </w:rPr>
        <w:t>2016</w:t>
      </w:r>
      <w:r w:rsidR="005968ED">
        <w:rPr>
          <w:iCs/>
          <w:sz w:val="24"/>
          <w:szCs w:val="24"/>
        </w:rPr>
        <w:t>}}</w:t>
      </w:r>
      <w:r w:rsidRPr="00B47AAA">
        <w:rPr>
          <w:sz w:val="24"/>
          <w:szCs w:val="24"/>
        </w:rPr>
        <w:t>, 52, no. 14.</w:t>
      </w:r>
    </w:p>
  </w:endnote>
  <w:endnote w:id="10">
    <w:p w14:paraId="5D139823" w14:textId="6ED8817F" w:rsidR="00496866" w:rsidRPr="00B47AAA" w:rsidRDefault="00496866" w:rsidP="00D00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pPr>
      <w:r w:rsidRPr="00B47AAA">
        <w:rPr>
          <w:rStyle w:val="FootnoteCharacters"/>
        </w:rPr>
        <w:endnoteRef/>
      </w:r>
      <w:r w:rsidRPr="00B47AAA">
        <w:t xml:space="preserve"> </w:t>
      </w:r>
      <w:r w:rsidRPr="00B47AAA">
        <w:rPr>
          <w:sz w:val="24"/>
          <w:szCs w:val="24"/>
        </w:rPr>
        <w:t xml:space="preserve">See a single double-door corner cupboard set with a shaped panel of Japanese lacquer and bearing mounts found on other pieces stamped by </w:t>
      </w:r>
      <w:r w:rsidR="00F65261">
        <w:rPr>
          <w:sz w:val="24"/>
          <w:szCs w:val="24"/>
        </w:rPr>
        <w:t>V</w:t>
      </w:r>
      <w:r w:rsidRPr="00B47AAA">
        <w:rPr>
          <w:sz w:val="24"/>
          <w:szCs w:val="24"/>
        </w:rPr>
        <w:t xml:space="preserve">an Risenburgh and securely attributed to him in </w:t>
      </w:r>
      <w:r w:rsidR="005968ED">
        <w:rPr>
          <w:sz w:val="24"/>
          <w:szCs w:val="24"/>
        </w:rPr>
        <w:t>{{</w:t>
      </w:r>
      <w:r w:rsidRPr="00B47AAA">
        <w:rPr>
          <w:sz w:val="24"/>
          <w:szCs w:val="24"/>
        </w:rPr>
        <w:t>Jullian 1962</w:t>
      </w:r>
      <w:r w:rsidR="005968ED">
        <w:rPr>
          <w:sz w:val="24"/>
          <w:szCs w:val="24"/>
        </w:rPr>
        <w:t>}}</w:t>
      </w:r>
      <w:r w:rsidRPr="00B47AAA">
        <w:rPr>
          <w:sz w:val="24"/>
          <w:szCs w:val="24"/>
        </w:rPr>
        <w:t>, 46, fig. 6. Present location unknown.</w:t>
      </w:r>
    </w:p>
  </w:endnote>
  <w:endnote w:id="11">
    <w:p w14:paraId="53C04FE1" w14:textId="5875118C" w:rsidR="00496866" w:rsidRPr="00B47AAA" w:rsidRDefault="00496866" w:rsidP="009B7EB6">
      <w:pPr>
        <w:pStyle w:val="EndnoteText"/>
        <w:spacing w:line="480" w:lineRule="auto"/>
      </w:pPr>
      <w:r w:rsidRPr="00B47AAA">
        <w:rPr>
          <w:rStyle w:val="FootnoteCharacters"/>
        </w:rPr>
        <w:endnoteRef/>
      </w:r>
      <w:r w:rsidRPr="00B47AAA">
        <w:t xml:space="preserve"> </w:t>
      </w:r>
      <w:r w:rsidRPr="00B47AAA">
        <w:rPr>
          <w:sz w:val="24"/>
          <w:szCs w:val="24"/>
        </w:rPr>
        <w:t>Conversation with Oliver Impey, October 1992</w:t>
      </w:r>
      <w:r w:rsidR="00ED3540">
        <w:rPr>
          <w:sz w:val="24"/>
          <w:szCs w:val="24"/>
        </w:rPr>
        <w:t>, n</w:t>
      </w:r>
      <w:r w:rsidRPr="00B47AAA">
        <w:rPr>
          <w:sz w:val="24"/>
          <w:szCs w:val="24"/>
        </w:rPr>
        <w:t>otes in the file</w:t>
      </w:r>
      <w:r w:rsidR="00F65261">
        <w:rPr>
          <w:sz w:val="24"/>
          <w:szCs w:val="24"/>
        </w:rPr>
        <w:t>s</w:t>
      </w:r>
      <w:r w:rsidRPr="00B47AAA">
        <w:rPr>
          <w:sz w:val="24"/>
          <w:szCs w:val="24"/>
        </w:rPr>
        <w:t xml:space="preserve"> of the Sculpture and Decorative Arts</w:t>
      </w:r>
      <w:r w:rsidR="00A61AC3">
        <w:rPr>
          <w:sz w:val="24"/>
          <w:szCs w:val="24"/>
        </w:rPr>
        <w:t xml:space="preserve"> Department</w:t>
      </w:r>
      <w:r w:rsidRPr="00B47AAA">
        <w:rPr>
          <w:sz w:val="24"/>
          <w:szCs w:val="24"/>
        </w:rPr>
        <w:t>, J. Paul Getty Museum.</w:t>
      </w:r>
    </w:p>
  </w:endnote>
  <w:endnote w:id="12">
    <w:p w14:paraId="13C54A6D" w14:textId="7AE857D3" w:rsidR="00496866" w:rsidRPr="00B47AAA" w:rsidRDefault="00496866" w:rsidP="00B81901">
      <w:pPr>
        <w:spacing w:after="0" w:line="480" w:lineRule="auto"/>
      </w:pPr>
      <w:r w:rsidRPr="00B47AAA">
        <w:rPr>
          <w:rStyle w:val="FootnoteCharacters"/>
        </w:rPr>
        <w:endnoteRef/>
      </w:r>
      <w:r w:rsidRPr="00B47AAA">
        <w:t xml:space="preserve"> </w:t>
      </w:r>
      <w:r w:rsidR="00C35096">
        <w:t xml:space="preserve"> </w:t>
      </w:r>
      <w:r w:rsidR="00C35096" w:rsidRPr="00C35096">
        <w:rPr>
          <w:sz w:val="24"/>
          <w:szCs w:val="24"/>
        </w:rPr>
        <w:t xml:space="preserve">See </w:t>
      </w:r>
      <w:r w:rsidR="005968ED">
        <w:rPr>
          <w:color w:val="32322F"/>
          <w:sz w:val="24"/>
          <w:szCs w:val="24"/>
          <w:lang w:val="en"/>
        </w:rPr>
        <w:t>{{</w:t>
      </w:r>
      <w:r w:rsidRPr="00B47AAA">
        <w:rPr>
          <w:sz w:val="24"/>
          <w:szCs w:val="24"/>
        </w:rPr>
        <w:t>Wolvesperges 2000</w:t>
      </w:r>
      <w:r w:rsidR="005968ED">
        <w:rPr>
          <w:sz w:val="24"/>
          <w:szCs w:val="24"/>
        </w:rPr>
        <w:t>}}</w:t>
      </w:r>
      <w:r w:rsidRPr="00B47AAA">
        <w:rPr>
          <w:sz w:val="24"/>
          <w:szCs w:val="24"/>
        </w:rPr>
        <w:t xml:space="preserve">, 33, fig. 15, for a pair of cabinets without stands, in their original form. Sold, </w:t>
      </w:r>
      <w:r w:rsidR="00B81901" w:rsidRPr="00476E50">
        <w:rPr>
          <w:sz w:val="24"/>
          <w:szCs w:val="24"/>
        </w:rPr>
        <w:t>Christie</w:t>
      </w:r>
      <w:r w:rsidR="00B81901">
        <w:rPr>
          <w:sz w:val="24"/>
          <w:szCs w:val="24"/>
        </w:rPr>
        <w:t>’</w:t>
      </w:r>
      <w:r w:rsidR="00B81901" w:rsidRPr="00476E50">
        <w:rPr>
          <w:sz w:val="24"/>
          <w:szCs w:val="24"/>
        </w:rPr>
        <w:t>s</w:t>
      </w:r>
      <w:r w:rsidR="00B81901">
        <w:rPr>
          <w:sz w:val="24"/>
          <w:szCs w:val="24"/>
        </w:rPr>
        <w:t>,</w:t>
      </w:r>
      <w:r w:rsidR="00B81901" w:rsidRPr="00476E50">
        <w:rPr>
          <w:sz w:val="24"/>
          <w:szCs w:val="24"/>
        </w:rPr>
        <w:t xml:space="preserve"> </w:t>
      </w:r>
      <w:r w:rsidR="00B81901" w:rsidRPr="00476E50">
        <w:rPr>
          <w:i/>
          <w:sz w:val="24"/>
          <w:szCs w:val="24"/>
        </w:rPr>
        <w:t>Export Art of China and Japan, April 7, 1997</w:t>
      </w:r>
      <w:r w:rsidR="00B81901" w:rsidRPr="00476E50">
        <w:rPr>
          <w:sz w:val="24"/>
          <w:szCs w:val="24"/>
        </w:rPr>
        <w:t xml:space="preserve"> </w:t>
      </w:r>
      <w:r w:rsidR="00B81901">
        <w:rPr>
          <w:sz w:val="24"/>
          <w:szCs w:val="24"/>
        </w:rPr>
        <w:t>(</w:t>
      </w:r>
      <w:r w:rsidR="00B81901" w:rsidRPr="00476E50">
        <w:rPr>
          <w:sz w:val="24"/>
          <w:szCs w:val="24"/>
        </w:rPr>
        <w:t>London: Christie</w:t>
      </w:r>
      <w:r w:rsidR="00B81901">
        <w:rPr>
          <w:sz w:val="24"/>
          <w:szCs w:val="24"/>
        </w:rPr>
        <w:t>’</w:t>
      </w:r>
      <w:r w:rsidR="00B81901" w:rsidRPr="00476E50">
        <w:rPr>
          <w:sz w:val="24"/>
          <w:szCs w:val="24"/>
        </w:rPr>
        <w:t>s, 1997</w:t>
      </w:r>
      <w:r w:rsidR="00B81901">
        <w:rPr>
          <w:sz w:val="24"/>
          <w:szCs w:val="24"/>
        </w:rPr>
        <w:t>)</w:t>
      </w:r>
      <w:r w:rsidR="00217DD4">
        <w:rPr>
          <w:sz w:val="24"/>
          <w:szCs w:val="24"/>
        </w:rPr>
        <w:t xml:space="preserve">, </w:t>
      </w:r>
      <w:r w:rsidR="00217DD4" w:rsidRPr="00B47AAA">
        <w:rPr>
          <w:sz w:val="24"/>
          <w:szCs w:val="24"/>
        </w:rPr>
        <w:t>lot 164 (68.1 x 42.7 x 52.7 cm).</w:t>
      </w:r>
      <w:r w:rsidR="00B81901">
        <w:rPr>
          <w:sz w:val="24"/>
          <w:szCs w:val="24"/>
        </w:rPr>
        <w:t xml:space="preserve"> </w:t>
      </w:r>
      <w:r w:rsidRPr="00B47AAA">
        <w:rPr>
          <w:sz w:val="24"/>
          <w:szCs w:val="24"/>
        </w:rPr>
        <w:t>See also a cabinet-on-stand at Rosenborg Castle, Copenhagen</w:t>
      </w:r>
      <w:r w:rsidR="00F65261">
        <w:rPr>
          <w:sz w:val="24"/>
          <w:szCs w:val="24"/>
        </w:rPr>
        <w:t>,</w:t>
      </w:r>
      <w:r w:rsidRPr="00B47AAA">
        <w:rPr>
          <w:sz w:val="24"/>
          <w:szCs w:val="24"/>
        </w:rPr>
        <w:t xml:space="preserve"> for the type of model that may well have been used. The doors with six hinges each are painted with watery and rocky landscapes. See </w:t>
      </w:r>
      <w:r w:rsidR="005968ED">
        <w:rPr>
          <w:sz w:val="24"/>
          <w:szCs w:val="24"/>
        </w:rPr>
        <w:t>{{</w:t>
      </w:r>
      <w:r w:rsidRPr="00B47AAA">
        <w:rPr>
          <w:sz w:val="24"/>
          <w:szCs w:val="24"/>
        </w:rPr>
        <w:t>Impey and Jörg 2005</w:t>
      </w:r>
      <w:r w:rsidR="005968ED">
        <w:rPr>
          <w:sz w:val="24"/>
          <w:szCs w:val="24"/>
        </w:rPr>
        <w:t>}}</w:t>
      </w:r>
      <w:r w:rsidRPr="00B47AAA">
        <w:rPr>
          <w:sz w:val="24"/>
          <w:szCs w:val="24"/>
        </w:rPr>
        <w:t>, 134, fig. 269, where the cabinet is dated about 1640</w:t>
      </w:r>
      <w:r w:rsidR="00F65261">
        <w:rPr>
          <w:sz w:val="24"/>
          <w:szCs w:val="24"/>
        </w:rPr>
        <w:t>–</w:t>
      </w:r>
      <w:r w:rsidRPr="00B47AAA">
        <w:rPr>
          <w:sz w:val="24"/>
          <w:szCs w:val="24"/>
        </w:rPr>
        <w:t>90.</w:t>
      </w:r>
    </w:p>
  </w:endnote>
  <w:endnote w:id="13">
    <w:p w14:paraId="12C4E95A" w14:textId="57004F8A" w:rsidR="00496866" w:rsidRPr="00B47AAA" w:rsidRDefault="00496866" w:rsidP="009B7EB6">
      <w:pPr>
        <w:pStyle w:val="EndnoteText"/>
        <w:spacing w:line="480" w:lineRule="auto"/>
      </w:pPr>
      <w:r w:rsidRPr="00B47AAA">
        <w:rPr>
          <w:rStyle w:val="FootnoteCharacters"/>
        </w:rPr>
        <w:endnoteRef/>
      </w:r>
      <w:r w:rsidRPr="00B47AAA">
        <w:t xml:space="preserve"> </w:t>
      </w:r>
      <w:r w:rsidR="005968ED">
        <w:rPr>
          <w:color w:val="32322F"/>
          <w:sz w:val="24"/>
          <w:szCs w:val="24"/>
          <w:lang w:val="en"/>
        </w:rPr>
        <w:t>{{</w:t>
      </w:r>
      <w:r w:rsidRPr="00B47AAA">
        <w:rPr>
          <w:sz w:val="24"/>
          <w:szCs w:val="24"/>
        </w:rPr>
        <w:t>Sargentson 1996</w:t>
      </w:r>
      <w:r w:rsidR="005968ED">
        <w:rPr>
          <w:sz w:val="24"/>
          <w:szCs w:val="24"/>
        </w:rPr>
        <w:t>}}</w:t>
      </w:r>
      <w:r w:rsidRPr="00B47AAA">
        <w:rPr>
          <w:sz w:val="24"/>
          <w:szCs w:val="24"/>
        </w:rPr>
        <w:t>, 80, pl. 46.</w:t>
      </w:r>
    </w:p>
  </w:endnote>
  <w:endnote w:id="14">
    <w:p w14:paraId="2738EC8D" w14:textId="04C3CC29" w:rsidR="00496866" w:rsidRPr="00B47AAA" w:rsidRDefault="00496866" w:rsidP="00B81901">
      <w:pPr>
        <w:spacing w:after="0" w:line="480" w:lineRule="auto"/>
      </w:pPr>
      <w:r w:rsidRPr="00B47AAA">
        <w:rPr>
          <w:rStyle w:val="FootnoteCharacters"/>
        </w:rPr>
        <w:endnoteRef/>
      </w:r>
      <w:r w:rsidRPr="00B47AAA">
        <w:t xml:space="preserve"> </w:t>
      </w:r>
      <w:r w:rsidR="00B81901" w:rsidRPr="00476E50">
        <w:rPr>
          <w:sz w:val="24"/>
          <w:szCs w:val="24"/>
        </w:rPr>
        <w:t>Hôtel des ventes Neuilly</w:t>
      </w:r>
      <w:r w:rsidR="00B81901">
        <w:rPr>
          <w:sz w:val="24"/>
          <w:szCs w:val="24"/>
        </w:rPr>
        <w:t>,</w:t>
      </w:r>
      <w:r w:rsidR="00B81901" w:rsidRPr="00476E50">
        <w:rPr>
          <w:sz w:val="24"/>
          <w:szCs w:val="24"/>
        </w:rPr>
        <w:t xml:space="preserve"> </w:t>
      </w:r>
      <w:r w:rsidR="00B81901" w:rsidRPr="00476E50">
        <w:rPr>
          <w:i/>
          <w:sz w:val="24"/>
          <w:szCs w:val="24"/>
        </w:rPr>
        <w:t>Tableaux anciens et XIXe siècle, bijoux, argenterie, objets d'art et de très bel ameublement des XVIIIe et XIXe siècles, May 10, 1993</w:t>
      </w:r>
      <w:r w:rsidR="00B81901" w:rsidRPr="00476E50">
        <w:rPr>
          <w:sz w:val="24"/>
          <w:szCs w:val="24"/>
        </w:rPr>
        <w:t xml:space="preserve"> </w:t>
      </w:r>
      <w:r w:rsidR="00B81901">
        <w:rPr>
          <w:sz w:val="24"/>
          <w:szCs w:val="24"/>
        </w:rPr>
        <w:t>(</w:t>
      </w:r>
      <w:r w:rsidR="00B81901" w:rsidRPr="00476E50">
        <w:rPr>
          <w:sz w:val="24"/>
          <w:szCs w:val="24"/>
        </w:rPr>
        <w:t>Paris: Hôtel des ventes Neuilly, 1993</w:t>
      </w:r>
      <w:r w:rsidR="00B81901">
        <w:rPr>
          <w:sz w:val="24"/>
          <w:szCs w:val="24"/>
        </w:rPr>
        <w:t>),</w:t>
      </w:r>
      <w:r w:rsidRPr="00B47AAA">
        <w:rPr>
          <w:sz w:val="24"/>
          <w:szCs w:val="24"/>
        </w:rPr>
        <w:t xml:space="preserve"> lot 85. (H including stand: 131 x 72 x 47 cm).</w:t>
      </w:r>
    </w:p>
  </w:endnote>
  <w:endnote w:id="15">
    <w:p w14:paraId="4DD7A24E" w14:textId="41F849E2" w:rsidR="00496866" w:rsidRPr="00B47AAA" w:rsidRDefault="00496866" w:rsidP="009B7EB6">
      <w:pPr>
        <w:pStyle w:val="EndnoteText"/>
        <w:spacing w:line="480" w:lineRule="auto"/>
      </w:pPr>
      <w:r w:rsidRPr="00B47AAA">
        <w:rPr>
          <w:rStyle w:val="FootnoteCharacters"/>
        </w:rPr>
        <w:endnoteRef/>
      </w:r>
      <w:r w:rsidRPr="00B47AAA">
        <w:t xml:space="preserve"> </w:t>
      </w:r>
      <w:r w:rsidR="005968ED">
        <w:rPr>
          <w:color w:val="32322F"/>
          <w:sz w:val="24"/>
          <w:szCs w:val="24"/>
          <w:lang w:val="en"/>
        </w:rPr>
        <w:t>{{</w:t>
      </w:r>
      <w:r w:rsidRPr="00B47AAA">
        <w:rPr>
          <w:sz w:val="24"/>
          <w:szCs w:val="24"/>
        </w:rPr>
        <w:t>Sargentson 1996</w:t>
      </w:r>
      <w:r w:rsidR="005968ED">
        <w:rPr>
          <w:sz w:val="24"/>
          <w:szCs w:val="24"/>
        </w:rPr>
        <w:t>}}</w:t>
      </w:r>
      <w:r w:rsidRPr="00B47AAA">
        <w:rPr>
          <w:sz w:val="24"/>
          <w:szCs w:val="24"/>
        </w:rPr>
        <w:t>, 81, pl. 47.</w:t>
      </w:r>
    </w:p>
  </w:endnote>
  <w:endnote w:id="16">
    <w:p w14:paraId="647A764E" w14:textId="3BED7719" w:rsidR="00496866" w:rsidRPr="00D00BE6" w:rsidRDefault="00496866" w:rsidP="00D00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sidRPr="00B47AAA">
        <w:rPr>
          <w:rStyle w:val="FootnoteCharacters"/>
        </w:rPr>
        <w:endnoteRef/>
      </w:r>
      <w:r w:rsidRPr="00B47AAA">
        <w:t xml:space="preserve"> </w:t>
      </w:r>
      <w:r w:rsidRPr="00B47AAA">
        <w:rPr>
          <w:sz w:val="24"/>
          <w:szCs w:val="24"/>
        </w:rPr>
        <w:t xml:space="preserve">For a detailed account of the import of lacquer into France, the activities of the French East Indies Company, the </w:t>
      </w:r>
      <w:r w:rsidRPr="00B47AAA">
        <w:rPr>
          <w:i/>
          <w:sz w:val="24"/>
          <w:szCs w:val="24"/>
        </w:rPr>
        <w:t>marchand</w:t>
      </w:r>
      <w:r w:rsidR="00C35096">
        <w:rPr>
          <w:i/>
          <w:sz w:val="24"/>
          <w:szCs w:val="24"/>
        </w:rPr>
        <w:t>-</w:t>
      </w:r>
      <w:r w:rsidRPr="00B47AAA">
        <w:rPr>
          <w:i/>
          <w:sz w:val="24"/>
          <w:szCs w:val="24"/>
        </w:rPr>
        <w:t>merciers</w:t>
      </w:r>
      <w:r w:rsidRPr="00B47AAA">
        <w:rPr>
          <w:sz w:val="24"/>
          <w:szCs w:val="24"/>
        </w:rPr>
        <w:t xml:space="preserve"> who bought the lacquer and the cabinetmakers who worked with it, see </w:t>
      </w:r>
      <w:r w:rsidR="005968ED">
        <w:rPr>
          <w:sz w:val="24"/>
          <w:szCs w:val="24"/>
        </w:rPr>
        <w:t>{{</w:t>
      </w:r>
      <w:r w:rsidRPr="00B47AAA">
        <w:rPr>
          <w:sz w:val="24"/>
          <w:szCs w:val="24"/>
        </w:rPr>
        <w:t>Wolvesperges 2000</w:t>
      </w:r>
      <w:r w:rsidR="005968ED">
        <w:rPr>
          <w:sz w:val="24"/>
          <w:szCs w:val="24"/>
        </w:rPr>
        <w:t>}}</w:t>
      </w:r>
      <w:r w:rsidR="00F65261">
        <w:rPr>
          <w:sz w:val="24"/>
          <w:szCs w:val="24"/>
        </w:rPr>
        <w:t>;</w:t>
      </w:r>
      <w:r w:rsidRPr="00B47AAA">
        <w:rPr>
          <w:sz w:val="24"/>
          <w:szCs w:val="24"/>
        </w:rPr>
        <w:t xml:space="preserve"> </w:t>
      </w:r>
      <w:r w:rsidR="005968ED">
        <w:rPr>
          <w:sz w:val="24"/>
          <w:szCs w:val="24"/>
        </w:rPr>
        <w:t>{{</w:t>
      </w:r>
      <w:r w:rsidRPr="00B47AAA">
        <w:rPr>
          <w:sz w:val="24"/>
          <w:szCs w:val="24"/>
        </w:rPr>
        <w:t>Impey and Jörg 2005</w:t>
      </w:r>
      <w:r w:rsidR="005968ED">
        <w:rPr>
          <w:sz w:val="24"/>
          <w:szCs w:val="24"/>
        </w:rPr>
        <w:t>}}</w:t>
      </w:r>
      <w:r w:rsidRPr="00B47AAA">
        <w:rPr>
          <w:sz w:val="24"/>
          <w:szCs w:val="24"/>
        </w:rPr>
        <w:t xml:space="preserve">. See also </w:t>
      </w:r>
      <w:r w:rsidR="005968ED">
        <w:rPr>
          <w:sz w:val="24"/>
          <w:szCs w:val="24"/>
        </w:rPr>
        <w:t>{{</w:t>
      </w:r>
      <w:r w:rsidRPr="00B47AAA">
        <w:rPr>
          <w:sz w:val="24"/>
          <w:szCs w:val="24"/>
        </w:rPr>
        <w:t>Vittet 2009</w:t>
      </w:r>
      <w:r w:rsidR="005968ED">
        <w:rPr>
          <w:sz w:val="24"/>
          <w:szCs w:val="24"/>
        </w:rPr>
        <w:t>}}</w:t>
      </w:r>
      <w:r w:rsidRPr="00B47AAA">
        <w:rPr>
          <w:sz w:val="24"/>
          <w:szCs w:val="24"/>
        </w:rPr>
        <w:t>, 177</w:t>
      </w:r>
      <w:r w:rsidR="00C35096">
        <w:rPr>
          <w:sz w:val="24"/>
          <w:szCs w:val="24"/>
        </w:rPr>
        <w:t>–</w:t>
      </w:r>
      <w:r w:rsidRPr="00B47AAA">
        <w:rPr>
          <w:sz w:val="24"/>
          <w:szCs w:val="24"/>
        </w:rPr>
        <w:t>98.</w:t>
      </w:r>
    </w:p>
  </w:endnote>
  <w:endnote w:id="17">
    <w:p w14:paraId="70B382F7" w14:textId="0E7C51C1" w:rsidR="00B06891" w:rsidRDefault="00B06891" w:rsidP="00C35096">
      <w:pPr>
        <w:pStyle w:val="EndnoteText"/>
        <w:spacing w:line="480" w:lineRule="auto"/>
      </w:pPr>
      <w:r>
        <w:rPr>
          <w:rStyle w:val="EndnoteReference"/>
        </w:rPr>
        <w:endnoteRef/>
      </w:r>
      <w:r>
        <w:t xml:space="preserve"> </w:t>
      </w:r>
      <w:r w:rsidRPr="000968EE">
        <w:rPr>
          <w:color w:val="000000"/>
          <w:sz w:val="24"/>
          <w:szCs w:val="24"/>
        </w:rPr>
        <w:t xml:space="preserve">Memorandum from Frank Whitworth to Norris Bramlett, March 30, 1972, in the files of the Sculpture and Decorative Arts </w:t>
      </w:r>
      <w:r>
        <w:rPr>
          <w:color w:val="000000"/>
          <w:sz w:val="24"/>
          <w:szCs w:val="24"/>
        </w:rPr>
        <w:t>D</w:t>
      </w:r>
      <w:r w:rsidRPr="000968EE">
        <w:rPr>
          <w:color w:val="000000"/>
          <w:sz w:val="24"/>
          <w:szCs w:val="24"/>
        </w:rPr>
        <w:t>epartment, J. Paul Getty Museum.</w:t>
      </w:r>
    </w:p>
  </w:endnote>
  <w:endnote w:id="18">
    <w:p w14:paraId="491984B9" w14:textId="56829D21" w:rsidR="00D00BE6" w:rsidRPr="00FA52A6" w:rsidRDefault="00D00BE6" w:rsidP="00D00BE6">
      <w:pPr>
        <w:pStyle w:val="EndnoteText"/>
        <w:spacing w:line="480" w:lineRule="auto"/>
        <w:rPr>
          <w:i/>
          <w:sz w:val="22"/>
        </w:rPr>
      </w:pPr>
      <w:r w:rsidRPr="00FA52A6">
        <w:rPr>
          <w:rStyle w:val="EndnoteReference"/>
          <w:sz w:val="22"/>
        </w:rPr>
        <w:endnoteRef/>
      </w:r>
      <w:r w:rsidRPr="00FA52A6">
        <w:rPr>
          <w:sz w:val="22"/>
        </w:rPr>
        <w:t xml:space="preserve"> </w:t>
      </w:r>
      <w:r w:rsidRPr="00D00BE6">
        <w:rPr>
          <w:sz w:val="24"/>
          <w:szCs w:val="24"/>
        </w:rPr>
        <w:t xml:space="preserve">For images of related Japanese cabinets and a discussion of dating styles, see </w:t>
      </w:r>
      <w:r w:rsidR="00F85E39">
        <w:rPr>
          <w:sz w:val="24"/>
          <w:szCs w:val="24"/>
        </w:rPr>
        <w:t>{{</w:t>
      </w:r>
      <w:r w:rsidRPr="00D00BE6">
        <w:rPr>
          <w:sz w:val="24"/>
          <w:szCs w:val="24"/>
        </w:rPr>
        <w:t>Impey</w:t>
      </w:r>
      <w:r w:rsidR="00F85E39">
        <w:rPr>
          <w:sz w:val="24"/>
          <w:szCs w:val="24"/>
        </w:rPr>
        <w:t xml:space="preserve"> </w:t>
      </w:r>
      <w:r w:rsidRPr="00D00BE6">
        <w:rPr>
          <w:sz w:val="24"/>
          <w:szCs w:val="24"/>
        </w:rPr>
        <w:t xml:space="preserve">and </w:t>
      </w:r>
      <w:r w:rsidR="00F85E39">
        <w:rPr>
          <w:sz w:val="24"/>
          <w:szCs w:val="24"/>
        </w:rPr>
        <w:t>Jorg</w:t>
      </w:r>
      <w:r w:rsidRPr="00D00BE6">
        <w:rPr>
          <w:sz w:val="24"/>
          <w:szCs w:val="24"/>
        </w:rPr>
        <w:t xml:space="preserve"> 2005</w:t>
      </w:r>
      <w:r w:rsidR="00F85E39">
        <w:rPr>
          <w:sz w:val="24"/>
          <w:szCs w:val="24"/>
        </w:rPr>
        <w:t>}}.</w:t>
      </w:r>
    </w:p>
  </w:endnote>
  <w:endnote w:id="19">
    <w:p w14:paraId="730586BE" w14:textId="44B0DF1F" w:rsidR="00D00BE6" w:rsidRPr="00FA52A6" w:rsidRDefault="00D00BE6" w:rsidP="00D00BE6">
      <w:pPr>
        <w:pStyle w:val="EndnoteText"/>
        <w:spacing w:line="480" w:lineRule="auto"/>
        <w:rPr>
          <w:sz w:val="22"/>
        </w:rPr>
      </w:pPr>
      <w:r w:rsidRPr="00FA52A6">
        <w:rPr>
          <w:rStyle w:val="EndnoteReference"/>
          <w:sz w:val="22"/>
        </w:rPr>
        <w:endnoteRef/>
      </w:r>
      <w:r w:rsidRPr="00FA52A6">
        <w:rPr>
          <w:sz w:val="22"/>
        </w:rPr>
        <w:t xml:space="preserve"> </w:t>
      </w:r>
      <w:r w:rsidRPr="00D00BE6">
        <w:rPr>
          <w:sz w:val="24"/>
          <w:szCs w:val="24"/>
        </w:rPr>
        <w:t>For a comprehensive discussion of Japanese lacquer techniques</w:t>
      </w:r>
      <w:r w:rsidR="00F65261">
        <w:rPr>
          <w:sz w:val="24"/>
          <w:szCs w:val="24"/>
        </w:rPr>
        <w:t>,</w:t>
      </w:r>
      <w:r w:rsidRPr="00D00BE6">
        <w:rPr>
          <w:sz w:val="24"/>
          <w:szCs w:val="24"/>
        </w:rPr>
        <w:t xml:space="preserve"> see </w:t>
      </w:r>
      <w:r w:rsidR="00F85E39">
        <w:rPr>
          <w:sz w:val="24"/>
          <w:szCs w:val="24"/>
        </w:rPr>
        <w:t>{{</w:t>
      </w:r>
      <w:r w:rsidRPr="00D00BE6">
        <w:rPr>
          <w:sz w:val="24"/>
          <w:szCs w:val="24"/>
        </w:rPr>
        <w:t>Heckmann</w:t>
      </w:r>
      <w:r w:rsidR="00F85E39">
        <w:rPr>
          <w:sz w:val="24"/>
          <w:szCs w:val="24"/>
        </w:rPr>
        <w:t xml:space="preserve"> </w:t>
      </w:r>
      <w:r w:rsidRPr="00D00BE6">
        <w:rPr>
          <w:sz w:val="24"/>
          <w:szCs w:val="24"/>
        </w:rPr>
        <w:t>2002</w:t>
      </w:r>
      <w:r w:rsidR="00F85E39">
        <w:rPr>
          <w:sz w:val="24"/>
          <w:szCs w:val="24"/>
        </w:rPr>
        <w:t>}}.</w:t>
      </w:r>
    </w:p>
  </w:endnote>
  <w:endnote w:id="20">
    <w:p w14:paraId="360F298D" w14:textId="391FB310" w:rsidR="00D00BE6" w:rsidRPr="00FA52A6" w:rsidRDefault="00D00BE6" w:rsidP="00D00BE6">
      <w:pPr>
        <w:pStyle w:val="EndnoteText"/>
        <w:spacing w:line="480" w:lineRule="auto"/>
        <w:rPr>
          <w:sz w:val="22"/>
        </w:rPr>
      </w:pPr>
      <w:r w:rsidRPr="00FA52A6">
        <w:rPr>
          <w:rStyle w:val="EndnoteReference"/>
          <w:sz w:val="22"/>
        </w:rPr>
        <w:endnoteRef/>
      </w:r>
      <w:r w:rsidRPr="00FA52A6">
        <w:rPr>
          <w:sz w:val="22"/>
        </w:rPr>
        <w:t xml:space="preserve"> </w:t>
      </w:r>
      <w:r w:rsidRPr="00D00BE6">
        <w:rPr>
          <w:sz w:val="24"/>
          <w:szCs w:val="24"/>
        </w:rPr>
        <w:t xml:space="preserve">The high silver content of this gold powder was confirmed by energy dispersive </w:t>
      </w:r>
      <w:r w:rsidR="00C35096">
        <w:rPr>
          <w:sz w:val="24"/>
          <w:szCs w:val="24"/>
        </w:rPr>
        <w:t>X</w:t>
      </w:r>
      <w:r w:rsidRPr="00D00BE6">
        <w:rPr>
          <w:sz w:val="24"/>
          <w:szCs w:val="24"/>
        </w:rPr>
        <w:t>-ray spectroscopy (EDS).</w:t>
      </w:r>
    </w:p>
  </w:endnote>
  <w:endnote w:id="21">
    <w:p w14:paraId="7EB9C9E1" w14:textId="6B745B75" w:rsidR="00D00BE6" w:rsidRDefault="00D00BE6" w:rsidP="00D00BE6">
      <w:pPr>
        <w:pStyle w:val="EndnoteText"/>
        <w:spacing w:line="480" w:lineRule="auto"/>
      </w:pPr>
      <w:r>
        <w:rPr>
          <w:rStyle w:val="EndnoteReference"/>
        </w:rPr>
        <w:endnoteRef/>
      </w:r>
      <w:r w:rsidRPr="00D00BE6">
        <w:rPr>
          <w:sz w:val="24"/>
          <w:szCs w:val="24"/>
        </w:rPr>
        <w:t xml:space="preserve"> </w:t>
      </w:r>
      <w:r w:rsidRPr="00D00BE6">
        <w:rPr>
          <w:sz w:val="24"/>
          <w:szCs w:val="24"/>
        </w:rPr>
        <w:fldChar w:fldCharType="begin"/>
      </w:r>
      <w:r w:rsidRPr="00D00BE6">
        <w:rPr>
          <w:sz w:val="24"/>
          <w:szCs w:val="24"/>
        </w:rPr>
        <w:instrText xml:space="preserve"> ADDIN ZOTERO_ITEM CSL_CITATION {"citationID":"tdM2d7NV","properties":{"formattedCitation":"See discussion in Heginbotham and Schilling, \\uc0\\u8220{}New Evidence for the Use of Southeast Asian Raw Materials in Seventeenth Century Japanese Export Lacquer.\\uc0\\u8221{}","plainCitation":"See discussion in Heginbotham and Schilling, “New Evidence for the Use of Southeast Asian Raw Materials in Seventeenth Century Japanese Export Lacquer.”","noteIndex":1},"citationItems":[{"id":2885,"uris":["http://zotero.org/groups/710584/items/C4SS9T5V"],"uri":["http://zotero.org/groups/710584/items/C4SS9T5V"],"itemData":{"id":2885,"type":"chapter","title":"New evidence for the use of Southeast Asian raw materials in seventeenth century Japanese export lacquer.","container-title":"East Asian Lacquer: Material Culture, Science and Conservation","publisher":"Archetype","publisher-place":"London","event-place":"London","shortTitle":"New evidence for the use of Southeast Asian raw materials in seventeenth century Japanese export lacquer.","editor":[{"family":"Rivers","given":"Shayne"},{"family":"Faulkner","given":"Rupert"},{"family":"Pretzel","given":"Boris"}],"author":[{"family":"Heginbotham","given":"Arlen"},{"family":"Schilling","given":"Michael"}],"issued":{"date-parts":[["2011"]]}},"prefix":"See discussion in "}],"schema":"https://github.com/citation-style-language/schema/raw/master/csl-citation.json"} </w:instrText>
      </w:r>
      <w:r w:rsidRPr="00D00BE6">
        <w:rPr>
          <w:sz w:val="24"/>
          <w:szCs w:val="24"/>
        </w:rPr>
        <w:fldChar w:fldCharType="separate"/>
      </w:r>
      <w:r w:rsidRPr="00D00BE6">
        <w:rPr>
          <w:sz w:val="24"/>
          <w:szCs w:val="24"/>
        </w:rPr>
        <w:t xml:space="preserve">See discussion </w:t>
      </w:r>
      <w:r w:rsidR="00F85E39">
        <w:rPr>
          <w:sz w:val="24"/>
          <w:szCs w:val="24"/>
        </w:rPr>
        <w:t>in {{Heginbotham and Schilling 2011}}.</w:t>
      </w:r>
      <w:r w:rsidRPr="00D00BE6">
        <w:rPr>
          <w:sz w:val="24"/>
          <w:szCs w:val="24"/>
        </w:rPr>
        <w:fldChar w:fldCharType="end"/>
      </w:r>
    </w:p>
  </w:endnote>
  <w:endnote w:id="22">
    <w:p w14:paraId="3882BDC4" w14:textId="009B8BC7" w:rsidR="00D00BE6" w:rsidRDefault="00D00BE6" w:rsidP="00D00BE6">
      <w:pPr>
        <w:pStyle w:val="EndnoteText"/>
        <w:spacing w:line="480" w:lineRule="auto"/>
      </w:pPr>
      <w:r>
        <w:rPr>
          <w:rStyle w:val="EndnoteReference"/>
        </w:rPr>
        <w:endnoteRef/>
      </w:r>
      <w:r>
        <w:t xml:space="preserve"> </w:t>
      </w:r>
      <w:r w:rsidR="00F85E39">
        <w:rPr>
          <w:sz w:val="24"/>
          <w:szCs w:val="24"/>
        </w:rPr>
        <w:t>{{</w:t>
      </w:r>
      <w:r w:rsidRPr="00D00BE6">
        <w:rPr>
          <w:sz w:val="24"/>
          <w:szCs w:val="24"/>
        </w:rPr>
        <w:t>Heginbotham et al. 2016</w:t>
      </w:r>
      <w:r w:rsidR="00F85E39">
        <w:rPr>
          <w:sz w:val="24"/>
          <w:szCs w:val="24"/>
        </w:rPr>
        <w:t>}}</w:t>
      </w:r>
      <w:r w:rsidRPr="00D00BE6">
        <w:rPr>
          <w:sz w:val="24"/>
          <w:szCs w:val="24"/>
        </w:rPr>
        <w:t>, 34</w:t>
      </w:r>
      <w:r w:rsidR="00C35096">
        <w:rPr>
          <w:sz w:val="24"/>
          <w:szCs w:val="24"/>
        </w:rPr>
        <w:t>–</w:t>
      </w:r>
      <w:r w:rsidRPr="00D00BE6">
        <w:rPr>
          <w:sz w:val="24"/>
          <w:szCs w:val="24"/>
        </w:rPr>
        <w:t>35.</w:t>
      </w:r>
      <w:r>
        <w:t xml:space="preserve"> </w:t>
      </w:r>
    </w:p>
  </w:endnote>
  <w:endnote w:id="23">
    <w:p w14:paraId="0AB6D9F4" w14:textId="3A55991D" w:rsidR="00D00BE6" w:rsidRDefault="00D00BE6" w:rsidP="00D00BE6">
      <w:pPr>
        <w:pStyle w:val="EndnoteText"/>
        <w:spacing w:line="480" w:lineRule="auto"/>
      </w:pPr>
      <w:r>
        <w:rPr>
          <w:rStyle w:val="EndnoteReference"/>
        </w:rPr>
        <w:endnoteRef/>
      </w:r>
      <w:r>
        <w:t xml:space="preserve"> </w:t>
      </w:r>
      <w:r w:rsidR="00F85E39">
        <w:rPr>
          <w:sz w:val="24"/>
          <w:szCs w:val="24"/>
        </w:rPr>
        <w:t>{{</w:t>
      </w:r>
      <w:r w:rsidRPr="00D00BE6">
        <w:rPr>
          <w:sz w:val="24"/>
          <w:szCs w:val="24"/>
        </w:rPr>
        <w:t>Heginbotham and Schilling 2011</w:t>
      </w:r>
      <w:r w:rsidR="00F85E39">
        <w:rPr>
          <w:sz w:val="24"/>
          <w:szCs w:val="24"/>
        </w:rPr>
        <w:t>}}</w:t>
      </w:r>
      <w:r w:rsidRPr="00D00BE6">
        <w:rPr>
          <w:sz w:val="24"/>
          <w:szCs w:val="24"/>
        </w:rPr>
        <w:t>, 104.</w:t>
      </w:r>
      <w:r>
        <w:t xml:space="preserve"> </w:t>
      </w:r>
    </w:p>
  </w:endnote>
  <w:endnote w:id="24">
    <w:p w14:paraId="23D41FA3" w14:textId="56A95CAF" w:rsidR="00D00BE6" w:rsidRDefault="00D00BE6" w:rsidP="00D00BE6">
      <w:pPr>
        <w:pStyle w:val="EndnoteText"/>
        <w:spacing w:line="480" w:lineRule="auto"/>
      </w:pPr>
      <w:r>
        <w:rPr>
          <w:rStyle w:val="EndnoteReference"/>
        </w:rPr>
        <w:endnoteRef/>
      </w:r>
      <w:r>
        <w:t xml:space="preserve"> </w:t>
      </w:r>
      <w:r w:rsidR="00F85E39">
        <w:rPr>
          <w:sz w:val="24"/>
          <w:szCs w:val="24"/>
        </w:rPr>
        <w:t>{{</w:t>
      </w:r>
      <w:r w:rsidRPr="00D00BE6">
        <w:rPr>
          <w:sz w:val="24"/>
          <w:szCs w:val="24"/>
        </w:rPr>
        <w:t>Heginbotham and Schilling 2011</w:t>
      </w:r>
      <w:r w:rsidR="00F85E39">
        <w:rPr>
          <w:sz w:val="24"/>
          <w:szCs w:val="24"/>
        </w:rPr>
        <w:t>}}</w:t>
      </w:r>
      <w:r w:rsidRPr="00D00BE6">
        <w:rPr>
          <w:sz w:val="24"/>
          <w:szCs w:val="24"/>
        </w:rPr>
        <w:t>, 104.</w:t>
      </w:r>
    </w:p>
  </w:endnote>
  <w:endnote w:id="25">
    <w:p w14:paraId="1BCE7A52" w14:textId="3D33D3C1" w:rsidR="00D00BE6" w:rsidRPr="008A0571" w:rsidRDefault="00D00BE6" w:rsidP="00D00BE6">
      <w:pPr>
        <w:pStyle w:val="EndnoteText"/>
        <w:spacing w:line="480" w:lineRule="auto"/>
      </w:pPr>
      <w:r>
        <w:rPr>
          <w:rStyle w:val="EndnoteReference"/>
        </w:rPr>
        <w:endnoteRef/>
      </w:r>
      <w:r>
        <w:t xml:space="preserve"> </w:t>
      </w:r>
      <w:r w:rsidRPr="00D00BE6">
        <w:rPr>
          <w:sz w:val="24"/>
          <w:szCs w:val="24"/>
        </w:rPr>
        <w:t xml:space="preserve">Marker compounds for </w:t>
      </w:r>
      <w:r w:rsidRPr="00D00BE6">
        <w:rPr>
          <w:i/>
          <w:sz w:val="24"/>
          <w:szCs w:val="24"/>
        </w:rPr>
        <w:t>Dipterocarpus</w:t>
      </w:r>
      <w:r w:rsidRPr="00D00BE6">
        <w:rPr>
          <w:sz w:val="24"/>
          <w:szCs w:val="24"/>
        </w:rPr>
        <w:t xml:space="preserve"> resin have been frequently detected in lacquer samples containing </w:t>
      </w:r>
      <w:r w:rsidRPr="00D00BE6">
        <w:rPr>
          <w:i/>
          <w:sz w:val="24"/>
          <w:szCs w:val="24"/>
        </w:rPr>
        <w:t xml:space="preserve">thitsi </w:t>
      </w:r>
      <w:r w:rsidRPr="00D00BE6">
        <w:rPr>
          <w:sz w:val="24"/>
          <w:szCs w:val="24"/>
        </w:rPr>
        <w:t xml:space="preserve">lacquer. </w:t>
      </w:r>
      <w:r w:rsidR="00F85E39">
        <w:rPr>
          <w:sz w:val="24"/>
          <w:szCs w:val="24"/>
        </w:rPr>
        <w:t>{{</w:t>
      </w:r>
      <w:r w:rsidRPr="00D00BE6">
        <w:rPr>
          <w:sz w:val="24"/>
          <w:szCs w:val="24"/>
        </w:rPr>
        <w:t>Heginbotham and Schilling 2011</w:t>
      </w:r>
      <w:r w:rsidR="00F85E39">
        <w:rPr>
          <w:sz w:val="24"/>
          <w:szCs w:val="24"/>
        </w:rPr>
        <w:t>}}</w:t>
      </w:r>
      <w:r w:rsidRPr="00D00BE6">
        <w:rPr>
          <w:sz w:val="24"/>
          <w:szCs w:val="24"/>
        </w:rPr>
        <w:t>, 99</w:t>
      </w:r>
      <w:r w:rsidR="00C35096">
        <w:rPr>
          <w:sz w:val="24"/>
          <w:szCs w:val="24"/>
        </w:rPr>
        <w:t>–</w:t>
      </w:r>
      <w:r w:rsidRPr="00D00BE6">
        <w:rPr>
          <w:sz w:val="24"/>
          <w:szCs w:val="24"/>
        </w:rPr>
        <w:t>100</w:t>
      </w:r>
      <w:r w:rsidR="00C35096">
        <w:rPr>
          <w:sz w:val="24"/>
          <w:szCs w:val="24"/>
        </w:rPr>
        <w:t>,</w:t>
      </w:r>
      <w:r w:rsidRPr="00D00BE6">
        <w:rPr>
          <w:sz w:val="24"/>
          <w:szCs w:val="24"/>
        </w:rPr>
        <w:t xml:space="preserve"> provide</w:t>
      </w:r>
      <w:r w:rsidR="00C35096">
        <w:rPr>
          <w:sz w:val="24"/>
          <w:szCs w:val="24"/>
        </w:rPr>
        <w:t>s</w:t>
      </w:r>
      <w:r w:rsidRPr="00D00BE6">
        <w:rPr>
          <w:sz w:val="24"/>
          <w:szCs w:val="24"/>
        </w:rPr>
        <w:t xml:space="preserve"> a range of possible scenarios to account for the inclusion of wood oil in </w:t>
      </w:r>
      <w:r w:rsidRPr="00D00BE6">
        <w:rPr>
          <w:i/>
          <w:sz w:val="24"/>
          <w:szCs w:val="24"/>
        </w:rPr>
        <w:t xml:space="preserve">thitsi </w:t>
      </w:r>
      <w:r w:rsidRPr="00D00BE6">
        <w:rPr>
          <w:sz w:val="24"/>
          <w:szCs w:val="24"/>
        </w:rPr>
        <w:t>lacquer coatings.</w:t>
      </w:r>
      <w:r>
        <w:t xml:space="preserve"> </w:t>
      </w:r>
    </w:p>
  </w:endnote>
  <w:endnote w:id="26">
    <w:p w14:paraId="5B3767EA" w14:textId="2EDDA332" w:rsidR="00D00BE6" w:rsidRDefault="00D00BE6" w:rsidP="00D00BE6">
      <w:pPr>
        <w:pStyle w:val="EndnoteText"/>
        <w:spacing w:line="480" w:lineRule="auto"/>
      </w:pPr>
      <w:r>
        <w:rPr>
          <w:rStyle w:val="EndnoteReference"/>
        </w:rPr>
        <w:endnoteRef/>
      </w:r>
      <w:r>
        <w:t xml:space="preserve"> </w:t>
      </w:r>
      <w:r w:rsidRPr="00D00BE6">
        <w:rPr>
          <w:sz w:val="24"/>
          <w:szCs w:val="24"/>
        </w:rPr>
        <w:t xml:space="preserve">As reported in </w:t>
      </w:r>
      <w:r w:rsidR="00F85E39">
        <w:rPr>
          <w:sz w:val="24"/>
          <w:szCs w:val="24"/>
        </w:rPr>
        <w:t>{{</w:t>
      </w:r>
      <w:r w:rsidRPr="00D00BE6">
        <w:rPr>
          <w:sz w:val="24"/>
          <w:szCs w:val="24"/>
        </w:rPr>
        <w:t>Heginbotham and Schilling 2011</w:t>
      </w:r>
      <w:r w:rsidR="00F85E39">
        <w:rPr>
          <w:sz w:val="24"/>
          <w:szCs w:val="24"/>
        </w:rPr>
        <w:t>}}</w:t>
      </w:r>
      <w:r w:rsidRPr="00D00BE6">
        <w:rPr>
          <w:sz w:val="24"/>
          <w:szCs w:val="24"/>
        </w:rPr>
        <w:t>, 101, several of the layers contain marker compounds for gum benzoin. However, this set of markers was not considered conclusive enough to confirm the presence of this material at this time.</w:t>
      </w:r>
      <w:r>
        <w:t xml:space="preserve"> </w:t>
      </w:r>
    </w:p>
  </w:endnote>
  <w:endnote w:id="27">
    <w:p w14:paraId="779A6AD3" w14:textId="196EE3D9" w:rsidR="00D00BE6" w:rsidRDefault="00D00BE6" w:rsidP="00D00BE6">
      <w:pPr>
        <w:pStyle w:val="EndnoteText"/>
        <w:spacing w:line="480" w:lineRule="auto"/>
      </w:pPr>
      <w:r>
        <w:rPr>
          <w:rStyle w:val="EndnoteReference"/>
        </w:rPr>
        <w:endnoteRef/>
      </w:r>
      <w:r>
        <w:t xml:space="preserve"> </w:t>
      </w:r>
      <w:r w:rsidRPr="00D00BE6">
        <w:rPr>
          <w:sz w:val="24"/>
          <w:szCs w:val="24"/>
        </w:rPr>
        <w:t>Shellac markers were detected in this sample from .1 but are also observed in the trace amount in the upper layers of cabinet .2. It is unclear at this time if these materials were intentionally added to the Asian layer or rather relate to contamination from upper restoration varnishes. See RAdICAL Reports 29-13 and 28-8 in the Sculpture</w:t>
      </w:r>
      <w:r w:rsidR="006D3B32">
        <w:rPr>
          <w:sz w:val="24"/>
          <w:szCs w:val="24"/>
        </w:rPr>
        <w:t xml:space="preserve"> and Decorative Arts</w:t>
      </w:r>
      <w:r w:rsidRPr="00D00BE6">
        <w:rPr>
          <w:sz w:val="24"/>
          <w:szCs w:val="24"/>
        </w:rPr>
        <w:t xml:space="preserve"> Department</w:t>
      </w:r>
      <w:r w:rsidR="00A61AC3">
        <w:rPr>
          <w:sz w:val="24"/>
          <w:szCs w:val="24"/>
        </w:rPr>
        <w:t>, J. Paul Getty Museum,</w:t>
      </w:r>
      <w:r w:rsidRPr="00D00BE6">
        <w:rPr>
          <w:sz w:val="24"/>
          <w:szCs w:val="24"/>
        </w:rPr>
        <w:t xml:space="preserve"> for additional information on marker identification.</w:t>
      </w:r>
    </w:p>
  </w:endnote>
  <w:endnote w:id="28">
    <w:p w14:paraId="016F43ED" w14:textId="4E27B00E" w:rsidR="009A6946" w:rsidRDefault="009A6946" w:rsidP="009A6946">
      <w:pPr>
        <w:pStyle w:val="EndnoteText"/>
        <w:spacing w:line="480" w:lineRule="auto"/>
      </w:pPr>
      <w:r>
        <w:rPr>
          <w:rStyle w:val="EndnoteReference"/>
        </w:rPr>
        <w:endnoteRef/>
      </w:r>
      <w:r>
        <w:t xml:space="preserve"> </w:t>
      </w:r>
      <w:r w:rsidRPr="00D00BE6">
        <w:rPr>
          <w:sz w:val="24"/>
          <w:szCs w:val="24"/>
        </w:rPr>
        <w:t xml:space="preserve">Based on </w:t>
      </w:r>
      <w:r>
        <w:rPr>
          <w:sz w:val="24"/>
          <w:szCs w:val="24"/>
        </w:rPr>
        <w:t>p</w:t>
      </w:r>
      <w:r w:rsidRPr="00B81901">
        <w:rPr>
          <w:sz w:val="24"/>
          <w:szCs w:val="24"/>
        </w:rPr>
        <w:t>y/GC-MS</w:t>
      </w:r>
      <w:r w:rsidRPr="00D00BE6">
        <w:rPr>
          <w:sz w:val="24"/>
          <w:szCs w:val="24"/>
        </w:rPr>
        <w:t xml:space="preserve"> analysis, this ground layer most likely contains a mixture of resins</w:t>
      </w:r>
      <w:r w:rsidR="006D3B32">
        <w:rPr>
          <w:sz w:val="24"/>
          <w:szCs w:val="24"/>
        </w:rPr>
        <w:t>,</w:t>
      </w:r>
      <w:r w:rsidRPr="00D00BE6">
        <w:rPr>
          <w:sz w:val="24"/>
          <w:szCs w:val="24"/>
        </w:rPr>
        <w:t xml:space="preserve"> including shellac and pine resin. Sandarac or soft copal may also have been included in the original recipe based on the presence of two marker compounds, but these could not be confirmed at present.</w:t>
      </w:r>
      <w:r>
        <w:t xml:space="preserve"> </w:t>
      </w:r>
    </w:p>
  </w:endnote>
  <w:endnote w:id="29">
    <w:p w14:paraId="164DFACB" w14:textId="6399FA13" w:rsidR="00D00BE6" w:rsidRDefault="00D00BE6" w:rsidP="00D00BE6">
      <w:pPr>
        <w:pStyle w:val="EndnoteText"/>
        <w:spacing w:line="480" w:lineRule="auto"/>
      </w:pPr>
      <w:r>
        <w:rPr>
          <w:rStyle w:val="EndnoteReference"/>
        </w:rPr>
        <w:endnoteRef/>
      </w:r>
      <w:r>
        <w:t xml:space="preserve"> </w:t>
      </w:r>
      <w:r w:rsidR="00F85E39">
        <w:rPr>
          <w:sz w:val="24"/>
          <w:szCs w:val="24"/>
        </w:rPr>
        <w:t>{{</w:t>
      </w:r>
      <w:r w:rsidRPr="00D00BE6">
        <w:rPr>
          <w:sz w:val="24"/>
          <w:szCs w:val="24"/>
        </w:rPr>
        <w:t>Webb 2000</w:t>
      </w:r>
      <w:r w:rsidR="00F85E39">
        <w:rPr>
          <w:sz w:val="24"/>
          <w:szCs w:val="24"/>
        </w:rPr>
        <w:t>}}</w:t>
      </w:r>
      <w:r w:rsidRPr="00D00BE6">
        <w:rPr>
          <w:sz w:val="24"/>
          <w:szCs w:val="24"/>
        </w:rPr>
        <w:t>, 113</w:t>
      </w:r>
      <w:r w:rsidR="00C35096">
        <w:rPr>
          <w:sz w:val="24"/>
          <w:szCs w:val="24"/>
        </w:rPr>
        <w:t>;</w:t>
      </w:r>
      <w:r w:rsidRPr="00D00BE6">
        <w:rPr>
          <w:sz w:val="24"/>
          <w:szCs w:val="24"/>
        </w:rPr>
        <w:t xml:space="preserve"> </w:t>
      </w:r>
      <w:r w:rsidR="00F85E39">
        <w:rPr>
          <w:sz w:val="24"/>
          <w:szCs w:val="24"/>
        </w:rPr>
        <w:t>{{</w:t>
      </w:r>
      <w:r w:rsidRPr="00D00BE6">
        <w:rPr>
          <w:sz w:val="24"/>
          <w:szCs w:val="24"/>
        </w:rPr>
        <w:t>Walch 1997</w:t>
      </w:r>
      <w:r w:rsidR="00F85E39">
        <w:rPr>
          <w:sz w:val="24"/>
          <w:szCs w:val="24"/>
        </w:rPr>
        <w:t>}}</w:t>
      </w:r>
      <w:r w:rsidRPr="00D00BE6">
        <w:rPr>
          <w:sz w:val="24"/>
          <w:szCs w:val="24"/>
        </w:rPr>
        <w:t>, 34.</w:t>
      </w:r>
      <w:r>
        <w:t xml:space="preserve"> </w:t>
      </w:r>
    </w:p>
  </w:endnote>
  <w:endnote w:id="30">
    <w:p w14:paraId="489AE96E" w14:textId="251BA7CF" w:rsidR="00D00BE6" w:rsidRDefault="00D00BE6" w:rsidP="00D00BE6">
      <w:pPr>
        <w:pStyle w:val="EndnoteText"/>
        <w:spacing w:line="480" w:lineRule="auto"/>
      </w:pPr>
      <w:r>
        <w:rPr>
          <w:rStyle w:val="EndnoteReference"/>
        </w:rPr>
        <w:endnoteRef/>
      </w:r>
      <w:r>
        <w:t xml:space="preserve"> </w:t>
      </w:r>
      <w:r w:rsidR="00F85E39">
        <w:rPr>
          <w:sz w:val="24"/>
          <w:szCs w:val="24"/>
        </w:rPr>
        <w:t>{{</w:t>
      </w:r>
      <w:r w:rsidRPr="00D00BE6">
        <w:rPr>
          <w:sz w:val="24"/>
          <w:szCs w:val="24"/>
        </w:rPr>
        <w:t>Walch 1997</w:t>
      </w:r>
      <w:r w:rsidR="00F85E39">
        <w:rPr>
          <w:sz w:val="24"/>
          <w:szCs w:val="24"/>
        </w:rPr>
        <w:t>}}</w:t>
      </w:r>
      <w:r w:rsidRPr="00D00BE6">
        <w:rPr>
          <w:sz w:val="24"/>
          <w:szCs w:val="24"/>
        </w:rPr>
        <w:t>, 136</w:t>
      </w:r>
      <w:r w:rsidR="00C35096">
        <w:rPr>
          <w:sz w:val="24"/>
          <w:szCs w:val="24"/>
        </w:rPr>
        <w:t>–</w:t>
      </w:r>
      <w:r w:rsidRPr="00D00BE6">
        <w:rPr>
          <w:sz w:val="24"/>
          <w:szCs w:val="24"/>
        </w:rPr>
        <w:t>37.</w:t>
      </w:r>
    </w:p>
  </w:endnote>
  <w:endnote w:id="31">
    <w:p w14:paraId="79F9F6D3" w14:textId="369221A5" w:rsidR="00EF473D" w:rsidRPr="00D00BE6" w:rsidRDefault="00EF473D" w:rsidP="00EF473D">
      <w:pPr>
        <w:pStyle w:val="EndnoteText"/>
        <w:spacing w:line="480" w:lineRule="auto"/>
        <w:rPr>
          <w:sz w:val="24"/>
          <w:szCs w:val="24"/>
        </w:rPr>
      </w:pPr>
      <w:r w:rsidRPr="00421320">
        <w:rPr>
          <w:rStyle w:val="EndnoteReference"/>
          <w:sz w:val="22"/>
        </w:rPr>
        <w:endnoteRef/>
      </w:r>
      <w:r w:rsidRPr="00421320">
        <w:rPr>
          <w:sz w:val="22"/>
        </w:rPr>
        <w:t xml:space="preserve"> </w:t>
      </w:r>
      <w:r w:rsidRPr="00D00BE6">
        <w:rPr>
          <w:sz w:val="24"/>
          <w:szCs w:val="24"/>
        </w:rPr>
        <w:t xml:space="preserve">Prior to the nineteenth century, cementation was the standard process by which zinc was added to copper to produce brass. Powdered zinc oxide or carbonate was placed in a crucible with small pieces of copper metal and charcoal and then heated in a reducing atmosphere to a temperature just below the melting point of copper. Under these conditions, the zinc was reduced and vaporized, allowing it to diffuse slowly into the surrounding copper, thus forming brass. </w:t>
      </w:r>
      <w:r w:rsidRPr="00D00BE6">
        <w:rPr>
          <w:color w:val="000000"/>
          <w:sz w:val="24"/>
          <w:szCs w:val="24"/>
        </w:rPr>
        <w:t>Typically, brass produced by this method will have a zinc content of less than 33</w:t>
      </w:r>
      <w:r w:rsidR="00C35096">
        <w:rPr>
          <w:color w:val="000000"/>
          <w:sz w:val="24"/>
          <w:szCs w:val="24"/>
        </w:rPr>
        <w:t>%</w:t>
      </w:r>
      <w:r w:rsidRPr="00D00BE6">
        <w:rPr>
          <w:color w:val="000000"/>
          <w:sz w:val="24"/>
          <w:szCs w:val="24"/>
        </w:rPr>
        <w:t xml:space="preserve">, although higher levels have been shown to be possible. (For an excellent discussion of this topic, see </w:t>
      </w:r>
      <w:r w:rsidR="00A26A54">
        <w:rPr>
          <w:color w:val="000000"/>
          <w:sz w:val="24"/>
          <w:szCs w:val="24"/>
        </w:rPr>
        <w:t>{{Welter 2003}}.</w:t>
      </w:r>
      <w:r w:rsidRPr="00D00BE6">
        <w:rPr>
          <w:color w:val="000000"/>
          <w:sz w:val="24"/>
          <w:szCs w:val="24"/>
        </w:rPr>
        <w:t xml:space="preserve">) The industrial production of metallic zinc, which facilitates the production of higher zinc content in brass, was developed on a limited scale in England beginning in the 1740s. However, continental production of zinc metal on a significant scale did not take place until the last years of the eighteenth century, before which time access to metallic zinc was limited to minor production in Germany and costly importation from India and China; see </w:t>
      </w:r>
      <w:r w:rsidR="00B15EDB">
        <w:rPr>
          <w:color w:val="000000"/>
          <w:sz w:val="24"/>
          <w:szCs w:val="24"/>
        </w:rPr>
        <w:t>{{Day 1990}}</w:t>
      </w:r>
      <w:r w:rsidR="00C35096">
        <w:rPr>
          <w:color w:val="000000"/>
          <w:sz w:val="24"/>
          <w:szCs w:val="24"/>
        </w:rPr>
        <w:t>;</w:t>
      </w:r>
      <w:r w:rsidRPr="00D00BE6">
        <w:rPr>
          <w:color w:val="000000"/>
          <w:sz w:val="24"/>
          <w:szCs w:val="24"/>
        </w:rPr>
        <w:t xml:space="preserve"> </w:t>
      </w:r>
      <w:r w:rsidRPr="00D00BE6">
        <w:rPr>
          <w:sz w:val="24"/>
          <w:szCs w:val="24"/>
        </w:rPr>
        <w:t>“Zinc</w:t>
      </w:r>
      <w:r w:rsidR="00C35096">
        <w:rPr>
          <w:sz w:val="24"/>
          <w:szCs w:val="24"/>
        </w:rPr>
        <w:t>,</w:t>
      </w:r>
      <w:r w:rsidRPr="00D00BE6">
        <w:rPr>
          <w:sz w:val="24"/>
          <w:szCs w:val="24"/>
        </w:rPr>
        <w:t xml:space="preserve">” in </w:t>
      </w:r>
      <w:r w:rsidRPr="006D3B32">
        <w:rPr>
          <w:i/>
          <w:color w:val="000000"/>
          <w:sz w:val="24"/>
          <w:szCs w:val="24"/>
        </w:rPr>
        <w:t>Ullman’s Encyclopedia of Industrial Chemistry</w:t>
      </w:r>
      <w:r w:rsidRPr="00D00BE6">
        <w:rPr>
          <w:sz w:val="24"/>
          <w:szCs w:val="24"/>
        </w:rPr>
        <w:t xml:space="preserve">, </w:t>
      </w:r>
      <w:r w:rsidR="004A4EB5" w:rsidRPr="00D00BE6">
        <w:rPr>
          <w:sz w:val="24"/>
          <w:szCs w:val="24"/>
        </w:rPr>
        <w:t>5th rev. ed., vol. A28</w:t>
      </w:r>
      <w:r w:rsidR="004A4EB5">
        <w:rPr>
          <w:sz w:val="24"/>
          <w:szCs w:val="24"/>
        </w:rPr>
        <w:t xml:space="preserve">, </w:t>
      </w:r>
      <w:r w:rsidR="00281D8A">
        <w:rPr>
          <w:sz w:val="24"/>
          <w:szCs w:val="24"/>
        </w:rPr>
        <w:t xml:space="preserve">ed. </w:t>
      </w:r>
      <w:r w:rsidR="00281D8A" w:rsidRPr="00D00BE6">
        <w:rPr>
          <w:color w:val="000000"/>
          <w:sz w:val="24"/>
          <w:szCs w:val="24"/>
        </w:rPr>
        <w:t xml:space="preserve">Barbara Elvers, Stephen Hawkins, James F. Rounsaville, and Gail Schulz </w:t>
      </w:r>
      <w:r w:rsidRPr="00D00BE6">
        <w:rPr>
          <w:sz w:val="24"/>
          <w:szCs w:val="24"/>
        </w:rPr>
        <w:t>(</w:t>
      </w:r>
      <w:r w:rsidR="00217DD4">
        <w:rPr>
          <w:sz w:val="24"/>
          <w:szCs w:val="24"/>
        </w:rPr>
        <w:t>Weinheim</w:t>
      </w:r>
      <w:r w:rsidR="006D3B32">
        <w:rPr>
          <w:sz w:val="24"/>
          <w:szCs w:val="24"/>
        </w:rPr>
        <w:t xml:space="preserve">: </w:t>
      </w:r>
      <w:r w:rsidR="00A46CF1">
        <w:rPr>
          <w:sz w:val="24"/>
          <w:szCs w:val="24"/>
        </w:rPr>
        <w:t xml:space="preserve">VCH Verlagsgesellschaft; </w:t>
      </w:r>
      <w:r w:rsidRPr="00D00BE6">
        <w:rPr>
          <w:sz w:val="24"/>
          <w:szCs w:val="24"/>
        </w:rPr>
        <w:t>Dee</w:t>
      </w:r>
      <w:r>
        <w:rPr>
          <w:sz w:val="24"/>
          <w:szCs w:val="24"/>
        </w:rPr>
        <w:t xml:space="preserve">rfield Beach, </w:t>
      </w:r>
      <w:r w:rsidR="00C35096">
        <w:rPr>
          <w:sz w:val="24"/>
          <w:szCs w:val="24"/>
        </w:rPr>
        <w:t>FL</w:t>
      </w:r>
      <w:r w:rsidR="006D3B32">
        <w:rPr>
          <w:sz w:val="24"/>
          <w:szCs w:val="24"/>
        </w:rPr>
        <w:t>:</w:t>
      </w:r>
      <w:r w:rsidR="00217DD4">
        <w:rPr>
          <w:sz w:val="24"/>
          <w:szCs w:val="24"/>
        </w:rPr>
        <w:t xml:space="preserve"> VCH Publishers</w:t>
      </w:r>
      <w:r w:rsidR="006D3B32">
        <w:rPr>
          <w:sz w:val="24"/>
          <w:szCs w:val="24"/>
        </w:rPr>
        <w:t xml:space="preserve">, </w:t>
      </w:r>
      <w:r>
        <w:rPr>
          <w:sz w:val="24"/>
          <w:szCs w:val="24"/>
        </w:rPr>
        <w:t>1996).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swiss"/>
    <w:pitch w:val="variable"/>
    <w:sig w:usb0="E1000AEF" w:usb1="5000A1FF" w:usb2="00000000" w:usb3="00000000" w:csb0="000001BF" w:csb1="00000000"/>
  </w:font>
  <w:font w:name="Helvetica">
    <w:panose1 w:val="020B05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15992" w14:textId="77777777" w:rsidR="0026672E" w:rsidRPr="0026672E" w:rsidRDefault="0026672E">
    <w:pPr>
      <w:pStyle w:val="Footer"/>
      <w:jc w:val="right"/>
      <w:rPr>
        <w:sz w:val="24"/>
        <w:szCs w:val="24"/>
      </w:rPr>
    </w:pPr>
    <w:r w:rsidRPr="0026672E">
      <w:rPr>
        <w:sz w:val="24"/>
        <w:szCs w:val="24"/>
      </w:rPr>
      <w:fldChar w:fldCharType="begin"/>
    </w:r>
    <w:r w:rsidRPr="0026672E">
      <w:rPr>
        <w:sz w:val="24"/>
        <w:szCs w:val="24"/>
      </w:rPr>
      <w:instrText xml:space="preserve"> PAGE   \* MERGEFORMAT </w:instrText>
    </w:r>
    <w:r w:rsidRPr="0026672E">
      <w:rPr>
        <w:sz w:val="24"/>
        <w:szCs w:val="24"/>
      </w:rPr>
      <w:fldChar w:fldCharType="separate"/>
    </w:r>
    <w:r w:rsidR="00FB20DA">
      <w:rPr>
        <w:noProof/>
        <w:sz w:val="24"/>
        <w:szCs w:val="24"/>
      </w:rPr>
      <w:t>20</w:t>
    </w:r>
    <w:r w:rsidRPr="0026672E">
      <w:rPr>
        <w:noProof/>
        <w:sz w:val="24"/>
        <w:szCs w:val="24"/>
      </w:rPr>
      <w:fldChar w:fldCharType="end"/>
    </w:r>
  </w:p>
  <w:p w14:paraId="4AF638F0" w14:textId="77777777" w:rsidR="0026672E" w:rsidRDefault="00266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72698" w14:textId="77777777" w:rsidR="001D0651" w:rsidRDefault="001D0651">
      <w:pPr>
        <w:spacing w:after="0" w:line="240" w:lineRule="auto"/>
      </w:pPr>
      <w:r>
        <w:separator/>
      </w:r>
    </w:p>
  </w:footnote>
  <w:footnote w:type="continuationSeparator" w:id="0">
    <w:p w14:paraId="2CF4CCAD" w14:textId="77777777" w:rsidR="001D0651" w:rsidRDefault="001D0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630AE"/>
    <w:multiLevelType w:val="hybridMultilevel"/>
    <w:tmpl w:val="97DC534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3D9"/>
    <w:rsid w:val="00007CF7"/>
    <w:rsid w:val="0004155E"/>
    <w:rsid w:val="00053FB3"/>
    <w:rsid w:val="00055B06"/>
    <w:rsid w:val="00057057"/>
    <w:rsid w:val="0008673B"/>
    <w:rsid w:val="00090853"/>
    <w:rsid w:val="000912A6"/>
    <w:rsid w:val="00092106"/>
    <w:rsid w:val="0009459F"/>
    <w:rsid w:val="00095E4A"/>
    <w:rsid w:val="000968EE"/>
    <w:rsid w:val="000A0FDB"/>
    <w:rsid w:val="000A198B"/>
    <w:rsid w:val="000A2C8B"/>
    <w:rsid w:val="000A4EB3"/>
    <w:rsid w:val="000A55FA"/>
    <w:rsid w:val="000C11FA"/>
    <w:rsid w:val="000C7C0C"/>
    <w:rsid w:val="000D1F41"/>
    <w:rsid w:val="00133BC2"/>
    <w:rsid w:val="00134E22"/>
    <w:rsid w:val="00136382"/>
    <w:rsid w:val="0014740E"/>
    <w:rsid w:val="00171247"/>
    <w:rsid w:val="001862C8"/>
    <w:rsid w:val="001D0651"/>
    <w:rsid w:val="001F4181"/>
    <w:rsid w:val="00214307"/>
    <w:rsid w:val="00217DD4"/>
    <w:rsid w:val="00226806"/>
    <w:rsid w:val="002359EF"/>
    <w:rsid w:val="00250740"/>
    <w:rsid w:val="00260D67"/>
    <w:rsid w:val="0026672E"/>
    <w:rsid w:val="00281D8A"/>
    <w:rsid w:val="002D6205"/>
    <w:rsid w:val="003239E7"/>
    <w:rsid w:val="00334B38"/>
    <w:rsid w:val="0035059D"/>
    <w:rsid w:val="0035308A"/>
    <w:rsid w:val="003618E9"/>
    <w:rsid w:val="00373D4F"/>
    <w:rsid w:val="003875A1"/>
    <w:rsid w:val="00394621"/>
    <w:rsid w:val="003A3E0A"/>
    <w:rsid w:val="003A5215"/>
    <w:rsid w:val="003A786B"/>
    <w:rsid w:val="003B372F"/>
    <w:rsid w:val="003B48A0"/>
    <w:rsid w:val="003E18C4"/>
    <w:rsid w:val="00407274"/>
    <w:rsid w:val="00407712"/>
    <w:rsid w:val="00415F42"/>
    <w:rsid w:val="0042200E"/>
    <w:rsid w:val="0043158A"/>
    <w:rsid w:val="00434C5A"/>
    <w:rsid w:val="0044513F"/>
    <w:rsid w:val="004469CC"/>
    <w:rsid w:val="00450938"/>
    <w:rsid w:val="004562EC"/>
    <w:rsid w:val="00462AFC"/>
    <w:rsid w:val="0048237D"/>
    <w:rsid w:val="0049323F"/>
    <w:rsid w:val="00496866"/>
    <w:rsid w:val="00497934"/>
    <w:rsid w:val="004A4EB5"/>
    <w:rsid w:val="004D1613"/>
    <w:rsid w:val="005047A5"/>
    <w:rsid w:val="005320C5"/>
    <w:rsid w:val="0055699B"/>
    <w:rsid w:val="00582C18"/>
    <w:rsid w:val="00592FF3"/>
    <w:rsid w:val="00593F46"/>
    <w:rsid w:val="005968ED"/>
    <w:rsid w:val="005A191C"/>
    <w:rsid w:val="005D73F8"/>
    <w:rsid w:val="005E63A5"/>
    <w:rsid w:val="00603D02"/>
    <w:rsid w:val="00604EF2"/>
    <w:rsid w:val="00610C80"/>
    <w:rsid w:val="00626AF1"/>
    <w:rsid w:val="006611D8"/>
    <w:rsid w:val="00680DD3"/>
    <w:rsid w:val="00683BB3"/>
    <w:rsid w:val="00695687"/>
    <w:rsid w:val="006C5AB5"/>
    <w:rsid w:val="006D3B32"/>
    <w:rsid w:val="006D4B70"/>
    <w:rsid w:val="006E65E5"/>
    <w:rsid w:val="006F12D6"/>
    <w:rsid w:val="0070257C"/>
    <w:rsid w:val="00703AEF"/>
    <w:rsid w:val="007075A2"/>
    <w:rsid w:val="00714B42"/>
    <w:rsid w:val="007210D4"/>
    <w:rsid w:val="00722A58"/>
    <w:rsid w:val="007417C6"/>
    <w:rsid w:val="00782C2E"/>
    <w:rsid w:val="0079107B"/>
    <w:rsid w:val="00796AA7"/>
    <w:rsid w:val="007D7CC1"/>
    <w:rsid w:val="007E62C9"/>
    <w:rsid w:val="00810041"/>
    <w:rsid w:val="00811D62"/>
    <w:rsid w:val="00822268"/>
    <w:rsid w:val="008262CA"/>
    <w:rsid w:val="00845AFC"/>
    <w:rsid w:val="008636B6"/>
    <w:rsid w:val="008A2384"/>
    <w:rsid w:val="008A5508"/>
    <w:rsid w:val="008A7C67"/>
    <w:rsid w:val="008B5B0B"/>
    <w:rsid w:val="008C7D8C"/>
    <w:rsid w:val="008E74CA"/>
    <w:rsid w:val="008F2031"/>
    <w:rsid w:val="008F3768"/>
    <w:rsid w:val="008F65CC"/>
    <w:rsid w:val="00906AC1"/>
    <w:rsid w:val="00907220"/>
    <w:rsid w:val="009338FA"/>
    <w:rsid w:val="0097392C"/>
    <w:rsid w:val="00977717"/>
    <w:rsid w:val="009A6946"/>
    <w:rsid w:val="009B7EB6"/>
    <w:rsid w:val="009C13A4"/>
    <w:rsid w:val="009E729A"/>
    <w:rsid w:val="009F48D0"/>
    <w:rsid w:val="009F72C2"/>
    <w:rsid w:val="00A058CA"/>
    <w:rsid w:val="00A12931"/>
    <w:rsid w:val="00A26A54"/>
    <w:rsid w:val="00A26CDB"/>
    <w:rsid w:val="00A41750"/>
    <w:rsid w:val="00A46CF1"/>
    <w:rsid w:val="00A53A71"/>
    <w:rsid w:val="00A55490"/>
    <w:rsid w:val="00A57EFD"/>
    <w:rsid w:val="00A61AC3"/>
    <w:rsid w:val="00A63339"/>
    <w:rsid w:val="00A962BC"/>
    <w:rsid w:val="00A96F56"/>
    <w:rsid w:val="00A9752B"/>
    <w:rsid w:val="00AA0D8B"/>
    <w:rsid w:val="00AA5E20"/>
    <w:rsid w:val="00AC3CA4"/>
    <w:rsid w:val="00AC6F1B"/>
    <w:rsid w:val="00AD71D1"/>
    <w:rsid w:val="00AD7542"/>
    <w:rsid w:val="00B06891"/>
    <w:rsid w:val="00B1209C"/>
    <w:rsid w:val="00B15EDB"/>
    <w:rsid w:val="00B47AAA"/>
    <w:rsid w:val="00B66951"/>
    <w:rsid w:val="00B70A97"/>
    <w:rsid w:val="00B81901"/>
    <w:rsid w:val="00B81914"/>
    <w:rsid w:val="00B909D6"/>
    <w:rsid w:val="00BA0DD9"/>
    <w:rsid w:val="00BA57A8"/>
    <w:rsid w:val="00BB1A5B"/>
    <w:rsid w:val="00BB7D68"/>
    <w:rsid w:val="00BC2A42"/>
    <w:rsid w:val="00BD3AD2"/>
    <w:rsid w:val="00BF4A0E"/>
    <w:rsid w:val="00BF70A8"/>
    <w:rsid w:val="00C13230"/>
    <w:rsid w:val="00C141D7"/>
    <w:rsid w:val="00C17522"/>
    <w:rsid w:val="00C21932"/>
    <w:rsid w:val="00C333C5"/>
    <w:rsid w:val="00C34E08"/>
    <w:rsid w:val="00C35096"/>
    <w:rsid w:val="00C36703"/>
    <w:rsid w:val="00C42DFE"/>
    <w:rsid w:val="00C51E40"/>
    <w:rsid w:val="00C56295"/>
    <w:rsid w:val="00C657BD"/>
    <w:rsid w:val="00C865B0"/>
    <w:rsid w:val="00C86F86"/>
    <w:rsid w:val="00C9028D"/>
    <w:rsid w:val="00C94D98"/>
    <w:rsid w:val="00CB73D9"/>
    <w:rsid w:val="00CD2343"/>
    <w:rsid w:val="00CD2F24"/>
    <w:rsid w:val="00CF2B2F"/>
    <w:rsid w:val="00CF3D13"/>
    <w:rsid w:val="00CF5A17"/>
    <w:rsid w:val="00D00BE6"/>
    <w:rsid w:val="00D032BF"/>
    <w:rsid w:val="00D05D3F"/>
    <w:rsid w:val="00D229C5"/>
    <w:rsid w:val="00D22E63"/>
    <w:rsid w:val="00D2587D"/>
    <w:rsid w:val="00D408E8"/>
    <w:rsid w:val="00D41FA4"/>
    <w:rsid w:val="00D517FF"/>
    <w:rsid w:val="00D54BB8"/>
    <w:rsid w:val="00D57B4C"/>
    <w:rsid w:val="00D601DE"/>
    <w:rsid w:val="00D705AB"/>
    <w:rsid w:val="00D71224"/>
    <w:rsid w:val="00D71283"/>
    <w:rsid w:val="00D721D6"/>
    <w:rsid w:val="00D759EB"/>
    <w:rsid w:val="00D836F8"/>
    <w:rsid w:val="00D96C7B"/>
    <w:rsid w:val="00DB6D76"/>
    <w:rsid w:val="00DB7F1E"/>
    <w:rsid w:val="00DC03B6"/>
    <w:rsid w:val="00DD7A52"/>
    <w:rsid w:val="00DE3CD4"/>
    <w:rsid w:val="00DE4F63"/>
    <w:rsid w:val="00DF1A80"/>
    <w:rsid w:val="00E04519"/>
    <w:rsid w:val="00E13282"/>
    <w:rsid w:val="00E21F3F"/>
    <w:rsid w:val="00E51D1B"/>
    <w:rsid w:val="00E60818"/>
    <w:rsid w:val="00E840C5"/>
    <w:rsid w:val="00EC42D2"/>
    <w:rsid w:val="00ED3540"/>
    <w:rsid w:val="00EF473D"/>
    <w:rsid w:val="00EF7A5C"/>
    <w:rsid w:val="00F11074"/>
    <w:rsid w:val="00F15AB2"/>
    <w:rsid w:val="00F532EC"/>
    <w:rsid w:val="00F574FB"/>
    <w:rsid w:val="00F65261"/>
    <w:rsid w:val="00F810E3"/>
    <w:rsid w:val="00F85E39"/>
    <w:rsid w:val="00FA7183"/>
    <w:rsid w:val="00FB20DA"/>
    <w:rsid w:val="00FC23FD"/>
    <w:rsid w:val="00FC3789"/>
    <w:rsid w:val="00FE1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03C8520"/>
  <w14:defaultImageDpi w14:val="300"/>
  <w15:chartTrackingRefBased/>
  <w15:docId w15:val="{550E5B51-AA2C-4692-9F8B-8559D882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rPr>
      <w:sz w:val="20"/>
      <w:szCs w:val="20"/>
    </w:rPr>
  </w:style>
  <w:style w:type="character" w:customStyle="1" w:styleId="FootnoteCharacters">
    <w:name w:val="Footnote Characters"/>
    <w:rPr>
      <w:vertAlign w:val="superscript"/>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FootnoteText">
    <w:name w:val="footnote text"/>
    <w:basedOn w:val="Normal"/>
  </w:style>
  <w:style w:type="paragraph" w:styleId="BalloonText">
    <w:name w:val="Balloon Text"/>
    <w:basedOn w:val="Normal"/>
    <w:link w:val="BalloonTextChar"/>
    <w:uiPriority w:val="99"/>
    <w:semiHidden/>
    <w:unhideWhenUsed/>
    <w:rsid w:val="00CB73D9"/>
    <w:pPr>
      <w:spacing w:after="0" w:line="240" w:lineRule="auto"/>
    </w:pPr>
    <w:rPr>
      <w:rFonts w:ascii="Lucida Grande" w:hAnsi="Lucida Grande"/>
      <w:sz w:val="18"/>
      <w:szCs w:val="18"/>
    </w:rPr>
  </w:style>
  <w:style w:type="character" w:customStyle="1" w:styleId="BalloonTextChar">
    <w:name w:val="Balloon Text Char"/>
    <w:link w:val="BalloonText"/>
    <w:uiPriority w:val="99"/>
    <w:semiHidden/>
    <w:rsid w:val="00CB73D9"/>
    <w:rPr>
      <w:rFonts w:ascii="Lucida Grande" w:hAnsi="Lucida Grande"/>
      <w:sz w:val="18"/>
      <w:szCs w:val="18"/>
    </w:rPr>
  </w:style>
  <w:style w:type="paragraph" w:styleId="Header">
    <w:name w:val="header"/>
    <w:basedOn w:val="Normal"/>
    <w:link w:val="HeaderChar"/>
    <w:uiPriority w:val="99"/>
    <w:unhideWhenUsed/>
    <w:rsid w:val="0026672E"/>
    <w:pPr>
      <w:tabs>
        <w:tab w:val="center" w:pos="4680"/>
        <w:tab w:val="right" w:pos="9360"/>
      </w:tabs>
    </w:pPr>
  </w:style>
  <w:style w:type="character" w:customStyle="1" w:styleId="HeaderChar">
    <w:name w:val="Header Char"/>
    <w:basedOn w:val="DefaultParagraphFont"/>
    <w:link w:val="Header"/>
    <w:uiPriority w:val="99"/>
    <w:rsid w:val="0026672E"/>
  </w:style>
  <w:style w:type="paragraph" w:styleId="Footer">
    <w:name w:val="footer"/>
    <w:basedOn w:val="Normal"/>
    <w:link w:val="FooterChar"/>
    <w:uiPriority w:val="99"/>
    <w:unhideWhenUsed/>
    <w:rsid w:val="0026672E"/>
    <w:pPr>
      <w:tabs>
        <w:tab w:val="center" w:pos="4680"/>
        <w:tab w:val="right" w:pos="9360"/>
      </w:tabs>
    </w:pPr>
  </w:style>
  <w:style w:type="character" w:customStyle="1" w:styleId="FooterChar">
    <w:name w:val="Footer Char"/>
    <w:basedOn w:val="DefaultParagraphFont"/>
    <w:link w:val="Footer"/>
    <w:uiPriority w:val="99"/>
    <w:rsid w:val="0026672E"/>
  </w:style>
  <w:style w:type="character" w:customStyle="1" w:styleId="searchword1">
    <w:name w:val="searchword1"/>
    <w:rsid w:val="008A7C67"/>
    <w:rPr>
      <w:shd w:val="clear" w:color="auto" w:fill="FFFBC3"/>
    </w:rPr>
  </w:style>
  <w:style w:type="paragraph" w:customStyle="1" w:styleId="Style">
    <w:name w:val="Style"/>
    <w:rsid w:val="00214307"/>
    <w:pPr>
      <w:widowControl w:val="0"/>
      <w:suppressAutoHyphens/>
      <w:autoSpaceDE w:val="0"/>
    </w:pPr>
    <w:rPr>
      <w:rFonts w:ascii="Helvetica" w:hAnsi="Helvetica" w:cs="Helvetica"/>
      <w:sz w:val="24"/>
      <w:szCs w:val="24"/>
      <w:lang w:eastAsia="ar-SA"/>
    </w:rPr>
  </w:style>
  <w:style w:type="paragraph" w:styleId="EndnoteText">
    <w:name w:val="endnote text"/>
    <w:basedOn w:val="Normal"/>
    <w:link w:val="EndnoteTextChar"/>
    <w:uiPriority w:val="99"/>
    <w:unhideWhenUsed/>
    <w:rsid w:val="00496866"/>
  </w:style>
  <w:style w:type="character" w:customStyle="1" w:styleId="EndnoteTextChar">
    <w:name w:val="Endnote Text Char"/>
    <w:basedOn w:val="DefaultParagraphFont"/>
    <w:link w:val="EndnoteText"/>
    <w:uiPriority w:val="99"/>
    <w:rsid w:val="00496866"/>
  </w:style>
  <w:style w:type="character" w:styleId="CommentReference">
    <w:name w:val="annotation reference"/>
    <w:uiPriority w:val="99"/>
    <w:semiHidden/>
    <w:rsid w:val="00D00BE6"/>
    <w:rPr>
      <w:sz w:val="18"/>
    </w:rPr>
  </w:style>
  <w:style w:type="paragraph" w:styleId="CommentText">
    <w:name w:val="annotation text"/>
    <w:basedOn w:val="Normal"/>
    <w:link w:val="CommentTextChar"/>
    <w:semiHidden/>
    <w:rsid w:val="00D00BE6"/>
    <w:pPr>
      <w:suppressAutoHyphens w:val="0"/>
      <w:spacing w:after="0" w:line="240" w:lineRule="auto"/>
    </w:pPr>
    <w:rPr>
      <w:rFonts w:ascii="New York" w:hAnsi="New York"/>
      <w:sz w:val="24"/>
      <w:szCs w:val="24"/>
    </w:rPr>
  </w:style>
  <w:style w:type="character" w:customStyle="1" w:styleId="CommentTextChar">
    <w:name w:val="Comment Text Char"/>
    <w:basedOn w:val="DefaultParagraphFont"/>
    <w:link w:val="CommentText"/>
    <w:semiHidden/>
    <w:rsid w:val="00D00BE6"/>
    <w:rPr>
      <w:rFonts w:ascii="New York" w:hAnsi="New York"/>
      <w:sz w:val="24"/>
      <w:szCs w:val="24"/>
    </w:rPr>
  </w:style>
  <w:style w:type="character" w:styleId="Hyperlink">
    <w:name w:val="Hyperlink"/>
    <w:basedOn w:val="DefaultParagraphFont"/>
    <w:uiPriority w:val="99"/>
    <w:unhideWhenUsed/>
    <w:rsid w:val="00BA0DD9"/>
    <w:rPr>
      <w:color w:val="0563C1" w:themeColor="hyperlink"/>
      <w:u w:val="single"/>
    </w:rPr>
  </w:style>
  <w:style w:type="paragraph" w:styleId="Bibliography">
    <w:name w:val="Bibliography"/>
    <w:basedOn w:val="Normal"/>
    <w:next w:val="Normal"/>
    <w:uiPriority w:val="70"/>
    <w:rsid w:val="00226806"/>
  </w:style>
  <w:style w:type="paragraph" w:customStyle="1" w:styleId="Head2">
    <w:name w:val="Head2"/>
    <w:basedOn w:val="Normal"/>
    <w:qFormat/>
    <w:rsid w:val="00A2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pPr>
    <w:rPr>
      <w:sz w:val="24"/>
      <w:szCs w:val="24"/>
    </w:rPr>
  </w:style>
  <w:style w:type="paragraph" w:styleId="CommentSubject">
    <w:name w:val="annotation subject"/>
    <w:basedOn w:val="CommentText"/>
    <w:next w:val="CommentText"/>
    <w:link w:val="CommentSubjectChar"/>
    <w:uiPriority w:val="99"/>
    <w:semiHidden/>
    <w:unhideWhenUsed/>
    <w:rsid w:val="00A26CDB"/>
    <w:pPr>
      <w:suppressAutoHyphens/>
      <w:spacing w:after="160"/>
    </w:pPr>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A26CDB"/>
    <w:rPr>
      <w:rFonts w:ascii="New York" w:hAnsi="New York"/>
      <w:b/>
      <w:bCs/>
      <w:sz w:val="24"/>
      <w:szCs w:val="24"/>
    </w:rPr>
  </w:style>
  <w:style w:type="character" w:styleId="UnresolvedMention">
    <w:name w:val="Unresolved Mention"/>
    <w:basedOn w:val="DefaultParagraphFont"/>
    <w:uiPriority w:val="99"/>
    <w:semiHidden/>
    <w:unhideWhenUsed/>
    <w:rsid w:val="00250740"/>
    <w:rPr>
      <w:color w:val="605E5C"/>
      <w:shd w:val="clear" w:color="auto" w:fill="E1DFDD"/>
    </w:rPr>
  </w:style>
  <w:style w:type="paragraph" w:customStyle="1" w:styleId="Style1">
    <w:name w:val="Style1"/>
    <w:basedOn w:val="Head2"/>
    <w:qFormat/>
    <w:rsid w:val="00626AF1"/>
    <w:rPr>
      <w:b/>
      <w:bCs/>
      <w:i/>
      <w:iCs/>
    </w:rPr>
  </w:style>
  <w:style w:type="character" w:styleId="FollowedHyperlink">
    <w:name w:val="FollowedHyperlink"/>
    <w:basedOn w:val="DefaultParagraphFont"/>
    <w:uiPriority w:val="99"/>
    <w:semiHidden/>
    <w:unhideWhenUsed/>
    <w:rsid w:val="001F41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866179">
      <w:bodyDiv w:val="1"/>
      <w:marLeft w:val="45"/>
      <w:marRight w:val="45"/>
      <w:marTop w:val="45"/>
      <w:marBottom w:val="45"/>
      <w:divBdr>
        <w:top w:val="single" w:sz="6" w:space="0" w:color="ABC1DE"/>
        <w:left w:val="single" w:sz="6" w:space="0" w:color="ABC1DE"/>
        <w:bottom w:val="single" w:sz="6" w:space="0" w:color="ABC1DE"/>
        <w:right w:val="single" w:sz="6" w:space="0" w:color="ABC1DE"/>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12" TargetMode="External"/><Relationship Id="rId5" Type="http://schemas.openxmlformats.org/officeDocument/2006/relationships/webSettings" Target="webSettings.xml"/><Relationship Id="rId10" Type="http://schemas.openxmlformats.org/officeDocument/2006/relationships/hyperlink" Target="5" TargetMode="External"/><Relationship Id="rId4" Type="http://schemas.openxmlformats.org/officeDocument/2006/relationships/settings" Target="settings.xml"/><Relationship Id="rId9" Type="http://schemas.openxmlformats.org/officeDocument/2006/relationships/hyperlink" Target="3" TargetMode="Externa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3E33E-6E8B-41E4-A919-785C9BFE1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3802</Words>
  <Characters>21674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Halbert</dc:creator>
  <cp:keywords/>
  <cp:lastModifiedBy>sheila berg</cp:lastModifiedBy>
  <cp:revision>50</cp:revision>
  <cp:lastPrinted>2017-12-14T00:45:00Z</cp:lastPrinted>
  <dcterms:created xsi:type="dcterms:W3CDTF">2018-10-26T21:56:00Z</dcterms:created>
  <dcterms:modified xsi:type="dcterms:W3CDTF">2020-06-03T23:10:00Z</dcterms:modified>
</cp:coreProperties>
</file>