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FE71" w14:textId="77777777" w:rsidR="00506916" w:rsidRPr="00513DCC" w:rsidRDefault="00506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r w:rsidRPr="00513DCC">
        <w:rPr>
          <w:sz w:val="24"/>
          <w:szCs w:val="24"/>
        </w:rPr>
        <w:t xml:space="preserve">Cat. No. </w:t>
      </w:r>
      <w:r w:rsidR="00044FEC" w:rsidRPr="00513DCC">
        <w:rPr>
          <w:sz w:val="24"/>
          <w:szCs w:val="24"/>
        </w:rPr>
        <w:t>5</w:t>
      </w:r>
      <w:r w:rsidR="006607BD" w:rsidRPr="00513DCC">
        <w:rPr>
          <w:sz w:val="24"/>
          <w:szCs w:val="24"/>
        </w:rPr>
        <w:t>, Gillian Wilson</w:t>
      </w:r>
    </w:p>
    <w:p w14:paraId="32DF054D" w14:textId="77777777" w:rsidR="00506916" w:rsidRPr="00513DCC" w:rsidRDefault="00506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p>
    <w:p w14:paraId="30DB230E" w14:textId="00D9AC2D" w:rsidR="00506916" w:rsidRPr="00513DCC" w:rsidRDefault="00F1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r>
        <w:rPr>
          <w:iCs/>
          <w:sz w:val="24"/>
          <w:szCs w:val="24"/>
        </w:rPr>
        <w:t xml:space="preserve">title: </w:t>
      </w:r>
      <w:r w:rsidR="00506916" w:rsidRPr="00513DCC">
        <w:rPr>
          <w:i/>
          <w:sz w:val="24"/>
          <w:szCs w:val="24"/>
        </w:rPr>
        <w:t>Commode à vantaux</w:t>
      </w:r>
    </w:p>
    <w:p w14:paraId="61DC9FE2" w14:textId="59CFC83F" w:rsidR="00506916" w:rsidRPr="00513DCC" w:rsidRDefault="00F1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r>
        <w:rPr>
          <w:sz w:val="24"/>
          <w:szCs w:val="24"/>
        </w:rPr>
        <w:t xml:space="preserve">place_date: </w:t>
      </w:r>
      <w:r w:rsidR="003D6CEF" w:rsidRPr="00513DCC">
        <w:rPr>
          <w:sz w:val="24"/>
          <w:szCs w:val="24"/>
        </w:rPr>
        <w:t>French (Paris),</w:t>
      </w:r>
      <w:r w:rsidR="00506916" w:rsidRPr="00513DCC">
        <w:rPr>
          <w:sz w:val="24"/>
          <w:szCs w:val="24"/>
        </w:rPr>
        <w:t xml:space="preserve"> </w:t>
      </w:r>
      <w:r>
        <w:rPr>
          <w:sz w:val="24"/>
          <w:szCs w:val="24"/>
        </w:rPr>
        <w:t>ca.</w:t>
      </w:r>
      <w:r w:rsidR="00506916" w:rsidRPr="00513DCC">
        <w:rPr>
          <w:sz w:val="24"/>
          <w:szCs w:val="24"/>
        </w:rPr>
        <w:t xml:space="preserve"> 1737</w:t>
      </w:r>
      <w:r w:rsidR="00381B63" w:rsidRPr="00513DCC">
        <w:rPr>
          <w:sz w:val="24"/>
          <w:szCs w:val="24"/>
        </w:rPr>
        <w:t xml:space="preserve">, </w:t>
      </w:r>
      <w:r w:rsidR="0011196F" w:rsidRPr="00513DCC">
        <w:rPr>
          <w:sz w:val="24"/>
          <w:szCs w:val="24"/>
        </w:rPr>
        <w:t xml:space="preserve">late </w:t>
      </w:r>
      <w:r>
        <w:rPr>
          <w:sz w:val="24"/>
          <w:szCs w:val="24"/>
        </w:rPr>
        <w:t>nineteenth-</w:t>
      </w:r>
      <w:r w:rsidR="00202C2F">
        <w:rPr>
          <w:sz w:val="24"/>
          <w:szCs w:val="24"/>
        </w:rPr>
        <w:t>/</w:t>
      </w:r>
      <w:r w:rsidR="0011196F" w:rsidRPr="00513DCC">
        <w:rPr>
          <w:sz w:val="24"/>
          <w:szCs w:val="24"/>
        </w:rPr>
        <w:t xml:space="preserve">early </w:t>
      </w:r>
      <w:r>
        <w:rPr>
          <w:sz w:val="24"/>
          <w:szCs w:val="24"/>
        </w:rPr>
        <w:t>twentieth-</w:t>
      </w:r>
      <w:r w:rsidR="0011196F" w:rsidRPr="00513DCC">
        <w:rPr>
          <w:sz w:val="24"/>
          <w:szCs w:val="24"/>
        </w:rPr>
        <w:t>century gilt</w:t>
      </w:r>
      <w:r>
        <w:rPr>
          <w:sz w:val="24"/>
          <w:szCs w:val="24"/>
        </w:rPr>
        <w:t xml:space="preserve"> </w:t>
      </w:r>
      <w:r w:rsidR="0011196F" w:rsidRPr="00513DCC">
        <w:rPr>
          <w:sz w:val="24"/>
          <w:szCs w:val="24"/>
        </w:rPr>
        <w:t>bronze mounts</w:t>
      </w:r>
    </w:p>
    <w:p w14:paraId="67EE8C19" w14:textId="1341F0DB" w:rsidR="00506916" w:rsidRPr="00513DCC" w:rsidRDefault="00F1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r>
        <w:rPr>
          <w:sz w:val="24"/>
          <w:szCs w:val="24"/>
        </w:rPr>
        <w:t xml:space="preserve">attribution: </w:t>
      </w:r>
      <w:r w:rsidR="00506916" w:rsidRPr="00513DCC">
        <w:rPr>
          <w:sz w:val="24"/>
          <w:szCs w:val="24"/>
        </w:rPr>
        <w:t xml:space="preserve">By Bernard </w:t>
      </w:r>
      <w:r w:rsidR="00BA6EF1" w:rsidRPr="00513DCC">
        <w:rPr>
          <w:sz w:val="24"/>
          <w:szCs w:val="24"/>
        </w:rPr>
        <w:t xml:space="preserve">II </w:t>
      </w:r>
      <w:r w:rsidR="00506916" w:rsidRPr="00513DCC">
        <w:rPr>
          <w:sz w:val="24"/>
          <w:szCs w:val="24"/>
        </w:rPr>
        <w:t xml:space="preserve">van Risenburgh </w:t>
      </w:r>
      <w:r w:rsidR="009D3B6F" w:rsidRPr="00513DCC">
        <w:rPr>
          <w:sz w:val="24"/>
          <w:szCs w:val="24"/>
        </w:rPr>
        <w:t>(French, after 1696</w:t>
      </w:r>
      <w:r>
        <w:rPr>
          <w:sz w:val="24"/>
          <w:szCs w:val="24"/>
        </w:rPr>
        <w:t>–ca.</w:t>
      </w:r>
      <w:r w:rsidR="009D3B6F" w:rsidRPr="00513DCC">
        <w:rPr>
          <w:sz w:val="24"/>
          <w:szCs w:val="24"/>
        </w:rPr>
        <w:t xml:space="preserve"> 1766, master before 1730)</w:t>
      </w:r>
    </w:p>
    <w:p w14:paraId="4581839B" w14:textId="3FB908B4" w:rsidR="00506916" w:rsidRPr="00513DCC" w:rsidRDefault="00223E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r>
        <w:rPr>
          <w:sz w:val="24"/>
          <w:szCs w:val="24"/>
        </w:rPr>
        <w:t>m</w:t>
      </w:r>
      <w:r w:rsidR="00F16C8E">
        <w:rPr>
          <w:sz w:val="24"/>
          <w:szCs w:val="24"/>
        </w:rPr>
        <w:t xml:space="preserve">aterials: </w:t>
      </w:r>
      <w:r w:rsidR="005A473A" w:rsidRPr="00513DCC">
        <w:rPr>
          <w:sz w:val="24"/>
          <w:szCs w:val="24"/>
        </w:rPr>
        <w:t>White o</w:t>
      </w:r>
      <w:r w:rsidR="00506916" w:rsidRPr="00513DCC">
        <w:rPr>
          <w:sz w:val="24"/>
          <w:szCs w:val="24"/>
        </w:rPr>
        <w:t>ak</w:t>
      </w:r>
      <w:r w:rsidR="00AF0665">
        <w:rPr>
          <w:sz w:val="24"/>
          <w:szCs w:val="24"/>
        </w:rPr>
        <w:t>*</w:t>
      </w:r>
      <w:r w:rsidR="009E0842" w:rsidRPr="00513DCC">
        <w:rPr>
          <w:sz w:val="24"/>
          <w:szCs w:val="24"/>
        </w:rPr>
        <w:t>, veneered with alder</w:t>
      </w:r>
      <w:r w:rsidR="00AF0665">
        <w:rPr>
          <w:sz w:val="24"/>
          <w:szCs w:val="24"/>
        </w:rPr>
        <w:t>*</w:t>
      </w:r>
      <w:r w:rsidR="009E0842" w:rsidRPr="00513DCC">
        <w:rPr>
          <w:sz w:val="24"/>
          <w:szCs w:val="24"/>
        </w:rPr>
        <w:t>,</w:t>
      </w:r>
      <w:r w:rsidR="00506916" w:rsidRPr="00513DCC">
        <w:rPr>
          <w:sz w:val="24"/>
          <w:szCs w:val="24"/>
        </w:rPr>
        <w:t xml:space="preserve"> set with panels of Japanese lacquer </w:t>
      </w:r>
      <w:r w:rsidR="003D6CEF" w:rsidRPr="00513DCC">
        <w:rPr>
          <w:sz w:val="24"/>
          <w:szCs w:val="24"/>
        </w:rPr>
        <w:t xml:space="preserve">on a coniferous substrate </w:t>
      </w:r>
      <w:r w:rsidR="00506916" w:rsidRPr="00513DCC">
        <w:rPr>
          <w:sz w:val="24"/>
          <w:szCs w:val="24"/>
        </w:rPr>
        <w:t xml:space="preserve">and painted with </w:t>
      </w:r>
      <w:r w:rsidR="0011196F" w:rsidRPr="00513DCC">
        <w:rPr>
          <w:sz w:val="24"/>
          <w:szCs w:val="24"/>
        </w:rPr>
        <w:t>European lacquer</w:t>
      </w:r>
      <w:r w:rsidR="00506916" w:rsidRPr="00513DCC">
        <w:rPr>
          <w:sz w:val="24"/>
          <w:szCs w:val="24"/>
        </w:rPr>
        <w:t>; veneered with cherry</w:t>
      </w:r>
      <w:r w:rsidR="00AF0665">
        <w:rPr>
          <w:sz w:val="24"/>
          <w:szCs w:val="24"/>
        </w:rPr>
        <w:t>*</w:t>
      </w:r>
      <w:r w:rsidR="00506916" w:rsidRPr="00513DCC">
        <w:rPr>
          <w:sz w:val="24"/>
          <w:szCs w:val="24"/>
        </w:rPr>
        <w:t xml:space="preserve"> and amaranth</w:t>
      </w:r>
      <w:r w:rsidR="00AF0665">
        <w:rPr>
          <w:sz w:val="24"/>
          <w:szCs w:val="24"/>
        </w:rPr>
        <w:t>*</w:t>
      </w:r>
      <w:r w:rsidR="00506916" w:rsidRPr="00513DCC">
        <w:rPr>
          <w:sz w:val="24"/>
          <w:szCs w:val="24"/>
        </w:rPr>
        <w:t xml:space="preserve"> on interior of the doors; </w:t>
      </w:r>
      <w:r w:rsidR="003D6CEF" w:rsidRPr="00513DCC">
        <w:rPr>
          <w:sz w:val="24"/>
          <w:szCs w:val="24"/>
        </w:rPr>
        <w:t xml:space="preserve">replacement </w:t>
      </w:r>
      <w:r w:rsidR="00506916" w:rsidRPr="00513DCC">
        <w:rPr>
          <w:sz w:val="24"/>
          <w:szCs w:val="24"/>
        </w:rPr>
        <w:t>gilt</w:t>
      </w:r>
      <w:r w:rsidR="00F16C8E">
        <w:rPr>
          <w:sz w:val="24"/>
          <w:szCs w:val="24"/>
        </w:rPr>
        <w:t xml:space="preserve"> </w:t>
      </w:r>
      <w:r w:rsidR="00506916" w:rsidRPr="00513DCC">
        <w:rPr>
          <w:sz w:val="24"/>
          <w:szCs w:val="24"/>
        </w:rPr>
        <w:t>bronze mounts;</w:t>
      </w:r>
      <w:r w:rsidR="003D6CEF" w:rsidRPr="00513DCC">
        <w:rPr>
          <w:sz w:val="24"/>
          <w:szCs w:val="24"/>
        </w:rPr>
        <w:t xml:space="preserve"> brass and iron hardware and lock;</w:t>
      </w:r>
      <w:r w:rsidR="00506916" w:rsidRPr="00513DCC">
        <w:rPr>
          <w:sz w:val="24"/>
          <w:szCs w:val="24"/>
        </w:rPr>
        <w:t xml:space="preserve"> </w:t>
      </w:r>
      <w:r w:rsidR="00F16C8E">
        <w:rPr>
          <w:i/>
          <w:sz w:val="24"/>
          <w:szCs w:val="24"/>
        </w:rPr>
        <w:t>s</w:t>
      </w:r>
      <w:r w:rsidR="00506916" w:rsidRPr="00513DCC">
        <w:rPr>
          <w:i/>
          <w:sz w:val="24"/>
          <w:szCs w:val="24"/>
        </w:rPr>
        <w:t>arrancolin</w:t>
      </w:r>
      <w:r w:rsidR="00506916" w:rsidRPr="00513DCC">
        <w:rPr>
          <w:sz w:val="24"/>
          <w:szCs w:val="24"/>
        </w:rPr>
        <w:t xml:space="preserve"> marble top; </w:t>
      </w:r>
      <w:r w:rsidR="003D6CEF" w:rsidRPr="00513DCC">
        <w:rPr>
          <w:sz w:val="24"/>
          <w:szCs w:val="24"/>
        </w:rPr>
        <w:t xml:space="preserve">original </w:t>
      </w:r>
      <w:r w:rsidR="00506916" w:rsidRPr="00513DCC">
        <w:rPr>
          <w:sz w:val="24"/>
          <w:szCs w:val="24"/>
        </w:rPr>
        <w:t>silk fabric lining</w:t>
      </w:r>
      <w:r w:rsidR="00F16C8E">
        <w:rPr>
          <w:sz w:val="24"/>
          <w:szCs w:val="24"/>
        </w:rPr>
        <w:t>;</w:t>
      </w:r>
      <w:r w:rsidR="00506916" w:rsidRPr="00513DCC">
        <w:rPr>
          <w:sz w:val="24"/>
          <w:szCs w:val="24"/>
        </w:rPr>
        <w:t xml:space="preserve"> and silver </w:t>
      </w:r>
      <w:r w:rsidR="005C442C" w:rsidRPr="00513DCC">
        <w:rPr>
          <w:sz w:val="24"/>
          <w:szCs w:val="24"/>
        </w:rPr>
        <w:t xml:space="preserve">metal </w:t>
      </w:r>
      <w:r w:rsidR="00506916" w:rsidRPr="00513DCC">
        <w:rPr>
          <w:i/>
          <w:sz w:val="24"/>
          <w:szCs w:val="24"/>
        </w:rPr>
        <w:t>galon</w:t>
      </w:r>
      <w:r w:rsidR="00506916" w:rsidRPr="00513DCC">
        <w:rPr>
          <w:sz w:val="24"/>
          <w:szCs w:val="24"/>
        </w:rPr>
        <w:t xml:space="preserve"> trim</w:t>
      </w:r>
    </w:p>
    <w:p w14:paraId="14A2BA10" w14:textId="686E6EA8" w:rsidR="003D6CEF" w:rsidRPr="00513DCC" w:rsidRDefault="00F1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r>
        <w:rPr>
          <w:sz w:val="24"/>
          <w:szCs w:val="24"/>
        </w:rPr>
        <w:t xml:space="preserve">dimensions: </w:t>
      </w:r>
      <w:r w:rsidR="003D6CEF" w:rsidRPr="00513DCC">
        <w:rPr>
          <w:sz w:val="24"/>
          <w:szCs w:val="24"/>
        </w:rPr>
        <w:t xml:space="preserve">H: 2 ft. 10 </w:t>
      </w:r>
      <w:r>
        <w:rPr>
          <w:sz w:val="24"/>
          <w:szCs w:val="24"/>
        </w:rPr>
        <w:t>3/4</w:t>
      </w:r>
      <w:r w:rsidR="003D6CEF" w:rsidRPr="00513DCC">
        <w:rPr>
          <w:sz w:val="24"/>
          <w:szCs w:val="24"/>
        </w:rPr>
        <w:t xml:space="preserve">  in., W: 4 ft. 11 </w:t>
      </w:r>
      <w:r>
        <w:rPr>
          <w:sz w:val="24"/>
          <w:szCs w:val="24"/>
        </w:rPr>
        <w:t>3/4</w:t>
      </w:r>
      <w:r w:rsidR="003D6CEF" w:rsidRPr="00513DCC">
        <w:rPr>
          <w:sz w:val="24"/>
          <w:szCs w:val="24"/>
        </w:rPr>
        <w:t xml:space="preserve"> in., D: 1 ft. 10 </w:t>
      </w:r>
      <w:r>
        <w:rPr>
          <w:sz w:val="24"/>
          <w:szCs w:val="24"/>
        </w:rPr>
        <w:t>3/4</w:t>
      </w:r>
      <w:r w:rsidR="003D6CEF" w:rsidRPr="00513DCC">
        <w:rPr>
          <w:sz w:val="24"/>
          <w:szCs w:val="24"/>
        </w:rPr>
        <w:t xml:space="preserve"> in. (88.3 x 151.9 x 57.8 cm)</w:t>
      </w:r>
    </w:p>
    <w:p w14:paraId="41C8A8BE" w14:textId="262997F3" w:rsidR="00506916" w:rsidRPr="00513DCC" w:rsidRDefault="00F16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r>
        <w:rPr>
          <w:sz w:val="24"/>
          <w:szCs w:val="24"/>
        </w:rPr>
        <w:t xml:space="preserve">accession_number: </w:t>
      </w:r>
      <w:r w:rsidR="00506916" w:rsidRPr="00513DCC">
        <w:rPr>
          <w:sz w:val="24"/>
          <w:szCs w:val="24"/>
        </w:rPr>
        <w:t>65.DA.4</w:t>
      </w:r>
    </w:p>
    <w:p w14:paraId="49FE4BF4" w14:textId="77777777" w:rsidR="00506916" w:rsidRPr="00513DCC" w:rsidRDefault="005069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500" w:lineRule="atLeast"/>
        <w:rPr>
          <w:sz w:val="24"/>
          <w:szCs w:val="24"/>
        </w:rPr>
      </w:pPr>
    </w:p>
    <w:p w14:paraId="3BB49BB2" w14:textId="1EEC9491" w:rsidR="00506916" w:rsidRPr="00790BB7" w:rsidRDefault="00506916" w:rsidP="00F16C8E">
      <w:pPr>
        <w:pStyle w:val="Heading2"/>
        <w:rPr>
          <w:rFonts w:asciiTheme="majorBidi" w:hAnsiTheme="majorBidi"/>
          <w:b/>
          <w:bCs/>
          <w:i/>
          <w:iCs/>
          <w:color w:val="auto"/>
          <w:sz w:val="24"/>
          <w:szCs w:val="24"/>
        </w:rPr>
      </w:pPr>
      <w:r w:rsidRPr="00790BB7">
        <w:rPr>
          <w:rFonts w:asciiTheme="majorBidi" w:hAnsiTheme="majorBidi"/>
          <w:b/>
          <w:bCs/>
          <w:i/>
          <w:iCs/>
          <w:color w:val="auto"/>
          <w:sz w:val="24"/>
          <w:szCs w:val="24"/>
        </w:rPr>
        <w:t>Description</w:t>
      </w:r>
    </w:p>
    <w:p w14:paraId="750C500C" w14:textId="77777777" w:rsidR="00F16C8E" w:rsidRPr="00F16C8E" w:rsidRDefault="00F16C8E" w:rsidP="00F16C8E"/>
    <w:p w14:paraId="1AC5BD27" w14:textId="5BAA71BB" w:rsidR="00506916" w:rsidRPr="00513DCC" w:rsidRDefault="00870566"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 xml:space="preserve">Supported on </w:t>
      </w:r>
      <w:r w:rsidR="00D46D2A" w:rsidRPr="00513DCC">
        <w:rPr>
          <w:sz w:val="24"/>
          <w:szCs w:val="24"/>
        </w:rPr>
        <w:t>two</w:t>
      </w:r>
      <w:r w:rsidRPr="00513DCC">
        <w:rPr>
          <w:sz w:val="24"/>
          <w:szCs w:val="24"/>
        </w:rPr>
        <w:t xml:space="preserve"> three-sided cabriole legs</w:t>
      </w:r>
      <w:r w:rsidR="00D46D2A" w:rsidRPr="00513DCC">
        <w:rPr>
          <w:sz w:val="24"/>
          <w:szCs w:val="24"/>
        </w:rPr>
        <w:t xml:space="preserve"> at the front and two five-sided legs at the back</w:t>
      </w:r>
      <w:r w:rsidRPr="00513DCC">
        <w:rPr>
          <w:sz w:val="24"/>
          <w:szCs w:val="24"/>
        </w:rPr>
        <w:t>, t</w:t>
      </w:r>
      <w:r w:rsidR="00506916" w:rsidRPr="00513DCC">
        <w:rPr>
          <w:sz w:val="24"/>
          <w:szCs w:val="24"/>
        </w:rPr>
        <w:t xml:space="preserve">he rectangular </w:t>
      </w:r>
      <w:r w:rsidR="00506916" w:rsidRPr="00E673EE">
        <w:rPr>
          <w:iCs/>
          <w:sz w:val="24"/>
          <w:szCs w:val="24"/>
        </w:rPr>
        <w:t>commode</w:t>
      </w:r>
      <w:r w:rsidR="00506916" w:rsidRPr="00513DCC">
        <w:rPr>
          <w:sz w:val="24"/>
          <w:szCs w:val="24"/>
        </w:rPr>
        <w:t xml:space="preserve"> has a bowed front and serpentine sides. The front is occupied by two doors, </w:t>
      </w:r>
      <w:r w:rsidR="00F16C8E">
        <w:rPr>
          <w:sz w:val="24"/>
          <w:szCs w:val="24"/>
        </w:rPr>
        <w:t>the door</w:t>
      </w:r>
      <w:r w:rsidR="00506916" w:rsidRPr="00513DCC">
        <w:rPr>
          <w:sz w:val="24"/>
          <w:szCs w:val="24"/>
        </w:rPr>
        <w:t xml:space="preserve"> on the right carrying the lock. The slab of </w:t>
      </w:r>
      <w:r w:rsidR="00770BA0">
        <w:rPr>
          <w:i/>
          <w:sz w:val="24"/>
          <w:szCs w:val="24"/>
        </w:rPr>
        <w:t>s</w:t>
      </w:r>
      <w:r w:rsidR="00506916" w:rsidRPr="00513DCC">
        <w:rPr>
          <w:i/>
          <w:sz w:val="24"/>
          <w:szCs w:val="24"/>
        </w:rPr>
        <w:t>arrancolin</w:t>
      </w:r>
      <w:r w:rsidR="00506916" w:rsidRPr="00513DCC">
        <w:rPr>
          <w:sz w:val="24"/>
          <w:szCs w:val="24"/>
        </w:rPr>
        <w:t xml:space="preserve"> marble is cut to conforming shape and has a </w:t>
      </w:r>
      <w:r w:rsidRPr="00513DCC">
        <w:rPr>
          <w:sz w:val="24"/>
          <w:szCs w:val="24"/>
        </w:rPr>
        <w:t>molded</w:t>
      </w:r>
      <w:r w:rsidR="00506916" w:rsidRPr="00513DCC">
        <w:rPr>
          <w:sz w:val="24"/>
          <w:szCs w:val="24"/>
        </w:rPr>
        <w:t xml:space="preserve"> edge. The forecorners are set with pierced corner mounts, each consisting of two parts. The upper section is composed of a pierced cartouche, the frame of which is stippled and set with C-scrolls. Above is a central rosette, flanked by flame motifs</w:t>
      </w:r>
      <w:r w:rsidR="0012419E" w:rsidRPr="00513DCC">
        <w:rPr>
          <w:sz w:val="24"/>
          <w:szCs w:val="24"/>
        </w:rPr>
        <w:t>,</w:t>
      </w:r>
      <w:r w:rsidR="00506916" w:rsidRPr="00513DCC">
        <w:rPr>
          <w:sz w:val="24"/>
          <w:szCs w:val="24"/>
        </w:rPr>
        <w:t xml:space="preserve"> and below the scrolls are set with guilloche studded with cabochons. These lower scrolls flank a convex</w:t>
      </w:r>
      <w:r w:rsidR="0012419E" w:rsidRPr="00513DCC">
        <w:rPr>
          <w:sz w:val="24"/>
          <w:szCs w:val="24"/>
        </w:rPr>
        <w:t>,</w:t>
      </w:r>
      <w:r w:rsidR="00506916" w:rsidRPr="00513DCC">
        <w:rPr>
          <w:sz w:val="24"/>
          <w:szCs w:val="24"/>
        </w:rPr>
        <w:t xml:space="preserve"> shell-like motif terminat</w:t>
      </w:r>
      <w:r w:rsidR="0012419E" w:rsidRPr="00513DCC">
        <w:rPr>
          <w:sz w:val="24"/>
          <w:szCs w:val="24"/>
        </w:rPr>
        <w:t>ing</w:t>
      </w:r>
      <w:r w:rsidR="00506916" w:rsidRPr="00513DCC">
        <w:rPr>
          <w:sz w:val="24"/>
          <w:szCs w:val="24"/>
        </w:rPr>
        <w:t xml:space="preserve"> in a leafy pendant. This element is set over the shoulders of the lower section of the mount </w:t>
      </w:r>
      <w:r w:rsidR="0012419E" w:rsidRPr="00513DCC">
        <w:rPr>
          <w:sz w:val="24"/>
          <w:szCs w:val="24"/>
        </w:rPr>
        <w:t xml:space="preserve">that </w:t>
      </w:r>
      <w:r w:rsidR="00506916" w:rsidRPr="00513DCC">
        <w:rPr>
          <w:sz w:val="24"/>
          <w:szCs w:val="24"/>
        </w:rPr>
        <w:t>is also pierced. Its stippled frame is set with flame and leaf motifs</w:t>
      </w:r>
      <w:r w:rsidR="00770BA0">
        <w:rPr>
          <w:sz w:val="24"/>
          <w:szCs w:val="24"/>
        </w:rPr>
        <w:t>,</w:t>
      </w:r>
      <w:r w:rsidR="00506916" w:rsidRPr="00513DCC">
        <w:rPr>
          <w:sz w:val="24"/>
          <w:szCs w:val="24"/>
        </w:rPr>
        <w:t xml:space="preserve"> the latter clasping the winged extensions and forming a terminating pendant. </w:t>
      </w:r>
    </w:p>
    <w:p w14:paraId="2EF65191" w14:textId="29BE9E30" w:rsidR="00506916" w:rsidRPr="00513DCC" w:rsidRDefault="00506916"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ab/>
        <w:t xml:space="preserve">A plain molding extends down the outer edge of the leg to the foot. The front of each foot </w:t>
      </w:r>
      <w:r w:rsidRPr="00513DCC">
        <w:rPr>
          <w:sz w:val="24"/>
          <w:szCs w:val="24"/>
        </w:rPr>
        <w:lastRenderedPageBreak/>
        <w:t>mount is shield</w:t>
      </w:r>
      <w:r w:rsidR="00770BA0">
        <w:rPr>
          <w:sz w:val="24"/>
          <w:szCs w:val="24"/>
        </w:rPr>
        <w:t xml:space="preserve"> </w:t>
      </w:r>
      <w:r w:rsidRPr="00513DCC">
        <w:rPr>
          <w:sz w:val="24"/>
          <w:szCs w:val="24"/>
        </w:rPr>
        <w:t xml:space="preserve">shaped and framed on either side by C-scrolls. A flat oval cabochon surrounded by </w:t>
      </w:r>
      <w:r w:rsidR="00770BA0">
        <w:rPr>
          <w:sz w:val="24"/>
          <w:szCs w:val="24"/>
        </w:rPr>
        <w:t>shellwork</w:t>
      </w:r>
      <w:r w:rsidRPr="00513DCC">
        <w:rPr>
          <w:sz w:val="24"/>
          <w:szCs w:val="24"/>
        </w:rPr>
        <w:t xml:space="preserve"> set with small oval cabochons is set on a stippled ground. A leafy bud rises above. The back of the foot mount is composed of an elongated cabochon crowned with similarly elongated gadroons.</w:t>
      </w:r>
    </w:p>
    <w:p w14:paraId="3AA3FDB2" w14:textId="31E2A72A" w:rsidR="003D6CEF" w:rsidRPr="00513DCC" w:rsidRDefault="00506916"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ab/>
        <w:t xml:space="preserve">The front of the </w:t>
      </w:r>
      <w:r w:rsidRPr="00E673EE">
        <w:rPr>
          <w:iCs/>
          <w:sz w:val="24"/>
          <w:szCs w:val="24"/>
        </w:rPr>
        <w:t>commode</w:t>
      </w:r>
      <w:r w:rsidRPr="00513DCC">
        <w:rPr>
          <w:sz w:val="24"/>
          <w:szCs w:val="24"/>
        </w:rPr>
        <w:t xml:space="preserve"> is set with a gilt</w:t>
      </w:r>
      <w:r w:rsidR="00770BA0">
        <w:rPr>
          <w:sz w:val="24"/>
          <w:szCs w:val="24"/>
        </w:rPr>
        <w:t xml:space="preserve"> </w:t>
      </w:r>
      <w:r w:rsidRPr="00513DCC">
        <w:rPr>
          <w:sz w:val="24"/>
          <w:szCs w:val="24"/>
        </w:rPr>
        <w:t xml:space="preserve">bronze framing mount </w:t>
      </w:r>
      <w:r w:rsidR="0012419E" w:rsidRPr="00513DCC">
        <w:rPr>
          <w:sz w:val="24"/>
          <w:szCs w:val="24"/>
        </w:rPr>
        <w:t xml:space="preserve">that </w:t>
      </w:r>
      <w:r w:rsidRPr="00513DCC">
        <w:rPr>
          <w:sz w:val="24"/>
          <w:szCs w:val="24"/>
        </w:rPr>
        <w:t>follows and hides the edges of the doors. It consists of a simple undulating strip molding ending in foliate scrolls. Branches of berried laurel wind along its length. A second inner gilt</w:t>
      </w:r>
      <w:r w:rsidR="00770BA0">
        <w:rPr>
          <w:sz w:val="24"/>
          <w:szCs w:val="24"/>
        </w:rPr>
        <w:t xml:space="preserve"> </w:t>
      </w:r>
      <w:r w:rsidRPr="00513DCC">
        <w:rPr>
          <w:sz w:val="24"/>
          <w:szCs w:val="24"/>
        </w:rPr>
        <w:t xml:space="preserve">bronze frame follows the outline of the inserted panel of Japanese lacquer. It consists of foliate C- and S-scrolls set with short branches of berried laurel and scrolled clasping leaves. The upper and lower C-scrolls are edged with </w:t>
      </w:r>
      <w:r w:rsidR="00770BA0">
        <w:rPr>
          <w:sz w:val="24"/>
          <w:szCs w:val="24"/>
        </w:rPr>
        <w:t>shellwork</w:t>
      </w:r>
      <w:r w:rsidRPr="00513DCC">
        <w:rPr>
          <w:sz w:val="24"/>
          <w:szCs w:val="24"/>
        </w:rPr>
        <w:t xml:space="preserve"> and lined with small C-scrolls.</w:t>
      </w:r>
      <w:r w:rsidR="00D427F4" w:rsidRPr="00513DCC">
        <w:rPr>
          <w:sz w:val="24"/>
          <w:szCs w:val="24"/>
        </w:rPr>
        <w:t xml:space="preserve"> </w:t>
      </w:r>
      <w:r w:rsidRPr="00513DCC">
        <w:rPr>
          <w:sz w:val="24"/>
          <w:szCs w:val="24"/>
        </w:rPr>
        <w:t xml:space="preserve">The apron mount is centered by a </w:t>
      </w:r>
      <w:r w:rsidR="00770BA0">
        <w:rPr>
          <w:sz w:val="24"/>
          <w:szCs w:val="24"/>
        </w:rPr>
        <w:t>tri</w:t>
      </w:r>
      <w:r w:rsidRPr="00513DCC">
        <w:rPr>
          <w:sz w:val="24"/>
          <w:szCs w:val="24"/>
        </w:rPr>
        <w:t>lobed</w:t>
      </w:r>
      <w:r w:rsidR="0012419E" w:rsidRPr="00513DCC">
        <w:rPr>
          <w:sz w:val="24"/>
          <w:szCs w:val="24"/>
        </w:rPr>
        <w:t>,</w:t>
      </w:r>
      <w:r w:rsidRPr="00513DCC">
        <w:rPr>
          <w:sz w:val="24"/>
          <w:szCs w:val="24"/>
        </w:rPr>
        <w:t xml:space="preserve"> shell-like form set with alternating large and small cabochons. To either side extend stippled strips that are curved to follow the profile of the apron. They have raised borders and are set with a </w:t>
      </w:r>
      <w:r w:rsidR="00770BA0">
        <w:rPr>
          <w:sz w:val="24"/>
          <w:szCs w:val="24"/>
        </w:rPr>
        <w:t>flamelike</w:t>
      </w:r>
      <w:r w:rsidRPr="00513DCC">
        <w:rPr>
          <w:sz w:val="24"/>
          <w:szCs w:val="24"/>
        </w:rPr>
        <w:t xml:space="preserve"> motif. Each is clasped below by a sort </w:t>
      </w:r>
      <w:r w:rsidR="00E81673" w:rsidRPr="00513DCC">
        <w:rPr>
          <w:sz w:val="24"/>
          <w:szCs w:val="24"/>
        </w:rPr>
        <w:t xml:space="preserve">of </w:t>
      </w:r>
      <w:r w:rsidRPr="00513DCC">
        <w:rPr>
          <w:sz w:val="24"/>
          <w:szCs w:val="24"/>
        </w:rPr>
        <w:t>leafy branch emerg</w:t>
      </w:r>
      <w:r w:rsidR="0012419E" w:rsidRPr="00513DCC">
        <w:rPr>
          <w:sz w:val="24"/>
          <w:szCs w:val="24"/>
        </w:rPr>
        <w:t>ing</w:t>
      </w:r>
      <w:r w:rsidRPr="00513DCC">
        <w:rPr>
          <w:sz w:val="24"/>
          <w:szCs w:val="24"/>
        </w:rPr>
        <w:t xml:space="preserve"> from a corolla and terminat</w:t>
      </w:r>
      <w:r w:rsidR="0012419E" w:rsidRPr="00513DCC">
        <w:rPr>
          <w:sz w:val="24"/>
          <w:szCs w:val="24"/>
        </w:rPr>
        <w:t>ing</w:t>
      </w:r>
      <w:r w:rsidRPr="00513DCC">
        <w:rPr>
          <w:sz w:val="24"/>
          <w:szCs w:val="24"/>
        </w:rPr>
        <w:t xml:space="preserve"> in a scroll of leaves. From it extend, on either side, plain moldings </w:t>
      </w:r>
      <w:r w:rsidR="0012419E" w:rsidRPr="00513DCC">
        <w:rPr>
          <w:sz w:val="24"/>
          <w:szCs w:val="24"/>
        </w:rPr>
        <w:t xml:space="preserve">that </w:t>
      </w:r>
      <w:r w:rsidRPr="00513DCC">
        <w:rPr>
          <w:sz w:val="24"/>
          <w:szCs w:val="24"/>
        </w:rPr>
        <w:t xml:space="preserve">follow the serpentine lower profile of the </w:t>
      </w:r>
      <w:r w:rsidRPr="00E673EE">
        <w:rPr>
          <w:iCs/>
          <w:sz w:val="24"/>
          <w:szCs w:val="24"/>
        </w:rPr>
        <w:t>commode</w:t>
      </w:r>
      <w:r w:rsidRPr="00770BA0">
        <w:rPr>
          <w:iCs/>
          <w:sz w:val="24"/>
          <w:szCs w:val="24"/>
        </w:rPr>
        <w:t xml:space="preserve"> </w:t>
      </w:r>
      <w:r w:rsidRPr="00513DCC">
        <w:rPr>
          <w:sz w:val="24"/>
          <w:szCs w:val="24"/>
        </w:rPr>
        <w:t xml:space="preserve">and continue down the inner edges of the front legs. The small lock plate escutcheon is formed by C-and S-scrolls edged with </w:t>
      </w:r>
      <w:r w:rsidR="00770BA0">
        <w:rPr>
          <w:sz w:val="24"/>
          <w:szCs w:val="24"/>
        </w:rPr>
        <w:t>shellwork</w:t>
      </w:r>
      <w:r w:rsidRPr="00513DCC">
        <w:rPr>
          <w:sz w:val="24"/>
          <w:szCs w:val="24"/>
        </w:rPr>
        <w:t xml:space="preserve"> and acanthus</w:t>
      </w:r>
      <w:r w:rsidR="003D6CEF" w:rsidRPr="00513DCC">
        <w:rPr>
          <w:sz w:val="24"/>
          <w:szCs w:val="24"/>
        </w:rPr>
        <w:t xml:space="preserve">. </w:t>
      </w:r>
      <w:r w:rsidRPr="00513DCC">
        <w:rPr>
          <w:sz w:val="24"/>
          <w:szCs w:val="24"/>
        </w:rPr>
        <w:t>The framing mounts on the sides of the</w:t>
      </w:r>
      <w:r w:rsidRPr="00770BA0">
        <w:rPr>
          <w:iCs/>
          <w:sz w:val="24"/>
          <w:szCs w:val="24"/>
        </w:rPr>
        <w:t xml:space="preserve"> </w:t>
      </w:r>
      <w:r w:rsidRPr="00E673EE">
        <w:rPr>
          <w:iCs/>
          <w:sz w:val="24"/>
          <w:szCs w:val="24"/>
        </w:rPr>
        <w:t>commode</w:t>
      </w:r>
      <w:r w:rsidRPr="00513DCC">
        <w:rPr>
          <w:sz w:val="24"/>
          <w:szCs w:val="24"/>
        </w:rPr>
        <w:t xml:space="preserve"> are of the same model as that on the front of the piece, with the central sections removed and the simple flat strip mounts joined. </w:t>
      </w:r>
    </w:p>
    <w:p w14:paraId="40485D39" w14:textId="5F33BDBD" w:rsidR="00506916" w:rsidRPr="00513DCC" w:rsidRDefault="003D6CEF"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ab/>
      </w:r>
      <w:r w:rsidR="00506916" w:rsidRPr="00513DCC">
        <w:rPr>
          <w:sz w:val="24"/>
          <w:szCs w:val="24"/>
        </w:rPr>
        <w:t>The front is set with a shaped panel of Japanese</w:t>
      </w:r>
      <w:r w:rsidR="0099556D">
        <w:rPr>
          <w:sz w:val="24"/>
          <w:szCs w:val="24"/>
        </w:rPr>
        <w:t xml:space="preserve"> black</w:t>
      </w:r>
      <w:r w:rsidR="00506916" w:rsidRPr="00513DCC">
        <w:rPr>
          <w:sz w:val="24"/>
          <w:szCs w:val="24"/>
        </w:rPr>
        <w:t xml:space="preserve"> lacquer </w:t>
      </w:r>
      <w:r w:rsidR="0011196F" w:rsidRPr="00513DCC">
        <w:rPr>
          <w:sz w:val="24"/>
          <w:szCs w:val="24"/>
        </w:rPr>
        <w:t>decorated</w:t>
      </w:r>
      <w:r w:rsidR="00BA6EF1" w:rsidRPr="00513DCC">
        <w:rPr>
          <w:sz w:val="24"/>
          <w:szCs w:val="24"/>
        </w:rPr>
        <w:t xml:space="preserve"> with red, gold</w:t>
      </w:r>
      <w:r w:rsidR="00770BA0">
        <w:rPr>
          <w:sz w:val="24"/>
          <w:szCs w:val="24"/>
        </w:rPr>
        <w:t>,</w:t>
      </w:r>
      <w:r w:rsidR="00BA6EF1" w:rsidRPr="00513DCC">
        <w:rPr>
          <w:sz w:val="24"/>
          <w:szCs w:val="24"/>
        </w:rPr>
        <w:t xml:space="preserve"> and brown.</w:t>
      </w:r>
      <w:r w:rsidR="00506916" w:rsidRPr="00513DCC">
        <w:rPr>
          <w:sz w:val="24"/>
          <w:szCs w:val="24"/>
        </w:rPr>
        <w:t xml:space="preserve"> In the foreground at the base of the panel and extending up its sides is a flat ground with rocky outcroppings. At the left the ground is covered with flowering shrubs and trees</w:t>
      </w:r>
      <w:r w:rsidR="0012419E" w:rsidRPr="00513DCC">
        <w:rPr>
          <w:sz w:val="24"/>
          <w:szCs w:val="24"/>
        </w:rPr>
        <w:t xml:space="preserve"> and</w:t>
      </w:r>
      <w:r w:rsidR="00506916" w:rsidRPr="00513DCC">
        <w:rPr>
          <w:sz w:val="24"/>
          <w:szCs w:val="24"/>
        </w:rPr>
        <w:t xml:space="preserve"> a low thatched hut</w:t>
      </w:r>
      <w:r w:rsidR="0012419E" w:rsidRPr="00513DCC">
        <w:rPr>
          <w:sz w:val="24"/>
          <w:szCs w:val="24"/>
        </w:rPr>
        <w:t xml:space="preserve">; </w:t>
      </w:r>
      <w:r w:rsidR="00506916" w:rsidRPr="00513DCC">
        <w:rPr>
          <w:sz w:val="24"/>
          <w:szCs w:val="24"/>
        </w:rPr>
        <w:t>a more substantial building with a curved roof appears in the upper background. To the right, above a large flowering plant</w:t>
      </w:r>
      <w:r w:rsidR="0012419E" w:rsidRPr="00513DCC">
        <w:rPr>
          <w:sz w:val="24"/>
          <w:szCs w:val="24"/>
        </w:rPr>
        <w:t>,</w:t>
      </w:r>
      <w:r w:rsidR="00506916" w:rsidRPr="00513DCC">
        <w:rPr>
          <w:sz w:val="24"/>
          <w:szCs w:val="24"/>
        </w:rPr>
        <w:t xml:space="preserve"> a leafless tree rises and supports two pheasants. Three </w:t>
      </w:r>
      <w:r w:rsidR="00506916" w:rsidRPr="00513DCC">
        <w:rPr>
          <w:sz w:val="24"/>
          <w:szCs w:val="24"/>
        </w:rPr>
        <w:lastRenderedPageBreak/>
        <w:t>fenced gardens extend into the space above. In the center of the middle ground</w:t>
      </w:r>
      <w:r w:rsidR="0094475A" w:rsidRPr="00513DCC">
        <w:rPr>
          <w:sz w:val="24"/>
          <w:szCs w:val="24"/>
        </w:rPr>
        <w:t>,</w:t>
      </w:r>
      <w:r w:rsidR="00506916" w:rsidRPr="00513DCC">
        <w:rPr>
          <w:sz w:val="24"/>
          <w:szCs w:val="24"/>
        </w:rPr>
        <w:t xml:space="preserve"> waves break on the rocks to either side and against the walls of a cluster of houses in the background. </w:t>
      </w:r>
      <w:r w:rsidR="007F324F">
        <w:rPr>
          <w:sz w:val="24"/>
          <w:szCs w:val="24"/>
        </w:rPr>
        <w:t>Four cranes fly in the sky above</w:t>
      </w:r>
      <w:r w:rsidR="00506916" w:rsidRPr="00513DCC">
        <w:rPr>
          <w:sz w:val="24"/>
          <w:szCs w:val="24"/>
        </w:rPr>
        <w:t>.</w:t>
      </w:r>
    </w:p>
    <w:p w14:paraId="332D1917" w14:textId="5F02E070" w:rsidR="000851B6" w:rsidRPr="00513DCC" w:rsidRDefault="00506916"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ab/>
        <w:t>Some areas of the lacquer</w:t>
      </w:r>
      <w:r w:rsidR="000851B6" w:rsidRPr="00513DCC">
        <w:rPr>
          <w:sz w:val="24"/>
          <w:szCs w:val="24"/>
        </w:rPr>
        <w:t>—</w:t>
      </w:r>
      <w:r w:rsidRPr="00513DCC">
        <w:rPr>
          <w:sz w:val="24"/>
          <w:szCs w:val="24"/>
        </w:rPr>
        <w:t>the rocks, the pheasant</w:t>
      </w:r>
      <w:r w:rsidR="003D6CEF" w:rsidRPr="00513DCC">
        <w:rPr>
          <w:sz w:val="24"/>
          <w:szCs w:val="24"/>
        </w:rPr>
        <w:t>s</w:t>
      </w:r>
      <w:r w:rsidRPr="00513DCC">
        <w:rPr>
          <w:sz w:val="24"/>
          <w:szCs w:val="24"/>
        </w:rPr>
        <w:t>, and the tree trunks</w:t>
      </w:r>
      <w:r w:rsidR="000851B6" w:rsidRPr="00513DCC">
        <w:rPr>
          <w:sz w:val="24"/>
          <w:szCs w:val="24"/>
        </w:rPr>
        <w:t>—</w:t>
      </w:r>
      <w:r w:rsidR="0011196F" w:rsidRPr="00513DCC">
        <w:rPr>
          <w:sz w:val="24"/>
          <w:szCs w:val="24"/>
        </w:rPr>
        <w:t>are raised</w:t>
      </w:r>
      <w:r w:rsidRPr="00513DCC">
        <w:rPr>
          <w:sz w:val="24"/>
          <w:szCs w:val="24"/>
        </w:rPr>
        <w:t>. The areas on each side of the front bordered by the inner and outer gilt bronze frames are</w:t>
      </w:r>
      <w:r w:rsidR="0011196F" w:rsidRPr="00513DCC">
        <w:rPr>
          <w:sz w:val="24"/>
          <w:szCs w:val="24"/>
        </w:rPr>
        <w:t xml:space="preserve"> decorated with European lacquer.</w:t>
      </w:r>
      <w:r w:rsidRPr="00513DCC">
        <w:rPr>
          <w:sz w:val="24"/>
          <w:szCs w:val="24"/>
        </w:rPr>
        <w:t xml:space="preserve"> </w:t>
      </w:r>
      <w:r w:rsidR="00D427F4" w:rsidRPr="00513DCC">
        <w:rPr>
          <w:sz w:val="24"/>
          <w:szCs w:val="24"/>
        </w:rPr>
        <w:t>O</w:t>
      </w:r>
      <w:r w:rsidRPr="00513DCC">
        <w:rPr>
          <w:sz w:val="24"/>
          <w:szCs w:val="24"/>
        </w:rPr>
        <w:t xml:space="preserve">n the left, flowering leafy vines with tendrils climb up bamboo poles </w:t>
      </w:r>
      <w:r w:rsidR="00D427F4" w:rsidRPr="00513DCC">
        <w:rPr>
          <w:sz w:val="24"/>
          <w:szCs w:val="24"/>
        </w:rPr>
        <w:t xml:space="preserve">that </w:t>
      </w:r>
      <w:r w:rsidRPr="00513DCC">
        <w:rPr>
          <w:sz w:val="24"/>
          <w:szCs w:val="24"/>
        </w:rPr>
        <w:t xml:space="preserve">form part of a fence. On the right, a flowering plant of a different variety also bearing tendrils rises without support from a ground that is covered with shorter flowering plants of a different species and three </w:t>
      </w:r>
      <w:r w:rsidR="00AB5466">
        <w:rPr>
          <w:sz w:val="24"/>
          <w:szCs w:val="24"/>
        </w:rPr>
        <w:t>melonlike</w:t>
      </w:r>
      <w:r w:rsidRPr="00513DCC">
        <w:rPr>
          <w:sz w:val="24"/>
          <w:szCs w:val="24"/>
        </w:rPr>
        <w:t xml:space="preserve"> fruits.</w:t>
      </w:r>
    </w:p>
    <w:p w14:paraId="642868D6" w14:textId="0D45F013" w:rsidR="00506916" w:rsidRPr="00513DCC" w:rsidRDefault="000851B6"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ab/>
      </w:r>
      <w:r w:rsidR="00506916" w:rsidRPr="00513DCC">
        <w:rPr>
          <w:sz w:val="24"/>
          <w:szCs w:val="24"/>
        </w:rPr>
        <w:t>The left side of the</w:t>
      </w:r>
      <w:r w:rsidR="00506916" w:rsidRPr="00AB5466">
        <w:rPr>
          <w:iCs/>
          <w:sz w:val="24"/>
          <w:szCs w:val="24"/>
        </w:rPr>
        <w:t xml:space="preserve"> </w:t>
      </w:r>
      <w:r w:rsidR="00506916" w:rsidRPr="00E673EE">
        <w:rPr>
          <w:iCs/>
          <w:sz w:val="24"/>
          <w:szCs w:val="24"/>
        </w:rPr>
        <w:t>commode</w:t>
      </w:r>
      <w:r w:rsidR="00506916" w:rsidRPr="00513DCC">
        <w:rPr>
          <w:sz w:val="24"/>
          <w:szCs w:val="24"/>
        </w:rPr>
        <w:t xml:space="preserve"> is set with a panel of raised Japanese </w:t>
      </w:r>
      <w:r w:rsidR="0099556D">
        <w:rPr>
          <w:sz w:val="24"/>
          <w:szCs w:val="24"/>
        </w:rPr>
        <w:t xml:space="preserve">black </w:t>
      </w:r>
      <w:r w:rsidR="00506916" w:rsidRPr="00513DCC">
        <w:rPr>
          <w:sz w:val="24"/>
          <w:szCs w:val="24"/>
        </w:rPr>
        <w:t xml:space="preserve">lacquer </w:t>
      </w:r>
      <w:r w:rsidR="00135B97" w:rsidRPr="00513DCC">
        <w:rPr>
          <w:sz w:val="24"/>
          <w:szCs w:val="24"/>
        </w:rPr>
        <w:t>featuring</w:t>
      </w:r>
      <w:r w:rsidR="005C6CDB" w:rsidRPr="00513DCC">
        <w:rPr>
          <w:sz w:val="24"/>
          <w:szCs w:val="24"/>
        </w:rPr>
        <w:t xml:space="preserve"> colors of</w:t>
      </w:r>
      <w:r w:rsidR="00506916" w:rsidRPr="00513DCC">
        <w:rPr>
          <w:sz w:val="24"/>
          <w:szCs w:val="24"/>
        </w:rPr>
        <w:t xml:space="preserve"> red, gold</w:t>
      </w:r>
      <w:r w:rsidR="00AB5466">
        <w:rPr>
          <w:sz w:val="24"/>
          <w:szCs w:val="24"/>
        </w:rPr>
        <w:t>,</w:t>
      </w:r>
      <w:r w:rsidR="00506916" w:rsidRPr="00513DCC">
        <w:rPr>
          <w:sz w:val="24"/>
          <w:szCs w:val="24"/>
        </w:rPr>
        <w:t xml:space="preserve"> and greenish-brown. The cusped frame encloses a handled vase that stands on a short-legged plinth and contains an arrangement of leaves, a stem of daisies, a branch of magnolia</w:t>
      </w:r>
      <w:r w:rsidR="0094475A" w:rsidRPr="00513DCC">
        <w:rPr>
          <w:sz w:val="24"/>
          <w:szCs w:val="24"/>
        </w:rPr>
        <w:t>,</w:t>
      </w:r>
      <w:r w:rsidR="00506916" w:rsidRPr="00513DCC">
        <w:rPr>
          <w:sz w:val="24"/>
          <w:szCs w:val="24"/>
        </w:rPr>
        <w:t xml:space="preserve"> and a branch of an unidentified flowering shrub. The right side of the </w:t>
      </w:r>
      <w:r w:rsidR="00506916" w:rsidRPr="00E673EE">
        <w:rPr>
          <w:iCs/>
          <w:sz w:val="24"/>
          <w:szCs w:val="24"/>
        </w:rPr>
        <w:t>commode</w:t>
      </w:r>
      <w:r w:rsidR="00506916" w:rsidRPr="00AB5466">
        <w:rPr>
          <w:iCs/>
          <w:sz w:val="24"/>
          <w:szCs w:val="24"/>
        </w:rPr>
        <w:t xml:space="preserve"> </w:t>
      </w:r>
      <w:r w:rsidR="00506916" w:rsidRPr="00513DCC">
        <w:rPr>
          <w:sz w:val="24"/>
          <w:szCs w:val="24"/>
        </w:rPr>
        <w:t xml:space="preserve">is set with a panel of black raised lacquer of similar shape </w:t>
      </w:r>
      <w:r w:rsidR="005C6CDB" w:rsidRPr="00513DCC">
        <w:rPr>
          <w:sz w:val="24"/>
          <w:szCs w:val="24"/>
        </w:rPr>
        <w:t>with</w:t>
      </w:r>
      <w:r w:rsidR="00506916" w:rsidRPr="00513DCC">
        <w:rPr>
          <w:sz w:val="24"/>
          <w:szCs w:val="24"/>
        </w:rPr>
        <w:t xml:space="preserve"> </w:t>
      </w:r>
      <w:r w:rsidR="0011196F" w:rsidRPr="00513DCC">
        <w:rPr>
          <w:sz w:val="24"/>
          <w:szCs w:val="24"/>
        </w:rPr>
        <w:t xml:space="preserve">decorations of </w:t>
      </w:r>
      <w:r w:rsidR="00506916" w:rsidRPr="00513DCC">
        <w:rPr>
          <w:sz w:val="24"/>
          <w:szCs w:val="24"/>
        </w:rPr>
        <w:t>red, gold, greenish</w:t>
      </w:r>
      <w:r w:rsidRPr="00513DCC">
        <w:rPr>
          <w:sz w:val="24"/>
          <w:szCs w:val="24"/>
        </w:rPr>
        <w:t>-</w:t>
      </w:r>
      <w:r w:rsidR="00506916" w:rsidRPr="00513DCC">
        <w:rPr>
          <w:sz w:val="24"/>
          <w:szCs w:val="24"/>
        </w:rPr>
        <w:t>brown</w:t>
      </w:r>
      <w:r w:rsidR="0094475A" w:rsidRPr="00513DCC">
        <w:rPr>
          <w:sz w:val="24"/>
          <w:szCs w:val="24"/>
        </w:rPr>
        <w:t>,</w:t>
      </w:r>
      <w:r w:rsidR="00506916" w:rsidRPr="00513DCC">
        <w:rPr>
          <w:sz w:val="24"/>
          <w:szCs w:val="24"/>
        </w:rPr>
        <w:t xml:space="preserve"> and brown</w:t>
      </w:r>
      <w:r w:rsidR="00135B97" w:rsidRPr="00513DCC">
        <w:rPr>
          <w:sz w:val="24"/>
          <w:szCs w:val="24"/>
        </w:rPr>
        <w:t xml:space="preserve"> </w:t>
      </w:r>
      <w:r w:rsidR="0011196F" w:rsidRPr="00513DCC">
        <w:rPr>
          <w:sz w:val="24"/>
          <w:szCs w:val="24"/>
        </w:rPr>
        <w:t xml:space="preserve">Japanese </w:t>
      </w:r>
      <w:r w:rsidR="00135B97" w:rsidRPr="00513DCC">
        <w:rPr>
          <w:sz w:val="24"/>
          <w:szCs w:val="24"/>
        </w:rPr>
        <w:t xml:space="preserve">lacquer </w:t>
      </w:r>
      <w:r w:rsidR="0011196F" w:rsidRPr="00513DCC">
        <w:rPr>
          <w:sz w:val="24"/>
          <w:szCs w:val="24"/>
        </w:rPr>
        <w:t>and European lacquer</w:t>
      </w:r>
      <w:r w:rsidR="00A37281">
        <w:rPr>
          <w:sz w:val="24"/>
          <w:szCs w:val="24"/>
        </w:rPr>
        <w:t xml:space="preserve"> </w:t>
      </w:r>
      <w:r w:rsidR="00381B63" w:rsidRPr="00513DCC">
        <w:rPr>
          <w:sz w:val="24"/>
          <w:szCs w:val="24"/>
        </w:rPr>
        <w:t>applied on top</w:t>
      </w:r>
      <w:r w:rsidR="00506916" w:rsidRPr="00513DCC">
        <w:rPr>
          <w:sz w:val="24"/>
          <w:szCs w:val="24"/>
        </w:rPr>
        <w:t xml:space="preserve">. The frame encloses a handled vase on a footed plinth. The vase contains an unidentified leafy branch of flowers on the left and stems of bamboo on the right. In the center rises a leafless gnarled twig. A red butterfly has settled on the right of the supporting plinth. The remaining surfaces of the </w:t>
      </w:r>
      <w:r w:rsidR="00506916" w:rsidRPr="00E673EE">
        <w:rPr>
          <w:iCs/>
          <w:sz w:val="24"/>
          <w:szCs w:val="24"/>
        </w:rPr>
        <w:t>commode</w:t>
      </w:r>
      <w:r w:rsidR="00506916" w:rsidRPr="00513DCC">
        <w:rPr>
          <w:sz w:val="24"/>
          <w:szCs w:val="24"/>
        </w:rPr>
        <w:t xml:space="preserve"> are painted with </w:t>
      </w:r>
      <w:r w:rsidR="0011196F" w:rsidRPr="00513DCC">
        <w:rPr>
          <w:sz w:val="24"/>
          <w:szCs w:val="24"/>
        </w:rPr>
        <w:t>European</w:t>
      </w:r>
      <w:r w:rsidR="0099556D">
        <w:rPr>
          <w:sz w:val="24"/>
          <w:szCs w:val="24"/>
        </w:rPr>
        <w:t xml:space="preserve"> black</w:t>
      </w:r>
      <w:r w:rsidR="0011196F" w:rsidRPr="00513DCC">
        <w:rPr>
          <w:sz w:val="24"/>
          <w:szCs w:val="24"/>
        </w:rPr>
        <w:t xml:space="preserve"> lacquer</w:t>
      </w:r>
      <w:r w:rsidR="00506916" w:rsidRPr="00513DCC">
        <w:rPr>
          <w:sz w:val="24"/>
          <w:szCs w:val="24"/>
        </w:rPr>
        <w:t xml:space="preserve">. The inner surfaces of the doors are veneered with cherry, with an inner frame of amaranth. The interior is lined with pale blue silk trimmed with silver </w:t>
      </w:r>
      <w:r w:rsidR="00506916" w:rsidRPr="00513DCC">
        <w:rPr>
          <w:i/>
          <w:sz w:val="24"/>
          <w:szCs w:val="24"/>
        </w:rPr>
        <w:t>galon</w:t>
      </w:r>
      <w:r w:rsidR="00767C3C" w:rsidRPr="00513DCC">
        <w:rPr>
          <w:i/>
          <w:sz w:val="24"/>
          <w:szCs w:val="24"/>
        </w:rPr>
        <w:t xml:space="preserve"> </w:t>
      </w:r>
      <w:r w:rsidR="00767C3C" w:rsidRPr="007F324F">
        <w:rPr>
          <w:sz w:val="24"/>
          <w:szCs w:val="24"/>
        </w:rPr>
        <w:t>(</w:t>
      </w:r>
      <w:hyperlink w:anchor="fig-5-1" w:history="1">
        <w:r w:rsidR="00AB5466" w:rsidRPr="00AB5466">
          <w:rPr>
            <w:rStyle w:val="Hyperlink"/>
            <w:sz w:val="24"/>
            <w:szCs w:val="24"/>
          </w:rPr>
          <w:t>f</w:t>
        </w:r>
        <w:r w:rsidR="00767C3C" w:rsidRPr="00AB5466">
          <w:rPr>
            <w:rStyle w:val="Hyperlink"/>
            <w:sz w:val="24"/>
            <w:szCs w:val="24"/>
          </w:rPr>
          <w:t>ig</w:t>
        </w:r>
        <w:r w:rsidR="007F324F" w:rsidRPr="00AB5466">
          <w:rPr>
            <w:rStyle w:val="Hyperlink"/>
            <w:sz w:val="24"/>
            <w:szCs w:val="24"/>
          </w:rPr>
          <w:t>.</w:t>
        </w:r>
        <w:r w:rsidR="00D21758" w:rsidRPr="00AB5466">
          <w:rPr>
            <w:rStyle w:val="Hyperlink"/>
            <w:sz w:val="24"/>
            <w:szCs w:val="24"/>
          </w:rPr>
          <w:t xml:space="preserve"> </w:t>
        </w:r>
        <w:r w:rsidR="00044FEC" w:rsidRPr="00AB5466">
          <w:rPr>
            <w:rStyle w:val="Hyperlink"/>
            <w:sz w:val="24"/>
            <w:szCs w:val="24"/>
          </w:rPr>
          <w:t>5</w:t>
        </w:r>
        <w:r w:rsidR="007F324F" w:rsidRPr="00AB5466">
          <w:rPr>
            <w:rStyle w:val="Hyperlink"/>
            <w:sz w:val="24"/>
            <w:szCs w:val="24"/>
          </w:rPr>
          <w:t>-1</w:t>
        </w:r>
      </w:hyperlink>
      <w:r w:rsidR="007F324F" w:rsidRPr="007F324F">
        <w:rPr>
          <w:sz w:val="24"/>
          <w:szCs w:val="24"/>
        </w:rPr>
        <w:t>)</w:t>
      </w:r>
      <w:r w:rsidR="00506916" w:rsidRPr="007F324F">
        <w:rPr>
          <w:sz w:val="24"/>
          <w:szCs w:val="24"/>
        </w:rPr>
        <w:t>.</w:t>
      </w:r>
      <w:r w:rsidR="00C5113D" w:rsidRPr="00513DCC">
        <w:rPr>
          <w:sz w:val="24"/>
          <w:szCs w:val="24"/>
        </w:rPr>
        <w:t xml:space="preserve"> </w:t>
      </w:r>
    </w:p>
    <w:p w14:paraId="7D4ABFA4" w14:textId="77777777" w:rsidR="009E0842" w:rsidRPr="00513DCC" w:rsidRDefault="009E0842"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37A6F7FB" w14:textId="0BA85B41" w:rsidR="002F023A" w:rsidRPr="00790BB7" w:rsidRDefault="002F023A" w:rsidP="00AB5466">
      <w:pPr>
        <w:pStyle w:val="Heading2"/>
        <w:rPr>
          <w:rFonts w:asciiTheme="majorBidi" w:hAnsiTheme="majorBidi"/>
          <w:b/>
          <w:bCs/>
          <w:i/>
          <w:iCs/>
          <w:color w:val="auto"/>
          <w:sz w:val="24"/>
          <w:szCs w:val="24"/>
        </w:rPr>
      </w:pPr>
      <w:r w:rsidRPr="00790BB7">
        <w:rPr>
          <w:rFonts w:asciiTheme="majorBidi" w:hAnsiTheme="majorBidi"/>
          <w:b/>
          <w:bCs/>
          <w:i/>
          <w:iCs/>
          <w:color w:val="auto"/>
          <w:sz w:val="24"/>
          <w:szCs w:val="24"/>
        </w:rPr>
        <w:t>Marks</w:t>
      </w:r>
    </w:p>
    <w:p w14:paraId="54C1785F" w14:textId="77777777" w:rsidR="00AB5466" w:rsidRPr="00AB5466" w:rsidRDefault="00AB5466" w:rsidP="00AB5466"/>
    <w:p w14:paraId="1B842656" w14:textId="12D675AD" w:rsidR="002F023A" w:rsidRPr="00513DCC" w:rsidRDefault="002F023A"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lastRenderedPageBreak/>
        <w:t xml:space="preserve">The </w:t>
      </w:r>
      <w:r w:rsidRPr="00E673EE">
        <w:rPr>
          <w:iCs/>
          <w:sz w:val="24"/>
          <w:szCs w:val="24"/>
        </w:rPr>
        <w:t>commode</w:t>
      </w:r>
      <w:r w:rsidRPr="00AB5466">
        <w:rPr>
          <w:iCs/>
          <w:sz w:val="24"/>
          <w:szCs w:val="24"/>
        </w:rPr>
        <w:t xml:space="preserve"> </w:t>
      </w:r>
      <w:r w:rsidRPr="00513DCC">
        <w:rPr>
          <w:sz w:val="24"/>
          <w:szCs w:val="24"/>
        </w:rPr>
        <w:t xml:space="preserve">is stamped </w:t>
      </w:r>
      <w:r w:rsidR="00546D45" w:rsidRPr="00513DCC">
        <w:rPr>
          <w:sz w:val="24"/>
          <w:szCs w:val="24"/>
        </w:rPr>
        <w:t>“</w:t>
      </w:r>
      <w:r w:rsidRPr="00513DCC">
        <w:rPr>
          <w:sz w:val="24"/>
          <w:szCs w:val="24"/>
        </w:rPr>
        <w:t>B</w:t>
      </w:r>
      <w:r w:rsidR="00AB5466">
        <w:rPr>
          <w:sz w:val="24"/>
          <w:szCs w:val="24"/>
        </w:rPr>
        <w:t>.</w:t>
      </w:r>
      <w:r w:rsidRPr="00513DCC">
        <w:rPr>
          <w:sz w:val="24"/>
          <w:szCs w:val="24"/>
        </w:rPr>
        <w:t>V</w:t>
      </w:r>
      <w:r w:rsidR="00AB5466">
        <w:rPr>
          <w:sz w:val="24"/>
          <w:szCs w:val="24"/>
        </w:rPr>
        <w:t>.</w:t>
      </w:r>
      <w:r w:rsidRPr="00513DCC">
        <w:rPr>
          <w:sz w:val="24"/>
          <w:szCs w:val="24"/>
        </w:rPr>
        <w:t>R</w:t>
      </w:r>
      <w:r w:rsidR="00AB5466">
        <w:rPr>
          <w:sz w:val="24"/>
          <w:szCs w:val="24"/>
        </w:rPr>
        <w:t>.</w:t>
      </w:r>
      <w:r w:rsidRPr="00513DCC">
        <w:rPr>
          <w:sz w:val="24"/>
          <w:szCs w:val="24"/>
        </w:rPr>
        <w:t>B</w:t>
      </w:r>
      <w:r w:rsidR="00AB5466">
        <w:rPr>
          <w:sz w:val="24"/>
          <w:szCs w:val="24"/>
        </w:rPr>
        <w:t>.</w:t>
      </w:r>
      <w:r w:rsidR="00546D45" w:rsidRPr="00513DCC">
        <w:rPr>
          <w:sz w:val="24"/>
          <w:szCs w:val="24"/>
        </w:rPr>
        <w:t>”</w:t>
      </w:r>
      <w:r w:rsidRPr="00513DCC">
        <w:rPr>
          <w:sz w:val="24"/>
          <w:szCs w:val="24"/>
        </w:rPr>
        <w:t xml:space="preserve"> on </w:t>
      </w:r>
      <w:r w:rsidR="00AB5466">
        <w:rPr>
          <w:sz w:val="24"/>
          <w:szCs w:val="24"/>
        </w:rPr>
        <w:t xml:space="preserve">the </w:t>
      </w:r>
      <w:r w:rsidRPr="00513DCC">
        <w:rPr>
          <w:sz w:val="24"/>
          <w:szCs w:val="24"/>
        </w:rPr>
        <w:t>upper surface of the</w:t>
      </w:r>
      <w:r w:rsidR="00546D45" w:rsidRPr="00513DCC">
        <w:rPr>
          <w:sz w:val="24"/>
          <w:szCs w:val="24"/>
        </w:rPr>
        <w:t xml:space="preserve"> front right</w:t>
      </w:r>
      <w:r w:rsidR="000851B6" w:rsidRPr="00513DCC">
        <w:rPr>
          <w:sz w:val="24"/>
          <w:szCs w:val="24"/>
        </w:rPr>
        <w:t xml:space="preserve"> </w:t>
      </w:r>
      <w:r w:rsidR="00546D45" w:rsidRPr="00513DCC">
        <w:rPr>
          <w:sz w:val="24"/>
          <w:szCs w:val="24"/>
        </w:rPr>
        <w:t>leg</w:t>
      </w:r>
      <w:r w:rsidR="00D21758" w:rsidRPr="00513DCC">
        <w:rPr>
          <w:sz w:val="24"/>
          <w:szCs w:val="24"/>
        </w:rPr>
        <w:t xml:space="preserve"> (</w:t>
      </w:r>
      <w:hyperlink w:anchor="fig-5-2" w:history="1">
        <w:r w:rsidR="00AB5466" w:rsidRPr="00AB5466">
          <w:rPr>
            <w:rStyle w:val="Hyperlink"/>
            <w:sz w:val="24"/>
            <w:szCs w:val="24"/>
          </w:rPr>
          <w:t>f</w:t>
        </w:r>
        <w:r w:rsidR="00D21758" w:rsidRPr="00AB5466">
          <w:rPr>
            <w:rStyle w:val="Hyperlink"/>
            <w:sz w:val="24"/>
            <w:szCs w:val="24"/>
          </w:rPr>
          <w:t xml:space="preserve">ig. </w:t>
        </w:r>
        <w:r w:rsidR="00044FEC" w:rsidRPr="00AB5466">
          <w:rPr>
            <w:rStyle w:val="Hyperlink"/>
            <w:sz w:val="24"/>
            <w:szCs w:val="24"/>
          </w:rPr>
          <w:t>5</w:t>
        </w:r>
        <w:r w:rsidR="007F324F" w:rsidRPr="00AB5466">
          <w:rPr>
            <w:rStyle w:val="Hyperlink"/>
            <w:sz w:val="24"/>
            <w:szCs w:val="24"/>
          </w:rPr>
          <w:t>-2</w:t>
        </w:r>
      </w:hyperlink>
      <w:r w:rsidR="00D21758" w:rsidRPr="00513DCC">
        <w:rPr>
          <w:sz w:val="24"/>
          <w:szCs w:val="24"/>
        </w:rPr>
        <w:t>)</w:t>
      </w:r>
      <w:r w:rsidR="00546D45" w:rsidRPr="00513DCC">
        <w:rPr>
          <w:sz w:val="24"/>
          <w:szCs w:val="24"/>
        </w:rPr>
        <w:t xml:space="preserve">. </w:t>
      </w:r>
    </w:p>
    <w:p w14:paraId="37BF7607" w14:textId="77777777" w:rsidR="009E0842" w:rsidRPr="00513DCC" w:rsidRDefault="009E0842"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471FBAA4" w14:textId="486D1F73" w:rsidR="00506916" w:rsidRPr="00790BB7" w:rsidRDefault="00506916" w:rsidP="00AB5466">
      <w:pPr>
        <w:pStyle w:val="Heading2"/>
        <w:rPr>
          <w:rFonts w:asciiTheme="majorBidi" w:hAnsiTheme="majorBidi"/>
          <w:b/>
          <w:bCs/>
          <w:i/>
          <w:iCs/>
          <w:color w:val="auto"/>
          <w:sz w:val="24"/>
          <w:szCs w:val="24"/>
        </w:rPr>
      </w:pPr>
      <w:r w:rsidRPr="00790BB7">
        <w:rPr>
          <w:rFonts w:asciiTheme="majorBidi" w:hAnsiTheme="majorBidi"/>
          <w:b/>
          <w:bCs/>
          <w:i/>
          <w:iCs/>
          <w:color w:val="auto"/>
          <w:sz w:val="24"/>
          <w:szCs w:val="24"/>
        </w:rPr>
        <w:t>Commentary</w:t>
      </w:r>
    </w:p>
    <w:p w14:paraId="1D5C620F" w14:textId="77777777" w:rsidR="00AB5466" w:rsidRPr="00AB5466" w:rsidRDefault="00AB5466" w:rsidP="00AB5466"/>
    <w:p w14:paraId="27480616" w14:textId="423CA9E6" w:rsidR="00ED2EBE" w:rsidRPr="00513DCC" w:rsidRDefault="00506916"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 xml:space="preserve">The </w:t>
      </w:r>
      <w:r w:rsidRPr="00E673EE">
        <w:rPr>
          <w:iCs/>
          <w:sz w:val="24"/>
          <w:szCs w:val="24"/>
        </w:rPr>
        <w:t>commode</w:t>
      </w:r>
      <w:r w:rsidRPr="00AB5466">
        <w:rPr>
          <w:iCs/>
          <w:sz w:val="24"/>
          <w:szCs w:val="24"/>
        </w:rPr>
        <w:t xml:space="preserve"> </w:t>
      </w:r>
      <w:r w:rsidRPr="00513DCC">
        <w:rPr>
          <w:sz w:val="24"/>
          <w:szCs w:val="24"/>
        </w:rPr>
        <w:t>was made by Bernard II van Risenburgh.</w:t>
      </w:r>
      <w:r w:rsidR="00ED2EBE" w:rsidRPr="00513DCC">
        <w:rPr>
          <w:rStyle w:val="FootnoteCharacters"/>
          <w:sz w:val="24"/>
          <w:szCs w:val="24"/>
        </w:rPr>
        <w:endnoteReference w:id="1"/>
      </w:r>
      <w:r w:rsidR="00ED2EBE" w:rsidRPr="00513DCC">
        <w:rPr>
          <w:sz w:val="24"/>
          <w:szCs w:val="24"/>
        </w:rPr>
        <w:t xml:space="preserve"> While, with the exception of one other, the form of this </w:t>
      </w:r>
      <w:r w:rsidR="00ED2EBE" w:rsidRPr="00513DCC">
        <w:rPr>
          <w:i/>
          <w:sz w:val="24"/>
          <w:szCs w:val="24"/>
        </w:rPr>
        <w:t>commode à vantaux</w:t>
      </w:r>
      <w:r w:rsidR="00ED2EBE" w:rsidRPr="00513DCC">
        <w:rPr>
          <w:sz w:val="24"/>
          <w:szCs w:val="24"/>
        </w:rPr>
        <w:t xml:space="preserve"> appears to be unique in </w:t>
      </w:r>
      <w:r w:rsidR="00AB5466">
        <w:rPr>
          <w:sz w:val="24"/>
          <w:szCs w:val="24"/>
        </w:rPr>
        <w:t>V</w:t>
      </w:r>
      <w:r w:rsidR="00ED2EBE" w:rsidRPr="00513DCC">
        <w:rPr>
          <w:sz w:val="24"/>
          <w:szCs w:val="24"/>
        </w:rPr>
        <w:t>an Risenburgh</w:t>
      </w:r>
      <w:r w:rsidR="00AB5466">
        <w:rPr>
          <w:sz w:val="24"/>
          <w:szCs w:val="24"/>
        </w:rPr>
        <w:t>’</w:t>
      </w:r>
      <w:r w:rsidR="00ED2EBE" w:rsidRPr="00513DCC">
        <w:rPr>
          <w:sz w:val="24"/>
          <w:szCs w:val="24"/>
        </w:rPr>
        <w:t>s oeuvre, gilt</w:t>
      </w:r>
      <w:r w:rsidR="00AB5466">
        <w:rPr>
          <w:sz w:val="24"/>
          <w:szCs w:val="24"/>
        </w:rPr>
        <w:t xml:space="preserve"> </w:t>
      </w:r>
      <w:r w:rsidR="00ED2EBE" w:rsidRPr="00513DCC">
        <w:rPr>
          <w:sz w:val="24"/>
          <w:szCs w:val="24"/>
        </w:rPr>
        <w:t xml:space="preserve">bronze mounts of the same model appear on a number of other </w:t>
      </w:r>
      <w:r w:rsidR="00ED2EBE" w:rsidRPr="00E673EE">
        <w:rPr>
          <w:iCs/>
          <w:sz w:val="24"/>
          <w:szCs w:val="24"/>
        </w:rPr>
        <w:t>commodes</w:t>
      </w:r>
      <w:r w:rsidR="00ED2EBE" w:rsidRPr="00AB5466">
        <w:rPr>
          <w:iCs/>
          <w:sz w:val="24"/>
          <w:szCs w:val="24"/>
        </w:rPr>
        <w:t xml:space="preserve"> </w:t>
      </w:r>
      <w:r w:rsidR="00ED2EBE" w:rsidRPr="00513DCC">
        <w:rPr>
          <w:sz w:val="24"/>
          <w:szCs w:val="24"/>
        </w:rPr>
        <w:t>of various forms, all either bearing his stamp or attributed to him.</w:t>
      </w:r>
      <w:r w:rsidR="00ED2EBE" w:rsidRPr="00513DCC">
        <w:rPr>
          <w:rStyle w:val="FootnoteCharacters"/>
          <w:sz w:val="24"/>
          <w:szCs w:val="24"/>
        </w:rPr>
        <w:endnoteReference w:id="2"/>
      </w:r>
      <w:r w:rsidR="00ED2EBE" w:rsidRPr="00513DCC">
        <w:rPr>
          <w:sz w:val="24"/>
          <w:szCs w:val="24"/>
        </w:rPr>
        <w:t xml:space="preserve"> Only the mounts forming the central cartouche seem to be of </w:t>
      </w:r>
      <w:r w:rsidR="00AB5466">
        <w:rPr>
          <w:sz w:val="24"/>
          <w:szCs w:val="24"/>
        </w:rPr>
        <w:t xml:space="preserve">a </w:t>
      </w:r>
      <w:r w:rsidR="00ED2EBE" w:rsidRPr="00513DCC">
        <w:rPr>
          <w:sz w:val="24"/>
          <w:szCs w:val="24"/>
        </w:rPr>
        <w:t xml:space="preserve">unique model, and they have been specifically designed to follow the curved outline of the panel of Japanese lacquer and to allow for the opening of the doors. The lacquer panel occupying the front of this </w:t>
      </w:r>
      <w:r w:rsidR="00ED2EBE" w:rsidRPr="00E673EE">
        <w:rPr>
          <w:iCs/>
          <w:sz w:val="24"/>
          <w:szCs w:val="24"/>
        </w:rPr>
        <w:t>commode</w:t>
      </w:r>
      <w:r w:rsidR="00ED2EBE" w:rsidRPr="00AB5466">
        <w:rPr>
          <w:iCs/>
          <w:sz w:val="24"/>
          <w:szCs w:val="24"/>
        </w:rPr>
        <w:t xml:space="preserve"> </w:t>
      </w:r>
      <w:r w:rsidR="00ED2EBE" w:rsidRPr="00513DCC">
        <w:rPr>
          <w:sz w:val="24"/>
          <w:szCs w:val="24"/>
        </w:rPr>
        <w:t>seems to have been cut from the front doors of a Japanese cabinet. Both Chinese and Japanese lacquer cabinets were popular</w:t>
      </w:r>
      <w:r w:rsidR="00AB5466">
        <w:rPr>
          <w:sz w:val="24"/>
          <w:szCs w:val="24"/>
        </w:rPr>
        <w:t xml:space="preserve"> and</w:t>
      </w:r>
      <w:r w:rsidR="00ED2EBE" w:rsidRPr="00513DCC">
        <w:rPr>
          <w:sz w:val="24"/>
          <w:szCs w:val="24"/>
        </w:rPr>
        <w:t xml:space="preserve"> exported from the East in the late seventeenth century, mainly by the Dutch East India Company but also the French </w:t>
      </w:r>
      <w:r w:rsidR="00AB5466">
        <w:rPr>
          <w:sz w:val="24"/>
          <w:szCs w:val="24"/>
        </w:rPr>
        <w:t>Indies Company</w:t>
      </w:r>
      <w:r w:rsidR="00ED2EBE" w:rsidRPr="00513DCC">
        <w:rPr>
          <w:sz w:val="24"/>
          <w:szCs w:val="24"/>
        </w:rPr>
        <w:t>.</w:t>
      </w:r>
      <w:r w:rsidR="00ED2EBE" w:rsidRPr="00513DCC">
        <w:rPr>
          <w:rStyle w:val="EndnoteReference"/>
          <w:sz w:val="24"/>
          <w:szCs w:val="24"/>
        </w:rPr>
        <w:endnoteReference w:id="3"/>
      </w:r>
    </w:p>
    <w:p w14:paraId="111E5209" w14:textId="628A146E" w:rsidR="00ED2EBE" w:rsidRPr="00513DCC" w:rsidRDefault="00ED2EBE" w:rsidP="00C03BC9">
      <w:pPr>
        <w:widowControl w:val="0"/>
        <w:suppressAutoHyphens w:val="0"/>
        <w:autoSpaceDE w:val="0"/>
        <w:autoSpaceDN w:val="0"/>
        <w:adjustRightInd w:val="0"/>
        <w:spacing w:after="240" w:line="480" w:lineRule="auto"/>
        <w:rPr>
          <w:sz w:val="24"/>
          <w:szCs w:val="24"/>
        </w:rPr>
      </w:pPr>
      <w:r w:rsidRPr="00513DCC">
        <w:rPr>
          <w:sz w:val="24"/>
          <w:szCs w:val="24"/>
        </w:rPr>
        <w:tab/>
        <w:t xml:space="preserve">In the first half of the eighteenth century the </w:t>
      </w:r>
      <w:r w:rsidRPr="00513DCC">
        <w:rPr>
          <w:i/>
          <w:sz w:val="24"/>
          <w:szCs w:val="24"/>
        </w:rPr>
        <w:t>marchands</w:t>
      </w:r>
      <w:r w:rsidR="00AB5466">
        <w:rPr>
          <w:i/>
          <w:sz w:val="24"/>
          <w:szCs w:val="24"/>
        </w:rPr>
        <w:t>-</w:t>
      </w:r>
      <w:r w:rsidRPr="00513DCC">
        <w:rPr>
          <w:i/>
          <w:sz w:val="24"/>
          <w:szCs w:val="24"/>
        </w:rPr>
        <w:t>merciers</w:t>
      </w:r>
      <w:r w:rsidRPr="00513DCC">
        <w:rPr>
          <w:sz w:val="24"/>
          <w:szCs w:val="24"/>
        </w:rPr>
        <w:t xml:space="preserve"> of Paris sold these cabinets in their shops. Designed by François Boucher, the 1740 trade card of Edme François Gersaint </w:t>
      </w:r>
      <w:r w:rsidR="00AB5466">
        <w:rPr>
          <w:sz w:val="24"/>
          <w:szCs w:val="24"/>
        </w:rPr>
        <w:t>“</w:t>
      </w:r>
      <w:r w:rsidRPr="00513DCC">
        <w:rPr>
          <w:sz w:val="24"/>
          <w:szCs w:val="24"/>
        </w:rPr>
        <w:t>À la Pagode</w:t>
      </w:r>
      <w:r w:rsidR="00AB5466">
        <w:rPr>
          <w:sz w:val="24"/>
          <w:szCs w:val="24"/>
        </w:rPr>
        <w:t>”</w:t>
      </w:r>
      <w:r w:rsidRPr="00513DCC">
        <w:rPr>
          <w:sz w:val="24"/>
          <w:szCs w:val="24"/>
        </w:rPr>
        <w:t xml:space="preserve"> shows such an example.</w:t>
      </w:r>
      <w:r w:rsidRPr="00513DCC">
        <w:rPr>
          <w:rStyle w:val="FootnoteCharacters"/>
          <w:sz w:val="24"/>
          <w:szCs w:val="24"/>
        </w:rPr>
        <w:endnoteReference w:id="4"/>
      </w:r>
      <w:r w:rsidRPr="00513DCC">
        <w:rPr>
          <w:sz w:val="24"/>
          <w:szCs w:val="24"/>
        </w:rPr>
        <w:t xml:space="preserve"> It was mainly from these cabinets that a supply of fine black lacquer was found to satisfy a new fashion introduced by these influential salesmen. The order for this </w:t>
      </w:r>
      <w:r w:rsidRPr="00AB5466">
        <w:rPr>
          <w:iCs/>
          <w:sz w:val="24"/>
          <w:szCs w:val="24"/>
        </w:rPr>
        <w:t>commode</w:t>
      </w:r>
      <w:r w:rsidRPr="00513DCC">
        <w:rPr>
          <w:sz w:val="24"/>
          <w:szCs w:val="24"/>
        </w:rPr>
        <w:t xml:space="preserve"> was almost certainly made by the </w:t>
      </w:r>
      <w:r w:rsidRPr="00513DCC">
        <w:rPr>
          <w:i/>
          <w:sz w:val="24"/>
          <w:szCs w:val="24"/>
        </w:rPr>
        <w:t>marchand</w:t>
      </w:r>
      <w:r w:rsidR="00AB5466">
        <w:rPr>
          <w:i/>
          <w:sz w:val="24"/>
          <w:szCs w:val="24"/>
        </w:rPr>
        <w:t>-</w:t>
      </w:r>
      <w:r w:rsidRPr="00513DCC">
        <w:rPr>
          <w:i/>
          <w:sz w:val="24"/>
          <w:szCs w:val="24"/>
        </w:rPr>
        <w:t>mercier</w:t>
      </w:r>
      <w:r w:rsidRPr="00513DCC">
        <w:rPr>
          <w:sz w:val="24"/>
          <w:szCs w:val="24"/>
        </w:rPr>
        <w:t xml:space="preserve"> Thomas Joachim Hébert, for whom </w:t>
      </w:r>
      <w:r w:rsidR="00AB5466">
        <w:rPr>
          <w:sz w:val="24"/>
          <w:szCs w:val="24"/>
        </w:rPr>
        <w:t>V</w:t>
      </w:r>
      <w:r w:rsidRPr="00513DCC">
        <w:rPr>
          <w:sz w:val="24"/>
          <w:szCs w:val="24"/>
        </w:rPr>
        <w:t>an Risenburgh worked until 1750.</w:t>
      </w:r>
      <w:r w:rsidRPr="00513DCC">
        <w:rPr>
          <w:rStyle w:val="FootnoteCharacters"/>
          <w:sz w:val="24"/>
          <w:szCs w:val="24"/>
        </w:rPr>
        <w:endnoteReference w:id="5"/>
      </w:r>
      <w:r w:rsidRPr="00513DCC">
        <w:rPr>
          <w:sz w:val="24"/>
          <w:szCs w:val="24"/>
        </w:rPr>
        <w:t xml:space="preserve"> Hébert would have supplied the lacquer, and it would have been at his command that the finished </w:t>
      </w:r>
      <w:r w:rsidRPr="00E673EE">
        <w:rPr>
          <w:iCs/>
          <w:sz w:val="24"/>
          <w:szCs w:val="24"/>
        </w:rPr>
        <w:t>commode</w:t>
      </w:r>
      <w:r w:rsidRPr="00513DCC">
        <w:rPr>
          <w:sz w:val="24"/>
          <w:szCs w:val="24"/>
        </w:rPr>
        <w:t xml:space="preserve"> be lined with the blue silk trimmed with silver </w:t>
      </w:r>
      <w:r w:rsidRPr="00513DCC">
        <w:rPr>
          <w:i/>
          <w:sz w:val="24"/>
          <w:szCs w:val="24"/>
        </w:rPr>
        <w:t>galon</w:t>
      </w:r>
      <w:r w:rsidRPr="00513DCC">
        <w:rPr>
          <w:sz w:val="24"/>
          <w:szCs w:val="24"/>
        </w:rPr>
        <w:t xml:space="preserve"> that still survives inside the piece. This dismembering of old Japanese cabinets was newly fashionable, and a </w:t>
      </w:r>
      <w:r w:rsidRPr="00E673EE">
        <w:rPr>
          <w:iCs/>
          <w:sz w:val="24"/>
          <w:szCs w:val="24"/>
        </w:rPr>
        <w:t>commode</w:t>
      </w:r>
      <w:r w:rsidRPr="00513DCC">
        <w:rPr>
          <w:sz w:val="24"/>
          <w:szCs w:val="24"/>
        </w:rPr>
        <w:t xml:space="preserve"> of similar size and model, now preserved in the Louvre,</w:t>
      </w:r>
      <w:r w:rsidRPr="00513DCC">
        <w:rPr>
          <w:rStyle w:val="EndnoteReference"/>
          <w:sz w:val="24"/>
          <w:szCs w:val="24"/>
        </w:rPr>
        <w:endnoteReference w:id="6"/>
      </w:r>
      <w:r w:rsidRPr="00513DCC">
        <w:rPr>
          <w:sz w:val="24"/>
          <w:szCs w:val="24"/>
        </w:rPr>
        <w:t xml:space="preserve"> was delivered on September 26, 1737</w:t>
      </w:r>
      <w:r w:rsidR="00AB5466">
        <w:rPr>
          <w:sz w:val="24"/>
          <w:szCs w:val="24"/>
        </w:rPr>
        <w:t>,</w:t>
      </w:r>
      <w:r w:rsidRPr="00513DCC">
        <w:rPr>
          <w:sz w:val="24"/>
          <w:szCs w:val="24"/>
        </w:rPr>
        <w:t xml:space="preserve"> for the use of Maria </w:t>
      </w:r>
      <w:r w:rsidRPr="00513DCC">
        <w:rPr>
          <w:sz w:val="24"/>
          <w:szCs w:val="24"/>
        </w:rPr>
        <w:lastRenderedPageBreak/>
        <w:t>Leszczyńska, queen consort of Louis XV, in her</w:t>
      </w:r>
      <w:r w:rsidRPr="00513DCC">
        <w:rPr>
          <w:i/>
          <w:sz w:val="24"/>
          <w:szCs w:val="24"/>
        </w:rPr>
        <w:t xml:space="preserve"> cabinet de retraite</w:t>
      </w:r>
      <w:r w:rsidRPr="00513DCC">
        <w:rPr>
          <w:sz w:val="24"/>
          <w:szCs w:val="24"/>
        </w:rPr>
        <w:t xml:space="preserve"> at Fontainebleau (</w:t>
      </w:r>
      <w:hyperlink w:anchor="fig-5-3" w:history="1">
        <w:r w:rsidR="00045389" w:rsidRPr="00045389">
          <w:rPr>
            <w:rStyle w:val="Hyperlink"/>
            <w:sz w:val="24"/>
            <w:szCs w:val="24"/>
          </w:rPr>
          <w:t>f</w:t>
        </w:r>
        <w:r w:rsidRPr="00045389">
          <w:rPr>
            <w:rStyle w:val="Hyperlink"/>
            <w:sz w:val="24"/>
            <w:szCs w:val="24"/>
          </w:rPr>
          <w:t xml:space="preserve">ig. </w:t>
        </w:r>
        <w:r w:rsidR="00044FEC" w:rsidRPr="00045389">
          <w:rPr>
            <w:rStyle w:val="Hyperlink"/>
            <w:sz w:val="24"/>
            <w:szCs w:val="24"/>
          </w:rPr>
          <w:t>5</w:t>
        </w:r>
        <w:r w:rsidR="007F324F" w:rsidRPr="00045389">
          <w:rPr>
            <w:rStyle w:val="Hyperlink"/>
            <w:sz w:val="24"/>
            <w:szCs w:val="24"/>
          </w:rPr>
          <w:t>-3</w:t>
        </w:r>
      </w:hyperlink>
      <w:r w:rsidRPr="00513DCC">
        <w:rPr>
          <w:sz w:val="24"/>
          <w:szCs w:val="24"/>
        </w:rPr>
        <w:t>).</w:t>
      </w:r>
      <w:r w:rsidRPr="00513DCC">
        <w:rPr>
          <w:rStyle w:val="EndnoteReference"/>
          <w:sz w:val="24"/>
          <w:szCs w:val="24"/>
        </w:rPr>
        <w:endnoteReference w:id="7"/>
      </w:r>
      <w:r w:rsidRPr="00513DCC">
        <w:rPr>
          <w:sz w:val="24"/>
          <w:szCs w:val="24"/>
        </w:rPr>
        <w:t xml:space="preserve"> The </w:t>
      </w:r>
      <w:r w:rsidRPr="00E673EE">
        <w:rPr>
          <w:iCs/>
          <w:sz w:val="24"/>
          <w:szCs w:val="24"/>
        </w:rPr>
        <w:t>commode</w:t>
      </w:r>
      <w:r w:rsidRPr="00513DCC">
        <w:rPr>
          <w:sz w:val="24"/>
          <w:szCs w:val="24"/>
        </w:rPr>
        <w:t xml:space="preserve"> is listed in the </w:t>
      </w:r>
      <w:r w:rsidRPr="00513DCC">
        <w:rPr>
          <w:i/>
          <w:sz w:val="24"/>
          <w:szCs w:val="24"/>
        </w:rPr>
        <w:t>Journal</w:t>
      </w:r>
      <w:r w:rsidRPr="00513DCC">
        <w:rPr>
          <w:sz w:val="24"/>
          <w:szCs w:val="24"/>
        </w:rPr>
        <w:t xml:space="preserve"> of the </w:t>
      </w:r>
      <w:r w:rsidRPr="00E673EE">
        <w:rPr>
          <w:iCs/>
          <w:sz w:val="24"/>
          <w:szCs w:val="24"/>
        </w:rPr>
        <w:t>Garde-meuble de la Couronne</w:t>
      </w:r>
      <w:r w:rsidRPr="00513DCC">
        <w:rPr>
          <w:sz w:val="24"/>
          <w:szCs w:val="24"/>
        </w:rPr>
        <w:t>:</w:t>
      </w:r>
    </w:p>
    <w:p w14:paraId="533DE727" w14:textId="77777777" w:rsidR="00ED2EBE" w:rsidRPr="00790BB7" w:rsidRDefault="00ED2EBE" w:rsidP="00AB5466">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fr-FR"/>
        </w:rPr>
      </w:pPr>
      <w:r w:rsidRPr="00790BB7">
        <w:rPr>
          <w:sz w:val="24"/>
          <w:szCs w:val="24"/>
          <w:lang w:val="fr-FR"/>
        </w:rPr>
        <w:t>Du 26 septembre 1737.</w:t>
      </w:r>
    </w:p>
    <w:p w14:paraId="08D9B2BD" w14:textId="63079E2B" w:rsidR="00ED2EBE" w:rsidRPr="00790BB7" w:rsidRDefault="00ED2EBE" w:rsidP="00AB5466">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fr-FR"/>
        </w:rPr>
      </w:pPr>
      <w:r w:rsidRPr="00790BB7">
        <w:rPr>
          <w:sz w:val="24"/>
          <w:szCs w:val="24"/>
          <w:lang w:val="fr-FR"/>
        </w:rPr>
        <w:t xml:space="preserve">Livré </w:t>
      </w:r>
      <w:r w:rsidR="00AB5466" w:rsidRPr="00790BB7">
        <w:rPr>
          <w:sz w:val="24"/>
          <w:szCs w:val="24"/>
          <w:lang w:val="fr-FR"/>
        </w:rPr>
        <w:t>[</w:t>
      </w:r>
      <w:r w:rsidRPr="00790BB7">
        <w:rPr>
          <w:i/>
          <w:sz w:val="24"/>
          <w:szCs w:val="24"/>
          <w:lang w:val="fr-FR"/>
        </w:rPr>
        <w:t>sic</w:t>
      </w:r>
      <w:r w:rsidR="00AB5466" w:rsidRPr="00790BB7">
        <w:rPr>
          <w:sz w:val="24"/>
          <w:szCs w:val="24"/>
          <w:lang w:val="fr-FR"/>
        </w:rPr>
        <w:t>]</w:t>
      </w:r>
      <w:r w:rsidRPr="00790BB7">
        <w:rPr>
          <w:sz w:val="24"/>
          <w:szCs w:val="24"/>
          <w:lang w:val="fr-FR"/>
        </w:rPr>
        <w:t xml:space="preserve"> par le sieur Hébert.</w:t>
      </w:r>
    </w:p>
    <w:p w14:paraId="22AAC1E5" w14:textId="77777777" w:rsidR="00ED2EBE" w:rsidRPr="00790BB7" w:rsidRDefault="00ED2EBE" w:rsidP="00AB5466">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sz w:val="24"/>
          <w:szCs w:val="24"/>
          <w:lang w:val="fr-FR"/>
        </w:rPr>
      </w:pPr>
      <w:r w:rsidRPr="00790BB7">
        <w:rPr>
          <w:sz w:val="24"/>
          <w:szCs w:val="24"/>
          <w:lang w:val="fr-FR"/>
        </w:rPr>
        <w:t>Pour servir dans le cabinet de retraite de la Reine à Fontainebleau</w:t>
      </w:r>
    </w:p>
    <w:p w14:paraId="0BDD41BD" w14:textId="77777777" w:rsidR="00ED2EBE" w:rsidRPr="00790BB7" w:rsidRDefault="00ED2EBE" w:rsidP="00AB5466">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ind w:left="720"/>
        <w:rPr>
          <w:lang w:val="fr-FR"/>
        </w:rPr>
      </w:pPr>
      <w:r w:rsidRPr="00790BB7">
        <w:rPr>
          <w:sz w:val="24"/>
          <w:szCs w:val="24"/>
          <w:lang w:val="fr-FR"/>
        </w:rPr>
        <w:t>1115. Une commode de bois de la Chine à placages, vernie façon du Japon, chantournée par devant et sur les côtez à deux tiroirs par devant fermans à clef, à dessus de marbre d’Antin, enrichie de baguettes et ornemens de cuivre doré d’or moulu; longue de 47 pouces par le derrière, sur 22 pouces de profondeur par le milieu et 32 pouces de haut</w:t>
      </w:r>
      <w:r w:rsidRPr="00790BB7">
        <w:rPr>
          <w:lang w:val="fr-FR"/>
        </w:rPr>
        <w:t>.</w:t>
      </w:r>
      <w:r w:rsidRPr="00513DCC">
        <w:rPr>
          <w:rStyle w:val="FootnoteCharacters"/>
          <w:sz w:val="24"/>
          <w:szCs w:val="24"/>
        </w:rPr>
        <w:endnoteReference w:id="8"/>
      </w:r>
    </w:p>
    <w:p w14:paraId="15111D6F" w14:textId="77777777" w:rsidR="00AB5466" w:rsidRPr="00790BB7" w:rsidRDefault="00AB5466"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lang w:val="fr-FR"/>
        </w:rPr>
      </w:pPr>
    </w:p>
    <w:p w14:paraId="422FB771" w14:textId="663EB4EC" w:rsidR="00ED2EBE" w:rsidRPr="00513DCC" w:rsidRDefault="00ED2EBE"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 xml:space="preserve">This is the first mention of a piece of furniture decorated with lacquer in the </w:t>
      </w:r>
      <w:r w:rsidRPr="00513DCC">
        <w:rPr>
          <w:i/>
          <w:sz w:val="24"/>
          <w:szCs w:val="24"/>
        </w:rPr>
        <w:t>Journal</w:t>
      </w:r>
      <w:r w:rsidRPr="00513DCC">
        <w:rPr>
          <w:sz w:val="24"/>
          <w:szCs w:val="24"/>
        </w:rPr>
        <w:t xml:space="preserve"> and also the first appearance there of the </w:t>
      </w:r>
      <w:r w:rsidRPr="00513DCC">
        <w:rPr>
          <w:i/>
          <w:sz w:val="24"/>
          <w:szCs w:val="24"/>
        </w:rPr>
        <w:t>marchand</w:t>
      </w:r>
      <w:r w:rsidRPr="00513DCC">
        <w:rPr>
          <w:sz w:val="24"/>
          <w:szCs w:val="24"/>
        </w:rPr>
        <w:t xml:space="preserve"> Hébert, who went on to supply the Crown with furniture frequently set with panels of Japanese lacquer or painted with European lacquer through the early 1750s.</w:t>
      </w:r>
    </w:p>
    <w:p w14:paraId="3B9D4457" w14:textId="0EAFB055" w:rsidR="00ED2EBE" w:rsidRPr="00513DCC" w:rsidRDefault="00ED2EBE"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ab/>
        <w:t>Because of the similarity of these two pieces it is possible to date the Museum</w:t>
      </w:r>
      <w:r w:rsidR="00AB5466">
        <w:rPr>
          <w:sz w:val="24"/>
          <w:szCs w:val="24"/>
        </w:rPr>
        <w:t>’</w:t>
      </w:r>
      <w:r w:rsidRPr="00513DCC">
        <w:rPr>
          <w:sz w:val="24"/>
          <w:szCs w:val="24"/>
        </w:rPr>
        <w:t xml:space="preserve">s example to the same decade as the royal </w:t>
      </w:r>
      <w:r w:rsidRPr="00E673EE">
        <w:rPr>
          <w:iCs/>
          <w:sz w:val="24"/>
          <w:szCs w:val="24"/>
        </w:rPr>
        <w:t>commode</w:t>
      </w:r>
      <w:r w:rsidRPr="00513DCC">
        <w:rPr>
          <w:sz w:val="24"/>
          <w:szCs w:val="24"/>
        </w:rPr>
        <w:t>. The apron mounts and the feet are of the same model, as is the major part of the outer framing mounts; those of the Museum</w:t>
      </w:r>
      <w:r w:rsidR="00AB5466">
        <w:rPr>
          <w:sz w:val="24"/>
          <w:szCs w:val="24"/>
        </w:rPr>
        <w:t>’</w:t>
      </w:r>
      <w:r w:rsidRPr="00513DCC">
        <w:rPr>
          <w:sz w:val="24"/>
          <w:szCs w:val="24"/>
        </w:rPr>
        <w:t xml:space="preserve">s </w:t>
      </w:r>
      <w:r w:rsidRPr="00E673EE">
        <w:rPr>
          <w:iCs/>
          <w:sz w:val="24"/>
          <w:szCs w:val="24"/>
        </w:rPr>
        <w:t>commode</w:t>
      </w:r>
      <w:r w:rsidRPr="00AB5466">
        <w:rPr>
          <w:iCs/>
          <w:sz w:val="24"/>
          <w:szCs w:val="24"/>
        </w:rPr>
        <w:t xml:space="preserve"> </w:t>
      </w:r>
      <w:r w:rsidRPr="00513DCC">
        <w:rPr>
          <w:sz w:val="24"/>
          <w:szCs w:val="24"/>
        </w:rPr>
        <w:t>are a little more elaborate in some areas. The mounts forming the central cartouche differ, as do the corner mounts. While the mounts of the inner cartouche on the Museum</w:t>
      </w:r>
      <w:r w:rsidR="00AB5466">
        <w:rPr>
          <w:sz w:val="24"/>
          <w:szCs w:val="24"/>
        </w:rPr>
        <w:t>’</w:t>
      </w:r>
      <w:r w:rsidRPr="00513DCC">
        <w:rPr>
          <w:sz w:val="24"/>
          <w:szCs w:val="24"/>
        </w:rPr>
        <w:t xml:space="preserve">s </w:t>
      </w:r>
      <w:r w:rsidRPr="00E673EE">
        <w:rPr>
          <w:iCs/>
          <w:sz w:val="24"/>
          <w:szCs w:val="24"/>
        </w:rPr>
        <w:t>commode</w:t>
      </w:r>
      <w:r w:rsidRPr="00AB5466">
        <w:rPr>
          <w:iCs/>
          <w:sz w:val="24"/>
          <w:szCs w:val="24"/>
        </w:rPr>
        <w:t xml:space="preserve"> </w:t>
      </w:r>
      <w:r w:rsidRPr="00513DCC">
        <w:rPr>
          <w:sz w:val="24"/>
          <w:szCs w:val="24"/>
        </w:rPr>
        <w:t xml:space="preserve">carefully follow the profile of the Japanese lacquer panel, those on the royal </w:t>
      </w:r>
      <w:r w:rsidRPr="008C0024">
        <w:rPr>
          <w:iCs/>
          <w:sz w:val="24"/>
          <w:szCs w:val="24"/>
        </w:rPr>
        <w:t xml:space="preserve">commode </w:t>
      </w:r>
      <w:r w:rsidRPr="00513DCC">
        <w:rPr>
          <w:sz w:val="24"/>
          <w:szCs w:val="24"/>
        </w:rPr>
        <w:t>do not. They contain a panel of elongated horizontal format, of the sort that might have been found on the front of a trunk with a rounded lid or on top of a rectangular cabinet.</w:t>
      </w:r>
      <w:r w:rsidRPr="00513DCC">
        <w:rPr>
          <w:rStyle w:val="FootnoteCharacters"/>
          <w:sz w:val="24"/>
          <w:szCs w:val="24"/>
        </w:rPr>
        <w:endnoteReference w:id="9"/>
      </w:r>
      <w:r w:rsidRPr="00513DCC">
        <w:rPr>
          <w:sz w:val="24"/>
          <w:szCs w:val="24"/>
        </w:rPr>
        <w:t xml:space="preserve"> Because these framing mounts are nevertheless formed in a wider cartouche, it could be argued that the Museum’s more carefully </w:t>
      </w:r>
      <w:r w:rsidRPr="00513DCC">
        <w:rPr>
          <w:sz w:val="24"/>
          <w:szCs w:val="24"/>
        </w:rPr>
        <w:lastRenderedPageBreak/>
        <w:t xml:space="preserve">designed </w:t>
      </w:r>
      <w:r w:rsidRPr="00E673EE">
        <w:rPr>
          <w:iCs/>
          <w:sz w:val="24"/>
          <w:szCs w:val="24"/>
        </w:rPr>
        <w:t>commode</w:t>
      </w:r>
      <w:r w:rsidRPr="00513DCC">
        <w:rPr>
          <w:sz w:val="24"/>
          <w:szCs w:val="24"/>
        </w:rPr>
        <w:t xml:space="preserve"> is the prototype. Although the mounts have been determined to be late nineteenth</w:t>
      </w:r>
      <w:r w:rsidR="008C0024">
        <w:rPr>
          <w:sz w:val="24"/>
          <w:szCs w:val="24"/>
        </w:rPr>
        <w:t>-</w:t>
      </w:r>
      <w:r w:rsidRPr="00513DCC">
        <w:rPr>
          <w:sz w:val="24"/>
          <w:szCs w:val="24"/>
        </w:rPr>
        <w:t xml:space="preserve"> or early twentieth</w:t>
      </w:r>
      <w:r w:rsidR="008C0024">
        <w:rPr>
          <w:sz w:val="24"/>
          <w:szCs w:val="24"/>
        </w:rPr>
        <w:t>-</w:t>
      </w:r>
      <w:r w:rsidRPr="00513DCC">
        <w:rPr>
          <w:sz w:val="24"/>
          <w:szCs w:val="24"/>
        </w:rPr>
        <w:t xml:space="preserve">century replacements, it is likely that they are copies of the original mounts (See </w:t>
      </w:r>
      <w:r w:rsidR="008C0024">
        <w:rPr>
          <w:sz w:val="24"/>
          <w:szCs w:val="24"/>
        </w:rPr>
        <w:t>“</w:t>
      </w:r>
      <w:r w:rsidRPr="00513DCC">
        <w:rPr>
          <w:sz w:val="24"/>
          <w:szCs w:val="24"/>
        </w:rPr>
        <w:t xml:space="preserve">Technical </w:t>
      </w:r>
      <w:r w:rsidR="008C0024">
        <w:rPr>
          <w:sz w:val="24"/>
          <w:szCs w:val="24"/>
        </w:rPr>
        <w:t>Description” below</w:t>
      </w:r>
      <w:r w:rsidRPr="00513DCC">
        <w:rPr>
          <w:sz w:val="24"/>
          <w:szCs w:val="24"/>
        </w:rPr>
        <w:t xml:space="preserve">). </w:t>
      </w:r>
    </w:p>
    <w:p w14:paraId="1B5392BA" w14:textId="476ECE01" w:rsidR="00506916" w:rsidRPr="00513DCC" w:rsidRDefault="00ED2EBE"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sz w:val="24"/>
          <w:szCs w:val="24"/>
        </w:rPr>
        <w:tab/>
        <w:t xml:space="preserve">Two other </w:t>
      </w:r>
      <w:r w:rsidRPr="00E673EE">
        <w:rPr>
          <w:iCs/>
          <w:sz w:val="24"/>
          <w:szCs w:val="24"/>
        </w:rPr>
        <w:t>commodes</w:t>
      </w:r>
      <w:r w:rsidRPr="008C0024">
        <w:rPr>
          <w:iCs/>
          <w:sz w:val="24"/>
          <w:szCs w:val="24"/>
        </w:rPr>
        <w:t xml:space="preserve"> </w:t>
      </w:r>
      <w:r w:rsidRPr="00513DCC">
        <w:rPr>
          <w:sz w:val="24"/>
          <w:szCs w:val="24"/>
        </w:rPr>
        <w:t xml:space="preserve">by </w:t>
      </w:r>
      <w:r w:rsidR="008C0024">
        <w:rPr>
          <w:sz w:val="24"/>
          <w:szCs w:val="24"/>
        </w:rPr>
        <w:t>V</w:t>
      </w:r>
      <w:r w:rsidRPr="00513DCC">
        <w:rPr>
          <w:sz w:val="24"/>
          <w:szCs w:val="24"/>
        </w:rPr>
        <w:t>an Risenburgh of this size exist. One was formerly in the Wrightsman collection</w:t>
      </w:r>
      <w:r w:rsidR="008C0024">
        <w:rPr>
          <w:sz w:val="24"/>
          <w:szCs w:val="24"/>
        </w:rPr>
        <w:t>,</w:t>
      </w:r>
      <w:r w:rsidRPr="00513DCC">
        <w:rPr>
          <w:rStyle w:val="FootnoteCharacters"/>
          <w:sz w:val="24"/>
          <w:szCs w:val="24"/>
        </w:rPr>
        <w:endnoteReference w:id="10"/>
      </w:r>
      <w:r w:rsidRPr="00513DCC">
        <w:rPr>
          <w:sz w:val="24"/>
          <w:szCs w:val="24"/>
        </w:rPr>
        <w:t xml:space="preserve"> and the other </w:t>
      </w:r>
      <w:r w:rsidR="008C0024">
        <w:rPr>
          <w:sz w:val="24"/>
          <w:szCs w:val="24"/>
        </w:rPr>
        <w:t xml:space="preserve">was </w:t>
      </w:r>
      <w:r w:rsidRPr="00513DCC">
        <w:rPr>
          <w:sz w:val="24"/>
          <w:szCs w:val="24"/>
        </w:rPr>
        <w:t xml:space="preserve">in </w:t>
      </w:r>
      <w:r w:rsidR="008C0024">
        <w:rPr>
          <w:sz w:val="24"/>
          <w:szCs w:val="24"/>
        </w:rPr>
        <w:t>the collection</w:t>
      </w:r>
      <w:r w:rsidRPr="00513DCC">
        <w:rPr>
          <w:sz w:val="24"/>
          <w:szCs w:val="24"/>
        </w:rPr>
        <w:t xml:space="preserve"> of the Marquess of Lansdowne.</w:t>
      </w:r>
      <w:r w:rsidRPr="00513DCC">
        <w:rPr>
          <w:rStyle w:val="FootnoteCharacters"/>
          <w:sz w:val="24"/>
          <w:szCs w:val="24"/>
        </w:rPr>
        <w:endnoteReference w:id="11"/>
      </w:r>
      <w:r w:rsidRPr="00513DCC">
        <w:rPr>
          <w:sz w:val="24"/>
          <w:szCs w:val="24"/>
        </w:rPr>
        <w:t xml:space="preserve"> </w:t>
      </w:r>
      <w:r w:rsidR="00506916" w:rsidRPr="00513DCC">
        <w:rPr>
          <w:sz w:val="24"/>
          <w:szCs w:val="24"/>
        </w:rPr>
        <w:t>They are both similarly mounted but decorated on the front with three panels of lacquer, the vertical seam covered by gilt bronze mounts, thus forming a tripartite front. These divisions, whether to hide the seam or outline cartouches</w:t>
      </w:r>
      <w:r w:rsidR="006A36C7" w:rsidRPr="00513DCC">
        <w:rPr>
          <w:sz w:val="24"/>
          <w:szCs w:val="24"/>
        </w:rPr>
        <w:t>,</w:t>
      </w:r>
      <w:r w:rsidR="00506916" w:rsidRPr="00513DCC">
        <w:rPr>
          <w:sz w:val="24"/>
          <w:szCs w:val="24"/>
        </w:rPr>
        <w:t xml:space="preserve"> were novel</w:t>
      </w:r>
      <w:r w:rsidR="00A22829" w:rsidRPr="00513DCC">
        <w:rPr>
          <w:sz w:val="24"/>
          <w:szCs w:val="24"/>
        </w:rPr>
        <w:t xml:space="preserve"> and</w:t>
      </w:r>
      <w:r w:rsidR="00506916" w:rsidRPr="00513DCC">
        <w:rPr>
          <w:sz w:val="24"/>
          <w:szCs w:val="24"/>
        </w:rPr>
        <w:t xml:space="preserve"> developed later in the century into a more extreme form by </w:t>
      </w:r>
      <w:r w:rsidR="00506916" w:rsidRPr="00513DCC">
        <w:rPr>
          <w:i/>
          <w:sz w:val="24"/>
          <w:szCs w:val="24"/>
        </w:rPr>
        <w:t>ébénistes</w:t>
      </w:r>
      <w:r w:rsidR="00506916" w:rsidRPr="00513DCC">
        <w:rPr>
          <w:sz w:val="24"/>
          <w:szCs w:val="24"/>
        </w:rPr>
        <w:t xml:space="preserve"> such as Jean</w:t>
      </w:r>
      <w:r w:rsidR="00FA55AA" w:rsidRPr="00513DCC">
        <w:rPr>
          <w:sz w:val="24"/>
          <w:szCs w:val="24"/>
        </w:rPr>
        <w:t xml:space="preserve"> </w:t>
      </w:r>
      <w:r w:rsidR="00506916" w:rsidRPr="00513DCC">
        <w:rPr>
          <w:sz w:val="24"/>
          <w:szCs w:val="24"/>
        </w:rPr>
        <w:t>Henri Riesener working in the neoclassical style.</w:t>
      </w:r>
    </w:p>
    <w:p w14:paraId="7030AA3B" w14:textId="77777777" w:rsidR="00506916" w:rsidRPr="00513DCC" w:rsidRDefault="00506916"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15FF9046" w14:textId="2722C350" w:rsidR="00506916" w:rsidRPr="00790BB7" w:rsidRDefault="00506916" w:rsidP="008C0024">
      <w:pPr>
        <w:pStyle w:val="Heading2"/>
        <w:rPr>
          <w:rFonts w:asciiTheme="majorBidi" w:hAnsiTheme="majorBidi"/>
          <w:b/>
          <w:bCs/>
          <w:i/>
          <w:iCs/>
          <w:color w:val="auto"/>
          <w:sz w:val="24"/>
          <w:szCs w:val="24"/>
          <w:lang w:val="fr-FR"/>
        </w:rPr>
      </w:pPr>
      <w:r w:rsidRPr="00790BB7">
        <w:rPr>
          <w:rFonts w:asciiTheme="majorBidi" w:hAnsiTheme="majorBidi"/>
          <w:b/>
          <w:bCs/>
          <w:i/>
          <w:iCs/>
          <w:color w:val="auto"/>
          <w:sz w:val="24"/>
          <w:szCs w:val="24"/>
          <w:lang w:val="fr-FR"/>
        </w:rPr>
        <w:t>Provenance</w:t>
      </w:r>
    </w:p>
    <w:p w14:paraId="7BABA9B4" w14:textId="77777777" w:rsidR="008C0024" w:rsidRPr="00790BB7" w:rsidRDefault="008C0024" w:rsidP="008C0024">
      <w:pPr>
        <w:rPr>
          <w:lang w:val="fr-FR"/>
        </w:rPr>
      </w:pPr>
    </w:p>
    <w:p w14:paraId="2BF72BAC" w14:textId="75337FEB" w:rsidR="00F01F73" w:rsidRPr="00513DCC" w:rsidRDefault="008C0024" w:rsidP="008C0024">
      <w:pPr>
        <w:widowControl w:val="0"/>
        <w:tabs>
          <w:tab w:val="right" w:pos="3240"/>
          <w:tab w:val="left" w:pos="3360"/>
          <w:tab w:val="left" w:pos="4920"/>
        </w:tabs>
        <w:spacing w:line="480" w:lineRule="auto"/>
        <w:rPr>
          <w:color w:val="000000"/>
          <w:sz w:val="24"/>
          <w:szCs w:val="24"/>
        </w:rPr>
      </w:pPr>
      <w:r w:rsidRPr="00790BB7">
        <w:rPr>
          <w:color w:val="000000"/>
          <w:sz w:val="24"/>
          <w:szCs w:val="24"/>
          <w:lang w:val="fr-FR"/>
        </w:rPr>
        <w:t>–</w:t>
      </w:r>
      <w:r w:rsidR="00846BCF" w:rsidRPr="00790BB7">
        <w:rPr>
          <w:color w:val="000000"/>
          <w:sz w:val="24"/>
          <w:szCs w:val="24"/>
          <w:lang w:val="fr-FR"/>
        </w:rPr>
        <w:t>ca.</w:t>
      </w:r>
      <w:r w:rsidR="00F01F73" w:rsidRPr="00790BB7">
        <w:rPr>
          <w:color w:val="000000"/>
          <w:sz w:val="24"/>
          <w:szCs w:val="24"/>
          <w:lang w:val="fr-FR"/>
        </w:rPr>
        <w:t xml:space="preserve"> 1951</w:t>
      </w:r>
      <w:r w:rsidRPr="00790BB7">
        <w:rPr>
          <w:color w:val="000000"/>
          <w:sz w:val="24"/>
          <w:szCs w:val="24"/>
          <w:lang w:val="fr-FR"/>
        </w:rPr>
        <w:t>: R</w:t>
      </w:r>
      <w:r w:rsidR="00F01F73" w:rsidRPr="00790BB7">
        <w:rPr>
          <w:color w:val="000000"/>
          <w:sz w:val="24"/>
          <w:szCs w:val="24"/>
          <w:lang w:val="fr-FR"/>
        </w:rPr>
        <w:t>ené Weiller (Paris, France)</w:t>
      </w:r>
      <w:r w:rsidRPr="00790BB7">
        <w:rPr>
          <w:color w:val="000000"/>
          <w:sz w:val="24"/>
          <w:szCs w:val="24"/>
          <w:lang w:val="fr-FR"/>
        </w:rPr>
        <w:t>;  –</w:t>
      </w:r>
      <w:r w:rsidR="00F01F73" w:rsidRPr="00790BB7">
        <w:rPr>
          <w:color w:val="000000"/>
          <w:sz w:val="24"/>
          <w:szCs w:val="24"/>
          <w:lang w:val="fr-FR"/>
        </w:rPr>
        <w:t>1953</w:t>
      </w:r>
      <w:r w:rsidRPr="00790BB7">
        <w:rPr>
          <w:color w:val="000000"/>
          <w:sz w:val="24"/>
          <w:szCs w:val="24"/>
          <w:lang w:val="fr-FR"/>
        </w:rPr>
        <w:t xml:space="preserve">: </w:t>
      </w:r>
      <w:r w:rsidR="00F01F73" w:rsidRPr="00790BB7">
        <w:rPr>
          <w:color w:val="000000"/>
          <w:sz w:val="24"/>
          <w:szCs w:val="24"/>
          <w:lang w:val="fr-FR"/>
        </w:rPr>
        <w:t xml:space="preserve">Rosenberg &amp; Stiebel, Inc. </w:t>
      </w:r>
      <w:r w:rsidR="00F01F73" w:rsidRPr="00513DCC">
        <w:rPr>
          <w:color w:val="000000"/>
          <w:sz w:val="24"/>
          <w:szCs w:val="24"/>
        </w:rPr>
        <w:t xml:space="preserve">(New York, </w:t>
      </w:r>
      <w:r w:rsidR="0099556D">
        <w:rPr>
          <w:color w:val="000000"/>
          <w:sz w:val="24"/>
          <w:szCs w:val="24"/>
        </w:rPr>
        <w:t>NY</w:t>
      </w:r>
      <w:r w:rsidR="00F01F73" w:rsidRPr="00513DCC">
        <w:rPr>
          <w:color w:val="000000"/>
          <w:sz w:val="24"/>
          <w:szCs w:val="24"/>
        </w:rPr>
        <w:t>), sold to J. Paul Getty, 1953</w:t>
      </w:r>
      <w:r>
        <w:rPr>
          <w:color w:val="000000"/>
          <w:sz w:val="24"/>
          <w:szCs w:val="24"/>
        </w:rPr>
        <w:t xml:space="preserve">; </w:t>
      </w:r>
      <w:r w:rsidR="00F01F73" w:rsidRPr="00513DCC">
        <w:rPr>
          <w:color w:val="000000"/>
          <w:sz w:val="24"/>
          <w:szCs w:val="24"/>
        </w:rPr>
        <w:t>1953</w:t>
      </w:r>
      <w:r>
        <w:rPr>
          <w:color w:val="000000"/>
          <w:sz w:val="24"/>
          <w:szCs w:val="24"/>
        </w:rPr>
        <w:t>–</w:t>
      </w:r>
      <w:r w:rsidR="00F01F73" w:rsidRPr="00513DCC">
        <w:rPr>
          <w:color w:val="000000"/>
          <w:sz w:val="24"/>
          <w:szCs w:val="24"/>
        </w:rPr>
        <w:t>65</w:t>
      </w:r>
      <w:r>
        <w:rPr>
          <w:color w:val="000000"/>
          <w:sz w:val="24"/>
          <w:szCs w:val="24"/>
        </w:rPr>
        <w:t xml:space="preserve">: </w:t>
      </w:r>
      <w:r w:rsidR="00F01F73" w:rsidRPr="00513DCC">
        <w:rPr>
          <w:color w:val="000000"/>
          <w:sz w:val="24"/>
          <w:szCs w:val="24"/>
        </w:rPr>
        <w:t>J. Paul Getty, American, 1892</w:t>
      </w:r>
      <w:r>
        <w:rPr>
          <w:color w:val="000000"/>
          <w:sz w:val="24"/>
          <w:szCs w:val="24"/>
        </w:rPr>
        <w:t>–</w:t>
      </w:r>
      <w:r w:rsidR="00F01F73" w:rsidRPr="00513DCC">
        <w:rPr>
          <w:color w:val="000000"/>
          <w:sz w:val="24"/>
          <w:szCs w:val="24"/>
        </w:rPr>
        <w:t>1976, donated to the J. Paul Getty Museum, 1965.</w:t>
      </w:r>
    </w:p>
    <w:p w14:paraId="445325D9" w14:textId="77777777" w:rsidR="006319D3" w:rsidRPr="00513DCC" w:rsidRDefault="006319D3" w:rsidP="00F01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44DFD0CC" w14:textId="7A715334" w:rsidR="006319D3" w:rsidRPr="00790BB7" w:rsidRDefault="006319D3" w:rsidP="008C0024">
      <w:pPr>
        <w:pStyle w:val="Heading2"/>
        <w:rPr>
          <w:rFonts w:asciiTheme="majorBidi" w:hAnsiTheme="majorBidi"/>
          <w:b/>
          <w:bCs/>
          <w:i/>
          <w:iCs/>
          <w:color w:val="auto"/>
          <w:sz w:val="24"/>
          <w:szCs w:val="24"/>
        </w:rPr>
      </w:pPr>
      <w:r w:rsidRPr="00790BB7">
        <w:rPr>
          <w:rFonts w:asciiTheme="majorBidi" w:hAnsiTheme="majorBidi"/>
          <w:b/>
          <w:bCs/>
          <w:i/>
          <w:iCs/>
          <w:color w:val="auto"/>
          <w:sz w:val="24"/>
          <w:szCs w:val="24"/>
        </w:rPr>
        <w:t>Exhibition History</w:t>
      </w:r>
    </w:p>
    <w:p w14:paraId="6891F7A3" w14:textId="77777777" w:rsidR="008C0024" w:rsidRPr="008C0024" w:rsidRDefault="008C0024" w:rsidP="008C0024"/>
    <w:p w14:paraId="6954CB47" w14:textId="53BF552E" w:rsidR="006319D3" w:rsidRPr="00513DCC" w:rsidRDefault="006319D3" w:rsidP="00F01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r w:rsidRPr="00513DCC">
        <w:rPr>
          <w:i/>
          <w:sz w:val="24"/>
          <w:szCs w:val="24"/>
        </w:rPr>
        <w:t>Tales in Sprinkled Gold: Japanese Lacquer for European Collectors</w:t>
      </w:r>
      <w:r w:rsidR="008C0024">
        <w:rPr>
          <w:iCs/>
          <w:sz w:val="24"/>
          <w:szCs w:val="24"/>
        </w:rPr>
        <w:t xml:space="preserve">, </w:t>
      </w:r>
      <w:r w:rsidRPr="00513DCC">
        <w:rPr>
          <w:sz w:val="24"/>
          <w:szCs w:val="24"/>
        </w:rPr>
        <w:t>J. Paul Getty Museum at the Get</w:t>
      </w:r>
      <w:r w:rsidR="00EF7D17">
        <w:rPr>
          <w:sz w:val="24"/>
          <w:szCs w:val="24"/>
        </w:rPr>
        <w:t xml:space="preserve">ty Center (Los Angeles), March </w:t>
      </w:r>
      <w:r w:rsidRPr="00513DCC">
        <w:rPr>
          <w:sz w:val="24"/>
          <w:szCs w:val="24"/>
        </w:rPr>
        <w:t>3</w:t>
      </w:r>
      <w:r w:rsidR="008C0024">
        <w:rPr>
          <w:sz w:val="24"/>
          <w:szCs w:val="24"/>
        </w:rPr>
        <w:t>–</w:t>
      </w:r>
      <w:r w:rsidRPr="00513DCC">
        <w:rPr>
          <w:sz w:val="24"/>
          <w:szCs w:val="24"/>
        </w:rPr>
        <w:t>May 24, 2009.</w:t>
      </w:r>
    </w:p>
    <w:p w14:paraId="75075D00" w14:textId="77777777" w:rsidR="006319D3" w:rsidRPr="00513DCC" w:rsidRDefault="006319D3" w:rsidP="00F01F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sz w:val="24"/>
          <w:szCs w:val="24"/>
        </w:rPr>
      </w:pPr>
    </w:p>
    <w:p w14:paraId="3687ACA8" w14:textId="39C3A25A" w:rsidR="00506916" w:rsidRPr="00790BB7" w:rsidRDefault="00506916" w:rsidP="008C0024">
      <w:pPr>
        <w:pStyle w:val="Heading2"/>
        <w:rPr>
          <w:rFonts w:asciiTheme="majorBidi" w:hAnsiTheme="majorBidi"/>
          <w:b/>
          <w:bCs/>
          <w:i/>
          <w:iCs/>
          <w:color w:val="auto"/>
          <w:sz w:val="24"/>
          <w:szCs w:val="24"/>
        </w:rPr>
      </w:pPr>
      <w:r w:rsidRPr="00790BB7">
        <w:rPr>
          <w:rFonts w:asciiTheme="majorBidi" w:hAnsiTheme="majorBidi"/>
          <w:b/>
          <w:bCs/>
          <w:i/>
          <w:iCs/>
          <w:color w:val="auto"/>
          <w:sz w:val="24"/>
          <w:szCs w:val="24"/>
        </w:rPr>
        <w:t>Bibliography</w:t>
      </w:r>
    </w:p>
    <w:p w14:paraId="21382479" w14:textId="77777777" w:rsidR="008C0024" w:rsidRPr="008C0024" w:rsidRDefault="008C0024" w:rsidP="008C0024"/>
    <w:p w14:paraId="701CDD63" w14:textId="02BDDC5F" w:rsidR="0099556D" w:rsidRPr="0099556D" w:rsidRDefault="0099556D" w:rsidP="0099556D">
      <w:pPr>
        <w:widowControl w:val="0"/>
        <w:tabs>
          <w:tab w:val="right" w:pos="3240"/>
          <w:tab w:val="left" w:pos="3360"/>
        </w:tabs>
        <w:spacing w:line="480" w:lineRule="auto"/>
        <w:rPr>
          <w:color w:val="000000"/>
          <w:sz w:val="24"/>
          <w:szCs w:val="24"/>
        </w:rPr>
      </w:pPr>
      <w:r w:rsidRPr="0099556D">
        <w:rPr>
          <w:color w:val="000000"/>
          <w:sz w:val="24"/>
          <w:szCs w:val="24"/>
        </w:rPr>
        <w:t>{{Wescher 1955}}, 118, 121</w:t>
      </w:r>
      <w:r w:rsidRPr="0099556D">
        <w:rPr>
          <w:color w:val="000000"/>
          <w:sz w:val="24"/>
          <w:szCs w:val="24"/>
        </w:rPr>
        <w:noBreakHyphen/>
        <w:t xml:space="preserve">22, 128, fig. 11; {{Watson 1966}}, vol. 1, 152; {{Huth 1971}}, </w:t>
      </w:r>
      <w:r w:rsidRPr="0099556D">
        <w:rPr>
          <w:color w:val="000000"/>
          <w:sz w:val="24"/>
          <w:szCs w:val="24"/>
        </w:rPr>
        <w:lastRenderedPageBreak/>
        <w:t xml:space="preserve">91, n.p, fig. 238; {{Wilson 1975}}, 113, ill.; {{Alcouffe 1988}}, 282, 284, fig. 4; {{Kjellberg 1989}}, 139; {{Bremer-David  et al. 1993}}, 25, no. 24; {{Wolvesperges 2000}}, 164–65, fig. 77; {{Wilson and Hess 2001}}, 14. no. 24; {{Heginbotham and Schilling 2011}}, 92–93, 95, figs. 1, 5; {{Heginbotham 2014}}, 152, fig. 3; </w:t>
      </w:r>
      <w:r w:rsidRPr="0099556D">
        <w:rPr>
          <w:iCs/>
          <w:color w:val="000000"/>
          <w:sz w:val="24"/>
          <w:szCs w:val="24"/>
        </w:rPr>
        <w:t>{{</w:t>
      </w:r>
      <w:r w:rsidR="00961484">
        <w:rPr>
          <w:i/>
          <w:color w:val="000000"/>
          <w:sz w:val="24"/>
          <w:szCs w:val="24"/>
        </w:rPr>
        <w:t>18th</w:t>
      </w:r>
      <w:r w:rsidRPr="0099556D">
        <w:rPr>
          <w:i/>
          <w:iCs/>
          <w:color w:val="000000"/>
          <w:sz w:val="24"/>
          <w:szCs w:val="24"/>
        </w:rPr>
        <w:t xml:space="preserve"> Century: Birth of Design </w:t>
      </w:r>
      <w:r w:rsidRPr="0099556D">
        <w:rPr>
          <w:iCs/>
          <w:color w:val="000000"/>
          <w:sz w:val="24"/>
          <w:szCs w:val="24"/>
        </w:rPr>
        <w:t xml:space="preserve">2014}}, </w:t>
      </w:r>
      <w:r w:rsidRPr="0099556D">
        <w:rPr>
          <w:color w:val="000000"/>
          <w:sz w:val="24"/>
          <w:szCs w:val="24"/>
        </w:rPr>
        <w:t>136–37.</w:t>
      </w:r>
    </w:p>
    <w:p w14:paraId="177A85A5" w14:textId="77777777" w:rsidR="008C0024" w:rsidRPr="008C0024" w:rsidRDefault="008C0024"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rPr>
          <w:b/>
          <w:bCs/>
          <w:sz w:val="24"/>
          <w:szCs w:val="24"/>
        </w:rPr>
      </w:pPr>
    </w:p>
    <w:p w14:paraId="653F382F" w14:textId="7AF79150" w:rsidR="00A37281" w:rsidRPr="00790BB7" w:rsidRDefault="00A37281" w:rsidP="008C0024">
      <w:pPr>
        <w:pStyle w:val="Heading2"/>
        <w:rPr>
          <w:rFonts w:asciiTheme="majorBidi" w:hAnsiTheme="majorBidi"/>
          <w:b/>
          <w:bCs/>
          <w:i/>
          <w:iCs/>
          <w:color w:val="auto"/>
          <w:sz w:val="24"/>
          <w:szCs w:val="24"/>
        </w:rPr>
      </w:pPr>
      <w:r w:rsidRPr="00790BB7">
        <w:rPr>
          <w:rFonts w:asciiTheme="majorBidi" w:hAnsiTheme="majorBidi"/>
          <w:b/>
          <w:bCs/>
          <w:i/>
          <w:iCs/>
          <w:color w:val="auto"/>
          <w:sz w:val="24"/>
          <w:szCs w:val="24"/>
        </w:rPr>
        <w:t>Technical Description</w:t>
      </w:r>
    </w:p>
    <w:p w14:paraId="068EACF7" w14:textId="77777777" w:rsidR="008C0024" w:rsidRPr="008C0024" w:rsidRDefault="008C0024" w:rsidP="008C0024"/>
    <w:p w14:paraId="455B60CE" w14:textId="3D8DC7FB"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sidRPr="00A37281">
        <w:rPr>
          <w:sz w:val="24"/>
          <w:szCs w:val="24"/>
        </w:rPr>
        <w:t>The carcass of the commode is made primarily of white oak. The four corner posts run from the floor to the top of the case and are shaped from massive blocks measuring approximately 8.5 cm</w:t>
      </w:r>
      <w:r w:rsidR="008C0024">
        <w:rPr>
          <w:sz w:val="24"/>
          <w:szCs w:val="24"/>
        </w:rPr>
        <w:t xml:space="preserve"> wide</w:t>
      </w:r>
      <w:r w:rsidRPr="00A37281">
        <w:rPr>
          <w:sz w:val="24"/>
          <w:szCs w:val="24"/>
        </w:rPr>
        <w:t xml:space="preserve"> x 10 cm</w:t>
      </w:r>
      <w:r w:rsidR="008C0024">
        <w:rPr>
          <w:sz w:val="24"/>
          <w:szCs w:val="24"/>
        </w:rPr>
        <w:t xml:space="preserve"> deep</w:t>
      </w:r>
      <w:r w:rsidRPr="00A37281">
        <w:rPr>
          <w:sz w:val="24"/>
          <w:szCs w:val="24"/>
        </w:rPr>
        <w:t xml:space="preserve"> in section. The two front posts are made of single blocks of wood</w:t>
      </w:r>
      <w:r w:rsidR="008C0024">
        <w:rPr>
          <w:sz w:val="24"/>
          <w:szCs w:val="24"/>
        </w:rPr>
        <w:t>,</w:t>
      </w:r>
      <w:r w:rsidRPr="00A37281">
        <w:rPr>
          <w:sz w:val="24"/>
          <w:szCs w:val="24"/>
        </w:rPr>
        <w:t xml:space="preserve"> while each of the rear posts is made of two pieces: a 6.5</w:t>
      </w:r>
      <w:r w:rsidR="008C0024">
        <w:rPr>
          <w:sz w:val="24"/>
          <w:szCs w:val="24"/>
        </w:rPr>
        <w:t>-</w:t>
      </w:r>
      <w:r w:rsidRPr="00A37281">
        <w:rPr>
          <w:sz w:val="24"/>
          <w:szCs w:val="24"/>
        </w:rPr>
        <w:t>cm</w:t>
      </w:r>
      <w:r w:rsidR="008C0024">
        <w:rPr>
          <w:sz w:val="24"/>
          <w:szCs w:val="24"/>
        </w:rPr>
        <w:t>-</w:t>
      </w:r>
      <w:r w:rsidRPr="00A37281">
        <w:rPr>
          <w:sz w:val="24"/>
          <w:szCs w:val="24"/>
        </w:rPr>
        <w:t>wide post with a 2</w:t>
      </w:r>
      <w:r w:rsidR="008C0024">
        <w:rPr>
          <w:sz w:val="24"/>
          <w:szCs w:val="24"/>
        </w:rPr>
        <w:t>-</w:t>
      </w:r>
      <w:r w:rsidRPr="00A37281">
        <w:rPr>
          <w:sz w:val="24"/>
          <w:szCs w:val="24"/>
        </w:rPr>
        <w:t>cm</w:t>
      </w:r>
      <w:r w:rsidR="008C0024">
        <w:rPr>
          <w:sz w:val="24"/>
          <w:szCs w:val="24"/>
        </w:rPr>
        <w:t>-</w:t>
      </w:r>
      <w:r w:rsidRPr="00A37281">
        <w:rPr>
          <w:sz w:val="24"/>
          <w:szCs w:val="24"/>
        </w:rPr>
        <w:t>thick board laminated to its outside edge. Each of the side panels is made of five horizontal boards, butt-joined, and is attached to the front and rear posts with tongue</w:t>
      </w:r>
      <w:r w:rsidR="008C0024">
        <w:rPr>
          <w:sz w:val="24"/>
          <w:szCs w:val="24"/>
        </w:rPr>
        <w:t>-</w:t>
      </w:r>
      <w:r w:rsidRPr="00A37281">
        <w:rPr>
          <w:sz w:val="24"/>
          <w:szCs w:val="24"/>
        </w:rPr>
        <w:t>and</w:t>
      </w:r>
      <w:r w:rsidR="008C0024">
        <w:rPr>
          <w:sz w:val="24"/>
          <w:szCs w:val="24"/>
        </w:rPr>
        <w:t>-</w:t>
      </w:r>
      <w:r w:rsidRPr="00A37281">
        <w:rPr>
          <w:sz w:val="24"/>
          <w:szCs w:val="24"/>
        </w:rPr>
        <w:t>groove joints</w:t>
      </w:r>
      <w:r w:rsidRPr="005C152D">
        <w:rPr>
          <w:sz w:val="24"/>
          <w:szCs w:val="24"/>
        </w:rPr>
        <w:t>.</w:t>
      </w:r>
    </w:p>
    <w:p w14:paraId="5D9D90BB" w14:textId="7F243EA6"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The case bottom is made as a bipartite frame-and-panel construction. The front, side</w:t>
      </w:r>
      <w:r w:rsidR="008C0024">
        <w:rPr>
          <w:sz w:val="24"/>
          <w:szCs w:val="24"/>
        </w:rPr>
        <w:t>,</w:t>
      </w:r>
      <w:r w:rsidRPr="00A37281">
        <w:rPr>
          <w:sz w:val="24"/>
          <w:szCs w:val="24"/>
        </w:rPr>
        <w:t xml:space="preserve"> and rear rails are all attached to the corner posts with horizontal sliding dovetails whose mortises run through the entire thickness of the posts</w:t>
      </w:r>
      <w:r w:rsidR="00D435AA">
        <w:rPr>
          <w:sz w:val="24"/>
          <w:szCs w:val="24"/>
        </w:rPr>
        <w:t xml:space="preserve"> </w:t>
      </w:r>
      <w:r w:rsidR="00D435AA">
        <w:rPr>
          <w:bCs/>
          <w:sz w:val="24"/>
          <w:szCs w:val="24"/>
        </w:rPr>
        <w:t>(</w:t>
      </w:r>
      <w:hyperlink w:anchor="fig-5-4" w:history="1">
        <w:r w:rsidR="00D435AA" w:rsidRPr="008C0024">
          <w:rPr>
            <w:rStyle w:val="Hyperlink"/>
            <w:bCs/>
            <w:sz w:val="24"/>
            <w:szCs w:val="24"/>
          </w:rPr>
          <w:t>fig. 5-4</w:t>
        </w:r>
      </w:hyperlink>
      <w:r w:rsidR="00D435AA">
        <w:rPr>
          <w:bCs/>
          <w:sz w:val="24"/>
          <w:szCs w:val="24"/>
        </w:rPr>
        <w:t>)</w:t>
      </w:r>
      <w:r w:rsidRPr="005C152D">
        <w:rPr>
          <w:sz w:val="24"/>
          <w:szCs w:val="24"/>
        </w:rPr>
        <w:t>;</w:t>
      </w:r>
      <w:r w:rsidRPr="00A37281">
        <w:rPr>
          <w:sz w:val="24"/>
          <w:szCs w:val="24"/>
        </w:rPr>
        <w:t xml:space="preserve"> the medial rail is joined to the frame at the front and back with double pinned mortise</w:t>
      </w:r>
      <w:r w:rsidR="008C0024">
        <w:rPr>
          <w:sz w:val="24"/>
          <w:szCs w:val="24"/>
        </w:rPr>
        <w:t>-</w:t>
      </w:r>
      <w:r w:rsidRPr="00A37281">
        <w:rPr>
          <w:sz w:val="24"/>
          <w:szCs w:val="24"/>
        </w:rPr>
        <w:t>and</w:t>
      </w:r>
      <w:r w:rsidR="008C0024">
        <w:rPr>
          <w:sz w:val="24"/>
          <w:szCs w:val="24"/>
        </w:rPr>
        <w:t>-</w:t>
      </w:r>
      <w:r w:rsidRPr="00A37281">
        <w:rPr>
          <w:sz w:val="24"/>
          <w:szCs w:val="24"/>
        </w:rPr>
        <w:t>tenon joints. The panels are each made of four butt-joined boards</w:t>
      </w:r>
      <w:r w:rsidR="00B76CED">
        <w:rPr>
          <w:sz w:val="24"/>
          <w:szCs w:val="24"/>
        </w:rPr>
        <w:t>,</w:t>
      </w:r>
      <w:r w:rsidRPr="00A37281">
        <w:rPr>
          <w:sz w:val="24"/>
          <w:szCs w:val="24"/>
        </w:rPr>
        <w:t xml:space="preserve"> with the grain oriented front to back; the edges are </w:t>
      </w:r>
      <w:r w:rsidR="00B6196D">
        <w:rPr>
          <w:sz w:val="24"/>
          <w:szCs w:val="24"/>
        </w:rPr>
        <w:t>rab</w:t>
      </w:r>
      <w:r w:rsidR="0024545D">
        <w:rPr>
          <w:sz w:val="24"/>
          <w:szCs w:val="24"/>
        </w:rPr>
        <w:t>b</w:t>
      </w:r>
      <w:r w:rsidR="00B6196D">
        <w:rPr>
          <w:sz w:val="24"/>
          <w:szCs w:val="24"/>
        </w:rPr>
        <w:t>eted</w:t>
      </w:r>
      <w:r w:rsidR="00B6196D" w:rsidRPr="00A37281">
        <w:rPr>
          <w:sz w:val="24"/>
          <w:szCs w:val="24"/>
        </w:rPr>
        <w:t xml:space="preserve"> </w:t>
      </w:r>
      <w:r w:rsidRPr="00A37281">
        <w:rPr>
          <w:sz w:val="24"/>
          <w:szCs w:val="24"/>
        </w:rPr>
        <w:t xml:space="preserve">at the top such that the panels are flush with the frame on the inside of the case. The curved lower edge of the case front and sides runs below the rails of the case bottom; numerous short blocks of oak have simply been glued to the bottom of the rails and carved to shape in order to create this form.  </w:t>
      </w:r>
    </w:p>
    <w:p w14:paraId="00C6443B" w14:textId="0B499EF3"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The case top is also a bipartite frame</w:t>
      </w:r>
      <w:r w:rsidR="00846BCF">
        <w:rPr>
          <w:sz w:val="24"/>
          <w:szCs w:val="24"/>
        </w:rPr>
        <w:t>-</w:t>
      </w:r>
      <w:r w:rsidRPr="00A37281">
        <w:rPr>
          <w:sz w:val="24"/>
          <w:szCs w:val="24"/>
        </w:rPr>
        <w:t>and</w:t>
      </w:r>
      <w:r w:rsidR="00846BCF">
        <w:rPr>
          <w:sz w:val="24"/>
          <w:szCs w:val="24"/>
        </w:rPr>
        <w:t>-</w:t>
      </w:r>
      <w:r w:rsidRPr="00A37281">
        <w:rPr>
          <w:sz w:val="24"/>
          <w:szCs w:val="24"/>
        </w:rPr>
        <w:t>panel assembly with panels made from four butt-joined boards arranged with the grain running from front to back. The four perimeter rails are attached to the corner posts with single, open</w:t>
      </w:r>
      <w:r w:rsidR="00846BCF">
        <w:rPr>
          <w:sz w:val="24"/>
          <w:szCs w:val="24"/>
        </w:rPr>
        <w:t>-</w:t>
      </w:r>
      <w:r w:rsidRPr="00A37281">
        <w:rPr>
          <w:sz w:val="24"/>
          <w:szCs w:val="24"/>
        </w:rPr>
        <w:t>faced dovetails</w:t>
      </w:r>
      <w:r w:rsidR="0024545D">
        <w:rPr>
          <w:sz w:val="24"/>
          <w:szCs w:val="24"/>
        </w:rPr>
        <w:t xml:space="preserve"> </w:t>
      </w:r>
      <w:r w:rsidR="0024545D">
        <w:rPr>
          <w:bCs/>
          <w:sz w:val="24"/>
          <w:szCs w:val="24"/>
        </w:rPr>
        <w:t>(</w:t>
      </w:r>
      <w:hyperlink w:anchor="fig-5-5" w:history="1">
        <w:r w:rsidR="0024545D" w:rsidRPr="008C0024">
          <w:rPr>
            <w:rStyle w:val="Hyperlink"/>
            <w:bCs/>
            <w:sz w:val="24"/>
            <w:szCs w:val="24"/>
          </w:rPr>
          <w:t>fig. 5-5</w:t>
        </w:r>
      </w:hyperlink>
      <w:r w:rsidR="0024545D">
        <w:rPr>
          <w:bCs/>
          <w:sz w:val="24"/>
          <w:szCs w:val="24"/>
        </w:rPr>
        <w:t>)</w:t>
      </w:r>
      <w:r w:rsidRPr="00A37281">
        <w:rPr>
          <w:sz w:val="24"/>
          <w:szCs w:val="24"/>
        </w:rPr>
        <w:t xml:space="preserve">; the medial rail is joined </w:t>
      </w:r>
      <w:r w:rsidRPr="00A37281">
        <w:rPr>
          <w:sz w:val="24"/>
          <w:szCs w:val="24"/>
        </w:rPr>
        <w:lastRenderedPageBreak/>
        <w:t>at the front and back with double pinned mortise</w:t>
      </w:r>
      <w:r w:rsidR="00846BCF">
        <w:rPr>
          <w:sz w:val="24"/>
          <w:szCs w:val="24"/>
        </w:rPr>
        <w:t>-</w:t>
      </w:r>
      <w:r w:rsidRPr="00A37281">
        <w:rPr>
          <w:sz w:val="24"/>
          <w:szCs w:val="24"/>
        </w:rPr>
        <w:t>and</w:t>
      </w:r>
      <w:r w:rsidR="00846BCF">
        <w:rPr>
          <w:sz w:val="24"/>
          <w:szCs w:val="24"/>
        </w:rPr>
        <w:t>-</w:t>
      </w:r>
      <w:r w:rsidRPr="00A37281">
        <w:rPr>
          <w:sz w:val="24"/>
          <w:szCs w:val="24"/>
        </w:rPr>
        <w:t>tenon joints.</w:t>
      </w:r>
    </w:p>
    <w:p w14:paraId="51344D4B" w14:textId="5FBBB428"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The case back</w:t>
      </w:r>
      <w:r w:rsidR="007F324F">
        <w:rPr>
          <w:sz w:val="24"/>
          <w:szCs w:val="24"/>
        </w:rPr>
        <w:t xml:space="preserve"> </w:t>
      </w:r>
      <w:r w:rsidR="007F324F" w:rsidRPr="00513DCC">
        <w:rPr>
          <w:sz w:val="24"/>
          <w:szCs w:val="24"/>
        </w:rPr>
        <w:t>(</w:t>
      </w:r>
      <w:hyperlink w:anchor="fig-5-6" w:history="1">
        <w:r w:rsidR="009A01D2" w:rsidRPr="009A01D2">
          <w:rPr>
            <w:rStyle w:val="Hyperlink"/>
            <w:sz w:val="24"/>
            <w:szCs w:val="24"/>
          </w:rPr>
          <w:t>f</w:t>
        </w:r>
        <w:r w:rsidR="007F324F" w:rsidRPr="009A01D2">
          <w:rPr>
            <w:rStyle w:val="Hyperlink"/>
            <w:sz w:val="24"/>
            <w:szCs w:val="24"/>
          </w:rPr>
          <w:t>ig. 5-6</w:t>
        </w:r>
      </w:hyperlink>
      <w:r w:rsidR="007F324F" w:rsidRPr="00513DCC">
        <w:rPr>
          <w:sz w:val="24"/>
          <w:szCs w:val="24"/>
        </w:rPr>
        <w:t>)</w:t>
      </w:r>
      <w:r w:rsidRPr="00A37281">
        <w:rPr>
          <w:sz w:val="24"/>
          <w:szCs w:val="24"/>
        </w:rPr>
        <w:t xml:space="preserve"> is made as a quadripartite frame-and-panel construction; the rear rails of the case top and case bottom assemblies act as the upper and lower rails of the back. The three medial stiles are joined to the upper and lower rails with single-pinned mortise and tenons.  These tenons are single</w:t>
      </w:r>
      <w:r w:rsidR="00846BCF">
        <w:rPr>
          <w:sz w:val="24"/>
          <w:szCs w:val="24"/>
        </w:rPr>
        <w:t xml:space="preserve"> </w:t>
      </w:r>
      <w:r w:rsidRPr="00A37281">
        <w:rPr>
          <w:sz w:val="24"/>
          <w:szCs w:val="24"/>
        </w:rPr>
        <w:t xml:space="preserve">shouldered; they are the full width of the stiles and are flush with their interior face. </w:t>
      </w:r>
    </w:p>
    <w:p w14:paraId="5E86297C" w14:textId="41F377D8"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The interior middle shelf is made from solid oak boards assembled in “breadboard” fashion. On either end, roughly triangular battens, with the grain running front to back, are set in horizontal dadoes in the front and rear posts. The center portion of the shelf is made of two butt-joined boards, with the grain running side to side, attached to the battens with tongue</w:t>
      </w:r>
      <w:r w:rsidR="00846BCF">
        <w:rPr>
          <w:sz w:val="24"/>
          <w:szCs w:val="24"/>
        </w:rPr>
        <w:t>-</w:t>
      </w:r>
      <w:r w:rsidRPr="00A37281">
        <w:rPr>
          <w:sz w:val="24"/>
          <w:szCs w:val="24"/>
        </w:rPr>
        <w:t>and</w:t>
      </w:r>
      <w:r w:rsidR="00846BCF">
        <w:rPr>
          <w:sz w:val="24"/>
          <w:szCs w:val="24"/>
        </w:rPr>
        <w:t>-</w:t>
      </w:r>
      <w:r w:rsidRPr="00A37281">
        <w:rPr>
          <w:sz w:val="24"/>
          <w:szCs w:val="24"/>
        </w:rPr>
        <w:t xml:space="preserve">groove joints. The battens project about 1.5 cm to the inside of the front posts, allowing the center portion of the shelf to be inserted after the case was entirely assembled.  </w:t>
      </w:r>
    </w:p>
    <w:p w14:paraId="5BF26D49" w14:textId="07E0D106"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The doors of the commode are also constructed in breadboard fashion. X-radiograph</w:t>
      </w:r>
      <w:r w:rsidR="00E673EE">
        <w:rPr>
          <w:sz w:val="24"/>
          <w:szCs w:val="24"/>
        </w:rPr>
        <w:t>y</w:t>
      </w:r>
      <w:r w:rsidRPr="00A37281">
        <w:rPr>
          <w:sz w:val="24"/>
          <w:szCs w:val="24"/>
        </w:rPr>
        <w:t xml:space="preserve"> reveal</w:t>
      </w:r>
      <w:r w:rsidR="00E673EE">
        <w:rPr>
          <w:sz w:val="24"/>
          <w:szCs w:val="24"/>
        </w:rPr>
        <w:t>s</w:t>
      </w:r>
      <w:r w:rsidRPr="00A37281">
        <w:rPr>
          <w:sz w:val="24"/>
          <w:szCs w:val="24"/>
        </w:rPr>
        <w:t xml:space="preserve"> that horizontal battens (approximately 2 1/8 in</w:t>
      </w:r>
      <w:r w:rsidR="00846BCF">
        <w:rPr>
          <w:sz w:val="24"/>
          <w:szCs w:val="24"/>
        </w:rPr>
        <w:t>.</w:t>
      </w:r>
      <w:r w:rsidRPr="00A37281">
        <w:rPr>
          <w:sz w:val="24"/>
          <w:szCs w:val="24"/>
        </w:rPr>
        <w:t xml:space="preserve"> wide) are attached at the top and bottom with tongue</w:t>
      </w:r>
      <w:r w:rsidR="00846BCF">
        <w:rPr>
          <w:sz w:val="24"/>
          <w:szCs w:val="24"/>
        </w:rPr>
        <w:t>-a</w:t>
      </w:r>
      <w:r w:rsidRPr="00A37281">
        <w:rPr>
          <w:sz w:val="24"/>
          <w:szCs w:val="24"/>
        </w:rPr>
        <w:t>nd</w:t>
      </w:r>
      <w:r w:rsidR="00846BCF">
        <w:rPr>
          <w:sz w:val="24"/>
          <w:szCs w:val="24"/>
        </w:rPr>
        <w:t>-</w:t>
      </w:r>
      <w:r w:rsidRPr="00A37281">
        <w:rPr>
          <w:sz w:val="24"/>
          <w:szCs w:val="24"/>
        </w:rPr>
        <w:t>groove joints to the main panel</w:t>
      </w:r>
      <w:r w:rsidR="00846BCF">
        <w:rPr>
          <w:sz w:val="24"/>
          <w:szCs w:val="24"/>
        </w:rPr>
        <w:t>,</w:t>
      </w:r>
      <w:r w:rsidRPr="00A37281">
        <w:rPr>
          <w:sz w:val="24"/>
          <w:szCs w:val="24"/>
        </w:rPr>
        <w:t xml:space="preserve"> which is composed of five butt-joined vertical boards. </w:t>
      </w:r>
    </w:p>
    <w:p w14:paraId="7E57714B" w14:textId="7826B04D"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b/>
          <w:bCs/>
          <w:sz w:val="24"/>
          <w:szCs w:val="24"/>
        </w:rPr>
      </w:pPr>
      <w:r>
        <w:rPr>
          <w:sz w:val="24"/>
          <w:szCs w:val="24"/>
        </w:rPr>
        <w:tab/>
      </w:r>
      <w:r w:rsidRPr="00A37281">
        <w:rPr>
          <w:sz w:val="24"/>
          <w:szCs w:val="24"/>
        </w:rPr>
        <w:t>The exterior of the commode has been veneered with alder wherever Japanese lacquer is not present; this veneering serves several functions. It covers the joints of the commode, reducing the chance that the lacquer will crack along these glue lines. In addition, the veneer raises the surface of the commode to be flush with the applied Japanese lacquer panels, and</w:t>
      </w:r>
      <w:r w:rsidR="00846BCF">
        <w:rPr>
          <w:sz w:val="24"/>
          <w:szCs w:val="24"/>
        </w:rPr>
        <w:t>,</w:t>
      </w:r>
      <w:r w:rsidRPr="00A37281">
        <w:rPr>
          <w:sz w:val="24"/>
          <w:szCs w:val="24"/>
        </w:rPr>
        <w:t xml:space="preserve"> finally, the alder is a smoother and less porous wood </w:t>
      </w:r>
      <w:r w:rsidR="00846BCF">
        <w:rPr>
          <w:sz w:val="24"/>
          <w:szCs w:val="24"/>
        </w:rPr>
        <w:t>than</w:t>
      </w:r>
      <w:r w:rsidRPr="00A37281">
        <w:rPr>
          <w:sz w:val="24"/>
          <w:szCs w:val="24"/>
        </w:rPr>
        <w:t xml:space="preserve"> the oak substrate and thus requires less surface p</w:t>
      </w:r>
      <w:r w:rsidR="007322D5">
        <w:rPr>
          <w:sz w:val="24"/>
          <w:szCs w:val="24"/>
        </w:rPr>
        <w:t xml:space="preserve">reparation before lacquering. </w:t>
      </w:r>
      <w:r w:rsidRPr="00A37281">
        <w:rPr>
          <w:sz w:val="24"/>
          <w:szCs w:val="24"/>
        </w:rPr>
        <w:t>On the doors, the grain of the exterior veneer runs at a diagonal, from the outside upper corners to</w:t>
      </w:r>
      <w:r w:rsidR="007322D5">
        <w:rPr>
          <w:sz w:val="24"/>
          <w:szCs w:val="24"/>
        </w:rPr>
        <w:t xml:space="preserve">ward the lower middle corners. </w:t>
      </w:r>
      <w:r w:rsidRPr="00A37281">
        <w:rPr>
          <w:sz w:val="24"/>
          <w:szCs w:val="24"/>
        </w:rPr>
        <w:t xml:space="preserve">On the case itself, the </w:t>
      </w:r>
      <w:r w:rsidRPr="00A37281">
        <w:rPr>
          <w:sz w:val="24"/>
          <w:szCs w:val="24"/>
        </w:rPr>
        <w:lastRenderedPageBreak/>
        <w:t>veneer grain essentially follows that of the underlying oak. For the tight, compound curves of the top outside corners of the front posts (where veneering would be very difficult) large blocks of alder have been inserted in</w:t>
      </w:r>
      <w:r w:rsidR="007F324F">
        <w:rPr>
          <w:sz w:val="24"/>
          <w:szCs w:val="24"/>
        </w:rPr>
        <w:t>to the oak and carved to shape</w:t>
      </w:r>
      <w:r w:rsidRPr="00A37281">
        <w:rPr>
          <w:sz w:val="24"/>
          <w:szCs w:val="24"/>
        </w:rPr>
        <w:t xml:space="preserve">.  </w:t>
      </w:r>
    </w:p>
    <w:p w14:paraId="7BA23A09" w14:textId="38A8D0E8"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The watered blue silk lining of the commode appears to be original. It is a fine, plain weave with approximately 195 threads per inch in the warp and 120 in the weft. This has been meticulously cut and fitted to the interior of the case and is adhered with an unidentified adhesive. A silk tape of the same color has been glued across the front edge of the middle shelf; this tape is also a plain weave but is less fine, with 170 and 65 threads per inch in the warp and weft</w:t>
      </w:r>
      <w:r w:rsidR="00846BCF">
        <w:rPr>
          <w:sz w:val="24"/>
          <w:szCs w:val="24"/>
        </w:rPr>
        <w:t>,</w:t>
      </w:r>
      <w:r w:rsidRPr="00A37281">
        <w:rPr>
          <w:sz w:val="24"/>
          <w:szCs w:val="24"/>
        </w:rPr>
        <w:t xml:space="preserve"> respectively. Along the front perimeter edge of the lining there is a narrow patterned </w:t>
      </w:r>
      <w:r w:rsidRPr="00A37281">
        <w:rPr>
          <w:i/>
          <w:iCs/>
          <w:sz w:val="24"/>
          <w:szCs w:val="24"/>
        </w:rPr>
        <w:t>galon</w:t>
      </w:r>
      <w:r w:rsidRPr="00A37281">
        <w:rPr>
          <w:sz w:val="24"/>
          <w:szCs w:val="24"/>
        </w:rPr>
        <w:t xml:space="preserve"> in yellow and silver </w:t>
      </w:r>
      <w:r w:rsidR="005C152D">
        <w:rPr>
          <w:bCs/>
          <w:sz w:val="24"/>
          <w:szCs w:val="24"/>
        </w:rPr>
        <w:t>(</w:t>
      </w:r>
      <w:hyperlink w:anchor="fig-5-7" w:history="1">
        <w:r w:rsidR="00846BCF" w:rsidRPr="00846BCF">
          <w:rPr>
            <w:rStyle w:val="Hyperlink"/>
            <w:bCs/>
            <w:sz w:val="24"/>
            <w:szCs w:val="24"/>
          </w:rPr>
          <w:t>f</w:t>
        </w:r>
        <w:r w:rsidR="007F324F" w:rsidRPr="00846BCF">
          <w:rPr>
            <w:rStyle w:val="Hyperlink"/>
            <w:bCs/>
            <w:sz w:val="24"/>
            <w:szCs w:val="24"/>
          </w:rPr>
          <w:t>ig. 5-7</w:t>
        </w:r>
      </w:hyperlink>
      <w:r w:rsidR="005C152D">
        <w:rPr>
          <w:bCs/>
          <w:sz w:val="24"/>
          <w:szCs w:val="24"/>
        </w:rPr>
        <w:t>)</w:t>
      </w:r>
      <w:r w:rsidRPr="00A37281">
        <w:rPr>
          <w:sz w:val="24"/>
          <w:szCs w:val="24"/>
        </w:rPr>
        <w:t xml:space="preserve">. The silver threads are made from fine, flat silver wire wrapped around a yellow silk core. The warp and weft of the </w:t>
      </w:r>
      <w:r w:rsidRPr="00A37281">
        <w:rPr>
          <w:i/>
          <w:iCs/>
          <w:sz w:val="24"/>
          <w:szCs w:val="24"/>
        </w:rPr>
        <w:t>galon</w:t>
      </w:r>
      <w:r w:rsidRPr="00A37281">
        <w:rPr>
          <w:sz w:val="24"/>
          <w:szCs w:val="24"/>
        </w:rPr>
        <w:t xml:space="preserve"> have approximately 120 and 60 threads per inch</w:t>
      </w:r>
      <w:r w:rsidR="00846BCF">
        <w:rPr>
          <w:sz w:val="24"/>
          <w:szCs w:val="24"/>
        </w:rPr>
        <w:t>,</w:t>
      </w:r>
      <w:r w:rsidRPr="00A37281">
        <w:rPr>
          <w:sz w:val="24"/>
          <w:szCs w:val="24"/>
        </w:rPr>
        <w:t xml:space="preserve"> respectively.</w:t>
      </w:r>
    </w:p>
    <w:p w14:paraId="19996BC6" w14:textId="1E2D2E36" w:rsidR="00A37281" w:rsidRPr="00A37281" w:rsidRDefault="00A37281" w:rsidP="008C0024">
      <w:pPr>
        <w:spacing w:after="0" w:line="480" w:lineRule="auto"/>
        <w:ind w:firstLine="720"/>
        <w:rPr>
          <w:sz w:val="24"/>
          <w:szCs w:val="24"/>
        </w:rPr>
      </w:pPr>
      <w:r w:rsidRPr="00A37281">
        <w:rPr>
          <w:sz w:val="24"/>
          <w:szCs w:val="24"/>
        </w:rPr>
        <w:t>The commode features four large panels of Japanese lacquer that have been applied to the front and sides of the case. The panels on the two front doors extend out to a line just outside the raised cartouche but inside the gilded bronze frame. The fact that the seam is not covered by the mounts is unusual. These panels seem to have come from the front doors of a Japanese cabinet; the location of the original lock can b</w:t>
      </w:r>
      <w:r w:rsidR="004C1B39">
        <w:rPr>
          <w:sz w:val="24"/>
          <w:szCs w:val="24"/>
        </w:rPr>
        <w:t xml:space="preserve">e clearly seen in </w:t>
      </w:r>
      <w:r w:rsidR="00846BCF">
        <w:rPr>
          <w:sz w:val="24"/>
          <w:szCs w:val="24"/>
        </w:rPr>
        <w:t>X</w:t>
      </w:r>
      <w:r w:rsidR="004C1B39">
        <w:rPr>
          <w:sz w:val="24"/>
          <w:szCs w:val="24"/>
        </w:rPr>
        <w:t>-radiographs</w:t>
      </w:r>
      <w:r w:rsidRPr="00A37281">
        <w:rPr>
          <w:sz w:val="24"/>
          <w:szCs w:val="24"/>
        </w:rPr>
        <w:t xml:space="preserve"> </w:t>
      </w:r>
      <w:r w:rsidR="005C152D">
        <w:rPr>
          <w:bCs/>
          <w:sz w:val="24"/>
          <w:szCs w:val="24"/>
        </w:rPr>
        <w:t>(</w:t>
      </w:r>
      <w:hyperlink w:anchor="fig-5-8" w:history="1">
        <w:r w:rsidR="00846BCF" w:rsidRPr="00846BCF">
          <w:rPr>
            <w:rStyle w:val="Hyperlink"/>
            <w:bCs/>
            <w:sz w:val="24"/>
            <w:szCs w:val="24"/>
          </w:rPr>
          <w:t>f</w:t>
        </w:r>
        <w:r w:rsidR="007F324F" w:rsidRPr="00846BCF">
          <w:rPr>
            <w:rStyle w:val="Hyperlink"/>
            <w:bCs/>
            <w:sz w:val="24"/>
            <w:szCs w:val="24"/>
          </w:rPr>
          <w:t>ig. 5-8</w:t>
        </w:r>
      </w:hyperlink>
      <w:r w:rsidR="005C152D">
        <w:rPr>
          <w:bCs/>
          <w:sz w:val="24"/>
          <w:szCs w:val="24"/>
        </w:rPr>
        <w:t>)</w:t>
      </w:r>
      <w:r w:rsidRPr="005C152D">
        <w:rPr>
          <w:sz w:val="24"/>
          <w:szCs w:val="24"/>
        </w:rPr>
        <w:t>.</w:t>
      </w:r>
      <w:r w:rsidRPr="00A37281">
        <w:rPr>
          <w:sz w:val="24"/>
          <w:szCs w:val="24"/>
        </w:rPr>
        <w:t xml:space="preserve"> The Japanese panels on the sides of the commode extend out to a seam under the framing mounts. They are of lesser quality and detail than those on the front, leading to speculation that they might have been taken from two different pieces of Japanese furniture; however, cross</w:t>
      </w:r>
      <w:r w:rsidR="00846BCF">
        <w:rPr>
          <w:sz w:val="24"/>
          <w:szCs w:val="24"/>
        </w:rPr>
        <w:t>-</w:t>
      </w:r>
      <w:r w:rsidRPr="00A37281">
        <w:rPr>
          <w:sz w:val="24"/>
          <w:szCs w:val="24"/>
        </w:rPr>
        <w:t>section samples from both the front and left side panels, examined microscopically in visible light, ultraviolet light, and with the electron microscope, show that the structure and composition of the foundation layers of the lacquer are strikingly similar</w:t>
      </w:r>
      <w:r w:rsidR="005C152D" w:rsidRPr="005C152D">
        <w:rPr>
          <w:bCs/>
          <w:sz w:val="24"/>
          <w:szCs w:val="24"/>
        </w:rPr>
        <w:t xml:space="preserve"> (</w:t>
      </w:r>
      <w:hyperlink w:anchor="fig-5-9" w:history="1">
        <w:r w:rsidR="00846BCF" w:rsidRPr="00846BCF">
          <w:rPr>
            <w:rStyle w:val="Hyperlink"/>
            <w:bCs/>
            <w:sz w:val="24"/>
            <w:szCs w:val="24"/>
          </w:rPr>
          <w:t>f</w:t>
        </w:r>
        <w:r w:rsidR="007F324F" w:rsidRPr="00846BCF">
          <w:rPr>
            <w:rStyle w:val="Hyperlink"/>
            <w:bCs/>
            <w:sz w:val="24"/>
            <w:szCs w:val="24"/>
          </w:rPr>
          <w:t>ig</w:t>
        </w:r>
        <w:r w:rsidR="00846BCF" w:rsidRPr="00846BCF">
          <w:rPr>
            <w:rStyle w:val="Hyperlink"/>
            <w:bCs/>
            <w:sz w:val="24"/>
            <w:szCs w:val="24"/>
          </w:rPr>
          <w:t>s</w:t>
        </w:r>
        <w:r w:rsidR="007F324F" w:rsidRPr="00846BCF">
          <w:rPr>
            <w:rStyle w:val="Hyperlink"/>
            <w:bCs/>
            <w:sz w:val="24"/>
            <w:szCs w:val="24"/>
          </w:rPr>
          <w:t>. 5-9</w:t>
        </w:r>
      </w:hyperlink>
      <w:r w:rsidR="00846BCF">
        <w:rPr>
          <w:bCs/>
          <w:sz w:val="24"/>
          <w:szCs w:val="24"/>
        </w:rPr>
        <w:t>,</w:t>
      </w:r>
      <w:r w:rsidR="007F324F">
        <w:rPr>
          <w:bCs/>
          <w:color w:val="FF0000"/>
          <w:sz w:val="24"/>
          <w:szCs w:val="24"/>
        </w:rPr>
        <w:t xml:space="preserve"> </w:t>
      </w:r>
      <w:hyperlink w:anchor="fig-5-10" w:history="1">
        <w:r w:rsidR="007F324F" w:rsidRPr="00846BCF">
          <w:rPr>
            <w:rStyle w:val="Hyperlink"/>
            <w:bCs/>
            <w:sz w:val="24"/>
            <w:szCs w:val="24"/>
          </w:rPr>
          <w:t>5-10</w:t>
        </w:r>
      </w:hyperlink>
      <w:r w:rsidR="005C152D" w:rsidRPr="007F324F">
        <w:rPr>
          <w:bCs/>
          <w:sz w:val="24"/>
          <w:szCs w:val="24"/>
        </w:rPr>
        <w:t>)</w:t>
      </w:r>
      <w:r w:rsidRPr="007F324F">
        <w:rPr>
          <w:bCs/>
          <w:sz w:val="24"/>
          <w:szCs w:val="24"/>
        </w:rPr>
        <w:t>.</w:t>
      </w:r>
      <w:r w:rsidRPr="005C152D">
        <w:rPr>
          <w:color w:val="FF0000"/>
          <w:sz w:val="24"/>
          <w:szCs w:val="24"/>
        </w:rPr>
        <w:t xml:space="preserve"> </w:t>
      </w:r>
      <w:r w:rsidR="003B26CC" w:rsidRPr="00A37281">
        <w:rPr>
          <w:sz w:val="24"/>
          <w:szCs w:val="24"/>
        </w:rPr>
        <w:t xml:space="preserve">This suggests that the panels may well </w:t>
      </w:r>
      <w:r w:rsidR="003B26CC" w:rsidRPr="00A37281">
        <w:rPr>
          <w:sz w:val="24"/>
          <w:szCs w:val="24"/>
        </w:rPr>
        <w:lastRenderedPageBreak/>
        <w:t>originate from the same piece of Japanese export lacquerware</w:t>
      </w:r>
      <w:r w:rsidR="00E673EE">
        <w:rPr>
          <w:sz w:val="24"/>
          <w:szCs w:val="24"/>
        </w:rPr>
        <w:t>,</w:t>
      </w:r>
      <w:r w:rsidR="003B1D1E">
        <w:rPr>
          <w:sz w:val="24"/>
          <w:szCs w:val="24"/>
        </w:rPr>
        <w:t xml:space="preserve"> and</w:t>
      </w:r>
      <w:r w:rsidR="00E673EE">
        <w:rPr>
          <w:sz w:val="24"/>
          <w:szCs w:val="24"/>
        </w:rPr>
        <w:t xml:space="preserve"> </w:t>
      </w:r>
      <w:r w:rsidR="003B1D1E">
        <w:rPr>
          <w:sz w:val="24"/>
          <w:szCs w:val="24"/>
        </w:rPr>
        <w:t>i</w:t>
      </w:r>
      <w:r w:rsidRPr="00A37281">
        <w:rPr>
          <w:sz w:val="24"/>
          <w:szCs w:val="24"/>
        </w:rPr>
        <w:t>t is perhaps more likely that these were originally side panels with less elaborate decoration. A Japanese lacquer cabinet in the</w:t>
      </w:r>
      <w:r w:rsidRPr="0099556D">
        <w:rPr>
          <w:sz w:val="24"/>
          <w:szCs w:val="24"/>
        </w:rPr>
        <w:t xml:space="preserve"> Präsidentschaftskanzlei </w:t>
      </w:r>
      <w:r w:rsidRPr="00A37281">
        <w:rPr>
          <w:sz w:val="24"/>
          <w:szCs w:val="24"/>
        </w:rPr>
        <w:t xml:space="preserve">in Vienna, also featuring a central lock and floral side panels with handles, likely represents the form of furniture from which the lacquer panels were taken </w:t>
      </w:r>
      <w:r w:rsidR="005C152D">
        <w:rPr>
          <w:sz w:val="24"/>
          <w:szCs w:val="24"/>
        </w:rPr>
        <w:t>(</w:t>
      </w:r>
      <w:hyperlink w:anchor="fig-5-11" w:history="1">
        <w:r w:rsidR="00833E11" w:rsidRPr="00833E11">
          <w:rPr>
            <w:rStyle w:val="Hyperlink"/>
            <w:bCs/>
            <w:sz w:val="24"/>
            <w:szCs w:val="24"/>
          </w:rPr>
          <w:t>f</w:t>
        </w:r>
        <w:r w:rsidR="007F324F" w:rsidRPr="00833E11">
          <w:rPr>
            <w:rStyle w:val="Hyperlink"/>
            <w:bCs/>
            <w:sz w:val="24"/>
            <w:szCs w:val="24"/>
          </w:rPr>
          <w:t>ig. 5-11</w:t>
        </w:r>
      </w:hyperlink>
      <w:r w:rsidR="005C152D">
        <w:rPr>
          <w:bCs/>
          <w:sz w:val="24"/>
          <w:szCs w:val="24"/>
        </w:rPr>
        <w:t>)</w:t>
      </w:r>
      <w:r w:rsidRPr="005C152D">
        <w:rPr>
          <w:sz w:val="24"/>
          <w:szCs w:val="24"/>
        </w:rPr>
        <w:t>.</w:t>
      </w:r>
      <w:r w:rsidRPr="00A37281">
        <w:rPr>
          <w:sz w:val="24"/>
          <w:szCs w:val="24"/>
        </w:rPr>
        <w:t xml:space="preserve"> Paired holes, visible in </w:t>
      </w:r>
      <w:r w:rsidR="00833E11">
        <w:rPr>
          <w:sz w:val="24"/>
          <w:szCs w:val="24"/>
        </w:rPr>
        <w:t>X</w:t>
      </w:r>
      <w:r w:rsidRPr="00A37281">
        <w:rPr>
          <w:sz w:val="24"/>
          <w:szCs w:val="24"/>
        </w:rPr>
        <w:t>-radiographs above the midline of both panels may indicate the position of the handles on the sides of the original Japanese cabinet</w:t>
      </w:r>
      <w:r w:rsidR="005C152D">
        <w:rPr>
          <w:sz w:val="24"/>
          <w:szCs w:val="24"/>
        </w:rPr>
        <w:t xml:space="preserve"> (</w:t>
      </w:r>
      <w:hyperlink w:anchor="fig-5-12" w:history="1">
        <w:r w:rsidR="00833E11" w:rsidRPr="00833E11">
          <w:rPr>
            <w:rStyle w:val="Hyperlink"/>
            <w:bCs/>
            <w:sz w:val="24"/>
            <w:szCs w:val="24"/>
          </w:rPr>
          <w:t>f</w:t>
        </w:r>
        <w:r w:rsidR="007F324F" w:rsidRPr="00833E11">
          <w:rPr>
            <w:rStyle w:val="Hyperlink"/>
            <w:bCs/>
            <w:sz w:val="24"/>
            <w:szCs w:val="24"/>
          </w:rPr>
          <w:t>ig. 5-12</w:t>
        </w:r>
      </w:hyperlink>
      <w:r w:rsidR="005C152D">
        <w:rPr>
          <w:bCs/>
          <w:sz w:val="24"/>
          <w:szCs w:val="24"/>
        </w:rPr>
        <w:t>)</w:t>
      </w:r>
      <w:r w:rsidRPr="005C152D">
        <w:rPr>
          <w:sz w:val="24"/>
          <w:szCs w:val="24"/>
        </w:rPr>
        <w:t>.</w:t>
      </w:r>
      <w:r w:rsidRPr="00A37281">
        <w:rPr>
          <w:sz w:val="24"/>
          <w:szCs w:val="24"/>
        </w:rPr>
        <w:t xml:space="preserve"> </w:t>
      </w:r>
    </w:p>
    <w:p w14:paraId="2DC85230" w14:textId="465281EB"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The Japanese lacquer panels on this commode were thinned by the French craftsmen to approximately 0.75</w:t>
      </w:r>
      <w:r w:rsidR="00833E11">
        <w:rPr>
          <w:sz w:val="24"/>
          <w:szCs w:val="24"/>
        </w:rPr>
        <w:t xml:space="preserve"> </w:t>
      </w:r>
      <w:r w:rsidRPr="00A37281">
        <w:rPr>
          <w:sz w:val="24"/>
          <w:szCs w:val="24"/>
        </w:rPr>
        <w:t xml:space="preserve">mm in thickness, a remarkable feat. In this state, the panel could be applied to the commode’s curved carcass very much like a veneer, presumably using familiar techniques. As André Jacob Roubo describes, the surface of both the lacquer and the frames would be heated, </w:t>
      </w:r>
      <w:r w:rsidR="003B1D1E">
        <w:rPr>
          <w:sz w:val="24"/>
          <w:szCs w:val="24"/>
        </w:rPr>
        <w:t xml:space="preserve">coated with hide glue, </w:t>
      </w:r>
      <w:r w:rsidRPr="00A37281">
        <w:rPr>
          <w:sz w:val="24"/>
          <w:szCs w:val="24"/>
        </w:rPr>
        <w:t>carefully covered to protect the delicate surfaces, and then clamped in place with cushions, wooden cauls, or glue presses.</w:t>
      </w:r>
      <w:r w:rsidRPr="00A37281">
        <w:rPr>
          <w:rStyle w:val="EndnoteReference"/>
          <w:sz w:val="24"/>
          <w:szCs w:val="24"/>
        </w:rPr>
        <w:endnoteReference w:id="12"/>
      </w:r>
      <w:r w:rsidRPr="00A37281">
        <w:rPr>
          <w:sz w:val="24"/>
          <w:szCs w:val="24"/>
        </w:rPr>
        <w:t xml:space="preserve">  </w:t>
      </w:r>
    </w:p>
    <w:p w14:paraId="1B8EC767" w14:textId="25078F55" w:rsidR="00DA7D8E" w:rsidRDefault="00A37281" w:rsidP="00DA7D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bCs/>
          <w:sz w:val="24"/>
          <w:szCs w:val="24"/>
        </w:rPr>
      </w:pPr>
      <w:r>
        <w:rPr>
          <w:sz w:val="24"/>
          <w:szCs w:val="24"/>
        </w:rPr>
        <w:tab/>
      </w:r>
      <w:r w:rsidRPr="00A37281">
        <w:rPr>
          <w:sz w:val="24"/>
          <w:szCs w:val="24"/>
        </w:rPr>
        <w:t>Based on cross</w:t>
      </w:r>
      <w:r w:rsidR="00833E11">
        <w:rPr>
          <w:sz w:val="24"/>
          <w:szCs w:val="24"/>
        </w:rPr>
        <w:t>-</w:t>
      </w:r>
      <w:r w:rsidRPr="00A37281">
        <w:rPr>
          <w:sz w:val="24"/>
          <w:szCs w:val="24"/>
        </w:rPr>
        <w:t>section and organic analysis,</w:t>
      </w:r>
      <w:r w:rsidR="007322D5" w:rsidRPr="00A37281">
        <w:rPr>
          <w:sz w:val="24"/>
          <w:szCs w:val="24"/>
          <w:vertAlign w:val="superscript"/>
        </w:rPr>
        <w:endnoteReference w:id="13"/>
      </w:r>
      <w:r w:rsidRPr="00A37281">
        <w:rPr>
          <w:sz w:val="24"/>
          <w:szCs w:val="24"/>
        </w:rPr>
        <w:t xml:space="preserve"> it appears that the Japanese lacquer was built up from seven base layers over which complex decorative layers have been applied. The substrate for the panel is a coniferous wood; unfortunately, the remaining material is too thin to permit a precise identification. The ground consists of four layers of predominantly clay-based material bound in </w:t>
      </w:r>
      <w:r w:rsidRPr="00A37281">
        <w:rPr>
          <w:i/>
          <w:iCs/>
          <w:sz w:val="24"/>
          <w:szCs w:val="24"/>
        </w:rPr>
        <w:t xml:space="preserve">thitsi </w:t>
      </w:r>
      <w:r w:rsidRPr="00A37281">
        <w:rPr>
          <w:sz w:val="24"/>
          <w:szCs w:val="24"/>
        </w:rPr>
        <w:t xml:space="preserve">lacquer, drying oil, and starch. The starch may relate to the addition of rice or wheat starch mentioned in the literature as a component in </w:t>
      </w:r>
      <w:bookmarkStart w:id="2" w:name="_Hlk37273898"/>
      <w:r w:rsidRPr="00A37281">
        <w:rPr>
          <w:i/>
          <w:iCs/>
          <w:sz w:val="24"/>
          <w:szCs w:val="24"/>
        </w:rPr>
        <w:t xml:space="preserve">mugi- </w:t>
      </w:r>
      <w:r w:rsidRPr="00A37281">
        <w:rPr>
          <w:sz w:val="24"/>
          <w:szCs w:val="24"/>
        </w:rPr>
        <w:t xml:space="preserve">and </w:t>
      </w:r>
      <w:r w:rsidRPr="00A37281">
        <w:rPr>
          <w:i/>
          <w:iCs/>
          <w:sz w:val="24"/>
          <w:szCs w:val="24"/>
        </w:rPr>
        <w:t>nori-</w:t>
      </w:r>
      <w:r w:rsidRPr="00A37281">
        <w:rPr>
          <w:sz w:val="24"/>
          <w:szCs w:val="24"/>
        </w:rPr>
        <w:t>type</w:t>
      </w:r>
      <w:r w:rsidRPr="00A37281">
        <w:rPr>
          <w:i/>
          <w:iCs/>
          <w:sz w:val="24"/>
          <w:szCs w:val="24"/>
        </w:rPr>
        <w:t xml:space="preserve"> </w:t>
      </w:r>
      <w:r w:rsidRPr="00A37281">
        <w:rPr>
          <w:sz w:val="24"/>
          <w:szCs w:val="24"/>
        </w:rPr>
        <w:t>foundations and fillers</w:t>
      </w:r>
      <w:bookmarkEnd w:id="2"/>
      <w:r w:rsidRPr="00A37281">
        <w:rPr>
          <w:sz w:val="24"/>
          <w:szCs w:val="24"/>
        </w:rPr>
        <w:t>.</w:t>
      </w:r>
      <w:r w:rsidRPr="00A37281">
        <w:rPr>
          <w:rStyle w:val="EndnoteReference"/>
          <w:sz w:val="24"/>
          <w:szCs w:val="24"/>
        </w:rPr>
        <w:endnoteReference w:id="14"/>
      </w:r>
      <w:r w:rsidRPr="00A37281">
        <w:rPr>
          <w:sz w:val="24"/>
          <w:szCs w:val="24"/>
        </w:rPr>
        <w:t xml:space="preserve"> Above the ground, a thin layer of carbon black appears, followed by a substantial layer of dark</w:t>
      </w:r>
      <w:r w:rsidR="00833E11">
        <w:rPr>
          <w:sz w:val="24"/>
          <w:szCs w:val="24"/>
        </w:rPr>
        <w:t>-</w:t>
      </w:r>
      <w:r w:rsidRPr="00A37281">
        <w:rPr>
          <w:sz w:val="24"/>
          <w:szCs w:val="24"/>
        </w:rPr>
        <w:t xml:space="preserve">colored, transparent lacquer consisting of a mixture of </w:t>
      </w:r>
      <w:r w:rsidRPr="00A37281">
        <w:rPr>
          <w:i/>
          <w:iCs/>
          <w:sz w:val="24"/>
          <w:szCs w:val="24"/>
        </w:rPr>
        <w:t xml:space="preserve">urushi </w:t>
      </w:r>
      <w:r w:rsidRPr="00A37281">
        <w:rPr>
          <w:sz w:val="24"/>
          <w:szCs w:val="24"/>
        </w:rPr>
        <w:t xml:space="preserve">and </w:t>
      </w:r>
      <w:r w:rsidRPr="00A37281">
        <w:rPr>
          <w:i/>
          <w:iCs/>
          <w:sz w:val="24"/>
          <w:szCs w:val="24"/>
        </w:rPr>
        <w:t>thitsi</w:t>
      </w:r>
      <w:r w:rsidRPr="00A37281">
        <w:rPr>
          <w:sz w:val="24"/>
          <w:szCs w:val="24"/>
        </w:rPr>
        <w:t xml:space="preserve">, with the addition of a significant amount of drying oil. </w:t>
      </w:r>
      <w:r w:rsidRPr="00A37281">
        <w:rPr>
          <w:i/>
          <w:iCs/>
          <w:sz w:val="24"/>
          <w:szCs w:val="24"/>
        </w:rPr>
        <w:t xml:space="preserve">Thitsi </w:t>
      </w:r>
      <w:r w:rsidRPr="00A37281">
        <w:rPr>
          <w:sz w:val="24"/>
          <w:szCs w:val="24"/>
        </w:rPr>
        <w:t xml:space="preserve">lacquer, harvested from trees grown in Southeast Asia, made its way to Japan </w:t>
      </w:r>
      <w:r w:rsidR="00833E11">
        <w:rPr>
          <w:sz w:val="24"/>
          <w:szCs w:val="24"/>
        </w:rPr>
        <w:t>through</w:t>
      </w:r>
      <w:r w:rsidRPr="00A37281">
        <w:rPr>
          <w:sz w:val="24"/>
          <w:szCs w:val="24"/>
        </w:rPr>
        <w:t xml:space="preserve"> the trade of the Dutch East India Company as well as Chinese merchants. This less expensive lacquer is frequently found as an admixture with </w:t>
      </w:r>
      <w:r w:rsidRPr="00A37281">
        <w:rPr>
          <w:i/>
          <w:iCs/>
          <w:sz w:val="24"/>
          <w:szCs w:val="24"/>
        </w:rPr>
        <w:lastRenderedPageBreak/>
        <w:t>urushi</w:t>
      </w:r>
      <w:r w:rsidR="00833E11">
        <w:rPr>
          <w:sz w:val="24"/>
          <w:szCs w:val="24"/>
        </w:rPr>
        <w:t>,</w:t>
      </w:r>
      <w:r w:rsidRPr="00A37281">
        <w:rPr>
          <w:i/>
          <w:iCs/>
          <w:sz w:val="24"/>
          <w:szCs w:val="24"/>
        </w:rPr>
        <w:t xml:space="preserve"> </w:t>
      </w:r>
      <w:r w:rsidRPr="00A37281">
        <w:rPr>
          <w:sz w:val="24"/>
          <w:szCs w:val="24"/>
        </w:rPr>
        <w:t>particularly in lower lacquer layers</w:t>
      </w:r>
      <w:r w:rsidR="003B1D1E">
        <w:rPr>
          <w:sz w:val="24"/>
          <w:szCs w:val="24"/>
        </w:rPr>
        <w:t xml:space="preserve"> of export lacquerware</w:t>
      </w:r>
      <w:r w:rsidRPr="00A37281">
        <w:rPr>
          <w:sz w:val="24"/>
          <w:szCs w:val="24"/>
        </w:rPr>
        <w:t>.</w:t>
      </w:r>
      <w:r w:rsidR="007322D5" w:rsidRPr="00A37281">
        <w:rPr>
          <w:rStyle w:val="EndnoteReference"/>
          <w:sz w:val="24"/>
          <w:szCs w:val="24"/>
        </w:rPr>
        <w:endnoteReference w:id="15"/>
      </w:r>
      <w:r w:rsidR="00833E11">
        <w:rPr>
          <w:sz w:val="24"/>
          <w:szCs w:val="24"/>
        </w:rPr>
        <w:t xml:space="preserve"> </w:t>
      </w:r>
      <w:r w:rsidRPr="00A37281">
        <w:rPr>
          <w:sz w:val="24"/>
          <w:szCs w:val="24"/>
        </w:rPr>
        <w:t xml:space="preserve">A variety of decorative techniques have been used above the base layer of transparent lacquer, including </w:t>
      </w:r>
      <w:r w:rsidRPr="00A37281">
        <w:rPr>
          <w:i/>
          <w:iCs/>
          <w:sz w:val="24"/>
          <w:szCs w:val="24"/>
        </w:rPr>
        <w:t>hiramakie</w:t>
      </w:r>
      <w:r w:rsidRPr="00A37281">
        <w:rPr>
          <w:sz w:val="24"/>
          <w:szCs w:val="24"/>
        </w:rPr>
        <w:t xml:space="preserve"> (flat designs of sprinkled metal powder), </w:t>
      </w:r>
      <w:r w:rsidRPr="00A37281">
        <w:rPr>
          <w:i/>
          <w:iCs/>
          <w:sz w:val="24"/>
          <w:szCs w:val="24"/>
        </w:rPr>
        <w:t>takamakie</w:t>
      </w:r>
      <w:r w:rsidRPr="00A37281">
        <w:rPr>
          <w:sz w:val="24"/>
          <w:szCs w:val="24"/>
        </w:rPr>
        <w:t xml:space="preserve"> (similar designs in relief), </w:t>
      </w:r>
      <w:bookmarkStart w:id="3" w:name="_Hlk37274040"/>
      <w:r w:rsidRPr="00A37281">
        <w:rPr>
          <w:i/>
          <w:iCs/>
          <w:sz w:val="24"/>
          <w:szCs w:val="24"/>
        </w:rPr>
        <w:t>kirigane</w:t>
      </w:r>
      <w:r w:rsidRPr="00A37281">
        <w:rPr>
          <w:sz w:val="24"/>
          <w:szCs w:val="24"/>
        </w:rPr>
        <w:t xml:space="preserve"> (individually laid pieces of cut metal foil)</w:t>
      </w:r>
      <w:bookmarkEnd w:id="3"/>
      <w:r w:rsidRPr="00A37281">
        <w:rPr>
          <w:sz w:val="24"/>
          <w:szCs w:val="24"/>
        </w:rPr>
        <w:t xml:space="preserve">, and </w:t>
      </w:r>
      <w:r w:rsidRPr="00A37281">
        <w:rPr>
          <w:i/>
          <w:iCs/>
          <w:sz w:val="24"/>
          <w:szCs w:val="24"/>
        </w:rPr>
        <w:t>nashiji</w:t>
      </w:r>
      <w:r w:rsidRPr="00A37281">
        <w:rPr>
          <w:sz w:val="24"/>
          <w:szCs w:val="24"/>
        </w:rPr>
        <w:t xml:space="preserve"> (evenly sprinkled metal flakes used as a background texture).</w:t>
      </w:r>
      <w:r w:rsidR="007322D5" w:rsidRPr="00A37281">
        <w:rPr>
          <w:rStyle w:val="EndnoteReference"/>
          <w:sz w:val="24"/>
          <w:szCs w:val="24"/>
        </w:rPr>
        <w:endnoteReference w:id="16"/>
      </w:r>
      <w:r w:rsidRPr="00A37281">
        <w:rPr>
          <w:sz w:val="24"/>
          <w:szCs w:val="24"/>
        </w:rPr>
        <w:t xml:space="preserve"> In the case of decoration observed in the cross</w:t>
      </w:r>
      <w:r w:rsidR="00833E11">
        <w:rPr>
          <w:sz w:val="24"/>
          <w:szCs w:val="24"/>
        </w:rPr>
        <w:t xml:space="preserve"> </w:t>
      </w:r>
      <w:r w:rsidRPr="00A37281">
        <w:rPr>
          <w:sz w:val="24"/>
          <w:szCs w:val="24"/>
        </w:rPr>
        <w:t xml:space="preserve">section, the metal powder or flakes were then covered with a layer of transparent </w:t>
      </w:r>
      <w:r w:rsidRPr="00A37281">
        <w:rPr>
          <w:i/>
          <w:iCs/>
          <w:sz w:val="24"/>
          <w:szCs w:val="24"/>
        </w:rPr>
        <w:t xml:space="preserve">urushi </w:t>
      </w:r>
      <w:r w:rsidRPr="00A37281">
        <w:rPr>
          <w:sz w:val="24"/>
          <w:szCs w:val="24"/>
        </w:rPr>
        <w:t>mixed with drying oil. The metal flakes are predominantly gold and silver, but there are significant European additions in brass and pewter powders.</w:t>
      </w:r>
      <w:r w:rsidRPr="00A37281">
        <w:rPr>
          <w:sz w:val="24"/>
          <w:szCs w:val="24"/>
          <w:vertAlign w:val="superscript"/>
        </w:rPr>
        <w:endnoteReference w:id="17"/>
      </w:r>
      <w:r w:rsidRPr="00A37281">
        <w:rPr>
          <w:sz w:val="24"/>
          <w:szCs w:val="24"/>
        </w:rPr>
        <w:t xml:space="preserve"> The raised cartouche that surrounds the central panel is itself a European addition with the low relief likely created in lead white over a Japanese design visible in the </w:t>
      </w:r>
      <w:r w:rsidR="00DA7D8E">
        <w:rPr>
          <w:sz w:val="24"/>
          <w:szCs w:val="24"/>
        </w:rPr>
        <w:t>X</w:t>
      </w:r>
      <w:r w:rsidRPr="00A37281">
        <w:rPr>
          <w:sz w:val="24"/>
          <w:szCs w:val="24"/>
        </w:rPr>
        <w:t xml:space="preserve">-radiograph </w:t>
      </w:r>
      <w:r w:rsidR="005C152D">
        <w:rPr>
          <w:bCs/>
          <w:sz w:val="24"/>
          <w:szCs w:val="24"/>
        </w:rPr>
        <w:t>(</w:t>
      </w:r>
      <w:hyperlink w:anchor="fig-5-13" w:history="1">
        <w:r w:rsidR="00DA7D8E" w:rsidRPr="00DA7D8E">
          <w:rPr>
            <w:rStyle w:val="Hyperlink"/>
            <w:bCs/>
            <w:sz w:val="24"/>
            <w:szCs w:val="24"/>
          </w:rPr>
          <w:t>f</w:t>
        </w:r>
        <w:r w:rsidR="007F324F" w:rsidRPr="00DA7D8E">
          <w:rPr>
            <w:rStyle w:val="Hyperlink"/>
            <w:bCs/>
            <w:sz w:val="24"/>
            <w:szCs w:val="24"/>
          </w:rPr>
          <w:t>ig. 5-13</w:t>
        </w:r>
      </w:hyperlink>
      <w:r w:rsidR="005C152D">
        <w:rPr>
          <w:bCs/>
          <w:sz w:val="24"/>
          <w:szCs w:val="24"/>
        </w:rPr>
        <w:t>).</w:t>
      </w:r>
    </w:p>
    <w:p w14:paraId="6E5587AA" w14:textId="03E78298" w:rsidR="00A37281" w:rsidRPr="00A37281" w:rsidRDefault="00A37281" w:rsidP="00DA7D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firstLine="562"/>
        <w:rPr>
          <w:sz w:val="24"/>
          <w:szCs w:val="24"/>
        </w:rPr>
      </w:pPr>
      <w:r w:rsidRPr="00A37281">
        <w:rPr>
          <w:sz w:val="24"/>
          <w:szCs w:val="24"/>
        </w:rPr>
        <w:t xml:space="preserve">The original French imitation lacquer surrounding the Japanese lacquer panels still survives in most areas of the front doors. It was applied in three primary layers </w:t>
      </w:r>
      <w:r w:rsidR="005C152D">
        <w:rPr>
          <w:bCs/>
          <w:sz w:val="24"/>
          <w:szCs w:val="24"/>
        </w:rPr>
        <w:t>(</w:t>
      </w:r>
      <w:r w:rsidR="00DA7D8E" w:rsidRPr="00045389">
        <w:rPr>
          <w:bCs/>
          <w:sz w:val="24"/>
          <w:szCs w:val="24"/>
        </w:rPr>
        <w:t>figs</w:t>
      </w:r>
      <w:r w:rsidR="007F324F" w:rsidRPr="00045389">
        <w:rPr>
          <w:bCs/>
          <w:sz w:val="24"/>
          <w:szCs w:val="24"/>
        </w:rPr>
        <w:t>.</w:t>
      </w:r>
      <w:r w:rsidR="007F324F">
        <w:rPr>
          <w:bCs/>
          <w:color w:val="FF0000"/>
          <w:sz w:val="24"/>
          <w:szCs w:val="24"/>
        </w:rPr>
        <w:t xml:space="preserve"> </w:t>
      </w:r>
      <w:hyperlink w:anchor="fig-5-14" w:history="1">
        <w:r w:rsidR="007F324F" w:rsidRPr="00DA7D8E">
          <w:rPr>
            <w:rStyle w:val="Hyperlink"/>
            <w:bCs/>
            <w:sz w:val="24"/>
            <w:szCs w:val="24"/>
          </w:rPr>
          <w:t>5-14</w:t>
        </w:r>
      </w:hyperlink>
      <w:r w:rsidR="00DA7D8E" w:rsidRPr="00045389">
        <w:rPr>
          <w:bCs/>
          <w:sz w:val="24"/>
          <w:szCs w:val="24"/>
        </w:rPr>
        <w:t>,</w:t>
      </w:r>
      <w:r w:rsidRPr="005C152D">
        <w:rPr>
          <w:bCs/>
          <w:color w:val="FF0000"/>
          <w:sz w:val="24"/>
          <w:szCs w:val="24"/>
        </w:rPr>
        <w:t xml:space="preserve"> </w:t>
      </w:r>
      <w:hyperlink w:anchor="fig-5-15" w:history="1">
        <w:r w:rsidR="007F324F" w:rsidRPr="00DA7D8E">
          <w:rPr>
            <w:rStyle w:val="Hyperlink"/>
            <w:bCs/>
            <w:sz w:val="24"/>
            <w:szCs w:val="24"/>
          </w:rPr>
          <w:t>5-15</w:t>
        </w:r>
      </w:hyperlink>
      <w:r w:rsidR="005C152D">
        <w:rPr>
          <w:bCs/>
          <w:sz w:val="24"/>
          <w:szCs w:val="24"/>
        </w:rPr>
        <w:t>)</w:t>
      </w:r>
      <w:r w:rsidR="00DA7D8E">
        <w:rPr>
          <w:bCs/>
          <w:sz w:val="24"/>
          <w:szCs w:val="24"/>
        </w:rPr>
        <w:t>.</w:t>
      </w:r>
      <w:r w:rsidRPr="005C152D">
        <w:rPr>
          <w:sz w:val="24"/>
          <w:szCs w:val="24"/>
        </w:rPr>
        <w:t xml:space="preserve"> </w:t>
      </w:r>
      <w:r w:rsidR="00DA7D8E">
        <w:rPr>
          <w:sz w:val="24"/>
          <w:szCs w:val="24"/>
        </w:rPr>
        <w:t>The first layer</w:t>
      </w:r>
      <w:r w:rsidR="003B1D1E">
        <w:rPr>
          <w:sz w:val="24"/>
          <w:szCs w:val="24"/>
        </w:rPr>
        <w:t xml:space="preserve">, </w:t>
      </w:r>
      <w:r w:rsidR="003B1D1E" w:rsidRPr="00A37281">
        <w:rPr>
          <w:sz w:val="24"/>
          <w:szCs w:val="24"/>
        </w:rPr>
        <w:t xml:space="preserve">applied </w:t>
      </w:r>
      <w:r w:rsidR="003B1D1E">
        <w:rPr>
          <w:sz w:val="24"/>
          <w:szCs w:val="24"/>
        </w:rPr>
        <w:t xml:space="preserve">directly </w:t>
      </w:r>
      <w:r w:rsidR="003B1D1E" w:rsidRPr="00A37281">
        <w:rPr>
          <w:sz w:val="24"/>
          <w:szCs w:val="24"/>
        </w:rPr>
        <w:t>to the veneered wood substrate</w:t>
      </w:r>
      <w:r w:rsidR="003B1D1E">
        <w:rPr>
          <w:sz w:val="24"/>
          <w:szCs w:val="24"/>
        </w:rPr>
        <w:t>, is</w:t>
      </w:r>
      <w:r w:rsidRPr="00A37281">
        <w:rPr>
          <w:sz w:val="24"/>
          <w:szCs w:val="24"/>
        </w:rPr>
        <w:t xml:space="preserve"> a yellow clay-based ground, similar to gilder’s bole, bound in a simple varnish composed of pine resin and a drying oil, likely linseed</w:t>
      </w:r>
      <w:r w:rsidR="003B1D1E">
        <w:rPr>
          <w:sz w:val="24"/>
          <w:szCs w:val="24"/>
        </w:rPr>
        <w:t xml:space="preserve"> oil</w:t>
      </w:r>
      <w:r w:rsidRPr="00A37281">
        <w:rPr>
          <w:sz w:val="24"/>
          <w:szCs w:val="24"/>
        </w:rPr>
        <w:t>. The use of this ground layer indicates a distinct choice by the European laquerer and differs from other approaches to preparing grounds for European lacquer</w:t>
      </w:r>
      <w:r w:rsidR="00DA7D8E">
        <w:rPr>
          <w:sz w:val="24"/>
          <w:szCs w:val="24"/>
        </w:rPr>
        <w:t>, which</w:t>
      </w:r>
      <w:r w:rsidRPr="00A37281">
        <w:rPr>
          <w:sz w:val="24"/>
          <w:szCs w:val="24"/>
        </w:rPr>
        <w:t xml:space="preserve"> usually relied on colored varnish applied directly to the wood or a traditional chalk and animal glue (gesso) ground. The yellow ground layer used here is uncommon among the objects examined in the Getty Rococo collection and only appears in one other object, the </w:t>
      </w:r>
      <w:r w:rsidR="00B04C95">
        <w:rPr>
          <w:sz w:val="24"/>
          <w:szCs w:val="24"/>
        </w:rPr>
        <w:t>Van Risenburgh</w:t>
      </w:r>
      <w:r w:rsidR="00B04C95" w:rsidRPr="00A37281">
        <w:rPr>
          <w:sz w:val="24"/>
          <w:szCs w:val="24"/>
        </w:rPr>
        <w:t xml:space="preserve"> </w:t>
      </w:r>
      <w:r w:rsidR="00DA7D8E" w:rsidRPr="005A300B">
        <w:rPr>
          <w:i/>
          <w:iCs/>
          <w:sz w:val="24"/>
          <w:szCs w:val="24"/>
        </w:rPr>
        <w:t>c</w:t>
      </w:r>
      <w:r w:rsidRPr="005A300B">
        <w:rPr>
          <w:i/>
          <w:iCs/>
          <w:sz w:val="24"/>
          <w:szCs w:val="24"/>
        </w:rPr>
        <w:t>artonnier</w:t>
      </w:r>
      <w:r w:rsidRPr="00A37281">
        <w:rPr>
          <w:sz w:val="24"/>
          <w:szCs w:val="24"/>
        </w:rPr>
        <w:t xml:space="preserve"> (</w:t>
      </w:r>
      <w:r w:rsidR="005A300B">
        <w:rPr>
          <w:sz w:val="24"/>
          <w:szCs w:val="24"/>
        </w:rPr>
        <w:t xml:space="preserve">see </w:t>
      </w:r>
      <w:hyperlink r:id="rId7" w:history="1">
        <w:r w:rsidR="00DA7D8E" w:rsidRPr="00DA7D8E">
          <w:rPr>
            <w:rStyle w:val="Hyperlink"/>
            <w:sz w:val="24"/>
            <w:szCs w:val="24"/>
          </w:rPr>
          <w:t>cat. no. 3</w:t>
        </w:r>
      </w:hyperlink>
      <w:r w:rsidRPr="00A37281">
        <w:rPr>
          <w:sz w:val="24"/>
          <w:szCs w:val="24"/>
        </w:rPr>
        <w:t>). In this case, the French craftsmen appear to have made a concerted attempt to imitate the entire layer structure that they would have observed through close examination of the Japanese export lacquer panels with which they were working.</w:t>
      </w:r>
      <w:r w:rsidR="00DA7D8E">
        <w:rPr>
          <w:sz w:val="24"/>
          <w:szCs w:val="24"/>
        </w:rPr>
        <w:t xml:space="preserve"> </w:t>
      </w:r>
      <w:r w:rsidRPr="00A37281">
        <w:rPr>
          <w:sz w:val="24"/>
          <w:szCs w:val="24"/>
        </w:rPr>
        <w:t>Without knowledge of or access to the original Japanes</w:t>
      </w:r>
      <w:r w:rsidR="00DA7D8E">
        <w:rPr>
          <w:sz w:val="24"/>
          <w:szCs w:val="24"/>
        </w:rPr>
        <w:t>e</w:t>
      </w:r>
      <w:r w:rsidRPr="00A37281">
        <w:rPr>
          <w:sz w:val="24"/>
          <w:szCs w:val="24"/>
        </w:rPr>
        <w:t xml:space="preserve"> materials, the European craftsmen</w:t>
      </w:r>
      <w:r w:rsidR="00DA7D8E">
        <w:rPr>
          <w:sz w:val="24"/>
          <w:szCs w:val="24"/>
        </w:rPr>
        <w:t xml:space="preserve"> </w:t>
      </w:r>
      <w:r w:rsidRPr="00A37281">
        <w:rPr>
          <w:sz w:val="24"/>
          <w:szCs w:val="24"/>
        </w:rPr>
        <w:t xml:space="preserve">used the materials at hand, gilder’s </w:t>
      </w:r>
      <w:r w:rsidRPr="00A37281">
        <w:rPr>
          <w:sz w:val="24"/>
          <w:szCs w:val="24"/>
        </w:rPr>
        <w:lastRenderedPageBreak/>
        <w:t xml:space="preserve">bole and </w:t>
      </w:r>
      <w:r w:rsidR="007F79BA">
        <w:rPr>
          <w:sz w:val="24"/>
          <w:szCs w:val="24"/>
        </w:rPr>
        <w:t>oil</w:t>
      </w:r>
      <w:r w:rsidR="00DA7D8E">
        <w:rPr>
          <w:sz w:val="24"/>
          <w:szCs w:val="24"/>
        </w:rPr>
        <w:t>-</w:t>
      </w:r>
      <w:r w:rsidRPr="00A37281">
        <w:rPr>
          <w:sz w:val="24"/>
          <w:szCs w:val="24"/>
        </w:rPr>
        <w:t xml:space="preserve">resin varnish, to create a warm yellow-beige foundation similar to the Japanese ground.  </w:t>
      </w:r>
    </w:p>
    <w:p w14:paraId="6242693C" w14:textId="1321C8FF" w:rsidR="00A37281" w:rsidRPr="00A37281" w:rsidRDefault="00A37281" w:rsidP="008C0024">
      <w:pPr>
        <w:spacing w:after="0" w:line="480" w:lineRule="auto"/>
        <w:ind w:firstLine="560"/>
        <w:rPr>
          <w:sz w:val="24"/>
          <w:szCs w:val="24"/>
        </w:rPr>
      </w:pPr>
      <w:r w:rsidRPr="00A37281">
        <w:rPr>
          <w:sz w:val="24"/>
          <w:szCs w:val="24"/>
        </w:rPr>
        <w:t>On top of this preparatory layer, a black ground layer was applied using bone or ivory black suspended in a varnish containing pine resin, drying oil, and soft copal that shows signs of being heated during pr</w:t>
      </w:r>
      <w:r w:rsidR="00B04C95">
        <w:rPr>
          <w:sz w:val="24"/>
          <w:szCs w:val="24"/>
        </w:rPr>
        <w:t>e</w:t>
      </w:r>
      <w:r w:rsidRPr="00A37281">
        <w:rPr>
          <w:sz w:val="24"/>
          <w:szCs w:val="24"/>
        </w:rPr>
        <w:t xml:space="preserve">paration. A similar varnish recipe is described in an eighteenth-century treatise by Jean-Felix Watin as </w:t>
      </w:r>
      <w:bookmarkStart w:id="5" w:name="_Hlk37274840"/>
      <w:r w:rsidRPr="00A37281">
        <w:rPr>
          <w:i/>
          <w:sz w:val="24"/>
          <w:szCs w:val="24"/>
        </w:rPr>
        <w:t>vernis blanc au copal</w:t>
      </w:r>
      <w:bookmarkEnd w:id="5"/>
      <w:r w:rsidR="00DA7D8E">
        <w:rPr>
          <w:iCs/>
          <w:sz w:val="24"/>
          <w:szCs w:val="24"/>
        </w:rPr>
        <w:t>,</w:t>
      </w:r>
      <w:r w:rsidRPr="00A37281">
        <w:rPr>
          <w:i/>
          <w:sz w:val="24"/>
          <w:szCs w:val="24"/>
        </w:rPr>
        <w:t xml:space="preserve"> </w:t>
      </w:r>
      <w:r w:rsidRPr="00A37281">
        <w:rPr>
          <w:sz w:val="24"/>
          <w:szCs w:val="24"/>
        </w:rPr>
        <w:t>used by the famous Martin brothers.</w:t>
      </w:r>
      <w:r w:rsidRPr="00A37281">
        <w:rPr>
          <w:rStyle w:val="EndnoteReference"/>
          <w:sz w:val="24"/>
          <w:szCs w:val="24"/>
        </w:rPr>
        <w:endnoteReference w:id="18"/>
      </w:r>
      <w:r w:rsidRPr="00A37281">
        <w:rPr>
          <w:sz w:val="24"/>
          <w:szCs w:val="24"/>
        </w:rPr>
        <w:t xml:space="preserve"> </w:t>
      </w:r>
      <w:r w:rsidR="007F79BA">
        <w:rPr>
          <w:sz w:val="24"/>
          <w:szCs w:val="24"/>
        </w:rPr>
        <w:t>The Watin</w:t>
      </w:r>
      <w:r w:rsidRPr="00A37281">
        <w:rPr>
          <w:sz w:val="24"/>
          <w:szCs w:val="24"/>
        </w:rPr>
        <w:t xml:space="preserve"> recipe</w:t>
      </w:r>
      <w:r w:rsidR="007F79BA">
        <w:rPr>
          <w:sz w:val="24"/>
          <w:szCs w:val="24"/>
        </w:rPr>
        <w:t xml:space="preserve"> however,</w:t>
      </w:r>
      <w:r w:rsidRPr="00A37281">
        <w:rPr>
          <w:sz w:val="24"/>
          <w:szCs w:val="24"/>
        </w:rPr>
        <w:t xml:space="preserve"> specifies the use of Venice turpentine, synonymous with larch turpentine from </w:t>
      </w:r>
      <w:r w:rsidRPr="00A37281">
        <w:rPr>
          <w:i/>
          <w:sz w:val="24"/>
          <w:szCs w:val="24"/>
        </w:rPr>
        <w:t xml:space="preserve">Larix decidua </w:t>
      </w:r>
      <w:r w:rsidRPr="00A37281">
        <w:rPr>
          <w:sz w:val="24"/>
          <w:szCs w:val="24"/>
        </w:rPr>
        <w:t>in the late eighteenth century,</w:t>
      </w:r>
      <w:r w:rsidR="00DA7D8E">
        <w:rPr>
          <w:sz w:val="24"/>
          <w:szCs w:val="24"/>
        </w:rPr>
        <w:t xml:space="preserve"> which was</w:t>
      </w:r>
      <w:r w:rsidRPr="00A37281">
        <w:rPr>
          <w:sz w:val="24"/>
          <w:szCs w:val="24"/>
        </w:rPr>
        <w:t xml:space="preserve"> not detected in these samples.</w:t>
      </w:r>
      <w:r w:rsidRPr="00A37281">
        <w:rPr>
          <w:rStyle w:val="EndnoteReference"/>
          <w:sz w:val="24"/>
          <w:szCs w:val="24"/>
        </w:rPr>
        <w:endnoteReference w:id="19"/>
      </w:r>
      <w:r w:rsidR="00DA7D8E">
        <w:rPr>
          <w:sz w:val="24"/>
          <w:szCs w:val="24"/>
        </w:rPr>
        <w:t xml:space="preserve"> </w:t>
      </w:r>
      <w:r w:rsidRPr="00A37281">
        <w:rPr>
          <w:sz w:val="24"/>
          <w:szCs w:val="24"/>
        </w:rPr>
        <w:t xml:space="preserve">Instead, it appears that pine resin, a less expensive soft resin from trees in </w:t>
      </w:r>
      <w:r w:rsidR="00DA7D8E">
        <w:rPr>
          <w:sz w:val="24"/>
          <w:szCs w:val="24"/>
        </w:rPr>
        <w:t xml:space="preserve">the </w:t>
      </w:r>
      <w:r w:rsidRPr="005A300B">
        <w:rPr>
          <w:iCs/>
          <w:sz w:val="24"/>
          <w:szCs w:val="24"/>
        </w:rPr>
        <w:t>Pinaceae</w:t>
      </w:r>
      <w:r w:rsidR="00DA7D8E">
        <w:rPr>
          <w:iCs/>
          <w:sz w:val="24"/>
          <w:szCs w:val="24"/>
        </w:rPr>
        <w:t xml:space="preserve"> family,</w:t>
      </w:r>
      <w:r w:rsidRPr="00DA7D8E">
        <w:rPr>
          <w:iCs/>
          <w:sz w:val="24"/>
          <w:szCs w:val="24"/>
        </w:rPr>
        <w:t xml:space="preserve"> </w:t>
      </w:r>
      <w:r w:rsidRPr="00A37281">
        <w:rPr>
          <w:sz w:val="24"/>
          <w:szCs w:val="24"/>
        </w:rPr>
        <w:t>was used in its place. After the application of the pigmented layer, the surface was sealed with a coating of clear varnish of composition</w:t>
      </w:r>
      <w:r w:rsidR="00AB0247">
        <w:rPr>
          <w:sz w:val="24"/>
          <w:szCs w:val="24"/>
        </w:rPr>
        <w:t xml:space="preserve"> similar</w:t>
      </w:r>
      <w:r w:rsidRPr="00A37281">
        <w:rPr>
          <w:sz w:val="24"/>
          <w:szCs w:val="24"/>
        </w:rPr>
        <w:t xml:space="preserve"> to that used in the pigmented layer below. The decoration of the French lacquer relies primarily on brass and pewter metallic powders and vermilion pigment. From the ground layers through the surface decoration, this European coating shows a clear imitation of the Japanese layer structure, albeit with the use of entirely Western materials. While the original </w:t>
      </w:r>
      <w:r w:rsidR="007F79BA">
        <w:rPr>
          <w:sz w:val="24"/>
          <w:szCs w:val="24"/>
        </w:rPr>
        <w:t xml:space="preserve">decorative </w:t>
      </w:r>
      <w:r w:rsidRPr="00A37281">
        <w:rPr>
          <w:sz w:val="24"/>
          <w:szCs w:val="24"/>
        </w:rPr>
        <w:t xml:space="preserve">French lacquer survives in good condition on the doors, the </w:t>
      </w:r>
      <w:r w:rsidR="007F79BA">
        <w:rPr>
          <w:sz w:val="24"/>
          <w:szCs w:val="24"/>
        </w:rPr>
        <w:t xml:space="preserve">plain black </w:t>
      </w:r>
      <w:r w:rsidRPr="00A37281">
        <w:rPr>
          <w:sz w:val="24"/>
          <w:szCs w:val="24"/>
        </w:rPr>
        <w:t xml:space="preserve">legs and rails of the case appear to have been stripped and </w:t>
      </w:r>
      <w:r w:rsidR="00AB0247">
        <w:rPr>
          <w:sz w:val="24"/>
          <w:szCs w:val="24"/>
        </w:rPr>
        <w:t>re</w:t>
      </w:r>
      <w:r w:rsidRPr="00A37281">
        <w:rPr>
          <w:sz w:val="24"/>
          <w:szCs w:val="24"/>
        </w:rPr>
        <w:t xml:space="preserve">lacquered using a chalk (or possibly gypsum) ground with black lacquer above.  </w:t>
      </w:r>
    </w:p>
    <w:p w14:paraId="28CC12F7" w14:textId="60A5A6A6" w:rsidR="00A37281" w:rsidRPr="00A37281" w:rsidRDefault="00A37281" w:rsidP="008C0024">
      <w:pPr>
        <w:spacing w:after="0" w:line="480" w:lineRule="auto"/>
        <w:ind w:firstLine="560"/>
        <w:rPr>
          <w:b/>
          <w:bCs/>
          <w:sz w:val="24"/>
          <w:szCs w:val="24"/>
        </w:rPr>
      </w:pPr>
      <w:r w:rsidRPr="00A37281">
        <w:rPr>
          <w:sz w:val="24"/>
          <w:szCs w:val="24"/>
        </w:rPr>
        <w:t>The Japanese lacquer panels are in good condition overall. There have been several campaigns of restoration to replace losses along vertical cracks</w:t>
      </w:r>
      <w:r w:rsidR="00AB0247">
        <w:rPr>
          <w:sz w:val="24"/>
          <w:szCs w:val="24"/>
        </w:rPr>
        <w:t>,</w:t>
      </w:r>
      <w:r w:rsidRPr="00A37281">
        <w:rPr>
          <w:sz w:val="24"/>
          <w:szCs w:val="24"/>
        </w:rPr>
        <w:t xml:space="preserve"> and in some areas, particularly on the sides, the designs have been reinforced with brass, pewter, and gold paints. Several layers of darkened restoration varnish, covering both the Asian and European lacquer, diminish the brilliance of the original work.</w:t>
      </w:r>
    </w:p>
    <w:p w14:paraId="38006459" w14:textId="3300E265"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 xml:space="preserve">Seventeen representative gilded bronze mounts were removed from the commode and </w:t>
      </w:r>
      <w:r w:rsidRPr="00A37281">
        <w:rPr>
          <w:sz w:val="24"/>
          <w:szCs w:val="24"/>
        </w:rPr>
        <w:lastRenderedPageBreak/>
        <w:t xml:space="preserve">analyzed for bulk alloy composition by XRF. The XRF results suggest very strongly that all of the mounts date to the late </w:t>
      </w:r>
      <w:r w:rsidR="00AB0247">
        <w:rPr>
          <w:sz w:val="24"/>
          <w:szCs w:val="24"/>
        </w:rPr>
        <w:t>nineteenth</w:t>
      </w:r>
      <w:r w:rsidRPr="00A37281">
        <w:rPr>
          <w:sz w:val="24"/>
          <w:szCs w:val="24"/>
        </w:rPr>
        <w:t xml:space="preserve"> or early </w:t>
      </w:r>
      <w:r w:rsidR="00AB0247">
        <w:rPr>
          <w:sz w:val="24"/>
          <w:szCs w:val="24"/>
        </w:rPr>
        <w:t>twentieth</w:t>
      </w:r>
      <w:r w:rsidRPr="00A37281">
        <w:rPr>
          <w:sz w:val="24"/>
          <w:szCs w:val="24"/>
        </w:rPr>
        <w:t xml:space="preserve"> </w:t>
      </w:r>
      <w:r w:rsidR="00AB0247">
        <w:rPr>
          <w:sz w:val="24"/>
          <w:szCs w:val="24"/>
        </w:rPr>
        <w:t>century</w:t>
      </w:r>
      <w:r w:rsidRPr="00A37281">
        <w:rPr>
          <w:sz w:val="24"/>
          <w:szCs w:val="24"/>
        </w:rPr>
        <w:t>. All of the mounts have higher than normal levels of zinc</w:t>
      </w:r>
      <w:r w:rsidR="00AB0247">
        <w:rPr>
          <w:sz w:val="24"/>
          <w:szCs w:val="24"/>
        </w:rPr>
        <w:t>,</w:t>
      </w:r>
      <w:r w:rsidRPr="00A37281">
        <w:rPr>
          <w:sz w:val="24"/>
          <w:szCs w:val="24"/>
        </w:rPr>
        <w:t xml:space="preserve"> along with very low levels of tin, silver, antimony</w:t>
      </w:r>
      <w:r w:rsidR="00AB0247">
        <w:rPr>
          <w:sz w:val="24"/>
          <w:szCs w:val="24"/>
        </w:rPr>
        <w:t>,</w:t>
      </w:r>
      <w:r w:rsidRPr="00A37281">
        <w:rPr>
          <w:sz w:val="24"/>
          <w:szCs w:val="24"/>
        </w:rPr>
        <w:t xml:space="preserve"> and iron. This combination of characteristics makes an </w:t>
      </w:r>
      <w:r w:rsidR="00AB0247">
        <w:rPr>
          <w:sz w:val="24"/>
          <w:szCs w:val="24"/>
        </w:rPr>
        <w:t>eighteenth-</w:t>
      </w:r>
      <w:r w:rsidRPr="00A37281">
        <w:rPr>
          <w:sz w:val="24"/>
          <w:szCs w:val="24"/>
        </w:rPr>
        <w:t>century date extremely unlikely. The compositional results from these mounts were evaluated in comparison to a reference database using machine learning algorithms to generate an estimate of their date of manufacture.</w:t>
      </w:r>
      <w:r w:rsidR="005C152D" w:rsidRPr="00A37281">
        <w:rPr>
          <w:rStyle w:val="EndnoteReference"/>
          <w:sz w:val="24"/>
          <w:szCs w:val="24"/>
        </w:rPr>
        <w:endnoteReference w:id="20"/>
      </w:r>
      <w:r w:rsidRPr="00A37281">
        <w:rPr>
          <w:sz w:val="24"/>
          <w:szCs w:val="24"/>
        </w:rPr>
        <w:t xml:space="preserve"> This process yielded an estimated date of 1905 ± 37 years with 90% confidence.</w:t>
      </w:r>
    </w:p>
    <w:p w14:paraId="02168347" w14:textId="4DB4E1D8" w:rsidR="00A37281" w:rsidRP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 xml:space="preserve">Several other lines of evidence support the conclusion that the mounts on this commode have been replaced. The mounts were compared visually to other </w:t>
      </w:r>
      <w:r w:rsidR="00323BE8">
        <w:rPr>
          <w:sz w:val="24"/>
          <w:szCs w:val="24"/>
        </w:rPr>
        <w:t>Van Risenburgh</w:t>
      </w:r>
      <w:r w:rsidRPr="00A37281">
        <w:rPr>
          <w:sz w:val="24"/>
          <w:szCs w:val="24"/>
        </w:rPr>
        <w:t xml:space="preserve"> mounts in the Getty collection</w:t>
      </w:r>
      <w:r w:rsidR="00AB0247">
        <w:rPr>
          <w:sz w:val="24"/>
          <w:szCs w:val="24"/>
        </w:rPr>
        <w:t>,</w:t>
      </w:r>
      <w:r w:rsidRPr="00A37281">
        <w:rPr>
          <w:sz w:val="24"/>
          <w:szCs w:val="24"/>
        </w:rPr>
        <w:t xml:space="preserve"> including the corner cupboards 72.DA.44.1</w:t>
      </w:r>
      <w:r w:rsidR="00961484">
        <w:rPr>
          <w:sz w:val="24"/>
          <w:szCs w:val="24"/>
        </w:rPr>
        <w:t xml:space="preserve">–.2, </w:t>
      </w:r>
      <w:r w:rsidR="00AB0247">
        <w:rPr>
          <w:sz w:val="24"/>
          <w:szCs w:val="24"/>
        </w:rPr>
        <w:t xml:space="preserve">the </w:t>
      </w:r>
      <w:r w:rsidRPr="005A300B">
        <w:rPr>
          <w:i/>
          <w:iCs/>
          <w:sz w:val="24"/>
          <w:szCs w:val="24"/>
        </w:rPr>
        <w:t>cartonnier</w:t>
      </w:r>
      <w:r w:rsidRPr="00A37281">
        <w:rPr>
          <w:sz w:val="24"/>
          <w:szCs w:val="24"/>
        </w:rPr>
        <w:t xml:space="preserve"> 83.DA.280, </w:t>
      </w:r>
      <w:r w:rsidR="00AB0247">
        <w:rPr>
          <w:sz w:val="24"/>
          <w:szCs w:val="24"/>
        </w:rPr>
        <w:t xml:space="preserve">the </w:t>
      </w:r>
      <w:r w:rsidRPr="00A37281">
        <w:rPr>
          <w:sz w:val="24"/>
          <w:szCs w:val="24"/>
        </w:rPr>
        <w:t>long cabinet 77.DA.91</w:t>
      </w:r>
      <w:r w:rsidR="00AB0247">
        <w:rPr>
          <w:sz w:val="24"/>
          <w:szCs w:val="24"/>
        </w:rPr>
        <w:t>,</w:t>
      </w:r>
      <w:r w:rsidRPr="00A37281">
        <w:rPr>
          <w:sz w:val="24"/>
          <w:szCs w:val="24"/>
        </w:rPr>
        <w:t xml:space="preserve"> and </w:t>
      </w:r>
      <w:r w:rsidR="00AB0247">
        <w:rPr>
          <w:sz w:val="24"/>
          <w:szCs w:val="24"/>
        </w:rPr>
        <w:t xml:space="preserve">the </w:t>
      </w:r>
      <w:r w:rsidRPr="00A37281">
        <w:rPr>
          <w:sz w:val="24"/>
          <w:szCs w:val="24"/>
        </w:rPr>
        <w:t>red lacquer commode 72.DA.46. When compared directly to these mounts, this commode’s mounts are significantly less finely chased. This comparison is particularly evident in comparison to the nearly identical moun</w:t>
      </w:r>
      <w:r w:rsidR="007F324F">
        <w:rPr>
          <w:sz w:val="24"/>
          <w:szCs w:val="24"/>
        </w:rPr>
        <w:t>ts from the red lacquer commode</w:t>
      </w:r>
      <w:r w:rsidRPr="005C152D">
        <w:rPr>
          <w:sz w:val="24"/>
          <w:szCs w:val="24"/>
        </w:rPr>
        <w:t>.</w:t>
      </w:r>
      <w:r w:rsidR="007322D5" w:rsidRPr="00A37281">
        <w:rPr>
          <w:sz w:val="24"/>
          <w:szCs w:val="24"/>
          <w:vertAlign w:val="superscript"/>
        </w:rPr>
        <w:endnoteReference w:id="21"/>
      </w:r>
      <w:r w:rsidRPr="00A37281">
        <w:rPr>
          <w:sz w:val="24"/>
          <w:szCs w:val="24"/>
        </w:rPr>
        <w:t xml:space="preserve"> In addition, there are numerous areas where what appear to be file marks from fitting the mounts as well as brazing joints between sections have actually been cast in, suggesting that the current mounts are copies of mounts that had been previously fitted to furniture. Finally, when the mounts are removed, </w:t>
      </w:r>
      <w:r w:rsidR="00AB0247">
        <w:rPr>
          <w:sz w:val="24"/>
          <w:szCs w:val="24"/>
        </w:rPr>
        <w:t>X</w:t>
      </w:r>
      <w:r w:rsidRPr="00A37281">
        <w:rPr>
          <w:sz w:val="24"/>
          <w:szCs w:val="24"/>
        </w:rPr>
        <w:t>-radiographs reveal numerous filled holes beneath the mounts that do not correspond with the current screw holes. The fact that virtually all of the extraneous holes lie beneath the current mounts suggests that they may be faithful copies of the originals.</w:t>
      </w:r>
    </w:p>
    <w:p w14:paraId="34B6DF36" w14:textId="213007B3" w:rsidR="00A37281" w:rsidRDefault="00A37281" w:rsidP="008C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sz w:val="24"/>
          <w:szCs w:val="24"/>
        </w:rPr>
      </w:pPr>
      <w:r>
        <w:rPr>
          <w:sz w:val="24"/>
          <w:szCs w:val="24"/>
        </w:rPr>
        <w:tab/>
      </w:r>
      <w:r w:rsidRPr="00A37281">
        <w:rPr>
          <w:sz w:val="24"/>
          <w:szCs w:val="24"/>
        </w:rPr>
        <w:t xml:space="preserve">The marble of the top is commonly called </w:t>
      </w:r>
      <w:r w:rsidRPr="00A37281">
        <w:rPr>
          <w:i/>
          <w:iCs/>
          <w:sz w:val="24"/>
          <w:szCs w:val="24"/>
        </w:rPr>
        <w:t xml:space="preserve">sarrancolin </w:t>
      </w:r>
      <w:r w:rsidRPr="00A37281">
        <w:rPr>
          <w:sz w:val="24"/>
          <w:szCs w:val="24"/>
        </w:rPr>
        <w:t xml:space="preserve">and appears to be most similar to the variety called </w:t>
      </w:r>
      <w:r w:rsidRPr="002A7C3D">
        <w:rPr>
          <w:i/>
          <w:iCs/>
          <w:sz w:val="24"/>
          <w:szCs w:val="24"/>
        </w:rPr>
        <w:t>Beyrede</w:t>
      </w:r>
      <w:r w:rsidRPr="00A37281">
        <w:rPr>
          <w:i/>
          <w:iCs/>
          <w:sz w:val="24"/>
          <w:szCs w:val="24"/>
        </w:rPr>
        <w:t xml:space="preserve"> </w:t>
      </w:r>
      <w:r w:rsidRPr="00A37281">
        <w:rPr>
          <w:sz w:val="24"/>
          <w:szCs w:val="24"/>
        </w:rPr>
        <w:t xml:space="preserve">or </w:t>
      </w:r>
      <w:r w:rsidRPr="00A37281">
        <w:rPr>
          <w:i/>
          <w:iCs/>
          <w:sz w:val="24"/>
          <w:szCs w:val="24"/>
        </w:rPr>
        <w:t>Antin Sarrancolin</w:t>
      </w:r>
      <w:r w:rsidRPr="00A37281">
        <w:rPr>
          <w:sz w:val="24"/>
          <w:szCs w:val="24"/>
        </w:rPr>
        <w:t xml:space="preserve"> by </w:t>
      </w:r>
      <w:r w:rsidR="00961484">
        <w:rPr>
          <w:sz w:val="24"/>
          <w:szCs w:val="24"/>
        </w:rPr>
        <w:t>Dubarry de</w:t>
      </w:r>
      <w:r w:rsidRPr="00A37281">
        <w:rPr>
          <w:sz w:val="24"/>
          <w:szCs w:val="24"/>
        </w:rPr>
        <w:t xml:space="preserve"> Lassale.</w:t>
      </w:r>
      <w:r w:rsidR="007322D5" w:rsidRPr="007322D5">
        <w:rPr>
          <w:rStyle w:val="EndnoteReference"/>
          <w:sz w:val="24"/>
          <w:szCs w:val="24"/>
        </w:rPr>
        <w:t xml:space="preserve"> </w:t>
      </w:r>
      <w:r w:rsidR="007322D5" w:rsidRPr="00A37281">
        <w:rPr>
          <w:rStyle w:val="EndnoteReference"/>
          <w:sz w:val="24"/>
          <w:szCs w:val="24"/>
        </w:rPr>
        <w:endnoteReference w:id="22"/>
      </w:r>
      <w:r w:rsidRPr="00A37281">
        <w:rPr>
          <w:sz w:val="24"/>
          <w:szCs w:val="24"/>
        </w:rPr>
        <w:t xml:space="preserve"> It is a highly brecciated metamorphic limestone with predominantly gr</w:t>
      </w:r>
      <w:r w:rsidR="00AB0247">
        <w:rPr>
          <w:sz w:val="24"/>
          <w:szCs w:val="24"/>
        </w:rPr>
        <w:t>a</w:t>
      </w:r>
      <w:r w:rsidRPr="00A37281">
        <w:rPr>
          <w:sz w:val="24"/>
          <w:szCs w:val="24"/>
        </w:rPr>
        <w:t xml:space="preserve">y fragments in a dark red to pinkish matrix.  </w:t>
      </w:r>
      <w:r w:rsidRPr="00A37281">
        <w:rPr>
          <w:sz w:val="24"/>
          <w:szCs w:val="24"/>
        </w:rPr>
        <w:lastRenderedPageBreak/>
        <w:t>Veins of white, cream</w:t>
      </w:r>
      <w:r w:rsidR="00AB0247">
        <w:rPr>
          <w:sz w:val="24"/>
          <w:szCs w:val="24"/>
        </w:rPr>
        <w:t>,</w:t>
      </w:r>
      <w:r w:rsidRPr="00A37281">
        <w:rPr>
          <w:sz w:val="24"/>
          <w:szCs w:val="24"/>
        </w:rPr>
        <w:t xml:space="preserve"> and yellow cross through the matrix. Within the gr</w:t>
      </w:r>
      <w:r w:rsidR="00AB0247">
        <w:rPr>
          <w:sz w:val="24"/>
          <w:szCs w:val="24"/>
        </w:rPr>
        <w:t>a</w:t>
      </w:r>
      <w:r w:rsidRPr="00A37281">
        <w:rPr>
          <w:sz w:val="24"/>
          <w:szCs w:val="24"/>
        </w:rPr>
        <w:t xml:space="preserve">y limestone fragments are numerous fossil traces of rudist bivalves </w:t>
      </w:r>
      <w:r w:rsidR="005C152D">
        <w:rPr>
          <w:bCs/>
          <w:sz w:val="24"/>
          <w:szCs w:val="24"/>
        </w:rPr>
        <w:t>(</w:t>
      </w:r>
      <w:hyperlink w:anchor="fig-5-16" w:history="1">
        <w:r w:rsidR="00AB0247" w:rsidRPr="00AB0247">
          <w:rPr>
            <w:rStyle w:val="Hyperlink"/>
            <w:bCs/>
            <w:sz w:val="24"/>
            <w:szCs w:val="24"/>
          </w:rPr>
          <w:t>f</w:t>
        </w:r>
        <w:r w:rsidR="007F324F" w:rsidRPr="00AB0247">
          <w:rPr>
            <w:rStyle w:val="Hyperlink"/>
            <w:bCs/>
            <w:sz w:val="24"/>
            <w:szCs w:val="24"/>
          </w:rPr>
          <w:t>ig. 5-16</w:t>
        </w:r>
      </w:hyperlink>
      <w:r w:rsidR="005C152D">
        <w:rPr>
          <w:bCs/>
          <w:sz w:val="24"/>
          <w:szCs w:val="24"/>
        </w:rPr>
        <w:t>)</w:t>
      </w:r>
      <w:r w:rsidRPr="005C152D">
        <w:rPr>
          <w:sz w:val="24"/>
          <w:szCs w:val="24"/>
        </w:rPr>
        <w:t>.</w:t>
      </w:r>
      <w:r w:rsidRPr="00A37281">
        <w:rPr>
          <w:sz w:val="24"/>
          <w:szCs w:val="24"/>
        </w:rPr>
        <w:t xml:space="preserve"> The top is between 3.2</w:t>
      </w:r>
      <w:r w:rsidR="00AB0247">
        <w:rPr>
          <w:sz w:val="24"/>
          <w:szCs w:val="24"/>
        </w:rPr>
        <w:t xml:space="preserve"> cm</w:t>
      </w:r>
      <w:r w:rsidRPr="00A37281">
        <w:rPr>
          <w:sz w:val="24"/>
          <w:szCs w:val="24"/>
        </w:rPr>
        <w:t xml:space="preserve"> and 3.5</w:t>
      </w:r>
      <w:r w:rsidR="00AB0247">
        <w:rPr>
          <w:sz w:val="24"/>
          <w:szCs w:val="24"/>
        </w:rPr>
        <w:t xml:space="preserve"> </w:t>
      </w:r>
      <w:r w:rsidRPr="00A37281">
        <w:rPr>
          <w:sz w:val="24"/>
          <w:szCs w:val="24"/>
        </w:rPr>
        <w:t>cm thick and has a molded edge consisting of a small cavetto at the top, separated by a narrow fillet from a larger ovolo at the bottom</w:t>
      </w:r>
      <w:r w:rsidR="005C152D">
        <w:rPr>
          <w:sz w:val="24"/>
          <w:szCs w:val="24"/>
        </w:rPr>
        <w:t xml:space="preserve"> (</w:t>
      </w:r>
      <w:hyperlink w:anchor="fig-5-17" w:history="1">
        <w:r w:rsidR="00AB0247" w:rsidRPr="00AB0247">
          <w:rPr>
            <w:rStyle w:val="Hyperlink"/>
            <w:bCs/>
            <w:sz w:val="24"/>
            <w:szCs w:val="24"/>
          </w:rPr>
          <w:t>f</w:t>
        </w:r>
        <w:r w:rsidR="007F324F" w:rsidRPr="00AB0247">
          <w:rPr>
            <w:rStyle w:val="Hyperlink"/>
            <w:bCs/>
            <w:sz w:val="24"/>
            <w:szCs w:val="24"/>
          </w:rPr>
          <w:t>ig. 5-17</w:t>
        </w:r>
      </w:hyperlink>
      <w:r w:rsidR="005C152D">
        <w:rPr>
          <w:bCs/>
          <w:sz w:val="24"/>
          <w:szCs w:val="24"/>
        </w:rPr>
        <w:t>)</w:t>
      </w:r>
      <w:r w:rsidRPr="005C152D">
        <w:rPr>
          <w:sz w:val="24"/>
          <w:szCs w:val="24"/>
        </w:rPr>
        <w:t>.</w:t>
      </w:r>
      <w:r w:rsidRPr="00A37281">
        <w:rPr>
          <w:sz w:val="24"/>
          <w:szCs w:val="24"/>
        </w:rPr>
        <w:t xml:space="preserve"> The top has been broken along several lines and has been repaired with iron cramps and cement.</w:t>
      </w:r>
    </w:p>
    <w:p w14:paraId="669DD8BC" w14:textId="77777777" w:rsidR="00A22829" w:rsidRDefault="00A22829" w:rsidP="00C03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pPr>
    </w:p>
    <w:sectPr w:rsidR="00A22829">
      <w:footerReference w:type="default" r:id="rId8"/>
      <w:endnotePr>
        <w:numFmt w:val="decimal"/>
      </w:endnotePr>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E1E06" w14:textId="77777777" w:rsidR="00D26060" w:rsidRDefault="00D26060">
      <w:pPr>
        <w:spacing w:after="0" w:line="240" w:lineRule="auto"/>
      </w:pPr>
      <w:r>
        <w:separator/>
      </w:r>
    </w:p>
  </w:endnote>
  <w:endnote w:type="continuationSeparator" w:id="0">
    <w:p w14:paraId="02C8305C" w14:textId="77777777" w:rsidR="00D26060" w:rsidRDefault="00D26060">
      <w:pPr>
        <w:spacing w:after="0" w:line="240" w:lineRule="auto"/>
      </w:pPr>
      <w:r>
        <w:continuationSeparator/>
      </w:r>
    </w:p>
  </w:endnote>
  <w:endnote w:id="1">
    <w:p w14:paraId="0953C8DC" w14:textId="5FA283DC" w:rsidR="00ED2EBE" w:rsidRPr="00513DCC" w:rsidRDefault="00ED2EBE" w:rsidP="005A473A">
      <w:pPr>
        <w:pStyle w:val="Style"/>
        <w:spacing w:line="480" w:lineRule="auto"/>
        <w:ind w:right="28"/>
        <w:rPr>
          <w:rFonts w:ascii="Times New Roman" w:hAnsi="Times New Roman" w:cs="Times New Roman"/>
        </w:rPr>
      </w:pPr>
      <w:r w:rsidRPr="00513DCC">
        <w:rPr>
          <w:rStyle w:val="FootnoteCharacters"/>
          <w:rFonts w:ascii="Times New Roman" w:hAnsi="Times New Roman" w:cs="Times New Roman"/>
        </w:rPr>
        <w:endnoteRef/>
      </w:r>
      <w:r w:rsidRPr="00513DCC">
        <w:rPr>
          <w:rFonts w:ascii="Times New Roman" w:hAnsi="Times New Roman" w:cs="Times New Roman"/>
        </w:rPr>
        <w:t xml:space="preserve"> For information on Bernard II van Risenburgh</w:t>
      </w:r>
      <w:r w:rsidR="008C0024">
        <w:rPr>
          <w:rFonts w:ascii="Times New Roman" w:hAnsi="Times New Roman" w:cs="Times New Roman"/>
        </w:rPr>
        <w:t>,</w:t>
      </w:r>
      <w:r w:rsidRPr="00513DCC">
        <w:rPr>
          <w:rFonts w:ascii="Times New Roman" w:hAnsi="Times New Roman" w:cs="Times New Roman"/>
        </w:rPr>
        <w:t xml:space="preserve"> see primarily </w:t>
      </w:r>
      <w:r w:rsidR="004C1B39">
        <w:rPr>
          <w:rFonts w:ascii="Times New Roman" w:hAnsi="Times New Roman" w:cs="Times New Roman"/>
        </w:rPr>
        <w:t>{{</w:t>
      </w:r>
      <w:r w:rsidRPr="00513DCC">
        <w:rPr>
          <w:rFonts w:ascii="Times New Roman" w:hAnsi="Times New Roman" w:cs="Times New Roman"/>
        </w:rPr>
        <w:t>Pradère 1989</w:t>
      </w:r>
      <w:r w:rsidR="00841848">
        <w:rPr>
          <w:rFonts w:ascii="Times New Roman" w:hAnsi="Times New Roman" w:cs="Times New Roman"/>
        </w:rPr>
        <w:t>a</w:t>
      </w:r>
      <w:r w:rsidR="004C1B39">
        <w:rPr>
          <w:rFonts w:ascii="Times New Roman" w:hAnsi="Times New Roman" w:cs="Times New Roman"/>
        </w:rPr>
        <w:t>}}</w:t>
      </w:r>
      <w:r w:rsidRPr="00513DCC">
        <w:rPr>
          <w:rFonts w:ascii="Times New Roman" w:hAnsi="Times New Roman" w:cs="Times New Roman"/>
        </w:rPr>
        <w:t>, 183</w:t>
      </w:r>
      <w:r w:rsidR="00AB0247">
        <w:rPr>
          <w:rFonts w:ascii="Times New Roman" w:hAnsi="Times New Roman" w:cs="Times New Roman"/>
        </w:rPr>
        <w:t>–</w:t>
      </w:r>
      <w:r w:rsidRPr="00513DCC">
        <w:rPr>
          <w:rFonts w:ascii="Times New Roman" w:hAnsi="Times New Roman" w:cs="Times New Roman"/>
        </w:rPr>
        <w:t xml:space="preserve">99; </w:t>
      </w:r>
      <w:r w:rsidR="004C1B39">
        <w:rPr>
          <w:rFonts w:ascii="Times New Roman" w:hAnsi="Times New Roman" w:cs="Times New Roman"/>
        </w:rPr>
        <w:t>{{</w:t>
      </w:r>
      <w:r w:rsidRPr="00513DCC">
        <w:rPr>
          <w:rFonts w:ascii="Times New Roman" w:hAnsi="Times New Roman" w:cs="Times New Roman"/>
        </w:rPr>
        <w:t>Baroli 1957</w:t>
      </w:r>
      <w:r w:rsidR="004C1B39">
        <w:rPr>
          <w:rFonts w:ascii="Times New Roman" w:hAnsi="Times New Roman" w:cs="Times New Roman"/>
        </w:rPr>
        <w:t>}}</w:t>
      </w:r>
      <w:r w:rsidRPr="00513DCC">
        <w:rPr>
          <w:rFonts w:ascii="Times New Roman" w:hAnsi="Times New Roman" w:cs="Times New Roman"/>
        </w:rPr>
        <w:t>, 56</w:t>
      </w:r>
      <w:r w:rsidR="00AB0247">
        <w:rPr>
          <w:rFonts w:ascii="Times New Roman" w:hAnsi="Times New Roman" w:cs="Times New Roman"/>
        </w:rPr>
        <w:t>–</w:t>
      </w:r>
      <w:r w:rsidRPr="00513DCC">
        <w:rPr>
          <w:rFonts w:ascii="Times New Roman" w:hAnsi="Times New Roman" w:cs="Times New Roman"/>
        </w:rPr>
        <w:t xml:space="preserve">63. See also </w:t>
      </w:r>
      <w:r w:rsidR="004C1B39">
        <w:rPr>
          <w:rFonts w:ascii="Times New Roman" w:hAnsi="Times New Roman" w:cs="Times New Roman"/>
        </w:rPr>
        <w:t>{{</w:t>
      </w:r>
      <w:r w:rsidRPr="00513DCC">
        <w:rPr>
          <w:rFonts w:ascii="Times New Roman" w:hAnsi="Times New Roman" w:cs="Times New Roman"/>
        </w:rPr>
        <w:t>Alcouffe 1974</w:t>
      </w:r>
      <w:r w:rsidR="004C1B39">
        <w:rPr>
          <w:rFonts w:ascii="Times New Roman" w:hAnsi="Times New Roman" w:cs="Times New Roman"/>
        </w:rPr>
        <w:t>}}</w:t>
      </w:r>
      <w:r w:rsidRPr="00513DCC">
        <w:rPr>
          <w:rFonts w:ascii="Times New Roman" w:hAnsi="Times New Roman" w:cs="Times New Roman"/>
        </w:rPr>
        <w:t>, 323</w:t>
      </w:r>
      <w:r w:rsidR="00AB0247">
        <w:rPr>
          <w:rFonts w:ascii="Times New Roman" w:hAnsi="Times New Roman" w:cs="Times New Roman"/>
        </w:rPr>
        <w:t>–</w:t>
      </w:r>
      <w:r w:rsidRPr="00513DCC">
        <w:rPr>
          <w:rFonts w:ascii="Times New Roman" w:hAnsi="Times New Roman" w:cs="Times New Roman"/>
        </w:rPr>
        <w:t xml:space="preserve">24. </w:t>
      </w:r>
    </w:p>
  </w:endnote>
  <w:endnote w:id="2">
    <w:p w14:paraId="6E4D4B27" w14:textId="56379BCB" w:rsidR="00ED2EBE" w:rsidRPr="00513DCC" w:rsidRDefault="00ED2EBE" w:rsidP="005A473A">
      <w:pPr>
        <w:spacing w:line="480" w:lineRule="auto"/>
        <w:rPr>
          <w:sz w:val="24"/>
          <w:szCs w:val="24"/>
        </w:rPr>
      </w:pPr>
      <w:r w:rsidRPr="00513DCC">
        <w:rPr>
          <w:rStyle w:val="FootnoteCharacters"/>
        </w:rPr>
        <w:endnoteRef/>
      </w:r>
      <w:r w:rsidRPr="00513DCC">
        <w:t xml:space="preserve"> </w:t>
      </w:r>
      <w:r w:rsidRPr="00513DCC">
        <w:rPr>
          <w:sz w:val="24"/>
          <w:szCs w:val="24"/>
        </w:rPr>
        <w:t xml:space="preserve">For a </w:t>
      </w:r>
      <w:r w:rsidRPr="00513DCC">
        <w:rPr>
          <w:i/>
          <w:sz w:val="24"/>
          <w:szCs w:val="24"/>
        </w:rPr>
        <w:t>commode à vantaux</w:t>
      </w:r>
      <w:r w:rsidRPr="00513DCC">
        <w:rPr>
          <w:sz w:val="24"/>
          <w:szCs w:val="24"/>
        </w:rPr>
        <w:t xml:space="preserve"> set with ninety Sèvres porcelain plaques made in about 1760 for Élisabeth Alexandrine de Bourbon-Condé (1703</w:t>
      </w:r>
      <w:r w:rsidR="00AB0247">
        <w:rPr>
          <w:sz w:val="24"/>
          <w:szCs w:val="24"/>
        </w:rPr>
        <w:t>–</w:t>
      </w:r>
      <w:r w:rsidRPr="00513DCC">
        <w:rPr>
          <w:sz w:val="24"/>
          <w:szCs w:val="24"/>
        </w:rPr>
        <w:t xml:space="preserve">1765), known as Mademoiselle de Sens, see </w:t>
      </w:r>
      <w:r w:rsidR="004C1B39">
        <w:rPr>
          <w:sz w:val="24"/>
          <w:szCs w:val="24"/>
        </w:rPr>
        <w:t>{{</w:t>
      </w:r>
      <w:r w:rsidRPr="00513DCC">
        <w:rPr>
          <w:sz w:val="24"/>
          <w:szCs w:val="24"/>
        </w:rPr>
        <w:t>Pradère 1989</w:t>
      </w:r>
      <w:r w:rsidR="00841848">
        <w:rPr>
          <w:sz w:val="24"/>
          <w:szCs w:val="24"/>
        </w:rPr>
        <w:t>a</w:t>
      </w:r>
      <w:r w:rsidR="004C1B39">
        <w:rPr>
          <w:sz w:val="24"/>
          <w:szCs w:val="24"/>
        </w:rPr>
        <w:t>}}</w:t>
      </w:r>
      <w:r w:rsidRPr="00513DCC">
        <w:rPr>
          <w:sz w:val="24"/>
          <w:szCs w:val="24"/>
        </w:rPr>
        <w:t>,</w:t>
      </w:r>
      <w:r w:rsidRPr="00513DCC">
        <w:rPr>
          <w:i/>
          <w:sz w:val="24"/>
          <w:szCs w:val="24"/>
        </w:rPr>
        <w:t xml:space="preserve"> </w:t>
      </w:r>
      <w:r w:rsidRPr="00513DCC">
        <w:rPr>
          <w:sz w:val="24"/>
          <w:szCs w:val="24"/>
        </w:rPr>
        <w:t xml:space="preserve">197, fig. 189; </w:t>
      </w:r>
      <w:r w:rsidR="004C1B39">
        <w:rPr>
          <w:sz w:val="24"/>
          <w:szCs w:val="24"/>
        </w:rPr>
        <w:t>{{</w:t>
      </w:r>
      <w:r w:rsidRPr="00513DCC">
        <w:rPr>
          <w:i/>
          <w:sz w:val="24"/>
          <w:szCs w:val="24"/>
        </w:rPr>
        <w:t>18</w:t>
      </w:r>
      <w:r w:rsidR="00AB0247">
        <w:rPr>
          <w:i/>
          <w:sz w:val="24"/>
          <w:szCs w:val="24"/>
        </w:rPr>
        <w:t>th</w:t>
      </w:r>
      <w:r w:rsidRPr="00513DCC">
        <w:rPr>
          <w:i/>
          <w:sz w:val="24"/>
          <w:szCs w:val="24"/>
        </w:rPr>
        <w:t xml:space="preserve"> Century: Birth of Design </w:t>
      </w:r>
      <w:r w:rsidRPr="00513DCC">
        <w:rPr>
          <w:sz w:val="24"/>
          <w:szCs w:val="24"/>
        </w:rPr>
        <w:t>2014</w:t>
      </w:r>
      <w:r w:rsidR="004C1B39">
        <w:rPr>
          <w:sz w:val="24"/>
          <w:szCs w:val="24"/>
        </w:rPr>
        <w:t>}}</w:t>
      </w:r>
      <w:r w:rsidRPr="00513DCC">
        <w:rPr>
          <w:sz w:val="24"/>
          <w:szCs w:val="24"/>
        </w:rPr>
        <w:t>, 166</w:t>
      </w:r>
      <w:r w:rsidR="00AB0247">
        <w:rPr>
          <w:sz w:val="24"/>
          <w:szCs w:val="24"/>
        </w:rPr>
        <w:t>–</w:t>
      </w:r>
      <w:r w:rsidRPr="00513DCC">
        <w:rPr>
          <w:sz w:val="24"/>
          <w:szCs w:val="24"/>
        </w:rPr>
        <w:t>69, no. 46.</w:t>
      </w:r>
    </w:p>
  </w:endnote>
  <w:endnote w:id="3">
    <w:p w14:paraId="26491B75" w14:textId="17E09E41" w:rsidR="00ED2EBE" w:rsidRPr="00513DCC" w:rsidRDefault="00ED2EBE" w:rsidP="005A473A">
      <w:pPr>
        <w:widowControl w:val="0"/>
        <w:suppressAutoHyphens w:val="0"/>
        <w:autoSpaceDE w:val="0"/>
        <w:autoSpaceDN w:val="0"/>
        <w:adjustRightInd w:val="0"/>
        <w:spacing w:after="240" w:line="480" w:lineRule="auto"/>
        <w:rPr>
          <w:sz w:val="24"/>
          <w:szCs w:val="24"/>
        </w:rPr>
      </w:pPr>
      <w:r w:rsidRPr="00513DCC">
        <w:rPr>
          <w:rStyle w:val="EndnoteReference"/>
        </w:rPr>
        <w:endnoteRef/>
      </w:r>
      <w:r w:rsidRPr="00513DCC">
        <w:t xml:space="preserve"> </w:t>
      </w:r>
      <w:r w:rsidRPr="00513DCC">
        <w:rPr>
          <w:sz w:val="24"/>
          <w:szCs w:val="24"/>
        </w:rPr>
        <w:t xml:space="preserve">See </w:t>
      </w:r>
      <w:r w:rsidR="004C1B39">
        <w:rPr>
          <w:sz w:val="24"/>
          <w:szCs w:val="24"/>
        </w:rPr>
        <w:t>{{</w:t>
      </w:r>
      <w:r w:rsidRPr="00513DCC">
        <w:rPr>
          <w:sz w:val="24"/>
          <w:szCs w:val="24"/>
        </w:rPr>
        <w:t>Impey and Jörg 2005</w:t>
      </w:r>
      <w:r w:rsidR="004C1B39">
        <w:rPr>
          <w:sz w:val="24"/>
          <w:szCs w:val="24"/>
        </w:rPr>
        <w:t>}}</w:t>
      </w:r>
      <w:r w:rsidRPr="00513DCC">
        <w:rPr>
          <w:sz w:val="24"/>
          <w:szCs w:val="24"/>
        </w:rPr>
        <w:t xml:space="preserve">, 294. On the larger stakes of remounting, including lacquer panels </w:t>
      </w:r>
      <w:r w:rsidR="00AB0247">
        <w:rPr>
          <w:sz w:val="24"/>
          <w:szCs w:val="24"/>
        </w:rPr>
        <w:t>on</w:t>
      </w:r>
      <w:r w:rsidR="0099556D">
        <w:rPr>
          <w:sz w:val="24"/>
          <w:szCs w:val="24"/>
        </w:rPr>
        <w:t>to</w:t>
      </w:r>
      <w:r w:rsidRPr="00513DCC">
        <w:rPr>
          <w:sz w:val="24"/>
          <w:szCs w:val="24"/>
        </w:rPr>
        <w:t xml:space="preserve"> furniture, see </w:t>
      </w:r>
      <w:r w:rsidR="004C1B39">
        <w:rPr>
          <w:sz w:val="24"/>
          <w:szCs w:val="24"/>
        </w:rPr>
        <w:t>{{</w:t>
      </w:r>
      <w:r w:rsidRPr="00513DCC">
        <w:rPr>
          <w:sz w:val="24"/>
          <w:szCs w:val="24"/>
        </w:rPr>
        <w:t>Crest 2017</w:t>
      </w:r>
      <w:r w:rsidR="004C1B39">
        <w:rPr>
          <w:sz w:val="24"/>
          <w:szCs w:val="24"/>
        </w:rPr>
        <w:t>}}</w:t>
      </w:r>
      <w:r w:rsidRPr="00513DCC">
        <w:rPr>
          <w:sz w:val="24"/>
          <w:szCs w:val="24"/>
        </w:rPr>
        <w:t>.</w:t>
      </w:r>
    </w:p>
  </w:endnote>
  <w:endnote w:id="4">
    <w:p w14:paraId="5DAF122C" w14:textId="46CC1C0A" w:rsidR="00ED2EBE" w:rsidRPr="00513DCC" w:rsidRDefault="00ED2EBE" w:rsidP="005A473A">
      <w:pPr>
        <w:widowControl w:val="0"/>
        <w:suppressAutoHyphens w:val="0"/>
        <w:autoSpaceDE w:val="0"/>
        <w:autoSpaceDN w:val="0"/>
        <w:adjustRightInd w:val="0"/>
        <w:spacing w:after="240" w:line="480" w:lineRule="auto"/>
      </w:pPr>
      <w:r w:rsidRPr="00513DCC">
        <w:rPr>
          <w:rStyle w:val="FootnoteCharacters"/>
        </w:rPr>
        <w:endnoteRef/>
      </w:r>
      <w:r w:rsidRPr="00513DCC">
        <w:t xml:space="preserve"> </w:t>
      </w:r>
      <w:r w:rsidR="004C1B39">
        <w:t>{{</w:t>
      </w:r>
      <w:r w:rsidRPr="00513DCC">
        <w:rPr>
          <w:sz w:val="24"/>
          <w:szCs w:val="24"/>
        </w:rPr>
        <w:t>Sargentson 1996</w:t>
      </w:r>
      <w:r w:rsidR="004C1B39">
        <w:rPr>
          <w:sz w:val="24"/>
          <w:szCs w:val="24"/>
        </w:rPr>
        <w:t>}}</w:t>
      </w:r>
      <w:r w:rsidRPr="00513DCC">
        <w:rPr>
          <w:sz w:val="24"/>
          <w:szCs w:val="24"/>
        </w:rPr>
        <w:t>, 81, pl. 47. The label, engraved by the comte de Caylus after François Boucher, is dated 1740</w:t>
      </w:r>
      <w:bookmarkStart w:id="0" w:name="_GoBack"/>
      <w:bookmarkEnd w:id="0"/>
      <w:r w:rsidRPr="00513DCC">
        <w:rPr>
          <w:sz w:val="24"/>
          <w:szCs w:val="24"/>
        </w:rPr>
        <w:t xml:space="preserve">. Part of the text of the label reads, </w:t>
      </w:r>
      <w:r w:rsidR="008C0024">
        <w:rPr>
          <w:sz w:val="24"/>
          <w:szCs w:val="24"/>
        </w:rPr>
        <w:t>“</w:t>
      </w:r>
      <w:r w:rsidRPr="00513DCC">
        <w:rPr>
          <w:sz w:val="24"/>
          <w:szCs w:val="24"/>
        </w:rPr>
        <w:t>Pagodes, Vernis et Porcelaines du Japon</w:t>
      </w:r>
      <w:r w:rsidR="008C0024">
        <w:rPr>
          <w:sz w:val="24"/>
          <w:szCs w:val="24"/>
        </w:rPr>
        <w:t>.”</w:t>
      </w:r>
    </w:p>
  </w:endnote>
  <w:endnote w:id="5">
    <w:p w14:paraId="20590471" w14:textId="46428A1F" w:rsidR="00ED2EBE" w:rsidRPr="00513DCC" w:rsidRDefault="00ED2EBE" w:rsidP="005A4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pPr>
      <w:r w:rsidRPr="00513DCC">
        <w:rPr>
          <w:rStyle w:val="EndnoteReference"/>
        </w:rPr>
        <w:endnoteRef/>
      </w:r>
      <w:r w:rsidRPr="00513DCC">
        <w:t xml:space="preserve"> </w:t>
      </w:r>
      <w:r w:rsidRPr="00513DCC">
        <w:rPr>
          <w:sz w:val="24"/>
          <w:szCs w:val="24"/>
        </w:rPr>
        <w:t>For information on Thomas Joachim Hébert</w:t>
      </w:r>
      <w:r w:rsidR="00846BCF">
        <w:rPr>
          <w:sz w:val="24"/>
          <w:szCs w:val="24"/>
        </w:rPr>
        <w:t>,</w:t>
      </w:r>
      <w:r w:rsidRPr="00513DCC">
        <w:rPr>
          <w:sz w:val="24"/>
          <w:szCs w:val="24"/>
        </w:rPr>
        <w:t xml:space="preserve"> see </w:t>
      </w:r>
      <w:r w:rsidR="004C1B39">
        <w:rPr>
          <w:sz w:val="24"/>
          <w:szCs w:val="24"/>
        </w:rPr>
        <w:t>{{</w:t>
      </w:r>
      <w:r w:rsidRPr="00513DCC">
        <w:rPr>
          <w:sz w:val="24"/>
          <w:szCs w:val="24"/>
        </w:rPr>
        <w:t>Pradère 1989</w:t>
      </w:r>
      <w:r w:rsidR="00841848">
        <w:rPr>
          <w:sz w:val="24"/>
          <w:szCs w:val="24"/>
        </w:rPr>
        <w:t>a</w:t>
      </w:r>
      <w:r w:rsidR="004C1B39">
        <w:rPr>
          <w:sz w:val="24"/>
          <w:szCs w:val="24"/>
        </w:rPr>
        <w:t>}}</w:t>
      </w:r>
      <w:r w:rsidRPr="00513DCC">
        <w:rPr>
          <w:sz w:val="24"/>
          <w:szCs w:val="24"/>
        </w:rPr>
        <w:t>, 32</w:t>
      </w:r>
      <w:r w:rsidR="00AB0247">
        <w:rPr>
          <w:sz w:val="24"/>
          <w:szCs w:val="24"/>
        </w:rPr>
        <w:t>–</w:t>
      </w:r>
      <w:r w:rsidRPr="00513DCC">
        <w:rPr>
          <w:sz w:val="24"/>
          <w:szCs w:val="24"/>
        </w:rPr>
        <w:t xml:space="preserve">33; </w:t>
      </w:r>
      <w:r w:rsidR="004C1B39">
        <w:rPr>
          <w:sz w:val="24"/>
          <w:szCs w:val="24"/>
        </w:rPr>
        <w:t>{{</w:t>
      </w:r>
      <w:r w:rsidRPr="00513DCC">
        <w:rPr>
          <w:sz w:val="24"/>
          <w:szCs w:val="24"/>
        </w:rPr>
        <w:t>Verlet 1958</w:t>
      </w:r>
      <w:r w:rsidR="004C1B39">
        <w:rPr>
          <w:sz w:val="24"/>
          <w:szCs w:val="24"/>
        </w:rPr>
        <w:t>}}</w:t>
      </w:r>
      <w:r w:rsidRPr="00513DCC">
        <w:rPr>
          <w:sz w:val="24"/>
          <w:szCs w:val="24"/>
        </w:rPr>
        <w:t>, 10</w:t>
      </w:r>
      <w:r w:rsidR="00AB0247">
        <w:rPr>
          <w:sz w:val="24"/>
          <w:szCs w:val="24"/>
        </w:rPr>
        <w:t>–</w:t>
      </w:r>
      <w:r w:rsidRPr="00513DCC">
        <w:rPr>
          <w:sz w:val="24"/>
          <w:szCs w:val="24"/>
        </w:rPr>
        <w:t xml:space="preserve">29; </w:t>
      </w:r>
      <w:r w:rsidR="004C1B39">
        <w:rPr>
          <w:sz w:val="24"/>
          <w:szCs w:val="24"/>
        </w:rPr>
        <w:t>{{</w:t>
      </w:r>
      <w:r w:rsidRPr="00513DCC">
        <w:rPr>
          <w:sz w:val="24"/>
          <w:szCs w:val="24"/>
        </w:rPr>
        <w:t>Vittet 2009</w:t>
      </w:r>
      <w:r w:rsidR="004C1B39">
        <w:rPr>
          <w:sz w:val="24"/>
          <w:szCs w:val="24"/>
        </w:rPr>
        <w:t>}}</w:t>
      </w:r>
      <w:r w:rsidRPr="00513DCC">
        <w:rPr>
          <w:sz w:val="24"/>
          <w:szCs w:val="24"/>
        </w:rPr>
        <w:t>, 177</w:t>
      </w:r>
      <w:r w:rsidR="00AB0247">
        <w:rPr>
          <w:sz w:val="24"/>
          <w:szCs w:val="24"/>
        </w:rPr>
        <w:t>–</w:t>
      </w:r>
      <w:r w:rsidRPr="00513DCC">
        <w:rPr>
          <w:sz w:val="24"/>
          <w:szCs w:val="24"/>
        </w:rPr>
        <w:t>98.</w:t>
      </w:r>
    </w:p>
  </w:endnote>
  <w:endnote w:id="6">
    <w:p w14:paraId="120C3074" w14:textId="482E51DB" w:rsidR="00ED2EBE" w:rsidRPr="00513DCC" w:rsidRDefault="00ED2EBE" w:rsidP="00961484">
      <w:pPr>
        <w:spacing w:after="0" w:line="480" w:lineRule="auto"/>
      </w:pPr>
      <w:r w:rsidRPr="00513DCC">
        <w:rPr>
          <w:rStyle w:val="EndnoteReference"/>
        </w:rPr>
        <w:endnoteRef/>
      </w:r>
      <w:r w:rsidRPr="00513DCC">
        <w:t xml:space="preserve"> </w:t>
      </w:r>
      <w:r w:rsidRPr="00513DCC">
        <w:rPr>
          <w:sz w:val="24"/>
          <w:szCs w:val="24"/>
        </w:rPr>
        <w:t>The commode was sold at auction in 1988</w:t>
      </w:r>
      <w:r w:rsidR="00B04C95">
        <w:rPr>
          <w:sz w:val="24"/>
          <w:szCs w:val="24"/>
        </w:rPr>
        <w:t xml:space="preserve">, </w:t>
      </w:r>
      <w:r w:rsidR="00961484" w:rsidRPr="00476E50">
        <w:rPr>
          <w:sz w:val="24"/>
          <w:szCs w:val="24"/>
        </w:rPr>
        <w:t>Sotheby</w:t>
      </w:r>
      <w:r w:rsidR="00961484">
        <w:rPr>
          <w:sz w:val="24"/>
          <w:szCs w:val="24"/>
        </w:rPr>
        <w:t>’</w:t>
      </w:r>
      <w:r w:rsidR="00961484" w:rsidRPr="00476E50">
        <w:rPr>
          <w:sz w:val="24"/>
          <w:szCs w:val="24"/>
        </w:rPr>
        <w:t>s</w:t>
      </w:r>
      <w:r w:rsidR="00961484">
        <w:rPr>
          <w:sz w:val="24"/>
          <w:szCs w:val="24"/>
        </w:rPr>
        <w:t>,</w:t>
      </w:r>
      <w:r w:rsidR="00961484" w:rsidRPr="00476E50">
        <w:rPr>
          <w:sz w:val="24"/>
          <w:szCs w:val="24"/>
        </w:rPr>
        <w:t xml:space="preserve"> </w:t>
      </w:r>
      <w:r w:rsidR="00961484" w:rsidRPr="00476E50">
        <w:rPr>
          <w:i/>
          <w:sz w:val="24"/>
          <w:szCs w:val="24"/>
        </w:rPr>
        <w:t>Important Mobilier, June 17, 1988</w:t>
      </w:r>
      <w:r w:rsidR="00961484">
        <w:rPr>
          <w:i/>
          <w:sz w:val="24"/>
          <w:szCs w:val="24"/>
        </w:rPr>
        <w:t xml:space="preserve"> </w:t>
      </w:r>
      <w:r w:rsidR="00B04C95">
        <w:rPr>
          <w:iCs/>
          <w:sz w:val="24"/>
          <w:szCs w:val="24"/>
        </w:rPr>
        <w:t>(</w:t>
      </w:r>
      <w:r w:rsidR="00961484" w:rsidRPr="00476E50">
        <w:rPr>
          <w:sz w:val="24"/>
          <w:szCs w:val="24"/>
        </w:rPr>
        <w:t>Monaco: Sotheby</w:t>
      </w:r>
      <w:r w:rsidR="00961484">
        <w:rPr>
          <w:sz w:val="24"/>
          <w:szCs w:val="24"/>
        </w:rPr>
        <w:t>’</w:t>
      </w:r>
      <w:r w:rsidR="00961484" w:rsidRPr="00476E50">
        <w:rPr>
          <w:sz w:val="24"/>
          <w:szCs w:val="24"/>
        </w:rPr>
        <w:t>s, 1988</w:t>
      </w:r>
      <w:r w:rsidR="00B04C95">
        <w:rPr>
          <w:sz w:val="24"/>
          <w:szCs w:val="24"/>
        </w:rPr>
        <w:t>)</w:t>
      </w:r>
      <w:r w:rsidRPr="00513DCC">
        <w:rPr>
          <w:sz w:val="24"/>
          <w:szCs w:val="24"/>
        </w:rPr>
        <w:t>, lot 752</w:t>
      </w:r>
      <w:r w:rsidR="00846BCF">
        <w:rPr>
          <w:sz w:val="24"/>
          <w:szCs w:val="24"/>
        </w:rPr>
        <w:t>,</w:t>
      </w:r>
      <w:r w:rsidRPr="00513DCC">
        <w:rPr>
          <w:sz w:val="24"/>
          <w:szCs w:val="24"/>
        </w:rPr>
        <w:t xml:space="preserve"> and acquired by the </w:t>
      </w:r>
      <w:r w:rsidR="005A300B">
        <w:rPr>
          <w:sz w:val="24"/>
          <w:szCs w:val="24"/>
        </w:rPr>
        <w:t>m</w:t>
      </w:r>
      <w:r w:rsidRPr="00513DCC">
        <w:rPr>
          <w:sz w:val="24"/>
          <w:szCs w:val="24"/>
        </w:rPr>
        <w:t xml:space="preserve">usée du Louvre (inv. OA 11193). See </w:t>
      </w:r>
      <w:r w:rsidR="004C1B39">
        <w:rPr>
          <w:sz w:val="24"/>
          <w:szCs w:val="24"/>
        </w:rPr>
        <w:t>{{</w:t>
      </w:r>
      <w:r w:rsidRPr="00513DCC">
        <w:rPr>
          <w:sz w:val="24"/>
          <w:szCs w:val="24"/>
        </w:rPr>
        <w:t>Alcouffe 1988</w:t>
      </w:r>
      <w:r w:rsidR="004C1B39">
        <w:rPr>
          <w:sz w:val="24"/>
          <w:szCs w:val="24"/>
        </w:rPr>
        <w:t>}}</w:t>
      </w:r>
      <w:r w:rsidRPr="00513DCC">
        <w:rPr>
          <w:sz w:val="24"/>
          <w:szCs w:val="24"/>
        </w:rPr>
        <w:t xml:space="preserve">; </w:t>
      </w:r>
      <w:r w:rsidR="004C1B39">
        <w:rPr>
          <w:sz w:val="24"/>
          <w:szCs w:val="24"/>
        </w:rPr>
        <w:t>{{</w:t>
      </w:r>
      <w:r w:rsidRPr="00513DCC">
        <w:rPr>
          <w:sz w:val="24"/>
          <w:szCs w:val="24"/>
        </w:rPr>
        <w:t>Pradère 1988</w:t>
      </w:r>
      <w:r w:rsidR="004C1B39">
        <w:rPr>
          <w:sz w:val="24"/>
          <w:szCs w:val="24"/>
        </w:rPr>
        <w:t>}}</w:t>
      </w:r>
      <w:r w:rsidRPr="00513DCC">
        <w:rPr>
          <w:sz w:val="24"/>
          <w:szCs w:val="24"/>
        </w:rPr>
        <w:t xml:space="preserve">; </w:t>
      </w:r>
      <w:r w:rsidR="004C1B39">
        <w:rPr>
          <w:sz w:val="24"/>
          <w:szCs w:val="24"/>
        </w:rPr>
        <w:t>{{</w:t>
      </w:r>
      <w:r w:rsidRPr="00513DCC">
        <w:rPr>
          <w:sz w:val="24"/>
          <w:szCs w:val="24"/>
        </w:rPr>
        <w:t>Alcouffe 1990</w:t>
      </w:r>
      <w:r w:rsidR="004C1B39">
        <w:rPr>
          <w:sz w:val="24"/>
          <w:szCs w:val="24"/>
        </w:rPr>
        <w:t>}}</w:t>
      </w:r>
      <w:r w:rsidRPr="00513DCC">
        <w:rPr>
          <w:sz w:val="24"/>
          <w:szCs w:val="24"/>
        </w:rPr>
        <w:t>, 142</w:t>
      </w:r>
      <w:r w:rsidR="00AB0247">
        <w:rPr>
          <w:sz w:val="24"/>
          <w:szCs w:val="24"/>
        </w:rPr>
        <w:t>–</w:t>
      </w:r>
      <w:r w:rsidRPr="00513DCC">
        <w:rPr>
          <w:sz w:val="24"/>
          <w:szCs w:val="24"/>
        </w:rPr>
        <w:t xml:space="preserve">44, no. 68; </w:t>
      </w:r>
      <w:r w:rsidR="004C1B39">
        <w:rPr>
          <w:sz w:val="24"/>
          <w:szCs w:val="24"/>
        </w:rPr>
        <w:t>{{</w:t>
      </w:r>
      <w:r w:rsidRPr="00513DCC">
        <w:rPr>
          <w:sz w:val="24"/>
          <w:szCs w:val="24"/>
        </w:rPr>
        <w:t>Alcouffe, Dion-Tenenbaum, and Lefébure 1993</w:t>
      </w:r>
      <w:r w:rsidR="004C1B39">
        <w:rPr>
          <w:sz w:val="24"/>
          <w:szCs w:val="24"/>
        </w:rPr>
        <w:t>}}</w:t>
      </w:r>
      <w:r w:rsidRPr="00513DCC">
        <w:rPr>
          <w:sz w:val="24"/>
          <w:szCs w:val="24"/>
        </w:rPr>
        <w:t>, 140</w:t>
      </w:r>
      <w:r w:rsidR="00AB0247">
        <w:rPr>
          <w:sz w:val="24"/>
          <w:szCs w:val="24"/>
        </w:rPr>
        <w:t>–</w:t>
      </w:r>
      <w:r w:rsidRPr="00513DCC">
        <w:rPr>
          <w:sz w:val="24"/>
          <w:szCs w:val="24"/>
        </w:rPr>
        <w:t>43, no. 42.</w:t>
      </w:r>
    </w:p>
  </w:endnote>
  <w:endnote w:id="7">
    <w:p w14:paraId="78AB9DF7" w14:textId="7247BEC0" w:rsidR="00ED2EBE" w:rsidRPr="00513DCC" w:rsidRDefault="00ED2EBE" w:rsidP="005A473A">
      <w:pPr>
        <w:widowControl w:val="0"/>
        <w:suppressAutoHyphens w:val="0"/>
        <w:autoSpaceDE w:val="0"/>
        <w:autoSpaceDN w:val="0"/>
        <w:adjustRightInd w:val="0"/>
        <w:spacing w:after="240" w:line="480" w:lineRule="auto"/>
        <w:rPr>
          <w:sz w:val="24"/>
          <w:szCs w:val="24"/>
        </w:rPr>
      </w:pPr>
      <w:r w:rsidRPr="00513DCC">
        <w:rPr>
          <w:rStyle w:val="EndnoteReference"/>
        </w:rPr>
        <w:endnoteRef/>
      </w:r>
      <w:r w:rsidRPr="00513DCC">
        <w:t xml:space="preserve"> </w:t>
      </w:r>
      <w:r w:rsidRPr="00513DCC">
        <w:rPr>
          <w:sz w:val="24"/>
          <w:szCs w:val="24"/>
        </w:rPr>
        <w:t xml:space="preserve">On the queen and her cabinet in Fontainebleau, see </w:t>
      </w:r>
      <w:r w:rsidR="004C1B39">
        <w:rPr>
          <w:sz w:val="24"/>
          <w:szCs w:val="24"/>
        </w:rPr>
        <w:t>{{</w:t>
      </w:r>
      <w:r w:rsidRPr="00513DCC">
        <w:rPr>
          <w:sz w:val="24"/>
          <w:szCs w:val="24"/>
        </w:rPr>
        <w:t>Lalanne 2012</w:t>
      </w:r>
      <w:r w:rsidR="004C1B39">
        <w:rPr>
          <w:sz w:val="24"/>
          <w:szCs w:val="24"/>
        </w:rPr>
        <w:t>}}</w:t>
      </w:r>
      <w:r w:rsidRPr="00513DCC">
        <w:rPr>
          <w:sz w:val="24"/>
          <w:szCs w:val="24"/>
        </w:rPr>
        <w:t>, 1</w:t>
      </w:r>
      <w:r w:rsidR="00AB0247">
        <w:rPr>
          <w:sz w:val="24"/>
          <w:szCs w:val="24"/>
        </w:rPr>
        <w:t>–</w:t>
      </w:r>
      <w:r w:rsidRPr="00513DCC">
        <w:rPr>
          <w:sz w:val="24"/>
          <w:szCs w:val="24"/>
        </w:rPr>
        <w:t>38.</w:t>
      </w:r>
    </w:p>
  </w:endnote>
  <w:endnote w:id="8">
    <w:p w14:paraId="6AD80609" w14:textId="127F190C" w:rsidR="00ED2EBE" w:rsidRPr="00513DCC" w:rsidRDefault="00ED2EBE" w:rsidP="005C15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pPr>
      <w:r w:rsidRPr="00513DCC">
        <w:rPr>
          <w:rStyle w:val="FootnoteCharacters"/>
        </w:rPr>
        <w:endnoteRef/>
      </w:r>
      <w:r w:rsidRPr="00513DCC">
        <w:t xml:space="preserve"> </w:t>
      </w:r>
      <w:r w:rsidRPr="00513DCC">
        <w:rPr>
          <w:sz w:val="24"/>
          <w:szCs w:val="24"/>
        </w:rPr>
        <w:t>Paris, Archives nationales de France, O</w:t>
      </w:r>
      <w:r w:rsidR="007A5FB5">
        <w:rPr>
          <w:sz w:val="24"/>
          <w:szCs w:val="24"/>
        </w:rPr>
        <w:t>/1/</w:t>
      </w:r>
      <w:r w:rsidRPr="00513DCC">
        <w:rPr>
          <w:sz w:val="24"/>
          <w:szCs w:val="24"/>
        </w:rPr>
        <w:t>3312, fol. 92v</w:t>
      </w:r>
      <w:r w:rsidR="00AB0247">
        <w:rPr>
          <w:sz w:val="24"/>
          <w:szCs w:val="24"/>
        </w:rPr>
        <w:t>–</w:t>
      </w:r>
      <w:r w:rsidRPr="00513DCC">
        <w:rPr>
          <w:sz w:val="24"/>
          <w:szCs w:val="24"/>
        </w:rPr>
        <w:t xml:space="preserve">93r (cited by </w:t>
      </w:r>
      <w:r w:rsidR="004C1B39">
        <w:rPr>
          <w:sz w:val="24"/>
          <w:szCs w:val="24"/>
        </w:rPr>
        <w:t>{{</w:t>
      </w:r>
      <w:r w:rsidRPr="00513DCC">
        <w:rPr>
          <w:sz w:val="24"/>
          <w:szCs w:val="24"/>
        </w:rPr>
        <w:t>Alcouffe 1988</w:t>
      </w:r>
      <w:r w:rsidR="004C1B39">
        <w:rPr>
          <w:sz w:val="24"/>
          <w:szCs w:val="24"/>
        </w:rPr>
        <w:t>}}</w:t>
      </w:r>
      <w:r w:rsidRPr="00513DCC">
        <w:rPr>
          <w:sz w:val="24"/>
          <w:szCs w:val="24"/>
        </w:rPr>
        <w:t xml:space="preserve">; </w:t>
      </w:r>
      <w:r w:rsidR="004C1B39">
        <w:rPr>
          <w:sz w:val="24"/>
          <w:szCs w:val="24"/>
        </w:rPr>
        <w:t>{{</w:t>
      </w:r>
      <w:r w:rsidRPr="00513DCC">
        <w:rPr>
          <w:sz w:val="24"/>
          <w:szCs w:val="24"/>
        </w:rPr>
        <w:t>Pradère 1988</w:t>
      </w:r>
      <w:r w:rsidR="004C1B39">
        <w:rPr>
          <w:sz w:val="24"/>
          <w:szCs w:val="24"/>
        </w:rPr>
        <w:t>}}</w:t>
      </w:r>
      <w:r w:rsidRPr="00513DCC">
        <w:rPr>
          <w:sz w:val="24"/>
          <w:szCs w:val="24"/>
        </w:rPr>
        <w:t>).</w:t>
      </w:r>
    </w:p>
  </w:endnote>
  <w:endnote w:id="9">
    <w:p w14:paraId="7C6C8A77" w14:textId="00E89F2C" w:rsidR="00ED2EBE" w:rsidRPr="00513DCC" w:rsidRDefault="00ED2EBE" w:rsidP="002D03C7">
      <w:pPr>
        <w:spacing w:after="0" w:line="480" w:lineRule="auto"/>
      </w:pPr>
      <w:r w:rsidRPr="00513DCC">
        <w:rPr>
          <w:rStyle w:val="FootnoteCharacters"/>
        </w:rPr>
        <w:endnoteRef/>
      </w:r>
      <w:r w:rsidRPr="00513DCC">
        <w:t xml:space="preserve"> </w:t>
      </w:r>
      <w:r w:rsidRPr="00513DCC">
        <w:rPr>
          <w:sz w:val="24"/>
          <w:szCs w:val="24"/>
        </w:rPr>
        <w:t>Two examples have passed through the market</w:t>
      </w:r>
      <w:r w:rsidR="00961484">
        <w:rPr>
          <w:sz w:val="24"/>
          <w:szCs w:val="24"/>
        </w:rPr>
        <w:t>. See</w:t>
      </w:r>
      <w:r w:rsidR="002D03C7" w:rsidRPr="002D03C7">
        <w:rPr>
          <w:sz w:val="24"/>
          <w:szCs w:val="24"/>
        </w:rPr>
        <w:t xml:space="preserve"> </w:t>
      </w:r>
      <w:r w:rsidR="002D03C7" w:rsidRPr="00476E50">
        <w:rPr>
          <w:sz w:val="24"/>
          <w:szCs w:val="24"/>
        </w:rPr>
        <w:t>Sotheby’s</w:t>
      </w:r>
      <w:r w:rsidR="002D03C7">
        <w:rPr>
          <w:sz w:val="24"/>
          <w:szCs w:val="24"/>
        </w:rPr>
        <w:t>,</w:t>
      </w:r>
      <w:r w:rsidR="002D03C7" w:rsidRPr="00476E50">
        <w:rPr>
          <w:sz w:val="24"/>
          <w:szCs w:val="24"/>
        </w:rPr>
        <w:t xml:space="preserve"> </w:t>
      </w:r>
      <w:r w:rsidR="002D03C7" w:rsidRPr="00476E50">
        <w:rPr>
          <w:i/>
          <w:sz w:val="24"/>
          <w:szCs w:val="24"/>
        </w:rPr>
        <w:t>Bel Ameublement, December 9, 1984</w:t>
      </w:r>
      <w:r w:rsidR="002D03C7" w:rsidRPr="00476E50">
        <w:rPr>
          <w:sz w:val="24"/>
          <w:szCs w:val="24"/>
        </w:rPr>
        <w:t xml:space="preserve"> </w:t>
      </w:r>
      <w:r w:rsidR="002D03C7">
        <w:rPr>
          <w:sz w:val="24"/>
          <w:szCs w:val="24"/>
        </w:rPr>
        <w:t>(</w:t>
      </w:r>
      <w:r w:rsidR="002D03C7" w:rsidRPr="00476E50">
        <w:rPr>
          <w:sz w:val="24"/>
          <w:szCs w:val="24"/>
        </w:rPr>
        <w:t>Monaco: Sotheby</w:t>
      </w:r>
      <w:r w:rsidR="002D03C7">
        <w:rPr>
          <w:sz w:val="24"/>
          <w:szCs w:val="24"/>
        </w:rPr>
        <w:t>’</w:t>
      </w:r>
      <w:r w:rsidR="002D03C7" w:rsidRPr="00476E50">
        <w:rPr>
          <w:sz w:val="24"/>
          <w:szCs w:val="24"/>
        </w:rPr>
        <w:t>s, 1984</w:t>
      </w:r>
      <w:r w:rsidR="002D03C7">
        <w:rPr>
          <w:sz w:val="24"/>
          <w:szCs w:val="24"/>
        </w:rPr>
        <w:t>),</w:t>
      </w:r>
      <w:r w:rsidRPr="00513DCC">
        <w:rPr>
          <w:sz w:val="24"/>
          <w:szCs w:val="24"/>
        </w:rPr>
        <w:t xml:space="preserve"> lot 958</w:t>
      </w:r>
      <w:r w:rsidR="00AB0247">
        <w:rPr>
          <w:sz w:val="24"/>
          <w:szCs w:val="24"/>
        </w:rPr>
        <w:t>;</w:t>
      </w:r>
      <w:r w:rsidRPr="00513DCC">
        <w:rPr>
          <w:sz w:val="24"/>
          <w:szCs w:val="24"/>
        </w:rPr>
        <w:t xml:space="preserve"> and </w:t>
      </w:r>
      <w:r w:rsidR="00961484" w:rsidRPr="00C20844">
        <w:rPr>
          <w:sz w:val="24"/>
          <w:szCs w:val="24"/>
        </w:rPr>
        <w:t>Marc-Arthur Kohn</w:t>
      </w:r>
      <w:r w:rsidR="00961484">
        <w:rPr>
          <w:sz w:val="24"/>
          <w:szCs w:val="24"/>
        </w:rPr>
        <w:t>,</w:t>
      </w:r>
      <w:r w:rsidR="00961484" w:rsidRPr="00C20844">
        <w:rPr>
          <w:sz w:val="24"/>
          <w:szCs w:val="24"/>
        </w:rPr>
        <w:t xml:space="preserve"> </w:t>
      </w:r>
      <w:r w:rsidR="00961484" w:rsidRPr="00C20844">
        <w:rPr>
          <w:i/>
          <w:sz w:val="24"/>
          <w:szCs w:val="24"/>
        </w:rPr>
        <w:t>August 7</w:t>
      </w:r>
      <w:r w:rsidR="00961484">
        <w:rPr>
          <w:i/>
          <w:sz w:val="24"/>
          <w:szCs w:val="24"/>
        </w:rPr>
        <w:t>–</w:t>
      </w:r>
      <w:r w:rsidR="00961484" w:rsidRPr="00C20844">
        <w:rPr>
          <w:i/>
          <w:sz w:val="24"/>
          <w:szCs w:val="24"/>
        </w:rPr>
        <w:t>12, 1997</w:t>
      </w:r>
      <w:r w:rsidR="00961484" w:rsidRPr="00C20844">
        <w:rPr>
          <w:sz w:val="24"/>
          <w:szCs w:val="24"/>
        </w:rPr>
        <w:t xml:space="preserve"> </w:t>
      </w:r>
      <w:r w:rsidR="00961484">
        <w:rPr>
          <w:sz w:val="24"/>
          <w:szCs w:val="24"/>
        </w:rPr>
        <w:t>(</w:t>
      </w:r>
      <w:r w:rsidR="00961484" w:rsidRPr="00C20844">
        <w:rPr>
          <w:sz w:val="24"/>
          <w:szCs w:val="24"/>
        </w:rPr>
        <w:t>Cannes: Marc-Arthur Kohn, 1997</w:t>
      </w:r>
      <w:r w:rsidR="00961484">
        <w:rPr>
          <w:sz w:val="24"/>
          <w:szCs w:val="24"/>
        </w:rPr>
        <w:t>),</w:t>
      </w:r>
      <w:r w:rsidRPr="00513DCC">
        <w:rPr>
          <w:sz w:val="24"/>
          <w:szCs w:val="24"/>
        </w:rPr>
        <w:t xml:space="preserve"> lot 1013.</w:t>
      </w:r>
    </w:p>
  </w:endnote>
  <w:endnote w:id="10">
    <w:p w14:paraId="5259AB73" w14:textId="63339793" w:rsidR="00ED2EBE" w:rsidRPr="00513DCC" w:rsidRDefault="00ED2EBE" w:rsidP="005A4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480" w:lineRule="auto"/>
      </w:pPr>
      <w:r w:rsidRPr="00513DCC">
        <w:rPr>
          <w:rStyle w:val="FootnoteCharacters"/>
        </w:rPr>
        <w:endnoteRef/>
      </w:r>
      <w:r w:rsidRPr="00513DCC">
        <w:t xml:space="preserve"> </w:t>
      </w:r>
      <w:r w:rsidR="00F202AF">
        <w:rPr>
          <w:sz w:val="24"/>
          <w:szCs w:val="24"/>
        </w:rPr>
        <w:t>{{</w:t>
      </w:r>
      <w:r w:rsidRPr="00513DCC">
        <w:rPr>
          <w:sz w:val="24"/>
          <w:szCs w:val="24"/>
        </w:rPr>
        <w:t>Watson 1966</w:t>
      </w:r>
      <w:r w:rsidR="00F202AF">
        <w:rPr>
          <w:sz w:val="28"/>
          <w:szCs w:val="24"/>
        </w:rPr>
        <w:t>}}</w:t>
      </w:r>
      <w:r w:rsidRPr="00513DCC">
        <w:rPr>
          <w:sz w:val="24"/>
          <w:szCs w:val="24"/>
        </w:rPr>
        <w:t>, vol. 1, 151</w:t>
      </w:r>
      <w:r w:rsidR="00AB0247">
        <w:rPr>
          <w:sz w:val="24"/>
          <w:szCs w:val="24"/>
        </w:rPr>
        <w:t>–</w:t>
      </w:r>
      <w:r w:rsidRPr="00513DCC">
        <w:rPr>
          <w:sz w:val="24"/>
          <w:szCs w:val="24"/>
        </w:rPr>
        <w:t>52, no. 92. The</w:t>
      </w:r>
      <w:r w:rsidRPr="00AB0247">
        <w:rPr>
          <w:iCs/>
          <w:sz w:val="24"/>
          <w:szCs w:val="24"/>
        </w:rPr>
        <w:t xml:space="preserve"> commode </w:t>
      </w:r>
      <w:r w:rsidRPr="00513DCC">
        <w:rPr>
          <w:sz w:val="24"/>
          <w:szCs w:val="24"/>
        </w:rPr>
        <w:t>was sold at Sotheby’s</w:t>
      </w:r>
      <w:r w:rsidR="002D03C7">
        <w:rPr>
          <w:sz w:val="24"/>
          <w:szCs w:val="24"/>
        </w:rPr>
        <w:t>,</w:t>
      </w:r>
      <w:r w:rsidRPr="00513DCC">
        <w:rPr>
          <w:sz w:val="24"/>
          <w:szCs w:val="24"/>
        </w:rPr>
        <w:t xml:space="preserve"> 1985, lot 370.</w:t>
      </w:r>
      <w:r w:rsidR="002D03C7">
        <w:rPr>
          <w:sz w:val="24"/>
          <w:szCs w:val="24"/>
        </w:rPr>
        <w:t xml:space="preserve"> See</w:t>
      </w:r>
      <w:r w:rsidR="002D03C7" w:rsidRPr="002D03C7">
        <w:rPr>
          <w:sz w:val="24"/>
          <w:szCs w:val="24"/>
        </w:rPr>
        <w:t xml:space="preserve"> </w:t>
      </w:r>
      <w:r w:rsidR="002D03C7" w:rsidRPr="00476E50">
        <w:rPr>
          <w:sz w:val="24"/>
          <w:szCs w:val="24"/>
        </w:rPr>
        <w:t>Sotheby</w:t>
      </w:r>
      <w:r w:rsidR="002D03C7">
        <w:rPr>
          <w:sz w:val="24"/>
          <w:szCs w:val="24"/>
        </w:rPr>
        <w:t>’</w:t>
      </w:r>
      <w:r w:rsidR="002D03C7" w:rsidRPr="00476E50">
        <w:rPr>
          <w:sz w:val="24"/>
          <w:szCs w:val="24"/>
        </w:rPr>
        <w:t>s</w:t>
      </w:r>
      <w:r w:rsidR="002D03C7">
        <w:rPr>
          <w:sz w:val="24"/>
          <w:szCs w:val="24"/>
        </w:rPr>
        <w:t>,</w:t>
      </w:r>
      <w:r w:rsidR="002D03C7" w:rsidRPr="00476E50">
        <w:rPr>
          <w:sz w:val="24"/>
          <w:szCs w:val="24"/>
        </w:rPr>
        <w:t xml:space="preserve"> </w:t>
      </w:r>
      <w:r w:rsidR="002D03C7" w:rsidRPr="00476E50">
        <w:rPr>
          <w:i/>
          <w:sz w:val="24"/>
          <w:szCs w:val="24"/>
        </w:rPr>
        <w:t>Important French Furniture, Decorations, Continental Ceramics and Carpets, November 8</w:t>
      </w:r>
      <w:r w:rsidR="002D03C7">
        <w:rPr>
          <w:i/>
          <w:sz w:val="24"/>
          <w:szCs w:val="24"/>
        </w:rPr>
        <w:t>–</w:t>
      </w:r>
      <w:r w:rsidR="002D03C7" w:rsidRPr="00476E50">
        <w:rPr>
          <w:i/>
          <w:sz w:val="24"/>
          <w:szCs w:val="24"/>
        </w:rPr>
        <w:t>9, 1985</w:t>
      </w:r>
      <w:r w:rsidR="002D03C7" w:rsidRPr="00476E50">
        <w:rPr>
          <w:sz w:val="24"/>
          <w:szCs w:val="24"/>
        </w:rPr>
        <w:t xml:space="preserve"> </w:t>
      </w:r>
      <w:r w:rsidR="002D03C7">
        <w:rPr>
          <w:sz w:val="24"/>
          <w:szCs w:val="24"/>
        </w:rPr>
        <w:t>(</w:t>
      </w:r>
      <w:r w:rsidR="002D03C7" w:rsidRPr="00476E50">
        <w:rPr>
          <w:sz w:val="24"/>
          <w:szCs w:val="24"/>
        </w:rPr>
        <w:t>New York: Sotheby’s, 1985</w:t>
      </w:r>
      <w:r w:rsidR="002D03C7">
        <w:rPr>
          <w:sz w:val="24"/>
          <w:szCs w:val="24"/>
        </w:rPr>
        <w:t>)</w:t>
      </w:r>
      <w:r w:rsidR="002D03C7" w:rsidRPr="00476E50">
        <w:rPr>
          <w:sz w:val="24"/>
          <w:szCs w:val="24"/>
        </w:rPr>
        <w:t>.</w:t>
      </w:r>
    </w:p>
  </w:endnote>
  <w:endnote w:id="11">
    <w:p w14:paraId="55133AE9" w14:textId="2F70D60A" w:rsidR="00ED2EBE" w:rsidRDefault="00ED2EBE" w:rsidP="005C152D">
      <w:pPr>
        <w:pStyle w:val="EndnoteText"/>
        <w:spacing w:line="480" w:lineRule="auto"/>
      </w:pPr>
      <w:r w:rsidRPr="00513DCC">
        <w:rPr>
          <w:rStyle w:val="FootnoteCharacters"/>
        </w:rPr>
        <w:endnoteRef/>
      </w:r>
      <w:r w:rsidRPr="00513DCC">
        <w:t xml:space="preserve"> </w:t>
      </w:r>
      <w:r w:rsidRPr="00513DCC">
        <w:rPr>
          <w:sz w:val="24"/>
          <w:szCs w:val="24"/>
        </w:rPr>
        <w:t>Sold, Sotheby</w:t>
      </w:r>
      <w:r w:rsidR="002D03C7">
        <w:rPr>
          <w:sz w:val="24"/>
          <w:szCs w:val="24"/>
        </w:rPr>
        <w:t>’</w:t>
      </w:r>
      <w:r w:rsidRPr="00513DCC">
        <w:rPr>
          <w:sz w:val="24"/>
          <w:szCs w:val="24"/>
        </w:rPr>
        <w:t>s</w:t>
      </w:r>
      <w:r w:rsidR="002D03C7">
        <w:rPr>
          <w:sz w:val="24"/>
          <w:szCs w:val="24"/>
        </w:rPr>
        <w:t>,</w:t>
      </w:r>
      <w:r w:rsidRPr="00513DCC">
        <w:rPr>
          <w:sz w:val="24"/>
          <w:szCs w:val="24"/>
        </w:rPr>
        <w:t xml:space="preserve"> 1970</w:t>
      </w:r>
      <w:r w:rsidR="002D03C7">
        <w:rPr>
          <w:sz w:val="24"/>
          <w:szCs w:val="24"/>
        </w:rPr>
        <w:t>,</w:t>
      </w:r>
      <w:r w:rsidRPr="00513DCC">
        <w:rPr>
          <w:sz w:val="24"/>
          <w:szCs w:val="24"/>
        </w:rPr>
        <w:t xml:space="preserve"> lot 44. H</w:t>
      </w:r>
      <w:r w:rsidR="00045389">
        <w:rPr>
          <w:sz w:val="24"/>
          <w:szCs w:val="24"/>
        </w:rPr>
        <w:t>:</w:t>
      </w:r>
      <w:r w:rsidRPr="00513DCC">
        <w:rPr>
          <w:sz w:val="24"/>
          <w:szCs w:val="24"/>
        </w:rPr>
        <w:t xml:space="preserve"> 2 ft</w:t>
      </w:r>
      <w:r w:rsidR="00AB0247">
        <w:rPr>
          <w:sz w:val="24"/>
          <w:szCs w:val="24"/>
        </w:rPr>
        <w:t>.</w:t>
      </w:r>
      <w:r w:rsidRPr="00513DCC">
        <w:rPr>
          <w:sz w:val="24"/>
          <w:szCs w:val="24"/>
        </w:rPr>
        <w:t xml:space="preserve"> 8 1/2 in. (82 cm),</w:t>
      </w:r>
      <w:r w:rsidR="00045389">
        <w:rPr>
          <w:sz w:val="24"/>
          <w:szCs w:val="24"/>
        </w:rPr>
        <w:t xml:space="preserve"> </w:t>
      </w:r>
      <w:r w:rsidRPr="00513DCC">
        <w:rPr>
          <w:sz w:val="24"/>
          <w:szCs w:val="24"/>
        </w:rPr>
        <w:t>W</w:t>
      </w:r>
      <w:r w:rsidR="00045389">
        <w:rPr>
          <w:sz w:val="24"/>
          <w:szCs w:val="24"/>
        </w:rPr>
        <w:t>:</w:t>
      </w:r>
      <w:r w:rsidRPr="00513DCC">
        <w:rPr>
          <w:sz w:val="24"/>
          <w:szCs w:val="24"/>
        </w:rPr>
        <w:t xml:space="preserve"> 4 ft</w:t>
      </w:r>
      <w:r w:rsidR="00AB0247">
        <w:rPr>
          <w:sz w:val="24"/>
          <w:szCs w:val="24"/>
        </w:rPr>
        <w:t>.</w:t>
      </w:r>
      <w:r w:rsidRPr="00513DCC">
        <w:rPr>
          <w:sz w:val="24"/>
          <w:szCs w:val="24"/>
        </w:rPr>
        <w:t xml:space="preserve"> 7 in. (140 cm), D</w:t>
      </w:r>
      <w:r w:rsidR="00045389">
        <w:rPr>
          <w:sz w:val="24"/>
          <w:szCs w:val="24"/>
        </w:rPr>
        <w:t>:</w:t>
      </w:r>
      <w:r w:rsidRPr="00513DCC">
        <w:rPr>
          <w:sz w:val="24"/>
          <w:szCs w:val="24"/>
        </w:rPr>
        <w:t xml:space="preserve"> 1 ft</w:t>
      </w:r>
      <w:r w:rsidR="00AB0247">
        <w:rPr>
          <w:sz w:val="24"/>
          <w:szCs w:val="24"/>
        </w:rPr>
        <w:t>.</w:t>
      </w:r>
      <w:r w:rsidRPr="00513DCC">
        <w:rPr>
          <w:sz w:val="24"/>
          <w:szCs w:val="24"/>
        </w:rPr>
        <w:t xml:space="preserve"> 11 in. (58 cm). </w:t>
      </w:r>
      <w:r w:rsidR="002D03C7">
        <w:rPr>
          <w:sz w:val="24"/>
          <w:szCs w:val="24"/>
        </w:rPr>
        <w:t xml:space="preserve">See </w:t>
      </w:r>
      <w:r w:rsidR="002D03C7" w:rsidRPr="00476E50">
        <w:rPr>
          <w:sz w:val="24"/>
          <w:szCs w:val="24"/>
        </w:rPr>
        <w:t>Sotheby</w:t>
      </w:r>
      <w:r w:rsidR="002D03C7">
        <w:rPr>
          <w:sz w:val="24"/>
          <w:szCs w:val="24"/>
        </w:rPr>
        <w:t>’</w:t>
      </w:r>
      <w:r w:rsidR="002D03C7" w:rsidRPr="00476E50">
        <w:rPr>
          <w:sz w:val="24"/>
          <w:szCs w:val="24"/>
        </w:rPr>
        <w:t>s</w:t>
      </w:r>
      <w:r w:rsidR="002D03C7">
        <w:rPr>
          <w:sz w:val="24"/>
          <w:szCs w:val="24"/>
        </w:rPr>
        <w:t>,</w:t>
      </w:r>
      <w:r w:rsidR="002D03C7" w:rsidRPr="00476E50">
        <w:rPr>
          <w:sz w:val="24"/>
          <w:szCs w:val="24"/>
        </w:rPr>
        <w:t xml:space="preserve"> </w:t>
      </w:r>
      <w:r w:rsidR="002D03C7" w:rsidRPr="00476E50">
        <w:rPr>
          <w:i/>
          <w:sz w:val="24"/>
          <w:szCs w:val="24"/>
        </w:rPr>
        <w:t>Rugs and Tapestries, 18th Century Clocks and Sculpture, and Important French Furniture, December 11, 1970</w:t>
      </w:r>
      <w:r w:rsidR="002D03C7">
        <w:rPr>
          <w:sz w:val="24"/>
          <w:szCs w:val="24"/>
        </w:rPr>
        <w:t xml:space="preserve"> (</w:t>
      </w:r>
      <w:r w:rsidR="002D03C7" w:rsidRPr="00476E50">
        <w:rPr>
          <w:sz w:val="24"/>
          <w:szCs w:val="24"/>
        </w:rPr>
        <w:t>London: Sotheby’s, 1970</w:t>
      </w:r>
      <w:r w:rsidR="002D03C7">
        <w:rPr>
          <w:sz w:val="24"/>
          <w:szCs w:val="24"/>
        </w:rPr>
        <w:t>)</w:t>
      </w:r>
      <w:r w:rsidR="002D03C7" w:rsidRPr="00476E50">
        <w:rPr>
          <w:sz w:val="24"/>
          <w:szCs w:val="24"/>
        </w:rPr>
        <w:t>.</w:t>
      </w:r>
      <w:r w:rsidR="002D03C7">
        <w:rPr>
          <w:sz w:val="24"/>
          <w:szCs w:val="24"/>
        </w:rPr>
        <w:t xml:space="preserve"> </w:t>
      </w:r>
      <w:r w:rsidRPr="00513DCC">
        <w:rPr>
          <w:sz w:val="24"/>
          <w:szCs w:val="24"/>
        </w:rPr>
        <w:t xml:space="preserve">The mounts on this </w:t>
      </w:r>
      <w:r w:rsidRPr="005A300B">
        <w:rPr>
          <w:iCs/>
          <w:sz w:val="24"/>
          <w:szCs w:val="24"/>
        </w:rPr>
        <w:t>commode</w:t>
      </w:r>
      <w:r w:rsidRPr="00513DCC">
        <w:rPr>
          <w:sz w:val="24"/>
          <w:szCs w:val="24"/>
        </w:rPr>
        <w:t xml:space="preserve"> were struck with the crowned C stamp, enabling a date of between 1745 and 1749 to be given to the piece.</w:t>
      </w:r>
    </w:p>
  </w:endnote>
  <w:endnote w:id="12">
    <w:p w14:paraId="5DC7D835" w14:textId="1D41E36F" w:rsidR="00A37281" w:rsidRDefault="00A37281" w:rsidP="005C152D">
      <w:pPr>
        <w:pStyle w:val="EndnoteText"/>
        <w:spacing w:line="480" w:lineRule="auto"/>
      </w:pPr>
      <w:r>
        <w:rPr>
          <w:rStyle w:val="EndnoteReference"/>
        </w:rPr>
        <w:endnoteRef/>
      </w:r>
      <w:r>
        <w:t xml:space="preserve"> </w:t>
      </w:r>
      <w:r w:rsidR="00F202AF">
        <w:rPr>
          <w:sz w:val="24"/>
          <w:szCs w:val="24"/>
        </w:rPr>
        <w:t>{{</w:t>
      </w:r>
      <w:r w:rsidRPr="005C152D">
        <w:rPr>
          <w:sz w:val="24"/>
          <w:szCs w:val="24"/>
        </w:rPr>
        <w:fldChar w:fldCharType="begin"/>
      </w:r>
      <w:r w:rsidRPr="005C152D">
        <w:rPr>
          <w:sz w:val="24"/>
          <w:szCs w:val="24"/>
        </w:rPr>
        <w:instrText xml:space="preserve"> ADDIN ZOTERO_TEMP </w:instrText>
      </w:r>
      <w:r w:rsidRPr="005C152D">
        <w:rPr>
          <w:sz w:val="24"/>
          <w:szCs w:val="24"/>
        </w:rPr>
        <w:fldChar w:fldCharType="separate"/>
      </w:r>
      <w:r w:rsidRPr="005C152D">
        <w:rPr>
          <w:noProof/>
          <w:sz w:val="24"/>
          <w:szCs w:val="24"/>
        </w:rPr>
        <w:t>Roubo et al. 2013</w:t>
      </w:r>
      <w:r w:rsidR="00F202AF">
        <w:rPr>
          <w:noProof/>
          <w:sz w:val="24"/>
          <w:szCs w:val="24"/>
        </w:rPr>
        <w:t>}}</w:t>
      </w:r>
      <w:r w:rsidRPr="005C152D">
        <w:rPr>
          <w:noProof/>
          <w:sz w:val="24"/>
          <w:szCs w:val="24"/>
        </w:rPr>
        <w:t>, 215</w:t>
      </w:r>
      <w:r w:rsidRPr="005C152D">
        <w:rPr>
          <w:noProof/>
          <w:sz w:val="24"/>
          <w:szCs w:val="24"/>
        </w:rPr>
        <w:fldChar w:fldCharType="end"/>
      </w:r>
      <w:r w:rsidR="005C152D" w:rsidRPr="005C152D">
        <w:rPr>
          <w:noProof/>
          <w:sz w:val="24"/>
          <w:szCs w:val="24"/>
        </w:rPr>
        <w:t>.</w:t>
      </w:r>
    </w:p>
  </w:endnote>
  <w:endnote w:id="13">
    <w:p w14:paraId="6522E00B" w14:textId="71349957" w:rsidR="007322D5" w:rsidRPr="009515E4" w:rsidRDefault="007322D5" w:rsidP="007322D5">
      <w:pPr>
        <w:pStyle w:val="EndnoteText"/>
        <w:spacing w:line="480" w:lineRule="auto"/>
      </w:pPr>
      <w:r w:rsidRPr="00F92AFD">
        <w:rPr>
          <w:rStyle w:val="EndnoteReference"/>
        </w:rPr>
        <w:endnoteRef/>
      </w:r>
      <w:r w:rsidRPr="009515E4">
        <w:t xml:space="preserve"> </w:t>
      </w:r>
      <w:r w:rsidRPr="005C152D">
        <w:rPr>
          <w:sz w:val="24"/>
          <w:szCs w:val="24"/>
        </w:rPr>
        <w:t xml:space="preserve">This included analysis by Fourier transform infrared microspectroscopy (FTIR), </w:t>
      </w:r>
      <w:bookmarkStart w:id="1" w:name="_Hlk37275569"/>
      <w:r w:rsidRPr="005C152D">
        <w:rPr>
          <w:sz w:val="24"/>
          <w:szCs w:val="24"/>
        </w:rPr>
        <w:t>immunochemical assay (ELISA)</w:t>
      </w:r>
      <w:bookmarkEnd w:id="1"/>
      <w:r w:rsidRPr="005C152D">
        <w:rPr>
          <w:sz w:val="24"/>
          <w:szCs w:val="24"/>
        </w:rPr>
        <w:t>, and gas chromatography</w:t>
      </w:r>
      <w:r w:rsidR="00AB0247">
        <w:rPr>
          <w:sz w:val="24"/>
          <w:szCs w:val="24"/>
        </w:rPr>
        <w:t>–</w:t>
      </w:r>
      <w:r w:rsidRPr="005C152D">
        <w:rPr>
          <w:sz w:val="24"/>
          <w:szCs w:val="24"/>
        </w:rPr>
        <w:t>mass spectrometry (GC-MS) along with optical and electron microscopy.</w:t>
      </w:r>
    </w:p>
  </w:endnote>
  <w:endnote w:id="14">
    <w:p w14:paraId="5BED03B8" w14:textId="4C6BC2CE" w:rsidR="00A37281" w:rsidRPr="00F92AFD" w:rsidRDefault="00A37281" w:rsidP="005C152D">
      <w:pPr>
        <w:pStyle w:val="EndnoteText"/>
        <w:spacing w:line="480" w:lineRule="auto"/>
      </w:pPr>
      <w:r w:rsidRPr="00F92AFD">
        <w:rPr>
          <w:rStyle w:val="EndnoteReference"/>
        </w:rPr>
        <w:endnoteRef/>
      </w:r>
      <w:r w:rsidRPr="00F92AFD">
        <w:t xml:space="preserve"> </w:t>
      </w:r>
      <w:r w:rsidR="00F202AF">
        <w:rPr>
          <w:sz w:val="24"/>
          <w:szCs w:val="24"/>
        </w:rPr>
        <w:t>{{</w:t>
      </w:r>
      <w:r w:rsidRPr="005C152D">
        <w:rPr>
          <w:sz w:val="24"/>
          <w:szCs w:val="24"/>
        </w:rPr>
        <w:t>Webb 2000</w:t>
      </w:r>
      <w:r w:rsidR="00F202AF">
        <w:rPr>
          <w:sz w:val="24"/>
          <w:szCs w:val="24"/>
        </w:rPr>
        <w:t>}}</w:t>
      </w:r>
      <w:r w:rsidRPr="005C152D">
        <w:rPr>
          <w:sz w:val="24"/>
          <w:szCs w:val="24"/>
        </w:rPr>
        <w:t>, 26, 28</w:t>
      </w:r>
      <w:r w:rsidR="00B5736A">
        <w:rPr>
          <w:sz w:val="24"/>
          <w:szCs w:val="24"/>
        </w:rPr>
        <w:t>;</w:t>
      </w:r>
      <w:r w:rsidRPr="005C152D">
        <w:rPr>
          <w:sz w:val="24"/>
          <w:szCs w:val="24"/>
        </w:rPr>
        <w:t xml:space="preserve"> </w:t>
      </w:r>
      <w:r w:rsidR="00F202AF">
        <w:rPr>
          <w:sz w:val="24"/>
          <w:szCs w:val="24"/>
        </w:rPr>
        <w:t>{{</w:t>
      </w:r>
      <w:r w:rsidRPr="005C152D">
        <w:rPr>
          <w:sz w:val="24"/>
          <w:szCs w:val="24"/>
        </w:rPr>
        <w:t>Heginbotham and Schilling 2011</w:t>
      </w:r>
      <w:r w:rsidR="00F202AF">
        <w:rPr>
          <w:sz w:val="24"/>
          <w:szCs w:val="24"/>
        </w:rPr>
        <w:t>}}</w:t>
      </w:r>
      <w:r w:rsidRPr="005C152D">
        <w:rPr>
          <w:sz w:val="24"/>
          <w:szCs w:val="24"/>
        </w:rPr>
        <w:t>, 103</w:t>
      </w:r>
      <w:r w:rsidR="00B5736A">
        <w:rPr>
          <w:sz w:val="24"/>
          <w:szCs w:val="24"/>
        </w:rPr>
        <w:t>–</w:t>
      </w:r>
      <w:r w:rsidRPr="005C152D">
        <w:rPr>
          <w:sz w:val="24"/>
          <w:szCs w:val="24"/>
        </w:rPr>
        <w:t xml:space="preserve">4. </w:t>
      </w:r>
    </w:p>
  </w:endnote>
  <w:endnote w:id="15">
    <w:p w14:paraId="7535E323" w14:textId="45F6F3F5" w:rsidR="007322D5" w:rsidRPr="009515E4" w:rsidRDefault="007322D5" w:rsidP="007322D5">
      <w:pPr>
        <w:pStyle w:val="EndnoteText"/>
        <w:spacing w:line="480" w:lineRule="auto"/>
        <w:rPr>
          <w:i/>
        </w:rPr>
      </w:pPr>
      <w:r w:rsidRPr="00F92AFD">
        <w:rPr>
          <w:rStyle w:val="EndnoteReference"/>
        </w:rPr>
        <w:endnoteRef/>
      </w:r>
      <w:r w:rsidRPr="00F92AFD">
        <w:t xml:space="preserve"> </w:t>
      </w:r>
      <w:r w:rsidR="00F202AF">
        <w:rPr>
          <w:sz w:val="24"/>
          <w:szCs w:val="24"/>
        </w:rPr>
        <w:t>{{</w:t>
      </w:r>
      <w:r w:rsidRPr="005C152D">
        <w:rPr>
          <w:sz w:val="24"/>
          <w:szCs w:val="24"/>
        </w:rPr>
        <w:t>Heginbotham and Schilling 2011</w:t>
      </w:r>
      <w:r w:rsidR="00F202AF">
        <w:rPr>
          <w:sz w:val="24"/>
          <w:szCs w:val="24"/>
        </w:rPr>
        <w:t>}}</w:t>
      </w:r>
      <w:r w:rsidRPr="005C152D">
        <w:rPr>
          <w:sz w:val="24"/>
          <w:szCs w:val="24"/>
        </w:rPr>
        <w:t>, 97</w:t>
      </w:r>
      <w:r w:rsidR="00B5736A">
        <w:rPr>
          <w:sz w:val="24"/>
          <w:szCs w:val="24"/>
        </w:rPr>
        <w:t>–</w:t>
      </w:r>
      <w:r w:rsidRPr="005C152D">
        <w:rPr>
          <w:sz w:val="24"/>
          <w:szCs w:val="24"/>
        </w:rPr>
        <w:t>99</w:t>
      </w:r>
      <w:r>
        <w:rPr>
          <w:sz w:val="24"/>
          <w:szCs w:val="24"/>
        </w:rPr>
        <w:t>.</w:t>
      </w:r>
    </w:p>
  </w:endnote>
  <w:endnote w:id="16">
    <w:p w14:paraId="52FBE75D" w14:textId="7C5BF14C" w:rsidR="007322D5" w:rsidRPr="009515E4" w:rsidRDefault="007322D5" w:rsidP="007322D5">
      <w:pPr>
        <w:pStyle w:val="EndnoteText"/>
        <w:spacing w:line="480" w:lineRule="auto"/>
      </w:pPr>
      <w:r w:rsidRPr="00F92AFD">
        <w:rPr>
          <w:rStyle w:val="EndnoteReference"/>
        </w:rPr>
        <w:endnoteRef/>
      </w:r>
      <w:r w:rsidRPr="00F92AFD">
        <w:t xml:space="preserve"> </w:t>
      </w:r>
      <w:r w:rsidR="00E74330">
        <w:rPr>
          <w:sz w:val="24"/>
          <w:szCs w:val="24"/>
        </w:rPr>
        <w:t>{{</w:t>
      </w:r>
      <w:r w:rsidRPr="005C152D">
        <w:rPr>
          <w:sz w:val="24"/>
          <w:szCs w:val="24"/>
        </w:rPr>
        <w:t>Heckmann 2002</w:t>
      </w:r>
      <w:r w:rsidR="00E74330">
        <w:rPr>
          <w:sz w:val="24"/>
          <w:szCs w:val="24"/>
        </w:rPr>
        <w:t>}}</w:t>
      </w:r>
      <w:r>
        <w:rPr>
          <w:sz w:val="24"/>
          <w:szCs w:val="24"/>
        </w:rPr>
        <w:t>.</w:t>
      </w:r>
    </w:p>
  </w:endnote>
  <w:endnote w:id="17">
    <w:p w14:paraId="365898A7" w14:textId="77777777" w:rsidR="00A37281" w:rsidRPr="009515E4" w:rsidRDefault="00A37281" w:rsidP="005C152D">
      <w:pPr>
        <w:pStyle w:val="EndnoteText"/>
        <w:spacing w:line="480" w:lineRule="auto"/>
      </w:pPr>
      <w:r w:rsidRPr="00F92AFD">
        <w:rPr>
          <w:rStyle w:val="EndnoteReference"/>
        </w:rPr>
        <w:endnoteRef/>
      </w:r>
      <w:r w:rsidRPr="009515E4">
        <w:t xml:space="preserve"> </w:t>
      </w:r>
      <w:r w:rsidRPr="005C152D">
        <w:rPr>
          <w:sz w:val="24"/>
          <w:szCs w:val="24"/>
        </w:rPr>
        <w:t xml:space="preserve">Identification of the metal flakes was made by X-ray fluorescence spectroscopy (XRF) and </w:t>
      </w:r>
      <w:bookmarkStart w:id="4" w:name="_Hlk37275621"/>
      <w:r w:rsidRPr="005C152D">
        <w:rPr>
          <w:sz w:val="24"/>
          <w:szCs w:val="24"/>
        </w:rPr>
        <w:t>environmental scanning electron microscopy (ESEM)</w:t>
      </w:r>
      <w:bookmarkEnd w:id="4"/>
      <w:r w:rsidRPr="005C152D">
        <w:rPr>
          <w:sz w:val="24"/>
          <w:szCs w:val="24"/>
        </w:rPr>
        <w:t>.</w:t>
      </w:r>
    </w:p>
  </w:endnote>
  <w:endnote w:id="18">
    <w:p w14:paraId="7FE4FDE7" w14:textId="1BB3B0A5" w:rsidR="00A37281" w:rsidRDefault="00A37281" w:rsidP="005C152D">
      <w:pPr>
        <w:pStyle w:val="EndnoteText"/>
        <w:spacing w:line="480" w:lineRule="auto"/>
      </w:pPr>
      <w:r>
        <w:rPr>
          <w:rStyle w:val="EndnoteReference"/>
        </w:rPr>
        <w:endnoteRef/>
      </w:r>
      <w:r>
        <w:t xml:space="preserve"> </w:t>
      </w:r>
      <w:bookmarkStart w:id="6" w:name="ZOTERO_TEMP_BOOKMARK"/>
      <w:r w:rsidR="00E74330">
        <w:rPr>
          <w:sz w:val="24"/>
          <w:szCs w:val="24"/>
        </w:rPr>
        <w:t>{{</w:t>
      </w:r>
      <w:r w:rsidRPr="005C152D">
        <w:rPr>
          <w:rFonts w:cs="Arial"/>
          <w:sz w:val="24"/>
          <w:szCs w:val="24"/>
        </w:rPr>
        <w:t>Watin 1778</w:t>
      </w:r>
      <w:r w:rsidR="00E74330">
        <w:rPr>
          <w:rFonts w:cs="Arial"/>
          <w:sz w:val="24"/>
          <w:szCs w:val="24"/>
        </w:rPr>
        <w:t>}}</w:t>
      </w:r>
      <w:r w:rsidRPr="005C152D">
        <w:rPr>
          <w:rFonts w:cs="Arial"/>
          <w:sz w:val="24"/>
          <w:szCs w:val="24"/>
        </w:rPr>
        <w:t>, 237</w:t>
      </w:r>
      <w:bookmarkEnd w:id="6"/>
      <w:r w:rsidR="005C152D">
        <w:rPr>
          <w:rFonts w:cs="Arial"/>
          <w:sz w:val="24"/>
          <w:szCs w:val="24"/>
        </w:rPr>
        <w:t>.</w:t>
      </w:r>
    </w:p>
  </w:endnote>
  <w:endnote w:id="19">
    <w:p w14:paraId="0EED92D0" w14:textId="1B44CCB7" w:rsidR="00A37281" w:rsidRDefault="00A37281" w:rsidP="005C152D">
      <w:pPr>
        <w:pStyle w:val="EndnoteText"/>
        <w:spacing w:line="480" w:lineRule="auto"/>
      </w:pPr>
      <w:r>
        <w:rPr>
          <w:rStyle w:val="EndnoteReference"/>
        </w:rPr>
        <w:endnoteRef/>
      </w:r>
      <w:r w:rsidR="00841848">
        <w:rPr>
          <w:sz w:val="24"/>
          <w:szCs w:val="24"/>
        </w:rPr>
        <w:t xml:space="preserve"> </w:t>
      </w:r>
      <w:r w:rsidR="00E74330">
        <w:rPr>
          <w:sz w:val="24"/>
          <w:szCs w:val="24"/>
        </w:rPr>
        <w:t>{{</w:t>
      </w:r>
      <w:r w:rsidRPr="005C152D">
        <w:rPr>
          <w:sz w:val="24"/>
          <w:szCs w:val="24"/>
        </w:rPr>
        <w:t>Langenheim 2003</w:t>
      </w:r>
      <w:r w:rsidR="00E74330">
        <w:rPr>
          <w:sz w:val="24"/>
          <w:szCs w:val="24"/>
        </w:rPr>
        <w:t>}}</w:t>
      </w:r>
      <w:r w:rsidRPr="005C152D">
        <w:rPr>
          <w:sz w:val="24"/>
          <w:szCs w:val="24"/>
        </w:rPr>
        <w:t>, 322</w:t>
      </w:r>
      <w:r w:rsidR="005C152D">
        <w:rPr>
          <w:sz w:val="24"/>
          <w:szCs w:val="24"/>
        </w:rPr>
        <w:t>.</w:t>
      </w:r>
    </w:p>
  </w:endnote>
  <w:endnote w:id="20">
    <w:p w14:paraId="4B25EDD5" w14:textId="2683AEB4" w:rsidR="005C152D" w:rsidRDefault="005C152D" w:rsidP="005C152D">
      <w:pPr>
        <w:pStyle w:val="EndnoteText"/>
        <w:spacing w:line="480" w:lineRule="auto"/>
      </w:pPr>
      <w:r>
        <w:rPr>
          <w:rStyle w:val="EndnoteReference"/>
        </w:rPr>
        <w:endnoteRef/>
      </w:r>
      <w:r>
        <w:t xml:space="preserve"> </w:t>
      </w:r>
      <w:r w:rsidRPr="005C152D">
        <w:rPr>
          <w:sz w:val="24"/>
          <w:szCs w:val="24"/>
        </w:rPr>
        <w:t xml:space="preserve">This was done according to the methodology described in </w:t>
      </w:r>
      <w:r w:rsidRPr="005C152D">
        <w:rPr>
          <w:sz w:val="24"/>
          <w:szCs w:val="24"/>
        </w:rPr>
        <w:fldChar w:fldCharType="begin"/>
      </w:r>
      <w:r w:rsidRPr="005C152D">
        <w:rPr>
          <w:sz w:val="24"/>
          <w:szCs w:val="24"/>
        </w:rPr>
        <w:instrText xml:space="preserve"> ADDIN ZOTERO_ITEM CSL_CITATION {"citationID":"VYTP3Gxa","properties":{"formattedCitation":"(Heginbotham, Erdmann, and Hayek, n.d.)","plainCitation":"(Heginbotham, Erdmann, and Hayek, n.d.)","noteIndex":9},"citationItems":[{"id":7475,"uris":["http://zotero.org/users/2455557/items/GMV4ZQZ9"],"uri":["http://zotero.org/users/2455557/items/GMV4ZQZ9"],"itemData":{"id":7475,"type":"book","title":"The Dating of French Gilt Bronzes with ED-XRF Analysis and Machine Learning","publisher":"Journal of the American Institute for Conservation","author":[{"family":"Heginbotham","given":"Arlen"},{"family":"Erdmann","given":"Robert"},{"family":"Hayek","given":"Lee-Ann"}]}}],"schema":"https://github.com/citation-style-language/schema/raw/master/csl-citation.json"} </w:instrText>
      </w:r>
      <w:r w:rsidRPr="005C152D">
        <w:rPr>
          <w:sz w:val="24"/>
          <w:szCs w:val="24"/>
        </w:rPr>
        <w:fldChar w:fldCharType="separate"/>
      </w:r>
      <w:r w:rsidR="006A6F98">
        <w:rPr>
          <w:noProof/>
          <w:sz w:val="24"/>
          <w:szCs w:val="24"/>
        </w:rPr>
        <w:t>{{</w:t>
      </w:r>
      <w:r w:rsidRPr="005C152D">
        <w:rPr>
          <w:noProof/>
          <w:sz w:val="24"/>
          <w:szCs w:val="24"/>
        </w:rPr>
        <w:t xml:space="preserve">Heginbotham, Erdmann, and Hayek, </w:t>
      </w:r>
      <w:r w:rsidR="00841848">
        <w:rPr>
          <w:noProof/>
          <w:sz w:val="24"/>
          <w:szCs w:val="24"/>
        </w:rPr>
        <w:t>2018</w:t>
      </w:r>
      <w:r w:rsidR="006A6F98">
        <w:rPr>
          <w:noProof/>
          <w:sz w:val="24"/>
          <w:szCs w:val="24"/>
        </w:rPr>
        <w:t>}}</w:t>
      </w:r>
      <w:r w:rsidRPr="005C152D">
        <w:rPr>
          <w:sz w:val="24"/>
          <w:szCs w:val="24"/>
        </w:rPr>
        <w:fldChar w:fldCharType="end"/>
      </w:r>
      <w:r w:rsidR="00B5736A">
        <w:rPr>
          <w:sz w:val="24"/>
          <w:szCs w:val="24"/>
        </w:rPr>
        <w:t>.</w:t>
      </w:r>
    </w:p>
  </w:endnote>
  <w:endnote w:id="21">
    <w:p w14:paraId="24E29586" w14:textId="44695448" w:rsidR="007322D5" w:rsidRPr="00F92AFD" w:rsidRDefault="007322D5" w:rsidP="007322D5">
      <w:pPr>
        <w:pStyle w:val="EndnoteText"/>
        <w:spacing w:line="480" w:lineRule="auto"/>
      </w:pPr>
      <w:r w:rsidRPr="00F92AFD">
        <w:rPr>
          <w:rStyle w:val="EndnoteReference"/>
        </w:rPr>
        <w:endnoteRef/>
      </w:r>
      <w:r w:rsidRPr="009515E4">
        <w:t xml:space="preserve"> </w:t>
      </w:r>
      <w:r w:rsidRPr="005C152D">
        <w:rPr>
          <w:sz w:val="24"/>
          <w:szCs w:val="24"/>
        </w:rPr>
        <w:t xml:space="preserve">The mounts from the other </w:t>
      </w:r>
      <w:r w:rsidR="00323BE8">
        <w:rPr>
          <w:sz w:val="24"/>
          <w:szCs w:val="24"/>
        </w:rPr>
        <w:t>Van Risenburgh</w:t>
      </w:r>
      <w:r w:rsidR="00323BE8" w:rsidRPr="005C152D">
        <w:rPr>
          <w:sz w:val="24"/>
          <w:szCs w:val="24"/>
        </w:rPr>
        <w:t xml:space="preserve"> </w:t>
      </w:r>
      <w:r w:rsidRPr="005C152D">
        <w:rPr>
          <w:sz w:val="24"/>
          <w:szCs w:val="24"/>
        </w:rPr>
        <w:t xml:space="preserve">pieces listed here were also analyzed by XRF for alloy composition and were found to be of typical composition for the </w:t>
      </w:r>
      <w:r w:rsidR="00B5736A">
        <w:rPr>
          <w:sz w:val="24"/>
          <w:szCs w:val="24"/>
        </w:rPr>
        <w:t>eighteenth</w:t>
      </w:r>
      <w:r w:rsidRPr="005C152D">
        <w:rPr>
          <w:sz w:val="24"/>
          <w:szCs w:val="24"/>
        </w:rPr>
        <w:t xml:space="preserve"> century.</w:t>
      </w:r>
    </w:p>
  </w:endnote>
  <w:endnote w:id="22">
    <w:p w14:paraId="485BC766" w14:textId="17D32BD2" w:rsidR="007322D5" w:rsidRPr="005C152D" w:rsidRDefault="007322D5" w:rsidP="007322D5">
      <w:pPr>
        <w:spacing w:line="480" w:lineRule="auto"/>
        <w:ind w:left="720" w:hanging="720"/>
        <w:rPr>
          <w:noProof/>
          <w:sz w:val="24"/>
          <w:szCs w:val="24"/>
        </w:rPr>
      </w:pPr>
      <w:r w:rsidRPr="009515E4">
        <w:rPr>
          <w:rStyle w:val="EndnoteReference"/>
          <w:sz w:val="24"/>
          <w:szCs w:val="24"/>
        </w:rPr>
        <w:endnoteRef/>
      </w:r>
      <w:r w:rsidRPr="009515E4">
        <w:rPr>
          <w:sz w:val="24"/>
          <w:szCs w:val="24"/>
        </w:rPr>
        <w:t xml:space="preserve"> </w:t>
      </w:r>
      <w:r w:rsidR="006A6F98">
        <w:rPr>
          <w:sz w:val="24"/>
          <w:szCs w:val="24"/>
        </w:rPr>
        <w:t>{{</w:t>
      </w:r>
      <w:r w:rsidR="002D03C7">
        <w:rPr>
          <w:sz w:val="24"/>
          <w:szCs w:val="24"/>
        </w:rPr>
        <w:t>Dubarry de</w:t>
      </w:r>
      <w:r w:rsidRPr="009515E4">
        <w:rPr>
          <w:sz w:val="24"/>
          <w:szCs w:val="24"/>
        </w:rPr>
        <w:t xml:space="preserve"> </w:t>
      </w:r>
      <w:r w:rsidRPr="009515E4">
        <w:rPr>
          <w:noProof/>
          <w:sz w:val="24"/>
          <w:szCs w:val="24"/>
        </w:rPr>
        <w:t>Lassale</w:t>
      </w:r>
      <w:r w:rsidR="00777BF0">
        <w:rPr>
          <w:noProof/>
          <w:sz w:val="24"/>
          <w:szCs w:val="24"/>
        </w:rPr>
        <w:t>, Barco, and Bresc-Bautier</w:t>
      </w:r>
      <w:r w:rsidRPr="009515E4">
        <w:rPr>
          <w:noProof/>
          <w:sz w:val="24"/>
          <w:szCs w:val="24"/>
        </w:rPr>
        <w:t xml:space="preserve"> 2000</w:t>
      </w:r>
      <w:r w:rsidR="006A6F98">
        <w:rPr>
          <w:noProof/>
          <w:sz w:val="24"/>
          <w:szCs w:val="24"/>
        </w:rPr>
        <w:t>}}</w:t>
      </w:r>
      <w:r>
        <w:rPr>
          <w:noProof/>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New York">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8A3A7" w14:textId="77777777" w:rsidR="009E0842" w:rsidRPr="009E0842" w:rsidRDefault="009E0842">
    <w:pPr>
      <w:pStyle w:val="Footer"/>
      <w:jc w:val="right"/>
      <w:rPr>
        <w:sz w:val="24"/>
        <w:szCs w:val="24"/>
      </w:rPr>
    </w:pPr>
    <w:r w:rsidRPr="009E0842">
      <w:rPr>
        <w:sz w:val="24"/>
        <w:szCs w:val="24"/>
      </w:rPr>
      <w:fldChar w:fldCharType="begin"/>
    </w:r>
    <w:r w:rsidRPr="009E0842">
      <w:rPr>
        <w:sz w:val="24"/>
        <w:szCs w:val="24"/>
      </w:rPr>
      <w:instrText xml:space="preserve"> PAGE   \* MERGEFORMAT </w:instrText>
    </w:r>
    <w:r w:rsidRPr="009E0842">
      <w:rPr>
        <w:sz w:val="24"/>
        <w:szCs w:val="24"/>
      </w:rPr>
      <w:fldChar w:fldCharType="separate"/>
    </w:r>
    <w:r w:rsidR="007F324F">
      <w:rPr>
        <w:noProof/>
        <w:sz w:val="24"/>
        <w:szCs w:val="24"/>
      </w:rPr>
      <w:t>19</w:t>
    </w:r>
    <w:r w:rsidRPr="009E0842">
      <w:rPr>
        <w:noProof/>
        <w:sz w:val="24"/>
        <w:szCs w:val="24"/>
      </w:rPr>
      <w:fldChar w:fldCharType="end"/>
    </w:r>
  </w:p>
  <w:p w14:paraId="4EAB060C" w14:textId="77777777" w:rsidR="009E0842" w:rsidRDefault="009E0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BE6C7" w14:textId="77777777" w:rsidR="00D26060" w:rsidRDefault="00D26060">
      <w:pPr>
        <w:spacing w:after="0" w:line="240" w:lineRule="auto"/>
      </w:pPr>
      <w:r>
        <w:separator/>
      </w:r>
    </w:p>
  </w:footnote>
  <w:footnote w:type="continuationSeparator" w:id="0">
    <w:p w14:paraId="5856F096" w14:textId="77777777" w:rsidR="00D26060" w:rsidRDefault="00D260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38C"/>
    <w:rsid w:val="00010C7B"/>
    <w:rsid w:val="00015A79"/>
    <w:rsid w:val="00027A23"/>
    <w:rsid w:val="00044FEC"/>
    <w:rsid w:val="00045389"/>
    <w:rsid w:val="000500A8"/>
    <w:rsid w:val="00064531"/>
    <w:rsid w:val="000672F2"/>
    <w:rsid w:val="00080A0E"/>
    <w:rsid w:val="000851B6"/>
    <w:rsid w:val="00087447"/>
    <w:rsid w:val="000939E5"/>
    <w:rsid w:val="00097FCC"/>
    <w:rsid w:val="000C6A9F"/>
    <w:rsid w:val="000E1DD2"/>
    <w:rsid w:val="0011196F"/>
    <w:rsid w:val="001159C6"/>
    <w:rsid w:val="0012419E"/>
    <w:rsid w:val="00135B97"/>
    <w:rsid w:val="0015449F"/>
    <w:rsid w:val="00161527"/>
    <w:rsid w:val="001735D4"/>
    <w:rsid w:val="0017419C"/>
    <w:rsid w:val="001D1A96"/>
    <w:rsid w:val="00202C2F"/>
    <w:rsid w:val="0021563C"/>
    <w:rsid w:val="00223E53"/>
    <w:rsid w:val="00225711"/>
    <w:rsid w:val="0024545D"/>
    <w:rsid w:val="002906A2"/>
    <w:rsid w:val="002A0165"/>
    <w:rsid w:val="002A10EC"/>
    <w:rsid w:val="002A7C3D"/>
    <w:rsid w:val="002C4A3B"/>
    <w:rsid w:val="002D03C7"/>
    <w:rsid w:val="002D3700"/>
    <w:rsid w:val="002F023A"/>
    <w:rsid w:val="002F2238"/>
    <w:rsid w:val="00323BE8"/>
    <w:rsid w:val="00326DC4"/>
    <w:rsid w:val="003277E8"/>
    <w:rsid w:val="00327BE9"/>
    <w:rsid w:val="0036135F"/>
    <w:rsid w:val="00381B63"/>
    <w:rsid w:val="00390118"/>
    <w:rsid w:val="003A52FD"/>
    <w:rsid w:val="003B1D1E"/>
    <w:rsid w:val="003B26CC"/>
    <w:rsid w:val="003B5445"/>
    <w:rsid w:val="003D5C38"/>
    <w:rsid w:val="003D6CEF"/>
    <w:rsid w:val="003E6528"/>
    <w:rsid w:val="00402FBE"/>
    <w:rsid w:val="00404627"/>
    <w:rsid w:val="00405E9F"/>
    <w:rsid w:val="0040662E"/>
    <w:rsid w:val="00406740"/>
    <w:rsid w:val="00444B1A"/>
    <w:rsid w:val="004826D6"/>
    <w:rsid w:val="00485C5C"/>
    <w:rsid w:val="004A60F4"/>
    <w:rsid w:val="004B2109"/>
    <w:rsid w:val="004C1B39"/>
    <w:rsid w:val="004C697B"/>
    <w:rsid w:val="004E6925"/>
    <w:rsid w:val="00506916"/>
    <w:rsid w:val="00510097"/>
    <w:rsid w:val="00513DCC"/>
    <w:rsid w:val="005155C4"/>
    <w:rsid w:val="00546D45"/>
    <w:rsid w:val="00550840"/>
    <w:rsid w:val="00552780"/>
    <w:rsid w:val="00590A1D"/>
    <w:rsid w:val="005A2111"/>
    <w:rsid w:val="005A300B"/>
    <w:rsid w:val="005A473A"/>
    <w:rsid w:val="005C152D"/>
    <w:rsid w:val="005C442C"/>
    <w:rsid w:val="005C65BC"/>
    <w:rsid w:val="005C6CDB"/>
    <w:rsid w:val="005D1D38"/>
    <w:rsid w:val="005F061B"/>
    <w:rsid w:val="005F5C14"/>
    <w:rsid w:val="006319D3"/>
    <w:rsid w:val="00644F10"/>
    <w:rsid w:val="00646D75"/>
    <w:rsid w:val="00650B12"/>
    <w:rsid w:val="006607BD"/>
    <w:rsid w:val="00676B81"/>
    <w:rsid w:val="006A36C7"/>
    <w:rsid w:val="006A6F98"/>
    <w:rsid w:val="006B1CB6"/>
    <w:rsid w:val="00711285"/>
    <w:rsid w:val="00714CD0"/>
    <w:rsid w:val="00731357"/>
    <w:rsid w:val="007322D5"/>
    <w:rsid w:val="00747C3C"/>
    <w:rsid w:val="00763E9D"/>
    <w:rsid w:val="00767C3C"/>
    <w:rsid w:val="00770BA0"/>
    <w:rsid w:val="00777BF0"/>
    <w:rsid w:val="00790BB7"/>
    <w:rsid w:val="00792972"/>
    <w:rsid w:val="007A5FB5"/>
    <w:rsid w:val="007B13D6"/>
    <w:rsid w:val="007C1646"/>
    <w:rsid w:val="007D1DF1"/>
    <w:rsid w:val="007E5853"/>
    <w:rsid w:val="007F324F"/>
    <w:rsid w:val="007F79BA"/>
    <w:rsid w:val="008054F9"/>
    <w:rsid w:val="00817A0C"/>
    <w:rsid w:val="00833E11"/>
    <w:rsid w:val="00841848"/>
    <w:rsid w:val="00846BCF"/>
    <w:rsid w:val="00846CC1"/>
    <w:rsid w:val="008661DF"/>
    <w:rsid w:val="0087048E"/>
    <w:rsid w:val="00870566"/>
    <w:rsid w:val="0087194B"/>
    <w:rsid w:val="00882217"/>
    <w:rsid w:val="008B58FF"/>
    <w:rsid w:val="008C0024"/>
    <w:rsid w:val="008E1109"/>
    <w:rsid w:val="008E20D7"/>
    <w:rsid w:val="008E4239"/>
    <w:rsid w:val="008F6DA3"/>
    <w:rsid w:val="00900637"/>
    <w:rsid w:val="0093783C"/>
    <w:rsid w:val="00942C20"/>
    <w:rsid w:val="0094475A"/>
    <w:rsid w:val="00950462"/>
    <w:rsid w:val="00961484"/>
    <w:rsid w:val="0099556D"/>
    <w:rsid w:val="009A01D2"/>
    <w:rsid w:val="009A747E"/>
    <w:rsid w:val="009B0236"/>
    <w:rsid w:val="009B0478"/>
    <w:rsid w:val="009C68F2"/>
    <w:rsid w:val="009D3B6F"/>
    <w:rsid w:val="009D4421"/>
    <w:rsid w:val="009E0842"/>
    <w:rsid w:val="009F0EE6"/>
    <w:rsid w:val="009F6D3C"/>
    <w:rsid w:val="00A0163D"/>
    <w:rsid w:val="00A10874"/>
    <w:rsid w:val="00A22829"/>
    <w:rsid w:val="00A25051"/>
    <w:rsid w:val="00A34D60"/>
    <w:rsid w:val="00A37281"/>
    <w:rsid w:val="00A43DAF"/>
    <w:rsid w:val="00A60A21"/>
    <w:rsid w:val="00A62357"/>
    <w:rsid w:val="00A64798"/>
    <w:rsid w:val="00A75F95"/>
    <w:rsid w:val="00AB0247"/>
    <w:rsid w:val="00AB379B"/>
    <w:rsid w:val="00AB5466"/>
    <w:rsid w:val="00AD0AC2"/>
    <w:rsid w:val="00AF0665"/>
    <w:rsid w:val="00B04C95"/>
    <w:rsid w:val="00B115F3"/>
    <w:rsid w:val="00B52959"/>
    <w:rsid w:val="00B5736A"/>
    <w:rsid w:val="00B6196D"/>
    <w:rsid w:val="00B76CED"/>
    <w:rsid w:val="00B877C1"/>
    <w:rsid w:val="00B87EBA"/>
    <w:rsid w:val="00BA5EC8"/>
    <w:rsid w:val="00BA6EF1"/>
    <w:rsid w:val="00BD6A69"/>
    <w:rsid w:val="00BF3DD2"/>
    <w:rsid w:val="00C02ACF"/>
    <w:rsid w:val="00C03BC9"/>
    <w:rsid w:val="00C04F74"/>
    <w:rsid w:val="00C05FCC"/>
    <w:rsid w:val="00C5113D"/>
    <w:rsid w:val="00C60CC5"/>
    <w:rsid w:val="00C764A1"/>
    <w:rsid w:val="00C97EDE"/>
    <w:rsid w:val="00CC1FA8"/>
    <w:rsid w:val="00CC638C"/>
    <w:rsid w:val="00CF3DCB"/>
    <w:rsid w:val="00D05FCC"/>
    <w:rsid w:val="00D21758"/>
    <w:rsid w:val="00D26060"/>
    <w:rsid w:val="00D427F4"/>
    <w:rsid w:val="00D435AA"/>
    <w:rsid w:val="00D46D2A"/>
    <w:rsid w:val="00D5083D"/>
    <w:rsid w:val="00D60A00"/>
    <w:rsid w:val="00D7081D"/>
    <w:rsid w:val="00D72DE9"/>
    <w:rsid w:val="00D75698"/>
    <w:rsid w:val="00D90BDC"/>
    <w:rsid w:val="00DA7D8E"/>
    <w:rsid w:val="00DB6A35"/>
    <w:rsid w:val="00DC3426"/>
    <w:rsid w:val="00DC5ED2"/>
    <w:rsid w:val="00DD7E88"/>
    <w:rsid w:val="00DE1AE9"/>
    <w:rsid w:val="00E43CB3"/>
    <w:rsid w:val="00E673EE"/>
    <w:rsid w:val="00E74330"/>
    <w:rsid w:val="00E749CF"/>
    <w:rsid w:val="00E74BCE"/>
    <w:rsid w:val="00E81673"/>
    <w:rsid w:val="00EA7E4D"/>
    <w:rsid w:val="00EB7818"/>
    <w:rsid w:val="00ED2EBE"/>
    <w:rsid w:val="00EE448D"/>
    <w:rsid w:val="00EF7D17"/>
    <w:rsid w:val="00F01F73"/>
    <w:rsid w:val="00F04564"/>
    <w:rsid w:val="00F16C8E"/>
    <w:rsid w:val="00F202AF"/>
    <w:rsid w:val="00F30158"/>
    <w:rsid w:val="00F325B5"/>
    <w:rsid w:val="00F4171A"/>
    <w:rsid w:val="00F536A5"/>
    <w:rsid w:val="00F91BF0"/>
    <w:rsid w:val="00F969D0"/>
    <w:rsid w:val="00FA2DD7"/>
    <w:rsid w:val="00FA4ACB"/>
    <w:rsid w:val="00FA55AA"/>
    <w:rsid w:val="00FA5F90"/>
    <w:rsid w:val="00FC62C1"/>
    <w:rsid w:val="00FF5830"/>
    <w:rsid w:val="00FF71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FA3BC52"/>
  <w14:defaultImageDpi w14:val="300"/>
  <w15:chartTrackingRefBased/>
  <w15:docId w15:val="{E0DAE849-4838-4324-8C9F-DE0E78ED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2" w:lineRule="auto"/>
    </w:pPr>
  </w:style>
  <w:style w:type="paragraph" w:styleId="Heading2">
    <w:name w:val="heading 2"/>
    <w:basedOn w:val="Normal"/>
    <w:next w:val="Normal"/>
    <w:link w:val="Heading2Char"/>
    <w:uiPriority w:val="9"/>
    <w:unhideWhenUsed/>
    <w:qFormat/>
    <w:rsid w:val="00F16C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rPr>
      <w:sz w:val="20"/>
      <w:szCs w:val="20"/>
    </w:rP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FootnoteText">
    <w:name w:val="footnote text"/>
    <w:basedOn w:val="Normal"/>
  </w:style>
  <w:style w:type="paragraph" w:styleId="BalloonText">
    <w:name w:val="Balloon Text"/>
    <w:basedOn w:val="Normal"/>
    <w:link w:val="BalloonTextChar"/>
    <w:uiPriority w:val="99"/>
    <w:semiHidden/>
    <w:unhideWhenUsed/>
    <w:rsid w:val="00CC638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CC638C"/>
    <w:rPr>
      <w:rFonts w:ascii="Lucida Grande" w:hAnsi="Lucida Grande" w:cs="Lucida Grande"/>
      <w:sz w:val="18"/>
      <w:szCs w:val="18"/>
    </w:rPr>
  </w:style>
  <w:style w:type="paragraph" w:styleId="Header">
    <w:name w:val="header"/>
    <w:basedOn w:val="Normal"/>
    <w:link w:val="HeaderChar"/>
    <w:uiPriority w:val="99"/>
    <w:unhideWhenUsed/>
    <w:rsid w:val="009E0842"/>
    <w:pPr>
      <w:tabs>
        <w:tab w:val="center" w:pos="4680"/>
        <w:tab w:val="right" w:pos="9360"/>
      </w:tabs>
    </w:pPr>
  </w:style>
  <w:style w:type="character" w:customStyle="1" w:styleId="HeaderChar">
    <w:name w:val="Header Char"/>
    <w:basedOn w:val="DefaultParagraphFont"/>
    <w:link w:val="Header"/>
    <w:uiPriority w:val="99"/>
    <w:rsid w:val="009E0842"/>
  </w:style>
  <w:style w:type="paragraph" w:styleId="Footer">
    <w:name w:val="footer"/>
    <w:basedOn w:val="Normal"/>
    <w:link w:val="FooterChar"/>
    <w:uiPriority w:val="99"/>
    <w:unhideWhenUsed/>
    <w:rsid w:val="009E0842"/>
    <w:pPr>
      <w:tabs>
        <w:tab w:val="center" w:pos="4680"/>
        <w:tab w:val="right" w:pos="9360"/>
      </w:tabs>
    </w:pPr>
  </w:style>
  <w:style w:type="character" w:customStyle="1" w:styleId="FooterChar">
    <w:name w:val="Footer Char"/>
    <w:basedOn w:val="DefaultParagraphFont"/>
    <w:link w:val="Footer"/>
    <w:uiPriority w:val="99"/>
    <w:rsid w:val="009E0842"/>
  </w:style>
  <w:style w:type="paragraph" w:customStyle="1" w:styleId="Style">
    <w:name w:val="Style"/>
    <w:rsid w:val="00A0163D"/>
    <w:pPr>
      <w:widowControl w:val="0"/>
      <w:suppressAutoHyphens/>
      <w:autoSpaceDE w:val="0"/>
    </w:pPr>
    <w:rPr>
      <w:rFonts w:ascii="Helvetica" w:hAnsi="Helvetica" w:cs="Helvetica"/>
      <w:sz w:val="24"/>
      <w:szCs w:val="24"/>
      <w:lang w:eastAsia="ar-SA"/>
    </w:rPr>
  </w:style>
  <w:style w:type="paragraph" w:styleId="EndnoteText">
    <w:name w:val="endnote text"/>
    <w:basedOn w:val="Normal"/>
    <w:link w:val="EndnoteTextChar"/>
    <w:uiPriority w:val="99"/>
    <w:unhideWhenUsed/>
    <w:rsid w:val="00ED2EBE"/>
  </w:style>
  <w:style w:type="character" w:customStyle="1" w:styleId="EndnoteTextChar">
    <w:name w:val="Endnote Text Char"/>
    <w:basedOn w:val="DefaultParagraphFont"/>
    <w:link w:val="EndnoteText"/>
    <w:uiPriority w:val="99"/>
    <w:rsid w:val="00ED2EBE"/>
  </w:style>
  <w:style w:type="character" w:styleId="CommentReference">
    <w:name w:val="annotation reference"/>
    <w:semiHidden/>
    <w:rsid w:val="00A37281"/>
    <w:rPr>
      <w:sz w:val="18"/>
    </w:rPr>
  </w:style>
  <w:style w:type="paragraph" w:styleId="CommentText">
    <w:name w:val="annotation text"/>
    <w:basedOn w:val="Normal"/>
    <w:link w:val="CommentTextChar"/>
    <w:semiHidden/>
    <w:rsid w:val="00A37281"/>
    <w:pPr>
      <w:suppressAutoHyphens w:val="0"/>
      <w:spacing w:after="0" w:line="240" w:lineRule="auto"/>
    </w:pPr>
    <w:rPr>
      <w:rFonts w:ascii="New York" w:hAnsi="New York"/>
      <w:sz w:val="24"/>
      <w:szCs w:val="24"/>
    </w:rPr>
  </w:style>
  <w:style w:type="character" w:customStyle="1" w:styleId="CommentTextChar">
    <w:name w:val="Comment Text Char"/>
    <w:basedOn w:val="DefaultParagraphFont"/>
    <w:link w:val="CommentText"/>
    <w:semiHidden/>
    <w:rsid w:val="00A37281"/>
    <w:rPr>
      <w:rFonts w:ascii="New York" w:hAnsi="New York"/>
      <w:sz w:val="24"/>
      <w:szCs w:val="24"/>
    </w:rPr>
  </w:style>
  <w:style w:type="paragraph" w:styleId="Bibliography">
    <w:name w:val="Bibliography"/>
    <w:basedOn w:val="Normal"/>
    <w:next w:val="Normal"/>
    <w:uiPriority w:val="70"/>
    <w:rsid w:val="00390118"/>
  </w:style>
  <w:style w:type="character" w:customStyle="1" w:styleId="Heading2Char">
    <w:name w:val="Heading 2 Char"/>
    <w:basedOn w:val="DefaultParagraphFont"/>
    <w:link w:val="Heading2"/>
    <w:uiPriority w:val="9"/>
    <w:rsid w:val="00F16C8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B5466"/>
    <w:rPr>
      <w:color w:val="0563C1" w:themeColor="hyperlink"/>
      <w:u w:val="single"/>
    </w:rPr>
  </w:style>
  <w:style w:type="character" w:styleId="UnresolvedMention">
    <w:name w:val="Unresolved Mention"/>
    <w:basedOn w:val="DefaultParagraphFont"/>
    <w:uiPriority w:val="99"/>
    <w:semiHidden/>
    <w:unhideWhenUsed/>
    <w:rsid w:val="00AB546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B5466"/>
    <w:pPr>
      <w:suppressAutoHyphens/>
      <w:spacing w:after="160"/>
    </w:pPr>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AB5466"/>
    <w:rPr>
      <w:rFonts w:ascii="New York" w:hAnsi="New York"/>
      <w:b/>
      <w:bCs/>
      <w:sz w:val="24"/>
      <w:szCs w:val="24"/>
    </w:rPr>
  </w:style>
  <w:style w:type="paragraph" w:styleId="Revision">
    <w:name w:val="Revision"/>
    <w:hidden/>
    <w:uiPriority w:val="71"/>
    <w:semiHidden/>
    <w:rsid w:val="00841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903373">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3B3C2-A244-9842-A7E4-AB23D4439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cp:lastModifiedBy>Tevvy Ball</cp:lastModifiedBy>
  <cp:revision>40</cp:revision>
  <cp:lastPrinted>2018-10-26T23:16:00Z</cp:lastPrinted>
  <dcterms:created xsi:type="dcterms:W3CDTF">2018-10-26T22:43:00Z</dcterms:created>
  <dcterms:modified xsi:type="dcterms:W3CDTF">2020-06-10T16:36:00Z</dcterms:modified>
</cp:coreProperties>
</file>